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7"/>
        <w:jc w:val="center"/>
        <w:rPr>
          <w:rFonts w:ascii="楷体" w:hAnsi="楷体" w:eastAsia="楷体" w:cs="楷体"/>
          <w:color w:val="000000"/>
          <w:spacing w:val="30"/>
          <w:sz w:val="48"/>
          <w:szCs w:val="48"/>
        </w:rPr>
      </w:pPr>
      <w:r>
        <w:rPr>
          <w:rFonts w:hint="eastAsia" w:ascii="楷体" w:hAnsi="楷体" w:eastAsia="楷体" w:cs="楷体"/>
          <w:color w:val="000000"/>
          <w:spacing w:val="30"/>
          <w:sz w:val="48"/>
          <w:szCs w:val="48"/>
        </w:rPr>
        <w:t>金华市政府采购中心关于金华教育学院数据中心和应用软件项目</w:t>
      </w:r>
    </w:p>
    <w:p>
      <w:pPr>
        <w:pStyle w:val="2"/>
        <w:ind w:firstLine="1080"/>
        <w:rPr>
          <w:rFonts w:ascii="楷体" w:hAnsi="楷体" w:eastAsia="楷体" w:cs="楷体"/>
          <w:color w:val="000000"/>
          <w:spacing w:val="30"/>
          <w:sz w:val="48"/>
          <w:szCs w:val="48"/>
        </w:rPr>
      </w:pPr>
    </w:p>
    <w:p>
      <w:pPr>
        <w:pStyle w:val="2"/>
        <w:ind w:firstLine="1080"/>
        <w:rPr>
          <w:rFonts w:ascii="楷体" w:hAnsi="楷体" w:eastAsia="楷体" w:cs="楷体"/>
          <w:color w:val="000000"/>
          <w:spacing w:val="30"/>
          <w:sz w:val="48"/>
          <w:szCs w:val="48"/>
        </w:rPr>
      </w:pPr>
    </w:p>
    <w:p>
      <w:pPr>
        <w:pStyle w:val="2"/>
        <w:ind w:firstLine="1080"/>
        <w:rPr>
          <w:rFonts w:ascii="楷体" w:hAnsi="楷体" w:eastAsia="楷体" w:cs="楷体"/>
          <w:color w:val="000000"/>
          <w:spacing w:val="30"/>
          <w:sz w:val="48"/>
          <w:szCs w:val="48"/>
        </w:rPr>
      </w:pPr>
    </w:p>
    <w:p>
      <w:pPr>
        <w:spacing w:beforeLines="100" w:after="100" w:afterAutospacing="1" w:line="800" w:lineRule="exact"/>
        <w:ind w:right="-108"/>
        <w:jc w:val="center"/>
        <w:rPr>
          <w:rFonts w:ascii="宋体" w:hAnsi="宋体"/>
          <w:color w:val="000000"/>
          <w:spacing w:val="40"/>
          <w:sz w:val="72"/>
          <w:szCs w:val="72"/>
        </w:rPr>
      </w:pPr>
      <w:r>
        <w:rPr>
          <w:rFonts w:hint="eastAsia" w:ascii="宋体" w:hAnsi="宋体"/>
          <w:color w:val="000000"/>
          <w:spacing w:val="40"/>
          <w:sz w:val="72"/>
          <w:szCs w:val="72"/>
        </w:rPr>
        <w:t>公开招标采购文件</w:t>
      </w:r>
    </w:p>
    <w:p>
      <w:pPr>
        <w:pStyle w:val="2"/>
        <w:ind w:left="0" w:leftChars="0" w:firstLine="0" w:firstLineChars="0"/>
        <w:jc w:val="center"/>
        <w:rPr>
          <w:sz w:val="44"/>
          <w:szCs w:val="44"/>
        </w:rPr>
      </w:pPr>
      <w:r>
        <w:rPr>
          <w:rFonts w:hint="eastAsia" w:ascii="宋体" w:hAnsi="宋体"/>
          <w:color w:val="000000"/>
          <w:spacing w:val="40"/>
          <w:sz w:val="44"/>
          <w:szCs w:val="44"/>
        </w:rPr>
        <w:t>（线上电子招标）</w:t>
      </w:r>
    </w:p>
    <w:p>
      <w:pPr>
        <w:ind w:right="-110"/>
        <w:rPr>
          <w:rFonts w:ascii="宋体" w:hAnsi="宋体"/>
          <w:color w:val="000000"/>
          <w:sz w:val="32"/>
          <w:szCs w:val="32"/>
        </w:rPr>
      </w:pPr>
    </w:p>
    <w:p>
      <w:pPr>
        <w:spacing w:beforeLines="100" w:line="480" w:lineRule="auto"/>
        <w:ind w:right="-108"/>
        <w:rPr>
          <w:rFonts w:ascii="宋体" w:hAnsi="宋体"/>
          <w:color w:val="000000"/>
          <w:sz w:val="32"/>
          <w:szCs w:val="32"/>
        </w:rPr>
      </w:pPr>
    </w:p>
    <w:p>
      <w:pPr>
        <w:spacing w:beforeLines="100" w:line="480" w:lineRule="auto"/>
        <w:ind w:right="-108"/>
        <w:rPr>
          <w:rFonts w:ascii="楷体" w:hAnsi="楷体" w:eastAsia="楷体" w:cs="楷体"/>
          <w:color w:val="000000"/>
          <w:sz w:val="36"/>
          <w:szCs w:val="36"/>
        </w:rPr>
      </w:pPr>
      <w:r>
        <w:rPr>
          <w:rFonts w:hint="eastAsia" w:ascii="宋体" w:hAnsi="宋体"/>
          <w:color w:val="000000"/>
          <w:sz w:val="36"/>
          <w:szCs w:val="36"/>
        </w:rPr>
        <w:t xml:space="preserve">    </w:t>
      </w:r>
      <w:r>
        <w:rPr>
          <w:rFonts w:hint="eastAsia" w:ascii="楷体" w:hAnsi="楷体" w:eastAsia="楷体" w:cs="楷体"/>
          <w:color w:val="000000"/>
          <w:sz w:val="36"/>
          <w:szCs w:val="36"/>
        </w:rPr>
        <w:t>项目编号：</w:t>
      </w:r>
      <w:r>
        <w:rPr>
          <w:rFonts w:ascii="楷体" w:hAnsi="楷体" w:eastAsia="楷体" w:cs="楷体"/>
          <w:color w:val="000000"/>
          <w:sz w:val="36"/>
          <w:szCs w:val="36"/>
        </w:rPr>
        <w:t>JHCG2020E-042</w:t>
      </w:r>
    </w:p>
    <w:p>
      <w:pPr>
        <w:wordWrap w:val="0"/>
        <w:spacing w:line="480" w:lineRule="auto"/>
        <w:ind w:right="-108" w:firstLine="720" w:firstLineChars="200"/>
        <w:rPr>
          <w:rFonts w:ascii="楷体" w:hAnsi="楷体" w:eastAsia="楷体" w:cs="楷体"/>
          <w:color w:val="000000"/>
          <w:sz w:val="36"/>
          <w:szCs w:val="36"/>
        </w:rPr>
      </w:pPr>
      <w:r>
        <w:rPr>
          <w:rFonts w:hint="eastAsia" w:ascii="楷体" w:hAnsi="楷体" w:eastAsia="楷体" w:cs="楷体"/>
          <w:color w:val="000000"/>
          <w:sz w:val="36"/>
          <w:szCs w:val="36"/>
        </w:rPr>
        <w:t>代理机构：金华市政府采购中心</w:t>
      </w:r>
    </w:p>
    <w:p>
      <w:pPr>
        <w:wordWrap w:val="0"/>
        <w:spacing w:line="480" w:lineRule="auto"/>
        <w:ind w:right="-108" w:firstLine="720" w:firstLineChars="200"/>
        <w:rPr>
          <w:rFonts w:ascii="楷体" w:hAnsi="楷体" w:eastAsia="楷体" w:cs="楷体"/>
          <w:color w:val="000000"/>
          <w:sz w:val="36"/>
          <w:szCs w:val="36"/>
        </w:rPr>
      </w:pPr>
      <w:r>
        <w:rPr>
          <w:rFonts w:hint="eastAsia" w:ascii="楷体" w:hAnsi="楷体" w:eastAsia="楷体" w:cs="楷体"/>
          <w:color w:val="000000"/>
          <w:sz w:val="36"/>
          <w:szCs w:val="36"/>
        </w:rPr>
        <w:t>地址：金华市双龙南街858号财富大厦4楼</w:t>
      </w:r>
    </w:p>
    <w:p>
      <w:pPr>
        <w:pStyle w:val="21"/>
        <w:ind w:left="0" w:firstLine="720" w:firstLineChars="200"/>
        <w:rPr>
          <w:rFonts w:ascii="楷体" w:hAnsi="楷体" w:eastAsia="楷体" w:cs="楷体"/>
          <w:color w:val="000000"/>
          <w:sz w:val="36"/>
          <w:szCs w:val="36"/>
        </w:rPr>
        <w:sectPr>
          <w:footerReference r:id="rId3" w:type="default"/>
          <w:pgSz w:w="11906" w:h="16838"/>
          <w:pgMar w:top="1440" w:right="1800" w:bottom="1440" w:left="1800" w:header="851" w:footer="992" w:gutter="0"/>
          <w:cols w:space="425" w:num="1"/>
          <w:docGrid w:type="lines" w:linePitch="312" w:charSpace="0"/>
        </w:sectPr>
      </w:pPr>
      <w:r>
        <w:rPr>
          <w:rFonts w:hint="eastAsia" w:ascii="楷体" w:hAnsi="楷体" w:eastAsia="楷体" w:cs="楷体"/>
          <w:color w:val="000000"/>
          <w:sz w:val="36"/>
          <w:szCs w:val="36"/>
        </w:rPr>
        <w:t>开标时间：</w:t>
      </w:r>
      <w:r>
        <w:rPr>
          <w:rFonts w:hint="eastAsia" w:ascii="楷体" w:hAnsi="楷体" w:eastAsia="楷体" w:cs="楷体"/>
          <w:color w:val="000000"/>
          <w:sz w:val="36"/>
          <w:szCs w:val="36"/>
          <w:lang w:eastAsia="zh-CN"/>
        </w:rPr>
        <w:t>2020年10月10日</w:t>
      </w:r>
      <w:r>
        <w:rPr>
          <w:rFonts w:hint="eastAsia" w:ascii="楷体" w:hAnsi="楷体" w:eastAsia="楷体" w:cs="楷体"/>
          <w:color w:val="000000"/>
          <w:sz w:val="36"/>
          <w:szCs w:val="36"/>
        </w:rPr>
        <w:t>上午9：00整</w:t>
      </w:r>
    </w:p>
    <w:p>
      <w:pPr>
        <w:pStyle w:val="13"/>
        <w:spacing w:before="156" w:after="156" w:line="480" w:lineRule="auto"/>
        <w:jc w:val="center"/>
        <w:rPr>
          <w:rFonts w:hAnsi="宋体"/>
          <w:b/>
          <w:color w:val="000000"/>
          <w:sz w:val="36"/>
          <w:szCs w:val="36"/>
        </w:rPr>
      </w:pPr>
      <w:r>
        <w:rPr>
          <w:rFonts w:hint="eastAsia" w:hAnsi="宋体"/>
          <w:b/>
          <w:color w:val="000000"/>
          <w:sz w:val="36"/>
          <w:szCs w:val="36"/>
        </w:rPr>
        <w:t>目    录</w:t>
      </w:r>
    </w:p>
    <w:p>
      <w:pPr>
        <w:spacing w:beforeLines="50" w:line="480" w:lineRule="exact"/>
        <w:rPr>
          <w:rFonts w:ascii="宋体" w:hAnsi="宋体" w:eastAsia="仿宋_GB2312"/>
          <w:color w:val="000000"/>
          <w:sz w:val="30"/>
          <w:szCs w:val="30"/>
        </w:rPr>
      </w:pPr>
    </w:p>
    <w:p>
      <w:pPr>
        <w:numPr>
          <w:ilvl w:val="0"/>
          <w:numId w:val="2"/>
        </w:numPr>
        <w:spacing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公开</w:t>
      </w:r>
      <w:r>
        <w:rPr>
          <w:rFonts w:ascii="宋体" w:hAnsi="宋体" w:eastAsia="仿宋_GB2312"/>
          <w:color w:val="000000"/>
          <w:sz w:val="30"/>
          <w:szCs w:val="30"/>
        </w:rPr>
        <w:t>招标采购公告</w:t>
      </w:r>
    </w:p>
    <w:p>
      <w:pPr>
        <w:numPr>
          <w:ilvl w:val="0"/>
          <w:numId w:val="2"/>
        </w:numPr>
        <w:spacing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招标</w:t>
      </w:r>
      <w:r>
        <w:rPr>
          <w:rFonts w:ascii="宋体" w:hAnsi="宋体" w:eastAsia="仿宋_GB2312"/>
          <w:color w:val="000000"/>
          <w:sz w:val="30"/>
          <w:szCs w:val="30"/>
        </w:rPr>
        <w:t>需求</w:t>
      </w:r>
    </w:p>
    <w:p>
      <w:pPr>
        <w:numPr>
          <w:ilvl w:val="0"/>
          <w:numId w:val="2"/>
        </w:numPr>
        <w:spacing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投标人</w:t>
      </w:r>
      <w:r>
        <w:rPr>
          <w:rFonts w:ascii="宋体" w:hAnsi="宋体" w:eastAsia="仿宋_GB2312"/>
          <w:color w:val="000000"/>
          <w:sz w:val="30"/>
          <w:szCs w:val="30"/>
        </w:rPr>
        <w:t>须知</w:t>
      </w:r>
    </w:p>
    <w:p>
      <w:pPr>
        <w:numPr>
          <w:ilvl w:val="0"/>
          <w:numId w:val="2"/>
        </w:numPr>
        <w:spacing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政府采购政策功能相关说明</w:t>
      </w:r>
    </w:p>
    <w:p>
      <w:pPr>
        <w:numPr>
          <w:ilvl w:val="0"/>
          <w:numId w:val="2"/>
        </w:numPr>
        <w:spacing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评标定标办法</w:t>
      </w:r>
    </w:p>
    <w:p>
      <w:pPr>
        <w:numPr>
          <w:ilvl w:val="0"/>
          <w:numId w:val="2"/>
        </w:numPr>
        <w:spacing w:beforeLines="50" w:line="480" w:lineRule="exact"/>
        <w:rPr>
          <w:rFonts w:ascii="宋体" w:hAnsi="宋体" w:eastAsia="仿宋_GB2312"/>
          <w:color w:val="000000"/>
          <w:sz w:val="30"/>
          <w:szCs w:val="30"/>
        </w:rPr>
      </w:pPr>
      <w:r>
        <w:rPr>
          <w:rFonts w:ascii="宋体" w:hAnsi="宋体" w:eastAsia="仿宋_GB2312"/>
          <w:color w:val="000000"/>
          <w:sz w:val="30"/>
          <w:szCs w:val="30"/>
        </w:rPr>
        <w:t xml:space="preserve"> </w:t>
      </w:r>
      <w:r>
        <w:rPr>
          <w:rFonts w:hint="eastAsia" w:ascii="宋体" w:hAnsi="宋体" w:eastAsia="仿宋_GB2312"/>
          <w:color w:val="000000"/>
          <w:sz w:val="30"/>
          <w:szCs w:val="30"/>
        </w:rPr>
        <w:t>政府采购合同主要条款</w:t>
      </w:r>
    </w:p>
    <w:p>
      <w:pPr>
        <w:pStyle w:val="2"/>
        <w:numPr>
          <w:ilvl w:val="0"/>
          <w:numId w:val="2"/>
        </w:numPr>
        <w:ind w:leftChars="0" w:firstLineChars="0"/>
        <w:rPr>
          <w:rFonts w:ascii="宋体" w:hAnsi="宋体" w:eastAsia="仿宋_GB2312"/>
          <w:color w:val="000000"/>
          <w:sz w:val="30"/>
          <w:szCs w:val="30"/>
        </w:rPr>
      </w:pPr>
      <w:r>
        <w:rPr>
          <w:rFonts w:hint="eastAsia" w:ascii="宋体" w:hAnsi="宋体" w:eastAsia="仿宋_GB2312"/>
          <w:color w:val="000000"/>
          <w:sz w:val="30"/>
          <w:szCs w:val="30"/>
        </w:rPr>
        <w:t>投标文件格式</w:t>
      </w:r>
    </w:p>
    <w:p>
      <w:pPr>
        <w:pStyle w:val="2"/>
        <w:ind w:left="1365" w:leftChars="0" w:firstLine="0" w:firstLineChars="0"/>
        <w:rPr>
          <w:rFonts w:ascii="宋体" w:hAnsi="宋体" w:eastAsia="仿宋_GB2312"/>
          <w:color w:val="000000"/>
          <w:sz w:val="30"/>
          <w:szCs w:val="30"/>
        </w:rPr>
      </w:pPr>
    </w:p>
    <w:p>
      <w:pPr>
        <w:pStyle w:val="13"/>
        <w:pBdr>
          <w:top w:val="single" w:color="auto" w:sz="4" w:space="1"/>
          <w:left w:val="single" w:color="auto" w:sz="4" w:space="4"/>
          <w:bottom w:val="single" w:color="auto" w:sz="4" w:space="1"/>
          <w:right w:val="single" w:color="auto" w:sz="4" w:space="4"/>
        </w:pBdr>
        <w:snapToGrid w:val="0"/>
        <w:spacing w:before="156" w:after="156"/>
        <w:ind w:firstLine="482" w:firstLineChars="200"/>
        <w:jc w:val="left"/>
        <w:outlineLvl w:val="0"/>
        <w:rPr>
          <w:b/>
        </w:rPr>
      </w:pPr>
      <w:r>
        <w:rPr>
          <w:rFonts w:hint="eastAsia"/>
          <w:b/>
        </w:rPr>
        <w:t>为确保招投标活动的公开、公平、公正，切实维护各方合法权益，凡在招标投标、开标评标过程中，受到敲诈、勒索或发现围标串标、虚假投标、恶意竞标等涉黑涉恶线索者，请及时保留相关证据并向有关部门举报！</w:t>
      </w:r>
    </w:p>
    <w:p>
      <w:pPr>
        <w:pStyle w:val="13"/>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rPr>
      </w:pPr>
      <w:r>
        <w:rPr>
          <w:rFonts w:hint="eastAsia"/>
          <w:b/>
        </w:rPr>
        <w:t>举报电话：</w:t>
      </w:r>
    </w:p>
    <w:p>
      <w:pPr>
        <w:pStyle w:val="13"/>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rPr>
      </w:pPr>
      <w:r>
        <w:rPr>
          <w:rFonts w:hint="eastAsia"/>
          <w:b/>
        </w:rPr>
        <w:t>市扫黑办  0579-82495227</w:t>
      </w:r>
    </w:p>
    <w:p>
      <w:pPr>
        <w:pStyle w:val="13"/>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rPr>
      </w:pPr>
      <w:r>
        <w:rPr>
          <w:rFonts w:hint="eastAsia"/>
          <w:b/>
        </w:rPr>
        <w:t>市公安局  110、0579-82512110</w:t>
      </w:r>
    </w:p>
    <w:p>
      <w:pPr>
        <w:pStyle w:val="13"/>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rPr>
      </w:pPr>
      <w:r>
        <w:rPr>
          <w:rFonts w:hint="eastAsia"/>
          <w:b/>
        </w:rPr>
        <w:t>市检察院  0579-82537082</w:t>
      </w:r>
    </w:p>
    <w:p>
      <w:pPr>
        <w:pStyle w:val="13"/>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rPr>
      </w:pPr>
      <w:r>
        <w:rPr>
          <w:rFonts w:hint="eastAsia"/>
          <w:b/>
        </w:rPr>
        <w:t>市 法 院  0579-82688725</w:t>
      </w:r>
    </w:p>
    <w:p>
      <w:pPr>
        <w:pStyle w:val="13"/>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rPr>
      </w:pPr>
      <w:r>
        <w:rPr>
          <w:rFonts w:hint="eastAsia"/>
          <w:b/>
        </w:rPr>
        <w:t>市公共资源办  0579-82469285</w:t>
      </w:r>
    </w:p>
    <w:p>
      <w:pPr>
        <w:pStyle w:val="13"/>
        <w:pBdr>
          <w:top w:val="single" w:color="auto" w:sz="4" w:space="1"/>
          <w:left w:val="single" w:color="auto" w:sz="4" w:space="4"/>
          <w:bottom w:val="single" w:color="auto" w:sz="4" w:space="1"/>
          <w:right w:val="single" w:color="auto" w:sz="4" w:space="4"/>
        </w:pBdr>
        <w:snapToGrid w:val="0"/>
        <w:spacing w:before="156" w:after="156" w:line="240" w:lineRule="auto"/>
        <w:ind w:firstLine="482" w:firstLineChars="200"/>
        <w:outlineLvl w:val="0"/>
        <w:rPr>
          <w:b/>
        </w:rPr>
      </w:pPr>
      <w:r>
        <w:rPr>
          <w:rFonts w:hint="eastAsia"/>
          <w:b/>
        </w:rPr>
        <w:t>市公共资源交易中心  0579-83187211</w:t>
      </w:r>
    </w:p>
    <w:p>
      <w:pPr>
        <w:pStyle w:val="2"/>
        <w:ind w:left="1365" w:leftChars="0" w:firstLine="0" w:firstLineChars="0"/>
        <w:rPr>
          <w:rFonts w:ascii="宋体" w:hAnsi="宋体" w:eastAsia="仿宋_GB2312"/>
          <w:color w:val="000000"/>
          <w:sz w:val="30"/>
          <w:szCs w:val="30"/>
        </w:rPr>
      </w:pPr>
    </w:p>
    <w:p>
      <w:pPr>
        <w:pStyle w:val="2"/>
        <w:ind w:left="1365" w:leftChars="0" w:firstLine="0" w:firstLineChars="0"/>
        <w:rPr>
          <w:rFonts w:eastAsia="仿宋_GB2312"/>
        </w:rPr>
      </w:pPr>
    </w:p>
    <w:p>
      <w:pPr>
        <w:sectPr>
          <w:pgSz w:w="11906" w:h="16838"/>
          <w:pgMar w:top="1440" w:right="1800" w:bottom="1440" w:left="1800" w:header="851" w:footer="992" w:gutter="0"/>
          <w:cols w:space="425" w:num="1"/>
          <w:docGrid w:type="lines" w:linePitch="312" w:charSpace="0"/>
        </w:sectPr>
      </w:pPr>
      <w:r>
        <w:rPr>
          <w:rFonts w:hint="eastAsia"/>
        </w:rPr>
        <w:t xml:space="preserve">  </w:t>
      </w:r>
    </w:p>
    <w:p>
      <w:pPr>
        <w:pStyle w:val="13"/>
        <w:spacing w:before="156" w:after="156" w:line="360" w:lineRule="auto"/>
        <w:ind w:firstLine="640"/>
        <w:jc w:val="center"/>
        <w:outlineLvl w:val="0"/>
        <w:rPr>
          <w:rFonts w:hAnsi="宋体"/>
          <w:b/>
          <w:color w:val="000000"/>
          <w:sz w:val="36"/>
          <w:szCs w:val="36"/>
        </w:rPr>
      </w:pPr>
      <w:bookmarkStart w:id="0" w:name="_Toc439237127"/>
      <w:r>
        <w:rPr>
          <w:rFonts w:hint="eastAsia" w:hAnsi="宋体"/>
          <w:b/>
          <w:color w:val="000000"/>
          <w:sz w:val="36"/>
          <w:szCs w:val="36"/>
        </w:rPr>
        <w:t>第一章  公开招标采购公告</w:t>
      </w:r>
      <w:bookmarkEnd w:id="0"/>
    </w:p>
    <w:p>
      <w:pPr>
        <w:pStyle w:val="33"/>
        <w:widowControl w:val="0"/>
        <w:spacing w:afterLines="0" w:line="460" w:lineRule="exact"/>
        <w:ind w:firstLine="480"/>
        <w:rPr>
          <w:rFonts w:ascii="仿宋" w:hAnsi="仿宋" w:eastAsia="仿宋" w:cs="Arial"/>
          <w:bCs/>
          <w:color w:val="000000"/>
          <w:kern w:val="2"/>
          <w:szCs w:val="24"/>
        </w:rPr>
      </w:pPr>
      <w:r>
        <w:rPr>
          <w:rFonts w:hint="eastAsia" w:ascii="仿宋" w:hAnsi="仿宋" w:eastAsia="仿宋" w:cs="Arial"/>
          <w:bCs/>
          <w:color w:val="000000"/>
          <w:kern w:val="2"/>
          <w:szCs w:val="24"/>
        </w:rPr>
        <w:t>根据《中华人民共和国政府采购法》、《中华人民共和国政府采购实施条例》、《政府采购货物和服务招标投标管理办法》（注：基建工程、经批准采购进口机电产品的项目，应注明相关法律依据）等规定，经金华市财政局批准，现就该</w:t>
      </w:r>
      <w:r>
        <w:rPr>
          <w:rFonts w:ascii="仿宋" w:hAnsi="仿宋" w:eastAsia="仿宋" w:cs="Arial"/>
          <w:bCs/>
          <w:color w:val="000000"/>
          <w:kern w:val="2"/>
          <w:szCs w:val="24"/>
        </w:rPr>
        <w:t>项目进行公开招标采购，</w:t>
      </w:r>
      <w:r>
        <w:rPr>
          <w:rFonts w:hint="eastAsia" w:ascii="仿宋" w:hAnsi="仿宋" w:eastAsia="仿宋" w:cs="Arial"/>
          <w:bCs/>
          <w:color w:val="000000"/>
          <w:kern w:val="2"/>
          <w:szCs w:val="24"/>
        </w:rPr>
        <w:t>欢迎提供本国货物、服务的生产制造厂商或其合格代理商前来投标：</w:t>
      </w:r>
    </w:p>
    <w:p>
      <w:pPr>
        <w:snapToGrid w:val="0"/>
        <w:ind w:firstLine="600" w:firstLineChars="200"/>
        <w:rPr>
          <w:rFonts w:ascii="仿宋" w:hAnsi="仿宋" w:eastAsia="仿宋" w:cs="Arial"/>
          <w:b/>
          <w:bCs/>
          <w:color w:val="000000"/>
          <w:sz w:val="30"/>
          <w:szCs w:val="30"/>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项目编号：JHCG2020E-042</w:t>
      </w:r>
    </w:p>
    <w:p>
      <w:pPr>
        <w:snapToGrid w:val="0"/>
        <w:spacing w:afterLines="50"/>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二</w:t>
      </w:r>
      <w:r>
        <w:rPr>
          <w:rFonts w:ascii="仿宋" w:hAnsi="仿宋" w:eastAsia="仿宋" w:cs="Arial"/>
          <w:b/>
          <w:color w:val="000000"/>
          <w:sz w:val="30"/>
          <w:szCs w:val="30"/>
        </w:rPr>
        <w:t>、采购组织类型：政府集中采购</w:t>
      </w:r>
    </w:p>
    <w:p>
      <w:pPr>
        <w:snapToGrid w:val="0"/>
        <w:spacing w:afterLines="50"/>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三、</w:t>
      </w:r>
      <w:r>
        <w:rPr>
          <w:rFonts w:hint="eastAsia" w:ascii="仿宋" w:hAnsi="仿宋" w:eastAsia="仿宋" w:cs="Arial"/>
          <w:b/>
          <w:bCs/>
          <w:color w:val="000000"/>
          <w:sz w:val="30"/>
          <w:szCs w:val="30"/>
        </w:rPr>
        <w:t>采购内容及数量</w:t>
      </w:r>
    </w:p>
    <w:tbl>
      <w:tblPr>
        <w:tblStyle w:val="27"/>
        <w:tblW w:w="949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7"/>
        <w:gridCol w:w="2895"/>
        <w:gridCol w:w="825"/>
        <w:gridCol w:w="1178"/>
        <w:gridCol w:w="1357"/>
        <w:gridCol w:w="21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057"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序号</w:t>
            </w:r>
          </w:p>
        </w:tc>
        <w:tc>
          <w:tcPr>
            <w:tcW w:w="289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采购内容</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单位</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数量</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宋体" w:hAnsi="宋体" w:cs="宋体"/>
                <w:kern w:val="0"/>
                <w:sz w:val="24"/>
                <w:szCs w:val="24"/>
              </w:rPr>
            </w:pPr>
            <w:r>
              <w:rPr>
                <w:rFonts w:hint="eastAsia" w:ascii="宋体" w:hAnsi="宋体" w:cs="宋体"/>
                <w:kern w:val="0"/>
                <w:sz w:val="24"/>
                <w:szCs w:val="24"/>
              </w:rPr>
              <w:t>预算</w:t>
            </w:r>
          </w:p>
          <w:p>
            <w:pPr>
              <w:widowControl/>
              <w:snapToGrid w:val="0"/>
              <w:spacing w:line="400" w:lineRule="exact"/>
              <w:jc w:val="center"/>
              <w:rPr>
                <w:rFonts w:ascii="宋体" w:hAnsi="宋体" w:cs="宋体"/>
                <w:kern w:val="0"/>
                <w:sz w:val="24"/>
                <w:szCs w:val="24"/>
              </w:rPr>
            </w:pPr>
            <w:r>
              <w:rPr>
                <w:rFonts w:hint="eastAsia" w:ascii="宋体" w:hAnsi="宋体" w:cs="宋体"/>
                <w:kern w:val="0"/>
                <w:sz w:val="24"/>
                <w:szCs w:val="24"/>
              </w:rPr>
              <w:t>（万元）</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使用单位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0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24"/>
                <w:szCs w:val="24"/>
              </w:rPr>
            </w:pPr>
            <w:r>
              <w:rPr>
                <w:rFonts w:hint="eastAsia" w:ascii="宋体" w:hAnsi="宋体" w:cs="宋体"/>
                <w:bCs/>
                <w:sz w:val="24"/>
                <w:szCs w:val="24"/>
              </w:rPr>
              <w:t>标段一</w:t>
            </w:r>
          </w:p>
        </w:tc>
        <w:tc>
          <w:tcPr>
            <w:tcW w:w="2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24"/>
                <w:szCs w:val="24"/>
              </w:rPr>
            </w:pPr>
            <w:r>
              <w:rPr>
                <w:rFonts w:hint="eastAsia" w:ascii="宋体" w:hAnsi="宋体" w:cs="宋体"/>
                <w:kern w:val="0"/>
                <w:sz w:val="24"/>
                <w:szCs w:val="24"/>
              </w:rPr>
              <w:t>无线网络及信息安全建设</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批</w:t>
            </w:r>
          </w:p>
        </w:tc>
        <w:tc>
          <w:tcPr>
            <w:tcW w:w="11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24"/>
                <w:szCs w:val="24"/>
              </w:rPr>
            </w:pPr>
            <w:r>
              <w:rPr>
                <w:rFonts w:hint="eastAsia" w:ascii="宋体" w:hAnsi="宋体" w:cs="宋体"/>
                <w:kern w:val="0"/>
                <w:sz w:val="24"/>
                <w:szCs w:val="24"/>
              </w:rPr>
              <w:t>1</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ascii="宋体" w:hAnsi="宋体" w:cs="宋体"/>
                <w:kern w:val="0"/>
                <w:sz w:val="24"/>
                <w:szCs w:val="24"/>
              </w:rPr>
              <w:t>73</w:t>
            </w:r>
            <w:r>
              <w:rPr>
                <w:rFonts w:hint="eastAsia" w:ascii="宋体" w:hAnsi="宋体" w:cs="宋体"/>
                <w:kern w:val="0"/>
                <w:sz w:val="24"/>
                <w:szCs w:val="24"/>
              </w:rPr>
              <w:t>.</w:t>
            </w:r>
            <w:r>
              <w:rPr>
                <w:rFonts w:ascii="宋体" w:hAnsi="宋体" w:cs="宋体"/>
                <w:kern w:val="0"/>
                <w:sz w:val="24"/>
                <w:szCs w:val="24"/>
              </w:rPr>
              <w:t>454</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snapToGrid w:val="0"/>
              <w:ind w:firstLine="240" w:firstLineChars="100"/>
              <w:rPr>
                <w:rFonts w:ascii="宋体" w:hAnsi="宋体" w:cs="宋体"/>
                <w:kern w:val="0"/>
                <w:sz w:val="24"/>
                <w:szCs w:val="24"/>
              </w:rPr>
            </w:pPr>
            <w:r>
              <w:rPr>
                <w:rFonts w:hint="eastAsia" w:ascii="宋体" w:hAnsi="宋体" w:cs="宋体"/>
                <w:kern w:val="0"/>
                <w:sz w:val="24"/>
                <w:szCs w:val="24"/>
              </w:rPr>
              <w:t>金华教育学院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057" w:type="dxa"/>
            <w:tcBorders>
              <w:top w:val="single" w:color="auto" w:sz="4" w:space="0"/>
              <w:left w:val="single" w:color="auto" w:sz="4" w:space="0"/>
              <w:right w:val="single" w:color="auto" w:sz="4" w:space="0"/>
            </w:tcBorders>
            <w:vAlign w:val="center"/>
          </w:tcPr>
          <w:p>
            <w:pPr>
              <w:snapToGrid w:val="0"/>
              <w:jc w:val="center"/>
              <w:rPr>
                <w:rFonts w:ascii="宋体" w:hAnsi="宋体" w:cs="宋体"/>
                <w:bCs/>
                <w:sz w:val="24"/>
                <w:szCs w:val="24"/>
              </w:rPr>
            </w:pPr>
            <w:r>
              <w:rPr>
                <w:rFonts w:hint="eastAsia" w:ascii="宋体" w:hAnsi="宋体" w:cs="宋体"/>
                <w:bCs/>
                <w:sz w:val="24"/>
                <w:szCs w:val="24"/>
              </w:rPr>
              <w:t>标段二</w:t>
            </w:r>
          </w:p>
        </w:tc>
        <w:tc>
          <w:tcPr>
            <w:tcW w:w="2895" w:type="dxa"/>
            <w:tcBorders>
              <w:top w:val="single" w:color="auto" w:sz="4" w:space="0"/>
              <w:left w:val="single" w:color="auto" w:sz="4" w:space="0"/>
              <w:right w:val="single" w:color="auto" w:sz="4" w:space="0"/>
            </w:tcBorders>
            <w:vAlign w:val="center"/>
          </w:tcPr>
          <w:p>
            <w:pPr>
              <w:snapToGrid w:val="0"/>
              <w:jc w:val="center"/>
              <w:rPr>
                <w:rFonts w:ascii="宋体" w:hAnsi="宋体" w:cs="宋体"/>
                <w:kern w:val="0"/>
                <w:sz w:val="24"/>
                <w:szCs w:val="24"/>
              </w:rPr>
            </w:pPr>
            <w:r>
              <w:rPr>
                <w:rFonts w:hint="eastAsia" w:ascii="宋体" w:hAnsi="宋体" w:cs="宋体"/>
                <w:kern w:val="0"/>
                <w:sz w:val="24"/>
                <w:szCs w:val="24"/>
              </w:rPr>
              <w:t>数据中心和应用软件</w:t>
            </w:r>
          </w:p>
        </w:tc>
        <w:tc>
          <w:tcPr>
            <w:tcW w:w="825" w:type="dxa"/>
            <w:tcBorders>
              <w:top w:val="single" w:color="auto" w:sz="4" w:space="0"/>
              <w:left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项</w:t>
            </w:r>
          </w:p>
        </w:tc>
        <w:tc>
          <w:tcPr>
            <w:tcW w:w="1178" w:type="dxa"/>
            <w:tcBorders>
              <w:top w:val="single" w:color="auto" w:sz="4" w:space="0"/>
              <w:left w:val="single" w:color="auto" w:sz="4" w:space="0"/>
              <w:right w:val="single" w:color="auto" w:sz="4" w:space="0"/>
            </w:tcBorders>
            <w:vAlign w:val="center"/>
          </w:tcPr>
          <w:p>
            <w:pPr>
              <w:snapToGrid w:val="0"/>
              <w:jc w:val="center"/>
              <w:rPr>
                <w:rFonts w:ascii="宋体" w:hAnsi="宋体" w:cs="宋体"/>
                <w:kern w:val="0"/>
                <w:sz w:val="24"/>
                <w:szCs w:val="24"/>
              </w:rPr>
            </w:pPr>
            <w:r>
              <w:rPr>
                <w:rFonts w:hint="eastAsia" w:ascii="宋体" w:hAnsi="宋体" w:cs="宋体"/>
                <w:kern w:val="0"/>
                <w:sz w:val="24"/>
                <w:szCs w:val="24"/>
              </w:rPr>
              <w:t>1</w:t>
            </w:r>
          </w:p>
        </w:tc>
        <w:tc>
          <w:tcPr>
            <w:tcW w:w="1357" w:type="dxa"/>
            <w:tcBorders>
              <w:top w:val="single" w:color="auto" w:sz="4" w:space="0"/>
              <w:left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196.026</w:t>
            </w:r>
          </w:p>
        </w:tc>
        <w:tc>
          <w:tcPr>
            <w:tcW w:w="2186" w:type="dxa"/>
            <w:tcBorders>
              <w:top w:val="single" w:color="auto" w:sz="4" w:space="0"/>
              <w:left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金华教育学院</w:t>
            </w:r>
          </w:p>
        </w:tc>
      </w:tr>
    </w:tbl>
    <w:p>
      <w:pPr>
        <w:snapToGrid w:val="0"/>
        <w:spacing w:line="460" w:lineRule="exact"/>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四、投标供应商资格要求</w:t>
      </w:r>
    </w:p>
    <w:p>
      <w:pPr>
        <w:snapToGrid w:val="0"/>
        <w:spacing w:line="4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1.符合《中华人民共和国政府采购法》第二十二条供应商应当具备的条件和浙财采监【2013】24号《关于规范政府采购供应商资格设定及资格审查的通知》第六条规定。</w:t>
      </w:r>
    </w:p>
    <w:p>
      <w:pPr>
        <w:pStyle w:val="2"/>
        <w:ind w:left="0" w:leftChars="0" w:firstLine="0" w:firstLineChars="0"/>
        <w:rPr>
          <w:rFonts w:ascii="宋体" w:hAnsi="宋体" w:cs="宋体"/>
          <w:bCs/>
          <w:color w:val="000000"/>
          <w:sz w:val="24"/>
          <w:szCs w:val="24"/>
        </w:rPr>
      </w:pPr>
      <w:r>
        <w:rPr>
          <w:rFonts w:hint="eastAsia" w:ascii="宋体" w:hAnsi="宋体" w:cs="宋体"/>
          <w:bCs/>
          <w:color w:val="000000"/>
          <w:sz w:val="24"/>
          <w:szCs w:val="24"/>
        </w:rPr>
        <w:t xml:space="preserve">   2.本次采购不接受联合体投标；</w:t>
      </w:r>
    </w:p>
    <w:p>
      <w:pPr>
        <w:pStyle w:val="2"/>
        <w:ind w:left="0" w:leftChars="0" w:firstLine="0" w:firstLineChars="0"/>
        <w:rPr>
          <w:rFonts w:ascii="宋体" w:hAnsi="宋体" w:cs="宋体"/>
          <w:bCs/>
          <w:color w:val="000000"/>
          <w:sz w:val="24"/>
          <w:szCs w:val="24"/>
        </w:rPr>
      </w:pPr>
      <w:r>
        <w:rPr>
          <w:rFonts w:hint="eastAsia" w:ascii="宋体" w:hAnsi="宋体" w:cs="宋体"/>
          <w:bCs/>
          <w:color w:val="000000"/>
          <w:sz w:val="24"/>
          <w:szCs w:val="24"/>
        </w:rPr>
        <w:t xml:space="preserve">   3.投标人未被列入失信被执行人名单、重大税收违法案件当事人名单、政府采购严重违法失信行为记录名单，信用信息以信用中国网站（www.creditchina.gov.cn）、中国政府采购网（www.ccgp.gov.cn）公布为准；</w:t>
      </w:r>
    </w:p>
    <w:p>
      <w:pPr>
        <w:pStyle w:val="2"/>
        <w:ind w:left="0" w:leftChars="0" w:firstLine="240" w:firstLineChars="100"/>
        <w:rPr>
          <w:rFonts w:ascii="宋体" w:hAnsi="宋体" w:cs="宋体"/>
          <w:bCs/>
          <w:color w:val="000000"/>
          <w:sz w:val="24"/>
          <w:szCs w:val="24"/>
        </w:rPr>
      </w:pPr>
      <w:r>
        <w:rPr>
          <w:rFonts w:hint="eastAsia" w:ascii="宋体" w:hAnsi="宋体" w:cs="宋体"/>
          <w:bCs/>
          <w:color w:val="000000"/>
          <w:sz w:val="24"/>
          <w:szCs w:val="24"/>
        </w:rPr>
        <w:t>4.单位负责人为同一人或者存在直接控股、管理关系的不同供应商，不得参加同一合同项下的政府采购活动；</w:t>
      </w:r>
    </w:p>
    <w:p>
      <w:pPr>
        <w:pStyle w:val="2"/>
        <w:ind w:left="0" w:leftChars="0" w:firstLine="240" w:firstLineChars="100"/>
      </w:pPr>
      <w:r>
        <w:rPr>
          <w:rFonts w:hint="eastAsia" w:ascii="宋体" w:hAnsi="宋体" w:cs="宋体"/>
          <w:bCs/>
          <w:color w:val="000000"/>
          <w:sz w:val="24"/>
          <w:szCs w:val="24"/>
        </w:rPr>
        <w:t>5.法律、行政法规规定的其他条件。</w:t>
      </w:r>
    </w:p>
    <w:p>
      <w:pPr>
        <w:widowControl/>
        <w:snapToGrid w:val="0"/>
        <w:spacing w:line="46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五、招标文件获取方式：</w:t>
      </w:r>
    </w:p>
    <w:p>
      <w:pPr>
        <w:pStyle w:val="9"/>
        <w:spacing w:line="460" w:lineRule="exact"/>
        <w:ind w:firstLine="440"/>
        <w:rPr>
          <w:rFonts w:ascii="宋体" w:cs="宋体"/>
          <w:bCs/>
          <w:sz w:val="22"/>
        </w:rPr>
      </w:pPr>
      <w:bookmarkStart w:id="1" w:name="B18_招标文件发售起始日期"/>
      <w:bookmarkEnd w:id="1"/>
      <w:r>
        <w:rPr>
          <w:rFonts w:hint="eastAsia" w:ascii="宋体" w:cs="宋体"/>
          <w:bCs/>
          <w:sz w:val="22"/>
        </w:rPr>
        <w:t>1、本项目招标文件实行“政府采购云平台”在线获取，不提供招标文件纸质版。供应商获取招标文件前应先完成“政府采购云平台”的账号注册；</w:t>
      </w:r>
    </w:p>
    <w:p>
      <w:pPr>
        <w:pStyle w:val="9"/>
        <w:spacing w:line="460" w:lineRule="exact"/>
        <w:ind w:firstLine="440"/>
        <w:rPr>
          <w:rFonts w:ascii="宋体" w:cs="宋体"/>
          <w:bCs/>
          <w:sz w:val="22"/>
        </w:rPr>
      </w:pPr>
      <w:r>
        <w:rPr>
          <w:rFonts w:hint="eastAsia" w:ascii="宋体" w:cs="宋体"/>
          <w:bCs/>
          <w:sz w:val="22"/>
        </w:rPr>
        <w:t>2、地点：政采云平台；</w:t>
      </w:r>
    </w:p>
    <w:p>
      <w:pPr>
        <w:pStyle w:val="2"/>
        <w:ind w:left="0" w:leftChars="0" w:firstLine="440"/>
        <w:rPr>
          <w:rFonts w:ascii="宋体" w:cs="宋体"/>
          <w:bCs/>
          <w:sz w:val="22"/>
          <w:szCs w:val="22"/>
        </w:rPr>
      </w:pPr>
      <w:r>
        <w:rPr>
          <w:rFonts w:hint="eastAsia" w:ascii="宋体" w:cs="宋体"/>
          <w:bCs/>
          <w:sz w:val="22"/>
          <w:szCs w:val="22"/>
        </w:rPr>
        <w:t>3、方式：潜在供应商登陆政采云平台，在线申请获取招标文件（进入“项目采购”，在获取招标文件菜单中选择项目，申请获取招标文件，</w:t>
      </w:r>
      <w:r>
        <w:rPr>
          <w:rFonts w:ascii="宋体" w:cs="宋体"/>
          <w:bCs/>
          <w:sz w:val="22"/>
          <w:szCs w:val="22"/>
        </w:rPr>
        <w:t>填写获取采购文件的申请信息，提交后点击【下载采购文件】即可获取</w:t>
      </w:r>
      <w:r>
        <w:rPr>
          <w:rFonts w:hint="eastAsia" w:ascii="宋体" w:cs="宋体"/>
          <w:bCs/>
          <w:sz w:val="22"/>
          <w:szCs w:val="22"/>
        </w:rPr>
        <w:t>招标</w:t>
      </w:r>
      <w:r>
        <w:rPr>
          <w:rFonts w:ascii="宋体" w:cs="宋体"/>
          <w:bCs/>
          <w:sz w:val="22"/>
          <w:szCs w:val="22"/>
        </w:rPr>
        <w:t>文件</w:t>
      </w:r>
      <w:r>
        <w:rPr>
          <w:rFonts w:hint="eastAsia" w:ascii="宋体" w:cs="宋体"/>
          <w:bCs/>
          <w:sz w:val="22"/>
          <w:szCs w:val="22"/>
        </w:rPr>
        <w:t>，本项目招标文件不收取工本费。仅需浏览招标文件的供应商可点击“游客，浏览招标文件”直接下载招标文件浏览。</w:t>
      </w:r>
    </w:p>
    <w:p>
      <w:pPr>
        <w:pStyle w:val="2"/>
        <w:ind w:left="0" w:leftChars="0" w:firstLine="440"/>
        <w:rPr>
          <w:rFonts w:ascii="宋体" w:cs="宋体"/>
          <w:sz w:val="22"/>
          <w:szCs w:val="22"/>
        </w:rPr>
      </w:pPr>
      <w:r>
        <w:rPr>
          <w:rFonts w:hint="eastAsia" w:ascii="宋体" w:cs="宋体"/>
          <w:sz w:val="22"/>
          <w:szCs w:val="22"/>
        </w:rPr>
        <w:t>4、供应商获取招标文件时须提交的文件资料：无</w:t>
      </w:r>
    </w:p>
    <w:p>
      <w:pPr>
        <w:pStyle w:val="9"/>
        <w:spacing w:line="460" w:lineRule="exact"/>
        <w:ind w:firstLine="440"/>
        <w:rPr>
          <w:rFonts w:ascii="宋体" w:cs="宋体"/>
          <w:bCs/>
          <w:sz w:val="22"/>
        </w:rPr>
      </w:pPr>
      <w:r>
        <w:rPr>
          <w:rFonts w:hint="eastAsia" w:ascii="宋体" w:cs="宋体"/>
          <w:bCs/>
          <w:sz w:val="22"/>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9"/>
        <w:spacing w:line="460" w:lineRule="exact"/>
        <w:ind w:firstLine="440"/>
        <w:rPr>
          <w:rFonts w:ascii="宋体" w:cs="宋体"/>
          <w:sz w:val="22"/>
        </w:rPr>
      </w:pPr>
      <w:r>
        <w:rPr>
          <w:rFonts w:hint="eastAsia" w:ascii="宋体" w:cs="宋体"/>
          <w:bCs/>
          <w:sz w:val="22"/>
        </w:rPr>
        <w:t>注：请供应商按上述要求获取招标文件，如未在“政采云”系统内完成相关流程，引起的投标无效责任自负。</w:t>
      </w:r>
    </w:p>
    <w:p>
      <w:pPr>
        <w:widowControl/>
        <w:snapToGrid w:val="0"/>
        <w:spacing w:line="460" w:lineRule="exact"/>
        <w:jc w:val="left"/>
        <w:rPr>
          <w:rFonts w:ascii="宋体"/>
          <w:sz w:val="22"/>
        </w:rPr>
      </w:pPr>
      <w:r>
        <w:rPr>
          <w:rFonts w:hint="eastAsia" w:ascii="宋体"/>
          <w:b/>
          <w:bCs/>
          <w:sz w:val="24"/>
          <w:szCs w:val="24"/>
        </w:rPr>
        <w:t>六</w:t>
      </w:r>
      <w:r>
        <w:rPr>
          <w:rFonts w:ascii="宋体"/>
          <w:b/>
          <w:bCs/>
          <w:sz w:val="24"/>
          <w:szCs w:val="24"/>
        </w:rPr>
        <w:t>、投标截止时间</w:t>
      </w:r>
      <w:r>
        <w:rPr>
          <w:rFonts w:ascii="宋体"/>
          <w:sz w:val="22"/>
        </w:rPr>
        <w:t>：</w:t>
      </w:r>
      <w:bookmarkStart w:id="2" w:name="B25_投标截止时间"/>
      <w:r>
        <w:rPr>
          <w:rFonts w:hint="eastAsia" w:ascii="宋体"/>
          <w:sz w:val="22"/>
          <w:lang w:eastAsia="zh-CN"/>
        </w:rPr>
        <w:t>2020年10月10日</w:t>
      </w:r>
      <w:r>
        <w:rPr>
          <w:rFonts w:hint="eastAsia" w:ascii="宋体"/>
          <w:sz w:val="22"/>
        </w:rPr>
        <w:t xml:space="preserve">  </w:t>
      </w:r>
      <w:r>
        <w:rPr>
          <w:rFonts w:ascii="宋体"/>
          <w:sz w:val="22"/>
        </w:rPr>
        <w:t>上午</w:t>
      </w:r>
      <w:bookmarkEnd w:id="2"/>
      <w:r>
        <w:rPr>
          <w:rFonts w:hint="eastAsia" w:ascii="宋体"/>
          <w:sz w:val="22"/>
        </w:rPr>
        <w:t>9:00</w:t>
      </w:r>
    </w:p>
    <w:p>
      <w:pPr>
        <w:widowControl/>
        <w:snapToGrid w:val="0"/>
        <w:spacing w:line="460" w:lineRule="exact"/>
        <w:jc w:val="left"/>
        <w:rPr>
          <w:rFonts w:ascii="宋体"/>
          <w:sz w:val="22"/>
        </w:rPr>
      </w:pPr>
      <w:r>
        <w:rPr>
          <w:rFonts w:hint="eastAsia" w:ascii="宋体"/>
          <w:b/>
          <w:bCs/>
          <w:sz w:val="22"/>
        </w:rPr>
        <w:t>七</w:t>
      </w:r>
      <w:r>
        <w:rPr>
          <w:rFonts w:ascii="宋体"/>
          <w:b/>
          <w:bCs/>
          <w:sz w:val="22"/>
        </w:rPr>
        <w:t>、投标地点</w:t>
      </w:r>
      <w:r>
        <w:rPr>
          <w:rFonts w:ascii="宋体"/>
          <w:sz w:val="22"/>
        </w:rPr>
        <w:t>：</w:t>
      </w:r>
      <w:r>
        <w:rPr>
          <w:rFonts w:hint="eastAsia" w:ascii="宋体"/>
          <w:sz w:val="22"/>
        </w:rPr>
        <w:t>金华市双龙南街858号财富大厦4楼开标2室（本项目采用在线投标方式，投标供应商无须前往投标现场。）</w:t>
      </w:r>
    </w:p>
    <w:p>
      <w:pPr>
        <w:widowControl/>
        <w:snapToGrid w:val="0"/>
        <w:spacing w:line="460" w:lineRule="exact"/>
        <w:jc w:val="left"/>
        <w:rPr>
          <w:rFonts w:ascii="宋体"/>
          <w:sz w:val="22"/>
        </w:rPr>
      </w:pPr>
      <w:r>
        <w:rPr>
          <w:rFonts w:hint="eastAsia" w:ascii="宋体"/>
          <w:b/>
          <w:bCs/>
          <w:sz w:val="22"/>
        </w:rPr>
        <w:t>八</w:t>
      </w:r>
      <w:r>
        <w:rPr>
          <w:rFonts w:ascii="宋体"/>
          <w:b/>
          <w:bCs/>
          <w:sz w:val="22"/>
        </w:rPr>
        <w:t>、开标时间</w:t>
      </w:r>
      <w:r>
        <w:rPr>
          <w:rFonts w:ascii="宋体"/>
          <w:sz w:val="22"/>
        </w:rPr>
        <w:t>：</w:t>
      </w:r>
      <w:bookmarkStart w:id="3" w:name="B28_开标时间"/>
      <w:r>
        <w:rPr>
          <w:rFonts w:hint="eastAsia" w:ascii="宋体"/>
          <w:sz w:val="22"/>
          <w:lang w:eastAsia="zh-CN"/>
        </w:rPr>
        <w:t>2020年10月10日</w:t>
      </w:r>
      <w:r>
        <w:rPr>
          <w:rFonts w:hint="eastAsia" w:ascii="宋体" w:cs="宋体"/>
          <w:sz w:val="22"/>
        </w:rPr>
        <w:t xml:space="preserve">  </w:t>
      </w:r>
      <w:r>
        <w:rPr>
          <w:rFonts w:ascii="宋体"/>
          <w:sz w:val="22"/>
        </w:rPr>
        <w:t>上午</w:t>
      </w:r>
      <w:bookmarkEnd w:id="3"/>
      <w:r>
        <w:rPr>
          <w:rFonts w:hint="eastAsia" w:ascii="宋体"/>
          <w:sz w:val="22"/>
        </w:rPr>
        <w:t>9:00</w:t>
      </w:r>
    </w:p>
    <w:p>
      <w:pPr>
        <w:widowControl/>
        <w:snapToGrid w:val="0"/>
        <w:spacing w:line="460" w:lineRule="exact"/>
        <w:jc w:val="left"/>
        <w:rPr>
          <w:rFonts w:ascii="宋体"/>
          <w:sz w:val="22"/>
        </w:rPr>
      </w:pPr>
      <w:r>
        <w:rPr>
          <w:rFonts w:hint="eastAsia" w:ascii="宋体"/>
          <w:b/>
          <w:bCs/>
          <w:sz w:val="22"/>
        </w:rPr>
        <w:t>九</w:t>
      </w:r>
      <w:r>
        <w:rPr>
          <w:rFonts w:ascii="宋体"/>
          <w:b/>
          <w:bCs/>
          <w:sz w:val="22"/>
        </w:rPr>
        <w:t>、开标地点</w:t>
      </w:r>
      <w:r>
        <w:rPr>
          <w:rFonts w:ascii="宋体"/>
          <w:sz w:val="22"/>
        </w:rPr>
        <w:t>：</w:t>
      </w:r>
      <w:r>
        <w:rPr>
          <w:rFonts w:hint="eastAsia" w:ascii="宋体"/>
          <w:sz w:val="22"/>
        </w:rPr>
        <w:t>金华市双龙南街858号财富大厦4楼开标2室（本项目采用在线投标方式，投标供应商无须前往开标现场。）</w:t>
      </w:r>
    </w:p>
    <w:p>
      <w:pPr>
        <w:widowControl/>
        <w:snapToGrid w:val="0"/>
        <w:spacing w:line="460" w:lineRule="exact"/>
        <w:jc w:val="left"/>
        <w:rPr>
          <w:rFonts w:ascii="宋体" w:cs="宋体"/>
          <w:sz w:val="22"/>
        </w:rPr>
      </w:pPr>
      <w:r>
        <w:rPr>
          <w:rFonts w:ascii="宋体"/>
          <w:b/>
          <w:bCs/>
          <w:sz w:val="22"/>
        </w:rPr>
        <w:t>十、</w:t>
      </w:r>
      <w:r>
        <w:rPr>
          <w:rFonts w:hint="eastAsia" w:ascii="宋体"/>
          <w:b/>
          <w:bCs/>
          <w:sz w:val="22"/>
        </w:rPr>
        <w:t>投标保证金</w:t>
      </w:r>
      <w:r>
        <w:rPr>
          <w:rFonts w:hint="eastAsia" w:ascii="宋体"/>
          <w:sz w:val="22"/>
        </w:rPr>
        <w:t>：无</w:t>
      </w:r>
    </w:p>
    <w:p>
      <w:pPr>
        <w:widowControl/>
        <w:snapToGrid w:val="0"/>
        <w:spacing w:line="460" w:lineRule="exact"/>
        <w:jc w:val="left"/>
        <w:rPr>
          <w:rFonts w:ascii="宋体"/>
          <w:b/>
          <w:bCs/>
          <w:sz w:val="22"/>
        </w:rPr>
      </w:pPr>
      <w:r>
        <w:rPr>
          <w:rFonts w:ascii="宋体"/>
          <w:b/>
          <w:bCs/>
          <w:sz w:val="22"/>
        </w:rPr>
        <w:t>十</w:t>
      </w:r>
      <w:r>
        <w:rPr>
          <w:rFonts w:hint="eastAsia" w:ascii="宋体"/>
          <w:b/>
          <w:bCs/>
          <w:sz w:val="22"/>
        </w:rPr>
        <w:t>一</w:t>
      </w:r>
      <w:r>
        <w:rPr>
          <w:rFonts w:ascii="宋体"/>
          <w:b/>
          <w:bCs/>
          <w:sz w:val="22"/>
        </w:rPr>
        <w:t>、</w:t>
      </w:r>
      <w:r>
        <w:rPr>
          <w:rFonts w:hint="eastAsia" w:ascii="宋体"/>
          <w:b/>
          <w:bCs/>
          <w:sz w:val="22"/>
        </w:rPr>
        <w:t>投标方式及说明</w:t>
      </w:r>
    </w:p>
    <w:p>
      <w:pPr>
        <w:spacing w:line="460" w:lineRule="exact"/>
        <w:ind w:firstLine="440" w:firstLineChars="200"/>
        <w:jc w:val="left"/>
        <w:rPr>
          <w:rFonts w:ascii="宋体"/>
          <w:bCs/>
          <w:sz w:val="22"/>
        </w:rPr>
      </w:pPr>
      <w:r>
        <w:rPr>
          <w:rFonts w:hint="eastAsia" w:ascii="宋体"/>
          <w:bCs/>
          <w:sz w:val="22"/>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spacing w:line="460" w:lineRule="exact"/>
        <w:ind w:firstLine="440" w:firstLineChars="200"/>
        <w:jc w:val="left"/>
        <w:rPr>
          <w:rFonts w:ascii="宋体"/>
          <w:bCs/>
          <w:sz w:val="22"/>
        </w:rPr>
      </w:pPr>
      <w:r>
        <w:rPr>
          <w:rFonts w:hint="eastAsia" w:ascii="宋体"/>
          <w:bCs/>
          <w:sz w:val="22"/>
        </w:rPr>
        <w:t>“政采云电子交易客户端”请自行前往“浙江政府采购网-下载专区-电子交易客户端”进行下载；电子投标具体操作流程详见《供应商</w:t>
      </w:r>
      <w:r>
        <w:rPr>
          <w:rFonts w:ascii="宋体"/>
          <w:bCs/>
          <w:sz w:val="22"/>
        </w:rPr>
        <w:t>-政府采购项目电子交易操作指南</w:t>
      </w:r>
      <w:r>
        <w:rPr>
          <w:rFonts w:hint="eastAsia" w:ascii="宋体"/>
          <w:bCs/>
          <w:sz w:val="22"/>
        </w:rPr>
        <w:t>》（</w:t>
      </w:r>
      <w:r>
        <w:rPr>
          <w:rFonts w:ascii="宋体"/>
          <w:bCs/>
          <w:sz w:val="22"/>
        </w:rPr>
        <w:t>https://help.zcygov.cn/web/site_2/2018/12-28/2573.html</w:t>
      </w:r>
      <w:r>
        <w:rPr>
          <w:rFonts w:hint="eastAsia" w:ascii="宋体"/>
          <w:bCs/>
          <w:sz w:val="22"/>
        </w:rPr>
        <w:t>）；通过“政府采购云平台”参与在线投标时如遇平台技术问题详询400-881-7190。</w:t>
      </w:r>
    </w:p>
    <w:p>
      <w:pPr>
        <w:spacing w:line="460" w:lineRule="exact"/>
        <w:ind w:firstLine="440" w:firstLineChars="200"/>
        <w:jc w:val="left"/>
        <w:rPr>
          <w:rFonts w:ascii="宋体"/>
          <w:bCs/>
          <w:sz w:val="22"/>
        </w:rPr>
      </w:pPr>
      <w:r>
        <w:rPr>
          <w:rFonts w:hint="eastAsia" w:ascii="宋体"/>
          <w:bCs/>
          <w:sz w:val="22"/>
        </w:rPr>
        <w:t>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ascii="宋体"/>
          <w:bCs/>
          <w:sz w:val="22"/>
        </w:rPr>
        <w:t>CA驱动和申领流程</w:t>
      </w:r>
      <w:r>
        <w:rPr>
          <w:rFonts w:ascii="宋体"/>
          <w:bCs/>
          <w:sz w:val="22"/>
        </w:rPr>
        <w:fldChar w:fldCharType="end"/>
      </w:r>
      <w:r>
        <w:rPr>
          <w:rFonts w:hint="eastAsia" w:ascii="宋体"/>
          <w:bCs/>
          <w:sz w:val="22"/>
        </w:rPr>
        <w:t>”进行查阅；</w:t>
      </w:r>
    </w:p>
    <w:p>
      <w:pPr>
        <w:spacing w:line="460" w:lineRule="exact"/>
        <w:ind w:firstLine="440" w:firstLineChars="200"/>
        <w:jc w:val="left"/>
        <w:rPr>
          <w:rFonts w:ascii="宋体"/>
          <w:bCs/>
          <w:sz w:val="22"/>
        </w:rPr>
      </w:pPr>
      <w:r>
        <w:rPr>
          <w:rFonts w:hint="eastAsia" w:ascii="宋体"/>
          <w:bCs/>
          <w:sz w:val="22"/>
        </w:rPr>
        <w:t>3、投标供应商应当在投标截止时间前，将生成的“电子加密投标文件”上传递交至“政府采购云平台”。投标截止时间以后上传递交的投标文件将被“政府采购云平台”拒收。</w:t>
      </w:r>
    </w:p>
    <w:p>
      <w:pPr>
        <w:spacing w:line="460" w:lineRule="exact"/>
        <w:ind w:firstLine="440" w:firstLineChars="200"/>
        <w:jc w:val="left"/>
        <w:rPr>
          <w:rFonts w:ascii="宋体" w:cs="宋体"/>
          <w:sz w:val="22"/>
        </w:rPr>
      </w:pPr>
      <w:r>
        <w:rPr>
          <w:rFonts w:hint="eastAsia" w:ascii="宋体"/>
          <w:bCs/>
          <w:sz w:val="22"/>
        </w:rPr>
        <w:t>4、通过“政府采购云平台”成功上传递交的“电子加密投标文件”无法按时解密的，其投标文件按拒收处理。</w:t>
      </w:r>
    </w:p>
    <w:p>
      <w:pPr>
        <w:widowControl/>
        <w:snapToGrid w:val="0"/>
        <w:spacing w:line="460" w:lineRule="exact"/>
        <w:jc w:val="left"/>
        <w:rPr>
          <w:rFonts w:ascii="宋体"/>
          <w:b/>
          <w:bCs/>
          <w:sz w:val="22"/>
        </w:rPr>
      </w:pPr>
      <w:r>
        <w:rPr>
          <w:rFonts w:ascii="宋体"/>
          <w:b/>
          <w:bCs/>
          <w:sz w:val="22"/>
        </w:rPr>
        <w:t>十</w:t>
      </w:r>
      <w:r>
        <w:rPr>
          <w:rFonts w:hint="eastAsia" w:ascii="宋体"/>
          <w:b/>
          <w:bCs/>
          <w:sz w:val="22"/>
        </w:rPr>
        <w:t>二</w:t>
      </w:r>
      <w:r>
        <w:rPr>
          <w:rFonts w:ascii="宋体"/>
          <w:b/>
          <w:bCs/>
          <w:sz w:val="22"/>
        </w:rPr>
        <w:t>、其他事项</w:t>
      </w:r>
    </w:p>
    <w:p>
      <w:pPr>
        <w:widowControl/>
        <w:spacing w:line="460" w:lineRule="exact"/>
        <w:ind w:firstLine="440" w:firstLineChars="200"/>
        <w:jc w:val="left"/>
        <w:rPr>
          <w:rFonts w:ascii="宋体"/>
          <w:sz w:val="22"/>
        </w:rPr>
      </w:pPr>
      <w:r>
        <w:rPr>
          <w:rFonts w:hint="eastAsia" w:ascii="宋体"/>
          <w:sz w:val="22"/>
        </w:rPr>
        <w:t>1、本项目公告期限为公告发布之日次日起五个工作日。</w:t>
      </w:r>
    </w:p>
    <w:p>
      <w:pPr>
        <w:widowControl/>
        <w:spacing w:line="460" w:lineRule="exact"/>
        <w:ind w:firstLine="440" w:firstLineChars="200"/>
        <w:jc w:val="left"/>
        <w:rPr>
          <w:rFonts w:ascii="宋体"/>
          <w:sz w:val="22"/>
        </w:rPr>
      </w:pPr>
      <w:r>
        <w:rPr>
          <w:rFonts w:ascii="宋体"/>
          <w:sz w:val="22"/>
        </w:rPr>
        <w:t>2</w:t>
      </w:r>
      <w:r>
        <w:rPr>
          <w:rFonts w:hint="eastAsia" w:ascii="宋体"/>
          <w:sz w:val="22"/>
        </w:rPr>
        <w:t>、供应商如对招标文件有异议的，应于招标公告期限届满之日起七个工作日内以书面形式向采购人（或采购代理机构）提出。</w:t>
      </w:r>
    </w:p>
    <w:p>
      <w:pPr>
        <w:spacing w:line="460" w:lineRule="exact"/>
        <w:ind w:firstLine="440" w:firstLineChars="200"/>
        <w:jc w:val="left"/>
        <w:rPr>
          <w:rFonts w:ascii="宋体"/>
          <w:sz w:val="22"/>
        </w:rPr>
      </w:pPr>
      <w:r>
        <w:rPr>
          <w:rFonts w:hint="eastAsia" w:ascii="宋体"/>
          <w:sz w:val="22"/>
        </w:rPr>
        <w:t>3、供应商知道或者应知其权益受到损害之日起七个工作日内，以书面形式向采购人（或采购代理机构）提出质疑。供应商应知其权益受到损害之日，是指：对可以质疑的招标文件提出质疑的，为收到招标文件之日（含网上下载招标文件）或者招标公告期限届满之日（招标</w:t>
      </w:r>
      <w:r>
        <w:rPr>
          <w:rFonts w:ascii="宋体"/>
          <w:sz w:val="22"/>
        </w:rPr>
        <w:t>文件在</w:t>
      </w:r>
      <w:r>
        <w:rPr>
          <w:rFonts w:hint="eastAsia" w:ascii="宋体"/>
          <w:sz w:val="22"/>
        </w:rPr>
        <w:t>招标公告期限</w:t>
      </w:r>
      <w:r>
        <w:rPr>
          <w:rFonts w:ascii="宋体"/>
          <w:sz w:val="22"/>
        </w:rPr>
        <w:t>后获得的，自</w:t>
      </w:r>
      <w:r>
        <w:rPr>
          <w:rFonts w:hint="eastAsia" w:ascii="宋体"/>
          <w:sz w:val="22"/>
        </w:rPr>
        <w:t>招标公告期限届满之日</w:t>
      </w:r>
      <w:r>
        <w:rPr>
          <w:rFonts w:ascii="宋体"/>
          <w:sz w:val="22"/>
        </w:rPr>
        <w:t>起计算</w:t>
      </w:r>
      <w:r>
        <w:rPr>
          <w:rFonts w:hint="eastAsia" w:ascii="宋体"/>
          <w:sz w:val="22"/>
        </w:rPr>
        <w:t>）；对采购过程提出质疑的，为各采购程序环节结束之日；对中标或者成交结果提出质疑的，为中标或者成交结果公告期限届满之日。</w:t>
      </w:r>
    </w:p>
    <w:p>
      <w:pPr>
        <w:widowControl/>
        <w:spacing w:line="460" w:lineRule="exact"/>
        <w:ind w:firstLine="440" w:firstLineChars="200"/>
        <w:jc w:val="left"/>
        <w:rPr>
          <w:rFonts w:ascii="宋体"/>
          <w:sz w:val="22"/>
        </w:rPr>
      </w:pPr>
      <w:r>
        <w:rPr>
          <w:rFonts w:hint="eastAsia" w:ascii="宋体"/>
          <w:sz w:val="22"/>
        </w:rPr>
        <w:t>4、供应商质疑应当有明确的请求和必要的证明材料；采购人及采购代理机构按</w:t>
      </w:r>
      <w:r>
        <w:rPr>
          <w:rFonts w:ascii="宋体"/>
          <w:sz w:val="22"/>
        </w:rPr>
        <w:t>《</w:t>
      </w:r>
      <w:r>
        <w:rPr>
          <w:rFonts w:hint="eastAsia" w:ascii="宋体"/>
          <w:sz w:val="22"/>
        </w:rPr>
        <w:t>政府采购质疑和投诉办法</w:t>
      </w:r>
      <w:r>
        <w:rPr>
          <w:rFonts w:ascii="宋体"/>
          <w:sz w:val="22"/>
        </w:rPr>
        <w:t>》</w:t>
      </w:r>
      <w:r>
        <w:rPr>
          <w:rFonts w:hint="eastAsia" w:ascii="宋体"/>
          <w:sz w:val="22"/>
        </w:rPr>
        <w:t>进行处理供应商质疑事项。质疑函范本、投诉书范本请到浙江政府采购网下载专区下载。</w:t>
      </w:r>
    </w:p>
    <w:p>
      <w:pPr>
        <w:widowControl/>
        <w:spacing w:line="460" w:lineRule="exact"/>
        <w:ind w:firstLine="440" w:firstLineChars="200"/>
        <w:jc w:val="left"/>
        <w:rPr>
          <w:rFonts w:ascii="宋体"/>
          <w:sz w:val="22"/>
        </w:rPr>
      </w:pPr>
      <w:r>
        <w:rPr>
          <w:rFonts w:ascii="宋体"/>
          <w:sz w:val="22"/>
        </w:rPr>
        <w:t>5</w:t>
      </w:r>
      <w:r>
        <w:rPr>
          <w:rFonts w:hint="eastAsia" w:ascii="宋体"/>
          <w:sz w:val="22"/>
        </w:rPr>
        <w:t>、潜在供应商可在浙江政府采购网进行免费注册，具体详见浙江政府采购网供应商注册要求。</w:t>
      </w:r>
    </w:p>
    <w:p>
      <w:pPr>
        <w:pStyle w:val="2"/>
        <w:ind w:left="0" w:leftChars="0" w:firstLine="440"/>
        <w:rPr>
          <w:rFonts w:ascii="宋体"/>
          <w:sz w:val="22"/>
        </w:rPr>
      </w:pPr>
      <w:r>
        <w:rPr>
          <w:rFonts w:hint="eastAsia" w:ascii="宋体"/>
          <w:sz w:val="22"/>
          <w:szCs w:val="22"/>
        </w:rPr>
        <w:t>6、</w:t>
      </w:r>
      <w:r>
        <w:rPr>
          <w:rFonts w:hint="eastAsia" w:ascii="宋体"/>
          <w:sz w:val="22"/>
        </w:rPr>
        <w:t>潜在供应商应当按照公告规定的方式获取招标文件，未按照公告规定的方式获取招标文件的，针对招标文件的质疑不予受理。</w:t>
      </w:r>
    </w:p>
    <w:p>
      <w:pPr>
        <w:snapToGrid w:val="0"/>
        <w:spacing w:line="440" w:lineRule="exact"/>
        <w:rPr>
          <w:rFonts w:ascii="仿宋" w:hAnsi="仿宋" w:eastAsia="仿宋" w:cs="Arial"/>
          <w:b/>
          <w:bCs/>
          <w:color w:val="000000"/>
          <w:sz w:val="24"/>
          <w:szCs w:val="24"/>
        </w:rPr>
      </w:pPr>
      <w:r>
        <w:rPr>
          <w:rFonts w:hint="eastAsia" w:ascii="宋体" w:hAnsi="宋体" w:cs="Arial"/>
          <w:b/>
          <w:color w:val="000000"/>
          <w:sz w:val="24"/>
        </w:rPr>
        <w:t>十三、业务咨询（招标需求的疑问请向采购人询问或反映）</w:t>
      </w:r>
    </w:p>
    <w:p>
      <w:pPr>
        <w:snapToGrid w:val="0"/>
        <w:spacing w:line="440" w:lineRule="exact"/>
        <w:ind w:firstLine="440" w:firstLineChars="200"/>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采购单位：</w:t>
      </w:r>
      <w:r>
        <w:rPr>
          <w:rFonts w:hint="eastAsia" w:ascii="宋体" w:hAnsi="宋体" w:cs="宋体"/>
          <w:kern w:val="0"/>
          <w:sz w:val="24"/>
          <w:szCs w:val="24"/>
        </w:rPr>
        <w:t>金华教育学院</w:t>
      </w:r>
    </w:p>
    <w:p>
      <w:pPr>
        <w:snapToGrid w:val="0"/>
        <w:spacing w:line="440" w:lineRule="exact"/>
        <w:ind w:firstLine="440" w:firstLineChars="20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采购人：楼老师</w:t>
      </w:r>
    </w:p>
    <w:p>
      <w:pPr>
        <w:snapToGrid w:val="0"/>
        <w:spacing w:line="440" w:lineRule="exact"/>
        <w:ind w:firstLine="440" w:firstLineChars="20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联系电话：</w:t>
      </w:r>
      <w:bookmarkStart w:id="4" w:name="联系电话1"/>
      <w:bookmarkEnd w:id="4"/>
      <w:r>
        <w:rPr>
          <w:rFonts w:hint="eastAsia" w:asciiTheme="minorEastAsia" w:hAnsiTheme="minorEastAsia" w:eastAsiaTheme="minorEastAsia" w:cstheme="minorEastAsia"/>
          <w:color w:val="000000"/>
          <w:kern w:val="0"/>
          <w:sz w:val="22"/>
        </w:rPr>
        <w:t>15356972992</w:t>
      </w:r>
    </w:p>
    <w:p>
      <w:pPr>
        <w:snapToGrid w:val="0"/>
        <w:spacing w:line="440" w:lineRule="exact"/>
        <w:ind w:firstLine="440"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采购代理机构：</w:t>
      </w:r>
      <w:r>
        <w:rPr>
          <w:rFonts w:hint="eastAsia" w:asciiTheme="minorEastAsia" w:hAnsiTheme="minorEastAsia" w:eastAsiaTheme="minorEastAsia" w:cstheme="minorEastAsia"/>
          <w:color w:val="000000"/>
          <w:sz w:val="22"/>
        </w:rPr>
        <w:t>金华市政府采购中心</w:t>
      </w:r>
    </w:p>
    <w:p>
      <w:pPr>
        <w:spacing w:line="360" w:lineRule="auto"/>
        <w:ind w:firstLine="48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联系人：史先生</w:t>
      </w:r>
    </w:p>
    <w:p>
      <w:pPr>
        <w:pStyle w:val="21"/>
        <w:ind w:left="0"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联系电话：0579-82257929</w:t>
      </w:r>
    </w:p>
    <w:p>
      <w:pPr>
        <w:ind w:firstLine="440" w:firstLineChars="200"/>
      </w:pPr>
      <w:r>
        <w:rPr>
          <w:rFonts w:hint="eastAsia" w:asciiTheme="minorEastAsia" w:hAnsiTheme="minorEastAsia" w:eastAsiaTheme="minorEastAsia" w:cstheme="minorEastAsia"/>
          <w:color w:val="000000"/>
          <w:sz w:val="22"/>
        </w:rPr>
        <w:t>地址：</w:t>
      </w:r>
      <w:r>
        <w:rPr>
          <w:rFonts w:hint="eastAsia" w:asciiTheme="minorEastAsia" w:hAnsiTheme="minorEastAsia" w:eastAsiaTheme="minorEastAsia" w:cstheme="minorEastAsia"/>
          <w:color w:val="000000"/>
          <w:kern w:val="0"/>
          <w:sz w:val="22"/>
        </w:rPr>
        <w:t>金华市双龙南街858号财富大厦4楼</w:t>
      </w:r>
    </w:p>
    <w:p>
      <w:pPr>
        <w:pStyle w:val="34"/>
        <w:spacing w:before="156" w:after="156"/>
        <w:ind w:firstLine="615"/>
        <w:jc w:val="left"/>
        <w:rPr>
          <w:rFonts w:cs="Arial"/>
          <w:color w:val="000000"/>
          <w:sz w:val="24"/>
          <w:szCs w:val="22"/>
        </w:rPr>
      </w:pPr>
      <w:r>
        <w:rPr>
          <w:rFonts w:hint="eastAsia" w:cs="Arial"/>
          <w:color w:val="000000"/>
          <w:sz w:val="24"/>
          <w:szCs w:val="22"/>
        </w:rPr>
        <w:t>政府采购行政监管及投诉受理部分：金华市财政局政府采购监管处；</w:t>
      </w:r>
    </w:p>
    <w:p>
      <w:pPr>
        <w:pStyle w:val="34"/>
        <w:spacing w:before="156" w:after="156"/>
        <w:ind w:firstLine="615"/>
        <w:jc w:val="left"/>
        <w:rPr>
          <w:rFonts w:cs="Arial"/>
          <w:color w:val="000000"/>
          <w:sz w:val="24"/>
          <w:szCs w:val="22"/>
        </w:rPr>
      </w:pPr>
      <w:r>
        <w:rPr>
          <w:rFonts w:hint="eastAsia" w:cs="Arial"/>
          <w:color w:val="000000"/>
          <w:sz w:val="24"/>
          <w:szCs w:val="22"/>
        </w:rPr>
        <w:t>联系人：周先生，               联系电话：0579-82468735</w:t>
      </w:r>
    </w:p>
    <w:p>
      <w:pPr>
        <w:spacing w:afterLines="100"/>
        <w:jc w:val="center"/>
        <w:outlineLvl w:val="0"/>
        <w:rPr>
          <w:rFonts w:hAnsi="宋体"/>
          <w:b/>
          <w:color w:val="000000"/>
          <w:sz w:val="36"/>
          <w:szCs w:val="36"/>
        </w:rPr>
      </w:pPr>
    </w:p>
    <w:p>
      <w:pPr>
        <w:spacing w:afterLines="100"/>
        <w:jc w:val="center"/>
        <w:outlineLvl w:val="0"/>
        <w:rPr>
          <w:rFonts w:hAnsi="宋体"/>
          <w:b/>
          <w:color w:val="000000"/>
          <w:sz w:val="36"/>
          <w:szCs w:val="36"/>
        </w:rPr>
      </w:pPr>
    </w:p>
    <w:p>
      <w:pPr>
        <w:spacing w:afterLines="100"/>
        <w:jc w:val="center"/>
        <w:outlineLvl w:val="0"/>
        <w:rPr>
          <w:rFonts w:hAnsi="宋体"/>
          <w:b/>
          <w:color w:val="000000"/>
          <w:sz w:val="36"/>
          <w:szCs w:val="36"/>
        </w:rPr>
      </w:pPr>
    </w:p>
    <w:p>
      <w:pPr>
        <w:spacing w:afterLines="100"/>
        <w:jc w:val="center"/>
        <w:outlineLvl w:val="0"/>
        <w:rPr>
          <w:rFonts w:hAnsi="宋体"/>
          <w:b/>
          <w:color w:val="000000"/>
          <w:sz w:val="36"/>
          <w:szCs w:val="36"/>
        </w:rPr>
      </w:pPr>
    </w:p>
    <w:p>
      <w:pPr>
        <w:spacing w:afterLines="100"/>
        <w:jc w:val="center"/>
        <w:outlineLvl w:val="0"/>
        <w:rPr>
          <w:rFonts w:hAnsi="宋体"/>
          <w:b/>
          <w:color w:val="000000"/>
          <w:sz w:val="36"/>
          <w:szCs w:val="36"/>
        </w:rPr>
      </w:pPr>
    </w:p>
    <w:p>
      <w:pPr>
        <w:spacing w:afterLines="100"/>
        <w:jc w:val="center"/>
        <w:outlineLvl w:val="0"/>
        <w:rPr>
          <w:rFonts w:hAnsi="宋体"/>
          <w:b/>
          <w:color w:val="000000"/>
          <w:sz w:val="36"/>
          <w:szCs w:val="36"/>
        </w:rPr>
      </w:pPr>
    </w:p>
    <w:p>
      <w:pPr>
        <w:spacing w:afterLines="100"/>
        <w:jc w:val="center"/>
        <w:outlineLvl w:val="0"/>
        <w:rPr>
          <w:rFonts w:hAnsi="宋体"/>
          <w:b/>
          <w:color w:val="000000"/>
          <w:sz w:val="36"/>
          <w:szCs w:val="36"/>
        </w:rPr>
      </w:pPr>
    </w:p>
    <w:p>
      <w:pPr>
        <w:spacing w:afterLines="100"/>
        <w:jc w:val="center"/>
        <w:outlineLvl w:val="0"/>
        <w:rPr>
          <w:rFonts w:hAnsi="宋体"/>
          <w:b/>
          <w:color w:val="000000"/>
          <w:sz w:val="36"/>
          <w:szCs w:val="36"/>
        </w:rPr>
      </w:pPr>
    </w:p>
    <w:p>
      <w:pPr>
        <w:spacing w:afterLines="100"/>
        <w:jc w:val="center"/>
        <w:outlineLvl w:val="0"/>
        <w:rPr>
          <w:rFonts w:hAnsi="宋体"/>
          <w:b/>
          <w:color w:val="000000"/>
          <w:sz w:val="36"/>
          <w:szCs w:val="36"/>
        </w:rPr>
      </w:pPr>
    </w:p>
    <w:p>
      <w:pPr>
        <w:spacing w:afterLines="100"/>
        <w:jc w:val="center"/>
        <w:outlineLvl w:val="0"/>
        <w:rPr>
          <w:rFonts w:hAnsi="宋体"/>
          <w:b/>
          <w:color w:val="000000"/>
          <w:sz w:val="36"/>
          <w:szCs w:val="36"/>
        </w:rPr>
      </w:pPr>
    </w:p>
    <w:p>
      <w:pPr>
        <w:spacing w:afterLines="100"/>
        <w:jc w:val="center"/>
        <w:outlineLvl w:val="0"/>
        <w:rPr>
          <w:rFonts w:hAnsi="宋体"/>
          <w:b/>
          <w:color w:val="000000"/>
          <w:sz w:val="36"/>
          <w:szCs w:val="36"/>
        </w:rPr>
      </w:pPr>
    </w:p>
    <w:p>
      <w:pPr>
        <w:spacing w:afterLines="100"/>
        <w:jc w:val="center"/>
        <w:outlineLvl w:val="0"/>
        <w:rPr>
          <w:rFonts w:hAnsi="宋体"/>
          <w:b/>
          <w:color w:val="000000"/>
          <w:sz w:val="36"/>
          <w:szCs w:val="36"/>
        </w:rPr>
      </w:pPr>
    </w:p>
    <w:p>
      <w:pPr>
        <w:spacing w:afterLines="100"/>
        <w:jc w:val="center"/>
        <w:outlineLvl w:val="0"/>
        <w:rPr>
          <w:rFonts w:hAnsi="宋体"/>
          <w:b/>
          <w:color w:val="000000"/>
          <w:sz w:val="36"/>
          <w:szCs w:val="36"/>
        </w:rPr>
      </w:pPr>
    </w:p>
    <w:p>
      <w:pPr>
        <w:spacing w:afterLines="100"/>
        <w:jc w:val="center"/>
        <w:outlineLvl w:val="0"/>
        <w:rPr>
          <w:rFonts w:hAnsi="宋体"/>
          <w:b/>
          <w:color w:val="000000"/>
          <w:sz w:val="36"/>
          <w:szCs w:val="36"/>
        </w:rPr>
      </w:pPr>
    </w:p>
    <w:p>
      <w:pPr>
        <w:spacing w:afterLines="100"/>
        <w:jc w:val="center"/>
        <w:outlineLvl w:val="0"/>
        <w:rPr>
          <w:rFonts w:ascii="宋体" w:hAnsi="宋体" w:cs="Arial"/>
          <w:b/>
          <w:color w:val="FF0000"/>
          <w:kern w:val="0"/>
          <w:sz w:val="24"/>
        </w:rPr>
      </w:pPr>
      <w:r>
        <w:rPr>
          <w:rFonts w:hint="eastAsia" w:hAnsi="宋体"/>
          <w:b/>
          <w:color w:val="000000"/>
          <w:sz w:val="36"/>
          <w:szCs w:val="36"/>
        </w:rPr>
        <w:t>第二章  招标需求</w:t>
      </w:r>
      <w:r>
        <w:rPr>
          <w:rFonts w:hint="eastAsia" w:ascii="宋体" w:hAnsi="宋体" w:cs="Arial"/>
          <w:b/>
          <w:color w:val="FF0000"/>
          <w:kern w:val="0"/>
          <w:sz w:val="24"/>
        </w:rPr>
        <w:t>（参数中打</w:t>
      </w:r>
      <w:r>
        <w:rPr>
          <w:rFonts w:hint="eastAsia" w:ascii="Arial" w:hAnsi="Arial" w:cs="Arial"/>
          <w:b/>
          <w:color w:val="FF0000"/>
          <w:kern w:val="0"/>
          <w:sz w:val="24"/>
        </w:rPr>
        <w:t>▲为</w:t>
      </w:r>
      <w:r>
        <w:rPr>
          <w:rFonts w:ascii="宋体" w:hAnsi="宋体" w:cs="Arial"/>
          <w:b/>
          <w:color w:val="FF0000"/>
          <w:kern w:val="0"/>
          <w:sz w:val="24"/>
        </w:rPr>
        <w:t>核心产品</w:t>
      </w:r>
      <w:r>
        <w:rPr>
          <w:rFonts w:hint="eastAsia" w:ascii="宋体" w:hAnsi="宋体" w:cs="Arial"/>
          <w:b/>
          <w:color w:val="FF0000"/>
          <w:kern w:val="0"/>
          <w:sz w:val="24"/>
        </w:rPr>
        <w:t>）</w:t>
      </w:r>
    </w:p>
    <w:p>
      <w:pPr>
        <w:pStyle w:val="24"/>
      </w:pPr>
      <w:r>
        <w:rPr>
          <w:rFonts w:hint="eastAsia"/>
        </w:rPr>
        <w:t>金华教育学院信息化建设项目招标参数</w:t>
      </w:r>
    </w:p>
    <w:p>
      <w:pPr>
        <w:pStyle w:val="24"/>
        <w:jc w:val="left"/>
      </w:pPr>
      <w:r>
        <w:rPr>
          <w:rFonts w:hint="eastAsia"/>
        </w:rPr>
        <w:t>一、服务要求：</w:t>
      </w:r>
    </w:p>
    <w:p>
      <w:pPr>
        <w:rPr>
          <w:rFonts w:ascii="宋体" w:hAnsi="宋体" w:cs="宋体"/>
          <w:sz w:val="24"/>
          <w:szCs w:val="24"/>
        </w:rPr>
      </w:pPr>
      <w:r>
        <w:rPr>
          <w:rFonts w:hint="eastAsia" w:ascii="宋体" w:hAnsi="宋体" w:cs="宋体"/>
          <w:sz w:val="24"/>
          <w:szCs w:val="24"/>
        </w:rPr>
        <w:t>（一）</w:t>
      </w:r>
      <w:r>
        <w:rPr>
          <w:rFonts w:hint="eastAsia" w:ascii="宋体" w:hAnsi="宋体" w:cs="宋体"/>
          <w:sz w:val="24"/>
          <w:szCs w:val="24"/>
        </w:rPr>
        <w:tab/>
      </w:r>
      <w:r>
        <w:rPr>
          <w:rFonts w:hint="eastAsia" w:ascii="宋体" w:hAnsi="宋体" w:cs="宋体"/>
          <w:sz w:val="24"/>
          <w:szCs w:val="24"/>
        </w:rPr>
        <w:t>建设覆盖全校园的无线网络。</w:t>
      </w:r>
    </w:p>
    <w:p>
      <w:pPr>
        <w:rPr>
          <w:rFonts w:ascii="宋体" w:hAnsi="宋体" w:cs="宋体"/>
          <w:sz w:val="24"/>
          <w:szCs w:val="24"/>
        </w:rPr>
      </w:pPr>
      <w:r>
        <w:rPr>
          <w:rFonts w:hint="eastAsia" w:ascii="宋体" w:hAnsi="宋体" w:cs="宋体"/>
          <w:sz w:val="24"/>
          <w:szCs w:val="24"/>
        </w:rPr>
        <w:t>（二）</w:t>
      </w:r>
      <w:r>
        <w:rPr>
          <w:rFonts w:hint="eastAsia" w:ascii="宋体" w:hAnsi="宋体" w:cs="宋体"/>
          <w:sz w:val="24"/>
          <w:szCs w:val="24"/>
        </w:rPr>
        <w:tab/>
      </w:r>
      <w:r>
        <w:rPr>
          <w:rFonts w:hint="eastAsia" w:ascii="宋体" w:hAnsi="宋体" w:cs="宋体"/>
          <w:sz w:val="24"/>
          <w:szCs w:val="24"/>
        </w:rPr>
        <w:t>配置网络安全等级保护二级必须的网络安全设备并通过等级保护二级测评。</w:t>
      </w:r>
    </w:p>
    <w:p>
      <w:pPr>
        <w:rPr>
          <w:rFonts w:ascii="宋体" w:hAnsi="宋体" w:cs="宋体"/>
          <w:sz w:val="24"/>
          <w:szCs w:val="24"/>
        </w:rPr>
      </w:pPr>
      <w:r>
        <w:rPr>
          <w:rFonts w:hint="eastAsia" w:ascii="宋体" w:hAnsi="宋体" w:cs="宋体"/>
          <w:sz w:val="24"/>
          <w:szCs w:val="24"/>
        </w:rPr>
        <w:t>（三）</w:t>
      </w:r>
      <w:r>
        <w:rPr>
          <w:rFonts w:hint="eastAsia" w:ascii="宋体" w:hAnsi="宋体" w:cs="宋体"/>
          <w:sz w:val="24"/>
          <w:szCs w:val="24"/>
        </w:rPr>
        <w:tab/>
      </w:r>
      <w:r>
        <w:rPr>
          <w:rFonts w:hint="eastAsia" w:ascii="宋体" w:hAnsi="宋体" w:cs="宋体"/>
          <w:sz w:val="24"/>
          <w:szCs w:val="24"/>
        </w:rPr>
        <w:t>建立金华教育学院数据中心</w:t>
      </w:r>
    </w:p>
    <w:p>
      <w:pP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建设基于钉钉的统一身份认证中心；</w:t>
      </w:r>
    </w:p>
    <w:p>
      <w:pPr>
        <w:rPr>
          <w:rFonts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建设中台功能，便于以后建设不同业务系统，可以通过中台汇聚数据，把各个系统瓶颈打通；</w:t>
      </w:r>
    </w:p>
    <w:p>
      <w:pPr>
        <w:rPr>
          <w:rFonts w:ascii="宋体" w:hAnsi="宋体" w:cs="宋体"/>
          <w:sz w:val="24"/>
          <w:szCs w:val="24"/>
        </w:rPr>
      </w:pPr>
      <w:r>
        <w:rPr>
          <w:rFonts w:hint="eastAsia" w:ascii="宋体" w:hAnsi="宋体" w:cs="宋体"/>
          <w:sz w:val="24"/>
          <w:szCs w:val="24"/>
        </w:rPr>
        <w:t>（四）</w:t>
      </w:r>
      <w:r>
        <w:rPr>
          <w:rFonts w:hint="eastAsia" w:ascii="宋体" w:hAnsi="宋体" w:cs="宋体"/>
          <w:sz w:val="24"/>
          <w:szCs w:val="24"/>
        </w:rPr>
        <w:tab/>
      </w:r>
      <w:r>
        <w:rPr>
          <w:rFonts w:hint="eastAsia" w:ascii="宋体" w:hAnsi="宋体" w:cs="宋体"/>
          <w:sz w:val="24"/>
          <w:szCs w:val="24"/>
        </w:rPr>
        <w:t>实现以下业务应用</w:t>
      </w:r>
    </w:p>
    <w:p>
      <w:pP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办公系统（OA）</w:t>
      </w:r>
    </w:p>
    <w:p>
      <w:pPr>
        <w:rPr>
          <w:rFonts w:ascii="宋体" w:hAnsi="宋体" w:cs="宋体"/>
          <w:sz w:val="24"/>
          <w:szCs w:val="24"/>
        </w:rPr>
      </w:pPr>
      <w:r>
        <w:rPr>
          <w:rFonts w:hint="eastAsia" w:ascii="宋体" w:hAnsi="宋体" w:cs="宋体"/>
          <w:sz w:val="24"/>
          <w:szCs w:val="24"/>
        </w:rPr>
        <w:t>原先学院各种办公审批都是纸质的，耗时长，效率低，希望通过本期项目，希望能够与钉钉结合，实现各种办公流程审批网络化；</w:t>
      </w:r>
    </w:p>
    <w:p>
      <w:pPr>
        <w:rPr>
          <w:rFonts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建设成教管理系统</w:t>
      </w:r>
    </w:p>
    <w:p>
      <w:pPr>
        <w:rPr>
          <w:rFonts w:ascii="宋体" w:hAnsi="宋体" w:cs="宋体"/>
          <w:sz w:val="24"/>
          <w:szCs w:val="24"/>
        </w:rPr>
      </w:pPr>
      <w:r>
        <w:rPr>
          <w:rFonts w:hint="eastAsia" w:ascii="宋体" w:hAnsi="宋体" w:cs="宋体"/>
          <w:sz w:val="24"/>
          <w:szCs w:val="24"/>
        </w:rPr>
        <w:t>我院开展的成人教育项目，希望能够结合钉钉，实现网上报名，网上管理。</w:t>
      </w:r>
    </w:p>
    <w:p>
      <w:pPr>
        <w:rPr>
          <w:rFonts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智慧学习系统</w:t>
      </w:r>
    </w:p>
    <w:p>
      <w:pPr>
        <w:rPr>
          <w:rFonts w:ascii="宋体" w:hAnsi="宋体" w:cs="宋体"/>
          <w:sz w:val="24"/>
          <w:szCs w:val="24"/>
        </w:rPr>
      </w:pPr>
      <w:r>
        <w:rPr>
          <w:rFonts w:hint="eastAsia" w:ascii="宋体" w:hAnsi="宋体" w:cs="宋体"/>
          <w:sz w:val="24"/>
          <w:szCs w:val="24"/>
        </w:rPr>
        <w:t xml:space="preserve">    成人教育项目通过网上管理之后，希望能够实现网上学习，实现整个教学内容在网上备课，整个学习过程在网上进行，并且可以进行网上考试等。</w:t>
      </w:r>
    </w:p>
    <w:p>
      <w:pPr>
        <w:rPr>
          <w:rFonts w:ascii="宋体" w:hAnsi="宋体" w:cs="宋体"/>
          <w:sz w:val="24"/>
          <w:szCs w:val="24"/>
        </w:rPr>
      </w:pPr>
      <w:r>
        <w:rPr>
          <w:rFonts w:hint="eastAsia" w:ascii="宋体" w:hAnsi="宋体" w:cs="宋体"/>
          <w:sz w:val="24"/>
          <w:szCs w:val="24"/>
        </w:rPr>
        <w:t>4.</w:t>
      </w:r>
      <w:r>
        <w:rPr>
          <w:rFonts w:hint="eastAsia" w:ascii="宋体" w:hAnsi="宋体" w:cs="宋体"/>
          <w:sz w:val="24"/>
          <w:szCs w:val="24"/>
        </w:rPr>
        <w:tab/>
      </w:r>
      <w:r>
        <w:rPr>
          <w:rFonts w:hint="eastAsia" w:ascii="宋体" w:hAnsi="宋体" w:cs="宋体"/>
          <w:sz w:val="24"/>
          <w:szCs w:val="24"/>
        </w:rPr>
        <w:t>提供智慧学习内容库</w:t>
      </w:r>
    </w:p>
    <w:p>
      <w:pPr>
        <w:rPr>
          <w:rFonts w:ascii="宋体" w:hAnsi="宋体" w:cs="宋体"/>
          <w:sz w:val="24"/>
          <w:szCs w:val="24"/>
        </w:rPr>
      </w:pPr>
      <w:r>
        <w:rPr>
          <w:rFonts w:hint="eastAsia" w:ascii="宋体" w:hAnsi="宋体" w:cs="宋体"/>
          <w:sz w:val="24"/>
          <w:szCs w:val="24"/>
        </w:rPr>
        <w:t xml:space="preserve">   要求提供智慧网上学习资料，便于老师进行网上备课，资料查找等。</w:t>
      </w:r>
    </w:p>
    <w:p>
      <w:pPr>
        <w:rPr>
          <w:rFonts w:ascii="宋体" w:hAnsi="宋体" w:cs="宋体"/>
          <w:sz w:val="24"/>
          <w:szCs w:val="24"/>
        </w:rPr>
      </w:pPr>
      <w:r>
        <w:rPr>
          <w:rFonts w:hint="eastAsia" w:ascii="宋体" w:hAnsi="宋体" w:cs="宋体"/>
          <w:sz w:val="24"/>
          <w:szCs w:val="24"/>
        </w:rPr>
        <w:t>5.</w:t>
      </w:r>
      <w:r>
        <w:rPr>
          <w:rFonts w:hint="eastAsia" w:ascii="宋体" w:hAnsi="宋体" w:cs="宋体"/>
          <w:sz w:val="24"/>
          <w:szCs w:val="24"/>
        </w:rPr>
        <w:tab/>
      </w:r>
      <w:r>
        <w:rPr>
          <w:rFonts w:hint="eastAsia" w:ascii="宋体" w:hAnsi="宋体" w:cs="宋体"/>
          <w:sz w:val="24"/>
          <w:szCs w:val="24"/>
        </w:rPr>
        <w:t>报名收费系统</w:t>
      </w:r>
    </w:p>
    <w:p>
      <w:pPr>
        <w:rPr>
          <w:rFonts w:ascii="宋体" w:hAnsi="宋体" w:cs="宋体"/>
          <w:sz w:val="24"/>
          <w:szCs w:val="24"/>
        </w:rPr>
      </w:pPr>
      <w:r>
        <w:rPr>
          <w:rFonts w:hint="eastAsia" w:ascii="宋体" w:hAnsi="宋体" w:cs="宋体"/>
          <w:sz w:val="24"/>
          <w:szCs w:val="24"/>
        </w:rPr>
        <w:t xml:space="preserve">      网上报名的学员，能够直接通过网上缴费，具有完善的收费系统。</w:t>
      </w:r>
    </w:p>
    <w:p>
      <w:pPr>
        <w:rPr>
          <w:rFonts w:ascii="宋体" w:hAnsi="宋体" w:cs="宋体"/>
          <w:sz w:val="24"/>
          <w:szCs w:val="24"/>
        </w:rPr>
      </w:pPr>
      <w:r>
        <w:rPr>
          <w:rFonts w:hint="eastAsia" w:ascii="宋体" w:hAnsi="宋体" w:cs="宋体"/>
          <w:sz w:val="24"/>
          <w:szCs w:val="24"/>
        </w:rPr>
        <w:t>6.</w:t>
      </w:r>
      <w:r>
        <w:rPr>
          <w:rFonts w:hint="eastAsia" w:ascii="宋体" w:hAnsi="宋体" w:cs="宋体"/>
          <w:sz w:val="24"/>
          <w:szCs w:val="24"/>
        </w:rPr>
        <w:tab/>
      </w:r>
      <w:r>
        <w:rPr>
          <w:rFonts w:hint="eastAsia" w:ascii="宋体" w:hAnsi="宋体" w:cs="宋体"/>
          <w:sz w:val="24"/>
          <w:szCs w:val="24"/>
        </w:rPr>
        <w:t xml:space="preserve"> 学院后续项目会重点打造学院的数字媒体资产平台，把学院多年的发展资料，教师日常办公形成的视频、图库、word、PPT、excel、音乐等各种电子文件，进行收集和保存和再利用，本期先进行小范围试点使用，以便积累经验，为后续正式建设使用，打下基础。</w:t>
      </w:r>
    </w:p>
    <w:p>
      <w:pPr>
        <w:rPr>
          <w:rFonts w:ascii="宋体" w:hAnsi="宋体" w:cs="宋体"/>
          <w:sz w:val="24"/>
          <w:szCs w:val="24"/>
        </w:rPr>
      </w:pPr>
      <w:r>
        <w:rPr>
          <w:rFonts w:hint="eastAsia" w:ascii="宋体" w:hAnsi="宋体" w:cs="宋体"/>
          <w:sz w:val="24"/>
          <w:szCs w:val="24"/>
        </w:rPr>
        <w:t>（五）</w:t>
      </w:r>
      <w:r>
        <w:rPr>
          <w:rFonts w:hint="eastAsia" w:ascii="宋体" w:hAnsi="宋体" w:cs="宋体"/>
          <w:sz w:val="24"/>
          <w:szCs w:val="24"/>
        </w:rPr>
        <w:tab/>
      </w:r>
      <w:r>
        <w:rPr>
          <w:rFonts w:hint="eastAsia" w:ascii="宋体" w:hAnsi="宋体" w:cs="宋体"/>
          <w:sz w:val="24"/>
          <w:szCs w:val="24"/>
        </w:rPr>
        <w:t>私有云部署</w:t>
      </w:r>
    </w:p>
    <w:p>
      <w:pPr>
        <w:rPr>
          <w:rFonts w:ascii="宋体" w:cs="宋体"/>
          <w:sz w:val="24"/>
          <w:szCs w:val="24"/>
        </w:rPr>
      </w:pPr>
      <w:r>
        <w:rPr>
          <w:rFonts w:hint="eastAsia" w:ascii="宋体" w:hAnsi="宋体" w:cs="宋体"/>
          <w:sz w:val="24"/>
          <w:szCs w:val="24"/>
        </w:rPr>
        <w:t>为适应未来发展，本期建设项目均采用私有云部署方式进行，既能确保我院拥有所有系统和数据的版权，保证我院数据的安全性，又能减少建设本地化机房带来的各种管理维护问题。</w:t>
      </w:r>
    </w:p>
    <w:p/>
    <w:p>
      <w:pPr>
        <w:pStyle w:val="2"/>
      </w:pPr>
    </w:p>
    <w:p>
      <w:pPr>
        <w:pStyle w:val="2"/>
      </w:pPr>
    </w:p>
    <w:p>
      <w:pPr>
        <w:pStyle w:val="2"/>
      </w:pPr>
    </w:p>
    <w:p>
      <w:pPr>
        <w:pStyle w:val="5"/>
      </w:pPr>
      <w:r>
        <w:rPr>
          <w:rFonts w:hint="eastAsia"/>
        </w:rPr>
        <w:t>标段一：无线网络及网络安全信息化</w:t>
      </w:r>
    </w:p>
    <w:p>
      <w:pPr>
        <w:pStyle w:val="24"/>
        <w:jc w:val="left"/>
      </w:pPr>
      <w:r>
        <w:rPr>
          <w:rFonts w:hint="eastAsia"/>
        </w:rPr>
        <w:t>一、设备清单</w:t>
      </w:r>
    </w:p>
    <w:tbl>
      <w:tblPr>
        <w:tblStyle w:val="27"/>
        <w:tblW w:w="8179" w:type="dxa"/>
        <w:tblInd w:w="157" w:type="dxa"/>
        <w:tblLayout w:type="autofit"/>
        <w:tblCellMar>
          <w:top w:w="0" w:type="dxa"/>
          <w:left w:w="0" w:type="dxa"/>
          <w:bottom w:w="0" w:type="dxa"/>
          <w:right w:w="0" w:type="dxa"/>
        </w:tblCellMar>
      </w:tblPr>
      <w:tblGrid>
        <w:gridCol w:w="817"/>
        <w:gridCol w:w="3719"/>
        <w:gridCol w:w="1276"/>
        <w:gridCol w:w="1276"/>
        <w:gridCol w:w="1091"/>
      </w:tblGrid>
      <w:tr>
        <w:tblPrEx>
          <w:tblCellMar>
            <w:top w:w="0" w:type="dxa"/>
            <w:left w:w="0" w:type="dxa"/>
            <w:bottom w:w="0" w:type="dxa"/>
            <w:right w:w="0" w:type="dxa"/>
          </w:tblCellMar>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b/>
                <w:color w:val="000000"/>
                <w:sz w:val="30"/>
                <w:szCs w:val="30"/>
              </w:rPr>
            </w:pPr>
            <w:r>
              <w:rPr>
                <w:rFonts w:cs="宋体"/>
                <w:b/>
                <w:color w:val="000000"/>
                <w:kern w:val="0"/>
                <w:sz w:val="30"/>
                <w:szCs w:val="30"/>
              </w:rPr>
              <w:t>序号</w:t>
            </w:r>
          </w:p>
        </w:tc>
        <w:tc>
          <w:tcPr>
            <w:tcW w:w="3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b/>
                <w:color w:val="000000"/>
                <w:sz w:val="30"/>
                <w:szCs w:val="30"/>
              </w:rPr>
            </w:pPr>
            <w:r>
              <w:rPr>
                <w:rFonts w:hint="eastAsia" w:cs="宋体"/>
                <w:b/>
                <w:color w:val="000000"/>
                <w:kern w:val="0"/>
                <w:sz w:val="30"/>
                <w:szCs w:val="30"/>
              </w:rPr>
              <w:t>设备</w:t>
            </w:r>
            <w:r>
              <w:rPr>
                <w:rFonts w:cs="宋体"/>
                <w:b/>
                <w:color w:val="000000"/>
                <w:kern w:val="0"/>
                <w:sz w:val="30"/>
                <w:szCs w:val="30"/>
              </w:rPr>
              <w:t>名称</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b/>
                <w:color w:val="000000"/>
                <w:sz w:val="30"/>
                <w:szCs w:val="30"/>
              </w:rPr>
            </w:pPr>
            <w:r>
              <w:rPr>
                <w:rFonts w:cs="宋体"/>
                <w:b/>
                <w:color w:val="000000"/>
                <w:kern w:val="0"/>
                <w:sz w:val="30"/>
                <w:szCs w:val="30"/>
              </w:rPr>
              <w:t>数量</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b/>
                <w:color w:val="000000"/>
                <w:sz w:val="30"/>
                <w:szCs w:val="30"/>
              </w:rPr>
            </w:pPr>
            <w:r>
              <w:rPr>
                <w:rFonts w:cs="宋体"/>
                <w:b/>
                <w:color w:val="000000"/>
                <w:kern w:val="0"/>
                <w:sz w:val="30"/>
                <w:szCs w:val="30"/>
              </w:rPr>
              <w:t>单位</w:t>
            </w:r>
          </w:p>
        </w:tc>
        <w:tc>
          <w:tcPr>
            <w:tcW w:w="1091"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b/>
                <w:color w:val="000000"/>
                <w:kern w:val="0"/>
                <w:sz w:val="30"/>
                <w:szCs w:val="30"/>
              </w:rPr>
            </w:pPr>
            <w:r>
              <w:rPr>
                <w:rFonts w:hint="eastAsia" w:cs="宋体"/>
                <w:b/>
                <w:color w:val="000000"/>
                <w:kern w:val="0"/>
                <w:sz w:val="30"/>
                <w:szCs w:val="30"/>
              </w:rPr>
              <w:t>备注</w:t>
            </w:r>
          </w:p>
        </w:tc>
      </w:tr>
      <w:tr>
        <w:tblPrEx>
          <w:tblCellMar>
            <w:top w:w="0" w:type="dxa"/>
            <w:left w:w="0" w:type="dxa"/>
            <w:bottom w:w="0" w:type="dxa"/>
            <w:right w:w="0" w:type="dxa"/>
          </w:tblCellMar>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1</w:t>
            </w:r>
          </w:p>
        </w:tc>
        <w:tc>
          <w:tcPr>
            <w:tcW w:w="3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ind w:firstLine="600"/>
            </w:pPr>
            <w:r>
              <w:rPr>
                <w:sz w:val="30"/>
                <w:szCs w:val="30"/>
              </w:rPr>
              <w:t>上网行为管理</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sz w:val="30"/>
                <w:szCs w:val="30"/>
              </w:rPr>
            </w:pPr>
            <w:r>
              <w:rPr>
                <w:rFonts w:cs="宋体"/>
                <w:kern w:val="0"/>
                <w:sz w:val="30"/>
                <w:szCs w:val="30"/>
              </w:rPr>
              <w:t>1</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hint="eastAsia" w:cs="宋体"/>
                <w:color w:val="000000"/>
                <w:kern w:val="0"/>
                <w:sz w:val="30"/>
                <w:szCs w:val="30"/>
              </w:rPr>
              <w:t>台</w:t>
            </w:r>
          </w:p>
        </w:tc>
        <w:tc>
          <w:tcPr>
            <w:tcW w:w="1091"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color w:val="000000"/>
                <w:kern w:val="0"/>
                <w:sz w:val="30"/>
                <w:szCs w:val="30"/>
              </w:rPr>
            </w:pPr>
          </w:p>
        </w:tc>
      </w:tr>
      <w:tr>
        <w:tblPrEx>
          <w:tblCellMar>
            <w:top w:w="0" w:type="dxa"/>
            <w:left w:w="0" w:type="dxa"/>
            <w:bottom w:w="0" w:type="dxa"/>
            <w:right w:w="0" w:type="dxa"/>
          </w:tblCellMar>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2</w:t>
            </w:r>
          </w:p>
        </w:tc>
        <w:tc>
          <w:tcPr>
            <w:tcW w:w="3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sz w:val="30"/>
                <w:szCs w:val="30"/>
              </w:rPr>
            </w:pPr>
            <w:r>
              <w:rPr>
                <w:rFonts w:hint="eastAsia" w:cs="宋体"/>
                <w:sz w:val="30"/>
                <w:szCs w:val="30"/>
              </w:rPr>
              <w:t>入侵防御</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sz w:val="30"/>
                <w:szCs w:val="30"/>
              </w:rPr>
            </w:pPr>
            <w:r>
              <w:rPr>
                <w:rFonts w:cs="宋体"/>
                <w:kern w:val="0"/>
                <w:sz w:val="30"/>
                <w:szCs w:val="30"/>
              </w:rPr>
              <w:t>1</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台</w:t>
            </w:r>
          </w:p>
        </w:tc>
        <w:tc>
          <w:tcPr>
            <w:tcW w:w="1091"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color w:val="000000"/>
                <w:kern w:val="0"/>
                <w:sz w:val="30"/>
                <w:szCs w:val="30"/>
              </w:rPr>
            </w:pPr>
          </w:p>
        </w:tc>
      </w:tr>
      <w:tr>
        <w:tblPrEx>
          <w:tblCellMar>
            <w:top w:w="0" w:type="dxa"/>
            <w:left w:w="0" w:type="dxa"/>
            <w:bottom w:w="0" w:type="dxa"/>
            <w:right w:w="0" w:type="dxa"/>
          </w:tblCellMar>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3</w:t>
            </w:r>
          </w:p>
        </w:tc>
        <w:tc>
          <w:tcPr>
            <w:tcW w:w="3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sz w:val="30"/>
                <w:szCs w:val="30"/>
              </w:rPr>
            </w:pPr>
            <w:r>
              <w:rPr>
                <w:rFonts w:hint="eastAsia" w:ascii="Arial" w:hAnsi="Arial" w:cs="Arial"/>
                <w:b/>
                <w:color w:val="FF0000"/>
                <w:kern w:val="0"/>
                <w:sz w:val="24"/>
              </w:rPr>
              <w:t>▲</w:t>
            </w:r>
            <w:r>
              <w:rPr>
                <w:rFonts w:hint="eastAsia"/>
                <w:sz w:val="30"/>
                <w:szCs w:val="30"/>
              </w:rPr>
              <w:t>防火墙（核心产品）</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sz w:val="30"/>
                <w:szCs w:val="30"/>
              </w:rPr>
            </w:pPr>
            <w:r>
              <w:rPr>
                <w:rFonts w:hint="eastAsia" w:cs="宋体"/>
                <w:kern w:val="0"/>
                <w:sz w:val="30"/>
                <w:szCs w:val="30"/>
              </w:rPr>
              <w:t>2</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hint="eastAsia" w:cs="宋体"/>
                <w:color w:val="000000"/>
                <w:kern w:val="0"/>
                <w:sz w:val="30"/>
                <w:szCs w:val="30"/>
              </w:rPr>
              <w:t>台</w:t>
            </w:r>
          </w:p>
        </w:tc>
        <w:tc>
          <w:tcPr>
            <w:tcW w:w="1091"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color w:val="000000"/>
                <w:kern w:val="0"/>
                <w:sz w:val="30"/>
                <w:szCs w:val="30"/>
              </w:rPr>
            </w:pPr>
          </w:p>
        </w:tc>
      </w:tr>
      <w:tr>
        <w:tblPrEx>
          <w:tblCellMar>
            <w:top w:w="0" w:type="dxa"/>
            <w:left w:w="0" w:type="dxa"/>
            <w:bottom w:w="0" w:type="dxa"/>
            <w:right w:w="0" w:type="dxa"/>
          </w:tblCellMar>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4</w:t>
            </w:r>
          </w:p>
        </w:tc>
        <w:tc>
          <w:tcPr>
            <w:tcW w:w="3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sz w:val="30"/>
                <w:szCs w:val="30"/>
              </w:rPr>
            </w:pPr>
            <w:r>
              <w:rPr>
                <w:sz w:val="30"/>
                <w:szCs w:val="30"/>
              </w:rPr>
              <w:t>日志审计</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sz w:val="30"/>
                <w:szCs w:val="30"/>
              </w:rPr>
            </w:pPr>
            <w:r>
              <w:rPr>
                <w:rFonts w:cs="宋体"/>
                <w:kern w:val="0"/>
                <w:sz w:val="30"/>
                <w:szCs w:val="30"/>
              </w:rPr>
              <w:t>1</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台</w:t>
            </w:r>
          </w:p>
        </w:tc>
        <w:tc>
          <w:tcPr>
            <w:tcW w:w="1091"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color w:val="000000"/>
                <w:kern w:val="0"/>
                <w:sz w:val="30"/>
                <w:szCs w:val="30"/>
              </w:rPr>
            </w:pPr>
          </w:p>
        </w:tc>
      </w:tr>
      <w:tr>
        <w:tblPrEx>
          <w:tblCellMar>
            <w:top w:w="0" w:type="dxa"/>
            <w:left w:w="0" w:type="dxa"/>
            <w:bottom w:w="0" w:type="dxa"/>
            <w:right w:w="0" w:type="dxa"/>
          </w:tblCellMar>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5</w:t>
            </w:r>
          </w:p>
        </w:tc>
        <w:tc>
          <w:tcPr>
            <w:tcW w:w="3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sz w:val="30"/>
                <w:szCs w:val="30"/>
              </w:rPr>
            </w:pPr>
            <w:r>
              <w:rPr>
                <w:sz w:val="30"/>
                <w:szCs w:val="30"/>
              </w:rPr>
              <w:t>主机安全管理系统(EDR)</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sz w:val="30"/>
                <w:szCs w:val="30"/>
              </w:rPr>
            </w:pPr>
            <w:r>
              <w:rPr>
                <w:rFonts w:cs="宋体"/>
                <w:kern w:val="0"/>
                <w:sz w:val="30"/>
                <w:szCs w:val="30"/>
              </w:rPr>
              <w:t>1</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hint="eastAsia" w:cs="宋体"/>
                <w:color w:val="000000"/>
                <w:kern w:val="0"/>
                <w:sz w:val="30"/>
                <w:szCs w:val="30"/>
              </w:rPr>
              <w:t>套</w:t>
            </w:r>
          </w:p>
        </w:tc>
        <w:tc>
          <w:tcPr>
            <w:tcW w:w="1091"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color w:val="000000"/>
                <w:kern w:val="0"/>
                <w:sz w:val="30"/>
                <w:szCs w:val="30"/>
              </w:rPr>
            </w:pPr>
          </w:p>
        </w:tc>
      </w:tr>
      <w:tr>
        <w:tblPrEx>
          <w:tblCellMar>
            <w:top w:w="0" w:type="dxa"/>
            <w:left w:w="0" w:type="dxa"/>
            <w:bottom w:w="0" w:type="dxa"/>
            <w:right w:w="0" w:type="dxa"/>
          </w:tblCellMar>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6</w:t>
            </w:r>
          </w:p>
        </w:tc>
        <w:tc>
          <w:tcPr>
            <w:tcW w:w="3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sz w:val="30"/>
                <w:szCs w:val="30"/>
              </w:rPr>
            </w:pPr>
            <w:r>
              <w:rPr>
                <w:sz w:val="30"/>
                <w:szCs w:val="30"/>
              </w:rPr>
              <w:t>等级保护测评要求</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sz w:val="30"/>
                <w:szCs w:val="30"/>
              </w:rPr>
            </w:pPr>
            <w:r>
              <w:rPr>
                <w:rFonts w:cs="宋体"/>
                <w:kern w:val="0"/>
                <w:sz w:val="30"/>
                <w:szCs w:val="30"/>
              </w:rPr>
              <w:t>1</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hint="eastAsia" w:cs="宋体"/>
                <w:color w:val="000000"/>
                <w:kern w:val="0"/>
                <w:sz w:val="30"/>
                <w:szCs w:val="30"/>
              </w:rPr>
              <w:t>次</w:t>
            </w:r>
          </w:p>
        </w:tc>
        <w:tc>
          <w:tcPr>
            <w:tcW w:w="1091"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color w:val="000000"/>
                <w:kern w:val="0"/>
                <w:sz w:val="30"/>
                <w:szCs w:val="30"/>
              </w:rPr>
            </w:pPr>
          </w:p>
        </w:tc>
      </w:tr>
      <w:tr>
        <w:tblPrEx>
          <w:tblCellMar>
            <w:top w:w="0" w:type="dxa"/>
            <w:left w:w="0" w:type="dxa"/>
            <w:bottom w:w="0" w:type="dxa"/>
            <w:right w:w="0" w:type="dxa"/>
          </w:tblCellMar>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7</w:t>
            </w:r>
          </w:p>
        </w:tc>
        <w:tc>
          <w:tcPr>
            <w:tcW w:w="3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sz w:val="30"/>
                <w:szCs w:val="30"/>
              </w:rPr>
              <w:t>无线控制器</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1</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个</w:t>
            </w:r>
          </w:p>
        </w:tc>
        <w:tc>
          <w:tcPr>
            <w:tcW w:w="1091"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color w:val="000000"/>
                <w:kern w:val="0"/>
                <w:sz w:val="30"/>
                <w:szCs w:val="30"/>
              </w:rPr>
            </w:pPr>
          </w:p>
        </w:tc>
      </w:tr>
      <w:tr>
        <w:tblPrEx>
          <w:tblCellMar>
            <w:top w:w="0" w:type="dxa"/>
            <w:left w:w="0" w:type="dxa"/>
            <w:bottom w:w="0" w:type="dxa"/>
            <w:right w:w="0" w:type="dxa"/>
          </w:tblCellMar>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8</w:t>
            </w:r>
          </w:p>
        </w:tc>
        <w:tc>
          <w:tcPr>
            <w:tcW w:w="3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sz w:val="30"/>
                <w:szCs w:val="30"/>
              </w:rPr>
              <w:t>放装AP</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2</w:t>
            </w:r>
            <w:r>
              <w:rPr>
                <w:rFonts w:hint="eastAsia" w:cs="宋体"/>
                <w:color w:val="000000"/>
                <w:kern w:val="0"/>
                <w:sz w:val="30"/>
                <w:szCs w:val="30"/>
              </w:rPr>
              <w:t>8</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个</w:t>
            </w:r>
          </w:p>
        </w:tc>
        <w:tc>
          <w:tcPr>
            <w:tcW w:w="1091"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color w:val="000000"/>
                <w:kern w:val="0"/>
                <w:sz w:val="30"/>
                <w:szCs w:val="30"/>
              </w:rPr>
            </w:pPr>
          </w:p>
        </w:tc>
      </w:tr>
      <w:tr>
        <w:tblPrEx>
          <w:tblCellMar>
            <w:top w:w="0" w:type="dxa"/>
            <w:left w:w="0" w:type="dxa"/>
            <w:bottom w:w="0" w:type="dxa"/>
            <w:right w:w="0" w:type="dxa"/>
          </w:tblCellMar>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9</w:t>
            </w:r>
          </w:p>
        </w:tc>
        <w:tc>
          <w:tcPr>
            <w:tcW w:w="3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sz w:val="30"/>
                <w:szCs w:val="30"/>
              </w:rPr>
              <w:t>高密AP</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hint="eastAsia" w:cs="宋体"/>
                <w:color w:val="000000"/>
                <w:kern w:val="0"/>
                <w:sz w:val="30"/>
                <w:szCs w:val="30"/>
              </w:rPr>
              <w:t>29</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个</w:t>
            </w:r>
          </w:p>
        </w:tc>
        <w:tc>
          <w:tcPr>
            <w:tcW w:w="1091"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color w:val="000000"/>
                <w:kern w:val="0"/>
                <w:sz w:val="30"/>
                <w:szCs w:val="30"/>
              </w:rPr>
            </w:pPr>
          </w:p>
        </w:tc>
      </w:tr>
      <w:tr>
        <w:tblPrEx>
          <w:tblCellMar>
            <w:top w:w="0" w:type="dxa"/>
            <w:left w:w="0" w:type="dxa"/>
            <w:bottom w:w="0" w:type="dxa"/>
            <w:right w:w="0" w:type="dxa"/>
          </w:tblCellMar>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1</w:t>
            </w:r>
            <w:r>
              <w:rPr>
                <w:rFonts w:hint="eastAsia" w:cs="宋体"/>
                <w:color w:val="000000"/>
                <w:kern w:val="0"/>
                <w:sz w:val="30"/>
                <w:szCs w:val="30"/>
              </w:rPr>
              <w:t>0</w:t>
            </w:r>
          </w:p>
        </w:tc>
        <w:tc>
          <w:tcPr>
            <w:tcW w:w="3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sz w:val="30"/>
                <w:szCs w:val="30"/>
              </w:rPr>
              <w:t>室外AP</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hint="eastAsia" w:cs="宋体"/>
                <w:color w:val="000000"/>
                <w:kern w:val="0"/>
                <w:sz w:val="30"/>
                <w:szCs w:val="30"/>
              </w:rPr>
              <w:t>7</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个</w:t>
            </w:r>
          </w:p>
        </w:tc>
        <w:tc>
          <w:tcPr>
            <w:tcW w:w="1091"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color w:val="000000"/>
                <w:kern w:val="0"/>
                <w:sz w:val="30"/>
                <w:szCs w:val="30"/>
              </w:rPr>
            </w:pPr>
          </w:p>
        </w:tc>
      </w:tr>
      <w:tr>
        <w:tblPrEx>
          <w:tblCellMar>
            <w:top w:w="0" w:type="dxa"/>
            <w:left w:w="0" w:type="dxa"/>
            <w:bottom w:w="0" w:type="dxa"/>
            <w:right w:w="0" w:type="dxa"/>
          </w:tblCellMar>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1</w:t>
            </w:r>
            <w:r>
              <w:rPr>
                <w:rFonts w:hint="eastAsia" w:cs="宋体"/>
                <w:color w:val="000000"/>
                <w:kern w:val="0"/>
                <w:sz w:val="30"/>
                <w:szCs w:val="30"/>
              </w:rPr>
              <w:t>1</w:t>
            </w:r>
          </w:p>
        </w:tc>
        <w:tc>
          <w:tcPr>
            <w:tcW w:w="3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sz w:val="30"/>
                <w:szCs w:val="30"/>
              </w:rPr>
              <w:t>中心AP</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hint="eastAsia" w:cs="宋体"/>
                <w:color w:val="000000"/>
                <w:kern w:val="0"/>
                <w:sz w:val="30"/>
                <w:szCs w:val="30"/>
              </w:rPr>
              <w:t>3</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个</w:t>
            </w:r>
          </w:p>
        </w:tc>
        <w:tc>
          <w:tcPr>
            <w:tcW w:w="1091"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color w:val="000000"/>
                <w:kern w:val="0"/>
                <w:sz w:val="30"/>
                <w:szCs w:val="30"/>
              </w:rPr>
            </w:pPr>
          </w:p>
        </w:tc>
      </w:tr>
      <w:tr>
        <w:tblPrEx>
          <w:tblCellMar>
            <w:top w:w="0" w:type="dxa"/>
            <w:left w:w="0" w:type="dxa"/>
            <w:bottom w:w="0" w:type="dxa"/>
            <w:right w:w="0" w:type="dxa"/>
          </w:tblCellMar>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1</w:t>
            </w:r>
            <w:r>
              <w:rPr>
                <w:rFonts w:hint="eastAsia" w:cs="宋体"/>
                <w:color w:val="000000"/>
                <w:kern w:val="0"/>
                <w:sz w:val="30"/>
                <w:szCs w:val="30"/>
              </w:rPr>
              <w:t>2</w:t>
            </w:r>
          </w:p>
        </w:tc>
        <w:tc>
          <w:tcPr>
            <w:tcW w:w="3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sz w:val="30"/>
                <w:szCs w:val="30"/>
              </w:rPr>
              <w:t>远端放装AP</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hint="eastAsia" w:cs="宋体"/>
                <w:color w:val="000000"/>
                <w:kern w:val="0"/>
                <w:sz w:val="30"/>
                <w:szCs w:val="30"/>
              </w:rPr>
              <w:t>71</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个</w:t>
            </w:r>
          </w:p>
        </w:tc>
        <w:tc>
          <w:tcPr>
            <w:tcW w:w="1091"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color w:val="000000"/>
                <w:kern w:val="0"/>
                <w:sz w:val="30"/>
                <w:szCs w:val="30"/>
              </w:rPr>
            </w:pPr>
          </w:p>
        </w:tc>
      </w:tr>
      <w:tr>
        <w:tblPrEx>
          <w:tblCellMar>
            <w:top w:w="0" w:type="dxa"/>
            <w:left w:w="0" w:type="dxa"/>
            <w:bottom w:w="0" w:type="dxa"/>
            <w:right w:w="0" w:type="dxa"/>
          </w:tblCellMar>
        </w:tblPrEx>
        <w:trPr>
          <w:trHeight w:val="440" w:hRule="atLeast"/>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1</w:t>
            </w:r>
            <w:r>
              <w:rPr>
                <w:rFonts w:hint="eastAsia" w:cs="宋体"/>
                <w:color w:val="000000"/>
                <w:kern w:val="0"/>
                <w:sz w:val="30"/>
                <w:szCs w:val="30"/>
              </w:rPr>
              <w:t>3</w:t>
            </w:r>
          </w:p>
        </w:tc>
        <w:tc>
          <w:tcPr>
            <w:tcW w:w="3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color w:val="000000"/>
                <w:sz w:val="30"/>
                <w:szCs w:val="30"/>
              </w:rPr>
            </w:pPr>
            <w:r>
              <w:rPr>
                <w:sz w:val="30"/>
                <w:szCs w:val="30"/>
              </w:rPr>
              <w:t>24口POE交换机</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1</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台</w:t>
            </w:r>
          </w:p>
        </w:tc>
        <w:tc>
          <w:tcPr>
            <w:tcW w:w="1091"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color w:val="000000"/>
                <w:kern w:val="0"/>
                <w:sz w:val="30"/>
                <w:szCs w:val="30"/>
              </w:rPr>
            </w:pPr>
          </w:p>
        </w:tc>
      </w:tr>
      <w:tr>
        <w:tblPrEx>
          <w:tblCellMar>
            <w:top w:w="0" w:type="dxa"/>
            <w:left w:w="0" w:type="dxa"/>
            <w:bottom w:w="0" w:type="dxa"/>
            <w:right w:w="0" w:type="dxa"/>
          </w:tblCellMar>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1</w:t>
            </w:r>
            <w:r>
              <w:rPr>
                <w:rFonts w:hint="eastAsia" w:cs="宋体"/>
                <w:color w:val="000000"/>
                <w:kern w:val="0"/>
                <w:sz w:val="30"/>
                <w:szCs w:val="30"/>
              </w:rPr>
              <w:t>4</w:t>
            </w:r>
          </w:p>
        </w:tc>
        <w:tc>
          <w:tcPr>
            <w:tcW w:w="3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color w:val="000000"/>
                <w:sz w:val="30"/>
                <w:szCs w:val="30"/>
              </w:rPr>
            </w:pPr>
            <w:r>
              <w:rPr>
                <w:sz w:val="30"/>
                <w:szCs w:val="30"/>
              </w:rPr>
              <w:t>16口POE交换机</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hint="eastAsia" w:cs="宋体"/>
                <w:color w:val="000000"/>
                <w:kern w:val="0"/>
                <w:sz w:val="30"/>
                <w:szCs w:val="30"/>
              </w:rPr>
              <w:t>4</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台</w:t>
            </w:r>
          </w:p>
        </w:tc>
        <w:tc>
          <w:tcPr>
            <w:tcW w:w="1091"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color w:val="000000"/>
                <w:kern w:val="0"/>
                <w:sz w:val="30"/>
                <w:szCs w:val="30"/>
              </w:rPr>
            </w:pPr>
          </w:p>
        </w:tc>
      </w:tr>
      <w:tr>
        <w:tblPrEx>
          <w:tblCellMar>
            <w:top w:w="0" w:type="dxa"/>
            <w:left w:w="0" w:type="dxa"/>
            <w:bottom w:w="0" w:type="dxa"/>
            <w:right w:w="0" w:type="dxa"/>
          </w:tblCellMar>
        </w:tblPrEx>
        <w:trPr>
          <w:trHeight w:val="400" w:hRule="atLeast"/>
        </w:trPr>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1</w:t>
            </w:r>
            <w:r>
              <w:rPr>
                <w:rFonts w:hint="eastAsia" w:cs="宋体"/>
                <w:color w:val="000000"/>
                <w:kern w:val="0"/>
                <w:sz w:val="30"/>
                <w:szCs w:val="30"/>
              </w:rPr>
              <w:t>5</w:t>
            </w:r>
          </w:p>
        </w:tc>
        <w:tc>
          <w:tcPr>
            <w:tcW w:w="3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color w:val="000000"/>
                <w:sz w:val="30"/>
                <w:szCs w:val="30"/>
              </w:rPr>
            </w:pPr>
            <w:r>
              <w:rPr>
                <w:sz w:val="30"/>
                <w:szCs w:val="30"/>
              </w:rPr>
              <w:t>8口POE交换机</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hint="eastAsia" w:cs="宋体"/>
                <w:color w:val="000000"/>
                <w:kern w:val="0"/>
                <w:sz w:val="30"/>
                <w:szCs w:val="30"/>
              </w:rPr>
              <w:t>3</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color w:val="000000"/>
                <w:sz w:val="30"/>
                <w:szCs w:val="30"/>
              </w:rPr>
            </w:pPr>
            <w:r>
              <w:rPr>
                <w:rFonts w:cs="宋体"/>
                <w:color w:val="000000"/>
                <w:kern w:val="0"/>
                <w:sz w:val="30"/>
                <w:szCs w:val="30"/>
              </w:rPr>
              <w:t>台</w:t>
            </w:r>
          </w:p>
        </w:tc>
        <w:tc>
          <w:tcPr>
            <w:tcW w:w="1091"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宋体"/>
                <w:color w:val="000000"/>
                <w:kern w:val="0"/>
                <w:sz w:val="30"/>
                <w:szCs w:val="30"/>
              </w:rPr>
            </w:pPr>
          </w:p>
        </w:tc>
      </w:tr>
    </w:tbl>
    <w:p>
      <w:pPr>
        <w:pStyle w:val="24"/>
        <w:jc w:val="left"/>
      </w:pPr>
      <w:r>
        <w:rPr>
          <w:rFonts w:hint="eastAsia"/>
        </w:rPr>
        <w:t>二、技术参数</w:t>
      </w:r>
    </w:p>
    <w:p>
      <w:pPr>
        <w:rPr>
          <w:rFonts w:ascii="Arial" w:hAnsi="Arial" w:cs="Arial"/>
        </w:rPr>
      </w:pPr>
      <w:r>
        <w:rPr>
          <w:rFonts w:hint="eastAsia" w:ascii="Arial" w:hAnsi="Arial" w:cs="Arial"/>
        </w:rPr>
        <w:t>说明：技术指标中标注为</w:t>
      </w:r>
      <w:r>
        <w:rPr>
          <w:rFonts w:ascii="Arial" w:hAnsi="Arial" w:cs="Arial"/>
        </w:rPr>
        <w:t>“</w:t>
      </w:r>
      <w:r>
        <w:rPr>
          <w:rFonts w:ascii="Segoe UI Symbol" w:hAnsi="Segoe UI Symbol" w:cs="Segoe UI Symbol"/>
          <w:kern w:val="0"/>
          <w:szCs w:val="21"/>
        </w:rPr>
        <w:t>★</w:t>
      </w:r>
      <w:r>
        <w:rPr>
          <w:rFonts w:ascii="Arial" w:hAnsi="Arial" w:cs="Arial"/>
        </w:rPr>
        <w:t>”</w:t>
      </w:r>
      <w:r>
        <w:rPr>
          <w:rFonts w:hint="eastAsia" w:ascii="Arial" w:hAnsi="Arial" w:cs="Arial"/>
        </w:rPr>
        <w:t>的为关键指标，投标产品必须满足，否则以无效标处理。</w:t>
      </w:r>
    </w:p>
    <w:p>
      <w:pPr>
        <w:pStyle w:val="5"/>
        <w:numPr>
          <w:ilvl w:val="0"/>
          <w:numId w:val="3"/>
        </w:numPr>
        <w:spacing w:before="0" w:after="0" w:line="413" w:lineRule="auto"/>
      </w:pPr>
      <w:r>
        <w:rPr>
          <w:rFonts w:hint="eastAsia"/>
        </w:rPr>
        <w:t>上网行为管理</w:t>
      </w:r>
    </w:p>
    <w:tbl>
      <w:tblPr>
        <w:tblStyle w:val="27"/>
        <w:tblW w:w="9923" w:type="dxa"/>
        <w:tblInd w:w="-62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276"/>
        <w:gridCol w:w="1560"/>
        <w:gridCol w:w="708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70" w:hRule="atLeast"/>
        </w:trPr>
        <w:tc>
          <w:tcPr>
            <w:tcW w:w="1276"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pPr>
              <w:pStyle w:val="76"/>
              <w:widowControl/>
              <w:jc w:val="center"/>
              <w:rPr>
                <w:rFonts w:eastAsia="宋体"/>
              </w:rPr>
            </w:pPr>
            <w:r>
              <w:rPr>
                <w:rFonts w:eastAsia="宋体" w:cs="微软雅黑"/>
                <w:lang w:val="zh-TW" w:eastAsia="zh-TW"/>
              </w:rPr>
              <w:t>项目</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widowControl/>
              <w:jc w:val="center"/>
              <w:rPr>
                <w:rFonts w:eastAsia="宋体"/>
              </w:rPr>
            </w:pPr>
            <w:r>
              <w:rPr>
                <w:rFonts w:hint="eastAsia" w:eastAsia="宋体" w:cs="微软雅黑"/>
                <w:lang w:val="zh-TW" w:eastAsia="zh-TW"/>
              </w:rPr>
              <w:t>功能项</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widowControl/>
              <w:jc w:val="center"/>
              <w:rPr>
                <w:rFonts w:eastAsia="宋体"/>
              </w:rPr>
            </w:pPr>
            <w:r>
              <w:rPr>
                <w:rFonts w:eastAsia="宋体" w:cs="微软雅黑"/>
                <w:lang w:val="zh-TW" w:eastAsia="zh-TW"/>
              </w:rPr>
              <w:t>功能要求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5" w:hRule="atLeast"/>
        </w:trPr>
        <w:tc>
          <w:tcPr>
            <w:tcW w:w="1276"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微软雅黑"/>
                <w:szCs w:val="21"/>
                <w:lang w:val="zh-TW" w:eastAsia="zh-TW"/>
              </w:rPr>
            </w:pPr>
            <w:r>
              <w:rPr>
                <w:rFonts w:hint="eastAsia" w:cs="微软雅黑"/>
                <w:szCs w:val="21"/>
                <w:lang w:val="zh-TW" w:eastAsia="zh-TW"/>
              </w:rPr>
              <w:t>硬件要求</w:t>
            </w:r>
          </w:p>
        </w:tc>
        <w:tc>
          <w:tcPr>
            <w:tcW w:w="156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hint="eastAsia" w:eastAsia="宋体" w:cs="微软雅黑"/>
                <w:lang w:val="zh-TW" w:eastAsia="zh-TW"/>
              </w:rPr>
              <w:t>硬件要求</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cs="微软雅黑"/>
                <w:lang w:val="zh-TW" w:eastAsia="zh-TW"/>
              </w:rPr>
            </w:pPr>
            <w:r>
              <w:rPr>
                <w:rFonts w:hint="eastAsia" w:eastAsia="宋体" w:cs="微软雅黑"/>
                <w:lang w:val="zh-TW" w:eastAsia="zh-TW"/>
              </w:rPr>
              <w:t>标准1</w:t>
            </w:r>
            <w:r>
              <w:rPr>
                <w:rFonts w:eastAsia="宋体" w:cs="微软雅黑"/>
                <w:lang w:val="zh-TW" w:eastAsia="zh-TW"/>
              </w:rPr>
              <w:t>U</w:t>
            </w:r>
            <w:r>
              <w:rPr>
                <w:rFonts w:hint="eastAsia" w:eastAsia="宋体" w:cs="微软雅黑"/>
                <w:lang w:val="zh-TW" w:eastAsia="zh-TW"/>
              </w:rPr>
              <w:t>设备，千兆电口≥4个，千兆光口≥4个，</w:t>
            </w:r>
            <w:r>
              <w:rPr>
                <w:rFonts w:eastAsia="宋体" w:cs="微软雅黑"/>
                <w:lang w:val="zh-TW" w:eastAsia="zh-TW"/>
              </w:rPr>
              <w:t>USB</w:t>
            </w:r>
            <w:r>
              <w:rPr>
                <w:rFonts w:hint="eastAsia" w:eastAsia="宋体" w:cs="微软雅黑"/>
                <w:lang w:val="zh-TW" w:eastAsia="zh-TW"/>
              </w:rPr>
              <w:t>口≥2个</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07" w:hRule="atLeast"/>
        </w:trPr>
        <w:tc>
          <w:tcPr>
            <w:tcW w:w="1276"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微软雅黑"/>
                <w:szCs w:val="21"/>
                <w:lang w:val="zh-TW" w:eastAsia="zh-TW"/>
              </w:rPr>
            </w:pPr>
            <w:r>
              <w:rPr>
                <w:rFonts w:hint="eastAsia" w:cs="宋体"/>
                <w:color w:val="000000"/>
                <w:kern w:val="0"/>
                <w:szCs w:val="21"/>
              </w:rPr>
              <w:t>性能要求</w:t>
            </w:r>
          </w:p>
        </w:tc>
        <w:tc>
          <w:tcPr>
            <w:tcW w:w="156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hint="eastAsia" w:eastAsia="宋体" w:cs="微软雅黑"/>
                <w:lang w:val="zh-TW" w:eastAsia="zh-TW"/>
              </w:rPr>
              <w:t>性能要求</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cs="微软雅黑"/>
                <w:lang w:val="zh-TW" w:eastAsia="zh-TW"/>
              </w:rPr>
            </w:pPr>
            <w:r>
              <w:rPr>
                <w:rFonts w:hint="eastAsia" w:eastAsia="宋体" w:cs="微软雅黑"/>
                <w:lang w:val="zh-TW" w:eastAsia="zh-TW"/>
              </w:rPr>
              <w:t>网络吞吐量≥1.2</w:t>
            </w:r>
            <w:r>
              <w:rPr>
                <w:rFonts w:eastAsia="宋体" w:cs="微软雅黑"/>
                <w:lang w:val="zh-TW" w:eastAsia="zh-TW"/>
              </w:rPr>
              <w:t>Gb</w:t>
            </w:r>
            <w:r>
              <w:rPr>
                <w:rFonts w:hint="eastAsia" w:eastAsia="宋体" w:cs="微软雅黑"/>
                <w:lang w:val="zh-TW" w:eastAsia="zh-TW"/>
              </w:rPr>
              <w:t>，支持用户数≥2500，每秒新建连接数≥8000，最大并发连接数≥40万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95" w:hRule="atLeast"/>
        </w:trPr>
        <w:tc>
          <w:tcPr>
            <w:tcW w:w="1276" w:type="dxa"/>
            <w:vMerge w:val="restart"/>
            <w:tcBorders>
              <w:top w:val="single" w:color="auto" w:sz="4" w:space="0"/>
              <w:left w:val="single" w:color="auto" w:sz="4" w:space="0"/>
              <w:bottom w:val="single" w:color="auto" w:sz="4" w:space="0"/>
              <w:right w:val="single" w:color="auto" w:sz="4" w:space="0"/>
            </w:tcBorders>
            <w:shd w:val="clear" w:color="auto" w:fill="auto"/>
          </w:tcPr>
          <w:p>
            <w:pPr>
              <w:jc w:val="center"/>
              <w:rPr>
                <w:rFonts w:cs="微软雅黑"/>
                <w:szCs w:val="21"/>
                <w:lang w:val="zh-TW" w:eastAsia="zh-TW"/>
              </w:rPr>
            </w:pPr>
            <w:r>
              <w:rPr>
                <w:rFonts w:cs="微软雅黑"/>
                <w:kern w:val="0"/>
                <w:szCs w:val="21"/>
                <w:lang w:val="zh-TW" w:eastAsia="zh-TW"/>
              </w:rPr>
              <w:t>实时监控</w:t>
            </w:r>
          </w:p>
        </w:tc>
        <w:tc>
          <w:tcPr>
            <w:tcW w:w="156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eastAsia="宋体" w:cs="微软雅黑"/>
                <w:lang w:val="zh-TW" w:eastAsia="zh-TW"/>
              </w:rPr>
              <w:t>首页可视化分析展示</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cs="微软雅黑"/>
                <w:lang w:val="zh-TW" w:eastAsia="zh-TW"/>
              </w:rPr>
            </w:pPr>
            <w:r>
              <w:rPr>
                <w:rFonts w:eastAsia="宋体" w:cs="微软雅黑"/>
                <w:kern w:val="0"/>
                <w:lang w:val="zh-TW" w:eastAsia="zh-TW"/>
              </w:rPr>
              <w:t>支持首页分析显示接入用户人数、终端类型、认证方式；带宽质量分析、实时流量排名；泄密风险、违规访问、共享上网等行为风险情况；</w:t>
            </w:r>
            <w:r>
              <w:rPr>
                <w:rFonts w:hint="eastAsia" w:eastAsia="宋体" w:cs="微软雅黑"/>
                <w:lang w:val="zh-TW" w:eastAsia="zh-TW"/>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95" w:hRule="atLeast"/>
        </w:trPr>
        <w:tc>
          <w:tcPr>
            <w:tcW w:w="1276" w:type="dxa"/>
            <w:vMerge w:val="continue"/>
            <w:tcBorders>
              <w:left w:val="single" w:color="auto" w:sz="4" w:space="0"/>
              <w:bottom w:val="single" w:color="auto" w:sz="4" w:space="0"/>
              <w:right w:val="single" w:color="auto" w:sz="4" w:space="0"/>
            </w:tcBorders>
            <w:shd w:val="clear" w:color="auto" w:fill="auto"/>
          </w:tcPr>
          <w:p>
            <w:pPr>
              <w:jc w:val="center"/>
              <w:rPr>
                <w:szCs w:val="21"/>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eastAsia="宋体" w:cs="微软雅黑"/>
                <w:lang w:val="zh-TW" w:eastAsia="zh-TW"/>
              </w:rPr>
              <w:t>Web访问质量检测</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numPr>
                <w:ilvl w:val="0"/>
                <w:numId w:val="4"/>
              </w:numPr>
              <w:rPr>
                <w:rFonts w:eastAsia="宋体" w:cs="微软雅黑"/>
                <w:lang w:val="zh-TW" w:eastAsia="zh-TW"/>
              </w:rPr>
            </w:pPr>
            <w:r>
              <w:rPr>
                <w:rFonts w:eastAsia="宋体" w:cs="微软雅黑"/>
                <w:lang w:val="zh-TW" w:eastAsia="zh-TW"/>
              </w:rPr>
              <w:t>针对内网用户的web访问质量进行检测，对整体网络提供清晰的整体网络质量评级</w:t>
            </w:r>
          </w:p>
          <w:p>
            <w:pPr>
              <w:pStyle w:val="76"/>
              <w:numPr>
                <w:ilvl w:val="0"/>
                <w:numId w:val="4"/>
              </w:numPr>
              <w:rPr>
                <w:rFonts w:eastAsia="宋体" w:cs="微软雅黑"/>
                <w:lang w:val="zh-TW" w:eastAsia="zh-TW"/>
              </w:rPr>
            </w:pPr>
            <w:r>
              <w:rPr>
                <w:rFonts w:eastAsia="宋体" w:cs="微软雅黑"/>
                <w:lang w:val="zh-TW" w:eastAsia="zh-TW"/>
              </w:rPr>
              <w:t>支持以列表形式展示访问质量差的用户名单</w:t>
            </w:r>
          </w:p>
          <w:p>
            <w:pPr>
              <w:pStyle w:val="76"/>
              <w:numPr>
                <w:ilvl w:val="0"/>
                <w:numId w:val="4"/>
              </w:numPr>
              <w:rPr>
                <w:rFonts w:eastAsia="宋体" w:cs="微软雅黑"/>
                <w:kern w:val="0"/>
                <w:lang w:val="zh-TW" w:eastAsia="zh-TW"/>
              </w:rPr>
            </w:pPr>
            <w:r>
              <w:rPr>
                <w:rFonts w:eastAsia="宋体" w:cs="微软雅黑"/>
                <w:lang w:val="zh-TW" w:eastAsia="zh-TW"/>
              </w:rPr>
              <w:t>支持对单用户进行定向web访问质量检测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70" w:hRule="atLeast"/>
        </w:trPr>
        <w:tc>
          <w:tcPr>
            <w:tcW w:w="1276" w:type="dxa"/>
            <w:vMerge w:val="restart"/>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pPr>
              <w:pStyle w:val="76"/>
              <w:jc w:val="center"/>
              <w:rPr>
                <w:rFonts w:eastAsia="宋体"/>
              </w:rPr>
            </w:pPr>
            <w:r>
              <w:rPr>
                <w:rFonts w:eastAsia="宋体" w:cs="微软雅黑"/>
                <w:lang w:val="zh-TW" w:eastAsia="zh-TW"/>
              </w:rPr>
              <w:t>用户管理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rPr>
            </w:pPr>
            <w:r>
              <w:rPr>
                <w:rFonts w:eastAsia="宋体" w:cs="微软雅黑"/>
                <w:lang w:val="zh-TW" w:eastAsia="zh-TW"/>
              </w:rPr>
              <w:t>本地认证</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rPr>
            </w:pPr>
            <w:r>
              <w:rPr>
                <w:rFonts w:eastAsia="宋体" w:cs="微软雅黑"/>
                <w:lang w:val="zh-TW" w:eastAsia="zh-TW"/>
              </w:rPr>
              <w:t>支持触发式</w:t>
            </w:r>
            <w:r>
              <w:rPr>
                <w:rFonts w:eastAsia="宋体" w:cs="微软雅黑"/>
              </w:rPr>
              <w:t>WEB</w:t>
            </w:r>
            <w:r>
              <w:rPr>
                <w:rFonts w:eastAsia="宋体" w:cs="微软雅黑"/>
                <w:lang w:val="zh-TW" w:eastAsia="zh-TW"/>
              </w:rPr>
              <w:t xml:space="preserve">认证，静态用户名密码认证等；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0" w:hRule="atLeast"/>
        </w:trPr>
        <w:tc>
          <w:tcPr>
            <w:tcW w:w="1276" w:type="dxa"/>
            <w:vMerge w:val="continue"/>
            <w:tcBorders>
              <w:left w:val="single" w:color="000000" w:sz="4" w:space="0"/>
              <w:bottom w:val="single" w:color="auto" w:sz="4" w:space="0"/>
              <w:right w:val="single" w:color="000000" w:sz="4" w:space="0"/>
            </w:tcBorders>
            <w:shd w:val="clear" w:color="auto" w:fill="auto"/>
          </w:tcPr>
          <w:p>
            <w:pPr>
              <w:jc w:val="center"/>
              <w:rPr>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eastAsia="宋体" w:cs="微软雅黑"/>
                <w:lang w:val="zh-TW" w:eastAsia="zh-TW"/>
              </w:rPr>
              <w:t>二维码认证</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cs="微软雅黑"/>
                <w:lang w:val="zh-TW" w:eastAsia="zh-TW"/>
              </w:rPr>
            </w:pPr>
            <w:r>
              <w:rPr>
                <w:rFonts w:eastAsia="宋体" w:cs="微软雅黑"/>
                <w:lang w:val="zh-TW" w:eastAsia="zh-TW"/>
              </w:rPr>
              <w:t>支持二维码认证，</w:t>
            </w:r>
            <w:r>
              <w:rPr>
                <w:rFonts w:hint="eastAsia" w:eastAsia="宋体" w:cs="微软雅黑"/>
                <w:lang w:val="zh-TW" w:eastAsia="zh-TW"/>
              </w:rPr>
              <w:t>担保人</w:t>
            </w:r>
            <w:r>
              <w:rPr>
                <w:rFonts w:eastAsia="宋体" w:cs="微软雅黑"/>
                <w:lang w:val="zh-TW" w:eastAsia="zh-TW"/>
              </w:rPr>
              <w:t>扫描访客的二维码后对其网络访问授权</w:t>
            </w:r>
            <w:r>
              <w:rPr>
                <w:rFonts w:hint="eastAsia" w:eastAsia="宋体" w:cs="微软雅黑"/>
                <w:lang w:val="zh-TW" w:eastAsia="zh-TW"/>
              </w:rPr>
              <w:t>；支持访客填写信息、担保人填写信息、免填写信息三种模式；</w:t>
            </w:r>
            <w:r>
              <w:rPr>
                <w:rFonts w:eastAsia="宋体" w:cs="微软雅黑"/>
                <w:lang w:val="zh-TW" w:eastAsia="zh-TW"/>
              </w:rPr>
              <w:t>（提供产品</w:t>
            </w:r>
            <w:r>
              <w:rPr>
                <w:rFonts w:hint="eastAsia" w:eastAsia="宋体" w:cs="微软雅黑"/>
                <w:lang w:val="zh-TW" w:eastAsia="zh-TW"/>
              </w:rPr>
              <w:t>功能</w:t>
            </w:r>
            <w:r>
              <w:rPr>
                <w:rFonts w:eastAsia="宋体" w:cs="微软雅黑"/>
                <w:lang w:val="zh-TW" w:eastAsia="zh-TW"/>
              </w:rPr>
              <w:t>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0" w:hRule="atLeast"/>
        </w:trPr>
        <w:tc>
          <w:tcPr>
            <w:tcW w:w="1276" w:type="dxa"/>
            <w:vMerge w:val="continue"/>
            <w:tcBorders>
              <w:left w:val="single" w:color="000000" w:sz="4" w:space="0"/>
              <w:bottom w:val="single" w:color="auto" w:sz="4" w:space="0"/>
              <w:right w:val="single" w:color="000000" w:sz="4" w:space="0"/>
            </w:tcBorders>
            <w:shd w:val="clear" w:color="auto" w:fill="auto"/>
          </w:tcPr>
          <w:p>
            <w:pPr>
              <w:jc w:val="center"/>
              <w:rPr>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eastAsia="宋体" w:cs="微软雅黑"/>
                <w:lang w:val="zh-TW" w:eastAsia="zh-TW"/>
              </w:rPr>
              <w:t>自定义用户属性</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cs="微软雅黑"/>
                <w:lang w:val="zh-TW" w:eastAsia="zh-TW"/>
              </w:rPr>
            </w:pPr>
            <w:r>
              <w:rPr>
                <w:rFonts w:eastAsia="宋体" w:cs="微软雅黑"/>
                <w:lang w:val="zh-TW" w:eastAsia="zh-TW"/>
              </w:rPr>
              <w:t>支持为用户添加自定义属性（职位、临时项目组、邮件组等），能够根据用户属性自动归类并可以针对用户属性配置上网权限策略、流控策略，审计策略等</w:t>
            </w:r>
            <w:r>
              <w:rPr>
                <w:rFonts w:hint="eastAsia" w:eastAsia="宋体" w:cs="微软雅黑"/>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7" w:hRule="atLeast"/>
        </w:trPr>
        <w:tc>
          <w:tcPr>
            <w:tcW w:w="1276" w:type="dxa"/>
            <w:vMerge w:val="restart"/>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rPr>
            </w:pPr>
            <w:r>
              <w:rPr>
                <w:rFonts w:eastAsia="宋体" w:cs="微软雅黑"/>
                <w:lang w:val="zh-TW" w:eastAsia="zh-TW"/>
              </w:rPr>
              <w:t>终端管理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eastAsia="宋体" w:cs="微软雅黑"/>
                <w:lang w:val="zh-TW" w:eastAsia="zh-TW"/>
              </w:rPr>
              <w:t>系统识别</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cs="微软雅黑"/>
                <w:lang w:val="zh-TW" w:eastAsia="zh-TW"/>
              </w:rPr>
            </w:pPr>
            <w:r>
              <w:rPr>
                <w:rFonts w:eastAsia="宋体" w:cs="微软雅黑"/>
                <w:lang w:val="zh-TW" w:eastAsia="zh-TW"/>
              </w:rPr>
              <w:t>支持识别终端操作系统版本、系统补丁安装情况；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9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eastAsia="宋体" w:cs="微软雅黑"/>
                <w:lang w:val="zh-TW" w:eastAsia="zh-TW"/>
              </w:rPr>
              <w:t>自定义计划任务</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widowControl/>
              <w:rPr>
                <w:rFonts w:eastAsia="宋体" w:cs="微软雅黑"/>
                <w:lang w:val="zh-TW" w:eastAsia="zh-TW"/>
              </w:rPr>
            </w:pPr>
            <w:r>
              <w:rPr>
                <w:rFonts w:eastAsia="宋体" w:cs="微软雅黑"/>
                <w:lang w:val="zh-TW" w:eastAsia="zh-TW"/>
              </w:rPr>
              <w:t>支持终端调用管理员指定脚本/程序以满足个性化检查要求，比</w:t>
            </w:r>
            <w:bookmarkStart w:id="87" w:name="_GoBack"/>
            <w:bookmarkEnd w:id="87"/>
            <w:r>
              <w:rPr>
                <w:rFonts w:eastAsia="宋体" w:cs="微软雅黑"/>
                <w:lang w:val="zh-TW" w:eastAsia="zh-TW"/>
              </w:rPr>
              <w:t>如检测系统更新是否开启、开放端口、已安装程序列表、终端发通知等；（提供产品</w:t>
            </w:r>
            <w:r>
              <w:rPr>
                <w:rFonts w:hint="eastAsia" w:eastAsia="宋体" w:cs="微软雅黑"/>
                <w:lang w:val="zh-TW" w:eastAsia="zh-TW"/>
              </w:rPr>
              <w:t>功能</w:t>
            </w:r>
            <w:r>
              <w:rPr>
                <w:rFonts w:eastAsia="宋体" w:cs="微软雅黑"/>
                <w:lang w:val="zh-TW" w:eastAsia="zh-TW"/>
              </w:rPr>
              <w:t>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0" w:hRule="atLeast"/>
        </w:trPr>
        <w:tc>
          <w:tcPr>
            <w:tcW w:w="1276" w:type="dxa"/>
            <w:vMerge w:val="continue"/>
            <w:tcBorders>
              <w:top w:val="single" w:color="000000" w:sz="4" w:space="0"/>
              <w:left w:val="single" w:color="000000" w:sz="4" w:space="0"/>
              <w:bottom w:val="single" w:color="auto" w:sz="4" w:space="0"/>
              <w:right w:val="single" w:color="000000" w:sz="4" w:space="0"/>
            </w:tcBorders>
            <w:shd w:val="clear" w:color="auto" w:fill="auto"/>
          </w:tcPr>
          <w:p>
            <w:pPr>
              <w:jc w:val="center"/>
              <w:rPr>
                <w:szCs w:val="21"/>
              </w:rPr>
            </w:pPr>
            <w:bookmarkStart w:id="5" w:name="_Hlk33832303"/>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hint="eastAsia" w:eastAsia="宋体" w:cs="微软雅黑"/>
                <w:lang w:val="zh-TW" w:eastAsia="zh-TW"/>
              </w:rPr>
              <w:t>杀软无插件方式检测</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cs="微软雅黑"/>
                <w:color w:val="000000"/>
                <w:szCs w:val="21"/>
                <w:u w:color="000000"/>
                <w:lang w:val="zh-TW" w:eastAsia="zh-TW"/>
              </w:rPr>
            </w:pPr>
            <w:r>
              <w:rPr>
                <w:rFonts w:hint="eastAsia" w:cs="微软雅黑"/>
                <w:color w:val="000000"/>
                <w:kern w:val="0"/>
                <w:szCs w:val="21"/>
                <w:u w:color="000000"/>
                <w:lang w:val="zh-TW" w:eastAsia="zh-TW"/>
              </w:rPr>
              <w:t>支持通过流量检查杀软是否运行，该方式不需安装准入插件；支持8种个人版杀软检查和4种企业版杀软；</w:t>
            </w:r>
            <w:r>
              <w:rPr>
                <w:rFonts w:cs="微软雅黑"/>
                <w:color w:val="000000"/>
                <w:szCs w:val="21"/>
                <w:u w:color="000000"/>
                <w:lang w:val="zh-TW" w:eastAsia="zh-TW"/>
              </w:rPr>
              <w:t>（提供产品</w:t>
            </w:r>
            <w:r>
              <w:rPr>
                <w:rFonts w:hint="eastAsia" w:cs="微软雅黑"/>
                <w:color w:val="000000"/>
                <w:szCs w:val="21"/>
                <w:u w:color="000000"/>
                <w:lang w:val="zh-TW" w:eastAsia="zh-TW"/>
              </w:rPr>
              <w:t>功能</w:t>
            </w:r>
            <w:r>
              <w:rPr>
                <w:rFonts w:cs="微软雅黑"/>
                <w:color w:val="000000"/>
                <w:szCs w:val="21"/>
                <w:u w:color="000000"/>
                <w:lang w:val="zh-TW" w:eastAsia="zh-TW"/>
              </w:rPr>
              <w:t>截图）</w:t>
            </w:r>
          </w:p>
        </w:tc>
      </w:tr>
      <w:bookmarkEnd w:id="5"/>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72" w:hRule="atLeast"/>
        </w:trPr>
        <w:tc>
          <w:tcPr>
            <w:tcW w:w="1276" w:type="dxa"/>
            <w:vMerge w:val="restart"/>
            <w:tcBorders>
              <w:top w:val="single" w:color="auto" w:sz="4" w:space="0"/>
              <w:left w:val="single" w:color="auto" w:sz="4" w:space="0"/>
              <w:bottom w:val="single" w:color="auto" w:sz="4" w:space="0"/>
              <w:right w:val="single" w:color="auto" w:sz="4" w:space="0"/>
            </w:tcBorders>
            <w:shd w:val="clear" w:color="auto" w:fill="auto"/>
          </w:tcPr>
          <w:p>
            <w:pPr>
              <w:jc w:val="center"/>
              <w:rPr>
                <w:szCs w:val="21"/>
              </w:rPr>
            </w:pPr>
            <w:r>
              <w:rPr>
                <w:rFonts w:cs="微软雅黑"/>
                <w:szCs w:val="21"/>
                <w:lang w:val="zh-TW" w:eastAsia="zh-TW"/>
              </w:rPr>
              <w:t>应用管理</w:t>
            </w:r>
          </w:p>
        </w:tc>
        <w:tc>
          <w:tcPr>
            <w:tcW w:w="156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eastAsia="宋体" w:cs="微软雅黑"/>
                <w:lang w:val="zh-TW" w:eastAsia="zh-TW"/>
              </w:rPr>
              <w:t>应用控制</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widowControl/>
              <w:rPr>
                <w:rFonts w:eastAsia="宋体" w:cs="微软雅黑"/>
                <w:kern w:val="0"/>
                <w:lang w:val="zh-TW" w:eastAsia="zh-TW"/>
              </w:rPr>
            </w:pPr>
            <w:r>
              <w:rPr>
                <w:rFonts w:eastAsia="宋体" w:cs="微软雅黑"/>
                <w:lang w:val="zh-TW" w:eastAsia="zh-TW"/>
              </w:rPr>
              <w:t>设备内置应用识别规则库，支持超过</w:t>
            </w:r>
            <w:r>
              <w:rPr>
                <w:rFonts w:hint="eastAsia" w:eastAsia="宋体" w:cs="微软雅黑"/>
                <w:lang w:val="zh-TW" w:eastAsia="zh-TW"/>
              </w:rPr>
              <w:t>10000</w:t>
            </w:r>
            <w:r>
              <w:rPr>
                <w:rFonts w:eastAsia="宋体" w:cs="微软雅黑"/>
                <w:lang w:val="zh-TW" w:eastAsia="zh-TW"/>
              </w:rPr>
              <w:t>条应用规则数，支持超过</w:t>
            </w:r>
            <w:r>
              <w:rPr>
                <w:rFonts w:hint="eastAsia" w:eastAsia="宋体" w:cs="微软雅黑"/>
                <w:lang w:val="zh-TW" w:eastAsia="zh-TW"/>
              </w:rPr>
              <w:t>6000</w:t>
            </w:r>
            <w:r>
              <w:rPr>
                <w:rFonts w:eastAsia="宋体" w:cs="微软雅黑"/>
                <w:lang w:val="zh-TW" w:eastAsia="zh-TW"/>
              </w:rPr>
              <w:t>种以上的应用，1000种以上移动应用，并保持每两个星期更新一次，保证应用识别的准确率；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302" w:hRule="atLeast"/>
        </w:trPr>
        <w:tc>
          <w:tcPr>
            <w:tcW w:w="1276"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szCs w:val="21"/>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eastAsia="宋体" w:cs="微软雅黑"/>
                <w:lang w:val="zh-TW" w:eastAsia="zh-TW"/>
              </w:rPr>
              <w:t>应用细分控制</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cs="微软雅黑"/>
                <w:lang w:val="zh-TW" w:eastAsia="zh-TW"/>
              </w:rPr>
            </w:pPr>
            <w:r>
              <w:rPr>
                <w:rFonts w:eastAsia="宋体" w:cs="微软雅黑"/>
                <w:lang w:val="zh-TW" w:eastAsia="zh-TW"/>
              </w:rPr>
              <w:t>1.能够对新浪微博、腾讯微博、网易微博等进行细分控制，如：登录、浏览、发微博、上传附件等。</w:t>
            </w:r>
          </w:p>
          <w:p>
            <w:pPr>
              <w:pStyle w:val="76"/>
              <w:rPr>
                <w:rFonts w:eastAsia="宋体" w:cs="微软雅黑"/>
                <w:lang w:val="zh-TW" w:eastAsia="zh-TW"/>
              </w:rPr>
            </w:pPr>
            <w:r>
              <w:rPr>
                <w:rFonts w:eastAsia="宋体" w:cs="微软雅黑"/>
                <w:lang w:val="zh-TW" w:eastAsia="zh-TW"/>
              </w:rPr>
              <w:t>2.能够对teamview、QQ远程桌面等远程控制应用做细分控制，如：接受对方远程控制；（提供产品</w:t>
            </w:r>
            <w:r>
              <w:rPr>
                <w:rFonts w:hint="eastAsia" w:eastAsia="宋体" w:cs="微软雅黑"/>
                <w:lang w:val="zh-TW" w:eastAsia="zh-TW"/>
              </w:rPr>
              <w:t>功能</w:t>
            </w:r>
            <w:r>
              <w:rPr>
                <w:rFonts w:eastAsia="宋体" w:cs="微软雅黑"/>
                <w:lang w:val="zh-TW" w:eastAsia="zh-TW"/>
              </w:rPr>
              <w:t>截图</w:t>
            </w:r>
            <w:r>
              <w:rPr>
                <w:rFonts w:hint="eastAsia" w:eastAsia="宋体" w:cs="微软雅黑"/>
                <w:lang w:val="zh-TW" w:eastAsia="zh-TW"/>
              </w:rPr>
              <w:t>并</w:t>
            </w:r>
            <w:r>
              <w:rPr>
                <w:rFonts w:eastAsia="宋体" w:cs="微软雅黑"/>
                <w:lang w:val="zh-TW" w:eastAsia="zh-TW"/>
              </w:rPr>
              <w:t>）</w:t>
            </w:r>
          </w:p>
          <w:p>
            <w:pPr>
              <w:pStyle w:val="76"/>
              <w:rPr>
                <w:rFonts w:eastAsia="宋体" w:cs="微软雅黑"/>
                <w:lang w:val="zh-TW" w:eastAsia="zh-TW"/>
              </w:rPr>
            </w:pPr>
            <w:r>
              <w:rPr>
                <w:rFonts w:eastAsia="宋体" w:cs="微软雅黑"/>
                <w:lang w:val="zh-TW" w:eastAsia="zh-TW"/>
              </w:rPr>
              <w:t>3.能够对Github、百度网盘、百度文库等网络应用的上传动作进行细分控制； （提供产品</w:t>
            </w:r>
            <w:r>
              <w:rPr>
                <w:rFonts w:hint="eastAsia" w:eastAsia="宋体" w:cs="微软雅黑"/>
                <w:lang w:val="zh-TW" w:eastAsia="zh-TW"/>
              </w:rPr>
              <w:t>功能</w:t>
            </w:r>
            <w:r>
              <w:rPr>
                <w:rFonts w:eastAsia="宋体" w:cs="微软雅黑"/>
                <w:lang w:val="zh-TW" w:eastAsia="zh-TW"/>
              </w:rPr>
              <w:t>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70" w:hRule="atLeast"/>
        </w:trPr>
        <w:tc>
          <w:tcPr>
            <w:tcW w:w="1276" w:type="dxa"/>
            <w:vMerge w:val="restart"/>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tcPr>
          <w:p>
            <w:pPr>
              <w:pStyle w:val="76"/>
              <w:jc w:val="center"/>
              <w:rPr>
                <w:rFonts w:eastAsia="宋体"/>
              </w:rPr>
            </w:pPr>
            <w:r>
              <w:rPr>
                <w:rFonts w:eastAsia="宋体" w:cs="微软雅黑"/>
                <w:lang w:val="zh-TW" w:eastAsia="zh-TW"/>
              </w:rPr>
              <w:t>网页管理</w:t>
            </w:r>
          </w:p>
        </w:tc>
        <w:tc>
          <w:tcPr>
            <w:tcW w:w="156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rPr>
            </w:pPr>
            <w:r>
              <w:rPr>
                <w:rFonts w:eastAsia="宋体" w:cs="微软雅黑"/>
                <w:lang w:val="zh-TW" w:eastAsia="zh-TW"/>
              </w:rPr>
              <w:t>静态</w:t>
            </w:r>
            <w:r>
              <w:rPr>
                <w:rFonts w:eastAsia="宋体" w:cs="微软雅黑"/>
              </w:rPr>
              <w:t>URL</w:t>
            </w:r>
            <w:r>
              <w:rPr>
                <w:rFonts w:eastAsia="宋体" w:cs="微软雅黑"/>
                <w:lang w:val="zh-TW" w:eastAsia="zh-TW"/>
              </w:rPr>
              <w:t>库</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widowControl/>
              <w:rPr>
                <w:rFonts w:eastAsia="宋体" w:cs="微软雅黑"/>
                <w:lang w:val="zh-TW" w:eastAsia="zh-TW"/>
              </w:rPr>
            </w:pPr>
            <w:r>
              <w:rPr>
                <w:rFonts w:eastAsia="宋体" w:cs="微软雅黑"/>
                <w:lang w:val="zh-TW" w:eastAsia="zh-TW"/>
              </w:rPr>
              <w:t>设备内置海量预分类的</w:t>
            </w:r>
            <w:r>
              <w:rPr>
                <w:rFonts w:eastAsia="宋体" w:cs="微软雅黑"/>
              </w:rPr>
              <w:t>URL</w:t>
            </w:r>
            <w:r>
              <w:rPr>
                <w:rFonts w:eastAsia="宋体" w:cs="微软雅黑"/>
                <w:lang w:val="zh-TW" w:eastAsia="zh-TW"/>
              </w:rPr>
              <w:t>地址库，支持根据</w:t>
            </w:r>
            <w:r>
              <w:rPr>
                <w:rFonts w:eastAsia="宋体" w:cs="微软雅黑"/>
              </w:rPr>
              <w:t>URL</w:t>
            </w:r>
            <w:r>
              <w:rPr>
                <w:rFonts w:eastAsia="宋体" w:cs="微软雅黑"/>
                <w:lang w:val="zh-TW" w:eastAsia="zh-TW"/>
              </w:rPr>
              <w:t>类别实现</w:t>
            </w:r>
            <w:r>
              <w:rPr>
                <w:rFonts w:eastAsia="宋体" w:cs="微软雅黑"/>
              </w:rPr>
              <w:t>URL</w:t>
            </w:r>
            <w:r>
              <w:rPr>
                <w:rFonts w:eastAsia="宋体" w:cs="微软雅黑"/>
                <w:lang w:val="zh-TW" w:eastAsia="zh-TW"/>
              </w:rPr>
              <w:t>过滤；</w:t>
            </w:r>
          </w:p>
          <w:p>
            <w:pPr>
              <w:pStyle w:val="76"/>
              <w:widowControl/>
              <w:rPr>
                <w:rFonts w:eastAsia="宋体" w:cs="微软雅黑"/>
                <w:lang w:val="zh-TW"/>
              </w:rPr>
            </w:pPr>
            <w:r>
              <w:rPr>
                <w:rFonts w:hint="eastAsia" w:eastAsia="宋体" w:cs="微软雅黑"/>
                <w:lang w:val="zh-TW" w:eastAsia="zh-TW"/>
              </w:rPr>
              <w:t>URL数量在</w:t>
            </w:r>
            <w:r>
              <w:rPr>
                <w:rFonts w:hint="eastAsia" w:eastAsia="宋体" w:cs="微软雅黑"/>
                <w:lang w:val="zh-TW"/>
              </w:rPr>
              <w:t>3</w:t>
            </w:r>
            <w:r>
              <w:rPr>
                <w:rFonts w:eastAsia="宋体" w:cs="微软雅黑"/>
                <w:lang w:val="zh-TW" w:eastAsia="zh-TW"/>
              </w:rPr>
              <w:t>000</w:t>
            </w:r>
            <w:r>
              <w:rPr>
                <w:rFonts w:hint="eastAsia" w:eastAsia="宋体" w:cs="微软雅黑"/>
                <w:lang w:val="zh-TW" w:eastAsia="zh-TW"/>
              </w:rPr>
              <w:t>万以上</w:t>
            </w:r>
            <w:r>
              <w:rPr>
                <w:rFonts w:hint="eastAsia" w:eastAsia="宋体" w:cs="微软雅黑"/>
                <w:lang w:val="zh-TW"/>
              </w:rPr>
              <w:t>，包含分类数量1</w:t>
            </w:r>
            <w:r>
              <w:rPr>
                <w:rFonts w:eastAsia="宋体" w:cs="微软雅黑"/>
                <w:lang w:val="zh-TW" w:eastAsia="zh-TW"/>
              </w:rPr>
              <w:t>50</w:t>
            </w:r>
            <w:r>
              <w:rPr>
                <w:rFonts w:hint="eastAsia" w:eastAsia="宋体" w:cs="微软雅黑"/>
                <w:lang w:val="zh-TW" w:eastAsia="zh-TW"/>
              </w:rPr>
              <w:t>个以上</w:t>
            </w:r>
            <w:r>
              <w:rPr>
                <w:rFonts w:hint="eastAsia" w:eastAsia="宋体" w:cs="微软雅黑"/>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0" w:hRule="atLeast"/>
        </w:trPr>
        <w:tc>
          <w:tcPr>
            <w:tcW w:w="1276"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szCs w:val="21"/>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rPr>
            </w:pPr>
            <w:r>
              <w:rPr>
                <w:rFonts w:eastAsia="宋体" w:cs="微软雅黑"/>
                <w:kern w:val="0"/>
              </w:rPr>
              <w:t>SSL</w:t>
            </w:r>
            <w:r>
              <w:rPr>
                <w:rFonts w:eastAsia="宋体" w:cs="微软雅黑"/>
                <w:kern w:val="0"/>
                <w:lang w:val="zh-TW" w:eastAsia="zh-TW"/>
              </w:rPr>
              <w:t>加密网页内容识别</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cs="微软雅黑"/>
                <w:kern w:val="0"/>
                <w:lang w:val="zh-TW" w:eastAsia="zh-TW"/>
              </w:rPr>
            </w:pPr>
            <w:r>
              <w:rPr>
                <w:rFonts w:eastAsia="宋体" w:cs="微软雅黑"/>
                <w:kern w:val="0"/>
                <w:lang w:val="zh-TW" w:eastAsia="zh-TW"/>
              </w:rPr>
              <w:t>识别并过滤SSL加密的钓鱼网站、非法网站等（提供自主知识产权证明）；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70" w:hRule="atLeast"/>
        </w:trPr>
        <w:tc>
          <w:tcPr>
            <w:tcW w:w="1276"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szCs w:val="21"/>
                <w:lang w:eastAsia="zh-TW"/>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rPr>
            </w:pPr>
            <w:r>
              <w:rPr>
                <w:rFonts w:eastAsia="宋体" w:cs="微软雅黑"/>
                <w:lang w:val="zh-TW" w:eastAsia="zh-TW"/>
              </w:rPr>
              <w:t>自定义</w:t>
            </w:r>
            <w:r>
              <w:rPr>
                <w:rFonts w:eastAsia="宋体" w:cs="微软雅黑"/>
              </w:rPr>
              <w:t>URL</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rPr>
            </w:pPr>
            <w:r>
              <w:rPr>
                <w:rFonts w:eastAsia="宋体" w:cs="微软雅黑"/>
                <w:lang w:val="zh-TW" w:eastAsia="zh-TW"/>
              </w:rPr>
              <w:t>设备支持管理者自定义新的</w:t>
            </w:r>
            <w:r>
              <w:rPr>
                <w:rFonts w:eastAsia="宋体" w:cs="微软雅黑"/>
              </w:rPr>
              <w:t>URL</w:t>
            </w:r>
            <w:r>
              <w:rPr>
                <w:rFonts w:eastAsia="宋体" w:cs="微软雅黑"/>
                <w:lang w:val="zh-TW" w:eastAsia="zh-TW"/>
              </w:rPr>
              <w:t>地址和</w:t>
            </w:r>
            <w:r>
              <w:rPr>
                <w:rFonts w:eastAsia="宋体" w:cs="微软雅黑"/>
              </w:rPr>
              <w:t>URL</w:t>
            </w:r>
            <w:r>
              <w:rPr>
                <w:rFonts w:eastAsia="宋体" w:cs="微软雅黑"/>
                <w:lang w:val="zh-TW" w:eastAsia="zh-TW"/>
              </w:rPr>
              <w:t>分类；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70" w:hRule="atLeast"/>
        </w:trPr>
        <w:tc>
          <w:tcPr>
            <w:tcW w:w="1276" w:type="dxa"/>
            <w:tcBorders>
              <w:top w:val="single" w:color="auto" w:sz="4" w:space="0"/>
              <w:left w:val="single" w:color="auto" w:sz="4" w:space="0"/>
              <w:bottom w:val="nil"/>
              <w:right w:val="single" w:color="auto" w:sz="4" w:space="0"/>
            </w:tcBorders>
            <w:shd w:val="clear" w:color="auto" w:fill="auto"/>
            <w:tcMar>
              <w:top w:w="80" w:type="dxa"/>
              <w:left w:w="80" w:type="dxa"/>
              <w:bottom w:w="80" w:type="dxa"/>
              <w:right w:w="80" w:type="dxa"/>
            </w:tcMar>
          </w:tcPr>
          <w:p>
            <w:pPr>
              <w:pStyle w:val="76"/>
              <w:widowControl/>
              <w:jc w:val="center"/>
              <w:rPr>
                <w:rFonts w:eastAsia="宋体"/>
              </w:rPr>
            </w:pPr>
            <w:r>
              <w:rPr>
                <w:rFonts w:eastAsia="宋体" w:cs="微软雅黑"/>
                <w:lang w:val="zh-TW" w:eastAsia="zh-TW"/>
              </w:rPr>
              <w:t>邮件管理</w:t>
            </w:r>
          </w:p>
        </w:tc>
        <w:tc>
          <w:tcPr>
            <w:tcW w:w="156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pStyle w:val="76"/>
              <w:widowControl/>
              <w:jc w:val="center"/>
              <w:rPr>
                <w:rFonts w:eastAsia="宋体"/>
              </w:rPr>
            </w:pPr>
            <w:r>
              <w:rPr>
                <w:rFonts w:eastAsia="宋体" w:cs="微软雅黑"/>
                <w:lang w:val="zh-TW" w:eastAsia="zh-TW"/>
              </w:rPr>
              <w:t>邮件地址过滤</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widowControl/>
              <w:rPr>
                <w:rFonts w:eastAsia="宋体"/>
              </w:rPr>
            </w:pPr>
            <w:r>
              <w:rPr>
                <w:rFonts w:eastAsia="宋体" w:cs="微软雅黑"/>
                <w:lang w:val="zh-TW" w:eastAsia="zh-TW"/>
              </w:rPr>
              <w:t>支持根据源地址和目的地址过滤外发邮件；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0" w:hRule="atLeast"/>
        </w:trPr>
        <w:tc>
          <w:tcPr>
            <w:tcW w:w="1276" w:type="dxa"/>
            <w:tcBorders>
              <w:top w:val="nil"/>
              <w:left w:val="single" w:color="auto" w:sz="4" w:space="0"/>
              <w:bottom w:val="single" w:color="000000" w:sz="4" w:space="0"/>
              <w:right w:val="single" w:color="auto" w:sz="4" w:space="0"/>
            </w:tcBorders>
            <w:shd w:val="clear" w:color="auto" w:fill="auto"/>
          </w:tcPr>
          <w:p>
            <w:pPr>
              <w:jc w:val="center"/>
              <w:rPr>
                <w:szCs w:val="21"/>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rPr>
            </w:pPr>
            <w:r>
              <w:rPr>
                <w:rFonts w:eastAsia="宋体" w:cs="微软雅黑"/>
              </w:rPr>
              <w:t>SSL</w:t>
            </w:r>
            <w:r>
              <w:rPr>
                <w:rFonts w:eastAsia="宋体" w:cs="微软雅黑"/>
                <w:lang w:val="zh-TW" w:eastAsia="zh-TW"/>
              </w:rPr>
              <w:t>邮件管理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widowControl/>
              <w:rPr>
                <w:rFonts w:eastAsia="宋体"/>
              </w:rPr>
            </w:pPr>
            <w:r>
              <w:rPr>
                <w:rFonts w:eastAsia="宋体" w:cs="微软雅黑"/>
                <w:lang w:val="zh-TW" w:eastAsia="zh-TW"/>
              </w:rPr>
              <w:t>必须能基于关键字、发件人地址等识别和过滤使用邮件客户端外发</w:t>
            </w:r>
            <w:r>
              <w:rPr>
                <w:rFonts w:eastAsia="宋体" w:cs="微软雅黑"/>
              </w:rPr>
              <w:t>SSL</w:t>
            </w:r>
            <w:r>
              <w:rPr>
                <w:rFonts w:eastAsia="宋体" w:cs="微软雅黑"/>
                <w:lang w:val="zh-TW" w:eastAsia="zh-TW"/>
              </w:rPr>
              <w:t>加密邮件的行为；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70"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szCs w:val="21"/>
              </w:rPr>
              <w:t>流量控制</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eastAsia="宋体" w:cs="微软雅黑"/>
                <w:lang w:val="zh-TW" w:eastAsia="zh-TW"/>
              </w:rPr>
              <w:t>应用流控</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cs="微软雅黑"/>
                <w:lang w:val="zh-TW" w:eastAsia="zh-TW"/>
              </w:rPr>
            </w:pPr>
            <w:r>
              <w:rPr>
                <w:rFonts w:eastAsia="宋体" w:cs="微软雅黑"/>
                <w:lang w:val="zh-TW" w:eastAsia="zh-TW"/>
              </w:rPr>
              <w:t>支持基于应用类型、网站类型和文件类型划分与分配带宽；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eastAsia="宋体" w:cs="微软雅黑"/>
                <w:lang w:val="zh-TW" w:eastAsia="zh-TW"/>
              </w:rPr>
              <w:t>P2P智能流控</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cs="微软雅黑"/>
                <w:lang w:val="zh-TW" w:eastAsia="zh-TW"/>
              </w:rPr>
            </w:pPr>
            <w:r>
              <w:rPr>
                <w:rFonts w:eastAsia="宋体" w:cs="微软雅黑"/>
                <w:lang w:val="zh-TW" w:eastAsia="zh-TW"/>
              </w:rPr>
              <w:t>支持通过抑制P2P的上行流量，来减缓P2P的下行流量，从而解决网络出口在做流控后仍然压力较大的问题（提供产品</w:t>
            </w:r>
            <w:r>
              <w:rPr>
                <w:rFonts w:hint="eastAsia" w:eastAsia="宋体" w:cs="微软雅黑"/>
                <w:lang w:val="zh-TW" w:eastAsia="zh-TW"/>
              </w:rPr>
              <w:t>功能</w:t>
            </w:r>
            <w:r>
              <w:rPr>
                <w:rFonts w:eastAsia="宋体" w:cs="微软雅黑"/>
                <w:lang w:val="zh-TW" w:eastAsia="zh-TW"/>
              </w:rPr>
              <w:t>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eastAsia="宋体" w:cs="微软雅黑"/>
                <w:lang w:val="zh-TW" w:eastAsia="zh-TW"/>
              </w:rPr>
              <w:t>流控黑名单</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cs="微软雅黑"/>
                <w:lang w:val="zh-TW" w:eastAsia="zh-TW"/>
              </w:rPr>
            </w:pPr>
            <w:r>
              <w:rPr>
                <w:rFonts w:eastAsia="宋体" w:cs="微软雅黑"/>
                <w:lang w:val="zh-TW" w:eastAsia="zh-TW"/>
              </w:rPr>
              <w:t>基于“流量”、“流速”、“时长”设置配额，当配额耗尽后，将用户加入到指定的流控黑名单惩罚通道中（提供产品</w:t>
            </w:r>
            <w:r>
              <w:rPr>
                <w:rFonts w:hint="eastAsia" w:eastAsia="宋体" w:cs="微软雅黑"/>
                <w:lang w:val="zh-TW" w:eastAsia="zh-TW"/>
              </w:rPr>
              <w:t>功能</w:t>
            </w:r>
            <w:r>
              <w:rPr>
                <w:rFonts w:eastAsia="宋体" w:cs="微软雅黑"/>
                <w:lang w:val="zh-TW" w:eastAsia="zh-TW"/>
              </w:rPr>
              <w:t>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70" w:hRule="atLeast"/>
        </w:trPr>
        <w:tc>
          <w:tcPr>
            <w:tcW w:w="1276" w:type="dxa"/>
            <w:vMerge w:val="restart"/>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tcPr>
          <w:p>
            <w:pPr>
              <w:pStyle w:val="76"/>
              <w:jc w:val="center"/>
              <w:rPr>
                <w:rFonts w:eastAsia="宋体"/>
              </w:rPr>
            </w:pPr>
            <w:r>
              <w:rPr>
                <w:rFonts w:eastAsia="宋体" w:cs="微软雅黑"/>
                <w:lang w:val="zh-TW" w:eastAsia="zh-TW"/>
              </w:rPr>
              <w:t>上网行为审计</w:t>
            </w:r>
          </w:p>
        </w:tc>
        <w:tc>
          <w:tcPr>
            <w:tcW w:w="156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eastAsia="宋体" w:cs="微软雅黑"/>
                <w:lang w:val="zh-TW" w:eastAsia="zh-TW"/>
              </w:rPr>
              <w:t>网站审计</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cs="微软雅黑"/>
                <w:lang w:val="zh-TW" w:eastAsia="zh-TW"/>
              </w:rPr>
            </w:pPr>
            <w:r>
              <w:rPr>
                <w:rFonts w:eastAsia="宋体" w:cs="微软雅黑"/>
                <w:lang w:val="zh-TW" w:eastAsia="zh-TW"/>
              </w:rPr>
              <w:t>支持记录全部或者指定类别URL、网页标题等信息；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90" w:hRule="atLeast"/>
        </w:trPr>
        <w:tc>
          <w:tcPr>
            <w:tcW w:w="1276"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szCs w:val="21"/>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eastAsia="宋体" w:cs="微软雅黑"/>
                <w:lang w:val="zh-TW" w:eastAsia="zh-TW"/>
              </w:rPr>
              <w:t>网页内容审计</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numPr>
                <w:ilvl w:val="0"/>
                <w:numId w:val="5"/>
              </w:numPr>
              <w:rPr>
                <w:rFonts w:eastAsia="宋体" w:cs="微软雅黑"/>
                <w:lang w:val="zh-TW" w:eastAsia="zh-TW"/>
              </w:rPr>
            </w:pPr>
            <w:r>
              <w:rPr>
                <w:rFonts w:eastAsia="宋体" w:cs="微软雅黑"/>
                <w:lang w:val="zh-TW" w:eastAsia="zh-TW"/>
              </w:rPr>
              <w:t>必须能审计记录网页正文内容；</w:t>
            </w:r>
          </w:p>
          <w:p>
            <w:pPr>
              <w:pStyle w:val="76"/>
              <w:numPr>
                <w:ilvl w:val="0"/>
                <w:numId w:val="5"/>
              </w:numPr>
              <w:rPr>
                <w:rFonts w:eastAsia="宋体" w:cs="微软雅黑"/>
                <w:lang w:val="zh-TW" w:eastAsia="zh-TW"/>
              </w:rPr>
            </w:pPr>
            <w:r>
              <w:rPr>
                <w:rFonts w:eastAsia="宋体" w:cs="微软雅黑"/>
                <w:lang w:val="zh-TW" w:eastAsia="zh-TW"/>
              </w:rPr>
              <w:t>必须支持只记录含有指定关键字的网页正文内容；</w:t>
            </w:r>
          </w:p>
          <w:p>
            <w:pPr>
              <w:pStyle w:val="76"/>
              <w:numPr>
                <w:ilvl w:val="0"/>
                <w:numId w:val="5"/>
              </w:numPr>
              <w:rPr>
                <w:rFonts w:eastAsia="宋体" w:cs="微软雅黑"/>
                <w:lang w:val="zh-TW" w:eastAsia="zh-TW"/>
              </w:rPr>
            </w:pPr>
            <w:r>
              <w:rPr>
                <w:rFonts w:eastAsia="宋体" w:cs="微软雅黑"/>
                <w:lang w:val="zh-TW" w:eastAsia="zh-TW"/>
              </w:rPr>
              <w:t>必须支持记录SSL加密网页的内容；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70" w:hRule="atLeast"/>
        </w:trPr>
        <w:tc>
          <w:tcPr>
            <w:tcW w:w="1276"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eastAsia="宋体" w:cs="微软雅黑"/>
                <w:lang w:val="zh-TW" w:eastAsia="zh-TW"/>
              </w:rPr>
              <w:t>网页快照</w:t>
            </w:r>
          </w:p>
        </w:tc>
        <w:tc>
          <w:tcPr>
            <w:tcW w:w="7087"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cs="微软雅黑"/>
                <w:lang w:val="zh-TW" w:eastAsia="zh-TW"/>
              </w:rPr>
            </w:pPr>
            <w:r>
              <w:rPr>
                <w:rFonts w:eastAsia="宋体" w:cs="微软雅黑"/>
                <w:lang w:val="zh-TW" w:eastAsia="zh-TW"/>
              </w:rPr>
              <w:t>支持网页内容审计后的网页快照功能；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70" w:hRule="atLeast"/>
        </w:trPr>
        <w:tc>
          <w:tcPr>
            <w:tcW w:w="1276" w:type="dxa"/>
            <w:vMerge w:val="restart"/>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rPr>
            </w:pPr>
            <w:r>
              <w:rPr>
                <w:rFonts w:eastAsia="宋体" w:cs="微软雅黑"/>
                <w:lang w:val="zh-TW" w:eastAsia="zh-TW"/>
              </w:rPr>
              <w:t>上网日志管理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eastAsia="宋体" w:cs="微软雅黑"/>
                <w:lang w:val="zh-TW" w:eastAsia="zh-TW"/>
              </w:rPr>
              <w:t>数据中心</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cs="微软雅黑"/>
                <w:lang w:val="zh-TW" w:eastAsia="zh-TW"/>
              </w:rPr>
            </w:pPr>
            <w:r>
              <w:rPr>
                <w:rFonts w:eastAsia="宋体" w:cs="微软雅黑"/>
                <w:lang w:val="zh-TW" w:eastAsia="zh-TW"/>
              </w:rPr>
              <w:t>设备必须支持内置数据中心和独立数据中心；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9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eastAsia="宋体" w:cs="微软雅黑"/>
                <w:lang w:val="zh-TW" w:eastAsia="zh-TW"/>
              </w:rPr>
              <w:t>域名流量排行报表</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cs="微软雅黑"/>
                <w:lang w:val="zh-TW" w:eastAsia="zh-TW"/>
              </w:rPr>
            </w:pPr>
            <w:r>
              <w:rPr>
                <w:rFonts w:eastAsia="宋体" w:cs="微软雅黑"/>
                <w:lang w:val="zh-TW" w:eastAsia="zh-TW"/>
              </w:rPr>
              <w:t>支持基于时间段/用户/用户组/终端类型/位置等维度，针对具体某个域名的访问流量排行；</w:t>
            </w:r>
          </w:p>
          <w:p>
            <w:pPr>
              <w:pStyle w:val="76"/>
              <w:rPr>
                <w:rFonts w:eastAsia="宋体" w:cs="微软雅黑"/>
                <w:lang w:val="zh-TW" w:eastAsia="zh-TW"/>
              </w:rPr>
            </w:pPr>
            <w:r>
              <w:rPr>
                <w:rFonts w:eastAsia="宋体" w:cs="微软雅黑"/>
                <w:lang w:val="zh-TW" w:eastAsia="zh-TW"/>
              </w:rPr>
              <w:t>支持基于时间/用户/用户组/上行/下行/总体等维度的域名流量排行；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eastAsia="宋体" w:cs="微软雅黑"/>
                <w:lang w:val="zh-TW" w:eastAsia="zh-TW"/>
              </w:rPr>
              <w:t>关键字订阅</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cs="微软雅黑"/>
                <w:lang w:val="zh-TW" w:eastAsia="zh-TW"/>
              </w:rPr>
            </w:pPr>
            <w:r>
              <w:rPr>
                <w:rFonts w:eastAsia="宋体" w:cs="微软雅黑"/>
                <w:lang w:val="zh-TW" w:eastAsia="zh-TW"/>
              </w:rPr>
              <w:t>支持预置几组关键字，当审计日志中出现这些关键字时，将定期以邮件的方式发送报告给指定邮箱（提供产品</w:t>
            </w:r>
            <w:r>
              <w:rPr>
                <w:rFonts w:hint="eastAsia" w:eastAsia="宋体" w:cs="微软雅黑"/>
                <w:lang w:val="zh-TW" w:eastAsia="zh-TW"/>
              </w:rPr>
              <w:t>功能</w:t>
            </w:r>
            <w:r>
              <w:rPr>
                <w:rFonts w:eastAsia="宋体" w:cs="微软雅黑"/>
                <w:lang w:val="zh-TW" w:eastAsia="zh-TW"/>
              </w:rPr>
              <w:t>截图）</w:t>
            </w:r>
            <w:r>
              <w:rPr>
                <w:rFonts w:hint="eastAsia" w:eastAsia="宋体" w:cs="微软雅黑"/>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0" w:hRule="atLeast"/>
        </w:trPr>
        <w:tc>
          <w:tcPr>
            <w:tcW w:w="1276" w:type="dxa"/>
            <w:vMerge w:val="restart"/>
            <w:tcBorders>
              <w:top w:val="single" w:color="000000" w:sz="4" w:space="0"/>
              <w:left w:val="single" w:color="000000" w:sz="4" w:space="0"/>
              <w:right w:val="single" w:color="000000" w:sz="4" w:space="0"/>
            </w:tcBorders>
            <w:shd w:val="clear" w:color="auto" w:fill="auto"/>
          </w:tcPr>
          <w:p>
            <w:pPr>
              <w:jc w:val="center"/>
              <w:rPr>
                <w:szCs w:val="21"/>
              </w:rPr>
            </w:pPr>
            <w:r>
              <w:rPr>
                <w:rFonts w:hint="eastAsia"/>
                <w:szCs w:val="21"/>
              </w:rPr>
              <w:t>产品联动</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eastAsia="宋体" w:cs="微软雅黑"/>
                <w:lang w:val="zh-TW" w:eastAsia="zh-TW"/>
              </w:rPr>
              <w:t>支持与同品牌防火墙联动</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cs="微软雅黑"/>
                <w:lang w:val="zh-TW" w:eastAsia="zh-TW"/>
              </w:rPr>
            </w:pPr>
            <w:r>
              <w:rPr>
                <w:rFonts w:eastAsia="宋体" w:cs="宋体"/>
                <w:kern w:val="0"/>
                <w:lang w:val="zh-TW" w:eastAsia="zh-TW"/>
              </w:rPr>
              <w:t>能够与同品牌下一代防火墙系统实现认证联动，同时部署产品后，可以实现认证同步机制，实现单点登录；</w:t>
            </w:r>
            <w:r>
              <w:rPr>
                <w:rFonts w:eastAsia="宋体" w:cs="微软雅黑"/>
                <w:lang w:val="zh-TW" w:eastAsia="zh-TW"/>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0" w:hRule="atLeast"/>
        </w:trPr>
        <w:tc>
          <w:tcPr>
            <w:tcW w:w="1276" w:type="dxa"/>
            <w:vMerge w:val="continue"/>
            <w:tcBorders>
              <w:left w:val="single" w:color="000000" w:sz="4" w:space="0"/>
              <w:bottom w:val="single" w:color="000000" w:sz="4" w:space="0"/>
              <w:right w:val="single" w:color="000000" w:sz="4" w:space="0"/>
            </w:tcBorders>
            <w:shd w:val="clear" w:color="auto" w:fill="auto"/>
          </w:tcPr>
          <w:p>
            <w:pPr>
              <w:jc w:val="center"/>
              <w:rPr>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r>
              <w:rPr>
                <w:rFonts w:eastAsia="宋体" w:cs="微软雅黑"/>
                <w:lang w:val="zh-TW" w:eastAsia="zh-TW"/>
              </w:rPr>
              <w:t>支持与同品牌端点安全检测产品联动</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rPr>
                <w:rFonts w:eastAsia="宋体" w:cs="微软雅黑"/>
                <w:lang w:val="zh-TW" w:eastAsia="zh-TW"/>
              </w:rPr>
            </w:pPr>
            <w:r>
              <w:rPr>
                <w:rFonts w:eastAsia="宋体" w:cs="宋体"/>
                <w:kern w:val="0"/>
                <w:lang w:val="zh-TW" w:eastAsia="zh-TW"/>
              </w:rPr>
              <w:t>能够与同品牌</w:t>
            </w:r>
            <w:r>
              <w:rPr>
                <w:rFonts w:eastAsia="宋体" w:cs="宋体"/>
                <w:kern w:val="0"/>
              </w:rPr>
              <w:t>EDR</w:t>
            </w:r>
            <w:r>
              <w:rPr>
                <w:rFonts w:eastAsia="宋体" w:cs="宋体"/>
                <w:kern w:val="0"/>
                <w:lang w:val="zh-TW" w:eastAsia="zh-TW"/>
              </w:rPr>
              <w:t>产品实现联动，当检测到终端未安装</w:t>
            </w:r>
            <w:r>
              <w:rPr>
                <w:rFonts w:eastAsia="宋体" w:cs="宋体"/>
                <w:kern w:val="0"/>
              </w:rPr>
              <w:t>EDR</w:t>
            </w:r>
            <w:r>
              <w:rPr>
                <w:rFonts w:eastAsia="宋体" w:cs="宋体"/>
                <w:kern w:val="0"/>
                <w:lang w:val="zh-TW" w:eastAsia="zh-TW"/>
              </w:rPr>
              <w:t>产品时，禁止上网并提示需要安装</w:t>
            </w:r>
            <w:r>
              <w:rPr>
                <w:rFonts w:eastAsia="宋体" w:cs="宋体"/>
                <w:kern w:val="0"/>
              </w:rPr>
              <w:t>EDR</w:t>
            </w:r>
            <w:r>
              <w:rPr>
                <w:rFonts w:eastAsia="宋体" w:cs="宋体"/>
                <w:kern w:val="0"/>
                <w:lang w:val="zh-TW" w:eastAsia="zh-TW"/>
              </w:rPr>
              <w:t>终端软件；（提供</w:t>
            </w:r>
            <w:r>
              <w:rPr>
                <w:rFonts w:hint="eastAsia" w:eastAsia="宋体" w:cs="宋体"/>
                <w:kern w:val="0"/>
                <w:lang w:val="zh-TW" w:eastAsia="zh-TW"/>
              </w:rPr>
              <w:t>产品功能</w:t>
            </w:r>
            <w:r>
              <w:rPr>
                <w:rFonts w:eastAsia="宋体" w:cs="宋体"/>
                <w:kern w:val="0"/>
                <w:lang w:val="zh-TW" w:eastAsia="zh-TW"/>
              </w:rPr>
              <w:t>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0" w:hRule="atLeast"/>
        </w:trPr>
        <w:tc>
          <w:tcPr>
            <w:tcW w:w="1276" w:type="dxa"/>
            <w:vMerge w:val="restart"/>
            <w:tcBorders>
              <w:top w:val="single" w:color="000000" w:sz="4" w:space="0"/>
              <w:left w:val="single" w:color="000000" w:sz="4" w:space="0"/>
              <w:right w:val="single" w:color="000000" w:sz="4" w:space="0"/>
            </w:tcBorders>
            <w:shd w:val="clear" w:color="auto" w:fill="auto"/>
          </w:tcPr>
          <w:p>
            <w:pPr>
              <w:jc w:val="center"/>
              <w:rPr>
                <w:szCs w:val="21"/>
              </w:rPr>
            </w:pPr>
            <w:r>
              <w:rPr>
                <w:rFonts w:hint="eastAsia"/>
                <w:szCs w:val="21"/>
              </w:rPr>
              <w:t>资质要求</w:t>
            </w:r>
          </w:p>
        </w:tc>
        <w:tc>
          <w:tcPr>
            <w:tcW w:w="1560"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微软雅黑"/>
                <w:szCs w:val="21"/>
                <w:lang w:val="zh-TW" w:eastAsia="zh-TW"/>
              </w:rPr>
            </w:pPr>
            <w:r>
              <w:rPr>
                <w:rFonts w:cs="微软雅黑"/>
                <w:szCs w:val="21"/>
                <w:lang w:val="zh-TW" w:eastAsia="zh-TW"/>
              </w:rPr>
              <w:t>资质要求</w:t>
            </w: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6"/>
              <w:rPr>
                <w:rFonts w:eastAsia="宋体" w:cs="微软雅黑"/>
                <w:lang w:val="zh-TW" w:eastAsia="zh-TW"/>
              </w:rPr>
            </w:pPr>
            <w:r>
              <w:rPr>
                <w:rFonts w:eastAsia="宋体" w:cs="宋体"/>
                <w:kern w:val="0"/>
                <w:lang w:val="zh-TW" w:eastAsia="zh-TW"/>
              </w:rPr>
              <w:t>国家标准《信息安全技术信息系统安全审计产品 技术要求和测试评价方法》的主要起草单位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0" w:hRule="atLeast"/>
        </w:trPr>
        <w:tc>
          <w:tcPr>
            <w:tcW w:w="1276" w:type="dxa"/>
            <w:vMerge w:val="continue"/>
            <w:tcBorders>
              <w:left w:val="single" w:color="000000" w:sz="4" w:space="0"/>
              <w:right w:val="single" w:color="000000" w:sz="4" w:space="0"/>
            </w:tcBorders>
            <w:shd w:val="clear" w:color="auto" w:fill="auto"/>
          </w:tcPr>
          <w:p>
            <w:pPr>
              <w:jc w:val="center"/>
              <w:rPr>
                <w:szCs w:val="21"/>
              </w:rPr>
            </w:pPr>
          </w:p>
        </w:tc>
        <w:tc>
          <w:tcPr>
            <w:tcW w:w="1560" w:type="dxa"/>
            <w:vMerge w:val="continue"/>
            <w:tcBorders>
              <w:left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6"/>
              <w:rPr>
                <w:rFonts w:eastAsia="宋体" w:cs="微软雅黑"/>
                <w:lang w:val="zh-TW" w:eastAsia="zh-TW"/>
              </w:rPr>
            </w:pPr>
            <w:r>
              <w:rPr>
                <w:rFonts w:eastAsia="宋体" w:cs="微软雅黑"/>
                <w:kern w:val="0"/>
                <w:lang w:val="zh-TW" w:eastAsia="zh-TW"/>
              </w:rPr>
              <w:t>公司研发体系通过国际认证</w:t>
            </w:r>
            <w:r>
              <w:rPr>
                <w:rFonts w:eastAsia="宋体" w:cs="微软雅黑"/>
                <w:kern w:val="0"/>
              </w:rPr>
              <w:t>CMMI5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0" w:hRule="atLeast"/>
        </w:trPr>
        <w:tc>
          <w:tcPr>
            <w:tcW w:w="1276" w:type="dxa"/>
            <w:vMerge w:val="continue"/>
            <w:tcBorders>
              <w:left w:val="single" w:color="000000" w:sz="4" w:space="0"/>
              <w:bottom w:val="single" w:color="000000" w:sz="4" w:space="0"/>
              <w:right w:val="single" w:color="000000" w:sz="4" w:space="0"/>
            </w:tcBorders>
            <w:shd w:val="clear" w:color="auto" w:fill="auto"/>
          </w:tcPr>
          <w:p>
            <w:pPr>
              <w:jc w:val="center"/>
              <w:rPr>
                <w:szCs w:val="21"/>
              </w:rPr>
            </w:pPr>
          </w:p>
        </w:tc>
        <w:tc>
          <w:tcPr>
            <w:tcW w:w="1560"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76"/>
              <w:jc w:val="center"/>
              <w:rPr>
                <w:rFonts w:eastAsia="宋体" w:cs="微软雅黑"/>
                <w:lang w:val="zh-TW" w:eastAsia="zh-TW"/>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6"/>
              <w:rPr>
                <w:rFonts w:eastAsia="宋体" w:cs="微软雅黑"/>
                <w:lang w:val="zh-TW" w:eastAsia="zh-TW"/>
              </w:rPr>
            </w:pPr>
            <w:r>
              <w:rPr>
                <w:rFonts w:eastAsia="宋体" w:cs="微软雅黑"/>
                <w:kern w:val="0"/>
                <w:lang w:val="zh-TW" w:eastAsia="zh-TW"/>
              </w:rPr>
              <w:t>国家应急中心应急支撑单位</w:t>
            </w:r>
            <w:r>
              <w:rPr>
                <w:rFonts w:eastAsia="宋体" w:cs="微软雅黑"/>
                <w:kern w:val="0"/>
              </w:rPr>
              <w:t>CNCERT</w:t>
            </w:r>
            <w:r>
              <w:rPr>
                <w:rFonts w:eastAsia="宋体" w:cs="微软雅黑"/>
                <w:kern w:val="0"/>
                <w:lang w:val="zh-TW" w:eastAsia="zh-TW"/>
              </w:rPr>
              <w:t>证书（国家级）</w:t>
            </w:r>
          </w:p>
        </w:tc>
      </w:tr>
    </w:tbl>
    <w:p>
      <w:pPr>
        <w:pStyle w:val="5"/>
        <w:numPr>
          <w:ilvl w:val="0"/>
          <w:numId w:val="3"/>
        </w:numPr>
        <w:spacing w:before="0" w:after="0" w:line="413" w:lineRule="auto"/>
      </w:pPr>
      <w:r>
        <w:rPr>
          <w:rFonts w:hint="eastAsia"/>
        </w:rPr>
        <w:t>入侵防御</w:t>
      </w:r>
    </w:p>
    <w:tbl>
      <w:tblPr>
        <w:tblStyle w:val="27"/>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7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033" w:type="dxa"/>
          </w:tcPr>
          <w:p>
            <w:pPr>
              <w:widowControl/>
              <w:rPr>
                <w:rFonts w:cs="宋体"/>
                <w:kern w:val="0"/>
                <w:szCs w:val="21"/>
              </w:rPr>
            </w:pPr>
            <w:r>
              <w:rPr>
                <w:rFonts w:hint="eastAsia" w:cs="宋体"/>
                <w:kern w:val="0"/>
                <w:szCs w:val="21"/>
              </w:rPr>
              <w:t>技术指标</w:t>
            </w:r>
          </w:p>
        </w:tc>
        <w:tc>
          <w:tcPr>
            <w:tcW w:w="7517" w:type="dxa"/>
          </w:tcPr>
          <w:p>
            <w:pPr>
              <w:widowControl/>
              <w:rPr>
                <w:rFonts w:cs="宋体"/>
                <w:kern w:val="0"/>
                <w:szCs w:val="21"/>
              </w:rPr>
            </w:pPr>
            <w:r>
              <w:rPr>
                <w:rFonts w:hint="eastAsia" w:cs="宋体"/>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033" w:type="dxa"/>
            <w:vAlign w:val="center"/>
          </w:tcPr>
          <w:p>
            <w:pPr>
              <w:widowControl/>
              <w:rPr>
                <w:rFonts w:cs="宋体"/>
                <w:color w:val="000000"/>
                <w:kern w:val="0"/>
                <w:szCs w:val="21"/>
              </w:rPr>
            </w:pPr>
            <w:r>
              <w:rPr>
                <w:rFonts w:cs="宋体"/>
                <w:color w:val="000000"/>
                <w:kern w:val="0"/>
                <w:szCs w:val="21"/>
              </w:rPr>
              <w:t>性能指标</w:t>
            </w:r>
          </w:p>
        </w:tc>
        <w:tc>
          <w:tcPr>
            <w:tcW w:w="7517" w:type="dxa"/>
            <w:vAlign w:val="center"/>
          </w:tcPr>
          <w:p>
            <w:pPr>
              <w:rPr>
                <w:color w:val="000000"/>
                <w:szCs w:val="21"/>
              </w:rPr>
            </w:pPr>
            <w:r>
              <w:rPr>
                <w:rFonts w:hint="eastAsia" w:cs="宋体"/>
                <w:kern w:val="0"/>
                <w:szCs w:val="21"/>
              </w:rPr>
              <w:t>网络层吞吐量≥18Gbps，应用层吞吐量≥2.5Gbps，</w:t>
            </w:r>
            <w:r>
              <w:rPr>
                <w:rFonts w:cs="宋体"/>
                <w:kern w:val="0"/>
                <w:szCs w:val="21"/>
              </w:rPr>
              <w:t>并发连</w:t>
            </w:r>
            <w:r>
              <w:rPr>
                <w:rFonts w:hint="eastAsia" w:cs="宋体"/>
                <w:kern w:val="0"/>
                <w:szCs w:val="21"/>
              </w:rPr>
              <w:t>接</w:t>
            </w:r>
            <w:r>
              <w:rPr>
                <w:rFonts w:cs="宋体"/>
                <w:kern w:val="0"/>
                <w:szCs w:val="21"/>
              </w:rPr>
              <w:t>数</w:t>
            </w:r>
            <w:r>
              <w:rPr>
                <w:rFonts w:hint="eastAsia" w:cs="宋体"/>
                <w:kern w:val="0"/>
                <w:szCs w:val="21"/>
              </w:rPr>
              <w:t>≥22</w:t>
            </w:r>
            <w:r>
              <w:rPr>
                <w:rFonts w:cs="宋体"/>
                <w:kern w:val="0"/>
                <w:szCs w:val="21"/>
              </w:rPr>
              <w:t>0W</w:t>
            </w:r>
            <w:r>
              <w:rPr>
                <w:rFonts w:hint="eastAsia" w:cs="宋体"/>
                <w:kern w:val="0"/>
                <w:szCs w:val="21"/>
              </w:rPr>
              <w:t>，不少于6个千兆电口+2个万兆光口；</w:t>
            </w:r>
            <w:r>
              <w:rPr>
                <w:rFonts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033" w:type="dxa"/>
            <w:vAlign w:val="center"/>
          </w:tcPr>
          <w:p>
            <w:pPr>
              <w:widowControl/>
              <w:rPr>
                <w:rFonts w:cs="宋体"/>
                <w:color w:val="000000"/>
                <w:kern w:val="0"/>
                <w:szCs w:val="21"/>
              </w:rPr>
            </w:pPr>
            <w:r>
              <w:rPr>
                <w:rFonts w:hint="eastAsia" w:cs="宋体"/>
                <w:color w:val="000000"/>
                <w:kern w:val="0"/>
                <w:szCs w:val="21"/>
              </w:rPr>
              <w:t>部署方式</w:t>
            </w:r>
          </w:p>
        </w:tc>
        <w:tc>
          <w:tcPr>
            <w:tcW w:w="7517" w:type="dxa"/>
          </w:tcPr>
          <w:p>
            <w:pPr>
              <w:widowControl/>
              <w:rPr>
                <w:rFonts w:cs="宋体"/>
                <w:kern w:val="0"/>
                <w:szCs w:val="21"/>
              </w:rPr>
            </w:pPr>
            <w:r>
              <w:rPr>
                <w:rFonts w:hint="eastAsia" w:cs="宋体"/>
                <w:kern w:val="0"/>
                <w:szCs w:val="21"/>
              </w:rPr>
              <w:t>支持路由，网桥，虚拟网线，旁路镜像，单臂，以及混合部署方式；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033" w:type="dxa"/>
            <w:vAlign w:val="center"/>
          </w:tcPr>
          <w:p>
            <w:pPr>
              <w:widowControl/>
              <w:rPr>
                <w:rFonts w:cs="宋体"/>
                <w:kern w:val="0"/>
                <w:szCs w:val="21"/>
              </w:rPr>
            </w:pPr>
            <w:r>
              <w:rPr>
                <w:rFonts w:hint="eastAsia" w:cs="宋体"/>
                <w:kern w:val="0"/>
                <w:szCs w:val="21"/>
              </w:rPr>
              <w:t>路由支持</w:t>
            </w:r>
          </w:p>
        </w:tc>
        <w:tc>
          <w:tcPr>
            <w:tcW w:w="7517" w:type="dxa"/>
          </w:tcPr>
          <w:p>
            <w:pPr>
              <w:widowControl/>
              <w:rPr>
                <w:rFonts w:cs="宋体"/>
                <w:kern w:val="0"/>
                <w:szCs w:val="21"/>
              </w:rPr>
            </w:pPr>
            <w:r>
              <w:rPr>
                <w:rFonts w:hint="eastAsia" w:cs="宋体"/>
                <w:kern w:val="0"/>
                <w:szCs w:val="21"/>
              </w:rPr>
              <w:t>支持静态路由，策略路由，</w:t>
            </w:r>
          </w:p>
          <w:p>
            <w:pPr>
              <w:widowControl/>
              <w:rPr>
                <w:rFonts w:cs="宋体"/>
                <w:kern w:val="0"/>
                <w:szCs w:val="21"/>
              </w:rPr>
            </w:pPr>
            <w:r>
              <w:rPr>
                <w:rFonts w:hint="eastAsia" w:cs="宋体"/>
                <w:kern w:val="0"/>
                <w:szCs w:val="21"/>
              </w:rPr>
              <w:t>支持多链路出站负载，支持基于源/目的IP、源/目的端口、协议、ISP、应用类型以及国家/地域来进行选路的策略路由选路功能；（提供产品功能截图）</w:t>
            </w:r>
          </w:p>
          <w:p>
            <w:pPr>
              <w:widowControl/>
              <w:rPr>
                <w:rFonts w:cs="宋体"/>
                <w:kern w:val="0"/>
                <w:szCs w:val="21"/>
              </w:rPr>
            </w:pPr>
            <w:r>
              <w:rPr>
                <w:rFonts w:hint="eastAsia" w:cs="宋体"/>
                <w:kern w:val="0"/>
                <w:szCs w:val="21"/>
              </w:rPr>
              <w:t>至少支持4种负载均衡算法的多线路负载均衡，如轮询、带宽比例、加权、线路排序等；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2033" w:type="dxa"/>
            <w:vAlign w:val="center"/>
          </w:tcPr>
          <w:p>
            <w:pPr>
              <w:widowControl/>
              <w:rPr>
                <w:rFonts w:cs="宋体"/>
                <w:kern w:val="0"/>
                <w:szCs w:val="21"/>
              </w:rPr>
            </w:pPr>
            <w:r>
              <w:rPr>
                <w:rFonts w:hint="eastAsia" w:cs="宋体"/>
                <w:kern w:val="0"/>
                <w:szCs w:val="21"/>
              </w:rPr>
              <w:t>访问控制</w:t>
            </w:r>
          </w:p>
        </w:tc>
        <w:tc>
          <w:tcPr>
            <w:tcW w:w="7517" w:type="dxa"/>
          </w:tcPr>
          <w:p>
            <w:pPr>
              <w:widowControl/>
              <w:rPr>
                <w:rFonts w:cs="宋体"/>
                <w:kern w:val="0"/>
                <w:szCs w:val="21"/>
              </w:rPr>
            </w:pPr>
            <w:bookmarkStart w:id="6" w:name="_Hlk15406702"/>
            <w:r>
              <w:rPr>
                <w:rFonts w:hint="eastAsia" w:cs="宋体"/>
                <w:kern w:val="0"/>
                <w:szCs w:val="21"/>
              </w:rPr>
              <w:t>访问控制策略支持模拟策略匹配，</w:t>
            </w:r>
            <w:r>
              <w:rPr>
                <w:rFonts w:cs="宋体"/>
                <w:kern w:val="0"/>
                <w:szCs w:val="21"/>
              </w:rPr>
              <w:t>输入</w:t>
            </w:r>
            <w:r>
              <w:rPr>
                <w:rFonts w:hint="eastAsia" w:cs="宋体"/>
                <w:kern w:val="0"/>
                <w:szCs w:val="21"/>
              </w:rPr>
              <w:t>源目的IP、端口、协议</w:t>
            </w:r>
            <w:r>
              <w:rPr>
                <w:rFonts w:cs="宋体"/>
                <w:kern w:val="0"/>
                <w:szCs w:val="21"/>
              </w:rPr>
              <w:t>五元组信息，模拟策略匹配方式，给出最可能的匹配结果</w:t>
            </w:r>
            <w:r>
              <w:rPr>
                <w:rFonts w:hint="eastAsia" w:cs="宋体"/>
                <w:kern w:val="0"/>
                <w:szCs w:val="21"/>
              </w:rPr>
              <w:t>，方便</w:t>
            </w:r>
            <w:r>
              <w:rPr>
                <w:rFonts w:cs="宋体"/>
                <w:kern w:val="0"/>
                <w:szCs w:val="21"/>
              </w:rPr>
              <w:t>排查故障，或环境部署前的调试</w:t>
            </w:r>
            <w:r>
              <w:rPr>
                <w:rFonts w:hint="eastAsia" w:cs="宋体"/>
                <w:kern w:val="0"/>
                <w:szCs w:val="21"/>
              </w:rPr>
              <w:t xml:space="preserve">；（提供产品功能截图） </w:t>
            </w:r>
          </w:p>
          <w:p>
            <w:pPr>
              <w:widowControl/>
              <w:rPr>
                <w:rFonts w:cs="宋体"/>
                <w:kern w:val="0"/>
                <w:szCs w:val="21"/>
              </w:rPr>
            </w:pPr>
            <w:r>
              <w:rPr>
                <w:rFonts w:hint="eastAsia" w:cs="宋体"/>
                <w:kern w:val="0"/>
                <w:szCs w:val="21"/>
              </w:rPr>
              <w:t>支持一键分析当前访问控制策略异常问题（至少具备策略风险访问、冗余、冲突、重合、端口放通过大等），并针对异常问题划分不同等级，提供问题描述、危害、以及解决方案和关系图例说明；</w:t>
            </w:r>
            <w:bookmarkEnd w:id="6"/>
            <w:r>
              <w:rPr>
                <w:rFonts w:hint="eastAsia" w:cs="宋体"/>
                <w:kern w:val="0"/>
                <w:szCs w:val="21"/>
              </w:rPr>
              <w:t>（提供产品功能截图）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2033" w:type="dxa"/>
            <w:vAlign w:val="center"/>
          </w:tcPr>
          <w:p>
            <w:pPr>
              <w:widowControl/>
              <w:rPr>
                <w:rFonts w:cs="宋体"/>
                <w:kern w:val="0"/>
                <w:szCs w:val="21"/>
              </w:rPr>
            </w:pPr>
            <w:r>
              <w:rPr>
                <w:rFonts w:cs="宋体"/>
                <w:kern w:val="0"/>
                <w:szCs w:val="21"/>
              </w:rPr>
              <w:t>DoS/</w:t>
            </w:r>
            <w:r>
              <w:rPr>
                <w:rFonts w:hint="eastAsia" w:cs="宋体"/>
                <w:kern w:val="0"/>
                <w:szCs w:val="21"/>
              </w:rPr>
              <w:t>DDoS攻击防护</w:t>
            </w:r>
          </w:p>
        </w:tc>
        <w:tc>
          <w:tcPr>
            <w:tcW w:w="7517" w:type="dxa"/>
          </w:tcPr>
          <w:p>
            <w:pPr>
              <w:widowControl/>
              <w:rPr>
                <w:rFonts w:cs="宋体"/>
                <w:kern w:val="0"/>
                <w:szCs w:val="21"/>
              </w:rPr>
            </w:pPr>
            <w:r>
              <w:rPr>
                <w:rFonts w:hint="eastAsia" w:cs="宋体"/>
                <w:kern w:val="0"/>
                <w:szCs w:val="21"/>
              </w:rPr>
              <w:t>支持</w:t>
            </w:r>
            <w:r>
              <w:rPr>
                <w:rFonts w:cs="宋体"/>
                <w:kern w:val="0"/>
                <w:szCs w:val="21"/>
              </w:rPr>
              <w:t>IP</w:t>
            </w:r>
            <w:r>
              <w:rPr>
                <w:rFonts w:hint="eastAsia" w:cs="宋体"/>
                <w:kern w:val="0"/>
                <w:szCs w:val="21"/>
              </w:rPr>
              <w:t>地址扫描防护，端口扫描防护，并支持自定义防护的阈值和封锁时间；</w:t>
            </w:r>
          </w:p>
          <w:p>
            <w:pPr>
              <w:widowControl/>
              <w:rPr>
                <w:rFonts w:cs="宋体"/>
                <w:kern w:val="0"/>
                <w:szCs w:val="21"/>
              </w:rPr>
            </w:pPr>
            <w:r>
              <w:rPr>
                <w:rFonts w:hint="eastAsia" w:cs="宋体"/>
                <w:kern w:val="0"/>
                <w:szCs w:val="21"/>
              </w:rPr>
              <w:t>支持内网访问控制，配置内网区域只允许指定的IP地址或IP范围对外进行访问，防止内部伪造源IP对外DoS攻击的情况；</w:t>
            </w:r>
          </w:p>
          <w:p>
            <w:pPr>
              <w:widowControl/>
              <w:rPr>
                <w:rFonts w:cs="宋体"/>
                <w:kern w:val="0"/>
                <w:szCs w:val="21"/>
              </w:rPr>
            </w:pPr>
            <w:r>
              <w:rPr>
                <w:rFonts w:hint="eastAsia" w:cs="宋体"/>
                <w:kern w:val="0"/>
                <w:szCs w:val="21"/>
              </w:rPr>
              <w:t>支持Do</w:t>
            </w:r>
            <w:r>
              <w:rPr>
                <w:rFonts w:cs="宋体"/>
                <w:kern w:val="0"/>
                <w:szCs w:val="21"/>
              </w:rPr>
              <w:t>S</w:t>
            </w:r>
            <w:r>
              <w:rPr>
                <w:rFonts w:hint="eastAsia" w:cs="宋体"/>
                <w:kern w:val="0"/>
                <w:szCs w:val="21"/>
              </w:rPr>
              <w:t>排除，排除后的I</w:t>
            </w:r>
            <w:r>
              <w:rPr>
                <w:rFonts w:cs="宋体"/>
                <w:kern w:val="0"/>
                <w:szCs w:val="21"/>
              </w:rPr>
              <w:t>P</w:t>
            </w:r>
            <w:r>
              <w:rPr>
                <w:rFonts w:hint="eastAsia" w:cs="宋体"/>
                <w:kern w:val="0"/>
                <w:szCs w:val="21"/>
              </w:rPr>
              <w:t>将不进行Do</w:t>
            </w:r>
            <w:r>
              <w:rPr>
                <w:rFonts w:cs="宋体"/>
                <w:kern w:val="0"/>
                <w:szCs w:val="21"/>
              </w:rPr>
              <w:t>S</w:t>
            </w:r>
            <w:r>
              <w:rPr>
                <w:rFonts w:hint="eastAsia" w:cs="宋体"/>
                <w:kern w:val="0"/>
                <w:szCs w:val="21"/>
              </w:rPr>
              <w:t>/</w:t>
            </w:r>
            <w:r>
              <w:rPr>
                <w:rFonts w:cs="宋体"/>
                <w:kern w:val="0"/>
                <w:szCs w:val="21"/>
              </w:rPr>
              <w:t>DD</w:t>
            </w:r>
            <w:r>
              <w:rPr>
                <w:rFonts w:hint="eastAsia" w:cs="宋体"/>
                <w:kern w:val="0"/>
                <w:szCs w:val="21"/>
              </w:rPr>
              <w:t>oS防护;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033" w:type="dxa"/>
            <w:vAlign w:val="center"/>
          </w:tcPr>
          <w:p>
            <w:pPr>
              <w:widowControl/>
              <w:rPr>
                <w:rFonts w:cs="宋体"/>
                <w:kern w:val="0"/>
                <w:szCs w:val="21"/>
                <w:highlight w:val="yellow"/>
              </w:rPr>
            </w:pPr>
            <w:r>
              <w:rPr>
                <w:rFonts w:hint="eastAsia" w:cs="宋体"/>
                <w:kern w:val="0"/>
                <w:szCs w:val="21"/>
              </w:rPr>
              <w:t>防病毒</w:t>
            </w:r>
          </w:p>
        </w:tc>
        <w:tc>
          <w:tcPr>
            <w:tcW w:w="7517" w:type="dxa"/>
          </w:tcPr>
          <w:p>
            <w:pPr>
              <w:rPr>
                <w:rFonts w:cs="宋体"/>
                <w:kern w:val="0"/>
                <w:szCs w:val="21"/>
              </w:rPr>
            </w:pPr>
            <w:bookmarkStart w:id="7" w:name="_Hlk528847605"/>
            <w:bookmarkStart w:id="8" w:name="_Hlk520817702"/>
            <w:r>
              <w:rPr>
                <w:rFonts w:hint="eastAsia" w:cs="宋体"/>
                <w:kern w:val="0"/>
                <w:szCs w:val="21"/>
              </w:rPr>
              <w:t>支持文件杀毒，支持多种文件类型，如电源、音乐、图片、文本、压缩文件、应用程序等并支持用户自定义文件类型，支持最大16层的压缩文件查杀；</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033" w:type="dxa"/>
            <w:vAlign w:val="center"/>
          </w:tcPr>
          <w:p>
            <w:pPr>
              <w:widowControl/>
              <w:rPr>
                <w:rFonts w:cs="宋体"/>
                <w:kern w:val="0"/>
                <w:szCs w:val="21"/>
              </w:rPr>
            </w:pPr>
            <w:r>
              <w:rPr>
                <w:rFonts w:hint="eastAsia" w:cs="宋体"/>
                <w:kern w:val="0"/>
                <w:szCs w:val="21"/>
              </w:rPr>
              <w:t>邮件安全</w:t>
            </w:r>
          </w:p>
        </w:tc>
        <w:tc>
          <w:tcPr>
            <w:tcW w:w="7517" w:type="dxa"/>
          </w:tcPr>
          <w:p>
            <w:pPr>
              <w:rPr>
                <w:rFonts w:cs="宋体"/>
                <w:kern w:val="0"/>
                <w:szCs w:val="21"/>
              </w:rPr>
            </w:pPr>
            <w:r>
              <w:rPr>
                <w:rFonts w:hint="eastAsia" w:cs="宋体"/>
                <w:kern w:val="0"/>
                <w:szCs w:val="21"/>
              </w:rPr>
              <w:t>支持邮件附件过滤，针对SMTP、POP3、IMAP协议下指定的邮件附件类型过滤；</w:t>
            </w:r>
          </w:p>
          <w:p>
            <w:pPr>
              <w:rPr>
                <w:rFonts w:cs="宋体"/>
                <w:kern w:val="0"/>
                <w:szCs w:val="21"/>
              </w:rPr>
            </w:pPr>
            <w:r>
              <w:rPr>
                <w:rFonts w:hint="eastAsia" w:cs="宋体"/>
                <w:kern w:val="0"/>
                <w:szCs w:val="21"/>
              </w:rPr>
              <w:t>支持邮件内容检测，针对SMTP、POP3、IMAP邮件协议的内容检测，如邮件附件病毒检测、邮件内容恶意链接检测，邮件账号撞库攻击检测等，并给出恶意邮件的提示；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033" w:type="dxa"/>
            <w:vAlign w:val="center"/>
          </w:tcPr>
          <w:p>
            <w:pPr>
              <w:widowControl/>
              <w:rPr>
                <w:rFonts w:cs="宋体"/>
                <w:color w:val="000000"/>
                <w:kern w:val="0"/>
                <w:szCs w:val="21"/>
              </w:rPr>
            </w:pPr>
            <w:r>
              <w:rPr>
                <w:rFonts w:hint="eastAsia" w:cs="宋体"/>
                <w:color w:val="000000"/>
                <w:kern w:val="0"/>
                <w:szCs w:val="21"/>
              </w:rPr>
              <w:t>僵尸主机检测</w:t>
            </w:r>
          </w:p>
        </w:tc>
        <w:tc>
          <w:tcPr>
            <w:tcW w:w="7517" w:type="dxa"/>
          </w:tcPr>
          <w:p>
            <w:pPr>
              <w:widowControl/>
              <w:rPr>
                <w:rFonts w:cs="宋体"/>
                <w:kern w:val="0"/>
                <w:szCs w:val="21"/>
              </w:rPr>
            </w:pPr>
            <w:bookmarkStart w:id="9" w:name="_Hlk528847629"/>
            <w:r>
              <w:rPr>
                <w:rFonts w:hint="eastAsia" w:cs="宋体"/>
                <w:kern w:val="0"/>
                <w:szCs w:val="21"/>
              </w:rPr>
              <w:t>设备具备独立的僵尸网络与病毒防护库，防护类型包括木马远控、恶意脚本、勒索病毒、僵尸网络、挖矿病毒等，特征总数在</w:t>
            </w:r>
            <w:r>
              <w:rPr>
                <w:rFonts w:cs="宋体"/>
                <w:kern w:val="0"/>
                <w:szCs w:val="21"/>
              </w:rPr>
              <w:t>105</w:t>
            </w:r>
            <w:r>
              <w:rPr>
                <w:rFonts w:hint="eastAsia" w:cs="宋体"/>
                <w:kern w:val="0"/>
                <w:szCs w:val="21"/>
              </w:rPr>
              <w:t>万条以上，支持自定义僵尸网络规则库；</w:t>
            </w:r>
            <w:bookmarkStart w:id="10" w:name="OLE_LINK43"/>
          </w:p>
          <w:bookmarkEnd w:id="10"/>
          <w:p>
            <w:pPr>
              <w:widowControl/>
              <w:rPr>
                <w:rFonts w:cs="宋体"/>
                <w:kern w:val="0"/>
                <w:szCs w:val="21"/>
              </w:rPr>
            </w:pPr>
            <w:bookmarkStart w:id="11" w:name="_Hlk520821892"/>
            <w:r>
              <w:rPr>
                <w:rFonts w:hint="eastAsia" w:cs="宋体"/>
                <w:kern w:val="0"/>
                <w:szCs w:val="21"/>
              </w:rPr>
              <w:t>支持蜜罐功能，</w:t>
            </w:r>
            <w:r>
              <w:rPr>
                <w:rFonts w:cs="宋体"/>
                <w:kern w:val="0"/>
                <w:szCs w:val="21"/>
              </w:rPr>
              <w:t>定位内网感染僵尸网络病毒的真实主机IP地址</w:t>
            </w:r>
            <w:r>
              <w:rPr>
                <w:rFonts w:hint="eastAsia" w:cs="宋体"/>
                <w:kern w:val="0"/>
                <w:szCs w:val="21"/>
              </w:rPr>
              <w:t>；</w:t>
            </w:r>
            <w:bookmarkEnd w:id="9"/>
            <w:bookmarkEnd w:id="11"/>
            <w:bookmarkStart w:id="12" w:name="_Hlk528847658"/>
            <w:r>
              <w:rPr>
                <w:rFonts w:hint="eastAsia" w:cs="宋体"/>
                <w:kern w:val="0"/>
                <w:szCs w:val="21"/>
              </w:rPr>
              <w:t>（提供产品功能截图）</w:t>
            </w:r>
          </w:p>
          <w:bookmarkEnd w:id="12"/>
          <w:p>
            <w:pPr>
              <w:widowControl/>
              <w:rPr>
                <w:rFonts w:cs="宋体"/>
                <w:color w:val="000000"/>
                <w:kern w:val="0"/>
                <w:szCs w:val="21"/>
              </w:rPr>
            </w:pPr>
            <w:bookmarkStart w:id="13" w:name="_Hlk19883055"/>
            <w:bookmarkStart w:id="14" w:name="_Hlk19883566"/>
            <w:bookmarkStart w:id="15" w:name="_Hlk19883286"/>
            <w:bookmarkStart w:id="16" w:name="_Hlk19882707"/>
            <w:r>
              <w:rPr>
                <w:rFonts w:hint="eastAsia" w:cs="宋体"/>
                <w:color w:val="000000"/>
                <w:kern w:val="0"/>
                <w:szCs w:val="21"/>
              </w:rPr>
              <w:t>支持针对失陷主机推送杀毒通知和提供处置工具，并支持自定杀毒通知显示时间；</w:t>
            </w:r>
            <w:bookmarkEnd w:id="13"/>
            <w:bookmarkEnd w:id="14"/>
            <w:bookmarkEnd w:id="15"/>
            <w:bookmarkEnd w:id="16"/>
          </w:p>
          <w:p>
            <w:pPr>
              <w:widowControl/>
              <w:jc w:val="left"/>
              <w:rPr>
                <w:rFonts w:cs="宋体"/>
                <w:kern w:val="0"/>
                <w:szCs w:val="21"/>
              </w:rPr>
            </w:pPr>
            <w:bookmarkStart w:id="17" w:name="_Hlk19883701"/>
            <w:r>
              <w:rPr>
                <w:rFonts w:hint="eastAsia" w:cs="宋体"/>
                <w:color w:val="000000"/>
                <w:kern w:val="0"/>
                <w:szCs w:val="21"/>
              </w:rPr>
              <w:t>支持非法进程链展示，通过对进程进行溯源，对违规的进程呈现给安全管理员，比如主进程释放子进程，子进程1调用文件等行为进行细粒度展示，并可在防火墙界面通过联动一键处置恶意进程</w:t>
            </w:r>
            <w:bookmarkEnd w:id="17"/>
            <w:bookmarkStart w:id="18" w:name="_Hlk19884144"/>
            <w:bookmarkEnd w:id="18"/>
            <w:r>
              <w:rPr>
                <w:rFonts w:hint="eastAsia"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2033" w:type="dxa"/>
            <w:vAlign w:val="center"/>
          </w:tcPr>
          <w:p>
            <w:pPr>
              <w:widowControl/>
              <w:jc w:val="left"/>
              <w:rPr>
                <w:rFonts w:cs="宋体"/>
                <w:color w:val="000000"/>
                <w:kern w:val="0"/>
                <w:szCs w:val="21"/>
              </w:rPr>
            </w:pPr>
            <w:r>
              <w:rPr>
                <w:rFonts w:hint="eastAsia" w:cs="宋体"/>
                <w:color w:val="000000"/>
                <w:kern w:val="0"/>
                <w:szCs w:val="21"/>
              </w:rPr>
              <w:t>漏洞攻击防护</w:t>
            </w:r>
          </w:p>
          <w:p>
            <w:pPr>
              <w:widowControl/>
              <w:jc w:val="center"/>
              <w:rPr>
                <w:rFonts w:cs="宋体"/>
                <w:kern w:val="0"/>
                <w:szCs w:val="21"/>
              </w:rPr>
            </w:pPr>
          </w:p>
          <w:p>
            <w:pPr>
              <w:rPr>
                <w:rFonts w:cs="宋体"/>
                <w:kern w:val="0"/>
                <w:szCs w:val="21"/>
              </w:rPr>
            </w:pPr>
          </w:p>
        </w:tc>
        <w:tc>
          <w:tcPr>
            <w:tcW w:w="7517" w:type="dxa"/>
          </w:tcPr>
          <w:p>
            <w:pPr>
              <w:widowControl/>
              <w:rPr>
                <w:rFonts w:cs="宋体"/>
                <w:kern w:val="0"/>
                <w:szCs w:val="21"/>
              </w:rPr>
            </w:pPr>
            <w:r>
              <w:rPr>
                <w:rFonts w:hint="eastAsia" w:cs="宋体"/>
                <w:kern w:val="0"/>
                <w:szCs w:val="21"/>
              </w:rPr>
              <w:t>设备具备独立的入侵防护漏洞规则特征库，特征总数在7400条以上，支持自定义漏洞攻击规则库；</w:t>
            </w:r>
          </w:p>
          <w:p>
            <w:pPr>
              <w:widowControl/>
              <w:rPr>
                <w:rFonts w:cs="宋体"/>
                <w:kern w:val="0"/>
                <w:szCs w:val="21"/>
              </w:rPr>
            </w:pPr>
            <w:r>
              <w:rPr>
                <w:rFonts w:hint="eastAsia" w:cs="宋体"/>
                <w:kern w:val="0"/>
                <w:szCs w:val="21"/>
              </w:rPr>
              <w:t>支持联动W</w:t>
            </w:r>
            <w:r>
              <w:rPr>
                <w:rFonts w:cs="宋体"/>
                <w:kern w:val="0"/>
                <w:szCs w:val="21"/>
              </w:rPr>
              <w:t>EB</w:t>
            </w:r>
            <w:r>
              <w:rPr>
                <w:rFonts w:hint="eastAsia" w:cs="宋体"/>
                <w:kern w:val="0"/>
                <w:szCs w:val="21"/>
              </w:rPr>
              <w:t>应用防护、僵尸主机检测功能封锁，并记录日志，并支持选择仅封锁具有高危行为特征的I</w:t>
            </w:r>
            <w:r>
              <w:rPr>
                <w:rFonts w:cs="宋体"/>
                <w:kern w:val="0"/>
                <w:szCs w:val="21"/>
              </w:rPr>
              <w:t>P</w:t>
            </w:r>
            <w:r>
              <w:rPr>
                <w:rFonts w:hint="eastAsia" w:cs="宋体"/>
                <w:kern w:val="0"/>
                <w:szCs w:val="21"/>
              </w:rPr>
              <w:t>或对任意具有攻击特征的</w:t>
            </w:r>
            <w:r>
              <w:rPr>
                <w:rFonts w:cs="宋体"/>
                <w:kern w:val="0"/>
                <w:szCs w:val="21"/>
              </w:rPr>
              <w:t>IP</w:t>
            </w:r>
            <w:r>
              <w:rPr>
                <w:rFonts w:hint="eastAsia" w:cs="宋体"/>
                <w:kern w:val="0"/>
                <w:szCs w:val="21"/>
              </w:rPr>
              <w:t>执行访问封锁；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33" w:type="dxa"/>
            <w:vAlign w:val="center"/>
          </w:tcPr>
          <w:p>
            <w:pPr>
              <w:widowControl/>
              <w:rPr>
                <w:rFonts w:cs="宋体"/>
                <w:color w:val="000000"/>
                <w:kern w:val="0"/>
                <w:szCs w:val="21"/>
              </w:rPr>
            </w:pPr>
            <w:r>
              <w:rPr>
                <w:rFonts w:hint="eastAsia" w:cs="宋体"/>
                <w:color w:val="000000"/>
                <w:kern w:val="0"/>
                <w:szCs w:val="21"/>
              </w:rPr>
              <w:t>安全可视</w:t>
            </w:r>
          </w:p>
        </w:tc>
        <w:tc>
          <w:tcPr>
            <w:tcW w:w="7517" w:type="dxa"/>
          </w:tcPr>
          <w:p>
            <w:pPr>
              <w:widowControl/>
              <w:rPr>
                <w:rFonts w:cs="宋体"/>
                <w:kern w:val="0"/>
                <w:szCs w:val="21"/>
              </w:rPr>
            </w:pPr>
            <w:bookmarkStart w:id="19" w:name="_Hlk486513412"/>
            <w:r>
              <w:rPr>
                <w:rFonts w:hint="eastAsia" w:cs="宋体"/>
                <w:kern w:val="0"/>
                <w:szCs w:val="21"/>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提供产品功能截图）</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33" w:type="dxa"/>
            <w:vAlign w:val="center"/>
          </w:tcPr>
          <w:p>
            <w:pPr>
              <w:widowControl/>
              <w:rPr>
                <w:rFonts w:cs="宋体"/>
                <w:color w:val="000000"/>
                <w:kern w:val="0"/>
                <w:szCs w:val="21"/>
              </w:rPr>
            </w:pPr>
            <w:r>
              <w:rPr>
                <w:rFonts w:hint="eastAsia" w:cs="宋体"/>
                <w:kern w:val="0"/>
                <w:szCs w:val="21"/>
              </w:rPr>
              <w:t>售后服务要求</w:t>
            </w:r>
          </w:p>
        </w:tc>
        <w:tc>
          <w:tcPr>
            <w:tcW w:w="7517" w:type="dxa"/>
          </w:tcPr>
          <w:p>
            <w:pPr>
              <w:widowControl/>
              <w:rPr>
                <w:rFonts w:cs="宋体"/>
                <w:kern w:val="0"/>
                <w:szCs w:val="21"/>
              </w:rPr>
            </w:pPr>
            <w:r>
              <w:rPr>
                <w:rFonts w:hint="eastAsia" w:cs="宋体"/>
                <w:kern w:val="0"/>
                <w:szCs w:val="21"/>
              </w:rPr>
              <w:t>必须在省内有厂家直属的服务办事机构，提供</w:t>
            </w:r>
            <w:r>
              <w:rPr>
                <w:rFonts w:cs="宋体"/>
                <w:kern w:val="0"/>
                <w:szCs w:val="21"/>
              </w:rPr>
              <w:t>7*24</w:t>
            </w:r>
            <w:r>
              <w:rPr>
                <w:rFonts w:hint="eastAsia" w:cs="宋体"/>
                <w:kern w:val="0"/>
                <w:szCs w:val="21"/>
              </w:rPr>
              <w:t>小时快速上门服务和</w:t>
            </w:r>
            <w:r>
              <w:rPr>
                <w:rFonts w:cs="宋体"/>
                <w:kern w:val="0"/>
                <w:szCs w:val="21"/>
              </w:rPr>
              <w:t>2</w:t>
            </w:r>
            <w:r>
              <w:rPr>
                <w:rFonts w:hint="eastAsia" w:cs="宋体"/>
                <w:kern w:val="0"/>
                <w:szCs w:val="21"/>
              </w:rPr>
              <w:t>小时内快速响应服务；(官网上必须可查询到办事机构地址)</w:t>
            </w:r>
            <w:r>
              <w:rPr>
                <w:rFonts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33" w:type="dxa"/>
            <w:vAlign w:val="center"/>
          </w:tcPr>
          <w:p>
            <w:pPr>
              <w:widowControl/>
              <w:rPr>
                <w:rFonts w:cs="宋体"/>
                <w:color w:val="000000"/>
                <w:kern w:val="0"/>
                <w:szCs w:val="21"/>
              </w:rPr>
            </w:pPr>
            <w:r>
              <w:rPr>
                <w:rFonts w:hint="eastAsia" w:cs="宋体"/>
                <w:kern w:val="0"/>
                <w:szCs w:val="21"/>
              </w:rPr>
              <w:t>厂商资质</w:t>
            </w:r>
          </w:p>
        </w:tc>
        <w:tc>
          <w:tcPr>
            <w:tcW w:w="7517" w:type="dxa"/>
          </w:tcPr>
          <w:p>
            <w:pPr>
              <w:widowControl/>
              <w:rPr>
                <w:rFonts w:cs="宋体"/>
                <w:kern w:val="0"/>
                <w:szCs w:val="21"/>
              </w:rPr>
            </w:pPr>
            <w:r>
              <w:rPr>
                <w:rFonts w:hint="eastAsia" w:cs="宋体"/>
                <w:kern w:val="0"/>
                <w:szCs w:val="21"/>
              </w:rPr>
              <w:t>厂商软件研发实力需通过CMMI L5认证；</w:t>
            </w:r>
          </w:p>
          <w:p>
            <w:pPr>
              <w:widowControl/>
              <w:rPr>
                <w:rFonts w:cs="宋体"/>
                <w:kern w:val="0"/>
                <w:szCs w:val="21"/>
              </w:rPr>
            </w:pPr>
            <w:r>
              <w:rPr>
                <w:rFonts w:hint="eastAsia" w:cs="宋体"/>
                <w:kern w:val="0"/>
                <w:szCs w:val="21"/>
              </w:rPr>
              <w:t>厂商应是国家互联网应急响应中心网络安全应急服务国家级支撑单位</w:t>
            </w:r>
            <w:r>
              <w:rPr>
                <w:rFonts w:cs="宋体"/>
                <w:kern w:val="0"/>
                <w:szCs w:val="21"/>
              </w:rPr>
              <w:t xml:space="preserve"> </w:t>
            </w:r>
          </w:p>
        </w:tc>
      </w:tr>
    </w:tbl>
    <w:p>
      <w:pPr>
        <w:pStyle w:val="5"/>
        <w:numPr>
          <w:ilvl w:val="0"/>
          <w:numId w:val="3"/>
        </w:numPr>
        <w:spacing w:before="0" w:after="0" w:line="413" w:lineRule="auto"/>
      </w:pPr>
      <w:r>
        <w:rPr>
          <w:rFonts w:hint="eastAsia"/>
        </w:rPr>
        <w:t>防火墙（核心产品）</w:t>
      </w:r>
    </w:p>
    <w:tbl>
      <w:tblPr>
        <w:tblStyle w:val="27"/>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510"/>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tcPr>
          <w:p>
            <w:pPr>
              <w:widowControl/>
              <w:rPr>
                <w:rFonts w:cs="宋体"/>
                <w:color w:val="000000"/>
                <w:kern w:val="0"/>
                <w:szCs w:val="21"/>
              </w:rPr>
            </w:pPr>
            <w:r>
              <w:rPr>
                <w:rFonts w:hint="eastAsia" w:cs="宋体"/>
                <w:color w:val="000000"/>
                <w:kern w:val="0"/>
                <w:szCs w:val="21"/>
              </w:rPr>
              <w:t>项目</w:t>
            </w:r>
          </w:p>
        </w:tc>
        <w:tc>
          <w:tcPr>
            <w:tcW w:w="1510" w:type="dxa"/>
            <w:vAlign w:val="center"/>
          </w:tcPr>
          <w:p>
            <w:pPr>
              <w:widowControl/>
              <w:rPr>
                <w:rFonts w:cs="宋体"/>
                <w:color w:val="000000"/>
                <w:kern w:val="0"/>
                <w:szCs w:val="21"/>
              </w:rPr>
            </w:pPr>
            <w:r>
              <w:rPr>
                <w:rFonts w:hint="eastAsia" w:cs="宋体"/>
                <w:color w:val="000000"/>
                <w:kern w:val="0"/>
                <w:szCs w:val="21"/>
              </w:rPr>
              <w:t>功能项</w:t>
            </w:r>
          </w:p>
        </w:tc>
        <w:tc>
          <w:tcPr>
            <w:tcW w:w="7121" w:type="dxa"/>
          </w:tcPr>
          <w:p>
            <w:pPr>
              <w:widowControl/>
              <w:rPr>
                <w:rFonts w:cs="宋体"/>
                <w:kern w:val="0"/>
                <w:szCs w:val="21"/>
              </w:rPr>
            </w:pPr>
            <w:r>
              <w:rPr>
                <w:rFonts w:hint="eastAsia" w:cs="宋体"/>
                <w:kern w:val="0"/>
                <w:szCs w:val="21"/>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tcPr>
          <w:p>
            <w:pPr>
              <w:widowControl/>
              <w:rPr>
                <w:rFonts w:cs="宋体"/>
                <w:color w:val="000000"/>
                <w:kern w:val="0"/>
                <w:szCs w:val="21"/>
              </w:rPr>
            </w:pPr>
            <w:r>
              <w:rPr>
                <w:rFonts w:hint="eastAsia" w:cs="宋体"/>
                <w:color w:val="000000"/>
                <w:kern w:val="0"/>
                <w:szCs w:val="21"/>
              </w:rPr>
              <w:t>性能要求</w:t>
            </w:r>
          </w:p>
        </w:tc>
        <w:tc>
          <w:tcPr>
            <w:tcW w:w="1510" w:type="dxa"/>
            <w:vAlign w:val="center"/>
          </w:tcPr>
          <w:p>
            <w:pPr>
              <w:widowControl/>
              <w:rPr>
                <w:rFonts w:cs="宋体"/>
                <w:color w:val="000000"/>
                <w:kern w:val="0"/>
                <w:szCs w:val="21"/>
              </w:rPr>
            </w:pPr>
            <w:r>
              <w:rPr>
                <w:rFonts w:hint="eastAsia" w:cs="宋体"/>
                <w:color w:val="000000"/>
                <w:kern w:val="0"/>
                <w:szCs w:val="21"/>
              </w:rPr>
              <w:t>性能要求</w:t>
            </w:r>
          </w:p>
        </w:tc>
        <w:tc>
          <w:tcPr>
            <w:tcW w:w="7121" w:type="dxa"/>
          </w:tcPr>
          <w:p>
            <w:pPr>
              <w:widowControl/>
              <w:rPr>
                <w:rFonts w:cs="宋体"/>
                <w:kern w:val="0"/>
                <w:szCs w:val="21"/>
              </w:rPr>
            </w:pPr>
            <w:r>
              <w:rPr>
                <w:rFonts w:hint="eastAsia" w:cs="宋体"/>
                <w:kern w:val="0"/>
                <w:szCs w:val="21"/>
              </w:rPr>
              <w:t>网络层吞吐量≥5.5Gbps，应用层吞吐量≥700</w:t>
            </w:r>
            <w:r>
              <w:rPr>
                <w:rFonts w:cs="宋体"/>
                <w:kern w:val="0"/>
                <w:szCs w:val="21"/>
              </w:rPr>
              <w:t>M</w:t>
            </w:r>
            <w:r>
              <w:rPr>
                <w:rFonts w:hint="eastAsia" w:cs="宋体"/>
                <w:kern w:val="0"/>
                <w:szCs w:val="21"/>
              </w:rPr>
              <w:t>bps，并发连接数≥</w:t>
            </w:r>
            <w:r>
              <w:rPr>
                <w:rFonts w:cs="宋体"/>
                <w:kern w:val="0"/>
                <w:szCs w:val="21"/>
              </w:rPr>
              <w:t>180</w:t>
            </w:r>
            <w:r>
              <w:rPr>
                <w:rFonts w:hint="eastAsia" w:cs="宋体"/>
                <w:kern w:val="0"/>
                <w:szCs w:val="21"/>
              </w:rPr>
              <w:t>万，不少于6个千兆电口+2个千兆光口；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vMerge w:val="restart"/>
          </w:tcPr>
          <w:p>
            <w:pPr>
              <w:rPr>
                <w:rFonts w:cs="宋体"/>
                <w:kern w:val="0"/>
                <w:szCs w:val="21"/>
              </w:rPr>
            </w:pPr>
            <w:r>
              <w:rPr>
                <w:rFonts w:hint="eastAsia" w:cs="宋体"/>
                <w:color w:val="000000"/>
                <w:kern w:val="0"/>
                <w:szCs w:val="21"/>
              </w:rPr>
              <w:t>基础网络特性</w:t>
            </w:r>
          </w:p>
        </w:tc>
        <w:tc>
          <w:tcPr>
            <w:tcW w:w="1510" w:type="dxa"/>
            <w:vMerge w:val="restart"/>
            <w:vAlign w:val="center"/>
          </w:tcPr>
          <w:p>
            <w:pPr>
              <w:widowControl/>
              <w:rPr>
                <w:rFonts w:cs="宋体"/>
                <w:kern w:val="0"/>
                <w:szCs w:val="21"/>
              </w:rPr>
            </w:pPr>
            <w:r>
              <w:rPr>
                <w:rFonts w:hint="eastAsia" w:cs="宋体"/>
                <w:kern w:val="0"/>
                <w:szCs w:val="21"/>
              </w:rPr>
              <w:t>路由功能</w:t>
            </w:r>
          </w:p>
        </w:tc>
        <w:tc>
          <w:tcPr>
            <w:tcW w:w="7121" w:type="dxa"/>
          </w:tcPr>
          <w:p>
            <w:pPr>
              <w:widowControl/>
              <w:rPr>
                <w:rFonts w:cs="宋体"/>
                <w:kern w:val="0"/>
                <w:szCs w:val="21"/>
              </w:rPr>
            </w:pPr>
            <w:r>
              <w:rPr>
                <w:rFonts w:hint="eastAsia" w:cs="宋体"/>
                <w:kern w:val="0"/>
                <w:szCs w:val="21"/>
              </w:rPr>
              <w:t>具备静态路由和多播路由，支持RIP、OSPF、BGP等动态路由协议。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vMerge w:val="continue"/>
          </w:tcPr>
          <w:p>
            <w:pPr>
              <w:widowControl/>
              <w:rPr>
                <w:rFonts w:cs="宋体"/>
                <w:kern w:val="0"/>
                <w:szCs w:val="21"/>
              </w:rPr>
            </w:pPr>
          </w:p>
        </w:tc>
        <w:tc>
          <w:tcPr>
            <w:tcW w:w="1510" w:type="dxa"/>
            <w:vMerge w:val="continue"/>
            <w:vAlign w:val="center"/>
          </w:tcPr>
          <w:p>
            <w:pPr>
              <w:widowControl/>
              <w:rPr>
                <w:rFonts w:cs="宋体"/>
                <w:kern w:val="0"/>
                <w:szCs w:val="21"/>
              </w:rPr>
            </w:pPr>
          </w:p>
        </w:tc>
        <w:tc>
          <w:tcPr>
            <w:tcW w:w="7121" w:type="dxa"/>
          </w:tcPr>
          <w:p>
            <w:pPr>
              <w:widowControl/>
              <w:rPr>
                <w:rFonts w:cs="宋体"/>
                <w:kern w:val="0"/>
                <w:szCs w:val="21"/>
                <w:highlight w:val="green"/>
              </w:rPr>
            </w:pPr>
            <w:r>
              <w:rPr>
                <w:rFonts w:hint="eastAsia" w:cs="宋体"/>
                <w:kern w:val="0"/>
                <w:szCs w:val="21"/>
              </w:rPr>
              <w:t>支持基于I</w:t>
            </w:r>
            <w:r>
              <w:rPr>
                <w:rFonts w:cs="宋体"/>
                <w:kern w:val="0"/>
                <w:szCs w:val="21"/>
              </w:rPr>
              <w:t>P</w:t>
            </w:r>
            <w:r>
              <w:rPr>
                <w:rFonts w:hint="eastAsia" w:cs="宋体"/>
                <w:kern w:val="0"/>
                <w:szCs w:val="21"/>
              </w:rPr>
              <w:t>地址、端口、地域、协议、应用等维度配置策略路由策略，支持多种负载均衡算法，包括加权、带宽比例、轮询、线路排序等。（提供产品功能截图）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vMerge w:val="continue"/>
          </w:tcPr>
          <w:p>
            <w:pPr>
              <w:widowControl/>
              <w:rPr>
                <w:rFonts w:cs="宋体"/>
                <w:kern w:val="0"/>
                <w:szCs w:val="21"/>
              </w:rPr>
            </w:pPr>
          </w:p>
        </w:tc>
        <w:tc>
          <w:tcPr>
            <w:tcW w:w="1510" w:type="dxa"/>
            <w:vAlign w:val="center"/>
          </w:tcPr>
          <w:p>
            <w:pPr>
              <w:widowControl/>
              <w:rPr>
                <w:rFonts w:cs="宋体"/>
                <w:kern w:val="0"/>
                <w:szCs w:val="21"/>
              </w:rPr>
            </w:pPr>
            <w:r>
              <w:rPr>
                <w:rFonts w:hint="eastAsia" w:cs="宋体"/>
                <w:kern w:val="0"/>
                <w:szCs w:val="21"/>
              </w:rPr>
              <w:t>V</w:t>
            </w:r>
            <w:r>
              <w:rPr>
                <w:rFonts w:cs="宋体"/>
                <w:kern w:val="0"/>
                <w:szCs w:val="21"/>
              </w:rPr>
              <w:t>PN</w:t>
            </w:r>
          </w:p>
        </w:tc>
        <w:tc>
          <w:tcPr>
            <w:tcW w:w="7121" w:type="dxa"/>
          </w:tcPr>
          <w:p>
            <w:pPr>
              <w:widowControl/>
              <w:rPr>
                <w:rFonts w:cs="宋体"/>
                <w:kern w:val="0"/>
                <w:szCs w:val="21"/>
              </w:rPr>
            </w:pPr>
            <w:r>
              <w:rPr>
                <w:rFonts w:hint="eastAsia" w:cs="宋体"/>
                <w:kern w:val="0"/>
                <w:szCs w:val="21"/>
              </w:rPr>
              <w:t>I</w:t>
            </w:r>
            <w:r>
              <w:rPr>
                <w:rFonts w:cs="宋体"/>
                <w:kern w:val="0"/>
                <w:szCs w:val="21"/>
              </w:rPr>
              <w:t>PS</w:t>
            </w:r>
            <w:r>
              <w:rPr>
                <w:rFonts w:hint="eastAsia" w:cs="宋体"/>
                <w:kern w:val="0"/>
                <w:szCs w:val="21"/>
              </w:rPr>
              <w:t>ec</w:t>
            </w:r>
            <w:r>
              <w:rPr>
                <w:rFonts w:cs="宋体"/>
                <w:kern w:val="0"/>
                <w:szCs w:val="21"/>
              </w:rPr>
              <w:t xml:space="preserve"> VPN</w:t>
            </w:r>
            <w:r>
              <w:rPr>
                <w:rFonts w:hint="eastAsia" w:cs="宋体"/>
                <w:kern w:val="0"/>
                <w:szCs w:val="21"/>
              </w:rPr>
              <w:t>支持智能选路功能，保障业务的高可靠性。（提供产品功能截图）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vMerge w:val="restart"/>
          </w:tcPr>
          <w:p>
            <w:pPr>
              <w:rPr>
                <w:rFonts w:cs="宋体"/>
                <w:kern w:val="0"/>
                <w:szCs w:val="21"/>
              </w:rPr>
            </w:pPr>
            <w:r>
              <w:rPr>
                <w:rFonts w:hint="eastAsia" w:cs="宋体"/>
                <w:kern w:val="0"/>
                <w:szCs w:val="21"/>
              </w:rPr>
              <w:t>安全防护</w:t>
            </w:r>
          </w:p>
        </w:tc>
        <w:tc>
          <w:tcPr>
            <w:tcW w:w="1510" w:type="dxa"/>
            <w:vAlign w:val="center"/>
          </w:tcPr>
          <w:p>
            <w:pPr>
              <w:widowControl/>
              <w:rPr>
                <w:rFonts w:cs="宋体"/>
                <w:kern w:val="0"/>
                <w:szCs w:val="21"/>
              </w:rPr>
            </w:pPr>
            <w:r>
              <w:rPr>
                <w:rFonts w:hint="eastAsia" w:cs="宋体"/>
                <w:kern w:val="0"/>
                <w:szCs w:val="21"/>
              </w:rPr>
              <w:t>U</w:t>
            </w:r>
            <w:r>
              <w:rPr>
                <w:rFonts w:cs="宋体"/>
                <w:kern w:val="0"/>
                <w:szCs w:val="21"/>
              </w:rPr>
              <w:t>RL</w:t>
            </w:r>
            <w:r>
              <w:rPr>
                <w:rFonts w:hint="eastAsia" w:cs="宋体"/>
                <w:kern w:val="0"/>
                <w:szCs w:val="21"/>
              </w:rPr>
              <w:t>过滤</w:t>
            </w:r>
          </w:p>
        </w:tc>
        <w:tc>
          <w:tcPr>
            <w:tcW w:w="7121" w:type="dxa"/>
          </w:tcPr>
          <w:p>
            <w:pPr>
              <w:widowControl/>
              <w:rPr>
                <w:rFonts w:cs="宋体"/>
                <w:kern w:val="0"/>
                <w:szCs w:val="21"/>
              </w:rPr>
            </w:pPr>
            <w:r>
              <w:rPr>
                <w:rFonts w:hint="eastAsia" w:cs="宋体"/>
                <w:kern w:val="0"/>
                <w:szCs w:val="21"/>
              </w:rPr>
              <w:t>内置海量互联网</w:t>
            </w:r>
            <w:r>
              <w:rPr>
                <w:rFonts w:cs="宋体"/>
                <w:kern w:val="0"/>
                <w:szCs w:val="21"/>
              </w:rPr>
              <w:t>URL</w:t>
            </w:r>
            <w:r>
              <w:rPr>
                <w:rFonts w:hint="eastAsia" w:cs="宋体"/>
                <w:kern w:val="0"/>
                <w:szCs w:val="21"/>
              </w:rPr>
              <w:t>分类库，支持过滤上千万条恶意U</w:t>
            </w:r>
            <w:r>
              <w:rPr>
                <w:rFonts w:cs="宋体"/>
                <w:kern w:val="0"/>
                <w:szCs w:val="21"/>
              </w:rPr>
              <w:t>RL</w:t>
            </w:r>
            <w:r>
              <w:rPr>
                <w:rFonts w:hint="eastAsia"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vMerge w:val="continue"/>
          </w:tcPr>
          <w:p>
            <w:pPr>
              <w:rPr>
                <w:rFonts w:cs="宋体"/>
                <w:kern w:val="0"/>
                <w:szCs w:val="21"/>
              </w:rPr>
            </w:pPr>
          </w:p>
        </w:tc>
        <w:tc>
          <w:tcPr>
            <w:tcW w:w="1510" w:type="dxa"/>
            <w:vAlign w:val="center"/>
          </w:tcPr>
          <w:p>
            <w:pPr>
              <w:widowControl/>
              <w:rPr>
                <w:rFonts w:cs="宋体"/>
                <w:kern w:val="0"/>
                <w:szCs w:val="21"/>
              </w:rPr>
            </w:pPr>
            <w:r>
              <w:rPr>
                <w:rFonts w:hint="eastAsia" w:cs="宋体"/>
                <w:kern w:val="0"/>
                <w:szCs w:val="21"/>
              </w:rPr>
              <w:t>文件过滤</w:t>
            </w:r>
          </w:p>
        </w:tc>
        <w:tc>
          <w:tcPr>
            <w:tcW w:w="7121" w:type="dxa"/>
          </w:tcPr>
          <w:p>
            <w:pPr>
              <w:widowControl/>
              <w:rPr>
                <w:rFonts w:cs="宋体"/>
                <w:kern w:val="0"/>
                <w:szCs w:val="21"/>
              </w:rPr>
            </w:pPr>
            <w:r>
              <w:rPr>
                <w:rFonts w:hint="eastAsia" w:cs="宋体"/>
                <w:kern w:val="0"/>
                <w:szCs w:val="21"/>
              </w:rPr>
              <w:t>具备文件过滤功能，可对视频文件、音频文件、图片文件、文本文件、可执行文件、驱动文件等类型文件进行安全过滤。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vMerge w:val="continue"/>
          </w:tcPr>
          <w:p>
            <w:pPr>
              <w:widowControl/>
              <w:rPr>
                <w:rFonts w:cs="宋体"/>
                <w:kern w:val="0"/>
                <w:szCs w:val="21"/>
              </w:rPr>
            </w:pPr>
          </w:p>
        </w:tc>
        <w:tc>
          <w:tcPr>
            <w:tcW w:w="1510" w:type="dxa"/>
            <w:vAlign w:val="center"/>
          </w:tcPr>
          <w:p>
            <w:pPr>
              <w:widowControl/>
              <w:rPr>
                <w:rFonts w:cs="宋体"/>
                <w:kern w:val="0"/>
                <w:szCs w:val="21"/>
              </w:rPr>
            </w:pPr>
            <w:r>
              <w:rPr>
                <w:rFonts w:hint="eastAsia" w:cs="宋体"/>
                <w:kern w:val="0"/>
                <w:szCs w:val="21"/>
              </w:rPr>
              <w:t>入侵防御</w:t>
            </w:r>
          </w:p>
        </w:tc>
        <w:tc>
          <w:tcPr>
            <w:tcW w:w="7121" w:type="dxa"/>
          </w:tcPr>
          <w:p>
            <w:pPr>
              <w:widowControl/>
              <w:rPr>
                <w:rFonts w:cs="宋体"/>
                <w:kern w:val="0"/>
                <w:szCs w:val="21"/>
              </w:rPr>
            </w:pPr>
            <w:r>
              <w:rPr>
                <w:rFonts w:hint="eastAsia" w:cs="宋体"/>
                <w:kern w:val="0"/>
                <w:szCs w:val="21"/>
              </w:rPr>
              <w:t>具备僵尸网络检测功能，可基于僵尸网络检测引擎发现主机的异常外联行为，并提供威胁等级和非法外联次数作为举证。（提供产品功能截图证明）</w:t>
            </w:r>
            <w:r>
              <w:rPr>
                <w:rFonts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vMerge w:val="continue"/>
          </w:tcPr>
          <w:p>
            <w:pPr>
              <w:widowControl/>
              <w:rPr>
                <w:rFonts w:cs="宋体"/>
                <w:kern w:val="0"/>
                <w:szCs w:val="21"/>
              </w:rPr>
            </w:pPr>
          </w:p>
        </w:tc>
        <w:tc>
          <w:tcPr>
            <w:tcW w:w="1510" w:type="dxa"/>
            <w:vMerge w:val="restart"/>
            <w:vAlign w:val="center"/>
          </w:tcPr>
          <w:p>
            <w:pPr>
              <w:widowControl/>
              <w:rPr>
                <w:rFonts w:cs="宋体"/>
                <w:kern w:val="0"/>
                <w:szCs w:val="21"/>
              </w:rPr>
            </w:pPr>
            <w:r>
              <w:rPr>
                <w:rFonts w:hint="eastAsia" w:cs="宋体"/>
                <w:kern w:val="0"/>
                <w:szCs w:val="21"/>
              </w:rPr>
              <w:t>Web应用防御</w:t>
            </w:r>
          </w:p>
        </w:tc>
        <w:tc>
          <w:tcPr>
            <w:tcW w:w="7121" w:type="dxa"/>
          </w:tcPr>
          <w:p>
            <w:pPr>
              <w:widowControl/>
              <w:rPr>
                <w:rFonts w:cs="宋体"/>
                <w:kern w:val="0"/>
                <w:szCs w:val="21"/>
              </w:rPr>
            </w:pPr>
            <w:r>
              <w:rPr>
                <w:rFonts w:hint="eastAsia" w:cs="宋体"/>
                <w:kern w:val="0"/>
                <w:szCs w:val="21"/>
              </w:rPr>
              <w:t>支持对HTTP异常请求协议检测和防护攻击，检测内容包含H</w:t>
            </w:r>
            <w:r>
              <w:rPr>
                <w:rFonts w:cs="宋体"/>
                <w:kern w:val="0"/>
                <w:szCs w:val="21"/>
              </w:rPr>
              <w:t>TTP</w:t>
            </w:r>
            <w:r>
              <w:rPr>
                <w:rFonts w:hint="eastAsia" w:cs="宋体"/>
                <w:kern w:val="0"/>
                <w:szCs w:val="21"/>
              </w:rPr>
              <w:t>请求信息的方法及参数长度等。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vMerge w:val="continue"/>
          </w:tcPr>
          <w:p>
            <w:pPr>
              <w:widowControl/>
              <w:rPr>
                <w:rFonts w:cs="宋体"/>
                <w:kern w:val="0"/>
                <w:szCs w:val="21"/>
              </w:rPr>
            </w:pPr>
          </w:p>
        </w:tc>
        <w:tc>
          <w:tcPr>
            <w:tcW w:w="1510" w:type="dxa"/>
            <w:vMerge w:val="continue"/>
            <w:vAlign w:val="center"/>
          </w:tcPr>
          <w:p>
            <w:pPr>
              <w:widowControl/>
              <w:rPr>
                <w:rFonts w:cs="宋体"/>
                <w:kern w:val="0"/>
                <w:szCs w:val="21"/>
              </w:rPr>
            </w:pPr>
          </w:p>
        </w:tc>
        <w:tc>
          <w:tcPr>
            <w:tcW w:w="7121" w:type="dxa"/>
          </w:tcPr>
          <w:p>
            <w:pPr>
              <w:widowControl/>
              <w:rPr>
                <w:rFonts w:cs="宋体"/>
                <w:kern w:val="0"/>
                <w:szCs w:val="21"/>
              </w:rPr>
            </w:pPr>
            <w:r>
              <w:rPr>
                <w:rFonts w:hint="eastAsia" w:cs="宋体"/>
                <w:kern w:val="0"/>
                <w:szCs w:val="21"/>
              </w:rPr>
              <w:t>具备识别与阻断外部扫描器发起的服务器恶意扫描行为，可对扫描器地址进行自定义封堵。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vMerge w:val="continue"/>
          </w:tcPr>
          <w:p>
            <w:pPr>
              <w:widowControl/>
              <w:rPr>
                <w:rFonts w:cs="宋体"/>
                <w:kern w:val="0"/>
                <w:szCs w:val="21"/>
              </w:rPr>
            </w:pPr>
          </w:p>
        </w:tc>
        <w:tc>
          <w:tcPr>
            <w:tcW w:w="1510" w:type="dxa"/>
            <w:vMerge w:val="continue"/>
            <w:vAlign w:val="center"/>
          </w:tcPr>
          <w:p>
            <w:pPr>
              <w:widowControl/>
              <w:rPr>
                <w:rFonts w:cs="宋体"/>
                <w:kern w:val="0"/>
                <w:szCs w:val="21"/>
              </w:rPr>
            </w:pPr>
          </w:p>
        </w:tc>
        <w:tc>
          <w:tcPr>
            <w:tcW w:w="7121" w:type="dxa"/>
          </w:tcPr>
          <w:p>
            <w:pPr>
              <w:widowControl/>
              <w:rPr>
                <w:rFonts w:cs="宋体"/>
                <w:kern w:val="0"/>
                <w:szCs w:val="21"/>
              </w:rPr>
            </w:pPr>
            <w:r>
              <w:rPr>
                <w:rFonts w:hint="eastAsia" w:cs="宋体"/>
                <w:kern w:val="0"/>
                <w:szCs w:val="21"/>
              </w:rPr>
              <w:t>支持服务漏洞检测功能，基于服务器请求和响应内容识别服务器存在的系统安全漏洞和应用安全漏洞。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vMerge w:val="restart"/>
          </w:tcPr>
          <w:p>
            <w:pPr>
              <w:rPr>
                <w:rFonts w:cs="宋体"/>
                <w:kern w:val="0"/>
                <w:szCs w:val="21"/>
              </w:rPr>
            </w:pPr>
            <w:r>
              <w:rPr>
                <w:rFonts w:hint="eastAsia" w:cs="宋体"/>
                <w:kern w:val="0"/>
                <w:szCs w:val="21"/>
              </w:rPr>
              <w:t>安全策略管理</w:t>
            </w:r>
          </w:p>
        </w:tc>
        <w:tc>
          <w:tcPr>
            <w:tcW w:w="1510" w:type="dxa"/>
            <w:vAlign w:val="center"/>
          </w:tcPr>
          <w:p>
            <w:pPr>
              <w:widowControl/>
              <w:rPr>
                <w:rFonts w:cs="宋体"/>
                <w:kern w:val="0"/>
                <w:szCs w:val="21"/>
              </w:rPr>
            </w:pPr>
            <w:r>
              <w:rPr>
                <w:rFonts w:hint="eastAsia" w:cs="宋体"/>
                <w:kern w:val="0"/>
                <w:szCs w:val="21"/>
              </w:rPr>
              <w:t>策略快速部署</w:t>
            </w:r>
          </w:p>
        </w:tc>
        <w:tc>
          <w:tcPr>
            <w:tcW w:w="7121" w:type="dxa"/>
          </w:tcPr>
          <w:p>
            <w:pPr>
              <w:widowControl/>
              <w:rPr>
                <w:rFonts w:cs="宋体"/>
                <w:kern w:val="0"/>
                <w:szCs w:val="21"/>
              </w:rPr>
            </w:pPr>
            <w:r>
              <w:rPr>
                <w:rFonts w:hint="eastAsia" w:cs="宋体"/>
                <w:kern w:val="0"/>
                <w:szCs w:val="21"/>
              </w:rPr>
              <w:t>支持在单条安全策略中可同时启用入侵防御、防病毒、U</w:t>
            </w:r>
            <w:r>
              <w:rPr>
                <w:rFonts w:cs="宋体"/>
                <w:kern w:val="0"/>
                <w:szCs w:val="21"/>
              </w:rPr>
              <w:t>RL</w:t>
            </w:r>
            <w:r>
              <w:rPr>
                <w:rFonts w:hint="eastAsia" w:cs="宋体"/>
                <w:kern w:val="0"/>
                <w:szCs w:val="21"/>
              </w:rPr>
              <w:t>过滤、文件过滤、</w:t>
            </w:r>
            <w:r>
              <w:rPr>
                <w:rFonts w:cs="宋体"/>
                <w:kern w:val="0"/>
                <w:szCs w:val="21"/>
              </w:rPr>
              <w:t>W</w:t>
            </w:r>
            <w:r>
              <w:rPr>
                <w:rFonts w:hint="eastAsia" w:cs="宋体"/>
                <w:kern w:val="0"/>
                <w:szCs w:val="21"/>
              </w:rPr>
              <w:t>eb应用防护等安全功能。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vMerge w:val="continue"/>
          </w:tcPr>
          <w:p>
            <w:pPr>
              <w:rPr>
                <w:rFonts w:cs="宋体"/>
                <w:kern w:val="0"/>
                <w:szCs w:val="21"/>
              </w:rPr>
            </w:pPr>
          </w:p>
        </w:tc>
        <w:tc>
          <w:tcPr>
            <w:tcW w:w="1510" w:type="dxa"/>
            <w:vAlign w:val="center"/>
          </w:tcPr>
          <w:p>
            <w:pPr>
              <w:widowControl/>
              <w:rPr>
                <w:rFonts w:cs="宋体"/>
                <w:kern w:val="0"/>
                <w:szCs w:val="21"/>
              </w:rPr>
            </w:pPr>
            <w:r>
              <w:rPr>
                <w:rFonts w:hint="eastAsia" w:cs="宋体"/>
                <w:kern w:val="0"/>
                <w:szCs w:val="21"/>
              </w:rPr>
              <w:t>策略有效性检测</w:t>
            </w:r>
          </w:p>
        </w:tc>
        <w:tc>
          <w:tcPr>
            <w:tcW w:w="7121" w:type="dxa"/>
          </w:tcPr>
          <w:p>
            <w:pPr>
              <w:widowControl/>
              <w:rPr>
                <w:rFonts w:cs="宋体"/>
                <w:kern w:val="0"/>
                <w:szCs w:val="21"/>
              </w:rPr>
            </w:pPr>
            <w:r>
              <w:rPr>
                <w:rFonts w:hint="eastAsia" w:cs="宋体"/>
                <w:kern w:val="0"/>
                <w:szCs w:val="21"/>
              </w:rPr>
              <w:t>支持应用控制策略有效性检测，保障策略持续优化。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vMerge w:val="continue"/>
          </w:tcPr>
          <w:p>
            <w:pPr>
              <w:rPr>
                <w:rFonts w:cs="宋体"/>
                <w:kern w:val="0"/>
                <w:szCs w:val="21"/>
              </w:rPr>
            </w:pPr>
          </w:p>
        </w:tc>
        <w:tc>
          <w:tcPr>
            <w:tcW w:w="1510" w:type="dxa"/>
            <w:vAlign w:val="center"/>
          </w:tcPr>
          <w:p>
            <w:pPr>
              <w:widowControl/>
              <w:rPr>
                <w:rFonts w:cs="宋体"/>
                <w:kern w:val="0"/>
                <w:szCs w:val="21"/>
              </w:rPr>
            </w:pPr>
            <w:r>
              <w:rPr>
                <w:rFonts w:hint="eastAsia" w:cs="宋体"/>
                <w:kern w:val="0"/>
                <w:szCs w:val="21"/>
              </w:rPr>
              <w:t>策略生命周期管理</w:t>
            </w:r>
          </w:p>
        </w:tc>
        <w:tc>
          <w:tcPr>
            <w:tcW w:w="7121" w:type="dxa"/>
          </w:tcPr>
          <w:p>
            <w:pPr>
              <w:widowControl/>
              <w:rPr>
                <w:rFonts w:cs="宋体"/>
                <w:color w:val="000000"/>
                <w:kern w:val="0"/>
                <w:szCs w:val="21"/>
              </w:rPr>
            </w:pPr>
            <w:r>
              <w:rPr>
                <w:rFonts w:hint="eastAsia" w:cs="宋体"/>
                <w:color w:val="000000"/>
                <w:kern w:val="0"/>
                <w:szCs w:val="21"/>
              </w:rPr>
              <w:t>支持应用控制策略生命周期管理，包含安全策略的变更时间、变更类型和策略变更用户，并对变更内容记录日志，方便策略的管理和运维。（提供产品功能截图证明）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vMerge w:val="continue"/>
          </w:tcPr>
          <w:p>
            <w:pPr>
              <w:widowControl/>
              <w:rPr>
                <w:rFonts w:cs="宋体"/>
                <w:kern w:val="0"/>
                <w:szCs w:val="21"/>
              </w:rPr>
            </w:pPr>
          </w:p>
        </w:tc>
        <w:tc>
          <w:tcPr>
            <w:tcW w:w="1510" w:type="dxa"/>
            <w:vAlign w:val="center"/>
          </w:tcPr>
          <w:p>
            <w:pPr>
              <w:widowControl/>
              <w:rPr>
                <w:rFonts w:cs="宋体"/>
                <w:kern w:val="0"/>
                <w:szCs w:val="21"/>
              </w:rPr>
            </w:pPr>
            <w:r>
              <w:rPr>
                <w:rFonts w:hint="eastAsia" w:cs="宋体"/>
                <w:kern w:val="0"/>
                <w:szCs w:val="21"/>
              </w:rPr>
              <w:t>策略优化</w:t>
            </w:r>
          </w:p>
        </w:tc>
        <w:tc>
          <w:tcPr>
            <w:tcW w:w="7121" w:type="dxa"/>
          </w:tcPr>
          <w:p>
            <w:pPr>
              <w:widowControl/>
              <w:rPr>
                <w:rFonts w:cs="宋体"/>
                <w:color w:val="000000"/>
                <w:kern w:val="0"/>
                <w:szCs w:val="21"/>
              </w:rPr>
            </w:pPr>
            <w:r>
              <w:rPr>
                <w:rFonts w:hint="eastAsia" w:cs="宋体"/>
                <w:color w:val="000000"/>
                <w:kern w:val="0"/>
                <w:szCs w:val="21"/>
              </w:rPr>
              <w:t>支持对当前应用控制策略异常分析，包括策略风险访问、策略冗余、策略冲突、策略重合、端口放通过大等问题，并提供相关解决方案便于用户快速调优。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vMerge w:val="restart"/>
          </w:tcPr>
          <w:p>
            <w:pPr>
              <w:widowControl/>
              <w:rPr>
                <w:rFonts w:cs="宋体"/>
                <w:kern w:val="0"/>
                <w:szCs w:val="21"/>
              </w:rPr>
            </w:pPr>
            <w:r>
              <w:rPr>
                <w:rFonts w:hint="eastAsia" w:cs="宋体"/>
                <w:kern w:val="0"/>
                <w:szCs w:val="21"/>
              </w:rPr>
              <w:t>安全运维管理</w:t>
            </w:r>
          </w:p>
        </w:tc>
        <w:tc>
          <w:tcPr>
            <w:tcW w:w="1510" w:type="dxa"/>
            <w:vAlign w:val="center"/>
          </w:tcPr>
          <w:p>
            <w:pPr>
              <w:widowControl/>
              <w:rPr>
                <w:rFonts w:cs="宋体"/>
                <w:kern w:val="0"/>
                <w:szCs w:val="21"/>
              </w:rPr>
            </w:pPr>
            <w:r>
              <w:rPr>
                <w:rFonts w:hint="eastAsia" w:cs="宋体"/>
                <w:kern w:val="0"/>
                <w:szCs w:val="21"/>
              </w:rPr>
              <w:t>资产识别</w:t>
            </w:r>
          </w:p>
        </w:tc>
        <w:tc>
          <w:tcPr>
            <w:tcW w:w="7121" w:type="dxa"/>
          </w:tcPr>
          <w:p>
            <w:pPr>
              <w:widowControl/>
              <w:rPr>
                <w:rFonts w:cs="宋体"/>
                <w:color w:val="000000"/>
                <w:kern w:val="0"/>
                <w:szCs w:val="21"/>
              </w:rPr>
            </w:pPr>
            <w:r>
              <w:rPr>
                <w:rFonts w:hint="eastAsia" w:cs="宋体"/>
                <w:color w:val="000000"/>
                <w:kern w:val="0"/>
                <w:szCs w:val="21"/>
              </w:rPr>
              <w:t>支持Web服务器自动侦测功能，根据Web服务器在线状态、端口使用状态、Web服务器之间的互访关系生成业务资产列表，同时展示内网资产访问的风险等级。（提供产品功能截图）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vMerge w:val="continue"/>
          </w:tcPr>
          <w:p>
            <w:pPr>
              <w:widowControl/>
              <w:rPr>
                <w:rFonts w:cs="宋体"/>
                <w:kern w:val="0"/>
                <w:szCs w:val="21"/>
              </w:rPr>
            </w:pPr>
          </w:p>
        </w:tc>
        <w:tc>
          <w:tcPr>
            <w:tcW w:w="1510" w:type="dxa"/>
            <w:vAlign w:val="center"/>
          </w:tcPr>
          <w:p>
            <w:pPr>
              <w:widowControl/>
              <w:rPr>
                <w:rFonts w:cs="宋体"/>
                <w:kern w:val="0"/>
                <w:szCs w:val="21"/>
              </w:rPr>
            </w:pPr>
            <w:r>
              <w:rPr>
                <w:rFonts w:hint="eastAsia" w:cs="宋体"/>
                <w:kern w:val="0"/>
                <w:szCs w:val="21"/>
              </w:rPr>
              <w:t>终端安全风险分析</w:t>
            </w:r>
          </w:p>
        </w:tc>
        <w:tc>
          <w:tcPr>
            <w:tcW w:w="7121" w:type="dxa"/>
          </w:tcPr>
          <w:p>
            <w:pPr>
              <w:widowControl/>
              <w:rPr>
                <w:rFonts w:cs="宋体"/>
                <w:kern w:val="0"/>
                <w:szCs w:val="21"/>
              </w:rPr>
            </w:pPr>
            <w:r>
              <w:rPr>
                <w:rFonts w:hint="eastAsia" w:cs="宋体"/>
                <w:kern w:val="0"/>
                <w:szCs w:val="21"/>
              </w:rPr>
              <w:t>支持对终端安全风险汇总展示</w:t>
            </w:r>
            <w:r>
              <w:rPr>
                <w:rFonts w:hint="eastAsia" w:cs="宋体"/>
                <w:color w:val="000000"/>
                <w:kern w:val="0"/>
                <w:szCs w:val="21"/>
              </w:rPr>
              <w:t>，按照不同风险等级展示终端整体安全状况，并给出解决建议实现风险快速处置。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vMerge w:val="continue"/>
          </w:tcPr>
          <w:p>
            <w:pPr>
              <w:widowControl/>
              <w:rPr>
                <w:rFonts w:cs="宋体"/>
                <w:kern w:val="0"/>
                <w:szCs w:val="21"/>
              </w:rPr>
            </w:pPr>
          </w:p>
        </w:tc>
        <w:tc>
          <w:tcPr>
            <w:tcW w:w="1510" w:type="dxa"/>
            <w:vAlign w:val="center"/>
          </w:tcPr>
          <w:p>
            <w:pPr>
              <w:widowControl/>
              <w:rPr>
                <w:rFonts w:cs="宋体"/>
                <w:kern w:val="0"/>
                <w:szCs w:val="21"/>
              </w:rPr>
            </w:pPr>
            <w:r>
              <w:rPr>
                <w:rFonts w:hint="eastAsia" w:cs="宋体"/>
                <w:kern w:val="0"/>
                <w:szCs w:val="21"/>
              </w:rPr>
              <w:t>服务器安全风险分析</w:t>
            </w:r>
          </w:p>
        </w:tc>
        <w:tc>
          <w:tcPr>
            <w:tcW w:w="7121" w:type="dxa"/>
          </w:tcPr>
          <w:p>
            <w:pPr>
              <w:widowControl/>
              <w:rPr>
                <w:rFonts w:cs="宋体"/>
                <w:kern w:val="0"/>
                <w:szCs w:val="21"/>
              </w:rPr>
            </w:pPr>
            <w:r>
              <w:rPr>
                <w:rFonts w:hint="eastAsia" w:cs="宋体"/>
                <w:kern w:val="0"/>
                <w:szCs w:val="21"/>
              </w:rPr>
              <w:t>支持对Web服务器安全的风险汇总展示，按照业务重要性、风险等级、攻击事件统计等维度展示Web服务器的整体安全状况，</w:t>
            </w:r>
            <w:r>
              <w:rPr>
                <w:rFonts w:hint="eastAsia" w:cs="宋体"/>
                <w:color w:val="000000"/>
                <w:kern w:val="0"/>
                <w:szCs w:val="21"/>
              </w:rPr>
              <w:t>并给出解决建议实现风险快速处置。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vMerge w:val="continue"/>
          </w:tcPr>
          <w:p>
            <w:pPr>
              <w:widowControl/>
              <w:rPr>
                <w:rFonts w:cs="宋体"/>
                <w:kern w:val="0"/>
                <w:szCs w:val="21"/>
              </w:rPr>
            </w:pPr>
          </w:p>
        </w:tc>
        <w:tc>
          <w:tcPr>
            <w:tcW w:w="1510" w:type="dxa"/>
            <w:vAlign w:val="center"/>
          </w:tcPr>
          <w:p>
            <w:pPr>
              <w:widowControl/>
              <w:rPr>
                <w:rFonts w:cs="宋体"/>
                <w:kern w:val="0"/>
                <w:szCs w:val="21"/>
              </w:rPr>
            </w:pPr>
            <w:r>
              <w:rPr>
                <w:rFonts w:hint="eastAsia" w:cs="宋体"/>
                <w:kern w:val="0"/>
                <w:szCs w:val="21"/>
              </w:rPr>
              <w:t>攻击事件风险分析</w:t>
            </w:r>
          </w:p>
        </w:tc>
        <w:tc>
          <w:tcPr>
            <w:tcW w:w="7121" w:type="dxa"/>
          </w:tcPr>
          <w:p>
            <w:pPr>
              <w:widowControl/>
              <w:rPr>
                <w:rFonts w:cs="宋体"/>
                <w:kern w:val="0"/>
                <w:szCs w:val="21"/>
              </w:rPr>
            </w:pPr>
            <w:r>
              <w:rPr>
                <w:rFonts w:hint="eastAsia" w:cs="宋体"/>
                <w:kern w:val="0"/>
                <w:szCs w:val="21"/>
              </w:rPr>
              <w:t>支持针对业务攻击事件汇总，展示攻击事件类型TOP5及当前业务命中的全网实时热点事件，支持通过地图区域颜色深浅展示攻击者的分布与数量。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0" w:type="dxa"/>
            <w:vMerge w:val="continue"/>
          </w:tcPr>
          <w:p>
            <w:pPr>
              <w:widowControl/>
              <w:rPr>
                <w:rFonts w:cs="宋体"/>
                <w:kern w:val="0"/>
                <w:szCs w:val="21"/>
              </w:rPr>
            </w:pPr>
          </w:p>
        </w:tc>
        <w:tc>
          <w:tcPr>
            <w:tcW w:w="1510" w:type="dxa"/>
            <w:vAlign w:val="center"/>
          </w:tcPr>
          <w:p>
            <w:pPr>
              <w:widowControl/>
              <w:rPr>
                <w:rFonts w:cs="宋体"/>
                <w:kern w:val="0"/>
                <w:szCs w:val="21"/>
              </w:rPr>
            </w:pPr>
            <w:r>
              <w:rPr>
                <w:rFonts w:hint="eastAsia" w:cs="宋体"/>
                <w:kern w:val="0"/>
                <w:szCs w:val="21"/>
              </w:rPr>
              <w:t>安全运维</w:t>
            </w:r>
          </w:p>
        </w:tc>
        <w:tc>
          <w:tcPr>
            <w:tcW w:w="7121" w:type="dxa"/>
          </w:tcPr>
          <w:p>
            <w:pPr>
              <w:widowControl/>
              <w:rPr>
                <w:rFonts w:cs="宋体"/>
                <w:kern w:val="0"/>
                <w:szCs w:val="21"/>
              </w:rPr>
            </w:pPr>
            <w:r>
              <w:rPr>
                <w:rFonts w:hint="eastAsia" w:cs="宋体"/>
                <w:kern w:val="0"/>
                <w:szCs w:val="21"/>
              </w:rPr>
              <w:t>支持实时检测当前网络的整体安全状况，显示当前安全风险问题，并提供建议方案便于快速开展日常安全运维。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150" w:type="dxa"/>
          </w:tcPr>
          <w:p>
            <w:pPr>
              <w:rPr>
                <w:rFonts w:cs="宋体"/>
                <w:color w:val="000000"/>
                <w:kern w:val="0"/>
                <w:szCs w:val="21"/>
              </w:rPr>
            </w:pPr>
            <w:r>
              <w:rPr>
                <w:rFonts w:hint="eastAsia" w:cs="宋体"/>
                <w:color w:val="000000"/>
                <w:kern w:val="0"/>
                <w:szCs w:val="21"/>
              </w:rPr>
              <w:t>产品联动</w:t>
            </w:r>
          </w:p>
        </w:tc>
        <w:tc>
          <w:tcPr>
            <w:tcW w:w="1510" w:type="dxa"/>
            <w:vAlign w:val="center"/>
          </w:tcPr>
          <w:p>
            <w:pPr>
              <w:widowControl/>
              <w:rPr>
                <w:rFonts w:cs="宋体"/>
                <w:color w:val="000000"/>
                <w:kern w:val="0"/>
                <w:szCs w:val="21"/>
              </w:rPr>
            </w:pPr>
            <w:r>
              <w:rPr>
                <w:rFonts w:hint="eastAsia" w:cs="宋体"/>
                <w:color w:val="000000"/>
                <w:kern w:val="0"/>
                <w:szCs w:val="21"/>
              </w:rPr>
              <w:t>网端联动</w:t>
            </w:r>
          </w:p>
        </w:tc>
        <w:tc>
          <w:tcPr>
            <w:tcW w:w="7121" w:type="dxa"/>
          </w:tcPr>
          <w:p>
            <w:pPr>
              <w:widowControl/>
              <w:rPr>
                <w:rFonts w:cs="宋体"/>
                <w:kern w:val="0"/>
                <w:szCs w:val="21"/>
              </w:rPr>
            </w:pPr>
            <w:r>
              <w:rPr>
                <w:rFonts w:hint="eastAsia" w:cs="宋体"/>
                <w:kern w:val="0"/>
                <w:szCs w:val="21"/>
              </w:rPr>
              <w:t>支持与同品牌E</w:t>
            </w:r>
            <w:r>
              <w:rPr>
                <w:rFonts w:cs="宋体"/>
                <w:kern w:val="0"/>
                <w:szCs w:val="21"/>
              </w:rPr>
              <w:t>DR</w:t>
            </w:r>
            <w:r>
              <w:rPr>
                <w:rFonts w:hint="eastAsia" w:cs="宋体"/>
                <w:kern w:val="0"/>
                <w:szCs w:val="21"/>
              </w:rPr>
              <w:t>产品进行联动处置，快速闭环。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150" w:type="dxa"/>
            <w:vMerge w:val="restart"/>
          </w:tcPr>
          <w:p>
            <w:pPr>
              <w:rPr>
                <w:rFonts w:cs="宋体"/>
                <w:color w:val="000000"/>
                <w:kern w:val="0"/>
                <w:szCs w:val="21"/>
              </w:rPr>
            </w:pPr>
            <w:r>
              <w:rPr>
                <w:rFonts w:hint="eastAsia" w:cs="宋体"/>
                <w:color w:val="000000"/>
                <w:kern w:val="0"/>
                <w:szCs w:val="21"/>
              </w:rPr>
              <w:t>资质要求</w:t>
            </w:r>
          </w:p>
        </w:tc>
        <w:tc>
          <w:tcPr>
            <w:tcW w:w="1510" w:type="dxa"/>
            <w:vAlign w:val="center"/>
          </w:tcPr>
          <w:p>
            <w:pPr>
              <w:widowControl/>
              <w:rPr>
                <w:rFonts w:cs="宋体"/>
                <w:color w:val="000000"/>
                <w:kern w:val="0"/>
                <w:szCs w:val="21"/>
              </w:rPr>
            </w:pPr>
            <w:r>
              <w:rPr>
                <w:rFonts w:hint="eastAsia" w:cs="宋体"/>
                <w:color w:val="000000"/>
                <w:kern w:val="0"/>
                <w:szCs w:val="21"/>
              </w:rPr>
              <w:t>产品资质</w:t>
            </w:r>
          </w:p>
        </w:tc>
        <w:tc>
          <w:tcPr>
            <w:tcW w:w="7121" w:type="dxa"/>
          </w:tcPr>
          <w:p>
            <w:pPr>
              <w:widowControl/>
              <w:rPr>
                <w:rFonts w:cs="宋体"/>
                <w:kern w:val="0"/>
                <w:szCs w:val="21"/>
              </w:rPr>
            </w:pPr>
            <w:r>
              <w:rPr>
                <w:rFonts w:hint="eastAsia" w:cs="宋体"/>
                <w:kern w:val="0"/>
                <w:szCs w:val="21"/>
              </w:rPr>
              <w:t>要求所投产品具备中国国家信息安全产品认证证书。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150" w:type="dxa"/>
            <w:vMerge w:val="continue"/>
          </w:tcPr>
          <w:p>
            <w:pPr>
              <w:widowControl/>
              <w:rPr>
                <w:rFonts w:cs="宋体"/>
                <w:color w:val="000000"/>
                <w:kern w:val="0"/>
                <w:szCs w:val="21"/>
              </w:rPr>
            </w:pPr>
          </w:p>
        </w:tc>
        <w:tc>
          <w:tcPr>
            <w:tcW w:w="1510" w:type="dxa"/>
            <w:vAlign w:val="center"/>
          </w:tcPr>
          <w:p>
            <w:pPr>
              <w:widowControl/>
              <w:rPr>
                <w:rFonts w:cs="宋体"/>
                <w:color w:val="000000"/>
                <w:kern w:val="0"/>
                <w:szCs w:val="21"/>
              </w:rPr>
            </w:pPr>
            <w:r>
              <w:rPr>
                <w:rFonts w:hint="eastAsia" w:cs="宋体"/>
                <w:color w:val="000000"/>
                <w:kern w:val="0"/>
                <w:szCs w:val="21"/>
              </w:rPr>
              <w:t>厂商资质</w:t>
            </w:r>
          </w:p>
        </w:tc>
        <w:tc>
          <w:tcPr>
            <w:tcW w:w="7121" w:type="dxa"/>
          </w:tcPr>
          <w:p>
            <w:pPr>
              <w:widowControl/>
              <w:jc w:val="left"/>
              <w:rPr>
                <w:rFonts w:cs="宋体"/>
                <w:color w:val="000000"/>
                <w:kern w:val="0"/>
                <w:szCs w:val="21"/>
              </w:rPr>
            </w:pPr>
            <w:r>
              <w:rPr>
                <w:rFonts w:hint="eastAsia" w:cs="宋体"/>
                <w:kern w:val="0"/>
                <w:szCs w:val="21"/>
              </w:rPr>
              <w:t>厂商应是国家互联网应急响应中心网络安全应急服务国家级支撑单位；（提供相关资料证明）</w:t>
            </w:r>
          </w:p>
        </w:tc>
      </w:tr>
    </w:tbl>
    <w:p>
      <w:pPr>
        <w:pStyle w:val="5"/>
        <w:numPr>
          <w:ilvl w:val="0"/>
          <w:numId w:val="3"/>
        </w:numPr>
        <w:spacing w:before="0" w:after="0" w:line="413" w:lineRule="auto"/>
      </w:pPr>
      <w:r>
        <w:rPr>
          <w:rFonts w:hint="eastAsia"/>
        </w:rPr>
        <w:t>日志审计</w:t>
      </w:r>
    </w:p>
    <w:tbl>
      <w:tblPr>
        <w:tblStyle w:val="27"/>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3" w:type="dxa"/>
            <w:vAlign w:val="center"/>
          </w:tcPr>
          <w:p>
            <w:pPr>
              <w:widowControl/>
              <w:rPr>
                <w:rFonts w:cs="宋体"/>
                <w:kern w:val="0"/>
                <w:szCs w:val="21"/>
              </w:rPr>
            </w:pPr>
            <w:r>
              <w:rPr>
                <w:rFonts w:cs="宋体"/>
                <w:kern w:val="0"/>
                <w:szCs w:val="21"/>
              </w:rPr>
              <w:t>技术指标</w:t>
            </w:r>
          </w:p>
        </w:tc>
        <w:tc>
          <w:tcPr>
            <w:tcW w:w="7744" w:type="dxa"/>
            <w:vAlign w:val="center"/>
          </w:tcPr>
          <w:p>
            <w:pPr>
              <w:widowControl/>
              <w:rPr>
                <w:rFonts w:cs="宋体"/>
                <w:kern w:val="0"/>
                <w:szCs w:val="21"/>
              </w:rPr>
            </w:pPr>
            <w:r>
              <w:rPr>
                <w:rFonts w:cs="宋体"/>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3" w:type="dxa"/>
            <w:shd w:val="clear" w:color="auto" w:fill="FFFFFF"/>
            <w:vAlign w:val="center"/>
          </w:tcPr>
          <w:p>
            <w:pPr>
              <w:widowControl/>
              <w:rPr>
                <w:rFonts w:cs="宋体"/>
                <w:kern w:val="0"/>
                <w:szCs w:val="21"/>
              </w:rPr>
            </w:pPr>
            <w:r>
              <w:rPr>
                <w:rFonts w:hint="eastAsia" w:cs="宋体"/>
                <w:kern w:val="0"/>
                <w:szCs w:val="21"/>
              </w:rPr>
              <w:t>产品结构</w:t>
            </w:r>
          </w:p>
        </w:tc>
        <w:tc>
          <w:tcPr>
            <w:tcW w:w="7744" w:type="dxa"/>
            <w:shd w:val="clear" w:color="auto" w:fill="FFFFFF"/>
            <w:vAlign w:val="center"/>
          </w:tcPr>
          <w:p>
            <w:pPr>
              <w:widowControl/>
              <w:rPr>
                <w:rFonts w:cs="宋体"/>
                <w:kern w:val="0"/>
                <w:szCs w:val="21"/>
              </w:rPr>
            </w:pPr>
            <w:r>
              <w:rPr>
                <w:rFonts w:hint="eastAsia" w:cs="宋体"/>
                <w:kern w:val="0"/>
                <w:szCs w:val="21"/>
              </w:rPr>
              <w:t>要求为一个完整的软硬件一体化产品；无需用户另行提供服务器、操作系统、数据库、防火墙软件、及用户手动升级系统补丁；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3" w:type="dxa"/>
            <w:shd w:val="clear" w:color="auto" w:fill="FFFFFF"/>
            <w:vAlign w:val="center"/>
          </w:tcPr>
          <w:p>
            <w:pPr>
              <w:widowControl/>
              <w:rPr>
                <w:rFonts w:cs="宋体"/>
                <w:kern w:val="0"/>
                <w:szCs w:val="21"/>
              </w:rPr>
            </w:pPr>
            <w:r>
              <w:rPr>
                <w:rFonts w:hint="eastAsia" w:cs="宋体"/>
                <w:kern w:val="0"/>
                <w:szCs w:val="21"/>
              </w:rPr>
              <w:t>产品架构</w:t>
            </w:r>
          </w:p>
        </w:tc>
        <w:tc>
          <w:tcPr>
            <w:tcW w:w="7744" w:type="dxa"/>
            <w:shd w:val="clear" w:color="auto" w:fill="FFFFFF"/>
            <w:vAlign w:val="center"/>
          </w:tcPr>
          <w:p>
            <w:pPr>
              <w:widowControl/>
              <w:rPr>
                <w:rFonts w:cs="宋体"/>
                <w:kern w:val="0"/>
                <w:szCs w:val="21"/>
              </w:rPr>
            </w:pPr>
            <w:r>
              <w:rPr>
                <w:rFonts w:hint="eastAsia" w:cs="宋体"/>
                <w:kern w:val="0"/>
                <w:szCs w:val="21"/>
              </w:rPr>
              <w:t>采用标准2U机架式硬件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3" w:type="dxa"/>
            <w:shd w:val="clear" w:color="auto" w:fill="FFFFFF"/>
            <w:vAlign w:val="center"/>
          </w:tcPr>
          <w:p>
            <w:pPr>
              <w:widowControl/>
              <w:rPr>
                <w:rFonts w:cs="宋体"/>
                <w:kern w:val="0"/>
                <w:szCs w:val="21"/>
              </w:rPr>
            </w:pPr>
            <w:r>
              <w:rPr>
                <w:rFonts w:hint="eastAsia" w:cs="宋体"/>
                <w:kern w:val="0"/>
                <w:szCs w:val="21"/>
              </w:rPr>
              <w:t>管理方式</w:t>
            </w:r>
          </w:p>
        </w:tc>
        <w:tc>
          <w:tcPr>
            <w:tcW w:w="7744" w:type="dxa"/>
            <w:shd w:val="clear" w:color="auto" w:fill="FFFFFF"/>
            <w:vAlign w:val="center"/>
          </w:tcPr>
          <w:p>
            <w:pPr>
              <w:widowControl/>
              <w:rPr>
                <w:rFonts w:cs="宋体"/>
                <w:kern w:val="0"/>
                <w:szCs w:val="21"/>
              </w:rPr>
            </w:pPr>
            <w:r>
              <w:rPr>
                <w:rFonts w:hint="eastAsia" w:cs="宋体"/>
                <w:kern w:val="0"/>
                <w:szCs w:val="21"/>
              </w:rPr>
              <w:t>B/S方式，采用HTTPS方式远程安全管理，无需安装管理客户端；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3" w:type="dxa"/>
            <w:shd w:val="clear" w:color="auto" w:fill="FFFFFF"/>
            <w:vAlign w:val="center"/>
          </w:tcPr>
          <w:p>
            <w:pPr>
              <w:widowControl/>
              <w:rPr>
                <w:rFonts w:cs="宋体"/>
                <w:kern w:val="0"/>
                <w:szCs w:val="21"/>
              </w:rPr>
            </w:pPr>
            <w:r>
              <w:rPr>
                <w:rFonts w:hint="eastAsia" w:cs="宋体"/>
                <w:kern w:val="0"/>
                <w:szCs w:val="21"/>
              </w:rPr>
              <w:t>设备部署</w:t>
            </w:r>
          </w:p>
        </w:tc>
        <w:tc>
          <w:tcPr>
            <w:tcW w:w="7744" w:type="dxa"/>
            <w:shd w:val="clear" w:color="auto" w:fill="FFFFFF"/>
            <w:vAlign w:val="center"/>
          </w:tcPr>
          <w:p>
            <w:pPr>
              <w:widowControl/>
              <w:rPr>
                <w:rFonts w:cs="宋体"/>
                <w:kern w:val="0"/>
                <w:szCs w:val="21"/>
              </w:rPr>
            </w:pPr>
            <w:r>
              <w:rPr>
                <w:rFonts w:hint="eastAsia" w:cs="宋体"/>
                <w:kern w:val="0"/>
                <w:szCs w:val="21"/>
              </w:rPr>
              <w:t>提供旁路接入模式，设备部署不影响原有网络结构；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3" w:type="dxa"/>
            <w:shd w:val="clear" w:color="auto" w:fill="FFFFFF"/>
            <w:vAlign w:val="center"/>
          </w:tcPr>
          <w:p>
            <w:pPr>
              <w:widowControl/>
              <w:rPr>
                <w:rFonts w:cs="宋体"/>
                <w:kern w:val="0"/>
                <w:szCs w:val="21"/>
              </w:rPr>
            </w:pPr>
            <w:r>
              <w:rPr>
                <w:rFonts w:hint="eastAsia" w:cs="宋体"/>
                <w:kern w:val="0"/>
                <w:szCs w:val="21"/>
              </w:rPr>
              <w:t>数据存储</w:t>
            </w:r>
          </w:p>
        </w:tc>
        <w:tc>
          <w:tcPr>
            <w:tcW w:w="7744" w:type="dxa"/>
            <w:shd w:val="clear" w:color="auto" w:fill="FFFFFF"/>
            <w:vAlign w:val="center"/>
          </w:tcPr>
          <w:p>
            <w:pPr>
              <w:widowControl/>
              <w:rPr>
                <w:rFonts w:cs="宋体"/>
                <w:kern w:val="0"/>
                <w:szCs w:val="21"/>
              </w:rPr>
            </w:pPr>
            <w:r>
              <w:rPr>
                <w:rFonts w:hint="eastAsia" w:cs="宋体"/>
                <w:kern w:val="0"/>
                <w:szCs w:val="21"/>
              </w:rPr>
              <w:t>所供系统设备必须自带本地存储功能；</w:t>
            </w:r>
          </w:p>
          <w:p>
            <w:pPr>
              <w:widowControl/>
              <w:rPr>
                <w:rFonts w:cs="宋体"/>
                <w:kern w:val="0"/>
                <w:szCs w:val="21"/>
              </w:rPr>
            </w:pPr>
            <w:r>
              <w:rPr>
                <w:rFonts w:hint="eastAsia" w:cs="宋体"/>
                <w:kern w:val="0"/>
                <w:szCs w:val="21"/>
              </w:rPr>
              <w:t>可用物理磁盘空间&gt;=</w:t>
            </w:r>
            <w:r>
              <w:rPr>
                <w:rFonts w:cs="宋体"/>
                <w:kern w:val="0"/>
                <w:szCs w:val="21"/>
              </w:rPr>
              <w:t>2</w:t>
            </w:r>
            <w:r>
              <w:rPr>
                <w:rFonts w:hint="eastAsia" w:cs="宋体"/>
                <w:kern w:val="0"/>
                <w:szCs w:val="21"/>
              </w:rPr>
              <w:t>TB；日志存储量至少十亿条；</w:t>
            </w:r>
          </w:p>
          <w:p>
            <w:pPr>
              <w:widowControl/>
              <w:rPr>
                <w:rFonts w:cs="宋体"/>
                <w:kern w:val="0"/>
                <w:szCs w:val="21"/>
              </w:rPr>
            </w:pPr>
            <w:r>
              <w:rPr>
                <w:rFonts w:hint="eastAsia" w:cs="宋体"/>
                <w:kern w:val="0"/>
                <w:szCs w:val="21"/>
              </w:rPr>
              <w:t>RAID架构以保证数据可靠性；</w:t>
            </w:r>
          </w:p>
          <w:p>
            <w:pPr>
              <w:widowControl/>
              <w:rPr>
                <w:rFonts w:cs="宋体"/>
                <w:kern w:val="0"/>
                <w:szCs w:val="21"/>
              </w:rPr>
            </w:pPr>
            <w:r>
              <w:rPr>
                <w:rFonts w:hint="eastAsia" w:cs="宋体"/>
                <w:kern w:val="0"/>
                <w:szCs w:val="21"/>
              </w:rPr>
              <w:t>支持后期扩展外部网络存储(IP SAN、NAS、DAS、磁盘阵列等)；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3" w:type="dxa"/>
            <w:shd w:val="clear" w:color="auto" w:fill="FFFFFF"/>
            <w:vAlign w:val="center"/>
          </w:tcPr>
          <w:p>
            <w:pPr>
              <w:widowControl/>
              <w:rPr>
                <w:rFonts w:cs="宋体"/>
                <w:kern w:val="0"/>
                <w:szCs w:val="21"/>
              </w:rPr>
            </w:pPr>
            <w:r>
              <w:rPr>
                <w:rFonts w:hint="eastAsia" w:cs="宋体"/>
                <w:kern w:val="0"/>
                <w:szCs w:val="21"/>
              </w:rPr>
              <w:t>处理性能</w:t>
            </w:r>
          </w:p>
        </w:tc>
        <w:tc>
          <w:tcPr>
            <w:tcW w:w="7744" w:type="dxa"/>
            <w:shd w:val="clear" w:color="auto" w:fill="FFFFFF"/>
            <w:vAlign w:val="center"/>
          </w:tcPr>
          <w:p>
            <w:pPr>
              <w:widowControl/>
              <w:rPr>
                <w:rFonts w:cs="宋体"/>
                <w:kern w:val="0"/>
                <w:szCs w:val="21"/>
              </w:rPr>
            </w:pPr>
            <w:r>
              <w:rPr>
                <w:rFonts w:hint="eastAsia" w:cs="宋体"/>
                <w:kern w:val="0"/>
                <w:szCs w:val="21"/>
              </w:rPr>
              <w:t>日志采集能力：5000条/秒以上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3" w:type="dxa"/>
            <w:shd w:val="clear" w:color="auto" w:fill="FFFFFF"/>
            <w:vAlign w:val="center"/>
          </w:tcPr>
          <w:p>
            <w:pPr>
              <w:widowControl/>
              <w:rPr>
                <w:rFonts w:cs="宋体"/>
                <w:kern w:val="0"/>
                <w:szCs w:val="21"/>
              </w:rPr>
            </w:pPr>
            <w:r>
              <w:rPr>
                <w:rFonts w:hint="eastAsia" w:cs="宋体"/>
                <w:kern w:val="0"/>
                <w:szCs w:val="21"/>
              </w:rPr>
              <w:t>数据采集</w:t>
            </w:r>
          </w:p>
        </w:tc>
        <w:tc>
          <w:tcPr>
            <w:tcW w:w="7744" w:type="dxa"/>
            <w:shd w:val="clear" w:color="auto" w:fill="FFFFFF"/>
            <w:vAlign w:val="center"/>
          </w:tcPr>
          <w:p>
            <w:pPr>
              <w:widowControl/>
              <w:rPr>
                <w:rFonts w:cs="宋体"/>
                <w:kern w:val="0"/>
                <w:szCs w:val="21"/>
              </w:rPr>
            </w:pPr>
            <w:r>
              <w:rPr>
                <w:rFonts w:hint="eastAsia" w:cs="宋体"/>
                <w:kern w:val="0"/>
                <w:szCs w:val="21"/>
              </w:rPr>
              <w:t>支持通过页面直接将日志文件导入或以syslog方式接收日志信息，支持日志类型：UNIX、WINDOWS事件[2000、2003、2008、XP、VISTA、Win7及以上版本]、网络及安全设备[Cisco、Array、Juniper、H3C、神州数码、绿盟、天融信、安氏领信、网神]、AS400日志、数据库访问[Mysql]、WEB访问[Apache、IIS、Tomcat、Nginx、Weblogic、Resin、Websphere]、文件访问[VSftpd、Pureftpd、NCftpd、IISftpd、Proftpd、Glftpd、Serv-u]、数据库服务[Oracle、Mssql、Mysql、DB2、Informix、Sybase]、WEB服务[Apache、Tomcat、Nginx、Weblogic、Resin、Websphere]、FTP服务[VSftpd、NCftpd、Proftpd、Glftpd、Serv-u]；</w:t>
            </w:r>
          </w:p>
          <w:p>
            <w:pPr>
              <w:widowControl/>
              <w:rPr>
                <w:rFonts w:cs="宋体"/>
                <w:kern w:val="0"/>
                <w:szCs w:val="21"/>
              </w:rPr>
            </w:pPr>
            <w:r>
              <w:rPr>
                <w:rFonts w:hint="eastAsia" w:cs="宋体"/>
                <w:kern w:val="0"/>
                <w:szCs w:val="21"/>
              </w:rPr>
              <w:t>支持SNMP日志采集，支持日志类型：网络及安全设备[Cisco、Array、Juniper、H3C、神州数码、绿盟、天融信、安氏领信、网神]</w:t>
            </w:r>
          </w:p>
          <w:p>
            <w:pPr>
              <w:widowControl/>
              <w:rPr>
                <w:rFonts w:cs="宋体"/>
                <w:kern w:val="0"/>
                <w:szCs w:val="21"/>
              </w:rPr>
            </w:pPr>
            <w:r>
              <w:rPr>
                <w:rFonts w:hint="eastAsia" w:cs="宋体"/>
                <w:kern w:val="0"/>
                <w:szCs w:val="21"/>
              </w:rPr>
              <w:t>支持镜像数据采集，支持类型：数据库模块[Oracle、Mssql、Mysql、DB2、Informix、Sybase]、文件传输模块[FTP、SMB、HTTP]、邮件模块[SMTP、POP、HTTP]、即时通讯模块[淘宝旺旺、MSN、QQ]、远程控制模块[Telnet]、网站访问模块[网页浏览、论坛微博]、入侵检测、业务检测、流量监控；</w:t>
            </w:r>
          </w:p>
          <w:p>
            <w:pPr>
              <w:widowControl/>
              <w:rPr>
                <w:rFonts w:cs="宋体"/>
                <w:kern w:val="0"/>
                <w:szCs w:val="21"/>
              </w:rPr>
            </w:pPr>
            <w:r>
              <w:rPr>
                <w:rFonts w:hint="eastAsia" w:cs="宋体"/>
                <w:kern w:val="0"/>
                <w:szCs w:val="21"/>
              </w:rPr>
              <w:t>支持文本型日志文件定时采集，可自动将日志文件采集到系统中分析存储；（提供产品页面截图证明）</w:t>
            </w:r>
            <w:r>
              <w:rPr>
                <w:rFonts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3" w:type="dxa"/>
            <w:shd w:val="clear" w:color="auto" w:fill="FFFFFF"/>
            <w:vAlign w:val="center"/>
          </w:tcPr>
          <w:p>
            <w:pPr>
              <w:widowControl/>
              <w:rPr>
                <w:rFonts w:cs="宋体"/>
                <w:kern w:val="0"/>
                <w:szCs w:val="21"/>
              </w:rPr>
            </w:pPr>
            <w:r>
              <w:rPr>
                <w:rFonts w:hint="eastAsia" w:cs="宋体"/>
                <w:kern w:val="0"/>
                <w:szCs w:val="21"/>
              </w:rPr>
              <w:t>报表分析</w:t>
            </w:r>
          </w:p>
        </w:tc>
        <w:tc>
          <w:tcPr>
            <w:tcW w:w="7744" w:type="dxa"/>
            <w:shd w:val="clear" w:color="auto" w:fill="FFFFFF"/>
            <w:vAlign w:val="center"/>
          </w:tcPr>
          <w:p>
            <w:pPr>
              <w:widowControl/>
              <w:rPr>
                <w:rFonts w:cs="宋体"/>
                <w:kern w:val="0"/>
                <w:szCs w:val="21"/>
              </w:rPr>
            </w:pPr>
            <w:r>
              <w:rPr>
                <w:rFonts w:hint="eastAsia" w:cs="宋体"/>
                <w:kern w:val="0"/>
                <w:szCs w:val="21"/>
              </w:rPr>
              <w:t>系统内置多种类报表模板；</w:t>
            </w:r>
          </w:p>
          <w:p>
            <w:pPr>
              <w:widowControl/>
              <w:rPr>
                <w:rFonts w:cs="宋体"/>
                <w:kern w:val="0"/>
                <w:szCs w:val="21"/>
              </w:rPr>
            </w:pPr>
            <w:r>
              <w:rPr>
                <w:rFonts w:hint="eastAsia" w:cs="宋体"/>
                <w:kern w:val="0"/>
                <w:szCs w:val="21"/>
              </w:rPr>
              <w:t>支持动态\静态（日报、周报、月报）两种系统生成方式；</w:t>
            </w:r>
          </w:p>
          <w:p>
            <w:pPr>
              <w:widowControl/>
              <w:rPr>
                <w:rFonts w:cs="宋体"/>
                <w:kern w:val="0"/>
                <w:szCs w:val="21"/>
              </w:rPr>
            </w:pPr>
            <w:r>
              <w:rPr>
                <w:rFonts w:hint="eastAsia" w:cs="宋体"/>
                <w:kern w:val="0"/>
                <w:szCs w:val="21"/>
              </w:rPr>
              <w:t>支持导出html、Excel、PDF；</w:t>
            </w:r>
          </w:p>
          <w:p>
            <w:pPr>
              <w:widowControl/>
              <w:rPr>
                <w:rFonts w:cs="宋体"/>
                <w:kern w:val="0"/>
                <w:szCs w:val="21"/>
              </w:rPr>
            </w:pPr>
            <w:r>
              <w:rPr>
                <w:rFonts w:hint="eastAsia" w:cs="宋体"/>
                <w:kern w:val="0"/>
                <w:szCs w:val="21"/>
              </w:rPr>
              <w:t>支持管理员自定义审计报表模板；</w:t>
            </w:r>
            <w:r>
              <w:rPr>
                <w:rFonts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3" w:type="dxa"/>
            <w:shd w:val="clear" w:color="auto" w:fill="FFFFFF"/>
            <w:vAlign w:val="center"/>
          </w:tcPr>
          <w:p>
            <w:pPr>
              <w:widowControl/>
              <w:rPr>
                <w:rFonts w:cs="宋体"/>
                <w:kern w:val="0"/>
                <w:szCs w:val="21"/>
              </w:rPr>
            </w:pPr>
            <w:r>
              <w:rPr>
                <w:rFonts w:hint="eastAsia" w:cs="宋体"/>
                <w:kern w:val="0"/>
                <w:szCs w:val="21"/>
              </w:rPr>
              <w:t>日志审计</w:t>
            </w:r>
          </w:p>
        </w:tc>
        <w:tc>
          <w:tcPr>
            <w:tcW w:w="7744" w:type="dxa"/>
            <w:shd w:val="clear" w:color="auto" w:fill="FFFFFF"/>
            <w:vAlign w:val="center"/>
          </w:tcPr>
          <w:p>
            <w:pPr>
              <w:widowControl/>
              <w:rPr>
                <w:rFonts w:cs="宋体"/>
                <w:kern w:val="0"/>
                <w:szCs w:val="21"/>
              </w:rPr>
            </w:pPr>
            <w:r>
              <w:rPr>
                <w:rFonts w:hint="eastAsia" w:cs="宋体"/>
                <w:kern w:val="0"/>
                <w:szCs w:val="21"/>
              </w:rPr>
              <w:t>支持显示审计事件分类统计列表，根据审计策略名称、审计事件类型、被审计人员、目标设备地址四个维度展现；（需提供产品功能截图证明）</w:t>
            </w:r>
          </w:p>
          <w:p>
            <w:pPr>
              <w:widowControl/>
              <w:rPr>
                <w:rFonts w:cs="宋体"/>
                <w:kern w:val="0"/>
                <w:szCs w:val="21"/>
              </w:rPr>
            </w:pPr>
            <w:r>
              <w:rPr>
                <w:rFonts w:hint="eastAsia" w:cs="宋体"/>
                <w:kern w:val="0"/>
                <w:szCs w:val="21"/>
              </w:rPr>
              <w:t>通过事件总数查看具体的审计事件，并可以查看该审计事件的原始事件的详细内容和归并数量；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3" w:type="dxa"/>
            <w:shd w:val="clear" w:color="auto" w:fill="FFFFFF"/>
            <w:vAlign w:val="center"/>
          </w:tcPr>
          <w:p>
            <w:pPr>
              <w:widowControl/>
              <w:rPr>
                <w:rFonts w:cs="宋体"/>
                <w:kern w:val="0"/>
                <w:szCs w:val="21"/>
              </w:rPr>
            </w:pPr>
            <w:r>
              <w:rPr>
                <w:rFonts w:hint="eastAsia" w:cs="宋体"/>
                <w:kern w:val="0"/>
                <w:szCs w:val="21"/>
              </w:rPr>
              <w:t>查询分析</w:t>
            </w:r>
          </w:p>
        </w:tc>
        <w:tc>
          <w:tcPr>
            <w:tcW w:w="7744" w:type="dxa"/>
            <w:shd w:val="clear" w:color="auto" w:fill="FFFFFF"/>
            <w:vAlign w:val="center"/>
          </w:tcPr>
          <w:p>
            <w:pPr>
              <w:widowControl/>
              <w:rPr>
                <w:rFonts w:cs="宋体"/>
                <w:kern w:val="0"/>
                <w:szCs w:val="21"/>
              </w:rPr>
            </w:pPr>
            <w:r>
              <w:rPr>
                <w:rFonts w:hint="eastAsia" w:cs="宋体"/>
                <w:kern w:val="0"/>
                <w:szCs w:val="21"/>
              </w:rPr>
              <w:t>支持多种方式的查询检索，包括：日志检索、事件检索、告警检索、高级检索及文件检索；（提供产品页面截图证明）</w:t>
            </w:r>
            <w:r>
              <w:rPr>
                <w:rFonts w:cs="宋体"/>
                <w:kern w:val="0"/>
                <w:szCs w:val="21"/>
              </w:rPr>
              <w:t xml:space="preserve"> </w:t>
            </w:r>
          </w:p>
          <w:p>
            <w:pPr>
              <w:widowControl/>
              <w:rPr>
                <w:rFonts w:cs="宋体"/>
                <w:kern w:val="0"/>
                <w:szCs w:val="21"/>
              </w:rPr>
            </w:pPr>
            <w:r>
              <w:rPr>
                <w:rFonts w:hint="eastAsia" w:cs="宋体"/>
                <w:kern w:val="0"/>
                <w:szCs w:val="21"/>
              </w:rPr>
              <w:t>支持以日志类型、时间范围及条件字段快速检索过滤；</w:t>
            </w:r>
          </w:p>
          <w:p>
            <w:pPr>
              <w:widowControl/>
              <w:rPr>
                <w:rFonts w:cs="宋体"/>
                <w:kern w:val="0"/>
                <w:szCs w:val="21"/>
              </w:rPr>
            </w:pPr>
            <w:r>
              <w:rPr>
                <w:rFonts w:hint="eastAsia" w:cs="宋体"/>
                <w:kern w:val="0"/>
                <w:szCs w:val="21"/>
              </w:rPr>
              <w:t>支持查询模版创建、修改、删除功能；</w:t>
            </w:r>
            <w:r>
              <w:rPr>
                <w:rFonts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3" w:type="dxa"/>
            <w:shd w:val="clear" w:color="auto" w:fill="FFFFFF"/>
            <w:vAlign w:val="center"/>
          </w:tcPr>
          <w:p>
            <w:pPr>
              <w:widowControl/>
              <w:rPr>
                <w:rFonts w:cs="宋体"/>
                <w:kern w:val="0"/>
                <w:szCs w:val="21"/>
              </w:rPr>
            </w:pPr>
            <w:r>
              <w:rPr>
                <w:rFonts w:hint="eastAsia" w:cs="宋体"/>
                <w:kern w:val="0"/>
                <w:szCs w:val="21"/>
              </w:rPr>
              <w:t>系统配置</w:t>
            </w:r>
          </w:p>
        </w:tc>
        <w:tc>
          <w:tcPr>
            <w:tcW w:w="7744" w:type="dxa"/>
            <w:shd w:val="clear" w:color="auto" w:fill="FFFFFF"/>
            <w:vAlign w:val="center"/>
          </w:tcPr>
          <w:p>
            <w:pPr>
              <w:widowControl/>
              <w:rPr>
                <w:rFonts w:cs="宋体"/>
                <w:kern w:val="0"/>
                <w:szCs w:val="21"/>
              </w:rPr>
            </w:pPr>
            <w:r>
              <w:rPr>
                <w:rFonts w:hint="eastAsia" w:cs="宋体"/>
                <w:kern w:val="0"/>
                <w:szCs w:val="21"/>
              </w:rPr>
              <w:t>支持审计系统用户（组）管理（添加、修改、删除、停用、启用）；</w:t>
            </w:r>
          </w:p>
          <w:p>
            <w:pPr>
              <w:widowControl/>
              <w:rPr>
                <w:rFonts w:cs="宋体"/>
                <w:kern w:val="0"/>
                <w:szCs w:val="21"/>
              </w:rPr>
            </w:pPr>
            <w:r>
              <w:rPr>
                <w:rFonts w:hint="eastAsia" w:cs="宋体"/>
                <w:kern w:val="0"/>
                <w:szCs w:val="21"/>
              </w:rPr>
              <w:t>支持密码长度、复杂度，密码猜测自动锁定账号以及系统超时设置安全策略；</w:t>
            </w:r>
          </w:p>
          <w:p>
            <w:pPr>
              <w:widowControl/>
              <w:rPr>
                <w:rFonts w:cs="宋体"/>
                <w:kern w:val="0"/>
                <w:szCs w:val="21"/>
              </w:rPr>
            </w:pPr>
            <w:r>
              <w:rPr>
                <w:rFonts w:hint="eastAsia" w:cs="宋体"/>
                <w:kern w:val="0"/>
                <w:szCs w:val="21"/>
              </w:rPr>
              <w:t>支持安全页面（SSL）证书下载；（提供相关产品截图证明）</w:t>
            </w:r>
            <w:r>
              <w:rPr>
                <w:rFonts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3" w:type="dxa"/>
            <w:shd w:val="clear" w:color="auto" w:fill="FFFFFF"/>
            <w:vAlign w:val="center"/>
          </w:tcPr>
          <w:p>
            <w:pPr>
              <w:widowControl/>
              <w:rPr>
                <w:rFonts w:cs="宋体"/>
                <w:kern w:val="0"/>
                <w:szCs w:val="21"/>
              </w:rPr>
            </w:pPr>
            <w:r>
              <w:rPr>
                <w:rFonts w:hint="eastAsia" w:cs="宋体"/>
                <w:kern w:val="0"/>
                <w:szCs w:val="21"/>
              </w:rPr>
              <w:t>系统自身安全</w:t>
            </w:r>
          </w:p>
        </w:tc>
        <w:tc>
          <w:tcPr>
            <w:tcW w:w="7744" w:type="dxa"/>
            <w:shd w:val="clear" w:color="auto" w:fill="FFFFFF"/>
            <w:vAlign w:val="center"/>
          </w:tcPr>
          <w:p>
            <w:pPr>
              <w:widowControl/>
              <w:rPr>
                <w:rFonts w:cs="宋体"/>
                <w:kern w:val="0"/>
                <w:szCs w:val="21"/>
              </w:rPr>
            </w:pPr>
            <w:r>
              <w:rPr>
                <w:rFonts w:hint="eastAsia" w:cs="宋体"/>
                <w:kern w:val="0"/>
                <w:szCs w:val="21"/>
              </w:rPr>
              <w:t>系统内置安全防火墙；支持控制访问审计主机范围；</w:t>
            </w:r>
          </w:p>
          <w:p>
            <w:pPr>
              <w:widowControl/>
              <w:rPr>
                <w:rFonts w:cs="宋体"/>
                <w:kern w:val="0"/>
                <w:szCs w:val="21"/>
              </w:rPr>
            </w:pPr>
            <w:r>
              <w:rPr>
                <w:rFonts w:hint="eastAsia" w:cs="宋体"/>
                <w:kern w:val="0"/>
                <w:szCs w:val="21"/>
              </w:rPr>
              <w:t>必需提供内部通讯检查机制，传输128加密；</w:t>
            </w:r>
          </w:p>
          <w:p>
            <w:pPr>
              <w:widowControl/>
              <w:rPr>
                <w:rFonts w:cs="宋体"/>
                <w:kern w:val="0"/>
                <w:szCs w:val="21"/>
              </w:rPr>
            </w:pPr>
            <w:r>
              <w:rPr>
                <w:rFonts w:hint="eastAsia" w:cs="宋体"/>
                <w:kern w:val="0"/>
                <w:szCs w:val="21"/>
              </w:rPr>
              <w:t>管理接口支持串口或电口的方式管理；</w:t>
            </w:r>
          </w:p>
          <w:p>
            <w:pPr>
              <w:widowControl/>
              <w:rPr>
                <w:rFonts w:cs="宋体"/>
                <w:kern w:val="0"/>
                <w:szCs w:val="21"/>
              </w:rPr>
            </w:pPr>
            <w:r>
              <w:rPr>
                <w:rFonts w:hint="eastAsia" w:cs="宋体"/>
                <w:kern w:val="0"/>
                <w:szCs w:val="21"/>
              </w:rPr>
              <w:t>管理界面与其他功能模块分离；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3" w:type="dxa"/>
            <w:shd w:val="clear" w:color="auto" w:fill="FFFFFF"/>
            <w:vAlign w:val="center"/>
          </w:tcPr>
          <w:p>
            <w:pPr>
              <w:widowControl/>
              <w:rPr>
                <w:rFonts w:cs="宋体"/>
                <w:kern w:val="0"/>
                <w:szCs w:val="21"/>
              </w:rPr>
            </w:pPr>
            <w:r>
              <w:rPr>
                <w:rFonts w:hint="eastAsia" w:cs="宋体"/>
                <w:kern w:val="0"/>
                <w:szCs w:val="21"/>
              </w:rPr>
              <w:t>日志权限</w:t>
            </w:r>
          </w:p>
        </w:tc>
        <w:tc>
          <w:tcPr>
            <w:tcW w:w="7744" w:type="dxa"/>
            <w:shd w:val="clear" w:color="auto" w:fill="FFFFFF"/>
            <w:vAlign w:val="center"/>
          </w:tcPr>
          <w:p>
            <w:pPr>
              <w:widowControl/>
              <w:rPr>
                <w:rFonts w:cs="宋体"/>
                <w:kern w:val="0"/>
                <w:szCs w:val="21"/>
              </w:rPr>
            </w:pPr>
            <w:r>
              <w:rPr>
                <w:rFonts w:hint="eastAsia" w:cs="宋体"/>
                <w:kern w:val="0"/>
                <w:szCs w:val="21"/>
              </w:rPr>
              <w:t>审计员只限于操作权限设置范围内的日志数据，无权限日志数据透明；</w:t>
            </w:r>
            <w:r>
              <w:rPr>
                <w:rFonts w:cs="宋体"/>
                <w:kern w:val="0"/>
                <w:szCs w:val="21"/>
              </w:rPr>
              <w:t xml:space="preserve"> </w:t>
            </w:r>
          </w:p>
          <w:p>
            <w:pPr>
              <w:widowControl/>
              <w:rPr>
                <w:rFonts w:cs="宋体"/>
                <w:kern w:val="0"/>
                <w:szCs w:val="21"/>
              </w:rPr>
            </w:pPr>
            <w:r>
              <w:rPr>
                <w:rFonts w:hint="eastAsia" w:cs="宋体"/>
                <w:kern w:val="0"/>
                <w:szCs w:val="21"/>
              </w:rPr>
              <w:t>支持日志类型、IP地址权限设置；</w:t>
            </w:r>
          </w:p>
          <w:p>
            <w:pPr>
              <w:widowControl/>
              <w:rPr>
                <w:rFonts w:cs="宋体"/>
                <w:kern w:val="0"/>
                <w:szCs w:val="21"/>
              </w:rPr>
            </w:pPr>
            <w:r>
              <w:rPr>
                <w:rFonts w:hint="eastAsia" w:cs="宋体"/>
                <w:kern w:val="0"/>
                <w:szCs w:val="21"/>
              </w:rPr>
              <w:t>支持页面功能模块权限设置；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3" w:type="dxa"/>
            <w:shd w:val="clear" w:color="auto" w:fill="FFFFFF"/>
            <w:vAlign w:val="center"/>
          </w:tcPr>
          <w:p>
            <w:pPr>
              <w:widowControl/>
              <w:rPr>
                <w:rFonts w:cs="宋体"/>
                <w:kern w:val="0"/>
                <w:szCs w:val="21"/>
              </w:rPr>
            </w:pPr>
            <w:r>
              <w:rPr>
                <w:rFonts w:hint="eastAsia" w:cs="宋体"/>
                <w:kern w:val="0"/>
                <w:szCs w:val="21"/>
              </w:rPr>
              <w:t>系统许可方式</w:t>
            </w:r>
          </w:p>
        </w:tc>
        <w:tc>
          <w:tcPr>
            <w:tcW w:w="7744" w:type="dxa"/>
            <w:shd w:val="clear" w:color="auto" w:fill="FFFFFF"/>
            <w:vAlign w:val="center"/>
          </w:tcPr>
          <w:p>
            <w:pPr>
              <w:widowControl/>
              <w:rPr>
                <w:rFonts w:cs="宋体"/>
                <w:kern w:val="0"/>
                <w:szCs w:val="21"/>
              </w:rPr>
            </w:pPr>
            <w:r>
              <w:rPr>
                <w:rFonts w:hint="eastAsia" w:cs="宋体"/>
                <w:kern w:val="0"/>
                <w:szCs w:val="21"/>
              </w:rPr>
              <w:t>内置</w:t>
            </w:r>
            <w:r>
              <w:rPr>
                <w:rFonts w:cs="宋体"/>
                <w:kern w:val="0"/>
                <w:szCs w:val="21"/>
              </w:rPr>
              <w:t>5</w:t>
            </w:r>
            <w:r>
              <w:rPr>
                <w:rFonts w:hint="eastAsia" w:cs="宋体"/>
                <w:kern w:val="0"/>
                <w:szCs w:val="21"/>
              </w:rPr>
              <w:t>0个主机审计许可证书；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3" w:type="dxa"/>
            <w:shd w:val="clear" w:color="auto" w:fill="FFFFFF"/>
            <w:vAlign w:val="center"/>
          </w:tcPr>
          <w:p>
            <w:pPr>
              <w:widowControl/>
              <w:rPr>
                <w:rFonts w:cs="宋体"/>
                <w:kern w:val="0"/>
                <w:szCs w:val="21"/>
              </w:rPr>
            </w:pPr>
            <w:r>
              <w:rPr>
                <w:rFonts w:hint="eastAsia" w:cs="宋体"/>
                <w:kern w:val="0"/>
                <w:szCs w:val="21"/>
              </w:rPr>
              <w:t>资质要求</w:t>
            </w:r>
          </w:p>
        </w:tc>
        <w:tc>
          <w:tcPr>
            <w:tcW w:w="7744" w:type="dxa"/>
            <w:shd w:val="clear" w:color="auto" w:fill="FFFFFF"/>
            <w:vAlign w:val="center"/>
          </w:tcPr>
          <w:p>
            <w:pPr>
              <w:widowControl/>
              <w:rPr>
                <w:rFonts w:cs="宋体"/>
                <w:kern w:val="0"/>
                <w:szCs w:val="21"/>
              </w:rPr>
            </w:pPr>
            <w:r>
              <w:rPr>
                <w:rFonts w:hint="eastAsia" w:cs="宋体"/>
                <w:kern w:val="0"/>
                <w:szCs w:val="21"/>
              </w:rPr>
              <w:t>产品具备国家公安部计算机信息系统安全专用产品销售许可证</w:t>
            </w:r>
          </w:p>
        </w:tc>
      </w:tr>
    </w:tbl>
    <w:p>
      <w:pPr>
        <w:pStyle w:val="5"/>
        <w:numPr>
          <w:ilvl w:val="0"/>
          <w:numId w:val="3"/>
        </w:numPr>
        <w:spacing w:before="0" w:after="0" w:line="413" w:lineRule="auto"/>
      </w:pPr>
      <w:r>
        <w:rPr>
          <w:rFonts w:hint="eastAsia"/>
        </w:rPr>
        <w:t>主机安全管理系统(EDR)</w:t>
      </w:r>
    </w:p>
    <w:tbl>
      <w:tblPr>
        <w:tblStyle w:val="27"/>
        <w:tblW w:w="9215" w:type="dxa"/>
        <w:tblInd w:w="-411" w:type="dxa"/>
        <w:tblLayout w:type="fixed"/>
        <w:tblCellMar>
          <w:top w:w="0" w:type="dxa"/>
          <w:left w:w="108" w:type="dxa"/>
          <w:bottom w:w="0" w:type="dxa"/>
          <w:right w:w="108" w:type="dxa"/>
        </w:tblCellMar>
      </w:tblPr>
      <w:tblGrid>
        <w:gridCol w:w="2013"/>
        <w:gridCol w:w="7202"/>
      </w:tblGrid>
      <w:tr>
        <w:tblPrEx>
          <w:tblCellMar>
            <w:top w:w="0" w:type="dxa"/>
            <w:left w:w="108" w:type="dxa"/>
            <w:bottom w:w="0" w:type="dxa"/>
            <w:right w:w="108" w:type="dxa"/>
          </w:tblCellMar>
        </w:tblPrEx>
        <w:trPr>
          <w:trHeight w:val="283" w:hRule="atLeast"/>
        </w:trPr>
        <w:tc>
          <w:tcPr>
            <w:tcW w:w="2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cs="微软雅黑"/>
                <w:color w:val="000000"/>
                <w:kern w:val="0"/>
                <w:szCs w:val="21"/>
              </w:rPr>
            </w:pPr>
            <w:r>
              <w:rPr>
                <w:rFonts w:hint="eastAsia" w:cs="微软雅黑"/>
                <w:color w:val="000000"/>
                <w:kern w:val="0"/>
                <w:szCs w:val="21"/>
              </w:rPr>
              <w:t>技术指标</w:t>
            </w: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kern w:val="0"/>
                <w:szCs w:val="21"/>
              </w:rPr>
            </w:pPr>
            <w:r>
              <w:rPr>
                <w:rFonts w:hint="eastAsia" w:cs="微软雅黑"/>
                <w:color w:val="000000"/>
                <w:kern w:val="0"/>
                <w:szCs w:val="21"/>
              </w:rPr>
              <w:t>指标要求</w:t>
            </w:r>
          </w:p>
        </w:tc>
      </w:tr>
      <w:tr>
        <w:tblPrEx>
          <w:tblCellMar>
            <w:top w:w="0" w:type="dxa"/>
            <w:left w:w="108" w:type="dxa"/>
            <w:bottom w:w="0" w:type="dxa"/>
            <w:right w:w="108" w:type="dxa"/>
          </w:tblCellMar>
        </w:tblPrEx>
        <w:trPr>
          <w:trHeight w:val="283" w:hRule="atLeast"/>
        </w:trPr>
        <w:tc>
          <w:tcPr>
            <w:tcW w:w="2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color w:val="000000"/>
                <w:szCs w:val="21"/>
              </w:rPr>
            </w:pPr>
            <w:r>
              <w:rPr>
                <w:rFonts w:hint="eastAsia" w:cs="微软雅黑"/>
                <w:color w:val="000000"/>
                <w:kern w:val="0"/>
                <w:szCs w:val="21"/>
              </w:rPr>
              <w:t>产品形态</w:t>
            </w: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szCs w:val="21"/>
              </w:rPr>
            </w:pPr>
            <w:r>
              <w:rPr>
                <w:rFonts w:hint="eastAsia" w:cs="微软雅黑"/>
                <w:color w:val="000000"/>
                <w:kern w:val="0"/>
                <w:szCs w:val="21"/>
              </w:rPr>
              <w:t>产品可以纯软件交付，包含管理控制中心软件及终端客户端软件，其中管理控制中心可云化部署；</w:t>
            </w:r>
          </w:p>
        </w:tc>
      </w:tr>
      <w:tr>
        <w:tblPrEx>
          <w:tblCellMar>
            <w:top w:w="0" w:type="dxa"/>
            <w:left w:w="108" w:type="dxa"/>
            <w:bottom w:w="0" w:type="dxa"/>
            <w:right w:w="108" w:type="dxa"/>
          </w:tblCellMar>
        </w:tblPrEx>
        <w:trPr>
          <w:trHeight w:val="754" w:hRule="atLeast"/>
        </w:trPr>
        <w:tc>
          <w:tcPr>
            <w:tcW w:w="201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color w:val="000000"/>
                <w:szCs w:val="21"/>
              </w:rPr>
            </w:pPr>
            <w:r>
              <w:rPr>
                <w:rFonts w:hint="eastAsia" w:cs="微软雅黑"/>
                <w:color w:val="000000"/>
                <w:kern w:val="0"/>
                <w:szCs w:val="21"/>
              </w:rPr>
              <w:t>管理控制中心要求</w:t>
            </w:r>
          </w:p>
        </w:tc>
        <w:tc>
          <w:tcPr>
            <w:tcW w:w="7202"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jc w:val="left"/>
              <w:textAlignment w:val="center"/>
              <w:rPr>
                <w:rFonts w:cs="微软雅黑"/>
                <w:color w:val="000000"/>
                <w:szCs w:val="21"/>
              </w:rPr>
            </w:pPr>
            <w:r>
              <w:rPr>
                <w:rFonts w:hint="eastAsia" w:cs="微软雅黑"/>
                <w:color w:val="000000"/>
                <w:kern w:val="0"/>
                <w:szCs w:val="21"/>
              </w:rPr>
              <w:t>单一管理控制中心可统一管理分别部署在Windows PC，Win服务器以及Linux服务器的客户端软件</w:t>
            </w:r>
          </w:p>
        </w:tc>
      </w:tr>
      <w:tr>
        <w:tblPrEx>
          <w:tblCellMar>
            <w:top w:w="0" w:type="dxa"/>
            <w:left w:w="108" w:type="dxa"/>
            <w:bottom w:w="0" w:type="dxa"/>
            <w:right w:w="108" w:type="dxa"/>
          </w:tblCellMar>
        </w:tblPrEx>
        <w:trPr>
          <w:trHeight w:val="283" w:hRule="atLeast"/>
        </w:trPr>
        <w:tc>
          <w:tcPr>
            <w:tcW w:w="20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微软雅黑"/>
                <w:color w:val="000000"/>
                <w:szCs w:val="21"/>
              </w:rPr>
            </w:pP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szCs w:val="21"/>
              </w:rPr>
            </w:pPr>
            <w:r>
              <w:rPr>
                <w:rFonts w:hint="eastAsia" w:cs="微软雅黑"/>
                <w:color w:val="000000"/>
                <w:kern w:val="0"/>
                <w:szCs w:val="21"/>
              </w:rPr>
              <w:t>管理平台要求其操作系统为64位的Centos7或ubuntu操作系统</w:t>
            </w:r>
          </w:p>
        </w:tc>
      </w:tr>
      <w:tr>
        <w:tblPrEx>
          <w:tblCellMar>
            <w:top w:w="0" w:type="dxa"/>
            <w:left w:w="108" w:type="dxa"/>
            <w:bottom w:w="0" w:type="dxa"/>
            <w:right w:w="108" w:type="dxa"/>
          </w:tblCellMar>
        </w:tblPrEx>
        <w:trPr>
          <w:trHeight w:val="283" w:hRule="atLeast"/>
        </w:trPr>
        <w:tc>
          <w:tcPr>
            <w:tcW w:w="20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微软雅黑"/>
                <w:color w:val="000000"/>
                <w:kern w:val="0"/>
                <w:szCs w:val="21"/>
              </w:rPr>
            </w:pPr>
            <w:r>
              <w:rPr>
                <w:rFonts w:hint="eastAsia" w:cs="微软雅黑"/>
                <w:color w:val="000000"/>
                <w:kern w:val="0"/>
                <w:szCs w:val="21"/>
              </w:rPr>
              <w:t>Windows PC 客户端支持</w:t>
            </w: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kern w:val="0"/>
                <w:szCs w:val="21"/>
              </w:rPr>
            </w:pPr>
            <w:r>
              <w:rPr>
                <w:rFonts w:hint="eastAsia" w:cs="微软雅黑"/>
                <w:color w:val="000000"/>
                <w:kern w:val="0"/>
                <w:szCs w:val="21"/>
              </w:rPr>
              <w:t>Windows XP/Windows Vista/Windows 7/Windows 8/Windows 8.1/Windows 10</w:t>
            </w:r>
          </w:p>
        </w:tc>
      </w:tr>
      <w:tr>
        <w:tblPrEx>
          <w:tblCellMar>
            <w:top w:w="0" w:type="dxa"/>
            <w:left w:w="108" w:type="dxa"/>
            <w:bottom w:w="0" w:type="dxa"/>
            <w:right w:w="108" w:type="dxa"/>
          </w:tblCellMar>
        </w:tblPrEx>
        <w:trPr>
          <w:trHeight w:val="283" w:hRule="atLeast"/>
        </w:trPr>
        <w:tc>
          <w:tcPr>
            <w:tcW w:w="2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kern w:val="0"/>
                <w:szCs w:val="21"/>
              </w:rPr>
            </w:pPr>
            <w:r>
              <w:rPr>
                <w:rFonts w:hint="eastAsia" w:cs="微软雅黑"/>
                <w:color w:val="000000"/>
                <w:kern w:val="0"/>
                <w:szCs w:val="21"/>
              </w:rPr>
              <w:t>Windows 服务器 客户端支持</w:t>
            </w: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kern w:val="0"/>
                <w:szCs w:val="21"/>
              </w:rPr>
            </w:pPr>
            <w:r>
              <w:rPr>
                <w:rFonts w:hint="eastAsia" w:cs="微软雅黑"/>
                <w:color w:val="000000"/>
                <w:kern w:val="0"/>
                <w:szCs w:val="21"/>
              </w:rPr>
              <w:t>Windows Server 2003/Windows Server 2008/Windows Server 2008 R2/Windows Server 2012/Windows Server 2016</w:t>
            </w:r>
          </w:p>
        </w:tc>
      </w:tr>
      <w:tr>
        <w:tblPrEx>
          <w:tblCellMar>
            <w:top w:w="0" w:type="dxa"/>
            <w:left w:w="108" w:type="dxa"/>
            <w:bottom w:w="0" w:type="dxa"/>
            <w:right w:w="108" w:type="dxa"/>
          </w:tblCellMar>
        </w:tblPrEx>
        <w:trPr>
          <w:trHeight w:val="283" w:hRule="atLeast"/>
        </w:trPr>
        <w:tc>
          <w:tcPr>
            <w:tcW w:w="2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kern w:val="0"/>
                <w:szCs w:val="21"/>
              </w:rPr>
            </w:pPr>
            <w:r>
              <w:rPr>
                <w:rFonts w:hint="eastAsia" w:cs="微软雅黑"/>
                <w:color w:val="000000"/>
                <w:kern w:val="0"/>
                <w:szCs w:val="21"/>
              </w:rPr>
              <w:t>Linux 服务器 客户端支持</w:t>
            </w: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kern w:val="0"/>
                <w:szCs w:val="21"/>
              </w:rPr>
            </w:pPr>
            <w:r>
              <w:rPr>
                <w:rFonts w:hint="eastAsia" w:cs="微软雅黑"/>
                <w:color w:val="000000"/>
                <w:kern w:val="0"/>
                <w:szCs w:val="21"/>
              </w:rPr>
              <w:t>CentOS/UbuntuDebian/RHEL/SUSE/Red Flag Asianux Server/Oracle Linux</w:t>
            </w:r>
          </w:p>
        </w:tc>
      </w:tr>
      <w:tr>
        <w:tblPrEx>
          <w:tblCellMar>
            <w:top w:w="0" w:type="dxa"/>
            <w:left w:w="108" w:type="dxa"/>
            <w:bottom w:w="0" w:type="dxa"/>
            <w:right w:w="108" w:type="dxa"/>
          </w:tblCellMar>
        </w:tblPrEx>
        <w:trPr>
          <w:trHeight w:val="283" w:hRule="atLeast"/>
        </w:trPr>
        <w:tc>
          <w:tcPr>
            <w:tcW w:w="201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color w:val="000000"/>
                <w:szCs w:val="21"/>
              </w:rPr>
            </w:pPr>
            <w:r>
              <w:rPr>
                <w:rFonts w:hint="eastAsia" w:cs="微软雅黑"/>
                <w:color w:val="000000"/>
                <w:kern w:val="0"/>
                <w:szCs w:val="21"/>
              </w:rPr>
              <w:t>终端安全可视</w:t>
            </w: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szCs w:val="21"/>
              </w:rPr>
            </w:pPr>
            <w:r>
              <w:rPr>
                <w:rFonts w:hint="eastAsia" w:cs="微软雅黑"/>
                <w:color w:val="000000"/>
                <w:kern w:val="0"/>
                <w:szCs w:val="21"/>
              </w:rPr>
              <w:t>采用B/S架构的管理控制中心，具备终端安全可视，终端统一管理，统一威胁处置，统一漏洞修复，威胁响应处置，日志记录与查询等功能</w:t>
            </w:r>
          </w:p>
        </w:tc>
      </w:tr>
      <w:tr>
        <w:tblPrEx>
          <w:tblCellMar>
            <w:top w:w="0" w:type="dxa"/>
            <w:left w:w="108" w:type="dxa"/>
            <w:bottom w:w="0" w:type="dxa"/>
            <w:right w:w="108" w:type="dxa"/>
          </w:tblCellMar>
        </w:tblPrEx>
        <w:trPr>
          <w:trHeight w:val="283" w:hRule="atLeast"/>
        </w:trPr>
        <w:tc>
          <w:tcPr>
            <w:tcW w:w="20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微软雅黑"/>
                <w:color w:val="000000"/>
                <w:szCs w:val="21"/>
              </w:rPr>
            </w:pP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szCs w:val="21"/>
              </w:rPr>
            </w:pPr>
            <w:r>
              <w:rPr>
                <w:rFonts w:hint="eastAsia" w:cs="微软雅黑"/>
                <w:color w:val="000000"/>
                <w:kern w:val="0"/>
                <w:szCs w:val="21"/>
              </w:rPr>
              <w:t>支持显示当前未处理的勒索病毒数量、暴力破解数量、僵尸网络、WebShell后门数量、高危漏洞及其各自影响的终端数量</w:t>
            </w:r>
          </w:p>
        </w:tc>
      </w:tr>
      <w:tr>
        <w:tblPrEx>
          <w:tblCellMar>
            <w:top w:w="0" w:type="dxa"/>
            <w:left w:w="108" w:type="dxa"/>
            <w:bottom w:w="0" w:type="dxa"/>
            <w:right w:w="108" w:type="dxa"/>
          </w:tblCellMar>
        </w:tblPrEx>
        <w:trPr>
          <w:trHeight w:val="283" w:hRule="atLeast"/>
        </w:trPr>
        <w:tc>
          <w:tcPr>
            <w:tcW w:w="2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color w:val="000000"/>
                <w:szCs w:val="21"/>
              </w:rPr>
            </w:pPr>
            <w:r>
              <w:rPr>
                <w:rFonts w:hint="eastAsia" w:cs="微软雅黑"/>
                <w:color w:val="000000"/>
                <w:kern w:val="0"/>
                <w:szCs w:val="21"/>
              </w:rPr>
              <w:t>网端联动可视</w:t>
            </w: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szCs w:val="21"/>
              </w:rPr>
            </w:pPr>
            <w:r>
              <w:rPr>
                <w:rFonts w:hint="eastAsia" w:cs="微软雅黑"/>
                <w:color w:val="000000"/>
                <w:kern w:val="0"/>
                <w:szCs w:val="21"/>
              </w:rPr>
              <w:t>支持展示跟同品牌下一代防火墙、上网行为管理的联动状态（提供产品功能截图）</w:t>
            </w:r>
          </w:p>
        </w:tc>
      </w:tr>
      <w:tr>
        <w:tblPrEx>
          <w:tblCellMar>
            <w:top w:w="0" w:type="dxa"/>
            <w:left w:w="108" w:type="dxa"/>
            <w:bottom w:w="0" w:type="dxa"/>
            <w:right w:w="108" w:type="dxa"/>
          </w:tblCellMar>
        </w:tblPrEx>
        <w:trPr>
          <w:trHeight w:val="283" w:hRule="atLeast"/>
        </w:trPr>
        <w:tc>
          <w:tcPr>
            <w:tcW w:w="2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color w:val="000000"/>
                <w:szCs w:val="21"/>
              </w:rPr>
            </w:pPr>
            <w:r>
              <w:rPr>
                <w:rFonts w:hint="eastAsia" w:cs="微软雅黑"/>
                <w:color w:val="000000"/>
                <w:kern w:val="0"/>
                <w:szCs w:val="21"/>
              </w:rPr>
              <w:t>终端管理</w:t>
            </w: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szCs w:val="21"/>
              </w:rPr>
            </w:pPr>
            <w:r>
              <w:rPr>
                <w:rFonts w:hint="eastAsia" w:cs="微软雅黑"/>
                <w:color w:val="000000"/>
                <w:kern w:val="0"/>
                <w:szCs w:val="21"/>
              </w:rPr>
              <w:t>支持展示终端资产状况，包括：主机名、在线/离线状态、IPv4地址、MAC地址、操作系统、终端agent版本、病毒库版本、最近登录时间、最近登录的用户名；终端信息变更能自动更新；</w:t>
            </w:r>
          </w:p>
        </w:tc>
      </w:tr>
      <w:tr>
        <w:tblPrEx>
          <w:tblCellMar>
            <w:top w:w="0" w:type="dxa"/>
            <w:left w:w="108" w:type="dxa"/>
            <w:bottom w:w="0" w:type="dxa"/>
            <w:right w:w="108" w:type="dxa"/>
          </w:tblCellMar>
        </w:tblPrEx>
        <w:trPr>
          <w:trHeight w:val="283" w:hRule="atLeast"/>
        </w:trPr>
        <w:tc>
          <w:tcPr>
            <w:tcW w:w="201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color w:val="000000"/>
                <w:szCs w:val="21"/>
              </w:rPr>
            </w:pPr>
            <w:r>
              <w:rPr>
                <w:rFonts w:hint="eastAsia" w:cs="微软雅黑"/>
                <w:color w:val="000000"/>
                <w:kern w:val="0"/>
                <w:szCs w:val="21"/>
              </w:rPr>
              <w:t>资产管理</w:t>
            </w: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szCs w:val="21"/>
              </w:rPr>
            </w:pPr>
            <w:r>
              <w:rPr>
                <w:rFonts w:hint="eastAsia" w:cs="微软雅黑"/>
                <w:color w:val="000000"/>
                <w:kern w:val="0"/>
                <w:szCs w:val="21"/>
              </w:rPr>
              <w:t>支持全网终端资产清点，清点信息包括操作系统、应用软件、监听端口和主机账户，其中操作系统、应用软件和监听端口支持从资产和终端两个视角进行统计和展示</w:t>
            </w:r>
          </w:p>
        </w:tc>
      </w:tr>
      <w:tr>
        <w:tblPrEx>
          <w:tblCellMar>
            <w:top w:w="0" w:type="dxa"/>
            <w:left w:w="108" w:type="dxa"/>
            <w:bottom w:w="0" w:type="dxa"/>
            <w:right w:w="108" w:type="dxa"/>
          </w:tblCellMar>
        </w:tblPrEx>
        <w:trPr>
          <w:trHeight w:val="283" w:hRule="atLeast"/>
        </w:trPr>
        <w:tc>
          <w:tcPr>
            <w:tcW w:w="20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微软雅黑"/>
                <w:color w:val="000000"/>
                <w:szCs w:val="21"/>
              </w:rPr>
            </w:pP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szCs w:val="21"/>
              </w:rPr>
            </w:pPr>
            <w:r>
              <w:rPr>
                <w:rFonts w:hint="eastAsia" w:cs="微软雅黑"/>
                <w:color w:val="000000"/>
                <w:kern w:val="0"/>
                <w:szCs w:val="21"/>
              </w:rPr>
              <w:t>支持对主机账号信息进行梳理，可按照“7天”、“30天”展示登录历史，了解账号风险，包括是否存在隐藏账号、弱密码账号、可疑root权限账号、长期未使用账号、半夜登录、多IP登录等，并可以将存在风险账号的主机列表导出（提供产品功能截图）</w:t>
            </w:r>
          </w:p>
        </w:tc>
      </w:tr>
      <w:tr>
        <w:tblPrEx>
          <w:tblCellMar>
            <w:top w:w="0" w:type="dxa"/>
            <w:left w:w="108" w:type="dxa"/>
            <w:bottom w:w="0" w:type="dxa"/>
            <w:right w:w="108" w:type="dxa"/>
          </w:tblCellMar>
        </w:tblPrEx>
        <w:trPr>
          <w:trHeight w:val="283" w:hRule="atLeast"/>
        </w:trPr>
        <w:tc>
          <w:tcPr>
            <w:tcW w:w="2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color w:val="000000"/>
                <w:szCs w:val="21"/>
              </w:rPr>
            </w:pPr>
            <w:r>
              <w:rPr>
                <w:rFonts w:hint="eastAsia" w:cs="微软雅黑"/>
                <w:color w:val="000000"/>
                <w:kern w:val="0"/>
                <w:szCs w:val="21"/>
              </w:rPr>
              <w:t>终端威胁视角</w:t>
            </w: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szCs w:val="21"/>
              </w:rPr>
            </w:pPr>
            <w:r>
              <w:rPr>
                <w:rFonts w:hint="eastAsia" w:cs="微软雅黑"/>
                <w:color w:val="000000"/>
                <w:kern w:val="0"/>
                <w:szCs w:val="21"/>
              </w:rPr>
              <w:t>支持跳转链接至云端安全威胁响应系统，针对已发生的病毒的基本信息，影响分析（客户情况、影响行业、区域分布）、威胁分析和处理建议等（提供产品功能截图）</w:t>
            </w:r>
          </w:p>
        </w:tc>
      </w:tr>
      <w:tr>
        <w:tblPrEx>
          <w:tblCellMar>
            <w:top w:w="0" w:type="dxa"/>
            <w:left w:w="108" w:type="dxa"/>
            <w:bottom w:w="0" w:type="dxa"/>
            <w:right w:w="108" w:type="dxa"/>
          </w:tblCellMar>
        </w:tblPrEx>
        <w:trPr>
          <w:trHeight w:val="283" w:hRule="atLeast"/>
        </w:trPr>
        <w:tc>
          <w:tcPr>
            <w:tcW w:w="2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color w:val="000000"/>
                <w:szCs w:val="21"/>
              </w:rPr>
            </w:pPr>
            <w:r>
              <w:rPr>
                <w:rFonts w:hint="eastAsia" w:cs="微软雅黑"/>
                <w:color w:val="000000"/>
                <w:kern w:val="0"/>
                <w:szCs w:val="21"/>
              </w:rPr>
              <w:t>勒索病毒专防</w:t>
            </w: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szCs w:val="21"/>
              </w:rPr>
            </w:pPr>
            <w:r>
              <w:rPr>
                <w:rFonts w:hint="eastAsia" w:cs="微软雅黑"/>
                <w:color w:val="000000"/>
                <w:kern w:val="0"/>
                <w:szCs w:val="21"/>
              </w:rPr>
              <w:t>支持监控诱饵文件，诱饵文件可被实时监控，当勒索病毒对该文件进行修改或加密操作时进行拦截</w:t>
            </w:r>
          </w:p>
        </w:tc>
      </w:tr>
      <w:tr>
        <w:tblPrEx>
          <w:tblCellMar>
            <w:top w:w="0" w:type="dxa"/>
            <w:left w:w="108" w:type="dxa"/>
            <w:bottom w:w="0" w:type="dxa"/>
            <w:right w:w="108" w:type="dxa"/>
          </w:tblCellMar>
        </w:tblPrEx>
        <w:trPr>
          <w:trHeight w:val="283" w:hRule="atLeast"/>
        </w:trPr>
        <w:tc>
          <w:tcPr>
            <w:tcW w:w="2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color w:val="000000"/>
                <w:szCs w:val="21"/>
              </w:rPr>
            </w:pPr>
            <w:r>
              <w:rPr>
                <w:rFonts w:hint="eastAsia" w:cs="微软雅黑"/>
                <w:color w:val="000000"/>
                <w:kern w:val="0"/>
                <w:szCs w:val="21"/>
              </w:rPr>
              <w:t>暴力破解检测</w:t>
            </w: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szCs w:val="21"/>
              </w:rPr>
            </w:pPr>
            <w:r>
              <w:rPr>
                <w:rFonts w:hint="eastAsia" w:cs="微软雅黑"/>
                <w:color w:val="000000"/>
                <w:kern w:val="0"/>
                <w:szCs w:val="21"/>
              </w:rPr>
              <w:t>统计单个攻击源及分布式攻击源的暴力破解检测，支持按照RDP、SMB和SSH类型进行封堵并自定义爆破阈值，可对封停时间进行自设置</w:t>
            </w:r>
          </w:p>
        </w:tc>
      </w:tr>
      <w:tr>
        <w:tblPrEx>
          <w:tblCellMar>
            <w:top w:w="0" w:type="dxa"/>
            <w:left w:w="108" w:type="dxa"/>
            <w:bottom w:w="0" w:type="dxa"/>
            <w:right w:w="108" w:type="dxa"/>
          </w:tblCellMar>
        </w:tblPrEx>
        <w:trPr>
          <w:trHeight w:val="283" w:hRule="atLeast"/>
        </w:trPr>
        <w:tc>
          <w:tcPr>
            <w:tcW w:w="2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color w:val="000000"/>
                <w:szCs w:val="21"/>
              </w:rPr>
            </w:pPr>
            <w:r>
              <w:rPr>
                <w:rFonts w:hint="eastAsia" w:cs="微软雅黑"/>
                <w:color w:val="000000"/>
                <w:kern w:val="0"/>
                <w:szCs w:val="21"/>
              </w:rPr>
              <w:t>Windows终端合规检查</w:t>
            </w: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kern w:val="0"/>
                <w:szCs w:val="21"/>
              </w:rPr>
            </w:pPr>
            <w:r>
              <w:rPr>
                <w:rFonts w:hint="eastAsia" w:cs="微软雅黑"/>
                <w:color w:val="000000"/>
                <w:kern w:val="0"/>
                <w:szCs w:val="21"/>
              </w:rPr>
              <w:t>一键式操作对指定终端/终端组进行合规性检查，包括身份鉴别、访问控制、安全审计、剩余信息保护、入侵防范、恶意代码防范，对不合规的检查项提供设置建议，并可视化展示终端的基线合规检查结果</w:t>
            </w:r>
          </w:p>
        </w:tc>
      </w:tr>
      <w:tr>
        <w:tblPrEx>
          <w:tblCellMar>
            <w:top w:w="0" w:type="dxa"/>
            <w:left w:w="108" w:type="dxa"/>
            <w:bottom w:w="0" w:type="dxa"/>
            <w:right w:w="108" w:type="dxa"/>
          </w:tblCellMar>
        </w:tblPrEx>
        <w:trPr>
          <w:trHeight w:val="283" w:hRule="atLeast"/>
        </w:trPr>
        <w:tc>
          <w:tcPr>
            <w:tcW w:w="2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color w:val="000000"/>
                <w:szCs w:val="21"/>
              </w:rPr>
            </w:pPr>
            <w:r>
              <w:rPr>
                <w:rFonts w:hint="eastAsia" w:cs="微软雅黑"/>
                <w:color w:val="000000"/>
                <w:kern w:val="0"/>
                <w:szCs w:val="21"/>
              </w:rPr>
              <w:t>Linux终端合规检查</w:t>
            </w: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kern w:val="0"/>
                <w:szCs w:val="21"/>
              </w:rPr>
            </w:pPr>
            <w:r>
              <w:rPr>
                <w:rFonts w:hint="eastAsia" w:cs="微软雅黑"/>
                <w:color w:val="000000"/>
                <w:kern w:val="0"/>
                <w:szCs w:val="21"/>
              </w:rPr>
              <w:t>一键式操作对指定终端/终端组进行合规性检查，包括身份鉴别、访问控制、安全审计、 SSH策略检测、入侵防范、恶意代码防范，对不合规的检查项提供设置建议，并可视化展示终端的基线合规检查结果</w:t>
            </w:r>
          </w:p>
        </w:tc>
      </w:tr>
      <w:tr>
        <w:tblPrEx>
          <w:tblCellMar>
            <w:top w:w="0" w:type="dxa"/>
            <w:left w:w="108" w:type="dxa"/>
            <w:bottom w:w="0" w:type="dxa"/>
            <w:right w:w="108" w:type="dxa"/>
          </w:tblCellMar>
        </w:tblPrEx>
        <w:trPr>
          <w:trHeight w:val="283" w:hRule="atLeast"/>
        </w:trPr>
        <w:tc>
          <w:tcPr>
            <w:tcW w:w="2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color w:val="000000"/>
                <w:szCs w:val="21"/>
              </w:rPr>
            </w:pPr>
            <w:r>
              <w:rPr>
                <w:rFonts w:hint="eastAsia" w:cs="微软雅黑"/>
                <w:color w:val="000000"/>
                <w:kern w:val="0"/>
                <w:szCs w:val="21"/>
              </w:rPr>
              <w:t>微隔离流量可控</w:t>
            </w: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kern w:val="0"/>
                <w:szCs w:val="21"/>
              </w:rPr>
            </w:pPr>
            <w:r>
              <w:rPr>
                <w:rFonts w:hint="eastAsia" w:cs="微软雅黑"/>
                <w:color w:val="000000"/>
                <w:kern w:val="0"/>
                <w:szCs w:val="21"/>
              </w:rPr>
              <w:t>提供对业务系统之间、业务系统内不同应用角色之间、业务系统内相同应用角色之间的访问控制策略配置（提供产品功能截图）</w:t>
            </w:r>
          </w:p>
        </w:tc>
      </w:tr>
      <w:tr>
        <w:tblPrEx>
          <w:tblCellMar>
            <w:top w:w="0" w:type="dxa"/>
            <w:left w:w="108" w:type="dxa"/>
            <w:bottom w:w="0" w:type="dxa"/>
            <w:right w:w="108" w:type="dxa"/>
          </w:tblCellMar>
        </w:tblPrEx>
        <w:trPr>
          <w:trHeight w:val="283" w:hRule="atLeast"/>
        </w:trPr>
        <w:tc>
          <w:tcPr>
            <w:tcW w:w="2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color w:val="000000"/>
                <w:szCs w:val="21"/>
              </w:rPr>
            </w:pPr>
            <w:r>
              <w:rPr>
                <w:rFonts w:hint="eastAsia" w:cs="微软雅黑"/>
                <w:color w:val="000000"/>
                <w:kern w:val="0"/>
                <w:szCs w:val="21"/>
              </w:rPr>
              <w:t>下一代防火墙的联动响应</w:t>
            </w: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szCs w:val="21"/>
              </w:rPr>
            </w:pPr>
            <w:r>
              <w:rPr>
                <w:rFonts w:hint="eastAsia" w:cs="微软雅黑"/>
                <w:color w:val="000000"/>
                <w:kern w:val="0"/>
                <w:szCs w:val="21"/>
              </w:rPr>
              <w:t>支持与同厂商的下一代防火墙联动，对僵尸网络进行举证、溯源和联动查杀（提供产品功能截图）</w:t>
            </w:r>
          </w:p>
        </w:tc>
      </w:tr>
      <w:tr>
        <w:tblPrEx>
          <w:tblCellMar>
            <w:top w:w="0" w:type="dxa"/>
            <w:left w:w="108" w:type="dxa"/>
            <w:bottom w:w="0" w:type="dxa"/>
            <w:right w:w="108" w:type="dxa"/>
          </w:tblCellMar>
        </w:tblPrEx>
        <w:trPr>
          <w:trHeight w:val="283" w:hRule="atLeast"/>
        </w:trPr>
        <w:tc>
          <w:tcPr>
            <w:tcW w:w="2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color w:val="000000"/>
                <w:szCs w:val="21"/>
              </w:rPr>
            </w:pPr>
            <w:r>
              <w:rPr>
                <w:rFonts w:hint="eastAsia" w:cs="微软雅黑"/>
                <w:color w:val="000000"/>
                <w:kern w:val="0"/>
                <w:szCs w:val="21"/>
              </w:rPr>
              <w:t>上网行为管理的联动响应</w:t>
            </w:r>
          </w:p>
        </w:tc>
        <w:tc>
          <w:tcPr>
            <w:tcW w:w="72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微软雅黑"/>
                <w:color w:val="000000"/>
                <w:kern w:val="0"/>
                <w:szCs w:val="21"/>
              </w:rPr>
            </w:pPr>
            <w:r>
              <w:rPr>
                <w:rFonts w:hint="eastAsia" w:cs="微软雅黑"/>
                <w:color w:val="000000"/>
                <w:kern w:val="0"/>
                <w:szCs w:val="21"/>
              </w:rPr>
              <w:t>支持管理员在同厂商的上网行为管理管理界面下发快速查杀任务，并查看任务状态，结果并进行处置（提供产品功能截图）</w:t>
            </w:r>
          </w:p>
        </w:tc>
      </w:tr>
      <w:tr>
        <w:tblPrEx>
          <w:tblCellMar>
            <w:top w:w="0" w:type="dxa"/>
            <w:left w:w="108" w:type="dxa"/>
            <w:bottom w:w="0" w:type="dxa"/>
            <w:right w:w="108" w:type="dxa"/>
          </w:tblCellMar>
        </w:tblPrEx>
        <w:trPr>
          <w:trHeight w:val="30" w:hRule="atLeast"/>
        </w:trPr>
        <w:tc>
          <w:tcPr>
            <w:tcW w:w="2013" w:type="dxa"/>
            <w:tcBorders>
              <w:top w:val="single" w:color="000000"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cs="微软雅黑"/>
                <w:color w:val="000000"/>
                <w:szCs w:val="21"/>
              </w:rPr>
            </w:pPr>
            <w:r>
              <w:rPr>
                <w:rFonts w:hint="eastAsia" w:cs="微软雅黑"/>
                <w:color w:val="000000"/>
                <w:szCs w:val="21"/>
              </w:rPr>
              <w:t>产品资质</w:t>
            </w:r>
          </w:p>
        </w:tc>
        <w:tc>
          <w:tcPr>
            <w:tcW w:w="7202"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textAlignment w:val="center"/>
              <w:rPr>
                <w:rFonts w:cs="微软雅黑"/>
                <w:color w:val="000000"/>
                <w:szCs w:val="21"/>
              </w:rPr>
            </w:pPr>
            <w:r>
              <w:rPr>
                <w:rFonts w:hint="eastAsia" w:cs="微软雅黑"/>
                <w:color w:val="000000"/>
                <w:kern w:val="0"/>
                <w:szCs w:val="21"/>
              </w:rPr>
              <w:t>提供终端安全产品所使用检测引擎获得的赛可达实验室优秀产品奖SKD AWARDS</w:t>
            </w:r>
          </w:p>
        </w:tc>
      </w:tr>
      <w:tr>
        <w:tblPrEx>
          <w:tblCellMar>
            <w:top w:w="0" w:type="dxa"/>
            <w:left w:w="108" w:type="dxa"/>
            <w:bottom w:w="0" w:type="dxa"/>
            <w:right w:w="108" w:type="dxa"/>
          </w:tblCellMar>
        </w:tblPrEx>
        <w:trPr>
          <w:trHeight w:val="283" w:hRule="atLeast"/>
        </w:trPr>
        <w:tc>
          <w:tcPr>
            <w:tcW w:w="20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ind w:firstLine="420" w:firstLineChars="200"/>
              <w:rPr>
                <w:rFonts w:cs="微软雅黑"/>
                <w:color w:val="000000"/>
                <w:kern w:val="0"/>
                <w:szCs w:val="21"/>
              </w:rPr>
            </w:pPr>
            <w:r>
              <w:rPr>
                <w:rFonts w:hint="eastAsia" w:cs="宋体"/>
                <w:color w:val="000000"/>
                <w:kern w:val="0"/>
                <w:szCs w:val="21"/>
              </w:rPr>
              <w:t>厂商资质</w:t>
            </w:r>
          </w:p>
        </w:tc>
        <w:tc>
          <w:tcPr>
            <w:tcW w:w="720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jc w:val="left"/>
              <w:rPr>
                <w:rFonts w:cs="宋体"/>
                <w:color w:val="000000"/>
                <w:kern w:val="0"/>
                <w:szCs w:val="21"/>
              </w:rPr>
            </w:pPr>
            <w:r>
              <w:rPr>
                <w:rFonts w:hint="eastAsia" w:cs="宋体"/>
                <w:color w:val="000000"/>
                <w:kern w:val="0"/>
                <w:szCs w:val="21"/>
              </w:rPr>
              <w:t>厂商软件研发实力需通过CMMI L5认证；</w:t>
            </w:r>
            <w:r>
              <w:rPr>
                <w:rFonts w:cs="宋体"/>
                <w:color w:val="000000"/>
                <w:kern w:val="0"/>
                <w:szCs w:val="21"/>
              </w:rPr>
              <w:t xml:space="preserve"> </w:t>
            </w:r>
          </w:p>
          <w:p>
            <w:pPr>
              <w:widowControl/>
              <w:jc w:val="left"/>
              <w:rPr>
                <w:rFonts w:cs="宋体"/>
                <w:color w:val="000000"/>
                <w:kern w:val="0"/>
                <w:szCs w:val="21"/>
              </w:rPr>
            </w:pPr>
            <w:r>
              <w:rPr>
                <w:rFonts w:hint="eastAsia" w:cs="宋体"/>
                <w:color w:val="000000"/>
                <w:kern w:val="0"/>
                <w:szCs w:val="21"/>
              </w:rPr>
              <w:t>厂商应是国家互联网应急响应中心网络安全应急服务国家级支撑单位；（提供相关资料证明）</w:t>
            </w:r>
          </w:p>
          <w:p>
            <w:pPr>
              <w:widowControl/>
              <w:jc w:val="left"/>
              <w:rPr>
                <w:rFonts w:cs="宋体"/>
                <w:color w:val="000000"/>
                <w:kern w:val="0"/>
                <w:szCs w:val="21"/>
              </w:rPr>
            </w:pPr>
            <w:r>
              <w:rPr>
                <w:rFonts w:hint="eastAsia" w:cs="宋体"/>
                <w:color w:val="000000"/>
                <w:kern w:val="0"/>
                <w:szCs w:val="21"/>
              </w:rPr>
              <w:t>厂商需是中国反网络病毒联盟ANVA成员单位</w:t>
            </w:r>
          </w:p>
        </w:tc>
      </w:tr>
    </w:tbl>
    <w:p>
      <w:pPr>
        <w:snapToGrid w:val="0"/>
        <w:jc w:val="left"/>
        <w:rPr>
          <w:rFonts w:ascii="宋体" w:hAnsi="宋体" w:cs="宋体"/>
          <w:b/>
          <w:bCs/>
          <w:sz w:val="32"/>
          <w:szCs w:val="32"/>
        </w:rPr>
      </w:pPr>
    </w:p>
    <w:p>
      <w:pPr>
        <w:pStyle w:val="5"/>
        <w:numPr>
          <w:ilvl w:val="0"/>
          <w:numId w:val="3"/>
        </w:numPr>
        <w:spacing w:before="0" w:after="0" w:line="413" w:lineRule="auto"/>
      </w:pPr>
      <w:r>
        <w:t>等级保护测评要求</w:t>
      </w:r>
    </w:p>
    <w:p>
      <w:pPr>
        <w:spacing w:line="360" w:lineRule="auto"/>
        <w:ind w:firstLine="440" w:firstLineChars="200"/>
        <w:rPr>
          <w:rFonts w:ascii="宋体" w:hAnsi="宋体"/>
          <w:color w:val="000000"/>
          <w:sz w:val="22"/>
        </w:rPr>
      </w:pPr>
      <w:r>
        <w:rPr>
          <w:rFonts w:ascii="宋体" w:hAnsi="宋体"/>
          <w:color w:val="000000"/>
          <w:sz w:val="22"/>
        </w:rPr>
        <w:t>1、供应商应详细描述本次等级保护测评的整体实施方案，包括项目概述、等保测评方案、项目实施方案、测试过程中需使用测试设备清单、时间安排、阶段性文档提交和验收标准等。</w:t>
      </w:r>
    </w:p>
    <w:p>
      <w:pPr>
        <w:spacing w:line="360" w:lineRule="auto"/>
        <w:ind w:firstLine="440" w:firstLineChars="200"/>
        <w:rPr>
          <w:rFonts w:ascii="宋体" w:hAnsi="宋体"/>
          <w:color w:val="000000"/>
          <w:sz w:val="22"/>
        </w:rPr>
      </w:pPr>
      <w:r>
        <w:rPr>
          <w:rFonts w:ascii="宋体" w:hAnsi="宋体"/>
          <w:color w:val="000000"/>
          <w:sz w:val="22"/>
        </w:rPr>
        <w:t xml:space="preserve">2、供应商应详细描述测评人员的组成、资质及各自职责的划分。供应商应配置有经验的测评人员进行本次等级保护测评工作。 </w:t>
      </w:r>
    </w:p>
    <w:p>
      <w:pPr>
        <w:spacing w:line="360" w:lineRule="auto"/>
        <w:ind w:firstLine="440" w:firstLineChars="200"/>
        <w:rPr>
          <w:rFonts w:ascii="宋体" w:hAnsi="宋体"/>
          <w:color w:val="000000"/>
          <w:sz w:val="22"/>
        </w:rPr>
      </w:pPr>
      <w:r>
        <w:rPr>
          <w:rFonts w:ascii="宋体" w:hAnsi="宋体"/>
          <w:color w:val="000000"/>
          <w:sz w:val="22"/>
        </w:rPr>
        <w:t>3、本次等级保护测评实施过程中所使用到的各种工具软件由供应商推荐，经采购人确认后由供应商提供并在测评中使用。在投标文件中应详细描述所使用的安全测评工具（软硬件型号、功能和性能描述）、使用的方式和时间、对环境和平台的要求以及使用可能对系统造成的风险等。</w:t>
      </w:r>
    </w:p>
    <w:p>
      <w:pPr>
        <w:spacing w:line="360" w:lineRule="auto"/>
        <w:ind w:firstLine="440" w:firstLineChars="200"/>
        <w:rPr>
          <w:rFonts w:ascii="宋体" w:hAnsi="宋体"/>
          <w:color w:val="000000"/>
          <w:sz w:val="22"/>
        </w:rPr>
      </w:pPr>
      <w:r>
        <w:rPr>
          <w:rFonts w:ascii="宋体" w:hAnsi="宋体"/>
          <w:color w:val="000000"/>
          <w:sz w:val="22"/>
        </w:rPr>
        <w:t>4、安全测评工具软件运行可能需要的硬件平台（如笔记本电脑、PC、工作站等）和操作系统软件等由供应商推荐，经采购人确认后由供应商提供并在测评中使用。</w:t>
      </w:r>
    </w:p>
    <w:p>
      <w:pPr>
        <w:spacing w:line="360" w:lineRule="auto"/>
        <w:ind w:firstLine="440" w:firstLineChars="200"/>
        <w:rPr>
          <w:rFonts w:ascii="宋体" w:hAnsi="宋体"/>
          <w:color w:val="000000"/>
          <w:sz w:val="22"/>
        </w:rPr>
      </w:pPr>
      <w:r>
        <w:rPr>
          <w:rFonts w:ascii="宋体" w:hAnsi="宋体"/>
          <w:color w:val="000000"/>
          <w:sz w:val="22"/>
        </w:rPr>
        <w:t>5、安全测评需要的运行环境（如场地、网络环境等）由采购人提供，供应商应详细描述需要的运行环境的具体要求。</w:t>
      </w:r>
    </w:p>
    <w:p>
      <w:pPr>
        <w:spacing w:line="360" w:lineRule="auto"/>
        <w:ind w:firstLine="440" w:firstLineChars="200"/>
        <w:rPr>
          <w:rFonts w:ascii="宋体" w:hAnsi="宋体"/>
          <w:color w:val="000000"/>
          <w:sz w:val="22"/>
        </w:rPr>
      </w:pPr>
      <w:r>
        <w:rPr>
          <w:rFonts w:ascii="宋体" w:hAnsi="宋体"/>
          <w:color w:val="000000"/>
          <w:sz w:val="22"/>
        </w:rPr>
        <w:t>6、本项目负责人必须具有测评工作经验，参与过大型复杂测评项目的实施；必须同时具有高级测评师证书、高级信息系统项目管理师确保项目的顺利实施。</w:t>
      </w:r>
    </w:p>
    <w:p>
      <w:pPr>
        <w:spacing w:line="360" w:lineRule="auto"/>
        <w:ind w:firstLine="440" w:firstLineChars="200"/>
        <w:rPr>
          <w:rFonts w:ascii="宋体" w:hAnsi="宋体"/>
          <w:color w:val="000000"/>
          <w:sz w:val="22"/>
        </w:rPr>
      </w:pPr>
      <w:r>
        <w:rPr>
          <w:rFonts w:hint="eastAsia" w:ascii="宋体" w:hAnsi="宋体"/>
          <w:color w:val="000000"/>
          <w:sz w:val="22"/>
        </w:rPr>
        <w:t>7、以取得金华市公安局下发的备案证明为准。</w:t>
      </w:r>
    </w:p>
    <w:p/>
    <w:p>
      <w:pPr>
        <w:rPr>
          <w:rFonts w:asciiTheme="minorEastAsia" w:hAnsiTheme="minorEastAsia"/>
          <w:szCs w:val="21"/>
        </w:rPr>
      </w:pPr>
    </w:p>
    <w:p>
      <w:pPr>
        <w:pStyle w:val="5"/>
        <w:numPr>
          <w:ilvl w:val="0"/>
          <w:numId w:val="3"/>
        </w:numPr>
        <w:spacing w:before="0" w:after="0" w:line="413" w:lineRule="auto"/>
      </w:pPr>
      <w:r>
        <w:rPr>
          <w:rFonts w:hint="eastAsia"/>
        </w:rPr>
        <w:t>无线</w:t>
      </w:r>
      <w:r>
        <w:t>控制器</w:t>
      </w:r>
    </w:p>
    <w:tbl>
      <w:tblPr>
        <w:tblStyle w:val="2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shd w:val="clear" w:color="auto" w:fill="auto"/>
            <w:noWrap/>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指标项</w:t>
            </w:r>
          </w:p>
        </w:tc>
        <w:tc>
          <w:tcPr>
            <w:tcW w:w="6379" w:type="dxa"/>
            <w:shd w:val="clear" w:color="auto" w:fill="auto"/>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★管理AP数</w:t>
            </w:r>
          </w:p>
        </w:tc>
        <w:tc>
          <w:tcPr>
            <w:tcW w:w="6379" w:type="dxa"/>
            <w:shd w:val="clear" w:color="auto" w:fill="auto"/>
            <w:vAlign w:val="center"/>
          </w:tcPr>
          <w:p>
            <w:pPr>
              <w:widowControl/>
              <w:rPr>
                <w:rFonts w:cs="宋体" w:asciiTheme="minorEastAsia" w:hAnsiTheme="minorEastAsia"/>
                <w:kern w:val="0"/>
                <w:szCs w:val="21"/>
              </w:rPr>
            </w:pPr>
            <w:r>
              <w:rPr>
                <w:rFonts w:hint="eastAsia" w:cs="宋体" w:asciiTheme="minorEastAsia" w:hAnsiTheme="minorEastAsia"/>
                <w:kern w:val="0"/>
                <w:szCs w:val="21"/>
              </w:rPr>
              <w:t>支持常规AP最大数量≥256，</w:t>
            </w:r>
            <w:r>
              <w:rPr>
                <w:rFonts w:cs="宋体" w:asciiTheme="minorEastAsia" w:hAnsiTheme="minorEastAsia"/>
                <w:kern w:val="0"/>
                <w:szCs w:val="21"/>
              </w:rPr>
              <w:t>本次配置</w:t>
            </w:r>
            <w:r>
              <w:rPr>
                <w:rFonts w:hint="eastAsia" w:cs="宋体" w:asciiTheme="minorEastAsia" w:hAnsiTheme="minorEastAsia"/>
                <w:kern w:val="0"/>
                <w:szCs w:val="21"/>
              </w:rPr>
              <w:t>100个</w:t>
            </w:r>
            <w:r>
              <w:rPr>
                <w:rFonts w:cs="宋体" w:asciiTheme="minorEastAsia" w:hAnsiTheme="minorEastAsia"/>
                <w:kern w:val="0"/>
                <w:szCs w:val="21"/>
              </w:rPr>
              <w:t>无线授权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端口要求</w:t>
            </w:r>
          </w:p>
        </w:tc>
        <w:tc>
          <w:tcPr>
            <w:tcW w:w="6379" w:type="dxa"/>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千兆端口≥8个 （光电复用）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电源</w:t>
            </w:r>
          </w:p>
        </w:tc>
        <w:tc>
          <w:tcPr>
            <w:tcW w:w="6379" w:type="dxa"/>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应支持双电源备份，并支持交流供和直流二种供电方式。支持电源模块热插拔。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985"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组网能力</w:t>
            </w:r>
          </w:p>
        </w:tc>
        <w:tc>
          <w:tcPr>
            <w:tcW w:w="6379" w:type="dxa"/>
            <w:shd w:val="clear" w:color="auto" w:fill="auto"/>
            <w:vAlign w:val="center"/>
          </w:tcPr>
          <w:p>
            <w:pPr>
              <w:widowControl/>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支持标准IETF 5415 CAPWAP协议，AP和AC之间支持L2/L3层网络拓扑，为提高网络安全，AP与控制器之间能够支持DTLS对CAPWAP隧道进行加密处理。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85" w:type="dxa"/>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认证加密</w:t>
            </w:r>
          </w:p>
        </w:tc>
        <w:tc>
          <w:tcPr>
            <w:tcW w:w="6379" w:type="dxa"/>
            <w:shd w:val="clear" w:color="auto" w:fill="auto"/>
            <w:vAlign w:val="center"/>
          </w:tcPr>
          <w:p>
            <w:pPr>
              <w:widowControl/>
              <w:rPr>
                <w:rFonts w:cs="宋体" w:asciiTheme="minorEastAsia" w:hAnsiTheme="minorEastAsia"/>
                <w:kern w:val="0"/>
                <w:szCs w:val="21"/>
              </w:rPr>
            </w:pPr>
            <w:r>
              <w:rPr>
                <w:rFonts w:hint="eastAsia" w:cs="宋体" w:asciiTheme="minorEastAsia" w:hAnsiTheme="minorEastAsia"/>
                <w:kern w:val="0"/>
                <w:szCs w:val="21"/>
              </w:rPr>
              <w:t>支持MAC 地址认证、802.1x认证（EAP-PAP、EAP-MD5、EAP-PEAP、EAP-TLS、EAP-TTLS）、Portal认证、MAC+Portal混合认证、WAPI认证；</w:t>
            </w:r>
            <w:r>
              <w:rPr>
                <w:rFonts w:hint="eastAsia" w:cs="宋体" w:asciiTheme="minorEastAsia" w:hAnsiTheme="minorEastAsia"/>
                <w:kern w:val="0"/>
                <w:szCs w:val="21"/>
              </w:rPr>
              <w:br w:type="textWrapping"/>
            </w:r>
            <w:r>
              <w:rPr>
                <w:rFonts w:hint="eastAsia" w:cs="宋体" w:asciiTheme="minorEastAsia" w:hAnsiTheme="minorEastAsia"/>
                <w:kern w:val="0"/>
                <w:szCs w:val="21"/>
              </w:rPr>
              <w:t>支持WPA标准、WEP(WEP64/WEP128)、TKIP、CCMP；</w:t>
            </w:r>
            <w:r>
              <w:rPr>
                <w:rFonts w:hint="eastAsia" w:cs="宋体" w:asciiTheme="minorEastAsia" w:hAnsiTheme="minorEastAsia"/>
                <w:kern w:val="0"/>
                <w:szCs w:val="21"/>
              </w:rPr>
              <w:br w:type="textWrapping"/>
            </w:r>
            <w:r>
              <w:rPr>
                <w:rFonts w:hint="eastAsia" w:cs="宋体" w:asciiTheme="minorEastAsia" w:hAnsiTheme="minorEastAsia"/>
                <w:kern w:val="0"/>
                <w:szCs w:val="21"/>
              </w:rPr>
              <w:t>支持内置portal、dot1x服务器；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支持Private PSK方式的动态密码功能，可以为每终端分配独立秘钥。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支持WPA3个人级方式下的终端接入；支持WPA3企业级模式下的终端接入功能。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支持防PSK暴力破解，当用户密码错误超过预设的阀值之后，能够将该用户加入动态黑名单，一段时间内禁止其接入网络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无线漫游</w:t>
            </w:r>
          </w:p>
        </w:tc>
        <w:tc>
          <w:tcPr>
            <w:tcW w:w="6379" w:type="dxa"/>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支持AC内漫游，支持跨AC间漫游，支持跨VLAN的三层漫游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支持基于802.11k/802.11v/802.11r协议的智能漫游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可靠性</w:t>
            </w: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支持1+1热备，对外呈现一个IP地址，简化网络拓扑；对外统一管理界面，简化运维。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支持雷达检测SSID逃生功能：AC、AP支持SSID自主逃生，当AP射频检测到雷达信号时，会将本射频的SSID迁移到其他射频，保障关键业务正常通信。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支持CPU 防攻击功能：AC支持专门针对CPU的保护机制，能够针对发往CPU处理的报文，进行流量控制，保护无线控制器在各种环境下稳定工作。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MAC认证逃生功能：AC、AP支持MAC认证逃生功能，为提高无线网络认证可靠性，无线控制器支持MAC认证逃生功能。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支持Dot1x认证逃生功能：AC、AP支持Dot1x认证逃生功能，为提高无线网络认证可靠性，无线控制器支持Dot1x认证逃生功能。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支持Portal认证逃生功能：AC、AP支持Portal认证逃生，为提高无线网络认证可靠性，无线控制器支持Portal认证逃生功能。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RemoteAP功能：AC、AP支持RemoteAP功能，为提升无线网络的可靠性，AP具备逃生功能，当AC不可达造成AP离线时，AP能够继续维持原有用户不下线，新用户仍可以接入网络保证业务正常。支持认证用户和非认证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认证功能</w:t>
            </w: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支持802.1X用户分类计费功能：AC、AP支持精细化管理认证用户，无线控制器对接入用户（比如：802.1X认证）进行IPV4、IPv6分类分网段计费。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支持Portal用户分类计费功能：AC、AP支持精细化管理认证用户，无线控制器对接入用户（比如Portal认证）进行IPV4、IPv6分类分网段计费。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支持Portal在线用户与DHCP租约联动功能：AC支持根据DHCP租约信息联动Portal用户自动下线，可以提高DHCP地址池的利用率，降低Portal重复认证开销。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能够有效拦截Protal用户重定向攻击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安全特性</w:t>
            </w: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支持URL过滤功能： AC支持URL过滤功能，可以精确匹配和按类别匹配，支持自定义类别。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支持应用行为审计功能： AC支持对应用的行为审计功能，能够识别超过5000种应用，可以识别应用下不同行为，根据配置策略作出相应动作。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支持应用审计功能： AC支持对应用审计的阻断和免审计功能，通过识别应用，根据配置策略执行相应操作。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支持基于应用的带宽管理功能： AC支持基于应用或类别的带宽管理功能，通过识别应用或类别，根据配置策略执行相应操作。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支持多维度的安全访问控制功能： AC支持对某些指定的应用或服务进行深度防控，可以做到基于应用、SSID、AP、源IP、服务、时间段等多维度的报文控制。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支持防病毒攻击检测功能： AC支持对流经本设备的报文流量进行病毒检测，支持对黑客攻击、蠕虫/病毒、木马、恶意代码、风险软件、DoS/DDoS等常见的攻击防御，检测到存在病毒的数据并阻止下载。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支持IPS入侵检测功能： AC支持入侵检测防御功能，当时检测到存在入侵行为，将作出相应配置动作。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支持文件过滤功能： AC支持对经过本设备传输的文件类别进行识别过滤，根据配置作出相应动作。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支持数据过滤功能： AC支持对经过设备传输的数据进行识别，根据其应用层信息进行过滤的安全，提供防护机制。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支持应用流量统计功能： AC支持对经过本设备应用流量进行统计和排名。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支持应用缓存功能： AC支持对应用及文件进行本地缓存支持格式有apk、bmp、doc、docx、gif、gzip、ipa、jar、jpeg、jpg、pdf、png、ppt、pptx、rar、swf、tar、txt、xls、xlsx、zip等，客户端再次请求相关资源时，可直接从本地获取，节省出口带宽、减轻服务器端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IPv6</w:t>
            </w: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为保障IPV4网络过渡到IPV6网络的安全性，设备需支持IPV6 SAVI功能。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支持AC之间漫游同步IPv6 SAVI信息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支持RFC8106在IPv6 RA报文选项中填充DNS相关信息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985" w:type="dxa"/>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无线网络优化</w:t>
            </w: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为提高用户体验，优化无线空口环境，减少广播组播对空口资源的占用，AP支持对广播组播报文的优化，可对arp/dhcp/ipv6报文有针对性丢弃、代答、转发和限速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vMerge w:val="continue"/>
            <w:shd w:val="clear" w:color="auto" w:fill="auto"/>
            <w:vAlign w:val="center"/>
          </w:tcPr>
          <w:p>
            <w:pPr>
              <w:widowControl/>
              <w:jc w:val="left"/>
              <w:rPr>
                <w:rFonts w:cs="宋体" w:asciiTheme="minorEastAsia" w:hAnsiTheme="minorEastAsia"/>
                <w:kern w:val="0"/>
                <w:szCs w:val="21"/>
              </w:rPr>
            </w:pP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支持基于空口利用率的SSID自动隐藏功能，当空口繁忙程度达到或超过配置的阈值时，SSID自动隐藏，为用户提供稳定可靠的无线服务。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策略转发双网关功能</w:t>
            </w: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支持策略转发双网关，方便总部分支网络用户远程办公，同时减少ACAP中间链路资源占用，设备支持同一SSID终端的内网业务AC集中转发处理，外网业务AP本地转发。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无线定位</w:t>
            </w: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支持嵌入式定位，参与定位的AP支持跨信道部署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985"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分层AC</w:t>
            </w:r>
          </w:p>
        </w:tc>
        <w:tc>
          <w:tcPr>
            <w:tcW w:w="6379"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总部AC统一管理；License统一管理；自由选择认证点；分支AC支持本地漫游功能。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5"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管理和维护</w:t>
            </w:r>
          </w:p>
        </w:tc>
        <w:tc>
          <w:tcPr>
            <w:tcW w:w="6379" w:type="dxa"/>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结合公有云平台可实现极简运维及业务增值。提供权威机构发布的测试报告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进网许可证</w:t>
            </w:r>
          </w:p>
        </w:tc>
        <w:tc>
          <w:tcPr>
            <w:tcW w:w="6379" w:type="dxa"/>
            <w:shd w:val="clear" w:color="auto" w:fill="auto"/>
            <w:vAlign w:val="bottom"/>
          </w:tcPr>
          <w:p>
            <w:pPr>
              <w:widowControl/>
              <w:jc w:val="left"/>
              <w:rPr>
                <w:rFonts w:cs="宋体" w:asciiTheme="minorEastAsia" w:hAnsiTheme="minorEastAsia"/>
                <w:kern w:val="0"/>
                <w:szCs w:val="21"/>
              </w:rPr>
            </w:pPr>
            <w:r>
              <w:rPr>
                <w:rFonts w:hint="eastAsia" w:cs="宋体" w:asciiTheme="minorEastAsia" w:hAnsiTheme="minorEastAsia"/>
                <w:kern w:val="0"/>
                <w:szCs w:val="21"/>
              </w:rPr>
              <w:t>要求提供所投设备进网许可证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CCC认证报告</w:t>
            </w:r>
          </w:p>
        </w:tc>
        <w:tc>
          <w:tcPr>
            <w:tcW w:w="6379" w:type="dxa"/>
            <w:shd w:val="clear" w:color="auto" w:fill="auto"/>
            <w:noWrap/>
            <w:vAlign w:val="bottom"/>
          </w:tcPr>
          <w:p>
            <w:pPr>
              <w:widowControl/>
              <w:jc w:val="left"/>
              <w:rPr>
                <w:rFonts w:cs="宋体" w:asciiTheme="minorEastAsia" w:hAnsiTheme="minorEastAsia"/>
                <w:kern w:val="0"/>
                <w:szCs w:val="21"/>
              </w:rPr>
            </w:pPr>
            <w:r>
              <w:rPr>
                <w:rFonts w:hint="eastAsia" w:cs="宋体" w:asciiTheme="minorEastAsia" w:hAnsiTheme="minorEastAsia"/>
                <w:kern w:val="0"/>
                <w:szCs w:val="21"/>
              </w:rPr>
              <w:t>要求提供国家强制性产品认证证书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85"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安全认证</w:t>
            </w:r>
          </w:p>
        </w:tc>
        <w:tc>
          <w:tcPr>
            <w:tcW w:w="6379" w:type="dxa"/>
            <w:shd w:val="clear" w:color="auto" w:fill="auto"/>
            <w:vAlign w:val="bottom"/>
          </w:tcPr>
          <w:p>
            <w:pPr>
              <w:widowControl/>
              <w:jc w:val="left"/>
              <w:rPr>
                <w:rFonts w:cs="宋体" w:asciiTheme="minorEastAsia" w:hAnsiTheme="minorEastAsia"/>
                <w:kern w:val="0"/>
                <w:szCs w:val="21"/>
              </w:rPr>
            </w:pPr>
            <w:r>
              <w:rPr>
                <w:rFonts w:hint="eastAsia" w:cs="宋体" w:asciiTheme="minorEastAsia" w:hAnsiTheme="minorEastAsia"/>
                <w:kern w:val="0"/>
                <w:szCs w:val="21"/>
              </w:rPr>
              <w:t>为保证产品安全使用，投标产品输入电压电流测试、安全说明和标记、受限制电源、接地连续性、稳定性、恒定力测试、正常和异常温升、接触电流、抗电强度等指标均符合GB 4943.1-2011，IEC 60950-1，EN 60950-1，UL 60950-1标准的认证安全标准，并提供相关认证</w:t>
            </w:r>
          </w:p>
        </w:tc>
      </w:tr>
    </w:tbl>
    <w:p>
      <w:pPr>
        <w:rPr>
          <w:rFonts w:asciiTheme="minorEastAsia" w:hAnsiTheme="minorEastAsia"/>
          <w:szCs w:val="21"/>
        </w:rPr>
      </w:pPr>
    </w:p>
    <w:p>
      <w:pPr>
        <w:pStyle w:val="5"/>
        <w:numPr>
          <w:ilvl w:val="0"/>
          <w:numId w:val="3"/>
        </w:numPr>
        <w:spacing w:before="0" w:after="0" w:line="413" w:lineRule="auto"/>
      </w:pPr>
      <w:r>
        <w:rPr>
          <w:rFonts w:hint="eastAsia"/>
        </w:rPr>
        <w:t>放装AP</w:t>
      </w:r>
    </w:p>
    <w:tbl>
      <w:tblPr>
        <w:tblStyle w:val="27"/>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85" w:type="dxa"/>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指标项</w:t>
            </w:r>
          </w:p>
        </w:tc>
        <w:tc>
          <w:tcPr>
            <w:tcW w:w="6520" w:type="dxa"/>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★工作模式</w:t>
            </w:r>
          </w:p>
        </w:tc>
        <w:tc>
          <w:tcPr>
            <w:tcW w:w="6520" w:type="dxa"/>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采用整机四流设计，可同时工作在802.11a/b/g/n/ac/ac wave2模式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射频设计</w:t>
            </w:r>
          </w:p>
        </w:tc>
        <w:tc>
          <w:tcPr>
            <w:tcW w:w="6520" w:type="dxa"/>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要求投标产品提供2.4GHz和5GHz两个射频模块设计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85" w:type="dxa"/>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★协商速率</w:t>
            </w:r>
          </w:p>
        </w:tc>
        <w:tc>
          <w:tcPr>
            <w:tcW w:w="6520" w:type="dxa"/>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整机协商速率≥1267bps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USB</w:t>
            </w:r>
          </w:p>
        </w:tc>
        <w:tc>
          <w:tcPr>
            <w:tcW w:w="6520" w:type="dxa"/>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支持1个5V/0.5A标准USB口，方便为手机、平板等移动设备充电，同时便于后续设备维护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85" w:type="dxa"/>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接口设计</w:t>
            </w:r>
          </w:p>
        </w:tc>
        <w:tc>
          <w:tcPr>
            <w:tcW w:w="6520" w:type="dxa"/>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≥2个10/100/1000Mbps(RJ45)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物联网扩展能力</w:t>
            </w:r>
          </w:p>
        </w:tc>
        <w:tc>
          <w:tcPr>
            <w:tcW w:w="6520" w:type="dxa"/>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至少支持10个物联网模块扩展，要求提供官网链接以及官网截图证明，保留测试权力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视频点播能力</w:t>
            </w:r>
          </w:p>
        </w:tc>
        <w:tc>
          <w:tcPr>
            <w:tcW w:w="6520"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整机接入120个用户，同时点播1M码流的视频文件时，视频点播流畅不卡顿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85" w:type="dxa"/>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天线设计</w:t>
            </w:r>
          </w:p>
        </w:tc>
        <w:tc>
          <w:tcPr>
            <w:tcW w:w="6520" w:type="dxa"/>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内置全向天线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空口优化</w:t>
            </w:r>
          </w:p>
        </w:tc>
        <w:tc>
          <w:tcPr>
            <w:tcW w:w="6520"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支持基于空口利用率的SSID自动隐藏功能，当空口繁忙程度达到或超过配置的阈值时，SSID自动隐藏，为用户提供稳定可靠的无线服务。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接入安全</w:t>
            </w:r>
          </w:p>
        </w:tc>
        <w:tc>
          <w:tcPr>
            <w:tcW w:w="6520" w:type="dxa"/>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支持WPA3个人级方式下的终端接入；支持WPA3企业级模式下的终端接入功能。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入网证</w:t>
            </w:r>
          </w:p>
        </w:tc>
        <w:tc>
          <w:tcPr>
            <w:tcW w:w="6520" w:type="dxa"/>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要求投标产品为成熟产品，投标设备必须持有国家工信部型号核准证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985" w:type="dxa"/>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WIFI联盟证书</w:t>
            </w:r>
          </w:p>
        </w:tc>
        <w:tc>
          <w:tcPr>
            <w:tcW w:w="6520" w:type="dxa"/>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为保证终端互联互通有效性，投标投标厂家需提供投标产品WiFi联盟证书</w:t>
            </w:r>
          </w:p>
        </w:tc>
      </w:tr>
    </w:tbl>
    <w:p>
      <w:pPr>
        <w:rPr>
          <w:rFonts w:asciiTheme="minorEastAsia" w:hAnsiTheme="minorEastAsia"/>
          <w:szCs w:val="21"/>
        </w:rPr>
      </w:pPr>
    </w:p>
    <w:p>
      <w:pPr>
        <w:pStyle w:val="5"/>
        <w:numPr>
          <w:ilvl w:val="0"/>
          <w:numId w:val="3"/>
        </w:numPr>
        <w:spacing w:before="0" w:after="0" w:line="413" w:lineRule="auto"/>
      </w:pPr>
      <w:r>
        <w:rPr>
          <w:rFonts w:hint="eastAsia"/>
        </w:rPr>
        <w:t>高密AP</w:t>
      </w:r>
    </w:p>
    <w:tbl>
      <w:tblPr>
        <w:tblStyle w:val="27"/>
        <w:tblW w:w="8505" w:type="dxa"/>
        <w:tblInd w:w="-5" w:type="dxa"/>
        <w:tblLayout w:type="autofit"/>
        <w:tblCellMar>
          <w:top w:w="0" w:type="dxa"/>
          <w:left w:w="108" w:type="dxa"/>
          <w:bottom w:w="0" w:type="dxa"/>
          <w:right w:w="108" w:type="dxa"/>
        </w:tblCellMar>
      </w:tblPr>
      <w:tblGrid>
        <w:gridCol w:w="1985"/>
        <w:gridCol w:w="6520"/>
      </w:tblGrid>
      <w:tr>
        <w:tblPrEx>
          <w:tblCellMar>
            <w:top w:w="0" w:type="dxa"/>
            <w:left w:w="108" w:type="dxa"/>
            <w:bottom w:w="0" w:type="dxa"/>
            <w:right w:w="108" w:type="dxa"/>
          </w:tblCellMar>
        </w:tblPrEx>
        <w:trPr>
          <w:trHeight w:val="339"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指标项</w:t>
            </w:r>
          </w:p>
        </w:tc>
        <w:tc>
          <w:tcPr>
            <w:tcW w:w="6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指标要求</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工作模式</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采用整机六流设计，可同时工作在802.11a/b/g/n/ac/ac wave2模式</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射频设计</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为了在高密场景和高带宽要求场景提供更多的频谱资源，满足用户的时间需求，要求投标产品提供三个射频模块设计</w:t>
            </w:r>
          </w:p>
        </w:tc>
      </w:tr>
      <w:tr>
        <w:tblPrEx>
          <w:tblCellMar>
            <w:top w:w="0" w:type="dxa"/>
            <w:left w:w="108" w:type="dxa"/>
            <w:bottom w:w="0" w:type="dxa"/>
            <w:right w:w="108" w:type="dxa"/>
          </w:tblCellMar>
        </w:tblPrEx>
        <w:trPr>
          <w:trHeight w:val="77"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协商速率</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整机协商速率≥2133Mbps</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接口设计</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≥2个10/100/1000Mbps(RJ45)，1个接口支持POE in，1个接口支持IoT扩展</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物联网扩展</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支持BLE、RFID、Zigbee等多种物联网链式扩展，至少支持10个物联网模块扩展</w:t>
            </w:r>
          </w:p>
        </w:tc>
      </w:tr>
      <w:tr>
        <w:tblPrEx>
          <w:tblCellMar>
            <w:top w:w="0" w:type="dxa"/>
            <w:left w:w="108" w:type="dxa"/>
            <w:bottom w:w="0" w:type="dxa"/>
            <w:right w:w="108" w:type="dxa"/>
          </w:tblCellMar>
        </w:tblPrEx>
        <w:trPr>
          <w:trHeight w:val="185"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视频点播能力</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整机接入200个用户，同时点播1M码流的视频文件时，视频点播流畅不卡顿</w:t>
            </w:r>
          </w:p>
        </w:tc>
      </w:tr>
      <w:tr>
        <w:tblPrEx>
          <w:tblCellMar>
            <w:top w:w="0" w:type="dxa"/>
            <w:left w:w="108" w:type="dxa"/>
            <w:bottom w:w="0" w:type="dxa"/>
            <w:right w:w="108" w:type="dxa"/>
          </w:tblCellMar>
        </w:tblPrEx>
        <w:trPr>
          <w:trHeight w:val="312"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天线设计</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内置全向天线</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空口优化</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支持基于空口利用率的SSID自动隐藏功能，当空口繁忙程度达到或超过配置的阈值时，SSID自动隐藏，为用户提供稳定可靠的无线服务。</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接入安全</w:t>
            </w:r>
          </w:p>
        </w:tc>
        <w:tc>
          <w:tcPr>
            <w:tcW w:w="6520" w:type="dxa"/>
            <w:tcBorders>
              <w:top w:val="nil"/>
              <w:left w:val="nil"/>
              <w:bottom w:val="single" w:color="auto" w:sz="4" w:space="0"/>
              <w:right w:val="single" w:color="auto" w:sz="4" w:space="0"/>
            </w:tcBorders>
            <w:shd w:val="clear" w:color="auto" w:fill="auto"/>
            <w:vAlign w:val="center"/>
          </w:tcPr>
          <w:p>
            <w:pPr>
              <w:widowControl/>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支持WPA3个人级方式下的终端接入；支持WPA3企业级模式下的终端接入功能。</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入网证</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要求投标产品为成熟产品，投标设备必须持有国家工信部型号核准证</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WIFI联盟证书</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为保证终端互联互通有效性，投标投标厂家需提供投标产品WiFi联盟证书</w:t>
            </w:r>
          </w:p>
        </w:tc>
      </w:tr>
    </w:tbl>
    <w:p>
      <w:pPr>
        <w:rPr>
          <w:rFonts w:asciiTheme="minorEastAsia" w:hAnsiTheme="minorEastAsia"/>
          <w:szCs w:val="21"/>
        </w:rPr>
      </w:pPr>
    </w:p>
    <w:p>
      <w:pPr>
        <w:pStyle w:val="5"/>
        <w:numPr>
          <w:ilvl w:val="0"/>
          <w:numId w:val="3"/>
        </w:numPr>
        <w:spacing w:before="0" w:after="0" w:line="413" w:lineRule="auto"/>
      </w:pPr>
      <w:r>
        <w:rPr>
          <w:rFonts w:hint="eastAsia"/>
        </w:rPr>
        <w:t>室外AP</w:t>
      </w:r>
    </w:p>
    <w:tbl>
      <w:tblPr>
        <w:tblStyle w:val="27"/>
        <w:tblW w:w="8505" w:type="dxa"/>
        <w:tblInd w:w="-5" w:type="dxa"/>
        <w:tblLayout w:type="autofit"/>
        <w:tblCellMar>
          <w:top w:w="0" w:type="dxa"/>
          <w:left w:w="108" w:type="dxa"/>
          <w:bottom w:w="0" w:type="dxa"/>
          <w:right w:w="108" w:type="dxa"/>
        </w:tblCellMar>
      </w:tblPr>
      <w:tblGrid>
        <w:gridCol w:w="1985"/>
        <w:gridCol w:w="6520"/>
      </w:tblGrid>
      <w:tr>
        <w:tblPrEx>
          <w:tblCellMar>
            <w:top w:w="0" w:type="dxa"/>
            <w:left w:w="108" w:type="dxa"/>
            <w:bottom w:w="0" w:type="dxa"/>
            <w:right w:w="108" w:type="dxa"/>
          </w:tblCellMar>
        </w:tblPrEx>
        <w:trPr>
          <w:trHeight w:val="312"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指标项</w:t>
            </w:r>
          </w:p>
        </w:tc>
        <w:tc>
          <w:tcPr>
            <w:tcW w:w="6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指标要求</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★工作模式</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采用整机四流设计，可同时工作在802.11a/b/g/n/ac/ac wave2模式</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射频设计</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要求投标产品提供2.4GHz和5GHz两个射频模块设计</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★协商速率</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整机协商速率≥1267Mbps</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上行接口设计</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≥3个10/100/1000Mbps(RJ45)</w:t>
            </w:r>
          </w:p>
        </w:tc>
      </w:tr>
      <w:tr>
        <w:tblPrEx>
          <w:tblCellMar>
            <w:top w:w="0" w:type="dxa"/>
            <w:left w:w="108" w:type="dxa"/>
            <w:bottom w:w="0" w:type="dxa"/>
            <w:right w:w="108" w:type="dxa"/>
          </w:tblCellMar>
        </w:tblPrEx>
        <w:trPr>
          <w:trHeight w:val="254"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内置物联网</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内置蓝牙，支持通过蓝牙实现IOT扩展功能</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外置物联网扩展</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至少支持10个物联网模块扩展</w:t>
            </w:r>
          </w:p>
        </w:tc>
      </w:tr>
      <w:tr>
        <w:tblPrEx>
          <w:tblCellMar>
            <w:top w:w="0" w:type="dxa"/>
            <w:left w:w="108" w:type="dxa"/>
            <w:bottom w:w="0" w:type="dxa"/>
            <w:right w:w="108" w:type="dxa"/>
          </w:tblCellMar>
        </w:tblPrEx>
        <w:trPr>
          <w:trHeight w:val="117"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物联网功能</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物联网扩展模块可支持蓝牙、RFID手环信息传输，并将信息上报平台</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MU-MIMO性能</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要求投标产品2个单流终端接入情况下MU-MIMO性能不低于650Mbps</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视频点播能力</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整机接入120个用户，同时点播1M码流的视频文件时，视频点播流畅不卡顿</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天线设计</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内置智能全向天线</w:t>
            </w:r>
          </w:p>
        </w:tc>
      </w:tr>
      <w:tr>
        <w:tblPrEx>
          <w:tblCellMar>
            <w:top w:w="0" w:type="dxa"/>
            <w:left w:w="108" w:type="dxa"/>
            <w:bottom w:w="0" w:type="dxa"/>
            <w:right w:w="108" w:type="dxa"/>
          </w:tblCellMar>
        </w:tblPrEx>
        <w:trPr>
          <w:trHeight w:val="312"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防护等级</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要求投标产品满足IP68防护等级</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GPS</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内置GPS模块，可获取AP位置信息，精度准确</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水平仪</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保证设备安装方便，设备支持水平仪功能</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高温气压阀</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保证设备防水性能，维持内外气压平衡，设备支持高温气压阀</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空口优化</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支持基于空口利用率的SSID自动隐藏功能，当空口繁忙程度达到或超过配置的阈值时，SSID自动隐藏，为用户提供稳定可靠的无线服务。</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接入安全</w:t>
            </w:r>
          </w:p>
        </w:tc>
        <w:tc>
          <w:tcPr>
            <w:tcW w:w="6520" w:type="dxa"/>
            <w:tcBorders>
              <w:top w:val="nil"/>
              <w:left w:val="nil"/>
              <w:bottom w:val="single" w:color="auto" w:sz="4" w:space="0"/>
              <w:right w:val="single" w:color="auto" w:sz="4" w:space="0"/>
            </w:tcBorders>
            <w:shd w:val="clear" w:color="auto" w:fill="auto"/>
            <w:vAlign w:val="center"/>
          </w:tcPr>
          <w:p>
            <w:pPr>
              <w:widowControl/>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支持WPA3个人级方式下的终端接入；支持WPA3企业级模式下的终端接入功能。</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入网证</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要求投标产品为成熟产品，投标设备必须持有国家工信部型号核准证</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WIFI联盟证书</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为保证终端互联互通有效性，投标投标厂家需提供投标产品WiFi联盟证书</w:t>
            </w:r>
          </w:p>
        </w:tc>
      </w:tr>
    </w:tbl>
    <w:p>
      <w:pPr>
        <w:rPr>
          <w:rFonts w:asciiTheme="minorEastAsia" w:hAnsiTheme="minorEastAsia"/>
          <w:szCs w:val="21"/>
        </w:rPr>
      </w:pPr>
    </w:p>
    <w:p>
      <w:pPr>
        <w:pStyle w:val="5"/>
        <w:numPr>
          <w:ilvl w:val="0"/>
          <w:numId w:val="3"/>
        </w:numPr>
        <w:spacing w:before="0" w:after="0" w:line="413" w:lineRule="auto"/>
      </w:pPr>
      <w:r>
        <w:rPr>
          <w:rFonts w:hint="eastAsia"/>
        </w:rPr>
        <w:t>中心AP</w:t>
      </w:r>
    </w:p>
    <w:tbl>
      <w:tblPr>
        <w:tblStyle w:val="27"/>
        <w:tblW w:w="8505" w:type="dxa"/>
        <w:tblInd w:w="-5" w:type="dxa"/>
        <w:tblLayout w:type="autofit"/>
        <w:tblCellMar>
          <w:top w:w="0" w:type="dxa"/>
          <w:left w:w="108" w:type="dxa"/>
          <w:bottom w:w="0" w:type="dxa"/>
          <w:right w:w="108" w:type="dxa"/>
        </w:tblCellMar>
      </w:tblPr>
      <w:tblGrid>
        <w:gridCol w:w="1985"/>
        <w:gridCol w:w="6520"/>
      </w:tblGrid>
      <w:tr>
        <w:tblPrEx>
          <w:tblCellMar>
            <w:top w:w="0" w:type="dxa"/>
            <w:left w:w="108" w:type="dxa"/>
            <w:bottom w:w="0" w:type="dxa"/>
            <w:right w:w="108" w:type="dxa"/>
          </w:tblCellMar>
        </w:tblPrEx>
        <w:trPr>
          <w:trHeight w:val="60"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指标项</w:t>
            </w:r>
          </w:p>
        </w:tc>
        <w:tc>
          <w:tcPr>
            <w:tcW w:w="6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参数要求</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★上行扩展接口槽位</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可扩展2端口GE板卡或2端口SFP+/SFP板卡，兼容千兆以太网口模块，要求提供官网链接以及官网截图证明 </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★上行接口</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2个SFP+/SFP自协商端口，兼容千兆以太网口模块;                                       </w:t>
            </w:r>
          </w:p>
        </w:tc>
      </w:tr>
      <w:tr>
        <w:tblPrEx>
          <w:tblCellMar>
            <w:top w:w="0" w:type="dxa"/>
            <w:left w:w="108" w:type="dxa"/>
            <w:bottom w:w="0" w:type="dxa"/>
            <w:right w:w="108" w:type="dxa"/>
          </w:tblCellMar>
        </w:tblPrEx>
        <w:trPr>
          <w:trHeight w:val="312"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下行接口</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24个GE口，支持对AP进行POE供电</w:t>
            </w:r>
          </w:p>
        </w:tc>
      </w:tr>
      <w:tr>
        <w:tblPrEx>
          <w:tblCellMar>
            <w:top w:w="0" w:type="dxa"/>
            <w:left w:w="108" w:type="dxa"/>
            <w:bottom w:w="0" w:type="dxa"/>
            <w:right w:w="108" w:type="dxa"/>
          </w:tblCellMar>
        </w:tblPrEx>
        <w:trPr>
          <w:trHeight w:val="312"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 xml:space="preserve"> 总吞吐量</w:t>
            </w:r>
          </w:p>
        </w:tc>
        <w:tc>
          <w:tcPr>
            <w:tcW w:w="652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kern w:val="0"/>
                <w:szCs w:val="21"/>
              </w:rPr>
            </w:pPr>
            <w:r>
              <w:rPr>
                <w:rFonts w:hint="eastAsia" w:cs="宋体" w:asciiTheme="minorEastAsia" w:hAnsiTheme="minorEastAsia"/>
                <w:kern w:val="0"/>
                <w:szCs w:val="21"/>
              </w:rPr>
              <w:t>≥40Gbps</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物联网</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下行口支持物联网扩展，至少支持10个外置物联网模块链式扩展，要求提供官网截图证明。</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电源</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可热插拔双电源设计，满足下挂AP极限模式供电，实配电源POE输出功率≥330W/672W，要求提供官网链接以及官网截图证明 </w:t>
            </w:r>
          </w:p>
        </w:tc>
      </w:tr>
      <w:tr>
        <w:tblPrEx>
          <w:tblCellMar>
            <w:top w:w="0" w:type="dxa"/>
            <w:left w:w="108" w:type="dxa"/>
            <w:bottom w:w="0" w:type="dxa"/>
            <w:right w:w="108" w:type="dxa"/>
          </w:tblCellMar>
        </w:tblPrEx>
        <w:trPr>
          <w:trHeight w:val="312"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MAC地址表项数</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≥1536</w:t>
            </w:r>
          </w:p>
        </w:tc>
      </w:tr>
      <w:tr>
        <w:tblPrEx>
          <w:tblCellMar>
            <w:top w:w="0" w:type="dxa"/>
            <w:left w:w="108" w:type="dxa"/>
            <w:bottom w:w="0" w:type="dxa"/>
            <w:right w:w="108" w:type="dxa"/>
          </w:tblCellMar>
        </w:tblPrEx>
        <w:trPr>
          <w:trHeight w:val="312"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ARP表项数</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≥1536</w:t>
            </w:r>
          </w:p>
        </w:tc>
      </w:tr>
      <w:tr>
        <w:tblPrEx>
          <w:tblCellMar>
            <w:top w:w="0" w:type="dxa"/>
            <w:left w:w="108" w:type="dxa"/>
            <w:bottom w:w="0" w:type="dxa"/>
            <w:right w:w="108" w:type="dxa"/>
          </w:tblCellMar>
        </w:tblPrEx>
        <w:trPr>
          <w:trHeight w:val="312"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支持VLAN数量</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≥4094</w:t>
            </w:r>
          </w:p>
        </w:tc>
      </w:tr>
      <w:tr>
        <w:tblPrEx>
          <w:tblCellMar>
            <w:top w:w="0" w:type="dxa"/>
            <w:left w:w="108" w:type="dxa"/>
            <w:bottom w:w="0" w:type="dxa"/>
            <w:right w:w="108" w:type="dxa"/>
          </w:tblCellMar>
        </w:tblPrEx>
        <w:trPr>
          <w:trHeight w:val="312"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进网许可证</w:t>
            </w:r>
          </w:p>
        </w:tc>
        <w:tc>
          <w:tcPr>
            <w:tcW w:w="6520"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kern w:val="0"/>
                <w:szCs w:val="21"/>
              </w:rPr>
            </w:pPr>
            <w:r>
              <w:rPr>
                <w:rFonts w:hint="eastAsia" w:cs="宋体" w:asciiTheme="minorEastAsia" w:hAnsiTheme="minorEastAsia"/>
                <w:kern w:val="0"/>
                <w:szCs w:val="21"/>
              </w:rPr>
              <w:t>要求提供所投设备进网许可证</w:t>
            </w:r>
          </w:p>
        </w:tc>
      </w:tr>
      <w:tr>
        <w:tblPrEx>
          <w:tblCellMar>
            <w:top w:w="0" w:type="dxa"/>
            <w:left w:w="108" w:type="dxa"/>
            <w:bottom w:w="0" w:type="dxa"/>
            <w:right w:w="108" w:type="dxa"/>
          </w:tblCellMar>
        </w:tblPrEx>
        <w:trPr>
          <w:trHeight w:val="312"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CCC认证报告</w:t>
            </w:r>
          </w:p>
        </w:tc>
        <w:tc>
          <w:tcPr>
            <w:tcW w:w="652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kern w:val="0"/>
                <w:szCs w:val="21"/>
              </w:rPr>
            </w:pPr>
            <w:r>
              <w:rPr>
                <w:rFonts w:hint="eastAsia" w:cs="宋体" w:asciiTheme="minorEastAsia" w:hAnsiTheme="minorEastAsia"/>
                <w:kern w:val="0"/>
                <w:szCs w:val="21"/>
              </w:rPr>
              <w:t>要求提供国家强制性产品认证证书</w:t>
            </w:r>
          </w:p>
        </w:tc>
      </w:tr>
    </w:tbl>
    <w:p>
      <w:pPr>
        <w:rPr>
          <w:rFonts w:asciiTheme="minorEastAsia" w:hAnsiTheme="minorEastAsia"/>
          <w:szCs w:val="21"/>
        </w:rPr>
      </w:pPr>
    </w:p>
    <w:p>
      <w:pPr>
        <w:pStyle w:val="5"/>
        <w:numPr>
          <w:ilvl w:val="0"/>
          <w:numId w:val="3"/>
        </w:numPr>
        <w:spacing w:before="0" w:after="0" w:line="413" w:lineRule="auto"/>
      </w:pPr>
      <w:r>
        <w:rPr>
          <w:rFonts w:hint="eastAsia"/>
        </w:rPr>
        <w:t>远端</w:t>
      </w:r>
      <w:r>
        <w:t>放装</w:t>
      </w:r>
      <w:r>
        <w:rPr>
          <w:rFonts w:hint="eastAsia"/>
        </w:rPr>
        <w:t>AP</w:t>
      </w:r>
    </w:p>
    <w:tbl>
      <w:tblPr>
        <w:tblStyle w:val="27"/>
        <w:tblW w:w="8505" w:type="dxa"/>
        <w:tblInd w:w="-5" w:type="dxa"/>
        <w:tblLayout w:type="autofit"/>
        <w:tblCellMar>
          <w:top w:w="0" w:type="dxa"/>
          <w:left w:w="108" w:type="dxa"/>
          <w:bottom w:w="0" w:type="dxa"/>
          <w:right w:w="108" w:type="dxa"/>
        </w:tblCellMar>
      </w:tblPr>
      <w:tblGrid>
        <w:gridCol w:w="1985"/>
        <w:gridCol w:w="6520"/>
      </w:tblGrid>
      <w:tr>
        <w:tblPrEx>
          <w:tblCellMar>
            <w:top w:w="0" w:type="dxa"/>
            <w:left w:w="108" w:type="dxa"/>
            <w:bottom w:w="0" w:type="dxa"/>
            <w:right w:w="108" w:type="dxa"/>
          </w:tblCellMar>
        </w:tblPrEx>
        <w:trPr>
          <w:trHeight w:val="312"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指标项</w:t>
            </w:r>
          </w:p>
        </w:tc>
        <w:tc>
          <w:tcPr>
            <w:tcW w:w="6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参数要求</w:t>
            </w:r>
          </w:p>
        </w:tc>
      </w:tr>
      <w:tr>
        <w:tblPrEx>
          <w:tblCellMar>
            <w:top w:w="0" w:type="dxa"/>
            <w:left w:w="108" w:type="dxa"/>
            <w:bottom w:w="0" w:type="dxa"/>
            <w:right w:w="108" w:type="dxa"/>
          </w:tblCellMar>
        </w:tblPrEx>
        <w:trPr>
          <w:trHeight w:val="107"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★工作模式</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采用整机四流设计，可同时工作在802.11a/b/g/n/ac/ac wave2模式</w:t>
            </w:r>
          </w:p>
        </w:tc>
      </w:tr>
      <w:tr>
        <w:tblPrEx>
          <w:tblCellMar>
            <w:top w:w="0" w:type="dxa"/>
            <w:left w:w="108" w:type="dxa"/>
            <w:bottom w:w="0" w:type="dxa"/>
            <w:right w:w="108" w:type="dxa"/>
          </w:tblCellMar>
        </w:tblPrEx>
        <w:trPr>
          <w:trHeight w:val="312"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★协商速率</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整机协商速率≥1317Mbps</w:t>
            </w:r>
          </w:p>
        </w:tc>
      </w:tr>
      <w:tr>
        <w:tblPrEx>
          <w:tblCellMar>
            <w:top w:w="0" w:type="dxa"/>
            <w:left w:w="108" w:type="dxa"/>
            <w:bottom w:w="0" w:type="dxa"/>
            <w:right w:w="108" w:type="dxa"/>
          </w:tblCellMar>
        </w:tblPrEx>
        <w:trPr>
          <w:trHeight w:val="60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接口设计</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≥1个10/100/1000Mbps(RJ45)上行千兆接口；</w:t>
            </w:r>
            <w:r>
              <w:rPr>
                <w:rFonts w:hint="eastAsia" w:cs="宋体" w:asciiTheme="minorEastAsia" w:hAnsiTheme="minorEastAsia"/>
                <w:kern w:val="0"/>
                <w:szCs w:val="21"/>
              </w:rPr>
              <w:br w:type="textWrapping"/>
            </w:r>
            <w:r>
              <w:rPr>
                <w:rFonts w:hint="eastAsia" w:cs="宋体" w:asciiTheme="minorEastAsia" w:hAnsiTheme="minorEastAsia"/>
                <w:kern w:val="0"/>
                <w:szCs w:val="21"/>
              </w:rPr>
              <w:t>≥2个10/100/1000Mbps(RJ45)下行千兆接口；</w:t>
            </w:r>
          </w:p>
        </w:tc>
      </w:tr>
      <w:tr>
        <w:tblPrEx>
          <w:tblCellMar>
            <w:top w:w="0" w:type="dxa"/>
            <w:left w:w="108" w:type="dxa"/>
            <w:bottom w:w="0" w:type="dxa"/>
            <w:right w:w="108" w:type="dxa"/>
          </w:tblCellMar>
        </w:tblPrEx>
        <w:trPr>
          <w:trHeight w:val="60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物联网扩展</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至少支持10个物联网模块扩展</w:t>
            </w:r>
          </w:p>
        </w:tc>
      </w:tr>
      <w:tr>
        <w:tblPrEx>
          <w:tblCellMar>
            <w:top w:w="0" w:type="dxa"/>
            <w:left w:w="108" w:type="dxa"/>
            <w:bottom w:w="0" w:type="dxa"/>
            <w:right w:w="108" w:type="dxa"/>
          </w:tblCellMar>
        </w:tblPrEx>
        <w:trPr>
          <w:trHeight w:val="324"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天线设计</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内置全向天线</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管理接口</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支持RJ45 console口</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MU-MIMO性能</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要求投标产品2个单流终端接入情况下MU-MIMO性能不低于600Mbps</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视频点播能力</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整机接入60个用户，同时点播1M码流的视频文件时，视频点播流畅不卡顿</w:t>
            </w:r>
          </w:p>
        </w:tc>
      </w:tr>
      <w:tr>
        <w:tblPrEx>
          <w:tblCellMar>
            <w:top w:w="0" w:type="dxa"/>
            <w:left w:w="108" w:type="dxa"/>
            <w:bottom w:w="0" w:type="dxa"/>
            <w:right w:w="108" w:type="dxa"/>
          </w:tblCellMar>
        </w:tblPrEx>
        <w:trPr>
          <w:trHeight w:val="412"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空口优化</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支持基于空口利用率的SSID自动隐藏功能，当空口繁忙程度达到或超过配置的阈值时，SSID自动隐藏，为用户提供稳定可靠的无线服务。</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入网证</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要求投标产品为成熟产品，投标设备必须持有国家工信部型号核准证</w:t>
            </w:r>
          </w:p>
        </w:tc>
      </w:tr>
      <w:tr>
        <w:tblPrEx>
          <w:tblCellMar>
            <w:top w:w="0" w:type="dxa"/>
            <w:left w:w="108" w:type="dxa"/>
            <w:bottom w:w="0" w:type="dxa"/>
            <w:right w:w="108" w:type="dxa"/>
          </w:tblCellMar>
        </w:tblPrEx>
        <w:trPr>
          <w:trHeight w:val="6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WIFI联盟证书</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为保证终端互联互通有效性，投标投标厂家需提供投标产品WiFi联盟证书</w:t>
            </w:r>
          </w:p>
        </w:tc>
      </w:tr>
    </w:tbl>
    <w:p>
      <w:pPr>
        <w:rPr>
          <w:rFonts w:asciiTheme="minorEastAsia" w:hAnsiTheme="minorEastAsia"/>
          <w:szCs w:val="21"/>
        </w:rPr>
      </w:pPr>
    </w:p>
    <w:p>
      <w:pPr>
        <w:pStyle w:val="5"/>
        <w:numPr>
          <w:ilvl w:val="0"/>
          <w:numId w:val="3"/>
        </w:numPr>
        <w:spacing w:before="0" w:after="0" w:line="413" w:lineRule="auto"/>
      </w:pPr>
      <w:r>
        <w:t>24</w:t>
      </w:r>
      <w:r>
        <w:rPr>
          <w:rFonts w:hint="eastAsia"/>
        </w:rPr>
        <w:t>口POE交换机</w:t>
      </w:r>
    </w:p>
    <w:tbl>
      <w:tblPr>
        <w:tblStyle w:val="2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shd w:val="clear" w:color="000000" w:fill="FFFFFF" w:themeFill="background1"/>
            <w:vAlign w:val="center"/>
          </w:tcPr>
          <w:p>
            <w:pPr>
              <w:widowControl/>
              <w:rPr>
                <w:rFonts w:cs="宋体" w:asciiTheme="minorEastAsia" w:hAnsiTheme="minorEastAsia"/>
                <w:szCs w:val="21"/>
              </w:rPr>
            </w:pPr>
            <w:r>
              <w:rPr>
                <w:rFonts w:hint="eastAsia" w:cs="宋体" w:asciiTheme="minorEastAsia" w:hAnsiTheme="minorEastAsia"/>
                <w:szCs w:val="21"/>
              </w:rPr>
              <w:t>功能及技术指标</w:t>
            </w:r>
          </w:p>
        </w:tc>
        <w:tc>
          <w:tcPr>
            <w:tcW w:w="6391" w:type="dxa"/>
            <w:shd w:val="clear" w:color="000000" w:fill="FFFFFF" w:themeFill="background1"/>
            <w:vAlign w:val="center"/>
          </w:tcPr>
          <w:p>
            <w:pPr>
              <w:widowControl/>
              <w:rPr>
                <w:rFonts w:cs="宋体" w:asciiTheme="minorEastAsia" w:hAnsiTheme="minorEastAsia"/>
                <w:szCs w:val="21"/>
              </w:rPr>
            </w:pPr>
            <w:r>
              <w:rPr>
                <w:rFonts w:hint="eastAsia" w:cs="宋体" w:asciiTheme="minorEastAsia" w:hAnsiTheme="minorEastAsia"/>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kern w:val="0"/>
                <w:szCs w:val="21"/>
              </w:rPr>
              <w:t>★</w:t>
            </w:r>
            <w:r>
              <w:rPr>
                <w:rFonts w:hint="eastAsia" w:cs="宋体" w:asciiTheme="minorEastAsia" w:hAnsiTheme="minorEastAsia"/>
                <w:szCs w:val="21"/>
              </w:rPr>
              <w:t>交换容量</w:t>
            </w: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330Gbps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kern w:val="0"/>
                <w:szCs w:val="21"/>
              </w:rPr>
              <w:t>★</w:t>
            </w:r>
            <w:r>
              <w:rPr>
                <w:rFonts w:hint="eastAsia" w:cs="宋体" w:asciiTheme="minorEastAsia" w:hAnsiTheme="minorEastAsia"/>
                <w:szCs w:val="21"/>
              </w:rPr>
              <w:t>转发性能</w:t>
            </w: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≥96Mpps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jc w:val="center"/>
        </w:trPr>
        <w:tc>
          <w:tcPr>
            <w:tcW w:w="2114"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kern w:val="0"/>
                <w:szCs w:val="21"/>
              </w:rPr>
              <w:t>★</w:t>
            </w:r>
            <w:r>
              <w:rPr>
                <w:rFonts w:hint="eastAsia" w:cs="宋体" w:asciiTheme="minorEastAsia" w:hAnsiTheme="minorEastAsia"/>
                <w:szCs w:val="21"/>
              </w:rPr>
              <w:t>接口类型</w:t>
            </w: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端口形态：24个10/100/1000BASE-T PoE+电口(AC 370W,DC 740W),4个100/1000BASE-X SFP端口,4个GE Combo口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restart"/>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堆叠</w:t>
            </w: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最大堆叠台数≥9台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最大堆叠带宽≥80G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可要求堆叠带宽≥80G，并要求实配接口的基础上额外满配堆叠带宽所需的接口和互联模块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支持跨设备链路聚合，单一IP管理，分布式弹性路由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支持通过标准以太端口进行堆叠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支持完善的堆叠分裂检测机制，堆叠分裂后能自动完成MAC和IP地址的重配置，无需手动干预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支持远程堆叠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restart"/>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路由协议</w:t>
            </w: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支持IPv4静态路由、RIP V1/V2、OSPF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支持IPv6静态路由、RIPng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支持IPv4和IPv6环境下的策略路由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restart"/>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访问控制策略</w:t>
            </w: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支持基于第二层、第三层和第四层的ACL；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整机提供ACl条目数不小于1K条；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支持基于端口和VLAN的 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支持IPv6 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支持出方向ACL，以便于灵活实现数据包过滤；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支持802.1x认证，支持集中式MAC地址认证；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restart"/>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SDN/OPENFLOW</w:t>
            </w: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支持多表流水线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支持Group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restart"/>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管理和维护</w:t>
            </w: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支持SNMP V1/V2/V3、RMON、SSHV2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391"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支持OAM(802.1AG， 802.3AH)以太网运行、维护和管理标准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shd w:val="clear" w:color="auto" w:fill="auto"/>
            <w:vAlign w:val="center"/>
          </w:tcPr>
          <w:p>
            <w:pPr>
              <w:widowControl/>
              <w:rPr>
                <w:rFonts w:cs="宋体" w:asciiTheme="minorEastAsia" w:hAnsiTheme="minorEastAsia"/>
                <w:kern w:val="0"/>
                <w:szCs w:val="21"/>
              </w:rPr>
            </w:pPr>
            <w:r>
              <w:rPr>
                <w:rFonts w:hint="eastAsia" w:cs="宋体" w:asciiTheme="minorEastAsia" w:hAnsiTheme="minorEastAsia"/>
                <w:kern w:val="0"/>
                <w:szCs w:val="21"/>
              </w:rPr>
              <w:t>资质认证</w:t>
            </w:r>
          </w:p>
        </w:tc>
        <w:tc>
          <w:tcPr>
            <w:tcW w:w="6391" w:type="dxa"/>
            <w:shd w:val="clear" w:color="auto" w:fill="auto"/>
            <w:vAlign w:val="center"/>
          </w:tcPr>
          <w:p>
            <w:pPr>
              <w:widowControl/>
              <w:rPr>
                <w:rFonts w:cs="宋体" w:asciiTheme="minorEastAsia" w:hAnsiTheme="minorEastAsia"/>
                <w:kern w:val="0"/>
                <w:szCs w:val="21"/>
              </w:rPr>
            </w:pPr>
            <w:r>
              <w:rPr>
                <w:rFonts w:hint="eastAsia" w:cs="宋体" w:asciiTheme="minorEastAsia" w:hAnsiTheme="minorEastAsia"/>
                <w:kern w:val="0"/>
                <w:szCs w:val="21"/>
              </w:rPr>
              <w:t>提供信产部入网证</w:t>
            </w:r>
          </w:p>
        </w:tc>
      </w:tr>
    </w:tbl>
    <w:p>
      <w:pPr>
        <w:rPr>
          <w:rFonts w:asciiTheme="minorEastAsia" w:hAnsiTheme="minorEastAsia"/>
          <w:szCs w:val="21"/>
        </w:rPr>
      </w:pPr>
    </w:p>
    <w:p>
      <w:pPr>
        <w:pStyle w:val="5"/>
        <w:numPr>
          <w:ilvl w:val="0"/>
          <w:numId w:val="3"/>
        </w:numPr>
        <w:spacing w:before="0" w:after="0" w:line="413" w:lineRule="auto"/>
      </w:pPr>
      <w:r>
        <w:rPr>
          <w:rFonts w:hint="eastAsia"/>
        </w:rPr>
        <w:t>16口POE交换机</w:t>
      </w:r>
    </w:p>
    <w:tbl>
      <w:tblPr>
        <w:tblStyle w:val="2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6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shd w:val="clear" w:color="000000" w:fill="FFFFFF" w:themeFill="background1"/>
            <w:vAlign w:val="center"/>
          </w:tcPr>
          <w:p>
            <w:pPr>
              <w:widowControl/>
              <w:ind w:firstLine="360"/>
              <w:rPr>
                <w:rFonts w:cs="宋体" w:asciiTheme="minorEastAsia" w:hAnsiTheme="minorEastAsia"/>
                <w:szCs w:val="21"/>
              </w:rPr>
            </w:pPr>
            <w:r>
              <w:rPr>
                <w:rFonts w:hint="eastAsia" w:cs="宋体" w:asciiTheme="minorEastAsia" w:hAnsiTheme="minorEastAsia"/>
                <w:szCs w:val="21"/>
              </w:rPr>
              <w:t>功能及技术指标</w:t>
            </w:r>
          </w:p>
        </w:tc>
        <w:tc>
          <w:tcPr>
            <w:tcW w:w="6953" w:type="dxa"/>
            <w:shd w:val="clear" w:color="000000" w:fill="FFFFFF" w:themeFill="background1"/>
            <w:vAlign w:val="center"/>
          </w:tcPr>
          <w:p>
            <w:pPr>
              <w:widowControl/>
              <w:rPr>
                <w:rFonts w:cs="宋体" w:asciiTheme="minorEastAsia" w:hAnsiTheme="minorEastAsia"/>
                <w:szCs w:val="21"/>
              </w:rPr>
            </w:pPr>
            <w:r>
              <w:rPr>
                <w:rFonts w:hint="eastAsia" w:cs="宋体" w:asciiTheme="minorEastAsia" w:hAnsiTheme="minorEastAsia"/>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kern w:val="0"/>
                <w:szCs w:val="21"/>
              </w:rPr>
              <w:t>★</w:t>
            </w:r>
            <w:r>
              <w:rPr>
                <w:rFonts w:hint="eastAsia" w:cs="宋体" w:asciiTheme="minorEastAsia" w:hAnsiTheme="minorEastAsia"/>
                <w:szCs w:val="21"/>
              </w:rPr>
              <w:t>交换容量</w:t>
            </w: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330Gbps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kern w:val="0"/>
                <w:szCs w:val="21"/>
              </w:rPr>
              <w:t>★</w:t>
            </w:r>
            <w:r>
              <w:rPr>
                <w:rFonts w:hint="eastAsia" w:cs="宋体" w:asciiTheme="minorEastAsia" w:hAnsiTheme="minorEastAsia"/>
                <w:szCs w:val="21"/>
              </w:rPr>
              <w:t>转发性能</w:t>
            </w: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≥30Mpps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jc w:val="center"/>
        </w:trPr>
        <w:tc>
          <w:tcPr>
            <w:tcW w:w="2114"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kern w:val="0"/>
                <w:szCs w:val="21"/>
              </w:rPr>
              <w:t>★</w:t>
            </w:r>
            <w:r>
              <w:rPr>
                <w:rFonts w:hint="eastAsia" w:cs="宋体" w:asciiTheme="minorEastAsia" w:hAnsiTheme="minorEastAsia"/>
                <w:szCs w:val="21"/>
              </w:rPr>
              <w:t>接口类型</w:t>
            </w: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端口形态：16个10/100/1000BASE-T PoE+电口(AC 185W),4个1000BASE-X SFP端口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restart"/>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堆叠</w:t>
            </w: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最大堆叠台数≥9台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最大堆叠带宽≥80G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可要求堆叠带宽≥80G，并要求实配接口的基础上额外满配堆叠带宽所需的接口和互联模块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支持跨设备链路聚合，单一IP管理，分布式弹性路由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支持通过标准以太端口进行堆叠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支持完善的堆叠分裂检测机制，堆叠分裂后能自动完成MAC和IP地址的重配置，无需手动干预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支持远程堆叠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restart"/>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路由协议</w:t>
            </w: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支持IPv4静态路由、RIP V1/V2、OSPF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支持IPv6静态路由、RIPng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支持IPv4和IPv6环境下的策略路由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restart"/>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访问控制策略</w:t>
            </w: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支持基于第二层、第三层和第四层的ACL；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整机提供ACl条目数不小于1K条；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支持基于端口和VLAN的 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支持IPv6 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支持出方向ACL，以便于灵活实现数据包过滤；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支持802.1x认证，支持集中式MAC地址认证；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restart"/>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SDN/OPENFLOW</w:t>
            </w: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支持多表流水线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支持Group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restart"/>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管理和维护</w:t>
            </w: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支持SNMP V1/V2/V3、RMON、SSHV2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953"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支持OAM(802.1AG， 802.3AH)以太网运行、维护和管理标准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shd w:val="clear" w:color="auto" w:fill="auto"/>
            <w:vAlign w:val="center"/>
          </w:tcPr>
          <w:p>
            <w:pPr>
              <w:widowControl/>
              <w:rPr>
                <w:rFonts w:cs="宋体" w:asciiTheme="minorEastAsia" w:hAnsiTheme="minorEastAsia"/>
                <w:kern w:val="0"/>
                <w:szCs w:val="21"/>
              </w:rPr>
            </w:pPr>
            <w:r>
              <w:rPr>
                <w:rFonts w:hint="eastAsia" w:cs="宋体" w:asciiTheme="minorEastAsia" w:hAnsiTheme="minorEastAsia"/>
                <w:kern w:val="0"/>
                <w:szCs w:val="21"/>
              </w:rPr>
              <w:t>资质认证</w:t>
            </w:r>
          </w:p>
        </w:tc>
        <w:tc>
          <w:tcPr>
            <w:tcW w:w="6953" w:type="dxa"/>
            <w:shd w:val="clear" w:color="auto" w:fill="auto"/>
            <w:vAlign w:val="center"/>
          </w:tcPr>
          <w:p>
            <w:pPr>
              <w:widowControl/>
              <w:rPr>
                <w:rFonts w:cs="宋体" w:asciiTheme="minorEastAsia" w:hAnsiTheme="minorEastAsia"/>
                <w:kern w:val="0"/>
                <w:szCs w:val="21"/>
              </w:rPr>
            </w:pPr>
            <w:r>
              <w:rPr>
                <w:rFonts w:hint="eastAsia" w:cs="宋体" w:asciiTheme="minorEastAsia" w:hAnsiTheme="minorEastAsia"/>
                <w:kern w:val="0"/>
                <w:szCs w:val="21"/>
              </w:rPr>
              <w:t>提供信产部入网证</w:t>
            </w:r>
          </w:p>
        </w:tc>
      </w:tr>
    </w:tbl>
    <w:p>
      <w:pPr>
        <w:rPr>
          <w:rFonts w:asciiTheme="minorEastAsia" w:hAnsiTheme="minorEastAsia"/>
          <w:szCs w:val="21"/>
        </w:rPr>
      </w:pPr>
    </w:p>
    <w:p>
      <w:pPr>
        <w:pStyle w:val="5"/>
        <w:numPr>
          <w:ilvl w:val="0"/>
          <w:numId w:val="3"/>
        </w:numPr>
        <w:spacing w:before="0" w:after="0" w:line="413" w:lineRule="auto"/>
      </w:pPr>
      <w:r>
        <w:t>8</w:t>
      </w:r>
      <w:r>
        <w:rPr>
          <w:rFonts w:hint="eastAsia"/>
        </w:rPr>
        <w:t>口POE交换机</w:t>
      </w:r>
    </w:p>
    <w:tbl>
      <w:tblPr>
        <w:tblStyle w:val="2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shd w:val="clear" w:color="000000" w:fill="FFFFFF" w:themeFill="background1"/>
            <w:vAlign w:val="center"/>
          </w:tcPr>
          <w:p>
            <w:pPr>
              <w:widowControl/>
              <w:ind w:firstLine="360"/>
              <w:rPr>
                <w:rFonts w:cs="宋体" w:asciiTheme="minorEastAsia" w:hAnsiTheme="minorEastAsia"/>
                <w:szCs w:val="21"/>
              </w:rPr>
            </w:pPr>
            <w:r>
              <w:rPr>
                <w:rFonts w:hint="eastAsia" w:cs="宋体" w:asciiTheme="minorEastAsia" w:hAnsiTheme="minorEastAsia"/>
                <w:szCs w:val="21"/>
              </w:rPr>
              <w:t>功能及技术指标</w:t>
            </w:r>
          </w:p>
        </w:tc>
        <w:tc>
          <w:tcPr>
            <w:tcW w:w="6812" w:type="dxa"/>
            <w:shd w:val="clear" w:color="000000" w:fill="FFFFFF" w:themeFill="background1"/>
            <w:vAlign w:val="center"/>
          </w:tcPr>
          <w:p>
            <w:pPr>
              <w:widowControl/>
              <w:rPr>
                <w:rFonts w:cs="宋体" w:asciiTheme="minorEastAsia" w:hAnsiTheme="minorEastAsia"/>
                <w:szCs w:val="21"/>
              </w:rPr>
            </w:pPr>
            <w:r>
              <w:rPr>
                <w:rFonts w:hint="eastAsia" w:cs="宋体" w:asciiTheme="minorEastAsia" w:hAnsiTheme="minorEastAsia"/>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kern w:val="0"/>
                <w:szCs w:val="21"/>
              </w:rPr>
              <w:t>★</w:t>
            </w:r>
            <w:r>
              <w:rPr>
                <w:rFonts w:hint="eastAsia" w:cs="宋体" w:asciiTheme="minorEastAsia" w:hAnsiTheme="minorEastAsia"/>
                <w:szCs w:val="21"/>
              </w:rPr>
              <w:t>交换容量</w:t>
            </w: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330Gbps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kern w:val="0"/>
                <w:szCs w:val="21"/>
              </w:rPr>
              <w:t>★</w:t>
            </w:r>
            <w:r>
              <w:rPr>
                <w:rFonts w:hint="eastAsia" w:cs="宋体" w:asciiTheme="minorEastAsia" w:hAnsiTheme="minorEastAsia"/>
                <w:szCs w:val="21"/>
              </w:rPr>
              <w:t>转发性能</w:t>
            </w: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≥27Mpps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jc w:val="center"/>
        </w:trPr>
        <w:tc>
          <w:tcPr>
            <w:tcW w:w="2114"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kern w:val="0"/>
                <w:szCs w:val="21"/>
              </w:rPr>
              <w:t>★</w:t>
            </w:r>
            <w:r>
              <w:rPr>
                <w:rFonts w:hint="eastAsia" w:cs="宋体" w:asciiTheme="minorEastAsia" w:hAnsiTheme="minorEastAsia"/>
                <w:szCs w:val="21"/>
              </w:rPr>
              <w:t>接口类型</w:t>
            </w: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8个10/100/1000BASE-T PoE+电口(AC 125W),2个1000BASE-X SFP端口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restart"/>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堆叠</w:t>
            </w: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最大堆叠台数≥9台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最大堆叠带宽≥80G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可要求堆叠带宽≥80G，并要求实配接口的基础上额外满配堆叠带宽所需的接口和互联模块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支持跨设备链路聚合，单一IP管理，分布式弹性路由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支持通过标准以太端口进行堆叠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支持完善的堆叠分裂检测机制，堆叠分裂后能自动完成MAC和IP地址的重配置，无需手动干预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支持远程堆叠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restart"/>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路由协议</w:t>
            </w: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支持IPv4静态路由、RIP V1/V2、OSPF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支持IPv6静态路由、RIPng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支持IPv4和IPv6环境下的策略路由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restart"/>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访问控制策略</w:t>
            </w: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支持基于第二层、第三层和第四层的ACL；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整机提供ACl条目数不小于1K条；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支持基于端口和VLAN的 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支持IPv6 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支持出方向ACL，以便于灵活实现数据包过滤；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支持802.1x认证，支持集中式MAC地址认证；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restart"/>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SDN/OPENFLOW</w:t>
            </w: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支持多表流水线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支持Group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continue"/>
            <w:vAlign w:val="center"/>
          </w:tcPr>
          <w:p>
            <w:pPr>
              <w:widowControl/>
              <w:rPr>
                <w:rFonts w:cs="宋体" w:asciiTheme="minorEastAsia" w:hAnsiTheme="minorEastAsia"/>
                <w:szCs w:val="21"/>
              </w:rPr>
            </w:pP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vMerge w:val="restart"/>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管理和维护</w:t>
            </w: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支持SNMP V1/V2/V3、RMON、SSHV2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2114" w:type="dxa"/>
            <w:vMerge w:val="continue"/>
            <w:vAlign w:val="center"/>
          </w:tcPr>
          <w:p>
            <w:pPr>
              <w:widowControl/>
              <w:rPr>
                <w:rFonts w:cs="宋体" w:asciiTheme="minorEastAsia" w:hAnsiTheme="minorEastAsia"/>
                <w:szCs w:val="21"/>
              </w:rPr>
            </w:pPr>
          </w:p>
        </w:tc>
        <w:tc>
          <w:tcPr>
            <w:tcW w:w="6812" w:type="dxa"/>
            <w:shd w:val="clear" w:color="auto" w:fill="auto"/>
            <w:vAlign w:val="center"/>
          </w:tcPr>
          <w:p>
            <w:pPr>
              <w:widowControl/>
              <w:rPr>
                <w:rFonts w:cs="宋体" w:asciiTheme="minorEastAsia" w:hAnsiTheme="minorEastAsia"/>
                <w:szCs w:val="21"/>
              </w:rPr>
            </w:pPr>
            <w:r>
              <w:rPr>
                <w:rFonts w:hint="eastAsia" w:cs="宋体" w:asciiTheme="minorEastAsia" w:hAnsiTheme="minorEastAsia"/>
                <w:szCs w:val="21"/>
              </w:rPr>
              <w:t>支持OAM(802.1AG， 802.3AH)以太网运行、维护和管理标准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14" w:type="dxa"/>
            <w:shd w:val="clear" w:color="auto" w:fill="auto"/>
            <w:vAlign w:val="center"/>
          </w:tcPr>
          <w:p>
            <w:pPr>
              <w:widowControl/>
              <w:rPr>
                <w:rFonts w:cs="宋体" w:asciiTheme="minorEastAsia" w:hAnsiTheme="minorEastAsia"/>
                <w:kern w:val="0"/>
                <w:szCs w:val="21"/>
              </w:rPr>
            </w:pPr>
            <w:r>
              <w:rPr>
                <w:rFonts w:hint="eastAsia" w:cs="宋体" w:asciiTheme="minorEastAsia" w:hAnsiTheme="minorEastAsia"/>
                <w:kern w:val="0"/>
                <w:szCs w:val="21"/>
              </w:rPr>
              <w:t>资质认证</w:t>
            </w:r>
          </w:p>
        </w:tc>
        <w:tc>
          <w:tcPr>
            <w:tcW w:w="6812" w:type="dxa"/>
            <w:shd w:val="clear" w:color="auto" w:fill="auto"/>
            <w:vAlign w:val="center"/>
          </w:tcPr>
          <w:p>
            <w:pPr>
              <w:widowControl/>
              <w:rPr>
                <w:rFonts w:cs="宋体" w:asciiTheme="minorEastAsia" w:hAnsiTheme="minorEastAsia"/>
                <w:kern w:val="0"/>
                <w:szCs w:val="21"/>
              </w:rPr>
            </w:pPr>
            <w:r>
              <w:rPr>
                <w:rFonts w:hint="eastAsia" w:cs="宋体" w:asciiTheme="minorEastAsia" w:hAnsiTheme="minorEastAsia"/>
                <w:kern w:val="0"/>
                <w:szCs w:val="21"/>
              </w:rPr>
              <w:t>提供信产部入网证</w:t>
            </w:r>
          </w:p>
        </w:tc>
      </w:tr>
    </w:tbl>
    <w:p>
      <w:pPr>
        <w:rPr>
          <w:rFonts w:asciiTheme="minorEastAsia" w:hAnsiTheme="minorEastAsia"/>
          <w:szCs w:val="21"/>
        </w:rPr>
      </w:pPr>
    </w:p>
    <w:p>
      <w:pPr>
        <w:rPr>
          <w:rFonts w:ascii="微软雅黑" w:hAnsi="微软雅黑" w:eastAsia="微软雅黑" w:cs="微软雅黑"/>
          <w:b/>
          <w:bCs/>
          <w:kern w:val="0"/>
          <w:sz w:val="24"/>
        </w:rPr>
      </w:pPr>
      <w:r>
        <w:rPr>
          <w:rFonts w:hint="eastAsia" w:ascii="微软雅黑" w:hAnsi="微软雅黑" w:eastAsia="微软雅黑" w:cs="微软雅黑"/>
          <w:b/>
          <w:bCs/>
          <w:kern w:val="0"/>
          <w:sz w:val="24"/>
        </w:rPr>
        <w:t>▲本项目核心产品为：防火墙</w:t>
      </w:r>
    </w:p>
    <w:p>
      <w:pPr>
        <w:pStyle w:val="2"/>
        <w:ind w:left="0" w:leftChars="0" w:firstLine="0" w:firstLineChars="0"/>
        <w:rPr>
          <w:rFonts w:hint="eastAsia" w:ascii="微软雅黑" w:hAnsi="微软雅黑" w:eastAsia="微软雅黑" w:cs="微软雅黑"/>
          <w:b/>
          <w:bCs/>
          <w:kern w:val="0"/>
          <w:sz w:val="24"/>
          <w:szCs w:val="22"/>
        </w:rPr>
      </w:pPr>
    </w:p>
    <w:p>
      <w:pPr>
        <w:pStyle w:val="2"/>
        <w:ind w:left="0" w:leftChars="0" w:firstLine="0" w:firstLineChars="0"/>
        <w:rPr>
          <w:rFonts w:hint="eastAsia" w:ascii="微软雅黑" w:hAnsi="微软雅黑" w:eastAsia="微软雅黑" w:cs="微软雅黑"/>
          <w:b/>
          <w:bCs/>
          <w:kern w:val="0"/>
          <w:sz w:val="24"/>
          <w:szCs w:val="22"/>
        </w:rPr>
      </w:pPr>
    </w:p>
    <w:p>
      <w:pPr>
        <w:pStyle w:val="2"/>
        <w:ind w:left="0" w:leftChars="0" w:firstLine="0" w:firstLineChars="0"/>
        <w:rPr>
          <w:rFonts w:hint="eastAsia" w:ascii="微软雅黑" w:hAnsi="微软雅黑" w:eastAsia="微软雅黑" w:cs="微软雅黑"/>
          <w:b/>
          <w:bCs/>
          <w:kern w:val="0"/>
          <w:sz w:val="24"/>
          <w:szCs w:val="22"/>
        </w:rPr>
      </w:pPr>
    </w:p>
    <w:p>
      <w:pPr>
        <w:pStyle w:val="2"/>
        <w:ind w:left="0" w:leftChars="0" w:firstLine="0" w:firstLineChars="0"/>
        <w:rPr>
          <w:rFonts w:hint="eastAsia" w:ascii="微软雅黑" w:hAnsi="微软雅黑" w:eastAsia="微软雅黑" w:cs="微软雅黑"/>
          <w:b/>
          <w:bCs/>
          <w:kern w:val="0"/>
          <w:sz w:val="24"/>
          <w:szCs w:val="22"/>
        </w:rPr>
      </w:pPr>
    </w:p>
    <w:p>
      <w:pPr>
        <w:pStyle w:val="2"/>
        <w:ind w:left="0" w:leftChars="0" w:firstLine="0" w:firstLineChars="0"/>
        <w:rPr>
          <w:rFonts w:hint="eastAsia" w:ascii="微软雅黑" w:hAnsi="微软雅黑" w:eastAsia="微软雅黑" w:cs="微软雅黑"/>
          <w:b/>
          <w:bCs/>
          <w:kern w:val="0"/>
          <w:sz w:val="24"/>
          <w:szCs w:val="22"/>
        </w:rPr>
      </w:pPr>
    </w:p>
    <w:p>
      <w:pPr>
        <w:pStyle w:val="2"/>
        <w:ind w:left="0" w:leftChars="0" w:firstLine="0" w:firstLineChars="0"/>
        <w:rPr>
          <w:rFonts w:hint="eastAsia" w:ascii="微软雅黑" w:hAnsi="微软雅黑" w:eastAsia="微软雅黑" w:cs="微软雅黑"/>
          <w:b/>
          <w:bCs/>
          <w:kern w:val="0"/>
          <w:sz w:val="24"/>
          <w:szCs w:val="22"/>
        </w:rPr>
      </w:pPr>
    </w:p>
    <w:p>
      <w:pPr>
        <w:pStyle w:val="2"/>
        <w:ind w:left="0" w:leftChars="0" w:firstLine="0" w:firstLineChars="0"/>
        <w:rPr>
          <w:rFonts w:hint="eastAsia" w:ascii="微软雅黑" w:hAnsi="微软雅黑" w:eastAsia="微软雅黑" w:cs="微软雅黑"/>
          <w:b/>
          <w:bCs/>
          <w:kern w:val="0"/>
          <w:sz w:val="24"/>
          <w:szCs w:val="22"/>
        </w:rPr>
      </w:pPr>
    </w:p>
    <w:p>
      <w:pPr>
        <w:pStyle w:val="2"/>
        <w:ind w:left="0" w:leftChars="0" w:firstLine="0" w:firstLineChars="0"/>
        <w:rPr>
          <w:rFonts w:hint="eastAsia" w:ascii="微软雅黑" w:hAnsi="微软雅黑" w:eastAsia="微软雅黑" w:cs="微软雅黑"/>
          <w:b/>
          <w:bCs/>
          <w:kern w:val="0"/>
          <w:sz w:val="24"/>
          <w:szCs w:val="22"/>
        </w:rPr>
      </w:pPr>
    </w:p>
    <w:p>
      <w:pPr>
        <w:pStyle w:val="2"/>
        <w:ind w:left="0" w:leftChars="0" w:firstLine="0" w:firstLineChars="0"/>
        <w:rPr>
          <w:rFonts w:hint="eastAsia" w:ascii="微软雅黑" w:hAnsi="微软雅黑" w:eastAsia="微软雅黑" w:cs="微软雅黑"/>
          <w:b/>
          <w:bCs/>
          <w:kern w:val="0"/>
          <w:sz w:val="24"/>
          <w:szCs w:val="22"/>
        </w:rPr>
      </w:pPr>
    </w:p>
    <w:p>
      <w:pPr>
        <w:pStyle w:val="2"/>
        <w:ind w:left="0" w:leftChars="0" w:firstLine="0" w:firstLineChars="0"/>
        <w:rPr>
          <w:rFonts w:hint="eastAsia" w:ascii="微软雅黑" w:hAnsi="微软雅黑" w:eastAsia="微软雅黑" w:cs="微软雅黑"/>
          <w:b/>
          <w:bCs/>
          <w:kern w:val="0"/>
          <w:sz w:val="24"/>
          <w:szCs w:val="22"/>
        </w:rPr>
      </w:pPr>
    </w:p>
    <w:p>
      <w:pPr>
        <w:pStyle w:val="2"/>
        <w:ind w:left="0" w:leftChars="0" w:firstLine="0" w:firstLineChars="0"/>
        <w:rPr>
          <w:rFonts w:ascii="微软雅黑" w:hAnsi="微软雅黑" w:eastAsia="微软雅黑" w:cs="微软雅黑"/>
          <w:b/>
          <w:bCs/>
          <w:kern w:val="0"/>
          <w:sz w:val="24"/>
          <w:szCs w:val="22"/>
        </w:rPr>
      </w:pPr>
    </w:p>
    <w:p>
      <w:pPr>
        <w:pStyle w:val="5"/>
        <w:rPr>
          <w:rFonts w:ascii="微软雅黑" w:hAnsi="微软雅黑" w:eastAsia="微软雅黑" w:cs="微软雅黑"/>
          <w:sz w:val="30"/>
          <w:szCs w:val="30"/>
        </w:rPr>
      </w:pPr>
      <w:r>
        <w:rPr>
          <w:rFonts w:hint="eastAsia" w:ascii="微软雅黑" w:hAnsi="微软雅黑" w:eastAsia="微软雅黑" w:cs="微软雅黑"/>
          <w:sz w:val="30"/>
          <w:szCs w:val="30"/>
        </w:rPr>
        <w:t>标段二： 数据中心和应用软件</w:t>
      </w:r>
    </w:p>
    <w:p>
      <w:pPr>
        <w:ind w:firstLine="240" w:firstLineChars="100"/>
        <w:rPr>
          <w:rFonts w:ascii="微软雅黑" w:hAnsi="微软雅黑" w:eastAsia="微软雅黑" w:cs="微软雅黑"/>
          <w:b/>
          <w:bCs/>
          <w:kern w:val="0"/>
          <w:sz w:val="24"/>
        </w:rPr>
      </w:pPr>
      <w:r>
        <w:rPr>
          <w:rFonts w:hint="eastAsia" w:ascii="微软雅黑" w:hAnsi="微软雅黑" w:eastAsia="微软雅黑" w:cs="微软雅黑"/>
          <w:b/>
          <w:bCs/>
          <w:kern w:val="0"/>
          <w:sz w:val="24"/>
        </w:rPr>
        <w:t>一、需求清单</w:t>
      </w:r>
    </w:p>
    <w:tbl>
      <w:tblPr>
        <w:tblStyle w:val="27"/>
        <w:tblW w:w="7385" w:type="dxa"/>
        <w:jc w:val="center"/>
        <w:tblLayout w:type="fixed"/>
        <w:tblCellMar>
          <w:top w:w="0" w:type="dxa"/>
          <w:left w:w="108" w:type="dxa"/>
          <w:bottom w:w="0" w:type="dxa"/>
          <w:right w:w="108" w:type="dxa"/>
        </w:tblCellMar>
      </w:tblPr>
      <w:tblGrid>
        <w:gridCol w:w="849"/>
        <w:gridCol w:w="3369"/>
        <w:gridCol w:w="992"/>
        <w:gridCol w:w="1134"/>
        <w:gridCol w:w="1041"/>
      </w:tblGrid>
      <w:tr>
        <w:tblPrEx>
          <w:tblCellMar>
            <w:top w:w="0" w:type="dxa"/>
            <w:left w:w="108" w:type="dxa"/>
            <w:bottom w:w="0" w:type="dxa"/>
            <w:right w:w="108" w:type="dxa"/>
          </w:tblCellMar>
        </w:tblPrEx>
        <w:trPr>
          <w:trHeight w:val="90"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序号</w:t>
            </w:r>
          </w:p>
        </w:tc>
        <w:tc>
          <w:tcPr>
            <w:tcW w:w="336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设备或费用名称</w:t>
            </w:r>
          </w:p>
        </w:tc>
        <w:tc>
          <w:tcPr>
            <w:tcW w:w="99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数量</w:t>
            </w:r>
          </w:p>
        </w:tc>
        <w:tc>
          <w:tcPr>
            <w:tcW w:w="113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单位</w:t>
            </w:r>
          </w:p>
        </w:tc>
        <w:tc>
          <w:tcPr>
            <w:tcW w:w="104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备注</w:t>
            </w:r>
          </w:p>
        </w:tc>
      </w:tr>
      <w:tr>
        <w:tblPrEx>
          <w:tblCellMar>
            <w:top w:w="0" w:type="dxa"/>
            <w:left w:w="108" w:type="dxa"/>
            <w:bottom w:w="0" w:type="dxa"/>
            <w:right w:w="108" w:type="dxa"/>
          </w:tblCellMar>
        </w:tblPrEx>
        <w:trPr>
          <w:trHeight w:val="285"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120" w:lineRule="auto"/>
              <w:textAlignment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（一）</w:t>
            </w:r>
          </w:p>
        </w:tc>
        <w:tc>
          <w:tcPr>
            <w:tcW w:w="33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数据中心及应用支撑平台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微软雅黑" w:hAnsi="微软雅黑" w:eastAsia="微软雅黑" w:cs="微软雅黑"/>
                <w:b/>
                <w:kern w:val="0"/>
                <w:sz w:val="24"/>
              </w:rPr>
            </w:pPr>
            <w:r>
              <w:rPr>
                <w:rFonts w:hint="eastAsia" w:ascii="微软雅黑" w:hAnsi="微软雅黑" w:eastAsia="微软雅黑" w:cs="微软雅黑"/>
                <w:b/>
                <w:kern w:val="0"/>
                <w:sz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120" w:lineRule="auto"/>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套</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120" w:lineRule="auto"/>
              <w:jc w:val="center"/>
              <w:rPr>
                <w:rFonts w:ascii="微软雅黑" w:hAnsi="微软雅黑" w:eastAsia="微软雅黑" w:cs="微软雅黑"/>
                <w:b/>
                <w:kern w:val="0"/>
                <w:sz w:val="24"/>
              </w:rPr>
            </w:pPr>
          </w:p>
        </w:tc>
      </w:tr>
      <w:tr>
        <w:tblPrEx>
          <w:tblCellMar>
            <w:top w:w="0" w:type="dxa"/>
            <w:left w:w="108" w:type="dxa"/>
            <w:bottom w:w="0" w:type="dxa"/>
            <w:right w:w="108" w:type="dxa"/>
          </w:tblCellMar>
        </w:tblPrEx>
        <w:trPr>
          <w:trHeight w:val="285"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120" w:lineRule="auto"/>
              <w:jc w:val="center"/>
              <w:textAlignment w:val="center"/>
              <w:rPr>
                <w:rFonts w:ascii="微软雅黑" w:hAnsi="微软雅黑" w:eastAsia="微软雅黑" w:cs="微软雅黑"/>
                <w:b/>
                <w:kern w:val="0"/>
                <w:sz w:val="24"/>
              </w:rPr>
            </w:pPr>
            <w:r>
              <w:rPr>
                <w:rFonts w:hint="eastAsia" w:ascii="微软雅黑" w:hAnsi="微软雅黑" w:eastAsia="微软雅黑" w:cs="微软雅黑"/>
                <w:b/>
                <w:kern w:val="0"/>
                <w:sz w:val="24"/>
              </w:rPr>
              <w:t>1</w:t>
            </w:r>
          </w:p>
        </w:tc>
        <w:tc>
          <w:tcPr>
            <w:tcW w:w="3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bCs/>
                <w:sz w:val="24"/>
              </w:rPr>
            </w:pPr>
            <w:r>
              <w:rPr>
                <w:rFonts w:hint="eastAsia" w:ascii="微软雅黑" w:hAnsi="微软雅黑" w:eastAsia="微软雅黑" w:cs="微软雅黑"/>
                <w:bCs/>
                <w:sz w:val="24"/>
              </w:rPr>
              <w:t>钉钉对接配置服务</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微软雅黑" w:hAnsi="微软雅黑" w:eastAsia="微软雅黑" w:cs="微软雅黑"/>
                <w:b/>
                <w:kern w:val="0"/>
                <w:sz w:val="24"/>
              </w:rPr>
            </w:pPr>
            <w:r>
              <w:rPr>
                <w:rFonts w:hint="eastAsia" w:ascii="微软雅黑" w:hAnsi="微软雅黑" w:eastAsia="微软雅黑" w:cs="微软雅黑"/>
                <w:kern w:val="0"/>
                <w:sz w:val="24"/>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20" w:lineRule="auto"/>
              <w:jc w:val="center"/>
              <w:rPr>
                <w:rFonts w:ascii="微软雅黑" w:hAnsi="微软雅黑" w:eastAsia="微软雅黑" w:cs="微软雅黑"/>
                <w:kern w:val="0"/>
                <w:sz w:val="24"/>
              </w:rPr>
            </w:pPr>
            <w:r>
              <w:rPr>
                <w:rFonts w:hint="eastAsia" w:ascii="微软雅黑" w:hAnsi="微软雅黑" w:eastAsia="微软雅黑" w:cs="微软雅黑"/>
                <w:kern w:val="0"/>
                <w:sz w:val="24"/>
              </w:rPr>
              <w:t>项</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20" w:lineRule="auto"/>
              <w:jc w:val="center"/>
              <w:rPr>
                <w:rFonts w:ascii="微软雅黑" w:hAnsi="微软雅黑" w:eastAsia="微软雅黑" w:cs="微软雅黑"/>
                <w:kern w:val="0"/>
                <w:sz w:val="24"/>
              </w:rPr>
            </w:pPr>
          </w:p>
        </w:tc>
      </w:tr>
      <w:tr>
        <w:tblPrEx>
          <w:tblCellMar>
            <w:top w:w="0" w:type="dxa"/>
            <w:left w:w="108" w:type="dxa"/>
            <w:bottom w:w="0" w:type="dxa"/>
            <w:right w:w="108" w:type="dxa"/>
          </w:tblCellMar>
        </w:tblPrEx>
        <w:trPr>
          <w:trHeight w:val="285"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120" w:lineRule="auto"/>
              <w:jc w:val="center"/>
              <w:textAlignment w:val="center"/>
              <w:rPr>
                <w:rFonts w:ascii="微软雅黑" w:hAnsi="微软雅黑" w:eastAsia="微软雅黑" w:cs="微软雅黑"/>
                <w:b/>
                <w:kern w:val="0"/>
                <w:sz w:val="24"/>
              </w:rPr>
            </w:pPr>
            <w:r>
              <w:rPr>
                <w:rFonts w:hint="eastAsia" w:ascii="微软雅黑" w:hAnsi="微软雅黑" w:eastAsia="微软雅黑" w:cs="微软雅黑"/>
                <w:b/>
                <w:kern w:val="0"/>
                <w:sz w:val="24"/>
              </w:rPr>
              <w:t>2</w:t>
            </w:r>
          </w:p>
        </w:tc>
        <w:tc>
          <w:tcPr>
            <w:tcW w:w="3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bCs/>
                <w:sz w:val="24"/>
              </w:rPr>
            </w:pPr>
            <w:r>
              <w:rPr>
                <w:rFonts w:hint="eastAsia" w:ascii="微软雅黑" w:hAnsi="微软雅黑" w:eastAsia="微软雅黑" w:cs="微软雅黑"/>
                <w:bCs/>
                <w:sz w:val="24"/>
              </w:rPr>
              <w:t>统一身份认证服务</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微软雅黑" w:hAnsi="微软雅黑" w:eastAsia="微软雅黑" w:cs="微软雅黑"/>
                <w:b/>
                <w:kern w:val="0"/>
                <w:sz w:val="24"/>
              </w:rPr>
            </w:pPr>
            <w:r>
              <w:rPr>
                <w:rFonts w:hint="eastAsia" w:ascii="微软雅黑" w:hAnsi="微软雅黑" w:eastAsia="微软雅黑" w:cs="微软雅黑"/>
                <w:kern w:val="0"/>
                <w:sz w:val="24"/>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20" w:lineRule="auto"/>
              <w:jc w:val="center"/>
              <w:rPr>
                <w:rFonts w:ascii="微软雅黑" w:hAnsi="微软雅黑" w:eastAsia="微软雅黑" w:cs="微软雅黑"/>
                <w:b/>
                <w:kern w:val="0"/>
                <w:sz w:val="24"/>
              </w:rPr>
            </w:pPr>
            <w:r>
              <w:rPr>
                <w:rFonts w:hint="eastAsia" w:ascii="微软雅黑" w:hAnsi="微软雅黑" w:eastAsia="微软雅黑" w:cs="微软雅黑"/>
                <w:kern w:val="0"/>
                <w:sz w:val="24"/>
              </w:rPr>
              <w:t>项</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20" w:lineRule="auto"/>
              <w:jc w:val="center"/>
              <w:rPr>
                <w:rFonts w:ascii="微软雅黑" w:hAnsi="微软雅黑" w:eastAsia="微软雅黑" w:cs="微软雅黑"/>
                <w:kern w:val="0"/>
                <w:sz w:val="24"/>
              </w:rPr>
            </w:pPr>
          </w:p>
        </w:tc>
      </w:tr>
      <w:tr>
        <w:tblPrEx>
          <w:tblCellMar>
            <w:top w:w="0" w:type="dxa"/>
            <w:left w:w="108" w:type="dxa"/>
            <w:bottom w:w="0" w:type="dxa"/>
            <w:right w:w="108" w:type="dxa"/>
          </w:tblCellMar>
        </w:tblPrEx>
        <w:trPr>
          <w:trHeight w:val="285"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120" w:lineRule="auto"/>
              <w:ind w:firstLine="240" w:firstLineChars="100"/>
              <w:textAlignment w:val="center"/>
              <w:rPr>
                <w:rFonts w:ascii="微软雅黑" w:hAnsi="微软雅黑" w:eastAsia="微软雅黑" w:cs="微软雅黑"/>
                <w:b/>
                <w:kern w:val="0"/>
                <w:sz w:val="24"/>
              </w:rPr>
            </w:pPr>
            <w:r>
              <w:rPr>
                <w:rFonts w:hint="eastAsia" w:ascii="微软雅黑" w:hAnsi="微软雅黑" w:eastAsia="微软雅黑" w:cs="微软雅黑"/>
                <w:b/>
                <w:kern w:val="0"/>
                <w:sz w:val="24"/>
              </w:rPr>
              <w:t>3</w:t>
            </w:r>
          </w:p>
        </w:tc>
        <w:tc>
          <w:tcPr>
            <w:tcW w:w="3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bCs/>
                <w:sz w:val="24"/>
              </w:rPr>
            </w:pPr>
            <w:r>
              <w:rPr>
                <w:rFonts w:hint="eastAsia" w:ascii="微软雅黑" w:hAnsi="微软雅黑" w:eastAsia="微软雅黑" w:cs="微软雅黑"/>
                <w:bCs/>
                <w:sz w:val="24"/>
              </w:rPr>
              <w:t>中台功能应用服务</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120" w:lineRule="auto"/>
              <w:jc w:val="center"/>
              <w:textAlignment w:val="center"/>
              <w:rPr>
                <w:rFonts w:ascii="微软雅黑" w:hAnsi="微软雅黑" w:eastAsia="微软雅黑" w:cs="微软雅黑"/>
                <w:b/>
                <w:kern w:val="0"/>
                <w:sz w:val="24"/>
              </w:rPr>
            </w:pPr>
            <w:r>
              <w:rPr>
                <w:rFonts w:hint="eastAsia" w:ascii="微软雅黑" w:hAnsi="微软雅黑" w:eastAsia="微软雅黑" w:cs="微软雅黑"/>
                <w:kern w:val="0"/>
                <w:sz w:val="24"/>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20" w:lineRule="auto"/>
              <w:jc w:val="center"/>
              <w:textAlignment w:val="center"/>
              <w:rPr>
                <w:rFonts w:ascii="微软雅黑" w:hAnsi="微软雅黑" w:eastAsia="微软雅黑" w:cs="微软雅黑"/>
                <w:b/>
                <w:kern w:val="0"/>
                <w:sz w:val="24"/>
              </w:rPr>
            </w:pPr>
            <w:r>
              <w:rPr>
                <w:rFonts w:hint="eastAsia" w:ascii="微软雅黑" w:hAnsi="微软雅黑" w:eastAsia="微软雅黑" w:cs="微软雅黑"/>
                <w:kern w:val="0"/>
                <w:sz w:val="24"/>
              </w:rPr>
              <w:t>项</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20" w:lineRule="auto"/>
              <w:jc w:val="center"/>
              <w:textAlignment w:val="center"/>
              <w:rPr>
                <w:rFonts w:ascii="微软雅黑" w:hAnsi="微软雅黑" w:eastAsia="微软雅黑" w:cs="微软雅黑"/>
                <w:kern w:val="0"/>
                <w:sz w:val="24"/>
              </w:rPr>
            </w:pPr>
          </w:p>
        </w:tc>
      </w:tr>
      <w:tr>
        <w:tblPrEx>
          <w:tblCellMar>
            <w:top w:w="0" w:type="dxa"/>
            <w:left w:w="108" w:type="dxa"/>
            <w:bottom w:w="0" w:type="dxa"/>
            <w:right w:w="108" w:type="dxa"/>
          </w:tblCellMar>
        </w:tblPrEx>
        <w:trPr>
          <w:trHeight w:val="285"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120" w:lineRule="auto"/>
              <w:ind w:firstLine="240" w:firstLineChars="100"/>
              <w:textAlignment w:val="center"/>
              <w:rPr>
                <w:rFonts w:ascii="微软雅黑" w:hAnsi="微软雅黑" w:eastAsia="微软雅黑" w:cs="微软雅黑"/>
                <w:b/>
                <w:kern w:val="0"/>
                <w:sz w:val="24"/>
              </w:rPr>
            </w:pPr>
            <w:r>
              <w:rPr>
                <w:rFonts w:hint="eastAsia" w:ascii="微软雅黑" w:hAnsi="微软雅黑" w:eastAsia="微软雅黑" w:cs="微软雅黑"/>
                <w:b/>
                <w:kern w:val="0"/>
                <w:sz w:val="24"/>
              </w:rPr>
              <w:t>4</w:t>
            </w:r>
          </w:p>
        </w:tc>
        <w:tc>
          <w:tcPr>
            <w:tcW w:w="3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微软雅黑"/>
                <w:bCs/>
                <w:sz w:val="24"/>
              </w:rPr>
            </w:pPr>
            <w:r>
              <w:rPr>
                <w:rFonts w:hint="eastAsia" w:ascii="微软雅黑" w:hAnsi="微软雅黑" w:eastAsia="微软雅黑" w:cs="微软雅黑"/>
                <w:bCs/>
                <w:sz w:val="24"/>
              </w:rPr>
              <w:t>应用系统设置管理服务</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120" w:lineRule="auto"/>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20" w:lineRule="auto"/>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项</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20" w:lineRule="auto"/>
              <w:jc w:val="center"/>
              <w:textAlignment w:val="center"/>
              <w:rPr>
                <w:rFonts w:ascii="微软雅黑" w:hAnsi="微软雅黑" w:eastAsia="微软雅黑" w:cs="微软雅黑"/>
                <w:kern w:val="0"/>
                <w:sz w:val="24"/>
              </w:rPr>
            </w:pPr>
          </w:p>
        </w:tc>
      </w:tr>
      <w:tr>
        <w:tblPrEx>
          <w:tblCellMar>
            <w:top w:w="0" w:type="dxa"/>
            <w:left w:w="108" w:type="dxa"/>
            <w:bottom w:w="0" w:type="dxa"/>
            <w:right w:w="108" w:type="dxa"/>
          </w:tblCellMar>
        </w:tblPrEx>
        <w:trPr>
          <w:trHeight w:val="340" w:hRule="atLeast"/>
          <w:jc w:val="center"/>
        </w:trPr>
        <w:tc>
          <w:tcPr>
            <w:tcW w:w="849" w:type="dxa"/>
            <w:tcBorders>
              <w:top w:val="nil"/>
              <w:left w:val="single" w:color="auto" w:sz="4" w:space="0"/>
              <w:bottom w:val="single" w:color="auto" w:sz="4" w:space="0"/>
              <w:right w:val="single" w:color="auto" w:sz="4" w:space="0"/>
            </w:tcBorders>
            <w:vAlign w:val="center"/>
          </w:tcPr>
          <w:p>
            <w:pPr>
              <w:widowControl/>
              <w:textAlignment w:val="center"/>
              <w:rPr>
                <w:rFonts w:ascii="微软雅黑" w:hAnsi="微软雅黑" w:eastAsia="微软雅黑" w:cs="微软雅黑"/>
                <w:b/>
                <w:kern w:val="0"/>
                <w:sz w:val="24"/>
              </w:rPr>
            </w:pPr>
            <w:r>
              <w:rPr>
                <w:rFonts w:hint="eastAsia" w:ascii="微软雅黑" w:hAnsi="微软雅黑" w:eastAsia="微软雅黑" w:cs="微软雅黑"/>
                <w:b/>
                <w:kern w:val="0"/>
                <w:sz w:val="24"/>
              </w:rPr>
              <w:t>（二）</w:t>
            </w:r>
          </w:p>
        </w:tc>
        <w:tc>
          <w:tcPr>
            <w:tcW w:w="3369" w:type="dxa"/>
            <w:tcBorders>
              <w:top w:val="nil"/>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b/>
                <w:kern w:val="0"/>
                <w:sz w:val="24"/>
              </w:rPr>
            </w:pPr>
            <w:r>
              <w:rPr>
                <w:rFonts w:hint="eastAsia" w:ascii="微软雅黑" w:hAnsi="微软雅黑" w:eastAsia="微软雅黑" w:cs="微软雅黑"/>
                <w:b/>
                <w:kern w:val="0"/>
                <w:sz w:val="24"/>
              </w:rPr>
              <w:t>应用系统软件</w:t>
            </w:r>
          </w:p>
        </w:tc>
        <w:tc>
          <w:tcPr>
            <w:tcW w:w="992" w:type="dxa"/>
            <w:tcBorders>
              <w:top w:val="nil"/>
              <w:left w:val="nil"/>
              <w:bottom w:val="single" w:color="auto" w:sz="4" w:space="0"/>
              <w:right w:val="single" w:color="auto" w:sz="4" w:space="0"/>
            </w:tcBorders>
            <w:vAlign w:val="center"/>
          </w:tcPr>
          <w:p>
            <w:pPr>
              <w:jc w:val="center"/>
              <w:rPr>
                <w:rFonts w:ascii="微软雅黑" w:hAnsi="微软雅黑" w:eastAsia="微软雅黑" w:cs="微软雅黑"/>
                <w:b/>
                <w:kern w:val="0"/>
                <w:sz w:val="24"/>
              </w:rPr>
            </w:pPr>
          </w:p>
        </w:tc>
        <w:tc>
          <w:tcPr>
            <w:tcW w:w="1134" w:type="dxa"/>
            <w:tcBorders>
              <w:top w:val="nil"/>
              <w:left w:val="nil"/>
              <w:bottom w:val="single" w:color="auto" w:sz="4" w:space="0"/>
              <w:right w:val="single" w:color="auto" w:sz="4" w:space="0"/>
            </w:tcBorders>
            <w:vAlign w:val="center"/>
          </w:tcPr>
          <w:p>
            <w:pPr>
              <w:jc w:val="center"/>
              <w:rPr>
                <w:rFonts w:ascii="微软雅黑" w:hAnsi="微软雅黑" w:eastAsia="微软雅黑" w:cs="微软雅黑"/>
                <w:kern w:val="0"/>
                <w:sz w:val="24"/>
              </w:rPr>
            </w:pPr>
          </w:p>
        </w:tc>
        <w:tc>
          <w:tcPr>
            <w:tcW w:w="1041" w:type="dxa"/>
            <w:tcBorders>
              <w:top w:val="nil"/>
              <w:left w:val="nil"/>
              <w:bottom w:val="single" w:color="auto" w:sz="4" w:space="0"/>
              <w:right w:val="single" w:color="auto" w:sz="4" w:space="0"/>
            </w:tcBorders>
            <w:vAlign w:val="center"/>
          </w:tcPr>
          <w:p>
            <w:pPr>
              <w:jc w:val="center"/>
              <w:rPr>
                <w:rFonts w:ascii="微软雅黑" w:hAnsi="微软雅黑" w:eastAsia="微软雅黑" w:cs="微软雅黑"/>
                <w:kern w:val="0"/>
                <w:sz w:val="24"/>
              </w:rPr>
            </w:pPr>
          </w:p>
        </w:tc>
      </w:tr>
      <w:tr>
        <w:tblPrEx>
          <w:tblCellMar>
            <w:top w:w="0" w:type="dxa"/>
            <w:left w:w="108" w:type="dxa"/>
            <w:bottom w:w="0" w:type="dxa"/>
            <w:right w:w="108" w:type="dxa"/>
          </w:tblCellMar>
        </w:tblPrEx>
        <w:trPr>
          <w:trHeight w:val="339" w:hRule="atLeast"/>
          <w:jc w:val="center"/>
        </w:trPr>
        <w:tc>
          <w:tcPr>
            <w:tcW w:w="849" w:type="dxa"/>
            <w:tcBorders>
              <w:top w:val="nil"/>
              <w:left w:val="single" w:color="auto" w:sz="4" w:space="0"/>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1</w:t>
            </w:r>
          </w:p>
        </w:tc>
        <w:tc>
          <w:tcPr>
            <w:tcW w:w="3369" w:type="dxa"/>
            <w:tcBorders>
              <w:top w:val="nil"/>
              <w:left w:val="nil"/>
              <w:bottom w:val="single" w:color="auto" w:sz="4" w:space="0"/>
              <w:right w:val="single" w:color="auto" w:sz="4" w:space="0"/>
            </w:tcBorders>
            <w:vAlign w:val="center"/>
          </w:tcPr>
          <w:p>
            <w:pPr>
              <w:spacing w:line="360" w:lineRule="auto"/>
              <w:ind w:firstLine="117" w:firstLineChars="49"/>
              <w:jc w:val="center"/>
              <w:rPr>
                <w:rFonts w:ascii="微软雅黑" w:hAnsi="微软雅黑" w:eastAsia="微软雅黑" w:cs="微软雅黑"/>
                <w:bCs/>
                <w:sz w:val="24"/>
              </w:rPr>
            </w:pPr>
            <w:r>
              <w:rPr>
                <w:rFonts w:hint="eastAsia" w:ascii="微软雅黑" w:hAnsi="微软雅黑" w:eastAsia="微软雅黑" w:cs="微软雅黑"/>
                <w:bCs/>
                <w:sz w:val="24"/>
              </w:rPr>
              <w:t>办公系统（OA）</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1</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套</w:t>
            </w:r>
          </w:p>
        </w:tc>
        <w:tc>
          <w:tcPr>
            <w:tcW w:w="1041" w:type="dxa"/>
            <w:tcBorders>
              <w:top w:val="nil"/>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p>
        </w:tc>
      </w:tr>
      <w:tr>
        <w:tblPrEx>
          <w:tblCellMar>
            <w:top w:w="0" w:type="dxa"/>
            <w:left w:w="108" w:type="dxa"/>
            <w:bottom w:w="0" w:type="dxa"/>
            <w:right w:w="108" w:type="dxa"/>
          </w:tblCellMar>
        </w:tblPrEx>
        <w:trPr>
          <w:trHeight w:val="339"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2</w:t>
            </w:r>
          </w:p>
        </w:tc>
        <w:tc>
          <w:tcPr>
            <w:tcW w:w="3369"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eastAsia="微软雅黑" w:cs="微软雅黑"/>
                <w:bCs/>
                <w:sz w:val="24"/>
              </w:rPr>
            </w:pPr>
            <w:r>
              <w:rPr>
                <w:rFonts w:hint="eastAsia" w:ascii="微软雅黑" w:hAnsi="微软雅黑" w:eastAsia="微软雅黑" w:cs="微软雅黑"/>
                <w:bCs/>
                <w:sz w:val="24"/>
              </w:rPr>
              <w:t>成教管理系统</w:t>
            </w:r>
          </w:p>
        </w:tc>
        <w:tc>
          <w:tcPr>
            <w:tcW w:w="99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1</w:t>
            </w:r>
          </w:p>
        </w:tc>
        <w:tc>
          <w:tcPr>
            <w:tcW w:w="113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套</w:t>
            </w:r>
          </w:p>
        </w:tc>
        <w:tc>
          <w:tcPr>
            <w:tcW w:w="104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p>
        </w:tc>
      </w:tr>
      <w:tr>
        <w:tblPrEx>
          <w:tblCellMar>
            <w:top w:w="0" w:type="dxa"/>
            <w:left w:w="108" w:type="dxa"/>
            <w:bottom w:w="0" w:type="dxa"/>
            <w:right w:w="108" w:type="dxa"/>
          </w:tblCellMar>
        </w:tblPrEx>
        <w:trPr>
          <w:trHeight w:val="339"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3</w:t>
            </w:r>
          </w:p>
        </w:tc>
        <w:tc>
          <w:tcPr>
            <w:tcW w:w="3369" w:type="dxa"/>
            <w:tcBorders>
              <w:top w:val="single" w:color="auto" w:sz="4" w:space="0"/>
              <w:left w:val="nil"/>
              <w:bottom w:val="single" w:color="auto" w:sz="4" w:space="0"/>
              <w:right w:val="single" w:color="auto" w:sz="4" w:space="0"/>
            </w:tcBorders>
            <w:vAlign w:val="center"/>
          </w:tcPr>
          <w:p>
            <w:pPr>
              <w:spacing w:line="360" w:lineRule="auto"/>
              <w:ind w:firstLine="117" w:firstLineChars="49"/>
              <w:jc w:val="center"/>
              <w:rPr>
                <w:rFonts w:ascii="微软雅黑" w:hAnsi="微软雅黑" w:eastAsia="微软雅黑" w:cs="微软雅黑"/>
                <w:bCs/>
                <w:sz w:val="24"/>
              </w:rPr>
            </w:pPr>
            <w:r>
              <w:rPr>
                <w:rFonts w:hint="eastAsia" w:ascii="微软雅黑" w:hAnsi="微软雅黑" w:eastAsia="微软雅黑" w:cs="微软雅黑"/>
                <w:bCs/>
                <w:sz w:val="24"/>
              </w:rPr>
              <w:t>智慧学习系统</w:t>
            </w:r>
          </w:p>
        </w:tc>
        <w:tc>
          <w:tcPr>
            <w:tcW w:w="99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1</w:t>
            </w:r>
          </w:p>
        </w:tc>
        <w:tc>
          <w:tcPr>
            <w:tcW w:w="113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套</w:t>
            </w:r>
          </w:p>
        </w:tc>
        <w:tc>
          <w:tcPr>
            <w:tcW w:w="104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p>
        </w:tc>
      </w:tr>
      <w:tr>
        <w:tblPrEx>
          <w:tblCellMar>
            <w:top w:w="0" w:type="dxa"/>
            <w:left w:w="108" w:type="dxa"/>
            <w:bottom w:w="0" w:type="dxa"/>
            <w:right w:w="108" w:type="dxa"/>
          </w:tblCellMar>
        </w:tblPrEx>
        <w:trPr>
          <w:trHeight w:val="339"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4</w:t>
            </w:r>
          </w:p>
        </w:tc>
        <w:tc>
          <w:tcPr>
            <w:tcW w:w="3369" w:type="dxa"/>
            <w:tcBorders>
              <w:top w:val="single" w:color="auto" w:sz="4" w:space="0"/>
              <w:left w:val="nil"/>
              <w:bottom w:val="single" w:color="auto" w:sz="4" w:space="0"/>
              <w:right w:val="single" w:color="auto" w:sz="4" w:space="0"/>
            </w:tcBorders>
            <w:vAlign w:val="center"/>
          </w:tcPr>
          <w:p>
            <w:pPr>
              <w:spacing w:line="360" w:lineRule="auto"/>
              <w:ind w:firstLine="117" w:firstLineChars="49"/>
              <w:jc w:val="center"/>
              <w:rPr>
                <w:rFonts w:ascii="微软雅黑" w:hAnsi="微软雅黑" w:eastAsia="微软雅黑" w:cs="微软雅黑"/>
                <w:bCs/>
                <w:sz w:val="24"/>
              </w:rPr>
            </w:pPr>
            <w:r>
              <w:rPr>
                <w:rFonts w:hint="eastAsia" w:ascii="微软雅黑" w:hAnsi="微软雅黑" w:eastAsia="微软雅黑" w:cs="微软雅黑"/>
                <w:bCs/>
                <w:sz w:val="24"/>
              </w:rPr>
              <w:t>智慧学习内容库</w:t>
            </w:r>
          </w:p>
        </w:tc>
        <w:tc>
          <w:tcPr>
            <w:tcW w:w="99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1</w:t>
            </w:r>
          </w:p>
        </w:tc>
        <w:tc>
          <w:tcPr>
            <w:tcW w:w="113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3年</w:t>
            </w:r>
          </w:p>
        </w:tc>
        <w:tc>
          <w:tcPr>
            <w:tcW w:w="104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p>
        </w:tc>
      </w:tr>
      <w:tr>
        <w:tblPrEx>
          <w:tblCellMar>
            <w:top w:w="0" w:type="dxa"/>
            <w:left w:w="108" w:type="dxa"/>
            <w:bottom w:w="0" w:type="dxa"/>
            <w:right w:w="108" w:type="dxa"/>
          </w:tblCellMar>
        </w:tblPrEx>
        <w:trPr>
          <w:trHeight w:val="339"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5</w:t>
            </w:r>
          </w:p>
        </w:tc>
        <w:tc>
          <w:tcPr>
            <w:tcW w:w="3369" w:type="dxa"/>
            <w:tcBorders>
              <w:top w:val="single" w:color="auto" w:sz="4" w:space="0"/>
              <w:left w:val="nil"/>
              <w:bottom w:val="single" w:color="auto" w:sz="4" w:space="0"/>
              <w:right w:val="single" w:color="auto" w:sz="4" w:space="0"/>
            </w:tcBorders>
            <w:vAlign w:val="center"/>
          </w:tcPr>
          <w:p>
            <w:pPr>
              <w:spacing w:line="360" w:lineRule="auto"/>
              <w:ind w:firstLine="117" w:firstLineChars="49"/>
              <w:jc w:val="center"/>
              <w:rPr>
                <w:rFonts w:ascii="微软雅黑" w:hAnsi="微软雅黑" w:eastAsia="微软雅黑" w:cs="微软雅黑"/>
                <w:bCs/>
                <w:sz w:val="24"/>
              </w:rPr>
            </w:pPr>
            <w:r>
              <w:rPr>
                <w:rFonts w:hint="eastAsia" w:ascii="微软雅黑" w:hAnsi="微软雅黑" w:eastAsia="微软雅黑" w:cs="微软雅黑"/>
                <w:bCs/>
                <w:sz w:val="24"/>
              </w:rPr>
              <w:t>报名收费系统</w:t>
            </w:r>
          </w:p>
        </w:tc>
        <w:tc>
          <w:tcPr>
            <w:tcW w:w="99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1</w:t>
            </w:r>
          </w:p>
        </w:tc>
        <w:tc>
          <w:tcPr>
            <w:tcW w:w="113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套</w:t>
            </w:r>
          </w:p>
        </w:tc>
        <w:tc>
          <w:tcPr>
            <w:tcW w:w="104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p>
        </w:tc>
      </w:tr>
      <w:tr>
        <w:tblPrEx>
          <w:tblCellMar>
            <w:top w:w="0" w:type="dxa"/>
            <w:left w:w="108" w:type="dxa"/>
            <w:bottom w:w="0" w:type="dxa"/>
            <w:right w:w="108" w:type="dxa"/>
          </w:tblCellMar>
        </w:tblPrEx>
        <w:trPr>
          <w:trHeight w:val="339"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6</w:t>
            </w:r>
          </w:p>
        </w:tc>
        <w:tc>
          <w:tcPr>
            <w:tcW w:w="3369" w:type="dxa"/>
            <w:tcBorders>
              <w:top w:val="single" w:color="auto" w:sz="4" w:space="0"/>
              <w:left w:val="nil"/>
              <w:bottom w:val="single" w:color="auto" w:sz="4" w:space="0"/>
              <w:right w:val="single" w:color="auto" w:sz="4" w:space="0"/>
            </w:tcBorders>
            <w:vAlign w:val="center"/>
          </w:tcPr>
          <w:p>
            <w:pPr>
              <w:spacing w:line="360" w:lineRule="auto"/>
              <w:ind w:firstLine="117" w:firstLineChars="49"/>
              <w:jc w:val="center"/>
              <w:rPr>
                <w:rFonts w:ascii="微软雅黑" w:hAnsi="微软雅黑" w:eastAsia="微软雅黑" w:cs="微软雅黑"/>
                <w:bCs/>
                <w:sz w:val="24"/>
              </w:rPr>
            </w:pPr>
            <w:r>
              <w:rPr>
                <w:rFonts w:hint="eastAsia" w:ascii="微软雅黑" w:hAnsi="微软雅黑" w:eastAsia="微软雅黑" w:cs="微软雅黑"/>
                <w:sz w:val="24"/>
                <w:szCs w:val="24"/>
              </w:rPr>
              <w:t>数字媒体资产平台</w:t>
            </w:r>
            <w:r>
              <w:rPr>
                <w:rFonts w:hint="eastAsia" w:ascii="微软雅黑" w:hAnsi="微软雅黑" w:eastAsia="微软雅黑" w:cs="微软雅黑"/>
                <w:bCs/>
                <w:sz w:val="24"/>
                <w:szCs w:val="24"/>
              </w:rPr>
              <w:t>服务</w:t>
            </w:r>
          </w:p>
        </w:tc>
        <w:tc>
          <w:tcPr>
            <w:tcW w:w="99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1</w:t>
            </w:r>
          </w:p>
        </w:tc>
        <w:tc>
          <w:tcPr>
            <w:tcW w:w="113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1年</w:t>
            </w:r>
          </w:p>
        </w:tc>
        <w:tc>
          <w:tcPr>
            <w:tcW w:w="104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微软雅黑" w:hAnsi="微软雅黑" w:eastAsia="微软雅黑" w:cs="微软雅黑"/>
                <w:kern w:val="0"/>
                <w:sz w:val="24"/>
              </w:rPr>
            </w:pPr>
            <w:r>
              <w:rPr>
                <w:rFonts w:hint="eastAsia" w:ascii="微软雅黑" w:hAnsi="微软雅黑" w:eastAsia="微软雅黑" w:cs="微软雅黑"/>
                <w:kern w:val="0"/>
                <w:sz w:val="24"/>
              </w:rPr>
              <w:t>10用户</w:t>
            </w:r>
          </w:p>
        </w:tc>
      </w:tr>
    </w:tbl>
    <w:p>
      <w:pPr>
        <w:pStyle w:val="2"/>
        <w:ind w:left="0" w:leftChars="0" w:firstLine="0" w:firstLineChars="0"/>
        <w:rPr>
          <w:szCs w:val="22"/>
        </w:rPr>
      </w:pPr>
    </w:p>
    <w:p>
      <w:pPr>
        <w:pStyle w:val="24"/>
        <w:jc w:val="left"/>
        <w:rPr>
          <w:rFonts w:ascii="微软雅黑" w:hAnsi="微软雅黑" w:eastAsia="微软雅黑" w:cs="微软雅黑"/>
          <w:bCs w:val="0"/>
          <w:kern w:val="0"/>
          <w:sz w:val="30"/>
          <w:szCs w:val="30"/>
        </w:rPr>
      </w:pPr>
      <w:r>
        <w:rPr>
          <w:rFonts w:hint="eastAsia" w:ascii="微软雅黑" w:hAnsi="微软雅黑" w:eastAsia="微软雅黑" w:cs="微软雅黑"/>
          <w:bCs w:val="0"/>
          <w:kern w:val="0"/>
          <w:sz w:val="30"/>
          <w:szCs w:val="30"/>
        </w:rPr>
        <w:t>二、技术参数</w:t>
      </w:r>
    </w:p>
    <w:p>
      <w:pPr>
        <w:pStyle w:val="3"/>
        <w:numPr>
          <w:ilvl w:val="0"/>
          <w:numId w:val="6"/>
        </w:numPr>
        <w:spacing w:after="120" w:line="360" w:lineRule="auto"/>
        <w:rPr>
          <w:rFonts w:cs="微软雅黑" w:asciiTheme="minorEastAsia" w:hAnsiTheme="minorEastAsia" w:eastAsiaTheme="minorEastAsia"/>
          <w:b/>
          <w:bCs/>
          <w:sz w:val="28"/>
          <w:szCs w:val="28"/>
        </w:rPr>
      </w:pPr>
      <w:r>
        <w:rPr>
          <w:rFonts w:hint="eastAsia" w:cs="微软雅黑" w:asciiTheme="minorEastAsia" w:hAnsiTheme="minorEastAsia" w:eastAsiaTheme="minorEastAsia"/>
          <w:b/>
          <w:bCs/>
          <w:sz w:val="28"/>
          <w:szCs w:val="28"/>
        </w:rPr>
        <w:t>交付要求</w:t>
      </w:r>
    </w:p>
    <w:p>
      <w:pPr>
        <w:pStyle w:val="3"/>
        <w:spacing w:line="360" w:lineRule="auto"/>
        <w:rPr>
          <w:rFonts w:cs="微软雅黑" w:asciiTheme="minorEastAsia" w:hAnsiTheme="minorEastAsia" w:eastAsiaTheme="minorEastAsia"/>
          <w:spacing w:val="0"/>
          <w:kern w:val="0"/>
          <w:sz w:val="24"/>
          <w:szCs w:val="24"/>
        </w:rPr>
      </w:pPr>
      <w:r>
        <w:rPr>
          <w:rFonts w:hint="eastAsia" w:cs="微软雅黑" w:asciiTheme="minorEastAsia" w:hAnsiTheme="minorEastAsia" w:eastAsiaTheme="minorEastAsia"/>
          <w:spacing w:val="0"/>
          <w:kern w:val="0"/>
          <w:sz w:val="24"/>
          <w:szCs w:val="24"/>
        </w:rPr>
        <w:t>1.本项目不支持联合投标。</w:t>
      </w:r>
    </w:p>
    <w:p>
      <w:pPr>
        <w:pStyle w:val="3"/>
        <w:spacing w:line="360" w:lineRule="auto"/>
        <w:rPr>
          <w:rFonts w:cs="微软雅黑" w:asciiTheme="minorEastAsia" w:hAnsiTheme="minorEastAsia" w:eastAsiaTheme="minorEastAsia"/>
          <w:spacing w:val="0"/>
          <w:kern w:val="0"/>
          <w:sz w:val="24"/>
          <w:szCs w:val="24"/>
        </w:rPr>
      </w:pPr>
      <w:r>
        <w:rPr>
          <w:rFonts w:hint="eastAsia" w:cs="微软雅黑" w:asciiTheme="minorEastAsia" w:hAnsiTheme="minorEastAsia" w:eastAsiaTheme="minorEastAsia"/>
          <w:spacing w:val="0"/>
          <w:kern w:val="0"/>
          <w:sz w:val="24"/>
          <w:szCs w:val="24"/>
        </w:rPr>
        <w:t>2.本项目要求在签订合同后20个工作日内完成。</w:t>
      </w:r>
    </w:p>
    <w:p>
      <w:pPr>
        <w:pStyle w:val="3"/>
        <w:spacing w:after="120" w:line="240" w:lineRule="auto"/>
        <w:ind w:left="420" w:firstLine="0"/>
        <w:rPr>
          <w:rFonts w:cs="微软雅黑" w:asciiTheme="minorEastAsia" w:hAnsiTheme="minorEastAsia" w:eastAsiaTheme="minorEastAsia"/>
          <w:b/>
          <w:bCs/>
          <w:sz w:val="28"/>
          <w:szCs w:val="28"/>
        </w:rPr>
      </w:pPr>
    </w:p>
    <w:p>
      <w:pPr>
        <w:pStyle w:val="3"/>
        <w:numPr>
          <w:ilvl w:val="0"/>
          <w:numId w:val="6"/>
        </w:numPr>
        <w:spacing w:after="120" w:line="240" w:lineRule="auto"/>
        <w:rPr>
          <w:rFonts w:cs="微软雅黑" w:asciiTheme="minorEastAsia" w:hAnsiTheme="minorEastAsia" w:eastAsiaTheme="minorEastAsia"/>
          <w:b/>
          <w:bCs/>
          <w:sz w:val="28"/>
          <w:szCs w:val="28"/>
        </w:rPr>
      </w:pPr>
      <w:r>
        <w:rPr>
          <w:rFonts w:hint="eastAsia" w:cs="微软雅黑" w:asciiTheme="minorEastAsia" w:hAnsiTheme="minorEastAsia" w:eastAsiaTheme="minorEastAsia"/>
          <w:b/>
          <w:bCs/>
          <w:sz w:val="28"/>
          <w:szCs w:val="28"/>
        </w:rPr>
        <w:t>整体技术要求</w:t>
      </w:r>
    </w:p>
    <w:p>
      <w:pPr>
        <w:widowControl/>
        <w:numPr>
          <w:ilvl w:val="0"/>
          <w:numId w:val="7"/>
        </w:numPr>
        <w:ind w:firstLine="480" w:firstLineChars="200"/>
        <w:jc w:val="left"/>
        <w:rPr>
          <w:rFonts w:cs="微软雅黑" w:asciiTheme="minorEastAsia" w:hAnsiTheme="minorEastAsia" w:eastAsiaTheme="minorEastAsia"/>
          <w:kern w:val="0"/>
          <w:sz w:val="24"/>
          <w:szCs w:val="24"/>
        </w:rPr>
      </w:pPr>
      <w:r>
        <w:rPr>
          <w:rFonts w:hint="eastAsia" w:cs="微软雅黑" w:asciiTheme="minorEastAsia" w:hAnsiTheme="minorEastAsia" w:eastAsiaTheme="minorEastAsia"/>
          <w:sz w:val="24"/>
          <w:szCs w:val="24"/>
        </w:rPr>
        <w:t>要全面</w:t>
      </w:r>
      <w:r>
        <w:rPr>
          <w:rFonts w:hint="eastAsia" w:cs="微软雅黑" w:asciiTheme="minorEastAsia" w:hAnsiTheme="minorEastAsia" w:eastAsiaTheme="minorEastAsia"/>
          <w:kern w:val="0"/>
          <w:sz w:val="24"/>
          <w:szCs w:val="24"/>
        </w:rPr>
        <w:t>整合钉钉，实现全平台设备覆盖的用户服务，实现数据、消息内容、应用入口的统一。</w:t>
      </w:r>
    </w:p>
    <w:p>
      <w:pPr>
        <w:spacing w:line="360" w:lineRule="auto"/>
        <w:ind w:left="479" w:leftChars="228"/>
        <w:jc w:val="left"/>
        <w:rPr>
          <w:rFonts w:cs="微软雅黑" w:asciiTheme="minorEastAsia" w:hAnsiTheme="minorEastAsia" w:eastAsiaTheme="minorEastAsia"/>
          <w:kern w:val="0"/>
          <w:sz w:val="24"/>
          <w:szCs w:val="24"/>
        </w:rPr>
      </w:pPr>
      <w:r>
        <w:rPr>
          <w:rFonts w:hint="eastAsia" w:cs="微软雅黑" w:asciiTheme="minorEastAsia" w:hAnsiTheme="minorEastAsia" w:eastAsiaTheme="minorEastAsia"/>
          <w:kern w:val="0"/>
          <w:sz w:val="24"/>
          <w:szCs w:val="24"/>
        </w:rPr>
        <w:t>1）与项目数据中心平台整合，统一身份信息管理，包括通讯录和单点登录；2）统一APP，无论手机、电脑等都采用钉钉作为统一入口，供用户使用；3）统一的信息交流平台，未来用户的消息提醒，任务通知，都要通过钉消息高效快速的传递到相关用户。</w:t>
      </w:r>
    </w:p>
    <w:p>
      <w:pPr>
        <w:pStyle w:val="3"/>
        <w:spacing w:line="360" w:lineRule="auto"/>
        <w:ind w:firstLine="464" w:firstLineChars="200"/>
        <w:rPr>
          <w:rFonts w:cs="微软雅黑" w:asciiTheme="minorEastAsia" w:hAnsiTheme="minorEastAsia" w:eastAsiaTheme="minorEastAsia"/>
          <w:sz w:val="24"/>
          <w:szCs w:val="24"/>
        </w:rPr>
      </w:pPr>
      <w:r>
        <w:rPr>
          <w:rFonts w:hint="eastAsia" w:cs="微软雅黑" w:asciiTheme="minorEastAsia" w:hAnsiTheme="minorEastAsia" w:eastAsiaTheme="minorEastAsia"/>
          <w:sz w:val="24"/>
          <w:szCs w:val="24"/>
        </w:rPr>
        <w:t>2.学院需要保障平台整体数据拥有自主权，因此所购产品均要求本地化私有云部署。</w:t>
      </w:r>
    </w:p>
    <w:p>
      <w:pPr>
        <w:pStyle w:val="3"/>
        <w:spacing w:line="360" w:lineRule="auto"/>
        <w:ind w:firstLine="464" w:firstLineChars="200"/>
        <w:rPr>
          <w:rFonts w:cs="微软雅黑" w:asciiTheme="minorEastAsia" w:hAnsiTheme="minorEastAsia" w:eastAsiaTheme="minorEastAsia"/>
          <w:sz w:val="24"/>
          <w:szCs w:val="24"/>
        </w:rPr>
      </w:pPr>
      <w:r>
        <w:rPr>
          <w:rFonts w:hint="eastAsia" w:cs="微软雅黑" w:asciiTheme="minorEastAsia" w:hAnsiTheme="minorEastAsia" w:eastAsiaTheme="minorEastAsia"/>
          <w:sz w:val="24"/>
          <w:szCs w:val="24"/>
        </w:rPr>
        <w:t>★3.本项目是金华教育学院信息化建设的重点项目，为确保采购的产品符合要求，中标厂商需在中标后三日内前往采购方处根据招标技术参数逐一核对产品功能。如有不符合处，中标作废并列入黑名单。</w:t>
      </w:r>
    </w:p>
    <w:p>
      <w:pPr>
        <w:numPr>
          <w:ilvl w:val="0"/>
          <w:numId w:val="8"/>
        </w:numPr>
        <w:outlineLvl w:val="1"/>
        <w:rPr>
          <w:rFonts w:cs="微软雅黑" w:asciiTheme="minorEastAsia" w:hAnsiTheme="minorEastAsia" w:eastAsiaTheme="minorEastAsia"/>
          <w:b/>
          <w:sz w:val="36"/>
          <w:szCs w:val="36"/>
        </w:rPr>
      </w:pPr>
      <w:r>
        <w:rPr>
          <w:rFonts w:hint="eastAsia" w:cs="微软雅黑" w:asciiTheme="minorEastAsia" w:hAnsiTheme="minorEastAsia" w:eastAsiaTheme="minorEastAsia"/>
          <w:b/>
          <w:sz w:val="36"/>
          <w:szCs w:val="36"/>
        </w:rPr>
        <w:t>数据中心及应用支撑平台</w:t>
      </w:r>
    </w:p>
    <w:p>
      <w:pPr>
        <w:pStyle w:val="3"/>
        <w:numPr>
          <w:ilvl w:val="0"/>
          <w:numId w:val="9"/>
        </w:numPr>
        <w:spacing w:after="120" w:line="240" w:lineRule="auto"/>
        <w:outlineLvl w:val="2"/>
        <w:rPr>
          <w:rFonts w:cs="微软雅黑" w:asciiTheme="minorEastAsia" w:hAnsiTheme="minorEastAsia" w:eastAsiaTheme="minorEastAsia"/>
          <w:sz w:val="32"/>
          <w:szCs w:val="32"/>
        </w:rPr>
      </w:pPr>
      <w:r>
        <w:rPr>
          <w:rFonts w:hint="eastAsia" w:cs="微软雅黑" w:asciiTheme="minorEastAsia" w:hAnsiTheme="minorEastAsia" w:eastAsiaTheme="minorEastAsia"/>
          <w:sz w:val="32"/>
          <w:szCs w:val="32"/>
        </w:rPr>
        <w:t>钉钉对接配置服务</w:t>
      </w:r>
    </w:p>
    <w:tbl>
      <w:tblPr>
        <w:tblStyle w:val="27"/>
        <w:tblW w:w="9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line="360" w:lineRule="auto"/>
              <w:jc w:val="center"/>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钉钉对接配置服务</w:t>
            </w:r>
          </w:p>
        </w:tc>
        <w:tc>
          <w:tcPr>
            <w:tcW w:w="7229" w:type="dxa"/>
            <w:shd w:val="clear" w:color="auto" w:fill="auto"/>
          </w:tcPr>
          <w:p>
            <w:p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szCs w:val="21"/>
              </w:rPr>
              <w:t>★与钉钉开放平台对接整合，使用钉钉作为前端，实现钉钉应用入口，实现组织人员数据同步、消息服务对接等。</w:t>
            </w:r>
          </w:p>
        </w:tc>
      </w:tr>
    </w:tbl>
    <w:p>
      <w:pPr>
        <w:pStyle w:val="3"/>
        <w:rPr>
          <w:rFonts w:cs="微软雅黑" w:asciiTheme="minorEastAsia" w:hAnsiTheme="minorEastAsia" w:eastAsiaTheme="minorEastAsia"/>
          <w:sz w:val="32"/>
          <w:szCs w:val="32"/>
        </w:rPr>
      </w:pPr>
    </w:p>
    <w:p>
      <w:pPr>
        <w:pStyle w:val="3"/>
        <w:numPr>
          <w:ilvl w:val="0"/>
          <w:numId w:val="9"/>
        </w:numPr>
        <w:spacing w:after="120" w:line="240" w:lineRule="auto"/>
        <w:outlineLvl w:val="2"/>
        <w:rPr>
          <w:rFonts w:cs="微软雅黑" w:asciiTheme="minorEastAsia" w:hAnsiTheme="minorEastAsia" w:eastAsiaTheme="minorEastAsia"/>
          <w:sz w:val="32"/>
          <w:szCs w:val="32"/>
        </w:rPr>
      </w:pPr>
      <w:r>
        <w:rPr>
          <w:rFonts w:hint="eastAsia" w:cs="微软雅黑" w:asciiTheme="minorEastAsia" w:hAnsiTheme="minorEastAsia" w:eastAsiaTheme="minorEastAsia"/>
          <w:sz w:val="32"/>
          <w:szCs w:val="32"/>
        </w:rPr>
        <w:t>统一身份认证服务</w:t>
      </w:r>
    </w:p>
    <w:tbl>
      <w:tblPr>
        <w:tblStyle w:val="27"/>
        <w:tblW w:w="9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shd w:val="clear" w:color="auto" w:fill="auto"/>
            <w:vAlign w:val="center"/>
          </w:tcPr>
          <w:p>
            <w:pPr>
              <w:spacing w:line="560" w:lineRule="exact"/>
              <w:jc w:val="center"/>
              <w:rPr>
                <w:rFonts w:cs="微软雅黑" w:asciiTheme="minorEastAsia" w:hAnsiTheme="minorEastAsia" w:eastAsiaTheme="minorEastAsia"/>
                <w:spacing w:val="-2"/>
                <w:szCs w:val="21"/>
              </w:rPr>
            </w:pPr>
            <w:r>
              <w:rPr>
                <w:rFonts w:hint="eastAsia" w:cs="微软雅黑" w:asciiTheme="minorEastAsia" w:hAnsiTheme="minorEastAsia" w:eastAsiaTheme="minorEastAsia"/>
                <w:spacing w:val="-2"/>
                <w:szCs w:val="21"/>
              </w:rPr>
              <w:t>用户身份管理及验证</w:t>
            </w:r>
          </w:p>
          <w:p>
            <w:pPr>
              <w:spacing w:line="360" w:lineRule="auto"/>
              <w:jc w:val="center"/>
              <w:rPr>
                <w:rFonts w:cs="微软雅黑" w:asciiTheme="minorEastAsia" w:hAnsiTheme="minorEastAsia" w:eastAsiaTheme="minorEastAsia"/>
                <w:bCs/>
                <w:color w:val="000000" w:themeColor="text1"/>
                <w:szCs w:val="21"/>
              </w:rPr>
            </w:pPr>
          </w:p>
        </w:tc>
        <w:tc>
          <w:tcPr>
            <w:tcW w:w="7229" w:type="dxa"/>
            <w:shd w:val="clear" w:color="auto" w:fill="auto"/>
          </w:tcPr>
          <w:p>
            <w:pPr>
              <w:spacing w:line="360" w:lineRule="auto"/>
              <w:rPr>
                <w:rFonts w:cs="微软雅黑" w:asciiTheme="minorEastAsia" w:hAnsiTheme="minorEastAsia" w:eastAsiaTheme="minorEastAsia"/>
                <w:spacing w:val="-2"/>
                <w:szCs w:val="21"/>
              </w:rPr>
            </w:pPr>
            <w:r>
              <w:rPr>
                <w:rFonts w:hint="eastAsia" w:cs="微软雅黑" w:asciiTheme="minorEastAsia" w:hAnsiTheme="minorEastAsia" w:eastAsiaTheme="minorEastAsia"/>
                <w:szCs w:val="21"/>
              </w:rPr>
              <w:t>★</w:t>
            </w:r>
            <w:r>
              <w:rPr>
                <w:rFonts w:hint="eastAsia" w:cs="微软雅黑" w:asciiTheme="minorEastAsia" w:hAnsiTheme="minorEastAsia" w:eastAsiaTheme="minorEastAsia"/>
                <w:spacing w:val="-2"/>
                <w:szCs w:val="21"/>
              </w:rPr>
              <w:t>1.要建立基于数据中心及钉钉开放平台的统一身份管理机制，后续所有应用系统都基于钉钉统一身份认证，基于钉钉用户管理体系，可以同步钉钉的组织机构、用户账号。</w:t>
            </w:r>
          </w:p>
          <w:p>
            <w:p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szCs w:val="21"/>
              </w:rPr>
              <w:t>★</w:t>
            </w:r>
            <w:r>
              <w:rPr>
                <w:rFonts w:hint="eastAsia" w:cs="微软雅黑" w:asciiTheme="minorEastAsia" w:hAnsiTheme="minorEastAsia" w:eastAsiaTheme="minorEastAsia"/>
                <w:spacing w:val="-2"/>
                <w:szCs w:val="21"/>
              </w:rPr>
              <w:t>2.第三方应用系统要实现与钉钉同步登陆验证，钉钉登陆，就可以实现其他系统的同步登陆，无需进行二次验证。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shd w:val="clear" w:color="auto" w:fill="auto"/>
            <w:vAlign w:val="center"/>
          </w:tcPr>
          <w:p>
            <w:pPr>
              <w:spacing w:line="360" w:lineRule="auto"/>
              <w:jc w:val="center"/>
              <w:rPr>
                <w:rFonts w:cs="微软雅黑" w:asciiTheme="minorEastAsia" w:hAnsiTheme="minorEastAsia" w:eastAsiaTheme="minorEastAsia"/>
                <w:spacing w:val="-2"/>
                <w:szCs w:val="21"/>
              </w:rPr>
            </w:pPr>
            <w:r>
              <w:rPr>
                <w:rFonts w:hint="eastAsia" w:cs="微软雅黑" w:asciiTheme="minorEastAsia" w:hAnsiTheme="minorEastAsia" w:eastAsiaTheme="minorEastAsia"/>
                <w:spacing w:val="-2"/>
                <w:szCs w:val="21"/>
              </w:rPr>
              <w:t>钉钉工作台</w:t>
            </w:r>
          </w:p>
        </w:tc>
        <w:tc>
          <w:tcPr>
            <w:tcW w:w="7229" w:type="dxa"/>
            <w:shd w:val="clear" w:color="auto" w:fill="auto"/>
          </w:tcPr>
          <w:p>
            <w:pPr>
              <w:spacing w:line="360" w:lineRule="auto"/>
              <w:rPr>
                <w:rFonts w:cs="微软雅黑" w:asciiTheme="minorEastAsia" w:hAnsiTheme="minorEastAsia" w:eastAsiaTheme="minorEastAsia"/>
                <w:spacing w:val="-2"/>
                <w:szCs w:val="21"/>
              </w:rPr>
            </w:pPr>
            <w:r>
              <w:rPr>
                <w:rFonts w:hint="eastAsia" w:cs="微软雅黑" w:asciiTheme="minorEastAsia" w:hAnsiTheme="minorEastAsia" w:eastAsiaTheme="minorEastAsia"/>
                <w:szCs w:val="21"/>
              </w:rPr>
              <w:t>★</w:t>
            </w:r>
            <w:r>
              <w:rPr>
                <w:rFonts w:hint="eastAsia" w:cs="微软雅黑" w:asciiTheme="minorEastAsia" w:hAnsiTheme="minorEastAsia" w:eastAsiaTheme="minorEastAsia"/>
                <w:spacing w:val="-2"/>
                <w:szCs w:val="21"/>
              </w:rPr>
              <w:t>所有的应用系统都要按模块在钉钉工作台实现快速进入入口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shd w:val="clear" w:color="auto" w:fill="auto"/>
            <w:vAlign w:val="center"/>
          </w:tcPr>
          <w:p>
            <w:pPr>
              <w:spacing w:line="360" w:lineRule="auto"/>
              <w:jc w:val="center"/>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spacing w:val="-2"/>
                <w:szCs w:val="21"/>
              </w:rPr>
              <w:t>用户授权管理</w:t>
            </w:r>
          </w:p>
        </w:tc>
        <w:tc>
          <w:tcPr>
            <w:tcW w:w="7229" w:type="dxa"/>
            <w:shd w:val="clear" w:color="auto" w:fill="auto"/>
          </w:tcPr>
          <w:p>
            <w:p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spacing w:val="-2"/>
                <w:szCs w:val="21"/>
              </w:rPr>
              <w:t>授权管理提供角色与用户、用户组及组织机构的关联，属性与用户、用户组的关联，同时提供权限代理及委托的管理。对学校来说可以采用集中授权与分级授权相结合的方式来实施。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shd w:val="clear" w:color="auto" w:fill="auto"/>
            <w:vAlign w:val="center"/>
          </w:tcPr>
          <w:p>
            <w:pPr>
              <w:spacing w:line="560" w:lineRule="exact"/>
              <w:jc w:val="center"/>
              <w:rPr>
                <w:rFonts w:cs="微软雅黑" w:asciiTheme="minorEastAsia" w:hAnsiTheme="minorEastAsia" w:eastAsiaTheme="minorEastAsia"/>
                <w:spacing w:val="-2"/>
                <w:szCs w:val="21"/>
              </w:rPr>
            </w:pPr>
            <w:r>
              <w:rPr>
                <w:rFonts w:hint="eastAsia" w:cs="微软雅黑" w:asciiTheme="minorEastAsia" w:hAnsiTheme="minorEastAsia" w:eastAsiaTheme="minorEastAsia"/>
                <w:spacing w:val="-2"/>
                <w:szCs w:val="21"/>
              </w:rPr>
              <w:t>用户安全中心</w:t>
            </w:r>
          </w:p>
          <w:p>
            <w:pPr>
              <w:spacing w:line="360" w:lineRule="auto"/>
              <w:jc w:val="center"/>
              <w:rPr>
                <w:rFonts w:cs="微软雅黑" w:asciiTheme="minorEastAsia" w:hAnsiTheme="minorEastAsia" w:eastAsiaTheme="minorEastAsia"/>
                <w:spacing w:val="-2"/>
                <w:szCs w:val="21"/>
              </w:rPr>
            </w:pPr>
          </w:p>
        </w:tc>
        <w:tc>
          <w:tcPr>
            <w:tcW w:w="7229" w:type="dxa"/>
            <w:shd w:val="clear" w:color="auto" w:fill="auto"/>
          </w:tcPr>
          <w:p>
            <w:pPr>
              <w:spacing w:line="360" w:lineRule="auto"/>
              <w:rPr>
                <w:rFonts w:cs="微软雅黑" w:asciiTheme="minorEastAsia" w:hAnsiTheme="minorEastAsia" w:eastAsiaTheme="minorEastAsia"/>
                <w:spacing w:val="-2"/>
                <w:szCs w:val="21"/>
              </w:rPr>
            </w:pPr>
            <w:r>
              <w:rPr>
                <w:rFonts w:hint="eastAsia" w:cs="微软雅黑" w:asciiTheme="minorEastAsia" w:hAnsiTheme="minorEastAsia" w:eastAsiaTheme="minorEastAsia"/>
                <w:spacing w:val="-2"/>
                <w:szCs w:val="21"/>
              </w:rPr>
              <w:t>提供给所有用户修改密码、密码找回、用户申诉等个人自助服务，避免系统管理人员工作负担，同时为用户提供更方便快捷的服务。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shd w:val="clear" w:color="auto" w:fill="auto"/>
            <w:vAlign w:val="center"/>
          </w:tcPr>
          <w:p>
            <w:pPr>
              <w:spacing w:line="560" w:lineRule="exact"/>
              <w:jc w:val="center"/>
              <w:rPr>
                <w:rFonts w:cs="微软雅黑" w:asciiTheme="minorEastAsia" w:hAnsiTheme="minorEastAsia" w:eastAsiaTheme="minorEastAsia"/>
                <w:spacing w:val="-2"/>
                <w:szCs w:val="21"/>
              </w:rPr>
            </w:pPr>
            <w:r>
              <w:rPr>
                <w:rFonts w:hint="eastAsia" w:cs="微软雅黑" w:asciiTheme="minorEastAsia" w:hAnsiTheme="minorEastAsia" w:eastAsiaTheme="minorEastAsia"/>
                <w:spacing w:val="-2"/>
                <w:szCs w:val="21"/>
              </w:rPr>
              <w:t>安全日志审计</w:t>
            </w:r>
          </w:p>
          <w:p>
            <w:pPr>
              <w:spacing w:line="360" w:lineRule="auto"/>
              <w:jc w:val="center"/>
              <w:rPr>
                <w:rFonts w:cs="微软雅黑" w:asciiTheme="minorEastAsia" w:hAnsiTheme="minorEastAsia" w:eastAsiaTheme="minorEastAsia"/>
                <w:spacing w:val="-2"/>
                <w:szCs w:val="21"/>
              </w:rPr>
            </w:pPr>
          </w:p>
        </w:tc>
        <w:tc>
          <w:tcPr>
            <w:tcW w:w="7229" w:type="dxa"/>
            <w:shd w:val="clear" w:color="auto" w:fill="auto"/>
          </w:tcPr>
          <w:p>
            <w:pPr>
              <w:spacing w:line="560" w:lineRule="exact"/>
              <w:rPr>
                <w:rFonts w:cs="微软雅黑" w:asciiTheme="minorEastAsia" w:hAnsiTheme="minorEastAsia" w:eastAsiaTheme="minorEastAsia"/>
                <w:spacing w:val="-2"/>
                <w:szCs w:val="21"/>
              </w:rPr>
            </w:pPr>
            <w:r>
              <w:rPr>
                <w:rFonts w:hint="eastAsia" w:cs="微软雅黑" w:asciiTheme="minorEastAsia" w:hAnsiTheme="minorEastAsia" w:eastAsiaTheme="minorEastAsia"/>
                <w:spacing w:val="-2"/>
                <w:szCs w:val="21"/>
              </w:rPr>
              <w:t xml:space="preserve">统一身份认证平台要提供日志系统，详细记录用户身份认证和访问操作日志。在对访问日志进行集中、关联分析的基础上实现系统异常访问分析、系统违规访问分析、违反安全规程的操作分析、故障事件重建和入侵预警。 </w:t>
            </w:r>
          </w:p>
        </w:tc>
      </w:tr>
    </w:tbl>
    <w:p>
      <w:pPr>
        <w:pStyle w:val="3"/>
        <w:rPr>
          <w:rFonts w:cs="微软雅黑" w:asciiTheme="minorEastAsia" w:hAnsiTheme="minorEastAsia" w:eastAsiaTheme="minorEastAsia"/>
          <w:sz w:val="32"/>
          <w:szCs w:val="32"/>
        </w:rPr>
      </w:pPr>
    </w:p>
    <w:p>
      <w:pPr>
        <w:pStyle w:val="3"/>
        <w:numPr>
          <w:ilvl w:val="0"/>
          <w:numId w:val="9"/>
        </w:numPr>
        <w:spacing w:after="120" w:line="240" w:lineRule="auto"/>
        <w:outlineLvl w:val="2"/>
        <w:rPr>
          <w:rFonts w:cs="微软雅黑" w:asciiTheme="minorEastAsia" w:hAnsiTheme="minorEastAsia" w:eastAsiaTheme="minorEastAsia"/>
          <w:sz w:val="32"/>
          <w:szCs w:val="32"/>
        </w:rPr>
      </w:pPr>
      <w:r>
        <w:rPr>
          <w:rFonts w:hint="eastAsia" w:cs="微软雅黑" w:asciiTheme="minorEastAsia" w:hAnsiTheme="minorEastAsia" w:eastAsiaTheme="minorEastAsia"/>
          <w:sz w:val="32"/>
          <w:szCs w:val="32"/>
        </w:rPr>
        <w:t>中台功能应用服务</w:t>
      </w:r>
    </w:p>
    <w:tbl>
      <w:tblPr>
        <w:tblStyle w:val="27"/>
        <w:tblW w:w="9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38" w:type="dxa"/>
            <w:shd w:val="clear" w:color="auto" w:fill="auto"/>
          </w:tcPr>
          <w:p>
            <w:pPr>
              <w:spacing w:line="360" w:lineRule="auto"/>
              <w:jc w:val="center"/>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整体要求</w:t>
            </w:r>
          </w:p>
        </w:tc>
        <w:tc>
          <w:tcPr>
            <w:tcW w:w="7229" w:type="dxa"/>
            <w:shd w:val="clear" w:color="auto" w:fill="auto"/>
          </w:tcPr>
          <w:p>
            <w:pPr>
              <w:pStyle w:val="3"/>
              <w:rPr>
                <w:rFonts w:hint="eastAsia" w:cs="微软雅黑" w:asciiTheme="minorEastAsia" w:hAnsiTheme="minorEastAsia" w:eastAsiaTheme="minorEastAsia"/>
                <w:spacing w:val="0"/>
                <w:kern w:val="2"/>
                <w:sz w:val="21"/>
                <w:szCs w:val="21"/>
                <w:lang w:val="en-US" w:eastAsia="zh-CN" w:bidi="ar-SA"/>
              </w:rPr>
            </w:pPr>
          </w:p>
          <w:p>
            <w:pPr>
              <w:pStyle w:val="3"/>
              <w:ind w:firstLine="0"/>
              <w:rPr>
                <w:rFonts w:hint="eastAsia" w:cs="微软雅黑" w:asciiTheme="minorEastAsia" w:hAnsiTheme="minorEastAsia" w:eastAsiaTheme="minorEastAsia"/>
                <w:spacing w:val="0"/>
                <w:kern w:val="2"/>
                <w:sz w:val="21"/>
                <w:szCs w:val="21"/>
                <w:lang w:val="en-US" w:eastAsia="zh-CN" w:bidi="ar-SA"/>
              </w:rPr>
            </w:pPr>
            <w:r>
              <w:rPr>
                <w:rFonts w:hint="eastAsia" w:cs="微软雅黑" w:asciiTheme="minorEastAsia" w:hAnsiTheme="minorEastAsia" w:eastAsiaTheme="minorEastAsia"/>
                <w:spacing w:val="0"/>
                <w:kern w:val="2"/>
                <w:sz w:val="21"/>
                <w:szCs w:val="21"/>
                <w:lang w:val="en-US" w:eastAsia="zh-CN" w:bidi="ar-SA"/>
              </w:rPr>
              <w:t>把不同业务系统的数据，通过中台汇聚数据，按用户的工作需求进展汇总、展示、查询等应用，打破数据孤岛。中台为学院信息化管理提供建设模式与思路，包括为学院将来新的信息化应用建设提供开发框架，避免重复的开发资源投入引起的浪费，简化并统一了各应用的数据应用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line="360" w:lineRule="auto"/>
              <w:jc w:val="center"/>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szCs w:val="21"/>
              </w:rPr>
              <w:t>业务中台</w:t>
            </w:r>
          </w:p>
        </w:tc>
        <w:tc>
          <w:tcPr>
            <w:tcW w:w="7229" w:type="dxa"/>
            <w:shd w:val="clear" w:color="auto" w:fill="auto"/>
          </w:tcPr>
          <w:p>
            <w:pPr>
              <w:spacing w:line="560" w:lineRule="exact"/>
              <w:rPr>
                <w:rFonts w:hint="eastAsia" w:cs="微软雅黑" w:asciiTheme="minorEastAsia" w:hAnsiTheme="minorEastAsia" w:eastAsiaTheme="minorEastAsia"/>
                <w:spacing w:val="0"/>
                <w:kern w:val="2"/>
                <w:sz w:val="21"/>
                <w:szCs w:val="21"/>
                <w:lang w:val="en-US" w:eastAsia="zh-CN" w:bidi="ar-SA"/>
              </w:rPr>
            </w:pPr>
            <w:r>
              <w:rPr>
                <w:rFonts w:hint="eastAsia" w:cs="微软雅黑" w:asciiTheme="minorEastAsia" w:hAnsiTheme="minorEastAsia" w:eastAsiaTheme="minorEastAsia"/>
                <w:spacing w:val="0"/>
                <w:kern w:val="2"/>
                <w:sz w:val="21"/>
                <w:szCs w:val="21"/>
                <w:lang w:val="en-US" w:eastAsia="zh-CN" w:bidi="ar-SA"/>
              </w:rPr>
              <w:t>需将业务的公共需求组合成服务，比如用户管理，身份认证，应用注册等就是公共需求。将这些公共业务组合成统一的业务服务，供各个业务应用使用。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line="360" w:lineRule="auto"/>
              <w:jc w:val="center"/>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szCs w:val="21"/>
              </w:rPr>
              <w:t>数据中台</w:t>
            </w:r>
          </w:p>
        </w:tc>
        <w:tc>
          <w:tcPr>
            <w:tcW w:w="7229" w:type="dxa"/>
            <w:shd w:val="clear" w:color="auto" w:fill="auto"/>
          </w:tcPr>
          <w:p>
            <w:pPr>
              <w:spacing w:line="560" w:lineRule="exact"/>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szCs w:val="21"/>
              </w:rPr>
              <w:t>数据时代，业务中越来越依赖于数据，应包含：数据的收集，数据处理，数据算法和分析，报表，以及数据的治理。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vAlign w:val="center"/>
          </w:tcPr>
          <w:p>
            <w:pPr>
              <w:spacing w:line="360" w:lineRule="auto"/>
              <w:jc w:val="center"/>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szCs w:val="21"/>
              </w:rPr>
              <w:t>技术中台</w:t>
            </w:r>
          </w:p>
        </w:tc>
        <w:tc>
          <w:tcPr>
            <w:tcW w:w="7229" w:type="dxa"/>
            <w:shd w:val="clear" w:color="auto" w:fill="auto"/>
          </w:tcPr>
          <w:p>
            <w:pPr>
              <w:spacing w:line="560" w:lineRule="exact"/>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szCs w:val="21"/>
              </w:rPr>
              <w:t>提供底层的技术服务，底层技术应包括：安全认证，权限管理，流程引擎，消息，通知等。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line="560" w:lineRule="exact"/>
              <w:ind w:firstLine="420" w:firstLineChars="200"/>
              <w:rPr>
                <w:rFonts w:cs="微软雅黑" w:asciiTheme="minorEastAsia" w:hAnsiTheme="minorEastAsia" w:eastAsiaTheme="minorEastAsia"/>
                <w:szCs w:val="21"/>
              </w:rPr>
            </w:pPr>
            <w:r>
              <w:rPr>
                <w:rFonts w:hint="eastAsia" w:cs="微软雅黑" w:asciiTheme="minorEastAsia" w:hAnsiTheme="minorEastAsia" w:eastAsiaTheme="minorEastAsia"/>
                <w:szCs w:val="21"/>
              </w:rPr>
              <w:t>中台服务</w:t>
            </w:r>
          </w:p>
          <w:p>
            <w:pPr>
              <w:spacing w:line="360" w:lineRule="auto"/>
              <w:jc w:val="center"/>
              <w:rPr>
                <w:rFonts w:cs="微软雅黑" w:asciiTheme="minorEastAsia" w:hAnsiTheme="minorEastAsia" w:eastAsiaTheme="minorEastAsia"/>
                <w:bCs/>
                <w:color w:val="000000" w:themeColor="text1"/>
                <w:szCs w:val="21"/>
              </w:rPr>
            </w:pPr>
          </w:p>
        </w:tc>
        <w:tc>
          <w:tcPr>
            <w:tcW w:w="7229" w:type="dxa"/>
            <w:shd w:val="clear" w:color="auto" w:fill="auto"/>
          </w:tcPr>
          <w:p>
            <w:pPr>
              <w:spacing w:line="560" w:lineRule="exact"/>
              <w:ind w:left="552"/>
              <w:rPr>
                <w:rFonts w:cs="微软雅黑" w:asciiTheme="minorEastAsia" w:hAnsiTheme="minorEastAsia" w:eastAsiaTheme="minorEastAsia"/>
                <w:spacing w:val="-2"/>
                <w:szCs w:val="21"/>
              </w:rPr>
            </w:pPr>
            <w:r>
              <w:rPr>
                <w:rFonts w:hint="eastAsia" w:cs="微软雅黑" w:asciiTheme="minorEastAsia" w:hAnsiTheme="minorEastAsia" w:eastAsiaTheme="minorEastAsia"/>
                <w:spacing w:val="-2"/>
                <w:szCs w:val="21"/>
              </w:rPr>
              <w:t>1.表单数据管理服务</w:t>
            </w:r>
          </w:p>
          <w:p>
            <w:pPr>
              <w:spacing w:line="560" w:lineRule="exact"/>
              <w:ind w:firstLine="420" w:firstLineChars="200"/>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提供表单类数据的创建、定义、逻辑条件设置、检索等处理引擎，实现各类表单类应用的搭建，无需由上层各应用重复实现相关逻辑，简化应用开发难度与周期。例如填报递交等应用可直接调用该服务，实现表单类数据的增、删、改、查等操作。</w:t>
            </w:r>
          </w:p>
          <w:p>
            <w:pPr>
              <w:spacing w:line="560" w:lineRule="exact"/>
              <w:ind w:left="552"/>
              <w:rPr>
                <w:rFonts w:cs="微软雅黑" w:asciiTheme="minorEastAsia" w:hAnsiTheme="minorEastAsia" w:eastAsiaTheme="minorEastAsia"/>
                <w:spacing w:val="-2"/>
                <w:szCs w:val="21"/>
              </w:rPr>
            </w:pPr>
            <w:r>
              <w:rPr>
                <w:rFonts w:hint="eastAsia" w:cs="微软雅黑" w:asciiTheme="minorEastAsia" w:hAnsiTheme="minorEastAsia" w:eastAsiaTheme="minorEastAsia"/>
                <w:spacing w:val="-2"/>
                <w:szCs w:val="21"/>
              </w:rPr>
              <w:t>2.审批流转管理服务</w:t>
            </w:r>
          </w:p>
          <w:p>
            <w:pPr>
              <w:spacing w:line="560" w:lineRule="exact"/>
              <w:ind w:firstLine="420" w:firstLineChars="200"/>
              <w:rPr>
                <w:rFonts w:cs="微软雅黑" w:asciiTheme="minorEastAsia" w:hAnsiTheme="minorEastAsia" w:eastAsiaTheme="minorEastAsia"/>
                <w:spacing w:val="-2"/>
                <w:szCs w:val="21"/>
              </w:rPr>
            </w:pPr>
            <w:r>
              <w:rPr>
                <w:rFonts w:hint="eastAsia" w:cs="微软雅黑" w:asciiTheme="minorEastAsia" w:hAnsiTheme="minorEastAsia" w:eastAsiaTheme="minorEastAsia"/>
                <w:kern w:val="0"/>
                <w:szCs w:val="21"/>
              </w:rPr>
              <w:t>提供表单数据内容流转、审批等业务流程的设计、定义、实现等服务，可为OA办公等上层应用提供智能化、流程化的业务逻辑开发支持。</w:t>
            </w:r>
          </w:p>
          <w:p>
            <w:pPr>
              <w:spacing w:line="560" w:lineRule="exact"/>
              <w:ind w:left="552"/>
              <w:rPr>
                <w:rFonts w:cs="微软雅黑" w:asciiTheme="minorEastAsia" w:hAnsiTheme="minorEastAsia" w:eastAsiaTheme="minorEastAsia"/>
                <w:spacing w:val="-2"/>
                <w:szCs w:val="21"/>
              </w:rPr>
            </w:pPr>
            <w:r>
              <w:rPr>
                <w:rFonts w:hint="eastAsia" w:cs="微软雅黑" w:asciiTheme="minorEastAsia" w:hAnsiTheme="minorEastAsia" w:eastAsiaTheme="minorEastAsia"/>
                <w:spacing w:val="-2"/>
                <w:szCs w:val="21"/>
              </w:rPr>
              <w:t>3.消息服务</w:t>
            </w:r>
          </w:p>
          <w:p>
            <w:pPr>
              <w:spacing w:line="360" w:lineRule="auto"/>
              <w:ind w:firstLine="420" w:firstLineChars="200"/>
              <w:rPr>
                <w:rFonts w:cs="微软雅黑" w:asciiTheme="minorEastAsia" w:hAnsiTheme="minorEastAsia" w:eastAsiaTheme="minorEastAsia"/>
                <w:szCs w:val="21"/>
              </w:rPr>
            </w:pPr>
            <w:r>
              <w:rPr>
                <w:rFonts w:hint="eastAsia" w:cs="微软雅黑" w:asciiTheme="minorEastAsia" w:hAnsiTheme="minorEastAsia" w:eastAsiaTheme="minorEastAsia"/>
                <w:szCs w:val="21"/>
              </w:rPr>
              <w:t>为学院各应用提供统一的消息服务，各应用只需调用该消息服务，即可实现在学院平台中跨应用的消息通知应用，并可通过通知跳转到各应用内入口。支持的消息类型应包括：</w:t>
            </w:r>
          </w:p>
          <w:p>
            <w:pPr>
              <w:spacing w:line="360" w:lineRule="auto"/>
              <w:ind w:firstLine="420" w:firstLineChars="200"/>
              <w:rPr>
                <w:rFonts w:cs="微软雅黑" w:asciiTheme="minorEastAsia" w:hAnsiTheme="minorEastAsia" w:eastAsiaTheme="minorEastAsia"/>
                <w:szCs w:val="21"/>
              </w:rPr>
            </w:pPr>
            <w:r>
              <w:rPr>
                <w:rFonts w:hint="eastAsia" w:cs="微软雅黑" w:asciiTheme="minorEastAsia" w:hAnsiTheme="minorEastAsia" w:eastAsiaTheme="minorEastAsia"/>
                <w:szCs w:val="21"/>
              </w:rPr>
              <w:t>工作通知消息：是以学院工作通知会话中某个微应用的名义推送到员工的通知消息，例如操作反馈、工作提醒等。</w:t>
            </w:r>
          </w:p>
          <w:p>
            <w:pPr>
              <w:spacing w:line="360" w:lineRule="auto"/>
              <w:ind w:firstLine="420" w:firstLineChars="200"/>
              <w:rPr>
                <w:rFonts w:cs="微软雅黑" w:asciiTheme="minorEastAsia" w:hAnsiTheme="minorEastAsia" w:eastAsiaTheme="minorEastAsia"/>
                <w:szCs w:val="21"/>
              </w:rPr>
            </w:pPr>
            <w:r>
              <w:rPr>
                <w:rFonts w:hint="eastAsia" w:cs="微软雅黑" w:asciiTheme="minorEastAsia" w:hAnsiTheme="minorEastAsia" w:eastAsiaTheme="minorEastAsia"/>
                <w:szCs w:val="21"/>
              </w:rPr>
              <w:t>群消息：是指可以调用接口以系统名义向群里推送群聊消息。</w:t>
            </w:r>
          </w:p>
          <w:p>
            <w:pPr>
              <w:spacing w:line="360" w:lineRule="auto"/>
              <w:ind w:firstLine="420" w:firstLineChars="200"/>
              <w:rPr>
                <w:rFonts w:cs="微软雅黑" w:asciiTheme="minorEastAsia" w:hAnsiTheme="minorEastAsia" w:eastAsiaTheme="minorEastAsia"/>
                <w:szCs w:val="21"/>
              </w:rPr>
            </w:pPr>
            <w:r>
              <w:rPr>
                <w:rFonts w:hint="eastAsia" w:cs="微软雅黑" w:asciiTheme="minorEastAsia" w:hAnsiTheme="minorEastAsia" w:eastAsiaTheme="minorEastAsia"/>
                <w:szCs w:val="21"/>
              </w:rPr>
              <w:t>普通消息：是指员工个人在使用应用时，可以通过界面操作的方式往群或其他人的会话里推送消息，例如发送日志的场景。</w:t>
            </w:r>
          </w:p>
          <w:p>
            <w:pPr>
              <w:spacing w:line="360" w:lineRule="auto"/>
              <w:ind w:firstLine="420" w:firstLineChars="200"/>
              <w:rPr>
                <w:rFonts w:cs="微软雅黑" w:asciiTheme="minorEastAsia" w:hAnsiTheme="minorEastAsia" w:eastAsiaTheme="minorEastAsia"/>
                <w:szCs w:val="21"/>
              </w:rPr>
            </w:pPr>
            <w:r>
              <w:rPr>
                <w:rFonts w:hint="eastAsia" w:cs="微软雅黑" w:asciiTheme="minorEastAsia" w:hAnsiTheme="minorEastAsia" w:eastAsiaTheme="minorEastAsia"/>
                <w:szCs w:val="21"/>
              </w:rPr>
              <w:t>任务类通知：是指需要发送一条任务提醒给员工，比如审批任务等。</w:t>
            </w:r>
          </w:p>
          <w:p>
            <w:pPr>
              <w:spacing w:line="560" w:lineRule="exact"/>
              <w:ind w:left="552"/>
              <w:rPr>
                <w:rFonts w:cs="微软雅黑" w:asciiTheme="minorEastAsia" w:hAnsiTheme="minorEastAsia" w:eastAsiaTheme="minorEastAsia"/>
                <w:spacing w:val="-2"/>
                <w:szCs w:val="21"/>
              </w:rPr>
            </w:pPr>
            <w:r>
              <w:rPr>
                <w:rFonts w:hint="eastAsia" w:cs="微软雅黑" w:asciiTheme="minorEastAsia" w:hAnsiTheme="minorEastAsia" w:eastAsiaTheme="minorEastAsia"/>
                <w:spacing w:val="-2"/>
                <w:szCs w:val="21"/>
              </w:rPr>
              <w:t>4.权限管理服务</w:t>
            </w:r>
          </w:p>
          <w:p>
            <w:pPr>
              <w:spacing w:line="560" w:lineRule="exact"/>
              <w:ind w:firstLine="412" w:firstLineChars="200"/>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spacing w:val="-2"/>
                <w:szCs w:val="21"/>
              </w:rPr>
              <w:t>无论是系统管理权限，还是上层应用的管理权限，基于中台提供的接口服务，权限相关的所有操作及细分项管理都可以统一管理。包括管理权限分配、应用权限授权、权限细分项设置等。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line="360" w:lineRule="auto"/>
              <w:jc w:val="center"/>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流程开发</w:t>
            </w:r>
          </w:p>
        </w:tc>
        <w:tc>
          <w:tcPr>
            <w:tcW w:w="7229" w:type="dxa"/>
            <w:shd w:val="clear" w:color="auto" w:fill="auto"/>
          </w:tcPr>
          <w:p>
            <w:pPr>
              <w:numPr>
                <w:ilvl w:val="0"/>
                <w:numId w:val="10"/>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图形化的流程设计界面，支持拖、拉、拽的模式设计流程，可方便快捷供非技术人员使用。</w:t>
            </w:r>
          </w:p>
          <w:p>
            <w:pPr>
              <w:numPr>
                <w:ilvl w:val="0"/>
                <w:numId w:val="10"/>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流程设计以结构化数据存储方式存取，可方便获取。</w:t>
            </w:r>
          </w:p>
          <w:p>
            <w:pPr>
              <w:numPr>
                <w:ilvl w:val="0"/>
                <w:numId w:val="10"/>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权限管理:支持不同的人员可以查看或设计不同模块的流程</w:t>
            </w:r>
          </w:p>
          <w:p>
            <w:pPr>
              <w:numPr>
                <w:ilvl w:val="0"/>
                <w:numId w:val="10"/>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快捷部署：支持流程的快捷部署模式，可以快捷从开发环境部署到正式环境中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line="360" w:lineRule="auto"/>
              <w:jc w:val="center"/>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数据管理</w:t>
            </w:r>
          </w:p>
        </w:tc>
        <w:tc>
          <w:tcPr>
            <w:tcW w:w="7229" w:type="dxa"/>
            <w:shd w:val="clear" w:color="auto" w:fill="auto"/>
          </w:tcPr>
          <w:p>
            <w:pPr>
              <w:numPr>
                <w:ilvl w:val="0"/>
                <w:numId w:val="11"/>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数据项定义:以类数据库表结构方式进行定义</w:t>
            </w:r>
          </w:p>
          <w:p>
            <w:pPr>
              <w:numPr>
                <w:ilvl w:val="0"/>
                <w:numId w:val="11"/>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虚拟类型:支持定义一些虚拟类型结构数据项，例如审批意见、附件控件等</w:t>
            </w:r>
          </w:p>
          <w:p>
            <w:pPr>
              <w:numPr>
                <w:ilvl w:val="0"/>
                <w:numId w:val="11"/>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子数据项定义:支持定义子表</w:t>
            </w:r>
          </w:p>
          <w:p>
            <w:pPr>
              <w:numPr>
                <w:ilvl w:val="0"/>
                <w:numId w:val="11"/>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关联数据项:支持定义数据项之间的关联关系</w:t>
            </w:r>
          </w:p>
          <w:p>
            <w:pPr>
              <w:numPr>
                <w:ilvl w:val="0"/>
                <w:numId w:val="11"/>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 xml:space="preserve">查询对象：支持创建自定义查询对象，并自动生成查询管理页面，可以支持增、删、改或自定义操作； </w:t>
            </w:r>
          </w:p>
          <w:p>
            <w:pPr>
              <w:numPr>
                <w:ilvl w:val="0"/>
                <w:numId w:val="11"/>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自定义方法:支持添加自定义方法与外部系统接口方法进行绑定</w:t>
            </w:r>
          </w:p>
          <w:p>
            <w:pPr>
              <w:numPr>
                <w:ilvl w:val="0"/>
                <w:numId w:val="11"/>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事件接口:支持自定义增、删、改、查相关事件方法，可以与一个或多个外部系统方法进行绑定</w:t>
            </w:r>
          </w:p>
          <w:p>
            <w:pPr>
              <w:numPr>
                <w:ilvl w:val="0"/>
                <w:numId w:val="11"/>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监听事件:支持对业务数据状态的监听，当满足某一条件时自动执行自定义函数</w:t>
            </w:r>
          </w:p>
          <w:p>
            <w:pPr>
              <w:numPr>
                <w:ilvl w:val="0"/>
                <w:numId w:val="11"/>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定时作业:支持设置定时作业方式执行数据对象的自定义方法</w:t>
            </w:r>
          </w:p>
          <w:p>
            <w:pPr>
              <w:numPr>
                <w:ilvl w:val="0"/>
                <w:numId w:val="11"/>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数据导入:支持将Excel数据进行导入并初始化数据</w:t>
            </w:r>
          </w:p>
          <w:p>
            <w:pPr>
              <w:numPr>
                <w:ilvl w:val="0"/>
                <w:numId w:val="11"/>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数据字典:内置数据字典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line="360" w:lineRule="auto"/>
              <w:jc w:val="center"/>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业务系统集成</w:t>
            </w:r>
          </w:p>
        </w:tc>
        <w:tc>
          <w:tcPr>
            <w:tcW w:w="7229" w:type="dxa"/>
            <w:shd w:val="clear" w:color="auto" w:fill="auto"/>
          </w:tcPr>
          <w:p>
            <w:pPr>
              <w:numPr>
                <w:ilvl w:val="0"/>
                <w:numId w:val="12"/>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内置适配器:符合SOA架构模式，内置常见系统接口的适配器，可方便与企业各类业务系统集成，集成过程中尽可能低代码。</w:t>
            </w:r>
          </w:p>
          <w:p>
            <w:pPr>
              <w:numPr>
                <w:ilvl w:val="0"/>
                <w:numId w:val="12"/>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适配器扩展:支持自定义扩展适配器</w:t>
            </w:r>
          </w:p>
          <w:p>
            <w:pPr>
              <w:numPr>
                <w:ilvl w:val="0"/>
                <w:numId w:val="12"/>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业务服务:支持以树形结构模式归类和创建业务服务</w:t>
            </w:r>
          </w:p>
          <w:p>
            <w:pPr>
              <w:numPr>
                <w:ilvl w:val="0"/>
                <w:numId w:val="12"/>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事务处理:支持多个跨系统的接口统一处理事务</w:t>
            </w:r>
          </w:p>
          <w:p>
            <w:pPr>
              <w:numPr>
                <w:ilvl w:val="0"/>
                <w:numId w:val="12"/>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支持流程中调用多个业务服务和接口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line="360" w:lineRule="auto"/>
              <w:jc w:val="center"/>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安全增强需求</w:t>
            </w:r>
          </w:p>
        </w:tc>
        <w:tc>
          <w:tcPr>
            <w:tcW w:w="7229" w:type="dxa"/>
            <w:shd w:val="clear" w:color="auto" w:fill="auto"/>
          </w:tcPr>
          <w:p>
            <w:p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系统需采用安全可靠的信息加密和传输机制，确保系统中数据的安全，并支持扩展更多的加密策略。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line="360" w:lineRule="auto"/>
              <w:jc w:val="center"/>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其他需求</w:t>
            </w:r>
          </w:p>
        </w:tc>
        <w:tc>
          <w:tcPr>
            <w:tcW w:w="7229" w:type="dxa"/>
            <w:shd w:val="clear" w:color="auto" w:fill="auto"/>
          </w:tcPr>
          <w:p>
            <w:pPr>
              <w:numPr>
                <w:ilvl w:val="0"/>
                <w:numId w:val="13"/>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可方便调用公司其他异构系统的相关服务，接收、处理其系统的请求与数据，并将处理结果和数据返回调用的系统。</w:t>
            </w:r>
          </w:p>
          <w:p>
            <w:pPr>
              <w:numPr>
                <w:ilvl w:val="0"/>
                <w:numId w:val="13"/>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系统具有良好的扩展性与二次开发能力，提供二次开发SDK、接口等定制开发功能，系统内常用操作功能均提供规范调用接口（SOA等），以便建设统一信息平台。</w:t>
            </w:r>
          </w:p>
          <w:p>
            <w:pPr>
              <w:numPr>
                <w:ilvl w:val="0"/>
                <w:numId w:val="13"/>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可通过不更改源代码的配置方式方便调用其他系统的SOA标准接口。</w:t>
            </w:r>
          </w:p>
          <w:p>
            <w:pPr>
              <w:numPr>
                <w:ilvl w:val="0"/>
                <w:numId w:val="13"/>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提供开发帮助、系统集成文档、数据库结构说明等定制开发文档，并提供相关培训与技术支持。</w:t>
            </w:r>
          </w:p>
          <w:p>
            <w:pPr>
              <w:numPr>
                <w:ilvl w:val="0"/>
                <w:numId w:val="13"/>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有统一完善的权限控制机制，对系统的所有资源和功能都能进行全线权限控制。系统需要支持按功能模块进行授权控制。可按用户、岗位、机构、用户组、用户类别、部门、特殊身份组、角色等方式进行授权。</w:t>
            </w:r>
          </w:p>
          <w:p>
            <w:pPr>
              <w:numPr>
                <w:ilvl w:val="0"/>
                <w:numId w:val="13"/>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可控制表单内每个字段在每个节点上的读写权限。</w:t>
            </w:r>
          </w:p>
          <w:p>
            <w:pPr>
              <w:numPr>
                <w:ilvl w:val="0"/>
                <w:numId w:val="13"/>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系统需提供各类移动审批功能。</w:t>
            </w:r>
          </w:p>
          <w:p>
            <w:pPr>
              <w:numPr>
                <w:ilvl w:val="0"/>
                <w:numId w:val="13"/>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移动端采用标准HTML5方式，可自适应PC端不同浏览器和移动端显示需求，不需单独开发移动APP表单及审批模块。</w:t>
            </w:r>
          </w:p>
          <w:p>
            <w:pPr>
              <w:numPr>
                <w:ilvl w:val="0"/>
                <w:numId w:val="13"/>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提供全方位日志管理，全面记录用户在系统中的相关操作（访问、修改、发布等），管理员对系统的配置、更改等。</w:t>
            </w:r>
          </w:p>
          <w:p>
            <w:pPr>
              <w:numPr>
                <w:ilvl w:val="0"/>
                <w:numId w:val="13"/>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 xml:space="preserve">为了方便未来更多的系统能够使用流程管理平台，需要支持引擎的独立部署，让系统的运行更加稳定高效 </w:t>
            </w:r>
          </w:p>
          <w:p>
            <w:pPr>
              <w:numPr>
                <w:ilvl w:val="0"/>
                <w:numId w:val="13"/>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支持原厂实施和售后服务。</w:t>
            </w:r>
          </w:p>
          <w:p>
            <w:pPr>
              <w:numPr>
                <w:ilvl w:val="0"/>
                <w:numId w:val="13"/>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需要支持中英双语等多语言支撑。</w:t>
            </w:r>
          </w:p>
          <w:p>
            <w:pPr>
              <w:numPr>
                <w:ilvl w:val="0"/>
                <w:numId w:val="13"/>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支持引擎API接口调用，引擎事件调用，表单API调用。</w:t>
            </w:r>
          </w:p>
          <w:p>
            <w:pPr>
              <w:numPr>
                <w:ilvl w:val="0"/>
                <w:numId w:val="13"/>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提供跟产品相关的标准的接口调用方法。</w:t>
            </w:r>
          </w:p>
          <w:p>
            <w:pPr>
              <w:numPr>
                <w:ilvl w:val="0"/>
                <w:numId w:val="13"/>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提供了完整的表单控件，用于表单的展示和数据保存。</w:t>
            </w:r>
          </w:p>
          <w:p>
            <w:pPr>
              <w:numPr>
                <w:ilvl w:val="0"/>
                <w:numId w:val="13"/>
              </w:numPr>
              <w:spacing w:line="360" w:lineRule="auto"/>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能够与钉钉无缝集成（配置形式实现集成），并能够集成第三方移动应用。</w:t>
            </w:r>
          </w:p>
        </w:tc>
      </w:tr>
    </w:tbl>
    <w:p>
      <w:pPr>
        <w:pStyle w:val="3"/>
        <w:numPr>
          <w:ilvl w:val="0"/>
          <w:numId w:val="9"/>
        </w:numPr>
        <w:spacing w:beforeLines="100" w:after="120" w:line="240" w:lineRule="auto"/>
        <w:outlineLvl w:val="2"/>
        <w:rPr>
          <w:rFonts w:cs="微软雅黑" w:asciiTheme="minorEastAsia" w:hAnsiTheme="minorEastAsia" w:eastAsiaTheme="minorEastAsia"/>
          <w:sz w:val="32"/>
          <w:szCs w:val="32"/>
        </w:rPr>
      </w:pPr>
      <w:r>
        <w:rPr>
          <w:rFonts w:hint="eastAsia" w:cs="微软雅黑" w:asciiTheme="minorEastAsia" w:hAnsiTheme="minorEastAsia" w:eastAsiaTheme="minorEastAsia"/>
          <w:sz w:val="32"/>
          <w:szCs w:val="32"/>
        </w:rPr>
        <w:t>应用系统设置管理服务</w:t>
      </w:r>
    </w:p>
    <w:tbl>
      <w:tblPr>
        <w:tblStyle w:val="27"/>
        <w:tblW w:w="9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shd w:val="clear" w:color="auto" w:fill="auto"/>
          </w:tcPr>
          <w:p>
            <w:pPr>
              <w:spacing w:line="360" w:lineRule="auto"/>
              <w:jc w:val="center"/>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应用系统设置管理</w:t>
            </w:r>
          </w:p>
        </w:tc>
        <w:tc>
          <w:tcPr>
            <w:tcW w:w="7229" w:type="dxa"/>
            <w:shd w:val="clear" w:color="auto" w:fill="auto"/>
          </w:tcPr>
          <w:p>
            <w:pPr>
              <w:spacing w:line="560" w:lineRule="exact"/>
              <w:rPr>
                <w:rFonts w:cs="微软雅黑" w:asciiTheme="minorEastAsia" w:hAnsiTheme="minorEastAsia" w:eastAsiaTheme="minorEastAsia"/>
                <w:szCs w:val="21"/>
              </w:rPr>
            </w:pPr>
            <w:r>
              <w:rPr>
                <w:rFonts w:hint="eastAsia" w:cs="微软雅黑" w:asciiTheme="minorEastAsia" w:hAnsiTheme="minorEastAsia" w:eastAsiaTheme="minorEastAsia"/>
                <w:szCs w:val="21"/>
              </w:rPr>
              <w:t>基于支撑平台上层的所有应用，都应可以在平台中管理应用基本参数设置，例如权限管理、参数设置、日志管理、数据备份管理、历史数据管理、基础信息管理等功能，而无需进入各应用进行设置。</w:t>
            </w:r>
          </w:p>
          <w:p>
            <w:pPr>
              <w:spacing w:line="560" w:lineRule="exact"/>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szCs w:val="21"/>
              </w:rPr>
              <w:t>系统的安全管理人员可以脱离应用数据管理权限而单独针对各应用基本设置进行管理，保证应用的数据安全。</w:t>
            </w:r>
          </w:p>
        </w:tc>
      </w:tr>
    </w:tbl>
    <w:p>
      <w:pPr>
        <w:pStyle w:val="3"/>
        <w:rPr>
          <w:rFonts w:cs="微软雅黑" w:asciiTheme="minorEastAsia" w:hAnsiTheme="minorEastAsia" w:eastAsiaTheme="minorEastAsia"/>
          <w:sz w:val="32"/>
          <w:szCs w:val="32"/>
        </w:rPr>
      </w:pPr>
    </w:p>
    <w:p>
      <w:pPr>
        <w:pStyle w:val="3"/>
        <w:numPr>
          <w:ilvl w:val="0"/>
          <w:numId w:val="8"/>
        </w:numPr>
        <w:spacing w:after="120" w:line="240" w:lineRule="auto"/>
        <w:ind w:firstLine="0"/>
        <w:outlineLvl w:val="1"/>
        <w:rPr>
          <w:rFonts w:cs="微软雅黑" w:asciiTheme="minorEastAsia" w:hAnsiTheme="minorEastAsia" w:eastAsiaTheme="minorEastAsia"/>
          <w:b/>
          <w:sz w:val="36"/>
          <w:szCs w:val="36"/>
        </w:rPr>
      </w:pPr>
      <w:r>
        <w:rPr>
          <w:rFonts w:hint="eastAsia" w:cs="微软雅黑" w:asciiTheme="minorEastAsia" w:hAnsiTheme="minorEastAsia" w:eastAsiaTheme="minorEastAsia"/>
          <w:b/>
          <w:sz w:val="36"/>
          <w:szCs w:val="36"/>
        </w:rPr>
        <w:t>应用系统软件</w:t>
      </w:r>
    </w:p>
    <w:p>
      <w:pPr>
        <w:pStyle w:val="3"/>
        <w:numPr>
          <w:ilvl w:val="0"/>
          <w:numId w:val="14"/>
        </w:numPr>
        <w:spacing w:after="120" w:line="240" w:lineRule="auto"/>
        <w:outlineLvl w:val="2"/>
        <w:rPr>
          <w:rFonts w:cs="微软雅黑" w:asciiTheme="minorEastAsia" w:hAnsiTheme="minorEastAsia" w:eastAsiaTheme="minorEastAsia"/>
          <w:sz w:val="32"/>
          <w:szCs w:val="32"/>
        </w:rPr>
      </w:pPr>
      <w:r>
        <w:rPr>
          <w:rFonts w:hint="eastAsia" w:cs="微软雅黑" w:asciiTheme="minorEastAsia" w:hAnsiTheme="minorEastAsia" w:eastAsiaTheme="minorEastAsia"/>
          <w:sz w:val="32"/>
          <w:szCs w:val="32"/>
        </w:rPr>
        <w:t>办公系统（OA）</w:t>
      </w:r>
    </w:p>
    <w:tbl>
      <w:tblPr>
        <w:tblStyle w:val="2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9" w:type="dxa"/>
            <w:shd w:val="clear" w:color="auto" w:fill="auto"/>
            <w:vAlign w:val="center"/>
          </w:tcPr>
          <w:p>
            <w:pPr>
              <w:pStyle w:val="9"/>
              <w:jc w:val="center"/>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整体要求</w:t>
            </w:r>
          </w:p>
        </w:tc>
        <w:tc>
          <w:tcPr>
            <w:tcW w:w="7033" w:type="dxa"/>
            <w:shd w:val="clear" w:color="auto" w:fill="auto"/>
            <w:vAlign w:val="center"/>
          </w:tcPr>
          <w:p>
            <w:pPr>
              <w:jc w:val="left"/>
              <w:rPr>
                <w:rFonts w:cs="微软雅黑" w:asciiTheme="minorEastAsia" w:hAnsiTheme="minorEastAsia" w:eastAsiaTheme="minorEastAsia"/>
              </w:rPr>
            </w:pPr>
            <w:r>
              <w:rPr>
                <w:rFonts w:hint="eastAsia" w:cs="微软雅黑" w:asciiTheme="minorEastAsia" w:hAnsiTheme="minorEastAsia" w:eastAsiaTheme="minorEastAsia"/>
                <w:kern w:val="0"/>
                <w:szCs w:val="21"/>
              </w:rPr>
              <w:t>OA系统要基于中台进行开发，提供表单管理、流程审批等服务，并根据学院需求开发电子签章等功能。主要解决学院办公自动化需求，包括公文流转审批、业务流程的流转审批、会议管理等。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9" w:type="dxa"/>
            <w:shd w:val="clear" w:color="auto" w:fill="auto"/>
            <w:vAlign w:val="center"/>
          </w:tcPr>
          <w:p>
            <w:pPr>
              <w:pStyle w:val="9"/>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公文管理</w:t>
            </w:r>
          </w:p>
        </w:tc>
        <w:tc>
          <w:tcPr>
            <w:tcW w:w="7033" w:type="dxa"/>
            <w:shd w:val="clear" w:color="auto" w:fill="auto"/>
            <w:vAlign w:val="center"/>
          </w:tcPr>
          <w:p>
            <w:pPr>
              <w:jc w:val="left"/>
              <w:rPr>
                <w:rFonts w:cs="微软雅黑" w:asciiTheme="minorEastAsia" w:hAnsiTheme="minorEastAsia" w:eastAsiaTheme="minorEastAsia"/>
                <w:b/>
                <w:bCs/>
                <w:color w:val="000000"/>
                <w:szCs w:val="21"/>
              </w:rPr>
            </w:pPr>
            <w:r>
              <w:rPr>
                <w:rFonts w:hint="eastAsia" w:cs="微软雅黑" w:asciiTheme="minorEastAsia" w:hAnsiTheme="minorEastAsia" w:eastAsiaTheme="minorEastAsia"/>
                <w:kern w:val="0"/>
                <w:szCs w:val="21"/>
              </w:rPr>
              <w:t>公文管理应用要包括审批流程、电子签单等底层支撑，上层提供公文的查询、收发、统计等，用户层提供适应于pc与手机端的操作方式，提供查看、审批、编辑、管理等操作权限。公文管理需要满足对公文内容进行在线编辑、预览、权限控制、文档留痕、套红/盖章、电子印章系统等要求。</w:t>
            </w:r>
          </w:p>
          <w:p>
            <w:pPr>
              <w:pStyle w:val="9"/>
              <w:numPr>
                <w:ilvl w:val="0"/>
                <w:numId w:val="15"/>
              </w:numPr>
              <w:ind w:firstLineChars="0"/>
              <w:rPr>
                <w:rFonts w:cs="微软雅黑" w:asciiTheme="minorEastAsia" w:hAnsiTheme="minorEastAsia" w:eastAsiaTheme="minorEastAsia"/>
                <w:b/>
                <w:bCs/>
                <w:color w:val="000000"/>
                <w:szCs w:val="21"/>
              </w:rPr>
            </w:pPr>
            <w:r>
              <w:rPr>
                <w:rFonts w:hint="eastAsia" w:cs="微软雅黑" w:asciiTheme="minorEastAsia" w:hAnsiTheme="minorEastAsia" w:eastAsiaTheme="minorEastAsia"/>
                <w:b/>
                <w:bCs/>
                <w:color w:val="000000"/>
                <w:szCs w:val="21"/>
              </w:rPr>
              <w:t>收发文管理</w:t>
            </w:r>
          </w:p>
          <w:p>
            <w:pPr>
              <w:pStyle w:val="9"/>
              <w:numPr>
                <w:ilvl w:val="0"/>
                <w:numId w:val="16"/>
              </w:numPr>
              <w:ind w:firstLineChars="0"/>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发文流程</w:t>
            </w:r>
          </w:p>
          <w:p>
            <w:pPr>
              <w:pStyle w:val="9"/>
              <w:rPr>
                <w:rFonts w:cs="微软雅黑" w:asciiTheme="minorEastAsia" w:hAnsiTheme="minorEastAsia" w:eastAsiaTheme="minorEastAsia"/>
                <w:color w:val="000000"/>
                <w:szCs w:val="21"/>
              </w:rPr>
            </w:pPr>
            <w:r>
              <w:rPr>
                <w:rFonts w:hint="eastAsia" w:cs="微软雅黑" w:asciiTheme="minorEastAsia" w:hAnsiTheme="minorEastAsia" w:eastAsiaTheme="minorEastAsia"/>
                <w:szCs w:val="21"/>
              </w:rPr>
              <w:t>梳理发文业务处理过程，通过流程标准化、规范化各环节业务操作，确定各环节参与人角色及职责。实现发文内容的在线拟稿、内容审核、相关单位会签、领导审定与签发。通过套用已定义的标准模板，形成最终发文。并可加盖电子印章，形成PDF文件，发送相关部门，传阅相关领导阅知</w:t>
            </w:r>
          </w:p>
          <w:p>
            <w:pPr>
              <w:pStyle w:val="9"/>
              <w:numPr>
                <w:ilvl w:val="0"/>
                <w:numId w:val="16"/>
              </w:numPr>
              <w:ind w:firstLineChars="0"/>
              <w:rPr>
                <w:rFonts w:cs="微软雅黑" w:asciiTheme="minorEastAsia" w:hAnsiTheme="minorEastAsia" w:eastAsiaTheme="minorEastAsia"/>
                <w:color w:val="000000"/>
                <w:szCs w:val="21"/>
              </w:rPr>
            </w:pPr>
            <w:bookmarkStart w:id="20" w:name="_Toc382817585"/>
            <w:r>
              <w:rPr>
                <w:rFonts w:hint="eastAsia" w:cs="微软雅黑" w:asciiTheme="minorEastAsia" w:hAnsiTheme="minorEastAsia" w:eastAsiaTheme="minorEastAsia"/>
                <w:szCs w:val="21"/>
              </w:rPr>
              <w:t>发文查询与归档</w:t>
            </w:r>
            <w:bookmarkEnd w:id="20"/>
          </w:p>
          <w:p>
            <w:pPr>
              <w:pStyle w:val="9"/>
              <w:rPr>
                <w:rFonts w:cs="微软雅黑" w:asciiTheme="minorEastAsia" w:hAnsiTheme="minorEastAsia" w:eastAsiaTheme="minorEastAsia"/>
                <w:color w:val="000000"/>
                <w:szCs w:val="21"/>
              </w:rPr>
            </w:pPr>
            <w:r>
              <w:rPr>
                <w:rFonts w:hint="eastAsia" w:cs="微软雅黑" w:asciiTheme="minorEastAsia" w:hAnsiTheme="minorEastAsia" w:eastAsiaTheme="minorEastAsia"/>
                <w:szCs w:val="21"/>
              </w:rPr>
              <w:t>（1）被授权人员可通过各种查询条件检索发文信息，查询结果包括发文文号、标题、发起人、发起时间、发起单位、发文状态等信息。点击文件标题，可打开业务明细页面，查看所有业务信息、审批信息、文件信息等。</w:t>
            </w:r>
          </w:p>
          <w:p>
            <w:pPr>
              <w:pStyle w:val="9"/>
              <w:rPr>
                <w:rFonts w:cs="微软雅黑" w:asciiTheme="minorEastAsia" w:hAnsiTheme="minorEastAsia" w:eastAsiaTheme="minorEastAsia"/>
                <w:color w:val="000000"/>
                <w:szCs w:val="21"/>
              </w:rPr>
            </w:pPr>
            <w:r>
              <w:rPr>
                <w:rFonts w:hint="eastAsia" w:cs="微软雅黑" w:asciiTheme="minorEastAsia" w:hAnsiTheme="minorEastAsia" w:eastAsiaTheme="minorEastAsia"/>
                <w:szCs w:val="21"/>
              </w:rPr>
              <w:t>（2）被授权人员可对发文进行归档管理。归档后发文信息将复制一份存入归档库中。用户可通过设置归档状态进行检索查询。对于已归档信息可以“移除不归档”，“导出移交清单”等操作</w:t>
            </w:r>
          </w:p>
          <w:p>
            <w:pPr>
              <w:pStyle w:val="9"/>
              <w:numPr>
                <w:ilvl w:val="0"/>
                <w:numId w:val="16"/>
              </w:numPr>
              <w:ind w:firstLineChars="0"/>
              <w:rPr>
                <w:rFonts w:cs="微软雅黑" w:asciiTheme="minorEastAsia" w:hAnsiTheme="minorEastAsia" w:eastAsiaTheme="minorEastAsia"/>
                <w:color w:val="000000"/>
                <w:szCs w:val="21"/>
              </w:rPr>
            </w:pPr>
            <w:bookmarkStart w:id="21" w:name="_Toc382817587"/>
            <w:r>
              <w:rPr>
                <w:rFonts w:hint="eastAsia" w:cs="微软雅黑" w:asciiTheme="minorEastAsia" w:hAnsiTheme="minorEastAsia" w:eastAsiaTheme="minorEastAsia"/>
                <w:szCs w:val="21"/>
              </w:rPr>
              <w:t>发文稿纸打印</w:t>
            </w:r>
            <w:bookmarkEnd w:id="21"/>
          </w:p>
          <w:p>
            <w:pPr>
              <w:spacing w:line="360" w:lineRule="auto"/>
              <w:ind w:firstLine="420"/>
              <w:rPr>
                <w:rFonts w:cs="微软雅黑" w:asciiTheme="minorEastAsia" w:hAnsiTheme="minorEastAsia" w:eastAsiaTheme="minorEastAsia"/>
                <w:szCs w:val="21"/>
              </w:rPr>
            </w:pPr>
            <w:r>
              <w:rPr>
                <w:rFonts w:hint="eastAsia" w:cs="微软雅黑" w:asciiTheme="minorEastAsia" w:hAnsiTheme="minorEastAsia" w:eastAsiaTheme="minorEastAsia"/>
                <w:szCs w:val="21"/>
              </w:rPr>
              <w:t>在处理部门发文时，系统根据发文稿纸的打印要求与格式，自动形成该发文的发文稿纸内容进行打印。</w:t>
            </w:r>
          </w:p>
          <w:p>
            <w:pPr>
              <w:pStyle w:val="9"/>
              <w:numPr>
                <w:ilvl w:val="0"/>
                <w:numId w:val="16"/>
              </w:numPr>
              <w:ind w:firstLineChars="0"/>
              <w:rPr>
                <w:rFonts w:cs="微软雅黑" w:asciiTheme="minorEastAsia" w:hAnsiTheme="minorEastAsia" w:eastAsiaTheme="minorEastAsia"/>
                <w:szCs w:val="21"/>
              </w:rPr>
            </w:pPr>
            <w:r>
              <w:rPr>
                <w:rFonts w:hint="eastAsia" w:cs="微软雅黑" w:asciiTheme="minorEastAsia" w:hAnsiTheme="minorEastAsia" w:eastAsiaTheme="minorEastAsia"/>
                <w:szCs w:val="21"/>
              </w:rPr>
              <w:t>收文流程</w:t>
            </w:r>
          </w:p>
          <w:p>
            <w:pPr>
              <w:spacing w:line="360" w:lineRule="auto"/>
              <w:ind w:firstLine="420" w:firstLineChars="200"/>
              <w:rPr>
                <w:rFonts w:cs="微软雅黑" w:asciiTheme="minorEastAsia" w:hAnsiTheme="minorEastAsia" w:eastAsiaTheme="minorEastAsia"/>
                <w:szCs w:val="21"/>
              </w:rPr>
            </w:pPr>
            <w:r>
              <w:rPr>
                <w:rFonts w:hint="eastAsia" w:cs="微软雅黑" w:asciiTheme="minorEastAsia" w:hAnsiTheme="minorEastAsia" w:eastAsiaTheme="minorEastAsia"/>
                <w:szCs w:val="21"/>
              </w:rPr>
              <w:t>各部门接收PDF发文文件及相关信息形成部门收文。通过规范的业务流程，完成文件及相关内容在部门内的信息传递。</w:t>
            </w:r>
          </w:p>
          <w:p>
            <w:pPr>
              <w:pStyle w:val="9"/>
              <w:numPr>
                <w:ilvl w:val="0"/>
                <w:numId w:val="16"/>
              </w:numPr>
              <w:ind w:firstLineChars="0"/>
              <w:rPr>
                <w:rFonts w:cs="微软雅黑" w:asciiTheme="minorEastAsia" w:hAnsiTheme="minorEastAsia" w:eastAsiaTheme="minorEastAsia"/>
                <w:szCs w:val="21"/>
              </w:rPr>
            </w:pPr>
            <w:r>
              <w:rPr>
                <w:rFonts w:hint="eastAsia" w:cs="微软雅黑" w:asciiTheme="minorEastAsia" w:hAnsiTheme="minorEastAsia" w:eastAsiaTheme="minorEastAsia"/>
                <w:szCs w:val="21"/>
              </w:rPr>
              <w:t>收文查询与归档</w:t>
            </w:r>
          </w:p>
          <w:p>
            <w:pPr>
              <w:spacing w:line="360" w:lineRule="auto"/>
              <w:rPr>
                <w:rFonts w:cs="微软雅黑" w:asciiTheme="minorEastAsia" w:hAnsiTheme="minorEastAsia" w:eastAsiaTheme="minorEastAsia"/>
                <w:szCs w:val="21"/>
              </w:rPr>
            </w:pPr>
            <w:r>
              <w:rPr>
                <w:rFonts w:hint="eastAsia" w:cs="微软雅黑" w:asciiTheme="minorEastAsia" w:hAnsiTheme="minorEastAsia" w:eastAsiaTheme="minorEastAsia"/>
                <w:szCs w:val="21"/>
              </w:rPr>
              <w:t>（1）被授权人员可通过各种查询条件检索收文信息，查询结果包括收文文号、标题、发起人、发起时间、发起单位、发文状态等信息。点击文件标题，可打开业务明细页面，查看所有业务信息、审批信息、文件信息等。</w:t>
            </w:r>
          </w:p>
          <w:p>
            <w:pPr>
              <w:pStyle w:val="9"/>
              <w:rPr>
                <w:rFonts w:cs="微软雅黑" w:asciiTheme="minorEastAsia" w:hAnsiTheme="minorEastAsia" w:eastAsiaTheme="minorEastAsia"/>
                <w:szCs w:val="21"/>
              </w:rPr>
            </w:pPr>
            <w:r>
              <w:rPr>
                <w:rFonts w:hint="eastAsia" w:cs="微软雅黑" w:asciiTheme="minorEastAsia" w:hAnsiTheme="minorEastAsia" w:eastAsiaTheme="minorEastAsia"/>
                <w:szCs w:val="21"/>
              </w:rPr>
              <w:t>（2）被授权人员可对收文进行归档管理。归档后收文信息将复制一份存入归档库中。用户可通过设置归档状态进行检索查询。对于已归档信息可以“移除不归档”，“导出移交清单”等操作</w:t>
            </w:r>
          </w:p>
          <w:p>
            <w:pPr>
              <w:pStyle w:val="9"/>
              <w:numPr>
                <w:ilvl w:val="0"/>
                <w:numId w:val="16"/>
              </w:numPr>
              <w:ind w:firstLineChars="0"/>
              <w:rPr>
                <w:rFonts w:cs="微软雅黑" w:asciiTheme="minorEastAsia" w:hAnsiTheme="minorEastAsia" w:eastAsiaTheme="minorEastAsia"/>
                <w:szCs w:val="21"/>
              </w:rPr>
            </w:pPr>
            <w:r>
              <w:rPr>
                <w:rFonts w:hint="eastAsia" w:cs="微软雅黑" w:asciiTheme="minorEastAsia" w:hAnsiTheme="minorEastAsia" w:eastAsiaTheme="minorEastAsia"/>
                <w:szCs w:val="21"/>
              </w:rPr>
              <w:t>公文处理笺打印</w:t>
            </w:r>
          </w:p>
          <w:p>
            <w:pPr>
              <w:spacing w:line="360" w:lineRule="auto"/>
              <w:ind w:firstLine="420"/>
              <w:rPr>
                <w:rFonts w:cs="微软雅黑" w:asciiTheme="minorEastAsia" w:hAnsiTheme="minorEastAsia" w:eastAsiaTheme="minorEastAsia"/>
                <w:szCs w:val="21"/>
              </w:rPr>
            </w:pPr>
            <w:r>
              <w:rPr>
                <w:rFonts w:hint="eastAsia" w:cs="微软雅黑" w:asciiTheme="minorEastAsia" w:hAnsiTheme="minorEastAsia" w:eastAsiaTheme="minorEastAsia"/>
                <w:szCs w:val="21"/>
              </w:rPr>
              <w:t>在处理部门收文时，系统根据公文处理笺的打印要求与格式，自动形成该收文的公文处理笺内容进行打印。</w:t>
            </w:r>
          </w:p>
          <w:p>
            <w:pPr>
              <w:pStyle w:val="9"/>
              <w:numPr>
                <w:ilvl w:val="0"/>
                <w:numId w:val="16"/>
              </w:numPr>
              <w:ind w:firstLineChars="0"/>
              <w:rPr>
                <w:rFonts w:cs="微软雅黑" w:asciiTheme="minorEastAsia" w:hAnsiTheme="minorEastAsia" w:eastAsiaTheme="minorEastAsia"/>
                <w:szCs w:val="21"/>
              </w:rPr>
            </w:pPr>
            <w:r>
              <w:rPr>
                <w:rFonts w:hint="eastAsia" w:cs="微软雅黑" w:asciiTheme="minorEastAsia" w:hAnsiTheme="minorEastAsia" w:eastAsiaTheme="minorEastAsia"/>
                <w:szCs w:val="21"/>
              </w:rPr>
              <w:t>外来公文签收处理流程</w:t>
            </w:r>
          </w:p>
          <w:p>
            <w:pPr>
              <w:spacing w:line="360" w:lineRule="auto"/>
              <w:ind w:firstLine="420" w:firstLineChars="200"/>
              <w:rPr>
                <w:rFonts w:cs="微软雅黑" w:asciiTheme="minorEastAsia" w:hAnsiTheme="minorEastAsia" w:eastAsiaTheme="minorEastAsia"/>
                <w:szCs w:val="21"/>
              </w:rPr>
            </w:pPr>
            <w:r>
              <w:rPr>
                <w:rFonts w:hint="eastAsia" w:cs="微软雅黑" w:asciiTheme="minorEastAsia" w:hAnsiTheme="minorEastAsia" w:eastAsiaTheme="minorEastAsia"/>
                <w:szCs w:val="21"/>
              </w:rPr>
              <w:t>针对外部单位来文、函的签收处理。</w:t>
            </w:r>
          </w:p>
          <w:p>
            <w:pPr>
              <w:pStyle w:val="9"/>
              <w:numPr>
                <w:ilvl w:val="0"/>
                <w:numId w:val="16"/>
              </w:numPr>
              <w:ind w:firstLineChars="0"/>
              <w:rPr>
                <w:rFonts w:cs="微软雅黑" w:asciiTheme="minorEastAsia" w:hAnsiTheme="minorEastAsia" w:eastAsiaTheme="minorEastAsia"/>
                <w:szCs w:val="21"/>
              </w:rPr>
            </w:pPr>
            <w:r>
              <w:rPr>
                <w:rFonts w:hint="eastAsia" w:cs="微软雅黑" w:asciiTheme="minorEastAsia" w:hAnsiTheme="minorEastAsia" w:eastAsiaTheme="minorEastAsia"/>
                <w:szCs w:val="21"/>
              </w:rPr>
              <w:t>请示汇报</w:t>
            </w:r>
          </w:p>
          <w:p>
            <w:pPr>
              <w:spacing w:line="360" w:lineRule="auto"/>
              <w:ind w:firstLine="420" w:firstLineChars="200"/>
              <w:rPr>
                <w:rFonts w:cs="微软雅黑" w:asciiTheme="minorEastAsia" w:hAnsiTheme="minorEastAsia" w:eastAsiaTheme="minorEastAsia"/>
                <w:szCs w:val="21"/>
              </w:rPr>
            </w:pPr>
            <w:r>
              <w:rPr>
                <w:rFonts w:hint="eastAsia" w:cs="微软雅黑" w:asciiTheme="minorEastAsia" w:hAnsiTheme="minorEastAsia" w:eastAsiaTheme="minorEastAsia"/>
                <w:szCs w:val="21"/>
              </w:rPr>
              <w:t>工作/事项汇报或函件需领导审阅。需分以下四类执行</w:t>
            </w:r>
          </w:p>
          <w:p>
            <w:pPr>
              <w:pStyle w:val="42"/>
              <w:spacing w:line="360" w:lineRule="auto"/>
              <w:ind w:firstLine="0" w:firstLineChars="0"/>
              <w:rPr>
                <w:rFonts w:cs="微软雅黑" w:asciiTheme="minorEastAsia" w:hAnsiTheme="minorEastAsia" w:eastAsiaTheme="minorEastAsia"/>
                <w:szCs w:val="21"/>
              </w:rPr>
            </w:pPr>
            <w:r>
              <w:rPr>
                <w:rFonts w:hint="eastAsia" w:cs="微软雅黑" w:asciiTheme="minorEastAsia" w:hAnsiTheme="minorEastAsia" w:eastAsiaTheme="minorEastAsia"/>
                <w:szCs w:val="21"/>
              </w:rPr>
              <w:t>（1）领导审批后，无需盖章，结束。</w:t>
            </w:r>
          </w:p>
          <w:p>
            <w:pPr>
              <w:pStyle w:val="42"/>
              <w:spacing w:line="360" w:lineRule="auto"/>
              <w:ind w:firstLine="0" w:firstLineChars="0"/>
              <w:rPr>
                <w:rFonts w:cs="微软雅黑" w:asciiTheme="minorEastAsia" w:hAnsiTheme="minorEastAsia" w:eastAsiaTheme="minorEastAsia"/>
                <w:szCs w:val="21"/>
              </w:rPr>
            </w:pPr>
            <w:r>
              <w:rPr>
                <w:rFonts w:hint="eastAsia" w:cs="微软雅黑" w:asciiTheme="minorEastAsia" w:hAnsiTheme="minorEastAsia" w:eastAsiaTheme="minorEastAsia"/>
                <w:szCs w:val="21"/>
              </w:rPr>
              <w:t>（2）领导审批后需加盖部门章，分发下级部门办理，结束。</w:t>
            </w:r>
          </w:p>
          <w:p>
            <w:pPr>
              <w:pStyle w:val="42"/>
              <w:spacing w:line="360" w:lineRule="auto"/>
              <w:ind w:firstLine="0" w:firstLineChars="0"/>
              <w:rPr>
                <w:rFonts w:cs="微软雅黑" w:asciiTheme="minorEastAsia" w:hAnsiTheme="minorEastAsia" w:eastAsiaTheme="minorEastAsia"/>
                <w:szCs w:val="21"/>
              </w:rPr>
            </w:pPr>
            <w:r>
              <w:rPr>
                <w:rFonts w:hint="eastAsia" w:cs="微软雅黑" w:asciiTheme="minorEastAsia" w:hAnsiTheme="minorEastAsia" w:eastAsiaTheme="minorEastAsia"/>
                <w:szCs w:val="21"/>
              </w:rPr>
              <w:t>（3）领导审批后需加盖部门章，结束。</w:t>
            </w:r>
          </w:p>
          <w:p>
            <w:pPr>
              <w:pStyle w:val="42"/>
              <w:spacing w:line="360" w:lineRule="auto"/>
              <w:ind w:firstLine="0" w:firstLineChars="0"/>
              <w:rPr>
                <w:rFonts w:cs="微软雅黑" w:asciiTheme="minorEastAsia" w:hAnsiTheme="minorEastAsia" w:eastAsiaTheme="minorEastAsia"/>
                <w:szCs w:val="21"/>
              </w:rPr>
            </w:pPr>
            <w:r>
              <w:rPr>
                <w:rFonts w:hint="eastAsia" w:cs="微软雅黑" w:asciiTheme="minorEastAsia" w:hAnsiTheme="minorEastAsia" w:eastAsiaTheme="minorEastAsia"/>
                <w:szCs w:val="21"/>
              </w:rPr>
              <w:t>（4）领导审批后需加盖部门章，分发下级部门办理，结束。</w:t>
            </w:r>
          </w:p>
          <w:p>
            <w:pPr>
              <w:pStyle w:val="9"/>
              <w:numPr>
                <w:ilvl w:val="0"/>
                <w:numId w:val="16"/>
              </w:numPr>
              <w:ind w:firstLineChars="0"/>
              <w:rPr>
                <w:rFonts w:cs="微软雅黑" w:asciiTheme="minorEastAsia" w:hAnsiTheme="minorEastAsia" w:eastAsiaTheme="minorEastAsia"/>
                <w:szCs w:val="21"/>
              </w:rPr>
            </w:pPr>
            <w:r>
              <w:rPr>
                <w:rFonts w:hint="eastAsia" w:cs="微软雅黑" w:asciiTheme="minorEastAsia" w:hAnsiTheme="minorEastAsia" w:eastAsiaTheme="minorEastAsia"/>
                <w:szCs w:val="21"/>
              </w:rPr>
              <w:t>协同审批</w:t>
            </w:r>
          </w:p>
          <w:p>
            <w:pPr>
              <w:spacing w:line="360" w:lineRule="auto"/>
              <w:ind w:firstLine="420" w:firstLineChars="200"/>
              <w:rPr>
                <w:rFonts w:cs="微软雅黑" w:asciiTheme="minorEastAsia" w:hAnsiTheme="minorEastAsia" w:eastAsiaTheme="minorEastAsia"/>
                <w:szCs w:val="21"/>
              </w:rPr>
            </w:pPr>
            <w:r>
              <w:rPr>
                <w:rFonts w:hint="eastAsia" w:cs="微软雅黑" w:asciiTheme="minorEastAsia" w:hAnsiTheme="minorEastAsia" w:eastAsiaTheme="minorEastAsia"/>
                <w:szCs w:val="21"/>
              </w:rPr>
              <w:t>协同审批流程以不确定的参与人及通用的审批事项为特点。要可预选设置以下三个环节：</w:t>
            </w:r>
          </w:p>
          <w:p>
            <w:pPr>
              <w:spacing w:line="360" w:lineRule="auto"/>
              <w:ind w:firstLine="420" w:firstLineChars="200"/>
              <w:rPr>
                <w:rFonts w:cs="微软雅黑" w:asciiTheme="minorEastAsia" w:hAnsiTheme="minorEastAsia" w:eastAsiaTheme="minorEastAsia"/>
                <w:szCs w:val="21"/>
              </w:rPr>
            </w:pPr>
            <w:r>
              <w:rPr>
                <w:rFonts w:hint="eastAsia" w:cs="微软雅黑" w:asciiTheme="minorEastAsia" w:hAnsiTheme="minorEastAsia" w:eastAsiaTheme="minorEastAsia"/>
                <w:szCs w:val="21"/>
              </w:rPr>
              <w:t>（1）申请环节：录入待审主题、事项说明、附件。选择初始会签人及审批人</w:t>
            </w:r>
          </w:p>
          <w:p>
            <w:pPr>
              <w:spacing w:line="360" w:lineRule="auto"/>
              <w:ind w:firstLine="420" w:firstLineChars="200"/>
              <w:rPr>
                <w:rFonts w:cs="微软雅黑" w:asciiTheme="minorEastAsia" w:hAnsiTheme="minorEastAsia" w:eastAsiaTheme="minorEastAsia"/>
                <w:szCs w:val="21"/>
              </w:rPr>
            </w:pPr>
            <w:r>
              <w:rPr>
                <w:rFonts w:hint="eastAsia" w:cs="微软雅黑" w:asciiTheme="minorEastAsia" w:hAnsiTheme="minorEastAsia" w:eastAsiaTheme="minorEastAsia"/>
                <w:szCs w:val="21"/>
              </w:rPr>
              <w:t>（2）会签环节：该环节所有人员为并行审核，会签人可添加更多会签参与人。其中一人不同意，直接退回申请环节。当所有会签人同意后流程向下执行。</w:t>
            </w:r>
          </w:p>
          <w:p>
            <w:pPr>
              <w:spacing w:line="360" w:lineRule="auto"/>
              <w:ind w:firstLine="420" w:firstLineChars="200"/>
              <w:rPr>
                <w:rFonts w:cs="微软雅黑" w:asciiTheme="minorEastAsia" w:hAnsiTheme="minorEastAsia" w:eastAsiaTheme="minorEastAsia"/>
                <w:szCs w:val="21"/>
              </w:rPr>
            </w:pPr>
            <w:r>
              <w:rPr>
                <w:rFonts w:hint="eastAsia" w:cs="微软雅黑" w:asciiTheme="minorEastAsia" w:hAnsiTheme="minorEastAsia" w:eastAsiaTheme="minorEastAsia"/>
                <w:szCs w:val="21"/>
              </w:rPr>
              <w:t>（3）审批环节：该环节所有人员为串行审核，审核人可添加后续审批人。其中一人不同意，直接退回申请环节。当不再添加新的审批人，且当前审核人审核通过后。流程结束。</w:t>
            </w:r>
          </w:p>
          <w:p>
            <w:pPr>
              <w:pStyle w:val="9"/>
              <w:numPr>
                <w:ilvl w:val="0"/>
                <w:numId w:val="16"/>
              </w:numPr>
              <w:ind w:firstLineChars="0"/>
              <w:rPr>
                <w:rFonts w:cs="微软雅黑" w:asciiTheme="minorEastAsia" w:hAnsiTheme="minorEastAsia" w:eastAsiaTheme="minorEastAsia"/>
                <w:szCs w:val="21"/>
              </w:rPr>
            </w:pPr>
            <w:r>
              <w:rPr>
                <w:rFonts w:hint="eastAsia" w:cs="微软雅黑" w:asciiTheme="minorEastAsia" w:hAnsiTheme="minorEastAsia" w:eastAsiaTheme="minorEastAsia"/>
                <w:szCs w:val="21"/>
              </w:rPr>
              <w:t>委托管理</w:t>
            </w:r>
          </w:p>
          <w:p>
            <w:pPr>
              <w:pStyle w:val="9"/>
              <w:rPr>
                <w:rFonts w:cs="微软雅黑" w:asciiTheme="minorEastAsia" w:hAnsiTheme="minorEastAsia" w:eastAsiaTheme="minorEastAsia"/>
                <w:szCs w:val="21"/>
              </w:rPr>
            </w:pPr>
            <w:r>
              <w:rPr>
                <w:rFonts w:hint="eastAsia" w:cs="微软雅黑" w:asciiTheme="minorEastAsia" w:hAnsiTheme="minorEastAsia" w:eastAsiaTheme="minorEastAsia"/>
                <w:szCs w:val="21"/>
              </w:rPr>
              <w:t>用户或系统管理员可进行流程审批授权委托设置，将授权人在指定业务中的待办事项将委托给被授权人处理，直至授权到期或手动取消授权。</w:t>
            </w:r>
          </w:p>
          <w:p>
            <w:pPr>
              <w:pStyle w:val="9"/>
              <w:numPr>
                <w:ilvl w:val="0"/>
                <w:numId w:val="16"/>
              </w:numPr>
              <w:ind w:firstLineChars="0"/>
              <w:rPr>
                <w:rFonts w:cs="微软雅黑" w:asciiTheme="minorEastAsia" w:hAnsiTheme="minorEastAsia" w:eastAsiaTheme="minorEastAsia"/>
                <w:szCs w:val="21"/>
              </w:rPr>
            </w:pPr>
            <w:bookmarkStart w:id="22" w:name="_Toc382817602"/>
            <w:r>
              <w:rPr>
                <w:rFonts w:hint="eastAsia" w:cs="微软雅黑" w:asciiTheme="minorEastAsia" w:hAnsiTheme="minorEastAsia" w:eastAsiaTheme="minorEastAsia"/>
                <w:szCs w:val="21"/>
              </w:rPr>
              <w:t>Word在线编辑功能</w:t>
            </w:r>
            <w:bookmarkEnd w:id="22"/>
          </w:p>
          <w:p>
            <w:pPr>
              <w:pStyle w:val="9"/>
              <w:rPr>
                <w:rFonts w:cs="微软雅黑" w:asciiTheme="minorEastAsia" w:hAnsiTheme="minorEastAsia" w:eastAsiaTheme="minorEastAsia"/>
                <w:szCs w:val="21"/>
              </w:rPr>
            </w:pPr>
            <w:r>
              <w:rPr>
                <w:rFonts w:hint="eastAsia" w:cs="微软雅黑" w:asciiTheme="minorEastAsia" w:hAnsiTheme="minorEastAsia" w:eastAsiaTheme="minorEastAsia"/>
                <w:szCs w:val="21"/>
              </w:rPr>
              <w:t>要支持在线WORD文件编辑功能，包括WORD的痕迹管理、历史版本控制等，便于WORD文件的在线协助管理。</w:t>
            </w:r>
          </w:p>
          <w:p>
            <w:pPr>
              <w:pStyle w:val="9"/>
              <w:numPr>
                <w:ilvl w:val="0"/>
                <w:numId w:val="16"/>
              </w:numPr>
              <w:ind w:firstLineChars="0"/>
              <w:rPr>
                <w:rFonts w:cs="微软雅黑" w:asciiTheme="minorEastAsia" w:hAnsiTheme="minorEastAsia" w:eastAsiaTheme="minorEastAsia"/>
                <w:szCs w:val="21"/>
              </w:rPr>
            </w:pPr>
            <w:bookmarkStart w:id="23" w:name="_Toc382817603"/>
            <w:r>
              <w:rPr>
                <w:rFonts w:hint="eastAsia" w:cs="微软雅黑" w:asciiTheme="minorEastAsia" w:hAnsiTheme="minorEastAsia" w:eastAsiaTheme="minorEastAsia"/>
                <w:szCs w:val="21"/>
              </w:rPr>
              <w:t>PDF转换功能</w:t>
            </w:r>
            <w:bookmarkEnd w:id="23"/>
          </w:p>
          <w:p>
            <w:pPr>
              <w:spacing w:line="360" w:lineRule="auto"/>
              <w:ind w:firstLine="420" w:firstLineChars="200"/>
              <w:rPr>
                <w:rFonts w:cs="微软雅黑" w:asciiTheme="minorEastAsia" w:hAnsiTheme="minorEastAsia" w:eastAsiaTheme="minorEastAsia"/>
                <w:szCs w:val="21"/>
              </w:rPr>
            </w:pPr>
            <w:r>
              <w:rPr>
                <w:rFonts w:hint="eastAsia" w:cs="微软雅黑" w:asciiTheme="minorEastAsia" w:hAnsiTheme="minorEastAsia" w:eastAsiaTheme="minorEastAsia"/>
                <w:szCs w:val="21"/>
              </w:rPr>
              <w:t>已定稿的WORD、表格等信息，要能生形成PDF文件，提高文件的安全性、可读性及美观性。</w:t>
            </w:r>
          </w:p>
          <w:p>
            <w:pPr>
              <w:pStyle w:val="9"/>
              <w:numPr>
                <w:ilvl w:val="0"/>
                <w:numId w:val="16"/>
              </w:numPr>
              <w:ind w:firstLineChars="0"/>
              <w:rPr>
                <w:rFonts w:cs="微软雅黑" w:asciiTheme="minorEastAsia" w:hAnsiTheme="minorEastAsia" w:eastAsiaTheme="minorEastAsia"/>
                <w:szCs w:val="21"/>
              </w:rPr>
            </w:pPr>
            <w:bookmarkStart w:id="24" w:name="_Toc382817604"/>
            <w:r>
              <w:rPr>
                <w:rFonts w:hint="eastAsia" w:cs="微软雅黑" w:asciiTheme="minorEastAsia" w:hAnsiTheme="minorEastAsia" w:eastAsiaTheme="minorEastAsia"/>
                <w:szCs w:val="21"/>
              </w:rPr>
              <w:t>红头模板管理</w:t>
            </w:r>
            <w:bookmarkEnd w:id="24"/>
          </w:p>
          <w:p>
            <w:pPr>
              <w:spacing w:line="360" w:lineRule="auto"/>
              <w:ind w:firstLine="420" w:firstLineChars="200"/>
              <w:rPr>
                <w:rFonts w:cs="微软雅黑" w:asciiTheme="minorEastAsia" w:hAnsiTheme="minorEastAsia" w:eastAsiaTheme="minorEastAsia"/>
                <w:szCs w:val="21"/>
              </w:rPr>
            </w:pPr>
            <w:r>
              <w:rPr>
                <w:rFonts w:hint="eastAsia" w:cs="微软雅黑" w:asciiTheme="minorEastAsia" w:hAnsiTheme="minorEastAsia" w:eastAsiaTheme="minorEastAsia"/>
                <w:szCs w:val="21"/>
              </w:rPr>
              <w:t>通过管理员自定义红头模板。针对发文流程，在制定发文内容时，可以根据各发文类型，设置固定的模板格式（如标题、WORD版式、内容规范、字体及大小等）。用户只需编写发文的具体内容，选择对应的红头，系统自动将内容与红头对应的模板合并，形成最终的发文内容及文件。</w:t>
            </w:r>
          </w:p>
          <w:p>
            <w:pPr>
              <w:pStyle w:val="9"/>
              <w:numPr>
                <w:ilvl w:val="0"/>
                <w:numId w:val="16"/>
              </w:numPr>
              <w:ind w:firstLineChars="0"/>
              <w:rPr>
                <w:rFonts w:cs="微软雅黑" w:asciiTheme="minorEastAsia" w:hAnsiTheme="minorEastAsia" w:eastAsiaTheme="minorEastAsia"/>
                <w:szCs w:val="21"/>
              </w:rPr>
            </w:pPr>
            <w:bookmarkStart w:id="25" w:name="_Toc382817605"/>
            <w:r>
              <w:rPr>
                <w:rFonts w:hint="eastAsia" w:cs="微软雅黑" w:asciiTheme="minorEastAsia" w:hAnsiTheme="minorEastAsia" w:eastAsiaTheme="minorEastAsia"/>
                <w:szCs w:val="21"/>
              </w:rPr>
              <w:t>电子印章管理</w:t>
            </w:r>
            <w:bookmarkEnd w:id="25"/>
          </w:p>
          <w:p>
            <w:pPr>
              <w:pStyle w:val="9"/>
              <w:rPr>
                <w:rFonts w:cs="微软雅黑" w:asciiTheme="minorEastAsia" w:hAnsiTheme="minorEastAsia" w:eastAsiaTheme="minorEastAsia"/>
                <w:szCs w:val="21"/>
              </w:rPr>
            </w:pPr>
            <w:r>
              <w:rPr>
                <w:rFonts w:hint="eastAsia" w:cs="微软雅黑" w:asciiTheme="minorEastAsia" w:hAnsiTheme="minorEastAsia" w:eastAsiaTheme="minorEastAsia"/>
                <w:szCs w:val="21"/>
              </w:rPr>
              <w:t>管理员要能自定义各单位电子印章。根据发文要求，在需要下发的发文中加盖单位电子印章，无需打印后再补充印章下发。使发文的整体过程在线上完成闭环管理。</w:t>
            </w:r>
          </w:p>
          <w:p>
            <w:pPr>
              <w:pStyle w:val="9"/>
              <w:numPr>
                <w:ilvl w:val="0"/>
                <w:numId w:val="15"/>
              </w:numPr>
              <w:ind w:firstLineChars="0"/>
              <w:rPr>
                <w:rFonts w:cs="微软雅黑" w:asciiTheme="minorEastAsia" w:hAnsiTheme="minorEastAsia" w:eastAsiaTheme="minorEastAsia"/>
                <w:color w:val="000000"/>
                <w:szCs w:val="21"/>
              </w:rPr>
            </w:pPr>
            <w:r>
              <w:rPr>
                <w:rFonts w:hint="eastAsia" w:cs="微软雅黑" w:asciiTheme="minorEastAsia" w:hAnsiTheme="minorEastAsia" w:eastAsiaTheme="minorEastAsia"/>
                <w:b/>
                <w:bCs/>
                <w:color w:val="000000"/>
                <w:szCs w:val="21"/>
              </w:rPr>
              <w:t>督办管理</w:t>
            </w:r>
          </w:p>
          <w:p>
            <w:pPr>
              <w:pStyle w:val="9"/>
              <w:numPr>
                <w:ilvl w:val="0"/>
                <w:numId w:val="17"/>
              </w:numPr>
              <w:ind w:firstLineChars="0"/>
              <w:rPr>
                <w:rFonts w:cs="微软雅黑" w:asciiTheme="minorEastAsia" w:hAnsiTheme="minorEastAsia" w:eastAsiaTheme="minorEastAsia"/>
                <w:color w:val="000000"/>
                <w:szCs w:val="21"/>
              </w:rPr>
            </w:pPr>
            <w:bookmarkStart w:id="26" w:name="_Toc382817579"/>
            <w:r>
              <w:rPr>
                <w:rFonts w:hint="eastAsia" w:cs="微软雅黑" w:asciiTheme="minorEastAsia" w:hAnsiTheme="minorEastAsia" w:eastAsiaTheme="minorEastAsia"/>
                <w:szCs w:val="21"/>
              </w:rPr>
              <w:t>督办流程</w:t>
            </w:r>
            <w:bookmarkEnd w:id="26"/>
          </w:p>
          <w:p>
            <w:pPr>
              <w:spacing w:line="360" w:lineRule="auto"/>
              <w:ind w:firstLine="435"/>
              <w:rPr>
                <w:rFonts w:cs="微软雅黑" w:asciiTheme="minorEastAsia" w:hAnsiTheme="minorEastAsia" w:eastAsiaTheme="minorEastAsia"/>
              </w:rPr>
            </w:pPr>
            <w:r>
              <w:rPr>
                <w:rFonts w:hint="eastAsia" w:cs="微软雅黑" w:asciiTheme="minorEastAsia" w:hAnsiTheme="minorEastAsia" w:eastAsiaTheme="minorEastAsia"/>
              </w:rPr>
              <w:t>（1）通过领导指示、公文中领导批示等构建待处理督办库。督办员通过督办流程，梳理督办信息列表，确认各督办事项的要求、承办部门（落实到个人）、协办部门（落实到个人）、分管领导等。同时，系统自动加载历史未结督办列表，由督办员进行确认，是否在本期督办中继续跟踪下发。系统根据督办事项的承办人下发督办列表，并传阅协办人。</w:t>
            </w:r>
          </w:p>
          <w:p>
            <w:pPr>
              <w:spacing w:line="360" w:lineRule="auto"/>
              <w:ind w:firstLine="435"/>
              <w:rPr>
                <w:rFonts w:cs="微软雅黑" w:asciiTheme="minorEastAsia" w:hAnsiTheme="minorEastAsia" w:eastAsiaTheme="minorEastAsia"/>
              </w:rPr>
            </w:pPr>
            <w:r>
              <w:rPr>
                <w:rFonts w:hint="eastAsia" w:cs="微软雅黑" w:asciiTheme="minorEastAsia" w:hAnsiTheme="minorEastAsia" w:eastAsiaTheme="minorEastAsia"/>
              </w:rPr>
              <w:t>（2）各承办人收取与本部门相关的督办事项后，逐一填写工作计划及进度安排、完成情况（整体完成情况）、存在问题及需提报领导研究事项、备注等信息。系统汇总所有督办事项的反馈内容，由督办员逐一落实核对后，转换成PDF格式的督办简报发送领导及相关人员审阅。</w:t>
            </w:r>
          </w:p>
          <w:p>
            <w:pPr>
              <w:spacing w:line="360" w:lineRule="auto"/>
              <w:ind w:firstLine="435"/>
              <w:rPr>
                <w:rFonts w:cs="微软雅黑" w:asciiTheme="minorEastAsia" w:hAnsiTheme="minorEastAsia" w:eastAsiaTheme="minorEastAsia"/>
              </w:rPr>
            </w:pPr>
            <w:r>
              <w:rPr>
                <w:rFonts w:hint="eastAsia" w:cs="微软雅黑" w:asciiTheme="minorEastAsia" w:hAnsiTheme="minorEastAsia" w:eastAsiaTheme="minorEastAsia"/>
              </w:rPr>
              <w:t>（3）简报内容及布局要可以预定义，要可使用横向表格模式，只显示各督办的整完成情况，并通过链接方式，点击后可打开各督办事项的历史工作进展情况；也可以使用纵向叙述模式，对各督办事项进行逐一描述，包括督办事项的历史工作进展情况信息。</w:t>
            </w:r>
          </w:p>
          <w:p>
            <w:pPr>
              <w:pStyle w:val="9"/>
              <w:numPr>
                <w:ilvl w:val="0"/>
                <w:numId w:val="17"/>
              </w:numPr>
              <w:ind w:firstLineChars="0"/>
              <w:rPr>
                <w:rFonts w:cs="微软雅黑" w:asciiTheme="minorEastAsia" w:hAnsiTheme="minorEastAsia" w:eastAsiaTheme="minorEastAsia"/>
                <w:szCs w:val="21"/>
              </w:rPr>
            </w:pPr>
            <w:bookmarkStart w:id="27" w:name="_Toc382817580"/>
            <w:r>
              <w:rPr>
                <w:rFonts w:hint="eastAsia" w:cs="微软雅黑" w:asciiTheme="minorEastAsia" w:hAnsiTheme="minorEastAsia" w:eastAsiaTheme="minorEastAsia"/>
                <w:szCs w:val="21"/>
              </w:rPr>
              <w:t>督办事项跟踪维护与展示</w:t>
            </w:r>
            <w:bookmarkEnd w:id="27"/>
          </w:p>
          <w:p>
            <w:pPr>
              <w:spacing w:line="360" w:lineRule="auto"/>
              <w:ind w:firstLine="420" w:firstLineChars="200"/>
              <w:rPr>
                <w:rFonts w:cs="微软雅黑" w:asciiTheme="minorEastAsia" w:hAnsiTheme="minorEastAsia" w:eastAsiaTheme="minorEastAsia"/>
              </w:rPr>
            </w:pPr>
            <w:r>
              <w:rPr>
                <w:rFonts w:hint="eastAsia" w:cs="微软雅黑" w:asciiTheme="minorEastAsia" w:hAnsiTheme="minorEastAsia" w:eastAsiaTheme="minorEastAsia"/>
              </w:rPr>
              <w:t>（1）督办事项通过流程落实到具体承办人，通过督办信息查询列表进行后期工作情况的跟踪维护。当督办事项有进度变更时，由负责人填写最新工作进展情况。</w:t>
            </w:r>
          </w:p>
          <w:p>
            <w:pPr>
              <w:spacing w:line="360" w:lineRule="auto"/>
              <w:ind w:firstLine="420" w:firstLineChars="200"/>
              <w:rPr>
                <w:rFonts w:cs="微软雅黑" w:asciiTheme="minorEastAsia" w:hAnsiTheme="minorEastAsia" w:eastAsiaTheme="minorEastAsia"/>
              </w:rPr>
            </w:pPr>
            <w:r>
              <w:rPr>
                <w:rFonts w:hint="eastAsia" w:cs="微软雅黑" w:asciiTheme="minorEastAsia" w:hAnsiTheme="minorEastAsia" w:eastAsiaTheme="minorEastAsia"/>
              </w:rPr>
              <w:t>（2）督办事项的跟踪内容包括：该事项历史督办信息（包括该事项在每一期督办简报中所填写的工作计划及进度安排、完成情况、进度等）；该事项历史工作进展信息（包括承办人每次填写的详细进情况、需协调问题、承办进度、下一步工作计划等）。</w:t>
            </w:r>
          </w:p>
          <w:p>
            <w:pPr>
              <w:spacing w:line="360" w:lineRule="auto"/>
              <w:ind w:firstLine="420" w:firstLineChars="200"/>
              <w:rPr>
                <w:rFonts w:cs="微软雅黑" w:asciiTheme="minorEastAsia" w:hAnsiTheme="minorEastAsia" w:eastAsiaTheme="minorEastAsia"/>
              </w:rPr>
            </w:pPr>
            <w:r>
              <w:rPr>
                <w:rFonts w:hint="eastAsia" w:cs="微软雅黑" w:asciiTheme="minorEastAsia" w:hAnsiTheme="minorEastAsia" w:eastAsiaTheme="minorEastAsia"/>
              </w:rPr>
              <w:t>（3）当负责人因特殊情况，无法进行督办事项的后期跟踪时，可由督办员重新指派承办人员继续跟踪处理。</w:t>
            </w:r>
          </w:p>
          <w:p>
            <w:pPr>
              <w:spacing w:line="360" w:lineRule="auto"/>
              <w:ind w:firstLine="420" w:firstLineChars="200"/>
              <w:rPr>
                <w:rFonts w:cs="微软雅黑" w:asciiTheme="minorEastAsia" w:hAnsiTheme="minorEastAsia" w:eastAsiaTheme="minorEastAsia"/>
              </w:rPr>
            </w:pPr>
            <w:r>
              <w:rPr>
                <w:rFonts w:hint="eastAsia" w:cs="微软雅黑" w:asciiTheme="minorEastAsia" w:hAnsiTheme="minorEastAsia" w:eastAsiaTheme="minorEastAsia"/>
              </w:rPr>
              <w:t>（4）当承办人填写的承办进度为１００%时，督办员可以对该督办事项进行进度确认，需选择进度类型：Ａ、Ｂ、Ｃ、Ｄ，并填写审批意见。</w:t>
            </w:r>
          </w:p>
          <w:p>
            <w:pPr>
              <w:pStyle w:val="9"/>
              <w:numPr>
                <w:ilvl w:val="0"/>
                <w:numId w:val="17"/>
              </w:numPr>
              <w:ind w:firstLineChars="0"/>
              <w:rPr>
                <w:rFonts w:cs="微软雅黑" w:asciiTheme="minorEastAsia" w:hAnsiTheme="minorEastAsia" w:eastAsiaTheme="minorEastAsia"/>
                <w:szCs w:val="21"/>
              </w:rPr>
            </w:pPr>
            <w:bookmarkStart w:id="28" w:name="_Toc382817581"/>
            <w:r>
              <w:rPr>
                <w:rFonts w:hint="eastAsia" w:cs="微软雅黑" w:asciiTheme="minorEastAsia" w:hAnsiTheme="minorEastAsia" w:eastAsiaTheme="minorEastAsia"/>
                <w:szCs w:val="21"/>
              </w:rPr>
              <w:t>督办信息查询与展示</w:t>
            </w:r>
            <w:bookmarkEnd w:id="28"/>
          </w:p>
          <w:p>
            <w:pPr>
              <w:spacing w:line="360" w:lineRule="auto"/>
              <w:ind w:firstLine="420" w:firstLineChars="200"/>
              <w:rPr>
                <w:rFonts w:cs="微软雅黑" w:asciiTheme="minorEastAsia" w:hAnsiTheme="minorEastAsia" w:eastAsiaTheme="minorEastAsia"/>
              </w:rPr>
            </w:pPr>
            <w:r>
              <w:rPr>
                <w:rFonts w:hint="eastAsia" w:cs="微软雅黑" w:asciiTheme="minorEastAsia" w:hAnsiTheme="minorEastAsia" w:eastAsiaTheme="minorEastAsia"/>
              </w:rPr>
              <w:t>相关人员要可通过督办简报查看各期的督办列表信息。也可通过系统提供的督办信息查询功能，被授权人员可通过督办分类、承办单位、督办时间范围、关键字等检索督办事项，并获取各督办事项的回复率（完成时间/工作进展记录数）。点击督办事项，可查看督办事项的工作进展情况。</w:t>
            </w:r>
          </w:p>
          <w:p>
            <w:pPr>
              <w:pStyle w:val="9"/>
              <w:numPr>
                <w:ilvl w:val="0"/>
                <w:numId w:val="17"/>
              </w:numPr>
              <w:ind w:firstLineChars="0"/>
              <w:rPr>
                <w:rFonts w:cs="微软雅黑" w:asciiTheme="minorEastAsia" w:hAnsiTheme="minorEastAsia" w:eastAsiaTheme="minorEastAsia"/>
                <w:szCs w:val="21"/>
              </w:rPr>
            </w:pPr>
            <w:bookmarkStart w:id="29" w:name="_Toc382817606"/>
            <w:r>
              <w:rPr>
                <w:rFonts w:hint="eastAsia" w:cs="微软雅黑" w:asciiTheme="minorEastAsia" w:hAnsiTheme="minorEastAsia" w:eastAsiaTheme="minorEastAsia"/>
                <w:szCs w:val="21"/>
              </w:rPr>
              <w:t>消息提醒</w:t>
            </w:r>
            <w:bookmarkEnd w:id="29"/>
          </w:p>
          <w:p>
            <w:pPr>
              <w:spacing w:line="360" w:lineRule="auto"/>
              <w:ind w:firstLine="420" w:firstLineChars="200"/>
              <w:rPr>
                <w:rFonts w:cs="微软雅黑" w:asciiTheme="minorEastAsia" w:hAnsiTheme="minorEastAsia" w:eastAsiaTheme="minorEastAsia"/>
              </w:rPr>
            </w:pPr>
            <w:r>
              <w:rPr>
                <w:rFonts w:hint="eastAsia" w:cs="微软雅黑" w:asciiTheme="minorEastAsia" w:hAnsiTheme="minorEastAsia" w:eastAsiaTheme="minorEastAsia"/>
              </w:rPr>
              <w:t>每一环节操作完成后都要能自动向下个环节参与者发送提醒消息；设置催办提醒同期：短期为一周提醒，三个月之内的半个月提醒，长期的按月提醒，逾期未完成（计划完成时间内未完成）的话按天提醒。提醒对象为承办责任人和承办秘书，提示：距离完成还有X天。</w:t>
            </w:r>
          </w:p>
          <w:p>
            <w:pPr>
              <w:pStyle w:val="9"/>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shd w:val="clear" w:color="auto" w:fill="auto"/>
            <w:vAlign w:val="center"/>
          </w:tcPr>
          <w:p>
            <w:pPr>
              <w:pStyle w:val="9"/>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流程管理</w:t>
            </w:r>
          </w:p>
        </w:tc>
        <w:tc>
          <w:tcPr>
            <w:tcW w:w="7033" w:type="dxa"/>
            <w:shd w:val="clear" w:color="auto" w:fill="auto"/>
            <w:vAlign w:val="center"/>
          </w:tcPr>
          <w:p>
            <w:pPr>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作为工作管理中的核心内容，流程管理需要满足根据各应用部门实际工作需求进行定制化的要求，并对后续工作调整进行支持。其中包括公文流转，也包括其他各项涉及需要审批的工作内容。要提供基于支撑平台提供的流程应用开发引擎，实现按各部门应用审批流程的自定义设置。</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可由外部数据的变更或事件调用发起流程</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流程可由外部程序调用启动</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可按多种参数方式关联设置流程启动者与参与者，包括用户、角色、组织机构、岗位级别、地区、岗位类别等。</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用户活动:支持设置参与者单人、多人，并行、串行等操作</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子流程:支持设置一个或多个子流程，父子流程可实现数据项相互传递。支持父子流程共用一个表单，子流程不再单独定义表单。</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多子流程：一个流程中不应限制子流程数量，支持多个子流程。</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流程路由更改：流程支持手工指定路由，定时自动重新指定路由，根据外部数据或事件重新指定路由。</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流程准入：流程节点可根据设置规则决定是否停留，如不停留该节点，自动判断本节点的后续节点进行处理。</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支持流程中同一审核者自动审核。既可按流程统一设定，也可按具体节点设置，当流程节点中的审核者在前序节点中已经审核通过，本节点自动审核通过。</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流程节点可根据前面节点的执行情况确定是否启动，当启动条件完全满足时才启动本节点。</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系统支持流程标准时间和限定时间控制，支持流程超时提醒、流程超时策略自定义等功能。</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系统活动:支持调用第三方系统接口，系统活动需要支持流程全生命周期过程，包括：启动流程、打开流程表单、任务提交、任务取消、任务驳回等各类事件中调用流程</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协助:支持当前活动审核人向其他人员发起协助请求，并由被协助人填写意见返回</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征询:支持当前活动审核人向其他人员发起征询请求，并由被征询人填写意见返回，征询意见只有本人和被征询人可见</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传阅:支持当前活动审核人将任务转给其他人进行知阅</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转发:支持当前活动审批人将任务转交他人处理</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取回:支持当前活动处理人提交任务后，将任务取回重新修改并提交</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加签:支持当前活动处理人增加其他人进行处理</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驳回:支持当前活动可驳回到任意节点，支持提交到驳回活动节点，加快流程执行效率</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会签中需支持设置按审核人通过比例或通过人数确定是否通过。</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直线提交:支持被驳回人将任务直接提交给驳回人员，可选择跳过中间环节</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提交检查:支持当前处理人提交时检查下一活动是否存在参与者</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锁定处理:支持当前处理人锁定表单，防止多人同时编辑同一表单</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超时处理:支持定义每个活动节点的办理时间，当超过办理时间时可采取超时处理策略</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超时监督:支持对于超时未办任务，可以通知当前处理人上级</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提供丰富的内置系统接口，包括：全局接口、活动内关联接口、属性触发器、数据计算触发器、外部应用系统触发器、活动激活事件、活动完成事件、任务提交、驳回事件；</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提供丰富的自动触发事件，包括常态修改事件、规则执行事件、重新指定用户事件、进入节点前事件、节点动作处理后事件、离开节点后事件等。事件处理需支持自动事务处理。</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流程节点可访问关联的表单及内容对象中的数据</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自定义程序:支持可以使用自定义程序方式扩展活动方法</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版本管理:支持流程版本管理，多个历史版本运行相互不影响，并允许将历史版本发布成为最新版本</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多表单:支持不同活动设置不同表单</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发布管理:流程启用采用发布模式，对于设计保存不影响正常使用流程</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可根据流程的参数及状态自动设定审批人</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可统一设置流程支持的附件类型，也可单独设定特定流程支持的附件类型</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引擎支持将调用外部系统功能作为节点统一在流程图中调用</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支持对外部系统功能的同步及异步调用</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外部系统功能调用节点支持事务性操作，可设定事务失败时的循环调用或回滚。</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提供按流程种类筛选参与的流程列表，并可按流程名称及单据信息快速查询</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以图形化方式快捷展示流程状态，执行的节点和当前的请求等信息。</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可方便查看流程审核中数据修改痕迹，需显示修改人、修改时间、修改前内容。如有多次修改，可显示历史所有修改痕迹。</w:t>
            </w:r>
          </w:p>
          <w:p>
            <w:pPr>
              <w:numPr>
                <w:ilvl w:val="0"/>
                <w:numId w:val="18"/>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bCs/>
                <w:color w:val="000000" w:themeColor="text1"/>
              </w:rPr>
              <w:t>支持设定具体审核步骤是否发放通知信息给本步骤审核者，并支持通过邮件、钉钉发送审核通知信息。</w:t>
            </w:r>
          </w:p>
          <w:p>
            <w:pPr>
              <w:numPr>
                <w:ilvl w:val="0"/>
                <w:numId w:val="18"/>
              </w:numPr>
              <w:spacing w:line="360" w:lineRule="auto"/>
              <w:rPr>
                <w:rFonts w:cs="微软雅黑" w:asciiTheme="minorEastAsia" w:hAnsiTheme="minorEastAsia" w:eastAsiaTheme="minorEastAsia"/>
                <w:color w:val="000000"/>
                <w:szCs w:val="21"/>
              </w:rPr>
            </w:pPr>
            <w:r>
              <w:rPr>
                <w:rFonts w:hint="eastAsia" w:cs="微软雅黑" w:asciiTheme="minorEastAsia" w:hAnsiTheme="minorEastAsia" w:eastAsiaTheme="minorEastAsia"/>
                <w:bCs/>
                <w:color w:val="000000" w:themeColor="text1"/>
              </w:rPr>
              <w:t>系统提供通知信息模板，包括需要显示的单据、流程信息及审批的快速链接，并可单独设定某一流程的通知信息。</w:t>
            </w:r>
          </w:p>
          <w:p>
            <w:pPr>
              <w:numPr>
                <w:ilvl w:val="0"/>
                <w:numId w:val="18"/>
              </w:numPr>
              <w:spacing w:line="360" w:lineRule="auto"/>
              <w:rPr>
                <w:rFonts w:cs="微软雅黑" w:asciiTheme="minorEastAsia" w:hAnsiTheme="minorEastAsia" w:eastAsiaTheme="minorEastAsia"/>
                <w:color w:val="000000"/>
                <w:szCs w:val="21"/>
              </w:rPr>
            </w:pPr>
            <w:r>
              <w:rPr>
                <w:rFonts w:hint="eastAsia" w:cs="微软雅黑" w:asciiTheme="minorEastAsia" w:hAnsiTheme="minorEastAsia" w:eastAsiaTheme="minorEastAsia"/>
                <w:bCs/>
                <w:color w:val="000000" w:themeColor="text1"/>
              </w:rPr>
              <w:t>可设置定时提醒规则，由系统定时发送通知到相关人员，包括：超时通知、临期通知、定时通知等。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9" w:type="dxa"/>
            <w:shd w:val="clear" w:color="auto" w:fill="auto"/>
            <w:vAlign w:val="center"/>
          </w:tcPr>
          <w:p>
            <w:pPr>
              <w:pStyle w:val="9"/>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会议管理</w:t>
            </w:r>
          </w:p>
        </w:tc>
        <w:tc>
          <w:tcPr>
            <w:tcW w:w="7033" w:type="dxa"/>
            <w:shd w:val="clear" w:color="auto" w:fill="auto"/>
            <w:vAlign w:val="center"/>
          </w:tcPr>
          <w:p>
            <w:pPr>
              <w:spacing w:line="560" w:lineRule="exact"/>
              <w:jc w:val="left"/>
              <w:rPr>
                <w:rFonts w:cs="微软雅黑" w:asciiTheme="minorEastAsia" w:hAnsiTheme="minorEastAsia" w:eastAsiaTheme="minorEastAsia"/>
                <w:b/>
                <w:bCs/>
                <w:color w:val="000000"/>
                <w:szCs w:val="21"/>
              </w:rPr>
            </w:pPr>
            <w:r>
              <w:rPr>
                <w:rFonts w:hint="eastAsia" w:cs="微软雅黑" w:asciiTheme="minorEastAsia" w:hAnsiTheme="minorEastAsia" w:eastAsiaTheme="minorEastAsia"/>
                <w:kern w:val="0"/>
                <w:szCs w:val="21"/>
              </w:rPr>
              <w:t>会议管理应用要满足学院组织、管理会议的需求。包括会议室信息的维护、会议室占用查询、会议室预定、会议通知、议程、会议纪要起草、会议纪要传阅、会签、会议查询等。要结合钉钉，可以快速扫码登记、签到，简化会议管理工作及流程。</w:t>
            </w:r>
          </w:p>
          <w:p>
            <w:pPr>
              <w:pStyle w:val="9"/>
              <w:ind w:left="420" w:firstLine="0" w:firstLineChars="0"/>
              <w:rPr>
                <w:rFonts w:cs="微软雅黑" w:asciiTheme="minorEastAsia" w:hAnsiTheme="minorEastAsia" w:eastAsiaTheme="minorEastAsia"/>
                <w:b/>
                <w:bCs/>
                <w:color w:val="000000"/>
                <w:szCs w:val="21"/>
              </w:rPr>
            </w:pPr>
            <w:r>
              <w:rPr>
                <w:rFonts w:hint="eastAsia" w:cs="微软雅黑" w:asciiTheme="minorEastAsia" w:hAnsiTheme="minorEastAsia" w:eastAsiaTheme="minorEastAsia"/>
                <w:b/>
                <w:bCs/>
                <w:color w:val="000000"/>
                <w:szCs w:val="21"/>
              </w:rPr>
              <w:t>会议通知发起</w:t>
            </w:r>
          </w:p>
          <w:p>
            <w:pPr>
              <w:pStyle w:val="9"/>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要支持发起会议通知，需包含以下信息：会议标题、开会时间、开会地点、会议内容、人员等；需支持上传会议附件。</w:t>
            </w:r>
          </w:p>
          <w:p>
            <w:pPr>
              <w:pStyle w:val="9"/>
              <w:ind w:left="420" w:firstLine="0" w:firstLineChars="0"/>
              <w:rPr>
                <w:rFonts w:cs="微软雅黑" w:asciiTheme="minorEastAsia" w:hAnsiTheme="minorEastAsia" w:eastAsiaTheme="minorEastAsia"/>
                <w:b/>
                <w:bCs/>
                <w:color w:val="000000"/>
                <w:szCs w:val="21"/>
              </w:rPr>
            </w:pPr>
            <w:r>
              <w:rPr>
                <w:rFonts w:hint="eastAsia" w:cs="微软雅黑" w:asciiTheme="minorEastAsia" w:hAnsiTheme="minorEastAsia" w:eastAsiaTheme="minorEastAsia"/>
                <w:b/>
                <w:bCs/>
                <w:color w:val="000000"/>
                <w:szCs w:val="21"/>
              </w:rPr>
              <w:t>会议通知审批</w:t>
            </w:r>
          </w:p>
          <w:p>
            <w:pPr>
              <w:pStyle w:val="9"/>
              <w:rPr>
                <w:rFonts w:cs="微软雅黑" w:asciiTheme="minorEastAsia" w:hAnsiTheme="minorEastAsia" w:eastAsiaTheme="minorEastAsia"/>
                <w:b/>
                <w:bCs/>
                <w:color w:val="000000"/>
                <w:szCs w:val="21"/>
              </w:rPr>
            </w:pPr>
            <w:r>
              <w:rPr>
                <w:rFonts w:hint="eastAsia" w:cs="微软雅黑" w:asciiTheme="minorEastAsia" w:hAnsiTheme="minorEastAsia" w:eastAsiaTheme="minorEastAsia"/>
                <w:szCs w:val="21"/>
              </w:rPr>
              <w:t>针对会议是否需要举行，需要通过领导审批。领导收到会议通知的审批任务后，可以在钉钉APP或PC上进行确认是否通过。当会议的内容出现不符合规定，可以对会议内容进行调整修改。</w:t>
            </w:r>
          </w:p>
          <w:p>
            <w:pPr>
              <w:pStyle w:val="9"/>
              <w:ind w:left="420" w:firstLine="0" w:firstLineChars="0"/>
              <w:rPr>
                <w:rFonts w:cs="微软雅黑" w:asciiTheme="minorEastAsia" w:hAnsiTheme="minorEastAsia" w:eastAsiaTheme="minorEastAsia"/>
                <w:b/>
                <w:bCs/>
                <w:color w:val="000000"/>
                <w:szCs w:val="21"/>
              </w:rPr>
            </w:pPr>
            <w:r>
              <w:rPr>
                <w:rFonts w:hint="eastAsia" w:cs="微软雅黑" w:asciiTheme="minorEastAsia" w:hAnsiTheme="minorEastAsia" w:eastAsiaTheme="minorEastAsia"/>
                <w:b/>
                <w:bCs/>
                <w:color w:val="000000"/>
                <w:szCs w:val="21"/>
              </w:rPr>
              <w:t>拟办员处理</w:t>
            </w:r>
          </w:p>
          <w:p>
            <w:pPr>
              <w:spacing w:line="360" w:lineRule="auto"/>
              <w:ind w:firstLine="420" w:firstLineChars="200"/>
              <w:rPr>
                <w:rFonts w:cs="微软雅黑" w:asciiTheme="minorEastAsia" w:hAnsiTheme="minorEastAsia" w:eastAsiaTheme="minorEastAsia"/>
                <w:b/>
                <w:bCs/>
                <w:color w:val="000000"/>
                <w:szCs w:val="21"/>
              </w:rPr>
            </w:pPr>
            <w:r>
              <w:rPr>
                <w:rFonts w:hint="eastAsia" w:cs="微软雅黑" w:asciiTheme="minorEastAsia" w:hAnsiTheme="minorEastAsia" w:eastAsiaTheme="minorEastAsia"/>
                <w:szCs w:val="21"/>
              </w:rPr>
              <w:t>议通知通过之后，需要拟办人员对会议进行确认，如有必要可以增加签批人员，进一步审核。</w:t>
            </w:r>
          </w:p>
          <w:p>
            <w:pPr>
              <w:pStyle w:val="9"/>
              <w:ind w:left="420" w:firstLine="0" w:firstLineChars="0"/>
              <w:rPr>
                <w:rFonts w:cs="微软雅黑" w:asciiTheme="minorEastAsia" w:hAnsiTheme="minorEastAsia" w:eastAsiaTheme="minorEastAsia"/>
                <w:b/>
                <w:bCs/>
                <w:color w:val="000000"/>
                <w:szCs w:val="21"/>
              </w:rPr>
            </w:pPr>
            <w:r>
              <w:rPr>
                <w:rFonts w:hint="eastAsia" w:cs="微软雅黑" w:asciiTheme="minorEastAsia" w:hAnsiTheme="minorEastAsia" w:eastAsiaTheme="minorEastAsia"/>
                <w:b/>
                <w:bCs/>
                <w:color w:val="000000"/>
                <w:szCs w:val="21"/>
              </w:rPr>
              <w:t>会议签到</w:t>
            </w:r>
          </w:p>
          <w:p>
            <w:pPr>
              <w:pStyle w:val="9"/>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需支持用钉钉扫描二维码签到，提供会议签到二维码打印功能</w:t>
            </w:r>
          </w:p>
          <w:p>
            <w:pPr>
              <w:pStyle w:val="9"/>
              <w:ind w:left="420" w:firstLine="0" w:firstLineChars="0"/>
              <w:rPr>
                <w:rFonts w:cs="微软雅黑" w:asciiTheme="minorEastAsia" w:hAnsiTheme="minorEastAsia" w:eastAsiaTheme="minorEastAsia"/>
                <w:b/>
                <w:bCs/>
                <w:color w:val="000000"/>
                <w:szCs w:val="21"/>
              </w:rPr>
            </w:pPr>
            <w:r>
              <w:rPr>
                <w:rFonts w:hint="eastAsia" w:cs="微软雅黑" w:asciiTheme="minorEastAsia" w:hAnsiTheme="minorEastAsia" w:eastAsiaTheme="minorEastAsia"/>
                <w:b/>
                <w:bCs/>
                <w:color w:val="000000"/>
                <w:szCs w:val="21"/>
              </w:rPr>
              <w:t>会议红头文件打印</w:t>
            </w:r>
          </w:p>
          <w:p>
            <w:pPr>
              <w:pStyle w:val="3"/>
              <w:rPr>
                <w:rFonts w:cs="微软雅黑" w:asciiTheme="minorEastAsia" w:hAnsiTheme="minorEastAsia" w:eastAsiaTheme="minorEastAsia"/>
                <w:szCs w:val="21"/>
              </w:rPr>
            </w:pPr>
            <w:r>
              <w:rPr>
                <w:rFonts w:hint="eastAsia" w:cs="微软雅黑" w:asciiTheme="minorEastAsia" w:hAnsiTheme="minorEastAsia" w:eastAsiaTheme="minorEastAsia"/>
                <w:szCs w:val="21"/>
              </w:rPr>
              <w:t>需支持会议红头文件打印</w:t>
            </w:r>
          </w:p>
          <w:p>
            <w:pPr>
              <w:pStyle w:val="9"/>
              <w:ind w:left="420" w:firstLine="0" w:firstLineChars="0"/>
              <w:rPr>
                <w:rFonts w:cs="微软雅黑" w:asciiTheme="minorEastAsia" w:hAnsiTheme="minorEastAsia" w:eastAsiaTheme="minorEastAsia"/>
                <w:b/>
                <w:bCs/>
                <w:color w:val="000000"/>
                <w:szCs w:val="21"/>
                <w:lang w:eastAsia="ja-JP"/>
              </w:rPr>
            </w:pPr>
            <w:r>
              <w:rPr>
                <w:rFonts w:hint="eastAsia" w:cs="微软雅黑" w:asciiTheme="minorEastAsia" w:hAnsiTheme="minorEastAsia" w:eastAsiaTheme="minorEastAsia"/>
                <w:b/>
                <w:bCs/>
                <w:color w:val="000000"/>
                <w:szCs w:val="21"/>
                <w:lang w:eastAsia="ja-JP"/>
              </w:rPr>
              <w:t>会议钉消息催办</w:t>
            </w:r>
          </w:p>
          <w:p>
            <w:pPr>
              <w:pStyle w:val="3"/>
              <w:rPr>
                <w:rFonts w:asciiTheme="minorEastAsia" w:hAnsiTheme="minorEastAsia" w:eastAsiaTheme="minorEastAsia"/>
              </w:rPr>
            </w:pPr>
            <w:r>
              <w:rPr>
                <w:rFonts w:hint="eastAsia" w:cs="微软雅黑" w:asciiTheme="minorEastAsia" w:hAnsiTheme="minorEastAsia" w:eastAsiaTheme="minorEastAsia"/>
                <w:szCs w:val="21"/>
              </w:rPr>
              <w:t>需支持发钉消息提醒查看会议通知等。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shd w:val="clear" w:color="auto" w:fill="auto"/>
            <w:vAlign w:val="center"/>
          </w:tcPr>
          <w:p>
            <w:pPr>
              <w:pStyle w:val="9"/>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表单管理</w:t>
            </w:r>
          </w:p>
        </w:tc>
        <w:tc>
          <w:tcPr>
            <w:tcW w:w="7033" w:type="dxa"/>
            <w:shd w:val="clear" w:color="auto" w:fill="auto"/>
            <w:vAlign w:val="center"/>
          </w:tcPr>
          <w:p>
            <w:pPr>
              <w:pStyle w:val="9"/>
              <w:rPr>
                <w:rFonts w:cs="微软雅黑" w:asciiTheme="minorEastAsia" w:hAnsiTheme="minorEastAsia" w:eastAsiaTheme="minorEastAsia"/>
              </w:rPr>
            </w:pPr>
            <w:r>
              <w:rPr>
                <w:rFonts w:hint="eastAsia" w:cs="微软雅黑" w:asciiTheme="minorEastAsia" w:hAnsiTheme="minorEastAsia" w:eastAsiaTheme="minorEastAsia"/>
              </w:rPr>
              <w:t>为适应不同部门不同业务的需要，办公过程中需要的表单要能自定义设置。</w:t>
            </w:r>
          </w:p>
          <w:p>
            <w:pPr>
              <w:numPr>
                <w:ilvl w:val="0"/>
                <w:numId w:val="19"/>
              </w:num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要支持在线、可视化的设计方式进行表单设计，可拖、拉、拽设计提供丰富的表单控件库。</w:t>
            </w:r>
          </w:p>
          <w:p>
            <w:pPr>
              <w:numPr>
                <w:ilvl w:val="0"/>
                <w:numId w:val="19"/>
              </w:num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要支持代码直接设计编辑表单，并可自行定义页面布局、css样式、前端js代码等。</w:t>
            </w:r>
          </w:p>
          <w:p>
            <w:pPr>
              <w:numPr>
                <w:ilvl w:val="0"/>
                <w:numId w:val="19"/>
              </w:num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要支持移动端表单在线设计。</w:t>
            </w:r>
          </w:p>
          <w:p>
            <w:pPr>
              <w:numPr>
                <w:ilvl w:val="0"/>
                <w:numId w:val="19"/>
              </w:num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表单要支持多种数据类型，如文本、数字、日期、富文本、附件、数组、图片、地图等。表单可根据用户填写数据自动从数据源中获取数据填充到表单中的相应数据栏中。</w:t>
            </w:r>
          </w:p>
          <w:p>
            <w:pPr>
              <w:numPr>
                <w:ilvl w:val="0"/>
                <w:numId w:val="19"/>
              </w:num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要内置表单控件的验证方式，例如必填项、数值、日期、身份证、电话号码、邮箱等；</w:t>
            </w:r>
          </w:p>
          <w:p>
            <w:pPr>
              <w:numPr>
                <w:ilvl w:val="0"/>
                <w:numId w:val="19"/>
              </w:num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要内置表单计算控制，支持设计金额计算公式和汇总某一个子表的金额</w:t>
            </w:r>
          </w:p>
          <w:p>
            <w:pPr>
              <w:numPr>
                <w:ilvl w:val="0"/>
                <w:numId w:val="19"/>
              </w:num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要支持常见的表单应用开发场景，例如：下拉框联动、控件条件显示等</w:t>
            </w:r>
          </w:p>
          <w:p>
            <w:pPr>
              <w:numPr>
                <w:ilvl w:val="0"/>
                <w:numId w:val="19"/>
              </w:num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表单要可根据主从表中主表信息，自动批量填充从表信息。</w:t>
            </w:r>
          </w:p>
          <w:p>
            <w:pPr>
              <w:numPr>
                <w:ilvl w:val="0"/>
                <w:numId w:val="19"/>
              </w:num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表单要可根据主从表中主表信息，自动提取从表中相关记录供用户选择。</w:t>
            </w:r>
          </w:p>
          <w:p>
            <w:pPr>
              <w:numPr>
                <w:ilvl w:val="0"/>
                <w:numId w:val="19"/>
              </w:num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系统要可根据主表的属性值得选择，自动设定从表的显示字段和显示样式。</w:t>
            </w:r>
          </w:p>
          <w:p>
            <w:pPr>
              <w:numPr>
                <w:ilvl w:val="0"/>
                <w:numId w:val="19"/>
              </w:num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要支持多表单，一个流程中可以扩展多种表单，包括默认表单、自定义表单。</w:t>
            </w:r>
          </w:p>
          <w:p>
            <w:pPr>
              <w:numPr>
                <w:ilvl w:val="0"/>
                <w:numId w:val="19"/>
              </w:num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从表要可根据主表的选择，自动设定从表中具体字段值的选择范围。</w:t>
            </w:r>
          </w:p>
          <w:p>
            <w:pPr>
              <w:numPr>
                <w:ilvl w:val="0"/>
                <w:numId w:val="19"/>
              </w:num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要支持一次开发、多平台运行，自动适应PC、手机显示效果</w:t>
            </w:r>
          </w:p>
          <w:p>
            <w:pPr>
              <w:numPr>
                <w:ilvl w:val="0"/>
                <w:numId w:val="19"/>
              </w:num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要支持个性化表单，在默认表单之外，支持扩展第三方表单，以及PC端、移动端、打印等自定义页面表单。</w:t>
            </w:r>
          </w:p>
          <w:p>
            <w:pPr>
              <w:numPr>
                <w:ilvl w:val="0"/>
                <w:numId w:val="19"/>
              </w:num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表单页面要支持事件规则，包括表单事件、视图事件、数据源事件等。</w:t>
            </w:r>
          </w:p>
          <w:p>
            <w:pPr>
              <w:numPr>
                <w:ilvl w:val="0"/>
                <w:numId w:val="19"/>
              </w:num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要可单独设置页面的访问权限。</w:t>
            </w:r>
          </w:p>
          <w:p>
            <w:pPr>
              <w:numPr>
                <w:ilvl w:val="0"/>
                <w:numId w:val="19"/>
              </w:num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要可定义不同流程节点中的显示界面及内容，如隐藏、读写权限等。</w:t>
            </w:r>
          </w:p>
          <w:p>
            <w:pPr>
              <w:numPr>
                <w:ilvl w:val="0"/>
                <w:numId w:val="19"/>
              </w:num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表单要支持统一编码规则，可设定每种表单的编码规则。</w:t>
            </w:r>
          </w:p>
          <w:p>
            <w:pPr>
              <w:numPr>
                <w:ilvl w:val="0"/>
                <w:numId w:val="19"/>
              </w:num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要支持审批关联，可方便快捷的设置审批时的关联信息。</w:t>
            </w:r>
          </w:p>
          <w:p>
            <w:pPr>
              <w:numPr>
                <w:ilvl w:val="0"/>
                <w:numId w:val="19"/>
              </w:numPr>
              <w:spacing w:line="360" w:lineRule="auto"/>
              <w:rPr>
                <w:rFonts w:cs="微软雅黑" w:asciiTheme="minorEastAsia" w:hAnsiTheme="minorEastAsia" w:eastAsiaTheme="minorEastAsia"/>
                <w:bCs/>
                <w:color w:val="000000" w:themeColor="text1"/>
              </w:rPr>
            </w:pPr>
            <w:r>
              <w:rPr>
                <w:rFonts w:hint="eastAsia" w:cs="微软雅黑" w:asciiTheme="minorEastAsia" w:hAnsiTheme="minorEastAsia" w:eastAsiaTheme="minorEastAsia"/>
              </w:rPr>
              <w:t>表单要可打印控制：可方便快捷自定义表单打印格式</w:t>
            </w:r>
          </w:p>
        </w:tc>
      </w:tr>
    </w:tbl>
    <w:p>
      <w:pPr>
        <w:pStyle w:val="3"/>
        <w:rPr>
          <w:rFonts w:cs="微软雅黑" w:asciiTheme="minorEastAsia" w:hAnsiTheme="minorEastAsia" w:eastAsiaTheme="minorEastAsia"/>
          <w:sz w:val="32"/>
          <w:szCs w:val="32"/>
        </w:rPr>
      </w:pPr>
    </w:p>
    <w:p>
      <w:pPr>
        <w:pStyle w:val="3"/>
        <w:numPr>
          <w:ilvl w:val="0"/>
          <w:numId w:val="14"/>
        </w:numPr>
        <w:spacing w:after="120" w:line="240" w:lineRule="auto"/>
        <w:outlineLvl w:val="2"/>
        <w:rPr>
          <w:rFonts w:cs="微软雅黑" w:asciiTheme="minorEastAsia" w:hAnsiTheme="minorEastAsia" w:eastAsiaTheme="minorEastAsia"/>
          <w:sz w:val="32"/>
          <w:szCs w:val="32"/>
        </w:rPr>
      </w:pPr>
      <w:r>
        <w:rPr>
          <w:rFonts w:hint="eastAsia" w:cs="微软雅黑" w:asciiTheme="minorEastAsia" w:hAnsiTheme="minorEastAsia" w:eastAsiaTheme="minorEastAsia"/>
          <w:sz w:val="32"/>
          <w:szCs w:val="32"/>
        </w:rPr>
        <w:t>成教管理系统</w:t>
      </w:r>
    </w:p>
    <w:tbl>
      <w:tblPr>
        <w:tblStyle w:val="27"/>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5" w:type="dxa"/>
            <w:shd w:val="clear" w:color="auto" w:fill="auto"/>
            <w:vAlign w:val="center"/>
          </w:tcPr>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成教管理系统</w:t>
            </w:r>
          </w:p>
        </w:tc>
        <w:tc>
          <w:tcPr>
            <w:tcW w:w="6095" w:type="dxa"/>
          </w:tcPr>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1.提供学生信息管理功能,支持人员增减、人员状态变化以及人员导入导出。</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2.提供教师信息管理功能，支持人员增减、状态变化，支持教师信息的导入导出功能。</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3.教学管理：</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（1）支持按照学员的属性针对夜大和继续教育设置不同教学计划，提供对应学分制管理。</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（2）教学计划及教学计划课程支持按学习批次、层次、专业进行设置。</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（3）支持教学计划按学分和最小学习年限等设置毕业条件。</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（4）支持学生随时进行选课、开课操作。</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（5）支持对教学计划内的课程进行管理和维护，支持针对不同的课程设置课程属性，包括必修、选修、学分、扣费等。</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（5）支持学生学习的课程管理，支持对学生已学习的课程进行认定的操作。</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（6）支持将学生原账户学习课程及成绩认定到新账户下的课程中。</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4.个人中心</w:t>
            </w:r>
            <w:r>
              <w:rPr>
                <w:rFonts w:hint="eastAsia" w:cs="微软雅黑" w:asciiTheme="minorEastAsia" w:hAnsiTheme="minorEastAsia" w:eastAsiaTheme="minorEastAsia"/>
                <w:kern w:val="0"/>
                <w:szCs w:val="21"/>
              </w:rPr>
              <w:tab/>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(1)可以增加或修改个人的基本信息，包括头像、昵称等。</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(2)支持查询学习情况、学分、积分等个人统计信息。</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(3)消息功能， 支持在个人中心中查看课程、作业、考试、提醒、讨论、公告等消息。</w:t>
            </w:r>
          </w:p>
          <w:p>
            <w:pPr>
              <w:rPr>
                <w:rFonts w:cs="微软雅黑" w:asciiTheme="minorEastAsia" w:hAnsiTheme="minorEastAsia" w:eastAsiaTheme="minorEastAsia"/>
                <w:szCs w:val="21"/>
              </w:rPr>
            </w:pPr>
            <w:r>
              <w:rPr>
                <w:rFonts w:hint="eastAsia" w:cs="微软雅黑" w:asciiTheme="minorEastAsia" w:hAnsiTheme="minorEastAsia" w:eastAsiaTheme="minorEastAsia"/>
                <w:kern w:val="0"/>
                <w:szCs w:val="21"/>
              </w:rPr>
              <w:t>(4)代办事宜，支持用户代办事宜汇总，包括课程审核、课程申请、考试和作业批阅等， 点击对应信息可以跳转到相应子功能。</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5.支持学生信息和教师信息对接钉钉平台，支持对学生和教师信息的导入导出功能。</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6.支持对接报名收费系统，能够实现完整报名缴费、退费数据记录查询</w:t>
            </w:r>
          </w:p>
        </w:tc>
      </w:tr>
    </w:tbl>
    <w:p>
      <w:pPr>
        <w:pStyle w:val="3"/>
        <w:rPr>
          <w:rFonts w:cs="微软雅黑" w:asciiTheme="minorEastAsia" w:hAnsiTheme="minorEastAsia" w:eastAsiaTheme="minorEastAsia"/>
          <w:sz w:val="32"/>
          <w:szCs w:val="32"/>
        </w:rPr>
      </w:pPr>
    </w:p>
    <w:p>
      <w:pPr>
        <w:pStyle w:val="3"/>
        <w:numPr>
          <w:ilvl w:val="0"/>
          <w:numId w:val="14"/>
        </w:numPr>
        <w:spacing w:after="120" w:line="240" w:lineRule="auto"/>
        <w:outlineLvl w:val="2"/>
        <w:rPr>
          <w:rFonts w:cs="微软雅黑" w:asciiTheme="minorEastAsia" w:hAnsiTheme="minorEastAsia" w:eastAsiaTheme="minorEastAsia"/>
          <w:sz w:val="32"/>
          <w:szCs w:val="32"/>
        </w:rPr>
      </w:pPr>
      <w:r>
        <w:rPr>
          <w:rFonts w:hint="eastAsia" w:cs="微软雅黑" w:asciiTheme="minorEastAsia" w:hAnsiTheme="minorEastAsia" w:eastAsiaTheme="minorEastAsia"/>
          <w:sz w:val="32"/>
          <w:szCs w:val="32"/>
        </w:rPr>
        <w:t>智慧学习系统</w:t>
      </w:r>
    </w:p>
    <w:tbl>
      <w:tblPr>
        <w:tblStyle w:val="27"/>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5" w:type="dxa"/>
            <w:shd w:val="clear" w:color="auto" w:fill="auto"/>
            <w:vAlign w:val="center"/>
          </w:tcPr>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在线开放课程子系统</w:t>
            </w:r>
          </w:p>
        </w:tc>
        <w:tc>
          <w:tcPr>
            <w:tcW w:w="6095" w:type="dxa"/>
          </w:tcPr>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1.课程设置</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(1)支持设定课程元数据，包含课程名称、所属专业、课程属性、学时等。系统提供多套课程模板，供教师选课时选择。</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(2)支持课程添加公告、课程讨论、学生笔记等功能。</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2.课程内容</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课程建设涵盖大规模在线开放课程（MOOC）的建设理念。可以将教学内容和教学活动有机的组织在一起，课程负责人可按一定逻辑组织课程结构，可以直接调用该专业知识技能树中的全部或部分结构。课程结构树通过可扩展目录树管理。课程内容组织框架具体为：章（项目），节（任务），知识点， 支持设置自动或手动设置章节的开放方式。课程内容组建时，支持添加以下内容：</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（1）素材或组件：支持本地上传、教学资源系统引用等多种调用模式，支持scorm、html包导入；</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（2）富文本：在线文档编辑器,主要用于让用户在网站上获得所见即所得编辑效果.它能够处理有格式的文本，还可以显示字体、颜色、链接、嵌入的图像,视频等。</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（3）测验：教师可以为本知识点添加一组客观测试题，评测学生针对该知识点的掌握程度。</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（4）讨论：教师可以为本知识点添加一个讨论话题，供学生针对该知识点进行在线文字、图片等消息讨论。</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（5）作业：布置试题、附件类型的作业，可上传视频附件并直接播放。</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3.课程管理</w:t>
            </w:r>
            <w:r>
              <w:rPr>
                <w:rFonts w:hint="eastAsia" w:cs="微软雅黑" w:asciiTheme="minorEastAsia" w:hAnsiTheme="minorEastAsia" w:eastAsiaTheme="minorEastAsia"/>
                <w:kern w:val="0"/>
                <w:szCs w:val="21"/>
              </w:rPr>
              <w:tab/>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(1)支持从教学资源管理系统一键同步课程结构，也可以将课程结构一键同步到教学资源管理系统；</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(2)支持从一键引用云教材课程结构；</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(3)支持符合设定课程通过条件，包括学习权重、访问权重、讨论权重、作业权重、考试权重等；</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(4)支持设置学分复合通过条件；</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(5)支持添加教学团队，支持为教学团队成员分配不同权限，支持为课程班级分配不同的授课教师。</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4课程学员</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(1)支持新建、删除课程班级和学习小组；</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(2)一门课程添加多个学习班级，支持为每个班级指定不同的授课教师；</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(3)支持调用管理平台中的行政班级信息，并能一键导入;</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(4)支持学生自由选课，教师审核后可以加入指定班级;</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5.在线作业</w:t>
            </w:r>
            <w:r>
              <w:rPr>
                <w:rFonts w:hint="eastAsia" w:cs="微软雅黑" w:asciiTheme="minorEastAsia" w:hAnsiTheme="minorEastAsia" w:eastAsiaTheme="minorEastAsia"/>
                <w:kern w:val="0"/>
                <w:szCs w:val="21"/>
              </w:rPr>
              <w:tab/>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教师可以布置作业，设置开始、截至日期，作业的分值、所属课程、适用班级。在题目作业中，学校教师、助教可录入或导入试题，并可利用题库中的试题组卷测试或安排学生自测。可以选择要布置的班级对象。</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(2)学生能及时查看到教师发布的作业。提供在线作业的方式。作业完成后，能查看作业的答案、批阅情况以及成绩。</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6.在线考试</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(1)教师可以设置考试，设置开始、截至日期，分值、所属课程、章节、适用班级。</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(2)查看在题目作业中，学校教师、助教可录入或导入试题，支持手动组卷和按复合规则自动抽题两种组卷模式，可以选择要布置的班级对象；</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(3)支持直接引用教学资源管理系统中试题库。</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(4)学生可以及时查看到教师发布的考试。对于提供标准答案的客观题能实现自动批阅。可以查看考试批阅情况。考试结束后查阅自己的考试成绩。</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7.课程统计</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提供课程使用情况的综合统计信息，包括访问人次、学习人数，资源数量、章节知识点、任务点、授课团队、作业、考试等统计信息，支持按具体的类型查看详情：</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(1)访问人次：包含用户姓名、最后访问时间、ip地址、访问次数、访问平均时长等；</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(2)资源：分类汇总数量，包含资源分型、大小等信息；</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(3)学习人数：包含姓名、学号、性别、学习进度、成绩等；</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(4)章节知识点：以树形结构清晰展示课程的目录结构；</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8.在线学习</w:t>
            </w:r>
            <w:r>
              <w:rPr>
                <w:rFonts w:hint="eastAsia" w:cs="微软雅黑" w:asciiTheme="minorEastAsia" w:hAnsiTheme="minorEastAsia" w:eastAsiaTheme="minorEastAsia"/>
                <w:kern w:val="0"/>
                <w:szCs w:val="21"/>
              </w:rPr>
              <w:tab/>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(1)在线浏览课程、微课。可按教师预先设定的“学习进阶”要求组织学习。可以控制学生的学习进度和内容。</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(2)记录个人学习过程，包括资源、作业、讨论等学习情况等，并生成得分。学生可以查看自己的学习记录，包括登录次数、在线时长、学习进度、讨论参与情况、作业和考试完成情况等。</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(3) 可组建虚拟班级、学习小组。</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(4)支持根据系统设置的评价表进行资源评价。对于已经评价过的资源可以查看历史评价记录。</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系统接口</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(1)所有模块均实现与管理系统整合，实现用户账号数据同步；</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(2)实现模块与与教学资源管理系统的无缝对接；</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9.资源自动加工处理</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根据系统的要求，对用户上传的资源进行技术上的校验，并完成技术格式上的转换，以符合标准的要求。针对上传的音频、视频可进行自动加工处理，生成可在线观看或播放的流媒体资源。针对上传的文本可进行自动加工处理，生成可在线观看的文件。针对上传的图片、动画自动进行可在线浏览或播放的自动处理。</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（1）PPT自动加工转换成可支持PC和移动设备的多种尺寸格式， 方面用户在在PC和移动设备上浏览观看。</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（2）视频上传过程中自动转换成多种码率和分辨率的MP4格式文件，可自适应PC和移动设备上浏览观看。转换中可自动截取预览图。</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（3）文档自动加工生成多种图片格式，可以在PC和移动设备上浏览观看。</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（4）图片文件支持自动转成支持在PC和移动设备上浏览观看的最佳尺寸图片。</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（5）音频文件支持自动转成为MP3格式在PC和移动设备上浏览观看。</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10.部署要求</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Web服务和存储要求独立部署在院校内部服务器上。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5" w:type="dxa"/>
            <w:shd w:val="clear" w:color="auto" w:fill="auto"/>
            <w:vAlign w:val="center"/>
          </w:tcPr>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资源服务子系统</w:t>
            </w:r>
          </w:p>
        </w:tc>
        <w:tc>
          <w:tcPr>
            <w:tcW w:w="6095" w:type="dxa"/>
          </w:tcPr>
          <w:p>
            <w:pPr>
              <w:widowControl/>
              <w:numPr>
                <w:ilvl w:val="0"/>
                <w:numId w:val="20"/>
              </w:numPr>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系统通过构建知识技能树进行资源的存储和摆放；</w:t>
            </w:r>
          </w:p>
          <w:p>
            <w:pPr>
              <w:widowControl/>
              <w:numPr>
                <w:ilvl w:val="0"/>
                <w:numId w:val="20"/>
              </w:numPr>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知识技能树通过可扩展目录树进行维护和管理，尽量包含本专业所有的知识点、技能点；将专业资源库按照素材、积件、模块、课程不同层次进行分层建设。</w:t>
            </w:r>
          </w:p>
          <w:p>
            <w:pPr>
              <w:widowControl/>
              <w:numPr>
                <w:ilvl w:val="0"/>
                <w:numId w:val="20"/>
              </w:numPr>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知识技能树节点上的内容必须是知识点、技能点，不允许出现资源类型如视频、动画等。</w:t>
            </w:r>
          </w:p>
          <w:p>
            <w:pPr>
              <w:widowControl/>
              <w:numPr>
                <w:ilvl w:val="0"/>
                <w:numId w:val="20"/>
              </w:numPr>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专业的知识技能树可同步为课程结构树，建好的课程结构树亦可同步为该专业的知识技能树。</w:t>
            </w:r>
          </w:p>
          <w:p>
            <w:pPr>
              <w:widowControl/>
              <w:numPr>
                <w:ilvl w:val="0"/>
                <w:numId w:val="20"/>
              </w:numPr>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资源类型设置管理：可以设置系统中允许的资源类型，并可以方便扩展。</w:t>
            </w:r>
          </w:p>
          <w:p>
            <w:pPr>
              <w:widowControl/>
              <w:numPr>
                <w:ilvl w:val="0"/>
                <w:numId w:val="20"/>
              </w:numPr>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资源入库：针对资源入库，可选择本地的单个或批量资源实现入库操作。资源入库过程中，系统能根据上传的文件名、文件类型和库别等信息给资源名和关键字提供参考值，供用户参考。</w:t>
            </w:r>
          </w:p>
          <w:p>
            <w:pPr>
              <w:widowControl/>
              <w:numPr>
                <w:ilvl w:val="0"/>
                <w:numId w:val="20"/>
              </w:numPr>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可上传主流格式的资源文件，在上传图片、课件、视频等文件时应提供可上传缩略图。</w:t>
            </w:r>
          </w:p>
          <w:p>
            <w:pPr>
              <w:widowControl/>
              <w:numPr>
                <w:ilvl w:val="0"/>
                <w:numId w:val="20"/>
              </w:numPr>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资源加工：根据系统的要求，对用户上传的资源进行技术上的校验，并完成技术格式上的转换，以符合标准的要求。针对上传的音频、视频可进行自动加工处理，生成可在线观看或播放的流媒体资源。针对上传的文本可进行自动加工处理，生成可在线观看的文件。针对上传的图片、动画自动进行可在线浏览或播放的自动处理。</w:t>
            </w:r>
          </w:p>
          <w:p>
            <w:pPr>
              <w:widowControl/>
              <w:numPr>
                <w:ilvl w:val="0"/>
                <w:numId w:val="20"/>
              </w:numPr>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资源浏览：资源浏览是资源管理子系统的基本功能，支持“元数据素材类型”方式浏览。同时，从专业库的角度，可按照专业库、下属子库及子库下属分类的导航方式进行资源浏览。从主题分类角度，可按主题分类的导航方式进行资源浏览。从课程的角度，可按课程资源的分类浏览资源。</w:t>
            </w:r>
          </w:p>
          <w:p>
            <w:pPr>
              <w:widowControl/>
              <w:numPr>
                <w:ilvl w:val="0"/>
                <w:numId w:val="20"/>
              </w:numPr>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资源搜索：对元数据的属性字段进行检索、如资源的标题、描述、作者、关键字、资源类型、资源格式、时间、专业等条件，能更加精确地检索到所需资源。在检索资源的同时，提供与该资源相关资源的检索。</w:t>
            </w:r>
          </w:p>
          <w:p>
            <w:pPr>
              <w:widowControl/>
              <w:numPr>
                <w:ilvl w:val="0"/>
                <w:numId w:val="20"/>
              </w:numPr>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资源点播：对可以在线播放的资源提供资源的点播功能。针对各种媒体资源采用统一的点播界面对资源进行播放。在资源点播时，可以设置是否允许匿名用户点播资源。</w:t>
            </w:r>
          </w:p>
          <w:p>
            <w:pPr>
              <w:widowControl/>
              <w:numPr>
                <w:ilvl w:val="0"/>
                <w:numId w:val="20"/>
              </w:numPr>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资源下载：对通过授权的资源允许进行资源下载操作。</w:t>
            </w:r>
          </w:p>
          <w:p>
            <w:pPr>
              <w:widowControl/>
              <w:numPr>
                <w:ilvl w:val="0"/>
                <w:numId w:val="20"/>
              </w:numPr>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资源收藏：系统支持资源的收藏功能。如资源收藏的常规应用是将平时浏览资源时发现的优秀资源都收集起来，便于以后使用。</w:t>
            </w:r>
          </w:p>
          <w:p>
            <w:pPr>
              <w:widowControl/>
              <w:numPr>
                <w:ilvl w:val="0"/>
                <w:numId w:val="20"/>
              </w:numPr>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资源评价：可以评价一个资源的优劣，发表自己的意见。评论操作包括提交评论内容。</w:t>
            </w:r>
          </w:p>
          <w:p>
            <w:pPr>
              <w:widowControl/>
              <w:numPr>
                <w:ilvl w:val="0"/>
                <w:numId w:val="20"/>
              </w:numPr>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用户管理：可针对各类型用户进行操作。如创建用户、导入用户、禁用/启用用户、用户授权、删除用户等。并可将用户和专业进行绑定，指定专业资源建设者。</w:t>
            </w:r>
          </w:p>
          <w:p>
            <w:pPr>
              <w:widowControl/>
              <w:numPr>
                <w:ilvl w:val="0"/>
                <w:numId w:val="20"/>
              </w:numPr>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下载权限设置：可针对匿名用户资源访问与下载进行设置。</w:t>
            </w:r>
          </w:p>
          <w:p>
            <w:pPr>
              <w:widowControl/>
              <w:numPr>
                <w:ilvl w:val="0"/>
                <w:numId w:val="20"/>
              </w:numPr>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日志管理：查看系统操作日志，了解和监控用户的具体操作。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5" w:type="dxa"/>
            <w:shd w:val="clear" w:color="auto" w:fill="auto"/>
            <w:vAlign w:val="center"/>
          </w:tcPr>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移动学习子系统</w:t>
            </w:r>
          </w:p>
        </w:tc>
        <w:tc>
          <w:tcPr>
            <w:tcW w:w="6095" w:type="dxa"/>
          </w:tcPr>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1.课程列表支持教师查看我管理的课程、我加入的课程列表，支持学生查看我加入的课程列表，支持显示课程名称、图片、主讲人、班级、学习人数等信息；</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2.课程编辑：</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(1)支持教师在移动设备上编辑自己管理的课程，课程基本信息编辑：包括课程名称、课程代码、所属院系、课程学时、关键字等、课程简介、课程封面等， 支持设置课程是否允许自由报名。</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(2)课程结构编辑：课程结构树通过可扩展目录树管理。课程内容组织框架具体为：章、节、知识点。</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(3)课程内容编辑：支持在节或知识点中添加学习素材，支持选择本地上传或引用教学资源管理系统素材，素材支持视频、文本、文档、压缩包等多种文件类型，支持编辑素材名称、关键字、媒体类型、应用类型、资源语言、适用对象等属性信息，素材上传后根据基本属性可自动同步到教学资源库系统。</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3.课程公告支持教师针对课程发布公告，公告通知可以通过钉钉消息通知方式推送给学生，方便学生快速查看课程公告内容。</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4.课程班级支持教师用户在授课课程下新增、编辑、删除虚拟学习班级。</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5.成员管理：</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(1)教师用户可以管理课程班级下的学习成员，支持添加、删除课程学员，支持通过查找用户添加学生，支持导入行政班级，也支持通过班级二维码或邀请码邀请学生加入。</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(2)学生可以查看开放课程并申请加入学习，通过授课教师审核后可以加入课程学习。</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6.课程作业：</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(1)支持教师新增、编辑、删除作业， 支持作业预览；</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(2)支持作业基本信息编辑，包含名称、开始时间、结束时间、作业类型、作业对象、作业分值、适用班级、作业说明等内容。</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(3)支持附件、试题两种类型的作业形式。试题作业支持利用题库中的试题组卷，可以按照试题所属课程、章节筛选试题，支持自动批改试卷功能。附件作业支持用户提交视频、文档、图片等多种形式的答案文件，支持多文件上传。</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(4)支持教师批改作业，支持按已批改、未批改进行分类筛选，支持查看学生答案和学生文件预览、下载功能，支持编辑分数和添加作业评语，支持退回重做和发布答案功能。</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(5)学生可以在作用快速查看教师作业，支持按已完成、未完成、已退回查看作业，未完成的作业可以点击作答，支持未批阅作业多次提交， 已完成的可以查看教师的批阅状态，已批阅的可以查看分数、评语等。</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7.课程考试</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(1)支持教师新增、编辑、删除考试， 支持考试预览；</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(2)支持考试基本信息编辑，包含名称、开始时间、结束时间、考试类型、考试对象、考试分值、适用班级、考试说明等内容。</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(3)支持附件、试题两种类型的考试形式。试题考试支持利用题库中的试题组卷，可以按照试题所属课程、章节筛选试题，支持自动批改试卷功能，附件考试支持用户提交视频、文档、图片等多种形式的答案文件，支持多文件上传。</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(4)支持教师批改考试，支持按已批改、未批改进行分类筛选，支持查看学生答案和学生文件预览、下载功能，支持编辑分数和添加考试评语，支持退回重做和发布答案功能。</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(5)学生可以在作用快速查看教师发布的考试，可以点击作答，完成后可以查看分数、评语等。</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8.课程学习</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(1)支持教师和学生进行课程在线学习。支持在线查看视频、文档、文本等素材内容，支持下载压缩包等文件。</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(2)可以查看课程素材要求的时间，实时记录素材的学习时长和完成状态。</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(3)课程学习过程中支持快速添加课程学习笔记。</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(4)支持学生在课程学习过程中进行提问，教师可以进行对应的答疑。</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(5)支持根据课程复合评分规则实时计算学生成绩，包含学生学习时长、学习进度、作业考试成绩等多个维度， 成绩通过图表的方式展示，方便教师和学生查看课程所得分数和各项具体得分。</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9.设备要求：</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(1)支持Android和苹果等移动操作系统，支持手机、平板等多种移动设备访问。</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(2)与钉钉无缝对接，用户可通过钉钉直接访问，无需下载APP。通过绑定钉钉后无需二次登录。</w:t>
            </w:r>
          </w:p>
          <w:p>
            <w:pPr>
              <w:widowControl/>
              <w:jc w:val="left"/>
              <w:rPr>
                <w:rFonts w:cs="微软雅黑"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5" w:type="dxa"/>
            <w:shd w:val="clear" w:color="auto" w:fill="auto"/>
            <w:vAlign w:val="center"/>
          </w:tcPr>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教学大数据分析子系统</w:t>
            </w:r>
          </w:p>
        </w:tc>
        <w:tc>
          <w:tcPr>
            <w:tcW w:w="6095" w:type="dxa"/>
          </w:tcPr>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利用大数据技术对课程建设情况和使用情况进行可视化分析，包含资源分析、题库分析、访问量分析、用户分析、应用分析、课程分析、数据排行、数据来源等方面。</w:t>
            </w:r>
          </w:p>
          <w:p>
            <w:pPr>
              <w:pStyle w:val="42"/>
              <w:widowControl/>
              <w:numPr>
                <w:ilvl w:val="0"/>
                <w:numId w:val="21"/>
              </w:numPr>
              <w:ind w:firstLineChars="0"/>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学习档案</w:t>
            </w:r>
            <w:r>
              <w:rPr>
                <w:rFonts w:hint="eastAsia" w:cs="微软雅黑" w:asciiTheme="minorEastAsia" w:hAnsiTheme="minorEastAsia" w:eastAsiaTheme="minorEastAsia"/>
                <w:kern w:val="0"/>
                <w:szCs w:val="21"/>
              </w:rPr>
              <w:tab/>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(1)可以以查看学生的学习档案，包括已学习课程和知识点、参与的互动、完成作业、考试、在线时长等信息</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(2)可以查看学生的积分获取情况，包括对应的活动，课程、获取时间等。</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(3)可以查看学生的学习记录，包含详细的学习轨迹，包括参与学习和参与的互动的详细时间。</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(4)学生可以查看自己的学习档案，教师可以查看自己教授的学生的档案， 管理员可以查看所有人的学习档案</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2.专业分析,构建专业分析框架，根据模型，利用大数据工具，进行专业分析，包含专业课程、专业资源、专业教师、专业学生、专业活跃用户、专业课程通过率等分析。。</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2.用户分析,能够对用户情况进行数据建模并进行深度分析，包括访问人数、访问时长、用户类型、访问设备、用户活跃度、课程学习、微课学习、活动情况等分析。</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3.资源存量分析，可以按照媒体类型、版权分布、应用类型、资源访问等进行分析。</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4.课程分析,构建课程分析框架，通过对课程资源建设、课程建设、课程完成度等多个维度对课程进行量化分析。</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5.题库分析可以按照题目分布、使用分布、难易度、引用分布等多个维度进行分析。</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6.学习行为分析可以按照访问设备、时间段、访问时间等进行数据建模并进行数据分析。深度分析资源应用、课堂互动等数据，并进行分类统计。</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7.教学行为分析可以按照课程、教师等维度进行备课、作业批改、答疑、考试评阅等教学行为的分析。</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8.支持报告导出为PDF和图片等文件。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5" w:type="dxa"/>
            <w:shd w:val="clear" w:color="auto" w:fill="auto"/>
            <w:vAlign w:val="center"/>
          </w:tcPr>
          <w:p>
            <w:pPr>
              <w:widowControl/>
              <w:jc w:val="left"/>
              <w:rPr>
                <w:rFonts w:cs="微软雅黑" w:asciiTheme="minorEastAsia" w:hAnsiTheme="minorEastAsia" w:eastAsiaTheme="minorEastAsia"/>
              </w:rPr>
            </w:pPr>
            <w:r>
              <w:rPr>
                <w:rFonts w:hint="eastAsia" w:cs="微软雅黑" w:asciiTheme="minorEastAsia" w:hAnsiTheme="minorEastAsia" w:eastAsiaTheme="minorEastAsia"/>
                <w:kern w:val="0"/>
                <w:szCs w:val="21"/>
              </w:rPr>
              <w:t>互动课堂子系统</w:t>
            </w:r>
          </w:p>
        </w:tc>
        <w:tc>
          <w:tcPr>
            <w:tcW w:w="6095" w:type="dxa"/>
          </w:tcPr>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1.备课，教师可以在PPT中直接进行备课，支持引用数字化学习平台课程和资源或调取学习平台资源，支持将平台资源直接插入PPT，快速完成备课。</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2.分组管理，可以自动分组和由教师进行人工分组。对于自动分组，教师可以设置分组条件，系统根据签到学生情况，自动完成分组。对于人工分组，教师可以指定各学生组成员。</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3.身份管理,结合基础管理平台为教师、学生提供唯一的身份ID，实现账号的统一管理统一登录。</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4.课堂授课，教师打开PPT，可以扫码自动识别身份信息，开启上课模式。</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5.对于教师授课的课件，系统会在后台实时处理并上传至学习平台，上传的课件可以实时发至教室内的教师计算机和学生移动端。</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6.教师可以用手机控制PPT课件，支持开始放映，上下翻页，结束放映；</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7.支持将课堂授课同课程知识树结合，教师选择上课后，可以选择课程名称、班级名称，指定课程知识树的具体知识点，将课堂数据关联到对应课程知识点。</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8.教师可以通过系统平台或者PPT发布签到。支持二维码、课堂邀请码等多种签到方式签到，教师有权限补录学生的考勤情况。学生利用二维码识别或课堂邀请码方式，实现学生的考勤功能。</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9.学生签到后，教师可以实时查看签到信息,未签到人员信息屏幕上以弹幕的方式滚动显示。</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10.借助网络考勤模块，与数字化学习平台结合，考勤数据上传到教学平台，并将考勤数据纳入学习评价。系统支持实时查询、生成考勤报告。</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11.抢答问题，教师可以通过手机或者PPT出题</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，学生可以通过摇动手机或者抢答按钮进行抢答，支持教师对于学生的回答给予评分。支持教师通过手机或者PPT发布试题</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12.展示空间，学生可以将作业发布至共享空间，作业格式包括图片、视频、语音、文本、超链接等。</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13.课堂评价，教师端发出待评价的内容，并给出“评*”和“打分”两种，同时指定被评对象，学生端全体学生一起对其“评*”或者“打分”，教师可以查阅打分情况，包括统计图和平均分，还可以进一步查打分清单。</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14.弹幕,教师在ppt广播过程中可以支持弹幕功能。</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15.测验、问答、调查等结果教师可以通过手机控制显示在PPT上，显示过程不影响PPT放映，不影响当前课程进度。</w:t>
            </w:r>
          </w:p>
          <w:p>
            <w:pPr>
              <w:widowControl/>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16.下课,教师点击下课，完成本次课程,系统将相关数据自动记录与汇总,学生也以主动退出课堂。</w:t>
            </w:r>
          </w:p>
          <w:p>
            <w:pPr>
              <w:widowControl/>
              <w:jc w:val="left"/>
              <w:rPr>
                <w:rFonts w:cs="微软雅黑" w:asciiTheme="minorEastAsia" w:hAnsiTheme="minorEastAsia" w:eastAsiaTheme="minorEastAsia"/>
              </w:rPr>
            </w:pPr>
            <w:r>
              <w:rPr>
                <w:rFonts w:hint="eastAsia" w:cs="微软雅黑" w:asciiTheme="minorEastAsia" w:hAnsiTheme="minorEastAsia" w:eastAsiaTheme="minorEastAsia"/>
                <w:kern w:val="0"/>
                <w:szCs w:val="21"/>
              </w:rPr>
              <w:t>17.教学日志,教师能查看习题、试卷、预习数据等所有教学数据，支持查看本堂课所有数据，包括：课堂人数、学生数据、习题数据、课件数据、教学互动数据等，可以导出本课堂详细数据，也可以导出一段时间内的教学数据，学生可以查看自己课堂互动的数据。</w:t>
            </w:r>
          </w:p>
        </w:tc>
      </w:tr>
    </w:tbl>
    <w:p>
      <w:pPr>
        <w:pStyle w:val="3"/>
        <w:rPr>
          <w:rFonts w:cs="微软雅黑" w:asciiTheme="minorEastAsia" w:hAnsiTheme="minorEastAsia" w:eastAsiaTheme="minorEastAsia"/>
          <w:sz w:val="32"/>
          <w:szCs w:val="32"/>
        </w:rPr>
      </w:pPr>
    </w:p>
    <w:p>
      <w:pPr>
        <w:pStyle w:val="3"/>
        <w:numPr>
          <w:ilvl w:val="0"/>
          <w:numId w:val="14"/>
        </w:numPr>
        <w:spacing w:after="120" w:line="240" w:lineRule="auto"/>
        <w:outlineLvl w:val="2"/>
        <w:rPr>
          <w:rFonts w:cs="微软雅黑" w:asciiTheme="minorEastAsia" w:hAnsiTheme="minorEastAsia" w:eastAsiaTheme="minorEastAsia"/>
          <w:sz w:val="32"/>
          <w:szCs w:val="32"/>
        </w:rPr>
      </w:pPr>
      <w:r>
        <w:rPr>
          <w:rFonts w:hint="eastAsia" w:cs="微软雅黑" w:asciiTheme="minorEastAsia" w:hAnsiTheme="minorEastAsia" w:eastAsiaTheme="minorEastAsia"/>
          <w:sz w:val="32"/>
          <w:szCs w:val="32"/>
        </w:rPr>
        <w:t>智慧学习内容库</w:t>
      </w:r>
    </w:p>
    <w:tbl>
      <w:tblPr>
        <w:tblStyle w:val="27"/>
        <w:tblW w:w="8080" w:type="dxa"/>
        <w:tblInd w:w="0" w:type="dxa"/>
        <w:tblLayout w:type="fixed"/>
        <w:tblCellMar>
          <w:top w:w="0" w:type="dxa"/>
          <w:left w:w="108" w:type="dxa"/>
          <w:bottom w:w="0" w:type="dxa"/>
          <w:right w:w="108" w:type="dxa"/>
        </w:tblCellMar>
      </w:tblPr>
      <w:tblGrid>
        <w:gridCol w:w="1985"/>
        <w:gridCol w:w="6095"/>
      </w:tblGrid>
      <w:tr>
        <w:tblPrEx>
          <w:tblCellMar>
            <w:top w:w="0" w:type="dxa"/>
            <w:left w:w="108" w:type="dxa"/>
            <w:bottom w:w="0" w:type="dxa"/>
            <w:right w:w="108" w:type="dxa"/>
          </w:tblCellMar>
        </w:tblPrEx>
        <w:trPr>
          <w:trHeight w:val="313"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微软雅黑" w:asciiTheme="minorEastAsia" w:hAnsiTheme="minorEastAsia" w:eastAsiaTheme="minorEastAsia"/>
                <w:szCs w:val="21"/>
              </w:rPr>
            </w:pPr>
            <w:r>
              <w:rPr>
                <w:rFonts w:hint="eastAsia" w:cs="微软雅黑" w:asciiTheme="minorEastAsia" w:hAnsiTheme="minorEastAsia" w:eastAsiaTheme="minorEastAsia"/>
                <w:szCs w:val="21"/>
              </w:rPr>
              <w:t>智慧学习内容库</w:t>
            </w:r>
          </w:p>
        </w:tc>
        <w:tc>
          <w:tcPr>
            <w:tcW w:w="6095" w:type="dxa"/>
            <w:tcBorders>
              <w:top w:val="single" w:color="auto" w:sz="4" w:space="0"/>
              <w:left w:val="single" w:color="auto" w:sz="4" w:space="0"/>
              <w:bottom w:val="single" w:color="auto" w:sz="4" w:space="0"/>
              <w:right w:val="single" w:color="auto" w:sz="4" w:space="0"/>
            </w:tcBorders>
          </w:tcPr>
          <w:p>
            <w:r>
              <w:rPr>
                <w:rFonts w:hint="eastAsia"/>
              </w:rPr>
              <w:t>要为智慧学习系统提供对应的学习内容库。</w:t>
            </w:r>
          </w:p>
          <w:p>
            <w:pPr>
              <w:numPr>
                <w:ilvl w:val="0"/>
                <w:numId w:val="22"/>
              </w:numPr>
            </w:pPr>
            <w:r>
              <w:rPr>
                <w:rFonts w:hint="eastAsia"/>
              </w:rPr>
              <w:t>可访问学前教育专业数字化资源数量不少于10000条。要有幼儿园课程概述、幼儿园科学教育活动设计与实施、幼儿园美术教育活动设计与实施、儿童发展心理学、学前教育研究方法等类别的资源。</w:t>
            </w:r>
          </w:p>
          <w:p>
            <w:pPr>
              <w:pStyle w:val="2"/>
              <w:numPr>
                <w:ilvl w:val="0"/>
                <w:numId w:val="22"/>
              </w:numPr>
              <w:ind w:left="0" w:leftChars="0" w:firstLine="0" w:firstLineChars="0"/>
            </w:pPr>
            <w:r>
              <w:rPr>
                <w:rFonts w:hint="eastAsia"/>
              </w:rPr>
              <w:t>可访问水利水电建筑工程专业数字化资源数量不少于10000条。要有水利工程制图、水利工程造价与招投标、水力分析与计算、水利工程经济、水工建筑物等类别的资源。</w:t>
            </w:r>
          </w:p>
          <w:p>
            <w:pPr>
              <w:pStyle w:val="2"/>
              <w:numPr>
                <w:ilvl w:val="0"/>
                <w:numId w:val="22"/>
              </w:numPr>
              <w:ind w:left="0" w:leftChars="0" w:firstLine="0" w:firstLineChars="0"/>
            </w:pPr>
            <w:r>
              <w:rPr>
                <w:rFonts w:hint="eastAsia"/>
              </w:rPr>
              <w:t>可访问网络技术专业数字化资源数量不少于10000条。要有网络工程规划与设计、综合布线、Web应用开发、网络运维管理技术、网络数据存储技术等类别的资源。</w:t>
            </w:r>
          </w:p>
          <w:p>
            <w:pPr>
              <w:pStyle w:val="2"/>
              <w:numPr>
                <w:ilvl w:val="0"/>
                <w:numId w:val="22"/>
              </w:numPr>
              <w:ind w:left="0" w:leftChars="0" w:firstLine="0" w:firstLineChars="0"/>
            </w:pPr>
            <w:r>
              <w:rPr>
                <w:rFonts w:hint="eastAsia"/>
              </w:rPr>
              <w:t>可访问工程测量技术专业数字化资源数量不少于10000条。要有地形测量、数字测图、工程测量、矿山测量、地籍与房产测量等类别的资源。</w:t>
            </w:r>
          </w:p>
          <w:p>
            <w:pPr>
              <w:pStyle w:val="2"/>
              <w:numPr>
                <w:ilvl w:val="0"/>
                <w:numId w:val="22"/>
              </w:numPr>
              <w:ind w:left="0" w:leftChars="0" w:firstLine="0" w:firstLineChars="0"/>
            </w:pPr>
            <w:r>
              <w:rPr>
                <w:rFonts w:hint="eastAsia"/>
              </w:rPr>
              <w:t>可访问</w:t>
            </w:r>
            <w:r>
              <w:t>艺术设计</w:t>
            </w:r>
            <w:r>
              <w:rPr>
                <w:rFonts w:hint="eastAsia"/>
              </w:rPr>
              <w:t>专业数字化资源数量不少于6000条。要有设计赏析、产品专题设计时尚文化商品设计、产品设计模型制作、企业案例等类别的资源。</w:t>
            </w:r>
          </w:p>
          <w:p>
            <w:pPr>
              <w:numPr>
                <w:ilvl w:val="0"/>
                <w:numId w:val="22"/>
              </w:numPr>
            </w:pPr>
            <w:r>
              <w:rPr>
                <w:rFonts w:hint="eastAsia"/>
              </w:rPr>
              <w:t>可访问电子商务专业数字化资源数量不少于4000条。要有网络营销、网络贸易、商务网站内容维护与管理、电子商务概论、电子商务法律法规等类别的资源。</w:t>
            </w:r>
          </w:p>
          <w:p>
            <w:pPr>
              <w:numPr>
                <w:ilvl w:val="0"/>
                <w:numId w:val="22"/>
              </w:numPr>
            </w:pPr>
            <w:r>
              <w:rPr>
                <w:rFonts w:hint="eastAsia"/>
              </w:rPr>
              <w:t>可访问空中乘务专业数字化资源数量不少于1000条。要有应急处置、空乘礼仪、民航概论、应急医疗、民航服务心理学等类别的资源。</w:t>
            </w:r>
          </w:p>
        </w:tc>
      </w:tr>
    </w:tbl>
    <w:p>
      <w:pPr>
        <w:pStyle w:val="3"/>
        <w:rPr>
          <w:rFonts w:cs="微软雅黑" w:asciiTheme="minorEastAsia" w:hAnsiTheme="minorEastAsia" w:eastAsiaTheme="minorEastAsia"/>
          <w:sz w:val="32"/>
          <w:szCs w:val="32"/>
        </w:rPr>
      </w:pPr>
    </w:p>
    <w:p>
      <w:pPr>
        <w:pStyle w:val="3"/>
        <w:numPr>
          <w:ilvl w:val="0"/>
          <w:numId w:val="14"/>
        </w:numPr>
        <w:spacing w:after="120" w:line="240" w:lineRule="auto"/>
        <w:outlineLvl w:val="2"/>
        <w:rPr>
          <w:rFonts w:cs="微软雅黑" w:asciiTheme="minorEastAsia" w:hAnsiTheme="minorEastAsia" w:eastAsiaTheme="minorEastAsia"/>
          <w:sz w:val="32"/>
          <w:szCs w:val="32"/>
        </w:rPr>
      </w:pPr>
      <w:r>
        <w:rPr>
          <w:rFonts w:hint="eastAsia" w:cs="微软雅黑" w:asciiTheme="minorEastAsia" w:hAnsiTheme="minorEastAsia" w:eastAsiaTheme="minorEastAsia"/>
          <w:sz w:val="32"/>
          <w:szCs w:val="32"/>
        </w:rPr>
        <w:t>支持与学校报名收费系统对接</w:t>
      </w:r>
    </w:p>
    <w:tbl>
      <w:tblPr>
        <w:tblStyle w:val="27"/>
        <w:tblW w:w="8080" w:type="dxa"/>
        <w:tblInd w:w="0" w:type="dxa"/>
        <w:tblLayout w:type="fixed"/>
        <w:tblCellMar>
          <w:top w:w="0" w:type="dxa"/>
          <w:left w:w="108" w:type="dxa"/>
          <w:bottom w:w="0" w:type="dxa"/>
          <w:right w:w="108" w:type="dxa"/>
        </w:tblCellMar>
      </w:tblPr>
      <w:tblGrid>
        <w:gridCol w:w="1985"/>
        <w:gridCol w:w="6095"/>
      </w:tblGrid>
      <w:tr>
        <w:tblPrEx>
          <w:tblCellMar>
            <w:top w:w="0" w:type="dxa"/>
            <w:left w:w="108" w:type="dxa"/>
            <w:bottom w:w="0" w:type="dxa"/>
            <w:right w:w="108" w:type="dxa"/>
          </w:tblCellMar>
        </w:tblPrEx>
        <w:trPr>
          <w:trHeight w:val="313"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微软雅黑" w:asciiTheme="minorEastAsia" w:hAnsiTheme="minorEastAsia" w:eastAsiaTheme="minorEastAsia"/>
                <w:szCs w:val="21"/>
              </w:rPr>
            </w:pPr>
            <w:r>
              <w:rPr>
                <w:rFonts w:hint="eastAsia" w:cs="微软雅黑" w:asciiTheme="minorEastAsia" w:hAnsiTheme="minorEastAsia" w:eastAsiaTheme="minorEastAsia"/>
                <w:szCs w:val="21"/>
              </w:rPr>
              <w:t>支持与学校报名收费系统对接</w:t>
            </w:r>
          </w:p>
        </w:tc>
        <w:tc>
          <w:tcPr>
            <w:tcW w:w="6095" w:type="dxa"/>
            <w:tcBorders>
              <w:top w:val="single" w:color="auto" w:sz="4" w:space="0"/>
              <w:left w:val="single" w:color="auto" w:sz="4" w:space="0"/>
              <w:bottom w:val="single" w:color="auto" w:sz="4" w:space="0"/>
              <w:right w:val="single" w:color="auto" w:sz="4" w:space="0"/>
            </w:tcBorders>
          </w:tcPr>
          <w:p>
            <w:pPr>
              <w:spacing w:line="360" w:lineRule="auto"/>
              <w:rPr>
                <w:rFonts w:cs="微软雅黑" w:asciiTheme="minorEastAsia" w:hAnsiTheme="minorEastAsia" w:eastAsiaTheme="minorEastAsia"/>
                <w:kern w:val="0"/>
                <w:szCs w:val="21"/>
              </w:rPr>
            </w:pPr>
            <w:r>
              <w:rPr>
                <w:rFonts w:hint="eastAsia" w:ascii="宋体" w:hAnsi="宋体" w:cs="宋体"/>
                <w:color w:val="111F2C"/>
                <w:szCs w:val="21"/>
                <w:shd w:val="clear" w:color="auto" w:fill="FFFFFF"/>
              </w:rPr>
              <w:t>（1）同步学校报名收费系统数据</w:t>
            </w:r>
            <w:r>
              <w:rPr>
                <w:rFonts w:hint="eastAsia" w:ascii="宋体" w:hAnsi="宋体" w:cs="宋体"/>
                <w:color w:val="111F2C"/>
                <w:szCs w:val="21"/>
                <w:shd w:val="clear" w:color="auto" w:fill="FFFFFF"/>
              </w:rPr>
              <w:br w:type="textWrapping"/>
            </w:r>
            <w:r>
              <w:rPr>
                <w:rFonts w:hint="eastAsia" w:ascii="宋体" w:hAnsi="宋体" w:cs="宋体"/>
                <w:color w:val="111F2C"/>
                <w:szCs w:val="21"/>
                <w:shd w:val="clear" w:color="auto" w:fill="FFFFFF"/>
              </w:rPr>
              <w:t>（2）支持退费管理，支持后台录入退费信息，支持管理员退费审核操作。</w:t>
            </w:r>
            <w:r>
              <w:rPr>
                <w:rFonts w:hint="eastAsia" w:ascii="宋体" w:hAnsi="宋体" w:cs="宋体"/>
                <w:color w:val="111F2C"/>
                <w:szCs w:val="21"/>
                <w:shd w:val="clear" w:color="auto" w:fill="FFFFFF"/>
              </w:rPr>
              <w:br w:type="textWrapping"/>
            </w:r>
            <w:r>
              <w:rPr>
                <w:rFonts w:hint="eastAsia" w:ascii="宋体" w:hAnsi="宋体" w:cs="宋体"/>
                <w:color w:val="111F2C"/>
                <w:szCs w:val="21"/>
                <w:shd w:val="clear" w:color="auto" w:fill="FFFFFF"/>
              </w:rPr>
              <w:t>（3）支持完整的数据交易记录查询，包括但不限于缴费记录、退费记录。</w:t>
            </w:r>
            <w:r>
              <w:rPr>
                <w:rFonts w:hint="eastAsia" w:ascii="宋体" w:hAnsi="宋体" w:cs="宋体"/>
                <w:color w:val="111F2C"/>
                <w:szCs w:val="21"/>
                <w:shd w:val="clear" w:color="auto" w:fill="FFFFFF"/>
              </w:rPr>
              <w:br w:type="textWrapping"/>
            </w:r>
            <w:r>
              <w:rPr>
                <w:rFonts w:hint="eastAsia" w:ascii="宋体" w:hAnsi="宋体" w:cs="宋体"/>
                <w:color w:val="111F2C"/>
                <w:szCs w:val="21"/>
                <w:shd w:val="clear" w:color="auto" w:fill="FFFFFF"/>
              </w:rPr>
              <w:t>（4）支持学生交费情况统计预警，支持各个阶段未交费的学生和已缴费学生的学分比较功能，支持详细学生欠费信息查询功能</w:t>
            </w:r>
          </w:p>
        </w:tc>
      </w:tr>
    </w:tbl>
    <w:p>
      <w:pPr>
        <w:pStyle w:val="3"/>
        <w:rPr>
          <w:rFonts w:cs="微软雅黑" w:asciiTheme="minorEastAsia" w:hAnsiTheme="minorEastAsia" w:eastAsiaTheme="minorEastAsia"/>
          <w:sz w:val="32"/>
          <w:szCs w:val="32"/>
        </w:rPr>
      </w:pPr>
    </w:p>
    <w:p>
      <w:pPr>
        <w:pStyle w:val="3"/>
        <w:numPr>
          <w:ilvl w:val="0"/>
          <w:numId w:val="14"/>
        </w:numPr>
        <w:spacing w:after="120" w:line="240" w:lineRule="auto"/>
        <w:outlineLvl w:val="2"/>
        <w:rPr>
          <w:rFonts w:cs="微软雅黑" w:asciiTheme="minorEastAsia" w:hAnsiTheme="minorEastAsia" w:eastAsiaTheme="minorEastAsia"/>
          <w:sz w:val="32"/>
          <w:szCs w:val="32"/>
        </w:rPr>
      </w:pPr>
      <w:r>
        <w:rPr>
          <w:rFonts w:hint="eastAsia" w:cs="微软雅黑" w:asciiTheme="minorEastAsia" w:hAnsiTheme="minorEastAsia" w:eastAsiaTheme="minorEastAsia"/>
          <w:sz w:val="32"/>
          <w:szCs w:val="32"/>
        </w:rPr>
        <w:t>数字媒体资产平台服务</w:t>
      </w:r>
    </w:p>
    <w:tbl>
      <w:tblPr>
        <w:tblStyle w:val="27"/>
        <w:tblW w:w="8080" w:type="dxa"/>
        <w:tblInd w:w="0" w:type="dxa"/>
        <w:tblLayout w:type="fixed"/>
        <w:tblCellMar>
          <w:top w:w="0" w:type="dxa"/>
          <w:left w:w="108" w:type="dxa"/>
          <w:bottom w:w="0" w:type="dxa"/>
          <w:right w:w="108" w:type="dxa"/>
        </w:tblCellMar>
      </w:tblPr>
      <w:tblGrid>
        <w:gridCol w:w="1985"/>
        <w:gridCol w:w="6095"/>
      </w:tblGrid>
      <w:tr>
        <w:tblPrEx>
          <w:tblCellMar>
            <w:top w:w="0" w:type="dxa"/>
            <w:left w:w="108" w:type="dxa"/>
            <w:bottom w:w="0" w:type="dxa"/>
            <w:right w:w="108" w:type="dxa"/>
          </w:tblCellMar>
        </w:tblPrEx>
        <w:trPr>
          <w:trHeight w:val="313"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微软雅黑" w:asciiTheme="minorEastAsia" w:hAnsiTheme="minorEastAsia" w:eastAsiaTheme="minorEastAsia"/>
                <w:szCs w:val="21"/>
              </w:rPr>
            </w:pPr>
            <w:r>
              <w:rPr>
                <w:rFonts w:hint="eastAsia" w:cs="微软雅黑" w:asciiTheme="minorEastAsia" w:hAnsiTheme="minorEastAsia" w:eastAsiaTheme="minorEastAsia"/>
                <w:szCs w:val="21"/>
              </w:rPr>
              <w:t>内容收集</w:t>
            </w:r>
          </w:p>
        </w:tc>
        <w:tc>
          <w:tcPr>
            <w:tcW w:w="6095" w:type="dxa"/>
            <w:tcBorders>
              <w:top w:val="single" w:color="auto" w:sz="4" w:space="0"/>
              <w:left w:val="single" w:color="auto" w:sz="4" w:space="0"/>
              <w:bottom w:val="single" w:color="auto" w:sz="4" w:space="0"/>
              <w:right w:val="single" w:color="auto" w:sz="4" w:space="0"/>
            </w:tcBorders>
          </w:tcPr>
          <w:p>
            <w:pPr>
              <w:numPr>
                <w:ilvl w:val="0"/>
                <w:numId w:val="23"/>
              </w:numPr>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文件格式要求</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平台需要收集的资料文件包括视频、音频、图片、文档、其它文件（如压缩文件）等，为减少相关人员对原始资料的处理。</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平台应默认支持以下具体文件格式上传：</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视频格式：mp4|avi|mov|flv|webm；音频文件格式：ogv|m4v|oga|mp3|wmv；图片文件格式：jpg|jpeg|gif|png；文档文件格式：doc|docx|xls|xlsx|ppt|pptx|PDF；其它文件格式：zip|rar</w:t>
            </w:r>
          </w:p>
          <w:p>
            <w:pPr>
              <w:numPr>
                <w:ilvl w:val="0"/>
                <w:numId w:val="23"/>
              </w:numPr>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要求平台能够提供公共区域</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公共区域用途：用于单位内部可以公开的内容，保密级别不高，只要登录该系统就可以检索、查看。</w:t>
            </w:r>
            <w:r>
              <w:rPr>
                <w:rFonts w:hint="eastAsia" w:cs="微软雅黑" w:asciiTheme="minorEastAsia" w:hAnsiTheme="minorEastAsia" w:eastAsiaTheme="minorEastAsia"/>
                <w:szCs w:val="21"/>
              </w:rPr>
              <w:br w:type="textWrapping"/>
            </w:r>
            <w:r>
              <w:rPr>
                <w:rFonts w:hint="eastAsia" w:cs="微软雅黑" w:asciiTheme="minorEastAsia" w:hAnsiTheme="minorEastAsia" w:eastAsiaTheme="minorEastAsia"/>
                <w:szCs w:val="21"/>
              </w:rPr>
              <w:t>公共区域功能要求：</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上传到公共区域的文件需要对访问做控制，需要满足以下功能：</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1.可以开启公共区域访问需要账号登陆才能查看使用其内文件。</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2.可以设置公共区域内容访问只有指定人员才允许查看使用。</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3.对于公共区域内的文件，可以指定授权多人进行管理，而且只有授权过的人员才允许对公共区域内的文件进行上传编辑更新删除等操作。</w:t>
            </w:r>
          </w:p>
          <w:p>
            <w:pPr>
              <w:numPr>
                <w:ilvl w:val="0"/>
                <w:numId w:val="23"/>
              </w:numPr>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要求提供保密区功能</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保密区用途：每个部门可以根据自己的需要创建保密区用于存放需要保密的内容。</w:t>
            </w:r>
            <w:r>
              <w:rPr>
                <w:rFonts w:hint="eastAsia" w:cs="微软雅黑" w:asciiTheme="minorEastAsia" w:hAnsiTheme="minorEastAsia" w:eastAsiaTheme="minorEastAsia"/>
                <w:szCs w:val="21"/>
              </w:rPr>
              <w:br w:type="textWrapping"/>
            </w:r>
            <w:r>
              <w:rPr>
                <w:rFonts w:hint="eastAsia" w:cs="微软雅黑" w:asciiTheme="minorEastAsia" w:hAnsiTheme="minorEastAsia" w:eastAsiaTheme="minorEastAsia"/>
                <w:szCs w:val="21"/>
              </w:rPr>
              <w:t>保密区的功能要求：</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1.只有被授权的人员可以创建保密区，为满足多种使用需求，创建的保密区可以划分多级。</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2.保密区的使用权限由创建者管理，实行谁创建谁管理的原则。由创建人指定其创建的保密区允许哪些人可以访问保密区里的文件，哪些人可以对该保密区内的文件进行编辑更新删除等的管理操作。</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3.指定保密区创建授权时，可以为被授权人员指定助理人员，使助理和创建人有相同的管理权限，方便实际工作的管理和开展进行。被授权人员在创建活动时也同时授权其助理协助管理活动。</w:t>
            </w:r>
          </w:p>
          <w:p>
            <w:pPr>
              <w:pStyle w:val="5"/>
              <w:rPr>
                <w:rFonts w:cs="微软雅黑" w:asciiTheme="minorEastAsia" w:hAnsiTheme="minorEastAsia" w:eastAsiaTheme="minorEastAsia"/>
                <w:b w:val="0"/>
                <w:bCs w:val="0"/>
                <w:sz w:val="21"/>
                <w:szCs w:val="21"/>
              </w:rPr>
            </w:pPr>
            <w:r>
              <w:rPr>
                <w:rFonts w:hint="eastAsia" w:cs="微软雅黑" w:asciiTheme="minorEastAsia" w:hAnsiTheme="minorEastAsia" w:eastAsiaTheme="minorEastAsia"/>
                <w:b w:val="0"/>
                <w:sz w:val="21"/>
                <w:szCs w:val="21"/>
              </w:rPr>
              <w:t>4.被授权访问和管理保密区的人员可以在平台看到该保密区，并可以直接在该保密区下边上传文件。未被授权的人员不可见该保密区，无法使用该保密区。</w:t>
            </w:r>
          </w:p>
          <w:p>
            <w:pPr>
              <w:numPr>
                <w:ilvl w:val="0"/>
                <w:numId w:val="23"/>
              </w:numPr>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要求提供活动功能</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通过活动的管理方式进行日常工作内容的收集，可以使资料的收集组织明确、条理清晰，后续查找及使用都更快捷方便。</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活动的功能及要求：</w:t>
            </w:r>
          </w:p>
          <w:p>
            <w:pPr>
              <w:pStyle w:val="6"/>
              <w:numPr>
                <w:ilvl w:val="2"/>
                <w:numId w:val="0"/>
              </w:numPr>
              <w:rPr>
                <w:rFonts w:cs="微软雅黑"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rPr>
              <w:t>活动的创建</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1.日常工作需要收集资料分一次性和重复性两种情况，创建的活动也要分单次和多次。</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2.单位内部收集资料的活动可以在创建时直接从组织机构的账号里选择。对于涉及到单位外部人员的资料收集时，只需要提供凭手机号码加短信验证码即可参与活动资料提交，无需事先在平台里创建账号，让活动资料收集更快速高效。</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3.支持上报资料时进行填表，方便上报文件时附加汇总的信息，需要能在线自定义表单，根据实际活动进行调整填表内容，并且需要支持单人多条记录填写上报，满足信息收集的完整性和便利性。</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4.平台需要对上报的表单信息进行汇总处理，供负责人下载汇总后的表格信息文件，解决需要人工整理的传统的低效方式。</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5.支持自定义表单内容，至少需要包含：单行输入框、多行输入框、开关、单选框列表、多选框列表、选择下拉框、日期选择器、时间选择器。并可以设置每一项表单标题，是否是必填项以及输入提示文字。</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6.活动上报内容分类可以多级，应支持多种创建方式，如手工创建；按指定人员名称生成分类；按指定人员单位名称生成分类；按指定人员部门生成分类；按excel模板导入生成分类；按已有活动分类进行创建。</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7.一次活动的单人上报文件数量需要做控制，防止跟本次活动无关的资料大量上传，影响正常文件审核及使用，并占用了服务器大量的宝贵存储空间。</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8.提交资料的按钮名称可以根据活动主题进行自定义设置，比如有些资料是汇报用的，提交按钮名字可以改为显示上报，有些资料是仅上传存档用，可以改为显示上传，这梓对资料提交人员来讲，更易于理解并完成其工作。</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9.活动封面可以使用默认的，也可以在创建活动时上传，让活动收集更清晰、易于查找。</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10.活动开始前可以给相关人员发送提醒，应提供可以根据活动实际情况设置通知时间，可以在活动开始前10分钟、1小时、1天就提醒相关人员进行关注，也可以在活动开始时提醒，其它情况下也可以自定义通知时间，长期的活动或经常性的活动也可以设置不用提醒。</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11.活动的创建可以是根据之前的活动来新建下一次活动，活动相关信息可以由原活动导入。</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12.活动创建时支持指定活动负责人信息。</w:t>
            </w:r>
          </w:p>
          <w:p>
            <w:pPr>
              <w:pStyle w:val="6"/>
              <w:numPr>
                <w:ilvl w:val="2"/>
                <w:numId w:val="0"/>
              </w:numPr>
              <w:rPr>
                <w:rFonts w:cs="微软雅黑"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rPr>
              <w:t>活动的权限设计</w:t>
            </w:r>
          </w:p>
          <w:p>
            <w:pPr>
              <w:numPr>
                <w:ilvl w:val="0"/>
                <w:numId w:val="24"/>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根据实际活动中需要上传人员的不同，需要能设置多种上传人方式。</w:t>
            </w:r>
          </w:p>
          <w:p>
            <w:pPr>
              <w:numPr>
                <w:ilvl w:val="0"/>
                <w:numId w:val="24"/>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可以设置有账号的人员登陆后即可对活动进行资料上传。</w:t>
            </w:r>
          </w:p>
          <w:p>
            <w:pPr>
              <w:numPr>
                <w:ilvl w:val="0"/>
                <w:numId w:val="24"/>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可以设置不限制上传人，这样只要凭手机号码和短信验证码即可以自由上传，适合于面向不特定上传人的活动。</w:t>
            </w:r>
          </w:p>
          <w:p>
            <w:pPr>
              <w:numPr>
                <w:ilvl w:val="0"/>
                <w:numId w:val="24"/>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可以指定有平台账号的特定人员，适合于针对性强的活动资料收集。</w:t>
            </w:r>
          </w:p>
          <w:p>
            <w:pPr>
              <w:numPr>
                <w:ilvl w:val="0"/>
                <w:numId w:val="24"/>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可以指定其它活动中的参与人员参与该次活动，减少活动创建者指定人员的工作量。</w:t>
            </w:r>
          </w:p>
          <w:p>
            <w:pPr>
              <w:numPr>
                <w:ilvl w:val="0"/>
                <w:numId w:val="24"/>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可以按表格导入活动参与人员，方便结合其它工作中的相关资料减少活动创建者指定人员的工作量。</w:t>
            </w:r>
          </w:p>
          <w:p>
            <w:pPr>
              <w:numPr>
                <w:ilvl w:val="0"/>
                <w:numId w:val="24"/>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指定协助审核人员。需要提供活动内的协助审核人员，使在收集资料比较多的情况下可以多人参与审核，提高活动进行效率。</w:t>
            </w:r>
          </w:p>
          <w:p>
            <w:pPr>
              <w:numPr>
                <w:ilvl w:val="0"/>
                <w:numId w:val="24"/>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活动内容访问权限。活动收集的资料可以对登陆平台的用户开放使用，也要可以指定部分人员才能使用。为方便指定人员，也要可以指定对相关活动参与人员开放使用。</w:t>
            </w:r>
          </w:p>
          <w:p>
            <w:pPr>
              <w:pStyle w:val="6"/>
              <w:numPr>
                <w:ilvl w:val="2"/>
                <w:numId w:val="0"/>
              </w:numPr>
              <w:rPr>
                <w:rFonts w:cs="微软雅黑"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rPr>
              <w:t xml:space="preserve">活动的通知  </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1.系统可以主动给参与用户发送短信、钉钉、微信等提醒推送信息。便于相关人员及时开展指定工作。</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2.短信通知是为了方便通知到具体的上传人员，不用再由负责人费时费力的一个个人员去通知。短信里有上传链接，打开可以查看具体的要求，减轻相关人员的沟通负担，也方便上传人员即时上报不用再抽时间特意登陆系统上报，降低收集资料门槛和提高资料收集的效率。</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3.二维码方式，方便通知到相关工作群， 平台跟公众号对接，扫一扫直接进入。</w:t>
            </w:r>
          </w:p>
          <w:p>
            <w:pPr>
              <w:pStyle w:val="6"/>
              <w:numPr>
                <w:ilvl w:val="2"/>
                <w:numId w:val="0"/>
              </w:numPr>
              <w:rPr>
                <w:rFonts w:cs="微软雅黑"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rPr>
              <w:t xml:space="preserve"> 活动的资料上报</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1.为便于上报资料到相应的活动里边，平台里应提供类似任务列表的待上传管理。</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2.活动参与人员可以根据其收到的短信链接地址进行资料上报。比较适合于在平台没有账号的人员参与活动的资料上报。</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3.对于需要进行填表信息的活动，在资料进行上报时需要在线填写活动自定义的表单信息。填表功能无需另外安装插件，自适应多终端显示供填写。根据活动创建时设置，可以上报单条信息或上报多条信息。平台会把所有人的所有填表信息自动汇总成一张表格供下载使用。</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4.活动查看页面上提供文件上报二维码，方便在公开场合让多数人进行手机扫码后上传文件。</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5.当前活动到期后，可以按需要打开重新开放上报时间，上报开放时间可以自定义。方便资料进一步收集完善。</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6.当前活动到期后，可以按需要针对某几个参与人员短时间内开放上报，可以通过短信或使用二维码的方式通知这些人员进行上报，上报开放时间可以自定义，方便资料进一步收集完善。</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7.活动查看页面上提供编辑活动二维码，管理人员可以通过手机扫码进行活动信息修改编辑，使活动资料上报信息更清晰准确。</w:t>
            </w:r>
          </w:p>
          <w:p>
            <w:pPr>
              <w:pStyle w:val="6"/>
              <w:numPr>
                <w:ilvl w:val="2"/>
                <w:numId w:val="0"/>
              </w:numPr>
              <w:rPr>
                <w:rFonts w:cs="微软雅黑"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rPr>
              <w:t>活动的内容审核</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对需要审核的活动文件，平台提供按活动方式入口的审核内容。</w:t>
            </w:r>
            <w:r>
              <w:rPr>
                <w:rFonts w:hint="eastAsia" w:cs="微软雅黑" w:asciiTheme="minorEastAsia" w:hAnsiTheme="minorEastAsia" w:eastAsiaTheme="minorEastAsia"/>
                <w:szCs w:val="21"/>
              </w:rPr>
              <w:br w:type="textWrapping"/>
            </w:r>
            <w:r>
              <w:rPr>
                <w:rFonts w:hint="eastAsia" w:cs="微软雅黑" w:asciiTheme="minorEastAsia" w:hAnsiTheme="minorEastAsia" w:eastAsiaTheme="minorEastAsia"/>
                <w:szCs w:val="21"/>
              </w:rPr>
              <w:t>活动的统计</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1.需要提供活动进行情况 ，包括已上传人数统计及上传人的完成情况，对于未完成上报的人员，可以通过平台再次提醒其进行资料上报。</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2.需要提供按时间轴方式的人员上报记录。便于了解活动的进行情况分析。</w:t>
            </w:r>
          </w:p>
          <w:p>
            <w:pPr>
              <w:pStyle w:val="6"/>
              <w:numPr>
                <w:ilvl w:val="2"/>
                <w:numId w:val="0"/>
              </w:numPr>
              <w:rPr>
                <w:rFonts w:cs="微软雅黑"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rPr>
              <w:t>活动的分期</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1.日常工作中会有许多重复的活动，对于同一主题的多次活动可以做为一个分期活动集合，分期活动里每一期活动都可以做为一个单独的活动存在。</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2.多期活动可以根据活动的开始时间按时间轴方式显现，方便翻动查看。</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3.在最后一期活动查看界面提供新建下一期活动的入口，便于及时开展后续工作。</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4.对于日常的工作内容收集，如果需要有周期性的多期的活动，在创建活动时可以直接使用多期活动设置，并可以设置开始和结束时间内一次生成多期活动，这样就无需频繁的去手工创建。</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5.对于自动生成的多期活动，其活动名称可以设置是否显示期数，节省活动信息修改的维护工作。</w:t>
            </w:r>
          </w:p>
          <w:p>
            <w:pPr>
              <w:pStyle w:val="6"/>
              <w:numPr>
                <w:ilvl w:val="2"/>
                <w:numId w:val="0"/>
              </w:numPr>
              <w:rPr>
                <w:rFonts w:cs="微软雅黑"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rPr>
              <w:t>活动的打包下载</w:t>
            </w:r>
          </w:p>
          <w:p>
            <w:pPr>
              <w:pStyle w:val="5"/>
              <w:rPr>
                <w:rFonts w:cs="微软雅黑" w:asciiTheme="minorEastAsia" w:hAnsiTheme="minorEastAsia" w:eastAsiaTheme="minorEastAsia"/>
                <w:b w:val="0"/>
                <w:bCs w:val="0"/>
                <w:sz w:val="21"/>
                <w:szCs w:val="21"/>
              </w:rPr>
            </w:pPr>
            <w:r>
              <w:rPr>
                <w:rFonts w:hint="eastAsia" w:cs="微软雅黑" w:asciiTheme="minorEastAsia" w:hAnsiTheme="minorEastAsia" w:eastAsiaTheme="minorEastAsia"/>
                <w:b w:val="0"/>
                <w:sz w:val="21"/>
                <w:szCs w:val="21"/>
              </w:rPr>
              <w:t>需要提供活动的打包下载功能，方便在活动文件收集后可以一次性完整下载。打包下载的内容需要按在平台里的分类创建相应文件夹进行自动整理。</w:t>
            </w:r>
          </w:p>
          <w:p>
            <w:pPr>
              <w:numPr>
                <w:ilvl w:val="0"/>
                <w:numId w:val="23"/>
              </w:numPr>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要求提供多终端支持</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活动资料上报人员可以有多种选择上报方式，根据实际情况，至少要提供PC网页端上传、PC客户端上传、手机及平板设备的在线上传。</w:t>
            </w:r>
          </w:p>
          <w:p>
            <w:pPr>
              <w:pStyle w:val="8"/>
              <w:rPr>
                <w:rFonts w:cs="微软雅黑" w:asciiTheme="minorEastAsia" w:hAnsiTheme="minorEastAsia" w:eastAsiaTheme="minorEastAsia"/>
                <w:b w:val="0"/>
                <w:bCs/>
                <w:sz w:val="21"/>
                <w:szCs w:val="21"/>
              </w:rPr>
            </w:pPr>
            <w:r>
              <w:rPr>
                <w:rFonts w:hint="eastAsia" w:cs="微软雅黑" w:asciiTheme="minorEastAsia" w:hAnsiTheme="minorEastAsia" w:eastAsiaTheme="minorEastAsia"/>
                <w:b w:val="0"/>
                <w:bCs/>
                <w:sz w:val="21"/>
                <w:szCs w:val="21"/>
              </w:rPr>
              <w:t>PC网页端上报需要支持以下功能：</w:t>
            </w:r>
          </w:p>
          <w:p>
            <w:pPr>
              <w:numPr>
                <w:ilvl w:val="0"/>
                <w:numId w:val="25"/>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支持批量上传资料。批量选择文件后，可以对要上传保存的文件单独修改名称，添加文件说明，也可以批量指定标签、地址信息，并可以选择是否修改文件初始日期。</w:t>
            </w:r>
          </w:p>
          <w:p>
            <w:pPr>
              <w:numPr>
                <w:ilvl w:val="0"/>
                <w:numId w:val="25"/>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可以在上传界面查看已选择的文件名称及大小，对于不需要上传的文件，可以从待上传列表里选择删除。</w:t>
            </w:r>
          </w:p>
          <w:p>
            <w:pPr>
              <w:numPr>
                <w:ilvl w:val="0"/>
                <w:numId w:val="25"/>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在权限允许的情况下，支持文件上传到公共区域、保密区域，另支持按活动方式进行选择资料上报。</w:t>
            </w:r>
          </w:p>
          <w:p>
            <w:pPr>
              <w:numPr>
                <w:ilvl w:val="0"/>
                <w:numId w:val="25"/>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对于有需要补录的活动，有单独补录资料入口。上传方式跟普通资料上传一样。</w:t>
            </w:r>
          </w:p>
          <w:p>
            <w:pPr>
              <w:pStyle w:val="8"/>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PC客户端除了支持网页端的功能外还需要支持以下功能：</w:t>
            </w:r>
          </w:p>
          <w:p>
            <w:pPr>
              <w:numPr>
                <w:ilvl w:val="0"/>
                <w:numId w:val="26"/>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提供文件夹导入功能，对于电脑上已经整理好的资料，可以带文件夹批量上传，并保持原有层级结构不变，无需二次整理。</w:t>
            </w:r>
          </w:p>
          <w:p>
            <w:pPr>
              <w:numPr>
                <w:ilvl w:val="0"/>
                <w:numId w:val="26"/>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支持断点续传功能。</w:t>
            </w:r>
          </w:p>
          <w:p>
            <w:pPr>
              <w:numPr>
                <w:ilvl w:val="0"/>
                <w:numId w:val="26"/>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可以根据创建活动时定义好的分类来选择上传文件的分类。</w:t>
            </w:r>
          </w:p>
          <w:p>
            <w:pPr>
              <w:numPr>
                <w:ilvl w:val="0"/>
                <w:numId w:val="26"/>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应可以直观的展示出当前文件上传的状态，可以时实反映出文件名称、大小、状态、上传进度、上传速度、剩余时间、用时信息等。</w:t>
            </w:r>
          </w:p>
          <w:p>
            <w:pPr>
              <w:pStyle w:val="8"/>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手机端需要满足：</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应使用HTML5技术，跨平台，适配多终端，可以上传手机里保存的图片和视频，还可以调用手机摄像头进行拍照、录像进行上传。</w:t>
            </w:r>
          </w:p>
          <w:p>
            <w:pPr>
              <w:numPr>
                <w:ilvl w:val="0"/>
                <w:numId w:val="23"/>
              </w:numPr>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提供便于历史资料的收集功能</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1.平台需要合理组织历史资料的收集上传方式，即可以实现资料收集的完整性，又便于跟日常资料的收集进行区分。</w:t>
            </w:r>
          </w:p>
          <w:p>
            <w:pPr>
              <w:pStyle w:val="5"/>
              <w:rPr>
                <w:rFonts w:asciiTheme="minorEastAsia" w:hAnsiTheme="minorEastAsia" w:eastAsiaTheme="minorEastAsia"/>
              </w:rPr>
            </w:pPr>
            <w:r>
              <w:rPr>
                <w:rFonts w:hint="eastAsia" w:cs="微软雅黑" w:asciiTheme="minorEastAsia" w:hAnsiTheme="minorEastAsia" w:eastAsiaTheme="minorEastAsia"/>
                <w:b w:val="0"/>
                <w:sz w:val="21"/>
                <w:szCs w:val="21"/>
              </w:rPr>
              <w:t>2.对于多期的活动，平台需要提供历史活动资料的补录功能，使补录的资料跟正常的资料无缝结合，可按时间轴的方式进行展示查看。</w:t>
            </w:r>
          </w:p>
        </w:tc>
      </w:tr>
      <w:tr>
        <w:tblPrEx>
          <w:tblCellMar>
            <w:top w:w="0" w:type="dxa"/>
            <w:left w:w="108" w:type="dxa"/>
            <w:bottom w:w="0" w:type="dxa"/>
            <w:right w:w="108" w:type="dxa"/>
          </w:tblCellMar>
        </w:tblPrEx>
        <w:trPr>
          <w:trHeight w:val="313"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微软雅黑" w:asciiTheme="minorEastAsia" w:hAnsiTheme="minorEastAsia" w:eastAsiaTheme="minorEastAsia"/>
                <w:szCs w:val="21"/>
              </w:rPr>
            </w:pPr>
            <w:r>
              <w:rPr>
                <w:rFonts w:hint="eastAsia" w:cs="微软雅黑" w:asciiTheme="minorEastAsia" w:hAnsiTheme="minorEastAsia" w:eastAsiaTheme="minorEastAsia"/>
                <w:szCs w:val="21"/>
              </w:rPr>
              <w:t>内容检索</w:t>
            </w:r>
          </w:p>
        </w:tc>
        <w:tc>
          <w:tcPr>
            <w:tcW w:w="6095" w:type="dxa"/>
            <w:tcBorders>
              <w:top w:val="single" w:color="auto" w:sz="4" w:space="0"/>
              <w:left w:val="single" w:color="auto" w:sz="4" w:space="0"/>
              <w:bottom w:val="single" w:color="auto" w:sz="4" w:space="0"/>
              <w:right w:val="single" w:color="auto" w:sz="4" w:space="0"/>
            </w:tcBorders>
          </w:tcPr>
          <w:p>
            <w:pPr>
              <w:numPr>
                <w:ilvl w:val="0"/>
                <w:numId w:val="27"/>
              </w:numPr>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文件检索</w:t>
            </w:r>
          </w:p>
          <w:p>
            <w:pPr>
              <w:rPr>
                <w:rFonts w:cs="微软雅黑" w:asciiTheme="minorEastAsia" w:hAnsiTheme="minorEastAsia" w:eastAsiaTheme="minorEastAsia"/>
              </w:rPr>
            </w:pPr>
            <w:r>
              <w:rPr>
                <w:rFonts w:hint="eastAsia" w:cs="微软雅黑" w:asciiTheme="minorEastAsia" w:hAnsiTheme="minorEastAsia" w:eastAsiaTheme="minorEastAsia"/>
              </w:rPr>
              <w:t>在自己权限内的文件，可以通过多种检索方式查找使用。</w:t>
            </w:r>
          </w:p>
          <w:p>
            <w:pPr>
              <w:pStyle w:val="8"/>
              <w:ind w:left="420"/>
              <w:rPr>
                <w:rFonts w:cs="微软雅黑" w:asciiTheme="minorEastAsia" w:hAnsiTheme="minorEastAsia" w:eastAsiaTheme="minorEastAsia"/>
                <w:b w:val="0"/>
                <w:bCs/>
                <w:sz w:val="21"/>
                <w:szCs w:val="21"/>
              </w:rPr>
            </w:pPr>
            <w:r>
              <w:rPr>
                <w:rFonts w:hint="eastAsia" w:cs="微软雅黑" w:asciiTheme="minorEastAsia" w:hAnsiTheme="minorEastAsia" w:eastAsiaTheme="minorEastAsia"/>
                <w:b w:val="0"/>
                <w:bCs/>
                <w:sz w:val="21"/>
                <w:szCs w:val="21"/>
              </w:rPr>
              <w:t>需要提供全文检索功能，方便使用人快速、全面的调取相关资料。</w:t>
            </w:r>
          </w:p>
          <w:p>
            <w:pPr>
              <w:rPr>
                <w:rFonts w:cs="微软雅黑" w:asciiTheme="minorEastAsia" w:hAnsiTheme="minorEastAsia" w:eastAsiaTheme="minorEastAsia"/>
              </w:rPr>
            </w:pPr>
            <w:r>
              <w:rPr>
                <w:rFonts w:hint="eastAsia" w:cs="微软雅黑" w:asciiTheme="minorEastAsia" w:hAnsiTheme="minorEastAsia" w:eastAsiaTheme="minorEastAsia"/>
              </w:rPr>
              <w:t>收集到平台的资料文件可以根据关键字检索到相关的全部文件，名称、内容、打的标签等，比如word、excel文档资料，要能检索到文档内容中的包含的相关信息，压缩包可以检索到压缩包内的文件的相关信息。</w:t>
            </w:r>
          </w:p>
          <w:p>
            <w:pPr>
              <w:pStyle w:val="8"/>
              <w:ind w:left="420"/>
              <w:rPr>
                <w:rFonts w:cs="微软雅黑" w:asciiTheme="minorEastAsia" w:hAnsiTheme="minorEastAsia" w:eastAsiaTheme="minorEastAsia"/>
                <w:b w:val="0"/>
                <w:bCs/>
                <w:sz w:val="21"/>
                <w:szCs w:val="21"/>
              </w:rPr>
            </w:pPr>
            <w:r>
              <w:rPr>
                <w:rFonts w:hint="eastAsia" w:cs="微软雅黑" w:asciiTheme="minorEastAsia" w:hAnsiTheme="minorEastAsia" w:eastAsiaTheme="minorEastAsia"/>
                <w:b w:val="0"/>
                <w:bCs/>
                <w:sz w:val="21"/>
                <w:szCs w:val="21"/>
              </w:rPr>
              <w:t>需要提供按文件类型进行筛选文件的功能</w:t>
            </w:r>
          </w:p>
          <w:p>
            <w:pPr>
              <w:pStyle w:val="8"/>
              <w:rPr>
                <w:rFonts w:cs="微软雅黑" w:asciiTheme="minorEastAsia" w:hAnsiTheme="minorEastAsia" w:eastAsiaTheme="minorEastAsia"/>
                <w:b w:val="0"/>
                <w:bCs/>
                <w:sz w:val="21"/>
                <w:szCs w:val="21"/>
              </w:rPr>
            </w:pPr>
            <w:r>
              <w:rPr>
                <w:rFonts w:hint="eastAsia" w:cs="微软雅黑" w:asciiTheme="minorEastAsia" w:hAnsiTheme="minorEastAsia" w:eastAsiaTheme="minorEastAsia"/>
                <w:b w:val="0"/>
                <w:bCs/>
                <w:sz w:val="21"/>
                <w:szCs w:val="21"/>
              </w:rPr>
              <w:t>平台里的文件应能根据文件类型归类到全部、图片、视频、文档、音频、其他，通过大的类别进行文件筛选查找。方便使用人批量、准确的调取相关资料。</w:t>
            </w:r>
          </w:p>
          <w:p>
            <w:pPr>
              <w:pStyle w:val="8"/>
              <w:ind w:left="420"/>
              <w:rPr>
                <w:rFonts w:cs="微软雅黑" w:asciiTheme="minorEastAsia" w:hAnsiTheme="minorEastAsia" w:eastAsiaTheme="minorEastAsia"/>
                <w:b w:val="0"/>
                <w:bCs/>
                <w:sz w:val="21"/>
                <w:szCs w:val="21"/>
              </w:rPr>
            </w:pPr>
            <w:r>
              <w:rPr>
                <w:rFonts w:hint="eastAsia" w:cs="微软雅黑" w:asciiTheme="minorEastAsia" w:hAnsiTheme="minorEastAsia" w:eastAsiaTheme="minorEastAsia"/>
                <w:b w:val="0"/>
                <w:bCs/>
                <w:sz w:val="21"/>
                <w:szCs w:val="21"/>
              </w:rPr>
              <w:t>按上传时间</w:t>
            </w:r>
          </w:p>
          <w:p>
            <w:pPr>
              <w:rPr>
                <w:rFonts w:cs="微软雅黑" w:asciiTheme="minorEastAsia" w:hAnsiTheme="minorEastAsia" w:eastAsiaTheme="minorEastAsia"/>
              </w:rPr>
            </w:pPr>
            <w:r>
              <w:rPr>
                <w:rFonts w:hint="eastAsia" w:cs="微软雅黑" w:asciiTheme="minorEastAsia" w:hAnsiTheme="minorEastAsia" w:eastAsiaTheme="minorEastAsia"/>
              </w:rPr>
              <w:t>应支持按文件上传成功的时间进行列表预览展示，可以按天来筛选。随着使用时间增加，日期越来越多，应可以搜索具体的某一天，更高效的来查找文件。</w:t>
            </w:r>
          </w:p>
          <w:p>
            <w:pPr>
              <w:pStyle w:val="8"/>
              <w:ind w:left="420"/>
              <w:rPr>
                <w:rFonts w:cs="微软雅黑" w:asciiTheme="minorEastAsia" w:hAnsiTheme="minorEastAsia" w:eastAsiaTheme="minorEastAsia"/>
                <w:b w:val="0"/>
                <w:bCs/>
                <w:sz w:val="21"/>
                <w:szCs w:val="21"/>
              </w:rPr>
            </w:pPr>
            <w:r>
              <w:rPr>
                <w:rFonts w:hint="eastAsia" w:cs="微软雅黑" w:asciiTheme="minorEastAsia" w:hAnsiTheme="minorEastAsia" w:eastAsiaTheme="minorEastAsia"/>
                <w:b w:val="0"/>
                <w:bCs/>
                <w:sz w:val="21"/>
                <w:szCs w:val="21"/>
              </w:rPr>
              <w:t>按创建时间</w:t>
            </w:r>
          </w:p>
          <w:p>
            <w:pPr>
              <w:rPr>
                <w:rFonts w:cs="微软雅黑" w:asciiTheme="minorEastAsia" w:hAnsiTheme="minorEastAsia" w:eastAsiaTheme="minorEastAsia"/>
              </w:rPr>
            </w:pPr>
            <w:r>
              <w:rPr>
                <w:rFonts w:hint="eastAsia" w:cs="微软雅黑" w:asciiTheme="minorEastAsia" w:hAnsiTheme="minorEastAsia" w:eastAsiaTheme="minorEastAsia"/>
              </w:rPr>
              <w:t>文件本身有创建的时间信息，平台应可以根据这个日期来展示，方便使用人员进行查找。应可以搜索具体的某一天。</w:t>
            </w:r>
          </w:p>
          <w:p>
            <w:pPr>
              <w:pStyle w:val="8"/>
              <w:ind w:left="420"/>
              <w:rPr>
                <w:rFonts w:cs="微软雅黑" w:asciiTheme="minorEastAsia" w:hAnsiTheme="minorEastAsia" w:eastAsiaTheme="minorEastAsia"/>
                <w:b w:val="0"/>
                <w:bCs/>
                <w:sz w:val="21"/>
                <w:szCs w:val="21"/>
              </w:rPr>
            </w:pPr>
            <w:r>
              <w:rPr>
                <w:rFonts w:hint="eastAsia" w:cs="微软雅黑" w:asciiTheme="minorEastAsia" w:hAnsiTheme="minorEastAsia" w:eastAsiaTheme="minorEastAsia"/>
                <w:b w:val="0"/>
                <w:bCs/>
                <w:sz w:val="21"/>
                <w:szCs w:val="21"/>
              </w:rPr>
              <w:t>按上传人</w:t>
            </w:r>
          </w:p>
          <w:p>
            <w:pPr>
              <w:rPr>
                <w:rFonts w:cs="微软雅黑" w:asciiTheme="minorEastAsia" w:hAnsiTheme="minorEastAsia" w:eastAsiaTheme="minorEastAsia"/>
              </w:rPr>
            </w:pPr>
            <w:r>
              <w:rPr>
                <w:rFonts w:hint="eastAsia" w:cs="微软雅黑" w:asciiTheme="minorEastAsia" w:hAnsiTheme="minorEastAsia" w:eastAsiaTheme="minorEastAsia"/>
              </w:rPr>
              <w:t>文件按不同的维度查找，会更方便快捷，其中，上传人是一个很重要的信息，应可按上传人筛选查看文件。人员太多时，应还可以搜索上传人。</w:t>
            </w:r>
          </w:p>
          <w:p>
            <w:pPr>
              <w:pStyle w:val="8"/>
              <w:ind w:left="420"/>
              <w:rPr>
                <w:rFonts w:cs="微软雅黑" w:asciiTheme="minorEastAsia" w:hAnsiTheme="minorEastAsia" w:eastAsiaTheme="minorEastAsia"/>
                <w:b w:val="0"/>
                <w:bCs/>
                <w:sz w:val="21"/>
                <w:szCs w:val="21"/>
              </w:rPr>
            </w:pPr>
            <w:r>
              <w:rPr>
                <w:rFonts w:hint="eastAsia" w:cs="微软雅黑" w:asciiTheme="minorEastAsia" w:hAnsiTheme="minorEastAsia" w:eastAsiaTheme="minorEastAsia"/>
                <w:b w:val="0"/>
                <w:bCs/>
                <w:sz w:val="21"/>
                <w:szCs w:val="21"/>
              </w:rPr>
              <w:t>按标签</w:t>
            </w:r>
          </w:p>
          <w:p>
            <w:pPr>
              <w:rPr>
                <w:rFonts w:cs="微软雅黑" w:asciiTheme="minorEastAsia" w:hAnsiTheme="minorEastAsia" w:eastAsiaTheme="minorEastAsia"/>
              </w:rPr>
            </w:pPr>
            <w:r>
              <w:rPr>
                <w:rFonts w:hint="eastAsia" w:cs="微软雅黑" w:asciiTheme="minorEastAsia" w:hAnsiTheme="minorEastAsia" w:eastAsiaTheme="minorEastAsia"/>
              </w:rPr>
              <w:t>文件上传时，应可以手动额外添加标签信息，应支持按标签查找文件。应可以搜索标签。</w:t>
            </w:r>
          </w:p>
          <w:p>
            <w:pPr>
              <w:pStyle w:val="8"/>
              <w:ind w:left="420"/>
              <w:rPr>
                <w:rFonts w:cs="微软雅黑" w:asciiTheme="minorEastAsia" w:hAnsiTheme="minorEastAsia" w:eastAsiaTheme="minorEastAsia"/>
                <w:b w:val="0"/>
                <w:bCs/>
                <w:sz w:val="21"/>
                <w:szCs w:val="21"/>
              </w:rPr>
            </w:pPr>
            <w:r>
              <w:rPr>
                <w:rFonts w:hint="eastAsia" w:cs="微软雅黑" w:asciiTheme="minorEastAsia" w:hAnsiTheme="minorEastAsia" w:eastAsiaTheme="minorEastAsia"/>
                <w:b w:val="0"/>
                <w:bCs/>
                <w:sz w:val="21"/>
                <w:szCs w:val="21"/>
              </w:rPr>
              <w:t>按地点</w:t>
            </w:r>
          </w:p>
          <w:p>
            <w:pPr>
              <w:rPr>
                <w:rFonts w:cs="微软雅黑" w:asciiTheme="minorEastAsia" w:hAnsiTheme="minorEastAsia" w:eastAsiaTheme="minorEastAsia"/>
              </w:rPr>
            </w:pPr>
            <w:r>
              <w:rPr>
                <w:rFonts w:hint="eastAsia" w:cs="微软雅黑" w:asciiTheme="minorEastAsia" w:hAnsiTheme="minorEastAsia" w:eastAsiaTheme="minorEastAsia"/>
              </w:rPr>
              <w:t>现在手机开启位置权限拍的照片都有地点定位信息，这些照片上传到平台后，会自动按地点进行标记，查找时应可以按地点进行筛选。地点太多时，应可以搜索具体的某个地点。</w:t>
            </w:r>
          </w:p>
          <w:p>
            <w:pPr>
              <w:rPr>
                <w:rFonts w:cs="微软雅黑" w:asciiTheme="minorEastAsia" w:hAnsiTheme="minorEastAsia" w:eastAsiaTheme="minorEastAsia"/>
              </w:rPr>
            </w:pPr>
            <w:r>
              <w:rPr>
                <w:rFonts w:hint="eastAsia" w:cs="微软雅黑" w:asciiTheme="minorEastAsia" w:hAnsiTheme="minorEastAsia" w:eastAsiaTheme="minorEastAsia"/>
              </w:rPr>
              <w:t>对于没有地点定位信息的文件，提供在上传到平台后在线手工编辑地点信息功能。在平台里对地点搜索同样可以搜索到这些文件。</w:t>
            </w:r>
          </w:p>
          <w:p>
            <w:pPr>
              <w:pStyle w:val="8"/>
              <w:ind w:left="420"/>
              <w:rPr>
                <w:rFonts w:cs="微软雅黑" w:asciiTheme="minorEastAsia" w:hAnsiTheme="minorEastAsia" w:eastAsiaTheme="minorEastAsia"/>
                <w:b w:val="0"/>
                <w:bCs/>
                <w:sz w:val="21"/>
                <w:szCs w:val="21"/>
              </w:rPr>
            </w:pPr>
            <w:r>
              <w:rPr>
                <w:rFonts w:hint="eastAsia" w:cs="微软雅黑" w:asciiTheme="minorEastAsia" w:hAnsiTheme="minorEastAsia" w:eastAsiaTheme="minorEastAsia"/>
                <w:b w:val="0"/>
                <w:bCs/>
                <w:sz w:val="21"/>
                <w:szCs w:val="21"/>
              </w:rPr>
              <w:t>按个人收藏</w:t>
            </w:r>
          </w:p>
          <w:p>
            <w:pPr>
              <w:rPr>
                <w:rFonts w:cs="微软雅黑" w:asciiTheme="minorEastAsia" w:hAnsiTheme="minorEastAsia" w:eastAsiaTheme="minorEastAsia"/>
              </w:rPr>
            </w:pPr>
            <w:r>
              <w:rPr>
                <w:rFonts w:hint="eastAsia" w:cs="微软雅黑" w:asciiTheme="minorEastAsia" w:hAnsiTheme="minorEastAsia" w:eastAsiaTheme="minorEastAsia"/>
              </w:rPr>
              <w:t>平台应提供个人收藏功能，对于常用的或者重要的文件，可以通过加入个人的收藏，方便后续查找使用。</w:t>
            </w:r>
          </w:p>
          <w:p>
            <w:pPr>
              <w:pStyle w:val="8"/>
              <w:ind w:left="420"/>
              <w:rPr>
                <w:rFonts w:cs="微软雅黑" w:asciiTheme="minorEastAsia" w:hAnsiTheme="minorEastAsia" w:eastAsiaTheme="minorEastAsia"/>
                <w:b w:val="0"/>
                <w:bCs/>
                <w:sz w:val="21"/>
                <w:szCs w:val="21"/>
              </w:rPr>
            </w:pPr>
            <w:r>
              <w:rPr>
                <w:rFonts w:hint="eastAsia" w:cs="微软雅黑" w:asciiTheme="minorEastAsia" w:hAnsiTheme="minorEastAsia" w:eastAsiaTheme="minorEastAsia"/>
                <w:b w:val="0"/>
                <w:bCs/>
                <w:sz w:val="21"/>
                <w:szCs w:val="21"/>
              </w:rPr>
              <w:t>按最近使用</w:t>
            </w:r>
          </w:p>
          <w:p>
            <w:pPr>
              <w:rPr>
                <w:rFonts w:cs="微软雅黑" w:asciiTheme="minorEastAsia" w:hAnsiTheme="minorEastAsia" w:eastAsiaTheme="minorEastAsia"/>
              </w:rPr>
            </w:pPr>
            <w:r>
              <w:rPr>
                <w:rFonts w:hint="eastAsia" w:cs="微软雅黑" w:asciiTheme="minorEastAsia" w:hAnsiTheme="minorEastAsia" w:eastAsiaTheme="minorEastAsia"/>
              </w:rPr>
              <w:t>应能显示最近使用的文件，方便重新调用。应可搜索到具体的某个日期。</w:t>
            </w:r>
          </w:p>
          <w:p>
            <w:pPr>
              <w:pStyle w:val="8"/>
              <w:ind w:left="420"/>
              <w:rPr>
                <w:rFonts w:cs="微软雅黑" w:asciiTheme="minorEastAsia" w:hAnsiTheme="minorEastAsia" w:eastAsiaTheme="minorEastAsia"/>
                <w:b w:val="0"/>
                <w:bCs/>
                <w:sz w:val="21"/>
                <w:szCs w:val="21"/>
              </w:rPr>
            </w:pPr>
            <w:r>
              <w:rPr>
                <w:rFonts w:hint="eastAsia" w:cs="微软雅黑" w:asciiTheme="minorEastAsia" w:hAnsiTheme="minorEastAsia" w:eastAsiaTheme="minorEastAsia"/>
                <w:b w:val="0"/>
                <w:bCs/>
                <w:sz w:val="21"/>
                <w:szCs w:val="21"/>
              </w:rPr>
              <w:t>按组织机构、</w:t>
            </w:r>
          </w:p>
          <w:p>
            <w:pPr>
              <w:rPr>
                <w:rFonts w:cs="微软雅黑" w:asciiTheme="minorEastAsia" w:hAnsiTheme="minorEastAsia" w:eastAsiaTheme="minorEastAsia"/>
              </w:rPr>
            </w:pPr>
            <w:r>
              <w:rPr>
                <w:rFonts w:hint="eastAsia" w:cs="微软雅黑" w:asciiTheme="minorEastAsia" w:hAnsiTheme="minorEastAsia" w:eastAsiaTheme="minorEastAsia"/>
              </w:rPr>
              <w:t>1.组织机构应该不仅包含本单位的人员，还应该把相关供应商、合作单位或者单独的外部联系人员包含在内统一进行管理。</w:t>
            </w:r>
          </w:p>
          <w:p>
            <w:pPr>
              <w:rPr>
                <w:rFonts w:cs="微软雅黑" w:asciiTheme="minorEastAsia" w:hAnsiTheme="minorEastAsia" w:eastAsiaTheme="minorEastAsia"/>
              </w:rPr>
            </w:pPr>
            <w:r>
              <w:rPr>
                <w:rFonts w:hint="eastAsia" w:cs="微软雅黑" w:asciiTheme="minorEastAsia" w:hAnsiTheme="minorEastAsia" w:eastAsiaTheme="minorEastAsia"/>
              </w:rPr>
              <w:t>2.对于部门人员信息，在可检索的范围内应有严谨的权限设计，可以设置该部门人员可见全单位人员信息，可以指定只能查看其所在部门人员信息，也可以设置指定可见部分部门或人员的信息。</w:t>
            </w:r>
          </w:p>
          <w:p>
            <w:pPr>
              <w:rPr>
                <w:rFonts w:cs="微软雅黑" w:asciiTheme="minorEastAsia" w:hAnsiTheme="minorEastAsia" w:eastAsiaTheme="minorEastAsia"/>
              </w:rPr>
            </w:pPr>
            <w:r>
              <w:rPr>
                <w:rFonts w:hint="eastAsia" w:cs="微软雅黑" w:asciiTheme="minorEastAsia" w:hAnsiTheme="minorEastAsia" w:eastAsiaTheme="minorEastAsia"/>
              </w:rPr>
              <w:t>3.对于一些保密的部门信息，应可以单独设置令其隐藏，不受上面可见权限影响，以排除涉密信息泄漏情况。</w:t>
            </w:r>
          </w:p>
          <w:p>
            <w:pPr>
              <w:rPr>
                <w:rFonts w:cs="微软雅黑" w:asciiTheme="minorEastAsia" w:hAnsiTheme="minorEastAsia" w:eastAsiaTheme="minorEastAsia"/>
              </w:rPr>
            </w:pPr>
            <w:r>
              <w:rPr>
                <w:rFonts w:hint="eastAsia" w:cs="微软雅黑" w:asciiTheme="minorEastAsia" w:hAnsiTheme="minorEastAsia" w:eastAsiaTheme="minorEastAsia"/>
              </w:rPr>
              <w:t>4.按组织机构进行检索时，在检索人权限内，可以按以下情况：根据单位内部人员列表、根据每一个活动内的参与人员列表、根据维护的合作伙伴人员列表、根据外部联系人列表、根据其它自定义的人员列表来查看所检索的人员在平台中的上传文件，也可以查看跟该人员有关的文件，也可以查询其参与的活动信息。</w:t>
            </w:r>
          </w:p>
          <w:p>
            <w:pPr>
              <w:pStyle w:val="8"/>
              <w:ind w:left="420"/>
              <w:rPr>
                <w:rFonts w:cs="微软雅黑" w:asciiTheme="minorEastAsia" w:hAnsiTheme="minorEastAsia" w:eastAsiaTheme="minorEastAsia"/>
                <w:b w:val="0"/>
                <w:bCs/>
                <w:sz w:val="21"/>
                <w:szCs w:val="21"/>
              </w:rPr>
            </w:pPr>
            <w:r>
              <w:rPr>
                <w:rFonts w:hint="eastAsia" w:cs="微软雅黑" w:asciiTheme="minorEastAsia" w:hAnsiTheme="minorEastAsia" w:eastAsiaTheme="minorEastAsia"/>
                <w:b w:val="0"/>
                <w:bCs/>
                <w:sz w:val="21"/>
                <w:szCs w:val="21"/>
              </w:rPr>
              <w:t>按AI识别人脸</w:t>
            </w:r>
          </w:p>
          <w:p>
            <w:pPr>
              <w:rPr>
                <w:rFonts w:cs="微软雅黑" w:asciiTheme="minorEastAsia" w:hAnsiTheme="minorEastAsia" w:eastAsiaTheme="minorEastAsia"/>
              </w:rPr>
            </w:pPr>
            <w:r>
              <w:rPr>
                <w:rFonts w:hint="eastAsia" w:cs="微软雅黑" w:asciiTheme="minorEastAsia" w:hAnsiTheme="minorEastAsia" w:eastAsiaTheme="minorEastAsia"/>
              </w:rPr>
              <w:t>1.需支持按头像检索。选择一张历史搜索头像进行检索，图片及WORD、PPT等文档中的相似头像均可搜到。</w:t>
            </w:r>
          </w:p>
          <w:p>
            <w:pPr>
              <w:rPr>
                <w:rFonts w:cs="微软雅黑" w:asciiTheme="minorEastAsia" w:hAnsiTheme="minorEastAsia" w:eastAsiaTheme="minorEastAsia"/>
              </w:rPr>
            </w:pPr>
            <w:r>
              <w:rPr>
                <w:rFonts w:hint="eastAsia" w:cs="微软雅黑" w:asciiTheme="minorEastAsia" w:hAnsiTheme="minorEastAsia" w:eastAsiaTheme="minorEastAsia"/>
              </w:rPr>
              <w:t>2.支持本机摄像头拍照识别人脸进行检索。</w:t>
            </w:r>
          </w:p>
          <w:p>
            <w:pPr>
              <w:rPr>
                <w:rFonts w:cs="微软雅黑" w:asciiTheme="minorEastAsia" w:hAnsiTheme="minorEastAsia" w:eastAsiaTheme="minorEastAsia"/>
              </w:rPr>
            </w:pPr>
            <w:r>
              <w:rPr>
                <w:rFonts w:hint="eastAsia" w:cs="微软雅黑" w:asciiTheme="minorEastAsia" w:hAnsiTheme="minorEastAsia" w:eastAsiaTheme="minorEastAsia"/>
              </w:rPr>
              <w:t>3.支持从平台中选择一张或几张图片进行图片内的人脸识别并进行检索。</w:t>
            </w:r>
          </w:p>
          <w:p>
            <w:pPr>
              <w:rPr>
                <w:rFonts w:cs="微软雅黑" w:asciiTheme="minorEastAsia" w:hAnsiTheme="minorEastAsia" w:eastAsiaTheme="minorEastAsia"/>
              </w:rPr>
            </w:pPr>
            <w:r>
              <w:rPr>
                <w:rFonts w:hint="eastAsia" w:cs="微软雅黑" w:asciiTheme="minorEastAsia" w:hAnsiTheme="minorEastAsia" w:eastAsiaTheme="minorEastAsia"/>
              </w:rPr>
              <w:t>4.人脸检索后有内容的人脸信息会保存在最近检索头像记录中。</w:t>
            </w:r>
          </w:p>
          <w:p>
            <w:pPr>
              <w:rPr>
                <w:rFonts w:cs="微软雅黑" w:asciiTheme="minorEastAsia" w:hAnsiTheme="minorEastAsia" w:eastAsiaTheme="minorEastAsia"/>
              </w:rPr>
            </w:pPr>
            <w:r>
              <w:rPr>
                <w:rFonts w:hint="eastAsia" w:cs="微软雅黑" w:asciiTheme="minorEastAsia" w:hAnsiTheme="minorEastAsia" w:eastAsiaTheme="minorEastAsia"/>
              </w:rPr>
              <w:t>5.可以对最近检索头像记录中的人脸头像进行标注、显示顺序整理，并可以删除不再需要的人脸头像检索记录。</w:t>
            </w:r>
          </w:p>
          <w:p>
            <w:pPr>
              <w:pStyle w:val="8"/>
              <w:ind w:left="420"/>
              <w:rPr>
                <w:rFonts w:cs="微软雅黑" w:asciiTheme="minorEastAsia" w:hAnsiTheme="minorEastAsia" w:eastAsiaTheme="minorEastAsia"/>
                <w:b w:val="0"/>
                <w:bCs/>
                <w:sz w:val="21"/>
                <w:szCs w:val="21"/>
              </w:rPr>
            </w:pPr>
            <w:r>
              <w:rPr>
                <w:rFonts w:hint="eastAsia" w:cs="微软雅黑" w:asciiTheme="minorEastAsia" w:hAnsiTheme="minorEastAsia" w:eastAsiaTheme="minorEastAsia"/>
                <w:b w:val="0"/>
                <w:bCs/>
                <w:sz w:val="21"/>
                <w:szCs w:val="21"/>
              </w:rPr>
              <w:t>按已分享文件查看并管理</w:t>
            </w:r>
          </w:p>
          <w:p>
            <w:pPr>
              <w:rPr>
                <w:rFonts w:cs="微软雅黑" w:asciiTheme="minorEastAsia" w:hAnsiTheme="minorEastAsia" w:eastAsiaTheme="minorEastAsia"/>
              </w:rPr>
            </w:pPr>
            <w:r>
              <w:rPr>
                <w:rFonts w:hint="eastAsia" w:cs="微软雅黑" w:asciiTheme="minorEastAsia" w:hAnsiTheme="minorEastAsia" w:eastAsiaTheme="minorEastAsia"/>
              </w:rPr>
              <w:t>可管理自己分享出去的文件。应可以看到文件的具体分享信息：分享文件名称、分享时间、失效时间、浏览次数、下载次数。可以复制分享地址，或者取消分享。可以单个文件取消分享，也可以多个文件批量取消分享。</w:t>
            </w:r>
          </w:p>
          <w:p>
            <w:pPr>
              <w:numPr>
                <w:ilvl w:val="0"/>
                <w:numId w:val="27"/>
              </w:numPr>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活动检索</w:t>
            </w:r>
          </w:p>
          <w:p>
            <w:pPr>
              <w:rPr>
                <w:rFonts w:cs="微软雅黑" w:asciiTheme="minorEastAsia" w:hAnsiTheme="minorEastAsia" w:eastAsiaTheme="minorEastAsia"/>
              </w:rPr>
            </w:pPr>
            <w:r>
              <w:rPr>
                <w:rFonts w:hint="eastAsia" w:cs="微软雅黑" w:asciiTheme="minorEastAsia" w:hAnsiTheme="minorEastAsia" w:eastAsiaTheme="minorEastAsia"/>
              </w:rPr>
              <w:t>1.根据具体活动的需要，进行按活动来组织资料上传上报，除了按时间来筛选文件外，应可根据具体的活动信息来查找文件。可以搜索具体的某个活动。</w:t>
            </w:r>
          </w:p>
          <w:p>
            <w:pPr>
              <w:rPr>
                <w:rFonts w:cs="微软雅黑" w:asciiTheme="minorEastAsia" w:hAnsiTheme="minorEastAsia" w:eastAsiaTheme="minorEastAsia"/>
              </w:rPr>
            </w:pPr>
            <w:r>
              <w:rPr>
                <w:rFonts w:hint="eastAsia" w:cs="微软雅黑" w:asciiTheme="minorEastAsia" w:hAnsiTheme="minorEastAsia" w:eastAsiaTheme="minorEastAsia"/>
              </w:rPr>
              <w:t>2.除了按活动名称进行检索外，还需要提供以下检索活动的方式</w:t>
            </w:r>
          </w:p>
          <w:p>
            <w:pPr>
              <w:rPr>
                <w:rFonts w:cs="微软雅黑" w:asciiTheme="minorEastAsia" w:hAnsiTheme="minorEastAsia" w:eastAsiaTheme="minorEastAsia"/>
              </w:rPr>
            </w:pPr>
            <w:r>
              <w:rPr>
                <w:rFonts w:hint="eastAsia" w:cs="微软雅黑" w:asciiTheme="minorEastAsia" w:hAnsiTheme="minorEastAsia" w:eastAsiaTheme="minorEastAsia"/>
              </w:rPr>
              <w:t>按活动创建时间检索；按活动开始时间检索；按活动结束时间检索；按活动创建人检索活动；按活动标签检索活动（给活动打标签是一种灵活的管理方式，通过标签可以快速查找到相关活动。）；按组织机构人员检索活动（对于在组织机构内的人员，其创建的活动和参与的活动都可以检索出来）。</w:t>
            </w:r>
          </w:p>
          <w:p>
            <w:pPr>
              <w:rPr>
                <w:rFonts w:cs="微软雅黑" w:asciiTheme="minorEastAsia" w:hAnsiTheme="minorEastAsia" w:eastAsiaTheme="minorEastAsia"/>
              </w:rPr>
            </w:pPr>
            <w:r>
              <w:rPr>
                <w:rFonts w:hint="eastAsia" w:cs="微软雅黑" w:asciiTheme="minorEastAsia" w:hAnsiTheme="minorEastAsia" w:eastAsiaTheme="minorEastAsia"/>
              </w:rPr>
              <w:t>3.可以由活动列表方式和活动缩略图方式两种排列方式进行查找。</w:t>
            </w:r>
          </w:p>
          <w:p>
            <w:pPr>
              <w:rPr>
                <w:rFonts w:cs="微软雅黑" w:asciiTheme="minorEastAsia" w:hAnsiTheme="minorEastAsia" w:eastAsiaTheme="minorEastAsia"/>
              </w:rPr>
            </w:pPr>
            <w:r>
              <w:rPr>
                <w:rFonts w:hint="eastAsia" w:cs="微软雅黑" w:asciiTheme="minorEastAsia" w:hAnsiTheme="minorEastAsia" w:eastAsiaTheme="minorEastAsia"/>
              </w:rPr>
              <w:t>4.可以按活动名称和活动简介搜索，也可以按时间段和活动进行状态进行筛选搜索。</w:t>
            </w:r>
          </w:p>
          <w:p>
            <w:pPr>
              <w:rPr>
                <w:rFonts w:cs="微软雅黑" w:asciiTheme="minorEastAsia" w:hAnsiTheme="minorEastAsia" w:eastAsiaTheme="minorEastAsia"/>
              </w:rPr>
            </w:pPr>
            <w:r>
              <w:rPr>
                <w:rFonts w:hint="eastAsia" w:cs="微软雅黑" w:asciiTheme="minorEastAsia" w:hAnsiTheme="minorEastAsia" w:eastAsiaTheme="minorEastAsia"/>
              </w:rPr>
              <w:t>5.可以按创建时间、开始时间、结束时间、创建人、按标签、按组织机构等维度进行筛选查找活动。</w:t>
            </w:r>
          </w:p>
          <w:p>
            <w:pPr>
              <w:rPr>
                <w:rFonts w:cs="微软雅黑" w:asciiTheme="minorEastAsia" w:hAnsiTheme="minorEastAsia" w:eastAsiaTheme="minorEastAsia"/>
              </w:rPr>
            </w:pPr>
            <w:r>
              <w:rPr>
                <w:rFonts w:hint="eastAsia" w:cs="微软雅黑" w:asciiTheme="minorEastAsia" w:hAnsiTheme="minorEastAsia" w:eastAsiaTheme="minorEastAsia"/>
              </w:rPr>
              <w:t>6.活动可以分单次活动和多次活动，多次活动可以按时间轴进行展示。</w:t>
            </w:r>
          </w:p>
          <w:p>
            <w:pPr>
              <w:numPr>
                <w:ilvl w:val="0"/>
                <w:numId w:val="27"/>
              </w:numPr>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需要根据不同的终端优化检索</w:t>
            </w:r>
          </w:p>
          <w:p>
            <w:pPr>
              <w:rPr>
                <w:rFonts w:cs="微软雅黑" w:asciiTheme="minorEastAsia" w:hAnsiTheme="minorEastAsia" w:eastAsiaTheme="minorEastAsia"/>
              </w:rPr>
            </w:pPr>
            <w:r>
              <w:rPr>
                <w:rFonts w:hint="eastAsia" w:cs="微软雅黑" w:asciiTheme="minorEastAsia" w:hAnsiTheme="minorEastAsia" w:eastAsiaTheme="minorEastAsia"/>
              </w:rPr>
              <w:t>1.考虑到网页和客户端的技术区别，允许在保证检索使用效果的基础上对各终端进行优化调整。</w:t>
            </w:r>
          </w:p>
          <w:p>
            <w:pPr>
              <w:rPr>
                <w:rFonts w:cs="微软雅黑" w:asciiTheme="minorEastAsia" w:hAnsiTheme="minorEastAsia" w:eastAsiaTheme="minorEastAsia"/>
              </w:rPr>
            </w:pPr>
            <w:r>
              <w:rPr>
                <w:rFonts w:hint="eastAsia" w:cs="微软雅黑" w:asciiTheme="minorEastAsia" w:hAnsiTheme="minorEastAsia" w:eastAsiaTheme="minorEastAsia"/>
              </w:rPr>
              <w:t>2.对技术和性能要求较高的AI检索方面，可由PC客户端实现。</w:t>
            </w:r>
          </w:p>
          <w:p>
            <w:pPr>
              <w:rPr>
                <w:rFonts w:cs="微软雅黑" w:asciiTheme="minorEastAsia" w:hAnsiTheme="minorEastAsia" w:eastAsiaTheme="minorEastAsia"/>
              </w:rPr>
            </w:pPr>
            <w:r>
              <w:rPr>
                <w:rFonts w:hint="eastAsia" w:cs="微软雅黑" w:asciiTheme="minorEastAsia" w:hAnsiTheme="minorEastAsia" w:eastAsiaTheme="minorEastAsia"/>
              </w:rPr>
              <w:t>具体功能需要做到本机拍照识别人脸进行相关文件检索，可以上传照片由客户端进行人脸检测再进行相关文件检索。</w:t>
            </w:r>
          </w:p>
          <w:p>
            <w:pPr>
              <w:rPr>
                <w:rFonts w:cs="微软雅黑" w:asciiTheme="minorEastAsia" w:hAnsiTheme="minorEastAsia" w:eastAsiaTheme="minorEastAsia"/>
                <w:kern w:val="0"/>
                <w:szCs w:val="21"/>
              </w:rPr>
            </w:pPr>
            <w:r>
              <w:rPr>
                <w:rFonts w:hint="eastAsia" w:cs="微软雅黑" w:asciiTheme="minorEastAsia" w:hAnsiTheme="minorEastAsia" w:eastAsiaTheme="minorEastAsia"/>
              </w:rPr>
              <w:t>3.PC网页端和手机端则需要实现对已检索过的人脸进行快速调用进行相关文件检索。</w:t>
            </w:r>
          </w:p>
        </w:tc>
      </w:tr>
      <w:tr>
        <w:tblPrEx>
          <w:tblCellMar>
            <w:top w:w="0" w:type="dxa"/>
            <w:left w:w="108" w:type="dxa"/>
            <w:bottom w:w="0" w:type="dxa"/>
            <w:right w:w="108" w:type="dxa"/>
          </w:tblCellMar>
        </w:tblPrEx>
        <w:trPr>
          <w:trHeight w:val="313"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微软雅黑" w:asciiTheme="minorEastAsia" w:hAnsiTheme="minorEastAsia" w:eastAsiaTheme="minorEastAsia"/>
                <w:szCs w:val="21"/>
              </w:rPr>
            </w:pPr>
            <w:r>
              <w:rPr>
                <w:rFonts w:hint="eastAsia" w:cs="微软雅黑" w:asciiTheme="minorEastAsia" w:hAnsiTheme="minorEastAsia" w:eastAsiaTheme="minorEastAsia"/>
                <w:szCs w:val="21"/>
              </w:rPr>
              <w:t>内容应用</w:t>
            </w:r>
          </w:p>
        </w:tc>
        <w:tc>
          <w:tcPr>
            <w:tcW w:w="6095" w:type="dxa"/>
            <w:tcBorders>
              <w:top w:val="single" w:color="auto" w:sz="4" w:space="0"/>
              <w:left w:val="single" w:color="auto" w:sz="4" w:space="0"/>
              <w:bottom w:val="single" w:color="auto" w:sz="4" w:space="0"/>
              <w:right w:val="single" w:color="auto" w:sz="4" w:space="0"/>
            </w:tcBorders>
          </w:tcPr>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通过平台进行电子文件的收集、相关信息收集汇总，再对收集的内容进行使用，是建设平台的根本要求，所以平台需要提供针对内容应用方面的完整的解决方式。</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对于具体使用者，其应只关注于业务本身，不涉及到平台配置等其它有干扰的操作。使用者登陆后只进入其个人应用界面，不显示跟业务本身无关的功能。</w:t>
            </w:r>
          </w:p>
          <w:p>
            <w:pPr>
              <w:numPr>
                <w:ilvl w:val="0"/>
                <w:numId w:val="28"/>
              </w:numPr>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文件内容应用</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文件收集上传，文件在线应用应操作简单并涵盖多种场景下的使用，要求具有以下功能：</w:t>
            </w:r>
          </w:p>
          <w:p>
            <w:pPr>
              <w:ind w:left="420"/>
              <w:rPr>
                <w:rFonts w:cs="微软雅黑" w:asciiTheme="minorEastAsia" w:hAnsiTheme="minorEastAsia" w:eastAsiaTheme="minorEastAsia"/>
                <w:szCs w:val="21"/>
              </w:rPr>
            </w:pPr>
            <w:r>
              <w:rPr>
                <w:rFonts w:hint="eastAsia" w:cs="微软雅黑" w:asciiTheme="minorEastAsia" w:hAnsiTheme="minorEastAsia" w:eastAsiaTheme="minorEastAsia"/>
                <w:szCs w:val="21"/>
              </w:rPr>
              <w:t>文件在线预览，在线按列表播放展示</w:t>
            </w:r>
          </w:p>
          <w:p>
            <w:pPr>
              <w:numPr>
                <w:ilvl w:val="0"/>
                <w:numId w:val="29"/>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账号登陆后，在权限内的文件可以进行在线查看，常见格式的图片、视频、文档及压缩包，可以在线预览，免除需要下载到本地才能查看的弊端。另平台需要提供图片、视频、文档等在线全屏查看，并可定时5秒自动切换，便于汇报及展示成果。</w:t>
            </w:r>
          </w:p>
          <w:p>
            <w:pPr>
              <w:numPr>
                <w:ilvl w:val="0"/>
                <w:numId w:val="29"/>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文件预览播放时，可以查看该文件的详细信息：文件名称、上传时间、创建时间、上传人、文件大小、文件格式、播放时长（视频）、分辨率（视频和图片）、标签、所属活动、地点、被访问次数、被分享次数、下载（可下载到本地）、简介。</w:t>
            </w:r>
          </w:p>
          <w:p>
            <w:pPr>
              <w:numPr>
                <w:ilvl w:val="0"/>
                <w:numId w:val="29"/>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提供手机端查看二维码，方便手机扫码观看。</w:t>
            </w:r>
          </w:p>
          <w:p>
            <w:pPr>
              <w:numPr>
                <w:ilvl w:val="0"/>
                <w:numId w:val="29"/>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并提供前一个文件和后一个文件的导航，无需退出当前查看页面即可快速翻动查看列表中的文件。</w:t>
            </w:r>
          </w:p>
          <w:p>
            <w:pPr>
              <w:numPr>
                <w:ilvl w:val="0"/>
                <w:numId w:val="29"/>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文件在线预览界面提供相关操作功能：对当前文件进行标签修改、加入收藏、视频和图片在线裁剪、图片翻转。视频和图片在线裁剪无需安装其它额外插件，支持获取当前视频播放时间点，支持视频播放进度调节的快捷键。</w:t>
            </w:r>
          </w:p>
          <w:p>
            <w:pPr>
              <w:numPr>
                <w:ilvl w:val="0"/>
                <w:numId w:val="29"/>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文件预览中的详细信息处需要提供文件历史修改版本查看，人物头像数量信息查看。</w:t>
            </w:r>
          </w:p>
          <w:p>
            <w:pPr>
              <w:rPr>
                <w:rFonts w:cs="微软雅黑" w:asciiTheme="minorEastAsia" w:hAnsiTheme="minorEastAsia" w:eastAsiaTheme="minorEastAsia"/>
                <w:szCs w:val="21"/>
              </w:rPr>
            </w:pPr>
          </w:p>
          <w:p>
            <w:pPr>
              <w:ind w:left="420"/>
              <w:rPr>
                <w:rFonts w:cs="微软雅黑" w:asciiTheme="minorEastAsia" w:hAnsiTheme="minorEastAsia" w:eastAsiaTheme="minorEastAsia"/>
                <w:szCs w:val="21"/>
              </w:rPr>
            </w:pPr>
            <w:r>
              <w:rPr>
                <w:rFonts w:hint="eastAsia" w:cs="微软雅黑" w:asciiTheme="minorEastAsia" w:hAnsiTheme="minorEastAsia" w:eastAsiaTheme="minorEastAsia"/>
                <w:szCs w:val="21"/>
              </w:rPr>
              <w:t>离线到本地脱机使用</w:t>
            </w:r>
          </w:p>
          <w:p>
            <w:pPr>
              <w:numPr>
                <w:ilvl w:val="0"/>
                <w:numId w:val="30"/>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需要至少提供PC客户端离线文件到本地使用，文件离线后便于在无法保证网络畅通的环境情况下正常使用。</w:t>
            </w:r>
          </w:p>
          <w:p>
            <w:pPr>
              <w:numPr>
                <w:ilvl w:val="0"/>
                <w:numId w:val="30"/>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对于离线到本地的文件，需要采用必要的加密措施，降低重要资料泄密的风险。</w:t>
            </w:r>
          </w:p>
          <w:p>
            <w:pPr>
              <w:ind w:left="420"/>
              <w:rPr>
                <w:rFonts w:cs="微软雅黑" w:asciiTheme="minorEastAsia" w:hAnsiTheme="minorEastAsia" w:eastAsiaTheme="minorEastAsia"/>
                <w:szCs w:val="21"/>
              </w:rPr>
            </w:pPr>
            <w:r>
              <w:rPr>
                <w:rFonts w:hint="eastAsia" w:cs="微软雅黑" w:asciiTheme="minorEastAsia" w:hAnsiTheme="minorEastAsia" w:eastAsiaTheme="minorEastAsia"/>
                <w:szCs w:val="21"/>
              </w:rPr>
              <w:t>支持文件批量分享</w:t>
            </w:r>
          </w:p>
          <w:p>
            <w:pPr>
              <w:numPr>
                <w:ilvl w:val="0"/>
                <w:numId w:val="31"/>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可以进行文件批量分享，并可以控制查看权限，使文件可以在线安全便捷的分享给相关人员使用。</w:t>
            </w:r>
          </w:p>
          <w:p>
            <w:pPr>
              <w:numPr>
                <w:ilvl w:val="0"/>
                <w:numId w:val="31"/>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文件分享支持地址链接方式，可以生成的链接地址可以复制下来，通过QQ、微信等方式分享出去。</w:t>
            </w:r>
          </w:p>
          <w:p>
            <w:pPr>
              <w:numPr>
                <w:ilvl w:val="0"/>
                <w:numId w:val="31"/>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文件分享支持二维码分享的方式，可以把生成的二维码截图分享出去，接收人通过扫一扫方式打开在线查看或下载使用文件。</w:t>
            </w:r>
          </w:p>
          <w:p>
            <w:pPr>
              <w:numPr>
                <w:ilvl w:val="0"/>
                <w:numId w:val="31"/>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支持分享文件加说明文字，便于接收人快速理解。</w:t>
            </w:r>
          </w:p>
          <w:p>
            <w:pPr>
              <w:numPr>
                <w:ilvl w:val="0"/>
                <w:numId w:val="31"/>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支持分享文件名称修改。应支持有提取码和无提取码2种方式。</w:t>
            </w:r>
          </w:p>
          <w:p>
            <w:pPr>
              <w:numPr>
                <w:ilvl w:val="0"/>
                <w:numId w:val="31"/>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支持有效期设置，可以永久有效，也可以7天或1天有效。</w:t>
            </w:r>
          </w:p>
          <w:p>
            <w:pPr>
              <w:numPr>
                <w:ilvl w:val="0"/>
                <w:numId w:val="31"/>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文件分享需要支持凭分享码验证查看功能，文件分享可以设置有效期。</w:t>
            </w:r>
          </w:p>
          <w:p>
            <w:pPr>
              <w:numPr>
                <w:ilvl w:val="0"/>
                <w:numId w:val="31"/>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对于已经分享过的链接，支持更新到原有链接，不生成新链接，便于接收人查看。</w:t>
            </w:r>
          </w:p>
          <w:p>
            <w:pPr>
              <w:ind w:left="420"/>
              <w:rPr>
                <w:rFonts w:cs="微软雅黑" w:asciiTheme="minorEastAsia" w:hAnsiTheme="minorEastAsia" w:eastAsiaTheme="minorEastAsia"/>
                <w:szCs w:val="21"/>
              </w:rPr>
            </w:pPr>
            <w:r>
              <w:rPr>
                <w:rFonts w:hint="eastAsia" w:cs="微软雅黑" w:asciiTheme="minorEastAsia" w:hAnsiTheme="minorEastAsia" w:eastAsiaTheme="minorEastAsia"/>
                <w:szCs w:val="21"/>
              </w:rPr>
              <w:t>选中图片生成word、ppt文档</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应支持把图片在平台生成Word文档或生成PPT文档，然后下载到本地供使用。生成的文档包含图片名称、简介，并生成目录，方便后续调整使用。生成文档前，可以在线调整图片显示的先后顺序。</w:t>
            </w:r>
          </w:p>
          <w:p>
            <w:pPr>
              <w:ind w:left="420"/>
              <w:rPr>
                <w:rFonts w:cs="微软雅黑" w:asciiTheme="minorEastAsia" w:hAnsiTheme="minorEastAsia" w:eastAsiaTheme="minorEastAsia"/>
                <w:szCs w:val="21"/>
              </w:rPr>
            </w:pPr>
            <w:r>
              <w:rPr>
                <w:rFonts w:hint="eastAsia" w:cs="微软雅黑" w:asciiTheme="minorEastAsia" w:hAnsiTheme="minorEastAsia" w:eastAsiaTheme="minorEastAsia"/>
                <w:szCs w:val="21"/>
              </w:rPr>
              <w:t>在线裁剪编辑</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提供在线图片裁剪，在线视频剪切功能，并提供历史文件记录。</w:t>
            </w:r>
          </w:p>
          <w:p>
            <w:pPr>
              <w:ind w:left="420"/>
              <w:rPr>
                <w:rFonts w:cs="微软雅黑" w:asciiTheme="minorEastAsia" w:hAnsiTheme="minorEastAsia" w:eastAsiaTheme="minorEastAsia"/>
                <w:szCs w:val="21"/>
              </w:rPr>
            </w:pPr>
            <w:r>
              <w:rPr>
                <w:rFonts w:hint="eastAsia" w:cs="微软雅黑" w:asciiTheme="minorEastAsia" w:hAnsiTheme="minorEastAsia" w:eastAsiaTheme="minorEastAsia"/>
                <w:szCs w:val="21"/>
              </w:rPr>
              <w:t>打包下载</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平台应支持文件下载功能，对于部分文件需要通过U盘来分享或者导入其它设备使用的话，可以打包下载。可以批量选取需要下载的文件，平台把已经选中的文件在线压缩生成一个压缩包下载到本地电脑。在PC客户端应可以直观的展示出当前文件下载的状态，可以时实反映出文件名称、大小、状态、进度、下载速度、剩余时间、用时信息等，在下载完成后，应可通过“打开下载目录”等方式一键打开目录，寻找已经下载完成的文件。</w:t>
            </w:r>
          </w:p>
          <w:p>
            <w:pPr>
              <w:ind w:left="420"/>
              <w:rPr>
                <w:rFonts w:cs="微软雅黑" w:asciiTheme="minorEastAsia" w:hAnsiTheme="minorEastAsia" w:eastAsiaTheme="minorEastAsia"/>
                <w:szCs w:val="21"/>
              </w:rPr>
            </w:pPr>
            <w:r>
              <w:rPr>
                <w:rFonts w:hint="eastAsia" w:cs="微软雅黑" w:asciiTheme="minorEastAsia" w:hAnsiTheme="minorEastAsia" w:eastAsiaTheme="minorEastAsia"/>
                <w:szCs w:val="21"/>
              </w:rPr>
              <w:t>结合信息发布系统推送展示</w:t>
            </w:r>
          </w:p>
          <w:p>
            <w:pPr>
              <w:pStyle w:val="5"/>
              <w:rPr>
                <w:rFonts w:cs="微软雅黑" w:asciiTheme="minorEastAsia" w:hAnsiTheme="minorEastAsia" w:eastAsiaTheme="minorEastAsia"/>
                <w:b w:val="0"/>
                <w:bCs w:val="0"/>
                <w:sz w:val="21"/>
                <w:szCs w:val="21"/>
              </w:rPr>
            </w:pPr>
            <w:r>
              <w:rPr>
                <w:rFonts w:hint="eastAsia" w:cs="微软雅黑" w:asciiTheme="minorEastAsia" w:hAnsiTheme="minorEastAsia" w:eastAsiaTheme="minorEastAsia"/>
                <w:b w:val="0"/>
                <w:sz w:val="21"/>
                <w:szCs w:val="21"/>
              </w:rPr>
              <w:t>平台收集的图片、视频、文档等可以直接跟信息发布系统对接推送到具体的终端进行显示。可以在平台里选择需要推送的文件，在推送到具体终端显示前，可以先在线对已选择文件的显示顺序进行调整，然后跳转到信息发布系统，只需要选择需要显示的终端，再调整好具体显示时间后即可完成文件节目推送展示。</w:t>
            </w:r>
          </w:p>
          <w:p>
            <w:pPr>
              <w:numPr>
                <w:ilvl w:val="0"/>
                <w:numId w:val="28"/>
              </w:numPr>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活动内容应用</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通过活动的方式，可以进行资料收集，填表信息收集，可以极大的减轻相关人员的工作压力。</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通过活动对文件资料进行在线收集可以省却文件汇总再整理的工作，对于需要哪人需要上传也可以设置好后由平台自动通知相关人，需要填表信息的，也可以在线填写，平台自动汇总成一个表格供使用，节省传统方式的复制粘贴方式需要的大量人力物力。</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平台对于活动的管理及使用方式需设计合理，即满足单位多种情况下的需求，又要操作简单方便。</w:t>
            </w:r>
          </w:p>
          <w:p>
            <w:pPr>
              <w:numPr>
                <w:ilvl w:val="0"/>
                <w:numId w:val="32"/>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活动查看页面上提供编辑活动二维码，手机扫描进行活动信息修改编辑。</w:t>
            </w:r>
          </w:p>
          <w:p>
            <w:pPr>
              <w:numPr>
                <w:ilvl w:val="0"/>
                <w:numId w:val="32"/>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活动查看页面上提供文件上报二维码，方便手机扫描后上传文件。</w:t>
            </w:r>
          </w:p>
          <w:p>
            <w:pPr>
              <w:numPr>
                <w:ilvl w:val="0"/>
                <w:numId w:val="32"/>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多期活动可以从当前活动页面新建下一期活动。</w:t>
            </w:r>
          </w:p>
          <w:p>
            <w:pPr>
              <w:numPr>
                <w:ilvl w:val="0"/>
                <w:numId w:val="32"/>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可以打包下载当前活动内容，实现按分类压缩为一个压缩包文件并下载到本地。</w:t>
            </w:r>
          </w:p>
          <w:p>
            <w:pPr>
              <w:numPr>
                <w:ilvl w:val="0"/>
                <w:numId w:val="32"/>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可以看到哪些人有上报，哪些人未上报，活动开启填表功能后，在该处可以把大家填表的信息自动汇总结果下载到本地。并且可以添加新的上报人进行上报。</w:t>
            </w:r>
          </w:p>
          <w:p>
            <w:pPr>
              <w:numPr>
                <w:ilvl w:val="0"/>
                <w:numId w:val="32"/>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支持当前活动上报人员信息导出。</w:t>
            </w:r>
          </w:p>
          <w:p>
            <w:pPr>
              <w:numPr>
                <w:ilvl w:val="0"/>
                <w:numId w:val="32"/>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当前活动页面提供活动上报记录查看。</w:t>
            </w:r>
          </w:p>
          <w:p>
            <w:pPr>
              <w:numPr>
                <w:ilvl w:val="0"/>
                <w:numId w:val="32"/>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页面提供活动结束时间倒计时显示。</w:t>
            </w:r>
          </w:p>
          <w:p>
            <w:pPr>
              <w:numPr>
                <w:ilvl w:val="0"/>
                <w:numId w:val="32"/>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当前活动到期后，可以按需要打开重新开放上报时间，方便资料进一步收集完善。</w:t>
            </w:r>
          </w:p>
          <w:p>
            <w:pPr>
              <w:numPr>
                <w:ilvl w:val="0"/>
                <w:numId w:val="32"/>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当前活动到期后，可以按需要针对某几个参与人员短时间内开放上报，可以通过短信链接地址或扫描二维码的方式，方便资料进一步收集完善。</w:t>
            </w:r>
          </w:p>
          <w:p>
            <w:pPr>
              <w:numPr>
                <w:ilvl w:val="0"/>
                <w:numId w:val="32"/>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为方便不同场合情况下使用，平台应包含PC电脑客户端、网页端、手机端等不同终端。</w:t>
            </w:r>
          </w:p>
          <w:p>
            <w:pPr>
              <w:numPr>
                <w:ilvl w:val="0"/>
                <w:numId w:val="32"/>
              </w:numPr>
              <w:rPr>
                <w:rFonts w:asciiTheme="minorEastAsia" w:hAnsiTheme="minorEastAsia" w:eastAsiaTheme="minorEastAsia"/>
              </w:rPr>
            </w:pPr>
            <w:r>
              <w:rPr>
                <w:rFonts w:hint="eastAsia" w:cs="微软雅黑" w:asciiTheme="minorEastAsia" w:hAnsiTheme="minorEastAsia" w:eastAsiaTheme="minorEastAsia"/>
                <w:szCs w:val="21"/>
              </w:rPr>
              <w:t>PC客户端需要提供全屏、小窗功能。PC客户端可在电脑或触摸一体机大屏上安装。在大屏一体机上操作时，为避免触摸不到，除全屏显示外还应支持小窗显示。</w:t>
            </w:r>
          </w:p>
        </w:tc>
      </w:tr>
      <w:tr>
        <w:tblPrEx>
          <w:tblCellMar>
            <w:top w:w="0" w:type="dxa"/>
            <w:left w:w="108" w:type="dxa"/>
            <w:bottom w:w="0" w:type="dxa"/>
            <w:right w:w="108" w:type="dxa"/>
          </w:tblCellMar>
        </w:tblPrEx>
        <w:trPr>
          <w:trHeight w:val="313"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微软雅黑" w:asciiTheme="minorEastAsia" w:hAnsiTheme="minorEastAsia" w:eastAsiaTheme="minorEastAsia"/>
                <w:szCs w:val="21"/>
              </w:rPr>
            </w:pPr>
            <w:r>
              <w:rPr>
                <w:rFonts w:hint="eastAsia" w:cs="微软雅黑" w:asciiTheme="minorEastAsia" w:hAnsiTheme="minorEastAsia" w:eastAsiaTheme="minorEastAsia"/>
                <w:szCs w:val="21"/>
              </w:rPr>
              <w:t>对接要求</w:t>
            </w:r>
          </w:p>
        </w:tc>
        <w:tc>
          <w:tcPr>
            <w:tcW w:w="6095" w:type="dxa"/>
            <w:tcBorders>
              <w:top w:val="single" w:color="auto" w:sz="4" w:space="0"/>
              <w:left w:val="single" w:color="auto" w:sz="4" w:space="0"/>
              <w:bottom w:val="single" w:color="auto" w:sz="4" w:space="0"/>
              <w:right w:val="single" w:color="auto" w:sz="4" w:space="0"/>
            </w:tcBorders>
          </w:tcPr>
          <w:p>
            <w:pPr>
              <w:numPr>
                <w:ilvl w:val="0"/>
                <w:numId w:val="33"/>
              </w:numPr>
              <w:rPr>
                <w:rFonts w:cs="微软雅黑" w:asciiTheme="minorEastAsia" w:hAnsiTheme="minorEastAsia" w:eastAsiaTheme="minorEastAsia"/>
                <w:b/>
                <w:bCs/>
              </w:rPr>
            </w:pPr>
            <w:r>
              <w:rPr>
                <w:rFonts w:hint="eastAsia" w:cs="微软雅黑" w:asciiTheme="minorEastAsia" w:hAnsiTheme="minorEastAsia" w:eastAsiaTheme="minorEastAsia"/>
                <w:b/>
                <w:bCs/>
              </w:rPr>
              <w:t>跟钉钉对接</w:t>
            </w:r>
          </w:p>
          <w:p>
            <w:pPr>
              <w:rPr>
                <w:rFonts w:cs="微软雅黑" w:asciiTheme="minorEastAsia" w:hAnsiTheme="minorEastAsia" w:eastAsiaTheme="minorEastAsia"/>
              </w:rPr>
            </w:pPr>
            <w:r>
              <w:rPr>
                <w:rFonts w:hint="eastAsia" w:cs="微软雅黑" w:asciiTheme="minorEastAsia" w:hAnsiTheme="minorEastAsia" w:eastAsiaTheme="minorEastAsia"/>
              </w:rPr>
              <w:t>单位日常工作使用钉钉软件，其相关组织机构及人员已经完善，平台需要能跟钉钉无缝对接，同步其相关组织架构及人员信息，包括已经在钉钉上维护好的外部联系人信息。平台组织架构管理模式也应跟钉钉采用同样的方式，减少相关使用人员的学习成本。</w:t>
            </w:r>
          </w:p>
          <w:p>
            <w:pPr>
              <w:numPr>
                <w:ilvl w:val="0"/>
                <w:numId w:val="33"/>
              </w:numPr>
              <w:rPr>
                <w:rFonts w:cs="微软雅黑" w:asciiTheme="minorEastAsia" w:hAnsiTheme="minorEastAsia" w:eastAsiaTheme="minorEastAsia"/>
                <w:b/>
                <w:bCs/>
              </w:rPr>
            </w:pPr>
            <w:r>
              <w:rPr>
                <w:rFonts w:hint="eastAsia" w:cs="微软雅黑" w:asciiTheme="minorEastAsia" w:hAnsiTheme="minorEastAsia" w:eastAsiaTheme="minorEastAsia"/>
                <w:b/>
                <w:bCs/>
              </w:rPr>
              <w:t>跟短信猫对接</w:t>
            </w:r>
          </w:p>
          <w:p>
            <w:pPr>
              <w:rPr>
                <w:rFonts w:cs="微软雅黑" w:asciiTheme="minorEastAsia" w:hAnsiTheme="minorEastAsia" w:eastAsiaTheme="minorEastAsia"/>
              </w:rPr>
            </w:pPr>
            <w:r>
              <w:rPr>
                <w:rFonts w:hint="eastAsia" w:cs="微软雅黑" w:asciiTheme="minorEastAsia" w:hAnsiTheme="minorEastAsia" w:eastAsiaTheme="minorEastAsia"/>
              </w:rPr>
              <w:t>平台应无需要二次开发可以跟短信猫进行对接配置，使平台能够通过短信猫发送相关的短信息。</w:t>
            </w:r>
          </w:p>
          <w:p>
            <w:pPr>
              <w:numPr>
                <w:ilvl w:val="0"/>
                <w:numId w:val="33"/>
              </w:numPr>
              <w:rPr>
                <w:rFonts w:cs="微软雅黑" w:asciiTheme="minorEastAsia" w:hAnsiTheme="minorEastAsia" w:eastAsiaTheme="minorEastAsia"/>
                <w:b/>
                <w:bCs/>
              </w:rPr>
            </w:pPr>
            <w:r>
              <w:rPr>
                <w:rFonts w:hint="eastAsia" w:cs="微软雅黑" w:asciiTheme="minorEastAsia" w:hAnsiTheme="minorEastAsia" w:eastAsiaTheme="minorEastAsia"/>
                <w:b/>
                <w:bCs/>
              </w:rPr>
              <w:t>跟邮箱对接</w:t>
            </w:r>
          </w:p>
          <w:p>
            <w:pPr>
              <w:pStyle w:val="5"/>
              <w:rPr>
                <w:rFonts w:cs="微软雅黑" w:asciiTheme="minorEastAsia" w:hAnsiTheme="minorEastAsia" w:eastAsiaTheme="minorEastAsia"/>
                <w:b w:val="0"/>
                <w:bCs w:val="0"/>
                <w:sz w:val="21"/>
                <w:szCs w:val="21"/>
              </w:rPr>
            </w:pPr>
            <w:r>
              <w:rPr>
                <w:rFonts w:hint="eastAsia" w:cs="微软雅黑" w:asciiTheme="minorEastAsia" w:hAnsiTheme="minorEastAsia" w:eastAsiaTheme="minorEastAsia"/>
                <w:b w:val="0"/>
                <w:sz w:val="21"/>
                <w:szCs w:val="21"/>
              </w:rPr>
              <w:t>平台需要能配置邮箱服务，实现平台向相关使用人员自动发送邮件服务功能。</w:t>
            </w:r>
          </w:p>
          <w:p>
            <w:pPr>
              <w:rPr>
                <w:rFonts w:cs="微软雅黑" w:asciiTheme="minorEastAsia" w:hAnsiTheme="minorEastAsia" w:eastAsiaTheme="minorEastAsia"/>
                <w:b/>
                <w:bCs/>
              </w:rPr>
            </w:pPr>
            <w:r>
              <w:rPr>
                <w:rFonts w:hint="eastAsia" w:cs="微软雅黑" w:asciiTheme="minorEastAsia" w:hAnsiTheme="minorEastAsia" w:eastAsiaTheme="minorEastAsia"/>
                <w:b/>
                <w:bCs/>
              </w:rPr>
              <w:t>（四）相关对接后需要实现的通知功能</w:t>
            </w:r>
          </w:p>
          <w:p>
            <w:pPr>
              <w:rPr>
                <w:rFonts w:cs="微软雅黑" w:asciiTheme="minorEastAsia" w:hAnsiTheme="minorEastAsia" w:eastAsiaTheme="minorEastAsia"/>
              </w:rPr>
            </w:pPr>
            <w:r>
              <w:rPr>
                <w:rFonts w:hint="eastAsia" w:cs="微软雅黑" w:asciiTheme="minorEastAsia" w:hAnsiTheme="minorEastAsia" w:eastAsiaTheme="minorEastAsia"/>
              </w:rPr>
              <w:t>1.发送短信登陆验证码、活动任务通知、在线申请文件信息编辑删除等特殊操作通知、相关操作状态通知。</w:t>
            </w:r>
          </w:p>
          <w:p>
            <w:pPr>
              <w:rPr>
                <w:rFonts w:asciiTheme="minorEastAsia" w:hAnsiTheme="minorEastAsia" w:eastAsiaTheme="minorEastAsia"/>
              </w:rPr>
            </w:pPr>
            <w:r>
              <w:rPr>
                <w:rFonts w:hint="eastAsia" w:cs="微软雅黑" w:asciiTheme="minorEastAsia" w:hAnsiTheme="minorEastAsia" w:eastAsiaTheme="minorEastAsia"/>
              </w:rPr>
              <w:t>2.信息订阅服务可将系统相关消息推送到订阅者手机上，包括系统资料库更新情况、活动中上传的资料状态、内容更新、内容删除、活动创建、权限更改、空间不足等消息，方便使用人员和维护人员及时处理异常及完成相关任务。</w:t>
            </w:r>
          </w:p>
        </w:tc>
      </w:tr>
      <w:tr>
        <w:tblPrEx>
          <w:tblCellMar>
            <w:top w:w="0" w:type="dxa"/>
            <w:left w:w="108" w:type="dxa"/>
            <w:bottom w:w="0" w:type="dxa"/>
            <w:right w:w="108" w:type="dxa"/>
          </w:tblCellMar>
        </w:tblPrEx>
        <w:trPr>
          <w:trHeight w:val="313"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微软雅黑" w:asciiTheme="minorEastAsia" w:hAnsiTheme="minorEastAsia" w:eastAsiaTheme="minorEastAsia"/>
                <w:szCs w:val="21"/>
              </w:rPr>
            </w:pPr>
            <w:r>
              <w:rPr>
                <w:rFonts w:hint="eastAsia" w:cs="微软雅黑" w:asciiTheme="minorEastAsia" w:hAnsiTheme="minorEastAsia" w:eastAsiaTheme="minorEastAsia"/>
                <w:szCs w:val="21"/>
              </w:rPr>
              <w:t>登录要求</w:t>
            </w:r>
          </w:p>
        </w:tc>
        <w:tc>
          <w:tcPr>
            <w:tcW w:w="6095" w:type="dxa"/>
            <w:tcBorders>
              <w:top w:val="single" w:color="auto" w:sz="4" w:space="0"/>
              <w:left w:val="single" w:color="auto" w:sz="4" w:space="0"/>
              <w:bottom w:val="single" w:color="auto" w:sz="4" w:space="0"/>
              <w:right w:val="single" w:color="auto" w:sz="4" w:space="0"/>
            </w:tcBorders>
          </w:tcPr>
          <w:p>
            <w:pPr>
              <w:rPr>
                <w:rFonts w:cs="微软雅黑" w:asciiTheme="minorEastAsia" w:hAnsiTheme="minorEastAsia" w:eastAsiaTheme="minorEastAsia"/>
              </w:rPr>
            </w:pPr>
            <w:r>
              <w:rPr>
                <w:rFonts w:hint="eastAsia" w:cs="微软雅黑" w:asciiTheme="minorEastAsia" w:hAnsiTheme="minorEastAsia" w:eastAsiaTheme="minorEastAsia"/>
              </w:rPr>
              <w:t>平台需要提供多种登录方式，至少包含以下几种：</w:t>
            </w:r>
          </w:p>
          <w:p>
            <w:pPr>
              <w:rPr>
                <w:rFonts w:cs="微软雅黑" w:asciiTheme="minorEastAsia" w:hAnsiTheme="minorEastAsia" w:eastAsiaTheme="minorEastAsia"/>
              </w:rPr>
            </w:pPr>
            <w:r>
              <w:rPr>
                <w:rFonts w:hint="eastAsia" w:cs="微软雅黑" w:asciiTheme="minorEastAsia" w:hAnsiTheme="minorEastAsia" w:eastAsiaTheme="minorEastAsia"/>
              </w:rPr>
              <w:t>1、人员账号密码登录。</w:t>
            </w:r>
          </w:p>
          <w:p>
            <w:pPr>
              <w:rPr>
                <w:rFonts w:cs="微软雅黑" w:asciiTheme="minorEastAsia" w:hAnsiTheme="minorEastAsia" w:eastAsiaTheme="minorEastAsia"/>
              </w:rPr>
            </w:pPr>
            <w:r>
              <w:rPr>
                <w:rFonts w:hint="eastAsia" w:cs="微软雅黑" w:asciiTheme="minorEastAsia" w:hAnsiTheme="minorEastAsia" w:eastAsiaTheme="minorEastAsia"/>
              </w:rPr>
              <w:t>2、手机短信验证码登录</w:t>
            </w:r>
          </w:p>
          <w:p>
            <w:pPr>
              <w:rPr>
                <w:rFonts w:cs="微软雅黑" w:asciiTheme="minorEastAsia" w:hAnsiTheme="minorEastAsia" w:eastAsiaTheme="minorEastAsia"/>
              </w:rPr>
            </w:pPr>
            <w:r>
              <w:rPr>
                <w:rFonts w:hint="eastAsia" w:cs="微软雅黑" w:asciiTheme="minorEastAsia" w:hAnsiTheme="minorEastAsia" w:eastAsiaTheme="minorEastAsia"/>
              </w:rPr>
              <w:t>对于平台账号已经存在的手机号码，可以直接通过手机号和短信验证码进行登陆。对于平台账号不存在的手机号码，可以在活动创建时指定其为上传人员，其根据短信内的活动上报链接进入再通过短信验证码登陆平台进行活动上报操作。平台会保存该手机号登陆后的相关的记录，平台可以对该手机号进行相关内容检索。后期可以添加该手机号码为正式账号或作为合作伙伴账号，或者只作为外部联系人的形式存于平台。</w:t>
            </w:r>
          </w:p>
          <w:p>
            <w:pPr>
              <w:rPr>
                <w:rFonts w:cs="微软雅黑" w:asciiTheme="minorEastAsia" w:hAnsiTheme="minorEastAsia" w:eastAsiaTheme="minorEastAsia"/>
              </w:rPr>
            </w:pPr>
            <w:r>
              <w:rPr>
                <w:rFonts w:hint="eastAsia" w:cs="微软雅黑" w:asciiTheme="minorEastAsia" w:hAnsiTheme="minorEastAsia" w:eastAsiaTheme="minorEastAsia"/>
              </w:rPr>
              <w:t>3、微信公众号对接后直接验证登录。</w:t>
            </w:r>
          </w:p>
          <w:p>
            <w:pPr>
              <w:rPr>
                <w:rFonts w:cs="微软雅黑" w:asciiTheme="minorEastAsia" w:hAnsiTheme="minorEastAsia" w:eastAsiaTheme="minorEastAsia"/>
                <w:kern w:val="0"/>
                <w:szCs w:val="21"/>
              </w:rPr>
            </w:pPr>
            <w:r>
              <w:rPr>
                <w:rFonts w:hint="eastAsia" w:cs="微软雅黑" w:asciiTheme="minorEastAsia" w:hAnsiTheme="minorEastAsia" w:eastAsiaTheme="minorEastAsia"/>
              </w:rPr>
              <w:t>4、AI人脸识别登录。需要支持PC客户端调用电脑摄像头识别人脸进行登录平台。</w:t>
            </w:r>
          </w:p>
        </w:tc>
      </w:tr>
      <w:tr>
        <w:tblPrEx>
          <w:tblCellMar>
            <w:top w:w="0" w:type="dxa"/>
            <w:left w:w="108" w:type="dxa"/>
            <w:bottom w:w="0" w:type="dxa"/>
            <w:right w:w="108" w:type="dxa"/>
          </w:tblCellMar>
        </w:tblPrEx>
        <w:trPr>
          <w:trHeight w:val="313"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微软雅黑" w:asciiTheme="minorEastAsia" w:hAnsiTheme="minorEastAsia" w:eastAsiaTheme="minorEastAsia"/>
                <w:szCs w:val="21"/>
              </w:rPr>
            </w:pPr>
            <w:r>
              <w:rPr>
                <w:rFonts w:hint="eastAsia" w:cs="微软雅黑" w:asciiTheme="minorEastAsia" w:hAnsiTheme="minorEastAsia" w:eastAsiaTheme="minorEastAsia"/>
                <w:szCs w:val="21"/>
              </w:rPr>
              <w:t>安全要求</w:t>
            </w:r>
          </w:p>
        </w:tc>
        <w:tc>
          <w:tcPr>
            <w:tcW w:w="6095" w:type="dxa"/>
            <w:tcBorders>
              <w:top w:val="single" w:color="auto" w:sz="4" w:space="0"/>
              <w:left w:val="single" w:color="auto" w:sz="4" w:space="0"/>
              <w:bottom w:val="single" w:color="auto" w:sz="4" w:space="0"/>
              <w:right w:val="single" w:color="auto" w:sz="4" w:space="0"/>
            </w:tcBorders>
          </w:tcPr>
          <w:p>
            <w:pPr>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（一）文件安全</w:t>
            </w:r>
          </w:p>
          <w:p>
            <w:pPr>
              <w:ind w:left="420"/>
              <w:rPr>
                <w:rFonts w:cs="微软雅黑" w:asciiTheme="minorEastAsia" w:hAnsiTheme="minorEastAsia" w:eastAsiaTheme="minorEastAsia"/>
              </w:rPr>
            </w:pPr>
            <w:r>
              <w:rPr>
                <w:rFonts w:hint="eastAsia" w:cs="微软雅黑" w:asciiTheme="minorEastAsia" w:hAnsiTheme="minorEastAsia" w:eastAsiaTheme="minorEastAsia"/>
              </w:rPr>
              <w:t>内容上传</w:t>
            </w:r>
          </w:p>
          <w:p>
            <w:pPr>
              <w:numPr>
                <w:ilvl w:val="0"/>
                <w:numId w:val="34"/>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文件上传提供公共区域、保密区域、活动方式。</w:t>
            </w:r>
          </w:p>
          <w:p>
            <w:pPr>
              <w:numPr>
                <w:ilvl w:val="0"/>
                <w:numId w:val="34"/>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提供有针对性的活动上传方式，只有指定的人才能收到通知并上传资料，避免额外打扰。</w:t>
            </w:r>
          </w:p>
          <w:p>
            <w:pPr>
              <w:numPr>
                <w:ilvl w:val="0"/>
                <w:numId w:val="34"/>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文件上传需要提供断点续传功能，使大文件的上传可以安全可靠。</w:t>
            </w:r>
          </w:p>
          <w:p>
            <w:pPr>
              <w:ind w:left="420"/>
              <w:rPr>
                <w:rFonts w:asciiTheme="minorEastAsia" w:hAnsiTheme="minorEastAsia" w:eastAsiaTheme="minorEastAsia"/>
              </w:rPr>
            </w:pPr>
            <w:r>
              <w:rPr>
                <w:rFonts w:hint="eastAsia" w:asciiTheme="minorEastAsia" w:hAnsiTheme="minorEastAsia" w:eastAsiaTheme="minorEastAsia"/>
              </w:rPr>
              <w:t>内容查看</w:t>
            </w:r>
          </w:p>
          <w:p>
            <w:pPr>
              <w:numPr>
                <w:ilvl w:val="0"/>
                <w:numId w:val="35"/>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通过活动的方式收集的材料，由活动创建人指定这些内容的查看使用权限。活动方式外收集的材料根据公共区域和保密区域的管理权限。让内容的查看权限管理更细致，降低资料泄露的风险。</w:t>
            </w:r>
          </w:p>
          <w:p>
            <w:pPr>
              <w:numPr>
                <w:ilvl w:val="0"/>
                <w:numId w:val="35"/>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客户端对离线到本地的文件，采用文件加密存储方式，只能本地客户端能打开该文件。防止离线文件的意外泄漏事件发生。</w:t>
            </w:r>
          </w:p>
          <w:p>
            <w:pPr>
              <w:ind w:left="420"/>
              <w:rPr>
                <w:rFonts w:asciiTheme="minorEastAsia" w:hAnsiTheme="minorEastAsia" w:eastAsiaTheme="minorEastAsia"/>
              </w:rPr>
            </w:pPr>
            <w:r>
              <w:rPr>
                <w:rFonts w:hint="eastAsia" w:asciiTheme="minorEastAsia" w:hAnsiTheme="minorEastAsia" w:eastAsiaTheme="minorEastAsia"/>
              </w:rPr>
              <w:t>内容编辑</w:t>
            </w:r>
          </w:p>
          <w:p>
            <w:pPr>
              <w:numPr>
                <w:ilvl w:val="0"/>
                <w:numId w:val="36"/>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平台收集的资料，在经过相关整理后，为了避免文件内容误编辑文件名、简介、标签等造成的信息混乱，平台需要提供文件内容编辑需要在线向相关负责人提出修改申请，相关负责人收到申请并确认后把平台文件内容编辑确认码交最终修改确认人处理（可以由系统运维人员担任），修改确认人需要在有效时间内把确认码输入平台进行验证，验证通过文件信息才最终被修改。</w:t>
            </w:r>
          </w:p>
          <w:p>
            <w:pPr>
              <w:numPr>
                <w:ilvl w:val="0"/>
                <w:numId w:val="36"/>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文件内容被编辑，平台需要有详细的修改记录供查询。</w:t>
            </w:r>
          </w:p>
          <w:p>
            <w:pPr>
              <w:numPr>
                <w:ilvl w:val="0"/>
                <w:numId w:val="36"/>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为了减轻资料收集阶段相关人员对文件进行整理的压力，文件上传后在有效期内，管理员可以自主修改文件信息，不需要通过相关负责人及运维人员审核确认。</w:t>
            </w:r>
          </w:p>
          <w:p>
            <w:pPr>
              <w:ind w:left="420"/>
              <w:rPr>
                <w:rFonts w:asciiTheme="minorEastAsia" w:hAnsiTheme="minorEastAsia" w:eastAsiaTheme="minorEastAsia"/>
              </w:rPr>
            </w:pPr>
            <w:r>
              <w:rPr>
                <w:rFonts w:hint="eastAsia" w:asciiTheme="minorEastAsia" w:hAnsiTheme="minorEastAsia" w:eastAsiaTheme="minorEastAsia"/>
              </w:rPr>
              <w:t>内容删除</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1.平台收集的资料是单位宝贵的数字资产，为避免文件误删除造成损失，平台需提供删除确认流程功能，使用者确实需要删除文件的，需要在线向相关负责人提出删除申请，相关负责人把收到的平台删除文件确认码转交最终删除操作确认人处理（可以由系统运维人员担任），删除操作确认人需在有效时间内把接收到的确认码输入平台进行验证，验证通过文件才最终删除。</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2.文件删除，平台需要有详细的删除记录供查询。</w:t>
            </w:r>
          </w:p>
          <w:p>
            <w:pPr>
              <w:pStyle w:val="5"/>
              <w:rPr>
                <w:rFonts w:cs="微软雅黑" w:asciiTheme="minorEastAsia" w:hAnsiTheme="minorEastAsia" w:eastAsiaTheme="minorEastAsia"/>
                <w:b w:val="0"/>
                <w:bCs w:val="0"/>
                <w:sz w:val="21"/>
                <w:szCs w:val="21"/>
              </w:rPr>
            </w:pPr>
            <w:r>
              <w:rPr>
                <w:rFonts w:hint="eastAsia" w:cs="微软雅黑" w:asciiTheme="minorEastAsia" w:hAnsiTheme="minorEastAsia" w:eastAsiaTheme="minorEastAsia"/>
                <w:b w:val="0"/>
                <w:sz w:val="21"/>
                <w:szCs w:val="21"/>
              </w:rPr>
              <w:t>3.为了减轻资料收集阶段相关人员调整上报文件的压力，平台需要提供文件上传后默认一段时间内，相关上传人员可以对文件直接删除无需经过负责人审核。</w:t>
            </w:r>
          </w:p>
          <w:p>
            <w:pPr>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（二）权限安全</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基于三员管理原则，确保平台运行安全稳定。</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由于数字媒体资产涉及到用户单位的很多核心业务数据，要求整个系统按照三员管理的原则进行设计，不能存在超级管理员（一个账号具备所有的权限）。具体理念：</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1.系统运维员负责系统的初始化工作（用户数据的导入和账号的生成等）、系统参数设置、系统及服务器维护等。系统运维员不能给人员授权，不能看到具体的业务数据。</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2.权限管理员负责平台的相关使用权限分配工作。不能涉及用户的管理，不能查看业务数据。</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3.负责监督系统运维员、授权管理员的工作及监督整个系统的运行使用情况。</w:t>
            </w:r>
          </w:p>
          <w:p>
            <w:pPr>
              <w:pStyle w:val="6"/>
              <w:numPr>
                <w:ilvl w:val="0"/>
                <w:numId w:val="0"/>
              </w:numPr>
              <w:ind w:left="420"/>
              <w:rPr>
                <w:rFonts w:cs="微软雅黑"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rPr>
              <w:t>系统运维员</w:t>
            </w:r>
          </w:p>
          <w:p>
            <w:pPr>
              <w:pStyle w:val="7"/>
              <w:numPr>
                <w:ilvl w:val="0"/>
                <w:numId w:val="37"/>
              </w:numP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组织机构管理</w:t>
            </w:r>
          </w:p>
          <w:p>
            <w:pPr>
              <w:ind w:left="210" w:leftChars="100"/>
              <w:rPr>
                <w:rFonts w:cs="微软雅黑" w:asciiTheme="minorEastAsia" w:hAnsiTheme="minorEastAsia" w:eastAsiaTheme="minorEastAsia"/>
                <w:szCs w:val="21"/>
              </w:rPr>
            </w:pPr>
            <w:r>
              <w:rPr>
                <w:rFonts w:hint="eastAsia" w:cs="微软雅黑" w:asciiTheme="minorEastAsia" w:hAnsiTheme="minorEastAsia" w:eastAsiaTheme="minorEastAsia"/>
                <w:szCs w:val="21"/>
              </w:rPr>
              <w:t>组织机构构架方式应能跟钉钉组织架构无缝对接同步。</w:t>
            </w:r>
          </w:p>
          <w:p>
            <w:pPr>
              <w:numPr>
                <w:ilvl w:val="0"/>
                <w:numId w:val="38"/>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提供单位、部门、人员账号设置。</w:t>
            </w:r>
          </w:p>
          <w:p>
            <w:pPr>
              <w:numPr>
                <w:ilvl w:val="0"/>
                <w:numId w:val="38"/>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要提供组织机构导入功能。</w:t>
            </w:r>
          </w:p>
          <w:p>
            <w:pPr>
              <w:numPr>
                <w:ilvl w:val="0"/>
                <w:numId w:val="38"/>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提供用户的增删改功能。要支持批量导入、导出用户信息。</w:t>
            </w:r>
          </w:p>
          <w:p>
            <w:pPr>
              <w:numPr>
                <w:ilvl w:val="0"/>
                <w:numId w:val="38"/>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提供合作伙伴管理。</w:t>
            </w:r>
          </w:p>
          <w:p>
            <w:pPr>
              <w:numPr>
                <w:ilvl w:val="0"/>
                <w:numId w:val="38"/>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提供活动参与人员单独管理。</w:t>
            </w:r>
          </w:p>
          <w:p>
            <w:pPr>
              <w:numPr>
                <w:ilvl w:val="0"/>
                <w:numId w:val="38"/>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提供无账号人员的信息管理。</w:t>
            </w:r>
          </w:p>
          <w:p>
            <w:pPr>
              <w:pStyle w:val="7"/>
              <w:numPr>
                <w:ilvl w:val="0"/>
                <w:numId w:val="37"/>
              </w:numP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平台运行参数配置</w:t>
            </w:r>
          </w:p>
          <w:p>
            <w:pPr>
              <w:ind w:left="210" w:leftChars="100"/>
              <w:rPr>
                <w:rFonts w:cs="微软雅黑" w:asciiTheme="minorEastAsia" w:hAnsiTheme="minorEastAsia" w:eastAsiaTheme="minorEastAsia"/>
                <w:szCs w:val="21"/>
              </w:rPr>
            </w:pPr>
            <w:r>
              <w:rPr>
                <w:rFonts w:hint="eastAsia" w:cs="微软雅黑" w:asciiTheme="minorEastAsia" w:hAnsiTheme="minorEastAsia" w:eastAsiaTheme="minorEastAsia"/>
                <w:szCs w:val="21"/>
              </w:rPr>
              <w:t>系统运维员要能根据用户的需求设置系统运行的各种配置参数，让系统能够更好地运行。</w:t>
            </w:r>
          </w:p>
          <w:p>
            <w:pPr>
              <w:ind w:left="210" w:leftChars="100" w:firstLine="211" w:firstLineChars="100"/>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序列号许可配置</w:t>
            </w:r>
          </w:p>
          <w:p>
            <w:pPr>
              <w:numPr>
                <w:ilvl w:val="0"/>
                <w:numId w:val="39"/>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通过上传专用的序列号许可文件，控制平台功能使用。</w:t>
            </w:r>
          </w:p>
          <w:p>
            <w:pPr>
              <w:numPr>
                <w:ilvl w:val="0"/>
                <w:numId w:val="39"/>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可以查看当前平台网站名称、平台名称、序列号、序列号验证码、功能码版本及到期情况。</w:t>
            </w:r>
          </w:p>
          <w:p>
            <w:pPr>
              <w:numPr>
                <w:ilvl w:val="0"/>
                <w:numId w:val="39"/>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可以显示当前平台点播直播允许的并发数，及平台版本号及框架版本号。</w:t>
            </w:r>
          </w:p>
          <w:p>
            <w:pPr>
              <w:ind w:left="210" w:leftChars="100" w:firstLine="422" w:firstLineChars="200"/>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登陆提醒设置</w:t>
            </w:r>
          </w:p>
          <w:p>
            <w:pPr>
              <w:numPr>
                <w:ilvl w:val="0"/>
                <w:numId w:val="40"/>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可以配置平台注册条约及禁止注册说明。</w:t>
            </w:r>
          </w:p>
          <w:p>
            <w:pPr>
              <w:numPr>
                <w:ilvl w:val="0"/>
                <w:numId w:val="40"/>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可以设置是否开启用户注册功能。</w:t>
            </w:r>
          </w:p>
          <w:p>
            <w:pPr>
              <w:numPr>
                <w:ilvl w:val="0"/>
                <w:numId w:val="40"/>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可以设置是否允许用户登陆，方便平台维护时用户登陆产生数据异常。</w:t>
            </w:r>
          </w:p>
          <w:p>
            <w:pPr>
              <w:pStyle w:val="7"/>
              <w:numPr>
                <w:ilvl w:val="0"/>
                <w:numId w:val="37"/>
              </w:numP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 xml:space="preserve">消息推送设置 </w:t>
            </w:r>
          </w:p>
          <w:p>
            <w:pPr>
              <w:numPr>
                <w:ilvl w:val="0"/>
                <w:numId w:val="41"/>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平台应提供微信公众号对接接口配置，通过平台后台及微信公众平台的配置，可以把平台功能快速对接到微信公众号里。</w:t>
            </w:r>
          </w:p>
          <w:p>
            <w:pPr>
              <w:numPr>
                <w:ilvl w:val="0"/>
                <w:numId w:val="41"/>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应支持微信开放平台配置，配置完成可以实现微信扫码登录PC客户端。</w:t>
            </w:r>
          </w:p>
          <w:p>
            <w:pPr>
              <w:numPr>
                <w:ilvl w:val="0"/>
                <w:numId w:val="41"/>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平台应提供接入硬件短信猫功能，以便提供短信验证及登录等功能，并支持短信内容记录查询。</w:t>
            </w:r>
          </w:p>
          <w:p>
            <w:pPr>
              <w:numPr>
                <w:ilvl w:val="0"/>
                <w:numId w:val="41"/>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平台应提供邮箱对接接口配置，配置完成可通过邮箱发送提信息给相关人员。</w:t>
            </w:r>
          </w:p>
          <w:p>
            <w:pPr>
              <w:pStyle w:val="7"/>
              <w:numPr>
                <w:ilvl w:val="0"/>
                <w:numId w:val="37"/>
              </w:numP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平台访问地址设置</w:t>
            </w:r>
          </w:p>
          <w:p>
            <w:pPr>
              <w:numPr>
                <w:ilvl w:val="0"/>
                <w:numId w:val="42"/>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平台提供当服务器端对当前页面的解析IP地址显示，方便系统运维员排查由于网络造成的使用问题。</w:t>
            </w:r>
          </w:p>
          <w:p>
            <w:pPr>
              <w:numPr>
                <w:ilvl w:val="0"/>
                <w:numId w:val="42"/>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平台提供访问地址维护，便于系统运维员对平台的访问安全配置。</w:t>
            </w:r>
          </w:p>
          <w:p>
            <w:pPr>
              <w:pStyle w:val="7"/>
              <w:numPr>
                <w:ilvl w:val="0"/>
                <w:numId w:val="37"/>
              </w:numP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平台基础数据配置</w:t>
            </w:r>
          </w:p>
          <w:p>
            <w:pPr>
              <w:ind w:left="210" w:leftChars="100"/>
              <w:rPr>
                <w:rFonts w:cs="微软雅黑" w:asciiTheme="minorEastAsia" w:hAnsiTheme="minorEastAsia" w:eastAsiaTheme="minorEastAsia"/>
                <w:szCs w:val="21"/>
              </w:rPr>
            </w:pPr>
            <w:r>
              <w:rPr>
                <w:rFonts w:hint="eastAsia" w:cs="微软雅黑" w:asciiTheme="minorEastAsia" w:hAnsiTheme="minorEastAsia" w:eastAsiaTheme="minorEastAsia"/>
                <w:szCs w:val="21"/>
              </w:rPr>
              <w:t>对节假日进行设置。方便开关机等设置跳过节假日。</w:t>
            </w:r>
          </w:p>
          <w:p>
            <w:pPr>
              <w:pStyle w:val="7"/>
              <w:numPr>
                <w:ilvl w:val="0"/>
                <w:numId w:val="37"/>
              </w:numP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安全策略</w:t>
            </w:r>
          </w:p>
          <w:p>
            <w:pPr>
              <w:ind w:left="210" w:leftChars="100"/>
              <w:rPr>
                <w:rFonts w:cs="微软雅黑" w:asciiTheme="minorEastAsia" w:hAnsiTheme="minorEastAsia" w:eastAsiaTheme="minorEastAsia"/>
                <w:szCs w:val="21"/>
              </w:rPr>
            </w:pPr>
            <w:r>
              <w:rPr>
                <w:rFonts w:hint="eastAsia" w:cs="微软雅黑" w:asciiTheme="minorEastAsia" w:hAnsiTheme="minorEastAsia" w:eastAsiaTheme="minorEastAsia"/>
                <w:szCs w:val="21"/>
              </w:rPr>
              <w:t>系统运维员应可对系统的安全策略进行设置，以便更好地保障系统的安全。</w:t>
            </w:r>
          </w:p>
          <w:p>
            <w:pPr>
              <w:numPr>
                <w:ilvl w:val="0"/>
                <w:numId w:val="43"/>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应可对登录的安全策略进行设置。设置密码要求的强弱程度；设置评论和登录的验证码显示。</w:t>
            </w:r>
          </w:p>
          <w:p>
            <w:pPr>
              <w:numPr>
                <w:ilvl w:val="0"/>
                <w:numId w:val="43"/>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应可设置关键字过滤，发布的信息包含设置的关键字的自动过滤掉。</w:t>
            </w:r>
          </w:p>
          <w:p>
            <w:pPr>
              <w:pStyle w:val="7"/>
              <w:numPr>
                <w:ilvl w:val="0"/>
                <w:numId w:val="37"/>
              </w:numP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平台应用配置</w:t>
            </w:r>
          </w:p>
          <w:p>
            <w:pPr>
              <w:ind w:left="210" w:leftChars="100"/>
              <w:rPr>
                <w:rFonts w:cs="微软雅黑" w:asciiTheme="minorEastAsia" w:hAnsiTheme="minorEastAsia" w:eastAsiaTheme="minorEastAsia"/>
                <w:szCs w:val="21"/>
              </w:rPr>
            </w:pPr>
            <w:r>
              <w:rPr>
                <w:rFonts w:hint="eastAsia" w:cs="微软雅黑" w:asciiTheme="minorEastAsia" w:hAnsiTheme="minorEastAsia" w:eastAsiaTheme="minorEastAsia"/>
                <w:szCs w:val="21"/>
              </w:rPr>
              <w:t>系统运维员对平台的基本参数进行设置，并查看客户端的运行情况，及服务器对文件的处理情况。并处理文件的删除审核工作。</w:t>
            </w:r>
          </w:p>
          <w:p>
            <w:pPr>
              <w:ind w:left="210" w:leftChars="100"/>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客户端列表</w:t>
            </w:r>
          </w:p>
          <w:p>
            <w:pPr>
              <w:numPr>
                <w:ilvl w:val="0"/>
                <w:numId w:val="44"/>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显示登陆过平台的客户端所在电脑的情况，包括电脑名称，内网IP地址，MAC地址，磁盘空间使用情况，运行时的内存使用情况。</w:t>
            </w:r>
          </w:p>
          <w:p>
            <w:pPr>
              <w:numPr>
                <w:ilvl w:val="0"/>
                <w:numId w:val="44"/>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可以显示客户端的当前在线情况，客户端的版本信息，及当前客户端使用的账号登陆信息。</w:t>
            </w:r>
          </w:p>
          <w:p>
            <w:pPr>
              <w:ind w:left="210" w:leftChars="100"/>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基本属性配置</w:t>
            </w:r>
          </w:p>
          <w:p>
            <w:pPr>
              <w:numPr>
                <w:ilvl w:val="0"/>
                <w:numId w:val="45"/>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可以按视频、音频、图片、文档、其它文件分别设置可以上传到平台的文件格式。</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平台应默认支持：</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视频格式：mp4|avi|mov|flv|webm</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音频文件格式：ogv|m4v|oga|mp3|wmv</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图片文件格式：jpg|jpeg|gif|png</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文档文件格式：doc|docx|xls|xlsx|ppt|pptx|PDF</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其它文件格式：zip|rar</w:t>
            </w:r>
          </w:p>
          <w:p>
            <w:pPr>
              <w:numPr>
                <w:ilvl w:val="0"/>
                <w:numId w:val="45"/>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可以设置平台是否开启短信登陆验证。</w:t>
            </w:r>
          </w:p>
          <w:p>
            <w:pPr>
              <w:numPr>
                <w:ilvl w:val="0"/>
                <w:numId w:val="45"/>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可以设置平台是否开启微信扫码登陆验证。</w:t>
            </w:r>
          </w:p>
          <w:p>
            <w:pPr>
              <w:numPr>
                <w:ilvl w:val="0"/>
                <w:numId w:val="45"/>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可以设置平台是否开启人脸识别登陆验证。</w:t>
            </w:r>
          </w:p>
          <w:p>
            <w:pPr>
              <w:numPr>
                <w:ilvl w:val="0"/>
                <w:numId w:val="45"/>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可以数字量化设置图片比较阈值，把控平台按头像搜索的精度。</w:t>
            </w:r>
          </w:p>
          <w:p>
            <w:pPr>
              <w:numPr>
                <w:ilvl w:val="0"/>
                <w:numId w:val="45"/>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可以设置特殊操作流程有效期，为平台管理中的内容删除、活动合并与拆分、工作资料交接这些流程提供安全又便捷的操作。</w:t>
            </w:r>
          </w:p>
          <w:p>
            <w:pPr>
              <w:numPr>
                <w:ilvl w:val="0"/>
                <w:numId w:val="45"/>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可以设置删除文件有效期，文件上传后在有效期内，管理员可以自主删除，不需要通过相关负责人及运维管理员审核确认。</w:t>
            </w:r>
          </w:p>
          <w:p>
            <w:pPr>
              <w:numPr>
                <w:ilvl w:val="0"/>
                <w:numId w:val="45"/>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可以设置编辑文件信息有效期，文件上传后在有效期内，管理员可以自主修改文件名、简介、标签，不需要通过相关负责人及运维管理员审核确认。</w:t>
            </w:r>
          </w:p>
          <w:p>
            <w:pPr>
              <w:ind w:left="210" w:leftChars="100" w:firstLine="422" w:firstLineChars="200"/>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文件转码列表</w:t>
            </w:r>
          </w:p>
          <w:p>
            <w:pPr>
              <w:ind w:left="210" w:leftChars="100"/>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可以查看平台当前需要转码的文件，可以查看到转码文件的大小上传人员信息及上传时间，对于转码失败的文件，系统运维员可以控制重新转码。</w:t>
            </w:r>
          </w:p>
          <w:p>
            <w:pPr>
              <w:ind w:left="210" w:leftChars="100" w:firstLine="422" w:firstLineChars="200"/>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内容删除审核</w:t>
            </w:r>
          </w:p>
          <w:p>
            <w:pPr>
              <w:numPr>
                <w:ilvl w:val="0"/>
                <w:numId w:val="46"/>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提供根据复核码处理提交的文件删除申请。</w:t>
            </w:r>
          </w:p>
          <w:p>
            <w:pPr>
              <w:numPr>
                <w:ilvl w:val="0"/>
                <w:numId w:val="46"/>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对于提交过来的申请，无论已处理还是未处理超时的，都可以查询该申请的详细信息。</w:t>
            </w:r>
          </w:p>
          <w:p>
            <w:pPr>
              <w:pStyle w:val="7"/>
              <w:numPr>
                <w:ilvl w:val="3"/>
                <w:numId w:val="0"/>
              </w:numPr>
              <w:ind w:firstLine="632" w:firstLineChars="300"/>
              <w:rPr>
                <w:rFonts w:cs="微软雅黑" w:asciiTheme="minorEastAsia" w:hAnsiTheme="minorEastAsia" w:eastAsiaTheme="minorEastAsia"/>
                <w:b/>
                <w:bCs w:val="0"/>
                <w:sz w:val="21"/>
                <w:szCs w:val="21"/>
                <w:lang w:eastAsia="zh-CN"/>
              </w:rPr>
            </w:pPr>
            <w:r>
              <w:rPr>
                <w:rFonts w:hint="eastAsia" w:cs="微软雅黑" w:asciiTheme="minorEastAsia" w:hAnsiTheme="minorEastAsia" w:eastAsiaTheme="minorEastAsia"/>
                <w:b/>
                <w:bCs w:val="0"/>
                <w:sz w:val="21"/>
                <w:szCs w:val="21"/>
                <w:lang w:eastAsia="zh-CN"/>
              </w:rPr>
              <w:t>服务器配置</w:t>
            </w:r>
          </w:p>
          <w:p>
            <w:pPr>
              <w:ind w:left="210" w:leftChars="100"/>
              <w:rPr>
                <w:rFonts w:cs="微软雅黑" w:asciiTheme="minorEastAsia" w:hAnsiTheme="minorEastAsia" w:eastAsiaTheme="minorEastAsia"/>
                <w:szCs w:val="21"/>
              </w:rPr>
            </w:pPr>
            <w:r>
              <w:rPr>
                <w:rFonts w:hint="eastAsia" w:cs="微软雅黑" w:asciiTheme="minorEastAsia" w:hAnsiTheme="minorEastAsia" w:eastAsiaTheme="minorEastAsia"/>
                <w:szCs w:val="21"/>
              </w:rPr>
              <w:t>系统运维员要能在平台中方便地了解各台服务器的状态，以便维护，而不需要远程登录到服务器或跑到服务器存放处去查看。</w:t>
            </w:r>
          </w:p>
          <w:p>
            <w:pPr>
              <w:numPr>
                <w:ilvl w:val="0"/>
                <w:numId w:val="47"/>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可以查看平台对应服务器的配置情况，以便维护。如内网地址、映射外网地址、平台服务的端口设置、文件存储路径等。</w:t>
            </w:r>
          </w:p>
          <w:p>
            <w:pPr>
              <w:numPr>
                <w:ilvl w:val="0"/>
                <w:numId w:val="47"/>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可查看服务器中运行的各项平台服务是否正常。</w:t>
            </w:r>
          </w:p>
          <w:p>
            <w:pPr>
              <w:numPr>
                <w:ilvl w:val="0"/>
                <w:numId w:val="47"/>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有多个文件云端存在的情况下，可以设置全部轮询匹配或指定云端轮询匹配。</w:t>
            </w:r>
          </w:p>
          <w:p>
            <w:pPr>
              <w:numPr>
                <w:ilvl w:val="0"/>
                <w:numId w:val="47"/>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可以设置当云端磁盘空间低于多少时停止住该云端上传。</w:t>
            </w:r>
          </w:p>
          <w:p>
            <w:pPr>
              <w:numPr>
                <w:ilvl w:val="0"/>
                <w:numId w:val="47"/>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设置访问负载策略，根据一周之内访问人次来进行是否负载。</w:t>
            </w:r>
          </w:p>
          <w:p>
            <w:pPr>
              <w:numPr>
                <w:ilvl w:val="0"/>
                <w:numId w:val="47"/>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可以设置计划任务属性中数据库连接信息。</w:t>
            </w:r>
          </w:p>
          <w:p>
            <w:pPr>
              <w:numPr>
                <w:ilvl w:val="0"/>
                <w:numId w:val="47"/>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提供查看计划任务服务所在机器的名称、MAC地址、IP地址、服务当前运行在线情况及分配的计划任务数量。</w:t>
            </w:r>
          </w:p>
          <w:p>
            <w:pPr>
              <w:pStyle w:val="7"/>
              <w:numPr>
                <w:ilvl w:val="3"/>
                <w:numId w:val="0"/>
              </w:numPr>
              <w:ind w:firstLine="422" w:firstLineChars="200"/>
              <w:rPr>
                <w:rFonts w:cs="微软雅黑" w:asciiTheme="minorEastAsia" w:hAnsiTheme="minorEastAsia" w:eastAsiaTheme="minorEastAsia"/>
                <w:b/>
                <w:bCs w:val="0"/>
                <w:sz w:val="21"/>
                <w:szCs w:val="21"/>
                <w:lang w:eastAsia="zh-CN"/>
              </w:rPr>
            </w:pPr>
            <w:r>
              <w:rPr>
                <w:rFonts w:hint="eastAsia" w:cs="微软雅黑" w:asciiTheme="minorEastAsia" w:hAnsiTheme="minorEastAsia" w:eastAsiaTheme="minorEastAsia"/>
                <w:b/>
                <w:bCs w:val="0"/>
                <w:sz w:val="21"/>
                <w:szCs w:val="21"/>
                <w:lang w:eastAsia="zh-CN"/>
              </w:rPr>
              <w:t>运维提醒设置</w:t>
            </w:r>
          </w:p>
          <w:p>
            <w:pPr>
              <w:ind w:left="210" w:leftChars="100"/>
              <w:rPr>
                <w:rFonts w:cs="微软雅黑" w:asciiTheme="minorEastAsia" w:hAnsiTheme="minorEastAsia" w:eastAsiaTheme="minorEastAsia"/>
                <w:szCs w:val="21"/>
              </w:rPr>
            </w:pPr>
            <w:r>
              <w:rPr>
                <w:rFonts w:hint="eastAsia" w:cs="微软雅黑" w:asciiTheme="minorEastAsia" w:hAnsiTheme="minorEastAsia" w:eastAsiaTheme="minorEastAsia"/>
                <w:szCs w:val="21"/>
              </w:rPr>
              <w:t>一些系统状况和预警信息能够自动发送给相关人员，以便这些人员及时了解相关信息和提醒他们及时去完成相应工作。</w:t>
            </w:r>
          </w:p>
          <w:p>
            <w:pPr>
              <w:ind w:left="210" w:leftChars="100"/>
              <w:rPr>
                <w:rFonts w:cs="微软雅黑" w:asciiTheme="minorEastAsia" w:hAnsiTheme="minorEastAsia" w:eastAsiaTheme="minorEastAsia"/>
                <w:szCs w:val="21"/>
              </w:rPr>
            </w:pPr>
            <w:r>
              <w:rPr>
                <w:rFonts w:hint="eastAsia" w:cs="微软雅黑" w:asciiTheme="minorEastAsia" w:hAnsiTheme="minorEastAsia" w:eastAsiaTheme="minorEastAsia"/>
                <w:szCs w:val="21"/>
              </w:rPr>
              <w:t>可推送的信息应有：服务器的预警信息。如存储空间不足，CPU和内存的使用率超标等。</w:t>
            </w:r>
          </w:p>
          <w:p>
            <w:pPr>
              <w:numPr>
                <w:ilvl w:val="0"/>
                <w:numId w:val="48"/>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可以自主选择设置是否提交报错信息到厂家运维监控中心，便于厂家技术及时了解相关平台运行情况，及时介入处理问题。</w:t>
            </w:r>
          </w:p>
          <w:p>
            <w:pPr>
              <w:numPr>
                <w:ilvl w:val="0"/>
                <w:numId w:val="48"/>
              </w:numPr>
              <w:ind w:left="845"/>
              <w:rPr>
                <w:rFonts w:cs="微软雅黑" w:asciiTheme="minorEastAsia" w:hAnsiTheme="minorEastAsia" w:eastAsiaTheme="minorEastAsia"/>
                <w:szCs w:val="21"/>
              </w:rPr>
            </w:pPr>
            <w:r>
              <w:rPr>
                <w:rFonts w:hint="eastAsia" w:cs="微软雅黑" w:asciiTheme="minorEastAsia" w:hAnsiTheme="minorEastAsia" w:eastAsiaTheme="minorEastAsia"/>
                <w:szCs w:val="21"/>
              </w:rPr>
              <w:t>可以自主添加多个webhook地址，便于给不同的信息接收人推送信息。</w:t>
            </w:r>
          </w:p>
          <w:p>
            <w:pPr>
              <w:pStyle w:val="7"/>
              <w:numPr>
                <w:ilvl w:val="0"/>
                <w:numId w:val="37"/>
              </w:numP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升级及备份</w:t>
            </w:r>
          </w:p>
          <w:p>
            <w:pPr>
              <w:ind w:left="210" w:leftChars="100"/>
              <w:rPr>
                <w:rFonts w:cs="微软雅黑" w:asciiTheme="minorEastAsia" w:hAnsiTheme="minorEastAsia" w:eastAsiaTheme="minorEastAsia"/>
                <w:szCs w:val="21"/>
              </w:rPr>
            </w:pPr>
            <w:r>
              <w:rPr>
                <w:rFonts w:hint="eastAsia" w:cs="微软雅黑" w:asciiTheme="minorEastAsia" w:hAnsiTheme="minorEastAsia" w:eastAsiaTheme="minorEastAsia"/>
                <w:szCs w:val="21"/>
              </w:rPr>
              <w:t>系统运维员可以快速对平台及客户端进行升级维护。提供数字媒体资产客户端在线升级包维护。</w:t>
            </w:r>
          </w:p>
          <w:p>
            <w:pPr>
              <w:pStyle w:val="7"/>
              <w:numPr>
                <w:ilvl w:val="0"/>
                <w:numId w:val="37"/>
              </w:numP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开发配置</w:t>
            </w:r>
          </w:p>
          <w:p>
            <w:pPr>
              <w:ind w:left="210" w:leftChars="100"/>
              <w:rPr>
                <w:rFonts w:cs="微软雅黑" w:asciiTheme="minorEastAsia" w:hAnsiTheme="minorEastAsia" w:eastAsiaTheme="minorEastAsia"/>
                <w:szCs w:val="21"/>
              </w:rPr>
            </w:pPr>
            <w:r>
              <w:rPr>
                <w:rFonts w:hint="eastAsia" w:cs="微软雅黑" w:asciiTheme="minorEastAsia" w:hAnsiTheme="minorEastAsia" w:eastAsiaTheme="minorEastAsia"/>
                <w:szCs w:val="21"/>
              </w:rPr>
              <w:t>系统运维员可以对平台功能模块进行在线配置。可以维护应用名称、应用标识、应用图标、应用页面地址、是否开启该功能，以及是否由序列号控制显示，应用的显示排序等。</w:t>
            </w:r>
          </w:p>
          <w:p>
            <w:pPr>
              <w:pStyle w:val="7"/>
              <w:numPr>
                <w:ilvl w:val="0"/>
                <w:numId w:val="37"/>
              </w:numP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意见反馈</w:t>
            </w:r>
          </w:p>
          <w:p>
            <w:pPr>
              <w:ind w:left="210" w:leftChars="100"/>
              <w:rPr>
                <w:rFonts w:cs="微软雅黑" w:asciiTheme="minorEastAsia" w:hAnsiTheme="minorEastAsia" w:eastAsiaTheme="minorEastAsia"/>
                <w:szCs w:val="21"/>
              </w:rPr>
            </w:pPr>
            <w:r>
              <w:rPr>
                <w:rFonts w:hint="eastAsia" w:cs="微软雅黑" w:asciiTheme="minorEastAsia" w:hAnsiTheme="minorEastAsia" w:eastAsiaTheme="minorEastAsia"/>
                <w:szCs w:val="21"/>
              </w:rPr>
              <w:t>系统运维员可以在线把相关平台问题或平台改进意见提交给厂家。可以在线提交文字及图片信息。</w:t>
            </w:r>
          </w:p>
          <w:p>
            <w:pPr>
              <w:pStyle w:val="6"/>
              <w:numPr>
                <w:ilvl w:val="0"/>
                <w:numId w:val="0"/>
              </w:numPr>
              <w:ind w:left="420"/>
              <w:rPr>
                <w:rFonts w:cs="微软雅黑"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rPr>
              <w:t>权限管理员</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负责平台的相关使用权限分配工作。不能涉及用户的管理，不能查看业务数据。</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管理公共区域的查看、管理权限分配，需要满足以下功能要求。</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1.可以开启公共区域访问需要账号登陆才能查看使用其内文件。</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2.可以设置公共区域内容访问只有指定人员才允许查看使用。</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3.对于公共区域内的文件，可以指定授权多人进行管理，而且只有授权过的人员才允许对公共区域内的文件进行编辑更新删除等管理操作。</w:t>
            </w:r>
          </w:p>
          <w:p>
            <w:pPr>
              <w:rPr>
                <w:rFonts w:cs="微软雅黑" w:asciiTheme="minorEastAsia" w:hAnsiTheme="minorEastAsia" w:eastAsiaTheme="minorEastAsia"/>
                <w:szCs w:val="21"/>
              </w:rPr>
            </w:pP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管理保密区及活动的创建权限分配</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4.可以同时给保密区及活动创建人授权指定其助理，被授权人员创建的保密区和活动，对其助理可见，其助理有相应的管理权限可以协助进行保密区和活动的管理工作。</w:t>
            </w:r>
          </w:p>
          <w:p>
            <w:pPr>
              <w:pStyle w:val="6"/>
              <w:numPr>
                <w:ilvl w:val="0"/>
                <w:numId w:val="0"/>
              </w:numPr>
              <w:ind w:left="420"/>
              <w:rPr>
                <w:rFonts w:cs="微软雅黑"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rPr>
              <w:t>安全审计员</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负责监督系统运维员、授权管理员的工作及监督整个系统的运行使用情况。</w:t>
            </w:r>
          </w:p>
          <w:p>
            <w:pPr>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（三）备份安全</w:t>
            </w:r>
          </w:p>
          <w:p>
            <w:pPr>
              <w:numPr>
                <w:ilvl w:val="0"/>
                <w:numId w:val="49"/>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数据库定时自动备份：需要提供数据库定时自动备份作业计划。</w:t>
            </w:r>
          </w:p>
          <w:p>
            <w:pPr>
              <w:numPr>
                <w:ilvl w:val="0"/>
                <w:numId w:val="49"/>
              </w:numPr>
              <w:rPr>
                <w:rFonts w:asciiTheme="minorEastAsia" w:hAnsiTheme="minorEastAsia" w:eastAsiaTheme="minorEastAsia"/>
              </w:rPr>
            </w:pPr>
            <w:r>
              <w:rPr>
                <w:rFonts w:hint="eastAsia" w:cs="微软雅黑" w:asciiTheme="minorEastAsia" w:hAnsiTheme="minorEastAsia" w:eastAsiaTheme="minorEastAsia"/>
                <w:szCs w:val="21"/>
              </w:rPr>
              <w:t>平台文件离线冷备份：为保证资料信息的完整安全，需要提供有效的数据离线冷备份方案及现成产品，可以对海量数据进行定时完整备份。</w:t>
            </w:r>
          </w:p>
        </w:tc>
      </w:tr>
      <w:tr>
        <w:tblPrEx>
          <w:tblCellMar>
            <w:top w:w="0" w:type="dxa"/>
            <w:left w:w="108" w:type="dxa"/>
            <w:bottom w:w="0" w:type="dxa"/>
            <w:right w:w="108" w:type="dxa"/>
          </w:tblCellMar>
        </w:tblPrEx>
        <w:trPr>
          <w:trHeight w:val="313"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微软雅黑" w:asciiTheme="minorEastAsia" w:hAnsiTheme="minorEastAsia" w:eastAsiaTheme="minorEastAsia"/>
                <w:szCs w:val="21"/>
              </w:rPr>
            </w:pPr>
            <w:r>
              <w:rPr>
                <w:rFonts w:hint="eastAsia" w:cs="微软雅黑" w:asciiTheme="minorEastAsia" w:hAnsiTheme="minorEastAsia" w:eastAsiaTheme="minorEastAsia"/>
                <w:szCs w:val="21"/>
              </w:rPr>
              <w:t>关键技术要求</w:t>
            </w:r>
          </w:p>
        </w:tc>
        <w:tc>
          <w:tcPr>
            <w:tcW w:w="6095" w:type="dxa"/>
            <w:tcBorders>
              <w:top w:val="single" w:color="auto" w:sz="4" w:space="0"/>
              <w:left w:val="single" w:color="auto" w:sz="4" w:space="0"/>
              <w:bottom w:val="single" w:color="auto" w:sz="4" w:space="0"/>
              <w:right w:val="single" w:color="auto" w:sz="4" w:space="0"/>
            </w:tcBorders>
          </w:tcPr>
          <w:p>
            <w:pPr>
              <w:numPr>
                <w:ilvl w:val="0"/>
                <w:numId w:val="50"/>
              </w:numPr>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图片处理</w:t>
            </w:r>
          </w:p>
          <w:p>
            <w:pPr>
              <w:pStyle w:val="5"/>
              <w:rPr>
                <w:rFonts w:cs="微软雅黑" w:asciiTheme="minorEastAsia" w:hAnsiTheme="minorEastAsia" w:eastAsiaTheme="minorEastAsia"/>
                <w:b w:val="0"/>
                <w:bCs w:val="0"/>
                <w:sz w:val="21"/>
                <w:szCs w:val="21"/>
              </w:rPr>
            </w:pPr>
            <w:r>
              <w:rPr>
                <w:rFonts w:hint="eastAsia" w:cs="微软雅黑" w:asciiTheme="minorEastAsia" w:hAnsiTheme="minorEastAsia" w:eastAsiaTheme="minorEastAsia"/>
                <w:b w:val="0"/>
                <w:sz w:val="21"/>
                <w:szCs w:val="21"/>
              </w:rPr>
              <w:t>图片在线旋转、图片在线裁剪、图片在线生成word、ppt文档</w:t>
            </w:r>
          </w:p>
          <w:p>
            <w:pPr>
              <w:pStyle w:val="5"/>
              <w:numPr>
                <w:ilvl w:val="0"/>
                <w:numId w:val="50"/>
              </w:numPr>
              <w:spacing w:before="0" w:after="0" w:line="413" w:lineRule="auto"/>
              <w:rPr>
                <w:rFonts w:cs="微软雅黑" w:asciiTheme="minorEastAsia" w:hAnsiTheme="minorEastAsia" w:eastAsiaTheme="minorEastAsia"/>
                <w:bCs w:val="0"/>
                <w:sz w:val="21"/>
                <w:szCs w:val="21"/>
              </w:rPr>
            </w:pPr>
            <w:r>
              <w:rPr>
                <w:rFonts w:hint="eastAsia" w:cs="微软雅黑" w:asciiTheme="minorEastAsia" w:hAnsiTheme="minorEastAsia" w:eastAsiaTheme="minorEastAsia"/>
                <w:sz w:val="21"/>
                <w:szCs w:val="21"/>
              </w:rPr>
              <w:t>视频处理</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视频在服务器端进行转码，视频在线非编裁剪</w:t>
            </w:r>
          </w:p>
          <w:p>
            <w:pPr>
              <w:numPr>
                <w:ilvl w:val="0"/>
                <w:numId w:val="50"/>
              </w:numPr>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AI处理</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人脸识别登陆，照片人脸识别检索，视频人脸识别检索，文档内图片人脸识别检索</w:t>
            </w:r>
          </w:p>
          <w:p>
            <w:pPr>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（四）多服务器分发</w:t>
            </w:r>
          </w:p>
          <w:p>
            <w:pPr>
              <w:pStyle w:val="5"/>
              <w:rPr>
                <w:rFonts w:asciiTheme="minorEastAsia" w:hAnsiTheme="minorEastAsia" w:eastAsiaTheme="minorEastAsia"/>
              </w:rPr>
            </w:pPr>
            <w:r>
              <w:rPr>
                <w:rFonts w:hint="eastAsia" w:cs="微软雅黑" w:asciiTheme="minorEastAsia" w:hAnsiTheme="minorEastAsia" w:eastAsiaTheme="minorEastAsia"/>
                <w:b w:val="0"/>
                <w:sz w:val="21"/>
                <w:szCs w:val="21"/>
              </w:rPr>
              <w:t>可以扩充服务器，满足存储及并发的需要。</w:t>
            </w:r>
          </w:p>
        </w:tc>
      </w:tr>
      <w:tr>
        <w:tblPrEx>
          <w:tblCellMar>
            <w:top w:w="0" w:type="dxa"/>
            <w:left w:w="108" w:type="dxa"/>
            <w:bottom w:w="0" w:type="dxa"/>
            <w:right w:w="108" w:type="dxa"/>
          </w:tblCellMar>
        </w:tblPrEx>
        <w:trPr>
          <w:trHeight w:val="313"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微软雅黑" w:asciiTheme="minorEastAsia" w:hAnsiTheme="minorEastAsia" w:eastAsiaTheme="minorEastAsia"/>
                <w:szCs w:val="21"/>
              </w:rPr>
            </w:pPr>
            <w:r>
              <w:rPr>
                <w:rFonts w:hint="eastAsia" w:cs="微软雅黑" w:asciiTheme="minorEastAsia" w:hAnsiTheme="minorEastAsia" w:eastAsiaTheme="minorEastAsia"/>
                <w:szCs w:val="21"/>
              </w:rPr>
              <w:t>运维要求</w:t>
            </w:r>
          </w:p>
        </w:tc>
        <w:tc>
          <w:tcPr>
            <w:tcW w:w="6095" w:type="dxa"/>
            <w:tcBorders>
              <w:top w:val="single" w:color="auto" w:sz="4" w:space="0"/>
              <w:left w:val="single" w:color="auto" w:sz="4" w:space="0"/>
              <w:bottom w:val="single" w:color="auto" w:sz="4" w:space="0"/>
              <w:right w:val="single" w:color="auto" w:sz="4" w:space="0"/>
            </w:tcBorders>
          </w:tcPr>
          <w:p>
            <w:pPr>
              <w:rPr>
                <w:rFonts w:cs="微软雅黑" w:asciiTheme="minorEastAsia" w:hAnsiTheme="minorEastAsia" w:eastAsiaTheme="minorEastAsia"/>
              </w:rPr>
            </w:pPr>
            <w:r>
              <w:rPr>
                <w:rFonts w:hint="eastAsia" w:cs="微软雅黑" w:asciiTheme="minorEastAsia" w:hAnsiTheme="minorEastAsia" w:eastAsiaTheme="minorEastAsia"/>
              </w:rPr>
              <w:t>为保证系统能够最大化利用，要求产品具备以下功能：</w:t>
            </w:r>
          </w:p>
          <w:p>
            <w:pPr>
              <w:rPr>
                <w:rFonts w:cs="微软雅黑" w:asciiTheme="minorEastAsia" w:hAnsiTheme="minorEastAsia" w:eastAsiaTheme="minorEastAsia"/>
              </w:rPr>
            </w:pPr>
            <w:r>
              <w:rPr>
                <w:rFonts w:hint="eastAsia" w:cs="微软雅黑" w:asciiTheme="minorEastAsia" w:hAnsiTheme="minorEastAsia" w:eastAsiaTheme="minorEastAsia"/>
              </w:rPr>
              <w:t>1、服务运行情况自检测常见问题自修复并短信、钉钉提醒相关运维人员。</w:t>
            </w:r>
          </w:p>
          <w:p>
            <w:pPr>
              <w:rPr>
                <w:rFonts w:cs="微软雅黑" w:asciiTheme="minorEastAsia" w:hAnsiTheme="minorEastAsia" w:eastAsiaTheme="minorEastAsia"/>
                <w:kern w:val="0"/>
                <w:szCs w:val="21"/>
              </w:rPr>
            </w:pPr>
            <w:r>
              <w:rPr>
                <w:rFonts w:hint="eastAsia" w:cs="微软雅黑" w:asciiTheme="minorEastAsia" w:hAnsiTheme="minorEastAsia" w:eastAsiaTheme="minorEastAsia"/>
              </w:rPr>
              <w:t>2、对于无法自修复的问题，平台通过短信、钉钉通知运维人员，通知中需附带处理建议。</w:t>
            </w:r>
            <w:r>
              <w:rPr>
                <w:rFonts w:hint="eastAsia" w:cs="微软雅黑" w:asciiTheme="minorEastAsia" w:hAnsiTheme="minorEastAsia" w:eastAsiaTheme="minorEastAsia"/>
              </w:rPr>
              <w:br w:type="textWrapping"/>
            </w:r>
            <w:r>
              <w:rPr>
                <w:rFonts w:hint="eastAsia" w:cs="微软雅黑" w:asciiTheme="minorEastAsia" w:hAnsiTheme="minorEastAsia" w:eastAsiaTheme="minorEastAsia"/>
              </w:rPr>
              <w:t>3、平台可以定期主动向相关管理者推送平台具体使用情况。</w:t>
            </w:r>
            <w:r>
              <w:rPr>
                <w:rFonts w:hint="eastAsia" w:cs="微软雅黑" w:asciiTheme="minorEastAsia" w:hAnsiTheme="minorEastAsia" w:eastAsiaTheme="minorEastAsia"/>
              </w:rPr>
              <w:br w:type="textWrapping"/>
            </w:r>
            <w:r>
              <w:rPr>
                <w:rFonts w:hint="eastAsia" w:cs="微软雅黑" w:asciiTheme="minorEastAsia" w:hAnsiTheme="minorEastAsia" w:eastAsiaTheme="minorEastAsia"/>
              </w:rPr>
              <w:t>4、系统发生故障主动向运维人员推送信息，可以选择是否向厂家维护人员推送信息。</w:t>
            </w:r>
          </w:p>
        </w:tc>
      </w:tr>
      <w:tr>
        <w:tblPrEx>
          <w:tblCellMar>
            <w:top w:w="0" w:type="dxa"/>
            <w:left w:w="108" w:type="dxa"/>
            <w:bottom w:w="0" w:type="dxa"/>
            <w:right w:w="108" w:type="dxa"/>
          </w:tblCellMar>
        </w:tblPrEx>
        <w:trPr>
          <w:trHeight w:val="313"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微软雅黑" w:asciiTheme="minorEastAsia" w:hAnsiTheme="minorEastAsia" w:eastAsiaTheme="minorEastAsia"/>
                <w:szCs w:val="21"/>
              </w:rPr>
            </w:pPr>
            <w:r>
              <w:rPr>
                <w:rFonts w:hint="eastAsia" w:cs="微软雅黑" w:asciiTheme="minorEastAsia" w:hAnsiTheme="minorEastAsia" w:eastAsiaTheme="minorEastAsia"/>
                <w:szCs w:val="21"/>
              </w:rPr>
              <w:t>配套硬件要求</w:t>
            </w:r>
          </w:p>
        </w:tc>
        <w:tc>
          <w:tcPr>
            <w:tcW w:w="6095" w:type="dxa"/>
            <w:tcBorders>
              <w:top w:val="single" w:color="auto" w:sz="4" w:space="0"/>
              <w:left w:val="single" w:color="auto" w:sz="4" w:space="0"/>
              <w:bottom w:val="single" w:color="auto" w:sz="4" w:space="0"/>
              <w:right w:val="single" w:color="auto" w:sz="4" w:space="0"/>
            </w:tcBorders>
          </w:tcPr>
          <w:p>
            <w:pPr>
              <w:rPr>
                <w:rFonts w:cs="微软雅黑" w:asciiTheme="minorEastAsia" w:hAnsiTheme="minorEastAsia" w:eastAsiaTheme="minorEastAsia"/>
                <w:b/>
                <w:bCs/>
                <w:szCs w:val="21"/>
              </w:rPr>
            </w:pPr>
            <w:r>
              <w:rPr>
                <w:rFonts w:hint="eastAsia" w:cs="微软雅黑" w:asciiTheme="minorEastAsia" w:hAnsiTheme="minorEastAsia" w:eastAsiaTheme="minorEastAsia"/>
                <w:b/>
                <w:bCs/>
                <w:szCs w:val="21"/>
              </w:rPr>
              <w:t>（一）短信猫</w:t>
            </w:r>
          </w:p>
          <w:p>
            <w:pPr>
              <w:pStyle w:val="6"/>
              <w:numPr>
                <w:ilvl w:val="0"/>
                <w:numId w:val="0"/>
              </w:numPr>
              <w:ind w:left="420"/>
              <w:rPr>
                <w:rFonts w:cs="微软雅黑"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rPr>
              <w:t>硬件参数</w:t>
            </w:r>
          </w:p>
          <w:p>
            <w:pPr>
              <w:numPr>
                <w:ilvl w:val="0"/>
                <w:numId w:val="51"/>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支持EGSM900/GSM1800MHz双频，800/900/1800/1900MHz四频可选</w:t>
            </w:r>
          </w:p>
          <w:p>
            <w:pPr>
              <w:numPr>
                <w:ilvl w:val="0"/>
                <w:numId w:val="51"/>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GPRS multi-slot class 10</w:t>
            </w:r>
          </w:p>
          <w:p>
            <w:pPr>
              <w:numPr>
                <w:ilvl w:val="0"/>
                <w:numId w:val="51"/>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编码方案：CS1~CS4</w:t>
            </w:r>
          </w:p>
          <w:p>
            <w:pPr>
              <w:numPr>
                <w:ilvl w:val="0"/>
                <w:numId w:val="51"/>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符合SMG31bis技术规范</w:t>
            </w:r>
          </w:p>
          <w:p>
            <w:pPr>
              <w:numPr>
                <w:ilvl w:val="0"/>
                <w:numId w:val="51"/>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Compliant to GSM phase 2/2+</w:t>
            </w:r>
          </w:p>
          <w:p>
            <w:pPr>
              <w:numPr>
                <w:ilvl w:val="0"/>
                <w:numId w:val="51"/>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支持数据、短信和传真</w:t>
            </w:r>
          </w:p>
          <w:p>
            <w:pPr>
              <w:numPr>
                <w:ilvl w:val="0"/>
                <w:numId w:val="51"/>
              </w:numPr>
              <w:rPr>
                <w:rFonts w:cs="微软雅黑" w:asciiTheme="minorEastAsia" w:hAnsiTheme="minorEastAsia" w:eastAsiaTheme="minorEastAsia"/>
                <w:szCs w:val="21"/>
              </w:rPr>
            </w:pPr>
            <w:r>
              <w:rPr>
                <w:rFonts w:hint="eastAsia" w:cs="微软雅黑" w:asciiTheme="minorEastAsia" w:hAnsiTheme="minorEastAsia" w:eastAsiaTheme="minorEastAsia"/>
                <w:szCs w:val="21"/>
              </w:rPr>
              <w:t>接口：</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ab/>
            </w:r>
            <w:r>
              <w:rPr>
                <w:rFonts w:hint="eastAsia" w:cs="微软雅黑" w:asciiTheme="minorEastAsia" w:hAnsiTheme="minorEastAsia" w:eastAsiaTheme="minorEastAsia"/>
                <w:szCs w:val="21"/>
              </w:rPr>
              <w:t>标准RS232串口，串口速率110~230400BPS</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ab/>
            </w:r>
            <w:r>
              <w:rPr>
                <w:rFonts w:hint="eastAsia" w:cs="微软雅黑" w:asciiTheme="minorEastAsia" w:hAnsiTheme="minorEastAsia" w:eastAsiaTheme="minorEastAsia"/>
                <w:szCs w:val="21"/>
              </w:rPr>
              <w:t>指示灯：具有电源及在线指示灯。</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ab/>
            </w:r>
            <w:r>
              <w:rPr>
                <w:rFonts w:hint="eastAsia" w:cs="微软雅黑" w:asciiTheme="minorEastAsia" w:hAnsiTheme="minorEastAsia" w:eastAsiaTheme="minorEastAsia"/>
                <w:szCs w:val="21"/>
              </w:rPr>
              <w:t>天线接口：标准SMA阴头天线接口，特性阻抗50欧。</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ab/>
            </w:r>
            <w:r>
              <w:rPr>
                <w:rFonts w:hint="eastAsia" w:cs="微软雅黑" w:asciiTheme="minorEastAsia" w:hAnsiTheme="minorEastAsia" w:eastAsiaTheme="minorEastAsia"/>
                <w:szCs w:val="21"/>
              </w:rPr>
              <w:t>SIM卡接口：3V/1.8V标准的推杆式用户卡接口。</w:t>
            </w:r>
          </w:p>
          <w:p>
            <w:pPr>
              <w:pStyle w:val="6"/>
              <w:numPr>
                <w:ilvl w:val="0"/>
                <w:numId w:val="0"/>
              </w:numPr>
              <w:ind w:left="420"/>
              <w:rPr>
                <w:rFonts w:cs="微软雅黑"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rPr>
              <w:t>功能参数</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1. 支持中文、英文、数字短信发送和接收，短信告警</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2. 支持GPRS无线上网功能</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3. 提供VB/VC/C#/DEPHI 动态链接库DLL和测试程序，方便用户开发和集成软件</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4. 公司提供短信群发软件，方便客户群发短信</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5. 系统工业级设计，抗干扰能力强，系统稳定，适合在工业控制领域使用</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6. 极好的低温和高温工作性能</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7. 使用方便、灵活、可靠</w:t>
            </w: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8. 支持标准的AT指令</w:t>
            </w:r>
          </w:p>
          <w:p>
            <w:pPr>
              <w:rPr>
                <w:rFonts w:asciiTheme="minorEastAsia" w:hAnsiTheme="minorEastAsia" w:eastAsiaTheme="minorEastAsia"/>
              </w:rPr>
            </w:pPr>
            <w:r>
              <w:rPr>
                <w:rFonts w:hint="eastAsia" w:cs="微软雅黑" w:asciiTheme="minorEastAsia" w:hAnsiTheme="minorEastAsia" w:eastAsiaTheme="minorEastAsia"/>
                <w:szCs w:val="21"/>
              </w:rPr>
              <w:t>9. 支持WINDOW/LINUX操作系统</w:t>
            </w:r>
          </w:p>
        </w:tc>
      </w:tr>
    </w:tbl>
    <w:p>
      <w:pPr>
        <w:pStyle w:val="2"/>
        <w:ind w:left="0" w:leftChars="0" w:firstLine="0" w:firstLineChars="0"/>
      </w:pPr>
    </w:p>
    <w:p>
      <w:pPr>
        <w:pStyle w:val="24"/>
        <w:jc w:val="left"/>
        <w:rPr>
          <w:rFonts w:ascii="微软雅黑" w:hAnsi="微软雅黑" w:eastAsia="微软雅黑" w:cs="微软雅黑"/>
        </w:rPr>
      </w:pPr>
      <w:r>
        <w:rPr>
          <w:rFonts w:hint="eastAsia" w:ascii="微软雅黑" w:hAnsi="微软雅黑" w:eastAsia="微软雅黑" w:cs="微软雅黑"/>
        </w:rPr>
        <w:t>三、产品演示操作截图要求</w:t>
      </w:r>
    </w:p>
    <w:p>
      <w:pPr>
        <w:ind w:firstLine="360" w:firstLineChars="150"/>
        <w:rPr>
          <w:rFonts w:ascii="微软雅黑" w:hAnsi="微软雅黑" w:eastAsia="微软雅黑" w:cs="微软雅黑"/>
          <w:sz w:val="24"/>
          <w:szCs w:val="24"/>
        </w:rPr>
      </w:pPr>
      <w:r>
        <w:rPr>
          <w:rFonts w:hint="eastAsia" w:ascii="微软雅黑" w:hAnsi="微软雅黑" w:eastAsia="微软雅黑" w:cs="微软雅黑"/>
          <w:sz w:val="24"/>
          <w:szCs w:val="24"/>
        </w:rPr>
        <w:t>本项目标段二要求投标单位提供的是成熟可靠的产品。为确认投标产品功能的真实性，要求对以下演示操作提供界面截图。</w:t>
      </w:r>
    </w:p>
    <w:p/>
    <w:p>
      <w:pPr>
        <w:pStyle w:val="42"/>
        <w:numPr>
          <w:ilvl w:val="0"/>
          <w:numId w:val="52"/>
        </w:numPr>
        <w:adjustRightInd w:val="0"/>
        <w:snapToGrid w:val="0"/>
        <w:spacing w:line="360" w:lineRule="auto"/>
        <w:ind w:firstLine="480"/>
        <w:rPr>
          <w:rFonts w:ascii="微软雅黑" w:hAnsi="微软雅黑" w:eastAsia="微软雅黑" w:cs="微软雅黑"/>
          <w:b/>
          <w:bCs/>
          <w:sz w:val="24"/>
          <w:szCs w:val="24"/>
        </w:rPr>
      </w:pPr>
      <w:r>
        <w:rPr>
          <w:rFonts w:hint="eastAsia" w:ascii="微软雅黑" w:hAnsi="微软雅黑" w:eastAsia="微软雅黑" w:cs="微软雅黑"/>
          <w:b/>
          <w:bCs/>
          <w:sz w:val="24"/>
          <w:szCs w:val="24"/>
        </w:rPr>
        <w:t>数据中心及应用支撑平台</w:t>
      </w:r>
    </w:p>
    <w:p>
      <w:pPr>
        <w:pStyle w:val="42"/>
        <w:numPr>
          <w:ilvl w:val="0"/>
          <w:numId w:val="53"/>
        </w:numPr>
        <w:adjustRightInd w:val="0"/>
        <w:snapToGrid w:val="0"/>
        <w:spacing w:line="360" w:lineRule="auto"/>
        <w:ind w:firstLineChars="0"/>
        <w:rPr>
          <w:rFonts w:ascii="微软雅黑" w:hAnsi="微软雅黑" w:eastAsia="微软雅黑" w:cs="微软雅黑"/>
          <w:sz w:val="24"/>
          <w:szCs w:val="24"/>
        </w:rPr>
      </w:pPr>
      <w:r>
        <w:rPr>
          <w:rFonts w:hint="eastAsia" w:ascii="微软雅黑" w:hAnsi="微软雅黑" w:eastAsia="微软雅黑" w:cs="微软雅黑"/>
          <w:sz w:val="24"/>
          <w:szCs w:val="24"/>
        </w:rPr>
        <w:t>进行数据建模，自定义数据类型以及数据字段名称；</w:t>
      </w:r>
    </w:p>
    <w:p>
      <w:pPr>
        <w:pStyle w:val="42"/>
        <w:numPr>
          <w:ilvl w:val="0"/>
          <w:numId w:val="53"/>
        </w:numPr>
        <w:adjustRightInd w:val="0"/>
        <w:snapToGrid w:val="0"/>
        <w:spacing w:line="360" w:lineRule="auto"/>
        <w:ind w:firstLineChars="0"/>
        <w:rPr>
          <w:rFonts w:ascii="微软雅黑" w:hAnsi="微软雅黑" w:eastAsia="微软雅黑" w:cs="微软雅黑"/>
          <w:sz w:val="24"/>
          <w:szCs w:val="24"/>
        </w:rPr>
      </w:pPr>
      <w:r>
        <w:rPr>
          <w:rFonts w:hint="eastAsia" w:ascii="微软雅黑" w:hAnsi="微软雅黑" w:eastAsia="微软雅黑" w:cs="微软雅黑"/>
          <w:sz w:val="24"/>
          <w:szCs w:val="24"/>
        </w:rPr>
        <w:t>操作表单以及表单控件使用，支持一套数据表多表单；</w:t>
      </w:r>
    </w:p>
    <w:p>
      <w:pPr>
        <w:pStyle w:val="42"/>
        <w:numPr>
          <w:ilvl w:val="0"/>
          <w:numId w:val="53"/>
        </w:numPr>
        <w:adjustRightInd w:val="0"/>
        <w:snapToGrid w:val="0"/>
        <w:spacing w:line="360" w:lineRule="auto"/>
        <w:ind w:firstLineChars="0"/>
        <w:rPr>
          <w:rFonts w:ascii="微软雅黑" w:hAnsi="微软雅黑" w:eastAsia="微软雅黑" w:cs="微软雅黑"/>
          <w:sz w:val="24"/>
          <w:szCs w:val="24"/>
        </w:rPr>
      </w:pPr>
      <w:r>
        <w:rPr>
          <w:rFonts w:hint="eastAsia" w:ascii="微软雅黑" w:hAnsi="微软雅黑" w:eastAsia="微软雅黑" w:cs="微软雅黑"/>
          <w:sz w:val="24"/>
          <w:szCs w:val="24"/>
        </w:rPr>
        <w:t>搭建流程；</w:t>
      </w:r>
    </w:p>
    <w:p>
      <w:pPr>
        <w:pStyle w:val="42"/>
        <w:numPr>
          <w:ilvl w:val="0"/>
          <w:numId w:val="53"/>
        </w:numPr>
        <w:adjustRightInd w:val="0"/>
        <w:snapToGrid w:val="0"/>
        <w:spacing w:line="360" w:lineRule="auto"/>
        <w:ind w:firstLineChars="0"/>
        <w:rPr>
          <w:rFonts w:ascii="微软雅黑" w:hAnsi="微软雅黑" w:eastAsia="微软雅黑" w:cs="微软雅黑"/>
          <w:sz w:val="24"/>
          <w:szCs w:val="24"/>
        </w:rPr>
      </w:pPr>
      <w:r>
        <w:rPr>
          <w:rFonts w:hint="eastAsia" w:ascii="微软雅黑" w:hAnsi="微软雅黑" w:eastAsia="微软雅黑" w:cs="微软雅黑"/>
          <w:sz w:val="24"/>
          <w:szCs w:val="24"/>
        </w:rPr>
        <w:t>搭建报表，支持报表面板，支持多表联合查询；</w:t>
      </w:r>
    </w:p>
    <w:p>
      <w:pPr>
        <w:pStyle w:val="42"/>
        <w:numPr>
          <w:ilvl w:val="0"/>
          <w:numId w:val="53"/>
        </w:numPr>
        <w:adjustRightInd w:val="0"/>
        <w:snapToGrid w:val="0"/>
        <w:spacing w:line="360" w:lineRule="auto"/>
        <w:ind w:firstLineChars="0"/>
        <w:rPr>
          <w:rFonts w:ascii="微软雅黑" w:hAnsi="微软雅黑" w:eastAsia="微软雅黑" w:cs="微软雅黑"/>
          <w:sz w:val="24"/>
          <w:szCs w:val="24"/>
        </w:rPr>
      </w:pPr>
      <w:r>
        <w:rPr>
          <w:rFonts w:hint="eastAsia" w:ascii="微软雅黑" w:hAnsi="微软雅黑" w:eastAsia="微软雅黑" w:cs="微软雅黑"/>
          <w:sz w:val="24"/>
          <w:szCs w:val="24"/>
        </w:rPr>
        <w:t>设置系统组织架构设置，支持多组织架构设置；</w:t>
      </w:r>
    </w:p>
    <w:p>
      <w:pPr>
        <w:pStyle w:val="42"/>
        <w:numPr>
          <w:ilvl w:val="0"/>
          <w:numId w:val="52"/>
        </w:numPr>
        <w:adjustRightInd w:val="0"/>
        <w:snapToGrid w:val="0"/>
        <w:spacing w:line="360" w:lineRule="auto"/>
        <w:ind w:firstLine="480"/>
        <w:rPr>
          <w:rFonts w:ascii="微软雅黑" w:hAnsi="微软雅黑" w:eastAsia="微软雅黑" w:cs="微软雅黑"/>
          <w:b/>
          <w:bCs/>
          <w:sz w:val="24"/>
          <w:szCs w:val="24"/>
        </w:rPr>
      </w:pPr>
      <w:r>
        <w:rPr>
          <w:rFonts w:hint="eastAsia" w:ascii="微软雅黑" w:hAnsi="微软雅黑" w:eastAsia="微软雅黑" w:cs="微软雅黑"/>
          <w:b/>
          <w:bCs/>
          <w:sz w:val="24"/>
          <w:szCs w:val="24"/>
        </w:rPr>
        <w:t>应用系统软件</w:t>
      </w:r>
    </w:p>
    <w:p>
      <w:pPr>
        <w:pStyle w:val="42"/>
        <w:adjustRightInd w:val="0"/>
        <w:snapToGrid w:val="0"/>
        <w:spacing w:line="360" w:lineRule="auto"/>
        <w:ind w:left="420" w:firstLine="0" w:firstLineChars="0"/>
        <w:rPr>
          <w:rFonts w:ascii="微软雅黑" w:hAnsi="微软雅黑" w:eastAsia="微软雅黑" w:cs="微软雅黑"/>
          <w:b/>
          <w:bCs/>
          <w:sz w:val="24"/>
          <w:szCs w:val="24"/>
        </w:rPr>
      </w:pPr>
      <w:r>
        <w:rPr>
          <w:rFonts w:hint="eastAsia" w:ascii="微软雅黑" w:hAnsi="微软雅黑" w:eastAsia="微软雅黑" w:cs="微软雅黑"/>
          <w:b/>
          <w:bCs/>
          <w:sz w:val="24"/>
          <w:szCs w:val="24"/>
        </w:rPr>
        <w:t>办公系统（OA）</w:t>
      </w:r>
    </w:p>
    <w:p>
      <w:pPr>
        <w:pStyle w:val="42"/>
        <w:numPr>
          <w:ilvl w:val="0"/>
          <w:numId w:val="54"/>
        </w:numPr>
        <w:adjustRightInd w:val="0"/>
        <w:snapToGrid w:val="0"/>
        <w:spacing w:line="360" w:lineRule="auto"/>
        <w:ind w:firstLineChars="0"/>
        <w:rPr>
          <w:rFonts w:ascii="微软雅黑" w:hAnsi="微软雅黑" w:eastAsia="微软雅黑" w:cs="微软雅黑"/>
          <w:sz w:val="24"/>
          <w:szCs w:val="24"/>
        </w:rPr>
      </w:pPr>
      <w:r>
        <w:rPr>
          <w:rFonts w:hint="eastAsia" w:ascii="微软雅黑" w:hAnsi="微软雅黑" w:eastAsia="微软雅黑" w:cs="微软雅黑"/>
          <w:sz w:val="24"/>
          <w:szCs w:val="24"/>
        </w:rPr>
        <w:t>公文管理在线编辑，预览，权限控制，套红/盖章；</w:t>
      </w:r>
    </w:p>
    <w:p>
      <w:pPr>
        <w:pStyle w:val="42"/>
        <w:numPr>
          <w:ilvl w:val="0"/>
          <w:numId w:val="54"/>
        </w:numPr>
        <w:adjustRightInd w:val="0"/>
        <w:snapToGrid w:val="0"/>
        <w:spacing w:line="360" w:lineRule="auto"/>
        <w:ind w:firstLineChars="0"/>
        <w:rPr>
          <w:rFonts w:ascii="微软雅黑" w:hAnsi="微软雅黑" w:eastAsia="微软雅黑" w:cs="微软雅黑"/>
          <w:sz w:val="24"/>
          <w:szCs w:val="24"/>
        </w:rPr>
      </w:pPr>
      <w:r>
        <w:rPr>
          <w:rFonts w:hint="eastAsia" w:ascii="微软雅黑" w:hAnsi="微软雅黑" w:eastAsia="微软雅黑" w:cs="微软雅黑"/>
          <w:sz w:val="24"/>
          <w:szCs w:val="24"/>
        </w:rPr>
        <w:t>批示件办理或交办单管理，审批提醒，审批时效分析；</w:t>
      </w:r>
    </w:p>
    <w:p>
      <w:pPr>
        <w:pStyle w:val="42"/>
        <w:numPr>
          <w:ilvl w:val="0"/>
          <w:numId w:val="54"/>
        </w:numPr>
        <w:adjustRightInd w:val="0"/>
        <w:snapToGrid w:val="0"/>
        <w:spacing w:line="360" w:lineRule="auto"/>
        <w:ind w:firstLineChars="0"/>
        <w:rPr>
          <w:rFonts w:ascii="微软雅黑" w:hAnsi="微软雅黑" w:eastAsia="微软雅黑" w:cs="微软雅黑"/>
          <w:sz w:val="24"/>
          <w:szCs w:val="24"/>
        </w:rPr>
      </w:pPr>
      <w:r>
        <w:rPr>
          <w:rFonts w:hint="eastAsia" w:ascii="微软雅黑" w:hAnsi="微软雅黑" w:eastAsia="微软雅黑" w:cs="微软雅黑"/>
          <w:sz w:val="24"/>
          <w:szCs w:val="24"/>
        </w:rPr>
        <w:t>审批流程管理，根据不同部门人员多层审批，退回，会签，审批留痕效果展现；</w:t>
      </w:r>
    </w:p>
    <w:p>
      <w:pPr>
        <w:pStyle w:val="42"/>
        <w:adjustRightInd w:val="0"/>
        <w:snapToGrid w:val="0"/>
        <w:spacing w:line="360" w:lineRule="auto"/>
        <w:ind w:left="420" w:firstLine="0" w:firstLineChars="0"/>
        <w:rPr>
          <w:rFonts w:ascii="微软雅黑" w:hAnsi="微软雅黑" w:eastAsia="微软雅黑" w:cs="微软雅黑"/>
          <w:b/>
          <w:bCs/>
          <w:sz w:val="24"/>
          <w:szCs w:val="24"/>
        </w:rPr>
      </w:pPr>
      <w:r>
        <w:rPr>
          <w:rFonts w:hint="eastAsia" w:ascii="微软雅黑" w:hAnsi="微软雅黑" w:eastAsia="微软雅黑" w:cs="微软雅黑"/>
          <w:b/>
          <w:bCs/>
          <w:sz w:val="24"/>
          <w:szCs w:val="24"/>
        </w:rPr>
        <w:t>智慧学习系统</w:t>
      </w:r>
    </w:p>
    <w:p>
      <w:pPr>
        <w:pStyle w:val="52"/>
        <w:numPr>
          <w:ilvl w:val="0"/>
          <w:numId w:val="55"/>
        </w:numPr>
        <w:spacing w:before="139" w:line="360" w:lineRule="auto"/>
        <w:rPr>
          <w:rFonts w:ascii="微软雅黑" w:hAnsi="微软雅黑" w:eastAsia="微软雅黑" w:cs="微软雅黑"/>
          <w:szCs w:val="24"/>
        </w:rPr>
      </w:pPr>
      <w:r>
        <w:rPr>
          <w:rFonts w:hint="eastAsia" w:ascii="微软雅黑" w:hAnsi="微软雅黑" w:eastAsia="微软雅黑" w:cs="微软雅黑"/>
          <w:szCs w:val="24"/>
        </w:rPr>
        <w:t>编辑设置课程通过条件，设置学习权重、访问权重、讨论权重、作业权重、考试权重等所占分数比例和对应通过条件。</w:t>
      </w:r>
    </w:p>
    <w:p>
      <w:pPr>
        <w:pStyle w:val="52"/>
        <w:numPr>
          <w:ilvl w:val="0"/>
          <w:numId w:val="55"/>
        </w:numPr>
        <w:spacing w:before="139" w:line="360" w:lineRule="auto"/>
        <w:rPr>
          <w:rFonts w:ascii="微软雅黑" w:hAnsi="微软雅黑" w:eastAsia="微软雅黑" w:cs="微软雅黑"/>
          <w:szCs w:val="24"/>
        </w:rPr>
      </w:pPr>
      <w:r>
        <w:rPr>
          <w:rFonts w:hint="eastAsia" w:ascii="微软雅黑" w:hAnsi="微软雅黑" w:eastAsia="微软雅黑" w:cs="微软雅黑"/>
          <w:szCs w:val="24"/>
        </w:rPr>
        <w:t>教师创建作业，设置开始、截至日期，作业的分值、所属课程、适用班级。演示教师设置作业类型为附件作业并上传作业要求文档文件，学生可以在线预览。</w:t>
      </w:r>
    </w:p>
    <w:p>
      <w:pPr>
        <w:pStyle w:val="52"/>
        <w:numPr>
          <w:ilvl w:val="0"/>
          <w:numId w:val="55"/>
        </w:numPr>
        <w:spacing w:before="139" w:line="360" w:lineRule="auto"/>
        <w:rPr>
          <w:rFonts w:ascii="微软雅黑" w:hAnsi="微软雅黑" w:eastAsia="微软雅黑" w:cs="微软雅黑"/>
          <w:szCs w:val="24"/>
        </w:rPr>
      </w:pPr>
      <w:r>
        <w:rPr>
          <w:rFonts w:hint="eastAsia" w:ascii="微软雅黑" w:hAnsi="微软雅黑" w:eastAsia="微软雅黑" w:cs="微软雅黑"/>
          <w:szCs w:val="24"/>
        </w:rPr>
        <w:t>教师在PPT中引用平台资源，并直接插入PPT快速完成备课。</w:t>
      </w:r>
    </w:p>
    <w:p>
      <w:pPr>
        <w:pStyle w:val="52"/>
        <w:numPr>
          <w:ilvl w:val="0"/>
          <w:numId w:val="55"/>
        </w:numPr>
        <w:spacing w:before="139" w:line="360" w:lineRule="auto"/>
        <w:rPr>
          <w:rFonts w:ascii="微软雅黑" w:hAnsi="微软雅黑" w:eastAsia="微软雅黑" w:cs="微软雅黑"/>
          <w:szCs w:val="24"/>
        </w:rPr>
      </w:pPr>
      <w:r>
        <w:rPr>
          <w:rFonts w:hint="eastAsia" w:ascii="微软雅黑" w:hAnsi="微软雅黑" w:eastAsia="微软雅黑" w:cs="微软雅黑"/>
          <w:szCs w:val="24"/>
        </w:rPr>
        <w:t>未签到学生信息在教师电脑屏幕上以弹幕的方式滚动显示。</w:t>
      </w:r>
    </w:p>
    <w:p>
      <w:pPr>
        <w:pStyle w:val="52"/>
        <w:numPr>
          <w:ilvl w:val="0"/>
          <w:numId w:val="55"/>
        </w:numPr>
        <w:spacing w:before="139" w:line="360" w:lineRule="auto"/>
        <w:rPr>
          <w:rFonts w:ascii="微软雅黑" w:hAnsi="微软雅黑" w:eastAsia="微软雅黑" w:cs="微软雅黑"/>
          <w:szCs w:val="24"/>
        </w:rPr>
      </w:pPr>
      <w:r>
        <w:rPr>
          <w:rFonts w:hint="eastAsia" w:ascii="微软雅黑" w:hAnsi="微软雅黑" w:eastAsia="微软雅黑" w:cs="微软雅黑"/>
          <w:szCs w:val="24"/>
        </w:rPr>
        <w:t>提供学前教育专业数字化资源清单，数量不少于10000条。要有幼儿园课程概述、幼儿园科学教育活动设计与实施、幼儿园美术教育活动设计与实施、儿童发展心理学、学前教育研究方法等类别的资源。</w:t>
      </w:r>
    </w:p>
    <w:p>
      <w:pPr>
        <w:pStyle w:val="52"/>
        <w:numPr>
          <w:ilvl w:val="0"/>
          <w:numId w:val="55"/>
        </w:numPr>
        <w:spacing w:before="139" w:line="360" w:lineRule="auto"/>
        <w:rPr>
          <w:rFonts w:ascii="微软雅黑" w:hAnsi="微软雅黑" w:eastAsia="微软雅黑" w:cs="微软雅黑"/>
          <w:szCs w:val="24"/>
        </w:rPr>
      </w:pPr>
      <w:r>
        <w:rPr>
          <w:rFonts w:hint="eastAsia" w:ascii="微软雅黑" w:hAnsi="微软雅黑" w:eastAsia="微软雅黑" w:cs="微软雅黑"/>
          <w:szCs w:val="24"/>
        </w:rPr>
        <w:t>提供水利水电建筑工程专业数字化资源清单，数量不少于10000条。要有水利工程制图、水利工程造价与招投标、水力分析与计算、水利工程经济、水工建筑物等类别的资源。</w:t>
      </w:r>
    </w:p>
    <w:p>
      <w:pPr>
        <w:pStyle w:val="42"/>
        <w:adjustRightInd w:val="0"/>
        <w:snapToGrid w:val="0"/>
        <w:spacing w:line="360" w:lineRule="auto"/>
        <w:ind w:left="420" w:firstLine="0" w:firstLineChars="0"/>
        <w:rPr>
          <w:rFonts w:ascii="微软雅黑" w:hAnsi="微软雅黑" w:eastAsia="微软雅黑" w:cs="微软雅黑"/>
          <w:b/>
          <w:bCs/>
          <w:sz w:val="24"/>
          <w:szCs w:val="24"/>
        </w:rPr>
      </w:pPr>
      <w:r>
        <w:rPr>
          <w:rFonts w:hint="eastAsia" w:ascii="微软雅黑" w:hAnsi="微软雅黑" w:eastAsia="微软雅黑" w:cs="微软雅黑"/>
          <w:b/>
          <w:bCs/>
          <w:sz w:val="24"/>
          <w:szCs w:val="24"/>
        </w:rPr>
        <w:t>数字媒体资产平台</w:t>
      </w:r>
    </w:p>
    <w:p>
      <w:pPr>
        <w:rPr>
          <w:rFonts w:ascii="微软雅黑" w:hAnsi="微软雅黑" w:eastAsia="微软雅黑" w:cs="微软雅黑"/>
          <w:sz w:val="24"/>
          <w:szCs w:val="24"/>
        </w:rPr>
      </w:pPr>
      <w:r>
        <w:rPr>
          <w:rFonts w:hint="eastAsia" w:ascii="微软雅黑" w:hAnsi="微软雅黑" w:eastAsia="微软雅黑" w:cs="微软雅黑"/>
          <w:sz w:val="24"/>
          <w:szCs w:val="24"/>
        </w:rPr>
        <w:t>1.用桌面客户端登录</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1.1通过人脸识别登录；</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1.2通过手机验证码登录；</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1.3扫描二维码登录</w:t>
      </w:r>
    </w:p>
    <w:p>
      <w:pPr>
        <w:rPr>
          <w:rFonts w:ascii="微软雅黑" w:hAnsi="微软雅黑" w:eastAsia="微软雅黑" w:cs="微软雅黑"/>
          <w:sz w:val="24"/>
          <w:szCs w:val="24"/>
        </w:rPr>
      </w:pPr>
      <w:r>
        <w:rPr>
          <w:rFonts w:hint="eastAsia" w:ascii="微软雅黑" w:hAnsi="微软雅黑" w:eastAsia="微软雅黑" w:cs="微软雅黑"/>
          <w:sz w:val="24"/>
          <w:szCs w:val="24"/>
        </w:rPr>
        <w:t>2.在登录客户端工具后进行活动演示</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2.1新建一个活动，要求填表（表格要有文本输入、日期、单选、多选这四种类型），上报方式为“自由上报”。</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2.2活动创建完成后添加上报人，并通过短信通知上报人；</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2.3上报人收到短信可以直接打开上报页面，进行验证码登录；</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2.4上报人按照活动要求进行填表；</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2.5上报人根据上报内容进行标题、标签、简介等内容修改；</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2.6上报人通过扫描二维码进行上报；</w:t>
      </w:r>
    </w:p>
    <w:p>
      <w:pPr>
        <w:rPr>
          <w:rFonts w:ascii="微软雅黑" w:hAnsi="微软雅黑" w:eastAsia="微软雅黑" w:cs="微软雅黑"/>
          <w:sz w:val="24"/>
          <w:szCs w:val="24"/>
        </w:rPr>
      </w:pPr>
      <w:r>
        <w:rPr>
          <w:rFonts w:hint="eastAsia" w:ascii="微软雅黑" w:hAnsi="微软雅黑" w:eastAsia="微软雅黑" w:cs="微软雅黑"/>
          <w:sz w:val="24"/>
          <w:szCs w:val="24"/>
        </w:rPr>
        <w:t>3.上报成果演示：</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3.1上报人上报内容后自动创建已上报人命名的目录，并显示上报内容</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3.2上报人内容可以直接全屏播放；</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3.3播放文件格式支持图片、视频、word、PPT、excel、压缩包；</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3.4支持离线到本地打开播放；</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3.5上报填表内容可以汇总成excel报表并下载打开；</w:t>
      </w:r>
    </w:p>
    <w:p>
      <w:pPr>
        <w:numPr>
          <w:ilvl w:val="4"/>
          <w:numId w:val="0"/>
        </w:numPr>
        <w:ind w:left="420" w:leftChars="200"/>
      </w:pPr>
      <w:r>
        <w:rPr>
          <w:rFonts w:hint="eastAsia" w:ascii="微软雅黑" w:hAnsi="微软雅黑" w:eastAsia="微软雅黑" w:cs="微软雅黑"/>
          <w:sz w:val="24"/>
          <w:szCs w:val="24"/>
        </w:rPr>
        <w:t>3.6可以直接打包下载上报的所有文件，打包文件可以按上报人命名的文件夹分门别类，并生成文件列表清单；</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3.7打开视频文件后使用裁剪功能；</w:t>
      </w:r>
    </w:p>
    <w:p>
      <w:pPr>
        <w:numPr>
          <w:ilvl w:val="4"/>
          <w:numId w:val="0"/>
        </w:numPr>
        <w:ind w:left="420" w:leftChars="200"/>
      </w:pPr>
      <w:r>
        <w:rPr>
          <w:rFonts w:hint="eastAsia" w:ascii="微软雅黑" w:hAnsi="微软雅黑" w:eastAsia="微软雅黑" w:cs="微软雅黑"/>
          <w:sz w:val="24"/>
          <w:szCs w:val="24"/>
        </w:rPr>
        <w:t>3.8选择一些图片，一键生成PPT文件；</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3.9可以查看哪些人已上报，哪些人未上报；</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3.10分享整个活动，手机扫码查看活动内容。</w:t>
      </w:r>
    </w:p>
    <w:p>
      <w:pPr>
        <w:rPr>
          <w:rFonts w:ascii="微软雅黑" w:hAnsi="微软雅黑" w:eastAsia="微软雅黑" w:cs="微软雅黑"/>
          <w:sz w:val="24"/>
          <w:szCs w:val="24"/>
        </w:rPr>
      </w:pPr>
      <w:r>
        <w:rPr>
          <w:rFonts w:hint="eastAsia" w:ascii="微软雅黑" w:hAnsi="微软雅黑" w:eastAsia="微软雅黑" w:cs="微软雅黑"/>
          <w:sz w:val="24"/>
          <w:szCs w:val="24"/>
        </w:rPr>
        <w:t>4.检索：</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4.1按组织机构检索内容</w:t>
      </w:r>
    </w:p>
    <w:p>
      <w:pPr>
        <w:numPr>
          <w:ilvl w:val="0"/>
          <w:numId w:val="56"/>
        </w:numPr>
        <w:ind w:left="845"/>
        <w:rPr>
          <w:rFonts w:ascii="微软雅黑" w:hAnsi="微软雅黑" w:eastAsia="微软雅黑" w:cs="微软雅黑"/>
          <w:sz w:val="24"/>
          <w:szCs w:val="24"/>
        </w:rPr>
      </w:pPr>
      <w:r>
        <w:rPr>
          <w:rFonts w:hint="eastAsia" w:ascii="微软雅黑" w:hAnsi="微软雅黑" w:eastAsia="微软雅黑" w:cs="微软雅黑"/>
          <w:sz w:val="24"/>
          <w:szCs w:val="24"/>
        </w:rPr>
        <w:t>可以按组织机构查询人员相关内容</w:t>
      </w:r>
    </w:p>
    <w:p>
      <w:pPr>
        <w:numPr>
          <w:ilvl w:val="0"/>
          <w:numId w:val="56"/>
        </w:numPr>
        <w:ind w:left="845"/>
        <w:rPr>
          <w:rFonts w:ascii="微软雅黑" w:hAnsi="微软雅黑" w:eastAsia="微软雅黑" w:cs="微软雅黑"/>
          <w:sz w:val="24"/>
          <w:szCs w:val="24"/>
        </w:rPr>
      </w:pPr>
      <w:r>
        <w:rPr>
          <w:rFonts w:hint="eastAsia" w:ascii="微软雅黑" w:hAnsi="微软雅黑" w:eastAsia="微软雅黑" w:cs="微软雅黑"/>
          <w:sz w:val="24"/>
          <w:szCs w:val="24"/>
        </w:rPr>
        <w:t>查看工作人员参与的活动；</w:t>
      </w:r>
    </w:p>
    <w:p>
      <w:pPr>
        <w:numPr>
          <w:ilvl w:val="0"/>
          <w:numId w:val="56"/>
        </w:numPr>
        <w:ind w:left="845"/>
        <w:rPr>
          <w:rFonts w:ascii="微软雅黑" w:hAnsi="微软雅黑" w:eastAsia="微软雅黑" w:cs="微软雅黑"/>
          <w:sz w:val="24"/>
          <w:szCs w:val="24"/>
        </w:rPr>
      </w:pPr>
      <w:r>
        <w:rPr>
          <w:rFonts w:hint="eastAsia" w:ascii="微软雅黑" w:hAnsi="微软雅黑" w:eastAsia="微软雅黑" w:cs="微软雅黑"/>
          <w:sz w:val="24"/>
          <w:szCs w:val="24"/>
        </w:rPr>
        <w:t>查看工作人员上传的文件；</w:t>
      </w:r>
    </w:p>
    <w:p>
      <w:pPr>
        <w:numPr>
          <w:ilvl w:val="0"/>
          <w:numId w:val="56"/>
        </w:numPr>
        <w:ind w:left="845"/>
        <w:rPr>
          <w:rFonts w:ascii="微软雅黑" w:hAnsi="微软雅黑" w:eastAsia="微软雅黑" w:cs="微软雅黑"/>
          <w:sz w:val="24"/>
          <w:szCs w:val="24"/>
        </w:rPr>
      </w:pPr>
      <w:r>
        <w:rPr>
          <w:rFonts w:hint="eastAsia" w:ascii="微软雅黑" w:hAnsi="微软雅黑" w:eastAsia="微软雅黑" w:cs="微软雅黑"/>
          <w:sz w:val="24"/>
          <w:szCs w:val="24"/>
        </w:rPr>
        <w:t>添加组织机构外的其他人员，查看与这些其他人员相关的内容；</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4.2按人脸识别检索</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（1）通过客户端调用本机摄像头拍照识别人脸检索与其相关文件</w:t>
      </w:r>
    </w:p>
    <w:p>
      <w:p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（2）通过上传照片或选择平台已有照片来识别其中的人脸检索与其相关文件。</w:t>
      </w:r>
    </w:p>
    <w:p>
      <w:pPr>
        <w:numPr>
          <w:ilvl w:val="4"/>
          <w:numId w:val="0"/>
        </w:num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4.3按全文检索</w:t>
      </w:r>
    </w:p>
    <w:p>
      <w:p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通过全文检索，可以搜索到文档内容中的关键字，文件标题等中的关键字。</w:t>
      </w:r>
    </w:p>
    <w:p>
      <w:pPr>
        <w:pStyle w:val="2"/>
        <w:ind w:left="0" w:leftChars="0" w:firstLine="0" w:firstLineChars="0"/>
        <w:rPr>
          <w:rFonts w:eastAsia="微软雅黑"/>
        </w:rPr>
      </w:pPr>
      <w:r>
        <w:rPr>
          <w:rFonts w:hint="eastAsia" w:ascii="微软雅黑" w:hAnsi="微软雅黑" w:eastAsia="微软雅黑" w:cs="微软雅黑"/>
          <w:sz w:val="24"/>
          <w:szCs w:val="24"/>
        </w:rPr>
        <w:t xml:space="preserve">   4.4 按标签检索</w:t>
      </w:r>
    </w:p>
    <w:p>
      <w:pPr>
        <w:ind w:left="420" w:leftChars="200"/>
        <w:rPr>
          <w:rFonts w:ascii="微软雅黑" w:hAnsi="微软雅黑" w:eastAsia="微软雅黑" w:cs="微软雅黑"/>
          <w:sz w:val="24"/>
          <w:szCs w:val="24"/>
        </w:rPr>
      </w:pPr>
      <w:r>
        <w:rPr>
          <w:rFonts w:hint="eastAsia" w:ascii="微软雅黑" w:hAnsi="微软雅黑" w:eastAsia="微软雅黑" w:cs="微软雅黑"/>
          <w:sz w:val="24"/>
          <w:szCs w:val="24"/>
        </w:rPr>
        <w:t>按照标签查看添加了标签的文件</w:t>
      </w:r>
    </w:p>
    <w:p>
      <w:pPr>
        <w:pStyle w:val="24"/>
        <w:jc w:val="left"/>
        <w:rPr>
          <w:rFonts w:ascii="微软雅黑" w:hAnsi="微软雅黑" w:eastAsia="微软雅黑" w:cs="微软雅黑"/>
        </w:rPr>
      </w:pPr>
      <w:r>
        <w:rPr>
          <w:rFonts w:hint="eastAsia" w:ascii="微软雅黑" w:hAnsi="微软雅黑" w:eastAsia="微软雅黑" w:cs="微软雅黑"/>
        </w:rPr>
        <w:t>四、付款方式</w:t>
      </w:r>
    </w:p>
    <w:p>
      <w:pPr>
        <w:pStyle w:val="24"/>
        <w:jc w:val="left"/>
        <w:rPr>
          <w:color w:val="FF0000"/>
          <w:highlight w:val="yellow"/>
        </w:rPr>
      </w:pPr>
      <w:r>
        <w:rPr>
          <w:rFonts w:ascii="微软雅黑" w:hAnsi="微软雅黑" w:eastAsia="微软雅黑" w:cs="微软雅黑"/>
          <w:color w:val="111F2C"/>
          <w:sz w:val="21"/>
          <w:szCs w:val="21"/>
          <w:shd w:val="clear" w:color="auto" w:fill="FFFFFF"/>
        </w:rPr>
        <w:t>标段一：</w:t>
      </w:r>
      <w:r>
        <w:rPr>
          <w:rFonts w:hint="eastAsia" w:ascii="微软雅黑" w:hAnsi="微软雅黑" w:eastAsia="微软雅黑" w:cs="微软雅黑"/>
          <w:b w:val="0"/>
          <w:bCs w:val="0"/>
          <w:color w:val="111F2C"/>
          <w:sz w:val="21"/>
          <w:szCs w:val="21"/>
          <w:shd w:val="clear" w:color="auto" w:fill="FFFFFF"/>
        </w:rPr>
        <w:br w:type="textWrapping"/>
      </w:r>
      <w:r>
        <w:rPr>
          <w:rFonts w:hint="eastAsia" w:ascii="微软雅黑" w:hAnsi="微软雅黑" w:eastAsia="微软雅黑" w:cs="微软雅黑"/>
          <w:b w:val="0"/>
          <w:bCs w:val="0"/>
          <w:color w:val="111F2C"/>
          <w:sz w:val="21"/>
          <w:szCs w:val="21"/>
          <w:shd w:val="clear" w:color="auto" w:fill="FFFFFF"/>
        </w:rPr>
        <w:t xml:space="preserve">1、中标人合同签订前，需交付中标金额5%作为合同履约保证金； </w:t>
      </w:r>
      <w:r>
        <w:rPr>
          <w:rFonts w:hint="eastAsia" w:ascii="微软雅黑" w:hAnsi="微软雅黑" w:eastAsia="微软雅黑" w:cs="微软雅黑"/>
          <w:b w:val="0"/>
          <w:bCs w:val="0"/>
          <w:color w:val="111F2C"/>
          <w:sz w:val="21"/>
          <w:szCs w:val="21"/>
          <w:shd w:val="clear" w:color="auto" w:fill="FFFFFF"/>
        </w:rPr>
        <w:br w:type="textWrapping"/>
      </w:r>
      <w:r>
        <w:rPr>
          <w:rFonts w:hint="eastAsia" w:ascii="微软雅黑" w:hAnsi="微软雅黑" w:eastAsia="微软雅黑" w:cs="微软雅黑"/>
          <w:b w:val="0"/>
          <w:bCs w:val="0"/>
          <w:color w:val="111F2C"/>
          <w:sz w:val="21"/>
          <w:szCs w:val="21"/>
          <w:shd w:val="clear" w:color="auto" w:fill="FFFFFF"/>
        </w:rPr>
        <w:t xml:space="preserve">2、全部设备到货安装调试完成且验收合格后支付合同金额的50%，余款在稳定运行陆个月后支付全款。 </w:t>
      </w:r>
      <w:r>
        <w:rPr>
          <w:rFonts w:hint="eastAsia" w:ascii="微软雅黑" w:hAnsi="微软雅黑" w:eastAsia="微软雅黑" w:cs="微软雅黑"/>
          <w:b w:val="0"/>
          <w:bCs w:val="0"/>
          <w:color w:val="111F2C"/>
          <w:sz w:val="21"/>
          <w:szCs w:val="21"/>
          <w:shd w:val="clear" w:color="auto" w:fill="FFFFFF"/>
        </w:rPr>
        <w:br w:type="textWrapping"/>
      </w:r>
      <w:r>
        <w:rPr>
          <w:rFonts w:hint="eastAsia" w:ascii="微软雅黑" w:hAnsi="微软雅黑" w:eastAsia="微软雅黑" w:cs="微软雅黑"/>
          <w:b w:val="0"/>
          <w:bCs w:val="0"/>
          <w:color w:val="111F2C"/>
          <w:sz w:val="21"/>
          <w:szCs w:val="21"/>
          <w:shd w:val="clear" w:color="auto" w:fill="FFFFFF"/>
        </w:rPr>
        <w:t>3、项目验收合格后原合同履约保证金自动转为质保金，质保期限后1个月内予以无息返还。</w:t>
      </w:r>
      <w:r>
        <w:rPr>
          <w:rFonts w:hint="eastAsia" w:ascii="微软雅黑" w:hAnsi="微软雅黑" w:eastAsia="微软雅黑" w:cs="微软雅黑"/>
          <w:b w:val="0"/>
          <w:bCs w:val="0"/>
          <w:color w:val="111F2C"/>
          <w:sz w:val="21"/>
          <w:szCs w:val="21"/>
          <w:shd w:val="clear" w:color="auto" w:fill="FFFFFF"/>
        </w:rPr>
        <w:br w:type="textWrapping"/>
      </w:r>
      <w:r>
        <w:rPr>
          <w:rFonts w:hint="eastAsia" w:ascii="微软雅黑" w:hAnsi="微软雅黑" w:eastAsia="微软雅黑" w:cs="微软雅黑"/>
          <w:b w:val="0"/>
          <w:bCs w:val="0"/>
          <w:color w:val="111F2C"/>
          <w:sz w:val="21"/>
          <w:szCs w:val="21"/>
          <w:shd w:val="clear" w:color="auto" w:fill="FFFFFF"/>
        </w:rPr>
        <w:t>4、本项目为交钥匙工程，在安装调试过程中需用到的线缆，配件等由中标方免费提供且必须是优质产品。</w:t>
      </w:r>
      <w:r>
        <w:rPr>
          <w:rFonts w:hint="eastAsia" w:ascii="微软雅黑" w:hAnsi="微软雅黑" w:eastAsia="微软雅黑" w:cs="微软雅黑"/>
          <w:b w:val="0"/>
          <w:bCs w:val="0"/>
          <w:color w:val="111F2C"/>
          <w:sz w:val="21"/>
          <w:szCs w:val="21"/>
          <w:shd w:val="clear" w:color="auto" w:fill="FFFFFF"/>
        </w:rPr>
        <w:br w:type="textWrapping"/>
      </w:r>
      <w:r>
        <w:rPr>
          <w:rFonts w:hint="eastAsia" w:ascii="微软雅黑" w:hAnsi="微软雅黑" w:eastAsia="微软雅黑" w:cs="微软雅黑"/>
          <w:color w:val="111F2C"/>
          <w:sz w:val="21"/>
          <w:szCs w:val="21"/>
          <w:shd w:val="clear" w:color="auto" w:fill="FFFFFF"/>
        </w:rPr>
        <w:t>标段二：</w:t>
      </w:r>
      <w:r>
        <w:rPr>
          <w:rFonts w:hint="eastAsia" w:ascii="微软雅黑" w:hAnsi="微软雅黑" w:eastAsia="微软雅黑" w:cs="微软雅黑"/>
          <w:b w:val="0"/>
          <w:bCs w:val="0"/>
          <w:color w:val="111F2C"/>
          <w:sz w:val="21"/>
          <w:szCs w:val="21"/>
          <w:shd w:val="clear" w:color="auto" w:fill="FFFFFF"/>
        </w:rPr>
        <w:br w:type="textWrapping"/>
      </w:r>
      <w:r>
        <w:rPr>
          <w:rFonts w:hint="eastAsia" w:ascii="微软雅黑" w:hAnsi="微软雅黑" w:eastAsia="微软雅黑" w:cs="微软雅黑"/>
          <w:b w:val="0"/>
          <w:bCs w:val="0"/>
          <w:color w:val="111F2C"/>
          <w:sz w:val="21"/>
          <w:szCs w:val="21"/>
          <w:shd w:val="clear" w:color="auto" w:fill="FFFFFF"/>
        </w:rPr>
        <w:t xml:space="preserve">1、中标人合同签订前，需交付中标金额5%作为合同履约保证金； </w:t>
      </w:r>
      <w:r>
        <w:rPr>
          <w:rFonts w:hint="eastAsia" w:ascii="微软雅黑" w:hAnsi="微软雅黑" w:eastAsia="微软雅黑" w:cs="微软雅黑"/>
          <w:b w:val="0"/>
          <w:bCs w:val="0"/>
          <w:color w:val="111F2C"/>
          <w:sz w:val="21"/>
          <w:szCs w:val="21"/>
          <w:shd w:val="clear" w:color="auto" w:fill="FFFFFF"/>
        </w:rPr>
        <w:br w:type="textWrapping"/>
      </w:r>
      <w:r>
        <w:rPr>
          <w:rFonts w:hint="eastAsia" w:ascii="微软雅黑" w:hAnsi="微软雅黑" w:eastAsia="微软雅黑" w:cs="微软雅黑"/>
          <w:b w:val="0"/>
          <w:bCs w:val="0"/>
          <w:color w:val="111F2C"/>
          <w:sz w:val="21"/>
          <w:szCs w:val="21"/>
          <w:shd w:val="clear" w:color="auto" w:fill="FFFFFF"/>
        </w:rPr>
        <w:t>2、软件部署完毕正常运行支付50%，按学校要求整合完毕稳定运行陆个月后支付全款。</w:t>
      </w:r>
      <w:r>
        <w:rPr>
          <w:rFonts w:hint="eastAsia" w:ascii="微软雅黑" w:hAnsi="微软雅黑" w:eastAsia="微软雅黑" w:cs="微软雅黑"/>
          <w:b w:val="0"/>
          <w:bCs w:val="0"/>
          <w:color w:val="111F2C"/>
          <w:sz w:val="21"/>
          <w:szCs w:val="21"/>
          <w:shd w:val="clear" w:color="auto" w:fill="FFFFFF"/>
        </w:rPr>
        <w:br w:type="textWrapping"/>
      </w:r>
      <w:r>
        <w:rPr>
          <w:rFonts w:hint="eastAsia" w:ascii="微软雅黑" w:hAnsi="微软雅黑" w:eastAsia="微软雅黑" w:cs="微软雅黑"/>
          <w:b w:val="0"/>
          <w:bCs w:val="0"/>
          <w:color w:val="111F2C"/>
          <w:sz w:val="21"/>
          <w:szCs w:val="21"/>
          <w:shd w:val="clear" w:color="auto" w:fill="FFFFFF"/>
        </w:rPr>
        <w:t>3、项目验收合格后原合同履约保证金自动转为质保金，质保期限后1个月内予以无息返还。</w:t>
      </w:r>
      <w:r>
        <w:rPr>
          <w:rFonts w:hint="eastAsia" w:ascii="微软雅黑" w:hAnsi="微软雅黑" w:eastAsia="微软雅黑" w:cs="微软雅黑"/>
        </w:rPr>
        <w:t>五、其他要求</w:t>
      </w:r>
    </w:p>
    <w:p>
      <w:pPr>
        <w:pStyle w:val="42"/>
        <w:widowControl/>
        <w:numPr>
          <w:ilvl w:val="1"/>
          <w:numId w:val="57"/>
        </w:numPr>
        <w:spacing w:line="360" w:lineRule="auto"/>
        <w:ind w:firstLineChars="0"/>
        <w:textAlignment w:val="center"/>
        <w:rPr>
          <w:sz w:val="23"/>
          <w:szCs w:val="23"/>
        </w:rPr>
      </w:pPr>
      <w:r>
        <w:rPr>
          <w:rFonts w:hint="eastAsia"/>
          <w:sz w:val="23"/>
          <w:szCs w:val="23"/>
        </w:rPr>
        <w:t>质保和服务要求</w:t>
      </w:r>
    </w:p>
    <w:p>
      <w:pPr>
        <w:spacing w:line="360" w:lineRule="auto"/>
        <w:ind w:firstLine="460" w:firstLineChars="200"/>
        <w:textAlignment w:val="center"/>
        <w:rPr>
          <w:sz w:val="23"/>
          <w:szCs w:val="23"/>
        </w:rPr>
      </w:pPr>
      <w:r>
        <w:rPr>
          <w:sz w:val="23"/>
          <w:szCs w:val="23"/>
        </w:rPr>
        <w:t>★</w:t>
      </w:r>
      <w:r>
        <w:rPr>
          <w:rFonts w:hint="eastAsia"/>
          <w:sz w:val="23"/>
          <w:szCs w:val="23"/>
        </w:rPr>
        <w:t>中标方</w:t>
      </w:r>
      <w:r>
        <w:rPr>
          <w:sz w:val="23"/>
          <w:szCs w:val="23"/>
        </w:rPr>
        <w:t>须在签订合同前</w:t>
      </w:r>
      <w:r>
        <w:rPr>
          <w:rFonts w:hint="eastAsia"/>
          <w:sz w:val="23"/>
          <w:szCs w:val="23"/>
        </w:rPr>
        <w:t>提供原厂商针对本项目的原厂授权函和原厂质保服务承诺函，否则采购方有权作无效标处理。</w:t>
      </w:r>
    </w:p>
    <w:p>
      <w:pPr>
        <w:spacing w:line="360" w:lineRule="auto"/>
        <w:ind w:firstLine="460" w:firstLineChars="200"/>
        <w:textAlignment w:val="center"/>
        <w:rPr>
          <w:sz w:val="23"/>
          <w:szCs w:val="23"/>
        </w:rPr>
      </w:pPr>
      <w:r>
        <w:rPr>
          <w:rFonts w:hint="eastAsia"/>
          <w:sz w:val="23"/>
          <w:szCs w:val="23"/>
        </w:rPr>
        <w:t>本项目质保期为不少于三年。保修期自采购人、中标人在最终验收单上签字之日起计算。</w:t>
      </w:r>
    </w:p>
    <w:p>
      <w:pPr>
        <w:spacing w:line="360" w:lineRule="auto"/>
        <w:ind w:firstLine="460" w:firstLineChars="200"/>
        <w:textAlignment w:val="center"/>
        <w:rPr>
          <w:sz w:val="23"/>
          <w:szCs w:val="23"/>
        </w:rPr>
      </w:pPr>
      <w:r>
        <w:rPr>
          <w:rFonts w:hint="eastAsia"/>
          <w:sz w:val="23"/>
          <w:szCs w:val="23"/>
        </w:rPr>
        <w:t>除有说明的主要设备需要供应商向厂商购买标准原厂及技术指标中规定的上门保修外，中标方需承诺对项目提供质保期内的上门免费保修服务。</w:t>
      </w:r>
    </w:p>
    <w:p>
      <w:pPr>
        <w:spacing w:line="360" w:lineRule="auto"/>
        <w:ind w:firstLine="460" w:firstLineChars="200"/>
        <w:textAlignment w:val="center"/>
        <w:rPr>
          <w:sz w:val="23"/>
          <w:szCs w:val="23"/>
        </w:rPr>
      </w:pPr>
      <w:r>
        <w:rPr>
          <w:rFonts w:hint="eastAsia"/>
          <w:sz w:val="23"/>
          <w:szCs w:val="23"/>
        </w:rPr>
        <w:t>中标方必须向采购人提供技术后援支持团队，同时为主要设备提供质保期内的技术支持服务。</w:t>
      </w:r>
    </w:p>
    <w:p>
      <w:pPr>
        <w:spacing w:line="360" w:lineRule="auto"/>
        <w:ind w:firstLine="460" w:firstLineChars="200"/>
        <w:textAlignment w:val="center"/>
        <w:rPr>
          <w:sz w:val="23"/>
          <w:szCs w:val="23"/>
        </w:rPr>
      </w:pPr>
      <w:r>
        <w:rPr>
          <w:rFonts w:hint="eastAsia"/>
          <w:sz w:val="23"/>
          <w:szCs w:val="23"/>
        </w:rPr>
        <w:t>中标方对项目单位所提出的维修要求必须在半小时内作出电话响应支持，无法解决的，4小时内到达现场，对24小时内不能修理完毕并正常使用的设备，中标方提供备用设备，同时提交明确的维修期限和解决方案。</w:t>
      </w:r>
    </w:p>
    <w:p>
      <w:pPr>
        <w:spacing w:line="360" w:lineRule="auto"/>
        <w:ind w:firstLine="460" w:firstLineChars="200"/>
        <w:textAlignment w:val="center"/>
        <w:rPr>
          <w:sz w:val="23"/>
          <w:szCs w:val="23"/>
        </w:rPr>
      </w:pPr>
      <w:r>
        <w:rPr>
          <w:rFonts w:hint="eastAsia"/>
          <w:sz w:val="23"/>
          <w:szCs w:val="23"/>
        </w:rPr>
        <w:t>质保期内中标方必须每季对系统运行情况进行一次总体巡检，每次巡检提供书面报告，递交采购人确认。</w:t>
      </w:r>
    </w:p>
    <w:p>
      <w:pPr>
        <w:spacing w:line="360" w:lineRule="auto"/>
        <w:ind w:firstLine="460" w:firstLineChars="200"/>
        <w:textAlignment w:val="center"/>
        <w:rPr>
          <w:sz w:val="23"/>
          <w:szCs w:val="23"/>
        </w:rPr>
      </w:pPr>
      <w:r>
        <w:rPr>
          <w:sz w:val="23"/>
          <w:szCs w:val="23"/>
        </w:rPr>
        <w:t>2</w:t>
      </w:r>
      <w:r>
        <w:rPr>
          <w:rFonts w:hint="eastAsia"/>
          <w:sz w:val="23"/>
          <w:szCs w:val="23"/>
        </w:rPr>
        <w:t>、实施进度要求</w:t>
      </w:r>
    </w:p>
    <w:p>
      <w:pPr>
        <w:spacing w:line="360" w:lineRule="auto"/>
        <w:ind w:firstLine="420" w:firstLineChars="200"/>
        <w:textAlignment w:val="center"/>
        <w:rPr>
          <w:rFonts w:ascii="微软雅黑" w:hAnsi="微软雅黑" w:eastAsia="微软雅黑" w:cs="微软雅黑"/>
          <w:b/>
          <w:bCs/>
          <w:color w:val="111F2C"/>
          <w:szCs w:val="21"/>
          <w:shd w:val="clear" w:color="auto" w:fill="FFFFFF"/>
        </w:rPr>
      </w:pPr>
      <w:r>
        <w:rPr>
          <w:rFonts w:hint="eastAsia" w:ascii="微软雅黑" w:hAnsi="微软雅黑" w:eastAsia="微软雅黑" w:cs="微软雅黑"/>
          <w:b/>
          <w:bCs/>
          <w:color w:val="111F2C"/>
          <w:szCs w:val="21"/>
          <w:shd w:val="clear" w:color="auto" w:fill="FFFFFF"/>
        </w:rPr>
        <w:t>交货期：合同签订后20工作日内完成项目的全部实施工作；</w:t>
      </w:r>
    </w:p>
    <w:p>
      <w:pPr>
        <w:spacing w:line="360" w:lineRule="auto"/>
        <w:ind w:firstLine="460" w:firstLineChars="200"/>
        <w:textAlignment w:val="center"/>
        <w:rPr>
          <w:sz w:val="23"/>
          <w:szCs w:val="23"/>
        </w:rPr>
      </w:pPr>
      <w:r>
        <w:rPr>
          <w:rFonts w:hint="eastAsia"/>
          <w:sz w:val="23"/>
          <w:szCs w:val="23"/>
        </w:rPr>
        <w:t>若投标人未按工期要求执行且性质严重的，采购方有权解除合同并要求双倍赔付合同金额，由此造成的损失由中标方承担。</w:t>
      </w:r>
    </w:p>
    <w:p>
      <w:pPr>
        <w:pStyle w:val="13"/>
        <w:snapToGrid w:val="0"/>
        <w:spacing w:before="156" w:after="156" w:line="460" w:lineRule="exact"/>
        <w:ind w:firstLine="460" w:firstLineChars="200"/>
        <w:outlineLvl w:val="1"/>
        <w:rPr>
          <w:rFonts w:hAnsi="宋体"/>
          <w:b/>
        </w:rPr>
      </w:pPr>
      <w:r>
        <w:rPr>
          <w:rFonts w:hint="eastAsia"/>
          <w:sz w:val="23"/>
          <w:szCs w:val="23"/>
        </w:rPr>
        <w:t>在合同生效以后，对采购人认为其能力与本项目所要求的能力不相称而提出更换的项目负责人或者技术员，中标人必须予以更换；中标人更换项目主要负责人或主要技术骨干必须书面报采购人同意后方可进行。</w:t>
      </w:r>
    </w:p>
    <w:p>
      <w:pPr>
        <w:pStyle w:val="2"/>
      </w:pPr>
    </w:p>
    <w:p>
      <w:pPr>
        <w:pStyle w:val="2"/>
      </w:pPr>
    </w:p>
    <w:p>
      <w:pPr>
        <w:pStyle w:val="2"/>
        <w:sectPr>
          <w:pgSz w:w="11906" w:h="16838"/>
          <w:pgMar w:top="1440" w:right="1800" w:bottom="1440" w:left="1800" w:header="851" w:footer="992" w:gutter="0"/>
          <w:cols w:space="425" w:num="1"/>
          <w:docGrid w:type="lines" w:linePitch="312" w:charSpace="0"/>
        </w:sectPr>
      </w:pPr>
    </w:p>
    <w:p>
      <w:pPr>
        <w:pStyle w:val="13"/>
        <w:spacing w:before="156" w:after="156" w:line="360" w:lineRule="auto"/>
        <w:jc w:val="center"/>
        <w:outlineLvl w:val="0"/>
      </w:pPr>
      <w:r>
        <w:rPr>
          <w:rFonts w:hint="eastAsia" w:hAnsi="宋体"/>
          <w:b/>
          <w:color w:val="000000"/>
          <w:sz w:val="36"/>
          <w:szCs w:val="36"/>
        </w:rPr>
        <w:t xml:space="preserve">第三章  投标人须知 </w:t>
      </w:r>
    </w:p>
    <w:p>
      <w:pPr>
        <w:pStyle w:val="2"/>
        <w:ind w:firstLine="600"/>
        <w:jc w:val="center"/>
        <w:rPr>
          <w:rFonts w:ascii="仿宋" w:hAnsi="仿宋" w:eastAsia="仿宋_GB2312"/>
          <w:color w:val="000000"/>
          <w:sz w:val="30"/>
          <w:szCs w:val="30"/>
        </w:rPr>
      </w:pPr>
      <w:r>
        <w:rPr>
          <w:rFonts w:hint="eastAsia" w:ascii="仿宋" w:hAnsi="仿宋" w:eastAsia="仿宋_GB2312"/>
          <w:color w:val="000000"/>
          <w:sz w:val="30"/>
          <w:szCs w:val="30"/>
        </w:rPr>
        <w:t>前附表</w:t>
      </w:r>
    </w:p>
    <w:tbl>
      <w:tblPr>
        <w:tblStyle w:val="27"/>
        <w:tblW w:w="102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669"/>
        <w:gridCol w:w="1814"/>
        <w:gridCol w:w="77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spacing w:line="400" w:lineRule="atLeast"/>
              <w:jc w:val="center"/>
              <w:rPr>
                <w:rFonts w:ascii="宋体" w:cs="宋体"/>
                <w:sz w:val="22"/>
              </w:rPr>
            </w:pPr>
            <w:r>
              <w:rPr>
                <w:rFonts w:hint="eastAsia" w:ascii="宋体" w:cs="宋体"/>
                <w:sz w:val="22"/>
              </w:rPr>
              <w:t>序号</w:t>
            </w:r>
          </w:p>
        </w:tc>
        <w:tc>
          <w:tcPr>
            <w:tcW w:w="1814" w:type="dxa"/>
            <w:vAlign w:val="center"/>
          </w:tcPr>
          <w:p>
            <w:pPr>
              <w:spacing w:line="400" w:lineRule="atLeast"/>
              <w:jc w:val="center"/>
              <w:rPr>
                <w:rFonts w:ascii="宋体" w:cs="宋体"/>
                <w:sz w:val="22"/>
              </w:rPr>
            </w:pPr>
            <w:r>
              <w:rPr>
                <w:rFonts w:hint="eastAsia" w:ascii="宋体" w:cs="宋体"/>
                <w:sz w:val="22"/>
              </w:rPr>
              <w:t>内容</w:t>
            </w:r>
          </w:p>
        </w:tc>
        <w:tc>
          <w:tcPr>
            <w:tcW w:w="7776" w:type="dxa"/>
            <w:vAlign w:val="center"/>
          </w:tcPr>
          <w:p>
            <w:pPr>
              <w:spacing w:line="400" w:lineRule="atLeast"/>
              <w:jc w:val="center"/>
              <w:rPr>
                <w:rFonts w:ascii="宋体" w:cs="宋体"/>
                <w:sz w:val="22"/>
              </w:rPr>
            </w:pPr>
            <w:r>
              <w:rPr>
                <w:rFonts w:hint="eastAsia" w:ascii="宋体" w:cs="宋体"/>
                <w:sz w:val="22"/>
              </w:rPr>
              <w:t>说明与要求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lang w:val="zh-CN"/>
              </w:rPr>
            </w:pPr>
            <w:r>
              <w:rPr>
                <w:rFonts w:hint="eastAsia" w:ascii="宋体" w:cs="宋体"/>
                <w:sz w:val="22"/>
                <w:lang w:val="zh-CN"/>
              </w:rPr>
              <w:t>1</w:t>
            </w:r>
          </w:p>
        </w:tc>
        <w:tc>
          <w:tcPr>
            <w:tcW w:w="1814" w:type="dxa"/>
            <w:vAlign w:val="center"/>
          </w:tcPr>
          <w:p>
            <w:pPr>
              <w:rPr>
                <w:rFonts w:ascii="宋体" w:cs="宋体"/>
                <w:sz w:val="22"/>
              </w:rPr>
            </w:pPr>
            <w:r>
              <w:rPr>
                <w:rFonts w:hint="eastAsia" w:ascii="宋体" w:cs="宋体"/>
                <w:sz w:val="22"/>
              </w:rPr>
              <w:t>项目名称</w:t>
            </w:r>
          </w:p>
        </w:tc>
        <w:tc>
          <w:tcPr>
            <w:tcW w:w="7776" w:type="dxa"/>
            <w:vAlign w:val="center"/>
          </w:tcPr>
          <w:p>
            <w:pPr>
              <w:rPr>
                <w:rFonts w:ascii="宋体" w:cs="宋体"/>
                <w:sz w:val="22"/>
              </w:rPr>
            </w:pPr>
            <w:r>
              <w:rPr>
                <w:rFonts w:hint="eastAsia" w:ascii="宋体" w:cs="宋体"/>
                <w:sz w:val="22"/>
              </w:rPr>
              <w:t>金华教育学院数据中心和应用软件项目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2</w:t>
            </w:r>
          </w:p>
        </w:tc>
        <w:tc>
          <w:tcPr>
            <w:tcW w:w="1814" w:type="dxa"/>
            <w:vAlign w:val="center"/>
          </w:tcPr>
          <w:p>
            <w:pPr>
              <w:rPr>
                <w:rFonts w:ascii="宋体" w:cs="宋体"/>
                <w:sz w:val="22"/>
              </w:rPr>
            </w:pPr>
            <w:r>
              <w:rPr>
                <w:rFonts w:hint="eastAsia" w:ascii="宋体" w:cs="宋体"/>
                <w:sz w:val="22"/>
              </w:rPr>
              <w:t>采购数量及单位</w:t>
            </w:r>
          </w:p>
        </w:tc>
        <w:tc>
          <w:tcPr>
            <w:tcW w:w="7776" w:type="dxa"/>
            <w:vAlign w:val="center"/>
          </w:tcPr>
          <w:p>
            <w:pPr>
              <w:rPr>
                <w:rFonts w:ascii="宋体" w:cs="宋体"/>
                <w:sz w:val="22"/>
              </w:rPr>
            </w:pPr>
            <w:r>
              <w:rPr>
                <w:rFonts w:hint="eastAsia" w:ascii="宋体" w:cs="宋体"/>
                <w:sz w:val="22"/>
              </w:rPr>
              <w:t>见采购需求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3</w:t>
            </w:r>
          </w:p>
        </w:tc>
        <w:tc>
          <w:tcPr>
            <w:tcW w:w="1814" w:type="dxa"/>
            <w:vAlign w:val="center"/>
          </w:tcPr>
          <w:p>
            <w:pPr>
              <w:rPr>
                <w:rFonts w:ascii="宋体" w:cs="宋体"/>
                <w:sz w:val="22"/>
              </w:rPr>
            </w:pPr>
            <w:r>
              <w:rPr>
                <w:rFonts w:hint="eastAsia" w:ascii="宋体" w:cs="宋体"/>
                <w:sz w:val="22"/>
              </w:rPr>
              <w:t>资金来源</w:t>
            </w:r>
          </w:p>
        </w:tc>
        <w:tc>
          <w:tcPr>
            <w:tcW w:w="7776" w:type="dxa"/>
            <w:vAlign w:val="center"/>
          </w:tcPr>
          <w:p>
            <w:pPr>
              <w:rPr>
                <w:rFonts w:ascii="宋体" w:cs="宋体"/>
                <w:sz w:val="22"/>
              </w:rPr>
            </w:pPr>
            <w:r>
              <w:rPr>
                <w:rFonts w:hint="eastAsia" w:ascii="宋体" w:cs="宋体"/>
                <w:sz w:val="22"/>
              </w:rPr>
              <w:t>财政性资金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4</w:t>
            </w:r>
          </w:p>
        </w:tc>
        <w:tc>
          <w:tcPr>
            <w:tcW w:w="1814" w:type="dxa"/>
            <w:vAlign w:val="center"/>
          </w:tcPr>
          <w:p>
            <w:pPr>
              <w:rPr>
                <w:rFonts w:ascii="宋体" w:cs="宋体"/>
                <w:sz w:val="22"/>
              </w:rPr>
            </w:pPr>
            <w:r>
              <w:rPr>
                <w:rFonts w:hint="eastAsia" w:ascii="宋体" w:cs="宋体"/>
                <w:sz w:val="22"/>
              </w:rPr>
              <w:t>采购方式</w:t>
            </w:r>
          </w:p>
        </w:tc>
        <w:tc>
          <w:tcPr>
            <w:tcW w:w="7776" w:type="dxa"/>
            <w:vAlign w:val="center"/>
          </w:tcPr>
          <w:p>
            <w:pPr>
              <w:rPr>
                <w:rFonts w:ascii="宋体" w:cs="宋体"/>
                <w:sz w:val="22"/>
              </w:rPr>
            </w:pPr>
            <w:r>
              <w:rPr>
                <w:rFonts w:hint="eastAsia" w:ascii="宋体" w:cs="宋体"/>
                <w:sz w:val="22"/>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5</w:t>
            </w:r>
          </w:p>
        </w:tc>
        <w:tc>
          <w:tcPr>
            <w:tcW w:w="1814" w:type="dxa"/>
            <w:vAlign w:val="center"/>
          </w:tcPr>
          <w:p>
            <w:pPr>
              <w:adjustRightInd w:val="0"/>
              <w:rPr>
                <w:rFonts w:ascii="宋体" w:cs="宋体"/>
                <w:sz w:val="22"/>
              </w:rPr>
            </w:pPr>
            <w:r>
              <w:rPr>
                <w:rFonts w:hint="eastAsia" w:ascii="宋体" w:cs="宋体"/>
                <w:sz w:val="22"/>
              </w:rPr>
              <w:t>采购人</w:t>
            </w:r>
          </w:p>
        </w:tc>
        <w:tc>
          <w:tcPr>
            <w:tcW w:w="7776" w:type="dxa"/>
            <w:vAlign w:val="center"/>
          </w:tcPr>
          <w:p>
            <w:pPr>
              <w:adjustRightInd w:val="0"/>
              <w:rPr>
                <w:rFonts w:ascii="宋体" w:cs="宋体"/>
                <w:sz w:val="22"/>
              </w:rPr>
            </w:pPr>
            <w:r>
              <w:rPr>
                <w:rFonts w:hint="eastAsia" w:ascii="宋体"/>
                <w:sz w:val="22"/>
              </w:rPr>
              <w:t>名称：</w:t>
            </w:r>
            <w:r>
              <w:rPr>
                <w:rFonts w:hint="eastAsia" w:ascii="宋体" w:hAnsi="宋体" w:cs="宋体"/>
                <w:kern w:val="0"/>
                <w:sz w:val="24"/>
                <w:szCs w:val="24"/>
              </w:rPr>
              <w:t>金华教育学院</w:t>
            </w:r>
          </w:p>
          <w:p>
            <w:pPr>
              <w:adjustRightInd w:val="0"/>
              <w:rPr>
                <w:rFonts w:ascii="宋体"/>
                <w:sz w:val="22"/>
              </w:rPr>
            </w:pPr>
            <w:r>
              <w:rPr>
                <w:rFonts w:hint="eastAsia" w:ascii="宋体"/>
                <w:sz w:val="22"/>
              </w:rPr>
              <w:t>联系人：楼老师</w:t>
            </w:r>
          </w:p>
          <w:p>
            <w:pPr>
              <w:adjustRightInd w:val="0"/>
              <w:rPr>
                <w:rFonts w:ascii="宋体" w:cs="宋体"/>
                <w:sz w:val="22"/>
              </w:rPr>
            </w:pPr>
            <w:r>
              <w:rPr>
                <w:rFonts w:hint="eastAsia" w:ascii="宋体"/>
                <w:sz w:val="22"/>
              </w:rPr>
              <w:t>电话：15356972992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6</w:t>
            </w:r>
          </w:p>
        </w:tc>
        <w:tc>
          <w:tcPr>
            <w:tcW w:w="1814" w:type="dxa"/>
            <w:vAlign w:val="center"/>
          </w:tcPr>
          <w:p>
            <w:pPr>
              <w:rPr>
                <w:rFonts w:ascii="宋体" w:cs="宋体"/>
                <w:sz w:val="22"/>
              </w:rPr>
            </w:pPr>
            <w:r>
              <w:rPr>
                <w:rFonts w:hint="eastAsia" w:ascii="宋体" w:cs="宋体"/>
                <w:sz w:val="22"/>
              </w:rPr>
              <w:t>采购机构</w:t>
            </w:r>
          </w:p>
        </w:tc>
        <w:tc>
          <w:tcPr>
            <w:tcW w:w="7776" w:type="dxa"/>
            <w:vAlign w:val="center"/>
          </w:tcPr>
          <w:p>
            <w:pPr>
              <w:adjustRightInd w:val="0"/>
              <w:rPr>
                <w:rFonts w:ascii="宋体" w:cs="宋体"/>
                <w:sz w:val="22"/>
              </w:rPr>
            </w:pPr>
            <w:r>
              <w:rPr>
                <w:rFonts w:hint="eastAsia" w:ascii="宋体" w:cs="宋体"/>
                <w:sz w:val="22"/>
              </w:rPr>
              <w:t>名称：金华市政府采购中心</w:t>
            </w:r>
          </w:p>
          <w:p>
            <w:pPr>
              <w:adjustRightInd w:val="0"/>
              <w:rPr>
                <w:rFonts w:ascii="宋体" w:cs="宋体"/>
                <w:sz w:val="22"/>
              </w:rPr>
            </w:pPr>
            <w:r>
              <w:rPr>
                <w:rFonts w:hint="eastAsia" w:ascii="宋体" w:cs="宋体"/>
                <w:sz w:val="22"/>
              </w:rPr>
              <w:t>项目负责人：史先生</w:t>
            </w:r>
          </w:p>
          <w:p>
            <w:pPr>
              <w:adjustRightInd w:val="0"/>
              <w:rPr>
                <w:rFonts w:ascii="宋体" w:cs="宋体"/>
                <w:sz w:val="22"/>
              </w:rPr>
            </w:pPr>
            <w:r>
              <w:rPr>
                <w:rFonts w:hint="eastAsia" w:ascii="宋体" w:cs="宋体"/>
                <w:sz w:val="22"/>
              </w:rPr>
              <w:t>联系电话：0579-82287929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7</w:t>
            </w:r>
          </w:p>
        </w:tc>
        <w:tc>
          <w:tcPr>
            <w:tcW w:w="1814" w:type="dxa"/>
            <w:vAlign w:val="center"/>
          </w:tcPr>
          <w:p>
            <w:pPr>
              <w:rPr>
                <w:rFonts w:ascii="宋体" w:cs="宋体"/>
                <w:sz w:val="22"/>
              </w:rPr>
            </w:pPr>
            <w:r>
              <w:rPr>
                <w:rFonts w:hint="eastAsia" w:ascii="宋体" w:cs="宋体"/>
                <w:sz w:val="22"/>
              </w:rPr>
              <w:t>招标内容</w:t>
            </w:r>
          </w:p>
        </w:tc>
        <w:tc>
          <w:tcPr>
            <w:tcW w:w="7776" w:type="dxa"/>
            <w:vAlign w:val="center"/>
          </w:tcPr>
          <w:p>
            <w:pPr>
              <w:adjustRightInd w:val="0"/>
              <w:rPr>
                <w:rFonts w:ascii="宋体" w:cs="宋体"/>
                <w:sz w:val="22"/>
              </w:rPr>
            </w:pPr>
            <w:r>
              <w:rPr>
                <w:rFonts w:hint="eastAsia" w:ascii="宋体" w:cs="宋体"/>
                <w:sz w:val="22"/>
              </w:rPr>
              <w:t>具体内容见招标文件。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8</w:t>
            </w:r>
          </w:p>
        </w:tc>
        <w:tc>
          <w:tcPr>
            <w:tcW w:w="1814" w:type="dxa"/>
            <w:vAlign w:val="center"/>
          </w:tcPr>
          <w:p>
            <w:pPr>
              <w:rPr>
                <w:rFonts w:ascii="宋体" w:cs="宋体"/>
                <w:sz w:val="22"/>
              </w:rPr>
            </w:pPr>
            <w:r>
              <w:rPr>
                <w:rFonts w:hint="eastAsia" w:ascii="宋体" w:cs="宋体"/>
                <w:sz w:val="22"/>
              </w:rPr>
              <w:t>评标办法</w:t>
            </w:r>
          </w:p>
        </w:tc>
        <w:tc>
          <w:tcPr>
            <w:tcW w:w="7776" w:type="dxa"/>
            <w:vAlign w:val="center"/>
          </w:tcPr>
          <w:p>
            <w:pPr>
              <w:adjustRightInd w:val="0"/>
              <w:rPr>
                <w:rFonts w:ascii="宋体" w:cs="宋体"/>
                <w:sz w:val="22"/>
              </w:rPr>
            </w:pPr>
            <w:r>
              <w:rPr>
                <w:rFonts w:hint="eastAsia" w:ascii="宋体" w:cs="宋体"/>
                <w:sz w:val="22"/>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9</w:t>
            </w:r>
          </w:p>
        </w:tc>
        <w:tc>
          <w:tcPr>
            <w:tcW w:w="1814" w:type="dxa"/>
            <w:vAlign w:val="center"/>
          </w:tcPr>
          <w:p>
            <w:pPr>
              <w:rPr>
                <w:rFonts w:ascii="宋体" w:cs="宋体"/>
                <w:sz w:val="22"/>
              </w:rPr>
            </w:pPr>
            <w:r>
              <w:rPr>
                <w:rFonts w:hint="eastAsia" w:ascii="宋体" w:cs="宋体"/>
                <w:sz w:val="22"/>
              </w:rPr>
              <w:t>投标供应商</w:t>
            </w:r>
          </w:p>
          <w:p>
            <w:pPr>
              <w:rPr>
                <w:rFonts w:ascii="宋体" w:cs="宋体"/>
                <w:sz w:val="22"/>
              </w:rPr>
            </w:pPr>
            <w:r>
              <w:rPr>
                <w:rFonts w:hint="eastAsia" w:ascii="宋体" w:cs="宋体"/>
                <w:sz w:val="22"/>
              </w:rPr>
              <w:t>资格要求</w:t>
            </w:r>
          </w:p>
        </w:tc>
        <w:tc>
          <w:tcPr>
            <w:tcW w:w="7776" w:type="dxa"/>
            <w:vAlign w:val="center"/>
          </w:tcPr>
          <w:p>
            <w:pPr>
              <w:adjustRightInd w:val="0"/>
              <w:rPr>
                <w:rFonts w:ascii="宋体" w:cs="宋体"/>
                <w:kern w:val="28"/>
                <w:sz w:val="22"/>
              </w:rPr>
            </w:pPr>
            <w:r>
              <w:rPr>
                <w:rFonts w:hint="eastAsia" w:ascii="宋体" w:cs="宋体"/>
                <w:sz w:val="22"/>
              </w:rPr>
              <w:t>见第一章采购公告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10</w:t>
            </w:r>
          </w:p>
        </w:tc>
        <w:tc>
          <w:tcPr>
            <w:tcW w:w="1814" w:type="dxa"/>
            <w:vAlign w:val="center"/>
          </w:tcPr>
          <w:p>
            <w:pPr>
              <w:adjustRightInd w:val="0"/>
              <w:rPr>
                <w:rFonts w:ascii="宋体" w:cs="宋体"/>
                <w:sz w:val="22"/>
              </w:rPr>
            </w:pPr>
            <w:r>
              <w:rPr>
                <w:rFonts w:hint="eastAsia" w:ascii="宋体" w:cs="宋体"/>
                <w:sz w:val="22"/>
              </w:rPr>
              <w:t>是否接受联合体投标</w:t>
            </w:r>
          </w:p>
        </w:tc>
        <w:tc>
          <w:tcPr>
            <w:tcW w:w="7776" w:type="dxa"/>
            <w:vAlign w:val="center"/>
          </w:tcPr>
          <w:p>
            <w:pPr>
              <w:adjustRightInd w:val="0"/>
              <w:rPr>
                <w:rFonts w:ascii="宋体" w:cs="宋体"/>
                <w:sz w:val="22"/>
              </w:rPr>
            </w:pPr>
            <w:r>
              <w:rPr>
                <w:rFonts w:hint="eastAsia" w:ascii="宋体" w:cs="宋体"/>
                <w:sz w:val="22"/>
              </w:rPr>
              <w:fldChar w:fldCharType="begin"/>
            </w:r>
            <w:r>
              <w:rPr>
                <w:rFonts w:hint="eastAsia" w:ascii="宋体" w:cs="宋体"/>
                <w:sz w:val="22"/>
              </w:rPr>
              <w:instrText xml:space="preserve"> eq \o\ac(</w:instrText>
            </w:r>
            <w:r>
              <w:rPr>
                <w:rFonts w:hint="eastAsia" w:ascii="宋体" w:cs="宋体"/>
                <w:position w:val="-4"/>
                <w:sz w:val="33"/>
              </w:rPr>
              <w:instrText xml:space="preserve">□</w:instrText>
            </w:r>
            <w:r>
              <w:rPr>
                <w:rFonts w:hint="eastAsia" w:ascii="宋体" w:cs="宋体"/>
                <w:sz w:val="22"/>
              </w:rPr>
              <w:instrText xml:space="preserve">,√)</w:instrText>
            </w:r>
            <w:r>
              <w:rPr>
                <w:rFonts w:hint="eastAsia" w:ascii="宋体" w:cs="宋体"/>
                <w:sz w:val="22"/>
              </w:rPr>
              <w:fldChar w:fldCharType="end"/>
            </w:r>
            <w:r>
              <w:rPr>
                <w:rFonts w:hint="eastAsia" w:ascii="宋体" w:cs="宋体"/>
                <w:sz w:val="22"/>
              </w:rPr>
              <w:t>不接受</w:t>
            </w:r>
          </w:p>
          <w:p>
            <w:pPr>
              <w:adjustRightInd w:val="0"/>
              <w:rPr>
                <w:rFonts w:ascii="宋体" w:cs="宋体"/>
                <w:sz w:val="22"/>
              </w:rPr>
            </w:pPr>
            <w:r>
              <w:rPr>
                <w:rFonts w:hint="eastAsia" w:ascii="宋体" w:cs="宋体"/>
                <w:sz w:val="22"/>
              </w:rPr>
              <w:t>□接受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11</w:t>
            </w:r>
          </w:p>
        </w:tc>
        <w:tc>
          <w:tcPr>
            <w:tcW w:w="1814" w:type="dxa"/>
            <w:vAlign w:val="center"/>
          </w:tcPr>
          <w:p>
            <w:pPr>
              <w:adjustRightInd w:val="0"/>
              <w:rPr>
                <w:rFonts w:ascii="宋体" w:cs="宋体"/>
                <w:sz w:val="22"/>
              </w:rPr>
            </w:pPr>
            <w:r>
              <w:rPr>
                <w:rFonts w:hint="eastAsia" w:ascii="宋体" w:cs="宋体"/>
                <w:sz w:val="22"/>
              </w:rPr>
              <w:t>踏勘现场</w:t>
            </w:r>
          </w:p>
        </w:tc>
        <w:tc>
          <w:tcPr>
            <w:tcW w:w="7776" w:type="dxa"/>
            <w:vAlign w:val="center"/>
          </w:tcPr>
          <w:p>
            <w:pPr>
              <w:adjustRightInd w:val="0"/>
              <w:rPr>
                <w:rFonts w:ascii="宋体" w:cs="宋体"/>
                <w:sz w:val="22"/>
              </w:rPr>
            </w:pPr>
            <w:r>
              <w:rPr>
                <w:rFonts w:hint="eastAsia" w:ascii="宋体" w:cs="宋体"/>
                <w:sz w:val="22"/>
              </w:rPr>
              <w:fldChar w:fldCharType="begin"/>
            </w:r>
            <w:r>
              <w:rPr>
                <w:rFonts w:hint="eastAsia" w:ascii="宋体" w:cs="宋体"/>
                <w:sz w:val="22"/>
              </w:rPr>
              <w:instrText xml:space="preserve"> eq \o\ac(</w:instrText>
            </w:r>
            <w:r>
              <w:rPr>
                <w:rFonts w:hint="eastAsia" w:ascii="宋体" w:cs="宋体"/>
                <w:position w:val="-4"/>
                <w:sz w:val="33"/>
              </w:rPr>
              <w:instrText xml:space="preserve">□</w:instrText>
            </w:r>
            <w:r>
              <w:rPr>
                <w:rFonts w:hint="eastAsia" w:ascii="宋体" w:cs="宋体"/>
                <w:sz w:val="22"/>
              </w:rPr>
              <w:instrText xml:space="preserve">,√)</w:instrText>
            </w:r>
            <w:r>
              <w:rPr>
                <w:rFonts w:hint="eastAsia" w:ascii="宋体" w:cs="宋体"/>
                <w:sz w:val="22"/>
              </w:rPr>
              <w:fldChar w:fldCharType="end"/>
            </w:r>
            <w:r>
              <w:rPr>
                <w:rFonts w:hint="eastAsia" w:ascii="宋体" w:cs="宋体"/>
                <w:sz w:val="22"/>
              </w:rPr>
              <w:t>不组织</w:t>
            </w:r>
          </w:p>
          <w:p>
            <w:pPr>
              <w:adjustRightInd w:val="0"/>
              <w:rPr>
                <w:rFonts w:ascii="宋体" w:cs="宋体"/>
                <w:sz w:val="22"/>
              </w:rPr>
            </w:pPr>
            <w:r>
              <w:rPr>
                <w:rFonts w:hint="eastAsia" w:ascii="宋体" w:cs="宋体"/>
                <w:sz w:val="22"/>
              </w:rPr>
              <w:t xml:space="preserve">□组织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12</w:t>
            </w:r>
          </w:p>
        </w:tc>
        <w:tc>
          <w:tcPr>
            <w:tcW w:w="1814" w:type="dxa"/>
            <w:vAlign w:val="center"/>
          </w:tcPr>
          <w:p>
            <w:pPr>
              <w:adjustRightInd w:val="0"/>
              <w:rPr>
                <w:rFonts w:ascii="宋体" w:cs="宋体"/>
                <w:sz w:val="22"/>
              </w:rPr>
            </w:pPr>
            <w:r>
              <w:rPr>
                <w:rFonts w:hint="eastAsia" w:ascii="宋体" w:cs="宋体"/>
                <w:sz w:val="22"/>
              </w:rPr>
              <w:t>是否允许递交备选投标方案</w:t>
            </w:r>
          </w:p>
        </w:tc>
        <w:tc>
          <w:tcPr>
            <w:tcW w:w="7776" w:type="dxa"/>
            <w:vAlign w:val="center"/>
          </w:tcPr>
          <w:p>
            <w:pPr>
              <w:adjustRightInd w:val="0"/>
              <w:rPr>
                <w:rFonts w:ascii="宋体" w:cs="宋体"/>
                <w:sz w:val="22"/>
              </w:rPr>
            </w:pPr>
            <w:r>
              <w:rPr>
                <w:rFonts w:hint="eastAsia" w:ascii="宋体" w:cs="宋体"/>
                <w:sz w:val="22"/>
              </w:rPr>
              <w:fldChar w:fldCharType="begin"/>
            </w:r>
            <w:r>
              <w:rPr>
                <w:rFonts w:hint="eastAsia" w:ascii="宋体" w:cs="宋体"/>
                <w:sz w:val="22"/>
              </w:rPr>
              <w:instrText xml:space="preserve"> eq \o\ac(</w:instrText>
            </w:r>
            <w:r>
              <w:rPr>
                <w:rFonts w:hint="eastAsia" w:ascii="宋体" w:cs="宋体"/>
                <w:position w:val="-4"/>
                <w:sz w:val="33"/>
              </w:rPr>
              <w:instrText xml:space="preserve">□</w:instrText>
            </w:r>
            <w:r>
              <w:rPr>
                <w:rFonts w:hint="eastAsia" w:ascii="宋体" w:cs="宋体"/>
                <w:sz w:val="22"/>
              </w:rPr>
              <w:instrText xml:space="preserve">,√)</w:instrText>
            </w:r>
            <w:r>
              <w:rPr>
                <w:rFonts w:hint="eastAsia" w:ascii="宋体" w:cs="宋体"/>
                <w:sz w:val="22"/>
              </w:rPr>
              <w:fldChar w:fldCharType="end"/>
            </w:r>
            <w:r>
              <w:rPr>
                <w:rFonts w:hint="eastAsia" w:ascii="宋体" w:cs="宋体"/>
                <w:sz w:val="22"/>
              </w:rPr>
              <w:t xml:space="preserve"> 不允许</w:t>
            </w:r>
          </w:p>
          <w:p>
            <w:pPr>
              <w:adjustRightInd w:val="0"/>
              <w:rPr>
                <w:rFonts w:ascii="宋体" w:cs="宋体"/>
                <w:sz w:val="22"/>
              </w:rPr>
            </w:pPr>
            <w:r>
              <w:rPr>
                <w:rFonts w:hint="eastAsia" w:ascii="宋体" w:cs="宋体"/>
                <w:sz w:val="22"/>
              </w:rPr>
              <w:t>□ 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9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13</w:t>
            </w:r>
          </w:p>
        </w:tc>
        <w:tc>
          <w:tcPr>
            <w:tcW w:w="1814" w:type="dxa"/>
            <w:vAlign w:val="center"/>
          </w:tcPr>
          <w:p>
            <w:pPr>
              <w:adjustRightInd w:val="0"/>
              <w:rPr>
                <w:rFonts w:ascii="宋体" w:cs="宋体"/>
                <w:sz w:val="22"/>
              </w:rPr>
            </w:pPr>
            <w:r>
              <w:rPr>
                <w:rFonts w:hint="eastAsia" w:ascii="宋体" w:cs="宋体"/>
                <w:sz w:val="22"/>
              </w:rPr>
              <w:t>投标货币</w:t>
            </w:r>
          </w:p>
        </w:tc>
        <w:tc>
          <w:tcPr>
            <w:tcW w:w="7776" w:type="dxa"/>
            <w:vAlign w:val="center"/>
          </w:tcPr>
          <w:p>
            <w:pPr>
              <w:adjustRightInd w:val="0"/>
              <w:rPr>
                <w:rFonts w:ascii="宋体" w:cs="宋体"/>
                <w:sz w:val="22"/>
              </w:rPr>
            </w:pPr>
            <w:r>
              <w:rPr>
                <w:rFonts w:hint="eastAsia" w:ascii="宋体" w:cs="宋体"/>
                <w:sz w:val="22"/>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669" w:type="dxa"/>
            <w:vAlign w:val="center"/>
          </w:tcPr>
          <w:p>
            <w:pPr>
              <w:autoSpaceDE w:val="0"/>
              <w:autoSpaceDN w:val="0"/>
              <w:adjustRightInd w:val="0"/>
              <w:snapToGrid w:val="0"/>
              <w:spacing w:line="300" w:lineRule="exact"/>
              <w:jc w:val="center"/>
              <w:rPr>
                <w:rFonts w:ascii="宋体" w:cs="宋体"/>
                <w:sz w:val="22"/>
              </w:rPr>
            </w:pPr>
            <w:r>
              <w:rPr>
                <w:rFonts w:hint="eastAsia" w:ascii="宋体" w:cs="宋体"/>
                <w:sz w:val="22"/>
              </w:rPr>
              <w:t>14</w:t>
            </w:r>
          </w:p>
        </w:tc>
        <w:tc>
          <w:tcPr>
            <w:tcW w:w="1814" w:type="dxa"/>
            <w:vAlign w:val="center"/>
          </w:tcPr>
          <w:p>
            <w:pPr>
              <w:adjustRightInd w:val="0"/>
              <w:spacing w:line="300" w:lineRule="exact"/>
              <w:rPr>
                <w:rFonts w:ascii="宋体" w:cs="宋体"/>
                <w:sz w:val="22"/>
              </w:rPr>
            </w:pPr>
            <w:r>
              <w:rPr>
                <w:rFonts w:hint="eastAsia" w:ascii="宋体" w:cs="宋体"/>
                <w:sz w:val="22"/>
              </w:rPr>
              <w:t>投标语言</w:t>
            </w:r>
          </w:p>
        </w:tc>
        <w:tc>
          <w:tcPr>
            <w:tcW w:w="7776" w:type="dxa"/>
            <w:vAlign w:val="center"/>
          </w:tcPr>
          <w:p>
            <w:pPr>
              <w:adjustRightInd w:val="0"/>
              <w:spacing w:line="300" w:lineRule="exact"/>
              <w:rPr>
                <w:rFonts w:ascii="宋体" w:cs="宋体"/>
                <w:sz w:val="22"/>
              </w:rPr>
            </w:pPr>
            <w:r>
              <w:rPr>
                <w:rFonts w:hint="eastAsia" w:ascii="宋体" w:cs="宋体"/>
                <w:sz w:val="22"/>
              </w:rPr>
              <w:t>中文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autoSpaceDE w:val="0"/>
              <w:autoSpaceDN w:val="0"/>
              <w:adjustRightInd w:val="0"/>
              <w:snapToGrid w:val="0"/>
              <w:spacing w:line="300" w:lineRule="exact"/>
              <w:jc w:val="center"/>
              <w:rPr>
                <w:rFonts w:ascii="宋体" w:cs="宋体"/>
                <w:sz w:val="22"/>
              </w:rPr>
            </w:pPr>
            <w:r>
              <w:rPr>
                <w:rFonts w:hint="eastAsia" w:ascii="宋体" w:cs="宋体"/>
                <w:sz w:val="22"/>
              </w:rPr>
              <w:t>15</w:t>
            </w:r>
          </w:p>
        </w:tc>
        <w:tc>
          <w:tcPr>
            <w:tcW w:w="1814" w:type="dxa"/>
            <w:vAlign w:val="center"/>
          </w:tcPr>
          <w:p>
            <w:pPr>
              <w:spacing w:line="300" w:lineRule="exact"/>
              <w:rPr>
                <w:rFonts w:ascii="宋体" w:cs="宋体"/>
                <w:sz w:val="22"/>
              </w:rPr>
            </w:pPr>
            <w:r>
              <w:rPr>
                <w:rFonts w:hint="eastAsia" w:ascii="宋体" w:cs="宋体"/>
                <w:sz w:val="22"/>
              </w:rPr>
              <w:t>投标有效期</w:t>
            </w:r>
          </w:p>
        </w:tc>
        <w:tc>
          <w:tcPr>
            <w:tcW w:w="7776" w:type="dxa"/>
            <w:vAlign w:val="center"/>
          </w:tcPr>
          <w:p>
            <w:pPr>
              <w:spacing w:line="300" w:lineRule="exact"/>
              <w:rPr>
                <w:rFonts w:ascii="宋体" w:cs="宋体"/>
                <w:sz w:val="22"/>
              </w:rPr>
            </w:pPr>
            <w:r>
              <w:rPr>
                <w:rFonts w:hint="eastAsia" w:ascii="宋体" w:cs="宋体"/>
                <w:sz w:val="22"/>
              </w:rPr>
              <w:t>提交投标文件截止时间起90天。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autoSpaceDE w:val="0"/>
              <w:autoSpaceDN w:val="0"/>
              <w:adjustRightInd w:val="0"/>
              <w:snapToGrid w:val="0"/>
              <w:spacing w:line="300" w:lineRule="exact"/>
              <w:jc w:val="center"/>
              <w:rPr>
                <w:rFonts w:ascii="宋体" w:cs="宋体"/>
                <w:sz w:val="22"/>
                <w:lang w:val="zh-CN"/>
              </w:rPr>
            </w:pPr>
            <w:r>
              <w:rPr>
                <w:rFonts w:hint="eastAsia" w:ascii="宋体" w:cs="宋体"/>
                <w:sz w:val="22"/>
                <w:lang w:val="zh-CN"/>
              </w:rPr>
              <w:t>1</w:t>
            </w:r>
            <w:r>
              <w:rPr>
                <w:rFonts w:hint="eastAsia" w:ascii="宋体" w:cs="宋体"/>
                <w:sz w:val="22"/>
              </w:rPr>
              <w:t>6</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投标文件的形式</w:t>
            </w:r>
          </w:p>
        </w:tc>
        <w:tc>
          <w:tcPr>
            <w:tcW w:w="7776" w:type="dxa"/>
            <w:vAlign w:val="center"/>
          </w:tcPr>
          <w:p>
            <w:pPr>
              <w:spacing w:line="300" w:lineRule="exact"/>
              <w:rPr>
                <w:rFonts w:ascii="宋体"/>
                <w:snapToGrid w:val="0"/>
                <w:sz w:val="22"/>
              </w:rPr>
            </w:pPr>
            <w:r>
              <w:rPr>
                <w:rFonts w:hint="eastAsia" w:ascii="宋体"/>
                <w:snapToGrid w:val="0"/>
                <w:sz w:val="22"/>
              </w:rPr>
              <w:t>投标供应商应准备电子投标文件。</w:t>
            </w:r>
          </w:p>
          <w:p>
            <w:pPr>
              <w:spacing w:line="300" w:lineRule="exact"/>
              <w:rPr>
                <w:rFonts w:ascii="宋体"/>
                <w:snapToGrid w:val="0"/>
                <w:sz w:val="22"/>
              </w:rPr>
            </w:pPr>
            <w:r>
              <w:rPr>
                <w:rFonts w:hint="eastAsia" w:ascii="宋体"/>
                <w:snapToGrid w:val="0"/>
                <w:sz w:val="22"/>
              </w:rPr>
              <w:t>电子投标文件是指通过“政采云电子交易客户端”完成投标文件编制后生成并加密的数据电文形式的电子加密投标文件。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17</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投标文件的编制</w:t>
            </w:r>
          </w:p>
        </w:tc>
        <w:tc>
          <w:tcPr>
            <w:tcW w:w="7776" w:type="dxa"/>
            <w:vAlign w:val="center"/>
          </w:tcPr>
          <w:p>
            <w:pPr>
              <w:spacing w:line="300" w:lineRule="exact"/>
              <w:rPr>
                <w:rFonts w:ascii="宋体"/>
                <w:snapToGrid w:val="0"/>
                <w:sz w:val="22"/>
              </w:rPr>
            </w:pPr>
            <w:r>
              <w:rPr>
                <w:rFonts w:hint="eastAsia" w:ascii="宋体"/>
                <w:snapToGrid w:val="0"/>
                <w:sz w:val="22"/>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18</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投标文件组成</w:t>
            </w:r>
          </w:p>
        </w:tc>
        <w:tc>
          <w:tcPr>
            <w:tcW w:w="7776" w:type="dxa"/>
            <w:vAlign w:val="center"/>
          </w:tcPr>
          <w:p>
            <w:pPr>
              <w:spacing w:line="300" w:lineRule="exact"/>
              <w:rPr>
                <w:rFonts w:ascii="宋体"/>
                <w:snapToGrid w:val="0"/>
                <w:sz w:val="22"/>
              </w:rPr>
            </w:pPr>
            <w:r>
              <w:rPr>
                <w:rFonts w:hint="eastAsia" w:ascii="宋体"/>
                <w:bCs/>
                <w:snapToGrid w:val="0"/>
                <w:sz w:val="22"/>
              </w:rPr>
              <w:t>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19</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投标文件的盖章</w:t>
            </w:r>
          </w:p>
        </w:tc>
        <w:tc>
          <w:tcPr>
            <w:tcW w:w="7776" w:type="dxa"/>
            <w:vAlign w:val="center"/>
          </w:tcPr>
          <w:p>
            <w:pPr>
              <w:spacing w:line="300" w:lineRule="exact"/>
              <w:rPr>
                <w:rFonts w:ascii="宋体"/>
                <w:snapToGrid w:val="0"/>
                <w:sz w:val="22"/>
              </w:rPr>
            </w:pPr>
            <w:r>
              <w:rPr>
                <w:rFonts w:hint="eastAsia" w:ascii="宋体"/>
                <w:snapToGrid w:val="0"/>
                <w:sz w:val="22"/>
              </w:rPr>
              <w:t>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20</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法定代表人或其授权代表签字或盖章</w:t>
            </w:r>
          </w:p>
        </w:tc>
        <w:tc>
          <w:tcPr>
            <w:tcW w:w="7776" w:type="dxa"/>
            <w:vAlign w:val="center"/>
          </w:tcPr>
          <w:p>
            <w:pPr>
              <w:spacing w:line="300" w:lineRule="exact"/>
              <w:rPr>
                <w:rFonts w:ascii="宋体"/>
                <w:snapToGrid w:val="0"/>
                <w:sz w:val="22"/>
              </w:rPr>
            </w:pPr>
            <w:r>
              <w:rPr>
                <w:rFonts w:hint="eastAsia" w:ascii="宋体"/>
                <w:snapToGrid w:val="0"/>
                <w:sz w:val="22"/>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21</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投标文件份数</w:t>
            </w:r>
          </w:p>
        </w:tc>
        <w:tc>
          <w:tcPr>
            <w:tcW w:w="7776" w:type="dxa"/>
            <w:vAlign w:val="center"/>
          </w:tcPr>
          <w:p>
            <w:pPr>
              <w:spacing w:line="300" w:lineRule="exact"/>
              <w:rPr>
                <w:rFonts w:ascii="宋体"/>
                <w:snapToGrid w:val="0"/>
                <w:sz w:val="22"/>
              </w:rPr>
            </w:pPr>
            <w:r>
              <w:rPr>
                <w:rFonts w:hint="eastAsia" w:ascii="宋体"/>
                <w:snapToGrid w:val="0"/>
                <w:sz w:val="22"/>
              </w:rPr>
              <w:t>电子加密投标文件在线上传递交一份。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22</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投标文件的上传和递交</w:t>
            </w:r>
          </w:p>
        </w:tc>
        <w:tc>
          <w:tcPr>
            <w:tcW w:w="7776" w:type="dxa"/>
            <w:vAlign w:val="center"/>
          </w:tcPr>
          <w:p>
            <w:pPr>
              <w:spacing w:line="300" w:lineRule="exact"/>
              <w:rPr>
                <w:rFonts w:ascii="宋体"/>
                <w:snapToGrid w:val="0"/>
                <w:sz w:val="22"/>
              </w:rPr>
            </w:pPr>
            <w:r>
              <w:rPr>
                <w:rFonts w:hint="eastAsia" w:ascii="宋体"/>
                <w:snapToGrid w:val="0"/>
                <w:sz w:val="22"/>
              </w:rPr>
              <w:t>本项目通过“政府采购云平台（</w:t>
            </w:r>
            <w:r>
              <w:rPr>
                <w:rFonts w:ascii="宋体"/>
                <w:snapToGrid w:val="0"/>
                <w:sz w:val="22"/>
              </w:rPr>
              <w:t>www.zcygov.cn）”实行在线投标响应（电子投标），投标供应商应当在投标截止时间前，将生成的“电子加密投标文件”上传递交至“政府采购云平台”。</w:t>
            </w:r>
          </w:p>
          <w:p>
            <w:pPr>
              <w:spacing w:line="300" w:lineRule="exact"/>
              <w:rPr>
                <w:rFonts w:ascii="宋体"/>
                <w:snapToGrid w:val="0"/>
                <w:sz w:val="22"/>
              </w:rPr>
            </w:pPr>
            <w:r>
              <w:rPr>
                <w:rFonts w:hint="eastAsia" w:ascii="宋体"/>
                <w:snapToGrid w:val="0"/>
                <w:sz w:val="22"/>
              </w:rPr>
              <w:t>“电子加密投标文件”的上传、递交：</w:t>
            </w:r>
          </w:p>
          <w:p>
            <w:pPr>
              <w:spacing w:line="300" w:lineRule="exact"/>
              <w:rPr>
                <w:rFonts w:ascii="宋体"/>
                <w:snapToGrid w:val="0"/>
                <w:sz w:val="22"/>
              </w:rPr>
            </w:pPr>
            <w:r>
              <w:rPr>
                <w:rFonts w:hint="eastAsia" w:ascii="宋体"/>
                <w:snapToGrid w:val="0"/>
                <w:sz w:val="22"/>
              </w:rPr>
              <w:t>a.投标供应商应在投标截止时间前将“电子加密投标文件”成功上传递交至“政府采购云平台”，否则投标无效。</w:t>
            </w:r>
          </w:p>
          <w:p>
            <w:pPr>
              <w:spacing w:line="300" w:lineRule="exact"/>
              <w:rPr>
                <w:rFonts w:ascii="宋体"/>
                <w:snapToGrid w:val="0"/>
                <w:sz w:val="22"/>
              </w:rPr>
            </w:pPr>
            <w:r>
              <w:rPr>
                <w:rFonts w:hint="eastAsia" w:ascii="宋体"/>
                <w:snapToGrid w:val="0"/>
                <w:sz w:val="22"/>
              </w:rPr>
              <w:t>b.“电子加密投标文件”成功上传递交后，供应商可自行打印投标文件接收回执。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23</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电子加密投标文件的解密</w:t>
            </w:r>
          </w:p>
        </w:tc>
        <w:tc>
          <w:tcPr>
            <w:tcW w:w="7776" w:type="dxa"/>
            <w:vAlign w:val="center"/>
          </w:tcPr>
          <w:p>
            <w:pPr>
              <w:spacing w:line="300" w:lineRule="exact"/>
              <w:rPr>
                <w:rFonts w:ascii="宋体"/>
                <w:snapToGrid w:val="0"/>
                <w:sz w:val="22"/>
              </w:rPr>
            </w:pPr>
            <w:r>
              <w:rPr>
                <w:rFonts w:hint="eastAsia" w:ascii="宋体"/>
                <w:snapToGrid w:val="0"/>
                <w:sz w:val="22"/>
              </w:rPr>
              <w:t>1、开标后，采购组织机构将向各投标供应商发出“电子加密投标文件”的解密通知，各投标供应商代表应当在接到解密通知后30分钟内自行完成“电子加密投标文件”的在线解密。</w:t>
            </w:r>
          </w:p>
          <w:p>
            <w:pPr>
              <w:spacing w:line="300" w:lineRule="exact"/>
              <w:rPr>
                <w:rFonts w:ascii="宋体"/>
                <w:snapToGrid w:val="0"/>
                <w:sz w:val="22"/>
              </w:rPr>
            </w:pPr>
            <w:r>
              <w:rPr>
                <w:rFonts w:ascii="宋体"/>
                <w:snapToGrid w:val="0"/>
                <w:sz w:val="22"/>
              </w:rPr>
              <w:t>2、通过“政府采购云平台”成功上传递交的“电子加密投标文件”无法按时解密的，</w:t>
            </w:r>
            <w:r>
              <w:rPr>
                <w:rFonts w:hint="eastAsia" w:ascii="宋体"/>
                <w:snapToGrid w:val="0"/>
                <w:sz w:val="22"/>
              </w:rPr>
              <w:t>其投标文件按拒收处理</w:t>
            </w:r>
            <w:r>
              <w:rPr>
                <w:rFonts w:ascii="宋体"/>
                <w:snapToGrid w:val="0"/>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24</w:t>
            </w:r>
          </w:p>
        </w:tc>
        <w:tc>
          <w:tcPr>
            <w:tcW w:w="1814" w:type="dxa"/>
            <w:vAlign w:val="center"/>
          </w:tcPr>
          <w:p>
            <w:pPr>
              <w:spacing w:line="300" w:lineRule="exact"/>
              <w:jc w:val="center"/>
              <w:rPr>
                <w:rFonts w:ascii="宋体" w:cs="宋体"/>
                <w:sz w:val="22"/>
              </w:rPr>
            </w:pPr>
            <w:r>
              <w:rPr>
                <w:rFonts w:hint="eastAsia" w:ascii="宋体" w:cs="宋体"/>
                <w:sz w:val="22"/>
              </w:rPr>
              <w:t>投标样品</w:t>
            </w:r>
          </w:p>
        </w:tc>
        <w:tc>
          <w:tcPr>
            <w:tcW w:w="7776" w:type="dxa"/>
            <w:vAlign w:val="center"/>
          </w:tcPr>
          <w:p>
            <w:pPr>
              <w:spacing w:line="300" w:lineRule="exact"/>
              <w:rPr>
                <w:rFonts w:ascii="宋体" w:cs="宋体"/>
                <w:sz w:val="22"/>
              </w:rPr>
            </w:pPr>
            <w:r>
              <w:rPr>
                <w:rFonts w:hint="eastAsia" w:ascii="宋体" w:cs="宋体"/>
                <w:sz w:val="22"/>
              </w:rPr>
              <w:fldChar w:fldCharType="begin"/>
            </w:r>
            <w:r>
              <w:rPr>
                <w:rFonts w:hint="eastAsia" w:ascii="宋体" w:cs="宋体"/>
                <w:sz w:val="22"/>
              </w:rPr>
              <w:instrText xml:space="preserve"> eq \o\ac(</w:instrText>
            </w:r>
            <w:r>
              <w:rPr>
                <w:rFonts w:hint="eastAsia" w:ascii="宋体" w:cs="宋体"/>
                <w:position w:val="-4"/>
                <w:sz w:val="33"/>
              </w:rPr>
              <w:instrText xml:space="preserve">□</w:instrText>
            </w:r>
            <w:r>
              <w:rPr>
                <w:rFonts w:hint="eastAsia" w:ascii="宋体" w:cs="宋体"/>
                <w:sz w:val="22"/>
              </w:rPr>
              <w:instrText xml:space="preserve">,√)</w:instrText>
            </w:r>
            <w:r>
              <w:rPr>
                <w:rFonts w:hint="eastAsia" w:ascii="宋体" w:cs="宋体"/>
                <w:sz w:val="22"/>
              </w:rPr>
              <w:fldChar w:fldCharType="end"/>
            </w:r>
            <w:r>
              <w:rPr>
                <w:rFonts w:hint="eastAsia" w:ascii="宋体" w:cs="宋体"/>
                <w:sz w:val="22"/>
              </w:rPr>
              <w:t>不需要</w:t>
            </w:r>
          </w:p>
          <w:p>
            <w:pPr>
              <w:spacing w:line="300" w:lineRule="exact"/>
              <w:rPr>
                <w:rFonts w:ascii="宋体" w:cs="宋体"/>
                <w:sz w:val="22"/>
              </w:rPr>
            </w:pPr>
            <w:r>
              <w:rPr>
                <w:rFonts w:hint="eastAsia" w:ascii="宋体" w:cs="宋体"/>
                <w:sz w:val="22"/>
              </w:rPr>
              <w:t>□需要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9"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25</w:t>
            </w:r>
          </w:p>
        </w:tc>
        <w:tc>
          <w:tcPr>
            <w:tcW w:w="1814" w:type="dxa"/>
            <w:vAlign w:val="center"/>
          </w:tcPr>
          <w:p>
            <w:pPr>
              <w:spacing w:line="300" w:lineRule="exact"/>
              <w:jc w:val="center"/>
              <w:rPr>
                <w:rFonts w:ascii="宋体" w:cs="宋体"/>
                <w:sz w:val="22"/>
              </w:rPr>
            </w:pPr>
            <w:r>
              <w:rPr>
                <w:rFonts w:hint="eastAsia" w:ascii="宋体" w:cs="宋体"/>
                <w:sz w:val="22"/>
              </w:rPr>
              <w:t>投标保证金</w:t>
            </w:r>
          </w:p>
        </w:tc>
        <w:tc>
          <w:tcPr>
            <w:tcW w:w="7776" w:type="dxa"/>
            <w:vAlign w:val="center"/>
          </w:tcPr>
          <w:p>
            <w:pPr>
              <w:spacing w:line="300" w:lineRule="exact"/>
              <w:rPr>
                <w:rFonts w:ascii="宋体" w:cs="宋体"/>
                <w:sz w:val="22"/>
              </w:rPr>
            </w:pPr>
            <w:r>
              <w:rPr>
                <w:rFonts w:hint="eastAsia" w:ascii="宋体" w:cs="宋体"/>
                <w:bCs/>
                <w:sz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9"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26</w:t>
            </w:r>
          </w:p>
        </w:tc>
        <w:tc>
          <w:tcPr>
            <w:tcW w:w="1814" w:type="dxa"/>
            <w:vAlign w:val="center"/>
          </w:tcPr>
          <w:p>
            <w:pPr>
              <w:adjustRightInd w:val="0"/>
              <w:spacing w:line="300" w:lineRule="exact"/>
              <w:jc w:val="center"/>
              <w:rPr>
                <w:rFonts w:ascii="宋体" w:cs="宋体"/>
                <w:sz w:val="22"/>
              </w:rPr>
            </w:pPr>
            <w:r>
              <w:rPr>
                <w:rFonts w:hint="eastAsia" w:ascii="宋体" w:cs="宋体"/>
                <w:sz w:val="22"/>
              </w:rPr>
              <w:t>履约担保</w:t>
            </w:r>
          </w:p>
        </w:tc>
        <w:tc>
          <w:tcPr>
            <w:tcW w:w="7776" w:type="dxa"/>
            <w:vAlign w:val="center"/>
          </w:tcPr>
          <w:p>
            <w:pPr>
              <w:spacing w:line="300" w:lineRule="exact"/>
              <w:rPr>
                <w:rFonts w:ascii="宋体" w:cs="宋体"/>
                <w:sz w:val="22"/>
              </w:rPr>
            </w:pPr>
            <w:r>
              <w:rPr>
                <w:rFonts w:hint="eastAsia" w:ascii="宋体" w:cs="宋体"/>
                <w:sz w:val="22"/>
              </w:rPr>
              <w:t>□不需要</w:t>
            </w:r>
          </w:p>
          <w:p>
            <w:pPr>
              <w:adjustRightInd w:val="0"/>
              <w:spacing w:line="300" w:lineRule="exact"/>
              <w:rPr>
                <w:rFonts w:ascii="宋体" w:cs="宋体"/>
                <w:sz w:val="22"/>
              </w:rPr>
            </w:pPr>
            <w:r>
              <w:rPr>
                <w:rFonts w:hint="eastAsia" w:ascii="宋体" w:cs="宋体"/>
                <w:sz w:val="22"/>
              </w:rPr>
              <w:fldChar w:fldCharType="begin"/>
            </w:r>
            <w:r>
              <w:rPr>
                <w:rFonts w:hint="eastAsia" w:ascii="宋体" w:cs="宋体"/>
                <w:sz w:val="22"/>
              </w:rPr>
              <w:instrText xml:space="preserve"> eq \o\ac(</w:instrText>
            </w:r>
            <w:r>
              <w:rPr>
                <w:rFonts w:hint="eastAsia" w:ascii="宋体" w:cs="宋体"/>
                <w:position w:val="-4"/>
                <w:sz w:val="33"/>
              </w:rPr>
              <w:instrText xml:space="preserve">□</w:instrText>
            </w:r>
            <w:r>
              <w:rPr>
                <w:rFonts w:hint="eastAsia" w:ascii="宋体" w:cs="宋体"/>
                <w:sz w:val="22"/>
              </w:rPr>
              <w:instrText xml:space="preserve">,√)</w:instrText>
            </w:r>
            <w:r>
              <w:rPr>
                <w:rFonts w:hint="eastAsia" w:ascii="宋体" w:cs="宋体"/>
                <w:sz w:val="22"/>
              </w:rPr>
              <w:fldChar w:fldCharType="end"/>
            </w:r>
            <w:r>
              <w:rPr>
                <w:rFonts w:hint="eastAsia" w:ascii="宋体" w:cs="宋体"/>
                <w:sz w:val="22"/>
              </w:rPr>
              <w:t xml:space="preserve">需要 </w:t>
            </w:r>
            <w:r>
              <w:rPr>
                <w:rFonts w:hint="eastAsia" w:ascii="宋体" w:cs="宋体"/>
                <w:bCs/>
                <w:sz w:val="22"/>
              </w:rPr>
              <w:t xml:space="preserve"> 中标供应商向采购人提供合同总金额5%的履约保证金。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52"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27</w:t>
            </w:r>
          </w:p>
        </w:tc>
        <w:tc>
          <w:tcPr>
            <w:tcW w:w="1814" w:type="dxa"/>
            <w:vAlign w:val="center"/>
          </w:tcPr>
          <w:p>
            <w:pPr>
              <w:spacing w:line="300" w:lineRule="exact"/>
              <w:rPr>
                <w:rFonts w:ascii="宋体" w:cs="宋体"/>
                <w:sz w:val="22"/>
              </w:rPr>
            </w:pPr>
            <w:r>
              <w:rPr>
                <w:rFonts w:hint="eastAsia" w:ascii="宋体" w:cs="宋体"/>
                <w:sz w:val="22"/>
              </w:rPr>
              <w:t>招标文件获取方式</w:t>
            </w:r>
          </w:p>
        </w:tc>
        <w:tc>
          <w:tcPr>
            <w:tcW w:w="7776" w:type="dxa"/>
            <w:vAlign w:val="center"/>
          </w:tcPr>
          <w:p>
            <w:pPr>
              <w:spacing w:line="300" w:lineRule="exact"/>
              <w:rPr>
                <w:rFonts w:ascii="宋体" w:cs="宋体"/>
                <w:sz w:val="22"/>
              </w:rPr>
            </w:pPr>
            <w:r>
              <w:rPr>
                <w:rFonts w:hint="eastAsia" w:ascii="宋体"/>
                <w:sz w:val="22"/>
              </w:rPr>
              <w:t>见招标公告要求。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28</w:t>
            </w:r>
          </w:p>
        </w:tc>
        <w:tc>
          <w:tcPr>
            <w:tcW w:w="1814" w:type="dxa"/>
            <w:vAlign w:val="center"/>
          </w:tcPr>
          <w:p>
            <w:pPr>
              <w:spacing w:line="300" w:lineRule="exact"/>
              <w:jc w:val="center"/>
              <w:rPr>
                <w:rFonts w:ascii="宋体" w:cs="Courier New"/>
                <w:sz w:val="22"/>
              </w:rPr>
            </w:pPr>
            <w:r>
              <w:rPr>
                <w:rFonts w:hint="eastAsia" w:ascii="宋体" w:cs="Courier New"/>
                <w:sz w:val="22"/>
              </w:rPr>
              <w:t>投标截止时间</w:t>
            </w:r>
          </w:p>
          <w:p>
            <w:pPr>
              <w:spacing w:line="300" w:lineRule="exact"/>
              <w:jc w:val="center"/>
              <w:rPr>
                <w:rFonts w:ascii="宋体"/>
              </w:rPr>
            </w:pPr>
            <w:r>
              <w:rPr>
                <w:rFonts w:hint="eastAsia" w:ascii="宋体" w:cs="Courier New"/>
                <w:sz w:val="22"/>
              </w:rPr>
              <w:t>投标地点</w:t>
            </w:r>
          </w:p>
        </w:tc>
        <w:tc>
          <w:tcPr>
            <w:tcW w:w="7776" w:type="dxa"/>
            <w:vAlign w:val="center"/>
          </w:tcPr>
          <w:p>
            <w:pPr>
              <w:spacing w:line="300" w:lineRule="exact"/>
              <w:rPr>
                <w:rFonts w:ascii="宋体" w:cs="Courier New"/>
                <w:sz w:val="22"/>
              </w:rPr>
            </w:pPr>
            <w:r>
              <w:rPr>
                <w:rFonts w:hint="eastAsia" w:ascii="宋体" w:cs="Courier New"/>
                <w:sz w:val="22"/>
                <w:lang w:eastAsia="zh-CN"/>
              </w:rPr>
              <w:t>2020年10月10日</w:t>
            </w:r>
            <w:r>
              <w:rPr>
                <w:rFonts w:hint="eastAsia" w:ascii="宋体" w:cs="Courier New"/>
                <w:sz w:val="22"/>
              </w:rPr>
              <w:t>上午09:00截止(北京时间)。</w:t>
            </w:r>
          </w:p>
          <w:p>
            <w:pPr>
              <w:spacing w:line="300" w:lineRule="exact"/>
              <w:rPr>
                <w:rFonts w:ascii="宋体"/>
              </w:rPr>
            </w:pPr>
            <w:r>
              <w:rPr>
                <w:rFonts w:hint="eastAsia" w:ascii="宋体" w:cs="Courier New"/>
                <w:sz w:val="22"/>
              </w:rPr>
              <w:t>投标地点：金华市双龙南街858号财富大厦4楼开标2室</w:t>
            </w:r>
            <w:r>
              <w:rPr>
                <w:rFonts w:hint="eastAsia" w:ascii="宋体"/>
                <w:sz w:val="22"/>
              </w:rPr>
              <w:t>（本项目采用在线投标方式，投标供应商无须前往投标现场。）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07"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29</w:t>
            </w:r>
          </w:p>
        </w:tc>
        <w:tc>
          <w:tcPr>
            <w:tcW w:w="1814" w:type="dxa"/>
            <w:vAlign w:val="center"/>
          </w:tcPr>
          <w:p>
            <w:pPr>
              <w:spacing w:line="300" w:lineRule="exact"/>
              <w:jc w:val="center"/>
              <w:rPr>
                <w:rFonts w:ascii="宋体" w:cs="宋体"/>
                <w:sz w:val="22"/>
              </w:rPr>
            </w:pPr>
            <w:r>
              <w:rPr>
                <w:rFonts w:hint="eastAsia" w:ascii="宋体" w:cs="宋体"/>
                <w:sz w:val="22"/>
              </w:rPr>
              <w:t>开标时间</w:t>
            </w:r>
          </w:p>
          <w:p>
            <w:pPr>
              <w:spacing w:line="300" w:lineRule="exact"/>
              <w:jc w:val="center"/>
              <w:rPr>
                <w:rFonts w:ascii="宋体" w:cs="宋体"/>
                <w:sz w:val="22"/>
              </w:rPr>
            </w:pPr>
            <w:r>
              <w:rPr>
                <w:rFonts w:hint="eastAsia" w:ascii="宋体" w:cs="宋体"/>
                <w:sz w:val="22"/>
              </w:rPr>
              <w:t>开标地点</w:t>
            </w:r>
          </w:p>
        </w:tc>
        <w:tc>
          <w:tcPr>
            <w:tcW w:w="7776" w:type="dxa"/>
            <w:vAlign w:val="center"/>
          </w:tcPr>
          <w:p>
            <w:pPr>
              <w:spacing w:line="300" w:lineRule="exact"/>
              <w:rPr>
                <w:rFonts w:ascii="宋体" w:cs="宋体"/>
                <w:sz w:val="22"/>
              </w:rPr>
            </w:pPr>
            <w:r>
              <w:rPr>
                <w:rFonts w:hint="eastAsia" w:ascii="宋体" w:cs="宋体"/>
                <w:sz w:val="22"/>
              </w:rPr>
              <w:t>开标时间：</w:t>
            </w:r>
            <w:r>
              <w:rPr>
                <w:rFonts w:hint="eastAsia" w:ascii="宋体" w:cs="宋体"/>
                <w:sz w:val="22"/>
                <w:lang w:eastAsia="zh-CN"/>
              </w:rPr>
              <w:t>2020年10月10日</w:t>
            </w:r>
            <w:r>
              <w:rPr>
                <w:rFonts w:hint="eastAsia" w:ascii="宋体" w:cs="宋体"/>
                <w:sz w:val="22"/>
              </w:rPr>
              <w:t>上午9:00  (北京时间)</w:t>
            </w:r>
          </w:p>
          <w:p>
            <w:pPr>
              <w:spacing w:line="300" w:lineRule="exact"/>
              <w:rPr>
                <w:rFonts w:ascii="宋体" w:cs="宋体"/>
                <w:sz w:val="22"/>
              </w:rPr>
            </w:pPr>
            <w:r>
              <w:rPr>
                <w:rFonts w:hint="eastAsia" w:ascii="宋体" w:cs="宋体"/>
                <w:sz w:val="22"/>
              </w:rPr>
              <w:t>开标地点：</w:t>
            </w:r>
            <w:r>
              <w:rPr>
                <w:rFonts w:hint="eastAsia" w:ascii="宋体"/>
                <w:sz w:val="22"/>
              </w:rPr>
              <w:t>金华市双龙南街858号财富大厦4楼开标2室（本项目采用在线投标方式，投标供应商无须前往开标现场。）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30</w:t>
            </w:r>
          </w:p>
        </w:tc>
        <w:tc>
          <w:tcPr>
            <w:tcW w:w="1814" w:type="dxa"/>
            <w:vAlign w:val="center"/>
          </w:tcPr>
          <w:p>
            <w:pPr>
              <w:spacing w:line="300" w:lineRule="exact"/>
              <w:jc w:val="center"/>
              <w:rPr>
                <w:rFonts w:ascii="宋体" w:cs="宋体"/>
                <w:sz w:val="22"/>
              </w:rPr>
            </w:pPr>
            <w:r>
              <w:rPr>
                <w:rFonts w:hint="eastAsia" w:ascii="宋体" w:cs="宋体"/>
                <w:sz w:val="22"/>
              </w:rPr>
              <w:t>评审委员会的</w:t>
            </w:r>
          </w:p>
          <w:p>
            <w:pPr>
              <w:spacing w:line="300" w:lineRule="exact"/>
              <w:jc w:val="center"/>
              <w:rPr>
                <w:rFonts w:ascii="宋体" w:cs="宋体"/>
                <w:sz w:val="22"/>
              </w:rPr>
            </w:pPr>
            <w:r>
              <w:rPr>
                <w:rFonts w:hint="eastAsia" w:ascii="宋体" w:cs="宋体"/>
                <w:sz w:val="22"/>
              </w:rPr>
              <w:t>组建</w:t>
            </w:r>
          </w:p>
        </w:tc>
        <w:tc>
          <w:tcPr>
            <w:tcW w:w="7776" w:type="dxa"/>
            <w:vAlign w:val="center"/>
          </w:tcPr>
          <w:p>
            <w:pPr>
              <w:spacing w:line="300" w:lineRule="exact"/>
              <w:rPr>
                <w:rFonts w:ascii="宋体" w:cs="宋体"/>
                <w:sz w:val="22"/>
              </w:rPr>
            </w:pPr>
            <w:r>
              <w:rPr>
                <w:rFonts w:hint="eastAsia" w:ascii="宋体" w:cs="宋体"/>
                <w:sz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0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31</w:t>
            </w:r>
          </w:p>
        </w:tc>
        <w:tc>
          <w:tcPr>
            <w:tcW w:w="1814" w:type="dxa"/>
            <w:vAlign w:val="center"/>
          </w:tcPr>
          <w:p>
            <w:pPr>
              <w:adjustRightInd w:val="0"/>
              <w:spacing w:line="300" w:lineRule="exact"/>
              <w:jc w:val="center"/>
              <w:rPr>
                <w:rFonts w:ascii="宋体" w:cs="宋体"/>
                <w:sz w:val="22"/>
              </w:rPr>
            </w:pPr>
            <w:r>
              <w:rPr>
                <w:rFonts w:hint="eastAsia" w:ascii="宋体" w:cs="宋体"/>
                <w:sz w:val="22"/>
              </w:rPr>
              <w:t>政府采购</w:t>
            </w:r>
          </w:p>
          <w:p>
            <w:pPr>
              <w:adjustRightInd w:val="0"/>
              <w:spacing w:line="300" w:lineRule="exact"/>
              <w:jc w:val="center"/>
              <w:rPr>
                <w:rFonts w:ascii="宋体" w:cs="宋体"/>
                <w:sz w:val="22"/>
              </w:rPr>
            </w:pPr>
            <w:r>
              <w:rPr>
                <w:rFonts w:hint="eastAsia" w:ascii="宋体" w:cs="宋体"/>
                <w:sz w:val="22"/>
              </w:rPr>
              <w:t>扶持政策</w:t>
            </w:r>
          </w:p>
        </w:tc>
        <w:tc>
          <w:tcPr>
            <w:tcW w:w="7776" w:type="dxa"/>
            <w:vAlign w:val="center"/>
          </w:tcPr>
          <w:p>
            <w:pPr>
              <w:spacing w:line="300" w:lineRule="exact"/>
              <w:rPr>
                <w:rFonts w:ascii="宋体" w:cs="宋体"/>
                <w:sz w:val="22"/>
              </w:rPr>
            </w:pPr>
            <w:r>
              <w:rPr>
                <w:rFonts w:hint="eastAsia" w:ascii="宋体" w:cs="宋体"/>
                <w:sz w:val="22"/>
              </w:rPr>
              <w:t>对符合财政扶持政策的小微企业（或监狱企业或残疾人福利性单位）给予评标价格优惠。供应商企业属于以上多种性质的，不重复享受扶持政策。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32</w:t>
            </w:r>
          </w:p>
        </w:tc>
        <w:tc>
          <w:tcPr>
            <w:tcW w:w="1814" w:type="dxa"/>
            <w:vAlign w:val="center"/>
          </w:tcPr>
          <w:p>
            <w:pPr>
              <w:spacing w:line="300" w:lineRule="exact"/>
              <w:jc w:val="center"/>
              <w:rPr>
                <w:rFonts w:ascii="宋体" w:cs="宋体"/>
                <w:sz w:val="22"/>
              </w:rPr>
            </w:pPr>
            <w:r>
              <w:rPr>
                <w:rFonts w:hint="eastAsia" w:ascii="宋体" w:cs="宋体"/>
                <w:sz w:val="22"/>
              </w:rPr>
              <w:t>投标供应商</w:t>
            </w:r>
          </w:p>
          <w:p>
            <w:pPr>
              <w:spacing w:line="300" w:lineRule="exact"/>
              <w:jc w:val="center"/>
              <w:rPr>
                <w:rFonts w:ascii="宋体" w:cs="宋体"/>
                <w:sz w:val="22"/>
              </w:rPr>
            </w:pPr>
            <w:r>
              <w:rPr>
                <w:rFonts w:hint="eastAsia" w:ascii="宋体" w:cs="宋体"/>
                <w:sz w:val="22"/>
              </w:rPr>
              <w:t>信用查询</w:t>
            </w:r>
          </w:p>
        </w:tc>
        <w:tc>
          <w:tcPr>
            <w:tcW w:w="7776" w:type="dxa"/>
            <w:vAlign w:val="center"/>
          </w:tcPr>
          <w:p>
            <w:pPr>
              <w:spacing w:line="300" w:lineRule="exact"/>
              <w:rPr>
                <w:rFonts w:ascii="宋体" w:cs="宋体"/>
                <w:sz w:val="22"/>
              </w:rPr>
            </w:pPr>
            <w:r>
              <w:rPr>
                <w:rFonts w:hint="eastAsia" w:ascii="宋体" w:cs="宋体"/>
                <w:sz w:val="22"/>
              </w:rPr>
              <w:t>1、投标供应商信用信息查询的查询渠道：“信用中国”(www.creditchina.gov.cn)；“中国政府采购网”（www.ccgp.gov.cn）；</w:t>
            </w:r>
          </w:p>
          <w:p>
            <w:pPr>
              <w:spacing w:line="300" w:lineRule="exact"/>
              <w:rPr>
                <w:rFonts w:ascii="宋体" w:cs="宋体"/>
                <w:sz w:val="22"/>
              </w:rPr>
            </w:pPr>
            <w:r>
              <w:rPr>
                <w:rFonts w:hint="eastAsia" w:ascii="宋体" w:cs="宋体"/>
                <w:sz w:val="22"/>
              </w:rPr>
              <w:t>2、投标供应商信用信息查询截止时点：招标公告发布之日至投标截止时间前。</w:t>
            </w:r>
          </w:p>
          <w:p>
            <w:pPr>
              <w:spacing w:line="300" w:lineRule="exact"/>
              <w:rPr>
                <w:rFonts w:ascii="宋体" w:cs="宋体"/>
                <w:sz w:val="22"/>
              </w:rPr>
            </w:pPr>
            <w:r>
              <w:rPr>
                <w:rFonts w:hint="eastAsia" w:ascii="宋体" w:cs="宋体"/>
                <w:sz w:val="22"/>
              </w:rPr>
              <w:t>3、投标供应商信用信息查询记录和证据留存的具体方式：网页截图打印；</w:t>
            </w:r>
          </w:p>
          <w:p>
            <w:pPr>
              <w:spacing w:line="300" w:lineRule="exact"/>
              <w:rPr>
                <w:rFonts w:ascii="宋体" w:cs="宋体"/>
                <w:sz w:val="22"/>
              </w:rPr>
            </w:pPr>
            <w:r>
              <w:rPr>
                <w:rFonts w:hint="eastAsia" w:ascii="宋体" w:cs="宋体"/>
                <w:sz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33</w:t>
            </w:r>
          </w:p>
        </w:tc>
        <w:tc>
          <w:tcPr>
            <w:tcW w:w="1814" w:type="dxa"/>
            <w:vAlign w:val="center"/>
          </w:tcPr>
          <w:p>
            <w:pPr>
              <w:spacing w:line="300" w:lineRule="exact"/>
              <w:jc w:val="center"/>
              <w:rPr>
                <w:rFonts w:ascii="宋体" w:cs="宋体"/>
                <w:sz w:val="22"/>
              </w:rPr>
            </w:pPr>
            <w:r>
              <w:rPr>
                <w:rFonts w:hint="eastAsia" w:ascii="宋体" w:cs="宋体"/>
                <w:sz w:val="22"/>
              </w:rPr>
              <w:t>合同备案</w:t>
            </w:r>
          </w:p>
        </w:tc>
        <w:tc>
          <w:tcPr>
            <w:tcW w:w="7776" w:type="dxa"/>
            <w:vAlign w:val="center"/>
          </w:tcPr>
          <w:p>
            <w:pPr>
              <w:spacing w:line="300" w:lineRule="exact"/>
              <w:rPr>
                <w:rFonts w:ascii="宋体" w:cs="宋体"/>
                <w:sz w:val="22"/>
              </w:rPr>
            </w:pPr>
            <w:r>
              <w:rPr>
                <w:rFonts w:hint="eastAsia" w:ascii="宋体" w:cs="宋体"/>
                <w:sz w:val="22"/>
              </w:rPr>
              <w:t>1、中标供应商须在中标通知书发出之日起30日历天内与采购人签订合同。</w:t>
            </w:r>
          </w:p>
          <w:p>
            <w:pPr>
              <w:spacing w:line="300" w:lineRule="exact"/>
              <w:rPr>
                <w:rFonts w:ascii="宋体" w:cs="宋体"/>
                <w:sz w:val="22"/>
              </w:rPr>
            </w:pPr>
            <w:r>
              <w:rPr>
                <w:rFonts w:hint="eastAsia" w:ascii="宋体" w:cs="宋体"/>
                <w:sz w:val="22"/>
              </w:rPr>
              <w:t>2、中标供应商与采购人签订合同后，2天内将合同原件送至采购人及采购机构处；</w:t>
            </w:r>
          </w:p>
          <w:p>
            <w:pPr>
              <w:spacing w:line="300" w:lineRule="exact"/>
              <w:rPr>
                <w:rFonts w:ascii="宋体" w:cs="宋体"/>
                <w:sz w:val="22"/>
              </w:rPr>
            </w:pPr>
            <w:r>
              <w:rPr>
                <w:rFonts w:hint="eastAsia" w:ascii="宋体" w:cs="宋体"/>
                <w:sz w:val="22"/>
              </w:rPr>
              <w:t>3、本项目政府采购合同按规定在浙江政府采购网予以公告。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34</w:t>
            </w:r>
          </w:p>
        </w:tc>
        <w:tc>
          <w:tcPr>
            <w:tcW w:w="1814" w:type="dxa"/>
            <w:vAlign w:val="center"/>
          </w:tcPr>
          <w:p>
            <w:pPr>
              <w:spacing w:line="300" w:lineRule="exact"/>
              <w:jc w:val="center"/>
              <w:rPr>
                <w:rFonts w:ascii="宋体" w:cs="宋体"/>
                <w:sz w:val="22"/>
              </w:rPr>
            </w:pPr>
            <w:r>
              <w:rPr>
                <w:rFonts w:hint="eastAsia" w:ascii="宋体" w:cs="宋体"/>
                <w:sz w:val="22"/>
              </w:rPr>
              <w:t>合同履约管理</w:t>
            </w:r>
          </w:p>
        </w:tc>
        <w:tc>
          <w:tcPr>
            <w:tcW w:w="7776" w:type="dxa"/>
            <w:vAlign w:val="center"/>
          </w:tcPr>
          <w:p>
            <w:pPr>
              <w:spacing w:line="300" w:lineRule="exact"/>
              <w:rPr>
                <w:rFonts w:ascii="宋体" w:cs="宋体"/>
                <w:sz w:val="22"/>
              </w:rPr>
            </w:pPr>
            <w:r>
              <w:rPr>
                <w:rFonts w:hint="eastAsia" w:ascii="宋体" w:cs="宋体"/>
                <w:sz w:val="22"/>
              </w:rPr>
              <w:t>合同签订后，采购人依法加强对合同履约进行管理，并在中标单位服务、项目验收等重要关节，如实填写《合同验收报告》，并及时向同级财政部门报告验收过程中遇到的问题。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638"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35</w:t>
            </w:r>
          </w:p>
        </w:tc>
        <w:tc>
          <w:tcPr>
            <w:tcW w:w="1814" w:type="dxa"/>
            <w:vAlign w:val="center"/>
          </w:tcPr>
          <w:p>
            <w:pPr>
              <w:spacing w:line="300" w:lineRule="exact"/>
              <w:jc w:val="center"/>
              <w:rPr>
                <w:rFonts w:ascii="宋体" w:cs="宋体"/>
                <w:sz w:val="22"/>
              </w:rPr>
            </w:pPr>
            <w:r>
              <w:rPr>
                <w:rFonts w:hint="eastAsia" w:ascii="宋体" w:cs="宋体"/>
                <w:sz w:val="22"/>
              </w:rPr>
              <w:t>免责声明</w:t>
            </w:r>
          </w:p>
        </w:tc>
        <w:tc>
          <w:tcPr>
            <w:tcW w:w="7776" w:type="dxa"/>
            <w:vAlign w:val="center"/>
          </w:tcPr>
          <w:p>
            <w:pPr>
              <w:spacing w:line="300" w:lineRule="exact"/>
              <w:rPr>
                <w:rFonts w:ascii="宋体" w:cs="宋体"/>
                <w:sz w:val="22"/>
              </w:rPr>
            </w:pPr>
            <w:r>
              <w:rPr>
                <w:rFonts w:hint="eastAsia" w:ascii="宋体" w:cs="宋体"/>
                <w:sz w:val="22"/>
              </w:rPr>
              <w:t>1、投标供应商自行承担投标过程中产生的费用。无论何种因素导致采购项目延期开标、废标（流标）、投标供应商未中标、项目终止采购的，采购人与采购机构均不承担供应商投标费用。</w:t>
            </w:r>
          </w:p>
          <w:p>
            <w:pPr>
              <w:spacing w:line="300" w:lineRule="exact"/>
              <w:rPr>
                <w:rFonts w:ascii="宋体" w:cs="宋体"/>
                <w:sz w:val="22"/>
              </w:rPr>
            </w:pPr>
            <w:r>
              <w:rPr>
                <w:rFonts w:hint="eastAsia" w:ascii="宋体" w:cs="宋体"/>
                <w:sz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58"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36</w:t>
            </w:r>
          </w:p>
        </w:tc>
        <w:tc>
          <w:tcPr>
            <w:tcW w:w="1814" w:type="dxa"/>
            <w:vAlign w:val="center"/>
          </w:tcPr>
          <w:p>
            <w:pPr>
              <w:spacing w:line="300" w:lineRule="exact"/>
              <w:jc w:val="center"/>
              <w:rPr>
                <w:rFonts w:ascii="宋体" w:cs="宋体"/>
                <w:sz w:val="22"/>
              </w:rPr>
            </w:pPr>
            <w:r>
              <w:rPr>
                <w:rFonts w:hint="eastAsia" w:ascii="宋体" w:cs="宋体"/>
                <w:sz w:val="22"/>
              </w:rPr>
              <w:t>招标文件质疑截止时间</w:t>
            </w:r>
          </w:p>
        </w:tc>
        <w:tc>
          <w:tcPr>
            <w:tcW w:w="7776" w:type="dxa"/>
            <w:vAlign w:val="center"/>
          </w:tcPr>
          <w:p>
            <w:pPr>
              <w:spacing w:line="300" w:lineRule="exact"/>
              <w:rPr>
                <w:rFonts w:ascii="宋体" w:cs="宋体"/>
                <w:sz w:val="22"/>
              </w:rPr>
            </w:pPr>
            <w:r>
              <w:rPr>
                <w:rFonts w:hint="eastAsia" w:ascii="宋体"/>
                <w:sz w:val="22"/>
              </w:rPr>
              <w:t>招标公告期限届满之日七个工作日</w:t>
            </w:r>
            <w:r>
              <w:rPr>
                <w:rFonts w:ascii="宋体"/>
                <w:sz w:val="22"/>
              </w:rPr>
              <w:t>，逾期不予受理及答复。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37</w:t>
            </w:r>
          </w:p>
        </w:tc>
        <w:tc>
          <w:tcPr>
            <w:tcW w:w="1814" w:type="dxa"/>
            <w:vAlign w:val="center"/>
          </w:tcPr>
          <w:p>
            <w:pPr>
              <w:spacing w:line="300" w:lineRule="exact"/>
              <w:jc w:val="center"/>
              <w:rPr>
                <w:rFonts w:ascii="宋体" w:cs="宋体"/>
                <w:sz w:val="22"/>
              </w:rPr>
            </w:pPr>
            <w:r>
              <w:rPr>
                <w:rFonts w:hint="eastAsia" w:ascii="宋体" w:cs="宋体"/>
                <w:sz w:val="22"/>
              </w:rPr>
              <w:t>解释权</w:t>
            </w:r>
          </w:p>
        </w:tc>
        <w:tc>
          <w:tcPr>
            <w:tcW w:w="7776" w:type="dxa"/>
            <w:vAlign w:val="center"/>
          </w:tcPr>
          <w:p>
            <w:pPr>
              <w:spacing w:line="300" w:lineRule="exact"/>
              <w:rPr>
                <w:rFonts w:ascii="宋体" w:cs="宋体"/>
                <w:sz w:val="22"/>
              </w:rPr>
            </w:pPr>
            <w:r>
              <w:rPr>
                <w:rFonts w:hint="eastAsia" w:asci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38</w:t>
            </w:r>
          </w:p>
        </w:tc>
        <w:tc>
          <w:tcPr>
            <w:tcW w:w="1814" w:type="dxa"/>
            <w:vAlign w:val="center"/>
          </w:tcPr>
          <w:p>
            <w:pPr>
              <w:spacing w:line="300" w:lineRule="exact"/>
              <w:jc w:val="center"/>
              <w:rPr>
                <w:rFonts w:ascii="宋体" w:cs="Courier New"/>
                <w:sz w:val="22"/>
              </w:rPr>
            </w:pPr>
            <w:r>
              <w:rPr>
                <w:rFonts w:hint="eastAsia" w:ascii="宋体"/>
                <w:sz w:val="22"/>
              </w:rPr>
              <w:t>注意事项</w:t>
            </w:r>
          </w:p>
        </w:tc>
        <w:tc>
          <w:tcPr>
            <w:tcW w:w="7776" w:type="dxa"/>
            <w:vAlign w:val="center"/>
          </w:tcPr>
          <w:p>
            <w:pPr>
              <w:spacing w:line="300" w:lineRule="exact"/>
              <w:rPr>
                <w:rFonts w:ascii="宋体" w:cs="Courier New"/>
                <w:sz w:val="22"/>
              </w:rPr>
            </w:pPr>
            <w:r>
              <w:rPr>
                <w:rFonts w:hint="eastAsia" w:ascii="宋体" w:cs="Courier New"/>
                <w:sz w:val="22"/>
              </w:rPr>
              <w:t>1.请务必确保投标文件制作客户端为最新版本，旧版本可能导致投标文件解密失败。</w:t>
            </w:r>
          </w:p>
          <w:p>
            <w:pPr>
              <w:spacing w:line="300" w:lineRule="exact"/>
              <w:rPr>
                <w:rFonts w:ascii="宋体"/>
                <w:sz w:val="22"/>
              </w:rPr>
            </w:pPr>
            <w:r>
              <w:rPr>
                <w:rFonts w:hint="eastAsia" w:ascii="宋体" w:cs="Courier New"/>
                <w:sz w:val="22"/>
              </w:rPr>
              <w:t>2.请务必确保投标文件制作时所用的 CA 锁与投标文件解密时的 CA 锁为同一把，否则可能导致投标文件解密失败。</w:t>
            </w:r>
          </w:p>
        </w:tc>
      </w:tr>
    </w:tbl>
    <w:p>
      <w:pPr>
        <w:pStyle w:val="2"/>
        <w:ind w:firstLine="600"/>
        <w:rPr>
          <w:rFonts w:ascii="仿宋" w:hAnsi="仿宋" w:eastAsia="仿宋_GB2312"/>
          <w:color w:val="000000"/>
          <w:sz w:val="30"/>
          <w:szCs w:val="30"/>
        </w:rPr>
        <w:sectPr>
          <w:pgSz w:w="11906" w:h="16838"/>
          <w:pgMar w:top="1440" w:right="1800" w:bottom="1440" w:left="1800" w:header="851" w:footer="992" w:gutter="0"/>
          <w:cols w:space="425" w:num="1"/>
          <w:docGrid w:type="lines" w:linePitch="312" w:charSpace="0"/>
        </w:sectPr>
      </w:pPr>
    </w:p>
    <w:p>
      <w:pPr>
        <w:snapToGrid w:val="0"/>
        <w:spacing w:line="460" w:lineRule="atLeast"/>
        <w:ind w:firstLine="442" w:firstLineChars="200"/>
        <w:rPr>
          <w:rFonts w:ascii="宋体"/>
          <w:b/>
          <w:bCs/>
          <w:sz w:val="22"/>
        </w:rPr>
      </w:pPr>
      <w:r>
        <w:rPr>
          <w:rFonts w:hint="eastAsia" w:ascii="宋体"/>
          <w:b/>
          <w:bCs/>
          <w:sz w:val="22"/>
        </w:rPr>
        <w:t>一、说明</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1、本次采购工作是按照《中华人民共和国政府采购法》及相关法律规章组织和实施。</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2、</w:t>
      </w:r>
      <w:r>
        <w:rPr>
          <w:rFonts w:hint="eastAsia" w:ascii="宋体"/>
          <w:bCs/>
          <w:sz w:val="22"/>
        </w:rPr>
        <w:t>投标供应商必须针对本项目全部内容进行投标，否则按无效投标处理。</w:t>
      </w:r>
    </w:p>
    <w:p>
      <w:pPr>
        <w:autoSpaceDE w:val="0"/>
        <w:autoSpaceDN w:val="0"/>
        <w:adjustRightInd w:val="0"/>
        <w:snapToGrid w:val="0"/>
        <w:spacing w:line="460" w:lineRule="atLeast"/>
        <w:ind w:firstLine="420" w:firstLineChars="191"/>
        <w:textAlignment w:val="bottom"/>
        <w:rPr>
          <w:rFonts w:ascii="宋体"/>
          <w:sz w:val="22"/>
          <w:u w:val="single"/>
        </w:rPr>
      </w:pPr>
      <w:r>
        <w:rPr>
          <w:rFonts w:hint="eastAsia" w:ascii="宋体"/>
          <w:sz w:val="22"/>
        </w:rPr>
        <w:t>3、无论投标过程中的作法和结果如何，投标供应商自行承担投标活动中所发生的全部费用。</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lang w:val="zh-CN"/>
        </w:rPr>
        <w:t>4、</w:t>
      </w:r>
      <w:r>
        <w:rPr>
          <w:rFonts w:hint="eastAsia" w:ascii="宋体"/>
          <w:sz w:val="22"/>
        </w:rPr>
        <w:t>本次采购如果某个（些）投标供应商投标报价超出采购预算的，则拒绝接受其投标报价，按无效标处理。</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5、投标供应商须自行勘察现场，确认采购人的实际需求，取得准确的报价依据。投标供应商中标后不得以各种理由提出增价要求，否则做投标违约处理，采购人有权终止合同。</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6、投标供应商针对本项目的要求，提供管理制度、工作流程，各岗位人员安排计划表及岗位职责，签订合同时须向采购人提供细化的工作流程，工作人员名单、身份证复印件。如需调换名单中相关人员，须经采购人同意方能调换；实际工作过程中，采购人认为某个区域内有工作人员不能胜任的，中标供应商须无条件调换人员。</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7、本次采购，在服务期内如因政策性因素调整导致相关人员的工资、社保、节假日补贴、加班补贴、高温补贴出现变化的，该部分费用由中标供应商自行承担，采购人不予以调整。各投标供应商在报价时须综合考虑风险。在服务期内，中标供应商未按相关法律、法规缴纳社保而引起的纠纷投诉，由中标供应商自行承担相关后果，采购人概不负责。在服务期内，</w:t>
      </w:r>
      <w:r>
        <w:rPr>
          <w:rFonts w:ascii="宋体"/>
          <w:sz w:val="22"/>
        </w:rPr>
        <w:t>中标供应商的工作人员出现意外事故导致人员伤亡的情况，均由中标供应商自负责任</w:t>
      </w:r>
      <w:r>
        <w:rPr>
          <w:rFonts w:hint="eastAsia" w:ascii="宋体"/>
          <w:sz w:val="22"/>
        </w:rPr>
        <w:t>，</w:t>
      </w:r>
      <w:r>
        <w:rPr>
          <w:rFonts w:ascii="宋体"/>
          <w:sz w:val="22"/>
        </w:rPr>
        <w:t>各投标供应商须在报价中考虑风险。</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8、本次采购所涉及的人员食、宿、交通、工作服装均由投标供应商自行解决，相关费用包含在总价中。</w:t>
      </w:r>
    </w:p>
    <w:p>
      <w:pPr>
        <w:pStyle w:val="2"/>
        <w:spacing w:line="360" w:lineRule="auto"/>
        <w:ind w:left="0" w:leftChars="0" w:firstLine="0" w:firstLineChars="0"/>
        <w:rPr>
          <w:rFonts w:ascii="宋体"/>
          <w:sz w:val="22"/>
        </w:rPr>
      </w:pPr>
      <w:r>
        <w:rPr>
          <w:rFonts w:hint="eastAsia" w:ascii="宋体"/>
          <w:sz w:val="22"/>
        </w:rPr>
        <w:t xml:space="preserve">   9.★1. 《政府采购货物和服务招标投标管理办法》（财政部令第87号）：第三十一条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
        <w:spacing w:line="360" w:lineRule="auto"/>
        <w:ind w:left="0" w:leftChars="0" w:firstLine="0" w:firstLineChars="0"/>
        <w:rPr>
          <w:rFonts w:ascii="宋体"/>
          <w:sz w:val="22"/>
        </w:rPr>
      </w:pPr>
      <w:r>
        <w:rPr>
          <w:rFonts w:hint="eastAsia" w:ascii="宋体"/>
          <w:sz w:val="22"/>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
        <w:spacing w:line="360" w:lineRule="auto"/>
        <w:ind w:left="0" w:leftChars="0" w:firstLine="0" w:firstLineChars="0"/>
        <w:rPr>
          <w:color w:val="FF0000"/>
        </w:rPr>
      </w:pPr>
      <w:r>
        <w:rPr>
          <w:rFonts w:hint="eastAsia" w:ascii="宋体"/>
          <w:color w:val="FF0000"/>
          <w:sz w:val="22"/>
        </w:rPr>
        <w:t>非单一产品采购项目，采购人应当根据采购项目技术构成、产品价格比重等合理确定核心产品，并在招标文件中载明。多家投标人提供的核心产品品牌相同的，按前两款规定处理。（参数中打▲为核心产品）</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10、</w:t>
      </w:r>
      <w:r>
        <w:rPr>
          <w:rFonts w:ascii="宋体"/>
          <w:sz w:val="22"/>
        </w:rPr>
        <w:t>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40" w:firstLineChars="200"/>
        <w:textAlignment w:val="bottom"/>
        <w:rPr>
          <w:rFonts w:ascii="宋体" w:cs="Verdana"/>
          <w:sz w:val="22"/>
        </w:rPr>
      </w:pPr>
      <w:r>
        <w:rPr>
          <w:rFonts w:hint="eastAsia" w:ascii="宋体" w:cs="Verdana"/>
          <w:sz w:val="22"/>
        </w:rPr>
        <w:t>11、本项目采用在线投标响应方式，执行《浙江省财政厅关于印发浙江省政府采购项目电子交易管理暂行办法的通知》（浙财采监〔</w:t>
      </w:r>
      <w:r>
        <w:rPr>
          <w:rFonts w:ascii="宋体" w:cs="Verdana"/>
          <w:sz w:val="22"/>
        </w:rPr>
        <w:t>2019〕10 号）等相关规定。</w:t>
      </w:r>
    </w:p>
    <w:p>
      <w:pPr>
        <w:pStyle w:val="2"/>
        <w:spacing w:line="360" w:lineRule="auto"/>
        <w:ind w:left="0" w:leftChars="0" w:firstLine="440"/>
      </w:pPr>
      <w:r>
        <w:rPr>
          <w:rFonts w:hint="eastAsia" w:ascii="宋体" w:cs="Verdana"/>
          <w:bCs/>
          <w:sz w:val="22"/>
          <w:szCs w:val="22"/>
        </w:rPr>
        <w:t>12、</w:t>
      </w:r>
      <w:r>
        <w:rPr>
          <w:rFonts w:hint="eastAsia" w:ascii="宋体" w:cs="Verdana"/>
          <w:sz w:val="22"/>
          <w:szCs w:val="22"/>
        </w:rPr>
        <w:t>本项目在线开评标进行时，供应商法定代表人或其授权代表需自行关注平台提示信息，期间如有发出“询标</w:t>
      </w:r>
      <w:r>
        <w:rPr>
          <w:rFonts w:ascii="宋体" w:cs="Verdana"/>
          <w:sz w:val="22"/>
          <w:szCs w:val="22"/>
        </w:rPr>
        <w:t>/澄清函”等相关线上函件时，因供应商自身原因逾期/错过回复时间，由此造成的后果由供应商自行承担</w:t>
      </w:r>
      <w:r>
        <w:rPr>
          <w:rFonts w:ascii="宋体" w:cs="Verdana"/>
          <w:bCs/>
          <w:sz w:val="22"/>
          <w:szCs w:val="22"/>
        </w:rPr>
        <w:t>。</w:t>
      </w:r>
    </w:p>
    <w:p>
      <w:pPr>
        <w:snapToGrid w:val="0"/>
        <w:spacing w:line="460" w:lineRule="atLeast"/>
        <w:ind w:firstLine="442" w:firstLineChars="200"/>
        <w:rPr>
          <w:rFonts w:ascii="宋体"/>
          <w:b/>
          <w:bCs/>
          <w:sz w:val="22"/>
        </w:rPr>
      </w:pPr>
      <w:r>
        <w:rPr>
          <w:rFonts w:hint="eastAsia" w:ascii="宋体"/>
          <w:b/>
          <w:bCs/>
          <w:sz w:val="22"/>
        </w:rPr>
        <w:t>二、招标文件</w:t>
      </w:r>
    </w:p>
    <w:p>
      <w:pPr>
        <w:autoSpaceDE w:val="0"/>
        <w:autoSpaceDN w:val="0"/>
        <w:adjustRightInd w:val="0"/>
        <w:snapToGrid w:val="0"/>
        <w:spacing w:line="460" w:lineRule="atLeast"/>
        <w:ind w:firstLine="426"/>
        <w:rPr>
          <w:rFonts w:ascii="宋体"/>
          <w:sz w:val="22"/>
          <w:lang w:val="zh-CN"/>
        </w:rPr>
      </w:pPr>
      <w:r>
        <w:rPr>
          <w:rFonts w:hint="eastAsia" w:ascii="宋体"/>
          <w:sz w:val="22"/>
          <w:lang w:val="zh-CN"/>
        </w:rPr>
        <w:t>1、招标文件</w:t>
      </w:r>
    </w:p>
    <w:p>
      <w:pPr>
        <w:autoSpaceDE w:val="0"/>
        <w:autoSpaceDN w:val="0"/>
        <w:adjustRightInd w:val="0"/>
        <w:snapToGrid w:val="0"/>
        <w:spacing w:line="440" w:lineRule="exact"/>
        <w:ind w:firstLine="440" w:firstLineChars="200"/>
        <w:rPr>
          <w:rFonts w:ascii="宋体"/>
          <w:sz w:val="22"/>
          <w:lang w:val="zh-CN"/>
        </w:rPr>
      </w:pPr>
      <w:r>
        <w:rPr>
          <w:rFonts w:hint="eastAsia" w:ascii="宋体"/>
          <w:sz w:val="22"/>
          <w:lang w:val="zh-CN"/>
        </w:rPr>
        <w:t>1.1、招标文件获取</w:t>
      </w:r>
    </w:p>
    <w:p>
      <w:pPr>
        <w:autoSpaceDE w:val="0"/>
        <w:autoSpaceDN w:val="0"/>
        <w:adjustRightInd w:val="0"/>
        <w:snapToGrid w:val="0"/>
        <w:spacing w:line="460" w:lineRule="atLeast"/>
        <w:ind w:firstLine="440" w:firstLineChars="200"/>
        <w:rPr>
          <w:rFonts w:ascii="宋体"/>
          <w:sz w:val="22"/>
          <w:lang w:val="zh-CN"/>
        </w:rPr>
      </w:pPr>
      <w:r>
        <w:rPr>
          <w:rFonts w:hint="eastAsia" w:ascii="宋体" w:cs="宋体"/>
          <w:bCs/>
          <w:sz w:val="22"/>
        </w:rPr>
        <w:t>本项目招标文件实行“政府采购云平台”在线获取，不提供招标文件纸质版。</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1.2、招标文件约束力</w:t>
      </w:r>
    </w:p>
    <w:p>
      <w:pPr>
        <w:autoSpaceDE w:val="0"/>
        <w:autoSpaceDN w:val="0"/>
        <w:adjustRightInd w:val="0"/>
        <w:snapToGrid w:val="0"/>
        <w:spacing w:line="460" w:lineRule="atLeast"/>
        <w:ind w:firstLine="431" w:firstLineChars="196"/>
        <w:rPr>
          <w:rFonts w:ascii="宋体"/>
          <w:sz w:val="22"/>
          <w:lang w:val="zh-CN"/>
        </w:rPr>
      </w:pPr>
      <w:r>
        <w:rPr>
          <w:rFonts w:hint="eastAsia" w:ascii="宋体"/>
          <w:sz w:val="22"/>
          <w:lang w:val="zh-CN"/>
        </w:rPr>
        <w:t>投标供应商</w:t>
      </w:r>
      <w:r>
        <w:rPr>
          <w:rFonts w:hint="eastAsia" w:ascii="宋体"/>
          <w:sz w:val="22"/>
        </w:rPr>
        <w:t>参加投标，即被认为接受了本招标文件中所有条款和规定。</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2、招标文件的澄清</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投标供应商对招标文件如有疑点要求澄清，或认为有必要与采购人进行技术交流，可用书面形式通知采购人。</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3、招标文件的修改</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3.1、在投标截止时间前，采购人或采购机构有权修改招标文件，并通知投标供应商。补充文件作为招标文件的补充和组成部分，对所有投标供应商均有约束力。</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3.2、为使投标供应商有足够的时间按招标文件要求修正投标文件，采购人可酌情推迟投标截止时间和开标时间，并将此变更通知投标供应商。</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3.3、</w:t>
      </w:r>
      <w:r>
        <w:rPr>
          <w:rFonts w:hint="eastAsia" w:ascii="宋体" w:cs="仿宋_GB2312"/>
          <w:sz w:val="22"/>
          <w:lang w:val="zh-CN"/>
        </w:rPr>
        <w:t>本项目招标文件如有补充、更正、澄清均见浙江政府采购网。投标供应商须在投标截止前自行查看是否有补充、更正、澄清文件，并按补充、更正、澄清文件要求投标，否则责任自负。</w:t>
      </w:r>
    </w:p>
    <w:p>
      <w:pPr>
        <w:snapToGrid w:val="0"/>
        <w:spacing w:line="460" w:lineRule="atLeast"/>
        <w:ind w:firstLine="442" w:firstLineChars="200"/>
        <w:rPr>
          <w:rFonts w:ascii="宋体"/>
          <w:b/>
          <w:bCs/>
          <w:sz w:val="22"/>
        </w:rPr>
      </w:pPr>
      <w:r>
        <w:rPr>
          <w:rFonts w:hint="eastAsia" w:ascii="宋体"/>
          <w:b/>
          <w:bCs/>
          <w:sz w:val="22"/>
        </w:rPr>
        <w:t>三、投标文件</w:t>
      </w:r>
    </w:p>
    <w:p>
      <w:pPr>
        <w:snapToGrid w:val="0"/>
        <w:spacing w:line="460" w:lineRule="atLeast"/>
        <w:ind w:firstLine="440" w:firstLineChars="200"/>
        <w:rPr>
          <w:rFonts w:ascii="宋体"/>
          <w:sz w:val="22"/>
        </w:rPr>
      </w:pPr>
      <w:r>
        <w:rPr>
          <w:rFonts w:hint="eastAsia" w:ascii="宋体"/>
          <w:sz w:val="22"/>
        </w:rPr>
        <w:t>1、投标文件</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1.1</w:t>
      </w:r>
      <w:r>
        <w:rPr>
          <w:rFonts w:hint="eastAsia" w:ascii="宋体"/>
          <w:sz w:val="22"/>
          <w:lang w:val="zh-CN"/>
        </w:rPr>
        <w:t>、</w:t>
      </w:r>
      <w:r>
        <w:rPr>
          <w:rFonts w:ascii="宋体"/>
          <w:sz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1.2</w:t>
      </w:r>
      <w:r>
        <w:rPr>
          <w:rFonts w:hint="eastAsia" w:ascii="宋体"/>
          <w:sz w:val="22"/>
          <w:lang w:val="zh-CN"/>
        </w:rPr>
        <w:t>、</w:t>
      </w:r>
      <w:r>
        <w:rPr>
          <w:rFonts w:ascii="宋体"/>
          <w:sz w:val="22"/>
          <w:lang w:val="zh-CN"/>
        </w:rPr>
        <w:t>投标供应商提交的投标文件报价均采用人民币报价。</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1.3</w:t>
      </w:r>
      <w:r>
        <w:rPr>
          <w:rFonts w:hint="eastAsia" w:ascii="宋体"/>
          <w:sz w:val="22"/>
          <w:lang w:val="zh-CN"/>
        </w:rPr>
        <w:t>、</w:t>
      </w:r>
      <w:r>
        <w:rPr>
          <w:rFonts w:ascii="宋体"/>
          <w:sz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1.4</w:t>
      </w:r>
      <w:r>
        <w:rPr>
          <w:rFonts w:hint="eastAsia" w:ascii="宋体"/>
          <w:sz w:val="22"/>
          <w:lang w:val="zh-CN"/>
        </w:rPr>
        <w:t>、</w:t>
      </w:r>
      <w:r>
        <w:rPr>
          <w:rFonts w:ascii="宋体"/>
          <w:sz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1.5</w:t>
      </w:r>
      <w:r>
        <w:rPr>
          <w:rFonts w:hint="eastAsia" w:ascii="宋体"/>
          <w:sz w:val="22"/>
          <w:lang w:val="zh-CN"/>
        </w:rPr>
        <w:t>、</w:t>
      </w:r>
      <w:r>
        <w:rPr>
          <w:rFonts w:ascii="宋体"/>
          <w:sz w:val="22"/>
          <w:lang w:val="zh-CN"/>
        </w:rPr>
        <w:t>投标供应商应仔细阅读招标文件中的所有内容，按照招标文件要求，详细编制投标文件，所有文件资料必须是针对本次投标。不按招标文件的要求提供的投标文件可能导致被拒绝。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60" w:lineRule="atLeast"/>
        <w:rPr>
          <w:rFonts w:ascii="宋体"/>
          <w:sz w:val="22"/>
          <w:lang w:val="zh-CN"/>
        </w:rPr>
      </w:pPr>
    </w:p>
    <w:p>
      <w:pPr>
        <w:autoSpaceDE w:val="0"/>
        <w:autoSpaceDN w:val="0"/>
        <w:adjustRightInd w:val="0"/>
        <w:snapToGrid w:val="0"/>
        <w:spacing w:line="460" w:lineRule="atLeast"/>
        <w:ind w:firstLine="442" w:firstLineChars="200"/>
        <w:rPr>
          <w:rFonts w:ascii="宋体"/>
          <w:b/>
          <w:bCs/>
          <w:sz w:val="22"/>
          <w:lang w:val="zh-CN"/>
        </w:rPr>
      </w:pPr>
      <w:r>
        <w:rPr>
          <w:rFonts w:hint="eastAsia" w:ascii="宋体"/>
          <w:b/>
          <w:bCs/>
          <w:sz w:val="22"/>
          <w:lang w:val="zh-CN"/>
        </w:rPr>
        <w:t>2、投标文件的组成</w:t>
      </w:r>
    </w:p>
    <w:p>
      <w:pPr>
        <w:autoSpaceDE w:val="0"/>
        <w:autoSpaceDN w:val="0"/>
        <w:adjustRightInd w:val="0"/>
        <w:snapToGrid w:val="0"/>
        <w:spacing w:line="440" w:lineRule="exact"/>
        <w:ind w:firstLine="440" w:firstLineChars="200"/>
        <w:rPr>
          <w:rFonts w:ascii="宋体"/>
          <w:sz w:val="22"/>
          <w:u w:val="single"/>
        </w:rPr>
      </w:pPr>
      <w:r>
        <w:rPr>
          <w:rFonts w:hint="eastAsia" w:ascii="宋体"/>
          <w:sz w:val="22"/>
          <w:u w:val="single"/>
        </w:rPr>
        <w:t>投标文件由“资格文件”、“报价文件”和“商务技术文件”组成。资格文件、商务技术文件不得含报价，否则投标将被拒绝。</w:t>
      </w:r>
    </w:p>
    <w:p>
      <w:pPr>
        <w:pStyle w:val="2"/>
      </w:pPr>
    </w:p>
    <w:p>
      <w:pPr>
        <w:autoSpaceDE w:val="0"/>
        <w:autoSpaceDN w:val="0"/>
        <w:adjustRightInd w:val="0"/>
        <w:snapToGrid w:val="0"/>
        <w:spacing w:line="460" w:lineRule="atLeast"/>
        <w:ind w:firstLine="442" w:firstLineChars="200"/>
        <w:rPr>
          <w:rFonts w:ascii="宋体" w:hAnsi="宋体"/>
          <w:b/>
          <w:kern w:val="0"/>
          <w:sz w:val="22"/>
        </w:rPr>
      </w:pPr>
      <w:r>
        <w:rPr>
          <w:rFonts w:hint="eastAsia" w:ascii="宋体" w:hAnsi="宋体"/>
          <w:b/>
          <w:kern w:val="0"/>
          <w:sz w:val="22"/>
        </w:rPr>
        <w:t>2.1、资格文件组成</w:t>
      </w:r>
    </w:p>
    <w:tbl>
      <w:tblPr>
        <w:tblStyle w:val="2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Courier New"/>
                <w:kern w:val="0"/>
                <w:sz w:val="22"/>
                <w:szCs w:val="20"/>
                <w:lang w:val="zh-CN"/>
              </w:rPr>
              <w:t>序号</w:t>
            </w:r>
          </w:p>
        </w:tc>
        <w:tc>
          <w:tcPr>
            <w:tcW w:w="8747" w:type="dxa"/>
          </w:tcPr>
          <w:p>
            <w:pPr>
              <w:autoSpaceDE w:val="0"/>
              <w:autoSpaceDN w:val="0"/>
              <w:adjustRightInd w:val="0"/>
              <w:snapToGrid w:val="0"/>
              <w:spacing w:line="430" w:lineRule="atLeast"/>
              <w:rPr>
                <w:rFonts w:ascii="宋体" w:hAnsi="宋体" w:cs="Courier New"/>
                <w:kern w:val="0"/>
                <w:sz w:val="22"/>
                <w:szCs w:val="20"/>
                <w:lang w:val="zh-CN"/>
              </w:rPr>
            </w:pPr>
            <w:r>
              <w:rPr>
                <w:rFonts w:hint="eastAsia" w:ascii="宋体" w:hAnsi="宋体" w:cs="Courier New"/>
                <w:kern w:val="0"/>
                <w:sz w:val="22"/>
                <w:szCs w:val="20"/>
                <w:lang w:val="zh-CN"/>
              </w:rPr>
              <w:t>内容（</w:t>
            </w:r>
            <w:r>
              <w:rPr>
                <w:rFonts w:hint="eastAsia" w:ascii="宋体" w:hAnsi="宋体" w:cs="Courier New"/>
                <w:b/>
                <w:kern w:val="0"/>
                <w:sz w:val="22"/>
                <w:szCs w:val="20"/>
                <w:lang w:val="zh-CN"/>
              </w:rPr>
              <w:t>以下1-9项内容投标供应商必须提供，否则不能通过资格审查的，责任自负。</w:t>
            </w:r>
            <w:r>
              <w:rPr>
                <w:rFonts w:hint="eastAsia" w:ascii="宋体" w:hAnsi="宋体" w:cs="Courier New"/>
                <w:kern w:val="0"/>
                <w:sz w:val="22"/>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Courier New"/>
                <w:kern w:val="0"/>
                <w:sz w:val="22"/>
                <w:szCs w:val="20"/>
                <w:lang w:val="zh-CN"/>
              </w:rPr>
              <w:t>1</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投标供应商的营业执照、税务登记证（如为多证合一仅需提供营业执照，扫描件加盖公章）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Courier New"/>
                <w:kern w:val="0"/>
                <w:sz w:val="22"/>
                <w:szCs w:val="20"/>
                <w:lang w:val="zh-CN"/>
              </w:rPr>
              <w:t>2</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投标供应商近期财务报表（扫描件加盖公章，新成立企业应提供情况说明）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3</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具有履行合同所必需的设备和专业技术能力的承诺函（附件一）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4</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依法缴纳税收和社会保障资金的承诺函（附件二）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5</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参加政府采购活动前</w:t>
            </w:r>
            <w:r>
              <w:rPr>
                <w:rFonts w:ascii="宋体" w:hAnsi="宋体" w:cs="Courier New"/>
                <w:kern w:val="0"/>
                <w:sz w:val="22"/>
                <w:szCs w:val="20"/>
              </w:rPr>
              <w:t>3年内在经营活动中没有重大违法记录的声明函</w:t>
            </w:r>
            <w:r>
              <w:rPr>
                <w:rFonts w:hint="eastAsia" w:ascii="宋体" w:hAnsi="宋体" w:cs="Courier New"/>
                <w:kern w:val="0"/>
                <w:sz w:val="22"/>
                <w:szCs w:val="20"/>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Courier New"/>
                <w:kern w:val="0"/>
                <w:sz w:val="22"/>
                <w:szCs w:val="20"/>
                <w:lang w:val="zh-CN"/>
              </w:rPr>
              <w:t>6</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投标供应商特定资格条件证明：</w:t>
            </w:r>
            <w:r>
              <w:rPr>
                <w:rFonts w:ascii="宋体" w:hAnsi="宋体" w:cs="Courier New"/>
                <w:kern w:val="0"/>
                <w:sz w:val="22"/>
                <w:szCs w:val="20"/>
              </w:rPr>
              <w:t xml:space="preserve"> </w:t>
            </w:r>
            <w:r>
              <w:rPr>
                <w:rFonts w:hint="eastAsia" w:ascii="宋体" w:hAnsi="宋体" w:cs="Courier New"/>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7</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投标供应商“信用中国”(www.creditchina.gov.cn)；“中国政府采购网”（www.ccgp.gov.cn）信用记录查询网页截图（招标公告发布之日至投标截止时间前）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8</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投标供应商参与政府采购活动投标资格声明函（附件四）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9</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与参加本次项目同一合同项下政府采购活动的其他供应商不存在单位负责人为同一人或者直接控股、管理关系的承诺函（附件五）</w:t>
            </w:r>
          </w:p>
        </w:tc>
      </w:tr>
    </w:tbl>
    <w:p>
      <w:pPr>
        <w:autoSpaceDE w:val="0"/>
        <w:autoSpaceDN w:val="0"/>
        <w:adjustRightInd w:val="0"/>
        <w:snapToGrid w:val="0"/>
        <w:spacing w:line="460" w:lineRule="atLeast"/>
        <w:ind w:firstLine="440" w:firstLineChars="200"/>
        <w:rPr>
          <w:rFonts w:ascii="宋体" w:hAnsi="宋体"/>
          <w:kern w:val="0"/>
          <w:sz w:val="22"/>
          <w:lang w:val="zh-CN"/>
        </w:rPr>
      </w:pPr>
      <w:r>
        <w:rPr>
          <w:rFonts w:hint="eastAsia" w:ascii="宋体" w:hAnsi="宋体"/>
          <w:kern w:val="0"/>
          <w:sz w:val="22"/>
          <w:lang w:val="zh-CN"/>
        </w:rPr>
        <w:t>2.2、</w:t>
      </w:r>
      <w:r>
        <w:rPr>
          <w:rFonts w:hint="eastAsia" w:ascii="宋体" w:hAnsi="宋体"/>
          <w:b/>
          <w:kern w:val="0"/>
          <w:sz w:val="22"/>
        </w:rPr>
        <w:t>报价文件</w:t>
      </w:r>
      <w:r>
        <w:rPr>
          <w:rFonts w:hint="eastAsia" w:ascii="宋体" w:hAnsi="宋体"/>
          <w:b/>
          <w:kern w:val="0"/>
          <w:sz w:val="22"/>
          <w:lang w:val="zh-CN"/>
        </w:rPr>
        <w:t>组成</w:t>
      </w:r>
    </w:p>
    <w:tbl>
      <w:tblPr>
        <w:tblStyle w:val="2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序号</w:t>
            </w:r>
          </w:p>
        </w:tc>
        <w:tc>
          <w:tcPr>
            <w:tcW w:w="8811" w:type="dxa"/>
            <w:shd w:val="clear" w:color="auto" w:fill="auto"/>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cs="宋体"/>
                <w:kern w:val="0"/>
                <w:sz w:val="22"/>
                <w:szCs w:val="20"/>
                <w:lang w:val="zh-CN"/>
              </w:rPr>
              <w:t>内容（</w:t>
            </w:r>
            <w:r>
              <w:rPr>
                <w:rFonts w:hint="eastAsia" w:ascii="宋体" w:hAnsi="宋体" w:cs="宋体"/>
                <w:b/>
                <w:kern w:val="0"/>
                <w:sz w:val="22"/>
                <w:szCs w:val="20"/>
                <w:lang w:val="zh-CN"/>
              </w:rPr>
              <w:t>序号2-3项投标供应商必须提供，否则不能通过符合性审查的，责任自负。</w:t>
            </w:r>
            <w:r>
              <w:rPr>
                <w:rFonts w:hint="eastAsia" w:ascii="宋体" w:hAnsi="宋体" w:cs="宋体"/>
                <w:kern w:val="0"/>
                <w:sz w:val="22"/>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1</w:t>
            </w:r>
          </w:p>
        </w:tc>
        <w:tc>
          <w:tcPr>
            <w:tcW w:w="8811" w:type="dxa"/>
            <w:shd w:val="clear" w:color="auto" w:fill="auto"/>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kern w:val="0"/>
                <w:sz w:val="22"/>
              </w:rPr>
              <w:t>报价文件封面（格式自拟）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2</w:t>
            </w:r>
          </w:p>
        </w:tc>
        <w:tc>
          <w:tcPr>
            <w:tcW w:w="8811" w:type="dxa"/>
            <w:shd w:val="clear" w:color="auto" w:fill="auto"/>
          </w:tcPr>
          <w:p>
            <w:pPr>
              <w:autoSpaceDE w:val="0"/>
              <w:autoSpaceDN w:val="0"/>
              <w:adjustRightInd w:val="0"/>
              <w:spacing w:line="430" w:lineRule="atLeast"/>
              <w:textAlignment w:val="bottom"/>
              <w:rPr>
                <w:rFonts w:ascii="宋体" w:hAnsi="宋体" w:cs="宋体"/>
                <w:kern w:val="0"/>
                <w:sz w:val="22"/>
                <w:szCs w:val="20"/>
              </w:rPr>
            </w:pPr>
            <w:r>
              <w:rPr>
                <w:rFonts w:hint="eastAsia" w:ascii="宋体" w:hAnsi="宋体" w:cs="宋体"/>
                <w:kern w:val="0"/>
                <w:sz w:val="22"/>
                <w:szCs w:val="20"/>
              </w:rPr>
              <w:t>开标一览表（附件六）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3</w:t>
            </w:r>
          </w:p>
        </w:tc>
        <w:tc>
          <w:tcPr>
            <w:tcW w:w="8811" w:type="dxa"/>
            <w:shd w:val="clear" w:color="auto" w:fill="auto"/>
          </w:tcPr>
          <w:p>
            <w:pPr>
              <w:autoSpaceDE w:val="0"/>
              <w:autoSpaceDN w:val="0"/>
              <w:adjustRightInd w:val="0"/>
              <w:spacing w:line="430" w:lineRule="atLeast"/>
              <w:textAlignment w:val="bottom"/>
              <w:rPr>
                <w:rFonts w:ascii="宋体" w:hAnsi="宋体" w:cs="宋体"/>
                <w:kern w:val="0"/>
                <w:sz w:val="22"/>
                <w:szCs w:val="20"/>
                <w:lang w:val="zh-CN"/>
              </w:rPr>
            </w:pPr>
            <w:r>
              <w:rPr>
                <w:rFonts w:hint="eastAsia" w:ascii="宋体" w:hAnsi="宋体" w:cs="宋体"/>
                <w:kern w:val="0"/>
                <w:sz w:val="22"/>
                <w:szCs w:val="20"/>
              </w:rPr>
              <w:t>投标分项报价表（附件七）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4</w:t>
            </w:r>
          </w:p>
        </w:tc>
        <w:tc>
          <w:tcPr>
            <w:tcW w:w="8811" w:type="dxa"/>
            <w:shd w:val="clear" w:color="auto" w:fill="auto"/>
          </w:tcPr>
          <w:p>
            <w:pPr>
              <w:autoSpaceDE w:val="0"/>
              <w:autoSpaceDN w:val="0"/>
              <w:adjustRightInd w:val="0"/>
              <w:spacing w:line="430" w:lineRule="atLeast"/>
              <w:textAlignment w:val="bottom"/>
              <w:rPr>
                <w:rFonts w:ascii="宋体" w:hAnsi="宋体" w:cs="宋体"/>
                <w:kern w:val="0"/>
                <w:sz w:val="22"/>
                <w:szCs w:val="20"/>
              </w:rPr>
            </w:pPr>
            <w:r>
              <w:rPr>
                <w:rFonts w:hint="eastAsia" w:ascii="宋体" w:hAnsi="宋体" w:cs="宋体"/>
                <w:kern w:val="0"/>
                <w:sz w:val="22"/>
                <w:szCs w:val="20"/>
              </w:rPr>
              <w:t>其他须说明的资料（如有则提供）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rPr>
            </w:pPr>
            <w:r>
              <w:rPr>
                <w:rFonts w:hint="eastAsia" w:ascii="宋体" w:hAnsi="宋体" w:cs="宋体"/>
                <w:kern w:val="0"/>
                <w:sz w:val="22"/>
                <w:szCs w:val="20"/>
              </w:rPr>
              <w:t>5</w:t>
            </w:r>
          </w:p>
        </w:tc>
        <w:tc>
          <w:tcPr>
            <w:tcW w:w="8811" w:type="dxa"/>
            <w:shd w:val="clear" w:color="auto" w:fill="auto"/>
          </w:tcPr>
          <w:p>
            <w:pPr>
              <w:snapToGrid w:val="0"/>
              <w:spacing w:line="460" w:lineRule="atLeast"/>
              <w:rPr>
                <w:rFonts w:ascii="宋体" w:hAnsi="宋体"/>
                <w:b/>
                <w:kern w:val="0"/>
                <w:sz w:val="22"/>
              </w:rPr>
            </w:pPr>
            <w:r>
              <w:rPr>
                <w:rFonts w:hint="eastAsia" w:ascii="宋体" w:hAnsi="宋体"/>
                <w:b/>
                <w:kern w:val="0"/>
                <w:sz w:val="22"/>
              </w:rPr>
              <w:t>1、享受小微企业价格折扣应提供以下证明材料（放在报价文件中，缺一不可）：</w:t>
            </w:r>
          </w:p>
          <w:p>
            <w:pPr>
              <w:snapToGrid w:val="0"/>
              <w:spacing w:line="460" w:lineRule="atLeast"/>
              <w:rPr>
                <w:rFonts w:ascii="宋体" w:hAnsi="宋体"/>
                <w:b/>
                <w:kern w:val="0"/>
                <w:sz w:val="22"/>
              </w:rPr>
            </w:pPr>
            <w:r>
              <w:rPr>
                <w:rFonts w:hint="eastAsia" w:ascii="宋体" w:hAnsi="宋体"/>
                <w:b/>
                <w:kern w:val="0"/>
                <w:sz w:val="22"/>
              </w:rPr>
              <w:t>（</w:t>
            </w:r>
            <w:r>
              <w:rPr>
                <w:rFonts w:ascii="宋体" w:hAnsi="宋体"/>
                <w:b/>
                <w:kern w:val="0"/>
                <w:sz w:val="22"/>
              </w:rPr>
              <w:t>1）</w:t>
            </w:r>
            <w:r>
              <w:rPr>
                <w:rFonts w:hint="eastAsia" w:ascii="宋体" w:hAnsi="宋体"/>
                <w:b/>
                <w:kern w:val="0"/>
                <w:sz w:val="22"/>
              </w:rPr>
              <w:t>提供小微企业名录库（http://xwqy.gsxt.gov.cn/mirco/micro_lib）网页截图或附供应商经相关部门盖章认定为小微、微型企业的证明文件（小企业资格确认意见书）且有效期内。；</w:t>
            </w:r>
          </w:p>
          <w:p>
            <w:pPr>
              <w:snapToGrid w:val="0"/>
              <w:spacing w:line="460" w:lineRule="atLeast"/>
              <w:rPr>
                <w:rFonts w:ascii="宋体" w:hAnsi="宋体"/>
                <w:b/>
                <w:kern w:val="0"/>
                <w:sz w:val="22"/>
              </w:rPr>
            </w:pPr>
            <w:r>
              <w:rPr>
                <w:rFonts w:hint="eastAsia" w:ascii="宋体" w:hAnsi="宋体"/>
                <w:b/>
                <w:kern w:val="0"/>
                <w:sz w:val="22"/>
              </w:rPr>
              <w:t>（</w:t>
            </w:r>
            <w:r>
              <w:rPr>
                <w:rFonts w:ascii="宋体" w:hAnsi="宋体"/>
                <w:b/>
                <w:kern w:val="0"/>
                <w:sz w:val="22"/>
              </w:rPr>
              <w:t>2）《中小企业声明函》（加盖投标供应商公章，</w:t>
            </w:r>
            <w:r>
              <w:rPr>
                <w:rFonts w:hint="eastAsia" w:ascii="宋体" w:hAnsi="宋体"/>
                <w:b/>
                <w:kern w:val="0"/>
                <w:sz w:val="22"/>
              </w:rPr>
              <w:t>格式见招标文件第四部分</w:t>
            </w:r>
            <w:r>
              <w:rPr>
                <w:rFonts w:ascii="宋体" w:hAnsi="宋体"/>
                <w:b/>
                <w:kern w:val="0"/>
                <w:sz w:val="22"/>
              </w:rPr>
              <w:t>附件1）</w:t>
            </w:r>
            <w:r>
              <w:rPr>
                <w:rFonts w:hint="eastAsia" w:ascii="宋体" w:hAnsi="宋体"/>
                <w:b/>
                <w:kern w:val="0"/>
                <w:sz w:val="22"/>
              </w:rPr>
              <w:t>。</w:t>
            </w:r>
          </w:p>
          <w:p>
            <w:pPr>
              <w:snapToGrid w:val="0"/>
              <w:spacing w:line="460" w:lineRule="atLeast"/>
              <w:rPr>
                <w:rFonts w:hAnsi="宋体"/>
                <w:b/>
                <w:color w:val="FF0000"/>
                <w:sz w:val="24"/>
              </w:rPr>
            </w:pPr>
            <w:r>
              <w:rPr>
                <w:rFonts w:hint="eastAsia" w:ascii="宋体"/>
                <w:b/>
                <w:color w:val="FF0000"/>
                <w:sz w:val="22"/>
              </w:rPr>
              <w:t>（3）投标人提供非本企业制造的货物、承担的工程或者服务的必须提供《</w:t>
            </w:r>
            <w:r>
              <w:rPr>
                <w:rFonts w:hint="eastAsia" w:ascii="宋体"/>
                <w:b/>
                <w:color w:val="FF0000"/>
                <w:sz w:val="22"/>
                <w:szCs w:val="20"/>
              </w:rPr>
              <w:t>小型和微型企业（或残疾人福利性单位、监狱企业）产品说明</w:t>
            </w:r>
            <w:r>
              <w:rPr>
                <w:rFonts w:hint="eastAsia" w:ascii="宋体"/>
                <w:b/>
                <w:color w:val="FF0000"/>
                <w:sz w:val="22"/>
              </w:rPr>
              <w:t>》，详见</w:t>
            </w:r>
            <w:r>
              <w:rPr>
                <w:rFonts w:hint="eastAsia" w:ascii="宋体" w:hAnsi="宋体"/>
                <w:b/>
                <w:color w:val="FF0000"/>
                <w:kern w:val="0"/>
                <w:sz w:val="22"/>
              </w:rPr>
              <w:t>第四部分</w:t>
            </w:r>
            <w:r>
              <w:rPr>
                <w:rFonts w:ascii="宋体" w:hAnsi="宋体"/>
                <w:b/>
                <w:color w:val="FF0000"/>
                <w:kern w:val="0"/>
                <w:sz w:val="22"/>
              </w:rPr>
              <w:t>附件</w:t>
            </w:r>
            <w:r>
              <w:rPr>
                <w:rFonts w:hint="eastAsia" w:ascii="宋体"/>
                <w:b/>
                <w:color w:val="FF0000"/>
                <w:sz w:val="22"/>
              </w:rPr>
              <w:t>3，</w:t>
            </w:r>
            <w:r>
              <w:rPr>
                <w:rFonts w:hint="eastAsia" w:hAnsi="宋体"/>
                <w:b/>
                <w:color w:val="FF0000"/>
                <w:sz w:val="24"/>
              </w:rPr>
              <w:t>否则</w:t>
            </w:r>
            <w:r>
              <w:rPr>
                <w:rFonts w:ascii="宋体"/>
                <w:b/>
                <w:color w:val="FF0000"/>
                <w:sz w:val="22"/>
              </w:rPr>
              <w:t>不享受价格折扣。</w:t>
            </w:r>
            <w:r>
              <w:rPr>
                <w:rFonts w:hint="eastAsia" w:ascii="宋体"/>
                <w:b/>
                <w:color w:val="FF0000"/>
                <w:sz w:val="22"/>
              </w:rPr>
              <w:t>（只对</w:t>
            </w:r>
            <w:r>
              <w:rPr>
                <w:rFonts w:ascii="宋体"/>
                <w:b/>
                <w:color w:val="FF0000"/>
                <w:sz w:val="22"/>
              </w:rPr>
              <w:t>小型、微型企业</w:t>
            </w:r>
            <w:r>
              <w:rPr>
                <w:rFonts w:hint="eastAsia" w:ascii="宋体"/>
                <w:b/>
                <w:color w:val="FF0000"/>
                <w:sz w:val="22"/>
              </w:rPr>
              <w:t>产品</w:t>
            </w:r>
            <w:r>
              <w:rPr>
                <w:rFonts w:ascii="宋体"/>
                <w:b/>
                <w:color w:val="FF0000"/>
                <w:sz w:val="22"/>
              </w:rPr>
              <w:t>享受价格折扣</w:t>
            </w:r>
            <w:r>
              <w:rPr>
                <w:rFonts w:hint="eastAsia" w:ascii="宋体"/>
                <w:b/>
                <w:color w:val="FF0000"/>
                <w:sz w:val="22"/>
              </w:rPr>
              <w:t>。</w:t>
            </w:r>
            <w:r>
              <w:rPr>
                <w:rFonts w:hint="eastAsia" w:hAnsi="宋体"/>
                <w:b/>
                <w:color w:val="FF0000"/>
                <w:sz w:val="24"/>
              </w:rPr>
              <w:t>“产品”包括货物及其提供的服务与工程。）</w:t>
            </w:r>
          </w:p>
          <w:p>
            <w:pPr>
              <w:snapToGrid w:val="0"/>
              <w:spacing w:line="460" w:lineRule="atLeast"/>
              <w:rPr>
                <w:rFonts w:ascii="宋体" w:hAnsi="宋体"/>
                <w:b/>
                <w:kern w:val="0"/>
                <w:sz w:val="22"/>
              </w:rPr>
            </w:pPr>
            <w:r>
              <w:rPr>
                <w:rFonts w:hint="eastAsia" w:ascii="宋体" w:hAnsi="宋体"/>
                <w:b/>
                <w:kern w:val="0"/>
                <w:sz w:val="22"/>
              </w:rPr>
              <w:t>2、</w:t>
            </w:r>
            <w:r>
              <w:rPr>
                <w:rFonts w:ascii="宋体" w:hAnsi="宋体"/>
                <w:b/>
                <w:kern w:val="0"/>
                <w:sz w:val="22"/>
              </w:rPr>
              <w:t>享受监狱企业价格折扣应提供以下证明材料（</w:t>
            </w:r>
            <w:r>
              <w:rPr>
                <w:rFonts w:hint="eastAsia" w:ascii="宋体" w:hAnsi="宋体"/>
                <w:b/>
                <w:kern w:val="0"/>
                <w:sz w:val="22"/>
              </w:rPr>
              <w:t>放在报价文件中，</w:t>
            </w:r>
            <w:r>
              <w:rPr>
                <w:rFonts w:ascii="宋体" w:hAnsi="宋体"/>
                <w:b/>
                <w:kern w:val="0"/>
                <w:sz w:val="22"/>
              </w:rPr>
              <w:t>不提供的不享受价格折扣）：</w:t>
            </w:r>
          </w:p>
          <w:p>
            <w:pPr>
              <w:snapToGrid w:val="0"/>
              <w:spacing w:line="460" w:lineRule="atLeast"/>
              <w:rPr>
                <w:rFonts w:ascii="宋体" w:hAnsi="宋体"/>
                <w:b/>
                <w:kern w:val="0"/>
                <w:sz w:val="22"/>
              </w:rPr>
            </w:pPr>
            <w:r>
              <w:rPr>
                <w:rFonts w:hint="eastAsia" w:ascii="宋体" w:hAnsi="宋体"/>
                <w:b/>
                <w:kern w:val="0"/>
                <w:sz w:val="22"/>
              </w:rPr>
              <w:t>（</w:t>
            </w:r>
            <w:r>
              <w:rPr>
                <w:rFonts w:ascii="宋体" w:hAnsi="宋体"/>
                <w:b/>
                <w:kern w:val="0"/>
                <w:sz w:val="22"/>
              </w:rPr>
              <w:t>1）监狱企业参加政府采购活动时，应当提供由省级及以上监狱管理局、戒毒管理局(含新疆生产建设兵团)出具的属于监狱企业的证明文件</w:t>
            </w:r>
            <w:r>
              <w:rPr>
                <w:rFonts w:hint="eastAsia" w:ascii="宋体" w:hAnsi="宋体"/>
                <w:b/>
                <w:kern w:val="0"/>
                <w:sz w:val="22"/>
              </w:rPr>
              <w:t>（</w:t>
            </w:r>
            <w:r>
              <w:rPr>
                <w:rFonts w:ascii="宋体" w:hAnsi="宋体"/>
                <w:b/>
                <w:kern w:val="0"/>
                <w:sz w:val="22"/>
              </w:rPr>
              <w:t>扫描件加盖投标供应商公章）。在政府采购活动中，监狱企业视同小型、微型企业，享受评审中价格扣除政策。</w:t>
            </w:r>
          </w:p>
          <w:p>
            <w:pPr>
              <w:snapToGrid w:val="0"/>
              <w:spacing w:line="460" w:lineRule="atLeast"/>
              <w:rPr>
                <w:rFonts w:ascii="宋体" w:hAnsi="宋体"/>
                <w:b/>
                <w:kern w:val="0"/>
                <w:sz w:val="22"/>
              </w:rPr>
            </w:pPr>
            <w:r>
              <w:rPr>
                <w:rFonts w:hint="eastAsia" w:ascii="宋体" w:hAnsi="宋体"/>
                <w:b/>
                <w:kern w:val="0"/>
                <w:sz w:val="22"/>
              </w:rPr>
              <w:t>3、享受</w:t>
            </w:r>
            <w:r>
              <w:rPr>
                <w:rFonts w:ascii="宋体" w:hAnsi="宋体"/>
                <w:b/>
                <w:kern w:val="0"/>
                <w:sz w:val="22"/>
              </w:rPr>
              <w:t>残疾人福利性单位价格折扣应提供以下证明材料（</w:t>
            </w:r>
            <w:r>
              <w:rPr>
                <w:rFonts w:hint="eastAsia" w:ascii="宋体" w:hAnsi="宋体"/>
                <w:b/>
                <w:kern w:val="0"/>
                <w:sz w:val="22"/>
              </w:rPr>
              <w:t>放在报价文件中</w:t>
            </w:r>
            <w:r>
              <w:rPr>
                <w:rFonts w:ascii="宋体" w:hAnsi="宋体"/>
                <w:b/>
                <w:kern w:val="0"/>
                <w:sz w:val="22"/>
              </w:rPr>
              <w:t>，不提供的不享受价格折扣）：</w:t>
            </w:r>
          </w:p>
          <w:p>
            <w:pPr>
              <w:snapToGrid w:val="0"/>
              <w:spacing w:line="460" w:lineRule="atLeast"/>
              <w:rPr>
                <w:rFonts w:ascii="宋体" w:hAnsi="宋体"/>
                <w:b/>
                <w:kern w:val="0"/>
                <w:sz w:val="22"/>
              </w:rPr>
            </w:pPr>
            <w:r>
              <w:rPr>
                <w:rFonts w:hint="eastAsia" w:ascii="宋体" w:hAnsi="宋体"/>
                <w:b/>
                <w:kern w:val="0"/>
                <w:sz w:val="22"/>
              </w:rPr>
              <w:t>（</w:t>
            </w:r>
            <w:r>
              <w:rPr>
                <w:rFonts w:ascii="宋体" w:hAnsi="宋体"/>
                <w:b/>
                <w:kern w:val="0"/>
                <w:sz w:val="22"/>
              </w:rPr>
              <w:t>1）残疾人福利性单位声明函（加盖投标供应商公章，</w:t>
            </w:r>
            <w:r>
              <w:rPr>
                <w:rFonts w:hint="eastAsia" w:ascii="宋体" w:hAnsi="宋体"/>
                <w:b/>
                <w:kern w:val="0"/>
                <w:sz w:val="22"/>
              </w:rPr>
              <w:t>格式见招标文件第四部分</w:t>
            </w:r>
            <w:r>
              <w:rPr>
                <w:rFonts w:ascii="宋体" w:hAnsi="宋体"/>
                <w:b/>
                <w:kern w:val="0"/>
                <w:sz w:val="22"/>
              </w:rPr>
              <w:t>附件</w:t>
            </w:r>
            <w:r>
              <w:rPr>
                <w:rFonts w:hint="eastAsia" w:ascii="宋体" w:hAnsi="宋体"/>
                <w:b/>
                <w:kern w:val="0"/>
                <w:sz w:val="22"/>
              </w:rPr>
              <w:t>2</w:t>
            </w:r>
            <w:r>
              <w:rPr>
                <w:rFonts w:ascii="宋体" w:hAnsi="宋体"/>
                <w:b/>
                <w:kern w:val="0"/>
                <w:sz w:val="22"/>
              </w:rPr>
              <w:t>）</w:t>
            </w:r>
            <w:r>
              <w:rPr>
                <w:rFonts w:hint="eastAsia" w:ascii="宋体" w:hAnsi="宋体"/>
                <w:b/>
                <w:kern w:val="0"/>
                <w:sz w:val="22"/>
              </w:rPr>
              <w:t>。在政府采购活动中，残疾人福利性单位视同小型、微型企业，享受评审中价格扣除政策。</w:t>
            </w:r>
          </w:p>
        </w:tc>
      </w:tr>
    </w:tbl>
    <w:p>
      <w:pPr>
        <w:autoSpaceDE w:val="0"/>
        <w:autoSpaceDN w:val="0"/>
        <w:adjustRightInd w:val="0"/>
        <w:snapToGrid w:val="0"/>
        <w:spacing w:line="460" w:lineRule="atLeast"/>
        <w:ind w:firstLine="440" w:firstLineChars="200"/>
        <w:textAlignment w:val="bottom"/>
        <w:rPr>
          <w:rFonts w:ascii="宋体" w:hAnsi="宋体"/>
          <w:kern w:val="0"/>
          <w:sz w:val="22"/>
        </w:rPr>
      </w:pPr>
      <w:r>
        <w:rPr>
          <w:rFonts w:hint="eastAsia" w:ascii="宋体" w:hAnsi="宋体"/>
          <w:kern w:val="0"/>
          <w:sz w:val="22"/>
        </w:rPr>
        <w:t>2.3、</w:t>
      </w:r>
      <w:r>
        <w:rPr>
          <w:rFonts w:hint="eastAsia" w:ascii="宋体" w:hAnsi="宋体"/>
          <w:b/>
          <w:kern w:val="0"/>
          <w:sz w:val="22"/>
        </w:rPr>
        <w:t>商务技术文件组成</w:t>
      </w:r>
    </w:p>
    <w:tbl>
      <w:tblPr>
        <w:tblStyle w:val="2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cs="宋体"/>
                <w:kern w:val="0"/>
                <w:sz w:val="22"/>
                <w:szCs w:val="20"/>
                <w:lang w:val="zh-CN"/>
              </w:rPr>
              <w:t>序号</w:t>
            </w:r>
          </w:p>
        </w:tc>
        <w:tc>
          <w:tcPr>
            <w:tcW w:w="8747" w:type="dxa"/>
            <w:shd w:val="clear" w:color="auto" w:fill="auto"/>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cs="宋体"/>
                <w:kern w:val="0"/>
                <w:sz w:val="22"/>
                <w:szCs w:val="20"/>
                <w:lang w:val="zh-CN"/>
              </w:rPr>
              <w:t>内容（</w:t>
            </w:r>
            <w:r>
              <w:rPr>
                <w:rFonts w:hint="eastAsia" w:ascii="宋体" w:hAnsi="宋体" w:cs="宋体"/>
                <w:b/>
                <w:kern w:val="0"/>
                <w:sz w:val="22"/>
                <w:szCs w:val="20"/>
                <w:lang w:val="zh-CN"/>
              </w:rPr>
              <w:t>序号2-</w:t>
            </w:r>
            <w:r>
              <w:rPr>
                <w:rFonts w:hint="eastAsia" w:ascii="宋体" w:hAnsi="宋体" w:cs="宋体"/>
                <w:b/>
                <w:kern w:val="0"/>
                <w:sz w:val="22"/>
                <w:szCs w:val="20"/>
              </w:rPr>
              <w:t>5</w:t>
            </w:r>
            <w:r>
              <w:rPr>
                <w:rFonts w:hint="eastAsia" w:ascii="宋体" w:hAnsi="宋体" w:cs="宋体"/>
                <w:b/>
                <w:kern w:val="0"/>
                <w:sz w:val="22"/>
                <w:szCs w:val="20"/>
                <w:lang w:val="zh-CN"/>
              </w:rPr>
              <w:t>项投标供应商必须提供，否则不能通过符合性审查的，责任自负。</w:t>
            </w:r>
            <w:r>
              <w:rPr>
                <w:rFonts w:hint="eastAsia" w:ascii="宋体" w:hAnsi="宋体" w:cs="宋体"/>
                <w:kern w:val="0"/>
                <w:sz w:val="22"/>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1</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kern w:val="0"/>
                <w:sz w:val="22"/>
              </w:rPr>
              <w:t>商务技术文件封面（格式自拟）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2</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lang w:val="zh-CN"/>
              </w:rPr>
            </w:pPr>
            <w:r>
              <w:rPr>
                <w:rFonts w:hint="eastAsia" w:ascii="宋体" w:hAnsi="宋体" w:cs="宋体"/>
                <w:kern w:val="0"/>
                <w:sz w:val="22"/>
                <w:szCs w:val="20"/>
              </w:rPr>
              <w:t>投标函（附件八）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rPr>
            </w:pPr>
            <w:r>
              <w:rPr>
                <w:rFonts w:hint="eastAsia" w:ascii="宋体" w:hAnsi="宋体" w:cs="宋体"/>
                <w:kern w:val="0"/>
                <w:sz w:val="22"/>
                <w:szCs w:val="20"/>
              </w:rPr>
              <w:t>3</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法定代表人授权书（附件九），法定代表人参与投标的仅需提供法定代表人的身份证扫描件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4</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法定代表人诚信投标承诺书（附件十）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5</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针对本项目人员配置情况（投入本项目人员数量达不到招标文件要求的，按无效投标处理）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6</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偏离表（附件十三）（如不填写，采购人有权视为完全响应招标文件的技术及商务要求）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rPr>
            </w:pPr>
            <w:r>
              <w:rPr>
                <w:rFonts w:hint="eastAsia" w:ascii="宋体" w:hAnsi="宋体" w:cs="宋体"/>
                <w:kern w:val="0"/>
                <w:sz w:val="22"/>
                <w:szCs w:val="20"/>
              </w:rPr>
              <w:t>7</w:t>
            </w:r>
          </w:p>
        </w:tc>
        <w:tc>
          <w:tcPr>
            <w:tcW w:w="8747" w:type="dxa"/>
            <w:shd w:val="clear" w:color="auto" w:fill="auto"/>
          </w:tcPr>
          <w:p>
            <w:pPr>
              <w:autoSpaceDE w:val="0"/>
              <w:autoSpaceDN w:val="0"/>
              <w:adjustRightInd w:val="0"/>
              <w:snapToGrid w:val="0"/>
              <w:spacing w:line="430" w:lineRule="atLeast"/>
              <w:rPr>
                <w:rFonts w:ascii="宋体" w:hAnsi="宋体" w:cs="宋体"/>
                <w:kern w:val="0"/>
                <w:sz w:val="22"/>
                <w:szCs w:val="20"/>
              </w:rPr>
            </w:pPr>
            <w:r>
              <w:rPr>
                <w:rFonts w:hint="eastAsia" w:ascii="宋体" w:hAnsi="宋体" w:cs="宋体"/>
                <w:kern w:val="0"/>
                <w:sz w:val="22"/>
                <w:szCs w:val="20"/>
              </w:rPr>
              <w:t>投标供应商业绩（附件十一）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rPr>
            </w:pPr>
            <w:r>
              <w:rPr>
                <w:rFonts w:hint="eastAsia" w:ascii="宋体" w:hAnsi="宋体" w:cs="宋体"/>
                <w:kern w:val="0"/>
                <w:sz w:val="22"/>
                <w:szCs w:val="20"/>
              </w:rPr>
              <w:t>8</w:t>
            </w:r>
          </w:p>
        </w:tc>
        <w:tc>
          <w:tcPr>
            <w:tcW w:w="8747" w:type="dxa"/>
            <w:shd w:val="clear" w:color="auto" w:fill="auto"/>
          </w:tcPr>
          <w:p>
            <w:pPr>
              <w:autoSpaceDE w:val="0"/>
              <w:autoSpaceDN w:val="0"/>
              <w:adjustRightInd w:val="0"/>
              <w:snapToGrid w:val="0"/>
              <w:spacing w:line="430" w:lineRule="atLeast"/>
              <w:rPr>
                <w:rFonts w:ascii="宋体" w:hAnsi="宋体" w:cs="宋体"/>
                <w:kern w:val="0"/>
                <w:sz w:val="22"/>
                <w:szCs w:val="20"/>
              </w:rPr>
            </w:pPr>
            <w:r>
              <w:rPr>
                <w:rFonts w:hint="eastAsia" w:ascii="宋体" w:hAnsi="宋体"/>
                <w:kern w:val="0"/>
                <w:sz w:val="22"/>
                <w:szCs w:val="20"/>
              </w:rPr>
              <w:t>拟派本项目成员组成表（附件十二）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9</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投入本项目的主要设备表（附件十四）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10</w:t>
            </w:r>
          </w:p>
        </w:tc>
        <w:tc>
          <w:tcPr>
            <w:tcW w:w="8747" w:type="dxa"/>
            <w:shd w:val="clear" w:color="auto" w:fill="auto"/>
          </w:tcPr>
          <w:p>
            <w:pPr>
              <w:autoSpaceDE w:val="0"/>
              <w:autoSpaceDN w:val="0"/>
              <w:adjustRightInd w:val="0"/>
              <w:snapToGrid w:val="0"/>
              <w:spacing w:line="430" w:lineRule="atLeast"/>
              <w:rPr>
                <w:rFonts w:ascii="宋体" w:hAnsi="宋体" w:cs="宋体"/>
                <w:kern w:val="0"/>
                <w:sz w:val="22"/>
                <w:szCs w:val="20"/>
              </w:rPr>
            </w:pPr>
            <w:r>
              <w:rPr>
                <w:rFonts w:hint="eastAsia" w:ascii="宋体" w:hAnsi="宋体" w:cs="宋体"/>
                <w:kern w:val="0"/>
                <w:sz w:val="22"/>
                <w:szCs w:val="20"/>
              </w:rPr>
              <w:t>根据招标文件需要提供的其它文件和资料（如有则提供）</w:t>
            </w:r>
          </w:p>
        </w:tc>
      </w:tr>
    </w:tbl>
    <w:p>
      <w:pPr>
        <w:pStyle w:val="2"/>
        <w:ind w:left="0" w:leftChars="0" w:firstLine="0" w:firstLineChars="0"/>
        <w:rPr>
          <w:rFonts w:asciiTheme="minorEastAsia" w:hAnsiTheme="minorEastAsia" w:eastAsiaTheme="minorEastAsia" w:cstheme="minorEastAsia"/>
          <w:sz w:val="22"/>
          <w:szCs w:val="22"/>
        </w:rPr>
      </w:pPr>
    </w:p>
    <w:p>
      <w:pPr>
        <w:autoSpaceDE w:val="0"/>
        <w:autoSpaceDN w:val="0"/>
        <w:adjustRightInd w:val="0"/>
        <w:snapToGrid w:val="0"/>
        <w:ind w:firstLine="422"/>
        <w:textAlignment w:val="bottom"/>
        <w:rPr>
          <w:rFonts w:ascii="宋体"/>
          <w:sz w:val="22"/>
        </w:rPr>
      </w:pPr>
      <w:r>
        <w:rPr>
          <w:rFonts w:hint="eastAsia" w:ascii="宋体"/>
          <w:b/>
          <w:bCs/>
          <w:sz w:val="22"/>
        </w:rPr>
        <w:t>3、投标报价</w:t>
      </w:r>
    </w:p>
    <w:p>
      <w:pPr>
        <w:autoSpaceDE w:val="0"/>
        <w:autoSpaceDN w:val="0"/>
        <w:adjustRightInd w:val="0"/>
        <w:rPr>
          <w:rFonts w:ascii="宋体"/>
          <w:sz w:val="22"/>
          <w:lang w:val="zh-CN"/>
        </w:rPr>
      </w:pPr>
      <w:r>
        <w:rPr>
          <w:rFonts w:hint="eastAsia" w:ascii="宋体"/>
          <w:sz w:val="22"/>
        </w:rPr>
        <w:t xml:space="preserve">    3.1、投标供应商应按招标文件中《开标一览表》填写投标总价。</w:t>
      </w:r>
    </w:p>
    <w:p>
      <w:pPr>
        <w:autoSpaceDE w:val="0"/>
        <w:autoSpaceDN w:val="0"/>
        <w:adjustRightInd w:val="0"/>
        <w:snapToGrid w:val="0"/>
        <w:ind w:firstLine="440" w:firstLineChars="200"/>
        <w:textAlignment w:val="bottom"/>
        <w:rPr>
          <w:rFonts w:ascii="宋体"/>
          <w:sz w:val="22"/>
        </w:rPr>
      </w:pPr>
      <w:r>
        <w:rPr>
          <w:rFonts w:hint="eastAsia" w:ascii="宋体"/>
          <w:sz w:val="22"/>
        </w:rPr>
        <w:t>3.2、本次招标只允许有一个报价，有选择的报价将不予接受。</w:t>
      </w:r>
    </w:p>
    <w:p>
      <w:pPr>
        <w:autoSpaceDE w:val="0"/>
        <w:autoSpaceDN w:val="0"/>
        <w:adjustRightInd w:val="0"/>
        <w:snapToGrid w:val="0"/>
        <w:ind w:firstLine="440" w:firstLineChars="200"/>
        <w:textAlignment w:val="bottom"/>
        <w:rPr>
          <w:rFonts w:ascii="宋体"/>
          <w:sz w:val="22"/>
        </w:rPr>
      </w:pPr>
      <w:r>
        <w:rPr>
          <w:rFonts w:hint="eastAsia" w:ascii="宋体"/>
          <w:sz w:val="22"/>
        </w:rPr>
        <w:t>3.3、投标供应商应考虑企业自身实力、经验及项目实施过程中的各种因素，自主确定报价。投标供应商应在各自技术和商务占优势的基础上并充分考虑本项目的重要性，提供对采购人最优惠的报价。</w:t>
      </w:r>
    </w:p>
    <w:p>
      <w:pPr>
        <w:autoSpaceDE w:val="0"/>
        <w:autoSpaceDN w:val="0"/>
        <w:adjustRightInd w:val="0"/>
        <w:snapToGrid w:val="0"/>
        <w:ind w:firstLine="440" w:firstLineChars="200"/>
        <w:textAlignment w:val="bottom"/>
        <w:rPr>
          <w:rFonts w:ascii="宋体"/>
          <w:sz w:val="22"/>
        </w:rPr>
      </w:pPr>
      <w:r>
        <w:rPr>
          <w:rFonts w:hint="eastAsia" w:ascii="宋体"/>
          <w:sz w:val="22"/>
        </w:rPr>
        <w:t>投标供应商在投标报价中应充分考虑所有可能发生的费用，否则采购人将视投标总价中已包括所有费用。</w:t>
      </w:r>
    </w:p>
    <w:p>
      <w:pPr>
        <w:autoSpaceDE w:val="0"/>
        <w:autoSpaceDN w:val="0"/>
        <w:adjustRightInd w:val="0"/>
        <w:snapToGrid w:val="0"/>
        <w:ind w:firstLine="550" w:firstLineChars="250"/>
        <w:textAlignment w:val="bottom"/>
        <w:rPr>
          <w:rFonts w:ascii="宋体"/>
          <w:sz w:val="22"/>
        </w:rPr>
      </w:pPr>
      <w:r>
        <w:rPr>
          <w:rFonts w:hint="eastAsia" w:ascii="宋体"/>
          <w:sz w:val="22"/>
        </w:rPr>
        <w:t>投标供应商对在合同执行中，除上述费用及招标文件规定的由中标供应商负责的工作范围以外需要采购人协调或提供便利的工作应当在投标文件中说明。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ind w:firstLine="422"/>
        <w:textAlignment w:val="bottom"/>
        <w:rPr>
          <w:rFonts w:ascii="宋体"/>
          <w:sz w:val="22"/>
        </w:rPr>
      </w:pPr>
    </w:p>
    <w:p>
      <w:pPr>
        <w:autoSpaceDE w:val="0"/>
        <w:autoSpaceDN w:val="0"/>
        <w:adjustRightInd w:val="0"/>
        <w:snapToGrid w:val="0"/>
        <w:ind w:firstLine="422"/>
        <w:textAlignment w:val="bottom"/>
        <w:rPr>
          <w:rFonts w:ascii="宋体"/>
          <w:sz w:val="22"/>
        </w:rPr>
      </w:pPr>
      <w:r>
        <w:rPr>
          <w:rFonts w:hint="eastAsia" w:ascii="宋体"/>
          <w:sz w:val="22"/>
        </w:rPr>
        <w:t>4、采购人要求分类报价是为了方便评标，但在任何情况下不限制采购人以其认为最合适的条款签订合同的权利。</w:t>
      </w:r>
    </w:p>
    <w:p>
      <w:pPr>
        <w:pStyle w:val="13"/>
        <w:adjustRightInd w:val="0"/>
        <w:snapToGrid w:val="0"/>
        <w:spacing w:before="156" w:after="156" w:line="240" w:lineRule="auto"/>
        <w:ind w:firstLine="442" w:firstLineChars="200"/>
        <w:rPr>
          <w:rFonts w:hAnsi="宋体"/>
          <w:b/>
          <w:bCs/>
          <w:sz w:val="22"/>
          <w:szCs w:val="22"/>
        </w:rPr>
      </w:pPr>
      <w:bookmarkStart w:id="30" w:name="_Toc132122414"/>
      <w:bookmarkStart w:id="31" w:name="_Toc132122117"/>
      <w:r>
        <w:rPr>
          <w:rFonts w:hint="eastAsia" w:hAnsi="宋体"/>
          <w:b/>
          <w:bCs/>
          <w:sz w:val="22"/>
          <w:szCs w:val="22"/>
        </w:rPr>
        <w:t>5、投标文件的有效期</w:t>
      </w:r>
      <w:bookmarkEnd w:id="30"/>
      <w:bookmarkEnd w:id="31"/>
    </w:p>
    <w:p>
      <w:pPr>
        <w:pStyle w:val="13"/>
        <w:adjustRightInd w:val="0"/>
        <w:snapToGrid w:val="0"/>
        <w:spacing w:before="156" w:after="156" w:line="240" w:lineRule="auto"/>
        <w:ind w:firstLine="440" w:firstLineChars="200"/>
        <w:rPr>
          <w:rFonts w:hAnsi="宋体"/>
          <w:sz w:val="22"/>
          <w:szCs w:val="22"/>
        </w:rPr>
      </w:pPr>
      <w:r>
        <w:rPr>
          <w:rFonts w:hint="eastAsia" w:hAnsi="宋体"/>
          <w:sz w:val="22"/>
          <w:szCs w:val="22"/>
        </w:rPr>
        <w:t>5.1、自</w:t>
      </w:r>
      <w:r>
        <w:rPr>
          <w:rFonts w:hint="eastAsia" w:hAnsi="宋体" w:cs="宋体"/>
          <w:sz w:val="22"/>
        </w:rPr>
        <w:t>提交投标文件截止时间起90天</w:t>
      </w:r>
      <w:r>
        <w:rPr>
          <w:rFonts w:hint="eastAsia" w:hAnsi="宋体"/>
          <w:sz w:val="22"/>
          <w:szCs w:val="22"/>
        </w:rPr>
        <w:t>，投标文件应保持有效。有效期短于这个规定期限的投标将被拒绝。</w:t>
      </w:r>
    </w:p>
    <w:p>
      <w:pPr>
        <w:pStyle w:val="13"/>
        <w:adjustRightInd w:val="0"/>
        <w:snapToGrid w:val="0"/>
        <w:spacing w:before="156" w:after="156" w:line="240" w:lineRule="auto"/>
        <w:ind w:firstLine="440" w:firstLineChars="200"/>
        <w:rPr>
          <w:rFonts w:hAnsi="宋体"/>
          <w:sz w:val="22"/>
          <w:szCs w:val="22"/>
        </w:rPr>
      </w:pPr>
      <w:r>
        <w:rPr>
          <w:rFonts w:hint="eastAsia" w:hAnsi="宋体"/>
          <w:sz w:val="22"/>
          <w:szCs w:val="22"/>
        </w:rPr>
        <w:t>5.2、在特殊情况下，采购人可与投标供应商协商延长投标文件的有效期，这种要求和答复均应以书面形式进行。</w:t>
      </w:r>
    </w:p>
    <w:p>
      <w:pPr>
        <w:pStyle w:val="13"/>
        <w:adjustRightInd w:val="0"/>
        <w:snapToGrid w:val="0"/>
        <w:spacing w:before="156" w:after="156" w:line="240" w:lineRule="auto"/>
        <w:ind w:firstLine="440" w:firstLineChars="200"/>
        <w:rPr>
          <w:rFonts w:hAnsi="宋体"/>
          <w:sz w:val="22"/>
          <w:szCs w:val="22"/>
        </w:rPr>
      </w:pPr>
      <w:r>
        <w:rPr>
          <w:rFonts w:hint="eastAsia" w:hAnsi="宋体"/>
          <w:sz w:val="22"/>
          <w:szCs w:val="22"/>
        </w:rPr>
        <w:t>5.3、投标供应商可拒绝接受延期要求，同意延长有效期的投标供应商不能修改投标文件。</w:t>
      </w:r>
    </w:p>
    <w:p>
      <w:pPr>
        <w:pStyle w:val="35"/>
        <w:spacing w:before="0" w:line="460" w:lineRule="exact"/>
        <w:ind w:firstLine="442"/>
        <w:rPr>
          <w:rFonts w:ascii="宋体" w:hAnsi="宋体" w:cs="仿宋_GB2312"/>
          <w:b/>
          <w:bCs/>
          <w:kern w:val="0"/>
          <w:sz w:val="22"/>
        </w:rPr>
      </w:pPr>
      <w:r>
        <w:rPr>
          <w:rFonts w:hint="eastAsia" w:ascii="宋体" w:hAnsi="宋体"/>
          <w:b/>
          <w:bCs/>
          <w:sz w:val="22"/>
        </w:rPr>
        <w:t>6、</w:t>
      </w:r>
      <w:r>
        <w:rPr>
          <w:rFonts w:hint="eastAsia" w:ascii="宋体" w:hAnsi="宋体" w:cs="仿宋_GB2312"/>
          <w:b/>
          <w:bCs/>
          <w:kern w:val="0"/>
          <w:sz w:val="22"/>
          <w:lang w:val="zh-CN"/>
        </w:rPr>
        <w:t>投标文件编制</w:t>
      </w:r>
    </w:p>
    <w:p>
      <w:pPr>
        <w:pStyle w:val="35"/>
        <w:spacing w:before="0" w:line="460" w:lineRule="exact"/>
        <w:ind w:firstLine="440"/>
        <w:rPr>
          <w:rFonts w:ascii="宋体" w:hAnsi="宋体" w:cs="仿宋_GB2312"/>
          <w:kern w:val="0"/>
          <w:sz w:val="22"/>
          <w:lang w:val="zh-CN"/>
        </w:rPr>
      </w:pPr>
      <w:r>
        <w:rPr>
          <w:rFonts w:hint="eastAsia" w:ascii="宋体" w:hAnsi="宋体" w:cs="仿宋_GB2312"/>
          <w:kern w:val="0"/>
          <w:sz w:val="22"/>
        </w:rPr>
        <w:t>6.1、</w:t>
      </w:r>
      <w:r>
        <w:rPr>
          <w:rFonts w:hint="eastAsia" w:ascii="宋体" w:hAnsi="宋体" w:cs="仿宋_GB2312"/>
          <w:kern w:val="0"/>
          <w:sz w:val="22"/>
          <w:lang w:val="zh-CN"/>
        </w:rPr>
        <w:t>本项目通过</w:t>
      </w:r>
      <w:r>
        <w:rPr>
          <w:rFonts w:hint="eastAsia" w:ascii="宋体" w:hAnsi="宋体" w:cs="仿宋_GB2312"/>
          <w:kern w:val="0"/>
          <w:sz w:val="22"/>
        </w:rPr>
        <w:t>“</w:t>
      </w:r>
      <w:r>
        <w:rPr>
          <w:rFonts w:hint="eastAsia" w:ascii="宋体" w:hAnsi="宋体" w:cs="仿宋_GB2312"/>
          <w:kern w:val="0"/>
          <w:sz w:val="22"/>
          <w:lang w:val="zh-CN"/>
        </w:rPr>
        <w:t>政府采购云平台</w:t>
      </w:r>
      <w:r>
        <w:rPr>
          <w:rFonts w:hint="eastAsia" w:ascii="宋体" w:hAnsi="宋体" w:cs="仿宋_GB2312"/>
          <w:kern w:val="0"/>
          <w:sz w:val="22"/>
        </w:rPr>
        <w:t>（www.zcygov.cn）”</w:t>
      </w:r>
      <w:r>
        <w:rPr>
          <w:rFonts w:hint="eastAsia" w:ascii="宋体" w:hAnsi="宋体" w:cs="仿宋_GB2312"/>
          <w:kern w:val="0"/>
          <w:sz w:val="22"/>
          <w:lang w:val="zh-CN"/>
        </w:rPr>
        <w:t>实行在线投标响应</w:t>
      </w:r>
      <w:r>
        <w:rPr>
          <w:rFonts w:hint="eastAsia" w:ascii="宋体" w:hAnsi="宋体" w:cs="仿宋_GB2312"/>
          <w:kern w:val="0"/>
          <w:sz w:val="22"/>
        </w:rPr>
        <w:t>（</w:t>
      </w:r>
      <w:r>
        <w:rPr>
          <w:rFonts w:hint="eastAsia" w:ascii="宋体" w:hAnsi="宋体" w:cs="仿宋_GB2312"/>
          <w:kern w:val="0"/>
          <w:sz w:val="22"/>
          <w:lang w:val="zh-CN"/>
        </w:rPr>
        <w:t>电子投标</w:t>
      </w:r>
      <w:r>
        <w:rPr>
          <w:rFonts w:hint="eastAsia" w:ascii="宋体" w:hAnsi="宋体" w:cs="仿宋_GB2312"/>
          <w:kern w:val="0"/>
          <w:sz w:val="22"/>
        </w:rPr>
        <w:t>）</w:t>
      </w:r>
      <w:r>
        <w:rPr>
          <w:rFonts w:hint="eastAsia" w:ascii="宋体" w:hAnsi="宋体" w:cs="仿宋_GB2312"/>
          <w:kern w:val="0"/>
          <w:sz w:val="22"/>
          <w:lang w:val="zh-CN"/>
        </w:rPr>
        <w:t>。供应商应通过“政采云电子交易客户端”，并按照本招标文件和“政府采购云平台”的要求编制并加密投标文件。</w:t>
      </w:r>
    </w:p>
    <w:p>
      <w:pPr>
        <w:pStyle w:val="35"/>
        <w:spacing w:before="0" w:line="460" w:lineRule="exact"/>
        <w:ind w:firstLine="440"/>
        <w:rPr>
          <w:rFonts w:ascii="宋体" w:hAnsi="宋体" w:cs="仿宋_GB2312"/>
          <w:kern w:val="0"/>
          <w:sz w:val="22"/>
          <w:lang w:val="zh-CN"/>
        </w:rPr>
      </w:pPr>
      <w:r>
        <w:rPr>
          <w:rFonts w:hint="eastAsia" w:ascii="宋体" w:hAnsi="宋体" w:cs="仿宋_GB2312"/>
          <w:kern w:val="0"/>
          <w:sz w:val="22"/>
        </w:rPr>
        <w:t>6</w:t>
      </w:r>
      <w:r>
        <w:rPr>
          <w:rFonts w:hint="eastAsia" w:ascii="宋体" w:hAnsi="宋体" w:cs="仿宋_GB2312"/>
          <w:kern w:val="0"/>
          <w:sz w:val="22"/>
          <w:lang w:val="zh-CN"/>
        </w:rPr>
        <w:t>.2、</w:t>
      </w:r>
      <w:r>
        <w:rPr>
          <w:rFonts w:hint="eastAsia" w:ascii="宋体" w:hAnsi="宋体" w:cs="仿宋_GB2312"/>
          <w:b/>
          <w:bCs/>
          <w:kern w:val="0"/>
          <w:sz w:val="22"/>
          <w:lang w:val="zh-CN"/>
        </w:rPr>
        <w:t>投标人应根据“政采云供应商项目采购-电子招投标操作指南”及本招标文件规定的</w:t>
      </w:r>
      <w:r>
        <w:rPr>
          <w:rFonts w:hint="eastAsia" w:ascii="宋体" w:hAnsi="宋体" w:cs="仿宋_GB2312"/>
          <w:b/>
          <w:bCs/>
          <w:kern w:val="0"/>
          <w:sz w:val="22"/>
        </w:rPr>
        <w:t>内容</w:t>
      </w:r>
      <w:r>
        <w:rPr>
          <w:rFonts w:hint="eastAsia" w:ascii="宋体" w:hAnsi="宋体" w:cs="仿宋_GB2312"/>
          <w:b/>
          <w:bCs/>
          <w:kern w:val="0"/>
          <w:sz w:val="22"/>
          <w:lang w:val="zh-CN"/>
        </w:rPr>
        <w:t>和顺序编制电子投标文件并进行关联定位。</w:t>
      </w:r>
    </w:p>
    <w:p>
      <w:pPr>
        <w:pStyle w:val="35"/>
        <w:spacing w:before="0" w:line="460" w:lineRule="exact"/>
        <w:ind w:firstLine="440"/>
        <w:rPr>
          <w:rFonts w:ascii="宋体" w:hAnsi="宋体" w:cs="仿宋_GB2312"/>
          <w:kern w:val="0"/>
          <w:sz w:val="22"/>
          <w:lang w:val="zh-CN"/>
        </w:rPr>
      </w:pPr>
      <w:r>
        <w:rPr>
          <w:rFonts w:hint="eastAsia" w:ascii="宋体" w:hAnsi="宋体" w:cs="仿宋_GB2312"/>
          <w:kern w:val="0"/>
          <w:sz w:val="22"/>
        </w:rPr>
        <w:t>6</w:t>
      </w:r>
      <w:r>
        <w:rPr>
          <w:rFonts w:hint="eastAsia" w:ascii="宋体" w:hAnsi="宋体" w:cs="仿宋_GB2312"/>
          <w:kern w:val="0"/>
          <w:sz w:val="22"/>
          <w:lang w:val="zh-CN"/>
        </w:rPr>
        <w:t>.3、投标供应商没有按照本章节 “投标文件的组成”要求提供全部资料，或者没有仔细阅读招标文件，或者没有对招标文件在各方面的要求作出实质性响应是投标供应商的风险，由此造成的一切后果由投标供应商自行承担。</w:t>
      </w:r>
      <w:bookmarkStart w:id="32" w:name="_Hlt68073093"/>
      <w:bookmarkEnd w:id="32"/>
      <w:bookmarkStart w:id="33" w:name="_Hlt68403820"/>
      <w:bookmarkEnd w:id="33"/>
      <w:bookmarkStart w:id="34" w:name="_Hlt68072998"/>
      <w:bookmarkEnd w:id="34"/>
    </w:p>
    <w:p>
      <w:pPr>
        <w:pStyle w:val="35"/>
        <w:spacing w:before="0" w:line="460" w:lineRule="exact"/>
        <w:ind w:firstLine="440"/>
        <w:rPr>
          <w:rFonts w:ascii="宋体" w:hAnsi="宋体" w:cs="仿宋_GB2312"/>
          <w:kern w:val="0"/>
          <w:sz w:val="22"/>
          <w:lang w:val="zh-CN"/>
        </w:rPr>
      </w:pPr>
    </w:p>
    <w:p>
      <w:pPr>
        <w:pStyle w:val="35"/>
        <w:spacing w:before="0" w:line="460" w:lineRule="exact"/>
        <w:ind w:firstLine="442"/>
        <w:rPr>
          <w:rFonts w:ascii="宋体" w:hAnsi="宋体" w:cs="仿宋_GB2312"/>
          <w:b/>
          <w:bCs/>
          <w:kern w:val="0"/>
          <w:sz w:val="22"/>
          <w:lang w:val="zh-CN"/>
        </w:rPr>
      </w:pPr>
      <w:r>
        <w:rPr>
          <w:rFonts w:hint="eastAsia" w:ascii="宋体" w:hAnsi="宋体" w:cs="仿宋_GB2312"/>
          <w:b/>
          <w:bCs/>
          <w:kern w:val="0"/>
          <w:sz w:val="22"/>
        </w:rPr>
        <w:t>7</w:t>
      </w:r>
      <w:r>
        <w:rPr>
          <w:rFonts w:hint="eastAsia" w:ascii="宋体" w:hAnsi="宋体" w:cs="仿宋_GB2312"/>
          <w:b/>
          <w:bCs/>
          <w:kern w:val="0"/>
          <w:sz w:val="22"/>
          <w:lang w:val="zh-CN"/>
        </w:rPr>
        <w:t>、</w:t>
      </w:r>
      <w:r>
        <w:rPr>
          <w:rFonts w:hint="eastAsia"/>
          <w:b/>
          <w:bCs/>
          <w:sz w:val="22"/>
        </w:rPr>
        <w:t xml:space="preserve"> </w:t>
      </w:r>
      <w:r>
        <w:rPr>
          <w:rFonts w:hint="eastAsia" w:ascii="宋体" w:hAnsi="宋体" w:cs="仿宋_GB2312"/>
          <w:b/>
          <w:bCs/>
          <w:kern w:val="0"/>
          <w:sz w:val="22"/>
          <w:lang w:val="zh-CN"/>
        </w:rPr>
        <w:t>投标文件的签章</w:t>
      </w:r>
    </w:p>
    <w:p>
      <w:pPr>
        <w:pStyle w:val="35"/>
        <w:spacing w:before="0" w:line="460" w:lineRule="exact"/>
        <w:ind w:firstLine="440"/>
        <w:rPr>
          <w:rFonts w:ascii="宋体" w:hAnsi="宋体" w:cs="仿宋_GB2312"/>
          <w:kern w:val="0"/>
          <w:sz w:val="22"/>
          <w:lang w:val="zh-CN"/>
        </w:rPr>
      </w:pPr>
      <w:r>
        <w:rPr>
          <w:rFonts w:hint="eastAsia" w:ascii="宋体" w:hAnsi="宋体" w:cs="仿宋_GB2312"/>
          <w:kern w:val="0"/>
          <w:sz w:val="22"/>
        </w:rPr>
        <w:t>7</w:t>
      </w:r>
      <w:r>
        <w:rPr>
          <w:rFonts w:hint="eastAsia" w:ascii="宋体" w:hAnsi="宋体" w:cs="仿宋_GB2312"/>
          <w:kern w:val="0"/>
          <w:sz w:val="22"/>
          <w:lang w:val="zh-CN"/>
        </w:rPr>
        <w:t>.1、投标文件的签章：见《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35"/>
        <w:spacing w:before="0" w:line="460" w:lineRule="exact"/>
        <w:ind w:firstLine="440"/>
        <w:rPr>
          <w:rFonts w:ascii="宋体" w:hAnsi="宋体"/>
          <w:sz w:val="22"/>
        </w:rPr>
      </w:pPr>
      <w:r>
        <w:rPr>
          <w:rFonts w:hint="eastAsia" w:ascii="宋体" w:hAnsi="宋体" w:cs="仿宋_GB2312"/>
          <w:kern w:val="0"/>
          <w:sz w:val="22"/>
        </w:rPr>
        <w:t>7</w:t>
      </w:r>
      <w:r>
        <w:rPr>
          <w:rFonts w:hint="eastAsia" w:ascii="宋体" w:hAnsi="宋体" w:cs="仿宋_GB2312"/>
          <w:kern w:val="0"/>
          <w:sz w:val="22"/>
          <w:lang w:val="zh-CN"/>
        </w:rPr>
        <w:t>.2、</w:t>
      </w:r>
      <w:r>
        <w:rPr>
          <w:rFonts w:hint="eastAsia" w:ascii="宋体" w:hAnsi="宋体"/>
          <w:sz w:val="22"/>
        </w:rPr>
        <w:t>CA</w:t>
      </w:r>
      <w:r>
        <w:rPr>
          <w:rFonts w:ascii="宋体" w:hAnsi="宋体"/>
          <w:sz w:val="22"/>
        </w:rPr>
        <w:t>电子签章操作指南详见《</w:t>
      </w:r>
      <w:r>
        <w:rPr>
          <w:rFonts w:hint="eastAsia" w:ascii="宋体" w:hAnsi="宋体"/>
          <w:sz w:val="22"/>
        </w:rPr>
        <w:t>供应商</w:t>
      </w:r>
      <w:r>
        <w:rPr>
          <w:rFonts w:ascii="宋体" w:hAnsi="宋体"/>
          <w:sz w:val="22"/>
        </w:rPr>
        <w:t>-政府采购项目电子交易操作指南》（</w:t>
      </w:r>
      <w:r>
        <w:fldChar w:fldCharType="begin"/>
      </w:r>
      <w:r>
        <w:instrText xml:space="preserve"> HYPERLINK "https://help.zcygov.cn/web/site_2/2018/12-28/2573.html" </w:instrText>
      </w:r>
      <w:r>
        <w:fldChar w:fldCharType="separate"/>
      </w:r>
      <w:r>
        <w:rPr>
          <w:rStyle w:val="31"/>
          <w:color w:val="auto"/>
          <w:sz w:val="22"/>
          <w:u w:val="none"/>
        </w:rPr>
        <w:t>https://help.zcygov.cn/web/site_2/2018/12-28/2573.html</w:t>
      </w:r>
      <w:r>
        <w:rPr>
          <w:rStyle w:val="31"/>
          <w:color w:val="auto"/>
          <w:sz w:val="22"/>
          <w:u w:val="none"/>
        </w:rPr>
        <w:fldChar w:fldCharType="end"/>
      </w:r>
      <w:r>
        <w:rPr>
          <w:rFonts w:ascii="宋体" w:hAnsi="宋体"/>
          <w:sz w:val="22"/>
        </w:rPr>
        <w:t>）</w:t>
      </w:r>
      <w:r>
        <w:rPr>
          <w:rFonts w:hint="eastAsia" w:ascii="宋体" w:hAnsi="宋体"/>
          <w:sz w:val="22"/>
        </w:rPr>
        <w:t>。</w:t>
      </w:r>
    </w:p>
    <w:p>
      <w:pPr>
        <w:pStyle w:val="35"/>
        <w:spacing w:before="0" w:line="460" w:lineRule="exact"/>
        <w:ind w:firstLine="440"/>
        <w:rPr>
          <w:rFonts w:ascii="宋体" w:hAnsi="宋体"/>
          <w:sz w:val="22"/>
          <w:lang w:val="zh-CN"/>
        </w:rPr>
      </w:pPr>
    </w:p>
    <w:p>
      <w:pPr>
        <w:pStyle w:val="35"/>
        <w:spacing w:before="0" w:line="460" w:lineRule="exact"/>
        <w:ind w:firstLine="442"/>
        <w:rPr>
          <w:rFonts w:ascii="宋体" w:hAnsi="宋体" w:cs="仿宋_GB2312"/>
          <w:b/>
          <w:bCs/>
          <w:kern w:val="0"/>
          <w:sz w:val="22"/>
          <w:lang w:val="zh-CN"/>
        </w:rPr>
      </w:pPr>
      <w:r>
        <w:rPr>
          <w:rFonts w:hint="eastAsia" w:ascii="宋体" w:hAnsi="宋体" w:cs="仿宋_GB2312"/>
          <w:b/>
          <w:bCs/>
          <w:kern w:val="0"/>
          <w:sz w:val="22"/>
        </w:rPr>
        <w:t>8</w:t>
      </w:r>
      <w:r>
        <w:rPr>
          <w:rFonts w:hint="eastAsia" w:ascii="宋体" w:hAnsi="宋体" w:cs="仿宋_GB2312"/>
          <w:b/>
          <w:bCs/>
          <w:kern w:val="0"/>
          <w:sz w:val="22"/>
          <w:lang w:val="zh-CN"/>
        </w:rPr>
        <w:t>、投标文件的形式</w:t>
      </w:r>
    </w:p>
    <w:p>
      <w:pPr>
        <w:pStyle w:val="35"/>
        <w:spacing w:before="0" w:line="460" w:lineRule="exact"/>
        <w:ind w:firstLine="440"/>
        <w:rPr>
          <w:rFonts w:ascii="宋体" w:hAnsi="宋体" w:cs="仿宋_GB2312"/>
          <w:kern w:val="0"/>
          <w:sz w:val="22"/>
          <w:lang w:val="zh-CN"/>
        </w:rPr>
      </w:pPr>
      <w:r>
        <w:rPr>
          <w:rFonts w:hint="eastAsia" w:ascii="宋体" w:hAnsi="宋体" w:cs="仿宋_GB2312"/>
          <w:kern w:val="0"/>
          <w:sz w:val="22"/>
        </w:rPr>
        <w:t>8</w:t>
      </w:r>
      <w:r>
        <w:rPr>
          <w:rFonts w:hint="eastAsia" w:ascii="宋体" w:hAnsi="宋体" w:cs="仿宋_GB2312"/>
          <w:kern w:val="0"/>
          <w:sz w:val="22"/>
          <w:lang w:val="zh-CN"/>
        </w:rPr>
        <w:t>.1、投标文件的形式：见《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35"/>
        <w:spacing w:before="0" w:line="460" w:lineRule="exact"/>
        <w:ind w:firstLine="440"/>
        <w:rPr>
          <w:rFonts w:ascii="宋体" w:hAnsi="宋体" w:cs="仿宋_GB2312"/>
          <w:kern w:val="0"/>
          <w:sz w:val="22"/>
          <w:lang w:val="zh-CN"/>
        </w:rPr>
      </w:pPr>
      <w:r>
        <w:rPr>
          <w:rFonts w:hint="eastAsia" w:ascii="宋体" w:hAnsi="宋体" w:cs="仿宋_GB2312"/>
          <w:kern w:val="0"/>
          <w:sz w:val="22"/>
        </w:rPr>
        <w:t>8</w:t>
      </w:r>
      <w:r>
        <w:rPr>
          <w:rFonts w:hint="eastAsia" w:ascii="宋体" w:hAnsi="宋体" w:cs="仿宋_GB2312"/>
          <w:kern w:val="0"/>
          <w:sz w:val="22"/>
          <w:lang w:val="zh-CN"/>
        </w:rPr>
        <w:t>.2、“电子加密投标文件”：“电子加密投标文件”是指通过“政采云电子交易客户端”完成投标文件编制后生成并加密的数据电文形式的投标文件。</w:t>
      </w:r>
    </w:p>
    <w:p>
      <w:pPr>
        <w:pStyle w:val="35"/>
        <w:spacing w:before="0" w:line="460" w:lineRule="exact"/>
        <w:ind w:firstLine="440"/>
        <w:rPr>
          <w:rFonts w:ascii="宋体" w:hAnsi="宋体" w:cs="仿宋_GB2312"/>
          <w:kern w:val="0"/>
          <w:sz w:val="22"/>
          <w:lang w:val="zh-CN"/>
        </w:rPr>
      </w:pPr>
      <w:r>
        <w:rPr>
          <w:rFonts w:hint="eastAsia" w:ascii="宋体" w:hAnsi="宋体" w:cs="仿宋_GB2312"/>
          <w:kern w:val="0"/>
          <w:sz w:val="22"/>
        </w:rPr>
        <w:t>8</w:t>
      </w:r>
      <w:r>
        <w:rPr>
          <w:rFonts w:hint="eastAsia" w:ascii="宋体" w:hAnsi="宋体" w:cs="仿宋_GB2312"/>
          <w:kern w:val="0"/>
          <w:sz w:val="22"/>
          <w:lang w:val="zh-CN"/>
        </w:rPr>
        <w:t>.3、</w:t>
      </w:r>
      <w:r>
        <w:rPr>
          <w:rFonts w:ascii="宋体" w:hAnsi="宋体" w:cs="仿宋_GB2312"/>
          <w:kern w:val="0"/>
          <w:sz w:val="22"/>
          <w:lang w:val="zh-CN"/>
        </w:rPr>
        <w:t>投标文件的份数</w:t>
      </w:r>
    </w:p>
    <w:p>
      <w:pPr>
        <w:pStyle w:val="35"/>
        <w:spacing w:before="0" w:line="460" w:lineRule="exact"/>
        <w:ind w:firstLine="440"/>
        <w:rPr>
          <w:rFonts w:ascii="宋体" w:hAnsi="宋体"/>
          <w:sz w:val="22"/>
        </w:rPr>
      </w:pPr>
      <w:r>
        <w:rPr>
          <w:rFonts w:ascii="宋体" w:hAnsi="宋体"/>
          <w:sz w:val="22"/>
        </w:rPr>
        <w:t>投标文件的份数：见《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ascii="宋体" w:hAnsi="宋体"/>
          <w:sz w:val="22"/>
        </w:rPr>
        <w:t>》。</w:t>
      </w:r>
    </w:p>
    <w:p>
      <w:pPr>
        <w:pStyle w:val="35"/>
        <w:spacing w:before="0" w:line="460" w:lineRule="exact"/>
        <w:ind w:firstLine="440"/>
        <w:rPr>
          <w:rFonts w:ascii="宋体" w:hAnsi="宋体"/>
          <w:sz w:val="22"/>
        </w:rPr>
      </w:pPr>
    </w:p>
    <w:p>
      <w:pPr>
        <w:pStyle w:val="35"/>
        <w:spacing w:before="0" w:line="460" w:lineRule="exact"/>
        <w:ind w:firstLine="442"/>
        <w:rPr>
          <w:rFonts w:ascii="宋体" w:hAnsi="宋体" w:cs="仿宋_GB2312"/>
          <w:b/>
          <w:bCs/>
          <w:kern w:val="0"/>
          <w:sz w:val="22"/>
          <w:lang w:val="zh-CN"/>
        </w:rPr>
      </w:pPr>
      <w:r>
        <w:rPr>
          <w:rFonts w:hint="eastAsia" w:ascii="宋体" w:hAnsi="宋体" w:cs="仿宋_GB2312"/>
          <w:b/>
          <w:bCs/>
          <w:kern w:val="0"/>
          <w:sz w:val="22"/>
          <w:lang w:val="zh-CN"/>
        </w:rPr>
        <w:t>四、投标</w:t>
      </w:r>
    </w:p>
    <w:p>
      <w:pPr>
        <w:pStyle w:val="35"/>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1、投标文件的上传和递交</w:t>
      </w:r>
    </w:p>
    <w:p>
      <w:pPr>
        <w:pStyle w:val="35"/>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“投标文件”的上传、递交：见《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35"/>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2、“电子加密投标文件”解密</w:t>
      </w:r>
    </w:p>
    <w:p>
      <w:pPr>
        <w:pStyle w:val="35"/>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“电子加密投标文件”解密：见《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35"/>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3、投标文件的补充、修改或撤回</w:t>
      </w:r>
    </w:p>
    <w:p>
      <w:pPr>
        <w:pStyle w:val="35"/>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5"/>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3.2、投标截止时间后，投标供应商不得撤回、修改投标文件。</w:t>
      </w:r>
    </w:p>
    <w:p>
      <w:pPr>
        <w:pStyle w:val="35"/>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4、投标文件的备选方案</w:t>
      </w:r>
    </w:p>
    <w:p>
      <w:pPr>
        <w:pStyle w:val="35"/>
        <w:spacing w:before="0" w:line="460" w:lineRule="exact"/>
        <w:ind w:firstLine="440"/>
        <w:rPr>
          <w:rFonts w:ascii="宋体" w:hAnsi="宋体" w:cs="仿宋_GB2312"/>
          <w:kern w:val="0"/>
          <w:sz w:val="22"/>
          <w:lang w:val="zh-CN"/>
        </w:rPr>
      </w:pPr>
      <w:r>
        <w:rPr>
          <w:rFonts w:ascii="宋体" w:hAnsi="宋体" w:cs="仿宋_GB2312"/>
          <w:kern w:val="0"/>
          <w:sz w:val="22"/>
          <w:lang w:val="zh-CN"/>
        </w:rPr>
        <w:t>投标供应商不得递交任何的投标备选（替代）方案，否则其投标文件将作无效标处理。</w:t>
      </w:r>
    </w:p>
    <w:p>
      <w:pPr>
        <w:snapToGrid w:val="0"/>
        <w:spacing w:line="460" w:lineRule="atLeast"/>
        <w:ind w:firstLine="442" w:firstLineChars="200"/>
        <w:rPr>
          <w:rFonts w:ascii="宋体"/>
          <w:b/>
          <w:bCs/>
          <w:sz w:val="22"/>
        </w:rPr>
      </w:pPr>
      <w:bookmarkStart w:id="35" w:name="_Toc132123882"/>
      <w:bookmarkStart w:id="36" w:name="_Toc132125038"/>
      <w:bookmarkStart w:id="37" w:name="_Toc132123839"/>
      <w:bookmarkStart w:id="38" w:name="_Toc132122120"/>
      <w:bookmarkStart w:id="39" w:name="_Toc132123548"/>
      <w:bookmarkStart w:id="40" w:name="_Toc132123440"/>
      <w:bookmarkStart w:id="41" w:name="_Toc132125152"/>
      <w:bookmarkStart w:id="42" w:name="_Toc132125096"/>
      <w:bookmarkStart w:id="43" w:name="_Toc132124595"/>
      <w:bookmarkStart w:id="44" w:name="_Toc132122417"/>
      <w:bookmarkStart w:id="45" w:name="_Toc132125984"/>
      <w:bookmarkStart w:id="46" w:name="_Toc132123635"/>
      <w:bookmarkStart w:id="47" w:name="_Toc132655777"/>
      <w:bookmarkStart w:id="48" w:name="_Toc132126155"/>
      <w:bookmarkStart w:id="49" w:name="_Toc132125575"/>
      <w:r>
        <w:rPr>
          <w:rFonts w:hint="eastAsia" w:ascii="宋体"/>
          <w:b/>
          <w:bCs/>
          <w:sz w:val="22"/>
        </w:rPr>
        <w:t>五、开标和评标</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35"/>
        <w:spacing w:before="0" w:line="460" w:lineRule="exact"/>
        <w:ind w:firstLine="442"/>
        <w:rPr>
          <w:rFonts w:ascii="宋体" w:hAnsi="宋体" w:cs="仿宋_GB2312"/>
          <w:b/>
          <w:bCs/>
          <w:kern w:val="0"/>
          <w:sz w:val="22"/>
          <w:lang w:val="zh-CN"/>
        </w:rPr>
      </w:pPr>
      <w:r>
        <w:rPr>
          <w:rFonts w:hint="eastAsia" w:ascii="宋体" w:hAnsi="宋体" w:cs="仿宋_GB2312"/>
          <w:b/>
          <w:bCs/>
          <w:kern w:val="0"/>
          <w:sz w:val="22"/>
          <w:lang w:val="zh-CN"/>
        </w:rPr>
        <w:t>1、开标</w:t>
      </w:r>
    </w:p>
    <w:p>
      <w:pPr>
        <w:shd w:val="clear" w:color="auto" w:fill="FFFFFF"/>
        <w:spacing w:line="460" w:lineRule="exact"/>
        <w:ind w:firstLine="440" w:firstLineChars="200"/>
        <w:rPr>
          <w:rFonts w:ascii="宋体"/>
          <w:sz w:val="22"/>
        </w:rPr>
      </w:pPr>
      <w:r>
        <w:rPr>
          <w:rFonts w:hint="eastAsia" w:ascii="宋体"/>
          <w:sz w:val="22"/>
        </w:rPr>
        <w:t>1.1、采购代理机构按招标文件规定的时间、地点通过“政府采购云平台”组织开标、开启投标文件，所有供应商均应当准时在线参加。投</w:t>
      </w:r>
      <w:r>
        <w:rPr>
          <w:rFonts w:ascii="宋体"/>
          <w:sz w:val="22"/>
        </w:rPr>
        <w:t>标供应商因未在线参加开标而导致投标文件无法按时解密等一切后果由供应商自</w:t>
      </w:r>
      <w:r>
        <w:rPr>
          <w:rFonts w:hint="eastAsia" w:ascii="宋体"/>
          <w:sz w:val="22"/>
        </w:rPr>
        <w:t>行</w:t>
      </w:r>
      <w:r>
        <w:rPr>
          <w:rFonts w:ascii="宋体"/>
          <w:sz w:val="22"/>
        </w:rPr>
        <w:t>承担。</w:t>
      </w:r>
    </w:p>
    <w:p>
      <w:pPr>
        <w:shd w:val="clear" w:color="auto" w:fill="FFFFFF"/>
        <w:spacing w:line="460" w:lineRule="exact"/>
        <w:ind w:firstLine="440" w:firstLineChars="200"/>
        <w:rPr>
          <w:rFonts w:ascii="宋体"/>
          <w:sz w:val="22"/>
        </w:rPr>
      </w:pPr>
      <w:r>
        <w:rPr>
          <w:rFonts w:hint="eastAsia" w:ascii="宋体"/>
          <w:sz w:val="22"/>
        </w:rPr>
        <w:t>1.2、开标流程</w:t>
      </w:r>
    </w:p>
    <w:p>
      <w:pPr>
        <w:shd w:val="clear" w:color="auto" w:fill="FFFFFF"/>
        <w:ind w:firstLine="440" w:firstLineChars="200"/>
        <w:rPr>
          <w:rFonts w:ascii="宋体"/>
          <w:sz w:val="22"/>
        </w:rPr>
      </w:pPr>
      <w:r>
        <w:rPr>
          <w:rFonts w:hint="eastAsia" w:ascii="宋体"/>
          <w:sz w:val="22"/>
        </w:rPr>
        <w:t>（1）向各投标供应商发出电子加密投标文件【开始解密】通知，由供应商按招标文件规定的时间内自行进行投标文件解密。</w:t>
      </w:r>
      <w:r>
        <w:rPr>
          <w:rFonts w:hint="eastAsia" w:ascii="宋体"/>
          <w:b/>
          <w:bCs/>
          <w:sz w:val="22"/>
        </w:rPr>
        <w:t>投标供应商在规定的时间内无法完成已递交的“电子加密投标文件”解密的，</w:t>
      </w:r>
      <w:r>
        <w:rPr>
          <w:rFonts w:ascii="宋体"/>
          <w:b/>
          <w:bCs/>
          <w:sz w:val="22"/>
        </w:rPr>
        <w:t>其投标文件按拒收处理。</w:t>
      </w:r>
    </w:p>
    <w:p>
      <w:pPr>
        <w:pStyle w:val="13"/>
        <w:adjustRightInd w:val="0"/>
        <w:snapToGrid w:val="0"/>
        <w:spacing w:before="156" w:after="156" w:line="240" w:lineRule="auto"/>
        <w:ind w:firstLine="440" w:firstLineChars="200"/>
        <w:rPr>
          <w:rFonts w:hAnsi="宋体"/>
          <w:sz w:val="22"/>
          <w:szCs w:val="22"/>
        </w:rPr>
      </w:pPr>
      <w:r>
        <w:rPr>
          <w:rFonts w:hAnsi="宋体"/>
          <w:sz w:val="22"/>
          <w:szCs w:val="22"/>
        </w:rPr>
        <w:t>（2）投标文件解密结束，开启资格文件，进入资格审查环节，采购代理机构</w:t>
      </w:r>
      <w:r>
        <w:rPr>
          <w:rFonts w:hint="eastAsia" w:hAnsi="宋体"/>
          <w:sz w:val="22"/>
          <w:szCs w:val="22"/>
        </w:rPr>
        <w:t>或者招标采购单位委托的公证机构</w:t>
      </w:r>
      <w:r>
        <w:rPr>
          <w:rFonts w:hAnsi="宋体"/>
          <w:sz w:val="22"/>
          <w:szCs w:val="22"/>
        </w:rPr>
        <w:t>将依法对投标供应商的资格进行审查，具体见本章节“投标供应商资格审查”相关规定。</w:t>
      </w:r>
    </w:p>
    <w:p>
      <w:pPr>
        <w:pStyle w:val="13"/>
        <w:adjustRightInd w:val="0"/>
        <w:snapToGrid w:val="0"/>
        <w:spacing w:before="156" w:after="156" w:line="240" w:lineRule="auto"/>
        <w:ind w:firstLine="440" w:firstLineChars="200"/>
        <w:rPr>
          <w:rFonts w:hAnsi="宋体"/>
          <w:sz w:val="22"/>
          <w:szCs w:val="22"/>
        </w:rPr>
      </w:pPr>
      <w:r>
        <w:rPr>
          <w:rFonts w:hAnsi="宋体"/>
          <w:sz w:val="22"/>
          <w:szCs w:val="22"/>
        </w:rPr>
        <w:t>（3）开启资格审查通过的投标供应商的商务技术文件进入符合性审查及商务技术评审；</w:t>
      </w:r>
    </w:p>
    <w:p>
      <w:pPr>
        <w:pStyle w:val="13"/>
        <w:adjustRightInd w:val="0"/>
        <w:snapToGrid w:val="0"/>
        <w:spacing w:before="156" w:after="156" w:line="240" w:lineRule="auto"/>
        <w:ind w:firstLine="440" w:firstLineChars="200"/>
        <w:rPr>
          <w:rFonts w:hAnsi="宋体"/>
          <w:sz w:val="22"/>
          <w:szCs w:val="22"/>
        </w:rPr>
      </w:pPr>
      <w:r>
        <w:rPr>
          <w:rFonts w:hAnsi="宋体"/>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pStyle w:val="13"/>
        <w:adjustRightInd w:val="0"/>
        <w:snapToGrid w:val="0"/>
        <w:spacing w:before="156" w:after="156" w:line="240" w:lineRule="auto"/>
        <w:ind w:firstLine="330" w:firstLineChars="150"/>
        <w:rPr>
          <w:rFonts w:hAnsi="宋体"/>
          <w:sz w:val="22"/>
          <w:szCs w:val="22"/>
        </w:rPr>
      </w:pPr>
      <w:r>
        <w:rPr>
          <w:rFonts w:hAnsi="宋体"/>
          <w:sz w:val="22"/>
          <w:szCs w:val="22"/>
        </w:rPr>
        <w:t>开标时，报价文件中投标报价出现前后不一致的，按照下列规定修正：</w:t>
      </w:r>
    </w:p>
    <w:p>
      <w:pPr>
        <w:pStyle w:val="13"/>
        <w:adjustRightInd w:val="0"/>
        <w:snapToGrid w:val="0"/>
        <w:spacing w:before="156" w:after="156" w:line="240" w:lineRule="auto"/>
        <w:ind w:firstLine="330" w:firstLineChars="150"/>
        <w:rPr>
          <w:rFonts w:hAnsi="宋体"/>
          <w:sz w:val="22"/>
          <w:szCs w:val="22"/>
        </w:rPr>
      </w:pPr>
      <w:r>
        <w:rPr>
          <w:rFonts w:hAnsi="宋体"/>
          <w:sz w:val="22"/>
          <w:szCs w:val="22"/>
        </w:rPr>
        <w:t>（一）投标文件中开标一览表内容与投标文件中相应内容不一致的，以开标一览表为准；</w:t>
      </w:r>
    </w:p>
    <w:p>
      <w:pPr>
        <w:pStyle w:val="13"/>
        <w:adjustRightInd w:val="0"/>
        <w:snapToGrid w:val="0"/>
        <w:spacing w:before="156" w:after="156" w:line="240" w:lineRule="auto"/>
        <w:ind w:firstLine="330" w:firstLineChars="150"/>
        <w:rPr>
          <w:rFonts w:hAnsi="宋体"/>
          <w:sz w:val="22"/>
          <w:szCs w:val="22"/>
        </w:rPr>
      </w:pPr>
      <w:r>
        <w:rPr>
          <w:rFonts w:hAnsi="宋体"/>
          <w:sz w:val="22"/>
          <w:szCs w:val="22"/>
        </w:rPr>
        <w:t>（二）大写金额和小写金额不一致的，以大写金额为准；</w:t>
      </w:r>
    </w:p>
    <w:p>
      <w:pPr>
        <w:pStyle w:val="13"/>
        <w:adjustRightInd w:val="0"/>
        <w:snapToGrid w:val="0"/>
        <w:spacing w:before="156" w:after="156" w:line="240" w:lineRule="auto"/>
        <w:ind w:firstLine="330" w:firstLineChars="150"/>
        <w:rPr>
          <w:rFonts w:hAnsi="宋体"/>
          <w:sz w:val="22"/>
          <w:szCs w:val="22"/>
        </w:rPr>
      </w:pPr>
      <w:r>
        <w:rPr>
          <w:rFonts w:hAnsi="宋体"/>
          <w:sz w:val="22"/>
          <w:szCs w:val="22"/>
        </w:rPr>
        <w:t>（三）单价金额小数点或者百分比有明显错位的，以开标一览表的总价为准，并修改单价；</w:t>
      </w:r>
    </w:p>
    <w:p>
      <w:pPr>
        <w:pStyle w:val="13"/>
        <w:adjustRightInd w:val="0"/>
        <w:snapToGrid w:val="0"/>
        <w:spacing w:before="156" w:after="156" w:line="240" w:lineRule="auto"/>
        <w:ind w:firstLine="330" w:firstLineChars="150"/>
        <w:rPr>
          <w:rFonts w:hAnsi="宋体"/>
          <w:sz w:val="22"/>
          <w:szCs w:val="22"/>
        </w:rPr>
      </w:pPr>
      <w:r>
        <w:rPr>
          <w:rFonts w:hAnsi="宋体"/>
          <w:sz w:val="22"/>
          <w:szCs w:val="22"/>
        </w:rPr>
        <w:t>（四）总价金额与按单价汇总金额不一致的，以单价金额计算结果为准。</w:t>
      </w:r>
    </w:p>
    <w:p>
      <w:pPr>
        <w:pStyle w:val="13"/>
        <w:adjustRightInd w:val="0"/>
        <w:snapToGrid w:val="0"/>
        <w:spacing w:before="156" w:after="156" w:line="240" w:lineRule="auto"/>
        <w:ind w:firstLine="440" w:firstLineChars="200"/>
        <w:rPr>
          <w:rFonts w:hAnsi="宋体"/>
          <w:sz w:val="22"/>
          <w:szCs w:val="22"/>
        </w:rPr>
      </w:pPr>
      <w:r>
        <w:rPr>
          <w:rFonts w:hAnsi="宋体"/>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pStyle w:val="13"/>
        <w:adjustRightInd w:val="0"/>
        <w:snapToGrid w:val="0"/>
        <w:spacing w:before="156" w:after="156" w:line="240" w:lineRule="auto"/>
        <w:ind w:firstLine="440" w:firstLineChars="200"/>
        <w:rPr>
          <w:rFonts w:hAnsi="宋体"/>
          <w:sz w:val="22"/>
          <w:szCs w:val="22"/>
        </w:rPr>
      </w:pPr>
      <w:r>
        <w:rPr>
          <w:rFonts w:hAnsi="宋体"/>
          <w:sz w:val="22"/>
          <w:szCs w:val="22"/>
        </w:rPr>
        <w:t>（5）评审结束后，公布采购结果。</w:t>
      </w:r>
    </w:p>
    <w:p>
      <w:pPr>
        <w:pStyle w:val="13"/>
        <w:adjustRightInd w:val="0"/>
        <w:snapToGrid w:val="0"/>
        <w:spacing w:before="156" w:after="156" w:line="240" w:lineRule="auto"/>
        <w:ind w:firstLine="442" w:firstLineChars="200"/>
        <w:rPr>
          <w:rFonts w:hAnsi="宋体"/>
          <w:sz w:val="22"/>
          <w:szCs w:val="22"/>
        </w:rPr>
      </w:pPr>
      <w:r>
        <w:rPr>
          <w:rFonts w:hAnsi="宋体"/>
          <w:b/>
          <w:bCs/>
          <w:sz w:val="22"/>
          <w:szCs w:val="22"/>
        </w:rPr>
        <w:t>特别说明：如遇“政府采购云平台”电子化开标或评审程序调整的，按调整后程序执行。</w:t>
      </w:r>
    </w:p>
    <w:p>
      <w:pPr>
        <w:pStyle w:val="13"/>
        <w:adjustRightInd w:val="0"/>
        <w:snapToGrid w:val="0"/>
        <w:spacing w:before="156" w:after="156" w:line="460" w:lineRule="atLeast"/>
        <w:ind w:firstLine="440" w:firstLineChars="200"/>
        <w:rPr>
          <w:rFonts w:hAnsi="宋体"/>
          <w:sz w:val="22"/>
          <w:szCs w:val="22"/>
        </w:rPr>
      </w:pPr>
      <w:r>
        <w:rPr>
          <w:rFonts w:hAnsi="宋体"/>
          <w:sz w:val="22"/>
          <w:szCs w:val="22"/>
        </w:rPr>
        <w:t>2、投标供应商资格审查</w:t>
      </w:r>
    </w:p>
    <w:p>
      <w:pPr>
        <w:pStyle w:val="13"/>
        <w:adjustRightInd w:val="0"/>
        <w:snapToGrid w:val="0"/>
        <w:spacing w:before="156" w:after="156" w:line="460" w:lineRule="atLeast"/>
        <w:ind w:firstLine="440" w:firstLineChars="200"/>
        <w:rPr>
          <w:rFonts w:hAnsi="宋体"/>
          <w:sz w:val="22"/>
          <w:szCs w:val="22"/>
        </w:rPr>
      </w:pPr>
      <w:r>
        <w:rPr>
          <w:rFonts w:hAnsi="宋体"/>
          <w:sz w:val="22"/>
          <w:szCs w:val="22"/>
        </w:rPr>
        <w:t>2.1、</w:t>
      </w:r>
      <w:r>
        <w:rPr>
          <w:rFonts w:hAnsi="宋体"/>
          <w:b/>
          <w:bCs/>
          <w:sz w:val="22"/>
          <w:szCs w:val="22"/>
        </w:rPr>
        <w:t>开标后，采购人或者采购代理机构</w:t>
      </w:r>
      <w:r>
        <w:rPr>
          <w:rFonts w:hint="eastAsia" w:hAnsi="宋体"/>
          <w:b/>
          <w:bCs/>
          <w:sz w:val="22"/>
          <w:szCs w:val="22"/>
        </w:rPr>
        <w:t>或评标委员会</w:t>
      </w:r>
      <w:r>
        <w:rPr>
          <w:rFonts w:hAnsi="宋体"/>
          <w:b/>
          <w:bCs/>
          <w:sz w:val="22"/>
          <w:szCs w:val="22"/>
        </w:rPr>
        <w:t>应当依法对投标供应商的资格进行审查，审查各投标供应商的资格是否满足招标文件的要求。采购人或采购代理机构</w:t>
      </w:r>
      <w:r>
        <w:rPr>
          <w:rFonts w:hint="eastAsia" w:hAnsi="宋体"/>
          <w:b/>
          <w:bCs/>
          <w:sz w:val="22"/>
          <w:szCs w:val="22"/>
        </w:rPr>
        <w:t>或评标委员会</w:t>
      </w:r>
      <w:r>
        <w:rPr>
          <w:rFonts w:hAnsi="宋体"/>
          <w:b/>
          <w:bCs/>
          <w:sz w:val="22"/>
          <w:szCs w:val="22"/>
        </w:rPr>
        <w:t>对投标供应商所提交的资格证明材料仅负审核的责任。如发现投标供应商所提交的资格证明材料不合法或与事实不符，采购人可取消其中标资格并追究投标供应商的法律责任。</w:t>
      </w:r>
    </w:p>
    <w:p>
      <w:pPr>
        <w:pStyle w:val="13"/>
        <w:adjustRightInd w:val="0"/>
        <w:snapToGrid w:val="0"/>
        <w:spacing w:before="156" w:after="156" w:line="460" w:lineRule="atLeast"/>
        <w:ind w:firstLine="440" w:firstLineChars="200"/>
        <w:rPr>
          <w:rFonts w:hAnsi="宋体"/>
          <w:sz w:val="22"/>
          <w:szCs w:val="22"/>
        </w:rPr>
      </w:pPr>
      <w:r>
        <w:rPr>
          <w:rFonts w:hAnsi="宋体"/>
          <w:sz w:val="22"/>
          <w:szCs w:val="22"/>
        </w:rPr>
        <w:t>2.2、</w:t>
      </w:r>
      <w:r>
        <w:rPr>
          <w:rFonts w:hAnsi="宋体"/>
          <w:b/>
          <w:bCs/>
          <w:sz w:val="22"/>
          <w:szCs w:val="22"/>
        </w:rPr>
        <w:t>投标供应商提交的资格证明材料无法证明其符合招标文件规定的“投标供应商资格要求”的，采购人或采购代理机构</w:t>
      </w:r>
      <w:r>
        <w:rPr>
          <w:rFonts w:hint="eastAsia" w:hAnsi="宋体"/>
          <w:b/>
          <w:bCs/>
          <w:sz w:val="22"/>
          <w:szCs w:val="22"/>
        </w:rPr>
        <w:t>或</w:t>
      </w:r>
      <w:r>
        <w:rPr>
          <w:rFonts w:hAnsi="宋体"/>
          <w:b/>
          <w:bCs/>
          <w:sz w:val="22"/>
          <w:szCs w:val="22"/>
        </w:rPr>
        <w:t>评标委员会将对其作资格审查不通过处理（无效投标），并不再将其投标进行后续评审。</w:t>
      </w:r>
    </w:p>
    <w:p>
      <w:pPr>
        <w:pStyle w:val="13"/>
        <w:adjustRightInd w:val="0"/>
        <w:snapToGrid w:val="0"/>
        <w:spacing w:before="156" w:after="156" w:line="460" w:lineRule="atLeast"/>
        <w:ind w:firstLine="440" w:firstLineChars="200"/>
        <w:rPr>
          <w:rFonts w:hAnsi="宋体"/>
          <w:b/>
          <w:bCs/>
          <w:sz w:val="22"/>
          <w:szCs w:val="22"/>
        </w:rPr>
      </w:pPr>
      <w:r>
        <w:rPr>
          <w:rFonts w:hAnsi="宋体"/>
          <w:sz w:val="22"/>
          <w:szCs w:val="22"/>
        </w:rPr>
        <w:t>2.3、</w:t>
      </w:r>
      <w:r>
        <w:rPr>
          <w:rFonts w:hAnsi="宋体"/>
          <w:b/>
          <w:bCs/>
          <w:sz w:val="22"/>
          <w:szCs w:val="22"/>
        </w:rPr>
        <w:t>单位负责人为同一人或者存在直接控股、管理关系的不同供应商参加同一合同项下的政府采购活动的，相关投标供应商均作资格无效处理。</w:t>
      </w:r>
    </w:p>
    <w:p>
      <w:pPr>
        <w:pStyle w:val="13"/>
        <w:adjustRightInd w:val="0"/>
        <w:snapToGrid w:val="0"/>
        <w:spacing w:before="156" w:after="156" w:line="440" w:lineRule="atLeast"/>
        <w:ind w:firstLine="440" w:firstLineChars="200"/>
        <w:rPr>
          <w:rFonts w:hAnsi="宋体"/>
          <w:sz w:val="22"/>
          <w:szCs w:val="22"/>
        </w:rPr>
      </w:pPr>
      <w:r>
        <w:rPr>
          <w:rFonts w:hint="eastAsia" w:hAnsi="宋体"/>
          <w:sz w:val="22"/>
          <w:szCs w:val="22"/>
        </w:rPr>
        <w:t>3、评标</w:t>
      </w:r>
    </w:p>
    <w:p>
      <w:pPr>
        <w:pStyle w:val="13"/>
        <w:adjustRightInd w:val="0"/>
        <w:snapToGrid w:val="0"/>
        <w:spacing w:before="156" w:after="156" w:line="440" w:lineRule="atLeast"/>
        <w:ind w:firstLine="440" w:firstLineChars="200"/>
        <w:rPr>
          <w:rFonts w:hAnsi="宋体"/>
          <w:sz w:val="22"/>
          <w:szCs w:val="22"/>
        </w:rPr>
      </w:pPr>
      <w:r>
        <w:rPr>
          <w:rFonts w:hint="eastAsia" w:hAnsi="宋体"/>
          <w:sz w:val="22"/>
          <w:szCs w:val="22"/>
        </w:rPr>
        <w:t>3.1、评标由依法组建的评标委员会负责，并独立履行下列职责：</w:t>
      </w:r>
    </w:p>
    <w:p>
      <w:pPr>
        <w:pStyle w:val="13"/>
        <w:adjustRightInd w:val="0"/>
        <w:snapToGrid w:val="0"/>
        <w:spacing w:before="156" w:after="156" w:line="440" w:lineRule="atLeast"/>
        <w:ind w:firstLine="440" w:firstLineChars="200"/>
        <w:rPr>
          <w:rFonts w:hAnsi="宋体"/>
          <w:sz w:val="22"/>
          <w:szCs w:val="22"/>
        </w:rPr>
      </w:pPr>
      <w:r>
        <w:rPr>
          <w:rFonts w:hint="eastAsia" w:hAnsi="宋体"/>
          <w:sz w:val="22"/>
          <w:szCs w:val="22"/>
        </w:rPr>
        <w:t>1）审查投标文件是否符合招标文件要求，并作出评价；</w:t>
      </w:r>
    </w:p>
    <w:p>
      <w:pPr>
        <w:pStyle w:val="13"/>
        <w:adjustRightInd w:val="0"/>
        <w:snapToGrid w:val="0"/>
        <w:spacing w:before="156" w:after="156" w:line="440" w:lineRule="atLeast"/>
        <w:ind w:firstLine="110" w:firstLineChars="50"/>
        <w:rPr>
          <w:rFonts w:hAnsi="宋体"/>
          <w:sz w:val="22"/>
          <w:szCs w:val="22"/>
        </w:rPr>
      </w:pPr>
      <w:r>
        <w:rPr>
          <w:rFonts w:hint="eastAsia" w:hAnsi="宋体"/>
          <w:sz w:val="22"/>
          <w:szCs w:val="22"/>
        </w:rPr>
        <w:t xml:space="preserve">   2）要求投标供应商对投标文件有关事项作出解释或者澄清；</w:t>
      </w:r>
    </w:p>
    <w:p>
      <w:pPr>
        <w:pStyle w:val="13"/>
        <w:adjustRightInd w:val="0"/>
        <w:snapToGrid w:val="0"/>
        <w:spacing w:before="156" w:after="156" w:line="460" w:lineRule="atLeast"/>
        <w:ind w:firstLine="440"/>
        <w:rPr>
          <w:rFonts w:hAnsi="宋体"/>
          <w:sz w:val="22"/>
          <w:szCs w:val="22"/>
        </w:rPr>
      </w:pPr>
      <w:r>
        <w:rPr>
          <w:rFonts w:hAnsi="宋体"/>
          <w:sz w:val="22"/>
          <w:szCs w:val="22"/>
        </w:rPr>
        <w:t>3）按照招标文件确定的评标办法对各投标供应商进行排序，推荐中标候选供应商（不超过3个）；综合得分最高的供应商推荐为中标供应商；</w:t>
      </w:r>
    </w:p>
    <w:p>
      <w:pPr>
        <w:pStyle w:val="13"/>
        <w:adjustRightInd w:val="0"/>
        <w:snapToGrid w:val="0"/>
        <w:spacing w:before="156" w:after="156" w:line="460" w:lineRule="atLeast"/>
        <w:ind w:firstLine="440"/>
        <w:rPr>
          <w:rFonts w:hAnsi="宋体"/>
          <w:sz w:val="22"/>
          <w:szCs w:val="22"/>
        </w:rPr>
      </w:pPr>
      <w:r>
        <w:rPr>
          <w:rFonts w:hAnsi="宋体"/>
          <w:sz w:val="22"/>
          <w:szCs w:val="22"/>
        </w:rPr>
        <w:t>4）向采购人推荐综合得分第一名的供应商为中标供应商，并提交评审报告。如果第一名得分相同，以投标报价低的优先；投标报价也相同，</w:t>
      </w:r>
      <w:r>
        <w:rPr>
          <w:rFonts w:hint="eastAsia"/>
          <w:sz w:val="22"/>
          <w:szCs w:val="22"/>
        </w:rPr>
        <w:t>则以政采云系统记录的投标文件解密时间排序在前面的优先</w:t>
      </w:r>
      <w:r>
        <w:rPr>
          <w:rFonts w:hAnsi="宋体"/>
          <w:sz w:val="22"/>
          <w:szCs w:val="22"/>
        </w:rPr>
        <w:t>。</w:t>
      </w:r>
    </w:p>
    <w:p>
      <w:pPr>
        <w:pStyle w:val="13"/>
        <w:adjustRightInd w:val="0"/>
        <w:snapToGrid w:val="0"/>
        <w:spacing w:before="156" w:after="156" w:line="460" w:lineRule="atLeast"/>
        <w:ind w:firstLine="440" w:firstLineChars="200"/>
        <w:rPr>
          <w:rFonts w:hAnsi="宋体"/>
          <w:sz w:val="22"/>
          <w:szCs w:val="22"/>
        </w:rPr>
      </w:pPr>
      <w:r>
        <w:rPr>
          <w:rFonts w:hAnsi="宋体"/>
          <w:sz w:val="22"/>
          <w:szCs w:val="22"/>
        </w:rPr>
        <w:t>5）向采购代理机构或者有关部门报告非法干预评标工作的行为。</w:t>
      </w:r>
    </w:p>
    <w:p>
      <w:pPr>
        <w:pStyle w:val="13"/>
        <w:adjustRightInd w:val="0"/>
        <w:snapToGrid w:val="0"/>
        <w:spacing w:before="156" w:after="156" w:line="440" w:lineRule="atLeast"/>
        <w:ind w:firstLine="440" w:firstLineChars="200"/>
        <w:rPr>
          <w:rFonts w:hAnsi="宋体"/>
          <w:sz w:val="22"/>
          <w:szCs w:val="22"/>
        </w:rPr>
      </w:pPr>
      <w:r>
        <w:rPr>
          <w:rFonts w:hint="eastAsia" w:hAnsi="宋体"/>
          <w:sz w:val="22"/>
          <w:szCs w:val="22"/>
        </w:rPr>
        <w:t>3.2、评标应当遵循下列工作程序：</w:t>
      </w:r>
    </w:p>
    <w:p>
      <w:pPr>
        <w:pStyle w:val="13"/>
        <w:adjustRightInd w:val="0"/>
        <w:snapToGrid w:val="0"/>
        <w:spacing w:before="156" w:after="156" w:line="440" w:lineRule="atLeast"/>
        <w:rPr>
          <w:rFonts w:hAnsi="宋体"/>
          <w:sz w:val="22"/>
          <w:szCs w:val="22"/>
        </w:rPr>
      </w:pPr>
      <w:r>
        <w:rPr>
          <w:rFonts w:hint="eastAsia" w:hAnsi="宋体"/>
          <w:sz w:val="22"/>
          <w:szCs w:val="22"/>
        </w:rPr>
        <w:t xml:space="preserve">    1）投标文件符合性审查。依据招标文件的规定，从投标文件的有效性、完整性和对招标文件的响应程度进行审查，以确定是否对招标文件的实质性要求作出响应。</w:t>
      </w:r>
    </w:p>
    <w:p>
      <w:pPr>
        <w:pStyle w:val="13"/>
        <w:adjustRightInd w:val="0"/>
        <w:snapToGrid w:val="0"/>
        <w:spacing w:before="156" w:after="156" w:line="440" w:lineRule="atLeast"/>
        <w:rPr>
          <w:rFonts w:hAnsi="宋体"/>
          <w:sz w:val="22"/>
          <w:szCs w:val="22"/>
        </w:rPr>
      </w:pPr>
      <w:r>
        <w:rPr>
          <w:rFonts w:hint="eastAsia" w:hAnsi="宋体"/>
          <w:sz w:val="22"/>
          <w:szCs w:val="22"/>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pStyle w:val="13"/>
        <w:adjustRightInd w:val="0"/>
        <w:snapToGrid w:val="0"/>
        <w:spacing w:before="156" w:after="156" w:line="440" w:lineRule="atLeast"/>
        <w:ind w:firstLine="440" w:firstLineChars="200"/>
        <w:rPr>
          <w:rFonts w:hAnsi="宋体"/>
          <w:sz w:val="22"/>
          <w:szCs w:val="22"/>
        </w:rPr>
      </w:pPr>
      <w:r>
        <w:rPr>
          <w:rFonts w:hint="eastAsia" w:hAnsi="宋体"/>
          <w:sz w:val="22"/>
          <w:szCs w:val="22"/>
        </w:rPr>
        <w:t>3）比较与评价。按招标文件中规定的评标方法和标准，对资格审查和符合性审查合格的投标文件进行商务和技术评估，综合比较与评价。</w:t>
      </w:r>
    </w:p>
    <w:p>
      <w:pPr>
        <w:pStyle w:val="13"/>
        <w:adjustRightInd w:val="0"/>
        <w:snapToGrid w:val="0"/>
        <w:spacing w:before="156" w:after="156" w:line="440" w:lineRule="atLeast"/>
        <w:ind w:firstLine="440" w:firstLineChars="200"/>
        <w:rPr>
          <w:rFonts w:hAnsi="宋体"/>
          <w:b/>
          <w:bCs/>
          <w:sz w:val="22"/>
          <w:szCs w:val="22"/>
        </w:rPr>
      </w:pPr>
      <w:r>
        <w:rPr>
          <w:rFonts w:hint="eastAsia" w:hAnsi="宋体"/>
          <w:sz w:val="22"/>
          <w:szCs w:val="22"/>
        </w:rPr>
        <w:t>3.3、▲</w:t>
      </w:r>
      <w:r>
        <w:rPr>
          <w:rFonts w:hint="eastAsia" w:hAnsi="宋体"/>
          <w:b/>
          <w:bCs/>
          <w:sz w:val="22"/>
          <w:szCs w:val="22"/>
        </w:rPr>
        <w:t>投标供应商存在下列情况之一的，投标无效：</w:t>
      </w:r>
    </w:p>
    <w:p>
      <w:pPr>
        <w:pStyle w:val="13"/>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1</w:t>
      </w:r>
      <w:r>
        <w:rPr>
          <w:rFonts w:hAnsi="宋体"/>
          <w:b/>
          <w:bCs/>
          <w:sz w:val="22"/>
          <w:szCs w:val="22"/>
        </w:rPr>
        <w:t>）投标文件未按招标文件要求签署</w:t>
      </w:r>
      <w:r>
        <w:rPr>
          <w:rFonts w:hint="eastAsia" w:hAnsi="宋体"/>
          <w:b/>
          <w:bCs/>
          <w:sz w:val="22"/>
          <w:szCs w:val="22"/>
        </w:rPr>
        <w:t>或</w:t>
      </w:r>
      <w:r>
        <w:rPr>
          <w:rFonts w:hAnsi="宋体"/>
          <w:b/>
          <w:bCs/>
          <w:sz w:val="22"/>
          <w:szCs w:val="22"/>
        </w:rPr>
        <w:t>CA电子签章的；</w:t>
      </w:r>
    </w:p>
    <w:p>
      <w:pPr>
        <w:pStyle w:val="13"/>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2</w:t>
      </w:r>
      <w:r>
        <w:rPr>
          <w:rFonts w:hAnsi="宋体"/>
          <w:b/>
          <w:bCs/>
          <w:sz w:val="22"/>
          <w:szCs w:val="22"/>
        </w:rPr>
        <w:t>）不具备招标文件中规定的资格要求的；</w:t>
      </w:r>
    </w:p>
    <w:p>
      <w:pPr>
        <w:pStyle w:val="13"/>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3</w:t>
      </w:r>
      <w:r>
        <w:rPr>
          <w:rFonts w:hAnsi="宋体"/>
          <w:b/>
          <w:bCs/>
          <w:sz w:val="22"/>
          <w:szCs w:val="22"/>
        </w:rPr>
        <w:t>）报价超过招标文件中规定的预算金额或者最高限价的；</w:t>
      </w:r>
    </w:p>
    <w:p>
      <w:pPr>
        <w:pStyle w:val="13"/>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4）</w:t>
      </w:r>
      <w:r>
        <w:rPr>
          <w:rFonts w:hint="eastAsia"/>
          <w:b/>
          <w:bCs/>
          <w:sz w:val="22"/>
          <w:szCs w:val="22"/>
        </w:rPr>
        <w:t>未按招标文件要求提供投入人员数量的；</w:t>
      </w:r>
    </w:p>
    <w:p>
      <w:pPr>
        <w:pStyle w:val="13"/>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5</w:t>
      </w:r>
      <w:r>
        <w:rPr>
          <w:rFonts w:hAnsi="宋体"/>
          <w:b/>
          <w:bCs/>
          <w:sz w:val="22"/>
          <w:szCs w:val="22"/>
        </w:rPr>
        <w:t>）供应商递交两份或两份以上内容不同的投标文件，未声明哪一份有效的；</w:t>
      </w:r>
    </w:p>
    <w:p>
      <w:pPr>
        <w:pStyle w:val="13"/>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6）</w:t>
      </w:r>
      <w:r>
        <w:rPr>
          <w:rFonts w:hAnsi="宋体"/>
          <w:b/>
          <w:bCs/>
          <w:sz w:val="22"/>
          <w:szCs w:val="22"/>
        </w:rPr>
        <w:t>对关键条文的偏离、保留或反对，例如关于付款方式、</w:t>
      </w:r>
      <w:r>
        <w:rPr>
          <w:rFonts w:hint="eastAsia" w:hAnsi="宋体"/>
          <w:b/>
          <w:bCs/>
          <w:sz w:val="22"/>
          <w:szCs w:val="22"/>
        </w:rPr>
        <w:t>服务期、</w:t>
      </w:r>
      <w:r>
        <w:rPr>
          <w:rFonts w:hAnsi="宋体"/>
          <w:b/>
          <w:bCs/>
          <w:sz w:val="22"/>
          <w:szCs w:val="22"/>
        </w:rPr>
        <w:t>适用法律法规、标准、税费等其他内容；</w:t>
      </w:r>
    </w:p>
    <w:p>
      <w:pPr>
        <w:pStyle w:val="13"/>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7</w:t>
      </w:r>
      <w:r>
        <w:rPr>
          <w:rFonts w:hAnsi="宋体"/>
          <w:b/>
          <w:bCs/>
          <w:sz w:val="22"/>
          <w:szCs w:val="22"/>
        </w:rPr>
        <w:t>）存在串标、抬标或弄虚作假情况的</w:t>
      </w:r>
      <w:r>
        <w:rPr>
          <w:rFonts w:hint="eastAsia" w:hAnsi="宋体"/>
          <w:b/>
          <w:bCs/>
          <w:sz w:val="22"/>
          <w:szCs w:val="22"/>
        </w:rPr>
        <w:t>；</w:t>
      </w:r>
    </w:p>
    <w:p>
      <w:pPr>
        <w:pStyle w:val="13"/>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8</w:t>
      </w:r>
      <w:r>
        <w:rPr>
          <w:rFonts w:hAnsi="宋体"/>
          <w:b/>
          <w:bCs/>
          <w:sz w:val="22"/>
          <w:szCs w:val="22"/>
        </w:rPr>
        <w:t>）参与本项目的不同供应商单位负责人为同一人或者存在直接控股、管理关系的；</w:t>
      </w:r>
    </w:p>
    <w:p>
      <w:pPr>
        <w:pStyle w:val="13"/>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9</w:t>
      </w:r>
      <w:r>
        <w:rPr>
          <w:rFonts w:hAnsi="宋体"/>
          <w:b/>
          <w:bCs/>
          <w:sz w:val="22"/>
          <w:szCs w:val="22"/>
        </w:rPr>
        <w:t>）供应商的资格文件或者商务技术文件中出现投标报价的；</w:t>
      </w:r>
    </w:p>
    <w:p>
      <w:pPr>
        <w:pStyle w:val="13"/>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10</w:t>
      </w:r>
      <w:r>
        <w:rPr>
          <w:rFonts w:hAnsi="宋体"/>
          <w:b/>
          <w:bCs/>
          <w:sz w:val="22"/>
          <w:szCs w:val="22"/>
        </w:rPr>
        <w:t>）投标供应商在线制作投标文件时《开标一览表》中填写的金额与解密后“电子加密投标文件”中《开标一览表》填写的金额不一致并拒绝按招标文件要求接受此调整的；</w:t>
      </w:r>
    </w:p>
    <w:p>
      <w:pPr>
        <w:pStyle w:val="13"/>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11</w:t>
      </w:r>
      <w:r>
        <w:rPr>
          <w:rFonts w:hAnsi="宋体"/>
          <w:b/>
          <w:bCs/>
          <w:sz w:val="22"/>
          <w:szCs w:val="22"/>
        </w:rPr>
        <w:t>）法律、法规和招标文件规定的其他无效情形（或出现重大偏差）。</w:t>
      </w:r>
    </w:p>
    <w:p>
      <w:pPr>
        <w:pStyle w:val="13"/>
        <w:adjustRightInd w:val="0"/>
        <w:snapToGrid w:val="0"/>
        <w:spacing w:before="156" w:after="156" w:line="440" w:lineRule="exact"/>
        <w:ind w:firstLine="440" w:firstLineChars="200"/>
        <w:rPr>
          <w:rFonts w:hAnsi="宋体"/>
          <w:sz w:val="22"/>
          <w:szCs w:val="22"/>
        </w:rPr>
      </w:pPr>
      <w:r>
        <w:rPr>
          <w:rFonts w:hint="eastAsia" w:hAnsi="宋体"/>
          <w:sz w:val="22"/>
          <w:szCs w:val="22"/>
        </w:rPr>
        <w:t>3</w:t>
      </w:r>
      <w:r>
        <w:rPr>
          <w:rFonts w:hAnsi="宋体"/>
          <w:sz w:val="22"/>
          <w:szCs w:val="22"/>
        </w:rPr>
        <w:t>.4 ▲</w:t>
      </w:r>
      <w:r>
        <w:rPr>
          <w:rFonts w:hAnsi="宋体"/>
          <w:b/>
          <w:bCs/>
          <w:sz w:val="22"/>
          <w:szCs w:val="22"/>
        </w:rPr>
        <w:t>评标委员会发现投标文件有下列情形之一的属于重大偏差(评标委员会按少数服从多数原则认定),按照无效投标处理：</w:t>
      </w:r>
    </w:p>
    <w:p>
      <w:pPr>
        <w:pStyle w:val="13"/>
        <w:adjustRightInd w:val="0"/>
        <w:snapToGrid w:val="0"/>
        <w:spacing w:before="156" w:after="156" w:line="240" w:lineRule="auto"/>
        <w:ind w:firstLine="440" w:firstLineChars="200"/>
        <w:rPr>
          <w:rFonts w:hAnsi="宋体"/>
          <w:sz w:val="22"/>
          <w:szCs w:val="22"/>
        </w:rPr>
      </w:pPr>
      <w:r>
        <w:rPr>
          <w:rFonts w:hAnsi="宋体"/>
          <w:sz w:val="22"/>
          <w:szCs w:val="22"/>
        </w:rPr>
        <w:t>1）未按招标文件要求编制或字迹模糊、辨认不清的投标文件；</w:t>
      </w:r>
    </w:p>
    <w:p>
      <w:pPr>
        <w:pStyle w:val="13"/>
        <w:adjustRightInd w:val="0"/>
        <w:snapToGrid w:val="0"/>
        <w:spacing w:before="156" w:after="156" w:line="240" w:lineRule="auto"/>
        <w:ind w:firstLine="440" w:firstLineChars="200"/>
        <w:rPr>
          <w:rFonts w:hAnsi="宋体"/>
          <w:sz w:val="22"/>
          <w:szCs w:val="22"/>
        </w:rPr>
      </w:pPr>
      <w:r>
        <w:rPr>
          <w:rFonts w:hAnsi="宋体"/>
          <w:sz w:val="22"/>
          <w:szCs w:val="22"/>
        </w:rPr>
        <w:t>2）除3.3条款以外，明显不符合招标文件</w:t>
      </w:r>
      <w:r>
        <w:rPr>
          <w:rFonts w:hint="eastAsia" w:hAnsi="宋体"/>
          <w:sz w:val="22"/>
          <w:szCs w:val="22"/>
        </w:rPr>
        <w:t>要求</w:t>
      </w:r>
      <w:r>
        <w:rPr>
          <w:rFonts w:hAnsi="宋体"/>
          <w:sz w:val="22"/>
          <w:szCs w:val="22"/>
        </w:rPr>
        <w:t>的规格型号、质量标准，或者</w:t>
      </w:r>
      <w:r>
        <w:rPr>
          <w:rFonts w:hint="eastAsia" w:hAnsi="宋体"/>
          <w:sz w:val="22"/>
          <w:szCs w:val="22"/>
        </w:rPr>
        <w:t>与</w:t>
      </w:r>
      <w:r>
        <w:rPr>
          <w:rFonts w:hAnsi="宋体"/>
          <w:sz w:val="22"/>
          <w:szCs w:val="22"/>
        </w:rPr>
        <w:t>招标文件中标“</w:t>
      </w:r>
      <w:r>
        <w:rPr>
          <w:rFonts w:hint="eastAsia" w:hAnsi="宋体"/>
          <w:sz w:val="22"/>
          <w:szCs w:val="22"/>
        </w:rPr>
        <w:t>★</w:t>
      </w:r>
      <w:r>
        <w:rPr>
          <w:rFonts w:hAnsi="宋体"/>
          <w:sz w:val="22"/>
          <w:szCs w:val="22"/>
        </w:rPr>
        <w:t xml:space="preserve">”的技术指标、主要功能项目发生实质性偏离的； </w:t>
      </w:r>
    </w:p>
    <w:p>
      <w:pPr>
        <w:pStyle w:val="13"/>
        <w:adjustRightInd w:val="0"/>
        <w:snapToGrid w:val="0"/>
        <w:spacing w:before="156" w:after="156" w:line="240" w:lineRule="auto"/>
        <w:ind w:firstLine="440" w:firstLineChars="200"/>
        <w:rPr>
          <w:rFonts w:hAnsi="宋体"/>
          <w:sz w:val="22"/>
          <w:szCs w:val="22"/>
        </w:rPr>
      </w:pPr>
      <w:r>
        <w:rPr>
          <w:rFonts w:hint="eastAsia" w:hAnsi="宋体"/>
          <w:sz w:val="22"/>
          <w:szCs w:val="22"/>
        </w:rPr>
        <w:t>3</w:t>
      </w:r>
      <w:r>
        <w:rPr>
          <w:rFonts w:hAnsi="宋体"/>
          <w:sz w:val="22"/>
          <w:szCs w:val="22"/>
        </w:rPr>
        <w:t>）除3.3条款以外，未提供或未如实提供投标货物的技术参数，或者投标文件标明的响应或偏离与事实不符或虚假投标的；</w:t>
      </w:r>
    </w:p>
    <w:p>
      <w:pPr>
        <w:pStyle w:val="13"/>
        <w:adjustRightInd w:val="0"/>
        <w:snapToGrid w:val="0"/>
        <w:spacing w:before="156" w:after="156" w:line="240" w:lineRule="auto"/>
        <w:ind w:firstLine="440" w:firstLineChars="200"/>
        <w:rPr>
          <w:rFonts w:hAnsi="宋体"/>
          <w:sz w:val="22"/>
          <w:szCs w:val="22"/>
        </w:rPr>
      </w:pPr>
      <w:r>
        <w:rPr>
          <w:rFonts w:hint="eastAsia" w:hAnsi="宋体"/>
          <w:sz w:val="22"/>
          <w:szCs w:val="22"/>
        </w:rPr>
        <w:t>4</w:t>
      </w:r>
      <w:r>
        <w:rPr>
          <w:rFonts w:hAnsi="宋体"/>
          <w:sz w:val="22"/>
          <w:szCs w:val="22"/>
        </w:rPr>
        <w:t>）</w:t>
      </w:r>
      <w:r>
        <w:rPr>
          <w:rFonts w:hint="eastAsia" w:hAnsi="宋体"/>
          <w:sz w:val="22"/>
          <w:szCs w:val="22"/>
        </w:rPr>
        <w:t>与其他参加本次投标供应商的投标文件（技术文件）的文字表述内容相同连续20行以上或者差错相同2处以上的（招标文件中复制粘贴而来的除外）。</w:t>
      </w:r>
    </w:p>
    <w:p>
      <w:pPr>
        <w:pStyle w:val="13"/>
        <w:adjustRightInd w:val="0"/>
        <w:snapToGrid w:val="0"/>
        <w:spacing w:before="156" w:after="156" w:line="460" w:lineRule="exact"/>
        <w:ind w:firstLine="440" w:firstLineChars="200"/>
        <w:rPr>
          <w:rFonts w:hAnsi="宋体"/>
          <w:b/>
          <w:bCs/>
          <w:sz w:val="22"/>
          <w:szCs w:val="22"/>
        </w:rPr>
      </w:pPr>
      <w:r>
        <w:rPr>
          <w:rFonts w:hint="eastAsia" w:hAnsi="宋体"/>
          <w:sz w:val="22"/>
          <w:szCs w:val="22"/>
        </w:rPr>
        <w:t>3.5、</w:t>
      </w:r>
      <w:r>
        <w:rPr>
          <w:rFonts w:hint="eastAsia" w:hAnsi="宋体"/>
          <w:b/>
          <w:bCs/>
          <w:sz w:val="22"/>
          <w:szCs w:val="22"/>
        </w:rPr>
        <w:t>本次采购，如果投标供应商的投标报价均超出采购预算，本次招标做流标处理。</w:t>
      </w:r>
    </w:p>
    <w:p>
      <w:pPr>
        <w:pStyle w:val="13"/>
        <w:adjustRightInd w:val="0"/>
        <w:snapToGrid w:val="0"/>
        <w:spacing w:before="156" w:after="156" w:line="460" w:lineRule="exact"/>
        <w:ind w:firstLine="440" w:firstLineChars="200"/>
        <w:rPr>
          <w:rFonts w:hAnsi="宋体"/>
          <w:sz w:val="22"/>
          <w:szCs w:val="22"/>
        </w:rPr>
      </w:pPr>
      <w:r>
        <w:rPr>
          <w:rFonts w:hint="eastAsia" w:hAnsi="宋体"/>
          <w:sz w:val="22"/>
          <w:szCs w:val="22"/>
        </w:rPr>
        <w:t>3.6、开启投标供应商报价文件后发现价格、数量有误，其投标价将按下述原则处理：</w:t>
      </w:r>
    </w:p>
    <w:p>
      <w:pPr>
        <w:adjustRightInd w:val="0"/>
        <w:snapToGrid w:val="0"/>
        <w:ind w:firstLine="440" w:firstLineChars="200"/>
        <w:rPr>
          <w:rFonts w:ascii="宋体"/>
          <w:sz w:val="22"/>
        </w:rPr>
      </w:pPr>
      <w:r>
        <w:rPr>
          <w:rFonts w:ascii="宋体"/>
          <w:sz w:val="22"/>
        </w:rPr>
        <w:t>1) 任何有漏去一些小项货物或服务的投标将被视为其费用已包含在投标总价中，投标价格不予调整。</w:t>
      </w:r>
    </w:p>
    <w:p>
      <w:pPr>
        <w:adjustRightInd w:val="0"/>
        <w:snapToGrid w:val="0"/>
        <w:ind w:firstLine="440" w:firstLineChars="200"/>
        <w:rPr>
          <w:rFonts w:ascii="宋体"/>
          <w:sz w:val="22"/>
        </w:rPr>
      </w:pPr>
      <w:r>
        <w:rPr>
          <w:rFonts w:ascii="宋体"/>
          <w:sz w:val="22"/>
        </w:rPr>
        <w:t>2) 任何有多报一些小项工程或货物的投标其投标价不予调整，如果该投标供应商中标，则合同价格必须为核减掉多报的一些小项工程或货物后的价格。</w:t>
      </w:r>
    </w:p>
    <w:p>
      <w:pPr>
        <w:adjustRightInd w:val="0"/>
        <w:snapToGrid w:val="0"/>
        <w:ind w:firstLine="440" w:firstLineChars="200"/>
        <w:rPr>
          <w:rFonts w:ascii="宋体"/>
          <w:sz w:val="22"/>
        </w:rPr>
      </w:pPr>
      <w:r>
        <w:rPr>
          <w:rFonts w:ascii="宋体"/>
          <w:sz w:val="22"/>
        </w:rPr>
        <w:t>3）</w:t>
      </w:r>
      <w:r>
        <w:rPr>
          <w:rFonts w:hint="eastAsia" w:ascii="宋体"/>
          <w:sz w:val="22"/>
        </w:rPr>
        <w:t>对于计算错误的其投标价不予调整，如果该投标供应商中标，如其投标价格计算错误导致多报者合同价格予以据实核减，少报者合同价格不予调整。</w:t>
      </w:r>
    </w:p>
    <w:p>
      <w:pPr>
        <w:pStyle w:val="13"/>
        <w:adjustRightInd w:val="0"/>
        <w:snapToGrid w:val="0"/>
        <w:spacing w:before="156" w:after="156" w:line="240" w:lineRule="auto"/>
        <w:ind w:firstLine="431" w:firstLineChars="196"/>
        <w:rPr>
          <w:rFonts w:hAnsi="宋体"/>
          <w:sz w:val="22"/>
        </w:rPr>
      </w:pPr>
      <w:r>
        <w:rPr>
          <w:rFonts w:hAnsi="宋体"/>
          <w:sz w:val="22"/>
        </w:rPr>
        <w:t>4）对于计算错误，多报或漏报的一些小项工程或货物、服务的仅仅为非实质性重大偏差范围内的偏离，并经过评标委员会按少数服从多数原则认定为细微偏差，评审时其投标价不予调整。</w:t>
      </w:r>
    </w:p>
    <w:p>
      <w:pPr>
        <w:pStyle w:val="13"/>
        <w:adjustRightInd w:val="0"/>
        <w:snapToGrid w:val="0"/>
        <w:spacing w:before="156" w:after="156" w:line="240" w:lineRule="auto"/>
        <w:ind w:firstLine="431" w:firstLineChars="196"/>
        <w:rPr>
          <w:rFonts w:hAnsi="宋体"/>
          <w:sz w:val="22"/>
          <w:szCs w:val="22"/>
        </w:rPr>
      </w:pPr>
      <w:r>
        <w:rPr>
          <w:rFonts w:hint="eastAsia" w:hAnsi="宋体"/>
          <w:sz w:val="22"/>
        </w:rPr>
        <w:t>5）</w:t>
      </w:r>
      <w:r>
        <w:rPr>
          <w:rFonts w:hint="eastAsia" w:hAnsi="宋体"/>
          <w:b/>
          <w:bCs/>
          <w:sz w:val="22"/>
        </w:rPr>
        <w:t>供应商不接受上述处理方式，将按无效投标处理</w:t>
      </w:r>
      <w:r>
        <w:rPr>
          <w:rFonts w:hAnsi="宋体"/>
          <w:b/>
          <w:bCs/>
          <w:sz w:val="22"/>
        </w:rPr>
        <w:t>。</w:t>
      </w:r>
    </w:p>
    <w:p>
      <w:pPr>
        <w:adjustRightInd w:val="0"/>
        <w:snapToGrid w:val="0"/>
        <w:spacing w:line="460" w:lineRule="exact"/>
        <w:ind w:firstLine="440" w:firstLineChars="200"/>
        <w:rPr>
          <w:rFonts w:ascii="宋体"/>
          <w:b/>
          <w:bCs/>
          <w:sz w:val="22"/>
        </w:rPr>
      </w:pPr>
      <w:r>
        <w:rPr>
          <w:rFonts w:hint="eastAsia" w:ascii="宋体"/>
          <w:sz w:val="22"/>
        </w:rPr>
        <w:t>3</w:t>
      </w:r>
      <w:r>
        <w:rPr>
          <w:rFonts w:ascii="宋体"/>
          <w:sz w:val="22"/>
        </w:rPr>
        <w:t>.</w:t>
      </w:r>
      <w:r>
        <w:rPr>
          <w:rFonts w:hint="eastAsia" w:ascii="宋体"/>
          <w:sz w:val="22"/>
        </w:rPr>
        <w:t>7、</w:t>
      </w:r>
      <w:r>
        <w:rPr>
          <w:rFonts w:ascii="宋体"/>
          <w:b/>
          <w:bCs/>
          <w:sz w:val="22"/>
        </w:rPr>
        <w:t>评标委员会认为投标</w:t>
      </w:r>
      <w:r>
        <w:rPr>
          <w:rFonts w:hint="eastAsia" w:ascii="宋体"/>
          <w:b/>
          <w:bCs/>
          <w:sz w:val="22"/>
        </w:rPr>
        <w:t>供应商</w:t>
      </w:r>
      <w:r>
        <w:rPr>
          <w:rFonts w:ascii="宋体"/>
          <w:b/>
          <w:bCs/>
          <w:sz w:val="22"/>
        </w:rPr>
        <w:t>的报价明显低于其他通过符合性审查投标</w:t>
      </w:r>
      <w:r>
        <w:rPr>
          <w:rFonts w:hint="eastAsia" w:ascii="宋体"/>
          <w:b/>
          <w:bCs/>
          <w:sz w:val="22"/>
        </w:rPr>
        <w:t>供应商</w:t>
      </w:r>
      <w:r>
        <w:rPr>
          <w:rFonts w:ascii="宋体"/>
          <w:b/>
          <w:bCs/>
          <w:sz w:val="22"/>
        </w:rPr>
        <w:t>的报价，有可能影响产品质量或者不能诚信履约的，应当要求其在合理的时间内提供说明，必要时提交相关证明材料；投标</w:t>
      </w:r>
      <w:r>
        <w:rPr>
          <w:rFonts w:hint="eastAsia" w:ascii="宋体"/>
          <w:b/>
          <w:bCs/>
          <w:sz w:val="22"/>
        </w:rPr>
        <w:t>供应商</w:t>
      </w:r>
      <w:r>
        <w:rPr>
          <w:rFonts w:ascii="宋体"/>
          <w:b/>
          <w:bCs/>
          <w:sz w:val="22"/>
        </w:rPr>
        <w:t>不能证明其报价合理性的，评标委员会应当将其作为无效投标处理。</w:t>
      </w:r>
    </w:p>
    <w:p>
      <w:pPr>
        <w:adjustRightInd w:val="0"/>
        <w:snapToGrid w:val="0"/>
        <w:spacing w:line="460" w:lineRule="exact"/>
        <w:ind w:firstLine="440" w:firstLineChars="200"/>
        <w:rPr>
          <w:rFonts w:ascii="宋体" w:cs="Arial"/>
          <w:sz w:val="22"/>
        </w:rPr>
      </w:pPr>
      <w:r>
        <w:rPr>
          <w:rFonts w:hint="eastAsia" w:ascii="宋体"/>
          <w:sz w:val="22"/>
        </w:rPr>
        <w:t>3.8、</w:t>
      </w:r>
      <w:r>
        <w:rPr>
          <w:rFonts w:hint="eastAsia" w:ascii="宋体" w:cs="Arial"/>
          <w:b/>
          <w:bCs/>
          <w:sz w:val="22"/>
        </w:rPr>
        <w:t>评标过程中遇到特殊情况，由评标委员会遵循公开、公正原则，采取投票方式按照少数服从多数原则决定。</w:t>
      </w:r>
    </w:p>
    <w:p>
      <w:pPr>
        <w:adjustRightInd w:val="0"/>
        <w:snapToGrid w:val="0"/>
        <w:spacing w:line="440" w:lineRule="exact"/>
        <w:ind w:firstLine="440" w:firstLineChars="200"/>
        <w:rPr>
          <w:rFonts w:ascii="宋体"/>
          <w:sz w:val="22"/>
        </w:rPr>
      </w:pPr>
      <w:r>
        <w:rPr>
          <w:rFonts w:hint="eastAsia" w:ascii="宋体"/>
          <w:sz w:val="22"/>
        </w:rPr>
        <w:t>3.9、实质上没有响应招标文件要求的投标将被拒绝。评标委员会不得通过询标使投标供应商修正或撤消不合要求的偏离从而使其投标成为实质上响应的投标。</w:t>
      </w:r>
    </w:p>
    <w:p>
      <w:pPr>
        <w:adjustRightInd w:val="0"/>
        <w:snapToGrid w:val="0"/>
        <w:spacing w:line="440" w:lineRule="exact"/>
        <w:ind w:firstLine="440" w:firstLineChars="200"/>
        <w:rPr>
          <w:rFonts w:ascii="宋体"/>
          <w:sz w:val="22"/>
        </w:rPr>
      </w:pPr>
      <w:r>
        <w:rPr>
          <w:rFonts w:hint="eastAsia" w:ascii="宋体"/>
          <w:sz w:val="22"/>
        </w:rPr>
        <w:t>3.10、评标委员会对投标文件的判定，只依据投标内容本身，不依靠开标后的任何外来证明。</w:t>
      </w:r>
    </w:p>
    <w:p>
      <w:pPr>
        <w:adjustRightInd w:val="0"/>
        <w:snapToGrid w:val="0"/>
        <w:spacing w:line="440" w:lineRule="exact"/>
        <w:ind w:firstLine="440" w:firstLineChars="200"/>
        <w:rPr>
          <w:rFonts w:ascii="宋体"/>
          <w:sz w:val="22"/>
        </w:rPr>
      </w:pPr>
      <w:r>
        <w:rPr>
          <w:rFonts w:hint="eastAsia" w:ascii="宋体"/>
          <w:sz w:val="22"/>
        </w:rPr>
        <w:t>3.11、评标委员会在评标中，不得改变招标文件中规定的评标标准、方法和中标条件。</w:t>
      </w:r>
    </w:p>
    <w:p>
      <w:pPr>
        <w:adjustRightInd w:val="0"/>
        <w:snapToGrid w:val="0"/>
        <w:spacing w:line="440" w:lineRule="exact"/>
        <w:ind w:firstLine="440" w:firstLineChars="200"/>
        <w:rPr>
          <w:rFonts w:ascii="宋体"/>
          <w:b/>
          <w:bCs/>
          <w:sz w:val="22"/>
        </w:rPr>
      </w:pPr>
      <w:r>
        <w:rPr>
          <w:rFonts w:hint="eastAsia" w:ascii="宋体"/>
          <w:sz w:val="22"/>
        </w:rPr>
        <w:t>3</w:t>
      </w:r>
      <w:r>
        <w:rPr>
          <w:rFonts w:ascii="宋体"/>
          <w:sz w:val="22"/>
        </w:rPr>
        <w:t>.</w:t>
      </w:r>
      <w:r>
        <w:rPr>
          <w:rFonts w:hint="eastAsia" w:ascii="宋体"/>
          <w:sz w:val="22"/>
        </w:rPr>
        <w:t>12、</w:t>
      </w:r>
      <w:r>
        <w:rPr>
          <w:rFonts w:ascii="宋体"/>
          <w:b/>
          <w:bCs/>
          <w:sz w:val="22"/>
        </w:rPr>
        <w:t>评标委员会对未中标的供应商不作解释。同时根据政府采购法实施条例第四十条规定，本项目不对各投标供应商公布详细的评审情况，不公布具体评标细则中小项得分。</w:t>
      </w:r>
    </w:p>
    <w:p>
      <w:pPr>
        <w:pStyle w:val="13"/>
        <w:adjustRightInd w:val="0"/>
        <w:snapToGrid w:val="0"/>
        <w:spacing w:before="156" w:after="156" w:line="460" w:lineRule="atLeast"/>
        <w:rPr>
          <w:rFonts w:hAnsi="宋体"/>
          <w:sz w:val="22"/>
          <w:szCs w:val="22"/>
        </w:rPr>
      </w:pPr>
      <w:r>
        <w:rPr>
          <w:rFonts w:hint="eastAsia" w:hAnsi="宋体"/>
          <w:sz w:val="22"/>
          <w:szCs w:val="22"/>
        </w:rPr>
        <w:t xml:space="preserve">  </w:t>
      </w:r>
      <w:r>
        <w:rPr>
          <w:rFonts w:hAnsi="宋体"/>
          <w:sz w:val="22"/>
          <w:szCs w:val="22"/>
        </w:rPr>
        <w:t>4、投标文件的澄清</w:t>
      </w:r>
    </w:p>
    <w:p>
      <w:pPr>
        <w:adjustRightInd w:val="0"/>
        <w:snapToGrid w:val="0"/>
        <w:spacing w:line="460" w:lineRule="atLeast"/>
        <w:ind w:firstLine="440" w:firstLineChars="200"/>
        <w:rPr>
          <w:rFonts w:ascii="宋体"/>
          <w:sz w:val="22"/>
        </w:rPr>
      </w:pPr>
      <w:r>
        <w:rPr>
          <w:rFonts w:hint="eastAsia" w:ascii="宋体"/>
          <w:sz w:val="22"/>
        </w:rPr>
        <w:t>4.1、为有利于对投标文件的评审，必要时评标委员会可要求投标供应商对投标文件相关事宜进行澄清。评标委员会将通过“政府采购云平台”在线询标的形式要求</w:t>
      </w:r>
      <w:r>
        <w:rPr>
          <w:rFonts w:ascii="宋体"/>
          <w:sz w:val="22"/>
        </w:rPr>
        <w:t>投标供应商</w:t>
      </w:r>
      <w:r>
        <w:rPr>
          <w:rFonts w:hint="eastAsia" w:ascii="宋体"/>
          <w:sz w:val="22"/>
        </w:rPr>
        <w:t>在规定的时间内作出必要的澄清、说明，供投标供应商澄清、说明时间不多于30分钟，投标供应商未在规定的时间内作出必要的澄清、说明可能导致对其不利的评定。</w:t>
      </w:r>
    </w:p>
    <w:p>
      <w:pPr>
        <w:adjustRightInd w:val="0"/>
        <w:snapToGrid w:val="0"/>
        <w:spacing w:line="460" w:lineRule="atLeast"/>
        <w:ind w:firstLine="440" w:firstLineChars="200"/>
        <w:rPr>
          <w:rFonts w:ascii="宋体"/>
          <w:sz w:val="22"/>
        </w:rPr>
      </w:pPr>
      <w:r>
        <w:rPr>
          <w:rFonts w:hint="eastAsia" w:ascii="宋体"/>
          <w:sz w:val="22"/>
        </w:rPr>
        <w:t>4.2、</w:t>
      </w:r>
      <w:r>
        <w:rPr>
          <w:rFonts w:ascii="宋体"/>
          <w:sz w:val="22"/>
        </w:rPr>
        <w:t>投标供应商</w:t>
      </w:r>
      <w:r>
        <w:rPr>
          <w:rFonts w:hint="eastAsia" w:ascii="宋体"/>
          <w:sz w:val="22"/>
        </w:rPr>
        <w:t>的澄清、说明应当通过“政府采购云平台”在线答复形式提交。</w:t>
      </w:r>
      <w:r>
        <w:rPr>
          <w:rFonts w:ascii="宋体"/>
          <w:sz w:val="22"/>
        </w:rPr>
        <w:t>投标供应商</w:t>
      </w:r>
      <w:r>
        <w:rPr>
          <w:rFonts w:hint="eastAsia" w:ascii="宋体"/>
          <w:sz w:val="22"/>
        </w:rPr>
        <w:t xml:space="preserve">的澄清、说明不得超出投标文件的范围或者改变投标文件的实质性内容。 </w:t>
      </w:r>
    </w:p>
    <w:p>
      <w:pPr>
        <w:snapToGrid w:val="0"/>
        <w:spacing w:line="440" w:lineRule="exact"/>
        <w:ind w:firstLine="431" w:firstLineChars="196"/>
        <w:rPr>
          <w:rFonts w:ascii="宋体"/>
          <w:sz w:val="22"/>
        </w:rPr>
      </w:pPr>
      <w:r>
        <w:rPr>
          <w:rFonts w:hint="eastAsia" w:ascii="宋体"/>
          <w:sz w:val="22"/>
        </w:rPr>
        <w:t>5</w:t>
      </w:r>
      <w:r>
        <w:rPr>
          <w:rFonts w:ascii="宋体"/>
          <w:sz w:val="22"/>
        </w:rPr>
        <w:t>、有下列情形之一的，视为投标供应商相互串通投标：</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.1</w:t>
      </w:r>
      <w:r>
        <w:rPr>
          <w:rFonts w:hint="eastAsia" w:ascii="宋体"/>
          <w:sz w:val="22"/>
        </w:rPr>
        <w:t>、</w:t>
      </w:r>
      <w:r>
        <w:rPr>
          <w:rFonts w:ascii="宋体"/>
          <w:sz w:val="22"/>
        </w:rPr>
        <w:t>不同投标供应商的投标文件由同一单位或者个人编制；</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.2</w:t>
      </w:r>
      <w:r>
        <w:rPr>
          <w:rFonts w:hint="eastAsia" w:ascii="宋体"/>
          <w:sz w:val="22"/>
        </w:rPr>
        <w:t>、</w:t>
      </w:r>
      <w:r>
        <w:rPr>
          <w:rFonts w:ascii="宋体"/>
          <w:sz w:val="22"/>
        </w:rPr>
        <w:t>不同投标供应商委托同一单位或者个人办理投标事宜；</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.3</w:t>
      </w:r>
      <w:r>
        <w:rPr>
          <w:rFonts w:hint="eastAsia" w:ascii="宋体"/>
          <w:sz w:val="22"/>
        </w:rPr>
        <w:t>、</w:t>
      </w:r>
      <w:r>
        <w:rPr>
          <w:rFonts w:ascii="宋体"/>
          <w:sz w:val="22"/>
        </w:rPr>
        <w:t>不同投标供应商的投标文件载明的项目管理成员为同一人；</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.4</w:t>
      </w:r>
      <w:r>
        <w:rPr>
          <w:rFonts w:hint="eastAsia" w:ascii="宋体"/>
          <w:sz w:val="22"/>
        </w:rPr>
        <w:t>、</w:t>
      </w:r>
      <w:r>
        <w:rPr>
          <w:rFonts w:ascii="宋体"/>
          <w:sz w:val="22"/>
        </w:rPr>
        <w:t>不同投标供应商的投标文件异常一致或者投标报价呈规律性差异。</w:t>
      </w:r>
    </w:p>
    <w:p>
      <w:pPr>
        <w:snapToGrid w:val="0"/>
        <w:spacing w:line="440" w:lineRule="exact"/>
        <w:ind w:firstLine="431" w:firstLineChars="196"/>
        <w:rPr>
          <w:rFonts w:ascii="宋体"/>
          <w:sz w:val="22"/>
        </w:rPr>
      </w:pPr>
      <w:r>
        <w:rPr>
          <w:rFonts w:hint="eastAsia" w:ascii="宋体"/>
          <w:sz w:val="22"/>
        </w:rPr>
        <w:t>6、</w:t>
      </w:r>
      <w:r>
        <w:rPr>
          <w:rFonts w:ascii="宋体"/>
          <w:sz w:val="22"/>
        </w:rPr>
        <w:t>经评标委员会认定投标供应商进行串通投标的，评标委员会可以对相关投标供应商做出无效投标处理，并上报政府采购管理部门进行进一步处理。</w:t>
      </w:r>
    </w:p>
    <w:p>
      <w:pPr>
        <w:pStyle w:val="13"/>
        <w:adjustRightInd w:val="0"/>
        <w:snapToGrid w:val="0"/>
        <w:spacing w:before="156" w:after="156" w:line="440" w:lineRule="exact"/>
        <w:ind w:firstLine="440" w:firstLineChars="200"/>
        <w:rPr>
          <w:rFonts w:hAnsi="宋体"/>
          <w:sz w:val="22"/>
          <w:szCs w:val="22"/>
        </w:rPr>
      </w:pPr>
      <w:r>
        <w:rPr>
          <w:rFonts w:hint="eastAsia" w:hAnsi="宋体"/>
          <w:sz w:val="22"/>
          <w:szCs w:val="22"/>
        </w:rPr>
        <w:t>7、评标原则</w:t>
      </w:r>
    </w:p>
    <w:p>
      <w:pPr>
        <w:pStyle w:val="13"/>
        <w:adjustRightInd w:val="0"/>
        <w:snapToGrid w:val="0"/>
        <w:spacing w:before="156" w:after="156" w:line="440" w:lineRule="exact"/>
        <w:ind w:left="218" w:leftChars="104" w:firstLine="221" w:firstLineChars="100"/>
        <w:rPr>
          <w:rFonts w:hAnsi="宋体"/>
          <w:b/>
          <w:bCs/>
          <w:sz w:val="22"/>
          <w:szCs w:val="22"/>
        </w:rPr>
      </w:pPr>
      <w:r>
        <w:rPr>
          <w:rFonts w:hint="eastAsia" w:hAnsi="宋体"/>
          <w:b/>
          <w:bCs/>
          <w:sz w:val="22"/>
          <w:szCs w:val="22"/>
        </w:rPr>
        <w:t>投标截止时或评审过程中有效投标供应商不足三家的，不予开标或评标。</w:t>
      </w:r>
    </w:p>
    <w:p>
      <w:pPr>
        <w:pStyle w:val="13"/>
        <w:adjustRightInd w:val="0"/>
        <w:snapToGrid w:val="0"/>
        <w:spacing w:before="156" w:after="156" w:line="440" w:lineRule="exact"/>
        <w:ind w:left="218" w:leftChars="104" w:firstLine="220" w:firstLineChars="100"/>
        <w:rPr>
          <w:rFonts w:hAnsi="宋体" w:cs="Arial"/>
          <w:sz w:val="22"/>
        </w:rPr>
      </w:pPr>
      <w:r>
        <w:rPr>
          <w:rFonts w:hint="eastAsia" w:hAnsi="宋体"/>
          <w:sz w:val="22"/>
          <w:szCs w:val="22"/>
        </w:rPr>
        <w:t>评标委员会按照招标文件的要求和条件对投标文件进行商务和技术评估，综合比较与评价。</w:t>
      </w:r>
      <w:r>
        <w:rPr>
          <w:rFonts w:hint="eastAsia" w:hAnsi="宋体" w:cs="Arial"/>
          <w:sz w:val="22"/>
        </w:rPr>
        <w:t>评标办法具体见本招标文件第五部分。</w:t>
      </w:r>
    </w:p>
    <w:p>
      <w:pPr>
        <w:adjustRightInd w:val="0"/>
        <w:snapToGrid w:val="0"/>
        <w:spacing w:line="440" w:lineRule="exact"/>
        <w:ind w:firstLine="424" w:firstLineChars="193"/>
        <w:rPr>
          <w:rFonts w:ascii="宋体"/>
          <w:snapToGrid w:val="0"/>
          <w:sz w:val="22"/>
        </w:rPr>
      </w:pPr>
      <w:r>
        <w:rPr>
          <w:rFonts w:hint="eastAsia" w:ascii="宋体"/>
          <w:snapToGrid w:val="0"/>
          <w:sz w:val="22"/>
        </w:rPr>
        <w:t xml:space="preserve"> 8、可中止电子交易活动的情形</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采购过程中出现以下情形，导致电子交易平台无法正常运行，或者无法保证电子交易的公平、公正和安全时，采购组织机构可中止电子交易活动：</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8.1、电子交易平台发生故障而无法登录访问的；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8.2、电子交易平台应用或数据库出现错误，不能进行正常操作的；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8.3、电子交易平台发现严重安全漏洞，有潜在泄密危险的；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8.4、病毒发作导致不能进行正常操作的；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8.5、其他无法保证电子交易的公平、公正和安全的情况。</w:t>
      </w:r>
    </w:p>
    <w:p>
      <w:pPr>
        <w:pStyle w:val="12"/>
        <w:spacing w:after="0" w:line="440" w:lineRule="exact"/>
        <w:ind w:firstLine="440" w:firstLineChars="200"/>
      </w:pPr>
      <w:r>
        <w:rPr>
          <w:rFonts w:hint="eastAsia" w:ascii="宋体" w:hAnsi="宋体"/>
          <w:snapToGrid w:val="0"/>
          <w:kern w:val="0"/>
          <w:sz w:val="22"/>
        </w:rPr>
        <w:t>出现前款规定情形，不影响采购公平、公正性的，采购组织机构可以待上述情形消除后继续组织电子交易活动；影响或可能影响采购公平、公正性的，应当重新采购。</w:t>
      </w:r>
    </w:p>
    <w:p>
      <w:pPr>
        <w:snapToGrid w:val="0"/>
        <w:spacing w:line="440" w:lineRule="exact"/>
        <w:ind w:firstLine="440" w:firstLineChars="200"/>
        <w:rPr>
          <w:rFonts w:ascii="宋体"/>
          <w:sz w:val="22"/>
        </w:rPr>
      </w:pPr>
      <w:bookmarkStart w:id="50" w:name="_Toc132122121"/>
      <w:bookmarkStart w:id="51" w:name="_Toc132123840"/>
      <w:bookmarkStart w:id="52" w:name="_Toc132125153"/>
      <w:bookmarkStart w:id="53" w:name="_Toc132122418"/>
      <w:bookmarkStart w:id="54" w:name="_Toc132123636"/>
      <w:bookmarkStart w:id="55" w:name="_Toc132655778"/>
      <w:bookmarkStart w:id="56" w:name="_Toc132123441"/>
      <w:bookmarkStart w:id="57" w:name="_Toc132125097"/>
      <w:bookmarkStart w:id="58" w:name="_Toc132126156"/>
      <w:bookmarkStart w:id="59" w:name="_Toc132125039"/>
      <w:bookmarkStart w:id="60" w:name="_Toc132124596"/>
      <w:bookmarkStart w:id="61" w:name="_Toc132123883"/>
      <w:bookmarkStart w:id="62" w:name="_Toc132123549"/>
      <w:bookmarkStart w:id="63" w:name="_Toc132125576"/>
      <w:bookmarkStart w:id="64" w:name="_Toc132125985"/>
      <w:r>
        <w:rPr>
          <w:rFonts w:hint="eastAsia" w:ascii="宋体"/>
          <w:sz w:val="22"/>
        </w:rPr>
        <w:t>六、授予合同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13"/>
        <w:adjustRightInd w:val="0"/>
        <w:snapToGrid w:val="0"/>
        <w:spacing w:before="156" w:after="156" w:line="440" w:lineRule="exact"/>
        <w:ind w:firstLine="440" w:firstLineChars="200"/>
        <w:outlineLvl w:val="1"/>
        <w:rPr>
          <w:rFonts w:hAnsi="宋体"/>
          <w:sz w:val="22"/>
          <w:szCs w:val="22"/>
        </w:rPr>
      </w:pPr>
      <w:r>
        <w:rPr>
          <w:rFonts w:hint="eastAsia" w:hAnsi="宋体"/>
          <w:sz w:val="22"/>
          <w:szCs w:val="22"/>
        </w:rPr>
        <w:t>1、中标条件</w:t>
      </w:r>
    </w:p>
    <w:p>
      <w:pPr>
        <w:adjustRightInd w:val="0"/>
        <w:snapToGrid w:val="0"/>
        <w:ind w:hanging="1"/>
        <w:rPr>
          <w:rFonts w:ascii="宋体"/>
          <w:sz w:val="22"/>
        </w:rPr>
      </w:pPr>
      <w:r>
        <w:rPr>
          <w:rFonts w:hint="eastAsia" w:ascii="宋体"/>
          <w:sz w:val="22"/>
        </w:rPr>
        <w:t xml:space="preserve">    1) 投标文件基本符合招标文件要求，能够最大限度满足招标文件中规定的各项综合评价标准；</w:t>
      </w:r>
    </w:p>
    <w:p>
      <w:pPr>
        <w:pStyle w:val="13"/>
        <w:adjustRightInd w:val="0"/>
        <w:snapToGrid w:val="0"/>
        <w:spacing w:before="156" w:after="156" w:line="240" w:lineRule="auto"/>
        <w:ind w:firstLine="440" w:firstLineChars="200"/>
        <w:rPr>
          <w:rFonts w:hAnsi="宋体"/>
          <w:sz w:val="22"/>
          <w:szCs w:val="22"/>
        </w:rPr>
      </w:pPr>
      <w:r>
        <w:rPr>
          <w:rFonts w:hint="eastAsia" w:hAnsi="宋体"/>
          <w:sz w:val="22"/>
          <w:szCs w:val="22"/>
        </w:rPr>
        <w:t>2) 投标供应商有很好的执行合同的能力；</w:t>
      </w:r>
    </w:p>
    <w:p>
      <w:pPr>
        <w:pStyle w:val="13"/>
        <w:adjustRightInd w:val="0"/>
        <w:snapToGrid w:val="0"/>
        <w:spacing w:before="156" w:after="156" w:line="240" w:lineRule="auto"/>
        <w:ind w:firstLine="440"/>
        <w:rPr>
          <w:rFonts w:hAnsi="宋体"/>
          <w:sz w:val="22"/>
          <w:szCs w:val="22"/>
        </w:rPr>
      </w:pPr>
      <w:bookmarkStart w:id="65" w:name="_Toc132122122"/>
      <w:bookmarkStart w:id="66" w:name="_Toc132122419"/>
      <w:r>
        <w:rPr>
          <w:rFonts w:hint="eastAsia" w:hAnsi="宋体"/>
          <w:sz w:val="22"/>
          <w:szCs w:val="22"/>
        </w:rPr>
        <w:t>3) 投标供应商能够提供质量技术、商务经济占综合优势的产品及服务；</w:t>
      </w:r>
      <w:bookmarkEnd w:id="65"/>
      <w:bookmarkEnd w:id="66"/>
    </w:p>
    <w:p>
      <w:pPr>
        <w:pStyle w:val="13"/>
        <w:adjustRightInd w:val="0"/>
        <w:snapToGrid w:val="0"/>
        <w:spacing w:before="156" w:after="156" w:line="240" w:lineRule="auto"/>
        <w:ind w:firstLine="440"/>
        <w:rPr>
          <w:rFonts w:hAnsi="宋体"/>
          <w:sz w:val="22"/>
          <w:szCs w:val="22"/>
        </w:rPr>
      </w:pPr>
      <w:r>
        <w:rPr>
          <w:rFonts w:hAnsi="宋体"/>
          <w:sz w:val="22"/>
          <w:szCs w:val="22"/>
        </w:rPr>
        <w:t>4）中标供应商</w:t>
      </w:r>
      <w:r>
        <w:rPr>
          <w:rFonts w:hint="eastAsia" w:hAnsi="宋体"/>
          <w:sz w:val="22"/>
          <w:szCs w:val="22"/>
        </w:rPr>
        <w:t>投标</w:t>
      </w:r>
      <w:r>
        <w:rPr>
          <w:rFonts w:hAnsi="宋体"/>
          <w:sz w:val="22"/>
          <w:szCs w:val="22"/>
        </w:rPr>
        <w:t>报价为中标价，作为中标供应商与</w:t>
      </w:r>
      <w:r>
        <w:rPr>
          <w:rFonts w:hint="eastAsia" w:hAnsi="宋体"/>
          <w:sz w:val="22"/>
          <w:szCs w:val="22"/>
        </w:rPr>
        <w:t>采购人</w:t>
      </w:r>
      <w:r>
        <w:rPr>
          <w:rFonts w:hAnsi="宋体"/>
          <w:sz w:val="22"/>
          <w:szCs w:val="22"/>
        </w:rPr>
        <w:t>签订合同的合同价。</w:t>
      </w:r>
    </w:p>
    <w:p>
      <w:pPr>
        <w:pStyle w:val="13"/>
        <w:adjustRightInd w:val="0"/>
        <w:snapToGrid w:val="0"/>
        <w:spacing w:before="156" w:after="156" w:line="440" w:lineRule="exact"/>
        <w:ind w:firstLine="450"/>
        <w:rPr>
          <w:rFonts w:hAnsi="宋体"/>
          <w:sz w:val="22"/>
          <w:szCs w:val="22"/>
          <w:u w:val="single"/>
        </w:rPr>
      </w:pPr>
      <w:bookmarkStart w:id="67" w:name="_Toc132122123"/>
      <w:bookmarkStart w:id="68" w:name="_Toc132122420"/>
      <w:r>
        <w:rPr>
          <w:rFonts w:hint="eastAsia" w:hAnsi="宋体"/>
          <w:sz w:val="22"/>
          <w:szCs w:val="22"/>
        </w:rPr>
        <w:t>2、中标通知</w:t>
      </w:r>
      <w:bookmarkEnd w:id="67"/>
      <w:bookmarkEnd w:id="68"/>
    </w:p>
    <w:p>
      <w:pPr>
        <w:adjustRightInd w:val="0"/>
        <w:snapToGrid w:val="0"/>
        <w:spacing w:line="440" w:lineRule="exact"/>
        <w:ind w:firstLine="480"/>
        <w:rPr>
          <w:rFonts w:ascii="宋体"/>
          <w:sz w:val="22"/>
        </w:rPr>
      </w:pPr>
      <w:r>
        <w:rPr>
          <w:rFonts w:hint="eastAsia" w:ascii="宋体"/>
          <w:sz w:val="22"/>
        </w:rPr>
        <w:t>2.1、采购人依法确认中标供应商后</w:t>
      </w:r>
      <w:r>
        <w:rPr>
          <w:rFonts w:ascii="宋体"/>
          <w:sz w:val="22"/>
        </w:rPr>
        <w:t>，采购代理机构在浙江政府采购网公告中标结果，同时发出中标通知书，中标公告期限为1个工作日</w:t>
      </w:r>
      <w:r>
        <w:rPr>
          <w:rFonts w:hint="eastAsia" w:ascii="宋体"/>
          <w:sz w:val="22"/>
        </w:rPr>
        <w:t>。</w:t>
      </w:r>
    </w:p>
    <w:p>
      <w:pPr>
        <w:adjustRightInd w:val="0"/>
        <w:snapToGrid w:val="0"/>
        <w:spacing w:line="440" w:lineRule="exact"/>
        <w:ind w:firstLine="480"/>
        <w:rPr>
          <w:rFonts w:ascii="宋体"/>
          <w:sz w:val="22"/>
        </w:rPr>
      </w:pPr>
      <w:r>
        <w:rPr>
          <w:rFonts w:hint="eastAsia" w:ascii="宋体"/>
          <w:sz w:val="22"/>
        </w:rPr>
        <w:t>2.2、中标通知书对采购单位和中标供应商具有法律约束力。中标通知书发出后，采购人改变中标结果或者中标供应商放弃中标的，应当承担法律责任。</w:t>
      </w:r>
    </w:p>
    <w:p>
      <w:pPr>
        <w:adjustRightInd w:val="0"/>
        <w:snapToGrid w:val="0"/>
        <w:spacing w:line="440" w:lineRule="exact"/>
        <w:ind w:firstLine="480"/>
        <w:rPr>
          <w:rFonts w:ascii="宋体"/>
          <w:sz w:val="22"/>
        </w:rPr>
      </w:pPr>
      <w:r>
        <w:rPr>
          <w:rFonts w:ascii="宋体"/>
          <w:sz w:val="22"/>
        </w:rPr>
        <w:t>2.3、中标无效</w:t>
      </w:r>
    </w:p>
    <w:p>
      <w:pPr>
        <w:adjustRightInd w:val="0"/>
        <w:snapToGrid w:val="0"/>
        <w:spacing w:line="440" w:lineRule="exact"/>
        <w:ind w:firstLine="480"/>
        <w:rPr>
          <w:rFonts w:ascii="宋体"/>
          <w:sz w:val="22"/>
        </w:rPr>
      </w:pPr>
      <w:r>
        <w:rPr>
          <w:rFonts w:ascii="宋体"/>
          <w:sz w:val="22"/>
        </w:rPr>
        <w:t>1）</w:t>
      </w:r>
      <w:r>
        <w:rPr>
          <w:rFonts w:hint="eastAsia" w:ascii="宋体"/>
          <w:sz w:val="22"/>
        </w:rPr>
        <w:t>发现中标供应商资格无效或中标供应商放弃中标或拒绝与采购人签订合同的,按相关规定执行</w:t>
      </w:r>
      <w:r>
        <w:rPr>
          <w:rFonts w:ascii="宋体"/>
          <w:sz w:val="22"/>
        </w:rPr>
        <w:t>。</w:t>
      </w:r>
    </w:p>
    <w:p>
      <w:pPr>
        <w:adjustRightInd w:val="0"/>
        <w:snapToGrid w:val="0"/>
        <w:spacing w:line="440" w:lineRule="exact"/>
        <w:ind w:firstLine="480"/>
        <w:rPr>
          <w:rFonts w:ascii="宋体"/>
          <w:sz w:val="22"/>
        </w:rPr>
      </w:pPr>
      <w:r>
        <w:rPr>
          <w:rFonts w:ascii="宋体"/>
          <w:sz w:val="22"/>
        </w:rPr>
        <w:t>2）</w:t>
      </w:r>
      <w:r>
        <w:rPr>
          <w:rFonts w:hint="eastAsia" w:ascii="宋体"/>
          <w:sz w:val="22"/>
        </w:rPr>
        <w:t>有《中华人民共和国政府采购法实施条例》第七十一条、第七十二条、第七十三条、第七十四条规定的违法行为之一</w:t>
      </w:r>
      <w:r>
        <w:rPr>
          <w:rFonts w:ascii="宋体"/>
          <w:sz w:val="22"/>
        </w:rPr>
        <w:t>，由政府采购监管部门依法处理。</w:t>
      </w:r>
    </w:p>
    <w:p>
      <w:pPr>
        <w:pStyle w:val="13"/>
        <w:adjustRightInd w:val="0"/>
        <w:snapToGrid w:val="0"/>
        <w:spacing w:before="156" w:after="156" w:line="240" w:lineRule="auto"/>
        <w:rPr>
          <w:rFonts w:hAnsi="宋体"/>
          <w:sz w:val="22"/>
          <w:szCs w:val="22"/>
        </w:rPr>
      </w:pPr>
      <w:r>
        <w:rPr>
          <w:rFonts w:hint="eastAsia" w:hAnsi="宋体"/>
          <w:sz w:val="22"/>
          <w:szCs w:val="22"/>
        </w:rPr>
        <w:t xml:space="preserve">    </w:t>
      </w:r>
      <w:bookmarkStart w:id="69" w:name="_Toc132122124"/>
      <w:bookmarkStart w:id="70" w:name="_Toc132122421"/>
      <w:r>
        <w:rPr>
          <w:rFonts w:hint="eastAsia" w:hAnsi="宋体"/>
          <w:sz w:val="22"/>
          <w:szCs w:val="22"/>
        </w:rPr>
        <w:t>3、签订合同</w:t>
      </w:r>
      <w:bookmarkEnd w:id="69"/>
      <w:bookmarkEnd w:id="70"/>
    </w:p>
    <w:p>
      <w:pPr>
        <w:pStyle w:val="13"/>
        <w:adjustRightInd w:val="0"/>
        <w:snapToGrid w:val="0"/>
        <w:spacing w:before="156" w:after="156" w:line="240" w:lineRule="auto"/>
        <w:rPr>
          <w:rFonts w:hAnsi="宋体"/>
          <w:sz w:val="22"/>
          <w:szCs w:val="22"/>
        </w:rPr>
      </w:pPr>
      <w:r>
        <w:rPr>
          <w:rFonts w:hint="eastAsia" w:hAnsi="宋体"/>
          <w:sz w:val="22"/>
          <w:szCs w:val="22"/>
        </w:rPr>
        <w:t xml:space="preserve">    3.1、中标供应商须主动联系采购人或采购代理机构领取中标通知书。中标供应商应当在中标通知书发出之日起</w:t>
      </w:r>
      <w:r>
        <w:rPr>
          <w:rFonts w:hint="eastAsia" w:cs="宋体"/>
          <w:sz w:val="22"/>
          <w:szCs w:val="22"/>
        </w:rPr>
        <w:t>30日历天内</w:t>
      </w:r>
      <w:r>
        <w:rPr>
          <w:rFonts w:hint="eastAsia" w:hAnsi="宋体"/>
          <w:sz w:val="22"/>
          <w:szCs w:val="22"/>
        </w:rPr>
        <w:t>与采购人签订合同。中标供应商未经采购人许可，在规定时间内未与采购人签订合同，则视为拒签合同。</w:t>
      </w:r>
    </w:p>
    <w:p>
      <w:pPr>
        <w:pStyle w:val="13"/>
        <w:adjustRightInd w:val="0"/>
        <w:snapToGrid w:val="0"/>
        <w:spacing w:before="156" w:after="156" w:line="240" w:lineRule="auto"/>
        <w:rPr>
          <w:rFonts w:hAnsi="宋体"/>
          <w:sz w:val="22"/>
          <w:szCs w:val="22"/>
        </w:rPr>
      </w:pPr>
      <w:r>
        <w:rPr>
          <w:rFonts w:hint="eastAsia" w:hAnsi="宋体"/>
          <w:sz w:val="22"/>
          <w:szCs w:val="22"/>
        </w:rPr>
        <w:t xml:space="preserve">    3.2、招标文件、中标供应商的投标文件及投标修改文件、评标过程中有关澄清文件及询标纪要和中标通知书均作为合同附件。</w:t>
      </w:r>
    </w:p>
    <w:p>
      <w:pPr>
        <w:pStyle w:val="13"/>
        <w:adjustRightInd w:val="0"/>
        <w:snapToGrid w:val="0"/>
        <w:spacing w:before="156" w:after="156" w:line="240" w:lineRule="auto"/>
        <w:ind w:firstLine="442"/>
        <w:rPr>
          <w:rFonts w:hAnsi="宋体"/>
          <w:sz w:val="22"/>
          <w:szCs w:val="22"/>
        </w:rPr>
      </w:pPr>
      <w:r>
        <w:rPr>
          <w:rFonts w:hint="eastAsia" w:hAnsi="宋体"/>
          <w:sz w:val="22"/>
          <w:szCs w:val="22"/>
        </w:rPr>
        <w:t>3.3、拒签合同的责任</w:t>
      </w:r>
    </w:p>
    <w:p>
      <w:pPr>
        <w:pStyle w:val="13"/>
        <w:adjustRightInd w:val="0"/>
        <w:snapToGrid w:val="0"/>
        <w:spacing w:before="156" w:after="156" w:line="240" w:lineRule="auto"/>
        <w:ind w:firstLine="440" w:firstLineChars="200"/>
        <w:rPr>
          <w:rFonts w:hAnsi="宋体"/>
          <w:sz w:val="22"/>
          <w:szCs w:val="22"/>
        </w:rPr>
      </w:pPr>
      <w:r>
        <w:rPr>
          <w:rFonts w:hint="eastAsia"/>
          <w:sz w:val="22"/>
          <w:szCs w:val="22"/>
        </w:rPr>
        <w:t xml:space="preserve">    中标供应商在规定时间内借故否认已经承诺的条件、拒签合同者，以投标违约处理，并赔偿采购人由此造成的直接经济损失；采购人重新组织招标的，所需费用由原中标供应商承担。</w:t>
      </w:r>
      <w:r>
        <w:rPr>
          <w:bCs/>
          <w:lang w:val="zh-CN"/>
        </w:rPr>
        <w:br w:type="page"/>
      </w:r>
    </w:p>
    <w:p>
      <w:pPr>
        <w:tabs>
          <w:tab w:val="left" w:pos="426"/>
        </w:tabs>
        <w:snapToGrid w:val="0"/>
        <w:spacing w:line="460" w:lineRule="atLeast"/>
        <w:jc w:val="center"/>
        <w:rPr>
          <w:rFonts w:ascii="宋体"/>
          <w:sz w:val="36"/>
        </w:rPr>
      </w:pPr>
      <w:r>
        <w:rPr>
          <w:rFonts w:hint="eastAsia" w:ascii="宋体"/>
          <w:sz w:val="36"/>
        </w:rPr>
        <w:t>第四章   政府采购政策功能相关说明</w:t>
      </w:r>
    </w:p>
    <w:p>
      <w:pPr>
        <w:snapToGrid w:val="0"/>
        <w:spacing w:line="460" w:lineRule="atLeast"/>
        <w:ind w:firstLine="440" w:firstLineChars="200"/>
        <w:rPr>
          <w:rFonts w:ascii="宋体"/>
          <w:sz w:val="22"/>
        </w:rPr>
      </w:pPr>
      <w:r>
        <w:rPr>
          <w:rFonts w:hint="eastAsia" w:ascii="宋体"/>
          <w:sz w:val="22"/>
        </w:rPr>
        <w:t>一、小、微企业（含监狱企业、残疾人福利性单位）扶持政策说明</w:t>
      </w:r>
    </w:p>
    <w:p>
      <w:pPr>
        <w:snapToGrid w:val="0"/>
        <w:spacing w:line="460" w:lineRule="atLeast"/>
        <w:ind w:firstLine="440" w:firstLineChars="200"/>
        <w:rPr>
          <w:rFonts w:ascii="宋体"/>
          <w:sz w:val="22"/>
        </w:rPr>
      </w:pPr>
      <w:r>
        <w:rPr>
          <w:rFonts w:ascii="宋体"/>
          <w:sz w:val="22"/>
        </w:rPr>
        <w:t>1、文件依据</w:t>
      </w:r>
    </w:p>
    <w:p>
      <w:pPr>
        <w:snapToGrid w:val="0"/>
        <w:spacing w:line="460" w:lineRule="atLeast"/>
        <w:ind w:firstLine="440" w:firstLineChars="200"/>
        <w:rPr>
          <w:rFonts w:ascii="宋体"/>
          <w:sz w:val="22"/>
        </w:rPr>
      </w:pPr>
      <w:r>
        <w:rPr>
          <w:rFonts w:hint="eastAsia" w:ascii="宋体"/>
          <w:sz w:val="22"/>
        </w:rPr>
        <w:t>（</w:t>
      </w:r>
      <w:r>
        <w:rPr>
          <w:rFonts w:ascii="宋体"/>
          <w:sz w:val="22"/>
        </w:rPr>
        <w:t>1）关于印发《政府采购促进中小企业发展暂行办法》的通知（财库[2011]181号）</w:t>
      </w:r>
    </w:p>
    <w:p>
      <w:pPr>
        <w:snapToGrid w:val="0"/>
        <w:spacing w:line="460" w:lineRule="atLeast"/>
        <w:ind w:firstLine="440" w:firstLineChars="200"/>
        <w:rPr>
          <w:rFonts w:ascii="宋体"/>
          <w:sz w:val="22"/>
        </w:rPr>
      </w:pPr>
      <w:r>
        <w:rPr>
          <w:rFonts w:hint="eastAsia" w:ascii="宋体"/>
          <w:sz w:val="22"/>
        </w:rPr>
        <w:t>（</w:t>
      </w:r>
      <w:r>
        <w:rPr>
          <w:rFonts w:ascii="宋体"/>
          <w:sz w:val="22"/>
        </w:rPr>
        <w:t>2）浙江省财政厅转发财政部 工业和信息化部关于印发《政府采购促进中小企业发展暂行办法》的通知（浙财采监[2012]11号）</w:t>
      </w:r>
    </w:p>
    <w:p>
      <w:pPr>
        <w:snapToGrid w:val="0"/>
        <w:spacing w:line="460" w:lineRule="atLeast"/>
        <w:ind w:firstLine="440" w:firstLineChars="200"/>
        <w:rPr>
          <w:rFonts w:ascii="宋体"/>
          <w:sz w:val="22"/>
        </w:rPr>
      </w:pPr>
      <w:r>
        <w:rPr>
          <w:rFonts w:hint="eastAsia" w:ascii="宋体"/>
          <w:sz w:val="22"/>
        </w:rPr>
        <w:t>（</w:t>
      </w:r>
      <w:r>
        <w:rPr>
          <w:rFonts w:ascii="宋体"/>
          <w:sz w:val="22"/>
        </w:rPr>
        <w:t>3）浙江省省财政厅《关于开展政府采购供应商网上注册登记和诚信管理工作的通知》（浙财采监〔2010〕8号)</w:t>
      </w:r>
    </w:p>
    <w:p>
      <w:pPr>
        <w:snapToGrid w:val="0"/>
        <w:spacing w:line="460" w:lineRule="atLeast"/>
        <w:ind w:firstLine="440" w:firstLineChars="200"/>
        <w:rPr>
          <w:rFonts w:ascii="宋体"/>
          <w:sz w:val="22"/>
        </w:rPr>
      </w:pPr>
      <w:r>
        <w:rPr>
          <w:rFonts w:hint="eastAsia" w:ascii="宋体"/>
          <w:sz w:val="22"/>
        </w:rPr>
        <w:t>（</w:t>
      </w:r>
      <w:r>
        <w:rPr>
          <w:rFonts w:ascii="宋体"/>
          <w:sz w:val="22"/>
        </w:rPr>
        <w:t>4）《工业和信息化部、国家统计局、国家发展和改革委员会、财政部关于印发中小企业划型标准规定的通知》（工信部联企业[2011]300号）</w:t>
      </w:r>
    </w:p>
    <w:p>
      <w:pPr>
        <w:snapToGrid w:val="0"/>
        <w:spacing w:line="460" w:lineRule="atLeast"/>
        <w:ind w:firstLine="440" w:firstLineChars="200"/>
        <w:rPr>
          <w:rFonts w:ascii="宋体"/>
          <w:sz w:val="22"/>
        </w:rPr>
      </w:pPr>
      <w:r>
        <w:rPr>
          <w:rFonts w:hint="eastAsia" w:ascii="宋体"/>
          <w:sz w:val="22"/>
        </w:rPr>
        <w:t>（</w:t>
      </w:r>
      <w:r>
        <w:rPr>
          <w:rFonts w:ascii="宋体"/>
          <w:sz w:val="22"/>
        </w:rPr>
        <w:t>5）财政部、司法部《关于政府采购支持监狱企业发展有关问题的通知》（财库〔2014〕68号）</w:t>
      </w:r>
    </w:p>
    <w:p>
      <w:pPr>
        <w:snapToGrid w:val="0"/>
        <w:spacing w:line="460" w:lineRule="atLeast"/>
        <w:ind w:firstLine="440" w:firstLineChars="200"/>
        <w:rPr>
          <w:rFonts w:ascii="宋体"/>
          <w:sz w:val="22"/>
        </w:rPr>
      </w:pPr>
      <w:r>
        <w:rPr>
          <w:rFonts w:hint="eastAsia" w:ascii="宋体"/>
          <w:sz w:val="22"/>
        </w:rPr>
        <w:t>（</w:t>
      </w:r>
      <w:r>
        <w:rPr>
          <w:rFonts w:ascii="宋体"/>
          <w:sz w:val="22"/>
        </w:rPr>
        <w:t>6）《财政部 民政部 中国残疾人联合会关于促进残疾人就业政府采购政策的通知》（财库〔2017〕 141号）</w:t>
      </w:r>
    </w:p>
    <w:p>
      <w:pPr>
        <w:snapToGrid w:val="0"/>
        <w:spacing w:line="460" w:lineRule="atLeast"/>
        <w:ind w:firstLine="440" w:firstLineChars="200"/>
        <w:rPr>
          <w:rFonts w:ascii="宋体"/>
          <w:sz w:val="22"/>
        </w:rPr>
      </w:pPr>
      <w:r>
        <w:rPr>
          <w:rFonts w:hint="eastAsia" w:ascii="宋体"/>
          <w:sz w:val="22"/>
        </w:rPr>
        <w:t>（</w:t>
      </w:r>
      <w:r>
        <w:rPr>
          <w:rFonts w:ascii="宋体"/>
          <w:sz w:val="22"/>
        </w:rPr>
        <w:t>7）《浙江省财政厅  浙江省经济和信息化委员会关于简化中小企业类别确认流程有关事项的通知》（浙财采监〔2018〕2号</w:t>
      </w:r>
      <w:r>
        <w:rPr>
          <w:rFonts w:hint="eastAsia" w:ascii="宋体"/>
          <w:sz w:val="22"/>
        </w:rPr>
        <w:t>）</w:t>
      </w:r>
    </w:p>
    <w:p>
      <w:pPr>
        <w:snapToGrid w:val="0"/>
        <w:spacing w:line="460" w:lineRule="atLeast"/>
        <w:ind w:firstLine="440" w:firstLineChars="200"/>
        <w:rPr>
          <w:rFonts w:ascii="宋体"/>
          <w:sz w:val="22"/>
        </w:rPr>
      </w:pPr>
      <w:r>
        <w:rPr>
          <w:rFonts w:hint="eastAsia" w:ascii="宋体"/>
          <w:sz w:val="22"/>
        </w:rPr>
        <w:t>2、享受小微企业价格折扣应具备的条件</w:t>
      </w:r>
    </w:p>
    <w:p>
      <w:pPr>
        <w:snapToGrid w:val="0"/>
        <w:spacing w:line="460" w:lineRule="atLeast"/>
        <w:ind w:firstLine="440" w:firstLineChars="200"/>
        <w:rPr>
          <w:rFonts w:ascii="宋体"/>
          <w:sz w:val="22"/>
        </w:rPr>
      </w:pPr>
      <w:r>
        <w:rPr>
          <w:rFonts w:hint="eastAsia" w:ascii="宋体"/>
          <w:sz w:val="22"/>
        </w:rPr>
        <w:t>（1）符合中小企业划分标准；</w:t>
      </w:r>
    </w:p>
    <w:p>
      <w:pPr>
        <w:snapToGrid w:val="0"/>
        <w:spacing w:line="460" w:lineRule="atLeast"/>
        <w:ind w:firstLine="440" w:firstLineChars="200"/>
        <w:rPr>
          <w:rFonts w:ascii="宋体"/>
          <w:sz w:val="22"/>
        </w:rPr>
      </w:pPr>
      <w:r>
        <w:rPr>
          <w:rFonts w:hint="eastAsia" w:ascii="宋体"/>
          <w:sz w:val="22"/>
        </w:rPr>
        <w:t>（2）提供本企业制造的货物、承担的工程或者服务，或者提供其他中小企业制造的货物。本项所称货物不包括使用大型企业注册商标的货物。</w:t>
      </w:r>
      <w:r>
        <w:rPr>
          <w:rFonts w:hint="eastAsia" w:ascii="宋体"/>
          <w:sz w:val="22"/>
        </w:rPr>
        <w:br w:type="textWrapping"/>
      </w:r>
      <w:r>
        <w:rPr>
          <w:rFonts w:hint="eastAsia" w:ascii="宋体"/>
          <w:sz w:val="22"/>
        </w:rPr>
        <w:t>  中小企业划分标准，是指国务院有关部门根据企业从业人员、营业收入、资产总额等指标制定的中小企业划型标准。</w:t>
      </w:r>
      <w:r>
        <w:rPr>
          <w:rFonts w:hint="eastAsia" w:ascii="宋体"/>
          <w:sz w:val="22"/>
        </w:rPr>
        <w:br w:type="textWrapping"/>
      </w:r>
      <w:r>
        <w:rPr>
          <w:rFonts w:hint="eastAsia" w:ascii="宋体"/>
          <w:sz w:val="22"/>
        </w:rPr>
        <w:t>  小型、微型企业提供中型企业制造的货物的，视同为中型企业。</w:t>
      </w:r>
    </w:p>
    <w:p>
      <w:pPr>
        <w:snapToGrid w:val="0"/>
        <w:spacing w:line="460" w:lineRule="atLeast"/>
        <w:ind w:firstLine="440" w:firstLineChars="200"/>
        <w:rPr>
          <w:rFonts w:ascii="宋体"/>
          <w:sz w:val="22"/>
        </w:rPr>
      </w:pPr>
      <w:r>
        <w:rPr>
          <w:rFonts w:hint="eastAsia" w:ascii="宋体"/>
          <w:sz w:val="22"/>
        </w:rPr>
        <w:t>3、投标供应商享受小微企业价格折扣应提供以下证明材料（放在报价文件中，缺一不可）：</w:t>
      </w:r>
    </w:p>
    <w:p>
      <w:pPr>
        <w:snapToGrid w:val="0"/>
        <w:spacing w:line="460" w:lineRule="atLeast"/>
        <w:ind w:firstLine="440" w:firstLineChars="200"/>
        <w:rPr>
          <w:rFonts w:ascii="宋体"/>
          <w:sz w:val="22"/>
        </w:rPr>
      </w:pPr>
      <w:r>
        <w:rPr>
          <w:rFonts w:hint="eastAsia" w:ascii="宋体"/>
          <w:sz w:val="22"/>
        </w:rPr>
        <w:t>（</w:t>
      </w:r>
      <w:r>
        <w:rPr>
          <w:rFonts w:ascii="宋体"/>
          <w:sz w:val="22"/>
        </w:rPr>
        <w:t>1）</w:t>
      </w:r>
      <w:r>
        <w:rPr>
          <w:rFonts w:hint="eastAsia" w:ascii="宋体"/>
          <w:sz w:val="22"/>
        </w:rPr>
        <w:t>提供小微企业名录库（http://xwqy.gsxt.gov.cn/mirco/micro_lib）网页截图或附供应商经相关部门盖章认定为小微、微型企业的证明文件（小企业资格确认意见书）且有效期内。</w:t>
      </w:r>
    </w:p>
    <w:p>
      <w:pPr>
        <w:snapToGrid w:val="0"/>
        <w:spacing w:line="460" w:lineRule="atLeast"/>
        <w:ind w:firstLine="440" w:firstLineChars="200"/>
        <w:rPr>
          <w:rFonts w:ascii="宋体"/>
          <w:sz w:val="22"/>
        </w:rPr>
      </w:pPr>
      <w:r>
        <w:rPr>
          <w:rFonts w:hint="eastAsia" w:ascii="宋体"/>
          <w:sz w:val="22"/>
        </w:rPr>
        <w:t>（</w:t>
      </w:r>
      <w:r>
        <w:rPr>
          <w:rFonts w:ascii="宋体"/>
          <w:sz w:val="22"/>
        </w:rPr>
        <w:t>2）《中小企业声明函》（加盖投标供应商公章，格式见附件）</w:t>
      </w:r>
    </w:p>
    <w:p>
      <w:pPr>
        <w:pStyle w:val="2"/>
        <w:ind w:firstLine="0" w:firstLineChars="0"/>
        <w:rPr>
          <w:b/>
        </w:rPr>
      </w:pPr>
      <w:r>
        <w:rPr>
          <w:rFonts w:hint="eastAsia" w:ascii="宋体"/>
          <w:b/>
          <w:color w:val="FF0000"/>
          <w:sz w:val="22"/>
        </w:rPr>
        <w:t>（3）投标人提供非本企业制造的货物、承担的工程或者服务的必须提供《小型和微型企业（或残疾人福利性单位、监狱企业）产品说明》，详见</w:t>
      </w:r>
      <w:r>
        <w:rPr>
          <w:rFonts w:hint="eastAsia" w:ascii="宋体" w:hAnsi="宋体"/>
          <w:b/>
          <w:color w:val="FF0000"/>
          <w:kern w:val="0"/>
          <w:sz w:val="22"/>
        </w:rPr>
        <w:t>第四部分</w:t>
      </w:r>
      <w:r>
        <w:rPr>
          <w:rFonts w:ascii="宋体" w:hAnsi="宋体"/>
          <w:b/>
          <w:color w:val="FF0000"/>
          <w:kern w:val="0"/>
          <w:sz w:val="22"/>
        </w:rPr>
        <w:t>附件</w:t>
      </w:r>
      <w:r>
        <w:rPr>
          <w:rFonts w:hint="eastAsia" w:ascii="宋体"/>
          <w:b/>
          <w:color w:val="FF0000"/>
          <w:sz w:val="22"/>
        </w:rPr>
        <w:t>3，</w:t>
      </w:r>
      <w:r>
        <w:rPr>
          <w:rFonts w:hint="eastAsia" w:hAnsi="宋体"/>
          <w:b/>
          <w:color w:val="FF0000"/>
          <w:sz w:val="24"/>
        </w:rPr>
        <w:t>否则</w:t>
      </w:r>
      <w:r>
        <w:rPr>
          <w:rFonts w:ascii="宋体"/>
          <w:b/>
          <w:color w:val="FF0000"/>
          <w:sz w:val="22"/>
        </w:rPr>
        <w:t>不享受价格折扣。</w:t>
      </w:r>
      <w:r>
        <w:rPr>
          <w:rFonts w:hint="eastAsia" w:ascii="宋体"/>
          <w:b/>
          <w:color w:val="FF0000"/>
          <w:sz w:val="22"/>
        </w:rPr>
        <w:t>（只对</w:t>
      </w:r>
      <w:r>
        <w:rPr>
          <w:rFonts w:ascii="宋体"/>
          <w:b/>
          <w:color w:val="FF0000"/>
          <w:sz w:val="22"/>
        </w:rPr>
        <w:t>小型、微型企业</w:t>
      </w:r>
      <w:r>
        <w:rPr>
          <w:rFonts w:hint="eastAsia" w:ascii="宋体"/>
          <w:b/>
          <w:color w:val="FF0000"/>
          <w:sz w:val="22"/>
        </w:rPr>
        <w:t>产品</w:t>
      </w:r>
      <w:r>
        <w:rPr>
          <w:rFonts w:ascii="宋体"/>
          <w:b/>
          <w:color w:val="FF0000"/>
          <w:sz w:val="22"/>
        </w:rPr>
        <w:t>享受价格折扣</w:t>
      </w:r>
      <w:r>
        <w:rPr>
          <w:rFonts w:hint="eastAsia" w:ascii="宋体"/>
          <w:b/>
          <w:color w:val="FF0000"/>
          <w:sz w:val="22"/>
        </w:rPr>
        <w:t>。</w:t>
      </w:r>
      <w:r>
        <w:rPr>
          <w:rFonts w:hint="eastAsia" w:hAnsi="宋体"/>
          <w:b/>
          <w:color w:val="FF0000"/>
          <w:sz w:val="24"/>
        </w:rPr>
        <w:t>“产品”包括货物及其提供的服务与工程。）</w:t>
      </w:r>
    </w:p>
    <w:p>
      <w:pPr>
        <w:snapToGrid w:val="0"/>
        <w:spacing w:line="460" w:lineRule="atLeast"/>
        <w:ind w:firstLine="440" w:firstLineChars="200"/>
        <w:rPr>
          <w:rFonts w:ascii="宋体"/>
          <w:sz w:val="22"/>
        </w:rPr>
      </w:pPr>
      <w:r>
        <w:rPr>
          <w:rFonts w:ascii="宋体"/>
          <w:sz w:val="22"/>
        </w:rPr>
        <w:t>4、享受监狱企业价格折扣应提供以下证明材料（</w:t>
      </w:r>
      <w:r>
        <w:rPr>
          <w:rFonts w:hint="eastAsia" w:ascii="宋体"/>
          <w:sz w:val="22"/>
        </w:rPr>
        <w:t>放在报价文件中，</w:t>
      </w:r>
      <w:r>
        <w:rPr>
          <w:rFonts w:ascii="宋体"/>
          <w:sz w:val="22"/>
        </w:rPr>
        <w:t>不提供的不享受价格折扣）：</w:t>
      </w:r>
    </w:p>
    <w:p>
      <w:pPr>
        <w:snapToGrid w:val="0"/>
        <w:spacing w:line="460" w:lineRule="atLeast"/>
        <w:ind w:firstLine="440" w:firstLineChars="200"/>
        <w:rPr>
          <w:rFonts w:ascii="宋体"/>
          <w:sz w:val="22"/>
        </w:rPr>
      </w:pPr>
      <w:r>
        <w:rPr>
          <w:rFonts w:hint="eastAsia" w:ascii="宋体"/>
          <w:sz w:val="22"/>
        </w:rPr>
        <w:t>（</w:t>
      </w:r>
      <w:r>
        <w:rPr>
          <w:rFonts w:ascii="宋体"/>
          <w:sz w:val="22"/>
        </w:rPr>
        <w:t>1）监狱企业参加政府采购活动时，应当提供由省级及以上监狱管理局、戒毒管理局(含新疆生产建设兵团)出具的属于监狱企业的证明文件（</w:t>
      </w:r>
      <w:r>
        <w:rPr>
          <w:rFonts w:hint="eastAsia" w:ascii="宋体"/>
          <w:sz w:val="22"/>
        </w:rPr>
        <w:t>扫描件</w:t>
      </w:r>
      <w:r>
        <w:rPr>
          <w:rFonts w:ascii="宋体"/>
          <w:sz w:val="22"/>
        </w:rPr>
        <w:t>加盖投标供应商公章）。在政府采购活动中，监狱企业视同小型、微型企业，享受评审中价格扣除政策。</w:t>
      </w:r>
    </w:p>
    <w:p>
      <w:pPr>
        <w:snapToGrid w:val="0"/>
        <w:spacing w:line="460" w:lineRule="atLeast"/>
        <w:ind w:firstLine="440" w:firstLineChars="200"/>
        <w:rPr>
          <w:rFonts w:ascii="宋体"/>
          <w:sz w:val="22"/>
        </w:rPr>
      </w:pPr>
      <w:r>
        <w:rPr>
          <w:rFonts w:ascii="宋体"/>
          <w:sz w:val="22"/>
        </w:rPr>
        <w:t>5、享受残疾人福利性单位价格折扣应提供以下证明材料（</w:t>
      </w:r>
      <w:r>
        <w:rPr>
          <w:rFonts w:hint="eastAsia" w:ascii="宋体"/>
          <w:sz w:val="22"/>
        </w:rPr>
        <w:t>放在报价文件中</w:t>
      </w:r>
      <w:r>
        <w:rPr>
          <w:rFonts w:ascii="宋体"/>
          <w:sz w:val="22"/>
        </w:rPr>
        <w:t>，不提供的不享受价格折扣）：</w:t>
      </w:r>
    </w:p>
    <w:p>
      <w:pPr>
        <w:snapToGrid w:val="0"/>
        <w:spacing w:line="460" w:lineRule="atLeast"/>
        <w:ind w:firstLine="440" w:firstLineChars="200"/>
        <w:rPr>
          <w:rFonts w:ascii="宋体"/>
          <w:sz w:val="22"/>
        </w:rPr>
        <w:sectPr>
          <w:pgSz w:w="11906" w:h="16838"/>
          <w:pgMar w:top="1440" w:right="1800" w:bottom="1440" w:left="1800" w:header="851" w:footer="992" w:gutter="0"/>
          <w:cols w:space="425" w:num="1"/>
          <w:docGrid w:type="lines" w:linePitch="312" w:charSpace="0"/>
        </w:sectPr>
      </w:pPr>
      <w:r>
        <w:rPr>
          <w:rFonts w:hint="eastAsia" w:ascii="宋体"/>
          <w:sz w:val="22"/>
        </w:rPr>
        <w:t>（</w:t>
      </w:r>
      <w:r>
        <w:rPr>
          <w:rFonts w:ascii="宋体"/>
          <w:sz w:val="22"/>
        </w:rPr>
        <w:t>1）残疾人福利性单位声明函（加盖投标供应商公章，格式见附件）</w:t>
      </w:r>
      <w:r>
        <w:rPr>
          <w:rFonts w:hint="eastAsia" w:ascii="宋体"/>
          <w:sz w:val="22"/>
        </w:rPr>
        <w:t>。在政府采购活动中，残疾人福利性单位视同小型、微型企业，享受评审中价格扣除政策。</w:t>
      </w:r>
    </w:p>
    <w:p>
      <w:pPr>
        <w:spacing w:line="460" w:lineRule="atLeast"/>
        <w:rPr>
          <w:rFonts w:ascii="宋体"/>
          <w:sz w:val="24"/>
          <w:szCs w:val="24"/>
        </w:rPr>
      </w:pPr>
      <w:r>
        <w:rPr>
          <w:rFonts w:hint="eastAsia" w:ascii="宋体" w:cs="宋体"/>
          <w:sz w:val="22"/>
        </w:rPr>
        <w:t>附件1：</w:t>
      </w:r>
    </w:p>
    <w:p>
      <w:pPr>
        <w:spacing w:line="460" w:lineRule="atLeast"/>
        <w:jc w:val="center"/>
        <w:rPr>
          <w:rFonts w:ascii="宋体"/>
          <w:sz w:val="24"/>
          <w:szCs w:val="24"/>
        </w:rPr>
      </w:pPr>
      <w:r>
        <w:rPr>
          <w:rFonts w:hint="eastAsia" w:ascii="宋体"/>
          <w:sz w:val="24"/>
          <w:szCs w:val="24"/>
        </w:rPr>
        <w:t>中小企业声明函</w:t>
      </w:r>
    </w:p>
    <w:p>
      <w:pPr>
        <w:spacing w:line="460" w:lineRule="atLeast"/>
        <w:ind w:firstLine="440" w:firstLineChars="200"/>
        <w:rPr>
          <w:rFonts w:ascii="宋体" w:cs="宋体"/>
          <w:sz w:val="22"/>
        </w:rPr>
      </w:pPr>
      <w:r>
        <w:rPr>
          <w:rFonts w:hint="eastAsia" w:ascii="宋体" w:cs="宋体"/>
          <w:sz w:val="22"/>
        </w:rPr>
        <w:t>本公司郑重声明，根据《政府采购促进中小企业发展暂行办法》（财库[2011]181号）的规定，本公司为</w:t>
      </w:r>
      <w:r>
        <w:rPr>
          <w:rFonts w:hint="eastAsia" w:ascii="宋体" w:cs="宋体"/>
          <w:sz w:val="22"/>
          <w:u w:val="single"/>
        </w:rPr>
        <w:t xml:space="preserve">               </w:t>
      </w:r>
      <w:r>
        <w:rPr>
          <w:rFonts w:hint="eastAsia" w:ascii="宋体" w:cs="宋体"/>
          <w:sz w:val="22"/>
        </w:rPr>
        <w:t>（请填写：中型、小型、微型）企业。即，本公司同时满足以下条件：</w:t>
      </w:r>
      <w:r>
        <w:rPr>
          <w:rFonts w:hint="eastAsia" w:ascii="宋体" w:cs="宋体"/>
          <w:sz w:val="22"/>
        </w:rPr>
        <w:br w:type="textWrapping"/>
      </w:r>
      <w:r>
        <w:rPr>
          <w:rFonts w:hint="eastAsia" w:ascii="宋体" w:cs="宋体"/>
          <w:sz w:val="22"/>
        </w:rPr>
        <w:t>    1.根据《工业和信息化部、国家统计局、国家发展和改革委员会、财政部关于印发中小企业划型标准规定的通知》（工信部联企业[2011]300号）规定的划分标准，本公司为</w:t>
      </w:r>
      <w:r>
        <w:rPr>
          <w:rFonts w:hint="eastAsia" w:ascii="宋体" w:cs="宋体"/>
          <w:sz w:val="22"/>
          <w:u w:val="single"/>
        </w:rPr>
        <w:t xml:space="preserve">        </w:t>
      </w:r>
      <w:r>
        <w:rPr>
          <w:rFonts w:hint="eastAsia" w:ascii="宋体" w:cs="宋体"/>
          <w:sz w:val="22"/>
        </w:rPr>
        <w:t>（请填写：中型、小型、微型）企业。</w:t>
      </w:r>
      <w:r>
        <w:rPr>
          <w:rFonts w:hint="eastAsia" w:ascii="宋体" w:cs="宋体"/>
          <w:sz w:val="22"/>
        </w:rPr>
        <w:br w:type="textWrapping"/>
      </w:r>
      <w:r>
        <w:rPr>
          <w:rFonts w:hint="eastAsia" w:ascii="宋体" w:cs="宋体"/>
          <w:sz w:val="22"/>
        </w:rPr>
        <w:t>    2.本公司参加</w:t>
      </w:r>
      <w:r>
        <w:rPr>
          <w:rFonts w:hint="eastAsia" w:ascii="宋体" w:cs="宋体"/>
          <w:sz w:val="22"/>
          <w:u w:val="single"/>
        </w:rPr>
        <w:t xml:space="preserve">           </w:t>
      </w:r>
      <w:r>
        <w:rPr>
          <w:rFonts w:hint="eastAsia" w:ascii="宋体" w:cs="宋体"/>
          <w:sz w:val="22"/>
        </w:rPr>
        <w:t>单位的</w:t>
      </w:r>
      <w:r>
        <w:rPr>
          <w:rFonts w:hint="eastAsia" w:ascii="宋体" w:cs="宋体"/>
          <w:sz w:val="22"/>
          <w:u w:val="single"/>
        </w:rPr>
        <w:t xml:space="preserve">           </w:t>
      </w:r>
      <w:r>
        <w:rPr>
          <w:rFonts w:hint="eastAsia" w:ascii="宋体" w:cs="宋体"/>
          <w:sz w:val="22"/>
        </w:rPr>
        <w:t>项目采购活动由本企业提供服务。</w:t>
      </w:r>
      <w:r>
        <w:rPr>
          <w:rFonts w:hint="eastAsia" w:ascii="宋体" w:cs="宋体"/>
          <w:sz w:val="22"/>
        </w:rPr>
        <w:br w:type="textWrapping"/>
      </w:r>
      <w:r>
        <w:rPr>
          <w:rFonts w:hint="eastAsia" w:ascii="宋体" w:cs="宋体"/>
          <w:sz w:val="22"/>
        </w:rPr>
        <w:t>    本公司对上述声明的真实性负责。如有虚假，将依法承担相应责任。</w:t>
      </w:r>
    </w:p>
    <w:p>
      <w:pPr>
        <w:spacing w:line="460" w:lineRule="atLeast"/>
        <w:rPr>
          <w:rFonts w:ascii="宋体" w:cs="宋体"/>
          <w:sz w:val="22"/>
        </w:rPr>
      </w:pPr>
    </w:p>
    <w:p>
      <w:pPr>
        <w:spacing w:line="460" w:lineRule="atLeast"/>
        <w:rPr>
          <w:rFonts w:ascii="宋体" w:cs="宋体"/>
          <w:sz w:val="22"/>
        </w:rPr>
      </w:pPr>
    </w:p>
    <w:p>
      <w:pPr>
        <w:spacing w:line="460" w:lineRule="atLeast"/>
        <w:rPr>
          <w:rFonts w:ascii="宋体" w:cs="宋体"/>
          <w:sz w:val="22"/>
        </w:rPr>
      </w:pPr>
    </w:p>
    <w:p>
      <w:pPr>
        <w:spacing w:line="460" w:lineRule="atLeast"/>
        <w:rPr>
          <w:rFonts w:ascii="宋体" w:cs="宋体"/>
          <w:sz w:val="22"/>
        </w:rPr>
      </w:pPr>
      <w:r>
        <w:rPr>
          <w:rFonts w:hint="eastAsia" w:ascii="宋体" w:cs="宋体"/>
          <w:sz w:val="22"/>
        </w:rPr>
        <w:t>投标供应商（盖章）：                </w:t>
      </w:r>
      <w:r>
        <w:rPr>
          <w:rFonts w:hint="eastAsia" w:ascii="宋体" w:cs="宋体"/>
          <w:sz w:val="22"/>
        </w:rPr>
        <w:br w:type="textWrapping"/>
      </w:r>
      <w:r>
        <w:rPr>
          <w:rFonts w:hint="eastAsia" w:ascii="宋体" w:cs="宋体"/>
          <w:sz w:val="22"/>
        </w:rPr>
        <w:t>日期：                             　　　　　</w:t>
      </w:r>
    </w:p>
    <w:p>
      <w:pPr>
        <w:spacing w:line="440" w:lineRule="atLeast"/>
        <w:rPr>
          <w:rFonts w:ascii="宋体" w:cs="宋体"/>
          <w:sz w:val="22"/>
        </w:rPr>
      </w:pPr>
    </w:p>
    <w:p>
      <w:pPr>
        <w:spacing w:line="440" w:lineRule="atLeast"/>
        <w:rPr>
          <w:rFonts w:ascii="宋体" w:cs="宋体"/>
          <w:sz w:val="22"/>
        </w:rPr>
      </w:pPr>
    </w:p>
    <w:p>
      <w:pPr>
        <w:spacing w:line="440" w:lineRule="atLeast"/>
        <w:rPr>
          <w:rFonts w:ascii="宋体" w:cs="宋体"/>
          <w:sz w:val="22"/>
        </w:rPr>
      </w:pPr>
    </w:p>
    <w:p>
      <w:pPr>
        <w:spacing w:line="440" w:lineRule="atLeast"/>
        <w:rPr>
          <w:rFonts w:ascii="宋体" w:cs="宋体"/>
          <w:sz w:val="22"/>
        </w:rPr>
      </w:pPr>
    </w:p>
    <w:p>
      <w:pPr>
        <w:spacing w:line="460" w:lineRule="exact"/>
        <w:rPr>
          <w:rFonts w:ascii="宋体" w:cs="宋体"/>
          <w:sz w:val="22"/>
        </w:rPr>
      </w:pPr>
      <w:r>
        <w:rPr>
          <w:rFonts w:ascii="宋体" w:cs="宋体"/>
          <w:sz w:val="22"/>
        </w:rPr>
        <w:br w:type="page"/>
      </w:r>
      <w:r>
        <w:rPr>
          <w:rFonts w:hint="eastAsia" w:ascii="宋体" w:cs="宋体"/>
          <w:sz w:val="22"/>
        </w:rPr>
        <w:t>附件2：</w:t>
      </w:r>
    </w:p>
    <w:p>
      <w:pPr>
        <w:spacing w:line="460" w:lineRule="exact"/>
        <w:jc w:val="center"/>
        <w:rPr>
          <w:rFonts w:ascii="宋体" w:cs="宋体"/>
          <w:sz w:val="22"/>
        </w:rPr>
      </w:pPr>
      <w:bookmarkStart w:id="71" w:name="OLE_LINK14"/>
      <w:bookmarkStart w:id="72" w:name="OLE_LINK13"/>
      <w:r>
        <w:rPr>
          <w:rFonts w:hint="eastAsia" w:ascii="宋体" w:cs="宋体"/>
          <w:sz w:val="22"/>
        </w:rPr>
        <w:t>残疾人福利性单位声明函</w:t>
      </w:r>
    </w:p>
    <w:bookmarkEnd w:id="71"/>
    <w:bookmarkEnd w:id="72"/>
    <w:p>
      <w:pPr>
        <w:spacing w:line="588" w:lineRule="exact"/>
        <w:rPr>
          <w:rFonts w:ascii="宋体"/>
          <w:spacing w:val="6"/>
          <w:sz w:val="30"/>
          <w:szCs w:val="30"/>
        </w:rPr>
      </w:pPr>
    </w:p>
    <w:p>
      <w:pPr>
        <w:spacing w:line="588" w:lineRule="exact"/>
        <w:ind w:firstLine="440" w:firstLineChars="200"/>
        <w:rPr>
          <w:rFonts w:ascii="宋体" w:cs="宋体"/>
          <w:sz w:val="22"/>
        </w:rPr>
      </w:pPr>
      <w:r>
        <w:rPr>
          <w:rFonts w:hint="eastAsia" w:ascii="宋体" w:cs="宋体"/>
          <w:sz w:val="22"/>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w:t>
      </w:r>
    </w:p>
    <w:p>
      <w:pPr>
        <w:spacing w:line="588" w:lineRule="exact"/>
        <w:ind w:firstLine="440" w:firstLineChars="200"/>
        <w:rPr>
          <w:rFonts w:ascii="宋体" w:cs="宋体"/>
          <w:sz w:val="22"/>
        </w:rPr>
      </w:pPr>
      <w:r>
        <w:rPr>
          <w:rFonts w:hint="eastAsia" w:ascii="宋体" w:cs="宋体"/>
          <w:sz w:val="22"/>
        </w:rPr>
        <w:t>本单位对上述声明的真实性负责。如有虚假，将依法承担相应责任。</w:t>
      </w:r>
    </w:p>
    <w:p>
      <w:pPr>
        <w:spacing w:line="588" w:lineRule="exact"/>
        <w:ind w:firstLine="624" w:firstLineChars="200"/>
        <w:rPr>
          <w:rFonts w:ascii="宋体"/>
          <w:spacing w:val="6"/>
          <w:sz w:val="30"/>
          <w:szCs w:val="30"/>
        </w:rPr>
      </w:pPr>
    </w:p>
    <w:p>
      <w:pPr>
        <w:spacing w:line="588" w:lineRule="exact"/>
        <w:ind w:firstLine="624" w:firstLineChars="200"/>
        <w:rPr>
          <w:rFonts w:ascii="宋体"/>
          <w:spacing w:val="6"/>
          <w:sz w:val="30"/>
          <w:szCs w:val="30"/>
        </w:rPr>
      </w:pPr>
    </w:p>
    <w:p>
      <w:pPr>
        <w:spacing w:line="460" w:lineRule="atLeast"/>
        <w:rPr>
          <w:rFonts w:ascii="宋体" w:cs="宋体"/>
          <w:sz w:val="22"/>
        </w:rPr>
      </w:pPr>
      <w:r>
        <w:rPr>
          <w:rFonts w:hint="eastAsia" w:ascii="宋体" w:cs="宋体"/>
          <w:sz w:val="22"/>
        </w:rPr>
        <w:t>投标供应商（盖章）：                </w:t>
      </w:r>
      <w:r>
        <w:rPr>
          <w:rFonts w:hint="eastAsia" w:ascii="宋体" w:cs="宋体"/>
          <w:sz w:val="22"/>
        </w:rPr>
        <w:br w:type="textWrapping"/>
      </w:r>
      <w:r>
        <w:rPr>
          <w:rFonts w:hint="eastAsia" w:ascii="宋体" w:cs="宋体"/>
          <w:sz w:val="22"/>
        </w:rPr>
        <w:t>日期：</w:t>
      </w:r>
    </w:p>
    <w:p>
      <w:pPr>
        <w:tabs>
          <w:tab w:val="left" w:pos="4860"/>
        </w:tabs>
        <w:spacing w:line="588" w:lineRule="exact"/>
        <w:ind w:right="1560" w:firstLine="624" w:firstLineChars="200"/>
        <w:jc w:val="center"/>
        <w:rPr>
          <w:rFonts w:ascii="宋体"/>
          <w:spacing w:val="6"/>
          <w:sz w:val="30"/>
          <w:szCs w:val="30"/>
        </w:rPr>
      </w:pPr>
    </w:p>
    <w:p>
      <w:pPr>
        <w:tabs>
          <w:tab w:val="left" w:pos="4860"/>
        </w:tabs>
        <w:spacing w:line="588" w:lineRule="exact"/>
        <w:ind w:right="1560" w:firstLine="624" w:firstLineChars="200"/>
        <w:jc w:val="center"/>
        <w:rPr>
          <w:rFonts w:ascii="宋体"/>
          <w:spacing w:val="6"/>
          <w:sz w:val="30"/>
          <w:szCs w:val="30"/>
        </w:rPr>
      </w:pPr>
    </w:p>
    <w:p>
      <w:pPr>
        <w:tabs>
          <w:tab w:val="left" w:pos="4860"/>
        </w:tabs>
        <w:spacing w:line="588" w:lineRule="exact"/>
        <w:ind w:right="1560"/>
        <w:jc w:val="left"/>
        <w:rPr>
          <w:rFonts w:ascii="宋体"/>
          <w:sz w:val="22"/>
        </w:rPr>
      </w:pPr>
      <w:r>
        <w:rPr>
          <w:rFonts w:hint="eastAsia" w:ascii="宋体"/>
          <w:sz w:val="22"/>
        </w:rPr>
        <w:t>备注说明：</w:t>
      </w:r>
    </w:p>
    <w:p>
      <w:pPr>
        <w:spacing w:line="588" w:lineRule="exact"/>
        <w:ind w:firstLine="440" w:firstLineChars="200"/>
        <w:rPr>
          <w:rFonts w:ascii="宋体" w:cs="宋体"/>
          <w:sz w:val="22"/>
        </w:rPr>
      </w:pPr>
      <w:r>
        <w:rPr>
          <w:rFonts w:hint="eastAsia" w:ascii="宋体" w:cs="宋体"/>
          <w:sz w:val="22"/>
        </w:rPr>
        <w:t>1、如中标，将在中标公告中将此残疾人福利性单位声明函予以公示，接受社会监督；</w:t>
      </w:r>
    </w:p>
    <w:p>
      <w:pPr>
        <w:spacing w:line="588" w:lineRule="exact"/>
        <w:ind w:firstLine="440" w:firstLineChars="200"/>
        <w:rPr>
          <w:rFonts w:ascii="宋体" w:cs="宋体"/>
          <w:sz w:val="22"/>
        </w:rPr>
      </w:pPr>
      <w:r>
        <w:rPr>
          <w:rFonts w:ascii="宋体" w:cs="宋体"/>
          <w:sz w:val="22"/>
        </w:rPr>
        <w:t>2</w:t>
      </w:r>
      <w:r>
        <w:rPr>
          <w:rFonts w:hint="eastAsia" w:ascii="宋体" w:cs="宋体"/>
          <w:sz w:val="22"/>
        </w:rPr>
        <w:t>、供应商提供的《残疾人福利性单位声明函》与事实不符的，依照《政府采购法》第七十七条第一款的规定追究法律责任。</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ascii="宋体" w:cs="宋体"/>
          <w:sz w:val="22"/>
        </w:rPr>
        <w:t>附件3：</w:t>
      </w:r>
    </w:p>
    <w:p>
      <w:pPr>
        <w:spacing w:line="360" w:lineRule="auto"/>
        <w:jc w:val="center"/>
        <w:rPr>
          <w:rFonts w:hAnsi="宋体"/>
          <w:b/>
          <w:sz w:val="28"/>
          <w:szCs w:val="28"/>
        </w:rPr>
      </w:pPr>
      <w:r>
        <w:rPr>
          <w:rFonts w:hint="eastAsia" w:hAnsi="宋体"/>
          <w:b/>
          <w:sz w:val="28"/>
          <w:szCs w:val="28"/>
        </w:rPr>
        <w:t>小型和微型企业（或残疾人福利性单位、监狱企业）产品说明</w:t>
      </w:r>
    </w:p>
    <w:p>
      <w:pPr>
        <w:spacing w:line="360" w:lineRule="auto"/>
        <w:rPr>
          <w:rFonts w:hAnsi="宋体"/>
          <w:sz w:val="24"/>
        </w:rPr>
      </w:pPr>
      <w:r>
        <w:rPr>
          <w:rFonts w:hint="eastAsia" w:hAnsi="宋体"/>
          <w:sz w:val="24"/>
        </w:rPr>
        <w:t>在本次投标方案中，采用符合《政府采购促进中小企业发展暂行办法》（财库[2011]181 号）、《财政部、民政部、中国残疾人联合会关于促进残疾人就业政府采购政策的通知》（财库〔2017〕141号）、《财政部、司法部关于政府采购支持监狱企业发展有关问题的通知》（财库〔2014〕68号）要求的企业产品说明如下：</w:t>
      </w:r>
    </w:p>
    <w:p>
      <w:pPr>
        <w:spacing w:line="360" w:lineRule="auto"/>
        <w:jc w:val="right"/>
        <w:rPr>
          <w:rFonts w:hAnsi="宋体"/>
          <w:sz w:val="24"/>
        </w:rPr>
      </w:pPr>
      <w:r>
        <w:rPr>
          <w:rFonts w:hint="eastAsia" w:hAnsi="宋体"/>
          <w:sz w:val="24"/>
        </w:rPr>
        <w:t>金额单位（人民币）：元</w:t>
      </w:r>
    </w:p>
    <w:tbl>
      <w:tblPr>
        <w:tblStyle w:val="27"/>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51"/>
        <w:gridCol w:w="1434"/>
        <w:gridCol w:w="1418"/>
        <w:gridCol w:w="1417"/>
        <w:gridCol w:w="992"/>
        <w:gridCol w:w="9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4" w:lineRule="exact"/>
              <w:ind w:left="137"/>
              <w:jc w:val="center"/>
              <w:textAlignment w:val="baseline"/>
              <w:rPr>
                <w:rFonts w:ascii="宋体" w:hAnsi="宋体"/>
                <w:sz w:val="24"/>
              </w:rPr>
            </w:pPr>
            <w:r>
              <w:rPr>
                <w:rFonts w:hint="eastAsia" w:ascii="宋体" w:hAnsi="宋体"/>
                <w:spacing w:val="-1"/>
                <w:kern w:val="0"/>
                <w:sz w:val="24"/>
              </w:rPr>
              <w:t>序号</w:t>
            </w:r>
          </w:p>
        </w:tc>
        <w:tc>
          <w:tcPr>
            <w:tcW w:w="951"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jc w:val="center"/>
              <w:textAlignment w:val="baseline"/>
              <w:rPr>
                <w:rFonts w:ascii="宋体" w:hAnsi="宋体"/>
                <w:spacing w:val="-1"/>
                <w:kern w:val="0"/>
                <w:sz w:val="24"/>
              </w:rPr>
            </w:pPr>
            <w:r>
              <w:rPr>
                <w:rFonts w:hint="eastAsia" w:ascii="宋体" w:hAnsi="宋体"/>
                <w:spacing w:val="-1"/>
                <w:kern w:val="0"/>
                <w:sz w:val="24"/>
              </w:rPr>
              <w:t>投标产</w:t>
            </w:r>
          </w:p>
          <w:p>
            <w:pPr>
              <w:autoSpaceDE w:val="0"/>
              <w:autoSpaceDN w:val="0"/>
              <w:adjustRightInd w:val="0"/>
              <w:spacing w:line="274" w:lineRule="exact"/>
              <w:jc w:val="center"/>
              <w:textAlignment w:val="baseline"/>
              <w:rPr>
                <w:rFonts w:ascii="宋体" w:hAnsi="宋体"/>
                <w:sz w:val="24"/>
              </w:rPr>
            </w:pPr>
            <w:r>
              <w:rPr>
                <w:rFonts w:hint="eastAsia" w:ascii="宋体" w:hAnsi="宋体"/>
                <w:spacing w:val="-1"/>
                <w:kern w:val="0"/>
                <w:sz w:val="24"/>
              </w:rPr>
              <w:t>品名称</w:t>
            </w:r>
          </w:p>
        </w:tc>
        <w:tc>
          <w:tcPr>
            <w:tcW w:w="143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ind w:left="214"/>
              <w:jc w:val="center"/>
              <w:textAlignment w:val="baseline"/>
              <w:rPr>
                <w:rFonts w:ascii="宋体" w:hAnsi="宋体"/>
                <w:sz w:val="24"/>
              </w:rPr>
            </w:pPr>
            <w:r>
              <w:rPr>
                <w:rFonts w:hint="eastAsia" w:ascii="宋体" w:hAnsi="宋体"/>
                <w:spacing w:val="-1"/>
                <w:kern w:val="0"/>
                <w:sz w:val="24"/>
              </w:rPr>
              <w:t>产品品牌和型号</w:t>
            </w:r>
          </w:p>
        </w:tc>
        <w:tc>
          <w:tcPr>
            <w:tcW w:w="141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ind w:left="192"/>
              <w:jc w:val="center"/>
              <w:textAlignment w:val="baseline"/>
              <w:rPr>
                <w:rFonts w:ascii="宋体" w:hAnsi="宋体"/>
                <w:sz w:val="24"/>
              </w:rPr>
            </w:pPr>
            <w:r>
              <w:rPr>
                <w:rFonts w:hint="eastAsia" w:ascii="宋体" w:hAnsi="宋体"/>
                <w:spacing w:val="-1"/>
                <w:kern w:val="0"/>
                <w:sz w:val="24"/>
              </w:rPr>
              <w:t>制造企业联系方式</w:t>
            </w:r>
          </w:p>
        </w:tc>
        <w:tc>
          <w:tcPr>
            <w:tcW w:w="1417"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jc w:val="center"/>
              <w:textAlignment w:val="baseline"/>
              <w:rPr>
                <w:rFonts w:ascii="宋体" w:hAnsi="宋体"/>
                <w:sz w:val="24"/>
              </w:rPr>
            </w:pPr>
            <w:r>
              <w:rPr>
                <w:rFonts w:hint="eastAsia" w:ascii="宋体" w:hAnsi="宋体"/>
                <w:spacing w:val="-1"/>
                <w:kern w:val="0"/>
                <w:sz w:val="24"/>
              </w:rPr>
              <w:t>制造企业地址</w:t>
            </w:r>
          </w:p>
        </w:tc>
        <w:tc>
          <w:tcPr>
            <w:tcW w:w="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jc w:val="center"/>
              <w:textAlignment w:val="baseline"/>
              <w:rPr>
                <w:rFonts w:ascii="宋体" w:hAnsi="宋体"/>
                <w:spacing w:val="-1"/>
                <w:kern w:val="0"/>
                <w:sz w:val="24"/>
              </w:rPr>
            </w:pPr>
            <w:r>
              <w:rPr>
                <w:rFonts w:hint="eastAsia" w:ascii="宋体" w:hAnsi="宋体"/>
                <w:spacing w:val="-1"/>
                <w:kern w:val="0"/>
                <w:sz w:val="24"/>
              </w:rPr>
              <w:t>数量</w:t>
            </w:r>
          </w:p>
        </w:tc>
        <w:tc>
          <w:tcPr>
            <w:tcW w:w="972"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jc w:val="center"/>
              <w:textAlignment w:val="baseline"/>
              <w:rPr>
                <w:rFonts w:ascii="宋体" w:hAnsi="宋体"/>
                <w:spacing w:val="-1"/>
                <w:kern w:val="0"/>
                <w:sz w:val="24"/>
              </w:rPr>
            </w:pPr>
            <w:r>
              <w:rPr>
                <w:rFonts w:hint="eastAsia" w:ascii="宋体" w:hAnsi="宋体"/>
                <w:spacing w:val="-1"/>
                <w:kern w:val="0"/>
                <w:sz w:val="24"/>
              </w:rPr>
              <w:t>单价</w:t>
            </w:r>
          </w:p>
        </w:tc>
        <w:tc>
          <w:tcPr>
            <w:tcW w:w="127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jc w:val="center"/>
              <w:textAlignment w:val="baseline"/>
              <w:rPr>
                <w:rFonts w:ascii="宋体" w:hAnsi="宋体"/>
                <w:spacing w:val="-1"/>
                <w:kern w:val="0"/>
                <w:sz w:val="24"/>
              </w:rPr>
            </w:pPr>
            <w:r>
              <w:rPr>
                <w:rFonts w:hint="eastAsia" w:ascii="宋体" w:hAnsi="宋体"/>
                <w:spacing w:val="-1"/>
                <w:kern w:val="0"/>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51"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34"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8"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7"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9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7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51"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34"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8"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7"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9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7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51"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34"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8"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7"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9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7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51"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34"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8"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7"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9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7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51"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34"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8"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7"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9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7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textAlignment w:val="baseline"/>
              <w:rPr>
                <w:rFonts w:ascii="宋体" w:hAnsi="宋体"/>
                <w:sz w:val="24"/>
              </w:rPr>
            </w:pPr>
            <w:r>
              <w:rPr>
                <w:rFonts w:hint="eastAsia" w:ascii="宋体" w:hAnsi="宋体"/>
                <w:sz w:val="24"/>
              </w:rPr>
              <w:t>┄</w:t>
            </w:r>
          </w:p>
        </w:tc>
        <w:tc>
          <w:tcPr>
            <w:tcW w:w="951"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34"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8"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7"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9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7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811" w:type="dxa"/>
            <w:gridSpan w:val="7"/>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textAlignment w:val="baseline"/>
              <w:rPr>
                <w:rFonts w:ascii="宋体" w:hAnsi="宋体"/>
                <w:sz w:val="24"/>
              </w:rPr>
            </w:pPr>
            <w:r>
              <w:rPr>
                <w:rFonts w:hint="eastAsia" w:ascii="宋体" w:hAnsi="宋体"/>
                <w:sz w:val="24"/>
              </w:rPr>
              <w:t>合计</w:t>
            </w: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bl>
    <w:p>
      <w:pPr>
        <w:spacing w:line="360" w:lineRule="auto"/>
        <w:rPr>
          <w:rFonts w:hAnsi="宋体"/>
          <w:sz w:val="24"/>
        </w:rPr>
      </w:pPr>
    </w:p>
    <w:p>
      <w:pPr>
        <w:spacing w:line="360" w:lineRule="auto"/>
        <w:rPr>
          <w:rFonts w:hAnsi="宋体"/>
          <w:sz w:val="24"/>
        </w:rPr>
      </w:pPr>
      <w:r>
        <w:rPr>
          <w:rFonts w:hint="eastAsia" w:hAnsi="宋体"/>
          <w:sz w:val="24"/>
        </w:rPr>
        <w:t>填表要求：</w:t>
      </w:r>
    </w:p>
    <w:p>
      <w:pPr>
        <w:spacing w:line="360" w:lineRule="auto"/>
        <w:rPr>
          <w:rFonts w:hAnsi="宋体"/>
          <w:sz w:val="24"/>
        </w:rPr>
      </w:pPr>
      <w:r>
        <w:rPr>
          <w:rFonts w:hint="eastAsia" w:hAnsi="宋体"/>
          <w:sz w:val="24"/>
        </w:rPr>
        <w:t>1.上述小型和微型企业（或残疾人福利性单位、监狱企业）产品的生产制造商须符合《政 府采购 促进中小企业发展暂行办法》（财库[2011]181 号）、《财政部民政部、中国残疾人联合会关于促进残疾人就业政府采购政策的通知》（财库〔2017〕141号）、《财政部、司法部关于政府采购支持监狱企业发展有关问题的通知》（财库〔2014〕68号）所规定的有关条件。</w:t>
      </w:r>
    </w:p>
    <w:p>
      <w:pPr>
        <w:spacing w:line="360" w:lineRule="auto"/>
        <w:rPr>
          <w:rFonts w:hAnsi="宋体"/>
          <w:sz w:val="24"/>
        </w:rPr>
      </w:pPr>
      <w:r>
        <w:rPr>
          <w:rFonts w:hint="eastAsia" w:hAnsi="宋体"/>
          <w:sz w:val="24"/>
        </w:rPr>
        <w:t>2.以上产品名称、品牌及型号必须与投标明细报价表中列述的一一对应，如有不对应将会影响价格折扣评分。</w:t>
      </w:r>
    </w:p>
    <w:p>
      <w:pPr>
        <w:spacing w:line="360" w:lineRule="auto"/>
        <w:rPr>
          <w:rFonts w:hAnsi="宋体"/>
          <w:sz w:val="24"/>
        </w:rPr>
      </w:pPr>
      <w:r>
        <w:rPr>
          <w:rFonts w:hint="eastAsia" w:hAnsi="宋体"/>
          <w:sz w:val="24"/>
        </w:rPr>
        <w:t xml:space="preserve"> 3.上表中的“产品”包括货物及其提供的服务与工程。</w:t>
      </w:r>
    </w:p>
    <w:p>
      <w:pPr>
        <w:spacing w:line="360" w:lineRule="auto"/>
        <w:rPr>
          <w:rFonts w:hAnsi="宋体"/>
          <w:sz w:val="24"/>
        </w:rPr>
      </w:pPr>
      <w:r>
        <w:rPr>
          <w:rFonts w:hint="eastAsia" w:hAnsi="宋体"/>
          <w:sz w:val="24"/>
        </w:rPr>
        <w:t>法定代表人或其授权代表签字：</w:t>
      </w:r>
    </w:p>
    <w:p>
      <w:pPr>
        <w:spacing w:line="360" w:lineRule="auto"/>
        <w:rPr>
          <w:rFonts w:hAnsi="宋体"/>
          <w:sz w:val="24"/>
        </w:rPr>
      </w:pPr>
      <w:r>
        <w:rPr>
          <w:rFonts w:hAnsi="宋体"/>
          <w:sz w:val="24"/>
        </w:rPr>
        <w:t xml:space="preserve"> </w:t>
      </w:r>
    </w:p>
    <w:p>
      <w:pPr>
        <w:spacing w:line="360" w:lineRule="auto"/>
        <w:ind w:right="600"/>
        <w:jc w:val="right"/>
        <w:rPr>
          <w:rFonts w:hAnsi="宋体"/>
          <w:sz w:val="24"/>
        </w:rPr>
      </w:pPr>
      <w:r>
        <w:rPr>
          <w:rFonts w:hint="eastAsia" w:hAnsi="宋体"/>
          <w:sz w:val="24"/>
        </w:rPr>
        <w:t>投标人名称（盖单位公章）：</w:t>
      </w:r>
    </w:p>
    <w:p>
      <w:r>
        <w:rPr>
          <w:rFonts w:hint="eastAsia" w:hAnsi="宋体"/>
          <w:sz w:val="24"/>
        </w:rPr>
        <w:t xml:space="preserve">                                         日期：  年  月  日</w:t>
      </w:r>
    </w:p>
    <w:p>
      <w:pPr>
        <w:pStyle w:val="2"/>
      </w:pPr>
    </w:p>
    <w:p>
      <w:pPr>
        <w:pStyle w:val="2"/>
        <w:sectPr>
          <w:pgSz w:w="11906" w:h="16838"/>
          <w:pgMar w:top="1440" w:right="1800" w:bottom="1440" w:left="1800" w:header="851" w:footer="992" w:gutter="0"/>
          <w:cols w:space="425" w:num="1"/>
          <w:docGrid w:type="lines" w:linePitch="312" w:charSpace="0"/>
        </w:sectPr>
      </w:pPr>
    </w:p>
    <w:p>
      <w:pPr>
        <w:pStyle w:val="2"/>
        <w:ind w:firstLine="1920" w:firstLineChars="600"/>
        <w:rPr>
          <w:sz w:val="32"/>
          <w:szCs w:val="32"/>
        </w:rPr>
      </w:pPr>
      <w:r>
        <w:rPr>
          <w:rFonts w:hint="eastAsia"/>
          <w:sz w:val="32"/>
          <w:szCs w:val="32"/>
        </w:rPr>
        <w:t>第五章 评标定标办法</w:t>
      </w:r>
    </w:p>
    <w:p>
      <w:pPr>
        <w:pStyle w:val="2"/>
      </w:pPr>
    </w:p>
    <w:p>
      <w:pPr>
        <w:tabs>
          <w:tab w:val="left" w:pos="8820"/>
        </w:tabs>
        <w:adjustRightInd w:val="0"/>
        <w:snapToGrid w:val="0"/>
        <w:spacing w:beforeLines="50" w:line="460" w:lineRule="exact"/>
        <w:ind w:firstLine="440" w:firstLineChars="200"/>
        <w:rPr>
          <w:rFonts w:ascii="宋体" w:hAnsi="宋体"/>
          <w:kern w:val="0"/>
          <w:sz w:val="22"/>
        </w:rPr>
      </w:pPr>
      <w:r>
        <w:rPr>
          <w:rFonts w:hint="eastAsia" w:ascii="宋体" w:hAnsi="宋体"/>
          <w:kern w:val="0"/>
          <w:sz w:val="22"/>
        </w:rPr>
        <w:t>根据《中华人民共和国政府采购法》等有关政府采购法规，结合本次采购实际，按照公平、公正、科学、择优的原则选择中标单位，特制定本评审办法。</w:t>
      </w:r>
    </w:p>
    <w:p>
      <w:pPr>
        <w:adjustRightInd w:val="0"/>
        <w:snapToGrid w:val="0"/>
        <w:spacing w:line="460" w:lineRule="exact"/>
        <w:jc w:val="center"/>
        <w:rPr>
          <w:rFonts w:ascii="宋体" w:hAnsi="宋体"/>
          <w:kern w:val="0"/>
          <w:sz w:val="22"/>
        </w:rPr>
      </w:pPr>
      <w:r>
        <w:rPr>
          <w:rFonts w:hint="eastAsia" w:ascii="宋体" w:hAnsi="宋体"/>
          <w:kern w:val="0"/>
          <w:sz w:val="22"/>
        </w:rPr>
        <w:t>一、总则</w:t>
      </w:r>
    </w:p>
    <w:p>
      <w:pPr>
        <w:pStyle w:val="15"/>
        <w:adjustRightInd w:val="0"/>
        <w:snapToGrid w:val="0"/>
        <w:spacing w:line="460" w:lineRule="exact"/>
        <w:rPr>
          <w:rFonts w:eastAsia="宋体"/>
          <w:b w:val="0"/>
          <w:color w:val="auto"/>
          <w:sz w:val="22"/>
          <w:szCs w:val="22"/>
        </w:rPr>
      </w:pPr>
      <w:r>
        <w:rPr>
          <w:rFonts w:hint="eastAsia" w:eastAsia="宋体"/>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pPr>
        <w:adjustRightInd w:val="0"/>
        <w:snapToGrid w:val="0"/>
        <w:spacing w:line="460" w:lineRule="exact"/>
        <w:jc w:val="center"/>
        <w:rPr>
          <w:rFonts w:ascii="宋体" w:hAnsi="宋体"/>
          <w:kern w:val="0"/>
          <w:sz w:val="22"/>
        </w:rPr>
      </w:pPr>
      <w:r>
        <w:rPr>
          <w:rFonts w:hint="eastAsia" w:ascii="宋体" w:hAnsi="宋体"/>
          <w:kern w:val="0"/>
          <w:sz w:val="22"/>
        </w:rPr>
        <w:t>二、评审组织</w:t>
      </w:r>
    </w:p>
    <w:p>
      <w:pPr>
        <w:pStyle w:val="15"/>
        <w:adjustRightInd w:val="0"/>
        <w:snapToGrid w:val="0"/>
        <w:spacing w:line="460" w:lineRule="exact"/>
        <w:rPr>
          <w:rFonts w:eastAsia="宋体"/>
          <w:b w:val="0"/>
          <w:color w:val="auto"/>
          <w:sz w:val="22"/>
          <w:szCs w:val="22"/>
        </w:rPr>
      </w:pPr>
      <w:r>
        <w:rPr>
          <w:rFonts w:hint="eastAsia" w:eastAsia="宋体"/>
          <w:b w:val="0"/>
          <w:color w:val="auto"/>
          <w:sz w:val="22"/>
          <w:szCs w:val="22"/>
        </w:rPr>
        <w:t>评审工作由采购人依法组建的评标委员会负责，评标委员会由采购人代表以及评审专家库中随机抽取的有关技术、经济专家共同组成。</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textAlignment w:val="auto"/>
        <w:rPr>
          <w:rFonts w:ascii="宋体" w:hAnsi="宋体"/>
          <w:b w:val="0"/>
          <w:kern w:val="2"/>
          <w:sz w:val="22"/>
          <w:szCs w:val="22"/>
        </w:rPr>
      </w:pPr>
      <w:r>
        <w:rPr>
          <w:rFonts w:hint="eastAsia" w:ascii="宋体" w:hAnsi="宋体"/>
          <w:b w:val="0"/>
          <w:kern w:val="2"/>
          <w:sz w:val="22"/>
          <w:szCs w:val="22"/>
        </w:rPr>
        <w:t>三、评标程序及评审办法</w:t>
      </w:r>
    </w:p>
    <w:p>
      <w:pPr>
        <w:adjustRightInd w:val="0"/>
        <w:snapToGrid w:val="0"/>
        <w:spacing w:line="460" w:lineRule="exact"/>
        <w:ind w:firstLine="440" w:firstLineChars="200"/>
        <w:jc w:val="left"/>
        <w:rPr>
          <w:rFonts w:ascii="宋体" w:hAnsi="宋体"/>
          <w:sz w:val="22"/>
        </w:rPr>
      </w:pPr>
      <w:r>
        <w:rPr>
          <w:rFonts w:hint="eastAsia" w:ascii="宋体" w:hAnsi="宋体"/>
          <w:sz w:val="22"/>
        </w:rPr>
        <w:t>本次开标程序如下：</w:t>
      </w:r>
    </w:p>
    <w:p>
      <w:pPr>
        <w:shd w:val="clear" w:color="auto" w:fill="FFFFFF"/>
        <w:spacing w:line="460" w:lineRule="exact"/>
        <w:ind w:firstLine="440" w:firstLineChars="200"/>
        <w:rPr>
          <w:rFonts w:ascii="宋体" w:hAnsi="宋体"/>
          <w:kern w:val="0"/>
          <w:sz w:val="22"/>
        </w:rPr>
      </w:pPr>
      <w:r>
        <w:rPr>
          <w:rFonts w:hint="eastAsia" w:ascii="宋体" w:hAnsi="宋体"/>
          <w:kern w:val="0"/>
          <w:sz w:val="22"/>
        </w:rPr>
        <w:t>1、向各投标供应商发出电子加密投标文件【开始解密】通知，由供应商按招标文件规定的时间内自行进行投标文件解密。</w:t>
      </w:r>
      <w:r>
        <w:rPr>
          <w:rFonts w:hint="eastAsia" w:ascii="宋体" w:hAnsi="宋体"/>
          <w:b/>
          <w:kern w:val="0"/>
          <w:sz w:val="22"/>
        </w:rPr>
        <w:t>投标供应商在规定的时间内无法完成已递交的“电子加密投标文件”解密的，</w:t>
      </w:r>
      <w:r>
        <w:rPr>
          <w:rFonts w:ascii="宋体" w:hAnsi="宋体"/>
          <w:b/>
          <w:kern w:val="0"/>
          <w:sz w:val="22"/>
        </w:rPr>
        <w:t>其投标文件按拒收处理。</w:t>
      </w:r>
    </w:p>
    <w:p>
      <w:pPr>
        <w:adjustRightInd w:val="0"/>
        <w:snapToGrid w:val="0"/>
        <w:spacing w:line="460" w:lineRule="exact"/>
        <w:ind w:firstLine="440" w:firstLineChars="200"/>
        <w:rPr>
          <w:rFonts w:ascii="宋体" w:hAnsi="宋体"/>
          <w:sz w:val="22"/>
        </w:rPr>
      </w:pPr>
      <w:r>
        <w:rPr>
          <w:rFonts w:ascii="宋体" w:hAnsi="宋体"/>
          <w:sz w:val="22"/>
        </w:rPr>
        <w:t>2</w:t>
      </w:r>
      <w:r>
        <w:rPr>
          <w:rFonts w:hint="eastAsia" w:ascii="宋体" w:hAnsi="宋体"/>
          <w:sz w:val="22"/>
        </w:rPr>
        <w:t>、</w:t>
      </w:r>
      <w:r>
        <w:rPr>
          <w:rFonts w:ascii="宋体" w:hAnsi="宋体"/>
          <w:sz w:val="22"/>
        </w:rPr>
        <w:t>投标文件解密结束，开启资格文件，进入资格审查环节，采购人或采购代理机构将依法对投标供应商的资格进行审查。</w:t>
      </w:r>
    </w:p>
    <w:p>
      <w:pPr>
        <w:adjustRightInd w:val="0"/>
        <w:snapToGrid w:val="0"/>
        <w:spacing w:line="460" w:lineRule="exact"/>
        <w:ind w:firstLine="440" w:firstLineChars="200"/>
        <w:rPr>
          <w:rFonts w:ascii="宋体" w:hAnsi="宋体"/>
          <w:sz w:val="22"/>
        </w:rPr>
      </w:pPr>
      <w:r>
        <w:rPr>
          <w:rFonts w:ascii="宋体" w:hAnsi="宋体"/>
          <w:sz w:val="22"/>
        </w:rPr>
        <w:t>3</w:t>
      </w:r>
      <w:r>
        <w:rPr>
          <w:rFonts w:hint="eastAsia" w:ascii="宋体" w:hAnsi="宋体"/>
          <w:sz w:val="22"/>
        </w:rPr>
        <w:t>、</w:t>
      </w:r>
      <w:r>
        <w:rPr>
          <w:rFonts w:ascii="宋体" w:hAnsi="宋体"/>
          <w:sz w:val="22"/>
        </w:rPr>
        <w:t>开启资格审查通过的投标供应商的商务技术文件进入符合性审查及商务技术评审</w:t>
      </w:r>
      <w:r>
        <w:rPr>
          <w:rFonts w:hint="eastAsia" w:ascii="宋体" w:hAnsi="宋体"/>
          <w:sz w:val="22"/>
        </w:rPr>
        <w:t>。</w:t>
      </w:r>
    </w:p>
    <w:p>
      <w:pPr>
        <w:shd w:val="clear" w:color="auto" w:fill="FFFFFF"/>
        <w:spacing w:line="460" w:lineRule="exact"/>
        <w:ind w:firstLine="440" w:firstLineChars="200"/>
        <w:rPr>
          <w:rFonts w:ascii="宋体" w:hAnsi="宋体"/>
          <w:kern w:val="0"/>
          <w:sz w:val="22"/>
        </w:rPr>
      </w:pPr>
      <w:r>
        <w:rPr>
          <w:rFonts w:ascii="宋体" w:hAnsi="宋体"/>
          <w:kern w:val="0"/>
          <w:sz w:val="22"/>
        </w:rPr>
        <w:t>4</w:t>
      </w:r>
      <w:r>
        <w:rPr>
          <w:rFonts w:hint="eastAsia" w:ascii="宋体" w:hAnsi="宋体"/>
          <w:kern w:val="0"/>
          <w:sz w:val="22"/>
        </w:rPr>
        <w:t>、</w:t>
      </w:r>
      <w:r>
        <w:rPr>
          <w:rFonts w:ascii="宋体" w:hAnsi="宋体"/>
          <w:kern w:val="0"/>
          <w:sz w:val="22"/>
        </w:rPr>
        <w:t>符合性审查、商务技术评审结束后，开启符合性审查、商务技术评审有效投标供应商的报价文件。由评标委员会对报价文件的符合性等进行审查核实</w:t>
      </w:r>
      <w:r>
        <w:rPr>
          <w:rFonts w:hint="eastAsia" w:ascii="宋体" w:hAnsi="宋体"/>
          <w:kern w:val="0"/>
          <w:sz w:val="22"/>
        </w:rPr>
        <w:t>，对报价进行得分计算。</w:t>
      </w:r>
    </w:p>
    <w:p>
      <w:pPr>
        <w:adjustRightInd w:val="0"/>
        <w:snapToGrid w:val="0"/>
        <w:spacing w:line="460" w:lineRule="exact"/>
        <w:ind w:firstLine="420"/>
        <w:rPr>
          <w:rFonts w:ascii="宋体" w:hAnsi="宋体"/>
          <w:kern w:val="0"/>
          <w:sz w:val="22"/>
        </w:rPr>
      </w:pPr>
      <w:r>
        <w:rPr>
          <w:rFonts w:hint="eastAsia" w:ascii="宋体" w:hAnsi="宋体"/>
          <w:kern w:val="0"/>
          <w:sz w:val="22"/>
        </w:rPr>
        <w:t>5、根据</w:t>
      </w:r>
      <w:r>
        <w:rPr>
          <w:rFonts w:ascii="宋体" w:hAnsi="宋体"/>
          <w:kern w:val="0"/>
          <w:sz w:val="22"/>
        </w:rPr>
        <w:t>各投标供应商</w:t>
      </w:r>
      <w:r>
        <w:rPr>
          <w:rFonts w:hint="eastAsia" w:ascii="宋体" w:hAnsi="宋体"/>
          <w:kern w:val="0"/>
          <w:sz w:val="22"/>
        </w:rPr>
        <w:t>综合得分从高到低</w:t>
      </w:r>
      <w:r>
        <w:rPr>
          <w:rFonts w:ascii="宋体" w:hAnsi="宋体"/>
          <w:kern w:val="0"/>
          <w:sz w:val="22"/>
        </w:rPr>
        <w:t>进行排序，推荐中标候选供应商；综合得分最高的供应商推荐为中标供应商</w:t>
      </w:r>
      <w:r>
        <w:rPr>
          <w:rFonts w:hint="eastAsia" w:ascii="宋体" w:hAnsi="宋体"/>
          <w:kern w:val="0"/>
          <w:sz w:val="22"/>
        </w:rPr>
        <w:t>。</w:t>
      </w:r>
    </w:p>
    <w:p>
      <w:pPr>
        <w:adjustRightInd w:val="0"/>
        <w:snapToGrid w:val="0"/>
        <w:spacing w:line="460" w:lineRule="exact"/>
        <w:ind w:firstLine="420"/>
        <w:rPr>
          <w:rFonts w:ascii="宋体" w:hAnsi="宋体"/>
          <w:kern w:val="0"/>
          <w:sz w:val="22"/>
        </w:rPr>
      </w:pPr>
      <w:r>
        <w:rPr>
          <w:rFonts w:hint="eastAsia" w:ascii="宋体" w:hAnsi="宋体"/>
          <w:kern w:val="0"/>
          <w:sz w:val="22"/>
        </w:rPr>
        <w:t>6、由评标委员会向采购人推荐综合得分第一名的供应商为中标供应商，并提交评审报告。如果得分相同，以投标报价低的优先；如投标报价也相同，则以政采云系统记录的投标文件解密时间排序在前面的优先。</w:t>
      </w:r>
    </w:p>
    <w:p>
      <w:pPr>
        <w:shd w:val="clear" w:color="auto" w:fill="FFFFFF"/>
        <w:spacing w:line="460" w:lineRule="exact"/>
        <w:ind w:firstLine="440" w:firstLineChars="200"/>
        <w:rPr>
          <w:rFonts w:ascii="宋体" w:hAnsi="宋体"/>
          <w:kern w:val="0"/>
          <w:sz w:val="22"/>
        </w:rPr>
      </w:pPr>
      <w:r>
        <w:rPr>
          <w:rFonts w:hint="eastAsia" w:ascii="宋体" w:hAnsi="宋体"/>
          <w:kern w:val="0"/>
          <w:sz w:val="22"/>
        </w:rPr>
        <w:t>7、</w:t>
      </w:r>
      <w:r>
        <w:rPr>
          <w:rFonts w:ascii="宋体" w:hAnsi="宋体"/>
          <w:kern w:val="0"/>
          <w:sz w:val="22"/>
        </w:rPr>
        <w:t>评审结束后，公布采购结果。</w:t>
      </w:r>
    </w:p>
    <w:p>
      <w:pPr>
        <w:spacing w:beforeLines="50" w:afterLines="50" w:line="460" w:lineRule="exact"/>
        <w:ind w:firstLine="590" w:firstLineChars="196"/>
        <w:rPr>
          <w:rFonts w:ascii="楷体" w:hAnsi="楷体" w:eastAsia="楷体" w:cs="楷体"/>
          <w:b/>
          <w:bCs/>
          <w:color w:val="000000"/>
          <w:sz w:val="30"/>
          <w:szCs w:val="30"/>
        </w:rPr>
      </w:pPr>
    </w:p>
    <w:p>
      <w:pPr>
        <w:spacing w:beforeLines="50" w:afterLines="50" w:line="460" w:lineRule="exact"/>
        <w:ind w:firstLine="590" w:firstLineChars="196"/>
        <w:rPr>
          <w:rFonts w:ascii="楷体" w:hAnsi="楷体" w:eastAsia="楷体" w:cs="楷体"/>
          <w:b/>
          <w:color w:val="000000"/>
          <w:sz w:val="30"/>
          <w:szCs w:val="30"/>
        </w:rPr>
      </w:pPr>
      <w:r>
        <w:rPr>
          <w:rFonts w:hint="eastAsia" w:ascii="楷体" w:hAnsi="楷体" w:eastAsia="楷体" w:cs="楷体"/>
          <w:b/>
          <w:bCs/>
          <w:color w:val="000000"/>
          <w:sz w:val="30"/>
          <w:szCs w:val="30"/>
        </w:rPr>
        <w:t>四、评标内容及标准</w:t>
      </w:r>
    </w:p>
    <w:p>
      <w:pPr>
        <w:spacing w:beforeLines="50" w:afterLines="50" w:line="400" w:lineRule="exact"/>
        <w:ind w:firstLine="440" w:firstLineChars="200"/>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的投标人为中标候选人,排名第二的投标人为候补中标候选人……其他投标人中标候选资格依此类推。评分过程中采用四舍五入法，并保留小数2位。</w:t>
      </w:r>
    </w:p>
    <w:p>
      <w:pPr>
        <w:spacing w:beforeLines="50" w:afterLines="50" w:line="400" w:lineRule="exact"/>
        <w:ind w:firstLine="440" w:firstLineChars="200"/>
        <w:rPr>
          <w:rFonts w:ascii="楷体" w:hAnsi="楷体" w:eastAsia="楷体" w:cs="楷体"/>
          <w:bCs/>
          <w:color w:val="000000"/>
          <w:sz w:val="30"/>
          <w:szCs w:val="30"/>
        </w:rPr>
      </w:pPr>
      <w:r>
        <w:rPr>
          <w:rFonts w:hint="eastAsia" w:asciiTheme="minorEastAsia" w:hAnsiTheme="minorEastAsia" w:eastAsiaTheme="minorEastAsia" w:cstheme="minorEastAsia"/>
          <w:color w:val="000000"/>
          <w:sz w:val="22"/>
        </w:rPr>
        <w:t>投标人评标综合得分=价格分+(技术分+商务资信及其他分)</w:t>
      </w:r>
    </w:p>
    <w:p>
      <w:pPr>
        <w:spacing w:beforeLines="50" w:afterLines="50" w:line="400" w:lineRule="exact"/>
        <w:ind w:firstLine="480" w:firstLineChars="200"/>
        <w:rPr>
          <w:rFonts w:ascii="Courier New" w:hAnsi="Courier New" w:cs="Courier New"/>
          <w:kern w:val="0"/>
          <w:sz w:val="24"/>
          <w:szCs w:val="24"/>
        </w:rPr>
      </w:pPr>
      <w:r>
        <w:rPr>
          <w:rFonts w:hint="eastAsia" w:ascii="Courier New" w:hAnsi="Courier New" w:cs="Courier New"/>
          <w:kern w:val="0"/>
          <w:sz w:val="24"/>
          <w:szCs w:val="24"/>
        </w:rPr>
        <w:t>标段一：价格分（30分）</w:t>
      </w:r>
    </w:p>
    <w:p>
      <w:pPr>
        <w:numPr>
          <w:ilvl w:val="0"/>
          <w:numId w:val="58"/>
        </w:numPr>
        <w:spacing w:beforeLines="50" w:afterLines="50" w:line="400" w:lineRule="exact"/>
        <w:ind w:firstLine="440" w:firstLineChars="200"/>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价格分采用低价优先法计算，即满足招标文件要求且投标价格最低的投标报价为评标基准价，其他投标人的价格分按照下列公式计算：投标报价得分=（评标基准价/投标报价）×30%×100</w:t>
      </w:r>
    </w:p>
    <w:p>
      <w:pPr>
        <w:snapToGrid w:val="0"/>
        <w:spacing w:line="500" w:lineRule="exact"/>
        <w:ind w:firstLine="440" w:firstLineChars="200"/>
        <w:rPr>
          <w:rFonts w:asciiTheme="minorEastAsia" w:hAnsiTheme="minorEastAsia" w:eastAsiaTheme="minorEastAsia" w:cstheme="minorEastAsia"/>
          <w:smallCaps/>
          <w:color w:val="000000"/>
          <w:sz w:val="22"/>
        </w:rPr>
      </w:pPr>
      <w:r>
        <w:rPr>
          <w:rFonts w:hint="eastAsia" w:asciiTheme="minorEastAsia" w:hAnsiTheme="minorEastAsia" w:eastAsiaTheme="minorEastAsia" w:cstheme="minorEastAsia"/>
          <w:smallCaps/>
          <w:color w:val="000000"/>
          <w:sz w:val="22"/>
        </w:rPr>
        <w:t>2、依照《政府采购促进中小企业发展暂行办法》、《财政部 民政部 中国残疾人联合会关于促进残疾人就业政府采购政策的通知》（财库〔2017〕141号）、《财政部、司法部关于政府采购支持监狱企业发展有关问题的通知》（财库〔2014〕68号）的规定，对符合相关要求的有效投标人，按照以下比例给予相应的价格扣除，以确定该投标人的报价评审价格：</w:t>
      </w:r>
    </w:p>
    <w:tbl>
      <w:tblPr>
        <w:tblStyle w:val="27"/>
        <w:tblW w:w="0" w:type="auto"/>
        <w:jc w:val="center"/>
        <w:tblLayout w:type="fixed"/>
        <w:tblCellMar>
          <w:top w:w="0" w:type="dxa"/>
          <w:left w:w="108" w:type="dxa"/>
          <w:bottom w:w="0" w:type="dxa"/>
          <w:right w:w="108" w:type="dxa"/>
        </w:tblCellMar>
      </w:tblPr>
      <w:tblGrid>
        <w:gridCol w:w="728"/>
        <w:gridCol w:w="2997"/>
        <w:gridCol w:w="2081"/>
        <w:gridCol w:w="3359"/>
      </w:tblGrid>
      <w:tr>
        <w:tblPrEx>
          <w:tblCellMar>
            <w:top w:w="0" w:type="dxa"/>
            <w:left w:w="108" w:type="dxa"/>
            <w:bottom w:w="0" w:type="dxa"/>
            <w:right w:w="108" w:type="dxa"/>
          </w:tblCellMar>
        </w:tblPrEx>
        <w:trPr>
          <w:trHeight w:val="463"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ind w:left="149"/>
              <w:rPr>
                <w:rFonts w:ascii="楷体" w:hAnsi="楷体" w:eastAsia="楷体" w:cs="楷体"/>
                <w:smallCaps/>
                <w:color w:val="000000"/>
                <w:sz w:val="24"/>
                <w:szCs w:val="24"/>
              </w:rPr>
            </w:pPr>
            <w:r>
              <w:rPr>
                <w:rFonts w:hint="eastAsia" w:ascii="楷体" w:hAnsi="楷体" w:eastAsia="楷体" w:cs="楷体"/>
                <w:smallCaps/>
                <w:color w:val="000000"/>
                <w:sz w:val="24"/>
                <w:szCs w:val="24"/>
              </w:rPr>
              <w:t>序号</w:t>
            </w:r>
          </w:p>
        </w:tc>
        <w:tc>
          <w:tcPr>
            <w:tcW w:w="2997"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情形</w:t>
            </w:r>
          </w:p>
        </w:tc>
        <w:tc>
          <w:tcPr>
            <w:tcW w:w="2081"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价格扣除比例</w:t>
            </w:r>
          </w:p>
        </w:tc>
        <w:tc>
          <w:tcPr>
            <w:tcW w:w="3359"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计算公式</w:t>
            </w:r>
          </w:p>
        </w:tc>
      </w:tr>
      <w:tr>
        <w:tblPrEx>
          <w:tblCellMar>
            <w:top w:w="0" w:type="dxa"/>
            <w:left w:w="108" w:type="dxa"/>
            <w:bottom w:w="0" w:type="dxa"/>
            <w:right w:w="108" w:type="dxa"/>
          </w:tblCellMar>
        </w:tblPrEx>
        <w:trPr>
          <w:trHeight w:val="1382" w:hRule="atLeast"/>
          <w:jc w:val="center"/>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1</w:t>
            </w:r>
          </w:p>
        </w:tc>
        <w:tc>
          <w:tcPr>
            <w:tcW w:w="2997"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7"/>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非联合体供应商</w:t>
            </w:r>
          </w:p>
          <w:p>
            <w:pPr>
              <w:snapToGrid w:val="0"/>
              <w:spacing w:line="460" w:lineRule="exact"/>
              <w:ind w:left="107"/>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（供应商属于小型和微型企业）</w:t>
            </w:r>
          </w:p>
        </w:tc>
        <w:tc>
          <w:tcPr>
            <w:tcW w:w="2081"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8"/>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对小型和微型企业所提供服务的价格扣除6%</w:t>
            </w:r>
          </w:p>
        </w:tc>
        <w:tc>
          <w:tcPr>
            <w:tcW w:w="335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8"/>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评审价格＝（总投标报价—小型和微型企业产品的价格）+小型和微型企业产品的价格×(1-6%)</w:t>
            </w:r>
          </w:p>
        </w:tc>
      </w:tr>
    </w:tbl>
    <w:p>
      <w:pPr>
        <w:pStyle w:val="22"/>
        <w:shd w:val="clear" w:color="auto" w:fill="FFFFFF"/>
        <w:spacing w:before="50" w:after="50" w:line="400" w:lineRule="exact"/>
        <w:rPr>
          <w:rFonts w:ascii="楷体" w:hAnsi="楷体" w:eastAsia="楷体" w:cs="楷体"/>
          <w:smallCaps/>
          <w:color w:val="000000"/>
        </w:rPr>
      </w:pPr>
      <w:r>
        <w:rPr>
          <w:rFonts w:hint="eastAsia" w:ascii="楷体" w:hAnsi="楷体" w:eastAsia="楷体" w:cs="楷体"/>
          <w:smallCaps/>
          <w:color w:val="000000"/>
        </w:rPr>
        <w:t>注：①中型企业不享受以上优惠；②小型和微型企业产品包括货物及其提供的服务与工程；③残疾人福利性单位或监狱企业视同小型、微型企业执行。</w:t>
      </w:r>
    </w:p>
    <w:p>
      <w:pPr>
        <w:pStyle w:val="22"/>
        <w:numPr>
          <w:ilvl w:val="0"/>
          <w:numId w:val="58"/>
        </w:numPr>
        <w:shd w:val="clear" w:color="auto" w:fill="FFFFFF"/>
        <w:spacing w:before="50" w:after="50" w:line="400" w:lineRule="exact"/>
        <w:rPr>
          <w:rFonts w:ascii="Courier New" w:hAnsi="Courier New" w:cs="Courier New"/>
        </w:rPr>
      </w:pPr>
      <w:r>
        <w:rPr>
          <w:rFonts w:hint="eastAsia" w:ascii="Courier New" w:hAnsi="Courier New" w:cs="Courier New"/>
        </w:rPr>
        <w:t>技术</w:t>
      </w:r>
      <w:r>
        <w:rPr>
          <w:rFonts w:ascii="Courier New" w:hAnsi="Courier New" w:cs="Courier New"/>
        </w:rPr>
        <w:t>、资信及商务分（</w:t>
      </w:r>
      <w:r>
        <w:rPr>
          <w:rFonts w:hint="eastAsia"/>
        </w:rPr>
        <w:t>70</w:t>
      </w:r>
      <w:r>
        <w:rPr>
          <w:rFonts w:hint="eastAsia" w:ascii="Courier New" w:hAnsi="Courier New" w:cs="Courier New"/>
        </w:rPr>
        <w:t>分</w:t>
      </w:r>
      <w:r>
        <w:rPr>
          <w:rFonts w:ascii="Courier New" w:hAnsi="Courier New" w:cs="Courier New"/>
        </w:rPr>
        <w:t>）</w:t>
      </w:r>
    </w:p>
    <w:tbl>
      <w:tblPr>
        <w:tblStyle w:val="27"/>
        <w:tblW w:w="9344" w:type="dxa"/>
        <w:tblInd w:w="-164" w:type="dxa"/>
        <w:tblLayout w:type="autofit"/>
        <w:tblCellMar>
          <w:top w:w="0" w:type="dxa"/>
          <w:left w:w="108" w:type="dxa"/>
          <w:bottom w:w="0" w:type="dxa"/>
          <w:right w:w="108" w:type="dxa"/>
        </w:tblCellMar>
      </w:tblPr>
      <w:tblGrid>
        <w:gridCol w:w="1177"/>
        <w:gridCol w:w="728"/>
        <w:gridCol w:w="7012"/>
        <w:gridCol w:w="427"/>
      </w:tblGrid>
      <w:tr>
        <w:tblPrEx>
          <w:tblCellMar>
            <w:top w:w="0" w:type="dxa"/>
            <w:left w:w="108" w:type="dxa"/>
            <w:bottom w:w="0" w:type="dxa"/>
            <w:right w:w="108" w:type="dxa"/>
          </w:tblCellMar>
        </w:tblPrEx>
        <w:trPr>
          <w:trHeight w:val="270" w:hRule="atLeast"/>
        </w:trPr>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分类</w:t>
            </w:r>
          </w:p>
        </w:tc>
        <w:tc>
          <w:tcPr>
            <w:tcW w:w="7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70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评分标准</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分值</w:t>
            </w:r>
          </w:p>
        </w:tc>
      </w:tr>
      <w:tr>
        <w:tblPrEx>
          <w:tblCellMar>
            <w:top w:w="0" w:type="dxa"/>
            <w:left w:w="108" w:type="dxa"/>
            <w:bottom w:w="0" w:type="dxa"/>
            <w:right w:w="108" w:type="dxa"/>
          </w:tblCellMar>
        </w:tblPrEx>
        <w:trPr>
          <w:trHeight w:val="1084" w:hRule="atLeast"/>
        </w:trPr>
        <w:tc>
          <w:tcPr>
            <w:tcW w:w="11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szCs w:val="21"/>
              </w:rPr>
            </w:pPr>
            <w:r>
              <w:rPr>
                <w:rFonts w:hint="eastAsia" w:ascii="宋体" w:hAnsi="宋体"/>
                <w:szCs w:val="21"/>
              </w:rPr>
              <w:t>对本项目系统总体要求的理解</w:t>
            </w:r>
          </w:p>
        </w:tc>
        <w:tc>
          <w:tcPr>
            <w:tcW w:w="7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szCs w:val="21"/>
              </w:rPr>
            </w:pPr>
            <w:r>
              <w:rPr>
                <w:rFonts w:hint="eastAsia" w:ascii="宋体" w:hAnsi="宋体"/>
                <w:szCs w:val="21"/>
              </w:rPr>
              <w:t>1</w:t>
            </w:r>
          </w:p>
        </w:tc>
        <w:tc>
          <w:tcPr>
            <w:tcW w:w="7012" w:type="dxa"/>
            <w:tcBorders>
              <w:top w:val="nil"/>
              <w:left w:val="nil"/>
              <w:bottom w:val="single" w:color="auto" w:sz="4" w:space="0"/>
              <w:right w:val="single" w:color="auto" w:sz="4" w:space="0"/>
            </w:tcBorders>
            <w:shd w:val="clear" w:color="auto" w:fill="auto"/>
            <w:vAlign w:val="top"/>
          </w:tcPr>
          <w:p>
            <w:pPr>
              <w:widowControl/>
              <w:jc w:val="left"/>
              <w:rPr>
                <w:rFonts w:hint="eastAsia" w:ascii="宋体" w:hAnsi="宋体"/>
                <w:szCs w:val="21"/>
              </w:rPr>
            </w:pPr>
            <w:r>
              <w:rPr>
                <w:rFonts w:hint="eastAsia" w:ascii="宋体" w:hAnsi="宋体"/>
                <w:szCs w:val="21"/>
              </w:rPr>
              <w:t>对本项目的理解程度0-3分。</w:t>
            </w: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szCs w:val="21"/>
              </w:rPr>
            </w:pPr>
            <w:r>
              <w:rPr>
                <w:rFonts w:hint="eastAsia" w:ascii="宋体" w:hAnsi="宋体"/>
                <w:szCs w:val="21"/>
              </w:rPr>
              <w:t>3</w:t>
            </w:r>
          </w:p>
        </w:tc>
      </w:tr>
      <w:tr>
        <w:tblPrEx>
          <w:tblCellMar>
            <w:top w:w="0" w:type="dxa"/>
            <w:left w:w="108" w:type="dxa"/>
            <w:bottom w:w="0" w:type="dxa"/>
            <w:right w:w="108" w:type="dxa"/>
          </w:tblCellMar>
        </w:tblPrEx>
        <w:trPr>
          <w:trHeight w:val="1530" w:hRule="atLeast"/>
        </w:trPr>
        <w:tc>
          <w:tcPr>
            <w:tcW w:w="11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szCs w:val="21"/>
              </w:rPr>
            </w:pPr>
            <w:r>
              <w:rPr>
                <w:rFonts w:hint="eastAsia" w:ascii="宋体" w:hAnsi="宋体"/>
                <w:szCs w:val="21"/>
              </w:rPr>
              <w:t>投标货物的性能及技术指标</w:t>
            </w:r>
          </w:p>
        </w:tc>
        <w:tc>
          <w:tcPr>
            <w:tcW w:w="7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szCs w:val="21"/>
              </w:rPr>
            </w:pPr>
            <w:r>
              <w:rPr>
                <w:rFonts w:hint="eastAsia" w:ascii="宋体" w:hAnsi="宋体"/>
                <w:szCs w:val="21"/>
              </w:rPr>
              <w:t>2</w:t>
            </w:r>
          </w:p>
        </w:tc>
        <w:tc>
          <w:tcPr>
            <w:tcW w:w="70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szCs w:val="21"/>
              </w:rPr>
            </w:pPr>
            <w:r>
              <w:rPr>
                <w:rFonts w:hint="eastAsia" w:ascii="宋体" w:hAnsi="宋体"/>
                <w:szCs w:val="21"/>
              </w:rPr>
              <w:t>所有指标与招标需求基本一致的，得30分，允许偏离的指标低于招标需求（负偏离）的，根据负偏离程度每项扣 0.5-2分，扣完为止；设备多数指标明显优于招标需求（正偏离）的，且该正偏离对本项目有绝对的使用价值，根据正偏离程度每项得0.5-2分，最高得35分（正负偏离程度由评标专家组根据项目需求认定）。</w:t>
            </w: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szCs w:val="21"/>
                <w:lang w:eastAsia="zh-CN"/>
              </w:rPr>
            </w:pPr>
            <w:r>
              <w:rPr>
                <w:rFonts w:hint="eastAsia" w:ascii="宋体" w:hAnsi="宋体"/>
                <w:szCs w:val="21"/>
              </w:rPr>
              <w:t>3</w:t>
            </w:r>
            <w:r>
              <w:rPr>
                <w:rFonts w:hint="eastAsia" w:ascii="宋体" w:hAnsi="宋体"/>
                <w:szCs w:val="21"/>
                <w:lang w:val="en-US" w:eastAsia="zh-CN"/>
              </w:rPr>
              <w:t>5</w:t>
            </w:r>
          </w:p>
        </w:tc>
      </w:tr>
      <w:tr>
        <w:tblPrEx>
          <w:tblCellMar>
            <w:top w:w="0" w:type="dxa"/>
            <w:left w:w="108" w:type="dxa"/>
            <w:bottom w:w="0" w:type="dxa"/>
            <w:right w:w="108" w:type="dxa"/>
          </w:tblCellMar>
        </w:tblPrEx>
        <w:trPr>
          <w:trHeight w:val="1530" w:hRule="atLeast"/>
        </w:trPr>
        <w:tc>
          <w:tcPr>
            <w:tcW w:w="11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产品厂商要求</w:t>
            </w:r>
          </w:p>
        </w:tc>
        <w:tc>
          <w:tcPr>
            <w:tcW w:w="7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7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为保证安全产品</w:t>
            </w:r>
            <w:r>
              <w:rPr>
                <w:rFonts w:hint="eastAsia" w:ascii="宋体" w:hAnsi="宋体" w:cs="宋体"/>
                <w:kern w:val="0"/>
                <w:szCs w:val="21"/>
                <w:lang w:val="en-US" w:eastAsia="zh-CN"/>
              </w:rPr>
              <w:t>核心产品</w:t>
            </w:r>
            <w:r>
              <w:rPr>
                <w:rFonts w:hint="eastAsia" w:ascii="宋体" w:hAnsi="宋体" w:cs="宋体"/>
                <w:kern w:val="0"/>
                <w:szCs w:val="21"/>
              </w:rPr>
              <w:t>投标厂商在后续服务方面的整体服务能力。</w:t>
            </w:r>
            <w:r>
              <w:rPr>
                <w:rFonts w:hint="eastAsia" w:ascii="宋体" w:hAnsi="宋体" w:cs="宋体"/>
                <w:kern w:val="0"/>
                <w:szCs w:val="21"/>
              </w:rPr>
              <w:br w:type="textWrapping"/>
            </w:r>
            <w:r>
              <w:rPr>
                <w:rFonts w:hint="eastAsia" w:ascii="宋体" w:hAnsi="宋体" w:cs="宋体"/>
                <w:kern w:val="0"/>
                <w:szCs w:val="21"/>
              </w:rPr>
              <w:t>产品生产厂商需具备信息安全应急处理服务资质，一级资质得3分，二级得2分，三级得1分，不满足不得分；</w:t>
            </w:r>
            <w:r>
              <w:rPr>
                <w:rFonts w:hint="eastAsia" w:ascii="宋体" w:hAnsi="宋体" w:cs="宋体"/>
                <w:kern w:val="0"/>
                <w:szCs w:val="21"/>
              </w:rPr>
              <w:br w:type="textWrapping"/>
            </w:r>
            <w:r>
              <w:rPr>
                <w:rFonts w:hint="eastAsia" w:ascii="宋体" w:hAnsi="宋体" w:cs="宋体"/>
                <w:kern w:val="0"/>
                <w:szCs w:val="21"/>
              </w:rPr>
              <w:t>产品生产厂商需具备信息安全风险评估服务资质，一级资质得3分，二级得2分，三级得1分，不满足不得分；</w:t>
            </w:r>
            <w:r>
              <w:rPr>
                <w:rFonts w:hint="eastAsia" w:ascii="宋体" w:hAnsi="宋体" w:cs="宋体"/>
                <w:kern w:val="0"/>
                <w:szCs w:val="21"/>
              </w:rPr>
              <w:br w:type="textWrapping"/>
            </w:r>
            <w:r>
              <w:rPr>
                <w:rFonts w:hint="eastAsia" w:ascii="宋体" w:hAnsi="宋体" w:cs="宋体"/>
                <w:kern w:val="0"/>
                <w:szCs w:val="21"/>
              </w:rPr>
              <w:t>要求提供证书复印件；</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CellMar>
            <w:top w:w="0" w:type="dxa"/>
            <w:left w:w="108" w:type="dxa"/>
            <w:bottom w:w="0" w:type="dxa"/>
            <w:right w:w="108" w:type="dxa"/>
          </w:tblCellMar>
        </w:tblPrEx>
        <w:trPr>
          <w:trHeight w:val="510" w:hRule="atLeast"/>
        </w:trPr>
        <w:tc>
          <w:tcPr>
            <w:tcW w:w="11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项目总体方案设计</w:t>
            </w:r>
          </w:p>
        </w:tc>
        <w:tc>
          <w:tcPr>
            <w:tcW w:w="7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7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投标人提供的项目整体方案情况。方案完整、可行性0-4分。</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CellMar>
            <w:top w:w="0" w:type="dxa"/>
            <w:left w:w="108" w:type="dxa"/>
            <w:bottom w:w="0" w:type="dxa"/>
            <w:right w:w="108" w:type="dxa"/>
          </w:tblCellMar>
        </w:tblPrEx>
        <w:trPr>
          <w:trHeight w:val="2063" w:hRule="atLeast"/>
        </w:trPr>
        <w:tc>
          <w:tcPr>
            <w:tcW w:w="11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项目组织实施人员配置</w:t>
            </w:r>
          </w:p>
        </w:tc>
        <w:tc>
          <w:tcPr>
            <w:tcW w:w="7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7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投标人针对本项目的实施计划方案的合理科学性、可行性0-3分。</w:t>
            </w:r>
            <w:r>
              <w:rPr>
                <w:rFonts w:hint="eastAsia" w:ascii="宋体" w:hAnsi="宋体" w:cs="宋体"/>
                <w:kern w:val="0"/>
                <w:szCs w:val="21"/>
              </w:rPr>
              <w:br w:type="textWrapping"/>
            </w:r>
            <w:r>
              <w:rPr>
                <w:rFonts w:hint="eastAsia" w:ascii="宋体" w:hAnsi="宋体" w:cs="宋体"/>
                <w:kern w:val="0"/>
                <w:szCs w:val="21"/>
              </w:rPr>
              <w:t>投标人质量保证措施及承诺、技术服务措施及承诺等情况0-3分。</w:t>
            </w:r>
            <w:r>
              <w:rPr>
                <w:rFonts w:hint="eastAsia" w:ascii="宋体" w:hAnsi="宋体" w:cs="宋体"/>
                <w:kern w:val="0"/>
                <w:szCs w:val="21"/>
              </w:rPr>
              <w:br w:type="textWrapping"/>
            </w:r>
            <w:r>
              <w:rPr>
                <w:rFonts w:hint="eastAsia" w:ascii="宋体" w:hAnsi="宋体" w:cs="宋体"/>
                <w:kern w:val="0"/>
                <w:szCs w:val="21"/>
              </w:rPr>
              <w:t>投标人拟投入本项目的人员数量、素质等情况。</w:t>
            </w:r>
            <w:r>
              <w:rPr>
                <w:rFonts w:hint="eastAsia" w:ascii="宋体" w:hAnsi="宋体" w:cs="宋体"/>
                <w:kern w:val="0"/>
                <w:szCs w:val="21"/>
              </w:rPr>
              <w:br w:type="textWrapping"/>
            </w:r>
            <w:r>
              <w:rPr>
                <w:rFonts w:hint="eastAsia" w:ascii="宋体" w:hAnsi="宋体" w:cs="宋体"/>
                <w:kern w:val="0"/>
                <w:szCs w:val="21"/>
              </w:rPr>
              <w:t>投标人项目组成员具有信息系统项目管理师的（人社部门颁发），每个证书得1分，最多2分。（须提供人员相关资质证书及近3个月单位社保证明材料，否则不得分。）</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r>
      <w:tr>
        <w:tblPrEx>
          <w:tblCellMar>
            <w:top w:w="0" w:type="dxa"/>
            <w:left w:w="108" w:type="dxa"/>
            <w:bottom w:w="0" w:type="dxa"/>
            <w:right w:w="108" w:type="dxa"/>
          </w:tblCellMar>
        </w:tblPrEx>
        <w:trPr>
          <w:trHeight w:val="1718" w:hRule="atLeast"/>
        </w:trPr>
        <w:tc>
          <w:tcPr>
            <w:tcW w:w="11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投标人资信</w:t>
            </w:r>
          </w:p>
        </w:tc>
        <w:tc>
          <w:tcPr>
            <w:tcW w:w="7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70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投标人获得质量管理体系认证、ISO14000系列环境管理体系认证及其它国际、国内权威认证的，凭相关证书每项得1分，最高得2分</w:t>
            </w:r>
            <w:r>
              <w:rPr>
                <w:rFonts w:hint="eastAsia" w:ascii="宋体" w:hAnsi="宋体" w:cs="宋体"/>
                <w:kern w:val="0"/>
                <w:szCs w:val="21"/>
              </w:rPr>
              <w:br w:type="textWrapping"/>
            </w:r>
            <w:r>
              <w:rPr>
                <w:rFonts w:hint="eastAsia" w:ascii="宋体" w:hAnsi="宋体" w:cs="宋体"/>
                <w:kern w:val="0"/>
                <w:szCs w:val="21"/>
              </w:rPr>
              <w:t>投标人具有涉密信息系统集成乙级及以上证书的，凭相关证书得2分。</w:t>
            </w:r>
            <w:r>
              <w:rPr>
                <w:rFonts w:hint="eastAsia" w:ascii="宋体" w:hAnsi="宋体" w:cs="宋体"/>
                <w:kern w:val="0"/>
                <w:szCs w:val="21"/>
              </w:rPr>
              <w:br w:type="textWrapping"/>
            </w:r>
            <w:r>
              <w:rPr>
                <w:rFonts w:hint="eastAsia" w:ascii="宋体" w:hAnsi="宋体" w:cs="宋体"/>
                <w:kern w:val="0"/>
                <w:szCs w:val="21"/>
              </w:rPr>
              <w:t>投标人具有省级安防行业资信等级三级及以上证书，凭相关证书得1分。</w:t>
            </w:r>
            <w:r>
              <w:rPr>
                <w:rFonts w:hint="eastAsia" w:ascii="宋体" w:hAnsi="宋体" w:cs="宋体"/>
                <w:kern w:val="0"/>
                <w:szCs w:val="21"/>
              </w:rPr>
              <w:br w:type="textWrapping"/>
            </w:r>
            <w:r>
              <w:rPr>
                <w:rFonts w:hint="eastAsia" w:ascii="宋体" w:hAnsi="宋体" w:cs="宋体"/>
                <w:kern w:val="0"/>
                <w:szCs w:val="21"/>
              </w:rPr>
              <w:t>投标人具有工商信用等级AA级及以上证书的，凭相关证书得1分</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CellMar>
            <w:top w:w="0" w:type="dxa"/>
            <w:left w:w="108" w:type="dxa"/>
            <w:bottom w:w="0" w:type="dxa"/>
            <w:right w:w="108" w:type="dxa"/>
          </w:tblCellMar>
        </w:tblPrEx>
        <w:trPr>
          <w:trHeight w:val="1275" w:hRule="atLeast"/>
        </w:trPr>
        <w:tc>
          <w:tcPr>
            <w:tcW w:w="11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业绩案例</w:t>
            </w:r>
          </w:p>
        </w:tc>
        <w:tc>
          <w:tcPr>
            <w:tcW w:w="7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7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投标人2017年1月1日以来承担的同类业绩情况，每项业绩得1分，最多得</w:t>
            </w:r>
            <w:r>
              <w:rPr>
                <w:rFonts w:hint="eastAsia" w:ascii="宋体" w:hAnsi="宋体" w:cs="宋体"/>
                <w:kern w:val="0"/>
                <w:szCs w:val="21"/>
                <w:lang w:val="en-US" w:eastAsia="zh-CN"/>
              </w:rPr>
              <w:t>3</w:t>
            </w:r>
            <w:r>
              <w:rPr>
                <w:rFonts w:hint="eastAsia" w:ascii="宋体" w:hAnsi="宋体" w:cs="宋体"/>
                <w:kern w:val="0"/>
                <w:szCs w:val="21"/>
              </w:rPr>
              <w:t>分。</w:t>
            </w:r>
            <w:r>
              <w:rPr>
                <w:rFonts w:hint="eastAsia" w:ascii="宋体" w:hAnsi="宋体" w:cs="宋体"/>
                <w:kern w:val="0"/>
                <w:szCs w:val="21"/>
              </w:rPr>
              <w:br w:type="textWrapping"/>
            </w:r>
            <w:r>
              <w:rPr>
                <w:rFonts w:hint="eastAsia" w:ascii="宋体" w:hAnsi="宋体" w:cs="宋体"/>
                <w:kern w:val="0"/>
                <w:szCs w:val="21"/>
              </w:rPr>
              <w:t>投标人未按要求提供合同复印件、或提供的合同复印件字迹模糊无法辨识的，该笔业绩均不予计分。有效业绩以评标委员会集体判定为准</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r>
      <w:tr>
        <w:tblPrEx>
          <w:tblCellMar>
            <w:top w:w="0" w:type="dxa"/>
            <w:left w:w="108" w:type="dxa"/>
            <w:bottom w:w="0" w:type="dxa"/>
            <w:right w:w="108" w:type="dxa"/>
          </w:tblCellMar>
        </w:tblPrEx>
        <w:trPr>
          <w:trHeight w:val="1275" w:hRule="atLeast"/>
        </w:trPr>
        <w:tc>
          <w:tcPr>
            <w:tcW w:w="11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szCs w:val="21"/>
              </w:rPr>
              <w:t>政策分</w:t>
            </w:r>
          </w:p>
        </w:tc>
        <w:tc>
          <w:tcPr>
            <w:tcW w:w="7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70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szCs w:val="21"/>
              </w:rPr>
              <w:t>投标人或投标产品（或核心产品）符合《政府采购货物和服务招标投标管理办法》第五条规定，属于“节约能源、保护环境、扶持不发达地区和少数民族地区等”政府采购政策落实对象的（注：“</w:t>
            </w:r>
            <w:r>
              <w:rPr>
                <w:rFonts w:ascii="宋体" w:hAnsi="宋体"/>
                <w:szCs w:val="21"/>
              </w:rPr>
              <w:t>促进中小企业发展</w:t>
            </w:r>
            <w:r>
              <w:rPr>
                <w:rFonts w:hint="eastAsia" w:ascii="宋体" w:hAnsi="宋体"/>
                <w:szCs w:val="21"/>
              </w:rPr>
              <w:t>”</w:t>
            </w:r>
            <w:r>
              <w:rPr>
                <w:rFonts w:ascii="宋体" w:hAnsi="宋体"/>
                <w:szCs w:val="21"/>
              </w:rPr>
              <w:t>政府采购政策</w:t>
            </w:r>
            <w:r>
              <w:rPr>
                <w:rFonts w:hint="eastAsia" w:ascii="宋体" w:hAnsi="宋体"/>
                <w:szCs w:val="21"/>
              </w:rPr>
              <w:t>评审时将在“价格分”中进行政策性价格扣除，此处不予以计分），提供相关证明材料和政策依据，每符合一项得1分，最高可得2分；未提供相关证明材料的不得分。（提供相关证明材料和政策依据备查）。</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559" w:hRule="atLeast"/>
        </w:trPr>
        <w:tc>
          <w:tcPr>
            <w:tcW w:w="11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售后服务情况</w:t>
            </w:r>
          </w:p>
        </w:tc>
        <w:tc>
          <w:tcPr>
            <w:tcW w:w="7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70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售后维护机构分布情况：投标人承诺中标后在项目所在地设有售后维护机构的得1分，在浙江省内设有售后维护机构的得0.5分，其他不得分。在原厂三年保修期的基础上，每增加一年加</w:t>
            </w:r>
            <w:r>
              <w:rPr>
                <w:rFonts w:hint="eastAsia" w:ascii="宋体" w:hAnsi="宋体" w:cs="宋体"/>
                <w:kern w:val="0"/>
                <w:szCs w:val="21"/>
                <w:lang w:val="en-US" w:eastAsia="zh-CN"/>
              </w:rPr>
              <w:t>1</w:t>
            </w:r>
            <w:r>
              <w:rPr>
                <w:rFonts w:hint="eastAsia" w:ascii="宋体" w:hAnsi="宋体" w:cs="宋体"/>
                <w:kern w:val="0"/>
                <w:szCs w:val="21"/>
              </w:rPr>
              <w:t>分，最高</w:t>
            </w:r>
            <w:r>
              <w:rPr>
                <w:rFonts w:hint="eastAsia" w:ascii="宋体" w:hAnsi="宋体" w:cs="宋体"/>
                <w:kern w:val="0"/>
                <w:szCs w:val="21"/>
                <w:lang w:val="en-US" w:eastAsia="zh-CN"/>
              </w:rPr>
              <w:t>2</w:t>
            </w:r>
            <w:r>
              <w:rPr>
                <w:rFonts w:hint="eastAsia" w:ascii="宋体" w:hAnsi="宋体" w:cs="宋体"/>
                <w:kern w:val="0"/>
                <w:szCs w:val="21"/>
              </w:rPr>
              <w:t>分。</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r>
      <w:tr>
        <w:tblPrEx>
          <w:tblCellMar>
            <w:top w:w="0" w:type="dxa"/>
            <w:left w:w="108" w:type="dxa"/>
            <w:bottom w:w="0" w:type="dxa"/>
            <w:right w:w="108" w:type="dxa"/>
          </w:tblCellMar>
        </w:tblPrEx>
        <w:trPr>
          <w:trHeight w:val="840" w:hRule="atLeast"/>
        </w:trPr>
        <w:tc>
          <w:tcPr>
            <w:tcW w:w="93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备注：若未按上述要求提供书面及证明材料，或提供的书面及证明材料与事实不符，或评分项目中要求原件核对但投标人未递交原件的均不给分。任何由于投标人原因导致书面及证明材料缺失、字迹模糊无法分辨、内容错漏的情形，均可能导致该投标人的评审项失分。</w:t>
            </w:r>
          </w:p>
        </w:tc>
      </w:tr>
    </w:tbl>
    <w:p>
      <w:pPr>
        <w:pStyle w:val="23"/>
        <w:widowControl w:val="0"/>
        <w:adjustRightInd w:val="0"/>
        <w:snapToGrid w:val="0"/>
        <w:spacing w:before="0" w:beforeAutospacing="0" w:after="0" w:afterAutospacing="0"/>
        <w:rPr>
          <w:rFonts w:ascii="Times New Roman" w:hAnsi="Times New Roman" w:eastAsia="黑体"/>
          <w:b/>
          <w:sz w:val="36"/>
          <w:szCs w:val="36"/>
        </w:rPr>
      </w:pPr>
    </w:p>
    <w:p>
      <w:pPr>
        <w:pStyle w:val="23"/>
        <w:widowControl w:val="0"/>
        <w:adjustRightInd w:val="0"/>
        <w:snapToGrid w:val="0"/>
        <w:spacing w:before="0" w:beforeAutospacing="0" w:after="0" w:afterAutospacing="0"/>
        <w:rPr>
          <w:rFonts w:hint="eastAsia" w:ascii="Times New Roman" w:hAnsi="Times New Roman" w:eastAsia="黑体"/>
          <w:b/>
          <w:sz w:val="36"/>
          <w:szCs w:val="36"/>
        </w:rPr>
      </w:pPr>
    </w:p>
    <w:p>
      <w:pPr>
        <w:pStyle w:val="23"/>
        <w:widowControl w:val="0"/>
        <w:adjustRightInd w:val="0"/>
        <w:snapToGrid w:val="0"/>
        <w:spacing w:before="0" w:beforeAutospacing="0" w:after="0" w:afterAutospacing="0"/>
        <w:rPr>
          <w:rFonts w:hint="eastAsia" w:ascii="Times New Roman" w:hAnsi="Times New Roman" w:eastAsia="黑体"/>
          <w:b/>
          <w:sz w:val="36"/>
          <w:szCs w:val="36"/>
        </w:rPr>
      </w:pPr>
    </w:p>
    <w:p>
      <w:pPr>
        <w:pStyle w:val="23"/>
        <w:widowControl w:val="0"/>
        <w:adjustRightInd w:val="0"/>
        <w:snapToGrid w:val="0"/>
        <w:spacing w:before="0" w:beforeAutospacing="0" w:after="0" w:afterAutospacing="0"/>
        <w:rPr>
          <w:rFonts w:hint="eastAsia" w:ascii="Times New Roman" w:hAnsi="Times New Roman" w:eastAsia="黑体"/>
          <w:b/>
          <w:sz w:val="36"/>
          <w:szCs w:val="36"/>
        </w:rPr>
      </w:pPr>
    </w:p>
    <w:p>
      <w:pPr>
        <w:pStyle w:val="23"/>
        <w:widowControl w:val="0"/>
        <w:adjustRightInd w:val="0"/>
        <w:snapToGrid w:val="0"/>
        <w:spacing w:before="0" w:beforeAutospacing="0" w:after="0" w:afterAutospacing="0"/>
        <w:rPr>
          <w:rFonts w:hint="eastAsia" w:ascii="Times New Roman" w:hAnsi="Times New Roman" w:eastAsia="黑体"/>
          <w:b/>
          <w:sz w:val="36"/>
          <w:szCs w:val="36"/>
        </w:rPr>
      </w:pPr>
    </w:p>
    <w:p>
      <w:pPr>
        <w:pStyle w:val="23"/>
        <w:widowControl w:val="0"/>
        <w:adjustRightInd w:val="0"/>
        <w:snapToGrid w:val="0"/>
        <w:spacing w:before="0" w:beforeAutospacing="0" w:after="0" w:afterAutospacing="0"/>
        <w:rPr>
          <w:rFonts w:hint="eastAsia" w:ascii="Times New Roman" w:hAnsi="Times New Roman" w:eastAsia="黑体"/>
          <w:b/>
          <w:sz w:val="36"/>
          <w:szCs w:val="36"/>
        </w:rPr>
      </w:pPr>
    </w:p>
    <w:p>
      <w:pPr>
        <w:pStyle w:val="23"/>
        <w:widowControl w:val="0"/>
        <w:adjustRightInd w:val="0"/>
        <w:snapToGrid w:val="0"/>
        <w:spacing w:before="0" w:beforeAutospacing="0" w:after="0" w:afterAutospacing="0"/>
        <w:rPr>
          <w:rFonts w:hint="eastAsia" w:ascii="Times New Roman" w:hAnsi="Times New Roman" w:eastAsia="黑体"/>
          <w:b/>
          <w:sz w:val="36"/>
          <w:szCs w:val="36"/>
        </w:rPr>
      </w:pPr>
    </w:p>
    <w:p>
      <w:pPr>
        <w:pStyle w:val="23"/>
        <w:widowControl w:val="0"/>
        <w:adjustRightInd w:val="0"/>
        <w:snapToGrid w:val="0"/>
        <w:spacing w:before="0" w:beforeAutospacing="0" w:after="0" w:afterAutospacing="0"/>
        <w:rPr>
          <w:rFonts w:hint="eastAsia" w:ascii="Times New Roman" w:hAnsi="Times New Roman" w:eastAsia="黑体"/>
          <w:b/>
          <w:sz w:val="36"/>
          <w:szCs w:val="36"/>
        </w:rPr>
      </w:pPr>
    </w:p>
    <w:p>
      <w:pPr>
        <w:pStyle w:val="23"/>
        <w:widowControl w:val="0"/>
        <w:adjustRightInd w:val="0"/>
        <w:snapToGrid w:val="0"/>
        <w:spacing w:before="0" w:beforeAutospacing="0" w:after="0" w:afterAutospacing="0"/>
        <w:rPr>
          <w:rFonts w:hint="eastAsia" w:ascii="Times New Roman" w:hAnsi="Times New Roman" w:eastAsia="黑体"/>
          <w:b/>
          <w:sz w:val="36"/>
          <w:szCs w:val="36"/>
        </w:rPr>
      </w:pPr>
    </w:p>
    <w:p>
      <w:pPr>
        <w:pStyle w:val="23"/>
        <w:widowControl w:val="0"/>
        <w:adjustRightInd w:val="0"/>
        <w:snapToGrid w:val="0"/>
        <w:spacing w:before="0" w:beforeAutospacing="0" w:after="0" w:afterAutospacing="0"/>
        <w:rPr>
          <w:rFonts w:hint="eastAsia" w:ascii="Times New Roman" w:hAnsi="Times New Roman" w:eastAsia="黑体"/>
          <w:b/>
          <w:sz w:val="36"/>
          <w:szCs w:val="36"/>
        </w:rPr>
      </w:pPr>
    </w:p>
    <w:p>
      <w:pPr>
        <w:pStyle w:val="23"/>
        <w:widowControl w:val="0"/>
        <w:adjustRightInd w:val="0"/>
        <w:snapToGrid w:val="0"/>
        <w:spacing w:before="0" w:beforeAutospacing="0" w:after="0" w:afterAutospacing="0"/>
        <w:rPr>
          <w:rFonts w:hint="eastAsia" w:ascii="Times New Roman" w:hAnsi="Times New Roman" w:eastAsia="黑体"/>
          <w:b/>
          <w:sz w:val="36"/>
          <w:szCs w:val="36"/>
        </w:rPr>
      </w:pPr>
    </w:p>
    <w:p>
      <w:pPr>
        <w:pStyle w:val="23"/>
        <w:widowControl w:val="0"/>
        <w:adjustRightInd w:val="0"/>
        <w:snapToGrid w:val="0"/>
        <w:spacing w:before="0" w:beforeAutospacing="0" w:after="0" w:afterAutospacing="0"/>
        <w:rPr>
          <w:rFonts w:hint="eastAsia" w:ascii="Times New Roman" w:hAnsi="Times New Roman" w:eastAsia="黑体"/>
          <w:b/>
          <w:sz w:val="36"/>
          <w:szCs w:val="36"/>
        </w:rPr>
      </w:pPr>
    </w:p>
    <w:p>
      <w:pPr>
        <w:pStyle w:val="23"/>
        <w:widowControl w:val="0"/>
        <w:adjustRightInd w:val="0"/>
        <w:snapToGrid w:val="0"/>
        <w:spacing w:before="0" w:beforeAutospacing="0" w:after="0" w:afterAutospacing="0"/>
        <w:rPr>
          <w:rFonts w:hint="eastAsia" w:ascii="Times New Roman" w:hAnsi="Times New Roman" w:eastAsia="黑体"/>
          <w:b/>
          <w:sz w:val="36"/>
          <w:szCs w:val="36"/>
        </w:rPr>
      </w:pPr>
    </w:p>
    <w:p>
      <w:pPr>
        <w:pStyle w:val="23"/>
        <w:widowControl w:val="0"/>
        <w:adjustRightInd w:val="0"/>
        <w:snapToGrid w:val="0"/>
        <w:spacing w:before="0" w:beforeAutospacing="0" w:after="0" w:afterAutospacing="0"/>
        <w:rPr>
          <w:rFonts w:hint="eastAsia" w:ascii="Times New Roman" w:hAnsi="Times New Roman" w:eastAsia="黑体"/>
          <w:b/>
          <w:sz w:val="36"/>
          <w:szCs w:val="36"/>
        </w:rPr>
      </w:pPr>
    </w:p>
    <w:p>
      <w:pPr>
        <w:pStyle w:val="23"/>
        <w:widowControl w:val="0"/>
        <w:adjustRightInd w:val="0"/>
        <w:snapToGrid w:val="0"/>
        <w:spacing w:before="0" w:beforeAutospacing="0" w:after="0" w:afterAutospacing="0"/>
        <w:rPr>
          <w:rFonts w:hint="eastAsia" w:ascii="Times New Roman" w:hAnsi="Times New Roman" w:eastAsia="黑体"/>
          <w:b/>
          <w:sz w:val="36"/>
          <w:szCs w:val="36"/>
        </w:rPr>
      </w:pPr>
    </w:p>
    <w:p>
      <w:pPr>
        <w:pStyle w:val="23"/>
        <w:widowControl w:val="0"/>
        <w:adjustRightInd w:val="0"/>
        <w:snapToGrid w:val="0"/>
        <w:spacing w:before="0" w:beforeAutospacing="0" w:after="0" w:afterAutospacing="0"/>
        <w:rPr>
          <w:rFonts w:hint="eastAsia" w:ascii="Times New Roman" w:hAnsi="Times New Roman" w:eastAsia="黑体"/>
          <w:b/>
          <w:sz w:val="36"/>
          <w:szCs w:val="36"/>
        </w:rPr>
      </w:pPr>
    </w:p>
    <w:p>
      <w:pPr>
        <w:pStyle w:val="23"/>
        <w:widowControl w:val="0"/>
        <w:adjustRightInd w:val="0"/>
        <w:snapToGrid w:val="0"/>
        <w:spacing w:before="0" w:beforeAutospacing="0" w:after="0" w:afterAutospacing="0"/>
        <w:rPr>
          <w:rFonts w:hint="eastAsia" w:ascii="Times New Roman" w:hAnsi="Times New Roman" w:eastAsia="黑体"/>
          <w:b/>
          <w:sz w:val="36"/>
          <w:szCs w:val="36"/>
        </w:rPr>
      </w:pPr>
    </w:p>
    <w:p>
      <w:pPr>
        <w:pStyle w:val="23"/>
        <w:widowControl w:val="0"/>
        <w:adjustRightInd w:val="0"/>
        <w:snapToGrid w:val="0"/>
        <w:spacing w:before="0" w:beforeAutospacing="0" w:after="0" w:afterAutospacing="0"/>
        <w:rPr>
          <w:rFonts w:hint="eastAsia" w:ascii="Times New Roman" w:hAnsi="Times New Roman" w:eastAsia="黑体"/>
          <w:b/>
          <w:sz w:val="36"/>
          <w:szCs w:val="36"/>
        </w:rPr>
      </w:pPr>
    </w:p>
    <w:p>
      <w:pPr>
        <w:pStyle w:val="23"/>
        <w:widowControl w:val="0"/>
        <w:adjustRightInd w:val="0"/>
        <w:snapToGrid w:val="0"/>
        <w:spacing w:before="0" w:beforeAutospacing="0" w:after="0" w:afterAutospacing="0"/>
        <w:rPr>
          <w:rFonts w:hint="eastAsia" w:ascii="Times New Roman" w:hAnsi="Times New Roman" w:eastAsia="黑体"/>
          <w:b/>
          <w:sz w:val="36"/>
          <w:szCs w:val="36"/>
        </w:rPr>
      </w:pPr>
    </w:p>
    <w:p>
      <w:pPr>
        <w:pStyle w:val="23"/>
        <w:widowControl w:val="0"/>
        <w:adjustRightInd w:val="0"/>
        <w:snapToGrid w:val="0"/>
        <w:spacing w:before="0" w:beforeAutospacing="0" w:after="0" w:afterAutospacing="0"/>
        <w:rPr>
          <w:rFonts w:hint="eastAsia" w:ascii="Times New Roman" w:hAnsi="Times New Roman" w:eastAsia="黑体"/>
          <w:b/>
          <w:sz w:val="36"/>
          <w:szCs w:val="36"/>
        </w:rPr>
      </w:pPr>
    </w:p>
    <w:p>
      <w:pPr>
        <w:pStyle w:val="23"/>
        <w:widowControl w:val="0"/>
        <w:adjustRightInd w:val="0"/>
        <w:snapToGrid w:val="0"/>
        <w:spacing w:before="0" w:beforeAutospacing="0" w:after="0" w:afterAutospacing="0"/>
        <w:rPr>
          <w:rFonts w:ascii="Times New Roman" w:hAnsi="Times New Roman" w:eastAsia="黑体"/>
          <w:b/>
          <w:sz w:val="36"/>
          <w:szCs w:val="36"/>
        </w:rPr>
      </w:pPr>
    </w:p>
    <w:p>
      <w:pPr>
        <w:spacing w:beforeLines="50" w:afterLines="50" w:line="400" w:lineRule="exact"/>
        <w:ind w:firstLine="480" w:firstLineChars="200"/>
        <w:rPr>
          <w:rFonts w:hint="eastAsia" w:ascii="Courier New" w:hAnsi="Courier New" w:cs="Courier New"/>
          <w:kern w:val="0"/>
          <w:sz w:val="24"/>
          <w:szCs w:val="24"/>
        </w:rPr>
      </w:pPr>
    </w:p>
    <w:p>
      <w:pPr>
        <w:spacing w:beforeLines="50" w:afterLines="50" w:line="400" w:lineRule="exact"/>
        <w:ind w:firstLine="480" w:firstLineChars="200"/>
        <w:rPr>
          <w:rFonts w:hint="eastAsia" w:ascii="Courier New" w:hAnsi="Courier New" w:cs="Courier New"/>
          <w:kern w:val="0"/>
          <w:sz w:val="24"/>
          <w:szCs w:val="24"/>
        </w:rPr>
      </w:pPr>
    </w:p>
    <w:p>
      <w:pPr>
        <w:spacing w:beforeLines="50" w:afterLines="50" w:line="400" w:lineRule="exact"/>
        <w:ind w:firstLine="480" w:firstLineChars="200"/>
        <w:rPr>
          <w:rFonts w:hint="eastAsia" w:ascii="Courier New" w:hAnsi="Courier New" w:cs="Courier New"/>
          <w:kern w:val="0"/>
          <w:sz w:val="24"/>
          <w:szCs w:val="24"/>
        </w:rPr>
      </w:pPr>
    </w:p>
    <w:p>
      <w:pPr>
        <w:spacing w:beforeLines="50" w:afterLines="50" w:line="400" w:lineRule="exact"/>
        <w:ind w:firstLine="480" w:firstLineChars="200"/>
        <w:rPr>
          <w:rFonts w:hint="eastAsia" w:ascii="Courier New" w:hAnsi="Courier New" w:cs="Courier New"/>
          <w:kern w:val="0"/>
          <w:sz w:val="24"/>
          <w:szCs w:val="24"/>
        </w:rPr>
      </w:pPr>
    </w:p>
    <w:p>
      <w:pPr>
        <w:spacing w:beforeLines="50" w:afterLines="50" w:line="400" w:lineRule="exact"/>
        <w:ind w:firstLine="480" w:firstLineChars="200"/>
        <w:rPr>
          <w:rFonts w:hint="eastAsia" w:ascii="Courier New" w:hAnsi="Courier New" w:cs="Courier New"/>
          <w:kern w:val="0"/>
          <w:sz w:val="24"/>
          <w:szCs w:val="24"/>
        </w:rPr>
      </w:pPr>
    </w:p>
    <w:p>
      <w:pPr>
        <w:spacing w:beforeLines="50" w:afterLines="50" w:line="400" w:lineRule="exact"/>
        <w:ind w:firstLine="480" w:firstLineChars="200"/>
        <w:rPr>
          <w:rFonts w:hint="eastAsia" w:ascii="Courier New" w:hAnsi="Courier New" w:cs="Courier New"/>
          <w:kern w:val="0"/>
          <w:sz w:val="24"/>
          <w:szCs w:val="24"/>
        </w:rPr>
      </w:pPr>
    </w:p>
    <w:p>
      <w:pPr>
        <w:spacing w:beforeLines="50" w:afterLines="50" w:line="400" w:lineRule="exact"/>
        <w:ind w:firstLine="480" w:firstLineChars="200"/>
        <w:rPr>
          <w:rFonts w:ascii="Courier New" w:hAnsi="Courier New" w:cs="Courier New"/>
          <w:kern w:val="0"/>
          <w:sz w:val="24"/>
          <w:szCs w:val="24"/>
        </w:rPr>
      </w:pPr>
      <w:r>
        <w:rPr>
          <w:rFonts w:hint="eastAsia" w:ascii="Courier New" w:hAnsi="Courier New" w:cs="Courier New"/>
          <w:kern w:val="0"/>
          <w:sz w:val="24"/>
          <w:szCs w:val="24"/>
        </w:rPr>
        <w:t>标段二：价格分（15分）</w:t>
      </w:r>
    </w:p>
    <w:p>
      <w:pPr>
        <w:numPr>
          <w:ilvl w:val="0"/>
          <w:numId w:val="58"/>
        </w:numPr>
        <w:spacing w:beforeLines="50" w:afterLines="50" w:line="400" w:lineRule="exact"/>
        <w:ind w:firstLine="440" w:firstLineChars="200"/>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价格分采用低价优先法计算，即满足招标文件要求且投标价格最低的投标报价为评标基准价，其他投标人的价格分按照下列公式计算：投标报价得分=（评标基准价/投标报价）×15%×100</w:t>
      </w:r>
    </w:p>
    <w:p>
      <w:pPr>
        <w:snapToGrid w:val="0"/>
        <w:spacing w:line="500" w:lineRule="exact"/>
        <w:ind w:firstLine="440" w:firstLineChars="200"/>
        <w:rPr>
          <w:rFonts w:asciiTheme="minorEastAsia" w:hAnsiTheme="minorEastAsia" w:eastAsiaTheme="minorEastAsia" w:cstheme="minorEastAsia"/>
          <w:smallCaps/>
          <w:color w:val="000000"/>
          <w:sz w:val="22"/>
        </w:rPr>
      </w:pPr>
      <w:r>
        <w:rPr>
          <w:rFonts w:hint="eastAsia" w:asciiTheme="minorEastAsia" w:hAnsiTheme="minorEastAsia" w:eastAsiaTheme="minorEastAsia" w:cstheme="minorEastAsia"/>
          <w:smallCaps/>
          <w:color w:val="000000"/>
          <w:sz w:val="22"/>
        </w:rPr>
        <w:t>2、依照《政府采购促进中小企业发展暂行办法》、《财政部 民政部 中国残疾人联合会关于促进残疾人就业政府采购政策的通知》（财库〔2017〕141号）、《财政部、司法部关于政府采购支持监狱企业发展有关问题的通知》（财库〔2014〕68号）的规定，对符合相关要求的有效投标人，按照以下比例给予相应的价格扣除，以确定该投标人的报价评审价格：</w:t>
      </w:r>
    </w:p>
    <w:tbl>
      <w:tblPr>
        <w:tblStyle w:val="27"/>
        <w:tblW w:w="0" w:type="auto"/>
        <w:jc w:val="center"/>
        <w:tblLayout w:type="fixed"/>
        <w:tblCellMar>
          <w:top w:w="0" w:type="dxa"/>
          <w:left w:w="108" w:type="dxa"/>
          <w:bottom w:w="0" w:type="dxa"/>
          <w:right w:w="108" w:type="dxa"/>
        </w:tblCellMar>
      </w:tblPr>
      <w:tblGrid>
        <w:gridCol w:w="728"/>
        <w:gridCol w:w="2997"/>
        <w:gridCol w:w="2081"/>
        <w:gridCol w:w="3359"/>
      </w:tblGrid>
      <w:tr>
        <w:tblPrEx>
          <w:tblCellMar>
            <w:top w:w="0" w:type="dxa"/>
            <w:left w:w="108" w:type="dxa"/>
            <w:bottom w:w="0" w:type="dxa"/>
            <w:right w:w="108" w:type="dxa"/>
          </w:tblCellMar>
        </w:tblPrEx>
        <w:trPr>
          <w:trHeight w:val="463"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ind w:left="149"/>
              <w:rPr>
                <w:rFonts w:ascii="楷体" w:hAnsi="楷体" w:eastAsia="楷体" w:cs="楷体"/>
                <w:smallCaps/>
                <w:color w:val="000000"/>
                <w:sz w:val="24"/>
                <w:szCs w:val="24"/>
              </w:rPr>
            </w:pPr>
            <w:r>
              <w:rPr>
                <w:rFonts w:hint="eastAsia" w:ascii="楷体" w:hAnsi="楷体" w:eastAsia="楷体" w:cs="楷体"/>
                <w:smallCaps/>
                <w:color w:val="000000"/>
                <w:sz w:val="24"/>
                <w:szCs w:val="24"/>
              </w:rPr>
              <w:t>序号</w:t>
            </w:r>
          </w:p>
        </w:tc>
        <w:tc>
          <w:tcPr>
            <w:tcW w:w="2997"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情形</w:t>
            </w:r>
          </w:p>
        </w:tc>
        <w:tc>
          <w:tcPr>
            <w:tcW w:w="2081"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价格扣除比例</w:t>
            </w:r>
          </w:p>
        </w:tc>
        <w:tc>
          <w:tcPr>
            <w:tcW w:w="3359"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计算公式</w:t>
            </w:r>
          </w:p>
        </w:tc>
      </w:tr>
      <w:tr>
        <w:tblPrEx>
          <w:tblCellMar>
            <w:top w:w="0" w:type="dxa"/>
            <w:left w:w="108" w:type="dxa"/>
            <w:bottom w:w="0" w:type="dxa"/>
            <w:right w:w="108" w:type="dxa"/>
          </w:tblCellMar>
        </w:tblPrEx>
        <w:trPr>
          <w:trHeight w:val="1382" w:hRule="atLeast"/>
          <w:jc w:val="center"/>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1</w:t>
            </w:r>
          </w:p>
        </w:tc>
        <w:tc>
          <w:tcPr>
            <w:tcW w:w="2997"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7"/>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非联合体供应商</w:t>
            </w:r>
          </w:p>
          <w:p>
            <w:pPr>
              <w:snapToGrid w:val="0"/>
              <w:spacing w:line="460" w:lineRule="exact"/>
              <w:ind w:left="107"/>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（供应商属于小型和微型企业）</w:t>
            </w:r>
          </w:p>
        </w:tc>
        <w:tc>
          <w:tcPr>
            <w:tcW w:w="2081"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8"/>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对小型和微型企业所提供服务的价格扣除6%</w:t>
            </w:r>
          </w:p>
        </w:tc>
        <w:tc>
          <w:tcPr>
            <w:tcW w:w="335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8"/>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评审价格＝（总投标报价—小型和微型企业产品的价格）+小型和微型企业产品的价格×(1-6%)</w:t>
            </w:r>
          </w:p>
        </w:tc>
      </w:tr>
    </w:tbl>
    <w:p>
      <w:pPr>
        <w:pStyle w:val="22"/>
        <w:shd w:val="clear" w:color="auto" w:fill="FFFFFF"/>
        <w:spacing w:before="50" w:after="50" w:line="400" w:lineRule="exact"/>
        <w:rPr>
          <w:rFonts w:ascii="楷体" w:hAnsi="楷体" w:eastAsia="楷体" w:cs="楷体"/>
          <w:smallCaps/>
          <w:color w:val="000000"/>
        </w:rPr>
      </w:pPr>
      <w:r>
        <w:rPr>
          <w:rFonts w:hint="eastAsia" w:ascii="楷体" w:hAnsi="楷体" w:eastAsia="楷体" w:cs="楷体"/>
          <w:smallCaps/>
          <w:color w:val="000000"/>
        </w:rPr>
        <w:t>注：①中型企业不享受以上优惠；②小型和微型企业产品包括货物及其提供的服务与工程；③残疾人福利性单位或监狱企业视同小型、微型企业执行。</w:t>
      </w:r>
    </w:p>
    <w:p>
      <w:pPr>
        <w:pStyle w:val="22"/>
        <w:numPr>
          <w:ilvl w:val="0"/>
          <w:numId w:val="58"/>
        </w:numPr>
        <w:shd w:val="clear" w:color="auto" w:fill="FFFFFF"/>
        <w:spacing w:before="50" w:after="50" w:line="400" w:lineRule="exact"/>
        <w:rPr>
          <w:rFonts w:ascii="Courier New" w:hAnsi="Courier New" w:cs="Courier New"/>
        </w:rPr>
      </w:pPr>
      <w:r>
        <w:rPr>
          <w:rFonts w:hint="eastAsia" w:ascii="Courier New" w:hAnsi="Courier New" w:cs="Courier New"/>
        </w:rPr>
        <w:t>技术</w:t>
      </w:r>
      <w:r>
        <w:rPr>
          <w:rFonts w:ascii="Courier New" w:hAnsi="Courier New" w:cs="Courier New"/>
        </w:rPr>
        <w:t>、资信及商务分（</w:t>
      </w:r>
      <w:r>
        <w:rPr>
          <w:rFonts w:hint="eastAsia"/>
        </w:rPr>
        <w:t>85</w:t>
      </w:r>
      <w:r>
        <w:rPr>
          <w:rFonts w:hint="eastAsia" w:ascii="Courier New" w:hAnsi="Courier New" w:cs="Courier New"/>
        </w:rPr>
        <w:t>分</w:t>
      </w:r>
      <w:r>
        <w:rPr>
          <w:rFonts w:ascii="Courier New" w:hAnsi="Courier New" w:cs="Courier New"/>
        </w:rPr>
        <w:t>）</w:t>
      </w:r>
    </w:p>
    <w:tbl>
      <w:tblPr>
        <w:tblStyle w:val="27"/>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894"/>
        <w:gridCol w:w="6433"/>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34" w:type="dxa"/>
            <w:vAlign w:val="center"/>
          </w:tcPr>
          <w:p>
            <w:pPr>
              <w:widowControl/>
              <w:jc w:val="center"/>
              <w:rPr>
                <w:rFonts w:ascii="宋体" w:hAnsi="宋体" w:cs="宋体"/>
                <w:b/>
                <w:bCs/>
                <w:kern w:val="0"/>
                <w:szCs w:val="21"/>
              </w:rPr>
            </w:pPr>
            <w:r>
              <w:rPr>
                <w:rFonts w:hint="eastAsia" w:ascii="宋体" w:hAnsi="宋体" w:cs="宋体"/>
                <w:b/>
                <w:bCs/>
                <w:kern w:val="0"/>
                <w:szCs w:val="21"/>
              </w:rPr>
              <w:t>分类</w:t>
            </w:r>
          </w:p>
        </w:tc>
        <w:tc>
          <w:tcPr>
            <w:tcW w:w="894" w:type="dxa"/>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0" w:type="auto"/>
            <w:vAlign w:val="center"/>
          </w:tcPr>
          <w:p>
            <w:pPr>
              <w:widowControl/>
              <w:jc w:val="center"/>
              <w:rPr>
                <w:rFonts w:ascii="宋体" w:hAnsi="宋体" w:cs="宋体"/>
                <w:b/>
                <w:bCs/>
                <w:kern w:val="0"/>
                <w:szCs w:val="21"/>
              </w:rPr>
            </w:pPr>
            <w:r>
              <w:rPr>
                <w:rFonts w:hint="eastAsia" w:ascii="宋体" w:hAnsi="宋体" w:cs="宋体"/>
                <w:b/>
                <w:bCs/>
                <w:kern w:val="0"/>
                <w:szCs w:val="21"/>
              </w:rPr>
              <w:t>评分标准</w:t>
            </w:r>
          </w:p>
        </w:tc>
        <w:tc>
          <w:tcPr>
            <w:tcW w:w="916" w:type="dxa"/>
            <w:vAlign w:val="center"/>
          </w:tcPr>
          <w:p>
            <w:pPr>
              <w:widowControl/>
              <w:jc w:val="center"/>
              <w:rPr>
                <w:rFonts w:ascii="宋体" w:hAnsi="宋体" w:cs="宋体"/>
                <w:b/>
                <w:bCs/>
                <w:kern w:val="0"/>
                <w:szCs w:val="21"/>
              </w:rPr>
            </w:pPr>
            <w:r>
              <w:rPr>
                <w:rFonts w:hint="eastAsia" w:ascii="宋体" w:hAnsi="宋体" w:cs="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34" w:type="dxa"/>
            <w:vAlign w:val="center"/>
          </w:tcPr>
          <w:p>
            <w:pPr>
              <w:spacing w:line="280" w:lineRule="exact"/>
              <w:rPr>
                <w:rFonts w:ascii="微软雅黑" w:hAnsi="微软雅黑" w:eastAsia="微软雅黑" w:cs="微软雅黑"/>
                <w:szCs w:val="21"/>
              </w:rPr>
            </w:pPr>
            <w:r>
              <w:rPr>
                <w:rFonts w:hint="eastAsia" w:ascii="微软雅黑" w:hAnsi="微软雅黑" w:eastAsia="微软雅黑" w:cs="微软雅黑"/>
                <w:szCs w:val="21"/>
              </w:rPr>
              <w:t>对本项目系统总体要求的理解</w:t>
            </w:r>
          </w:p>
        </w:tc>
        <w:tc>
          <w:tcPr>
            <w:tcW w:w="894" w:type="dxa"/>
            <w:vAlign w:val="center"/>
          </w:tcPr>
          <w:p>
            <w:pPr>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0" w:type="auto"/>
          </w:tcPr>
          <w:p>
            <w:pPr>
              <w:spacing w:line="280" w:lineRule="exact"/>
              <w:rPr>
                <w:rFonts w:hint="eastAsia" w:ascii="微软雅黑" w:hAnsi="微软雅黑" w:eastAsia="微软雅黑" w:cs="微软雅黑"/>
                <w:szCs w:val="21"/>
              </w:rPr>
            </w:pPr>
            <w:r>
              <w:rPr>
                <w:rFonts w:hint="eastAsia" w:ascii="微软雅黑" w:hAnsi="微软雅黑" w:eastAsia="微软雅黑" w:cs="微软雅黑"/>
                <w:szCs w:val="21"/>
              </w:rPr>
              <w:t>对本项目的理解程度0-</w:t>
            </w:r>
            <w:r>
              <w:rPr>
                <w:rFonts w:hint="eastAsia" w:ascii="微软雅黑" w:hAnsi="微软雅黑" w:eastAsia="微软雅黑" w:cs="微软雅黑"/>
                <w:szCs w:val="21"/>
                <w:lang w:val="en-US" w:eastAsia="zh-CN"/>
              </w:rPr>
              <w:t>5</w:t>
            </w:r>
            <w:r>
              <w:rPr>
                <w:rFonts w:hint="eastAsia" w:ascii="微软雅黑" w:hAnsi="微软雅黑" w:eastAsia="微软雅黑" w:cs="微软雅黑"/>
                <w:szCs w:val="21"/>
              </w:rPr>
              <w:t>分。</w:t>
            </w:r>
          </w:p>
        </w:tc>
        <w:tc>
          <w:tcPr>
            <w:tcW w:w="916" w:type="dxa"/>
            <w:vAlign w:val="center"/>
          </w:tcPr>
          <w:p>
            <w:pPr>
              <w:spacing w:line="280" w:lineRule="exact"/>
              <w:ind w:firstLine="210" w:firstLineChars="100"/>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34" w:type="dxa"/>
            <w:vAlign w:val="center"/>
          </w:tcPr>
          <w:p>
            <w:pPr>
              <w:spacing w:line="280" w:lineRule="exact"/>
              <w:rPr>
                <w:rFonts w:ascii="微软雅黑" w:hAnsi="微软雅黑" w:eastAsia="微软雅黑" w:cs="微软雅黑"/>
                <w:szCs w:val="21"/>
              </w:rPr>
            </w:pPr>
            <w:r>
              <w:rPr>
                <w:rFonts w:hint="eastAsia" w:ascii="微软雅黑" w:hAnsi="微软雅黑" w:eastAsia="微软雅黑" w:cs="微软雅黑"/>
                <w:szCs w:val="21"/>
              </w:rPr>
              <w:t>技术参数符合情况</w:t>
            </w:r>
          </w:p>
        </w:tc>
        <w:tc>
          <w:tcPr>
            <w:tcW w:w="894" w:type="dxa"/>
            <w:vAlign w:val="center"/>
          </w:tcPr>
          <w:p>
            <w:pPr>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0" w:type="auto"/>
            <w:vAlign w:val="center"/>
          </w:tcPr>
          <w:p>
            <w:pPr>
              <w:spacing w:line="280" w:lineRule="exact"/>
              <w:rPr>
                <w:rFonts w:ascii="微软雅黑" w:hAnsi="微软雅黑" w:eastAsia="微软雅黑" w:cs="微软雅黑"/>
                <w:szCs w:val="21"/>
              </w:rPr>
            </w:pPr>
            <w:r>
              <w:rPr>
                <w:rFonts w:hint="eastAsia" w:ascii="微软雅黑" w:hAnsi="微软雅黑" w:eastAsia="微软雅黑" w:cs="微软雅黑"/>
                <w:szCs w:val="21"/>
              </w:rPr>
              <w:t>技术参数全部符合得20分。投标产品技术参数属负偏离或缺漏项的每项扣</w:t>
            </w:r>
            <w:r>
              <w:rPr>
                <w:rFonts w:hint="eastAsia" w:ascii="微软雅黑" w:hAnsi="微软雅黑" w:eastAsia="微软雅黑" w:cs="微软雅黑"/>
                <w:szCs w:val="21"/>
                <w:lang w:val="en-US" w:eastAsia="zh-CN"/>
              </w:rPr>
              <w:t>1</w:t>
            </w:r>
            <w:r>
              <w:rPr>
                <w:rFonts w:hint="eastAsia" w:ascii="微软雅黑" w:hAnsi="微软雅黑" w:eastAsia="微软雅黑" w:cs="微软雅黑"/>
                <w:szCs w:val="21"/>
              </w:rPr>
              <w:t>分，扣完为止。</w:t>
            </w:r>
          </w:p>
        </w:tc>
        <w:tc>
          <w:tcPr>
            <w:tcW w:w="916" w:type="dxa"/>
            <w:vAlign w:val="center"/>
          </w:tcPr>
          <w:p>
            <w:pPr>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4" w:type="dxa"/>
            <w:vAlign w:val="center"/>
          </w:tcPr>
          <w:p>
            <w:pPr>
              <w:widowControl/>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技术方案</w:t>
            </w:r>
          </w:p>
        </w:tc>
        <w:tc>
          <w:tcPr>
            <w:tcW w:w="894" w:type="dxa"/>
            <w:vAlign w:val="center"/>
          </w:tcPr>
          <w:p>
            <w:pPr>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0" w:type="auto"/>
            <w:vAlign w:val="center"/>
          </w:tcPr>
          <w:p>
            <w:pPr>
              <w:pStyle w:val="52"/>
              <w:kinsoku w:val="0"/>
              <w:overflowPunct w:val="0"/>
              <w:spacing w:line="400" w:lineRule="exact"/>
              <w:rPr>
                <w:rFonts w:ascii="微软雅黑" w:hAnsi="微软雅黑" w:eastAsia="微软雅黑" w:cs="微软雅黑"/>
              </w:rPr>
            </w:pPr>
            <w:r>
              <w:rPr>
                <w:rFonts w:hint="eastAsia" w:ascii="微软雅黑" w:hAnsi="微软雅黑" w:eastAsia="微软雅黑" w:cs="微软雅黑"/>
              </w:rPr>
              <w:t>整体方案设计，包含技术路线、实施方式、项目理解等方面。顶层设计合理，技术路线明确，实施措施得当，内容描述具体。具有完整的平台方案设计，内容包含从流程引擎，集成引擎，集成应用、流程清晰，最高得6分；</w:t>
            </w:r>
          </w:p>
        </w:tc>
        <w:tc>
          <w:tcPr>
            <w:tcW w:w="916" w:type="dxa"/>
            <w:vAlign w:val="center"/>
          </w:tcPr>
          <w:p>
            <w:pPr>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pPr>
              <w:widowControl/>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产品演示操作截图</w:t>
            </w:r>
          </w:p>
        </w:tc>
        <w:tc>
          <w:tcPr>
            <w:tcW w:w="894" w:type="dxa"/>
            <w:vAlign w:val="center"/>
          </w:tcPr>
          <w:p>
            <w:pPr>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0" w:type="auto"/>
            <w:vAlign w:val="center"/>
          </w:tcPr>
          <w:p>
            <w:pPr>
              <w:adjustRightInd w:val="0"/>
              <w:snapToGrid w:val="0"/>
              <w:rPr>
                <w:rFonts w:ascii="微软雅黑" w:hAnsi="微软雅黑" w:eastAsia="微软雅黑" w:cs="微软雅黑"/>
                <w:szCs w:val="21"/>
              </w:rPr>
            </w:pPr>
            <w:r>
              <w:rPr>
                <w:rFonts w:hint="eastAsia" w:ascii="微软雅黑" w:hAnsi="微软雅黑" w:eastAsia="微软雅黑" w:cs="微软雅黑"/>
                <w:szCs w:val="21"/>
              </w:rPr>
              <w:t>提供产品演示操作截图并加盖投标厂商公章。截图内容不符合或缺项的每点扣</w:t>
            </w:r>
            <w:r>
              <w:rPr>
                <w:rFonts w:hint="eastAsia" w:ascii="微软雅黑" w:hAnsi="微软雅黑" w:eastAsia="微软雅黑" w:cs="微软雅黑"/>
                <w:szCs w:val="21"/>
                <w:lang w:val="en-US" w:eastAsia="zh-CN"/>
              </w:rPr>
              <w:t>1</w:t>
            </w:r>
            <w:r>
              <w:rPr>
                <w:rFonts w:hint="eastAsia" w:ascii="微软雅黑" w:hAnsi="微软雅黑" w:eastAsia="微软雅黑" w:cs="微软雅黑"/>
                <w:szCs w:val="21"/>
              </w:rPr>
              <w:t>分，扣完为止。未提供产品演示操作截图的此项不得分。</w:t>
            </w:r>
          </w:p>
          <w:p>
            <w:pPr>
              <w:pStyle w:val="42"/>
              <w:numPr>
                <w:ilvl w:val="0"/>
                <w:numId w:val="59"/>
              </w:numPr>
              <w:adjustRightInd w:val="0"/>
              <w:snapToGrid w:val="0"/>
              <w:rPr>
                <w:rFonts w:ascii="微软雅黑" w:hAnsi="微软雅黑" w:eastAsia="微软雅黑" w:cs="微软雅黑"/>
                <w:b/>
                <w:bCs/>
                <w:szCs w:val="21"/>
              </w:rPr>
            </w:pPr>
            <w:r>
              <w:rPr>
                <w:rFonts w:hint="eastAsia" w:ascii="微软雅黑" w:hAnsi="微软雅黑" w:eastAsia="微软雅黑" w:cs="微软雅黑"/>
                <w:b/>
                <w:bCs/>
                <w:szCs w:val="21"/>
              </w:rPr>
              <w:t>数据中心及应用支撑平台</w:t>
            </w:r>
          </w:p>
          <w:p>
            <w:pPr>
              <w:pStyle w:val="42"/>
              <w:numPr>
                <w:ilvl w:val="0"/>
                <w:numId w:val="60"/>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进行数据建模，自定义数据类型以及数据字段名称；</w:t>
            </w:r>
          </w:p>
          <w:p>
            <w:pPr>
              <w:pStyle w:val="42"/>
              <w:numPr>
                <w:ilvl w:val="0"/>
                <w:numId w:val="60"/>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操作表单以及表单控件使用，支持一套数据表多表单；</w:t>
            </w:r>
          </w:p>
          <w:p>
            <w:pPr>
              <w:pStyle w:val="42"/>
              <w:numPr>
                <w:ilvl w:val="0"/>
                <w:numId w:val="60"/>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搭建流程；</w:t>
            </w:r>
          </w:p>
          <w:p>
            <w:pPr>
              <w:pStyle w:val="42"/>
              <w:numPr>
                <w:ilvl w:val="0"/>
                <w:numId w:val="60"/>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搭建报表，支持报表面板，支持多表联合查询；</w:t>
            </w:r>
          </w:p>
          <w:p>
            <w:pPr>
              <w:pStyle w:val="42"/>
              <w:numPr>
                <w:ilvl w:val="0"/>
                <w:numId w:val="60"/>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设置系统组织架构设置，支持多组织架构设置；</w:t>
            </w:r>
          </w:p>
          <w:p>
            <w:pPr>
              <w:pStyle w:val="42"/>
              <w:numPr>
                <w:ilvl w:val="0"/>
                <w:numId w:val="59"/>
              </w:numPr>
              <w:adjustRightInd w:val="0"/>
              <w:snapToGrid w:val="0"/>
              <w:rPr>
                <w:rFonts w:ascii="微软雅黑" w:hAnsi="微软雅黑" w:eastAsia="微软雅黑" w:cs="微软雅黑"/>
                <w:b/>
                <w:bCs/>
                <w:szCs w:val="21"/>
              </w:rPr>
            </w:pPr>
            <w:r>
              <w:rPr>
                <w:rFonts w:hint="eastAsia" w:ascii="微软雅黑" w:hAnsi="微软雅黑" w:eastAsia="微软雅黑" w:cs="微软雅黑"/>
                <w:b/>
                <w:bCs/>
                <w:szCs w:val="21"/>
              </w:rPr>
              <w:t>应用系统软件</w:t>
            </w:r>
          </w:p>
          <w:p>
            <w:pPr>
              <w:pStyle w:val="42"/>
              <w:numPr>
                <w:ilvl w:val="0"/>
                <w:numId w:val="61"/>
              </w:numPr>
              <w:adjustRightInd w:val="0"/>
              <w:snapToGrid w:val="0"/>
              <w:ind w:firstLineChars="0"/>
              <w:rPr>
                <w:rFonts w:ascii="微软雅黑" w:hAnsi="微软雅黑" w:eastAsia="微软雅黑" w:cs="微软雅黑"/>
                <w:b/>
                <w:bCs/>
                <w:szCs w:val="21"/>
              </w:rPr>
            </w:pPr>
            <w:r>
              <w:rPr>
                <w:rFonts w:hint="eastAsia" w:ascii="微软雅黑" w:hAnsi="微软雅黑" w:eastAsia="微软雅黑" w:cs="微软雅黑"/>
                <w:b/>
                <w:bCs/>
                <w:szCs w:val="21"/>
              </w:rPr>
              <w:t>办公系统（OA）</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公文管理在线编辑，预览，权限控制，套红/盖章；</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批示件办理或交办单管理，审批提醒，审批时效分析；</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审批流程管理，根据不同部门人员多层审批，退回，会签，审批留痕效果展现；</w:t>
            </w:r>
          </w:p>
          <w:p>
            <w:pPr>
              <w:pStyle w:val="42"/>
              <w:numPr>
                <w:ilvl w:val="0"/>
                <w:numId w:val="61"/>
              </w:numPr>
              <w:adjustRightInd w:val="0"/>
              <w:snapToGrid w:val="0"/>
              <w:ind w:firstLineChars="0"/>
              <w:rPr>
                <w:rFonts w:ascii="微软雅黑" w:hAnsi="微软雅黑" w:eastAsia="微软雅黑" w:cs="微软雅黑"/>
                <w:b/>
                <w:bCs/>
                <w:szCs w:val="21"/>
              </w:rPr>
            </w:pPr>
            <w:r>
              <w:rPr>
                <w:rFonts w:hint="eastAsia" w:ascii="微软雅黑" w:hAnsi="微软雅黑" w:eastAsia="微软雅黑" w:cs="微软雅黑"/>
                <w:b/>
                <w:bCs/>
                <w:szCs w:val="21"/>
              </w:rPr>
              <w:t>智慧学习系统</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编辑设置课程通过条件，设置学习权重、访问权重、讨论权重、作业权重、考试权重等所占分数比例和对应通过条件。</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教师创建作业，设置开始、截至日期，作业的分值、所属课程、适用班级。演示教师设置作业类型为附件作业并上传作业要求文档文件，学生可以在线预览。</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教师在PPT中引用平台资源，并直接插入PPT快速完成备课。</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未签到学生信息在教师电脑屏幕上以弹幕的方式滚动显示。</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提供学前教育专业数字化资源清单，数量不少于10000条。要有幼儿园课程概述、幼儿园科学教育活动设计与实施、幼儿园美术教育活动设计与实施、儿童发展心理学、学前教育研究方法等类别的资源。</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提供水利水电建筑工程专业数字化资源清单，数量不少于10000条。要有水利工程制图、水利工程造价与招投标、水力分析与计算、水利工程经济、水工建筑物等类别的资源。</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数字媒体资产平台</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1.用桌面客户端登录</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1.1通过人脸识别登录；</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1.2通过手机验证码登录；</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1.3扫描二维码登录</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2.在登录客户端工具后进行活动演示</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2.1新建一个活动，要求填表（表格要有文本输入、日期、单选、多选这四种类型），上报方式为“自由上报”。</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2.2活动创建完成后添加上报人，并通过短信通知上报人；</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2.3上报人收到短信可以直接打开上报页面，进行验证码登录；</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2.4上报人按照活动要求进行填表；</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2.5上报人根据上报内容进行标题、标签、简介等内容修改；</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2.6上报人通过扫描二维码进行上报；</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3.上报成果演示：</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3.1上报人上报内容后自动创建已上报人命名的目录，并显示上报内容</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3.2上报人内容可以直接全屏播放；</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3.3播放文件格式支持图片、视频、word、PPT、excel、压缩包；</w:t>
            </w:r>
            <w:r>
              <w:rPr>
                <w:rFonts w:hint="eastAsia" w:ascii="微软雅黑" w:hAnsi="微软雅黑" w:eastAsia="微软雅黑" w:cs="微软雅黑"/>
                <w:szCs w:val="21"/>
              </w:rPr>
              <w:br w:type="textWrapping"/>
            </w:r>
            <w:r>
              <w:rPr>
                <w:rFonts w:hint="eastAsia" w:ascii="微软雅黑" w:hAnsi="微软雅黑" w:eastAsia="微软雅黑" w:cs="微软雅黑"/>
                <w:szCs w:val="21"/>
              </w:rPr>
              <w:t>3.4支持离线到本地打开播放；</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3.5上报填表内容可以汇总成excel报表并下载打开；</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3.6可以直接打包下载上报的所有文件，打包文件可以按上报人命名的文件夹分门别类，并生成文件列表清单；</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3.7打开视频文件后使用裁剪功能；</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3.8选择一些图片，一键生成PPT文件；</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3.9可以查看哪些人已上报，哪些人未上报；</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3.10分享整个活动，手机扫码查看活动内容。</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4.检索：</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4.1按组织机构检索内容</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可以按组织机构查询人员相关内容</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查看工作人员参与的活动；</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查看工作人员上传的文件；</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添加组织机构外的其他人员，查看与这些其他人员相关的内容；</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4.2按人脸识别检索</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（1）通过客户端调用本机摄像头拍照识别人脸检索与其相关文件</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（2）通过上传照片或选择平台已有照片来识别其中的人脸检索与其相关文件。</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4.3按全文检索</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通过全文检索，可以搜索到文档内容中的关键字，文件标题等中的关键字。</w:t>
            </w:r>
          </w:p>
          <w:p>
            <w:pPr>
              <w:pStyle w:val="42"/>
              <w:numPr>
                <w:ilvl w:val="0"/>
                <w:numId w:val="62"/>
              </w:numPr>
              <w:adjustRightInd w:val="0"/>
              <w:snapToGrid w:val="0"/>
              <w:ind w:firstLineChars="0"/>
              <w:rPr>
                <w:rFonts w:ascii="微软雅黑" w:hAnsi="微软雅黑" w:eastAsia="微软雅黑" w:cs="微软雅黑"/>
                <w:szCs w:val="21"/>
              </w:rPr>
            </w:pPr>
            <w:r>
              <w:rPr>
                <w:rFonts w:hint="eastAsia" w:ascii="微软雅黑" w:hAnsi="微软雅黑" w:eastAsia="微软雅黑" w:cs="微软雅黑"/>
                <w:szCs w:val="21"/>
              </w:rPr>
              <w:t xml:space="preserve"> 4.4 按标签检索</w:t>
            </w:r>
          </w:p>
          <w:p>
            <w:pPr>
              <w:pStyle w:val="42"/>
              <w:numPr>
                <w:ilvl w:val="0"/>
                <w:numId w:val="62"/>
              </w:numPr>
              <w:adjustRightInd w:val="0"/>
              <w:snapToGrid w:val="0"/>
              <w:ind w:firstLineChars="0"/>
            </w:pPr>
            <w:r>
              <w:rPr>
                <w:rFonts w:hint="eastAsia" w:ascii="微软雅黑" w:hAnsi="微软雅黑" w:eastAsia="微软雅黑" w:cs="微软雅黑"/>
                <w:szCs w:val="21"/>
              </w:rPr>
              <w:t>按照标签查看添加了标签的文件</w:t>
            </w:r>
          </w:p>
        </w:tc>
        <w:tc>
          <w:tcPr>
            <w:tcW w:w="916" w:type="dxa"/>
            <w:vAlign w:val="center"/>
          </w:tcPr>
          <w:p>
            <w:pPr>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34" w:type="dxa"/>
            <w:vAlign w:val="center"/>
          </w:tcPr>
          <w:p>
            <w:pPr>
              <w:widowControl/>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整体方案及实施保障措施</w:t>
            </w:r>
          </w:p>
        </w:tc>
        <w:tc>
          <w:tcPr>
            <w:tcW w:w="894" w:type="dxa"/>
            <w:vAlign w:val="center"/>
          </w:tcPr>
          <w:p>
            <w:pPr>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0" w:type="auto"/>
            <w:vAlign w:val="center"/>
          </w:tcPr>
          <w:p>
            <w:pPr>
              <w:spacing w:line="280" w:lineRule="exact"/>
              <w:rPr>
                <w:rFonts w:ascii="微软雅黑" w:hAnsi="微软雅黑" w:eastAsia="微软雅黑" w:cs="微软雅黑"/>
                <w:szCs w:val="21"/>
              </w:rPr>
            </w:pPr>
            <w:r>
              <w:rPr>
                <w:rFonts w:hint="eastAsia" w:ascii="微软雅黑" w:hAnsi="微软雅黑" w:eastAsia="微软雅黑" w:cs="微软雅黑"/>
                <w:szCs w:val="21"/>
              </w:rPr>
              <w:t>根据各投标人提供的投标方案与需求的吻合程度，包括方案的先进性、可行性、合理性、扩展性及设备供货工期、系统联调测试、进度保障措施等情况给分，最高得5分。</w:t>
            </w:r>
          </w:p>
        </w:tc>
        <w:tc>
          <w:tcPr>
            <w:tcW w:w="916" w:type="dxa"/>
            <w:vAlign w:val="center"/>
          </w:tcPr>
          <w:p>
            <w:pPr>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34" w:type="dxa"/>
            <w:vMerge w:val="restart"/>
            <w:vAlign w:val="center"/>
          </w:tcPr>
          <w:p>
            <w:pPr>
              <w:rPr>
                <w:rFonts w:ascii="微软雅黑" w:hAnsi="微软雅黑" w:eastAsia="微软雅黑" w:cs="微软雅黑"/>
                <w:szCs w:val="21"/>
              </w:rPr>
            </w:pPr>
            <w:r>
              <w:rPr>
                <w:rFonts w:hint="eastAsia" w:ascii="微软雅黑" w:hAnsi="微软雅黑" w:eastAsia="微软雅黑" w:cs="微软雅黑"/>
                <w:szCs w:val="21"/>
              </w:rPr>
              <w:t>项目施人员情况</w:t>
            </w:r>
          </w:p>
        </w:tc>
        <w:tc>
          <w:tcPr>
            <w:tcW w:w="894" w:type="dxa"/>
            <w:vAlign w:val="center"/>
          </w:tcPr>
          <w:p>
            <w:pPr>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6</w:t>
            </w:r>
          </w:p>
        </w:tc>
        <w:tc>
          <w:tcPr>
            <w:tcW w:w="0" w:type="auto"/>
            <w:vAlign w:val="center"/>
          </w:tcPr>
          <w:p>
            <w:pPr>
              <w:snapToGrid w:val="0"/>
              <w:spacing w:line="280" w:lineRule="exact"/>
              <w:rPr>
                <w:rFonts w:ascii="微软雅黑" w:hAnsi="微软雅黑" w:eastAsia="微软雅黑" w:cs="微软雅黑"/>
                <w:szCs w:val="21"/>
              </w:rPr>
            </w:pPr>
            <w:r>
              <w:rPr>
                <w:rFonts w:hint="eastAsia" w:ascii="微软雅黑" w:hAnsi="微软雅黑" w:eastAsia="微软雅黑" w:cs="微软雅黑"/>
                <w:szCs w:val="21"/>
              </w:rPr>
              <w:t>项目负责人（4分）</w:t>
            </w:r>
          </w:p>
          <w:p>
            <w:pPr>
              <w:snapToGrid w:val="0"/>
              <w:spacing w:line="280" w:lineRule="exact"/>
              <w:rPr>
                <w:rFonts w:ascii="微软雅黑" w:hAnsi="微软雅黑" w:eastAsia="微软雅黑" w:cs="微软雅黑"/>
                <w:szCs w:val="21"/>
              </w:rPr>
            </w:pPr>
            <w:r>
              <w:rPr>
                <w:rFonts w:hint="eastAsia" w:ascii="微软雅黑" w:hAnsi="微软雅黑" w:eastAsia="微软雅黑" w:cs="微软雅黑"/>
                <w:szCs w:val="21"/>
              </w:rPr>
              <w:t>1、担任过类似本项目</w:t>
            </w:r>
            <w:r>
              <w:rPr>
                <w:rFonts w:hint="eastAsia" w:ascii="微软雅黑" w:hAnsi="微软雅黑" w:eastAsia="微软雅黑" w:cs="微软雅黑"/>
                <w:szCs w:val="21"/>
                <w:lang w:val="en-US" w:eastAsia="zh-CN"/>
              </w:rPr>
              <w:t>项目经理的</w:t>
            </w:r>
            <w:r>
              <w:rPr>
                <w:rFonts w:hint="eastAsia" w:ascii="微软雅黑" w:hAnsi="微软雅黑" w:eastAsia="微软雅黑" w:cs="微软雅黑"/>
                <w:szCs w:val="21"/>
              </w:rPr>
              <w:t>，得2分；</w:t>
            </w:r>
          </w:p>
          <w:p>
            <w:pPr>
              <w:snapToGrid w:val="0"/>
              <w:spacing w:line="280" w:lineRule="exact"/>
              <w:rPr>
                <w:rFonts w:ascii="微软雅黑" w:hAnsi="微软雅黑" w:eastAsia="微软雅黑" w:cs="微软雅黑"/>
                <w:szCs w:val="21"/>
              </w:rPr>
            </w:pPr>
            <w:r>
              <w:rPr>
                <w:rFonts w:hint="eastAsia" w:ascii="微软雅黑" w:hAnsi="微软雅黑" w:eastAsia="微软雅黑" w:cs="微软雅黑"/>
                <w:szCs w:val="21"/>
              </w:rPr>
              <w:t>2、具有信息系统项目高级项目经理资格证书，得2分；</w:t>
            </w:r>
          </w:p>
          <w:p>
            <w:pPr>
              <w:snapToGrid w:val="0"/>
              <w:spacing w:line="280" w:lineRule="exact"/>
              <w:rPr>
                <w:rFonts w:ascii="微软雅黑" w:hAnsi="微软雅黑" w:eastAsia="微软雅黑" w:cs="微软雅黑"/>
                <w:szCs w:val="21"/>
              </w:rPr>
            </w:pPr>
            <w:r>
              <w:rPr>
                <w:rFonts w:hint="eastAsia" w:ascii="微软雅黑" w:hAnsi="微软雅黑" w:eastAsia="微软雅黑" w:cs="微软雅黑"/>
                <w:szCs w:val="21"/>
              </w:rPr>
              <w:t>投标人应提供工作经验证明、担任项目经理的合同复印件、资格证书复印件及近三个月的社保证明（复印件加盖公章）。</w:t>
            </w:r>
          </w:p>
        </w:tc>
        <w:tc>
          <w:tcPr>
            <w:tcW w:w="916" w:type="dxa"/>
            <w:vAlign w:val="center"/>
          </w:tcPr>
          <w:p>
            <w:pPr>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34" w:type="dxa"/>
            <w:vMerge w:val="continue"/>
            <w:vAlign w:val="center"/>
          </w:tcPr>
          <w:p>
            <w:pPr>
              <w:rPr>
                <w:rFonts w:ascii="微软雅黑" w:hAnsi="微软雅黑" w:eastAsia="微软雅黑" w:cs="微软雅黑"/>
                <w:szCs w:val="21"/>
              </w:rPr>
            </w:pPr>
          </w:p>
        </w:tc>
        <w:tc>
          <w:tcPr>
            <w:tcW w:w="894" w:type="dxa"/>
            <w:vAlign w:val="center"/>
          </w:tcPr>
          <w:p>
            <w:pPr>
              <w:jc w:val="center"/>
              <w:rPr>
                <w:rFonts w:ascii="微软雅黑" w:hAnsi="微软雅黑" w:eastAsia="微软雅黑" w:cs="微软雅黑"/>
                <w:szCs w:val="21"/>
              </w:rPr>
            </w:pPr>
            <w:r>
              <w:rPr>
                <w:rFonts w:hint="eastAsia" w:ascii="微软雅黑" w:hAnsi="微软雅黑" w:eastAsia="微软雅黑" w:cs="微软雅黑"/>
                <w:szCs w:val="21"/>
              </w:rPr>
              <w:t>7</w:t>
            </w:r>
          </w:p>
        </w:tc>
        <w:tc>
          <w:tcPr>
            <w:tcW w:w="0" w:type="auto"/>
            <w:vAlign w:val="center"/>
          </w:tcPr>
          <w:p>
            <w:pPr>
              <w:snapToGrid w:val="0"/>
              <w:spacing w:line="280" w:lineRule="exact"/>
              <w:rPr>
                <w:rFonts w:ascii="微软雅黑" w:hAnsi="微软雅黑" w:eastAsia="微软雅黑" w:cs="微软雅黑"/>
                <w:szCs w:val="21"/>
              </w:rPr>
            </w:pPr>
            <w:r>
              <w:rPr>
                <w:rFonts w:hint="eastAsia" w:ascii="微软雅黑" w:hAnsi="微软雅黑" w:eastAsia="微软雅黑" w:cs="微软雅黑"/>
                <w:szCs w:val="21"/>
              </w:rPr>
              <w:t>项目组成员（5分）</w:t>
            </w:r>
          </w:p>
          <w:p>
            <w:pPr>
              <w:snapToGrid w:val="0"/>
              <w:spacing w:line="280" w:lineRule="exact"/>
              <w:rPr>
                <w:rFonts w:ascii="微软雅黑" w:hAnsi="微软雅黑" w:eastAsia="微软雅黑" w:cs="微软雅黑"/>
                <w:szCs w:val="21"/>
              </w:rPr>
            </w:pPr>
            <w:r>
              <w:rPr>
                <w:rFonts w:hint="eastAsia" w:ascii="微软雅黑" w:hAnsi="微软雅黑" w:eastAsia="微软雅黑" w:cs="微软雅黑"/>
                <w:szCs w:val="21"/>
              </w:rPr>
              <w:t>除项目负责人外的其他人员具有信息系统项目管理师（高级）证书，每提供1个得1分，最多得5分，不提供不得分。需提供社保证明、资质证书、身份证复印件，并加盖公章</w:t>
            </w:r>
          </w:p>
        </w:tc>
        <w:tc>
          <w:tcPr>
            <w:tcW w:w="916" w:type="dxa"/>
            <w:vAlign w:val="center"/>
          </w:tcPr>
          <w:p>
            <w:pPr>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1134" w:type="dxa"/>
            <w:vAlign w:val="center"/>
          </w:tcPr>
          <w:p>
            <w:pPr>
              <w:spacing w:line="280" w:lineRule="exact"/>
              <w:rPr>
                <w:rFonts w:ascii="微软雅黑" w:hAnsi="微软雅黑" w:eastAsia="微软雅黑" w:cs="微软雅黑"/>
                <w:szCs w:val="21"/>
              </w:rPr>
            </w:pPr>
            <w:r>
              <w:rPr>
                <w:rFonts w:hint="eastAsia" w:ascii="微软雅黑" w:hAnsi="微软雅黑" w:eastAsia="微软雅黑" w:cs="微软雅黑"/>
                <w:szCs w:val="21"/>
              </w:rPr>
              <w:t>售后服务、培训</w:t>
            </w:r>
          </w:p>
        </w:tc>
        <w:tc>
          <w:tcPr>
            <w:tcW w:w="894" w:type="dxa"/>
            <w:vAlign w:val="center"/>
          </w:tcPr>
          <w:p>
            <w:pPr>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8</w:t>
            </w:r>
          </w:p>
        </w:tc>
        <w:tc>
          <w:tcPr>
            <w:tcW w:w="0" w:type="auto"/>
            <w:vAlign w:val="center"/>
          </w:tcPr>
          <w:p>
            <w:pPr>
              <w:snapToGrid w:val="0"/>
              <w:spacing w:line="280" w:lineRule="exact"/>
              <w:rPr>
                <w:rFonts w:ascii="微软雅黑" w:hAnsi="微软雅黑" w:eastAsia="微软雅黑" w:cs="微软雅黑"/>
                <w:szCs w:val="21"/>
              </w:rPr>
            </w:pPr>
            <w:r>
              <w:rPr>
                <w:rFonts w:hint="eastAsia" w:ascii="微软雅黑" w:hAnsi="微软雅黑" w:eastAsia="微软雅黑" w:cs="微软雅黑"/>
                <w:szCs w:val="21"/>
              </w:rPr>
              <w:t>售后服务体系4分：投标人承诺中标后售后服务网点在浙江省范围内得</w:t>
            </w:r>
            <w:r>
              <w:rPr>
                <w:rFonts w:hint="eastAsia" w:ascii="微软雅黑" w:hAnsi="微软雅黑" w:eastAsia="微软雅黑" w:cs="微软雅黑"/>
                <w:szCs w:val="21"/>
                <w:lang w:val="en-US" w:eastAsia="zh-CN"/>
              </w:rPr>
              <w:t>2</w:t>
            </w:r>
            <w:r>
              <w:rPr>
                <w:rFonts w:hint="eastAsia" w:ascii="微软雅黑" w:hAnsi="微软雅黑" w:eastAsia="微软雅黑" w:cs="微软雅黑"/>
                <w:szCs w:val="21"/>
              </w:rPr>
              <w:t>分，投标人售后服务网点在金华市范围内得4分；</w:t>
            </w:r>
          </w:p>
          <w:p>
            <w:pPr>
              <w:snapToGrid w:val="0"/>
              <w:spacing w:line="280" w:lineRule="exact"/>
              <w:rPr>
                <w:rFonts w:ascii="微软雅黑" w:hAnsi="微软雅黑" w:eastAsia="微软雅黑" w:cs="微软雅黑"/>
                <w:szCs w:val="21"/>
              </w:rPr>
            </w:pPr>
            <w:r>
              <w:rPr>
                <w:rFonts w:hint="eastAsia" w:ascii="微软雅黑" w:hAnsi="微软雅黑" w:eastAsia="微软雅黑" w:cs="微软雅黑"/>
                <w:szCs w:val="21"/>
              </w:rPr>
              <w:t>项目维护计划（对用户故障的响应、处理、定期巡检等情况）的有效性；培训方案、计划的可行性、合理性等等情况打分，最高得3分。</w:t>
            </w:r>
          </w:p>
        </w:tc>
        <w:tc>
          <w:tcPr>
            <w:tcW w:w="916" w:type="dxa"/>
            <w:vAlign w:val="center"/>
          </w:tcPr>
          <w:p>
            <w:pPr>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1134" w:type="dxa"/>
            <w:vAlign w:val="center"/>
          </w:tcPr>
          <w:p>
            <w:pPr>
              <w:snapToGrid w:val="0"/>
              <w:spacing w:line="280" w:lineRule="exact"/>
              <w:rPr>
                <w:rFonts w:hint="eastAsia" w:ascii="微软雅黑" w:hAnsi="微软雅黑" w:eastAsia="微软雅黑" w:cs="微软雅黑"/>
                <w:szCs w:val="21"/>
              </w:rPr>
            </w:pPr>
            <w:r>
              <w:rPr>
                <w:rFonts w:hint="eastAsia" w:ascii="微软雅黑" w:hAnsi="微软雅黑" w:eastAsia="微软雅黑" w:cs="微软雅黑"/>
                <w:szCs w:val="21"/>
              </w:rPr>
              <w:t>政策分</w:t>
            </w:r>
          </w:p>
        </w:tc>
        <w:tc>
          <w:tcPr>
            <w:tcW w:w="894" w:type="dxa"/>
            <w:vAlign w:val="center"/>
          </w:tcPr>
          <w:p>
            <w:pPr>
              <w:widowControl/>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9</w:t>
            </w:r>
          </w:p>
        </w:tc>
        <w:tc>
          <w:tcPr>
            <w:tcW w:w="0" w:type="auto"/>
            <w:vAlign w:val="center"/>
          </w:tcPr>
          <w:p>
            <w:pPr>
              <w:widowControl/>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投标人或投标产品（或核心产品）符合《政府采购货物和服务招标投标管理办法》第五条规定，属于“节约能源、保护环境、扶持不发达地区和少数民族地区等”政府采购政策落实对象的（注：“</w:t>
            </w:r>
            <w:r>
              <w:rPr>
                <w:rFonts w:ascii="微软雅黑" w:hAnsi="微软雅黑" w:eastAsia="微软雅黑" w:cs="微软雅黑"/>
                <w:szCs w:val="21"/>
              </w:rPr>
              <w:t>促进中小企业发展</w:t>
            </w:r>
            <w:r>
              <w:rPr>
                <w:rFonts w:hint="eastAsia" w:ascii="微软雅黑" w:hAnsi="微软雅黑" w:eastAsia="微软雅黑" w:cs="微软雅黑"/>
                <w:szCs w:val="21"/>
              </w:rPr>
              <w:t>”</w:t>
            </w:r>
            <w:r>
              <w:rPr>
                <w:rFonts w:ascii="微软雅黑" w:hAnsi="微软雅黑" w:eastAsia="微软雅黑" w:cs="微软雅黑"/>
                <w:szCs w:val="21"/>
              </w:rPr>
              <w:t>政府采购政策</w:t>
            </w:r>
            <w:r>
              <w:rPr>
                <w:rFonts w:hint="eastAsia" w:ascii="微软雅黑" w:hAnsi="微软雅黑" w:eastAsia="微软雅黑" w:cs="微软雅黑"/>
                <w:szCs w:val="21"/>
              </w:rPr>
              <w:t>评审时将在“价格分”中进行政策性价格扣除，此处不予以计分），提供相关证明材料和政策依据，每符合一项得1分，最高可得2分；未提供相关证明材料的不得分。（提供相关证明材料和政策依据备查）。</w:t>
            </w:r>
          </w:p>
        </w:tc>
        <w:tc>
          <w:tcPr>
            <w:tcW w:w="916" w:type="dxa"/>
            <w:vAlign w:val="center"/>
          </w:tcPr>
          <w:p>
            <w:pPr>
              <w:widowControl/>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134" w:type="dxa"/>
            <w:vAlign w:val="center"/>
          </w:tcPr>
          <w:p>
            <w:pPr>
              <w:spacing w:line="280" w:lineRule="exact"/>
              <w:rPr>
                <w:rFonts w:ascii="微软雅黑" w:hAnsi="微软雅黑" w:eastAsia="微软雅黑" w:cs="微软雅黑"/>
                <w:szCs w:val="21"/>
              </w:rPr>
            </w:pPr>
            <w:r>
              <w:rPr>
                <w:rFonts w:hint="eastAsia" w:ascii="微软雅黑" w:hAnsi="微软雅黑" w:eastAsia="微软雅黑" w:cs="微软雅黑"/>
                <w:szCs w:val="21"/>
              </w:rPr>
              <w:t>投标企业情况</w:t>
            </w:r>
          </w:p>
        </w:tc>
        <w:tc>
          <w:tcPr>
            <w:tcW w:w="894" w:type="dxa"/>
            <w:vAlign w:val="center"/>
          </w:tcPr>
          <w:p>
            <w:pPr>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10</w:t>
            </w:r>
          </w:p>
        </w:tc>
        <w:tc>
          <w:tcPr>
            <w:tcW w:w="0" w:type="auto"/>
            <w:vAlign w:val="center"/>
          </w:tcPr>
          <w:p>
            <w:pPr>
              <w:snapToGrid w:val="0"/>
              <w:spacing w:line="280" w:lineRule="exact"/>
              <w:rPr>
                <w:rFonts w:ascii="微软雅黑" w:hAnsi="微软雅黑" w:eastAsia="微软雅黑" w:cs="微软雅黑"/>
                <w:szCs w:val="21"/>
              </w:rPr>
            </w:pPr>
            <w:r>
              <w:rPr>
                <w:rFonts w:hint="eastAsia" w:ascii="微软雅黑" w:hAnsi="微软雅黑" w:eastAsia="微软雅黑" w:cs="微软雅黑"/>
                <w:szCs w:val="21"/>
                <w:lang w:val="en-US" w:eastAsia="zh-CN"/>
              </w:rPr>
              <w:t>投标人</w:t>
            </w:r>
            <w:r>
              <w:rPr>
                <w:rFonts w:hint="eastAsia" w:ascii="微软雅黑" w:hAnsi="微软雅黑" w:eastAsia="微软雅黑" w:cs="微软雅黑"/>
                <w:szCs w:val="21"/>
              </w:rPr>
              <w:t>具有：ISO9001国际质量管理体系认证证书、ISO20000 IT服务管理体系认证证书、信息系统集成及服务资质证书、CMMI3及以上证书、音视频集成工程企业资质证书、及其他国际、国内权威机构认证并获得相关证书的，凭相关证书复印件每提供1份得1分，最高得6分。（提供证书复印件并加盖公章）</w:t>
            </w:r>
          </w:p>
        </w:tc>
        <w:tc>
          <w:tcPr>
            <w:tcW w:w="916" w:type="dxa"/>
            <w:vAlign w:val="center"/>
          </w:tcPr>
          <w:p>
            <w:pPr>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134" w:type="dxa"/>
            <w:vAlign w:val="center"/>
          </w:tcPr>
          <w:p>
            <w:pPr>
              <w:spacing w:line="280" w:lineRule="exact"/>
              <w:rPr>
                <w:rFonts w:ascii="微软雅黑" w:hAnsi="微软雅黑" w:eastAsia="微软雅黑" w:cs="微软雅黑"/>
                <w:szCs w:val="21"/>
              </w:rPr>
            </w:pPr>
            <w:r>
              <w:rPr>
                <w:rFonts w:hint="eastAsia" w:ascii="微软雅黑" w:hAnsi="微软雅黑" w:eastAsia="微软雅黑" w:cs="微软雅黑"/>
                <w:szCs w:val="21"/>
              </w:rPr>
              <w:t>业绩</w:t>
            </w:r>
          </w:p>
        </w:tc>
        <w:tc>
          <w:tcPr>
            <w:tcW w:w="894" w:type="dxa"/>
            <w:vAlign w:val="center"/>
          </w:tcPr>
          <w:p>
            <w:pPr>
              <w:spacing w:line="280" w:lineRule="exact"/>
              <w:jc w:val="center"/>
              <w:rPr>
                <w:rFonts w:ascii="微软雅黑" w:hAnsi="微软雅黑" w:eastAsia="微软雅黑" w:cs="微软雅黑"/>
                <w:szCs w:val="21"/>
              </w:rPr>
            </w:pPr>
            <w:r>
              <w:rPr>
                <w:rFonts w:hint="eastAsia" w:ascii="微软雅黑" w:hAnsi="微软雅黑" w:eastAsia="微软雅黑" w:cs="微软雅黑"/>
                <w:szCs w:val="21"/>
              </w:rPr>
              <w:t>11</w:t>
            </w:r>
          </w:p>
        </w:tc>
        <w:tc>
          <w:tcPr>
            <w:tcW w:w="0" w:type="auto"/>
            <w:vAlign w:val="center"/>
          </w:tcPr>
          <w:p>
            <w:pPr>
              <w:spacing w:line="280" w:lineRule="exact"/>
              <w:rPr>
                <w:rFonts w:ascii="微软雅黑" w:hAnsi="微软雅黑" w:eastAsia="微软雅黑" w:cs="微软雅黑"/>
                <w:szCs w:val="21"/>
              </w:rPr>
            </w:pPr>
            <w:r>
              <w:rPr>
                <w:rFonts w:hint="eastAsia" w:ascii="微软雅黑" w:hAnsi="微软雅黑" w:eastAsia="微软雅黑" w:cs="微软雅黑"/>
                <w:szCs w:val="21"/>
              </w:rPr>
              <w:t>投标人提供近三年内同类项目业绩证明材料（合同），每个得1分，最高得</w:t>
            </w:r>
            <w:r>
              <w:rPr>
                <w:rFonts w:hint="eastAsia" w:ascii="微软雅黑" w:hAnsi="微软雅黑" w:eastAsia="微软雅黑" w:cs="微软雅黑"/>
                <w:szCs w:val="21"/>
                <w:lang w:val="en-US" w:eastAsia="zh-CN"/>
              </w:rPr>
              <w:t>5</w:t>
            </w:r>
            <w:r>
              <w:rPr>
                <w:rFonts w:hint="eastAsia" w:ascii="微软雅黑" w:hAnsi="微软雅黑" w:eastAsia="微软雅黑" w:cs="微软雅黑"/>
                <w:szCs w:val="21"/>
              </w:rPr>
              <w:t>分，提供合同复印件（加盖公章）。</w:t>
            </w:r>
          </w:p>
        </w:tc>
        <w:tc>
          <w:tcPr>
            <w:tcW w:w="916" w:type="dxa"/>
            <w:vAlign w:val="center"/>
          </w:tcPr>
          <w:p>
            <w:pPr>
              <w:spacing w:line="28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5</w:t>
            </w:r>
          </w:p>
        </w:tc>
      </w:tr>
    </w:tbl>
    <w:p>
      <w:pPr>
        <w:pStyle w:val="22"/>
        <w:shd w:val="clear" w:color="auto" w:fill="FFFFFF"/>
        <w:spacing w:before="50" w:after="50" w:line="400" w:lineRule="exact"/>
        <w:rPr>
          <w:rFonts w:ascii="Courier New" w:hAnsi="Courier New" w:cs="Courier New"/>
        </w:rPr>
      </w:pPr>
    </w:p>
    <w:p>
      <w:pPr>
        <w:pStyle w:val="22"/>
        <w:shd w:val="clear" w:color="auto" w:fill="FFFFFF"/>
        <w:tabs>
          <w:tab w:val="left" w:pos="312"/>
        </w:tabs>
        <w:spacing w:before="50" w:after="50" w:line="400" w:lineRule="exact"/>
        <w:rPr>
          <w:rFonts w:ascii="Courier New" w:hAnsi="Courier New" w:cs="Courier New"/>
        </w:rPr>
      </w:pPr>
    </w:p>
    <w:p>
      <w:pPr>
        <w:pStyle w:val="42"/>
        <w:numPr>
          <w:ilvl w:val="0"/>
          <w:numId w:val="63"/>
        </w:numPr>
        <w:tabs>
          <w:tab w:val="left" w:pos="430"/>
        </w:tabs>
        <w:spacing w:beforeLines="50" w:afterLines="50" w:line="240" w:lineRule="exact"/>
        <w:ind w:firstLineChars="0"/>
        <w:rPr>
          <w:rFonts w:ascii="宋体" w:hAnsi="宋体"/>
          <w:b/>
          <w:sz w:val="28"/>
          <w:szCs w:val="28"/>
        </w:rPr>
      </w:pPr>
      <w:r>
        <w:rPr>
          <w:rFonts w:hint="eastAsia" w:ascii="宋体" w:hAnsi="宋体"/>
          <w:b/>
          <w:sz w:val="28"/>
          <w:szCs w:val="28"/>
        </w:rPr>
        <w:tab/>
      </w:r>
      <w:r>
        <w:rPr>
          <w:rFonts w:hint="eastAsia" w:ascii="宋体" w:hAnsi="宋体"/>
          <w:b/>
          <w:sz w:val="28"/>
          <w:szCs w:val="28"/>
        </w:rPr>
        <w:t>技术、资信及商务分的计算</w:t>
      </w:r>
    </w:p>
    <w:p>
      <w:pPr>
        <w:spacing w:beforeLines="50" w:afterLines="50" w:line="400" w:lineRule="exact"/>
        <w:ind w:firstLine="480" w:firstLineChars="200"/>
        <w:rPr>
          <w:rFonts w:ascii="宋体" w:hAnsi="宋体"/>
          <w:sz w:val="24"/>
        </w:rPr>
      </w:pPr>
      <w:r>
        <w:rPr>
          <w:rFonts w:hint="eastAsia" w:ascii="宋体" w:hAnsi="宋体"/>
          <w:sz w:val="24"/>
        </w:rPr>
        <w:t>技术、资信及商务分按照评标委员会成员的独立评分结果汇总数、算术平均分计算，</w:t>
      </w:r>
    </w:p>
    <w:p>
      <w:pPr>
        <w:pStyle w:val="2"/>
        <w:ind w:firstLine="480"/>
        <w:rPr>
          <w:rFonts w:ascii="楷体" w:hAnsi="楷体" w:eastAsia="楷体" w:cs="楷体"/>
          <w:smallCaps/>
          <w:color w:val="000000"/>
          <w:sz w:val="24"/>
          <w:szCs w:val="24"/>
        </w:rPr>
      </w:pPr>
      <w:r>
        <w:rPr>
          <w:rFonts w:hint="eastAsia" w:ascii="宋体" w:hAnsi="宋体"/>
          <w:sz w:val="24"/>
        </w:rPr>
        <w:t>计算公式为：技术、资信及商务得分=（评标委员会所有成员评分合计数）/（评标委员会组成人员数）</w:t>
      </w:r>
    </w:p>
    <w:p>
      <w:pPr>
        <w:pStyle w:val="2"/>
        <w:sectPr>
          <w:pgSz w:w="11906" w:h="16838"/>
          <w:pgMar w:top="1440" w:right="1800" w:bottom="1440" w:left="1800" w:header="851" w:footer="992" w:gutter="0"/>
          <w:cols w:space="425" w:num="1"/>
          <w:docGrid w:type="lines" w:linePitch="312" w:charSpace="0"/>
        </w:sectPr>
      </w:pPr>
    </w:p>
    <w:p>
      <w:pPr>
        <w:pStyle w:val="2"/>
        <w:ind w:left="165" w:leftChars="0" w:firstLine="1920" w:firstLineChars="600"/>
        <w:rPr>
          <w:rFonts w:ascii="宋体" w:hAnsi="宋体" w:eastAsia="仿宋_GB2312"/>
          <w:color w:val="000000"/>
          <w:sz w:val="32"/>
          <w:szCs w:val="32"/>
        </w:rPr>
      </w:pPr>
      <w:r>
        <w:rPr>
          <w:rFonts w:hint="eastAsia" w:ascii="宋体" w:hAnsi="宋体" w:eastAsia="仿宋_GB2312"/>
          <w:color w:val="000000"/>
          <w:sz w:val="32"/>
          <w:szCs w:val="32"/>
        </w:rPr>
        <w:t>第六章 政府</w:t>
      </w:r>
      <w:r>
        <w:rPr>
          <w:rFonts w:ascii="宋体" w:hAnsi="宋体" w:eastAsia="仿宋_GB2312"/>
          <w:color w:val="000000"/>
          <w:sz w:val="32"/>
          <w:szCs w:val="32"/>
        </w:rPr>
        <w:t>采购合同主要条款</w:t>
      </w:r>
    </w:p>
    <w:p>
      <w:pPr>
        <w:snapToGrid w:val="0"/>
        <w:spacing w:line="360" w:lineRule="auto"/>
        <w:ind w:firstLine="600" w:firstLineChars="200"/>
        <w:jc w:val="left"/>
        <w:rPr>
          <w:rFonts w:ascii="仿宋" w:hAnsi="仿宋" w:eastAsia="仿宋" w:cs="Arial"/>
          <w:b/>
          <w:color w:val="000000"/>
          <w:szCs w:val="21"/>
        </w:rPr>
      </w:pPr>
      <w:r>
        <w:rPr>
          <w:rFonts w:hint="eastAsia" w:ascii="仿宋_GB2312" w:eastAsia="仿宋_GB2312"/>
          <w:color w:val="000000"/>
          <w:sz w:val="30"/>
          <w:szCs w:val="30"/>
        </w:rPr>
        <w:t xml:space="preserve">  </w:t>
      </w:r>
      <w:r>
        <w:rPr>
          <w:rFonts w:hint="eastAsia" w:ascii="仿宋" w:hAnsi="仿宋" w:eastAsia="仿宋" w:cs="Arial"/>
          <w:b/>
          <w:color w:val="000000"/>
          <w:szCs w:val="21"/>
        </w:rPr>
        <w:t>浙江省政府采购合同指引（货物）</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项目名称：                     项目编号：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甲方：（买方）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乙方：（卖方）</w:t>
      </w:r>
    </w:p>
    <w:p>
      <w:pPr>
        <w:snapToGrid w:val="0"/>
        <w:spacing w:line="360" w:lineRule="auto"/>
        <w:ind w:left="210" w:leftChars="100" w:firstLine="210" w:firstLineChars="100"/>
        <w:jc w:val="left"/>
        <w:rPr>
          <w:rFonts w:ascii="仿宋" w:hAnsi="仿宋" w:eastAsia="仿宋" w:cs="Arial"/>
          <w:color w:val="000000"/>
          <w:szCs w:val="21"/>
        </w:rPr>
      </w:pPr>
      <w:r>
        <w:rPr>
          <w:rFonts w:ascii="仿宋" w:hAnsi="仿宋" w:eastAsia="仿宋" w:cs="Arial"/>
          <w:color w:val="000000"/>
          <w:szCs w:val="21"/>
        </w:rPr>
        <w:t xml:space="preserve">   甲、乙双方根据</w:t>
      </w:r>
      <w:r>
        <w:rPr>
          <w:rFonts w:ascii="仿宋" w:hAnsi="仿宋" w:eastAsia="仿宋" w:cs="Arial"/>
          <w:color w:val="000000"/>
          <w:szCs w:val="21"/>
          <w:u w:val="single"/>
        </w:rPr>
        <w:t>金华市政府采购中心关于</w:t>
      </w:r>
      <w:r>
        <w:rPr>
          <w:rFonts w:hint="eastAsia" w:ascii="仿宋" w:hAnsi="仿宋" w:eastAsia="仿宋" w:cs="Arial"/>
          <w:color w:val="000000"/>
          <w:szCs w:val="21"/>
          <w:u w:val="single"/>
        </w:rPr>
        <w:t xml:space="preserve"> </w:t>
      </w:r>
      <w:r>
        <w:rPr>
          <w:rFonts w:ascii="仿宋" w:hAnsi="仿宋" w:eastAsia="仿宋" w:cs="Arial"/>
          <w:color w:val="000000"/>
          <w:szCs w:val="21"/>
          <w:u w:val="single"/>
        </w:rPr>
        <w:t xml:space="preserve">     </w:t>
      </w:r>
      <w:r>
        <w:rPr>
          <w:rFonts w:hint="eastAsia" w:ascii="仿宋" w:hAnsi="仿宋" w:eastAsia="仿宋" w:cs="Arial"/>
          <w:color w:val="000000"/>
          <w:szCs w:val="21"/>
          <w:u w:val="single"/>
        </w:rPr>
        <w:t xml:space="preserve"> 单位 </w:t>
      </w:r>
      <w:r>
        <w:rPr>
          <w:rFonts w:ascii="仿宋" w:hAnsi="仿宋" w:eastAsia="仿宋" w:cs="Arial"/>
          <w:color w:val="000000"/>
          <w:szCs w:val="21"/>
          <w:u w:val="single"/>
        </w:rPr>
        <w:t xml:space="preserve">         项目公开招标</w:t>
      </w:r>
      <w:r>
        <w:rPr>
          <w:rFonts w:ascii="仿宋" w:hAnsi="仿宋" w:eastAsia="仿宋" w:cs="Arial"/>
          <w:color w:val="000000"/>
          <w:szCs w:val="21"/>
        </w:rPr>
        <w:t>的结果，签署本合同。</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一、货物内容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 货物名称：</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2</w:t>
      </w:r>
      <w:r>
        <w:rPr>
          <w:rFonts w:ascii="仿宋" w:hAnsi="仿宋" w:eastAsia="仿宋" w:cs="Arial"/>
          <w:color w:val="000000"/>
          <w:szCs w:val="21"/>
        </w:rPr>
        <w:t>. 型号规格：</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3</w:t>
      </w:r>
      <w:r>
        <w:rPr>
          <w:rFonts w:ascii="仿宋" w:hAnsi="仿宋" w:eastAsia="仿宋" w:cs="Arial"/>
          <w:color w:val="000000"/>
          <w:szCs w:val="21"/>
        </w:rPr>
        <w:t>. 技术参数：</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数量（单位）：</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二、合同金额</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本合同金额为（大写）：_________元（￥______元）人民币。</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三、技术资料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乙方应按招标文件规定的时间向甲方提供使用货物的有关技术资料。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四、知识产权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乙方应保证所提供的货物或其任何一部分均不会侵犯任何第三方的知识产权。</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五、产权担保</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乙方保证所交付的货物的所有权完全属于乙方且无任何抵押、查封等产权瑕疵。</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六、履约保证金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乙方交纳人民币△元作为本合同的履约保证金。</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七、转包或分包</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.本合同范围的货物，应由</w:t>
      </w:r>
      <w:r>
        <w:rPr>
          <w:rFonts w:ascii="仿宋" w:hAnsi="仿宋" w:eastAsia="仿宋" w:cs="Arial"/>
          <w:color w:val="000000"/>
          <w:szCs w:val="21"/>
        </w:rPr>
        <w:t>乙</w:t>
      </w:r>
      <w:r>
        <w:rPr>
          <w:rFonts w:hint="eastAsia" w:ascii="仿宋" w:hAnsi="仿宋" w:eastAsia="仿宋" w:cs="Arial"/>
          <w:color w:val="000000"/>
          <w:szCs w:val="21"/>
        </w:rPr>
        <w:t>方直接供应，不得转让他人供应；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.除非得到</w:t>
      </w:r>
      <w:r>
        <w:rPr>
          <w:rFonts w:ascii="仿宋" w:hAnsi="仿宋" w:eastAsia="仿宋" w:cs="Arial"/>
          <w:color w:val="000000"/>
          <w:szCs w:val="21"/>
        </w:rPr>
        <w:t>甲</w:t>
      </w:r>
      <w:r>
        <w:rPr>
          <w:rFonts w:hint="eastAsia" w:ascii="仿宋" w:hAnsi="仿宋" w:eastAsia="仿宋" w:cs="Arial"/>
          <w:color w:val="000000"/>
          <w:szCs w:val="21"/>
        </w:rPr>
        <w:t>方的书面同意，</w:t>
      </w:r>
      <w:r>
        <w:rPr>
          <w:rFonts w:ascii="仿宋" w:hAnsi="仿宋" w:eastAsia="仿宋" w:cs="Arial"/>
          <w:color w:val="000000"/>
          <w:szCs w:val="21"/>
        </w:rPr>
        <w:t>乙</w:t>
      </w:r>
      <w:r>
        <w:rPr>
          <w:rFonts w:hint="eastAsia" w:ascii="仿宋" w:hAnsi="仿宋" w:eastAsia="仿宋" w:cs="Arial"/>
          <w:color w:val="000000"/>
          <w:szCs w:val="21"/>
        </w:rPr>
        <w:t>方不得将本合同范围的货物全部或部分分包给他人供应；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.如有转让和未经</w:t>
      </w:r>
      <w:r>
        <w:rPr>
          <w:rFonts w:ascii="仿宋" w:hAnsi="仿宋" w:eastAsia="仿宋" w:cs="Arial"/>
          <w:color w:val="000000"/>
          <w:szCs w:val="21"/>
        </w:rPr>
        <w:t>甲</w:t>
      </w:r>
      <w:r>
        <w:rPr>
          <w:rFonts w:hint="eastAsia" w:ascii="仿宋" w:hAnsi="仿宋" w:eastAsia="仿宋" w:cs="Arial"/>
          <w:color w:val="000000"/>
          <w:szCs w:val="21"/>
        </w:rPr>
        <w:t>方同意的分包行为，</w:t>
      </w:r>
      <w:r>
        <w:rPr>
          <w:rFonts w:ascii="仿宋" w:hAnsi="仿宋" w:eastAsia="仿宋" w:cs="Arial"/>
          <w:color w:val="000000"/>
          <w:szCs w:val="21"/>
        </w:rPr>
        <w:t>甲</w:t>
      </w:r>
      <w:r>
        <w:rPr>
          <w:rFonts w:hint="eastAsia" w:ascii="仿宋" w:hAnsi="仿宋" w:eastAsia="仿宋" w:cs="Arial"/>
          <w:color w:val="000000"/>
          <w:szCs w:val="21"/>
        </w:rPr>
        <w:t>方有权解除合同，没收履约保证金并追究乙方的违约责任。</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八、质保期和质保金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质保期</w:t>
      </w:r>
      <w:r>
        <w:rPr>
          <w:rFonts w:ascii="仿宋" w:hAnsi="仿宋" w:eastAsia="仿宋" w:cs="Arial"/>
          <w:color w:val="000000"/>
          <w:szCs w:val="21"/>
          <w:u w:val="single"/>
        </w:rPr>
        <w:t xml:space="preserve">      </w:t>
      </w:r>
      <w:r>
        <w:rPr>
          <w:rFonts w:ascii="仿宋" w:hAnsi="仿宋" w:eastAsia="仿宋" w:cs="Arial"/>
          <w:color w:val="000000"/>
          <w:szCs w:val="21"/>
        </w:rPr>
        <w:t>年。（自交货验收合格之日起计）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质保金</w:t>
      </w:r>
      <w:r>
        <w:rPr>
          <w:rFonts w:ascii="仿宋" w:hAnsi="仿宋" w:eastAsia="仿宋" w:cs="Arial"/>
          <w:color w:val="000000"/>
          <w:szCs w:val="21"/>
          <w:u w:val="single"/>
        </w:rPr>
        <w:t xml:space="preserve">            </w:t>
      </w:r>
      <w:r>
        <w:rPr>
          <w:rFonts w:ascii="仿宋" w:hAnsi="仿宋" w:eastAsia="仿宋" w:cs="Arial"/>
          <w:color w:val="000000"/>
          <w:szCs w:val="21"/>
        </w:rPr>
        <w:t>元。（履约保证金在中标投标人按合同约定交货验收合格后自行转为质保金）</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九、交货期、交货方式及交货地点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交货期：</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交货方式：</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交货地点：</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十、货款支付</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付款方式：</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当采购数量与实际使用数量不一致时，乙</w:t>
      </w:r>
      <w:r>
        <w:rPr>
          <w:rFonts w:hint="eastAsia" w:ascii="仿宋" w:hAnsi="仿宋" w:eastAsia="仿宋" w:cs="Arial"/>
          <w:color w:val="000000"/>
          <w:szCs w:val="21"/>
        </w:rPr>
        <w:t>方</w:t>
      </w:r>
      <w:r>
        <w:rPr>
          <w:rFonts w:ascii="仿宋" w:hAnsi="仿宋" w:eastAsia="仿宋" w:cs="Arial"/>
          <w:color w:val="000000"/>
          <w:szCs w:val="21"/>
        </w:rPr>
        <w:t>应根据实际使用量供货，合同的最终结算金额按实际使用量乘以成交单价进行计算。</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十一、税费</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本合同执行中相关的一切税费均由</w:t>
      </w:r>
      <w:r>
        <w:rPr>
          <w:rFonts w:ascii="仿宋" w:hAnsi="仿宋" w:eastAsia="仿宋" w:cs="Arial"/>
          <w:color w:val="000000"/>
          <w:szCs w:val="21"/>
        </w:rPr>
        <w:t>乙</w:t>
      </w:r>
      <w:r>
        <w:rPr>
          <w:rFonts w:hint="eastAsia" w:ascii="仿宋" w:hAnsi="仿宋" w:eastAsia="仿宋" w:cs="Arial"/>
          <w:color w:val="000000"/>
          <w:szCs w:val="21"/>
        </w:rPr>
        <w:t>方负担。</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十二、质量保证及售后服务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乙方应按招标文件规定的货物性能、技术要求、质量标准向甲方提供未经使用的全新产品。</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乙方提供的货物在质</w:t>
      </w:r>
      <w:r>
        <w:rPr>
          <w:rFonts w:hint="eastAsia" w:ascii="仿宋" w:hAnsi="仿宋" w:eastAsia="仿宋" w:cs="Arial"/>
          <w:color w:val="000000"/>
          <w:szCs w:val="21"/>
        </w:rPr>
        <w:t>保</w:t>
      </w:r>
      <w:r>
        <w:rPr>
          <w:rFonts w:ascii="仿宋" w:hAnsi="仿宋" w:eastAsia="仿宋" w:cs="Arial"/>
          <w:color w:val="000000"/>
          <w:szCs w:val="21"/>
        </w:rPr>
        <w:t>期内因货物本身的质量问题发生故障，乙方应负责免费更换。对达不到技术要求者，根据实际情况，经双方协商，可按以下办法处理：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⑴更换：由乙方承担所发生的全部费用。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⑵贬值处理：由甲乙双方合议定价。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⑶退货处理：乙方应退还甲方支付的合同款，同时应承担该货物的直接费用（运输、保险、检验、货款利息及银行手续费等）。</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如在使用过程中发生质量问题，乙方在接到甲方通知后在△小时内到达甲方现场。</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在质保期内，乙方应对货物出现的质量及安全问题负责处理解决并承担一切费用。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5</w:t>
      </w:r>
      <w:r>
        <w:rPr>
          <w:rFonts w:hint="eastAsia" w:ascii="仿宋" w:hAnsi="仿宋" w:eastAsia="仿宋" w:cs="Arial"/>
          <w:color w:val="000000"/>
          <w:szCs w:val="21"/>
        </w:rPr>
        <w:t>.</w:t>
      </w:r>
      <w:r>
        <w:rPr>
          <w:rFonts w:ascii="仿宋" w:hAnsi="仿宋" w:eastAsia="仿宋" w:cs="Arial"/>
          <w:color w:val="000000"/>
          <w:szCs w:val="21"/>
        </w:rPr>
        <w:t>上述的货物免费保修期为</w:t>
      </w:r>
      <w:r>
        <w:rPr>
          <w:rFonts w:ascii="仿宋" w:hAnsi="仿宋" w:eastAsia="仿宋" w:cs="Arial"/>
          <w:color w:val="000000"/>
          <w:szCs w:val="21"/>
          <w:u w:val="single"/>
        </w:rPr>
        <w:t xml:space="preserve">     </w:t>
      </w:r>
      <w:r>
        <w:rPr>
          <w:rFonts w:ascii="仿宋" w:hAnsi="仿宋" w:eastAsia="仿宋" w:cs="Arial"/>
          <w:color w:val="000000"/>
          <w:szCs w:val="21"/>
        </w:rPr>
        <w:t>年，因人为因素出现的故障不在免费保修范围内。超过保修期的机器设备，终生维修，维修时只收部件成本费。</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十三、调试和验收</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乙方交货前应对产品作出全面检查和对验收文件进行整理，并列出清单，作为甲方收货验收和使用的技术条件依据，检验的结果应随货物交甲方。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甲方对乙方提供的货物在使用前进行调试时，乙方需负责安装并培训甲方的使用操作人员，并协助甲方一起调试，直到符合技术要求，甲方才做最终验收。</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对技术复杂的货物，甲方应请国家认可的专业检测机构参与初步验收及最终验收，并由其出具质量检测报告。</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5</w:t>
      </w:r>
      <w:r>
        <w:rPr>
          <w:rFonts w:hint="eastAsia" w:ascii="仿宋" w:hAnsi="仿宋" w:eastAsia="仿宋" w:cs="Arial"/>
          <w:color w:val="000000"/>
          <w:szCs w:val="21"/>
        </w:rPr>
        <w:t>.</w:t>
      </w:r>
      <w:r>
        <w:rPr>
          <w:rFonts w:ascii="仿宋" w:hAnsi="仿宋" w:eastAsia="仿宋" w:cs="Arial"/>
          <w:color w:val="000000"/>
          <w:szCs w:val="21"/>
        </w:rPr>
        <w:t xml:space="preserve"> 验收时乙方必须在现场，验收完毕后作出验收结果报告；验收费用由乙方负责。</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十四、货物包装、发运及运输</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乙方应在货物发运前对其进行满足运输距离、防潮、防震、防锈和防破损装卸等要求包装，以保证货物安全运达甲方指定地点。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使用说明书、质量检验证明书、随配附件和工具以及清单一并附于货物内。</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乙方在货物发运手续办理完毕后24小时内或货到甲方48小时前通知甲方，以准备接货。</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货物在交付甲方前发生的风险均由乙方负责。</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5</w:t>
      </w:r>
      <w:r>
        <w:rPr>
          <w:rFonts w:hint="eastAsia" w:ascii="仿宋" w:hAnsi="仿宋" w:eastAsia="仿宋" w:cs="Arial"/>
          <w:color w:val="000000"/>
          <w:szCs w:val="21"/>
        </w:rPr>
        <w:t>.</w:t>
      </w:r>
      <w:r>
        <w:rPr>
          <w:rFonts w:ascii="仿宋" w:hAnsi="仿宋" w:eastAsia="仿宋" w:cs="Arial"/>
          <w:color w:val="000000"/>
          <w:szCs w:val="21"/>
        </w:rPr>
        <w:t xml:space="preserve"> 货物在规定的交付期限内由乙方送达甲方指定的地点视为交付，乙方同时需通知甲方货物已送达。</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十五、违约责任</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甲方无正当理由拒收货物的，甲方向乙方偿付拒收货款总值的百分之五违约金。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甲方无故逾期验收和办理货款支付手续的,甲方应按逾期付款总额每日万分之五向乙方支付违约金。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十六、不可抗力事件处理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在合同有效期内，任何一方因不可抗力事件导致不能履行合同，则合同履行期可延长，其延长期与不可抗力影响期相同。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不可抗力事件发生后，应立即通知对方，并寄送有关权威机构出具的证明。</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不可抗力事件延续120天以上，双方应通过友好协商，确定是否继续履行合同。</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十七、诉讼</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双方在执行合同中所发生的一切争议，应通过协商解决。如协商不成，可向</w:t>
      </w:r>
      <w:r>
        <w:rPr>
          <w:rFonts w:hint="eastAsia" w:ascii="仿宋" w:hAnsi="仿宋" w:eastAsia="仿宋" w:cs="Arial"/>
          <w:color w:val="000000"/>
          <w:szCs w:val="21"/>
        </w:rPr>
        <w:t>甲方所在</w:t>
      </w:r>
      <w:r>
        <w:rPr>
          <w:rFonts w:ascii="仿宋" w:hAnsi="仿宋" w:eastAsia="仿宋" w:cs="Arial"/>
          <w:color w:val="000000"/>
          <w:szCs w:val="21"/>
        </w:rPr>
        <w:t>地法院起诉。</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十八、合同生效及其它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合同经双方法定代表人或授权代表签字并加盖单位公章后生效。</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合同执行中涉及采购资金和采购内容修改或补充的，须经财政部门审批，并签书面补充协议报政府采购监督管理部门备案，方可作为主合同不可分割的一部分。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本合同未尽事宜，遵照《合同法》有关条文执行。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本合同正本一式两份，具有同等法律效力，甲乙双方各执一份；副本△份，(用途)。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甲方：</w:t>
      </w:r>
      <w:r>
        <w:rPr>
          <w:rFonts w:hint="eastAsia" w:ascii="仿宋" w:hAnsi="仿宋" w:eastAsia="仿宋" w:cs="Arial"/>
          <w:color w:val="000000"/>
          <w:szCs w:val="21"/>
        </w:rPr>
        <w:t xml:space="preserve">  </w:t>
      </w:r>
      <w:r>
        <w:rPr>
          <w:rFonts w:ascii="仿宋" w:hAnsi="仿宋" w:eastAsia="仿宋" w:cs="Arial"/>
          <w:color w:val="000000"/>
          <w:szCs w:val="21"/>
        </w:rPr>
        <w:t xml:space="preserve">                      乙方：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地址：                        地址：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法定</w:t>
      </w:r>
      <w:r>
        <w:rPr>
          <w:rFonts w:hint="eastAsia" w:ascii="仿宋" w:hAnsi="仿宋" w:eastAsia="仿宋" w:cs="Arial"/>
          <w:color w:val="000000"/>
          <w:szCs w:val="21"/>
        </w:rPr>
        <w:t>（授权）</w:t>
      </w:r>
      <w:r>
        <w:rPr>
          <w:rFonts w:ascii="仿宋" w:hAnsi="仿宋" w:eastAsia="仿宋" w:cs="Arial"/>
          <w:color w:val="000000"/>
          <w:szCs w:val="21"/>
        </w:rPr>
        <w:t>代表人：          法定</w:t>
      </w:r>
      <w:r>
        <w:rPr>
          <w:rFonts w:hint="eastAsia" w:ascii="仿宋" w:hAnsi="仿宋" w:eastAsia="仿宋" w:cs="Arial"/>
          <w:color w:val="000000"/>
          <w:szCs w:val="21"/>
        </w:rPr>
        <w:t>（授权）</w:t>
      </w:r>
      <w:r>
        <w:rPr>
          <w:rFonts w:ascii="仿宋" w:hAnsi="仿宋" w:eastAsia="仿宋" w:cs="Arial"/>
          <w:color w:val="000000"/>
          <w:szCs w:val="21"/>
        </w:rPr>
        <w:t>代表人：</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签</w:t>
      </w:r>
      <w:r>
        <w:rPr>
          <w:rFonts w:hint="eastAsia" w:ascii="仿宋" w:hAnsi="仿宋" w:eastAsia="仿宋" w:cs="Arial"/>
          <w:color w:val="000000"/>
          <w:szCs w:val="21"/>
        </w:rPr>
        <w:t>字日期</w:t>
      </w:r>
      <w:r>
        <w:rPr>
          <w:rFonts w:ascii="仿宋" w:hAnsi="仿宋" w:eastAsia="仿宋" w:cs="Arial"/>
          <w:color w:val="000000"/>
          <w:szCs w:val="21"/>
        </w:rPr>
        <w:t>：   年  月  日   签</w:t>
      </w:r>
      <w:r>
        <w:rPr>
          <w:rFonts w:hint="eastAsia" w:ascii="仿宋" w:hAnsi="仿宋" w:eastAsia="仿宋" w:cs="Arial"/>
          <w:color w:val="000000"/>
          <w:szCs w:val="21"/>
        </w:rPr>
        <w:t>字</w:t>
      </w:r>
      <w:r>
        <w:rPr>
          <w:rFonts w:ascii="仿宋" w:hAnsi="仿宋" w:eastAsia="仿宋" w:cs="Arial"/>
          <w:color w:val="000000"/>
          <w:szCs w:val="21"/>
        </w:rPr>
        <w:t>日期：  年  月  日</w:t>
      </w:r>
    </w:p>
    <w:p>
      <w:pPr>
        <w:snapToGrid w:val="0"/>
        <w:spacing w:line="360" w:lineRule="auto"/>
        <w:ind w:firstLine="420" w:firstLineChars="200"/>
        <w:rPr>
          <w:rFonts w:ascii="仿宋" w:hAnsi="仿宋" w:eastAsia="仿宋" w:cs="Arial"/>
          <w:color w:val="000000"/>
          <w:szCs w:val="21"/>
        </w:rPr>
      </w:pPr>
    </w:p>
    <w:p>
      <w:pPr>
        <w:snapToGrid w:val="0"/>
        <w:spacing w:line="360" w:lineRule="auto"/>
        <w:ind w:firstLine="525" w:firstLineChars="250"/>
        <w:rPr>
          <w:rFonts w:ascii="仿宋" w:hAnsi="仿宋" w:eastAsia="仿宋" w:cs="Arial"/>
          <w:color w:val="000000"/>
          <w:szCs w:val="21"/>
        </w:rPr>
      </w:pPr>
      <w:r>
        <w:rPr>
          <w:rFonts w:hint="eastAsia" w:ascii="仿宋" w:hAnsi="仿宋" w:eastAsia="仿宋" w:cs="Arial"/>
          <w:color w:val="000000"/>
          <w:szCs w:val="21"/>
        </w:rPr>
        <w:t xml:space="preserve"> 合同鉴证方:</w:t>
      </w:r>
    </w:p>
    <w:p>
      <w:pPr>
        <w:snapToGrid w:val="0"/>
        <w:spacing w:line="360" w:lineRule="auto"/>
        <w:ind w:firstLine="630" w:firstLineChars="300"/>
        <w:rPr>
          <w:rFonts w:ascii="仿宋" w:hAnsi="仿宋" w:eastAsia="仿宋" w:cs="Arial"/>
          <w:color w:val="000000"/>
          <w:szCs w:val="21"/>
        </w:rPr>
      </w:pPr>
      <w:r>
        <w:rPr>
          <w:rFonts w:hint="eastAsia" w:ascii="仿宋" w:hAnsi="仿宋" w:eastAsia="仿宋" w:cs="Arial"/>
          <w:color w:val="000000"/>
          <w:szCs w:val="21"/>
        </w:rPr>
        <w:t>法定代表人或主要负责人:</w:t>
      </w:r>
    </w:p>
    <w:p>
      <w:pPr>
        <w:snapToGrid w:val="0"/>
        <w:spacing w:line="360" w:lineRule="auto"/>
        <w:ind w:firstLine="630" w:firstLineChars="300"/>
        <w:rPr>
          <w:rFonts w:ascii="仿宋" w:hAnsi="仿宋" w:eastAsia="仿宋" w:cs="Arial"/>
          <w:color w:val="000000"/>
          <w:szCs w:val="21"/>
        </w:rPr>
      </w:pPr>
      <w:r>
        <w:rPr>
          <w:rFonts w:hint="eastAsia" w:ascii="仿宋" w:hAnsi="仿宋" w:eastAsia="仿宋" w:cs="Arial"/>
          <w:color w:val="000000"/>
          <w:szCs w:val="21"/>
        </w:rPr>
        <w:t>鉴证日期:</w:t>
      </w:r>
    </w:p>
    <w:p>
      <w:pPr>
        <w:pStyle w:val="2"/>
        <w:rPr>
          <w:rFonts w:ascii="仿宋" w:hAnsi="仿宋" w:eastAsia="仿宋" w:cs="Arial"/>
          <w:color w:val="000000"/>
          <w:szCs w:val="21"/>
        </w:rPr>
      </w:pPr>
    </w:p>
    <w:p>
      <w:pPr>
        <w:autoSpaceDE w:val="0"/>
        <w:autoSpaceDN w:val="0"/>
        <w:adjustRightInd w:val="0"/>
        <w:spacing w:line="400" w:lineRule="atLeast"/>
        <w:jc w:val="center"/>
        <w:rPr>
          <w:rFonts w:ascii="宋体"/>
          <w:sz w:val="22"/>
        </w:rPr>
      </w:pPr>
      <w:r>
        <w:rPr>
          <w:rFonts w:hint="eastAsia" w:ascii="宋体"/>
          <w:sz w:val="22"/>
        </w:rPr>
        <w:t>（合同签订后采购人或供应商须将合同副本送达金华市公共资源交易中心采购科（地址：金华市双龙南街858号财富大厦4楼）鉴证）</w:t>
      </w:r>
    </w:p>
    <w:p>
      <w:pPr>
        <w:pStyle w:val="2"/>
        <w:rPr>
          <w:rFonts w:ascii="仿宋" w:hAnsi="仿宋" w:eastAsia="仿宋" w:cs="Arial"/>
          <w:color w:val="000000"/>
          <w:szCs w:val="21"/>
        </w:rPr>
      </w:pP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br w:type="page"/>
      </w:r>
    </w:p>
    <w:p>
      <w:pPr>
        <w:snapToGrid w:val="0"/>
        <w:spacing w:line="360" w:lineRule="auto"/>
        <w:ind w:firstLine="422" w:firstLineChars="200"/>
        <w:jc w:val="center"/>
        <w:rPr>
          <w:rFonts w:ascii="仿宋" w:hAnsi="仿宋" w:eastAsia="仿宋" w:cs="Arial"/>
          <w:b/>
          <w:color w:val="000000"/>
          <w:szCs w:val="21"/>
        </w:rPr>
      </w:pPr>
      <w:r>
        <w:rPr>
          <w:rFonts w:hint="eastAsia" w:ascii="仿宋" w:hAnsi="仿宋" w:eastAsia="仿宋" w:cs="Arial"/>
          <w:b/>
          <w:color w:val="000000"/>
          <w:szCs w:val="21"/>
        </w:rPr>
        <w:t>浙江省政府采购合同指引（服务）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项目名称：                 项目编号：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甲方：（买方）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乙方：（卖方）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甲、乙双方根据 </w:t>
      </w:r>
      <w:r>
        <w:rPr>
          <w:rFonts w:ascii="仿宋" w:hAnsi="仿宋" w:eastAsia="仿宋" w:cs="Arial"/>
          <w:color w:val="000000"/>
          <w:szCs w:val="21"/>
          <w:u w:val="single"/>
        </w:rPr>
        <w:t>金华市政府采购中心关于</w:t>
      </w:r>
      <w:r>
        <w:rPr>
          <w:rFonts w:hint="eastAsia" w:ascii="仿宋" w:hAnsi="仿宋" w:eastAsia="仿宋" w:cs="Arial"/>
          <w:color w:val="000000"/>
          <w:szCs w:val="21"/>
          <w:u w:val="single"/>
        </w:rPr>
        <w:t xml:space="preserve"> </w:t>
      </w:r>
      <w:r>
        <w:rPr>
          <w:rFonts w:ascii="仿宋" w:hAnsi="仿宋" w:eastAsia="仿宋" w:cs="Arial"/>
          <w:color w:val="000000"/>
          <w:szCs w:val="21"/>
          <w:u w:val="single"/>
        </w:rPr>
        <w:t xml:space="preserve">  单位    项目公开招标</w:t>
      </w:r>
      <w:r>
        <w:rPr>
          <w:rFonts w:ascii="仿宋" w:hAnsi="仿宋" w:eastAsia="仿宋" w:cs="Arial"/>
          <w:color w:val="000000"/>
          <w:szCs w:val="21"/>
        </w:rPr>
        <w:t>的结果，签署本合同。</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一、服务内容</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二、合同金额</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本合同金额为（大写）：_________元（￥______元）人民币。</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三、技术资料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乙方应按招标文件规定的时间向甲方提供有关技术资料。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四、知识产权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乙方应保证提供服务过程中不会侵犯任何第三方的知识产权。</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五</w:t>
      </w:r>
      <w:r>
        <w:rPr>
          <w:rFonts w:ascii="仿宋" w:hAnsi="仿宋" w:eastAsia="仿宋" w:cs="Arial"/>
          <w:b/>
          <w:color w:val="000000"/>
          <w:szCs w:val="21"/>
        </w:rPr>
        <w:t>、履约保证金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乙方交纳人民币△元作为本合同的履约保证金。</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六、转包或分包</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.本合同范围的服务，应由</w:t>
      </w:r>
      <w:r>
        <w:rPr>
          <w:rFonts w:ascii="仿宋" w:hAnsi="仿宋" w:eastAsia="仿宋" w:cs="Arial"/>
          <w:color w:val="000000"/>
          <w:szCs w:val="21"/>
        </w:rPr>
        <w:t>乙</w:t>
      </w:r>
      <w:r>
        <w:rPr>
          <w:rFonts w:hint="eastAsia" w:ascii="仿宋" w:hAnsi="仿宋" w:eastAsia="仿宋" w:cs="Arial"/>
          <w:color w:val="000000"/>
          <w:szCs w:val="21"/>
        </w:rPr>
        <w:t>方直接供应，不得转让他人供应；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w:t>
      </w:r>
      <w:r>
        <w:rPr>
          <w:rFonts w:hint="eastAsia" w:ascii="仿宋" w:hAnsi="仿宋" w:eastAsia="仿宋" w:cs="Arial"/>
          <w:color w:val="000000"/>
          <w:szCs w:val="21"/>
        </w:rPr>
        <w:t>除非得到甲方的书面同意，</w:t>
      </w:r>
      <w:r>
        <w:rPr>
          <w:rFonts w:ascii="仿宋" w:hAnsi="仿宋" w:eastAsia="仿宋" w:cs="Arial"/>
          <w:color w:val="000000"/>
          <w:szCs w:val="21"/>
        </w:rPr>
        <w:t>乙</w:t>
      </w:r>
      <w:r>
        <w:rPr>
          <w:rFonts w:hint="eastAsia" w:ascii="仿宋" w:hAnsi="仿宋" w:eastAsia="仿宋" w:cs="Arial"/>
          <w:color w:val="000000"/>
          <w:szCs w:val="21"/>
        </w:rPr>
        <w:t>方不得将本合同范围的服务全部或部分分包给他人供应；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.如有转让和未经甲方同意的分包行为，甲方有权解除合同，没收履约保证金并追究乙方的违约责任。</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七</w:t>
      </w:r>
      <w:r>
        <w:rPr>
          <w:rFonts w:ascii="仿宋" w:hAnsi="仿宋" w:eastAsia="仿宋" w:cs="Arial"/>
          <w:b/>
          <w:color w:val="000000"/>
          <w:szCs w:val="21"/>
        </w:rPr>
        <w:t>、服务质量保证期和服务质量保证金(选用)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服务质量保证期</w:t>
      </w:r>
      <w:r>
        <w:rPr>
          <w:rFonts w:ascii="仿宋" w:hAnsi="仿宋" w:eastAsia="仿宋" w:cs="Arial"/>
          <w:color w:val="000000"/>
          <w:szCs w:val="21"/>
          <w:u w:val="single"/>
        </w:rPr>
        <w:t xml:space="preserve">      </w:t>
      </w:r>
      <w:r>
        <w:rPr>
          <w:rFonts w:ascii="仿宋" w:hAnsi="仿宋" w:eastAsia="仿宋" w:cs="Arial"/>
          <w:color w:val="000000"/>
          <w:szCs w:val="21"/>
        </w:rPr>
        <w:t>年。（自验收合格之日起计）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服务质量保证金</w:t>
      </w:r>
      <w:r>
        <w:rPr>
          <w:rFonts w:ascii="仿宋" w:hAnsi="仿宋" w:eastAsia="仿宋" w:cs="Arial"/>
          <w:color w:val="000000"/>
          <w:szCs w:val="21"/>
          <w:u w:val="single"/>
        </w:rPr>
        <w:t xml:space="preserve">            </w:t>
      </w:r>
      <w:r>
        <w:rPr>
          <w:rFonts w:ascii="仿宋" w:hAnsi="仿宋" w:eastAsia="仿宋" w:cs="Arial"/>
          <w:color w:val="000000"/>
          <w:szCs w:val="21"/>
        </w:rPr>
        <w:t>元。（履约保证金在中标投标人按合同约定验收合格后自行转为质保金）</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八</w:t>
      </w:r>
      <w:r>
        <w:rPr>
          <w:rFonts w:ascii="仿宋" w:hAnsi="仿宋" w:eastAsia="仿宋" w:cs="Arial"/>
          <w:b/>
          <w:color w:val="000000"/>
          <w:szCs w:val="21"/>
        </w:rPr>
        <w:t>、合同履行时间、履行方式及履行地点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履行时间：</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履行方式：</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履行地点：</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九</w:t>
      </w:r>
      <w:r>
        <w:rPr>
          <w:rFonts w:ascii="仿宋" w:hAnsi="仿宋" w:eastAsia="仿宋" w:cs="Arial"/>
          <w:b/>
          <w:color w:val="000000"/>
          <w:szCs w:val="21"/>
        </w:rPr>
        <w:t>、款项支付</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付款方式：</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十、税费</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本合同执行中相关的一切税费均由</w:t>
      </w:r>
      <w:r>
        <w:rPr>
          <w:rFonts w:ascii="仿宋" w:hAnsi="仿宋" w:eastAsia="仿宋" w:cs="Arial"/>
          <w:color w:val="000000"/>
          <w:szCs w:val="21"/>
        </w:rPr>
        <w:t>乙</w:t>
      </w:r>
      <w:r>
        <w:rPr>
          <w:rFonts w:hint="eastAsia" w:ascii="仿宋" w:hAnsi="仿宋" w:eastAsia="仿宋" w:cs="Arial"/>
          <w:color w:val="000000"/>
          <w:szCs w:val="21"/>
        </w:rPr>
        <w:t>方负担。</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一</w:t>
      </w:r>
      <w:r>
        <w:rPr>
          <w:rFonts w:ascii="仿宋" w:hAnsi="仿宋" w:eastAsia="仿宋" w:cs="Arial"/>
          <w:b/>
          <w:color w:val="000000"/>
          <w:szCs w:val="21"/>
        </w:rPr>
        <w:t>、质量保证及后续服务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乙方应按招标文件规定向甲方提供服务。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乙方提供的服务成果在服务质量保证期内发生故障，乙方应负责免费提供后续服务。对达不到要求者，根据实际情况，经双方协商，可按以下办法处理：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⑴重做：由乙方承担所发生的全部费用。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⑵贬值处理：由甲乙双方合议定价。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⑶解除合同。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如在使用过程中发生问题，乙方在接到甲方通知后在△小时内到达甲方现场。</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在服务质量保证期内，乙方应对出现的质量及安全问题负责处理解决并承担一切费用。</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二</w:t>
      </w:r>
      <w:r>
        <w:rPr>
          <w:rFonts w:ascii="仿宋" w:hAnsi="仿宋" w:eastAsia="仿宋" w:cs="Arial"/>
          <w:b/>
          <w:color w:val="000000"/>
          <w:szCs w:val="21"/>
        </w:rPr>
        <w:t>、违约责任</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甲方无正当理由拒收接受服务的，甲方向乙方偿付合同款项百分之五作为违约金。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甲方无故逾期验收和办理款项支付手续的,甲方应按逾期付款总额每日万分之五向乙方支付违约金。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乙方</w:t>
      </w:r>
      <w:r>
        <w:rPr>
          <w:rFonts w:hint="eastAsia" w:ascii="仿宋" w:hAnsi="仿宋" w:eastAsia="仿宋" w:cs="Arial"/>
          <w:color w:val="000000"/>
          <w:szCs w:val="21"/>
        </w:rPr>
        <w:t>未能如</w:t>
      </w:r>
      <w:r>
        <w:rPr>
          <w:rFonts w:ascii="仿宋" w:hAnsi="仿宋" w:eastAsia="仿宋" w:cs="Arial"/>
          <w:color w:val="000000"/>
          <w:szCs w:val="21"/>
        </w:rPr>
        <w:t>期提供服务的，每日向甲方支付</w:t>
      </w:r>
      <w:r>
        <w:rPr>
          <w:rFonts w:hint="eastAsia" w:ascii="仿宋" w:hAnsi="仿宋" w:eastAsia="仿宋" w:cs="Arial"/>
          <w:color w:val="000000"/>
          <w:szCs w:val="21"/>
        </w:rPr>
        <w:t>合同款项的</w:t>
      </w:r>
      <w:r>
        <w:rPr>
          <w:rFonts w:ascii="仿宋" w:hAnsi="仿宋" w:eastAsia="仿宋" w:cs="Arial"/>
          <w:color w:val="000000"/>
          <w:szCs w:val="21"/>
        </w:rPr>
        <w:t>千分之六</w:t>
      </w:r>
      <w:r>
        <w:rPr>
          <w:rFonts w:hint="eastAsia" w:ascii="仿宋" w:hAnsi="仿宋" w:eastAsia="仿宋" w:cs="Arial"/>
          <w:color w:val="000000"/>
          <w:szCs w:val="21"/>
        </w:rPr>
        <w:t>作为</w:t>
      </w:r>
      <w:r>
        <w:rPr>
          <w:rFonts w:ascii="仿宋" w:hAnsi="仿宋" w:eastAsia="仿宋" w:cs="Arial"/>
          <w:color w:val="000000"/>
          <w:szCs w:val="21"/>
        </w:rPr>
        <w:t>违约金。乙方超过约定日期10个工作日</w:t>
      </w:r>
      <w:r>
        <w:rPr>
          <w:rFonts w:hint="eastAsia" w:ascii="仿宋" w:hAnsi="仿宋" w:eastAsia="仿宋" w:cs="Arial"/>
          <w:color w:val="000000"/>
          <w:szCs w:val="21"/>
        </w:rPr>
        <w:t>仍</w:t>
      </w:r>
      <w:r>
        <w:rPr>
          <w:rFonts w:ascii="仿宋" w:hAnsi="仿宋" w:eastAsia="仿宋" w:cs="Arial"/>
          <w:color w:val="000000"/>
          <w:szCs w:val="21"/>
        </w:rPr>
        <w:t>不能</w:t>
      </w:r>
      <w:r>
        <w:rPr>
          <w:rFonts w:hint="eastAsia" w:ascii="仿宋" w:hAnsi="仿宋" w:eastAsia="仿宋" w:cs="Arial"/>
          <w:color w:val="000000"/>
          <w:szCs w:val="21"/>
        </w:rPr>
        <w:t>提供服务</w:t>
      </w:r>
      <w:r>
        <w:rPr>
          <w:rFonts w:ascii="仿宋" w:hAnsi="仿宋" w:eastAsia="仿宋" w:cs="Arial"/>
          <w:color w:val="000000"/>
          <w:szCs w:val="21"/>
        </w:rPr>
        <w:t>的，甲方可解除本合同。乙方因</w:t>
      </w:r>
      <w:r>
        <w:rPr>
          <w:rFonts w:hint="eastAsia" w:ascii="仿宋" w:hAnsi="仿宋" w:eastAsia="仿宋" w:cs="Arial"/>
          <w:color w:val="000000"/>
          <w:szCs w:val="21"/>
        </w:rPr>
        <w:t>未能如</w:t>
      </w:r>
      <w:r>
        <w:rPr>
          <w:rFonts w:ascii="仿宋" w:hAnsi="仿宋" w:eastAsia="仿宋" w:cs="Arial"/>
          <w:color w:val="000000"/>
          <w:szCs w:val="21"/>
        </w:rPr>
        <w:t xml:space="preserve">期提供服务或因其他违约行为导致甲方解除合同的，乙方应向甲方支付合同总值5%的违约金，如造成甲方损失超过违约金的，超出部分由乙方继续承担赔偿责任。 </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三</w:t>
      </w:r>
      <w:r>
        <w:rPr>
          <w:rFonts w:ascii="仿宋" w:hAnsi="仿宋" w:eastAsia="仿宋" w:cs="Arial"/>
          <w:b/>
          <w:color w:val="000000"/>
          <w:szCs w:val="21"/>
        </w:rPr>
        <w:t>、不可抗力事件处理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在合同有效期内，任何一方因不可抗力事件导致不能履行合同，则合同履行期可延长，其延长期与不可抗力影响期相同。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不可抗力事件发生后，应立即通知对方，并寄送有关权威机构出具的证明。</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不可抗力事件延续120天以上，双方应通过友好协商，确定是否继续履行合同。</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四</w:t>
      </w:r>
      <w:r>
        <w:rPr>
          <w:rFonts w:ascii="仿宋" w:hAnsi="仿宋" w:eastAsia="仿宋" w:cs="Arial"/>
          <w:b/>
          <w:color w:val="000000"/>
          <w:szCs w:val="21"/>
        </w:rPr>
        <w:t>、诉讼</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双方在执行合同中所发生的一切争议，应通过协商解决。如协商不成，可向</w:t>
      </w:r>
      <w:r>
        <w:rPr>
          <w:rFonts w:hint="eastAsia" w:ascii="仿宋" w:hAnsi="仿宋" w:eastAsia="仿宋" w:cs="Arial"/>
          <w:color w:val="000000"/>
          <w:szCs w:val="21"/>
        </w:rPr>
        <w:t>甲方所在</w:t>
      </w:r>
      <w:r>
        <w:rPr>
          <w:rFonts w:ascii="仿宋" w:hAnsi="仿宋" w:eastAsia="仿宋" w:cs="Arial"/>
          <w:color w:val="000000"/>
          <w:szCs w:val="21"/>
        </w:rPr>
        <w:t>地法院起诉。</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五</w:t>
      </w:r>
      <w:r>
        <w:rPr>
          <w:rFonts w:ascii="仿宋" w:hAnsi="仿宋" w:eastAsia="仿宋" w:cs="Arial"/>
          <w:b/>
          <w:color w:val="000000"/>
          <w:szCs w:val="21"/>
        </w:rPr>
        <w:t>、合同生效及其它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合同经双方法定代表人或授权代表签字并加盖单位公章后生效。</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合同执行中涉及采购资金和采购内容修改或补充的，须经财政部门审批，并签书面补充协议报政府采购监督管理部门备案，方可作为主合同不可分割的一部分。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本合同未尽事宜，遵照《合同法》有关条文执行。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本合同正本一式两份，具有同等法律效力，甲乙双方各执一份；副本△份，(用途)。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甲方：                       乙方：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地址：                       地址：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法定</w:t>
      </w:r>
      <w:r>
        <w:rPr>
          <w:rFonts w:hint="eastAsia" w:ascii="仿宋" w:hAnsi="仿宋" w:eastAsia="仿宋" w:cs="Arial"/>
          <w:color w:val="000000"/>
          <w:szCs w:val="21"/>
        </w:rPr>
        <w:t>（授权）</w:t>
      </w:r>
      <w:r>
        <w:rPr>
          <w:rFonts w:ascii="仿宋" w:hAnsi="仿宋" w:eastAsia="仿宋" w:cs="Arial"/>
          <w:color w:val="000000"/>
          <w:szCs w:val="21"/>
        </w:rPr>
        <w:t>代表人：         法定</w:t>
      </w:r>
      <w:r>
        <w:rPr>
          <w:rFonts w:hint="eastAsia" w:ascii="仿宋" w:hAnsi="仿宋" w:eastAsia="仿宋" w:cs="Arial"/>
          <w:color w:val="000000"/>
          <w:szCs w:val="21"/>
        </w:rPr>
        <w:t>（授权）</w:t>
      </w:r>
      <w:r>
        <w:rPr>
          <w:rFonts w:ascii="仿宋" w:hAnsi="仿宋" w:eastAsia="仿宋" w:cs="Arial"/>
          <w:color w:val="000000"/>
          <w:szCs w:val="21"/>
        </w:rPr>
        <w:t>代表人：</w:t>
      </w:r>
    </w:p>
    <w:p>
      <w:pPr>
        <w:snapToGrid w:val="0"/>
        <w:spacing w:line="360" w:lineRule="auto"/>
        <w:ind w:firstLine="315" w:firstLineChars="150"/>
        <w:rPr>
          <w:rFonts w:ascii="仿宋" w:hAnsi="仿宋" w:eastAsia="仿宋" w:cs="Arial"/>
          <w:color w:val="000000"/>
          <w:szCs w:val="21"/>
        </w:rPr>
      </w:pPr>
      <w:r>
        <w:rPr>
          <w:rFonts w:ascii="仿宋" w:hAnsi="仿宋" w:eastAsia="仿宋" w:cs="Arial"/>
          <w:color w:val="000000"/>
          <w:szCs w:val="21"/>
        </w:rPr>
        <w:t xml:space="preserve"> 签</w:t>
      </w:r>
      <w:r>
        <w:rPr>
          <w:rFonts w:hint="eastAsia" w:ascii="仿宋" w:hAnsi="仿宋" w:eastAsia="仿宋" w:cs="Arial"/>
          <w:color w:val="000000"/>
          <w:szCs w:val="21"/>
        </w:rPr>
        <w:t>字日期</w:t>
      </w:r>
      <w:r>
        <w:rPr>
          <w:rFonts w:ascii="仿宋" w:hAnsi="仿宋" w:eastAsia="仿宋" w:cs="Arial"/>
          <w:color w:val="000000"/>
          <w:szCs w:val="21"/>
        </w:rPr>
        <w:t xml:space="preserve">：    年  月  日  </w:t>
      </w:r>
      <w:r>
        <w:rPr>
          <w:rFonts w:hint="eastAsia" w:ascii="仿宋" w:hAnsi="仿宋" w:eastAsia="仿宋" w:cs="Arial"/>
          <w:color w:val="000000"/>
          <w:szCs w:val="21"/>
        </w:rPr>
        <w:t xml:space="preserve"> </w:t>
      </w:r>
      <w:r>
        <w:rPr>
          <w:rFonts w:ascii="仿宋" w:hAnsi="仿宋" w:eastAsia="仿宋" w:cs="Arial"/>
          <w:color w:val="000000"/>
          <w:szCs w:val="21"/>
        </w:rPr>
        <w:t xml:space="preserve">    签</w:t>
      </w:r>
      <w:r>
        <w:rPr>
          <w:rFonts w:hint="eastAsia" w:ascii="仿宋" w:hAnsi="仿宋" w:eastAsia="仿宋" w:cs="Arial"/>
          <w:color w:val="000000"/>
          <w:szCs w:val="21"/>
        </w:rPr>
        <w:t>字</w:t>
      </w:r>
      <w:r>
        <w:rPr>
          <w:rFonts w:ascii="仿宋" w:hAnsi="仿宋" w:eastAsia="仿宋" w:cs="Arial"/>
          <w:color w:val="000000"/>
          <w:szCs w:val="21"/>
        </w:rPr>
        <w:t>日期：   年  月  日</w:t>
      </w:r>
    </w:p>
    <w:p>
      <w:pPr>
        <w:snapToGrid w:val="0"/>
        <w:spacing w:line="360" w:lineRule="auto"/>
        <w:ind w:firstLine="420" w:firstLineChars="200"/>
        <w:rPr>
          <w:rFonts w:ascii="仿宋" w:hAnsi="仿宋" w:eastAsia="仿宋" w:cs="Arial"/>
          <w:color w:val="000000"/>
          <w:szCs w:val="21"/>
        </w:rPr>
      </w:pP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合同鉴证方:</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法定（授权）代表人或主要负责人:</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鉴证日期:</w:t>
      </w:r>
    </w:p>
    <w:p>
      <w:pPr>
        <w:pStyle w:val="2"/>
        <w:rPr>
          <w:rFonts w:ascii="仿宋" w:hAnsi="仿宋" w:eastAsia="仿宋" w:cs="Arial"/>
          <w:color w:val="000000"/>
          <w:szCs w:val="21"/>
        </w:rPr>
      </w:pPr>
    </w:p>
    <w:p>
      <w:pPr>
        <w:pStyle w:val="2"/>
        <w:rPr>
          <w:rFonts w:ascii="仿宋" w:hAnsi="仿宋" w:eastAsia="仿宋" w:cs="Arial"/>
          <w:color w:val="000000"/>
          <w:szCs w:val="21"/>
        </w:rPr>
      </w:pPr>
    </w:p>
    <w:p>
      <w:pPr>
        <w:autoSpaceDE w:val="0"/>
        <w:autoSpaceDN w:val="0"/>
        <w:adjustRightInd w:val="0"/>
        <w:spacing w:line="400" w:lineRule="atLeast"/>
        <w:jc w:val="center"/>
        <w:rPr>
          <w:rFonts w:ascii="宋体"/>
          <w:sz w:val="22"/>
        </w:rPr>
      </w:pPr>
      <w:r>
        <w:rPr>
          <w:rFonts w:hint="eastAsia" w:ascii="宋体"/>
          <w:sz w:val="22"/>
        </w:rPr>
        <w:t>（合同签订后采购人或供应商须将合同副本送达金华市公共资源交易中心采购科（地址：金华市双龙南街858号财富大厦4楼）鉴证）</w:t>
      </w:r>
    </w:p>
    <w:p>
      <w:pPr>
        <w:pStyle w:val="2"/>
        <w:rPr>
          <w:rFonts w:ascii="仿宋" w:hAnsi="仿宋" w:eastAsia="仿宋" w:cs="Arial"/>
          <w:color w:val="000000"/>
          <w:szCs w:val="21"/>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420" w:lineRule="exact"/>
        <w:jc w:val="center"/>
        <w:rPr>
          <w:rFonts w:ascii="宋体"/>
          <w:sz w:val="36"/>
          <w:lang w:val="zh-CN"/>
        </w:rPr>
      </w:pPr>
      <w:bookmarkStart w:id="73" w:name="_Toc25524"/>
      <w:r>
        <w:rPr>
          <w:rFonts w:hint="eastAsia" w:ascii="宋体"/>
          <w:sz w:val="36"/>
          <w:lang w:val="zh-CN"/>
        </w:rPr>
        <w:t>第六部分</w:t>
      </w:r>
      <w:r>
        <w:rPr>
          <w:rFonts w:ascii="宋体"/>
          <w:sz w:val="36"/>
          <w:lang w:val="zh-CN"/>
        </w:rPr>
        <w:t xml:space="preserve">    </w:t>
      </w:r>
      <w:r>
        <w:rPr>
          <w:rFonts w:hint="eastAsia" w:ascii="宋体"/>
          <w:sz w:val="36"/>
          <w:lang w:val="zh-CN"/>
        </w:rPr>
        <w:t>附件</w:t>
      </w:r>
      <w:r>
        <w:rPr>
          <w:rFonts w:ascii="宋体"/>
          <w:sz w:val="36"/>
        </w:rPr>
        <w:t>—</w:t>
      </w:r>
      <w:r>
        <w:rPr>
          <w:rFonts w:hint="eastAsia" w:ascii="宋体"/>
          <w:sz w:val="36"/>
          <w:lang w:val="zh-CN"/>
        </w:rPr>
        <w:t>投标文件格式</w:t>
      </w:r>
    </w:p>
    <w:p>
      <w:pPr>
        <w:autoSpaceDE w:val="0"/>
        <w:autoSpaceDN w:val="0"/>
        <w:adjustRightInd w:val="0"/>
        <w:spacing w:beforeLines="100" w:line="460" w:lineRule="atLeast"/>
        <w:jc w:val="center"/>
        <w:rPr>
          <w:rFonts w:ascii="宋体"/>
          <w:sz w:val="36"/>
        </w:rPr>
      </w:pPr>
      <w:r>
        <w:rPr>
          <w:rFonts w:hint="eastAsia" w:ascii="宋体"/>
          <w:sz w:val="36"/>
        </w:rPr>
        <w:t>一、资格文件格式</w:t>
      </w:r>
    </w:p>
    <w:p>
      <w:pPr>
        <w:autoSpaceDE w:val="0"/>
        <w:autoSpaceDN w:val="0"/>
        <w:adjustRightInd w:val="0"/>
        <w:spacing w:afterLines="100" w:line="460" w:lineRule="atLeast"/>
        <w:rPr>
          <w:rFonts w:ascii="宋体" w:hAnsi="Courier New" w:cs="Arial"/>
          <w:sz w:val="22"/>
        </w:rPr>
      </w:pPr>
      <w:r>
        <w:rPr>
          <w:rFonts w:hint="eastAsia" w:ascii="宋体" w:hAnsi="Courier New" w:cs="Arial"/>
          <w:sz w:val="22"/>
        </w:rPr>
        <w:t>附件一</w:t>
      </w:r>
    </w:p>
    <w:p>
      <w:pPr>
        <w:autoSpaceDE w:val="0"/>
        <w:autoSpaceDN w:val="0"/>
        <w:adjustRightInd w:val="0"/>
        <w:spacing w:line="460" w:lineRule="atLeast"/>
        <w:jc w:val="center"/>
        <w:rPr>
          <w:rFonts w:ascii="宋体"/>
          <w:sz w:val="30"/>
          <w:szCs w:val="30"/>
          <w:lang w:val="zh-CN"/>
        </w:rPr>
      </w:pPr>
      <w:r>
        <w:rPr>
          <w:rFonts w:hint="eastAsia" w:ascii="宋体"/>
          <w:sz w:val="30"/>
          <w:szCs w:val="30"/>
          <w:lang w:val="zh-CN"/>
        </w:rPr>
        <w:t>具有履行合同所必需的设备和专业技术能力的承诺函</w:t>
      </w:r>
    </w:p>
    <w:p>
      <w:pPr>
        <w:spacing w:line="460" w:lineRule="exact"/>
        <w:rPr>
          <w:rFonts w:ascii="宋体" w:cs="黑体"/>
          <w:sz w:val="22"/>
          <w:u w:val="single"/>
        </w:rPr>
      </w:pPr>
    </w:p>
    <w:p>
      <w:pPr>
        <w:spacing w:line="460" w:lineRule="exact"/>
        <w:rPr>
          <w:rFonts w:ascii="宋体" w:cs="黑体"/>
          <w:sz w:val="22"/>
          <w:u w:val="single"/>
        </w:rPr>
      </w:pPr>
      <w:r>
        <w:rPr>
          <w:rFonts w:hint="eastAsia" w:ascii="宋体" w:cs="黑体"/>
          <w:sz w:val="22"/>
          <w:u w:val="single"/>
        </w:rPr>
        <w:t>金华市政府采购中心：</w:t>
      </w:r>
    </w:p>
    <w:p>
      <w:pPr>
        <w:widowControl/>
        <w:snapToGrid w:val="0"/>
        <w:spacing w:line="460" w:lineRule="exact"/>
        <w:ind w:firstLine="440" w:firstLineChars="200"/>
        <w:jc w:val="left"/>
        <w:rPr>
          <w:rFonts w:ascii="宋体" w:cs="Courier New"/>
          <w:sz w:val="22"/>
        </w:rPr>
      </w:pPr>
    </w:p>
    <w:p>
      <w:pPr>
        <w:widowControl/>
        <w:snapToGrid w:val="0"/>
        <w:spacing w:line="500" w:lineRule="exact"/>
        <w:ind w:firstLine="440" w:firstLineChars="200"/>
        <w:jc w:val="left"/>
        <w:rPr>
          <w:rFonts w:ascii="宋体" w:cs="Courier New"/>
          <w:sz w:val="22"/>
        </w:rPr>
      </w:pPr>
      <w:r>
        <w:rPr>
          <w:rFonts w:hint="eastAsia" w:ascii="宋体" w:cs="Courier New"/>
          <w:sz w:val="22"/>
        </w:rPr>
        <w:t>我方</w:t>
      </w:r>
      <w:r>
        <w:rPr>
          <w:rFonts w:hint="eastAsia" w:ascii="宋体" w:cs="Courier New"/>
          <w:sz w:val="22"/>
          <w:u w:val="single"/>
        </w:rPr>
        <w:t xml:space="preserve"> （供应商）</w:t>
      </w:r>
      <w:r>
        <w:rPr>
          <w:rFonts w:hint="eastAsia" w:ascii="宋体" w:cs="Courier New"/>
          <w:sz w:val="22"/>
        </w:rPr>
        <w:t>承诺具有履行合同所必需的设备和专业技术能力。如有虚假，采购人可取消我方任何资格（投标/中标/签订合同），我方对此无任何异议。</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40" w:firstLineChars="200"/>
        <w:jc w:val="left"/>
        <w:rPr>
          <w:rFonts w:ascii="宋体" w:cs="Courier New"/>
          <w:sz w:val="22"/>
        </w:rPr>
      </w:pPr>
      <w:r>
        <w:rPr>
          <w:rFonts w:hint="eastAsia" w:ascii="宋体" w:cs="Courier New"/>
          <w:sz w:val="22"/>
        </w:rPr>
        <w:t>特此承诺！</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40" w:firstLineChars="200"/>
        <w:jc w:val="left"/>
        <w:rPr>
          <w:rFonts w:ascii="宋体" w:cs="Courier New"/>
          <w:sz w:val="22"/>
        </w:rPr>
      </w:pPr>
      <w:r>
        <w:rPr>
          <w:rFonts w:hint="eastAsia" w:ascii="宋体" w:cs="Courier New"/>
          <w:sz w:val="22"/>
        </w:rPr>
        <w:t>投标供应商（盖章） ：</w:t>
      </w:r>
    </w:p>
    <w:p>
      <w:pPr>
        <w:widowControl/>
        <w:snapToGrid w:val="0"/>
        <w:spacing w:line="460" w:lineRule="exact"/>
        <w:ind w:firstLine="440" w:firstLineChars="200"/>
        <w:jc w:val="left"/>
        <w:rPr>
          <w:rFonts w:ascii="宋体" w:cs="Courier New"/>
          <w:sz w:val="22"/>
        </w:rPr>
      </w:pPr>
      <w:r>
        <w:rPr>
          <w:rFonts w:hint="eastAsia" w:ascii="宋体" w:cs="Courier New"/>
          <w:sz w:val="22"/>
        </w:rPr>
        <w:t>法定代表人或其授权代表（签字或盖章）：</w:t>
      </w:r>
    </w:p>
    <w:p>
      <w:pPr>
        <w:widowControl/>
        <w:snapToGrid w:val="0"/>
        <w:spacing w:line="460" w:lineRule="exact"/>
        <w:ind w:firstLine="440" w:firstLineChars="200"/>
        <w:jc w:val="left"/>
        <w:rPr>
          <w:rFonts w:ascii="宋体" w:cs="Courier New"/>
          <w:sz w:val="22"/>
        </w:rPr>
      </w:pPr>
      <w:r>
        <w:rPr>
          <w:rFonts w:hint="eastAsia" w:ascii="宋体" w:cs="Courier New"/>
          <w:sz w:val="22"/>
        </w:rPr>
        <w:t>日期：</w:t>
      </w:r>
    </w:p>
    <w:p>
      <w:pPr>
        <w:autoSpaceDE w:val="0"/>
        <w:autoSpaceDN w:val="0"/>
        <w:adjustRightInd w:val="0"/>
        <w:spacing w:afterLines="100" w:line="460" w:lineRule="atLeast"/>
        <w:rPr>
          <w:rFonts w:ascii="宋体" w:hAnsi="Courier New" w:cs="Arial"/>
          <w:sz w:val="22"/>
        </w:rPr>
      </w:pPr>
      <w:r>
        <w:rPr>
          <w:rFonts w:ascii="宋体"/>
          <w:sz w:val="36"/>
        </w:rPr>
        <w:br w:type="page"/>
      </w:r>
      <w:r>
        <w:rPr>
          <w:rFonts w:hint="eastAsia" w:ascii="宋体" w:hAnsi="Courier New" w:cs="Arial"/>
          <w:sz w:val="22"/>
        </w:rPr>
        <w:t>附件二</w:t>
      </w:r>
    </w:p>
    <w:p>
      <w:pPr>
        <w:autoSpaceDE w:val="0"/>
        <w:autoSpaceDN w:val="0"/>
        <w:adjustRightInd w:val="0"/>
        <w:spacing w:line="460" w:lineRule="atLeast"/>
        <w:jc w:val="center"/>
        <w:rPr>
          <w:rFonts w:ascii="宋体"/>
          <w:sz w:val="30"/>
          <w:szCs w:val="30"/>
          <w:lang w:val="zh-CN"/>
        </w:rPr>
      </w:pPr>
      <w:r>
        <w:rPr>
          <w:rFonts w:hint="eastAsia" w:ascii="宋体"/>
          <w:sz w:val="30"/>
          <w:szCs w:val="30"/>
          <w:lang w:val="zh-CN"/>
        </w:rPr>
        <w:t>依法缴纳税收和社会保障资金的承诺函</w:t>
      </w:r>
    </w:p>
    <w:p>
      <w:pPr>
        <w:spacing w:line="460" w:lineRule="exact"/>
        <w:rPr>
          <w:rFonts w:ascii="宋体" w:cs="黑体"/>
          <w:sz w:val="22"/>
          <w:u w:val="single"/>
        </w:rPr>
      </w:pPr>
      <w:r>
        <w:rPr>
          <w:rFonts w:hint="eastAsia" w:ascii="宋体" w:cs="黑体"/>
          <w:sz w:val="22"/>
          <w:u w:val="single"/>
        </w:rPr>
        <w:t>金华市政府采购中心：</w:t>
      </w:r>
    </w:p>
    <w:p>
      <w:pPr>
        <w:spacing w:line="460" w:lineRule="exact"/>
        <w:ind w:firstLine="440" w:firstLineChars="200"/>
        <w:rPr>
          <w:rFonts w:ascii="宋体" w:cs="黑体"/>
          <w:sz w:val="22"/>
        </w:rPr>
      </w:pPr>
    </w:p>
    <w:p>
      <w:pPr>
        <w:spacing w:line="460" w:lineRule="exact"/>
        <w:ind w:firstLine="440" w:firstLineChars="200"/>
        <w:rPr>
          <w:rFonts w:ascii="宋体" w:cs="黑体"/>
          <w:sz w:val="22"/>
        </w:rPr>
      </w:pPr>
      <w:r>
        <w:rPr>
          <w:rFonts w:hint="eastAsia" w:ascii="宋体" w:cs="黑体"/>
          <w:sz w:val="22"/>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ascii="宋体" w:cs="黑体"/>
          <w:sz w:val="22"/>
        </w:rPr>
      </w:pPr>
    </w:p>
    <w:p>
      <w:pPr>
        <w:spacing w:line="460" w:lineRule="exact"/>
        <w:ind w:firstLine="440" w:firstLineChars="200"/>
        <w:rPr>
          <w:rFonts w:ascii="宋体" w:cs="黑体"/>
          <w:sz w:val="22"/>
        </w:rPr>
      </w:pPr>
      <w:r>
        <w:rPr>
          <w:rFonts w:hint="eastAsia" w:ascii="宋体" w:cs="黑体"/>
          <w:sz w:val="22"/>
        </w:rPr>
        <w:t>特此承诺！</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40" w:firstLineChars="200"/>
        <w:jc w:val="left"/>
        <w:rPr>
          <w:rFonts w:ascii="宋体" w:cs="Courier New"/>
          <w:sz w:val="22"/>
        </w:rPr>
      </w:pPr>
      <w:r>
        <w:rPr>
          <w:rFonts w:hint="eastAsia" w:ascii="宋体" w:cs="Courier New"/>
          <w:sz w:val="22"/>
        </w:rPr>
        <w:t>投标供应商（盖章） ：</w:t>
      </w:r>
    </w:p>
    <w:p>
      <w:pPr>
        <w:widowControl/>
        <w:snapToGrid w:val="0"/>
        <w:spacing w:line="460" w:lineRule="exact"/>
        <w:ind w:firstLine="440" w:firstLineChars="200"/>
        <w:jc w:val="left"/>
        <w:rPr>
          <w:rFonts w:ascii="宋体" w:cs="Courier New"/>
          <w:sz w:val="22"/>
        </w:rPr>
      </w:pPr>
      <w:r>
        <w:rPr>
          <w:rFonts w:hint="eastAsia" w:ascii="宋体" w:cs="Courier New"/>
          <w:sz w:val="22"/>
        </w:rPr>
        <w:t>法定代表人或其授权代表（签字或盖章）：</w:t>
      </w:r>
    </w:p>
    <w:p>
      <w:pPr>
        <w:widowControl/>
        <w:snapToGrid w:val="0"/>
        <w:spacing w:line="460" w:lineRule="exact"/>
        <w:ind w:firstLine="440" w:firstLineChars="200"/>
        <w:jc w:val="left"/>
        <w:rPr>
          <w:rFonts w:ascii="宋体" w:cs="Courier New"/>
          <w:sz w:val="22"/>
        </w:rPr>
      </w:pPr>
      <w:r>
        <w:rPr>
          <w:rFonts w:hint="eastAsia" w:ascii="宋体" w:cs="Courier New"/>
          <w:sz w:val="22"/>
        </w:rPr>
        <w:t xml:space="preserve">日期： </w:t>
      </w:r>
    </w:p>
    <w:p>
      <w:pPr>
        <w:widowControl/>
        <w:snapToGrid w:val="0"/>
        <w:spacing w:line="460" w:lineRule="exact"/>
        <w:ind w:firstLine="440" w:firstLineChars="200"/>
        <w:jc w:val="left"/>
        <w:rPr>
          <w:rFonts w:ascii="宋体" w:cs="Courier New"/>
          <w:sz w:val="22"/>
        </w:rPr>
      </w:pPr>
    </w:p>
    <w:p>
      <w:pPr>
        <w:autoSpaceDE w:val="0"/>
        <w:autoSpaceDN w:val="0"/>
        <w:adjustRightInd w:val="0"/>
        <w:spacing w:afterLines="100" w:line="460" w:lineRule="atLeast"/>
        <w:rPr>
          <w:rFonts w:ascii="宋体" w:hAnsi="Courier New" w:cs="Arial"/>
          <w:sz w:val="22"/>
        </w:rPr>
      </w:pPr>
      <w:bookmarkStart w:id="74" w:name="_Toc6606"/>
      <w:bookmarkStart w:id="75" w:name="_Toc33194406"/>
      <w:bookmarkStart w:id="76" w:name="_Toc27119255"/>
      <w:bookmarkStart w:id="77" w:name="_Toc28957"/>
      <w:bookmarkStart w:id="78" w:name="_Toc11360"/>
      <w:bookmarkStart w:id="79" w:name="_Toc31544"/>
      <w:bookmarkStart w:id="80" w:name="_Toc31784"/>
      <w:bookmarkStart w:id="81" w:name="_Toc14589"/>
      <w:bookmarkStart w:id="82" w:name="_Toc13669"/>
      <w:bookmarkStart w:id="83" w:name="_Toc10630"/>
      <w:bookmarkStart w:id="84" w:name="_Toc18304"/>
      <w:bookmarkStart w:id="85" w:name="_Toc14988"/>
      <w:r>
        <w:rPr>
          <w:rFonts w:ascii="宋体"/>
          <w:sz w:val="30"/>
          <w:lang w:val="zh-CN"/>
        </w:rPr>
        <w:br w:type="page"/>
      </w:r>
      <w:r>
        <w:rPr>
          <w:rFonts w:hint="eastAsia" w:ascii="宋体" w:hAnsi="Courier New" w:cs="Arial"/>
          <w:sz w:val="22"/>
        </w:rPr>
        <w:t>附件三</w:t>
      </w:r>
    </w:p>
    <w:p>
      <w:pPr>
        <w:autoSpaceDE w:val="0"/>
        <w:autoSpaceDN w:val="0"/>
        <w:adjustRightInd w:val="0"/>
        <w:spacing w:line="460" w:lineRule="atLeast"/>
        <w:jc w:val="center"/>
        <w:rPr>
          <w:rFonts w:ascii="宋体"/>
          <w:sz w:val="30"/>
          <w:szCs w:val="30"/>
          <w:lang w:val="zh-CN"/>
        </w:rPr>
      </w:pPr>
      <w:r>
        <w:rPr>
          <w:rFonts w:hint="eastAsia" w:ascii="宋体"/>
          <w:sz w:val="30"/>
          <w:szCs w:val="30"/>
          <w:lang w:val="zh-CN"/>
        </w:rPr>
        <w:t>参加政府采购活动前3年内在经营活动中没有重大违法记录的声明函</w:t>
      </w:r>
      <w:bookmarkEnd w:id="74"/>
      <w:bookmarkEnd w:id="75"/>
      <w:bookmarkEnd w:id="76"/>
      <w:bookmarkEnd w:id="77"/>
      <w:bookmarkEnd w:id="78"/>
      <w:bookmarkEnd w:id="79"/>
      <w:bookmarkEnd w:id="80"/>
      <w:bookmarkEnd w:id="81"/>
      <w:bookmarkEnd w:id="82"/>
      <w:bookmarkEnd w:id="83"/>
      <w:bookmarkEnd w:id="84"/>
      <w:bookmarkEnd w:id="85"/>
    </w:p>
    <w:p>
      <w:pPr>
        <w:spacing w:line="460" w:lineRule="exact"/>
        <w:rPr>
          <w:rFonts w:ascii="宋体" w:cs="黑体"/>
          <w:sz w:val="22"/>
          <w:u w:val="single"/>
        </w:rPr>
      </w:pPr>
    </w:p>
    <w:p>
      <w:pPr>
        <w:spacing w:line="460" w:lineRule="exact"/>
        <w:rPr>
          <w:rFonts w:ascii="宋体" w:cs="黑体"/>
          <w:sz w:val="22"/>
          <w:u w:val="single"/>
        </w:rPr>
      </w:pPr>
      <w:r>
        <w:rPr>
          <w:rFonts w:hint="eastAsia" w:ascii="宋体" w:cs="黑体"/>
          <w:sz w:val="22"/>
          <w:u w:val="single"/>
        </w:rPr>
        <w:t>金华市政府采购中心：</w:t>
      </w:r>
    </w:p>
    <w:p>
      <w:pPr>
        <w:widowControl/>
        <w:snapToGrid w:val="0"/>
        <w:spacing w:line="460" w:lineRule="exact"/>
        <w:ind w:firstLine="440" w:firstLineChars="200"/>
        <w:jc w:val="left"/>
        <w:rPr>
          <w:rFonts w:ascii="宋体" w:cs="Courier New"/>
          <w:sz w:val="22"/>
        </w:rPr>
      </w:pPr>
      <w:r>
        <w:rPr>
          <w:rFonts w:hint="eastAsia" w:ascii="宋体" w:cs="Courier New"/>
          <w:sz w:val="22"/>
        </w:rPr>
        <w:t>我方</w:t>
      </w:r>
      <w:r>
        <w:rPr>
          <w:rFonts w:hint="eastAsia" w:ascii="宋体" w:cs="Courier New"/>
          <w:sz w:val="22"/>
          <w:u w:val="single"/>
        </w:rPr>
        <w:t xml:space="preserve"> （供应商）</w:t>
      </w:r>
      <w:r>
        <w:rPr>
          <w:rFonts w:hint="eastAsia" w:ascii="宋体" w:cs="Courier New"/>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40" w:firstLineChars="200"/>
        <w:jc w:val="left"/>
        <w:rPr>
          <w:rFonts w:ascii="宋体" w:cs="Courier New"/>
          <w:sz w:val="22"/>
        </w:rPr>
      </w:pPr>
      <w:r>
        <w:rPr>
          <w:rFonts w:hint="eastAsia" w:ascii="宋体" w:cs="Courier New"/>
          <w:sz w:val="22"/>
        </w:rPr>
        <w:t>特此承诺！</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40" w:firstLineChars="200"/>
        <w:jc w:val="left"/>
        <w:rPr>
          <w:rFonts w:ascii="宋体" w:cs="Courier New"/>
          <w:sz w:val="22"/>
        </w:rPr>
      </w:pPr>
      <w:r>
        <w:rPr>
          <w:rFonts w:hint="eastAsia" w:ascii="宋体" w:cs="Courier New"/>
          <w:sz w:val="22"/>
        </w:rPr>
        <w:t>投标供应商（盖章） ：</w:t>
      </w:r>
    </w:p>
    <w:p>
      <w:pPr>
        <w:widowControl/>
        <w:snapToGrid w:val="0"/>
        <w:spacing w:line="460" w:lineRule="exact"/>
        <w:ind w:firstLine="440" w:firstLineChars="200"/>
        <w:jc w:val="left"/>
        <w:rPr>
          <w:rFonts w:ascii="宋体" w:cs="Courier New"/>
          <w:sz w:val="22"/>
        </w:rPr>
      </w:pPr>
      <w:r>
        <w:rPr>
          <w:rFonts w:hint="eastAsia" w:ascii="宋体" w:cs="Courier New"/>
          <w:sz w:val="22"/>
        </w:rPr>
        <w:t>法定代表人或其授权代表（签字或盖章）：</w:t>
      </w:r>
    </w:p>
    <w:p>
      <w:pPr>
        <w:widowControl/>
        <w:snapToGrid w:val="0"/>
        <w:spacing w:line="460" w:lineRule="exact"/>
        <w:ind w:firstLine="440" w:firstLineChars="200"/>
        <w:jc w:val="left"/>
        <w:rPr>
          <w:rFonts w:ascii="宋体" w:cs="Courier New"/>
          <w:sz w:val="22"/>
        </w:rPr>
      </w:pPr>
      <w:r>
        <w:rPr>
          <w:rFonts w:hint="eastAsia" w:ascii="宋体" w:cs="Courier New"/>
          <w:sz w:val="22"/>
        </w:rPr>
        <w:t xml:space="preserve">日期：  </w:t>
      </w:r>
    </w:p>
    <w:p>
      <w:pPr>
        <w:autoSpaceDE w:val="0"/>
        <w:autoSpaceDN w:val="0"/>
        <w:adjustRightInd w:val="0"/>
        <w:spacing w:line="460" w:lineRule="atLeast"/>
        <w:rPr>
          <w:rFonts w:ascii="宋体"/>
          <w:sz w:val="36"/>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pStyle w:val="20"/>
      </w:pPr>
    </w:p>
    <w:p>
      <w:pPr>
        <w:autoSpaceDE w:val="0"/>
        <w:autoSpaceDN w:val="0"/>
        <w:adjustRightInd w:val="0"/>
        <w:spacing w:afterLines="100" w:line="460" w:lineRule="atLeast"/>
        <w:rPr>
          <w:rFonts w:ascii="宋体" w:hAnsi="Courier New" w:cs="Arial"/>
          <w:sz w:val="22"/>
        </w:rPr>
      </w:pPr>
    </w:p>
    <w:p>
      <w:pPr>
        <w:autoSpaceDE w:val="0"/>
        <w:autoSpaceDN w:val="0"/>
        <w:adjustRightInd w:val="0"/>
        <w:spacing w:afterLines="100" w:line="460" w:lineRule="atLeast"/>
        <w:rPr>
          <w:rFonts w:ascii="宋体" w:hAnsi="Courier New" w:cs="Arial"/>
          <w:sz w:val="22"/>
        </w:rPr>
      </w:pPr>
      <w:r>
        <w:rPr>
          <w:rFonts w:hint="eastAsia" w:ascii="宋体" w:hAnsi="Courier New" w:cs="Arial"/>
          <w:sz w:val="22"/>
        </w:rPr>
        <w:t>附件四</w:t>
      </w:r>
    </w:p>
    <w:p>
      <w:pPr>
        <w:tabs>
          <w:tab w:val="left" w:pos="1080"/>
        </w:tabs>
        <w:autoSpaceDE w:val="0"/>
        <w:autoSpaceDN w:val="0"/>
        <w:adjustRightInd w:val="0"/>
        <w:spacing w:line="460" w:lineRule="atLeast"/>
        <w:jc w:val="center"/>
        <w:rPr>
          <w:rFonts w:ascii="宋体" w:cs="仿宋_GB2312"/>
          <w:sz w:val="30"/>
          <w:szCs w:val="30"/>
          <w:lang w:val="zh-CN"/>
        </w:rPr>
      </w:pPr>
      <w:r>
        <w:rPr>
          <w:rFonts w:hint="eastAsia" w:ascii="宋体" w:cs="仿宋_GB2312"/>
          <w:sz w:val="30"/>
          <w:szCs w:val="30"/>
          <w:lang w:val="zh-CN"/>
        </w:rPr>
        <w:t>投标供应商参与政府采购活动投标资格声明函</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20" w:type="dxa"/>
          </w:tcPr>
          <w:p>
            <w:pPr>
              <w:pStyle w:val="13"/>
              <w:adjustRightInd w:val="0"/>
              <w:snapToGrid w:val="0"/>
              <w:spacing w:before="120" w:after="120" w:line="440" w:lineRule="exact"/>
              <w:rPr>
                <w:rFonts w:hAnsi="宋体"/>
                <w:sz w:val="22"/>
                <w:szCs w:val="22"/>
              </w:rPr>
            </w:pPr>
            <w:r>
              <w:rPr>
                <w:rFonts w:hAnsi="宋体"/>
                <w:sz w:val="22"/>
                <w:szCs w:val="22"/>
              </w:rPr>
              <w:t>项目名称</w:t>
            </w:r>
          </w:p>
        </w:tc>
        <w:tc>
          <w:tcPr>
            <w:tcW w:w="7992" w:type="dxa"/>
          </w:tcPr>
          <w:p>
            <w:pPr>
              <w:pStyle w:val="13"/>
              <w:adjustRightInd w:val="0"/>
              <w:snapToGrid w:val="0"/>
              <w:spacing w:before="120" w:after="120" w:line="440" w:lineRule="exact"/>
              <w:ind w:left="422" w:firstLine="331"/>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tcPr>
          <w:p>
            <w:pPr>
              <w:pStyle w:val="13"/>
              <w:adjustRightInd w:val="0"/>
              <w:snapToGrid w:val="0"/>
              <w:spacing w:before="120" w:after="120" w:line="440" w:lineRule="exact"/>
              <w:rPr>
                <w:rFonts w:hAnsi="宋体"/>
                <w:sz w:val="22"/>
                <w:szCs w:val="22"/>
              </w:rPr>
            </w:pPr>
            <w:r>
              <w:rPr>
                <w:rFonts w:hAnsi="宋体"/>
                <w:sz w:val="22"/>
                <w:szCs w:val="22"/>
              </w:rPr>
              <w:t>招标编号</w:t>
            </w:r>
          </w:p>
        </w:tc>
        <w:tc>
          <w:tcPr>
            <w:tcW w:w="7992" w:type="dxa"/>
          </w:tcPr>
          <w:p>
            <w:pPr>
              <w:pStyle w:val="13"/>
              <w:adjustRightInd w:val="0"/>
              <w:snapToGrid w:val="0"/>
              <w:spacing w:before="120" w:after="120" w:line="440" w:lineRule="exact"/>
              <w:ind w:left="422" w:firstLine="361"/>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13"/>
              <w:adjustRightInd w:val="0"/>
              <w:snapToGrid w:val="0"/>
              <w:spacing w:before="120" w:after="120" w:line="440" w:lineRule="exact"/>
              <w:rPr>
                <w:rFonts w:hAnsi="宋体"/>
                <w:sz w:val="22"/>
                <w:szCs w:val="22"/>
              </w:rPr>
            </w:pPr>
            <w:r>
              <w:rPr>
                <w:rFonts w:hAnsi="宋体"/>
                <w:sz w:val="22"/>
                <w:szCs w:val="22"/>
              </w:rPr>
              <w:t>时    间</w:t>
            </w:r>
          </w:p>
        </w:tc>
        <w:tc>
          <w:tcPr>
            <w:tcW w:w="7992" w:type="dxa"/>
          </w:tcPr>
          <w:p>
            <w:pPr>
              <w:pStyle w:val="13"/>
              <w:adjustRightInd w:val="0"/>
              <w:snapToGrid w:val="0"/>
              <w:spacing w:before="120" w:after="120" w:line="440" w:lineRule="exact"/>
              <w:rPr>
                <w:rFonts w:hAnsi="宋体"/>
                <w:sz w:val="22"/>
                <w:szCs w:val="22"/>
              </w:rPr>
            </w:pPr>
            <w:r>
              <w:rPr>
                <w:rFonts w:hAnsi="宋体" w:cs="宋体"/>
                <w:sz w:val="22"/>
                <w:szCs w:val="22"/>
              </w:rPr>
              <w:t>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pPr>
              <w:pStyle w:val="13"/>
              <w:adjustRightInd w:val="0"/>
              <w:snapToGrid w:val="0"/>
              <w:spacing w:before="120" w:after="120"/>
              <w:ind w:firstLine="450"/>
              <w:rPr>
                <w:rFonts w:hAnsi="宋体"/>
                <w:sz w:val="20"/>
              </w:rPr>
            </w:pPr>
            <w:r>
              <w:rPr>
                <w:rFonts w:hAnsi="宋体"/>
                <w:sz w:val="20"/>
              </w:rPr>
              <w:t>1、根据政府采购法第二十二条规定，我单位满足以下条件，并已经在投标文件中提供了相应的证明材料：</w:t>
            </w:r>
          </w:p>
          <w:p>
            <w:pPr>
              <w:pStyle w:val="13"/>
              <w:adjustRightInd w:val="0"/>
              <w:snapToGrid w:val="0"/>
              <w:spacing w:before="120" w:after="120"/>
              <w:ind w:firstLine="450"/>
              <w:rPr>
                <w:rFonts w:hAnsi="宋体"/>
                <w:sz w:val="20"/>
              </w:rPr>
            </w:pPr>
            <w:r>
              <w:rPr>
                <w:rFonts w:hAnsi="宋体"/>
                <w:sz w:val="20"/>
              </w:rPr>
              <w:t xml:space="preserve">（一）具有独立承担民事责任的能力； </w:t>
            </w:r>
            <w:r>
              <w:rPr>
                <w:rFonts w:hAnsi="宋体"/>
                <w:sz w:val="20"/>
              </w:rPr>
              <w:br w:type="textWrapping"/>
            </w:r>
            <w:r>
              <w:rPr>
                <w:rFonts w:hAnsi="宋体"/>
                <w:sz w:val="20"/>
              </w:rPr>
              <w:t xml:space="preserve">　　（二）具有良好的商业信誉和健全的财务会计制度； </w:t>
            </w:r>
            <w:r>
              <w:rPr>
                <w:rFonts w:hAnsi="宋体"/>
                <w:sz w:val="20"/>
              </w:rPr>
              <w:br w:type="textWrapping"/>
            </w:r>
            <w:r>
              <w:rPr>
                <w:rFonts w:hAnsi="宋体"/>
                <w:sz w:val="20"/>
              </w:rPr>
              <w:t xml:space="preserve">　　（三）具有履行合同所必需的设备和专业技术能力； </w:t>
            </w:r>
            <w:r>
              <w:rPr>
                <w:rFonts w:hAnsi="宋体"/>
                <w:sz w:val="20"/>
              </w:rPr>
              <w:br w:type="textWrapping"/>
            </w:r>
            <w:r>
              <w:rPr>
                <w:rFonts w:hAnsi="宋体"/>
                <w:sz w:val="20"/>
              </w:rPr>
              <w:t xml:space="preserve">　　（四）有依法缴纳税收和社会保障资金的良好记录； </w:t>
            </w:r>
            <w:r>
              <w:rPr>
                <w:rFonts w:hAnsi="宋体"/>
                <w:sz w:val="20"/>
              </w:rPr>
              <w:br w:type="textWrapping"/>
            </w:r>
            <w:r>
              <w:rPr>
                <w:rFonts w:hAnsi="宋体"/>
                <w:sz w:val="20"/>
              </w:rPr>
              <w:t xml:space="preserve">　　（五）参加政府采购活动前三年内，在经营活动中没有重大违法记录； </w:t>
            </w:r>
            <w:r>
              <w:rPr>
                <w:rFonts w:hAnsi="宋体"/>
                <w:sz w:val="20"/>
              </w:rPr>
              <w:br w:type="textWrapping"/>
            </w:r>
            <w:r>
              <w:rPr>
                <w:rFonts w:hAnsi="宋体"/>
                <w:sz w:val="20"/>
              </w:rPr>
              <w:t xml:space="preserve">　　（六）法律、行政法规规定的其他条件。 </w:t>
            </w:r>
          </w:p>
          <w:p>
            <w:pPr>
              <w:pStyle w:val="13"/>
              <w:adjustRightInd w:val="0"/>
              <w:snapToGrid w:val="0"/>
              <w:spacing w:before="120" w:after="120"/>
              <w:ind w:firstLine="450"/>
              <w:rPr>
                <w:rFonts w:hAnsi="宋体"/>
                <w:sz w:val="20"/>
              </w:rPr>
            </w:pPr>
            <w:r>
              <w:rPr>
                <w:rFonts w:hAnsi="宋体"/>
                <w:sz w:val="20"/>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Ansi="宋体"/>
                <w:sz w:val="20"/>
                <w:u w:val="single"/>
              </w:rPr>
              <w:t>□存在/□不存在</w:t>
            </w:r>
            <w:r>
              <w:rPr>
                <w:rFonts w:hAnsi="宋体"/>
                <w:sz w:val="20"/>
              </w:rPr>
              <w:t>上述文件规定依法限制参与政府采购的情况。（说明：在□上打√</w:t>
            </w:r>
            <w:r>
              <w:rPr>
                <w:rFonts w:hAnsi="宋体" w:cs="MS Mincho"/>
                <w:sz w:val="20"/>
              </w:rPr>
              <w:t>。</w:t>
            </w:r>
            <w:r>
              <w:rPr>
                <w:rFonts w:hAnsi="宋体"/>
                <w:sz w:val="20"/>
              </w:rPr>
              <w:t>）</w:t>
            </w:r>
          </w:p>
          <w:p>
            <w:pPr>
              <w:tabs>
                <w:tab w:val="center" w:pos="4483"/>
              </w:tabs>
              <w:adjustRightInd w:val="0"/>
              <w:spacing w:line="400" w:lineRule="exact"/>
              <w:ind w:firstLine="400"/>
              <w:rPr>
                <w:rFonts w:ascii="宋体"/>
                <w:sz w:val="20"/>
              </w:rPr>
            </w:pPr>
            <w:r>
              <w:rPr>
                <w:rFonts w:ascii="宋体"/>
                <w:sz w:val="20"/>
              </w:rPr>
              <w:t>3、我单位□没有被限制参加政府采购活动/□在参加政府采购活动前3年内因违法经营被禁止在一定期限内参加政府采购活动，但期限届满，已可以参加政府采购活动。（说明：在□上打√</w:t>
            </w:r>
            <w:r>
              <w:rPr>
                <w:rFonts w:ascii="宋体" w:cs="MS Mincho"/>
                <w:sz w:val="20"/>
              </w:rPr>
              <w:t>。</w:t>
            </w:r>
            <w:r>
              <w:rPr>
                <w:rFonts w:ascii="宋体"/>
                <w:sz w:val="20"/>
              </w:rPr>
              <w:t>）</w:t>
            </w:r>
          </w:p>
          <w:p>
            <w:pPr>
              <w:tabs>
                <w:tab w:val="center" w:pos="4483"/>
              </w:tabs>
              <w:adjustRightInd w:val="0"/>
              <w:spacing w:line="400" w:lineRule="exact"/>
              <w:ind w:firstLine="400"/>
              <w:rPr>
                <w:rFonts w:ascii="宋体" w:cs="宋体"/>
                <w:sz w:val="20"/>
                <w:u w:val="single"/>
              </w:rPr>
            </w:pPr>
            <w:r>
              <w:rPr>
                <w:rFonts w:hint="eastAsia" w:ascii="宋体" w:cs="宋体"/>
                <w:sz w:val="20"/>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cs="宋体"/>
                <w:sz w:val="20"/>
                <w:u w:val="single"/>
              </w:rPr>
              <w:t xml:space="preserve">                    </w:t>
            </w:r>
          </w:p>
          <w:p>
            <w:pPr>
              <w:tabs>
                <w:tab w:val="center" w:pos="4483"/>
              </w:tabs>
              <w:adjustRightInd w:val="0"/>
              <w:spacing w:line="400" w:lineRule="exact"/>
              <w:ind w:firstLine="400"/>
              <w:rPr>
                <w:rFonts w:ascii="宋体" w:cs="宋体"/>
                <w:sz w:val="20"/>
              </w:rPr>
            </w:pPr>
            <w:r>
              <w:rPr>
                <w:rFonts w:hint="eastAsia" w:ascii="宋体" w:cs="宋体"/>
                <w:sz w:val="20"/>
              </w:rPr>
              <w:t>5、我单位符合本项目特定资格条件：</w:t>
            </w:r>
            <w:r>
              <w:rPr>
                <w:rFonts w:hint="eastAsia" w:ascii="宋体" w:cs="宋体"/>
                <w:sz w:val="20"/>
                <w:u w:val="single"/>
              </w:rPr>
              <w:t xml:space="preserve">               </w:t>
            </w:r>
            <w:r>
              <w:rPr>
                <w:rFonts w:hint="eastAsia" w:ascii="宋体" w:cs="宋体"/>
                <w:sz w:val="20"/>
              </w:rPr>
              <w:t>的要求，并在投标文件中提供了相应的证明材料（招标文件没有要求特定资格条件的，本条款空格处可以空白）</w:t>
            </w:r>
          </w:p>
          <w:p>
            <w:pPr>
              <w:tabs>
                <w:tab w:val="center" w:pos="4483"/>
              </w:tabs>
              <w:adjustRightInd w:val="0"/>
              <w:spacing w:line="400" w:lineRule="exact"/>
              <w:ind w:firstLine="400" w:firstLineChars="200"/>
              <w:rPr>
                <w:rFonts w:ascii="宋体"/>
                <w:bCs/>
                <w:sz w:val="20"/>
              </w:rPr>
            </w:pPr>
            <w:r>
              <w:rPr>
                <w:rFonts w:hint="eastAsia" w:ascii="宋体" w:cs="宋体"/>
                <w:sz w:val="20"/>
              </w:rPr>
              <w:t>6、本公司所提交的本声明和陈述均是真实的、准确的。若与真实情况不符，本公司愿意承担由此而产生的一切后果。我方提供了全部能提供的资料和数据，我们同意遵照贵方要求出示有关证明文件。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pPr>
              <w:pStyle w:val="13"/>
              <w:adjustRightInd w:val="0"/>
              <w:snapToGrid w:val="0"/>
              <w:spacing w:before="120" w:after="120" w:line="440" w:lineRule="exact"/>
              <w:rPr>
                <w:rFonts w:hAnsi="宋体"/>
                <w:sz w:val="22"/>
                <w:szCs w:val="22"/>
              </w:rPr>
            </w:pPr>
            <w:r>
              <w:rPr>
                <w:rFonts w:hAnsi="宋体"/>
                <w:sz w:val="22"/>
                <w:szCs w:val="22"/>
              </w:rPr>
              <w:t>投标供应商（盖章）：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pPr>
              <w:pStyle w:val="13"/>
              <w:adjustRightInd w:val="0"/>
              <w:snapToGrid w:val="0"/>
              <w:spacing w:before="120" w:after="120" w:line="440" w:lineRule="exact"/>
              <w:rPr>
                <w:rFonts w:hAnsi="宋体"/>
                <w:sz w:val="22"/>
                <w:szCs w:val="22"/>
              </w:rPr>
            </w:pPr>
            <w:r>
              <w:rPr>
                <w:rFonts w:hAnsi="宋体"/>
                <w:sz w:val="22"/>
                <w:szCs w:val="22"/>
              </w:rPr>
              <w:t>法定代表人或</w:t>
            </w:r>
            <w:r>
              <w:rPr>
                <w:rFonts w:hint="eastAsia" w:cs="Courier New"/>
                <w:sz w:val="22"/>
                <w:szCs w:val="22"/>
              </w:rPr>
              <w:t>其</w:t>
            </w:r>
            <w:r>
              <w:rPr>
                <w:rFonts w:hAnsi="宋体"/>
                <w:sz w:val="22"/>
                <w:szCs w:val="22"/>
              </w:rPr>
              <w:t>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pPr>
              <w:pStyle w:val="13"/>
              <w:adjustRightInd w:val="0"/>
              <w:snapToGrid w:val="0"/>
              <w:spacing w:before="120" w:after="120" w:line="440" w:lineRule="exact"/>
              <w:rPr>
                <w:rFonts w:hAnsi="宋体"/>
                <w:sz w:val="22"/>
                <w:szCs w:val="22"/>
              </w:rPr>
            </w:pPr>
            <w:r>
              <w:rPr>
                <w:rFonts w:hAnsi="宋体"/>
                <w:sz w:val="22"/>
                <w:szCs w:val="22"/>
              </w:rPr>
              <w:t>签署日期：</w:t>
            </w:r>
          </w:p>
        </w:tc>
      </w:tr>
    </w:tbl>
    <w:p>
      <w:pPr>
        <w:autoSpaceDE w:val="0"/>
        <w:autoSpaceDN w:val="0"/>
        <w:adjustRightInd w:val="0"/>
        <w:spacing w:afterLines="100" w:line="460" w:lineRule="atLeast"/>
        <w:rPr>
          <w:rFonts w:ascii="宋体"/>
          <w:sz w:val="30"/>
          <w:szCs w:val="30"/>
        </w:rPr>
      </w:pPr>
      <w:r>
        <w:rPr>
          <w:rFonts w:ascii="宋体"/>
          <w:sz w:val="36"/>
        </w:rPr>
        <w:br w:type="page"/>
      </w:r>
      <w:r>
        <w:rPr>
          <w:rFonts w:hint="eastAsia" w:ascii="宋体" w:hAnsi="Courier New" w:cs="Arial"/>
          <w:sz w:val="22"/>
        </w:rPr>
        <w:t>附件五</w:t>
      </w:r>
    </w:p>
    <w:p>
      <w:pPr>
        <w:autoSpaceDE w:val="0"/>
        <w:autoSpaceDN w:val="0"/>
        <w:adjustRightInd w:val="0"/>
        <w:spacing w:line="460" w:lineRule="atLeast"/>
        <w:jc w:val="center"/>
        <w:rPr>
          <w:rFonts w:ascii="宋体"/>
          <w:sz w:val="30"/>
          <w:szCs w:val="30"/>
          <w:lang w:val="zh-CN"/>
        </w:rPr>
      </w:pPr>
      <w:r>
        <w:rPr>
          <w:rFonts w:hint="eastAsia" w:ascii="宋体"/>
          <w:sz w:val="30"/>
          <w:szCs w:val="30"/>
          <w:lang w:val="zh-CN"/>
        </w:rPr>
        <w:t>与参加本次项目同一合同项下政府采购活动的其他供应商不存在单位负责人为同一人或者直接控股、管理关系的承诺函</w:t>
      </w:r>
    </w:p>
    <w:p>
      <w:pPr>
        <w:spacing w:line="460" w:lineRule="exact"/>
        <w:rPr>
          <w:rFonts w:ascii="宋体" w:cs="黑体"/>
          <w:sz w:val="22"/>
          <w:u w:val="single"/>
        </w:rPr>
      </w:pPr>
    </w:p>
    <w:p>
      <w:pPr>
        <w:spacing w:line="460" w:lineRule="exact"/>
        <w:rPr>
          <w:rFonts w:ascii="宋体" w:cs="黑体"/>
          <w:sz w:val="22"/>
          <w:u w:val="single"/>
        </w:rPr>
      </w:pPr>
      <w:r>
        <w:rPr>
          <w:rFonts w:hint="eastAsia" w:ascii="宋体" w:cs="黑体"/>
          <w:sz w:val="22"/>
          <w:u w:val="single"/>
        </w:rPr>
        <w:t>金华市政府采购中心：</w:t>
      </w:r>
    </w:p>
    <w:p>
      <w:pPr>
        <w:widowControl/>
        <w:snapToGrid w:val="0"/>
        <w:spacing w:line="460" w:lineRule="exact"/>
        <w:ind w:firstLine="440" w:firstLineChars="200"/>
        <w:jc w:val="left"/>
        <w:rPr>
          <w:rFonts w:ascii="宋体" w:cs="Courier New"/>
          <w:sz w:val="22"/>
        </w:rPr>
      </w:pPr>
      <w:r>
        <w:rPr>
          <w:rFonts w:hint="eastAsia" w:ascii="宋体" w:cs="Courier New"/>
          <w:sz w:val="22"/>
        </w:rPr>
        <w:t>我方郑重承诺，我方此次参加</w:t>
      </w:r>
      <w:r>
        <w:rPr>
          <w:rFonts w:hint="eastAsia" w:ascii="宋体"/>
          <w:sz w:val="22"/>
          <w:u w:val="single"/>
        </w:rPr>
        <w:t xml:space="preserve">                         （项目名称）</w:t>
      </w:r>
      <w:r>
        <w:rPr>
          <w:rFonts w:hint="eastAsia" w:ascii="宋体" w:cs="Courier New"/>
          <w:sz w:val="22"/>
        </w:rPr>
        <w:t>的投标，与参加本次项目同一合同项下政府采购活动的其他供应商不存在单位负责人为同一人或者直接控股、管理关系。如有虚假或隐瞒，愿意承担一切后果。</w:t>
      </w:r>
    </w:p>
    <w:p>
      <w:pPr>
        <w:pStyle w:val="26"/>
        <w:ind w:firstLine="210"/>
        <w:rPr>
          <w:rFonts w:ascii="宋体" w:hAnsi="宋体"/>
        </w:rPr>
      </w:pPr>
    </w:p>
    <w:p>
      <w:pPr>
        <w:widowControl/>
        <w:snapToGrid w:val="0"/>
        <w:spacing w:line="460" w:lineRule="exact"/>
        <w:ind w:firstLine="440" w:firstLineChars="200"/>
        <w:jc w:val="left"/>
        <w:rPr>
          <w:rFonts w:ascii="宋体" w:cs="Courier New"/>
          <w:sz w:val="22"/>
        </w:rPr>
      </w:pPr>
      <w:r>
        <w:rPr>
          <w:rFonts w:hint="eastAsia" w:ascii="宋体" w:cs="Courier New"/>
          <w:sz w:val="22"/>
        </w:rPr>
        <w:t>特此承诺！</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40" w:firstLineChars="200"/>
        <w:jc w:val="left"/>
        <w:rPr>
          <w:rFonts w:ascii="宋体" w:cs="Courier New"/>
          <w:sz w:val="22"/>
        </w:rPr>
      </w:pPr>
      <w:r>
        <w:rPr>
          <w:rFonts w:hint="eastAsia" w:ascii="宋体" w:cs="Courier New"/>
          <w:sz w:val="22"/>
        </w:rPr>
        <w:t>投标供应商（盖章） ：</w:t>
      </w:r>
    </w:p>
    <w:p>
      <w:pPr>
        <w:widowControl/>
        <w:snapToGrid w:val="0"/>
        <w:spacing w:line="460" w:lineRule="exact"/>
        <w:ind w:firstLine="440" w:firstLineChars="200"/>
        <w:jc w:val="left"/>
        <w:rPr>
          <w:rFonts w:ascii="宋体" w:cs="Courier New"/>
          <w:sz w:val="22"/>
        </w:rPr>
      </w:pPr>
      <w:r>
        <w:rPr>
          <w:rFonts w:hint="eastAsia" w:ascii="宋体" w:cs="Courier New"/>
          <w:sz w:val="22"/>
        </w:rPr>
        <w:t>法定代表人或其授权代表（签字或盖章）：</w:t>
      </w:r>
    </w:p>
    <w:p>
      <w:pPr>
        <w:widowControl/>
        <w:snapToGrid w:val="0"/>
        <w:spacing w:line="460" w:lineRule="exact"/>
        <w:ind w:firstLine="440" w:firstLineChars="200"/>
        <w:jc w:val="left"/>
        <w:rPr>
          <w:rFonts w:ascii="宋体" w:cs="Courier New"/>
          <w:sz w:val="22"/>
        </w:rPr>
      </w:pPr>
      <w:r>
        <w:rPr>
          <w:rFonts w:hint="eastAsia" w:ascii="宋体" w:cs="Courier New"/>
          <w:sz w:val="22"/>
        </w:rPr>
        <w:t>日期：</w:t>
      </w:r>
    </w:p>
    <w:p>
      <w:pPr>
        <w:autoSpaceDE w:val="0"/>
        <w:autoSpaceDN w:val="0"/>
        <w:adjustRightInd w:val="0"/>
        <w:spacing w:line="460" w:lineRule="atLeast"/>
        <w:jc w:val="center"/>
        <w:rPr>
          <w:rFonts w:ascii="宋体"/>
          <w:sz w:val="36"/>
        </w:rPr>
        <w:sectPr>
          <w:pgSz w:w="11906" w:h="16838"/>
          <w:pgMar w:top="1440" w:right="1106" w:bottom="1440" w:left="1622" w:header="851" w:footer="992" w:gutter="0"/>
          <w:cols w:space="720" w:num="1"/>
          <w:docGrid w:linePitch="312" w:charSpace="0"/>
        </w:sectPr>
      </w:pPr>
    </w:p>
    <w:p>
      <w:pPr>
        <w:snapToGrid w:val="0"/>
        <w:spacing w:line="360" w:lineRule="auto"/>
        <w:ind w:firstLine="600" w:firstLineChars="200"/>
        <w:jc w:val="center"/>
        <w:rPr>
          <w:rFonts w:ascii="仿宋" w:hAnsi="仿宋" w:eastAsia="仿宋" w:cs="Arial"/>
          <w:b/>
          <w:color w:val="000000"/>
          <w:sz w:val="30"/>
          <w:szCs w:val="30"/>
        </w:rPr>
      </w:pPr>
      <w:r>
        <w:rPr>
          <w:sz w:val="30"/>
        </w:rPr>
        <mc:AlternateContent>
          <mc:Choice Requires="wps">
            <w:drawing>
              <wp:anchor distT="0" distB="0" distL="114300" distR="114300" simplePos="0" relativeHeight="251658240" behindDoc="0" locked="0" layoutInCell="1" allowOverlap="1">
                <wp:simplePos x="0" y="0"/>
                <wp:positionH relativeFrom="column">
                  <wp:posOffset>247650</wp:posOffset>
                </wp:positionH>
                <wp:positionV relativeFrom="paragraph">
                  <wp:posOffset>-139065</wp:posOffset>
                </wp:positionV>
                <wp:extent cx="762000" cy="317500"/>
                <wp:effectExtent l="0" t="0" r="0" b="0"/>
                <wp:wrapNone/>
                <wp:docPr id="1" name="文本框 1"/>
                <wp:cNvGraphicFramePr/>
                <a:graphic xmlns:a="http://schemas.openxmlformats.org/drawingml/2006/main">
                  <a:graphicData uri="http://schemas.microsoft.com/office/word/2010/wordprocessingShape">
                    <wps:wsp>
                      <wps:cNvSpPr txBox="1"/>
                      <wps:spPr>
                        <a:xfrm>
                          <a:off x="1039495" y="1002030"/>
                          <a:ext cx="762000" cy="317500"/>
                        </a:xfrm>
                        <a:prstGeom prst="rect">
                          <a:avLst/>
                        </a:prstGeom>
                        <a:solidFill>
                          <a:srgbClr val="FFFFFF"/>
                        </a:solidFill>
                        <a:ln w="6350">
                          <a:noFill/>
                        </a:ln>
                        <a:effectLst/>
                      </wps:spPr>
                      <wps:txbx>
                        <w:txbxContent>
                          <w:p>
                            <w:r>
                              <w:rPr>
                                <w:rFonts w:hint="eastAsia"/>
                              </w:rPr>
                              <w:t>附件六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0.95pt;height:25pt;width:60pt;z-index:251658240;mso-width-relative:page;mso-height-relative:page;" fillcolor="#FFFFFF" filled="t" stroked="f" coordsize="21600,21600" o:gfxdata="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TzAhfUAAAACQEAAA8AAAAAAAAAAQAgAAAAIgAAAGRycy9k&#10;b3ducmV2LnhtbFBLAQIUABQAAAAIAIdO4kCnmF+rPwIAAFoEAAAOAAAAAAAAAAEAIAAAACMBAABk&#10;cnMvZTJvRG9jLnhtbFBLBQYAAAAABgAGAFkBAADUBQAAAAA=&#10;">
                <v:fill on="t" focussize="0,0"/>
                <v:stroke on="f" weight="0.5pt"/>
                <v:imagedata o:title=""/>
                <o:lock v:ext="edit" aspectratio="f"/>
                <v:textbox>
                  <w:txbxContent>
                    <w:p>
                      <w:r>
                        <w:rPr>
                          <w:rFonts w:hint="eastAsia"/>
                        </w:rPr>
                        <w:t>附件六</w:t>
                      </w:r>
                    </w:p>
                  </w:txbxContent>
                </v:textbox>
              </v:shape>
            </w:pict>
          </mc:Fallback>
        </mc:AlternateContent>
      </w:r>
      <w:r>
        <w:rPr>
          <w:rFonts w:hint="eastAsia" w:ascii="仿宋" w:hAnsi="仿宋" w:eastAsia="仿宋" w:cs="Arial"/>
          <w:b/>
          <w:color w:val="000000"/>
          <w:sz w:val="30"/>
          <w:szCs w:val="30"/>
        </w:rPr>
        <w:t>开标一览表（货物类）</w:t>
      </w:r>
    </w:p>
    <w:p>
      <w:pPr>
        <w:snapToGrid w:val="0"/>
        <w:spacing w:line="360" w:lineRule="auto"/>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招标编号：</w:t>
      </w:r>
      <w:r>
        <w:rPr>
          <w:rFonts w:ascii="仿宋" w:hAnsi="仿宋" w:eastAsia="仿宋" w:cs="Arial"/>
          <w:color w:val="000000"/>
          <w:sz w:val="24"/>
          <w:szCs w:val="24"/>
          <w:u w:val="single"/>
        </w:rPr>
        <w:t xml:space="preserve">                     </w:t>
      </w:r>
      <w:r>
        <w:rPr>
          <w:rFonts w:hint="eastAsia" w:ascii="仿宋" w:hAnsi="仿宋" w:eastAsia="仿宋" w:cs="Arial"/>
          <w:color w:val="000000"/>
          <w:sz w:val="24"/>
          <w:szCs w:val="24"/>
        </w:rPr>
        <w:t>标项：</w:t>
      </w:r>
      <w:r>
        <w:rPr>
          <w:rFonts w:ascii="仿宋" w:hAnsi="仿宋" w:eastAsia="仿宋" w:cs="Arial"/>
          <w:color w:val="000000"/>
          <w:sz w:val="24"/>
          <w:szCs w:val="24"/>
          <w:u w:val="single"/>
        </w:rPr>
        <w:t xml:space="preserve">             </w:t>
      </w:r>
      <w:r>
        <w:rPr>
          <w:rFonts w:ascii="仿宋" w:hAnsi="仿宋" w:eastAsia="仿宋" w:cs="Arial"/>
          <w:color w:val="000000"/>
          <w:sz w:val="24"/>
          <w:szCs w:val="24"/>
        </w:rPr>
        <w:t xml:space="preserve"> </w:t>
      </w:r>
      <w:r>
        <w:rPr>
          <w:rFonts w:hint="eastAsia" w:ascii="仿宋" w:hAnsi="仿宋" w:eastAsia="仿宋" w:cs="Arial"/>
          <w:color w:val="000000"/>
          <w:sz w:val="24"/>
          <w:szCs w:val="24"/>
        </w:rPr>
        <w:t>投标人名称：</w:t>
      </w:r>
      <w:r>
        <w:rPr>
          <w:rFonts w:ascii="仿宋" w:hAnsi="仿宋" w:eastAsia="仿宋" w:cs="Arial"/>
          <w:color w:val="000000"/>
          <w:sz w:val="24"/>
          <w:szCs w:val="24"/>
          <w:u w:val="single"/>
        </w:rPr>
        <w:t xml:space="preserve">                           </w:t>
      </w:r>
      <w:r>
        <w:rPr>
          <w:rFonts w:ascii="仿宋" w:hAnsi="仿宋" w:eastAsia="仿宋" w:cs="Arial"/>
          <w:color w:val="000000"/>
          <w:sz w:val="24"/>
          <w:szCs w:val="24"/>
        </w:rPr>
        <w:t xml:space="preserve">  </w:t>
      </w:r>
      <w:r>
        <w:rPr>
          <w:rFonts w:hint="eastAsia" w:ascii="仿宋" w:hAnsi="仿宋" w:eastAsia="仿宋" w:cs="Arial"/>
          <w:color w:val="000000"/>
          <w:sz w:val="24"/>
          <w:szCs w:val="24"/>
        </w:rPr>
        <w:t>单位：元</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8"/>
        <w:gridCol w:w="2234"/>
        <w:gridCol w:w="885"/>
        <w:gridCol w:w="1014"/>
        <w:gridCol w:w="3106"/>
        <w:gridCol w:w="2001"/>
        <w:gridCol w:w="1090"/>
        <w:gridCol w:w="15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28"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标项</w:t>
            </w:r>
          </w:p>
        </w:tc>
        <w:tc>
          <w:tcPr>
            <w:tcW w:w="223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货物名称</w:t>
            </w:r>
          </w:p>
        </w:tc>
        <w:tc>
          <w:tcPr>
            <w:tcW w:w="88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数量</w:t>
            </w:r>
          </w:p>
        </w:tc>
        <w:tc>
          <w:tcPr>
            <w:tcW w:w="101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产地</w:t>
            </w:r>
          </w:p>
        </w:tc>
        <w:tc>
          <w:tcPr>
            <w:tcW w:w="31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品牌及厂家</w:t>
            </w:r>
          </w:p>
        </w:tc>
        <w:tc>
          <w:tcPr>
            <w:tcW w:w="20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规格型号</w:t>
            </w:r>
          </w:p>
        </w:tc>
        <w:tc>
          <w:tcPr>
            <w:tcW w:w="109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单价</w:t>
            </w:r>
          </w:p>
        </w:tc>
        <w:tc>
          <w:tcPr>
            <w:tcW w:w="1537"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1228"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p>
          <w:p>
            <w:pPr>
              <w:rPr>
                <w:sz w:val="24"/>
                <w:szCs w:val="24"/>
              </w:rPr>
            </w:pPr>
          </w:p>
        </w:tc>
        <w:tc>
          <w:tcPr>
            <w:tcW w:w="2234"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3106"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00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1228"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34"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3106"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00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1228"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专用耗材</w:t>
            </w:r>
          </w:p>
        </w:tc>
        <w:tc>
          <w:tcPr>
            <w:tcW w:w="2234"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3106"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00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1228"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34"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3106"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00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90"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468" w:type="dxa"/>
            <w:gridSpan w:val="6"/>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投标费用及利润</w:t>
            </w:r>
          </w:p>
        </w:tc>
        <w:tc>
          <w:tcPr>
            <w:tcW w:w="1090"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7"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3095" w:type="dxa"/>
            <w:gridSpan w:val="8"/>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合计金额大写：</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w:t>
            </w:r>
            <w:r>
              <w:rPr>
                <w:sz w:val="24"/>
                <w:szCs w:val="24"/>
              </w:rPr>
              <w:t xml:space="preserve">            </w:t>
            </w:r>
          </w:p>
        </w:tc>
      </w:tr>
    </w:tbl>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注</w:t>
      </w:r>
      <w:r>
        <w:rPr>
          <w:rFonts w:ascii="仿宋" w:hAnsi="仿宋" w:eastAsia="仿宋" w:cs="Arial"/>
          <w:color w:val="000000"/>
          <w:szCs w:val="21"/>
        </w:rPr>
        <w:t>: 1</w:t>
      </w:r>
      <w:r>
        <w:rPr>
          <w:rFonts w:hint="eastAsia" w:ascii="仿宋" w:hAnsi="仿宋" w:eastAsia="仿宋" w:cs="Arial"/>
          <w:color w:val="000000"/>
          <w:szCs w:val="21"/>
        </w:rPr>
        <w:t>、不提供此表格的将视为没有实质性响应招标文件。</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、凡需用专用耗材的专用设备类采购项目，应按招标文件规定的耗材量或按耗材的常规试用量提供报价。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、投标费用包括项目实施所需的人工费、服务费、运输费、安装调试费、购买及制作标书费、税费及其他一切费用。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、以上报价应与“投标设备报价明细表”中的“投标总价”相一致。</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法定代表人或授权代表（签字或盖章）：</w:t>
      </w:r>
      <w:r>
        <w:rPr>
          <w:rFonts w:ascii="仿宋" w:hAnsi="仿宋" w:eastAsia="仿宋" w:cs="Arial"/>
          <w:color w:val="000000"/>
          <w:szCs w:val="21"/>
        </w:rPr>
        <w:t xml:space="preserve">                    </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投标人名称（盖章）：</w:t>
      </w:r>
      <w:r>
        <w:rPr>
          <w:rFonts w:ascii="仿宋" w:hAnsi="仿宋" w:eastAsia="仿宋" w:cs="Arial"/>
          <w:color w:val="000000"/>
          <w:szCs w:val="21"/>
        </w:rPr>
        <w:t xml:space="preserve">                         </w:t>
      </w:r>
      <w:r>
        <w:rPr>
          <w:rFonts w:hint="eastAsia" w:ascii="仿宋" w:hAnsi="仿宋" w:eastAsia="仿宋" w:cs="Arial"/>
          <w:color w:val="000000"/>
          <w:szCs w:val="21"/>
        </w:rPr>
        <w:t xml:space="preserve">              </w:t>
      </w:r>
      <w:r>
        <w:rPr>
          <w:rFonts w:ascii="仿宋" w:hAnsi="仿宋" w:eastAsia="仿宋" w:cs="Arial"/>
          <w:color w:val="000000"/>
          <w:szCs w:val="21"/>
        </w:rPr>
        <w:t xml:space="preserve">        </w:t>
      </w:r>
      <w:r>
        <w:rPr>
          <w:rFonts w:hint="eastAsia" w:ascii="仿宋" w:hAnsi="仿宋" w:eastAsia="仿宋" w:cs="Arial"/>
          <w:color w:val="000000"/>
          <w:szCs w:val="21"/>
        </w:rPr>
        <w:t>日期：</w:t>
      </w:r>
      <w:r>
        <w:rPr>
          <w:rFonts w:ascii="仿宋" w:hAnsi="仿宋" w:eastAsia="仿宋" w:cs="Arial"/>
          <w:color w:val="000000"/>
          <w:szCs w:val="21"/>
        </w:rPr>
        <w:t xml:space="preserve">    </w:t>
      </w:r>
      <w:r>
        <w:rPr>
          <w:rFonts w:hint="eastAsia" w:ascii="仿宋" w:hAnsi="仿宋" w:eastAsia="仿宋" w:cs="Arial"/>
          <w:color w:val="000000"/>
          <w:szCs w:val="21"/>
        </w:rPr>
        <w:t>年</w:t>
      </w:r>
      <w:r>
        <w:rPr>
          <w:rFonts w:ascii="仿宋" w:hAnsi="仿宋" w:eastAsia="仿宋" w:cs="Arial"/>
          <w:color w:val="000000"/>
          <w:szCs w:val="21"/>
        </w:rPr>
        <w:t xml:space="preserve">   </w:t>
      </w:r>
      <w:r>
        <w:rPr>
          <w:rFonts w:hint="eastAsia" w:ascii="仿宋" w:hAnsi="仿宋" w:eastAsia="仿宋" w:cs="Arial"/>
          <w:color w:val="000000"/>
          <w:szCs w:val="21"/>
        </w:rPr>
        <w:t>月</w:t>
      </w:r>
      <w:r>
        <w:rPr>
          <w:rFonts w:ascii="仿宋" w:hAnsi="仿宋" w:eastAsia="仿宋" w:cs="Arial"/>
          <w:color w:val="000000"/>
          <w:szCs w:val="21"/>
        </w:rPr>
        <w:t xml:space="preserve">   </w:t>
      </w:r>
      <w:r>
        <w:rPr>
          <w:rFonts w:hint="eastAsia" w:ascii="仿宋" w:hAnsi="仿宋" w:eastAsia="仿宋" w:cs="Arial"/>
          <w:color w:val="000000"/>
          <w:szCs w:val="21"/>
        </w:rPr>
        <w:t>日</w:t>
      </w:r>
    </w:p>
    <w:p>
      <w:pPr>
        <w:snapToGrid w:val="0"/>
        <w:spacing w:line="360" w:lineRule="auto"/>
        <w:ind w:firstLine="420" w:firstLineChars="200"/>
        <w:rPr>
          <w:rFonts w:ascii="仿宋" w:hAnsi="仿宋" w:eastAsia="仿宋" w:cs="Arial"/>
          <w:color w:val="000000"/>
          <w:szCs w:val="21"/>
        </w:rPr>
        <w:sectPr>
          <w:pgSz w:w="16838" w:h="11906" w:orient="landscape"/>
          <w:pgMar w:top="1797" w:right="1474" w:bottom="1797" w:left="1247" w:header="851" w:footer="851" w:gutter="0"/>
          <w:cols w:space="720" w:num="1"/>
          <w:titlePg/>
          <w:docGrid w:linePitch="312" w:charSpace="0"/>
        </w:sectPr>
      </w:pPr>
    </w:p>
    <w:p>
      <w:pPr>
        <w:snapToGrid w:val="0"/>
        <w:spacing w:line="360" w:lineRule="auto"/>
        <w:ind w:firstLine="480" w:firstLineChars="200"/>
        <w:jc w:val="center"/>
        <w:rPr>
          <w:rFonts w:ascii="仿宋" w:hAnsi="仿宋" w:eastAsia="仿宋" w:cs="Arial"/>
          <w:color w:val="000000"/>
          <w:sz w:val="24"/>
          <w:szCs w:val="24"/>
        </w:rPr>
      </w:pPr>
      <w:r>
        <w:rPr>
          <w:rFonts w:hint="eastAsia" w:ascii="仿宋" w:hAnsi="仿宋" w:eastAsia="仿宋" w:cs="Arial"/>
          <w:color w:val="000000"/>
          <w:sz w:val="24"/>
          <w:szCs w:val="24"/>
        </w:rPr>
        <w:t>开标一览表（服务类）</w:t>
      </w:r>
    </w:p>
    <w:p>
      <w:pPr>
        <w:snapToGrid w:val="0"/>
        <w:spacing w:line="360" w:lineRule="auto"/>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招标编号：</w:t>
      </w:r>
      <w:r>
        <w:rPr>
          <w:rFonts w:ascii="仿宋" w:hAnsi="仿宋" w:eastAsia="仿宋" w:cs="Arial"/>
          <w:color w:val="000000"/>
          <w:sz w:val="24"/>
          <w:szCs w:val="24"/>
          <w:u w:val="single"/>
        </w:rPr>
        <w:t xml:space="preserve">              </w:t>
      </w:r>
      <w:r>
        <w:rPr>
          <w:rFonts w:hint="eastAsia" w:ascii="仿宋" w:hAnsi="仿宋" w:eastAsia="仿宋" w:cs="Arial"/>
          <w:color w:val="000000"/>
          <w:sz w:val="24"/>
          <w:szCs w:val="24"/>
        </w:rPr>
        <w:t>标</w:t>
      </w:r>
      <w:r>
        <w:rPr>
          <w:rFonts w:ascii="仿宋" w:hAnsi="仿宋" w:eastAsia="仿宋" w:cs="Arial"/>
          <w:color w:val="000000"/>
          <w:sz w:val="24"/>
          <w:szCs w:val="24"/>
        </w:rPr>
        <w:t xml:space="preserve"> </w:t>
      </w:r>
      <w:r>
        <w:rPr>
          <w:rFonts w:hint="eastAsia" w:ascii="仿宋" w:hAnsi="仿宋" w:eastAsia="仿宋" w:cs="Arial"/>
          <w:color w:val="000000"/>
          <w:sz w:val="24"/>
          <w:szCs w:val="24"/>
        </w:rPr>
        <w:t>项：</w:t>
      </w:r>
      <w:r>
        <w:rPr>
          <w:rFonts w:ascii="仿宋" w:hAnsi="仿宋" w:eastAsia="仿宋" w:cs="Arial"/>
          <w:color w:val="000000"/>
          <w:sz w:val="24"/>
          <w:szCs w:val="24"/>
          <w:u w:val="single"/>
        </w:rPr>
        <w:t xml:space="preserve">             </w:t>
      </w:r>
      <w:r>
        <w:rPr>
          <w:rFonts w:hint="eastAsia" w:ascii="仿宋" w:hAnsi="仿宋" w:eastAsia="仿宋" w:cs="Arial"/>
          <w:color w:val="000000"/>
          <w:sz w:val="24"/>
          <w:szCs w:val="24"/>
        </w:rPr>
        <w:t>投标人名称：</w:t>
      </w:r>
      <w:r>
        <w:rPr>
          <w:rFonts w:ascii="仿宋" w:hAnsi="仿宋" w:eastAsia="仿宋" w:cs="Arial"/>
          <w:color w:val="000000"/>
          <w:sz w:val="24"/>
          <w:szCs w:val="24"/>
          <w:u w:val="single"/>
        </w:rPr>
        <w:t xml:space="preserve">                                 </w:t>
      </w:r>
      <w:r>
        <w:rPr>
          <w:rFonts w:ascii="仿宋" w:hAnsi="仿宋" w:eastAsia="仿宋" w:cs="Arial"/>
          <w:color w:val="000000"/>
          <w:sz w:val="24"/>
          <w:szCs w:val="24"/>
        </w:rPr>
        <w:t xml:space="preserve">  </w:t>
      </w:r>
      <w:r>
        <w:rPr>
          <w:rFonts w:hint="eastAsia" w:ascii="仿宋" w:hAnsi="仿宋" w:eastAsia="仿宋" w:cs="Arial"/>
          <w:color w:val="000000"/>
          <w:sz w:val="24"/>
          <w:szCs w:val="24"/>
        </w:rPr>
        <w:t>单位：元</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1"/>
        <w:gridCol w:w="2130"/>
        <w:gridCol w:w="1071"/>
        <w:gridCol w:w="901"/>
        <w:gridCol w:w="2519"/>
        <w:gridCol w:w="2048"/>
        <w:gridCol w:w="1013"/>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5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项目</w:t>
            </w:r>
          </w:p>
        </w:tc>
        <w:tc>
          <w:tcPr>
            <w:tcW w:w="213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货物名称</w:t>
            </w:r>
          </w:p>
        </w:tc>
        <w:tc>
          <w:tcPr>
            <w:tcW w:w="107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数量</w:t>
            </w:r>
          </w:p>
        </w:tc>
        <w:tc>
          <w:tcPr>
            <w:tcW w:w="9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产地</w:t>
            </w:r>
          </w:p>
        </w:tc>
        <w:tc>
          <w:tcPr>
            <w:tcW w:w="2519"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品牌及厂家</w:t>
            </w:r>
          </w:p>
        </w:tc>
        <w:tc>
          <w:tcPr>
            <w:tcW w:w="2048"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规格型号</w:t>
            </w: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单价</w:t>
            </w: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设备费</w:t>
            </w:r>
          </w:p>
        </w:tc>
        <w:tc>
          <w:tcPr>
            <w:tcW w:w="2130"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7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51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04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1"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7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51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04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5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材料费</w:t>
            </w:r>
          </w:p>
        </w:tc>
        <w:tc>
          <w:tcPr>
            <w:tcW w:w="2130"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7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51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04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项目费用及利润</w:t>
            </w:r>
          </w:p>
        </w:tc>
        <w:tc>
          <w:tcPr>
            <w:tcW w:w="8669" w:type="dxa"/>
            <w:gridSpan w:val="5"/>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工程费</w:t>
            </w: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8669" w:type="dxa"/>
            <w:gridSpan w:val="5"/>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工时费</w:t>
            </w: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8669" w:type="dxa"/>
            <w:gridSpan w:val="5"/>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投标费用及利润</w:t>
            </w: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2722" w:type="dxa"/>
            <w:gridSpan w:val="8"/>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合计金额大写：</w:t>
            </w:r>
            <w:r>
              <w:rPr>
                <w:sz w:val="24"/>
                <w:szCs w:val="24"/>
              </w:rPr>
              <w:t xml:space="preserve">                                        </w:t>
            </w:r>
            <w:r>
              <w:rPr>
                <w:rFonts w:hint="eastAsia"/>
                <w:sz w:val="24"/>
                <w:szCs w:val="24"/>
              </w:rPr>
              <w:t>￥</w:t>
            </w:r>
            <w:r>
              <w:rPr>
                <w:sz w:val="24"/>
                <w:szCs w:val="24"/>
              </w:rPr>
              <w:t xml:space="preserve">            </w:t>
            </w:r>
          </w:p>
        </w:tc>
      </w:tr>
    </w:tbl>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注</w:t>
      </w:r>
      <w:r>
        <w:rPr>
          <w:rFonts w:ascii="仿宋" w:hAnsi="仿宋" w:eastAsia="仿宋" w:cs="Arial"/>
          <w:color w:val="000000"/>
          <w:szCs w:val="21"/>
        </w:rPr>
        <w:t>: 1</w:t>
      </w:r>
      <w:r>
        <w:rPr>
          <w:rFonts w:hint="eastAsia" w:ascii="仿宋" w:hAnsi="仿宋" w:eastAsia="仿宋" w:cs="Arial"/>
          <w:color w:val="000000"/>
          <w:szCs w:val="21"/>
        </w:rPr>
        <w:t>、不提供此表格的将视为没有实质性响应招标文件。</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、以上报价应与“投标费用明细表”中的“合计”数相一致。</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、项目费用包括项目实施所需的工程费、工时费、服务费、运输费、安装调试费、购买及制作标书费、税费及其他一切费用。</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法定代表人或授权代表（签字或盖章）：</w:t>
      </w:r>
      <w:r>
        <w:rPr>
          <w:rFonts w:ascii="仿宋" w:hAnsi="仿宋" w:eastAsia="仿宋" w:cs="Arial"/>
          <w:color w:val="000000"/>
          <w:szCs w:val="21"/>
        </w:rPr>
        <w:t xml:space="preserve"> </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投标人名称（盖章）：</w:t>
      </w:r>
      <w:r>
        <w:rPr>
          <w:rFonts w:ascii="仿宋" w:hAnsi="仿宋" w:eastAsia="仿宋" w:cs="Arial"/>
          <w:color w:val="000000"/>
          <w:szCs w:val="21"/>
        </w:rPr>
        <w:t xml:space="preserve">                                          </w:t>
      </w:r>
      <w:r>
        <w:rPr>
          <w:rFonts w:hint="eastAsia" w:ascii="仿宋" w:hAnsi="仿宋" w:eastAsia="仿宋" w:cs="Arial"/>
          <w:color w:val="000000"/>
          <w:szCs w:val="21"/>
        </w:rPr>
        <w:t>日期：</w:t>
      </w:r>
      <w:r>
        <w:rPr>
          <w:rFonts w:ascii="仿宋" w:hAnsi="仿宋" w:eastAsia="仿宋" w:cs="Arial"/>
          <w:color w:val="000000"/>
          <w:szCs w:val="21"/>
        </w:rPr>
        <w:t xml:space="preserve">    </w:t>
      </w:r>
      <w:r>
        <w:rPr>
          <w:rFonts w:hint="eastAsia" w:ascii="仿宋" w:hAnsi="仿宋" w:eastAsia="仿宋" w:cs="Arial"/>
          <w:color w:val="000000"/>
          <w:szCs w:val="21"/>
        </w:rPr>
        <w:t>年</w:t>
      </w:r>
      <w:r>
        <w:rPr>
          <w:rFonts w:ascii="仿宋" w:hAnsi="仿宋" w:eastAsia="仿宋" w:cs="Arial"/>
          <w:color w:val="000000"/>
          <w:szCs w:val="21"/>
        </w:rPr>
        <w:t xml:space="preserve">   </w:t>
      </w:r>
      <w:r>
        <w:rPr>
          <w:rFonts w:hint="eastAsia" w:ascii="仿宋" w:hAnsi="仿宋" w:eastAsia="仿宋" w:cs="Arial"/>
          <w:color w:val="000000"/>
          <w:szCs w:val="21"/>
        </w:rPr>
        <w:t>月</w:t>
      </w:r>
      <w:r>
        <w:rPr>
          <w:rFonts w:ascii="仿宋" w:hAnsi="仿宋" w:eastAsia="仿宋" w:cs="Arial"/>
          <w:color w:val="000000"/>
          <w:szCs w:val="21"/>
        </w:rPr>
        <w:t xml:space="preserve">   </w:t>
      </w:r>
      <w:r>
        <w:rPr>
          <w:rFonts w:hint="eastAsia" w:ascii="仿宋" w:hAnsi="仿宋" w:eastAsia="仿宋" w:cs="Arial"/>
          <w:color w:val="000000"/>
          <w:szCs w:val="21"/>
        </w:rPr>
        <w:t>日</w:t>
      </w:r>
    </w:p>
    <w:p>
      <w:pPr>
        <w:snapToGrid w:val="0"/>
        <w:spacing w:line="360" w:lineRule="auto"/>
        <w:ind w:firstLine="420" w:firstLineChars="200"/>
        <w:rPr>
          <w:rFonts w:ascii="仿宋" w:hAnsi="仿宋" w:eastAsia="仿宋" w:cs="Arial"/>
          <w:color w:val="000000"/>
          <w:szCs w:val="21"/>
        </w:rPr>
        <w:sectPr>
          <w:pgSz w:w="16838" w:h="11906" w:orient="landscape"/>
          <w:pgMar w:top="1797" w:right="1474" w:bottom="1797" w:left="1247" w:header="851" w:footer="851" w:gutter="0"/>
          <w:cols w:space="720" w:num="1"/>
          <w:titlePg/>
          <w:docGrid w:linePitch="312" w:charSpace="0"/>
        </w:sectPr>
      </w:pPr>
    </w:p>
    <w:bookmarkEnd w:id="73"/>
    <w:p>
      <w:pPr>
        <w:autoSpaceDE w:val="0"/>
        <w:autoSpaceDN w:val="0"/>
        <w:adjustRightInd w:val="0"/>
        <w:spacing w:line="460" w:lineRule="atLeast"/>
        <w:jc w:val="left"/>
        <w:rPr>
          <w:rFonts w:ascii="宋体" w:hAnsi="Courier New" w:cs="Arial"/>
          <w:sz w:val="22"/>
        </w:rPr>
      </w:pPr>
      <w:bookmarkStart w:id="86" w:name="_Toc157410896"/>
      <w:r>
        <w:rPr>
          <w:rFonts w:hint="eastAsia" w:ascii="宋体" w:hAnsi="Courier New" w:cs="Arial"/>
          <w:sz w:val="22"/>
        </w:rPr>
        <w:t>附件七</w:t>
      </w:r>
    </w:p>
    <w:bookmarkEnd w:id="86"/>
    <w:p>
      <w:pPr>
        <w:snapToGrid w:val="0"/>
        <w:spacing w:line="360" w:lineRule="auto"/>
        <w:ind w:firstLine="720" w:firstLineChars="200"/>
        <w:jc w:val="center"/>
        <w:rPr>
          <w:rFonts w:ascii="宋体"/>
          <w:sz w:val="36"/>
          <w:szCs w:val="36"/>
          <w:lang w:val="zh-CN"/>
        </w:rPr>
      </w:pPr>
      <w:r>
        <w:rPr>
          <w:rFonts w:hint="eastAsia" w:ascii="宋体"/>
          <w:sz w:val="36"/>
          <w:szCs w:val="36"/>
          <w:lang w:val="zh-CN"/>
        </w:rPr>
        <w:t>投标费用明细表</w:t>
      </w:r>
    </w:p>
    <w:p>
      <w:pPr>
        <w:snapToGrid w:val="0"/>
        <w:spacing w:line="360" w:lineRule="auto"/>
        <w:ind w:firstLine="560" w:firstLineChars="200"/>
        <w:rPr>
          <w:rFonts w:ascii="仿宋" w:hAnsi="仿宋" w:eastAsia="仿宋" w:cs="Arial"/>
          <w:color w:val="000000"/>
          <w:sz w:val="28"/>
          <w:szCs w:val="28"/>
        </w:rPr>
      </w:pPr>
      <w:r>
        <w:rPr>
          <w:rFonts w:ascii="仿宋" w:hAnsi="仿宋" w:eastAsia="仿宋" w:cs="Arial"/>
          <w:color w:val="000000"/>
          <w:sz w:val="28"/>
          <w:szCs w:val="28"/>
        </w:rPr>
        <w:t>标项：                       金额单位：人民币（元）</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374"/>
        <w:gridCol w:w="1080"/>
        <w:gridCol w:w="1440"/>
        <w:gridCol w:w="8"/>
        <w:gridCol w:w="1612"/>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序号</w:t>
            </w: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规格型号</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sz w:val="24"/>
                <w:szCs w:val="24"/>
              </w:rPr>
              <w:t>……</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专用耗材</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投标费用及利润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8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8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8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90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28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90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28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投 标 总</w:t>
            </w:r>
            <w:r>
              <w:rPr>
                <w:sz w:val="24"/>
                <w:szCs w:val="24"/>
              </w:rPr>
              <w:t xml:space="preserve">  </w:t>
            </w:r>
            <w:r>
              <w:rPr>
                <w:rFonts w:hint="eastAsia"/>
                <w:sz w:val="24"/>
                <w:szCs w:val="24"/>
              </w:rPr>
              <w:t>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bl>
    <w:p>
      <w:pPr>
        <w:snapToGrid w:val="0"/>
        <w:spacing w:line="360" w:lineRule="auto"/>
        <w:ind w:firstLine="280" w:firstLineChars="100"/>
        <w:rPr>
          <w:rFonts w:ascii="仿宋" w:hAnsi="仿宋" w:eastAsia="仿宋" w:cs="Arial"/>
          <w:color w:val="000000"/>
          <w:sz w:val="28"/>
          <w:szCs w:val="28"/>
        </w:rPr>
      </w:pPr>
      <w:r>
        <w:rPr>
          <w:rFonts w:hint="eastAsia" w:ascii="仿宋" w:hAnsi="仿宋" w:eastAsia="仿宋" w:cs="Arial"/>
          <w:color w:val="000000"/>
          <w:sz w:val="28"/>
          <w:szCs w:val="28"/>
        </w:rPr>
        <w:t>授权代表签名：</w:t>
      </w:r>
      <w:r>
        <w:rPr>
          <w:rFonts w:ascii="仿宋" w:hAnsi="仿宋" w:eastAsia="仿宋" w:cs="Arial"/>
          <w:color w:val="000000"/>
          <w:sz w:val="28"/>
          <w:szCs w:val="28"/>
        </w:rPr>
        <w:t xml:space="preserve">          </w:t>
      </w:r>
    </w:p>
    <w:p>
      <w:pPr>
        <w:snapToGrid w:val="0"/>
        <w:spacing w:line="500" w:lineRule="atLeast"/>
        <w:ind w:firstLine="280" w:firstLineChars="100"/>
        <w:rPr>
          <w:rFonts w:ascii="宋体"/>
          <w:sz w:val="22"/>
        </w:rPr>
      </w:pPr>
      <w:r>
        <w:rPr>
          <w:rFonts w:hint="eastAsia" w:ascii="仿宋" w:hAnsi="仿宋" w:eastAsia="仿宋" w:cs="Arial"/>
          <w:color w:val="000000"/>
          <w:sz w:val="28"/>
          <w:szCs w:val="28"/>
        </w:rPr>
        <w:t>投标人盖章：</w:t>
      </w:r>
      <w:r>
        <w:rPr>
          <w:rFonts w:ascii="仿宋" w:hAnsi="仿宋" w:eastAsia="仿宋" w:cs="Arial"/>
          <w:color w:val="000000"/>
          <w:sz w:val="28"/>
          <w:szCs w:val="28"/>
        </w:rPr>
        <w:t xml:space="preserve">                          </w:t>
      </w:r>
      <w:r>
        <w:rPr>
          <w:rFonts w:hint="eastAsia" w:ascii="仿宋" w:hAnsi="仿宋" w:eastAsia="仿宋" w:cs="Arial"/>
          <w:color w:val="000000"/>
          <w:sz w:val="28"/>
          <w:szCs w:val="28"/>
        </w:rPr>
        <w:t>日</w:t>
      </w:r>
      <w:r>
        <w:rPr>
          <w:rFonts w:ascii="仿宋" w:hAnsi="仿宋" w:eastAsia="仿宋" w:cs="Arial"/>
          <w:color w:val="000000"/>
          <w:sz w:val="28"/>
          <w:szCs w:val="28"/>
        </w:rPr>
        <w:t xml:space="preserve">  </w:t>
      </w:r>
      <w:r>
        <w:rPr>
          <w:rFonts w:hint="eastAsia" w:ascii="仿宋" w:hAnsi="仿宋" w:eastAsia="仿宋" w:cs="Arial"/>
          <w:color w:val="000000"/>
          <w:sz w:val="28"/>
          <w:szCs w:val="28"/>
        </w:rPr>
        <w:t>期：</w:t>
      </w:r>
    </w:p>
    <w:p>
      <w:pPr>
        <w:snapToGrid w:val="0"/>
        <w:spacing w:line="500" w:lineRule="atLeast"/>
        <w:ind w:firstLine="220" w:firstLineChars="100"/>
        <w:rPr>
          <w:rFonts w:ascii="宋体"/>
          <w:sz w:val="22"/>
        </w:rPr>
      </w:pPr>
      <w:r>
        <w:rPr>
          <w:rFonts w:hint="eastAsia" w:ascii="宋体"/>
          <w:sz w:val="22"/>
        </w:rPr>
        <w:t>注：</w:t>
      </w:r>
      <w:r>
        <w:rPr>
          <w:rFonts w:ascii="宋体"/>
          <w:sz w:val="22"/>
        </w:rPr>
        <w:t>1、</w:t>
      </w:r>
      <w:r>
        <w:rPr>
          <w:rFonts w:hint="eastAsia" w:ascii="宋体"/>
          <w:sz w:val="22"/>
        </w:rPr>
        <w:t>上表中的总计</w:t>
      </w:r>
      <w:r>
        <w:rPr>
          <w:rFonts w:ascii="宋体"/>
          <w:sz w:val="22"/>
        </w:rPr>
        <w:t>报价应与开标一览表中投标</w:t>
      </w:r>
      <w:r>
        <w:rPr>
          <w:rFonts w:hint="eastAsia" w:ascii="宋体"/>
          <w:sz w:val="22"/>
        </w:rPr>
        <w:t>报</w:t>
      </w:r>
      <w:r>
        <w:rPr>
          <w:rFonts w:ascii="宋体"/>
          <w:sz w:val="22"/>
        </w:rPr>
        <w:t>价相一致。</w:t>
      </w:r>
    </w:p>
    <w:p>
      <w:pPr>
        <w:snapToGrid w:val="0"/>
        <w:spacing w:line="500" w:lineRule="atLeast"/>
        <w:ind w:firstLine="660" w:firstLineChars="300"/>
        <w:rPr>
          <w:rFonts w:ascii="宋体"/>
          <w:sz w:val="22"/>
        </w:rPr>
      </w:pPr>
      <w:r>
        <w:rPr>
          <w:rFonts w:hint="eastAsia" w:ascii="宋体"/>
          <w:sz w:val="22"/>
        </w:rPr>
        <w:t>2</w:t>
      </w:r>
      <w:r>
        <w:rPr>
          <w:rFonts w:ascii="宋体"/>
          <w:sz w:val="22"/>
        </w:rPr>
        <w:t>、本表所列费用为本项目的全部费用，未列费用均为综合考虑。</w:t>
      </w:r>
    </w:p>
    <w:p>
      <w:pPr>
        <w:snapToGrid w:val="0"/>
        <w:spacing w:line="500" w:lineRule="atLeast"/>
        <w:ind w:firstLine="660" w:firstLineChars="300"/>
        <w:rPr>
          <w:rFonts w:ascii="宋体"/>
          <w:sz w:val="22"/>
        </w:rPr>
      </w:pPr>
      <w:r>
        <w:rPr>
          <w:rFonts w:hint="eastAsia" w:ascii="宋体"/>
          <w:sz w:val="22"/>
        </w:rPr>
        <w:t>3、以上格式可改动，投标供应商可根据本表结合实际自行扩充。</w:t>
      </w:r>
    </w:p>
    <w:p>
      <w:pPr>
        <w:snapToGrid w:val="0"/>
        <w:spacing w:line="500" w:lineRule="atLeast"/>
        <w:ind w:firstLine="660" w:firstLineChars="300"/>
        <w:rPr>
          <w:rFonts w:ascii="宋体"/>
          <w:sz w:val="22"/>
        </w:rPr>
      </w:pPr>
      <w:r>
        <w:rPr>
          <w:rFonts w:hint="eastAsia" w:ascii="宋体"/>
          <w:sz w:val="22"/>
        </w:rPr>
        <w:t>4、根据《中华人民共和国政府采购法实施条例》第四十三条规定，在中标或者成交公告的内容中增加本表，请各供应商认真填写，确保相关数据的真实性、完整性和合理性。</w:t>
      </w:r>
    </w:p>
    <w:p>
      <w:pPr>
        <w:rPr>
          <w:rFonts w:ascii="宋体"/>
          <w:sz w:val="36"/>
          <w:szCs w:val="36"/>
          <w:lang w:val="zh-CN"/>
        </w:rPr>
      </w:pPr>
      <w:r>
        <w:rPr>
          <w:rFonts w:hint="eastAsia" w:ascii="宋体"/>
          <w:sz w:val="36"/>
          <w:szCs w:val="36"/>
          <w:lang w:val="zh-CN"/>
        </w:rPr>
        <w:br w:type="page"/>
      </w:r>
    </w:p>
    <w:p>
      <w:pPr>
        <w:snapToGrid w:val="0"/>
        <w:spacing w:line="500" w:lineRule="atLeast"/>
        <w:jc w:val="center"/>
        <w:rPr>
          <w:rFonts w:ascii="宋体"/>
          <w:sz w:val="36"/>
          <w:szCs w:val="36"/>
          <w:lang w:val="zh-CN"/>
        </w:rPr>
      </w:pPr>
      <w:r>
        <w:rPr>
          <w:rFonts w:hint="eastAsia" w:ascii="宋体"/>
          <w:sz w:val="36"/>
          <w:szCs w:val="36"/>
          <w:lang w:val="zh-CN"/>
        </w:rPr>
        <w:t>三、商务技术文件格式</w:t>
      </w:r>
    </w:p>
    <w:p>
      <w:pPr>
        <w:snapToGrid w:val="0"/>
        <w:spacing w:line="500" w:lineRule="atLeast"/>
        <w:rPr>
          <w:rFonts w:ascii="宋体"/>
          <w:sz w:val="30"/>
          <w:szCs w:val="30"/>
        </w:rPr>
      </w:pPr>
      <w:r>
        <w:rPr>
          <w:rFonts w:hint="eastAsia" w:ascii="宋体" w:hAnsi="Courier New" w:cs="Arial"/>
          <w:sz w:val="22"/>
        </w:rPr>
        <w:t>附件八</w:t>
      </w:r>
    </w:p>
    <w:p>
      <w:pPr>
        <w:autoSpaceDE w:val="0"/>
        <w:autoSpaceDN w:val="0"/>
        <w:adjustRightInd w:val="0"/>
        <w:spacing w:line="460" w:lineRule="atLeast"/>
        <w:jc w:val="center"/>
        <w:rPr>
          <w:rFonts w:ascii="宋体"/>
          <w:sz w:val="36"/>
          <w:lang w:val="zh-CN"/>
        </w:rPr>
      </w:pPr>
      <w:r>
        <w:rPr>
          <w:rFonts w:hint="eastAsia" w:ascii="宋体"/>
          <w:sz w:val="36"/>
          <w:lang w:val="zh-CN"/>
        </w:rPr>
        <w:t>投</w:t>
      </w:r>
      <w:r>
        <w:rPr>
          <w:rFonts w:ascii="宋体"/>
          <w:sz w:val="36"/>
          <w:lang w:val="zh-CN"/>
        </w:rPr>
        <w:t xml:space="preserve">  </w:t>
      </w:r>
      <w:r>
        <w:rPr>
          <w:rFonts w:hint="eastAsia" w:ascii="宋体"/>
          <w:sz w:val="36"/>
          <w:lang w:val="zh-CN"/>
        </w:rPr>
        <w:t>标</w:t>
      </w:r>
      <w:r>
        <w:rPr>
          <w:rFonts w:ascii="宋体"/>
          <w:sz w:val="36"/>
          <w:lang w:val="zh-CN"/>
        </w:rPr>
        <w:t xml:space="preserve">  </w:t>
      </w:r>
      <w:r>
        <w:rPr>
          <w:rFonts w:hint="eastAsia" w:ascii="宋体"/>
          <w:sz w:val="36"/>
          <w:lang w:val="zh-CN"/>
        </w:rPr>
        <w:t>函</w:t>
      </w:r>
    </w:p>
    <w:p>
      <w:pPr>
        <w:snapToGrid w:val="0"/>
        <w:spacing w:line="360" w:lineRule="auto"/>
        <w:rPr>
          <w:rFonts w:ascii="宋体"/>
          <w:sz w:val="22"/>
        </w:rPr>
      </w:pPr>
      <w:r>
        <w:rPr>
          <w:rFonts w:hint="eastAsia" w:ascii="宋体"/>
          <w:sz w:val="22"/>
        </w:rPr>
        <w:t>致：</w:t>
      </w:r>
      <w:r>
        <w:rPr>
          <w:rFonts w:ascii="宋体"/>
          <w:sz w:val="22"/>
        </w:rPr>
        <w:t>_______     __</w:t>
      </w:r>
      <w:r>
        <w:rPr>
          <w:rFonts w:hint="eastAsia" w:ascii="宋体"/>
          <w:sz w:val="22"/>
        </w:rPr>
        <w:t>（招标采购单位名称）：</w:t>
      </w:r>
    </w:p>
    <w:p>
      <w:pPr>
        <w:snapToGrid w:val="0"/>
        <w:spacing w:line="360" w:lineRule="auto"/>
        <w:ind w:firstLine="480"/>
        <w:rPr>
          <w:rFonts w:ascii="宋体"/>
          <w:sz w:val="22"/>
        </w:rPr>
      </w:pPr>
      <w:r>
        <w:rPr>
          <w:rFonts w:hint="eastAsia" w:ascii="宋体"/>
          <w:sz w:val="22"/>
        </w:rPr>
        <w:t>根据贵方为</w:t>
      </w:r>
      <w:r>
        <w:rPr>
          <w:rFonts w:ascii="宋体"/>
          <w:sz w:val="22"/>
        </w:rPr>
        <w:t xml:space="preserve">                             </w:t>
      </w:r>
      <w:r>
        <w:rPr>
          <w:rFonts w:hint="eastAsia" w:ascii="宋体"/>
          <w:sz w:val="22"/>
        </w:rPr>
        <w:t>项目的招标公告</w:t>
      </w:r>
      <w:r>
        <w:rPr>
          <w:rFonts w:ascii="宋体"/>
          <w:sz w:val="22"/>
        </w:rPr>
        <w:t>/</w:t>
      </w:r>
      <w:r>
        <w:rPr>
          <w:rFonts w:hint="eastAsia" w:ascii="宋体"/>
          <w:sz w:val="22"/>
        </w:rPr>
        <w:t>投标邀请书</w:t>
      </w:r>
    </w:p>
    <w:p>
      <w:pPr>
        <w:snapToGrid w:val="0"/>
        <w:spacing w:line="360" w:lineRule="auto"/>
        <w:rPr>
          <w:rFonts w:ascii="宋体"/>
          <w:sz w:val="22"/>
        </w:rPr>
      </w:pPr>
      <w:r>
        <w:rPr>
          <w:rFonts w:hint="eastAsia" w:ascii="宋体"/>
          <w:sz w:val="22"/>
        </w:rPr>
        <w:t>（项目编号：</w:t>
      </w:r>
      <w:r>
        <w:rPr>
          <w:rFonts w:ascii="宋体"/>
          <w:sz w:val="22"/>
        </w:rPr>
        <w:t>_____     __</w:t>
      </w:r>
      <w:r>
        <w:rPr>
          <w:rFonts w:hint="eastAsia" w:ascii="宋体"/>
          <w:sz w:val="22"/>
        </w:rPr>
        <w:t>），签字代表</w:t>
      </w:r>
      <w:r>
        <w:rPr>
          <w:rFonts w:ascii="宋体"/>
          <w:sz w:val="22"/>
        </w:rPr>
        <w:t xml:space="preserve">_______     </w:t>
      </w:r>
      <w:r>
        <w:rPr>
          <w:rFonts w:hint="eastAsia" w:ascii="宋体"/>
          <w:sz w:val="22"/>
        </w:rPr>
        <w:t>（全名）经正式授权并代表投标人</w:t>
      </w:r>
      <w:r>
        <w:rPr>
          <w:rFonts w:ascii="宋体"/>
          <w:sz w:val="22"/>
        </w:rPr>
        <w:t>_______                    __</w:t>
      </w:r>
      <w:r>
        <w:rPr>
          <w:rFonts w:hint="eastAsia" w:ascii="宋体"/>
          <w:sz w:val="22"/>
        </w:rPr>
        <w:t>（投标人名称）提交资信</w:t>
      </w:r>
      <w:r>
        <w:rPr>
          <w:rFonts w:ascii="宋体"/>
          <w:sz w:val="22"/>
        </w:rPr>
        <w:t>/</w:t>
      </w:r>
      <w:r>
        <w:rPr>
          <w:rFonts w:hint="eastAsia" w:ascii="宋体"/>
          <w:sz w:val="22"/>
        </w:rPr>
        <w:t>商务文件、技术文件、报价文件正本各一份、副本</w:t>
      </w:r>
      <w:r>
        <w:rPr>
          <w:rFonts w:ascii="宋体"/>
          <w:sz w:val="22"/>
        </w:rPr>
        <w:t xml:space="preserve">      </w:t>
      </w:r>
      <w:r>
        <w:rPr>
          <w:rFonts w:hint="eastAsia" w:ascii="宋体"/>
          <w:sz w:val="22"/>
        </w:rPr>
        <w:t>份。</w:t>
      </w:r>
    </w:p>
    <w:p>
      <w:pPr>
        <w:snapToGrid w:val="0"/>
        <w:spacing w:line="360" w:lineRule="auto"/>
        <w:ind w:firstLine="440" w:firstLineChars="200"/>
        <w:rPr>
          <w:rFonts w:ascii="宋体"/>
          <w:sz w:val="22"/>
        </w:rPr>
      </w:pPr>
      <w:r>
        <w:rPr>
          <w:rFonts w:hint="eastAsia" w:ascii="宋体"/>
          <w:sz w:val="22"/>
        </w:rPr>
        <w:t>据此函，签字代表宣布同意如下：</w:t>
      </w:r>
    </w:p>
    <w:p>
      <w:pPr>
        <w:snapToGrid w:val="0"/>
        <w:spacing w:line="360" w:lineRule="auto"/>
        <w:ind w:firstLine="440" w:firstLineChars="200"/>
        <w:rPr>
          <w:rFonts w:ascii="宋体"/>
          <w:sz w:val="22"/>
        </w:rPr>
      </w:pPr>
      <w:r>
        <w:rPr>
          <w:rFonts w:ascii="宋体"/>
          <w:sz w:val="22"/>
        </w:rPr>
        <w:t>1</w:t>
      </w:r>
      <w:r>
        <w:rPr>
          <w:rFonts w:hint="eastAsia" w:ascii="宋体"/>
          <w:sz w:val="22"/>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40" w:firstLineChars="200"/>
        <w:rPr>
          <w:rFonts w:ascii="宋体"/>
          <w:sz w:val="22"/>
        </w:rPr>
      </w:pPr>
      <w:r>
        <w:rPr>
          <w:rFonts w:ascii="宋体"/>
          <w:sz w:val="22"/>
        </w:rPr>
        <w:t>2</w:t>
      </w:r>
      <w:r>
        <w:rPr>
          <w:rFonts w:hint="eastAsia" w:ascii="宋体"/>
          <w:sz w:val="22"/>
        </w:rPr>
        <w:t>.投标人在投标之前已经与贵方进行了充分的沟通，完全理解并接受招标文件的各项规定和要求，对招标文件的合理性、合法性不再有异议。</w:t>
      </w:r>
    </w:p>
    <w:p>
      <w:pPr>
        <w:snapToGrid w:val="0"/>
        <w:spacing w:line="360" w:lineRule="auto"/>
        <w:ind w:firstLine="440" w:firstLineChars="200"/>
        <w:rPr>
          <w:rFonts w:ascii="宋体"/>
          <w:sz w:val="22"/>
        </w:rPr>
      </w:pPr>
      <w:r>
        <w:rPr>
          <w:rFonts w:ascii="宋体"/>
          <w:sz w:val="22"/>
        </w:rPr>
        <w:t>3</w:t>
      </w:r>
      <w:r>
        <w:rPr>
          <w:rFonts w:hint="eastAsia" w:ascii="宋体"/>
          <w:sz w:val="22"/>
        </w:rPr>
        <w:t>.本投标有效期自开标日起</w:t>
      </w:r>
      <w:r>
        <w:rPr>
          <w:rFonts w:ascii="宋体"/>
          <w:sz w:val="22"/>
        </w:rPr>
        <w:t xml:space="preserve"> ______</w:t>
      </w:r>
      <w:r>
        <w:rPr>
          <w:rFonts w:hint="eastAsia" w:ascii="宋体"/>
          <w:sz w:val="22"/>
        </w:rPr>
        <w:t>个日。</w:t>
      </w:r>
    </w:p>
    <w:p>
      <w:pPr>
        <w:snapToGrid w:val="0"/>
        <w:spacing w:line="360" w:lineRule="auto"/>
        <w:ind w:firstLine="440" w:firstLineChars="200"/>
        <w:rPr>
          <w:rFonts w:ascii="宋体"/>
          <w:sz w:val="22"/>
        </w:rPr>
      </w:pPr>
      <w:r>
        <w:rPr>
          <w:rFonts w:ascii="宋体"/>
          <w:sz w:val="22"/>
        </w:rPr>
        <w:t>4</w:t>
      </w:r>
      <w:r>
        <w:rPr>
          <w:rFonts w:hint="eastAsia" w:ascii="宋体"/>
          <w:sz w:val="22"/>
        </w:rPr>
        <w:t>.如中标，本投标文件至本项目合同履行完毕止均保持有效，本投标人将按“招标文件”及政府采购法律、法规的规定履行合同责任和义务。</w:t>
      </w:r>
    </w:p>
    <w:p>
      <w:pPr>
        <w:snapToGrid w:val="0"/>
        <w:spacing w:line="360" w:lineRule="auto"/>
        <w:ind w:firstLine="440" w:firstLineChars="200"/>
        <w:rPr>
          <w:rFonts w:ascii="宋体"/>
          <w:sz w:val="22"/>
        </w:rPr>
      </w:pPr>
      <w:r>
        <w:rPr>
          <w:rFonts w:ascii="宋体"/>
          <w:sz w:val="22"/>
        </w:rPr>
        <w:t>5</w:t>
      </w:r>
      <w:r>
        <w:rPr>
          <w:rFonts w:hint="eastAsia" w:ascii="宋体"/>
          <w:sz w:val="22"/>
        </w:rPr>
        <w:t>.投标人同意按照贵方要求提供与投标有关的一切数据或资料。</w:t>
      </w:r>
    </w:p>
    <w:p>
      <w:pPr>
        <w:snapToGrid w:val="0"/>
        <w:spacing w:line="360" w:lineRule="auto"/>
        <w:ind w:firstLine="440" w:firstLineChars="200"/>
        <w:rPr>
          <w:rFonts w:ascii="宋体"/>
          <w:sz w:val="22"/>
        </w:rPr>
      </w:pPr>
      <w:r>
        <w:rPr>
          <w:rFonts w:ascii="宋体"/>
          <w:sz w:val="22"/>
        </w:rPr>
        <w:t>6</w:t>
      </w:r>
      <w:r>
        <w:rPr>
          <w:rFonts w:hint="eastAsia" w:ascii="宋体"/>
          <w:sz w:val="22"/>
        </w:rPr>
        <w:t>.与本投标有关的一切正式往来信函请寄：</w:t>
      </w:r>
    </w:p>
    <w:p>
      <w:pPr>
        <w:snapToGrid w:val="0"/>
        <w:spacing w:line="360" w:lineRule="auto"/>
        <w:rPr>
          <w:rFonts w:ascii="宋体"/>
          <w:sz w:val="22"/>
        </w:rPr>
      </w:pPr>
      <w:r>
        <w:rPr>
          <w:rFonts w:hint="eastAsia" w:ascii="宋体"/>
          <w:sz w:val="22"/>
        </w:rPr>
        <w:t>地址：</w:t>
      </w:r>
      <w:r>
        <w:rPr>
          <w:rFonts w:ascii="宋体"/>
          <w:sz w:val="22"/>
        </w:rPr>
        <w:t>__________        _____</w:t>
      </w:r>
      <w:r>
        <w:rPr>
          <w:rFonts w:hint="eastAsia" w:ascii="宋体"/>
          <w:sz w:val="22"/>
        </w:rPr>
        <w:t>邮编：</w:t>
      </w:r>
      <w:r>
        <w:rPr>
          <w:rFonts w:ascii="宋体"/>
          <w:sz w:val="22"/>
        </w:rPr>
        <w:t xml:space="preserve">__________   </w:t>
      </w:r>
      <w:r>
        <w:rPr>
          <w:rFonts w:hint="eastAsia" w:ascii="宋体"/>
          <w:sz w:val="22"/>
        </w:rPr>
        <w:t>电话：</w:t>
      </w:r>
      <w:r>
        <w:rPr>
          <w:rFonts w:ascii="宋体"/>
          <w:sz w:val="22"/>
        </w:rPr>
        <w:t>______________</w:t>
      </w:r>
    </w:p>
    <w:p>
      <w:pPr>
        <w:snapToGrid w:val="0"/>
        <w:spacing w:line="360" w:lineRule="auto"/>
        <w:rPr>
          <w:rFonts w:ascii="宋体"/>
          <w:sz w:val="22"/>
        </w:rPr>
      </w:pPr>
      <w:r>
        <w:rPr>
          <w:rFonts w:hint="eastAsia" w:ascii="宋体"/>
          <w:sz w:val="22"/>
        </w:rPr>
        <w:t>传真：</w:t>
      </w:r>
      <w:r>
        <w:rPr>
          <w:rFonts w:ascii="宋体"/>
          <w:sz w:val="22"/>
        </w:rPr>
        <w:t>______________</w:t>
      </w:r>
      <w:r>
        <w:rPr>
          <w:rFonts w:hint="eastAsia" w:ascii="宋体"/>
          <w:sz w:val="22"/>
        </w:rPr>
        <w:t>投标人代表姓名</w:t>
      </w:r>
      <w:r>
        <w:rPr>
          <w:rFonts w:ascii="宋体"/>
          <w:sz w:val="22"/>
        </w:rPr>
        <w:t xml:space="preserve"> ___________  </w:t>
      </w:r>
      <w:r>
        <w:rPr>
          <w:rFonts w:hint="eastAsia" w:ascii="宋体"/>
          <w:sz w:val="22"/>
        </w:rPr>
        <w:t>职务：</w:t>
      </w:r>
      <w:r>
        <w:rPr>
          <w:rFonts w:ascii="宋体"/>
          <w:sz w:val="22"/>
        </w:rPr>
        <w:t>______ _______</w:t>
      </w:r>
    </w:p>
    <w:p>
      <w:pPr>
        <w:snapToGrid w:val="0"/>
        <w:spacing w:line="360" w:lineRule="auto"/>
        <w:rPr>
          <w:rFonts w:ascii="宋体"/>
          <w:sz w:val="22"/>
        </w:rPr>
      </w:pPr>
      <w:r>
        <w:rPr>
          <w:rFonts w:hint="eastAsia" w:ascii="宋体"/>
          <w:sz w:val="22"/>
        </w:rPr>
        <w:t>投标人名称</w:t>
      </w:r>
      <w:r>
        <w:rPr>
          <w:rFonts w:ascii="宋体"/>
          <w:sz w:val="22"/>
        </w:rPr>
        <w:t>(</w:t>
      </w:r>
      <w:r>
        <w:rPr>
          <w:rFonts w:hint="eastAsia" w:ascii="宋体"/>
          <w:sz w:val="22"/>
        </w:rPr>
        <w:t>公章</w:t>
      </w:r>
      <w:r>
        <w:rPr>
          <w:rFonts w:ascii="宋体"/>
          <w:sz w:val="22"/>
        </w:rPr>
        <w:t>):___________________</w:t>
      </w:r>
    </w:p>
    <w:p>
      <w:pPr>
        <w:snapToGrid w:val="0"/>
        <w:spacing w:line="360" w:lineRule="auto"/>
        <w:rPr>
          <w:rFonts w:ascii="宋体"/>
          <w:sz w:val="22"/>
        </w:rPr>
      </w:pPr>
      <w:r>
        <w:rPr>
          <w:rFonts w:hint="eastAsia" w:ascii="宋体"/>
          <w:sz w:val="22"/>
        </w:rPr>
        <w:t>开户银行：</w:t>
      </w:r>
      <w:r>
        <w:rPr>
          <w:rFonts w:ascii="宋体"/>
          <w:sz w:val="22"/>
        </w:rPr>
        <w:t xml:space="preserve">                         </w:t>
      </w:r>
      <w:r>
        <w:rPr>
          <w:rFonts w:hint="eastAsia" w:ascii="宋体"/>
          <w:sz w:val="22"/>
        </w:rPr>
        <w:t>银行帐号：</w:t>
      </w:r>
      <w:r>
        <w:rPr>
          <w:rFonts w:ascii="宋体"/>
          <w:sz w:val="22"/>
        </w:rPr>
        <w:t xml:space="preserve">                     </w:t>
      </w:r>
    </w:p>
    <w:p>
      <w:pPr>
        <w:snapToGrid w:val="0"/>
        <w:spacing w:line="360" w:lineRule="auto"/>
        <w:jc w:val="center"/>
        <w:rPr>
          <w:rFonts w:ascii="宋体"/>
          <w:sz w:val="22"/>
        </w:rPr>
      </w:pPr>
      <w:r>
        <w:rPr>
          <w:rFonts w:hint="eastAsia" w:ascii="宋体"/>
          <w:sz w:val="22"/>
        </w:rPr>
        <w:t>授权代表签字</w:t>
      </w:r>
      <w:r>
        <w:rPr>
          <w:rFonts w:ascii="宋体"/>
          <w:sz w:val="22"/>
        </w:rPr>
        <w:t xml:space="preserve">:___________                      </w:t>
      </w:r>
      <w:r>
        <w:rPr>
          <w:rFonts w:hint="eastAsia" w:ascii="宋体"/>
          <w:sz w:val="22"/>
        </w:rPr>
        <w:t>日期</w:t>
      </w:r>
      <w:r>
        <w:rPr>
          <w:rFonts w:ascii="宋体"/>
          <w:sz w:val="22"/>
        </w:rPr>
        <w:t>:_____</w:t>
      </w:r>
      <w:r>
        <w:rPr>
          <w:rFonts w:hint="eastAsia" w:ascii="宋体"/>
          <w:sz w:val="22"/>
        </w:rPr>
        <w:t>年</w:t>
      </w:r>
      <w:r>
        <w:rPr>
          <w:rFonts w:ascii="宋体"/>
          <w:sz w:val="22"/>
        </w:rPr>
        <w:t>___</w:t>
      </w:r>
      <w:r>
        <w:rPr>
          <w:rFonts w:hint="eastAsia" w:ascii="宋体"/>
          <w:sz w:val="22"/>
        </w:rPr>
        <w:t>月</w:t>
      </w:r>
      <w:r>
        <w:rPr>
          <w:rFonts w:ascii="宋体"/>
          <w:sz w:val="22"/>
        </w:rPr>
        <w:t>___</w:t>
      </w:r>
      <w:r>
        <w:rPr>
          <w:rFonts w:hint="eastAsia" w:ascii="宋体"/>
          <w:sz w:val="22"/>
        </w:rPr>
        <w:t>日</w:t>
      </w:r>
    </w:p>
    <w:p>
      <w:pPr>
        <w:autoSpaceDE w:val="0"/>
        <w:autoSpaceDN w:val="0"/>
        <w:adjustRightInd w:val="0"/>
        <w:spacing w:line="460" w:lineRule="exact"/>
        <w:rPr>
          <w:rFonts w:ascii="宋体"/>
          <w:sz w:val="22"/>
        </w:rPr>
      </w:pPr>
    </w:p>
    <w:p>
      <w:pPr>
        <w:snapToGrid w:val="0"/>
        <w:spacing w:line="500" w:lineRule="atLeast"/>
        <w:rPr>
          <w:rFonts w:ascii="宋体"/>
          <w:sz w:val="30"/>
          <w:szCs w:val="30"/>
        </w:rPr>
      </w:pPr>
    </w:p>
    <w:p>
      <w:pPr>
        <w:autoSpaceDE w:val="0"/>
        <w:autoSpaceDN w:val="0"/>
        <w:adjustRightInd w:val="0"/>
        <w:spacing w:line="460" w:lineRule="atLeast"/>
        <w:rPr>
          <w:rFonts w:ascii="宋体"/>
          <w:sz w:val="32"/>
          <w:lang w:val="zh-CN"/>
        </w:rPr>
      </w:pPr>
    </w:p>
    <w:p>
      <w:pPr>
        <w:rPr>
          <w:rFonts w:ascii="宋体" w:hAnsi="Courier New" w:cs="Arial"/>
          <w:sz w:val="22"/>
        </w:rPr>
      </w:pPr>
      <w:r>
        <w:rPr>
          <w:rFonts w:hint="eastAsia" w:ascii="宋体" w:hAnsi="Courier New" w:cs="Arial"/>
          <w:sz w:val="22"/>
        </w:rPr>
        <w:br w:type="page"/>
      </w:r>
    </w:p>
    <w:p>
      <w:pPr>
        <w:autoSpaceDE w:val="0"/>
        <w:autoSpaceDN w:val="0"/>
        <w:adjustRightInd w:val="0"/>
        <w:spacing w:line="460" w:lineRule="atLeast"/>
        <w:rPr>
          <w:rFonts w:ascii="宋体"/>
          <w:sz w:val="32"/>
          <w:lang w:val="zh-CN"/>
        </w:rPr>
      </w:pPr>
      <w:r>
        <w:rPr>
          <w:rFonts w:hint="eastAsia" w:ascii="宋体" w:hAnsi="Courier New" w:cs="Arial"/>
          <w:sz w:val="22"/>
        </w:rPr>
        <w:t>附件九</w:t>
      </w:r>
    </w:p>
    <w:p>
      <w:pPr>
        <w:tabs>
          <w:tab w:val="left" w:pos="1080"/>
        </w:tabs>
        <w:autoSpaceDE w:val="0"/>
        <w:autoSpaceDN w:val="0"/>
        <w:adjustRightInd w:val="0"/>
        <w:spacing w:line="460" w:lineRule="atLeast"/>
        <w:jc w:val="center"/>
        <w:rPr>
          <w:rFonts w:ascii="宋体" w:cs="仿宋_GB2312"/>
          <w:sz w:val="36"/>
          <w:szCs w:val="36"/>
          <w:lang w:val="zh-CN"/>
        </w:rPr>
      </w:pPr>
      <w:r>
        <w:rPr>
          <w:rFonts w:hint="eastAsia" w:ascii="宋体" w:cs="仿宋_GB2312"/>
          <w:sz w:val="36"/>
          <w:szCs w:val="36"/>
          <w:lang w:val="zh-CN"/>
        </w:rPr>
        <w:t>法定代表人授权书</w:t>
      </w:r>
    </w:p>
    <w:p>
      <w:pPr>
        <w:spacing w:line="460" w:lineRule="exact"/>
        <w:rPr>
          <w:rFonts w:ascii="宋体" w:cs="黑体"/>
          <w:sz w:val="22"/>
          <w:u w:val="single"/>
        </w:rPr>
      </w:pPr>
      <w:r>
        <w:rPr>
          <w:rFonts w:hint="eastAsia" w:ascii="宋体" w:cs="黑体"/>
          <w:sz w:val="22"/>
          <w:u w:val="single"/>
        </w:rPr>
        <w:t>金华市政府采购中心：</w:t>
      </w:r>
    </w:p>
    <w:p>
      <w:pPr>
        <w:snapToGrid w:val="0"/>
        <w:spacing w:line="580" w:lineRule="atLeast"/>
        <w:ind w:firstLine="440" w:firstLineChars="200"/>
        <w:rPr>
          <w:rFonts w:ascii="宋体"/>
          <w:sz w:val="22"/>
        </w:rPr>
      </w:pPr>
      <w:r>
        <w:rPr>
          <w:rFonts w:hint="eastAsia" w:ascii="宋体"/>
          <w:sz w:val="22"/>
        </w:rPr>
        <w:t>本授权委托书声明：我</w:t>
      </w:r>
      <w:r>
        <w:rPr>
          <w:rFonts w:hint="eastAsia" w:ascii="宋体"/>
          <w:sz w:val="22"/>
          <w:u w:val="single"/>
        </w:rPr>
        <w:t xml:space="preserve">   （法定代表人姓名）   </w:t>
      </w:r>
      <w:r>
        <w:rPr>
          <w:rFonts w:hint="eastAsia" w:ascii="宋体"/>
          <w:sz w:val="22"/>
        </w:rPr>
        <w:t>系</w:t>
      </w:r>
      <w:r>
        <w:rPr>
          <w:rFonts w:hint="eastAsia" w:ascii="宋体"/>
          <w:sz w:val="22"/>
          <w:u w:val="single"/>
        </w:rPr>
        <w:t xml:space="preserve">   （供 应 商 名 称）  </w:t>
      </w:r>
      <w:r>
        <w:rPr>
          <w:rFonts w:hint="eastAsia" w:ascii="宋体"/>
          <w:sz w:val="22"/>
        </w:rPr>
        <w:t>的法定代表人，现授权委托</w:t>
      </w:r>
      <w:r>
        <w:rPr>
          <w:rFonts w:hint="eastAsia" w:ascii="宋体"/>
          <w:sz w:val="22"/>
          <w:u w:val="single"/>
        </w:rPr>
        <w:t xml:space="preserve">  （单 位 名 称）   </w:t>
      </w:r>
      <w:r>
        <w:rPr>
          <w:rFonts w:hint="eastAsia" w:ascii="宋体"/>
          <w:sz w:val="22"/>
        </w:rPr>
        <w:t>的</w:t>
      </w:r>
      <w:r>
        <w:rPr>
          <w:rFonts w:hint="eastAsia" w:ascii="宋体"/>
          <w:sz w:val="22"/>
          <w:u w:val="single"/>
        </w:rPr>
        <w:t xml:space="preserve">  （授权代表姓名）  </w:t>
      </w:r>
      <w:r>
        <w:rPr>
          <w:rFonts w:hint="eastAsia" w:ascii="宋体"/>
          <w:sz w:val="22"/>
        </w:rPr>
        <w:t>为我公司法定代表人授权代表，参加贵处组织的</w:t>
      </w:r>
      <w:r>
        <w:rPr>
          <w:rFonts w:hint="eastAsia" w:ascii="宋体"/>
          <w:sz w:val="22"/>
          <w:u w:val="single"/>
        </w:rPr>
        <w:t xml:space="preserve">  （招标项目名称，括号中填写项目编号）  </w:t>
      </w:r>
      <w:r>
        <w:rPr>
          <w:rFonts w:hint="eastAsia" w:ascii="宋体"/>
          <w:sz w:val="22"/>
        </w:rPr>
        <w:t>项目投标，全权处理本次招投标活动中的一切事宜，我承认授权代表全权代表本项目的投标文件的内容。</w:t>
      </w:r>
    </w:p>
    <w:p>
      <w:pPr>
        <w:snapToGrid w:val="0"/>
        <w:spacing w:line="580" w:lineRule="atLeast"/>
        <w:ind w:firstLine="440" w:firstLineChars="200"/>
        <w:rPr>
          <w:rFonts w:ascii="宋体"/>
          <w:sz w:val="22"/>
        </w:rPr>
      </w:pPr>
      <w:r>
        <w:rPr>
          <w:rFonts w:hint="eastAsia" w:ascii="宋体"/>
          <w:sz w:val="22"/>
        </w:rPr>
        <w:t>授权代表无转授权，特此授权。</w:t>
      </w:r>
    </w:p>
    <w:p>
      <w:pPr>
        <w:snapToGrid w:val="0"/>
        <w:ind w:left="2092" w:leftChars="996" w:firstLine="330" w:firstLineChars="150"/>
        <w:rPr>
          <w:rFonts w:ascii="宋体"/>
          <w:sz w:val="22"/>
          <w:u w:val="single"/>
        </w:rPr>
      </w:pPr>
      <w:r>
        <w:rPr>
          <w:rFonts w:hint="eastAsia" w:ascii="宋体"/>
          <w:sz w:val="22"/>
        </w:rPr>
        <w:t xml:space="preserve"> 授权代表：</w:t>
      </w:r>
      <w:r>
        <w:rPr>
          <w:rFonts w:hint="eastAsia" w:ascii="宋体"/>
          <w:sz w:val="22"/>
          <w:u w:val="single"/>
        </w:rPr>
        <w:t xml:space="preserve">          </w:t>
      </w:r>
      <w:r>
        <w:rPr>
          <w:rFonts w:hint="eastAsia" w:ascii="宋体"/>
          <w:sz w:val="22"/>
        </w:rPr>
        <w:t xml:space="preserve"> 性别 ：</w:t>
      </w:r>
      <w:r>
        <w:rPr>
          <w:rFonts w:hint="eastAsia" w:ascii="宋体"/>
          <w:sz w:val="22"/>
          <w:u w:val="single"/>
        </w:rPr>
        <w:t xml:space="preserve">         </w:t>
      </w:r>
      <w:r>
        <w:rPr>
          <w:rFonts w:hint="eastAsia" w:ascii="宋体"/>
          <w:sz w:val="22"/>
        </w:rPr>
        <w:t xml:space="preserve"> 年龄：</w:t>
      </w:r>
      <w:r>
        <w:rPr>
          <w:rFonts w:hint="eastAsia" w:ascii="宋体"/>
          <w:sz w:val="22"/>
          <w:u w:val="single"/>
        </w:rPr>
        <w:t xml:space="preserve">         </w:t>
      </w:r>
      <w:r>
        <w:rPr>
          <w:rFonts w:hint="eastAsia" w:ascii="宋体"/>
          <w:sz w:val="22"/>
        </w:rPr>
        <w:t xml:space="preserve"> </w:t>
      </w:r>
    </w:p>
    <w:p>
      <w:pPr>
        <w:snapToGrid w:val="0"/>
        <w:ind w:left="2100" w:leftChars="1000" w:firstLine="440" w:firstLineChars="200"/>
        <w:rPr>
          <w:rFonts w:ascii="宋体"/>
          <w:sz w:val="22"/>
          <w:u w:val="single"/>
        </w:rPr>
      </w:pPr>
      <w:r>
        <w:rPr>
          <w:rFonts w:hint="eastAsia" w:ascii="宋体"/>
          <w:sz w:val="22"/>
        </w:rPr>
        <w:t>详细通讯地址：</w:t>
      </w:r>
      <w:r>
        <w:rPr>
          <w:rFonts w:hint="eastAsia" w:ascii="宋体"/>
          <w:sz w:val="22"/>
          <w:u w:val="single"/>
        </w:rPr>
        <w:t xml:space="preserve">                  </w:t>
      </w:r>
      <w:r>
        <w:rPr>
          <w:rFonts w:hint="eastAsia" w:ascii="宋体"/>
          <w:sz w:val="22"/>
        </w:rPr>
        <w:t xml:space="preserve"> 邮政编码：</w:t>
      </w:r>
      <w:r>
        <w:rPr>
          <w:rFonts w:hint="eastAsia" w:ascii="宋体"/>
          <w:sz w:val="22"/>
          <w:u w:val="single"/>
        </w:rPr>
        <w:t xml:space="preserve">           </w:t>
      </w:r>
    </w:p>
    <w:p>
      <w:pPr>
        <w:snapToGrid w:val="0"/>
        <w:ind w:left="1" w:firstLine="2510" w:firstLineChars="1141"/>
        <w:rPr>
          <w:rFonts w:ascii="宋体"/>
          <w:sz w:val="22"/>
          <w:u w:val="single"/>
        </w:rPr>
      </w:pPr>
      <w:r>
        <w:rPr>
          <w:rFonts w:hint="eastAsia" w:ascii="宋体"/>
          <w:sz w:val="22"/>
        </w:rPr>
        <w:t>电话：</w:t>
      </w:r>
      <w:r>
        <w:rPr>
          <w:rFonts w:hint="eastAsia" w:ascii="宋体"/>
          <w:sz w:val="22"/>
          <w:u w:val="single"/>
        </w:rPr>
        <w:t xml:space="preserve">                   </w:t>
      </w:r>
      <w:r>
        <w:rPr>
          <w:rFonts w:hint="eastAsia" w:ascii="宋体"/>
          <w:sz w:val="22"/>
        </w:rPr>
        <w:t xml:space="preserve"> 传真：</w:t>
      </w:r>
      <w:r>
        <w:rPr>
          <w:rFonts w:hint="eastAsia" w:ascii="宋体"/>
          <w:sz w:val="22"/>
          <w:u w:val="single"/>
        </w:rPr>
        <w:t xml:space="preserve">                      </w:t>
      </w:r>
    </w:p>
    <w:p>
      <w:pPr>
        <w:snapToGrid w:val="0"/>
        <w:ind w:left="1" w:firstLine="422" w:firstLineChars="192"/>
        <w:rPr>
          <w:rFonts w:ascii="宋体"/>
          <w:sz w:val="22"/>
        </w:rPr>
      </w:pPr>
      <w:r>
        <w:rPr>
          <w:rFonts w:hint="eastAsia" w:ascii="宋体"/>
          <w:sz w:val="22"/>
        </w:rPr>
        <w:t xml:space="preserve">                   投标供应商：</w:t>
      </w:r>
      <w:r>
        <w:rPr>
          <w:rFonts w:hint="eastAsia" w:ascii="宋体"/>
          <w:sz w:val="22"/>
          <w:u w:val="single"/>
        </w:rPr>
        <w:t xml:space="preserve">                                      （盖章）</w:t>
      </w:r>
    </w:p>
    <w:p>
      <w:pPr>
        <w:snapToGrid w:val="0"/>
        <w:ind w:left="2100" w:right="440"/>
        <w:jc w:val="center"/>
        <w:rPr>
          <w:rFonts w:ascii="宋体"/>
          <w:sz w:val="22"/>
        </w:rPr>
      </w:pPr>
      <w:r>
        <w:rPr>
          <w:rFonts w:hint="eastAsia" w:ascii="宋体"/>
          <w:sz w:val="22"/>
        </w:rPr>
        <w:t xml:space="preserve">   法定代表人：</w:t>
      </w:r>
      <w:r>
        <w:rPr>
          <w:rFonts w:hint="eastAsia" w:ascii="宋体"/>
          <w:sz w:val="22"/>
          <w:u w:val="single"/>
        </w:rPr>
        <w:t xml:space="preserve">                                  （签字或盖章）</w:t>
      </w:r>
    </w:p>
    <w:p>
      <w:pPr>
        <w:pStyle w:val="13"/>
        <w:adjustRightInd w:val="0"/>
        <w:snapToGrid w:val="0"/>
        <w:spacing w:before="120" w:after="120" w:line="240" w:lineRule="auto"/>
        <w:ind w:firstLine="2530" w:firstLineChars="1150"/>
        <w:rPr>
          <w:rFonts w:hAnsi="宋体"/>
          <w:sz w:val="22"/>
          <w:szCs w:val="22"/>
        </w:rPr>
      </w:pPr>
      <w:r>
        <w:rPr>
          <w:rFonts w:hint="eastAsia" w:hAnsi="宋体"/>
          <w:sz w:val="22"/>
          <w:szCs w:val="22"/>
        </w:rPr>
        <w:t>授权委托日期：</w:t>
      </w:r>
      <w:r>
        <w:rPr>
          <w:rFonts w:hint="eastAsia" w:hAnsi="宋体"/>
          <w:sz w:val="22"/>
          <w:szCs w:val="22"/>
          <w:u w:val="single"/>
        </w:rPr>
        <w:t xml:space="preserve">     </w:t>
      </w:r>
      <w:r>
        <w:rPr>
          <w:rFonts w:hint="eastAsia" w:hAnsi="宋体"/>
          <w:sz w:val="22"/>
          <w:szCs w:val="22"/>
        </w:rPr>
        <w:t xml:space="preserve">年 </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w:t>
      </w:r>
    </w:p>
    <w:tbl>
      <w:tblPr>
        <w:tblStyle w:val="2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pPr>
              <w:pStyle w:val="13"/>
              <w:spacing w:before="120" w:after="120" w:line="440" w:lineRule="atLeast"/>
              <w:jc w:val="center"/>
              <w:rPr>
                <w:rFonts w:hAnsi="宋体"/>
                <w:sz w:val="36"/>
              </w:rPr>
            </w:pPr>
            <w:r>
              <w:rPr>
                <w:rFonts w:hint="eastAsia" w:hAnsi="宋体"/>
                <w:sz w:val="36"/>
              </w:rPr>
              <w:t>粘贴授权代表身份证复印件或影印件</w:t>
            </w:r>
          </w:p>
        </w:tc>
      </w:tr>
    </w:tbl>
    <w:p>
      <w:pPr>
        <w:pStyle w:val="13"/>
        <w:adjustRightInd w:val="0"/>
        <w:snapToGrid w:val="0"/>
        <w:spacing w:before="120" w:after="120" w:line="580" w:lineRule="atLeast"/>
        <w:jc w:val="center"/>
        <w:rPr>
          <w:rFonts w:hAnsi="宋体"/>
          <w:sz w:val="22"/>
          <w:szCs w:val="22"/>
        </w:rPr>
      </w:pPr>
    </w:p>
    <w:p>
      <w:pPr>
        <w:pStyle w:val="13"/>
        <w:snapToGrid w:val="0"/>
        <w:spacing w:before="120" w:after="120" w:line="580" w:lineRule="atLeast"/>
        <w:rPr>
          <w:rFonts w:hAnsi="宋体" w:cs="Arial"/>
          <w:sz w:val="22"/>
          <w:szCs w:val="22"/>
          <w:u w:val="thick"/>
        </w:rPr>
      </w:pPr>
    </w:p>
    <w:p>
      <w:pPr>
        <w:pStyle w:val="13"/>
        <w:snapToGrid w:val="0"/>
        <w:spacing w:before="120" w:after="120" w:line="580" w:lineRule="atLeast"/>
        <w:rPr>
          <w:rFonts w:hAnsi="宋体" w:cs="Arial"/>
          <w:sz w:val="22"/>
          <w:szCs w:val="22"/>
          <w:u w:val="thick"/>
        </w:rPr>
      </w:pPr>
    </w:p>
    <w:p>
      <w:pPr>
        <w:pStyle w:val="13"/>
        <w:snapToGrid w:val="0"/>
        <w:spacing w:before="120" w:after="120" w:line="580" w:lineRule="atLeast"/>
        <w:rPr>
          <w:rFonts w:hAnsi="宋体" w:cs="Arial"/>
          <w:sz w:val="22"/>
          <w:szCs w:val="22"/>
          <w:u w:val="thick"/>
        </w:rPr>
      </w:pPr>
    </w:p>
    <w:p>
      <w:pPr>
        <w:pStyle w:val="13"/>
        <w:adjustRightInd w:val="0"/>
        <w:snapToGrid w:val="0"/>
        <w:spacing w:before="120" w:after="120" w:line="360" w:lineRule="exact"/>
        <w:rPr>
          <w:rFonts w:hAnsi="宋体"/>
          <w:sz w:val="22"/>
        </w:rPr>
      </w:pPr>
    </w:p>
    <w:tbl>
      <w:tblPr>
        <w:tblStyle w:val="2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pPr>
              <w:pStyle w:val="13"/>
              <w:spacing w:before="120" w:after="120" w:line="440" w:lineRule="atLeast"/>
              <w:jc w:val="center"/>
              <w:rPr>
                <w:rFonts w:hAnsi="宋体"/>
                <w:sz w:val="36"/>
              </w:rPr>
            </w:pPr>
            <w:r>
              <w:rPr>
                <w:rFonts w:hint="eastAsia" w:hAnsi="宋体"/>
                <w:sz w:val="36"/>
              </w:rPr>
              <w:t>粘贴法定代表人身份证复印件或影印件</w:t>
            </w:r>
          </w:p>
        </w:tc>
      </w:tr>
    </w:tbl>
    <w:p>
      <w:pPr>
        <w:pStyle w:val="13"/>
        <w:snapToGrid w:val="0"/>
        <w:spacing w:before="120" w:after="120" w:line="580" w:lineRule="atLeast"/>
        <w:rPr>
          <w:rFonts w:hAnsi="宋体" w:cs="Arial"/>
          <w:sz w:val="22"/>
          <w:szCs w:val="22"/>
          <w:u w:val="thick"/>
        </w:rPr>
      </w:pPr>
    </w:p>
    <w:p>
      <w:pPr>
        <w:pStyle w:val="13"/>
        <w:snapToGrid w:val="0"/>
        <w:spacing w:before="120" w:after="120" w:line="580" w:lineRule="atLeast"/>
        <w:rPr>
          <w:rFonts w:hAnsi="宋体" w:cs="Arial"/>
          <w:sz w:val="22"/>
          <w:szCs w:val="22"/>
          <w:u w:val="thick"/>
        </w:rPr>
      </w:pPr>
    </w:p>
    <w:p>
      <w:pPr>
        <w:snapToGrid w:val="0"/>
        <w:spacing w:line="500" w:lineRule="atLeast"/>
        <w:rPr>
          <w:rFonts w:ascii="宋体"/>
          <w:sz w:val="30"/>
          <w:szCs w:val="30"/>
        </w:rPr>
      </w:pPr>
    </w:p>
    <w:p>
      <w:pPr>
        <w:snapToGrid w:val="0"/>
        <w:spacing w:line="500" w:lineRule="atLeast"/>
        <w:rPr>
          <w:rFonts w:ascii="宋体"/>
          <w:sz w:val="30"/>
          <w:szCs w:val="30"/>
        </w:rPr>
      </w:pPr>
    </w:p>
    <w:p>
      <w:pPr>
        <w:autoSpaceDE w:val="0"/>
        <w:autoSpaceDN w:val="0"/>
        <w:adjustRightInd w:val="0"/>
        <w:snapToGrid w:val="0"/>
        <w:spacing w:line="460" w:lineRule="atLeast"/>
        <w:ind w:firstLine="440" w:firstLineChars="200"/>
        <w:textAlignment w:val="bottom"/>
        <w:rPr>
          <w:rFonts w:ascii="宋体" w:cs="Arial"/>
          <w:sz w:val="22"/>
        </w:rPr>
      </w:pPr>
      <w:r>
        <w:rPr>
          <w:rFonts w:hint="eastAsia" w:ascii="宋体" w:cs="Arial"/>
          <w:sz w:val="22"/>
        </w:rPr>
        <w:t>注：法定代表人授权书中法定代表人必须签字或盖章，否则做无效投标处理</w:t>
      </w:r>
      <w:r>
        <w:rPr>
          <w:rFonts w:ascii="宋体" w:cs="Arial"/>
          <w:sz w:val="22"/>
        </w:rPr>
        <w:t>。</w:t>
      </w:r>
    </w:p>
    <w:p>
      <w:pPr>
        <w:snapToGrid w:val="0"/>
        <w:spacing w:line="500" w:lineRule="atLeast"/>
        <w:rPr>
          <w:rFonts w:ascii="宋体"/>
          <w:sz w:val="30"/>
          <w:szCs w:val="30"/>
        </w:rPr>
      </w:pPr>
      <w:r>
        <w:rPr>
          <w:rFonts w:ascii="宋体"/>
          <w:sz w:val="30"/>
          <w:szCs w:val="30"/>
        </w:rPr>
        <w:br w:type="page"/>
      </w:r>
      <w:r>
        <w:rPr>
          <w:rFonts w:hint="eastAsia" w:ascii="宋体" w:hAnsi="Courier New" w:cs="Arial"/>
          <w:sz w:val="22"/>
        </w:rPr>
        <w:t>附件十</w:t>
      </w:r>
    </w:p>
    <w:p>
      <w:pPr>
        <w:snapToGrid w:val="0"/>
        <w:spacing w:line="500" w:lineRule="atLeast"/>
        <w:jc w:val="center"/>
        <w:rPr>
          <w:rFonts w:ascii="宋体"/>
          <w:sz w:val="36"/>
          <w:szCs w:val="36"/>
          <w:lang w:val="zh-CN"/>
        </w:rPr>
      </w:pPr>
      <w:r>
        <w:rPr>
          <w:rFonts w:hint="eastAsia" w:ascii="宋体"/>
          <w:sz w:val="36"/>
          <w:szCs w:val="36"/>
          <w:lang w:val="zh-CN"/>
        </w:rPr>
        <w:t>法定代表人诚信投标承诺书</w:t>
      </w:r>
    </w:p>
    <w:p>
      <w:pPr>
        <w:spacing w:line="460" w:lineRule="atLeast"/>
        <w:jc w:val="left"/>
        <w:rPr>
          <w:rFonts w:ascii="宋体"/>
          <w:sz w:val="22"/>
        </w:rPr>
      </w:pPr>
      <w:r>
        <w:rPr>
          <w:rFonts w:hint="eastAsia" w:ascii="宋体"/>
          <w:sz w:val="22"/>
        </w:rPr>
        <w:t>本人以企业法定代表人的身份郑重承诺：</w:t>
      </w:r>
    </w:p>
    <w:p>
      <w:pPr>
        <w:spacing w:line="460" w:lineRule="atLeast"/>
        <w:ind w:firstLine="440" w:firstLineChars="200"/>
        <w:jc w:val="left"/>
        <w:rPr>
          <w:rFonts w:ascii="宋体"/>
          <w:sz w:val="22"/>
        </w:rPr>
      </w:pPr>
      <w:r>
        <w:rPr>
          <w:rFonts w:hint="eastAsia" w:ascii="宋体"/>
          <w:sz w:val="22"/>
        </w:rPr>
        <w:t>将遵循公开、公平、公正和诚信信用的原则参加</w:t>
      </w:r>
      <w:r>
        <w:rPr>
          <w:rFonts w:hint="eastAsia" w:ascii="宋体" w:cs="楷体_GB2312"/>
          <w:sz w:val="22"/>
          <w:u w:val="single"/>
        </w:rPr>
        <w:t xml:space="preserve">              项目（招标编号：   ）</w:t>
      </w:r>
      <w:r>
        <w:rPr>
          <w:rFonts w:hint="eastAsia" w:ascii="宋体"/>
          <w:sz w:val="22"/>
        </w:rPr>
        <w:t>的投标；</w:t>
      </w:r>
    </w:p>
    <w:p>
      <w:pPr>
        <w:spacing w:line="460" w:lineRule="atLeast"/>
        <w:ind w:firstLine="440" w:firstLineChars="200"/>
        <w:jc w:val="left"/>
        <w:rPr>
          <w:rFonts w:ascii="宋体"/>
          <w:sz w:val="22"/>
          <w:u w:val="single"/>
        </w:rPr>
      </w:pPr>
      <w:r>
        <w:rPr>
          <w:rFonts w:hint="eastAsia" w:ascii="宋体"/>
          <w:sz w:val="22"/>
        </w:rPr>
        <w:t>一、杜绝以收取管理费等形式的一切挂靠、违法转包、分包行为；并选派有丰富经验、无不良行为记录的项目管理人员、技术人员，严格按招标文件、投标文件及合同等要求保证拟派人员的到岗率。</w:t>
      </w:r>
    </w:p>
    <w:p>
      <w:pPr>
        <w:spacing w:line="460" w:lineRule="atLeast"/>
        <w:ind w:firstLine="440" w:firstLineChars="200"/>
        <w:jc w:val="left"/>
        <w:rPr>
          <w:rFonts w:ascii="宋体"/>
          <w:sz w:val="22"/>
        </w:rPr>
      </w:pPr>
      <w:r>
        <w:rPr>
          <w:rFonts w:hint="eastAsia" w:ascii="宋体"/>
          <w:sz w:val="22"/>
        </w:rPr>
        <w:t>二、投标文件所提供的一切材料都是真实、有效、合法的。</w:t>
      </w:r>
    </w:p>
    <w:p>
      <w:pPr>
        <w:spacing w:line="460" w:lineRule="atLeast"/>
        <w:ind w:firstLine="440" w:firstLineChars="200"/>
        <w:jc w:val="left"/>
        <w:rPr>
          <w:rFonts w:ascii="宋体"/>
          <w:sz w:val="22"/>
        </w:rPr>
      </w:pPr>
      <w:r>
        <w:rPr>
          <w:rFonts w:hint="eastAsia" w:ascii="宋体"/>
          <w:sz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sz w:val="22"/>
        </w:rPr>
      </w:pPr>
      <w:r>
        <w:rPr>
          <w:rFonts w:hint="eastAsia" w:ascii="宋体"/>
          <w:sz w:val="22"/>
        </w:rPr>
        <w:t>四、不与采购人或采购机构串通投标，不损害国家利益，社会公共利益或其他人的合法权益。</w:t>
      </w:r>
    </w:p>
    <w:p>
      <w:pPr>
        <w:spacing w:line="460" w:lineRule="atLeast"/>
        <w:ind w:firstLine="440" w:firstLineChars="200"/>
        <w:jc w:val="left"/>
        <w:rPr>
          <w:rFonts w:ascii="宋体"/>
          <w:sz w:val="22"/>
        </w:rPr>
      </w:pPr>
      <w:r>
        <w:rPr>
          <w:rFonts w:hint="eastAsia" w:ascii="宋体"/>
          <w:sz w:val="22"/>
        </w:rPr>
        <w:t>五、不向采购人或者评标委员会成员行贿以牟取中标。</w:t>
      </w:r>
    </w:p>
    <w:p>
      <w:pPr>
        <w:spacing w:line="460" w:lineRule="atLeast"/>
        <w:ind w:firstLine="440" w:firstLineChars="200"/>
        <w:jc w:val="left"/>
        <w:rPr>
          <w:rFonts w:ascii="宋体"/>
          <w:sz w:val="22"/>
        </w:rPr>
      </w:pPr>
      <w:r>
        <w:rPr>
          <w:rFonts w:hint="eastAsia" w:ascii="宋体"/>
          <w:sz w:val="22"/>
        </w:rPr>
        <w:t>六、不以其他人名义投标或者以其他方式弄虚作假，骗取中标。</w:t>
      </w:r>
    </w:p>
    <w:p>
      <w:pPr>
        <w:spacing w:line="460" w:lineRule="atLeast"/>
        <w:ind w:firstLine="440" w:firstLineChars="200"/>
        <w:jc w:val="left"/>
        <w:rPr>
          <w:rFonts w:ascii="宋体"/>
          <w:sz w:val="22"/>
        </w:rPr>
      </w:pPr>
      <w:r>
        <w:rPr>
          <w:rFonts w:hint="eastAsia" w:ascii="宋体"/>
          <w:sz w:val="22"/>
        </w:rPr>
        <w:t>七、不在开标后进行虚假恶意投诉。</w:t>
      </w:r>
    </w:p>
    <w:p>
      <w:pPr>
        <w:spacing w:line="460" w:lineRule="atLeast"/>
        <w:ind w:firstLine="440" w:firstLineChars="200"/>
        <w:jc w:val="left"/>
        <w:rPr>
          <w:rFonts w:ascii="宋体"/>
          <w:sz w:val="22"/>
        </w:rPr>
      </w:pPr>
      <w:r>
        <w:rPr>
          <w:rFonts w:hint="eastAsia" w:ascii="宋体"/>
          <w:sz w:val="22"/>
        </w:rPr>
        <w:t>八、我单位没有被政府机关</w:t>
      </w:r>
      <w:r>
        <w:rPr>
          <w:rFonts w:ascii="宋体"/>
          <w:sz w:val="22"/>
        </w:rPr>
        <w:t>列入失信被执行人</w:t>
      </w:r>
      <w:r>
        <w:rPr>
          <w:rFonts w:hint="eastAsia" w:ascii="宋体"/>
          <w:sz w:val="22"/>
        </w:rPr>
        <w:t>名单</w:t>
      </w:r>
      <w:r>
        <w:rPr>
          <w:rFonts w:ascii="宋体"/>
          <w:sz w:val="22"/>
        </w:rPr>
        <w:t>、重大税收违法案件当事人名单、政府采购严重违法失信行为记录名单及其他不符合《中华人民共和国政府采购法》第二十二条规定条件</w:t>
      </w:r>
      <w:r>
        <w:rPr>
          <w:rFonts w:hint="eastAsia" w:ascii="宋体"/>
          <w:sz w:val="22"/>
        </w:rPr>
        <w:t>的情形（《中华人民共和国政府采购法实施条例》第十九条规定的情形除外）。</w:t>
      </w:r>
    </w:p>
    <w:p>
      <w:pPr>
        <w:spacing w:line="460" w:lineRule="atLeast"/>
        <w:ind w:firstLine="440" w:firstLineChars="200"/>
        <w:rPr>
          <w:rFonts w:ascii="宋体"/>
          <w:sz w:val="22"/>
        </w:rPr>
      </w:pPr>
      <w:r>
        <w:rPr>
          <w:rFonts w:hint="eastAsia" w:ascii="宋体"/>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ascii="宋体"/>
          <w:sz w:val="22"/>
        </w:rPr>
      </w:pPr>
    </w:p>
    <w:p>
      <w:pPr>
        <w:spacing w:line="460" w:lineRule="atLeast"/>
        <w:ind w:right="1120"/>
        <w:rPr>
          <w:rFonts w:ascii="宋体"/>
          <w:sz w:val="22"/>
        </w:rPr>
      </w:pPr>
      <w:r>
        <w:rPr>
          <w:rFonts w:hint="eastAsia" w:ascii="宋体"/>
          <w:sz w:val="22"/>
        </w:rPr>
        <w:t>投标供应商（盖章）</w:t>
      </w:r>
    </w:p>
    <w:p>
      <w:pPr>
        <w:spacing w:line="460" w:lineRule="atLeast"/>
        <w:ind w:right="1120"/>
        <w:rPr>
          <w:rFonts w:ascii="宋体"/>
          <w:sz w:val="22"/>
        </w:rPr>
      </w:pPr>
      <w:r>
        <w:rPr>
          <w:rFonts w:hint="eastAsia" w:ascii="宋体"/>
          <w:sz w:val="22"/>
        </w:rPr>
        <w:t>法定代表人（签字或盖章）：</w:t>
      </w:r>
    </w:p>
    <w:p>
      <w:pPr>
        <w:snapToGrid w:val="0"/>
        <w:spacing w:line="500" w:lineRule="atLeast"/>
        <w:rPr>
          <w:rFonts w:ascii="宋体"/>
          <w:sz w:val="30"/>
          <w:szCs w:val="30"/>
        </w:rPr>
      </w:pPr>
      <w:r>
        <w:rPr>
          <w:rFonts w:hint="eastAsia" w:ascii="宋体"/>
          <w:sz w:val="22"/>
        </w:rPr>
        <w:t xml:space="preserve">承诺书签署日期：  </w:t>
      </w:r>
    </w:p>
    <w:p>
      <w:pPr>
        <w:autoSpaceDE w:val="0"/>
        <w:autoSpaceDN w:val="0"/>
        <w:adjustRightInd w:val="0"/>
        <w:spacing w:line="460" w:lineRule="atLeast"/>
        <w:jc w:val="left"/>
        <w:rPr>
          <w:rFonts w:ascii="宋体"/>
          <w:sz w:val="32"/>
        </w:rPr>
      </w:pPr>
    </w:p>
    <w:p>
      <w:pPr>
        <w:autoSpaceDE w:val="0"/>
        <w:autoSpaceDN w:val="0"/>
        <w:adjustRightInd w:val="0"/>
        <w:spacing w:line="460" w:lineRule="atLeast"/>
        <w:jc w:val="left"/>
        <w:rPr>
          <w:rFonts w:ascii="宋体"/>
          <w:sz w:val="32"/>
        </w:rPr>
      </w:pPr>
    </w:p>
    <w:p>
      <w:pPr>
        <w:autoSpaceDE w:val="0"/>
        <w:autoSpaceDN w:val="0"/>
        <w:adjustRightInd w:val="0"/>
        <w:spacing w:line="460" w:lineRule="atLeast"/>
        <w:jc w:val="left"/>
        <w:rPr>
          <w:rFonts w:ascii="宋体"/>
          <w:sz w:val="22"/>
        </w:rPr>
        <w:sectPr>
          <w:pgSz w:w="11906" w:h="16838"/>
          <w:pgMar w:top="1440" w:right="1106" w:bottom="1440" w:left="1622" w:header="851" w:footer="992" w:gutter="0"/>
          <w:cols w:space="720" w:num="1"/>
          <w:docGrid w:linePitch="312" w:charSpace="0"/>
        </w:sectPr>
      </w:pPr>
    </w:p>
    <w:p>
      <w:pPr>
        <w:pStyle w:val="13"/>
        <w:spacing w:before="156" w:after="156" w:line="460" w:lineRule="atLeast"/>
        <w:rPr>
          <w:rFonts w:hAnsi="宋体"/>
          <w:sz w:val="32"/>
        </w:rPr>
      </w:pPr>
      <w:r>
        <w:rPr>
          <w:rFonts w:hint="eastAsia" w:cs="Arial"/>
          <w:sz w:val="22"/>
          <w:szCs w:val="22"/>
        </w:rPr>
        <w:t>附件十一</w:t>
      </w:r>
    </w:p>
    <w:p>
      <w:pPr>
        <w:pStyle w:val="13"/>
        <w:spacing w:before="156" w:after="156" w:line="440" w:lineRule="atLeast"/>
        <w:jc w:val="center"/>
        <w:rPr>
          <w:rFonts w:hAnsi="宋体" w:cs="Arial"/>
          <w:bCs/>
          <w:sz w:val="36"/>
          <w:szCs w:val="36"/>
        </w:rPr>
      </w:pPr>
      <w:r>
        <w:rPr>
          <w:rFonts w:hint="eastAsia" w:hAnsi="宋体" w:cs="Arial"/>
          <w:bCs/>
          <w:sz w:val="36"/>
          <w:szCs w:val="36"/>
        </w:rPr>
        <w:t>投标供应商业绩</w:t>
      </w:r>
    </w:p>
    <w:tbl>
      <w:tblPr>
        <w:tblStyle w:val="27"/>
        <w:tblW w:w="9659"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3"/>
              <w:adjustRightInd w:val="0"/>
              <w:snapToGrid w:val="0"/>
              <w:spacing w:before="156" w:after="156" w:line="440" w:lineRule="atLeast"/>
              <w:jc w:val="center"/>
              <w:rPr>
                <w:rFonts w:hAnsi="宋体"/>
                <w:sz w:val="22"/>
                <w:szCs w:val="22"/>
              </w:rPr>
            </w:pPr>
            <w:r>
              <w:rPr>
                <w:rFonts w:hint="eastAsia" w:hAnsi="宋体"/>
                <w:sz w:val="22"/>
                <w:szCs w:val="22"/>
              </w:rPr>
              <w:t>序号</w:t>
            </w:r>
          </w:p>
        </w:tc>
        <w:tc>
          <w:tcPr>
            <w:tcW w:w="1266" w:type="dxa"/>
            <w:tcBorders>
              <w:right w:val="single" w:color="000000" w:sz="4" w:space="0"/>
            </w:tcBorders>
          </w:tcPr>
          <w:p>
            <w:pPr>
              <w:pStyle w:val="13"/>
              <w:adjustRightInd w:val="0"/>
              <w:snapToGrid w:val="0"/>
              <w:spacing w:before="156" w:after="156" w:line="440" w:lineRule="atLeast"/>
              <w:jc w:val="center"/>
              <w:rPr>
                <w:rFonts w:hAnsi="宋体"/>
                <w:sz w:val="22"/>
                <w:szCs w:val="22"/>
              </w:rPr>
            </w:pPr>
            <w:r>
              <w:rPr>
                <w:rFonts w:hint="eastAsia" w:hAnsi="宋体"/>
                <w:sz w:val="22"/>
                <w:szCs w:val="22"/>
              </w:rPr>
              <w:t>签订时间</w:t>
            </w:r>
          </w:p>
        </w:tc>
        <w:tc>
          <w:tcPr>
            <w:tcW w:w="1477" w:type="dxa"/>
            <w:tcBorders>
              <w:left w:val="single" w:color="000000" w:sz="4" w:space="0"/>
            </w:tcBorders>
          </w:tcPr>
          <w:p>
            <w:pPr>
              <w:pStyle w:val="13"/>
              <w:adjustRightInd w:val="0"/>
              <w:snapToGrid w:val="0"/>
              <w:spacing w:before="156" w:after="156" w:line="440" w:lineRule="atLeast"/>
              <w:jc w:val="center"/>
              <w:rPr>
                <w:rFonts w:hAnsi="宋体"/>
                <w:sz w:val="22"/>
                <w:szCs w:val="22"/>
              </w:rPr>
            </w:pPr>
            <w:r>
              <w:rPr>
                <w:rFonts w:hint="eastAsia" w:hAnsi="宋体"/>
                <w:sz w:val="22"/>
                <w:szCs w:val="22"/>
              </w:rPr>
              <w:t>业主名称</w:t>
            </w:r>
          </w:p>
        </w:tc>
        <w:tc>
          <w:tcPr>
            <w:tcW w:w="1491" w:type="dxa"/>
          </w:tcPr>
          <w:p>
            <w:pPr>
              <w:pStyle w:val="13"/>
              <w:adjustRightInd w:val="0"/>
              <w:snapToGrid w:val="0"/>
              <w:spacing w:before="156" w:after="156" w:line="440" w:lineRule="atLeast"/>
              <w:jc w:val="center"/>
              <w:rPr>
                <w:rFonts w:hAnsi="宋体"/>
                <w:sz w:val="22"/>
                <w:szCs w:val="22"/>
              </w:rPr>
            </w:pPr>
            <w:r>
              <w:rPr>
                <w:rFonts w:hint="eastAsia" w:hAnsi="宋体"/>
                <w:sz w:val="22"/>
                <w:szCs w:val="22"/>
              </w:rPr>
              <w:t>合同金额</w:t>
            </w:r>
          </w:p>
        </w:tc>
        <w:tc>
          <w:tcPr>
            <w:tcW w:w="1555" w:type="dxa"/>
          </w:tcPr>
          <w:p>
            <w:pPr>
              <w:pStyle w:val="13"/>
              <w:adjustRightInd w:val="0"/>
              <w:snapToGrid w:val="0"/>
              <w:spacing w:before="156" w:after="156" w:line="440" w:lineRule="atLeast"/>
              <w:jc w:val="center"/>
              <w:rPr>
                <w:rFonts w:hAnsi="宋体"/>
                <w:sz w:val="22"/>
                <w:szCs w:val="22"/>
              </w:rPr>
            </w:pPr>
            <w:r>
              <w:rPr>
                <w:rFonts w:hint="eastAsia" w:hAnsi="宋体"/>
                <w:sz w:val="22"/>
                <w:szCs w:val="22"/>
              </w:rPr>
              <w:t>联系人</w:t>
            </w:r>
          </w:p>
        </w:tc>
        <w:tc>
          <w:tcPr>
            <w:tcW w:w="1556" w:type="dxa"/>
          </w:tcPr>
          <w:p>
            <w:pPr>
              <w:pStyle w:val="13"/>
              <w:adjustRightInd w:val="0"/>
              <w:snapToGrid w:val="0"/>
              <w:spacing w:before="156" w:after="156" w:line="440" w:lineRule="atLeast"/>
              <w:jc w:val="center"/>
              <w:rPr>
                <w:rFonts w:hAnsi="宋体"/>
                <w:sz w:val="22"/>
                <w:szCs w:val="22"/>
              </w:rPr>
            </w:pPr>
            <w:r>
              <w:rPr>
                <w:rFonts w:hint="eastAsia" w:hAnsi="宋体"/>
                <w:sz w:val="22"/>
                <w:szCs w:val="22"/>
              </w:rPr>
              <w:t>联系电话</w:t>
            </w:r>
          </w:p>
        </w:tc>
        <w:tc>
          <w:tcPr>
            <w:tcW w:w="1556" w:type="dxa"/>
          </w:tcPr>
          <w:p>
            <w:pPr>
              <w:pStyle w:val="13"/>
              <w:adjustRightInd w:val="0"/>
              <w:snapToGrid w:val="0"/>
              <w:spacing w:before="156" w:after="156" w:line="440" w:lineRule="atLeast"/>
              <w:jc w:val="center"/>
              <w:rPr>
                <w:rFonts w:hAnsi="宋体"/>
                <w:sz w:val="22"/>
                <w:szCs w:val="22"/>
              </w:rPr>
            </w:pPr>
            <w:r>
              <w:rPr>
                <w:rFonts w:hint="eastAsia" w:hAnsi="宋体"/>
                <w:sz w:val="22"/>
                <w:szCs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bl>
    <w:p>
      <w:pPr>
        <w:pStyle w:val="13"/>
        <w:spacing w:before="156" w:after="156" w:line="440" w:lineRule="atLeast"/>
        <w:rPr>
          <w:rFonts w:hAnsi="宋体" w:cs="Arial"/>
          <w:bCs/>
          <w:sz w:val="36"/>
          <w:szCs w:val="36"/>
        </w:rPr>
      </w:pPr>
      <w:r>
        <w:rPr>
          <w:rFonts w:hint="eastAsia" w:hAnsi="宋体"/>
          <w:sz w:val="22"/>
          <w:szCs w:val="22"/>
        </w:rPr>
        <w:t>说明：按评分标准要求提供。</w:t>
      </w:r>
    </w:p>
    <w:p>
      <w:pPr>
        <w:pStyle w:val="13"/>
        <w:spacing w:before="156" w:after="156" w:line="440" w:lineRule="atLeast"/>
        <w:jc w:val="center"/>
        <w:rPr>
          <w:rFonts w:hAnsi="宋体" w:cs="Arial"/>
          <w:bCs/>
          <w:sz w:val="36"/>
          <w:szCs w:val="36"/>
        </w:rPr>
      </w:pPr>
    </w:p>
    <w:p>
      <w:pPr>
        <w:pStyle w:val="13"/>
        <w:spacing w:before="156" w:after="156" w:line="440" w:lineRule="atLeast"/>
        <w:jc w:val="left"/>
        <w:rPr>
          <w:rFonts w:hAnsi="宋体" w:cs="Arial"/>
          <w:bCs/>
          <w:sz w:val="36"/>
          <w:szCs w:val="36"/>
        </w:rPr>
      </w:pPr>
      <w:r>
        <w:rPr>
          <w:rFonts w:hint="eastAsia"/>
          <w:sz w:val="22"/>
        </w:rPr>
        <w:t>投标供应商（盖章）</w:t>
      </w:r>
      <w:r>
        <w:rPr>
          <w:rFonts w:hint="eastAsia"/>
          <w:sz w:val="22"/>
          <w:u w:val="single"/>
        </w:rPr>
        <w:t xml:space="preserve">              </w:t>
      </w:r>
    </w:p>
    <w:p>
      <w:pPr>
        <w:pStyle w:val="13"/>
        <w:spacing w:before="156" w:after="156" w:line="440" w:lineRule="atLeast"/>
        <w:jc w:val="center"/>
        <w:rPr>
          <w:rFonts w:hAnsi="宋体" w:cs="Arial"/>
          <w:bCs/>
          <w:sz w:val="36"/>
          <w:szCs w:val="36"/>
        </w:rPr>
      </w:pPr>
    </w:p>
    <w:p>
      <w:pPr>
        <w:pStyle w:val="13"/>
        <w:spacing w:before="156" w:after="156" w:line="460" w:lineRule="atLeast"/>
        <w:rPr>
          <w:rFonts w:hAnsi="宋体"/>
          <w:sz w:val="36"/>
          <w:szCs w:val="36"/>
        </w:rPr>
      </w:pPr>
      <w:r>
        <w:rPr>
          <w:rFonts w:hint="eastAsia" w:cs="Arial"/>
          <w:sz w:val="22"/>
          <w:szCs w:val="22"/>
        </w:rPr>
        <w:t>附件十二</w:t>
      </w:r>
    </w:p>
    <w:p>
      <w:pPr>
        <w:pStyle w:val="13"/>
        <w:spacing w:before="156" w:after="156" w:line="460" w:lineRule="atLeast"/>
        <w:jc w:val="center"/>
        <w:rPr>
          <w:rFonts w:hAnsi="宋体"/>
          <w:sz w:val="36"/>
          <w:szCs w:val="36"/>
        </w:rPr>
      </w:pPr>
      <w:r>
        <w:rPr>
          <w:rFonts w:hint="eastAsia" w:hAnsi="宋体"/>
          <w:sz w:val="36"/>
          <w:szCs w:val="36"/>
        </w:rPr>
        <w:t>拟派本项目成员组成表</w:t>
      </w:r>
    </w:p>
    <w:p>
      <w:pPr>
        <w:spacing w:line="400" w:lineRule="exact"/>
        <w:rPr>
          <w:rFonts w:ascii="宋体"/>
          <w:bCs/>
          <w:sz w:val="22"/>
        </w:rPr>
      </w:pPr>
      <w:r>
        <w:rPr>
          <w:rFonts w:hint="eastAsia" w:ascii="宋体"/>
          <w:sz w:val="22"/>
        </w:rPr>
        <w:t>项目名称：                                               招标编号：</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126"/>
        <w:gridCol w:w="690"/>
        <w:gridCol w:w="690"/>
        <w:gridCol w:w="1457"/>
        <w:gridCol w:w="1134"/>
        <w:gridCol w:w="26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140" w:type="dxa"/>
            <w:vAlign w:val="center"/>
          </w:tcPr>
          <w:p>
            <w:pPr>
              <w:jc w:val="center"/>
              <w:rPr>
                <w:rFonts w:ascii="宋体"/>
                <w:bCs/>
                <w:sz w:val="20"/>
              </w:rPr>
            </w:pPr>
            <w:r>
              <w:rPr>
                <w:rFonts w:hint="eastAsia" w:ascii="宋体"/>
                <w:bCs/>
                <w:sz w:val="20"/>
              </w:rPr>
              <w:t>姓名</w:t>
            </w:r>
          </w:p>
        </w:tc>
        <w:tc>
          <w:tcPr>
            <w:tcW w:w="1126" w:type="dxa"/>
            <w:vAlign w:val="center"/>
          </w:tcPr>
          <w:p>
            <w:pPr>
              <w:jc w:val="center"/>
              <w:rPr>
                <w:rFonts w:ascii="宋体"/>
                <w:bCs/>
                <w:sz w:val="20"/>
              </w:rPr>
            </w:pPr>
            <w:r>
              <w:rPr>
                <w:rFonts w:hint="eastAsia" w:ascii="宋体"/>
                <w:bCs/>
                <w:sz w:val="20"/>
              </w:rPr>
              <w:t>本项目担任工作</w:t>
            </w:r>
          </w:p>
        </w:tc>
        <w:tc>
          <w:tcPr>
            <w:tcW w:w="690" w:type="dxa"/>
            <w:vAlign w:val="center"/>
          </w:tcPr>
          <w:p>
            <w:pPr>
              <w:jc w:val="center"/>
              <w:rPr>
                <w:rFonts w:ascii="宋体"/>
                <w:bCs/>
                <w:sz w:val="20"/>
              </w:rPr>
            </w:pPr>
            <w:r>
              <w:rPr>
                <w:rFonts w:hint="eastAsia" w:ascii="宋体"/>
                <w:bCs/>
                <w:sz w:val="20"/>
              </w:rPr>
              <w:t>年龄</w:t>
            </w:r>
          </w:p>
        </w:tc>
        <w:tc>
          <w:tcPr>
            <w:tcW w:w="690" w:type="dxa"/>
            <w:vAlign w:val="center"/>
          </w:tcPr>
          <w:p>
            <w:pPr>
              <w:jc w:val="center"/>
              <w:rPr>
                <w:rFonts w:ascii="宋体"/>
                <w:bCs/>
                <w:sz w:val="20"/>
              </w:rPr>
            </w:pPr>
            <w:r>
              <w:rPr>
                <w:rFonts w:hint="eastAsia" w:ascii="宋体"/>
                <w:bCs/>
                <w:sz w:val="20"/>
              </w:rPr>
              <w:t>性别</w:t>
            </w:r>
          </w:p>
        </w:tc>
        <w:tc>
          <w:tcPr>
            <w:tcW w:w="1457" w:type="dxa"/>
            <w:vAlign w:val="center"/>
          </w:tcPr>
          <w:p>
            <w:pPr>
              <w:jc w:val="center"/>
              <w:rPr>
                <w:rFonts w:ascii="宋体"/>
                <w:bCs/>
                <w:sz w:val="20"/>
              </w:rPr>
            </w:pPr>
            <w:r>
              <w:rPr>
                <w:rFonts w:hint="eastAsia" w:ascii="宋体"/>
                <w:bCs/>
                <w:sz w:val="20"/>
              </w:rPr>
              <w:t>职称或资格</w:t>
            </w:r>
          </w:p>
        </w:tc>
        <w:tc>
          <w:tcPr>
            <w:tcW w:w="1134" w:type="dxa"/>
            <w:vAlign w:val="center"/>
          </w:tcPr>
          <w:p>
            <w:pPr>
              <w:jc w:val="center"/>
              <w:rPr>
                <w:rFonts w:ascii="宋体"/>
                <w:bCs/>
                <w:sz w:val="20"/>
              </w:rPr>
            </w:pPr>
            <w:r>
              <w:rPr>
                <w:rFonts w:hint="eastAsia" w:ascii="宋体"/>
                <w:bCs/>
                <w:sz w:val="20"/>
              </w:rPr>
              <w:t xml:space="preserve">专业 </w:t>
            </w:r>
          </w:p>
        </w:tc>
        <w:tc>
          <w:tcPr>
            <w:tcW w:w="2693" w:type="dxa"/>
            <w:vAlign w:val="center"/>
          </w:tcPr>
          <w:p>
            <w:pPr>
              <w:jc w:val="center"/>
              <w:rPr>
                <w:rFonts w:ascii="宋体"/>
                <w:bCs/>
                <w:sz w:val="20"/>
              </w:rPr>
            </w:pPr>
            <w:r>
              <w:rPr>
                <w:rFonts w:hint="eastAsia" w:ascii="宋体"/>
                <w:bCs/>
                <w:sz w:val="20"/>
              </w:rPr>
              <w:t>类似工作经验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pStyle w:val="37"/>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sz w:val="20"/>
                <w:szCs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pStyle w:val="14"/>
              <w:spacing w:line="360" w:lineRule="auto"/>
              <w:ind w:left="5250"/>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8930" w:type="dxa"/>
            <w:gridSpan w:val="7"/>
            <w:vAlign w:val="center"/>
          </w:tcPr>
          <w:p>
            <w:pPr>
              <w:spacing w:line="360" w:lineRule="auto"/>
              <w:rPr>
                <w:rFonts w:ascii="宋体"/>
                <w:sz w:val="20"/>
              </w:rPr>
            </w:pPr>
            <w:r>
              <w:rPr>
                <w:rFonts w:hint="eastAsia" w:ascii="宋体"/>
                <w:sz w:val="22"/>
              </w:rPr>
              <w:t>一旦我单位中标，将实行项目负责人负责制，我方保证按招标文件要求配备齐全相关人员。上述填报内容真实，若不真实，愿按有关规定接受处理。</w:t>
            </w:r>
          </w:p>
        </w:tc>
      </w:tr>
    </w:tbl>
    <w:p>
      <w:pPr>
        <w:autoSpaceDE w:val="0"/>
        <w:autoSpaceDN w:val="0"/>
        <w:adjustRightInd w:val="0"/>
        <w:spacing w:line="360" w:lineRule="auto"/>
        <w:rPr>
          <w:rFonts w:ascii="宋体"/>
          <w:sz w:val="22"/>
        </w:rPr>
      </w:pPr>
      <w:r>
        <w:rPr>
          <w:rFonts w:hint="eastAsia" w:ascii="宋体"/>
          <w:sz w:val="22"/>
        </w:rPr>
        <w:t>注：1、本表人员</w:t>
      </w:r>
      <w:r>
        <w:rPr>
          <w:rFonts w:hint="eastAsia"/>
          <w:sz w:val="22"/>
        </w:rPr>
        <w:t>如有证书的，同时</w:t>
      </w:r>
      <w:r>
        <w:rPr>
          <w:sz w:val="22"/>
        </w:rPr>
        <w:t>提供</w:t>
      </w:r>
      <w:r>
        <w:rPr>
          <w:rFonts w:hint="eastAsia"/>
          <w:sz w:val="22"/>
        </w:rPr>
        <w:t>证书</w:t>
      </w:r>
      <w:r>
        <w:rPr>
          <w:rFonts w:hint="eastAsia" w:ascii="宋体"/>
          <w:sz w:val="22"/>
        </w:rPr>
        <w:t>及2020年以来任意连续6个月在本单</w:t>
      </w:r>
      <w:r>
        <w:rPr>
          <w:rFonts w:hint="eastAsia"/>
          <w:sz w:val="22"/>
        </w:rPr>
        <w:t>位缴纳社保证明</w:t>
      </w:r>
      <w:r>
        <w:rPr>
          <w:sz w:val="22"/>
        </w:rPr>
        <w:t>扫描件加盖公章</w:t>
      </w:r>
      <w:r>
        <w:rPr>
          <w:rFonts w:hint="eastAsia" w:ascii="宋体"/>
          <w:sz w:val="22"/>
        </w:rPr>
        <w:t>。</w:t>
      </w:r>
    </w:p>
    <w:p>
      <w:pPr>
        <w:autoSpaceDE w:val="0"/>
        <w:autoSpaceDN w:val="0"/>
        <w:adjustRightInd w:val="0"/>
        <w:spacing w:line="360" w:lineRule="auto"/>
        <w:ind w:firstLine="323" w:firstLineChars="147"/>
        <w:rPr>
          <w:rFonts w:ascii="宋体"/>
          <w:sz w:val="22"/>
        </w:rPr>
      </w:pPr>
      <w:r>
        <w:rPr>
          <w:rFonts w:hint="eastAsia" w:ascii="宋体"/>
          <w:sz w:val="22"/>
        </w:rPr>
        <w:t xml:space="preserve"> 2</w:t>
      </w:r>
      <w:r>
        <w:rPr>
          <w:rFonts w:ascii="宋体"/>
          <w:sz w:val="22"/>
        </w:rPr>
        <w:t>、</w:t>
      </w:r>
      <w:r>
        <w:rPr>
          <w:rFonts w:hint="eastAsia" w:ascii="宋体"/>
          <w:sz w:val="22"/>
        </w:rPr>
        <w:t>列入本表人员如要更换，需经采购单位同意；擅自更换或不到位属违约行为。</w:t>
      </w:r>
    </w:p>
    <w:p>
      <w:pPr>
        <w:snapToGrid w:val="0"/>
        <w:spacing w:line="500" w:lineRule="atLeast"/>
        <w:ind w:firstLine="550" w:firstLineChars="250"/>
        <w:rPr>
          <w:rFonts w:ascii="宋体"/>
          <w:sz w:val="22"/>
        </w:rPr>
      </w:pPr>
      <w:r>
        <w:rPr>
          <w:rFonts w:hint="eastAsia" w:ascii="宋体"/>
          <w:sz w:val="22"/>
        </w:rPr>
        <w:t>投标供应商（盖章）：</w:t>
      </w:r>
    </w:p>
    <w:p>
      <w:pPr>
        <w:snapToGrid w:val="0"/>
        <w:spacing w:line="500" w:lineRule="atLeast"/>
        <w:ind w:firstLine="550" w:firstLineChars="250"/>
        <w:rPr>
          <w:rFonts w:ascii="宋体"/>
          <w:sz w:val="22"/>
        </w:rPr>
      </w:pPr>
      <w:r>
        <w:rPr>
          <w:rFonts w:hint="eastAsia" w:ascii="宋体"/>
          <w:sz w:val="22"/>
          <w:lang w:val="zh-CN"/>
        </w:rPr>
        <w:t>法定代表人或</w:t>
      </w:r>
      <w:r>
        <w:rPr>
          <w:rFonts w:hint="eastAsia" w:ascii="宋体" w:cs="Courier New"/>
          <w:sz w:val="22"/>
        </w:rPr>
        <w:t>其</w:t>
      </w:r>
      <w:r>
        <w:rPr>
          <w:rFonts w:hint="eastAsia" w:ascii="宋体"/>
          <w:sz w:val="22"/>
          <w:lang w:val="zh-CN"/>
        </w:rPr>
        <w:t>授权代表（签字或盖章）</w:t>
      </w:r>
      <w:r>
        <w:rPr>
          <w:rFonts w:hint="eastAsia" w:ascii="宋体"/>
          <w:sz w:val="22"/>
        </w:rPr>
        <w:t>：</w:t>
      </w:r>
    </w:p>
    <w:p>
      <w:pPr>
        <w:snapToGrid w:val="0"/>
        <w:spacing w:line="500" w:lineRule="atLeast"/>
        <w:ind w:firstLine="550" w:firstLineChars="250"/>
        <w:rPr>
          <w:rFonts w:ascii="宋体"/>
        </w:rPr>
      </w:pPr>
      <w:r>
        <w:rPr>
          <w:rFonts w:hint="eastAsia" w:ascii="宋体"/>
          <w:sz w:val="22"/>
        </w:rPr>
        <w:t xml:space="preserve">日期：  </w:t>
      </w:r>
      <w:r>
        <w:rPr>
          <w:rFonts w:hint="eastAsia" w:ascii="宋体"/>
        </w:rPr>
        <w:t xml:space="preserve">          </w:t>
      </w:r>
    </w:p>
    <w:p>
      <w:pPr>
        <w:adjustRightInd w:val="0"/>
        <w:snapToGrid w:val="0"/>
        <w:outlineLvl w:val="1"/>
        <w:rPr>
          <w:rFonts w:ascii="宋体"/>
          <w:sz w:val="32"/>
          <w:szCs w:val="32"/>
        </w:rPr>
      </w:pPr>
    </w:p>
    <w:p>
      <w:pPr>
        <w:autoSpaceDE w:val="0"/>
        <w:autoSpaceDN w:val="0"/>
        <w:adjustRightInd w:val="0"/>
        <w:spacing w:line="460" w:lineRule="atLeast"/>
        <w:rPr>
          <w:rFonts w:ascii="宋体"/>
          <w:sz w:val="36"/>
          <w:lang w:val="zh-CN"/>
        </w:rPr>
      </w:pPr>
      <w:r>
        <w:rPr>
          <w:rFonts w:hint="eastAsia" w:ascii="宋体" w:hAnsi="Courier New" w:cs="Arial"/>
          <w:sz w:val="22"/>
        </w:rPr>
        <w:t>附件十三</w:t>
      </w:r>
    </w:p>
    <w:p>
      <w:pPr>
        <w:autoSpaceDE w:val="0"/>
        <w:autoSpaceDN w:val="0"/>
        <w:adjustRightInd w:val="0"/>
        <w:spacing w:line="460" w:lineRule="atLeast"/>
        <w:ind w:firstLine="3592" w:firstLineChars="998"/>
        <w:rPr>
          <w:rFonts w:ascii="宋体"/>
          <w:sz w:val="36"/>
          <w:lang w:val="zh-CN"/>
        </w:rPr>
      </w:pPr>
      <w:r>
        <w:rPr>
          <w:rFonts w:hint="eastAsia" w:ascii="宋体"/>
          <w:sz w:val="36"/>
          <w:lang w:val="zh-CN"/>
        </w:rPr>
        <w:t>偏离表</w:t>
      </w:r>
    </w:p>
    <w:tbl>
      <w:tblPr>
        <w:tblStyle w:val="27"/>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9197" w:type="dxa"/>
            <w:gridSpan w:val="5"/>
            <w:vAlign w:val="center"/>
          </w:tcPr>
          <w:p>
            <w:pPr>
              <w:autoSpaceDE w:val="0"/>
              <w:autoSpaceDN w:val="0"/>
              <w:adjustRightInd w:val="0"/>
              <w:spacing w:line="460" w:lineRule="atLeast"/>
              <w:jc w:val="center"/>
              <w:rPr>
                <w:rFonts w:ascii="宋体"/>
                <w:sz w:val="22"/>
                <w:lang w:val="zh-CN"/>
              </w:rPr>
            </w:pPr>
            <w:r>
              <w:rPr>
                <w:rFonts w:ascii="宋体"/>
                <w:sz w:val="22"/>
                <w:lang w:val="zh-CN"/>
              </w:rPr>
              <w:t>商务</w:t>
            </w:r>
            <w:r>
              <w:rPr>
                <w:rFonts w:hint="eastAsia" w:ascii="宋体"/>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序</w:t>
            </w:r>
            <w:r>
              <w:rPr>
                <w:rFonts w:ascii="宋体"/>
                <w:sz w:val="22"/>
                <w:lang w:val="zh-CN"/>
              </w:rPr>
              <w:t xml:space="preserve"> </w:t>
            </w:r>
            <w:r>
              <w:rPr>
                <w:rFonts w:hint="eastAsia" w:ascii="宋体"/>
                <w:sz w:val="22"/>
                <w:lang w:val="zh-CN"/>
              </w:rPr>
              <w:t>号</w:t>
            </w:r>
          </w:p>
        </w:tc>
        <w:tc>
          <w:tcPr>
            <w:tcW w:w="17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内容</w:t>
            </w:r>
          </w:p>
        </w:tc>
        <w:tc>
          <w:tcPr>
            <w:tcW w:w="2664"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招标文件规范要求</w:t>
            </w:r>
          </w:p>
        </w:tc>
        <w:tc>
          <w:tcPr>
            <w:tcW w:w="21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投标文件对应规范</w:t>
            </w:r>
          </w:p>
        </w:tc>
        <w:tc>
          <w:tcPr>
            <w:tcW w:w="1831"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备</w:t>
            </w:r>
            <w:r>
              <w:rPr>
                <w:rFonts w:ascii="宋体"/>
                <w:sz w:val="22"/>
                <w:lang w:val="zh-CN"/>
              </w:rPr>
              <w:t xml:space="preserve"> </w:t>
            </w:r>
            <w:r>
              <w:rPr>
                <w:rFonts w:hint="eastAsia" w:ascii="宋体"/>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9197" w:type="dxa"/>
            <w:gridSpan w:val="5"/>
          </w:tcPr>
          <w:p>
            <w:pPr>
              <w:autoSpaceDE w:val="0"/>
              <w:autoSpaceDN w:val="0"/>
              <w:adjustRightInd w:val="0"/>
              <w:spacing w:line="460" w:lineRule="atLeast"/>
              <w:jc w:val="center"/>
              <w:rPr>
                <w:rFonts w:ascii="宋体"/>
                <w:sz w:val="22"/>
                <w:lang w:val="zh-CN"/>
              </w:rPr>
            </w:pPr>
            <w:r>
              <w:rPr>
                <w:rFonts w:ascii="宋体"/>
                <w:sz w:val="22"/>
                <w:lang w:val="zh-CN"/>
              </w:rPr>
              <w:t>技术</w:t>
            </w:r>
            <w:r>
              <w:rPr>
                <w:rFonts w:hint="eastAsia" w:ascii="宋体"/>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序</w:t>
            </w:r>
            <w:r>
              <w:rPr>
                <w:rFonts w:ascii="宋体"/>
                <w:sz w:val="22"/>
                <w:lang w:val="zh-CN"/>
              </w:rPr>
              <w:t xml:space="preserve"> </w:t>
            </w:r>
            <w:r>
              <w:rPr>
                <w:rFonts w:hint="eastAsia" w:ascii="宋体"/>
                <w:sz w:val="22"/>
                <w:lang w:val="zh-CN"/>
              </w:rPr>
              <w:t>号</w:t>
            </w:r>
          </w:p>
        </w:tc>
        <w:tc>
          <w:tcPr>
            <w:tcW w:w="17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内容</w:t>
            </w:r>
          </w:p>
        </w:tc>
        <w:tc>
          <w:tcPr>
            <w:tcW w:w="2664"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招标文件规范要求</w:t>
            </w:r>
          </w:p>
        </w:tc>
        <w:tc>
          <w:tcPr>
            <w:tcW w:w="21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投标文件对应规范</w:t>
            </w:r>
          </w:p>
        </w:tc>
        <w:tc>
          <w:tcPr>
            <w:tcW w:w="1831"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备</w:t>
            </w:r>
            <w:r>
              <w:rPr>
                <w:rFonts w:ascii="宋体"/>
                <w:sz w:val="22"/>
                <w:lang w:val="zh-CN"/>
              </w:rPr>
              <w:t xml:space="preserve"> </w:t>
            </w:r>
            <w:r>
              <w:rPr>
                <w:rFonts w:hint="eastAsia" w:ascii="宋体"/>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bl>
    <w:p>
      <w:pPr>
        <w:rPr>
          <w:rFonts w:ascii="宋体"/>
          <w:sz w:val="22"/>
          <w:lang w:val="zh-CN"/>
        </w:rPr>
      </w:pPr>
      <w:r>
        <w:rPr>
          <w:rFonts w:hint="eastAsia" w:ascii="宋体"/>
          <w:sz w:val="22"/>
          <w:lang w:val="zh-CN"/>
        </w:rPr>
        <w:t>备注添正偏离、负偏离或无偏离。</w:t>
      </w:r>
    </w:p>
    <w:p>
      <w:pPr>
        <w:rPr>
          <w:rFonts w:ascii="宋体"/>
        </w:rPr>
      </w:pPr>
      <w:r>
        <w:rPr>
          <w:rFonts w:hint="eastAsia" w:ascii="宋体"/>
          <w:sz w:val="22"/>
          <w:lang w:val="zh-CN"/>
        </w:rPr>
        <w:t>投标供应商盖章：</w:t>
      </w:r>
      <w:r>
        <w:rPr>
          <w:rFonts w:hint="eastAsia" w:ascii="宋体"/>
          <w:sz w:val="22"/>
          <w:u w:val="single"/>
          <w:lang w:val="zh-CN"/>
        </w:rPr>
        <w:t xml:space="preserve">           </w:t>
      </w:r>
    </w:p>
    <w:p>
      <w:pPr>
        <w:spacing w:beforeLines="50" w:afterLines="50" w:line="460" w:lineRule="atLeast"/>
        <w:ind w:right="-10"/>
        <w:jc w:val="center"/>
        <w:rPr>
          <w:rFonts w:ascii="宋体"/>
          <w:sz w:val="36"/>
        </w:rPr>
      </w:pPr>
    </w:p>
    <w:p>
      <w:pPr>
        <w:spacing w:beforeLines="50" w:afterLines="50" w:line="460" w:lineRule="atLeast"/>
        <w:ind w:right="-10"/>
        <w:jc w:val="center"/>
        <w:rPr>
          <w:rFonts w:ascii="宋体"/>
          <w:sz w:val="36"/>
        </w:rPr>
      </w:pPr>
    </w:p>
    <w:p>
      <w:pPr>
        <w:spacing w:beforeLines="50" w:afterLines="50" w:line="460" w:lineRule="atLeast"/>
        <w:ind w:right="-10"/>
        <w:jc w:val="center"/>
        <w:rPr>
          <w:rFonts w:ascii="宋体"/>
          <w:sz w:val="36"/>
        </w:rPr>
      </w:pPr>
    </w:p>
    <w:p>
      <w:pPr>
        <w:spacing w:beforeLines="50" w:afterLines="50" w:line="460" w:lineRule="atLeast"/>
        <w:ind w:right="-10"/>
        <w:rPr>
          <w:rFonts w:ascii="宋体"/>
          <w:sz w:val="36"/>
        </w:rPr>
      </w:pPr>
    </w:p>
    <w:p>
      <w:pPr>
        <w:rPr>
          <w:rFonts w:ascii="宋体" w:hAnsi="Courier New" w:cs="Arial"/>
          <w:sz w:val="22"/>
        </w:rPr>
      </w:pPr>
      <w:r>
        <w:rPr>
          <w:rFonts w:hint="eastAsia" w:ascii="宋体" w:hAnsi="Courier New" w:cs="Arial"/>
          <w:sz w:val="22"/>
        </w:rPr>
        <w:br w:type="page"/>
      </w:r>
    </w:p>
    <w:p>
      <w:pPr>
        <w:autoSpaceDE w:val="0"/>
        <w:autoSpaceDN w:val="0"/>
        <w:adjustRightInd w:val="0"/>
        <w:spacing w:line="460" w:lineRule="atLeast"/>
        <w:rPr>
          <w:rFonts w:ascii="宋体"/>
          <w:sz w:val="36"/>
          <w:lang w:val="zh-CN"/>
        </w:rPr>
      </w:pPr>
      <w:r>
        <w:rPr>
          <w:rFonts w:hint="eastAsia" w:ascii="宋体" w:hAnsi="Courier New" w:cs="Arial"/>
          <w:sz w:val="22"/>
        </w:rPr>
        <w:t>附件十四</w:t>
      </w:r>
    </w:p>
    <w:p>
      <w:pPr>
        <w:spacing w:line="400" w:lineRule="exact"/>
        <w:ind w:left="1440" w:hanging="1440" w:hangingChars="400"/>
        <w:jc w:val="center"/>
        <w:rPr>
          <w:rFonts w:ascii="宋体" w:cs="Arial"/>
          <w:bCs/>
          <w:sz w:val="36"/>
          <w:szCs w:val="36"/>
        </w:rPr>
      </w:pPr>
      <w:r>
        <w:rPr>
          <w:rFonts w:hint="eastAsia" w:ascii="宋体" w:cs="Arial"/>
          <w:bCs/>
          <w:sz w:val="36"/>
          <w:szCs w:val="36"/>
        </w:rPr>
        <w:t>投入本项目的主要设备表</w:t>
      </w:r>
    </w:p>
    <w:p>
      <w:pPr>
        <w:spacing w:line="400" w:lineRule="exact"/>
        <w:ind w:left="1280" w:hanging="1280" w:hangingChars="400"/>
        <w:jc w:val="center"/>
        <w:rPr>
          <w:rFonts w:ascii="宋体" w:cs="Arial"/>
          <w:bCs/>
          <w:sz w:val="32"/>
        </w:rPr>
      </w:pPr>
    </w:p>
    <w:p>
      <w:pPr>
        <w:spacing w:line="380" w:lineRule="exact"/>
        <w:rPr>
          <w:rFonts w:ascii="宋体"/>
          <w:bCs/>
          <w:sz w:val="22"/>
        </w:rPr>
      </w:pPr>
      <w:r>
        <w:rPr>
          <w:rFonts w:hint="eastAsia" w:ascii="宋体"/>
          <w:bCs/>
          <w:sz w:val="22"/>
        </w:rPr>
        <w:t>项目名称：                                          招标编号：</w:t>
      </w:r>
    </w:p>
    <w:tbl>
      <w:tblPr>
        <w:tblStyle w:val="27"/>
        <w:tblW w:w="90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2099"/>
        <w:gridCol w:w="1666"/>
        <w:gridCol w:w="1306"/>
        <w:gridCol w:w="962"/>
        <w:gridCol w:w="851"/>
        <w:gridCol w:w="1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序号</w:t>
            </w:r>
          </w:p>
        </w:tc>
        <w:tc>
          <w:tcPr>
            <w:tcW w:w="20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设备名称</w:t>
            </w:r>
          </w:p>
        </w:tc>
        <w:tc>
          <w:tcPr>
            <w:tcW w:w="16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规格型号</w:t>
            </w:r>
          </w:p>
        </w:tc>
        <w:tc>
          <w:tcPr>
            <w:tcW w:w="1306" w:type="dxa"/>
            <w:tcBorders>
              <w:top w:val="single" w:color="auto" w:sz="4" w:space="0"/>
              <w:left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品牌</w:t>
            </w:r>
          </w:p>
        </w:tc>
        <w:tc>
          <w:tcPr>
            <w:tcW w:w="962" w:type="dxa"/>
            <w:tcBorders>
              <w:top w:val="single" w:color="auto" w:sz="4" w:space="0"/>
              <w:left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数量</w:t>
            </w:r>
          </w:p>
        </w:tc>
        <w:tc>
          <w:tcPr>
            <w:tcW w:w="851" w:type="dxa"/>
            <w:tcBorders>
              <w:top w:val="single" w:color="auto" w:sz="4" w:space="0"/>
              <w:left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单位</w:t>
            </w:r>
          </w:p>
        </w:tc>
        <w:tc>
          <w:tcPr>
            <w:tcW w:w="1312" w:type="dxa"/>
            <w:tcBorders>
              <w:top w:val="single" w:color="auto" w:sz="4" w:space="0"/>
              <w:left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使用年限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0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96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1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0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96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1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0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96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1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0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96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1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0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96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1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0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96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1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0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96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312"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bl>
    <w:p>
      <w:pPr>
        <w:pStyle w:val="13"/>
        <w:spacing w:before="156" w:after="156" w:line="400" w:lineRule="atLeast"/>
        <w:rPr>
          <w:rFonts w:hAnsi="宋体"/>
          <w:bCs/>
          <w:sz w:val="22"/>
          <w:szCs w:val="22"/>
        </w:rPr>
      </w:pPr>
      <w:r>
        <w:rPr>
          <w:rFonts w:hint="eastAsia" w:hAnsi="宋体"/>
          <w:sz w:val="22"/>
          <w:szCs w:val="22"/>
        </w:rPr>
        <w:t>注：1、</w:t>
      </w:r>
      <w:r>
        <w:rPr>
          <w:rFonts w:hint="eastAsia" w:hAnsi="宋体"/>
          <w:bCs/>
          <w:sz w:val="22"/>
          <w:szCs w:val="22"/>
        </w:rPr>
        <w:t>表格可以延续。</w:t>
      </w:r>
    </w:p>
    <w:p>
      <w:pPr>
        <w:pStyle w:val="13"/>
        <w:spacing w:before="156" w:after="156" w:line="400" w:lineRule="atLeast"/>
        <w:ind w:left="1"/>
        <w:rPr>
          <w:rFonts w:hAnsi="宋体"/>
          <w:bCs/>
          <w:sz w:val="22"/>
          <w:szCs w:val="22"/>
        </w:rPr>
      </w:pPr>
    </w:p>
    <w:p>
      <w:pPr>
        <w:pStyle w:val="13"/>
        <w:spacing w:before="156" w:after="156" w:line="400" w:lineRule="atLeast"/>
        <w:ind w:left="425" w:hanging="424" w:hangingChars="193"/>
        <w:rPr>
          <w:rFonts w:hAnsi="宋体"/>
          <w:sz w:val="22"/>
        </w:rPr>
      </w:pPr>
    </w:p>
    <w:p>
      <w:pPr>
        <w:snapToGrid w:val="0"/>
        <w:spacing w:line="500" w:lineRule="atLeast"/>
        <w:ind w:firstLine="550" w:firstLineChars="250"/>
        <w:rPr>
          <w:rFonts w:ascii="宋体"/>
          <w:sz w:val="22"/>
        </w:rPr>
      </w:pPr>
      <w:r>
        <w:rPr>
          <w:rFonts w:hint="eastAsia" w:ascii="宋体"/>
          <w:sz w:val="22"/>
        </w:rPr>
        <w:t>投标供应商（盖章）：</w:t>
      </w:r>
    </w:p>
    <w:p>
      <w:pPr>
        <w:snapToGrid w:val="0"/>
        <w:spacing w:line="500" w:lineRule="atLeast"/>
        <w:ind w:firstLine="550" w:firstLineChars="250"/>
        <w:rPr>
          <w:rFonts w:ascii="宋体"/>
          <w:sz w:val="22"/>
        </w:rPr>
      </w:pPr>
      <w:r>
        <w:rPr>
          <w:rFonts w:hint="eastAsia" w:ascii="宋体"/>
          <w:sz w:val="22"/>
        </w:rPr>
        <w:t>法定代表人或</w:t>
      </w:r>
      <w:r>
        <w:rPr>
          <w:rFonts w:hint="eastAsia" w:ascii="宋体" w:cs="Courier New"/>
          <w:sz w:val="22"/>
        </w:rPr>
        <w:t>其</w:t>
      </w:r>
      <w:r>
        <w:rPr>
          <w:rFonts w:hint="eastAsia" w:ascii="宋体"/>
          <w:sz w:val="22"/>
        </w:rPr>
        <w:t>授权代表（签字或盖章）：</w:t>
      </w:r>
    </w:p>
    <w:p>
      <w:pPr>
        <w:ind w:firstLine="550" w:firstLineChars="250"/>
        <w:rPr>
          <w:rFonts w:ascii="宋体"/>
          <w:sz w:val="22"/>
        </w:rPr>
      </w:pPr>
    </w:p>
    <w:p>
      <w:r>
        <w:rPr>
          <w:rFonts w:hint="eastAsia" w:ascii="宋体"/>
          <w:sz w:val="22"/>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Helvetica Neue">
    <w:altName w:val="Arial"/>
    <w:panose1 w:val="00000000000000000000"/>
    <w:charset w:val="00"/>
    <w:family w:val="auto"/>
    <w:pitch w:val="default"/>
    <w:sig w:usb0="00000000" w:usb1="00000000" w:usb2="00000010" w:usb3="00000000" w:csb0="0000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4923"/>
    </w:sdtPr>
    <w:sdtContent>
      <w:p>
        <w:pPr>
          <w:pStyle w:val="17"/>
          <w:jc w:val="right"/>
        </w:pPr>
        <w:r>
          <w:fldChar w:fldCharType="begin"/>
        </w:r>
        <w:r>
          <w:instrText xml:space="preserve"> PAGE   \* MERGEFORMAT </w:instrText>
        </w:r>
        <w:r>
          <w:fldChar w:fldCharType="separate"/>
        </w:r>
        <w:r>
          <w:rPr>
            <w:lang w:val="zh-CN"/>
          </w:rPr>
          <w:t>95</w:t>
        </w:r>
        <w:r>
          <w:rPr>
            <w:lang w:val="zh-CN"/>
          </w:rPr>
          <w:fldChar w:fldCharType="end"/>
        </w:r>
      </w:p>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09196"/>
    <w:multiLevelType w:val="singleLevel"/>
    <w:tmpl w:val="88909196"/>
    <w:lvl w:ilvl="0" w:tentative="0">
      <w:start w:val="1"/>
      <w:numFmt w:val="decimal"/>
      <w:lvlText w:val="%1."/>
      <w:lvlJc w:val="left"/>
      <w:pPr>
        <w:ind w:left="425" w:hanging="425"/>
      </w:pPr>
      <w:rPr>
        <w:rFonts w:hint="default"/>
      </w:rPr>
    </w:lvl>
  </w:abstractNum>
  <w:abstractNum w:abstractNumId="1">
    <w:nsid w:val="8E894480"/>
    <w:multiLevelType w:val="singleLevel"/>
    <w:tmpl w:val="8E894480"/>
    <w:lvl w:ilvl="0" w:tentative="0">
      <w:start w:val="1"/>
      <w:numFmt w:val="decimal"/>
      <w:lvlText w:val="%1."/>
      <w:lvlJc w:val="left"/>
      <w:pPr>
        <w:tabs>
          <w:tab w:val="left" w:pos="312"/>
        </w:tabs>
      </w:pPr>
    </w:lvl>
  </w:abstractNum>
  <w:abstractNum w:abstractNumId="2">
    <w:nsid w:val="947031F4"/>
    <w:multiLevelType w:val="singleLevel"/>
    <w:tmpl w:val="947031F4"/>
    <w:lvl w:ilvl="0" w:tentative="0">
      <w:start w:val="1"/>
      <w:numFmt w:val="chineseCounting"/>
      <w:suff w:val="nothing"/>
      <w:lvlText w:val="（%1）"/>
      <w:lvlJc w:val="left"/>
      <w:rPr>
        <w:rFonts w:hint="eastAsia"/>
      </w:rPr>
    </w:lvl>
  </w:abstractNum>
  <w:abstractNum w:abstractNumId="3">
    <w:nsid w:val="9989E0E6"/>
    <w:multiLevelType w:val="singleLevel"/>
    <w:tmpl w:val="9989E0E6"/>
    <w:lvl w:ilvl="0" w:tentative="0">
      <w:start w:val="1"/>
      <w:numFmt w:val="decimal"/>
      <w:lvlText w:val="%1."/>
      <w:lvlJc w:val="left"/>
      <w:pPr>
        <w:ind w:left="425" w:hanging="425"/>
      </w:pPr>
      <w:rPr>
        <w:rFonts w:hint="default"/>
      </w:rPr>
    </w:lvl>
  </w:abstractNum>
  <w:abstractNum w:abstractNumId="4">
    <w:nsid w:val="9A574DD8"/>
    <w:multiLevelType w:val="singleLevel"/>
    <w:tmpl w:val="9A574DD8"/>
    <w:lvl w:ilvl="0" w:tentative="0">
      <w:start w:val="1"/>
      <w:numFmt w:val="chineseCounting"/>
      <w:suff w:val="nothing"/>
      <w:lvlText w:val="（%1）"/>
      <w:lvlJc w:val="left"/>
      <w:rPr>
        <w:rFonts w:hint="eastAsia"/>
      </w:rPr>
    </w:lvl>
  </w:abstractNum>
  <w:abstractNum w:abstractNumId="5">
    <w:nsid w:val="9D2E788B"/>
    <w:multiLevelType w:val="singleLevel"/>
    <w:tmpl w:val="9D2E788B"/>
    <w:lvl w:ilvl="0" w:tentative="0">
      <w:start w:val="1"/>
      <w:numFmt w:val="decimal"/>
      <w:lvlText w:val="%1)"/>
      <w:lvlJc w:val="left"/>
      <w:pPr>
        <w:ind w:left="425" w:hanging="425"/>
      </w:pPr>
      <w:rPr>
        <w:rFonts w:hint="default"/>
      </w:rPr>
    </w:lvl>
  </w:abstractNum>
  <w:abstractNum w:abstractNumId="6">
    <w:nsid w:val="9F416216"/>
    <w:multiLevelType w:val="singleLevel"/>
    <w:tmpl w:val="9F416216"/>
    <w:lvl w:ilvl="0" w:tentative="0">
      <w:start w:val="1"/>
      <w:numFmt w:val="bullet"/>
      <w:lvlText w:val=""/>
      <w:lvlJc w:val="left"/>
      <w:pPr>
        <w:ind w:left="420" w:hanging="420"/>
      </w:pPr>
      <w:rPr>
        <w:rFonts w:hint="default" w:ascii="Wingdings" w:hAnsi="Wingdings"/>
      </w:rPr>
    </w:lvl>
  </w:abstractNum>
  <w:abstractNum w:abstractNumId="7">
    <w:nsid w:val="A205C58C"/>
    <w:multiLevelType w:val="singleLevel"/>
    <w:tmpl w:val="A205C58C"/>
    <w:lvl w:ilvl="0" w:tentative="0">
      <w:start w:val="1"/>
      <w:numFmt w:val="decimal"/>
      <w:lvlText w:val="%1."/>
      <w:lvlJc w:val="left"/>
      <w:pPr>
        <w:ind w:left="425" w:hanging="425"/>
      </w:pPr>
      <w:rPr>
        <w:rFonts w:hint="default"/>
      </w:rPr>
    </w:lvl>
  </w:abstractNum>
  <w:abstractNum w:abstractNumId="8">
    <w:nsid w:val="A2700E7C"/>
    <w:multiLevelType w:val="singleLevel"/>
    <w:tmpl w:val="A2700E7C"/>
    <w:lvl w:ilvl="0" w:tentative="0">
      <w:start w:val="1"/>
      <w:numFmt w:val="bullet"/>
      <w:lvlText w:val=""/>
      <w:lvlJc w:val="left"/>
      <w:pPr>
        <w:ind w:left="420" w:hanging="420"/>
      </w:pPr>
      <w:rPr>
        <w:rFonts w:hint="default" w:ascii="Wingdings" w:hAnsi="Wingdings"/>
      </w:rPr>
    </w:lvl>
  </w:abstractNum>
  <w:abstractNum w:abstractNumId="9">
    <w:nsid w:val="A5894FAE"/>
    <w:multiLevelType w:val="singleLevel"/>
    <w:tmpl w:val="A5894FAE"/>
    <w:lvl w:ilvl="0" w:tentative="0">
      <w:start w:val="1"/>
      <w:numFmt w:val="decimal"/>
      <w:lvlText w:val="%1."/>
      <w:lvlJc w:val="left"/>
      <w:pPr>
        <w:ind w:left="425" w:hanging="425"/>
      </w:pPr>
      <w:rPr>
        <w:rFonts w:hint="default"/>
      </w:rPr>
    </w:lvl>
  </w:abstractNum>
  <w:abstractNum w:abstractNumId="10">
    <w:nsid w:val="BBC6977F"/>
    <w:multiLevelType w:val="singleLevel"/>
    <w:tmpl w:val="BBC6977F"/>
    <w:lvl w:ilvl="0" w:tentative="0">
      <w:start w:val="1"/>
      <w:numFmt w:val="decimal"/>
      <w:lvlText w:val="%1)"/>
      <w:lvlJc w:val="left"/>
      <w:pPr>
        <w:ind w:left="425" w:hanging="425"/>
      </w:pPr>
      <w:rPr>
        <w:rFonts w:hint="default"/>
      </w:rPr>
    </w:lvl>
  </w:abstractNum>
  <w:abstractNum w:abstractNumId="11">
    <w:nsid w:val="BE663DA0"/>
    <w:multiLevelType w:val="multilevel"/>
    <w:tmpl w:val="BE663DA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C4947890"/>
    <w:multiLevelType w:val="singleLevel"/>
    <w:tmpl w:val="C4947890"/>
    <w:lvl w:ilvl="0" w:tentative="0">
      <w:start w:val="1"/>
      <w:numFmt w:val="decimal"/>
      <w:lvlText w:val="%1)"/>
      <w:lvlJc w:val="left"/>
      <w:pPr>
        <w:ind w:left="425" w:hanging="425"/>
      </w:pPr>
      <w:rPr>
        <w:rFonts w:hint="default"/>
      </w:rPr>
    </w:lvl>
  </w:abstractNum>
  <w:abstractNum w:abstractNumId="13">
    <w:nsid w:val="C5719553"/>
    <w:multiLevelType w:val="singleLevel"/>
    <w:tmpl w:val="C5719553"/>
    <w:lvl w:ilvl="0" w:tentative="0">
      <w:start w:val="1"/>
      <w:numFmt w:val="decimal"/>
      <w:lvlText w:val="%1."/>
      <w:lvlJc w:val="left"/>
      <w:pPr>
        <w:ind w:left="425" w:hanging="425"/>
      </w:pPr>
      <w:rPr>
        <w:rFonts w:hint="default"/>
      </w:rPr>
    </w:lvl>
  </w:abstractNum>
  <w:abstractNum w:abstractNumId="14">
    <w:nsid w:val="D0581D9D"/>
    <w:multiLevelType w:val="singleLevel"/>
    <w:tmpl w:val="D0581D9D"/>
    <w:lvl w:ilvl="0" w:tentative="0">
      <w:start w:val="1"/>
      <w:numFmt w:val="decimal"/>
      <w:lvlText w:val="%1."/>
      <w:lvlJc w:val="left"/>
      <w:pPr>
        <w:ind w:left="425" w:hanging="425"/>
      </w:pPr>
      <w:rPr>
        <w:rFonts w:hint="default"/>
      </w:rPr>
    </w:lvl>
  </w:abstractNum>
  <w:abstractNum w:abstractNumId="15">
    <w:nsid w:val="D3D8C4B3"/>
    <w:multiLevelType w:val="singleLevel"/>
    <w:tmpl w:val="D3D8C4B3"/>
    <w:lvl w:ilvl="0" w:tentative="0">
      <w:start w:val="1"/>
      <w:numFmt w:val="decimal"/>
      <w:lvlText w:val="%1)"/>
      <w:lvlJc w:val="left"/>
      <w:pPr>
        <w:ind w:left="425" w:hanging="425"/>
      </w:pPr>
      <w:rPr>
        <w:rFonts w:hint="default"/>
      </w:rPr>
    </w:lvl>
  </w:abstractNum>
  <w:abstractNum w:abstractNumId="16">
    <w:nsid w:val="D4CD7C43"/>
    <w:multiLevelType w:val="singleLevel"/>
    <w:tmpl w:val="D4CD7C43"/>
    <w:lvl w:ilvl="0" w:tentative="0">
      <w:start w:val="1"/>
      <w:numFmt w:val="decimal"/>
      <w:lvlText w:val="%1."/>
      <w:lvlJc w:val="left"/>
      <w:pPr>
        <w:tabs>
          <w:tab w:val="left" w:pos="312"/>
        </w:tabs>
      </w:pPr>
    </w:lvl>
  </w:abstractNum>
  <w:abstractNum w:abstractNumId="17">
    <w:nsid w:val="D7511F6B"/>
    <w:multiLevelType w:val="singleLevel"/>
    <w:tmpl w:val="D7511F6B"/>
    <w:lvl w:ilvl="0" w:tentative="0">
      <w:start w:val="1"/>
      <w:numFmt w:val="decimal"/>
      <w:lvlText w:val="%1."/>
      <w:lvlJc w:val="left"/>
      <w:pPr>
        <w:ind w:left="425" w:hanging="425"/>
      </w:pPr>
      <w:rPr>
        <w:rFonts w:hint="default"/>
      </w:rPr>
    </w:lvl>
  </w:abstractNum>
  <w:abstractNum w:abstractNumId="18">
    <w:nsid w:val="D92C1543"/>
    <w:multiLevelType w:val="singleLevel"/>
    <w:tmpl w:val="D92C1543"/>
    <w:lvl w:ilvl="0" w:tentative="0">
      <w:start w:val="1"/>
      <w:numFmt w:val="bullet"/>
      <w:lvlText w:val=""/>
      <w:lvlJc w:val="left"/>
      <w:pPr>
        <w:ind w:left="420" w:hanging="420"/>
      </w:pPr>
      <w:rPr>
        <w:rFonts w:hint="default" w:ascii="Wingdings" w:hAnsi="Wingdings"/>
      </w:rPr>
    </w:lvl>
  </w:abstractNum>
  <w:abstractNum w:abstractNumId="19">
    <w:nsid w:val="E1FF8A25"/>
    <w:multiLevelType w:val="singleLevel"/>
    <w:tmpl w:val="E1FF8A25"/>
    <w:lvl w:ilvl="0" w:tentative="0">
      <w:start w:val="1"/>
      <w:numFmt w:val="decimal"/>
      <w:lvlText w:val="%1."/>
      <w:lvlJc w:val="left"/>
      <w:pPr>
        <w:ind w:left="425" w:hanging="425"/>
      </w:pPr>
      <w:rPr>
        <w:rFonts w:hint="default"/>
      </w:rPr>
    </w:lvl>
  </w:abstractNum>
  <w:abstractNum w:abstractNumId="20">
    <w:nsid w:val="E4E48977"/>
    <w:multiLevelType w:val="multilevel"/>
    <w:tmpl w:val="E4E489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E96AF3F5"/>
    <w:multiLevelType w:val="singleLevel"/>
    <w:tmpl w:val="E96AF3F5"/>
    <w:lvl w:ilvl="0" w:tentative="0">
      <w:start w:val="1"/>
      <w:numFmt w:val="chineseCounting"/>
      <w:suff w:val="nothing"/>
      <w:lvlText w:val="（%1）"/>
      <w:lvlJc w:val="left"/>
      <w:rPr>
        <w:rFonts w:hint="eastAsia"/>
      </w:rPr>
    </w:lvl>
  </w:abstractNum>
  <w:abstractNum w:abstractNumId="22">
    <w:nsid w:val="EF1D90A9"/>
    <w:multiLevelType w:val="singleLevel"/>
    <w:tmpl w:val="EF1D90A9"/>
    <w:lvl w:ilvl="0" w:tentative="0">
      <w:start w:val="1"/>
      <w:numFmt w:val="decimal"/>
      <w:lvlText w:val="%1)"/>
      <w:lvlJc w:val="left"/>
      <w:pPr>
        <w:ind w:left="425" w:hanging="425"/>
      </w:pPr>
      <w:rPr>
        <w:rFonts w:hint="default"/>
      </w:rPr>
    </w:lvl>
  </w:abstractNum>
  <w:abstractNum w:abstractNumId="23">
    <w:nsid w:val="FA156F90"/>
    <w:multiLevelType w:val="singleLevel"/>
    <w:tmpl w:val="FA156F90"/>
    <w:lvl w:ilvl="0" w:tentative="0">
      <w:start w:val="1"/>
      <w:numFmt w:val="chineseCounting"/>
      <w:suff w:val="nothing"/>
      <w:lvlText w:val="（%1）"/>
      <w:lvlJc w:val="left"/>
      <w:rPr>
        <w:rFonts w:hint="eastAsia"/>
      </w:rPr>
    </w:lvl>
  </w:abstractNum>
  <w:abstractNum w:abstractNumId="24">
    <w:nsid w:val="0189174C"/>
    <w:multiLevelType w:val="multilevel"/>
    <w:tmpl w:val="0189174C"/>
    <w:lvl w:ilvl="0" w:tentative="0">
      <w:start w:val="1"/>
      <w:numFmt w:val="decimal"/>
      <w:lvlText w:val="%1."/>
      <w:lvlJc w:val="left"/>
      <w:pPr>
        <w:ind w:left="180" w:hanging="18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544119D"/>
    <w:multiLevelType w:val="singleLevel"/>
    <w:tmpl w:val="0544119D"/>
    <w:lvl w:ilvl="0" w:tentative="0">
      <w:start w:val="1"/>
      <w:numFmt w:val="decimal"/>
      <w:lvlText w:val="%1."/>
      <w:lvlJc w:val="left"/>
      <w:pPr>
        <w:ind w:left="425" w:hanging="425"/>
      </w:pPr>
      <w:rPr>
        <w:rFonts w:hint="default"/>
      </w:rPr>
    </w:lvl>
  </w:abstractNum>
  <w:abstractNum w:abstractNumId="26">
    <w:nsid w:val="0AFF7B75"/>
    <w:multiLevelType w:val="multilevel"/>
    <w:tmpl w:val="0AFF7B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1B9E1E7"/>
    <w:multiLevelType w:val="singleLevel"/>
    <w:tmpl w:val="11B9E1E7"/>
    <w:lvl w:ilvl="0" w:tentative="0">
      <w:start w:val="1"/>
      <w:numFmt w:val="decimal"/>
      <w:lvlText w:val="%1."/>
      <w:lvlJc w:val="left"/>
      <w:pPr>
        <w:ind w:left="425" w:hanging="425"/>
      </w:pPr>
      <w:rPr>
        <w:rFonts w:hint="default"/>
      </w:rPr>
    </w:lvl>
  </w:abstractNum>
  <w:abstractNum w:abstractNumId="28">
    <w:nsid w:val="12754277"/>
    <w:multiLevelType w:val="multilevel"/>
    <w:tmpl w:val="12754277"/>
    <w:lvl w:ilvl="0" w:tentative="0">
      <w:start w:val="5"/>
      <w:numFmt w:val="japaneseCounting"/>
      <w:lvlText w:val="%1、"/>
      <w:lvlJc w:val="left"/>
      <w:pPr>
        <w:ind w:left="1173" w:hanging="720"/>
      </w:pPr>
      <w:rPr>
        <w:rFonts w:hint="default"/>
      </w:rPr>
    </w:lvl>
    <w:lvl w:ilvl="1" w:tentative="0">
      <w:start w:val="1"/>
      <w:numFmt w:val="lowerLetter"/>
      <w:lvlText w:val="%2)"/>
      <w:lvlJc w:val="left"/>
      <w:pPr>
        <w:ind w:left="1293" w:hanging="420"/>
      </w:pPr>
    </w:lvl>
    <w:lvl w:ilvl="2" w:tentative="0">
      <w:start w:val="1"/>
      <w:numFmt w:val="lowerRoman"/>
      <w:lvlText w:val="%3."/>
      <w:lvlJc w:val="right"/>
      <w:pPr>
        <w:ind w:left="1713" w:hanging="420"/>
      </w:pPr>
    </w:lvl>
    <w:lvl w:ilvl="3" w:tentative="0">
      <w:start w:val="1"/>
      <w:numFmt w:val="decimal"/>
      <w:lvlText w:val="%4."/>
      <w:lvlJc w:val="left"/>
      <w:pPr>
        <w:ind w:left="2133" w:hanging="420"/>
      </w:pPr>
    </w:lvl>
    <w:lvl w:ilvl="4" w:tentative="0">
      <w:start w:val="1"/>
      <w:numFmt w:val="lowerLetter"/>
      <w:lvlText w:val="%5)"/>
      <w:lvlJc w:val="left"/>
      <w:pPr>
        <w:ind w:left="2553" w:hanging="420"/>
      </w:pPr>
    </w:lvl>
    <w:lvl w:ilvl="5" w:tentative="0">
      <w:start w:val="1"/>
      <w:numFmt w:val="lowerRoman"/>
      <w:lvlText w:val="%6."/>
      <w:lvlJc w:val="right"/>
      <w:pPr>
        <w:ind w:left="2973" w:hanging="420"/>
      </w:pPr>
    </w:lvl>
    <w:lvl w:ilvl="6" w:tentative="0">
      <w:start w:val="1"/>
      <w:numFmt w:val="decimal"/>
      <w:lvlText w:val="%7."/>
      <w:lvlJc w:val="left"/>
      <w:pPr>
        <w:ind w:left="3393" w:hanging="420"/>
      </w:pPr>
    </w:lvl>
    <w:lvl w:ilvl="7" w:tentative="0">
      <w:start w:val="1"/>
      <w:numFmt w:val="lowerLetter"/>
      <w:lvlText w:val="%8)"/>
      <w:lvlJc w:val="left"/>
      <w:pPr>
        <w:ind w:left="3813" w:hanging="420"/>
      </w:pPr>
    </w:lvl>
    <w:lvl w:ilvl="8" w:tentative="0">
      <w:start w:val="1"/>
      <w:numFmt w:val="lowerRoman"/>
      <w:lvlText w:val="%9."/>
      <w:lvlJc w:val="right"/>
      <w:pPr>
        <w:ind w:left="4233" w:hanging="420"/>
      </w:pPr>
    </w:lvl>
  </w:abstractNum>
  <w:abstractNum w:abstractNumId="29">
    <w:nsid w:val="16F36EC3"/>
    <w:multiLevelType w:val="singleLevel"/>
    <w:tmpl w:val="16F36EC3"/>
    <w:lvl w:ilvl="0" w:tentative="0">
      <w:start w:val="1"/>
      <w:numFmt w:val="decimal"/>
      <w:lvlText w:val="%1."/>
      <w:lvlJc w:val="left"/>
      <w:pPr>
        <w:ind w:left="425" w:hanging="425"/>
      </w:pPr>
      <w:rPr>
        <w:rFonts w:hint="default"/>
      </w:rPr>
    </w:lvl>
  </w:abstractNum>
  <w:abstractNum w:abstractNumId="30">
    <w:nsid w:val="17BD9849"/>
    <w:multiLevelType w:val="singleLevel"/>
    <w:tmpl w:val="17BD9849"/>
    <w:lvl w:ilvl="0" w:tentative="0">
      <w:start w:val="1"/>
      <w:numFmt w:val="decimal"/>
      <w:lvlText w:val="%1)"/>
      <w:lvlJc w:val="left"/>
      <w:pPr>
        <w:ind w:left="425" w:hanging="425"/>
      </w:pPr>
      <w:rPr>
        <w:rFonts w:hint="default"/>
      </w:rPr>
    </w:lvl>
  </w:abstractNum>
  <w:abstractNum w:abstractNumId="31">
    <w:nsid w:val="1BD624D5"/>
    <w:multiLevelType w:val="multilevel"/>
    <w:tmpl w:val="1BD624D5"/>
    <w:lvl w:ilvl="0" w:tentative="0">
      <w:start w:val="1"/>
      <w:numFmt w:val="japaneseCounting"/>
      <w:lvlText w:val="%1、"/>
      <w:lvlJc w:val="left"/>
      <w:pPr>
        <w:ind w:left="480" w:hanging="48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1E134724"/>
    <w:multiLevelType w:val="singleLevel"/>
    <w:tmpl w:val="1E134724"/>
    <w:lvl w:ilvl="0" w:tentative="0">
      <w:start w:val="1"/>
      <w:numFmt w:val="decimal"/>
      <w:lvlText w:val="%1."/>
      <w:lvlJc w:val="left"/>
      <w:pPr>
        <w:ind w:left="425" w:hanging="425"/>
      </w:pPr>
      <w:rPr>
        <w:rFonts w:hint="default"/>
      </w:rPr>
    </w:lvl>
  </w:abstractNum>
  <w:abstractNum w:abstractNumId="33">
    <w:nsid w:val="23A2BEB1"/>
    <w:multiLevelType w:val="singleLevel"/>
    <w:tmpl w:val="23A2BEB1"/>
    <w:lvl w:ilvl="0" w:tentative="0">
      <w:start w:val="1"/>
      <w:numFmt w:val="decimal"/>
      <w:lvlText w:val="%1."/>
      <w:lvlJc w:val="left"/>
      <w:pPr>
        <w:tabs>
          <w:tab w:val="left" w:pos="312"/>
        </w:tabs>
      </w:pPr>
    </w:lvl>
  </w:abstractNum>
  <w:abstractNum w:abstractNumId="34">
    <w:nsid w:val="2AFEF345"/>
    <w:multiLevelType w:val="singleLevel"/>
    <w:tmpl w:val="2AFEF345"/>
    <w:lvl w:ilvl="0" w:tentative="0">
      <w:start w:val="1"/>
      <w:numFmt w:val="chineseCounting"/>
      <w:suff w:val="nothing"/>
      <w:lvlText w:val="（%1）"/>
      <w:lvlJc w:val="left"/>
      <w:rPr>
        <w:rFonts w:hint="eastAsia"/>
        <w:lang w:val="en-US"/>
      </w:rPr>
    </w:lvl>
  </w:abstractNum>
  <w:abstractNum w:abstractNumId="35">
    <w:nsid w:val="2FDAA8B1"/>
    <w:multiLevelType w:val="singleLevel"/>
    <w:tmpl w:val="2FDAA8B1"/>
    <w:lvl w:ilvl="0" w:tentative="0">
      <w:start w:val="1"/>
      <w:numFmt w:val="decimal"/>
      <w:lvlText w:val="%1."/>
      <w:lvlJc w:val="left"/>
      <w:pPr>
        <w:ind w:left="425" w:hanging="425"/>
      </w:pPr>
      <w:rPr>
        <w:rFonts w:hint="default"/>
      </w:rPr>
    </w:lvl>
  </w:abstractNum>
  <w:abstractNum w:abstractNumId="36">
    <w:nsid w:val="320797A9"/>
    <w:multiLevelType w:val="singleLevel"/>
    <w:tmpl w:val="320797A9"/>
    <w:lvl w:ilvl="0" w:tentative="0">
      <w:start w:val="1"/>
      <w:numFmt w:val="decimal"/>
      <w:lvlText w:val="%1)"/>
      <w:lvlJc w:val="left"/>
      <w:pPr>
        <w:ind w:left="425" w:hanging="425"/>
      </w:pPr>
      <w:rPr>
        <w:rFonts w:hint="default"/>
      </w:rPr>
    </w:lvl>
  </w:abstractNum>
  <w:abstractNum w:abstractNumId="37">
    <w:nsid w:val="37F5DB50"/>
    <w:multiLevelType w:val="singleLevel"/>
    <w:tmpl w:val="37F5DB50"/>
    <w:lvl w:ilvl="0" w:tentative="0">
      <w:start w:val="1"/>
      <w:numFmt w:val="decimal"/>
      <w:lvlText w:val="%1)"/>
      <w:lvlJc w:val="left"/>
      <w:pPr>
        <w:ind w:left="425" w:hanging="425"/>
      </w:pPr>
      <w:rPr>
        <w:rFonts w:hint="default"/>
      </w:rPr>
    </w:lvl>
  </w:abstractNum>
  <w:abstractNum w:abstractNumId="38">
    <w:nsid w:val="3BA73618"/>
    <w:multiLevelType w:val="multilevel"/>
    <w:tmpl w:val="3BA736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4275489"/>
    <w:multiLevelType w:val="multilevel"/>
    <w:tmpl w:val="44275489"/>
    <w:lvl w:ilvl="0" w:tentative="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suff w:val="nothing"/>
      <w:lvlText w:val="%3."/>
      <w:lvlJc w:val="left"/>
      <w:pPr>
        <w:ind w:left="840" w:hanging="10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suff w:val="nothing"/>
      <w:lvlText w:val="%6."/>
      <w:lvlJc w:val="left"/>
      <w:pPr>
        <w:ind w:left="2100" w:hanging="10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suff w:val="nothing"/>
      <w:lvlText w:val="%9."/>
      <w:lvlJc w:val="left"/>
      <w:pPr>
        <w:ind w:left="3360"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45B50384"/>
    <w:multiLevelType w:val="singleLevel"/>
    <w:tmpl w:val="45B50384"/>
    <w:lvl w:ilvl="0" w:tentative="0">
      <w:start w:val="1"/>
      <w:numFmt w:val="chineseCounting"/>
      <w:suff w:val="nothing"/>
      <w:lvlText w:val="（%1）"/>
      <w:lvlJc w:val="left"/>
      <w:rPr>
        <w:rFonts w:hint="eastAsia"/>
      </w:rPr>
    </w:lvl>
  </w:abstractNum>
  <w:abstractNum w:abstractNumId="41">
    <w:nsid w:val="484DA3B9"/>
    <w:multiLevelType w:val="singleLevel"/>
    <w:tmpl w:val="484DA3B9"/>
    <w:lvl w:ilvl="0" w:tentative="0">
      <w:start w:val="1"/>
      <w:numFmt w:val="decimal"/>
      <w:lvlText w:val="%1."/>
      <w:lvlJc w:val="left"/>
      <w:pPr>
        <w:ind w:left="425" w:hanging="425"/>
      </w:pPr>
      <w:rPr>
        <w:rFonts w:hint="default"/>
      </w:rPr>
    </w:lvl>
  </w:abstractNum>
  <w:abstractNum w:abstractNumId="42">
    <w:nsid w:val="48657CD7"/>
    <w:multiLevelType w:val="singleLevel"/>
    <w:tmpl w:val="48657CD7"/>
    <w:lvl w:ilvl="0" w:tentative="0">
      <w:start w:val="1"/>
      <w:numFmt w:val="decimal"/>
      <w:lvlText w:val="%1."/>
      <w:lvlJc w:val="left"/>
      <w:pPr>
        <w:ind w:left="425" w:hanging="425"/>
      </w:pPr>
      <w:rPr>
        <w:rFonts w:hint="default"/>
      </w:rPr>
    </w:lvl>
  </w:abstractNum>
  <w:abstractNum w:abstractNumId="43">
    <w:nsid w:val="48910DA6"/>
    <w:multiLevelType w:val="singleLevel"/>
    <w:tmpl w:val="48910DA6"/>
    <w:lvl w:ilvl="0" w:tentative="0">
      <w:start w:val="1"/>
      <w:numFmt w:val="decimal"/>
      <w:lvlText w:val="(%1)"/>
      <w:lvlJc w:val="left"/>
      <w:pPr>
        <w:ind w:left="425" w:hanging="425"/>
      </w:pPr>
      <w:rPr>
        <w:rFonts w:hint="default"/>
      </w:rPr>
    </w:lvl>
  </w:abstractNum>
  <w:abstractNum w:abstractNumId="44">
    <w:nsid w:val="48C6C380"/>
    <w:multiLevelType w:val="singleLevel"/>
    <w:tmpl w:val="48C6C380"/>
    <w:lvl w:ilvl="0" w:tentative="0">
      <w:start w:val="1"/>
      <w:numFmt w:val="decimal"/>
      <w:lvlText w:val="%1)"/>
      <w:lvlJc w:val="left"/>
      <w:pPr>
        <w:ind w:left="425" w:hanging="425"/>
      </w:pPr>
      <w:rPr>
        <w:rFonts w:hint="default"/>
      </w:rPr>
    </w:lvl>
  </w:abstractNum>
  <w:abstractNum w:abstractNumId="45">
    <w:nsid w:val="52EAE571"/>
    <w:multiLevelType w:val="singleLevel"/>
    <w:tmpl w:val="52EAE571"/>
    <w:lvl w:ilvl="0" w:tentative="0">
      <w:start w:val="1"/>
      <w:numFmt w:val="chineseCounting"/>
      <w:suff w:val="nothing"/>
      <w:lvlText w:val="（%1）"/>
      <w:lvlJc w:val="left"/>
      <w:rPr>
        <w:rFonts w:hint="eastAsia"/>
      </w:rPr>
    </w:lvl>
  </w:abstractNum>
  <w:abstractNum w:abstractNumId="46">
    <w:nsid w:val="5CFDDA0E"/>
    <w:multiLevelType w:val="multilevel"/>
    <w:tmpl w:val="5CFDDA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CFDDA3A"/>
    <w:multiLevelType w:val="multilevel"/>
    <w:tmpl w:val="5CFDDA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CFDDA45"/>
    <w:multiLevelType w:val="multilevel"/>
    <w:tmpl w:val="5CFDDA45"/>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9">
    <w:nsid w:val="5CFDDA7C"/>
    <w:multiLevelType w:val="multilevel"/>
    <w:tmpl w:val="5CFDDA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D83CDC5"/>
    <w:multiLevelType w:val="singleLevel"/>
    <w:tmpl w:val="5D83CDC5"/>
    <w:lvl w:ilvl="0" w:tentative="0">
      <w:start w:val="1"/>
      <w:numFmt w:val="chineseCounting"/>
      <w:suff w:val="nothing"/>
      <w:lvlText w:val="（%1）"/>
      <w:lvlJc w:val="left"/>
      <w:rPr>
        <w:rFonts w:hint="eastAsia"/>
      </w:rPr>
    </w:lvl>
  </w:abstractNum>
  <w:abstractNum w:abstractNumId="51">
    <w:nsid w:val="665B53CC"/>
    <w:multiLevelType w:val="singleLevel"/>
    <w:tmpl w:val="665B53CC"/>
    <w:lvl w:ilvl="0" w:tentative="0">
      <w:start w:val="1"/>
      <w:numFmt w:val="decimal"/>
      <w:lvlText w:val="%1."/>
      <w:lvlJc w:val="left"/>
      <w:pPr>
        <w:ind w:left="425" w:hanging="425"/>
      </w:pPr>
      <w:rPr>
        <w:rFonts w:hint="default"/>
      </w:rPr>
    </w:lvl>
  </w:abstractNum>
  <w:abstractNum w:abstractNumId="52">
    <w:nsid w:val="6771114C"/>
    <w:multiLevelType w:val="singleLevel"/>
    <w:tmpl w:val="6771114C"/>
    <w:lvl w:ilvl="0" w:tentative="0">
      <w:start w:val="1"/>
      <w:numFmt w:val="decimal"/>
      <w:lvlText w:val="%1."/>
      <w:lvlJc w:val="left"/>
      <w:pPr>
        <w:ind w:left="425" w:hanging="425"/>
      </w:pPr>
      <w:rPr>
        <w:rFonts w:hint="default"/>
      </w:rPr>
    </w:lvl>
  </w:abstractNum>
  <w:abstractNum w:abstractNumId="53">
    <w:nsid w:val="680C9289"/>
    <w:multiLevelType w:val="singleLevel"/>
    <w:tmpl w:val="680C9289"/>
    <w:lvl w:ilvl="0" w:tentative="0">
      <w:start w:val="1"/>
      <w:numFmt w:val="decimal"/>
      <w:lvlText w:val="%1."/>
      <w:lvlJc w:val="left"/>
      <w:pPr>
        <w:tabs>
          <w:tab w:val="left" w:pos="312"/>
        </w:tabs>
      </w:pPr>
    </w:lvl>
  </w:abstractNum>
  <w:abstractNum w:abstractNumId="54">
    <w:nsid w:val="69BDB0F6"/>
    <w:multiLevelType w:val="singleLevel"/>
    <w:tmpl w:val="69BDB0F6"/>
    <w:lvl w:ilvl="0" w:tentative="0">
      <w:start w:val="1"/>
      <w:numFmt w:val="decimal"/>
      <w:lvlText w:val="%1."/>
      <w:lvlJc w:val="left"/>
      <w:pPr>
        <w:ind w:left="425" w:hanging="425"/>
      </w:pPr>
      <w:rPr>
        <w:rFonts w:hint="default"/>
      </w:rPr>
    </w:lvl>
  </w:abstractNum>
  <w:abstractNum w:abstractNumId="55">
    <w:nsid w:val="6A09B00E"/>
    <w:multiLevelType w:val="singleLevel"/>
    <w:tmpl w:val="6A09B00E"/>
    <w:lvl w:ilvl="0" w:tentative="0">
      <w:start w:val="1"/>
      <w:numFmt w:val="decimal"/>
      <w:lvlText w:val="%1."/>
      <w:lvlJc w:val="left"/>
      <w:pPr>
        <w:ind w:left="425" w:hanging="425"/>
      </w:pPr>
      <w:rPr>
        <w:rFonts w:hint="default"/>
      </w:rPr>
    </w:lvl>
  </w:abstractNum>
  <w:abstractNum w:abstractNumId="56">
    <w:nsid w:val="6F9A4745"/>
    <w:multiLevelType w:val="multilevel"/>
    <w:tmpl w:val="6F9A4745"/>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720"/>
        </w:tabs>
        <w:ind w:left="720" w:hanging="720"/>
      </w:pPr>
    </w:lvl>
    <w:lvl w:ilvl="3" w:tentative="0">
      <w:start w:val="1"/>
      <w:numFmt w:val="decimal"/>
      <w:pStyle w:val="7"/>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7">
    <w:nsid w:val="76310A88"/>
    <w:multiLevelType w:val="singleLevel"/>
    <w:tmpl w:val="76310A88"/>
    <w:lvl w:ilvl="0" w:tentative="0">
      <w:start w:val="1"/>
      <w:numFmt w:val="decimal"/>
      <w:lvlText w:val="%1)"/>
      <w:lvlJc w:val="left"/>
      <w:pPr>
        <w:ind w:left="425" w:hanging="425"/>
      </w:pPr>
      <w:rPr>
        <w:rFonts w:hint="default"/>
      </w:rPr>
    </w:lvl>
  </w:abstractNum>
  <w:abstractNum w:abstractNumId="58">
    <w:nsid w:val="770988D6"/>
    <w:multiLevelType w:val="singleLevel"/>
    <w:tmpl w:val="770988D6"/>
    <w:lvl w:ilvl="0" w:tentative="0">
      <w:start w:val="1"/>
      <w:numFmt w:val="decimal"/>
      <w:lvlText w:val="%1)"/>
      <w:lvlJc w:val="left"/>
      <w:pPr>
        <w:ind w:left="425" w:hanging="425"/>
      </w:pPr>
      <w:rPr>
        <w:rFonts w:hint="default"/>
      </w:rPr>
    </w:lvl>
  </w:abstractNum>
  <w:abstractNum w:abstractNumId="59">
    <w:nsid w:val="7BAFF7B8"/>
    <w:multiLevelType w:val="singleLevel"/>
    <w:tmpl w:val="7BAFF7B8"/>
    <w:lvl w:ilvl="0" w:tentative="0">
      <w:start w:val="1"/>
      <w:numFmt w:val="decimal"/>
      <w:lvlText w:val="%1."/>
      <w:lvlJc w:val="left"/>
      <w:pPr>
        <w:ind w:left="425" w:hanging="425"/>
      </w:pPr>
      <w:rPr>
        <w:rFonts w:hint="default"/>
      </w:rPr>
    </w:lvl>
  </w:abstractNum>
  <w:abstractNum w:abstractNumId="60">
    <w:nsid w:val="7C657597"/>
    <w:multiLevelType w:val="multilevel"/>
    <w:tmpl w:val="7C657597"/>
    <w:lvl w:ilvl="0" w:tentative="0">
      <w:start w:val="1"/>
      <w:numFmt w:val="japaneseCounting"/>
      <w:lvlText w:val="第%1章"/>
      <w:lvlJc w:val="left"/>
      <w:pPr>
        <w:ind w:left="1365" w:hanging="1200"/>
      </w:pPr>
      <w:rPr>
        <w:rFonts w:hint="default"/>
      </w:rPr>
    </w:lvl>
    <w:lvl w:ilvl="1" w:tentative="0">
      <w:start w:val="1"/>
      <w:numFmt w:val="lowerLetter"/>
      <w:lvlText w:val="%2)"/>
      <w:lvlJc w:val="left"/>
      <w:pPr>
        <w:ind w:left="1005" w:hanging="420"/>
      </w:pPr>
    </w:lvl>
    <w:lvl w:ilvl="2" w:tentative="0">
      <w:start w:val="1"/>
      <w:numFmt w:val="lowerRoman"/>
      <w:lvlText w:val="%3."/>
      <w:lvlJc w:val="right"/>
      <w:pPr>
        <w:ind w:left="1425" w:hanging="420"/>
      </w:pPr>
    </w:lvl>
    <w:lvl w:ilvl="3" w:tentative="0">
      <w:start w:val="1"/>
      <w:numFmt w:val="decimal"/>
      <w:lvlText w:val="%4."/>
      <w:lvlJc w:val="left"/>
      <w:pPr>
        <w:ind w:left="1845" w:hanging="420"/>
      </w:pPr>
    </w:lvl>
    <w:lvl w:ilvl="4" w:tentative="0">
      <w:start w:val="1"/>
      <w:numFmt w:val="lowerLetter"/>
      <w:lvlText w:val="%5)"/>
      <w:lvlJc w:val="left"/>
      <w:pPr>
        <w:ind w:left="2265" w:hanging="420"/>
      </w:pPr>
    </w:lvl>
    <w:lvl w:ilvl="5" w:tentative="0">
      <w:start w:val="1"/>
      <w:numFmt w:val="lowerRoman"/>
      <w:lvlText w:val="%6."/>
      <w:lvlJc w:val="right"/>
      <w:pPr>
        <w:ind w:left="2685" w:hanging="420"/>
      </w:pPr>
    </w:lvl>
    <w:lvl w:ilvl="6" w:tentative="0">
      <w:start w:val="1"/>
      <w:numFmt w:val="decimal"/>
      <w:lvlText w:val="%7."/>
      <w:lvlJc w:val="left"/>
      <w:pPr>
        <w:ind w:left="3105" w:hanging="420"/>
      </w:pPr>
    </w:lvl>
    <w:lvl w:ilvl="7" w:tentative="0">
      <w:start w:val="1"/>
      <w:numFmt w:val="lowerLetter"/>
      <w:lvlText w:val="%8)"/>
      <w:lvlJc w:val="left"/>
      <w:pPr>
        <w:ind w:left="3525" w:hanging="420"/>
      </w:pPr>
    </w:lvl>
    <w:lvl w:ilvl="8" w:tentative="0">
      <w:start w:val="1"/>
      <w:numFmt w:val="lowerRoman"/>
      <w:lvlText w:val="%9."/>
      <w:lvlJc w:val="right"/>
      <w:pPr>
        <w:ind w:left="3945" w:hanging="420"/>
      </w:pPr>
    </w:lvl>
  </w:abstractNum>
  <w:abstractNum w:abstractNumId="61">
    <w:nsid w:val="7CCC4490"/>
    <w:multiLevelType w:val="singleLevel"/>
    <w:tmpl w:val="7CCC4490"/>
    <w:lvl w:ilvl="0" w:tentative="0">
      <w:start w:val="1"/>
      <w:numFmt w:val="decimal"/>
      <w:lvlText w:val="%1."/>
      <w:lvlJc w:val="left"/>
      <w:pPr>
        <w:ind w:left="425" w:hanging="425"/>
      </w:pPr>
      <w:rPr>
        <w:rFonts w:hint="default"/>
      </w:rPr>
    </w:lvl>
  </w:abstractNum>
  <w:abstractNum w:abstractNumId="62">
    <w:nsid w:val="7F53EF76"/>
    <w:multiLevelType w:val="singleLevel"/>
    <w:tmpl w:val="7F53EF76"/>
    <w:lvl w:ilvl="0" w:tentative="0">
      <w:start w:val="1"/>
      <w:numFmt w:val="decimal"/>
      <w:lvlText w:val="%1."/>
      <w:lvlJc w:val="left"/>
      <w:pPr>
        <w:tabs>
          <w:tab w:val="left" w:pos="312"/>
        </w:tabs>
      </w:pPr>
    </w:lvl>
  </w:abstractNum>
  <w:num w:numId="1">
    <w:abstractNumId w:val="56"/>
  </w:num>
  <w:num w:numId="2">
    <w:abstractNumId w:val="60"/>
  </w:num>
  <w:num w:numId="3">
    <w:abstractNumId w:val="26"/>
  </w:num>
  <w:num w:numId="4">
    <w:abstractNumId w:val="39"/>
  </w:num>
  <w:num w:numId="5">
    <w:abstractNumId w:val="24"/>
  </w:num>
  <w:num w:numId="6">
    <w:abstractNumId w:val="6"/>
  </w:num>
  <w:num w:numId="7">
    <w:abstractNumId w:val="33"/>
  </w:num>
  <w:num w:numId="8">
    <w:abstractNumId w:val="34"/>
  </w:num>
  <w:num w:numId="9">
    <w:abstractNumId w:val="3"/>
  </w:num>
  <w:num w:numId="10">
    <w:abstractNumId w:val="46"/>
  </w:num>
  <w:num w:numId="11">
    <w:abstractNumId w:val="47"/>
  </w:num>
  <w:num w:numId="12">
    <w:abstractNumId w:val="48"/>
  </w:num>
  <w:num w:numId="13">
    <w:abstractNumId w:val="49"/>
  </w:num>
  <w:num w:numId="14">
    <w:abstractNumId w:val="51"/>
  </w:num>
  <w:num w:numId="15">
    <w:abstractNumId w:val="8"/>
  </w:num>
  <w:num w:numId="16">
    <w:abstractNumId w:val="41"/>
  </w:num>
  <w:num w:numId="17">
    <w:abstractNumId w:val="13"/>
  </w:num>
  <w:num w:numId="18">
    <w:abstractNumId w:val="20"/>
  </w:num>
  <w:num w:numId="19">
    <w:abstractNumId w:val="11"/>
  </w:num>
  <w:num w:numId="20">
    <w:abstractNumId w:val="27"/>
  </w:num>
  <w:num w:numId="21">
    <w:abstractNumId w:val="38"/>
  </w:num>
  <w:num w:numId="22">
    <w:abstractNumId w:val="62"/>
  </w:num>
  <w:num w:numId="23">
    <w:abstractNumId w:val="50"/>
  </w:num>
  <w:num w:numId="24">
    <w:abstractNumId w:val="9"/>
  </w:num>
  <w:num w:numId="25">
    <w:abstractNumId w:val="53"/>
  </w:num>
  <w:num w:numId="26">
    <w:abstractNumId w:val="16"/>
  </w:num>
  <w:num w:numId="27">
    <w:abstractNumId w:val="4"/>
  </w:num>
  <w:num w:numId="28">
    <w:abstractNumId w:val="21"/>
  </w:num>
  <w:num w:numId="29">
    <w:abstractNumId w:val="55"/>
  </w:num>
  <w:num w:numId="30">
    <w:abstractNumId w:val="35"/>
  </w:num>
  <w:num w:numId="31">
    <w:abstractNumId w:val="0"/>
  </w:num>
  <w:num w:numId="32">
    <w:abstractNumId w:val="19"/>
  </w:num>
  <w:num w:numId="33">
    <w:abstractNumId w:val="2"/>
  </w:num>
  <w:num w:numId="34">
    <w:abstractNumId w:val="17"/>
  </w:num>
  <w:num w:numId="35">
    <w:abstractNumId w:val="14"/>
  </w:num>
  <w:num w:numId="36">
    <w:abstractNumId w:val="54"/>
  </w:num>
  <w:num w:numId="37">
    <w:abstractNumId w:val="32"/>
  </w:num>
  <w:num w:numId="38">
    <w:abstractNumId w:val="10"/>
  </w:num>
  <w:num w:numId="39">
    <w:abstractNumId w:val="22"/>
  </w:num>
  <w:num w:numId="40">
    <w:abstractNumId w:val="12"/>
  </w:num>
  <w:num w:numId="41">
    <w:abstractNumId w:val="44"/>
  </w:num>
  <w:num w:numId="42">
    <w:abstractNumId w:val="37"/>
  </w:num>
  <w:num w:numId="43">
    <w:abstractNumId w:val="57"/>
  </w:num>
  <w:num w:numId="44">
    <w:abstractNumId w:val="15"/>
  </w:num>
  <w:num w:numId="45">
    <w:abstractNumId w:val="36"/>
  </w:num>
  <w:num w:numId="46">
    <w:abstractNumId w:val="58"/>
  </w:num>
  <w:num w:numId="47">
    <w:abstractNumId w:val="30"/>
  </w:num>
  <w:num w:numId="48">
    <w:abstractNumId w:val="5"/>
  </w:num>
  <w:num w:numId="49">
    <w:abstractNumId w:val="61"/>
  </w:num>
  <w:num w:numId="50">
    <w:abstractNumId w:val="45"/>
  </w:num>
  <w:num w:numId="51">
    <w:abstractNumId w:val="7"/>
  </w:num>
  <w:num w:numId="52">
    <w:abstractNumId w:val="40"/>
  </w:num>
  <w:num w:numId="53">
    <w:abstractNumId w:val="42"/>
  </w:num>
  <w:num w:numId="54">
    <w:abstractNumId w:val="29"/>
  </w:num>
  <w:num w:numId="55">
    <w:abstractNumId w:val="59"/>
  </w:num>
  <w:num w:numId="56">
    <w:abstractNumId w:val="43"/>
  </w:num>
  <w:num w:numId="57">
    <w:abstractNumId w:val="31"/>
  </w:num>
  <w:num w:numId="58">
    <w:abstractNumId w:val="1"/>
  </w:num>
  <w:num w:numId="59">
    <w:abstractNumId w:val="23"/>
  </w:num>
  <w:num w:numId="60">
    <w:abstractNumId w:val="52"/>
  </w:num>
  <w:num w:numId="61">
    <w:abstractNumId w:val="18"/>
  </w:num>
  <w:num w:numId="62">
    <w:abstractNumId w:val="25"/>
  </w:num>
  <w:num w:numId="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B07A6"/>
    <w:rsid w:val="00031981"/>
    <w:rsid w:val="00065623"/>
    <w:rsid w:val="000A162C"/>
    <w:rsid w:val="000C2A57"/>
    <w:rsid w:val="000C3922"/>
    <w:rsid w:val="000D6E52"/>
    <w:rsid w:val="000E3F26"/>
    <w:rsid w:val="00102695"/>
    <w:rsid w:val="00125CDC"/>
    <w:rsid w:val="0015740B"/>
    <w:rsid w:val="0018512C"/>
    <w:rsid w:val="0019284E"/>
    <w:rsid w:val="00195F80"/>
    <w:rsid w:val="00197961"/>
    <w:rsid w:val="001D3012"/>
    <w:rsid w:val="001F13C5"/>
    <w:rsid w:val="001F61FF"/>
    <w:rsid w:val="00204ABE"/>
    <w:rsid w:val="002115B6"/>
    <w:rsid w:val="00212C9C"/>
    <w:rsid w:val="002222B0"/>
    <w:rsid w:val="00241860"/>
    <w:rsid w:val="0026640F"/>
    <w:rsid w:val="00272B41"/>
    <w:rsid w:val="002759A6"/>
    <w:rsid w:val="002A5BE1"/>
    <w:rsid w:val="002A70CC"/>
    <w:rsid w:val="002B1DD8"/>
    <w:rsid w:val="002B290E"/>
    <w:rsid w:val="00303610"/>
    <w:rsid w:val="0030363F"/>
    <w:rsid w:val="00307E01"/>
    <w:rsid w:val="0033369C"/>
    <w:rsid w:val="003369BF"/>
    <w:rsid w:val="00363D3F"/>
    <w:rsid w:val="0037600B"/>
    <w:rsid w:val="00390C4F"/>
    <w:rsid w:val="003928F9"/>
    <w:rsid w:val="003A0B29"/>
    <w:rsid w:val="003A7A6C"/>
    <w:rsid w:val="003B64E3"/>
    <w:rsid w:val="003C056B"/>
    <w:rsid w:val="00425CF5"/>
    <w:rsid w:val="00445A2C"/>
    <w:rsid w:val="004470C0"/>
    <w:rsid w:val="00455399"/>
    <w:rsid w:val="00462515"/>
    <w:rsid w:val="00465A69"/>
    <w:rsid w:val="004948E1"/>
    <w:rsid w:val="004A7150"/>
    <w:rsid w:val="004B245F"/>
    <w:rsid w:val="004C030A"/>
    <w:rsid w:val="004D786E"/>
    <w:rsid w:val="004E1FF5"/>
    <w:rsid w:val="004E7813"/>
    <w:rsid w:val="00503DB4"/>
    <w:rsid w:val="00514678"/>
    <w:rsid w:val="00540467"/>
    <w:rsid w:val="00557068"/>
    <w:rsid w:val="00576318"/>
    <w:rsid w:val="005905A6"/>
    <w:rsid w:val="00596059"/>
    <w:rsid w:val="005F1B7C"/>
    <w:rsid w:val="005F4E08"/>
    <w:rsid w:val="00603D37"/>
    <w:rsid w:val="006061C2"/>
    <w:rsid w:val="006473F6"/>
    <w:rsid w:val="006800B9"/>
    <w:rsid w:val="00687FA7"/>
    <w:rsid w:val="006D523C"/>
    <w:rsid w:val="00704DDD"/>
    <w:rsid w:val="00706127"/>
    <w:rsid w:val="00707341"/>
    <w:rsid w:val="0076190F"/>
    <w:rsid w:val="00764062"/>
    <w:rsid w:val="007700DA"/>
    <w:rsid w:val="00773029"/>
    <w:rsid w:val="00795DE4"/>
    <w:rsid w:val="007D131C"/>
    <w:rsid w:val="007D627E"/>
    <w:rsid w:val="007D6F1D"/>
    <w:rsid w:val="007E72B6"/>
    <w:rsid w:val="008139D2"/>
    <w:rsid w:val="00853501"/>
    <w:rsid w:val="00866AF7"/>
    <w:rsid w:val="00870554"/>
    <w:rsid w:val="00897078"/>
    <w:rsid w:val="008B079B"/>
    <w:rsid w:val="008C445C"/>
    <w:rsid w:val="008D24A5"/>
    <w:rsid w:val="008E1932"/>
    <w:rsid w:val="0091465F"/>
    <w:rsid w:val="0092630D"/>
    <w:rsid w:val="00945C71"/>
    <w:rsid w:val="0099096B"/>
    <w:rsid w:val="00997338"/>
    <w:rsid w:val="00997B8E"/>
    <w:rsid w:val="009B5769"/>
    <w:rsid w:val="009C70EA"/>
    <w:rsid w:val="009D60F9"/>
    <w:rsid w:val="00A34C4E"/>
    <w:rsid w:val="00A53272"/>
    <w:rsid w:val="00A57A2C"/>
    <w:rsid w:val="00A57B1E"/>
    <w:rsid w:val="00A974CE"/>
    <w:rsid w:val="00AA2230"/>
    <w:rsid w:val="00AC5500"/>
    <w:rsid w:val="00AC6329"/>
    <w:rsid w:val="00AE69BC"/>
    <w:rsid w:val="00AF5D88"/>
    <w:rsid w:val="00AF658B"/>
    <w:rsid w:val="00B21EF0"/>
    <w:rsid w:val="00B54782"/>
    <w:rsid w:val="00B672E3"/>
    <w:rsid w:val="00B74ABB"/>
    <w:rsid w:val="00B75A6A"/>
    <w:rsid w:val="00BA06B7"/>
    <w:rsid w:val="00BA61C9"/>
    <w:rsid w:val="00BB07A7"/>
    <w:rsid w:val="00BB5B84"/>
    <w:rsid w:val="00BC6A4D"/>
    <w:rsid w:val="00BD6959"/>
    <w:rsid w:val="00BE4688"/>
    <w:rsid w:val="00C03372"/>
    <w:rsid w:val="00C14AFF"/>
    <w:rsid w:val="00C16CBA"/>
    <w:rsid w:val="00C40737"/>
    <w:rsid w:val="00CF611E"/>
    <w:rsid w:val="00D1371D"/>
    <w:rsid w:val="00D21C62"/>
    <w:rsid w:val="00D30599"/>
    <w:rsid w:val="00D418A2"/>
    <w:rsid w:val="00D579E8"/>
    <w:rsid w:val="00D72B59"/>
    <w:rsid w:val="00D83DEA"/>
    <w:rsid w:val="00D906D1"/>
    <w:rsid w:val="00D90FC5"/>
    <w:rsid w:val="00D9402A"/>
    <w:rsid w:val="00DB5959"/>
    <w:rsid w:val="00DC3E09"/>
    <w:rsid w:val="00DC6058"/>
    <w:rsid w:val="00DC7C21"/>
    <w:rsid w:val="00DD25B6"/>
    <w:rsid w:val="00DF44BB"/>
    <w:rsid w:val="00E11CEF"/>
    <w:rsid w:val="00E240D0"/>
    <w:rsid w:val="00E3533C"/>
    <w:rsid w:val="00E425E1"/>
    <w:rsid w:val="00E65315"/>
    <w:rsid w:val="00E7585E"/>
    <w:rsid w:val="00E86052"/>
    <w:rsid w:val="00EB3FF8"/>
    <w:rsid w:val="00EB6B90"/>
    <w:rsid w:val="00EE548A"/>
    <w:rsid w:val="00F05DB6"/>
    <w:rsid w:val="00F13410"/>
    <w:rsid w:val="00F14D4D"/>
    <w:rsid w:val="00F16E55"/>
    <w:rsid w:val="00F20AB9"/>
    <w:rsid w:val="00F2210A"/>
    <w:rsid w:val="00F26887"/>
    <w:rsid w:val="00F3392B"/>
    <w:rsid w:val="00F42278"/>
    <w:rsid w:val="00F4479A"/>
    <w:rsid w:val="00F62856"/>
    <w:rsid w:val="00F636FC"/>
    <w:rsid w:val="00F63B15"/>
    <w:rsid w:val="00F778D7"/>
    <w:rsid w:val="00FB2586"/>
    <w:rsid w:val="00FF6124"/>
    <w:rsid w:val="037D507F"/>
    <w:rsid w:val="09AE3920"/>
    <w:rsid w:val="1E8133FD"/>
    <w:rsid w:val="1EFF77A6"/>
    <w:rsid w:val="224E79A2"/>
    <w:rsid w:val="2CF033A8"/>
    <w:rsid w:val="2FD74F7B"/>
    <w:rsid w:val="33C310B1"/>
    <w:rsid w:val="36674E62"/>
    <w:rsid w:val="42FB2734"/>
    <w:rsid w:val="46E51401"/>
    <w:rsid w:val="47FD5813"/>
    <w:rsid w:val="4A966E5E"/>
    <w:rsid w:val="4D3D4EC8"/>
    <w:rsid w:val="56B363AC"/>
    <w:rsid w:val="5E960F96"/>
    <w:rsid w:val="634051F6"/>
    <w:rsid w:val="67C512BD"/>
    <w:rsid w:val="729D6ADF"/>
    <w:rsid w:val="76FB07A6"/>
    <w:rsid w:val="78591895"/>
    <w:rsid w:val="7AFB1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7"/>
    <w:qFormat/>
    <w:uiPriority w:val="9"/>
    <w:pPr>
      <w:keepNext/>
      <w:keepLines/>
      <w:spacing w:before="340" w:after="330" w:line="576" w:lineRule="auto"/>
      <w:outlineLvl w:val="0"/>
    </w:pPr>
    <w:rPr>
      <w:rFonts w:cstheme="minorBidi"/>
      <w:b/>
      <w:kern w:val="44"/>
      <w:sz w:val="44"/>
      <w:szCs w:val="20"/>
    </w:rPr>
  </w:style>
  <w:style w:type="paragraph" w:styleId="5">
    <w:name w:val="heading 2"/>
    <w:basedOn w:val="1"/>
    <w:next w:val="1"/>
    <w:link w:val="45"/>
    <w:qFormat/>
    <w:uiPriority w:val="0"/>
    <w:pPr>
      <w:keepNext/>
      <w:keepLines/>
      <w:spacing w:before="260" w:after="260" w:line="416" w:lineRule="auto"/>
      <w:outlineLvl w:val="1"/>
    </w:pPr>
    <w:rPr>
      <w:rFonts w:ascii="Calibri Light" w:hAnsi="Calibri Light"/>
      <w:b/>
      <w:bCs/>
      <w:kern w:val="0"/>
      <w:sz w:val="32"/>
      <w:szCs w:val="32"/>
    </w:rPr>
  </w:style>
  <w:style w:type="paragraph" w:styleId="6">
    <w:name w:val="heading 3"/>
    <w:basedOn w:val="1"/>
    <w:next w:val="1"/>
    <w:link w:val="58"/>
    <w:qFormat/>
    <w:uiPriority w:val="0"/>
    <w:pPr>
      <w:keepNext/>
      <w:widowControl/>
      <w:numPr>
        <w:ilvl w:val="2"/>
        <w:numId w:val="1"/>
      </w:numPr>
      <w:spacing w:before="100" w:beforeAutospacing="1" w:line="360" w:lineRule="auto"/>
      <w:jc w:val="left"/>
      <w:outlineLvl w:val="2"/>
    </w:pPr>
    <w:rPr>
      <w:rFonts w:ascii="Verdana" w:hAnsi="Verdana" w:eastAsia="黑体" w:cstheme="minorBidi"/>
      <w:bCs/>
      <w:color w:val="FF0000"/>
      <w:kern w:val="0"/>
      <w:sz w:val="24"/>
      <w:szCs w:val="20"/>
    </w:rPr>
  </w:style>
  <w:style w:type="paragraph" w:styleId="7">
    <w:name w:val="heading 4"/>
    <w:basedOn w:val="1"/>
    <w:next w:val="1"/>
    <w:link w:val="59"/>
    <w:qFormat/>
    <w:uiPriority w:val="0"/>
    <w:pPr>
      <w:keepNext/>
      <w:widowControl/>
      <w:numPr>
        <w:ilvl w:val="3"/>
        <w:numId w:val="1"/>
      </w:numPr>
      <w:spacing w:before="100" w:beforeAutospacing="1" w:line="360" w:lineRule="auto"/>
      <w:ind w:left="907" w:hanging="907"/>
      <w:jc w:val="left"/>
      <w:outlineLvl w:val="3"/>
    </w:pPr>
    <w:rPr>
      <w:rFonts w:ascii="Verdana" w:hAnsi="Verdana" w:eastAsia="黑体" w:cstheme="minorBidi"/>
      <w:bCs/>
      <w:kern w:val="0"/>
      <w:sz w:val="24"/>
      <w:szCs w:val="20"/>
      <w:lang w:eastAsia="ja-JP"/>
    </w:rPr>
  </w:style>
  <w:style w:type="paragraph" w:styleId="8">
    <w:name w:val="heading 5"/>
    <w:basedOn w:val="1"/>
    <w:next w:val="1"/>
    <w:link w:val="60"/>
    <w:unhideWhenUsed/>
    <w:qFormat/>
    <w:uiPriority w:val="0"/>
    <w:pPr>
      <w:keepNext/>
      <w:keepLines/>
      <w:spacing w:before="280" w:after="290" w:line="372" w:lineRule="auto"/>
      <w:outlineLvl w:val="4"/>
    </w:pPr>
    <w:rPr>
      <w:rFonts w:cstheme="minorBidi"/>
      <w:b/>
      <w:sz w:val="28"/>
      <w:szCs w:val="20"/>
    </w:rPr>
  </w:style>
  <w:style w:type="character" w:default="1" w:styleId="28">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4"/>
    <w:unhideWhenUsed/>
    <w:qFormat/>
    <w:uiPriority w:val="99"/>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unhideWhenUsed/>
    <w:qFormat/>
    <w:uiPriority w:val="99"/>
    <w:pPr>
      <w:spacing w:line="200" w:lineRule="exact"/>
      <w:ind w:firstLine="301"/>
    </w:pPr>
    <w:rPr>
      <w:rFonts w:ascii="宋体" w:hAnsi="Courier New"/>
      <w:spacing w:val="-4"/>
      <w:sz w:val="18"/>
      <w:szCs w:val="20"/>
    </w:rPr>
  </w:style>
  <w:style w:type="paragraph" w:styleId="9">
    <w:name w:val="Normal Indent"/>
    <w:basedOn w:val="1"/>
    <w:qFormat/>
    <w:uiPriority w:val="0"/>
    <w:pPr>
      <w:ind w:firstLine="420" w:firstLineChars="200"/>
    </w:pPr>
  </w:style>
  <w:style w:type="paragraph" w:styleId="10">
    <w:name w:val="Document Map"/>
    <w:basedOn w:val="1"/>
    <w:link w:val="61"/>
    <w:uiPriority w:val="0"/>
    <w:pPr>
      <w:shd w:val="clear" w:color="auto" w:fill="000080"/>
    </w:pPr>
    <w:rPr>
      <w:szCs w:val="24"/>
    </w:rPr>
  </w:style>
  <w:style w:type="paragraph" w:styleId="11">
    <w:name w:val="annotation text"/>
    <w:basedOn w:val="1"/>
    <w:link w:val="49"/>
    <w:qFormat/>
    <w:uiPriority w:val="99"/>
    <w:pPr>
      <w:jc w:val="left"/>
    </w:pPr>
    <w:rPr>
      <w:rFonts w:ascii="Calibri" w:hAnsi="Calibri"/>
    </w:rPr>
  </w:style>
  <w:style w:type="paragraph" w:styleId="12">
    <w:name w:val="Body Text"/>
    <w:basedOn w:val="1"/>
    <w:link w:val="64"/>
    <w:qFormat/>
    <w:uiPriority w:val="0"/>
    <w:pPr>
      <w:spacing w:after="120"/>
    </w:pPr>
  </w:style>
  <w:style w:type="paragraph" w:styleId="13">
    <w:name w:val="Plain Text"/>
    <w:basedOn w:val="1"/>
    <w:link w:val="44"/>
    <w:unhideWhenUsed/>
    <w:qFormat/>
    <w:uiPriority w:val="0"/>
    <w:pPr>
      <w:spacing w:beforeLines="50" w:afterLines="50" w:line="400" w:lineRule="exact"/>
    </w:pPr>
    <w:rPr>
      <w:rFonts w:ascii="宋体" w:hAnsi="Courier New"/>
      <w:sz w:val="24"/>
      <w:szCs w:val="24"/>
    </w:rPr>
  </w:style>
  <w:style w:type="paragraph" w:styleId="14">
    <w:name w:val="Date"/>
    <w:basedOn w:val="1"/>
    <w:next w:val="1"/>
    <w:qFormat/>
    <w:uiPriority w:val="0"/>
    <w:pPr>
      <w:ind w:left="100" w:leftChars="2500"/>
    </w:pPr>
    <w:rPr>
      <w:sz w:val="24"/>
    </w:rPr>
  </w:style>
  <w:style w:type="paragraph" w:styleId="15">
    <w:name w:val="Body Text Indent 2"/>
    <w:qFormat/>
    <w:uiPriority w:val="0"/>
    <w:pPr>
      <w:spacing w:line="480" w:lineRule="atLeast"/>
      <w:ind w:firstLine="480"/>
      <w:jc w:val="both"/>
    </w:pPr>
    <w:rPr>
      <w:rFonts w:ascii="宋体" w:hAnsi="宋体" w:eastAsia="仿宋_GB2312" w:cs="Times New Roman"/>
      <w:b/>
      <w:color w:val="000000"/>
      <w:sz w:val="24"/>
      <w:lang w:val="en-US" w:eastAsia="zh-CN" w:bidi="ar-SA"/>
    </w:rPr>
  </w:style>
  <w:style w:type="paragraph" w:styleId="16">
    <w:name w:val="Balloon Text"/>
    <w:basedOn w:val="1"/>
    <w:link w:val="43"/>
    <w:qFormat/>
    <w:uiPriority w:val="0"/>
    <w:rPr>
      <w:sz w:val="18"/>
      <w:szCs w:val="18"/>
    </w:rPr>
  </w:style>
  <w:style w:type="paragraph" w:styleId="17">
    <w:name w:val="footer"/>
    <w:basedOn w:val="1"/>
    <w:link w:val="39"/>
    <w:qFormat/>
    <w:uiPriority w:val="0"/>
    <w:pPr>
      <w:tabs>
        <w:tab w:val="center" w:pos="4153"/>
        <w:tab w:val="right" w:pos="8306"/>
      </w:tabs>
      <w:snapToGrid w:val="0"/>
      <w:jc w:val="left"/>
    </w:pPr>
    <w:rPr>
      <w:sz w:val="18"/>
      <w:szCs w:val="18"/>
    </w:rPr>
  </w:style>
  <w:style w:type="paragraph" w:styleId="18">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link w:val="70"/>
    <w:qFormat/>
    <w:uiPriority w:val="11"/>
    <w:pPr>
      <w:spacing w:before="240" w:after="60" w:line="312" w:lineRule="auto"/>
      <w:jc w:val="center"/>
      <w:outlineLvl w:val="1"/>
    </w:pPr>
    <w:rPr>
      <w:rFonts w:ascii="等线 Light" w:hAnsi="等线 Light"/>
      <w:b/>
      <w:bCs/>
      <w:kern w:val="28"/>
      <w:sz w:val="32"/>
      <w:szCs w:val="32"/>
    </w:rPr>
  </w:style>
  <w:style w:type="paragraph" w:styleId="20">
    <w:name w:val="footnote text"/>
    <w:basedOn w:val="1"/>
    <w:qFormat/>
    <w:uiPriority w:val="0"/>
    <w:pPr>
      <w:snapToGrid w:val="0"/>
      <w:jc w:val="left"/>
    </w:pPr>
    <w:rPr>
      <w:sz w:val="18"/>
    </w:rPr>
  </w:style>
  <w:style w:type="paragraph" w:styleId="21">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22">
    <w:name w:val="HTML Preformatted"/>
    <w:basedOn w:val="1"/>
    <w:link w:val="4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qFormat/>
    <w:uiPriority w:val="99"/>
    <w:pPr>
      <w:widowControl/>
      <w:spacing w:before="100" w:beforeAutospacing="1" w:after="100" w:afterAutospacing="1"/>
      <w:jc w:val="left"/>
    </w:pPr>
    <w:rPr>
      <w:rFonts w:ascii="宋体" w:hAnsi="宋体" w:cs="宋体"/>
      <w:color w:val="003399"/>
      <w:kern w:val="0"/>
      <w:sz w:val="18"/>
      <w:szCs w:val="18"/>
    </w:rPr>
  </w:style>
  <w:style w:type="paragraph" w:styleId="24">
    <w:name w:val="Title"/>
    <w:basedOn w:val="1"/>
    <w:next w:val="1"/>
    <w:link w:val="47"/>
    <w:qFormat/>
    <w:uiPriority w:val="99"/>
    <w:pPr>
      <w:spacing w:before="240" w:after="60"/>
      <w:jc w:val="center"/>
      <w:outlineLvl w:val="0"/>
    </w:pPr>
    <w:rPr>
      <w:rFonts w:ascii="Cambria" w:hAnsi="Cambria"/>
      <w:b/>
      <w:bCs/>
      <w:sz w:val="32"/>
      <w:szCs w:val="32"/>
    </w:rPr>
  </w:style>
  <w:style w:type="paragraph" w:styleId="25">
    <w:name w:val="annotation subject"/>
    <w:basedOn w:val="11"/>
    <w:next w:val="11"/>
    <w:link w:val="66"/>
    <w:unhideWhenUsed/>
    <w:qFormat/>
    <w:uiPriority w:val="99"/>
    <w:rPr>
      <w:b/>
      <w:bCs/>
      <w:szCs w:val="24"/>
    </w:rPr>
  </w:style>
  <w:style w:type="paragraph" w:styleId="26">
    <w:name w:val="Body Text First Indent"/>
    <w:basedOn w:val="12"/>
    <w:qFormat/>
    <w:uiPriority w:val="0"/>
    <w:pPr>
      <w:ind w:firstLine="420" w:firstLineChars="100"/>
    </w:pPr>
  </w:style>
  <w:style w:type="character" w:styleId="29">
    <w:name w:val="page number"/>
    <w:basedOn w:val="28"/>
    <w:qFormat/>
    <w:uiPriority w:val="0"/>
  </w:style>
  <w:style w:type="character" w:styleId="30">
    <w:name w:val="FollowedHyperlink"/>
    <w:qFormat/>
    <w:uiPriority w:val="0"/>
    <w:rPr>
      <w:color w:val="800080"/>
      <w:u w:val="single"/>
    </w:rPr>
  </w:style>
  <w:style w:type="character" w:styleId="31">
    <w:name w:val="Hyperlink"/>
    <w:qFormat/>
    <w:uiPriority w:val="99"/>
    <w:rPr>
      <w:color w:val="0000FF"/>
      <w:u w:val="single"/>
    </w:rPr>
  </w:style>
  <w:style w:type="character" w:styleId="32">
    <w:name w:val="annotation reference"/>
    <w:unhideWhenUsed/>
    <w:qFormat/>
    <w:uiPriority w:val="99"/>
    <w:rPr>
      <w:sz w:val="21"/>
      <w:szCs w:val="21"/>
    </w:rPr>
  </w:style>
  <w:style w:type="paragraph" w:customStyle="1" w:styleId="33">
    <w:name w:val="正文段"/>
    <w:basedOn w:val="1"/>
    <w:qFormat/>
    <w:uiPriority w:val="0"/>
    <w:pPr>
      <w:widowControl/>
      <w:snapToGrid w:val="0"/>
      <w:spacing w:afterLines="50"/>
      <w:ind w:firstLine="200" w:firstLineChars="200"/>
    </w:pPr>
    <w:rPr>
      <w:kern w:val="0"/>
      <w:sz w:val="24"/>
      <w:szCs w:val="20"/>
    </w:rPr>
  </w:style>
  <w:style w:type="paragraph" w:customStyle="1" w:styleId="34">
    <w:name w:val="一级标题"/>
    <w:basedOn w:val="13"/>
    <w:qFormat/>
    <w:uiPriority w:val="0"/>
    <w:pPr>
      <w:spacing w:line="360" w:lineRule="auto"/>
      <w:jc w:val="center"/>
    </w:pPr>
    <w:rPr>
      <w:rFonts w:hAnsi="宋体"/>
      <w:b/>
      <w:sz w:val="36"/>
      <w:szCs w:val="36"/>
    </w:rPr>
  </w:style>
  <w:style w:type="paragraph" w:customStyle="1" w:styleId="35">
    <w:name w:val="正文2"/>
    <w:basedOn w:val="1"/>
    <w:link w:val="55"/>
    <w:qFormat/>
    <w:uiPriority w:val="0"/>
    <w:pPr>
      <w:spacing w:before="156" w:line="360" w:lineRule="auto"/>
      <w:ind w:firstLine="510" w:firstLineChars="200"/>
    </w:pPr>
    <w:rPr>
      <w:sz w:val="24"/>
    </w:rPr>
  </w:style>
  <w:style w:type="paragraph" w:customStyle="1" w:styleId="36">
    <w:name w:val="xl77"/>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sz w:val="28"/>
      <w:lang w:val="en-US" w:eastAsia="zh-CN" w:bidi="ar-SA"/>
    </w:rPr>
  </w:style>
  <w:style w:type="paragraph" w:customStyle="1" w:styleId="3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character" w:customStyle="1" w:styleId="38">
    <w:name w:val="页眉 Char"/>
    <w:basedOn w:val="28"/>
    <w:link w:val="18"/>
    <w:qFormat/>
    <w:uiPriority w:val="0"/>
    <w:rPr>
      <w:kern w:val="2"/>
      <w:sz w:val="18"/>
      <w:szCs w:val="18"/>
    </w:rPr>
  </w:style>
  <w:style w:type="character" w:customStyle="1" w:styleId="39">
    <w:name w:val="页脚 Char"/>
    <w:basedOn w:val="28"/>
    <w:link w:val="17"/>
    <w:qFormat/>
    <w:uiPriority w:val="0"/>
    <w:rPr>
      <w:kern w:val="2"/>
      <w:sz w:val="18"/>
      <w:szCs w:val="18"/>
    </w:rPr>
  </w:style>
  <w:style w:type="character" w:customStyle="1" w:styleId="40">
    <w:name w:val="HTML 预设格式 Char"/>
    <w:link w:val="22"/>
    <w:qFormat/>
    <w:uiPriority w:val="99"/>
    <w:rPr>
      <w:rFonts w:ascii="宋体" w:hAnsi="宋体" w:cs="宋体"/>
      <w:sz w:val="24"/>
      <w:szCs w:val="24"/>
    </w:rPr>
  </w:style>
  <w:style w:type="character" w:customStyle="1" w:styleId="41">
    <w:name w:val="HTML 预设格式 Char1"/>
    <w:basedOn w:val="28"/>
    <w:link w:val="22"/>
    <w:qFormat/>
    <w:uiPriority w:val="0"/>
    <w:rPr>
      <w:rFonts w:ascii="Courier New" w:hAnsi="Courier New" w:cs="Courier New"/>
      <w:kern w:val="2"/>
    </w:rPr>
  </w:style>
  <w:style w:type="paragraph" w:styleId="42">
    <w:name w:val="List Paragraph"/>
    <w:basedOn w:val="1"/>
    <w:link w:val="56"/>
    <w:unhideWhenUsed/>
    <w:qFormat/>
    <w:uiPriority w:val="34"/>
    <w:pPr>
      <w:ind w:firstLine="420" w:firstLineChars="200"/>
    </w:pPr>
  </w:style>
  <w:style w:type="character" w:customStyle="1" w:styleId="43">
    <w:name w:val="批注框文本 Char"/>
    <w:basedOn w:val="28"/>
    <w:link w:val="16"/>
    <w:qFormat/>
    <w:uiPriority w:val="0"/>
    <w:rPr>
      <w:kern w:val="2"/>
      <w:sz w:val="18"/>
      <w:szCs w:val="18"/>
    </w:rPr>
  </w:style>
  <w:style w:type="character" w:customStyle="1" w:styleId="44">
    <w:name w:val="纯文本 Char"/>
    <w:link w:val="13"/>
    <w:qFormat/>
    <w:uiPriority w:val="0"/>
    <w:rPr>
      <w:rFonts w:ascii="宋体" w:hAnsi="Courier New"/>
      <w:kern w:val="2"/>
      <w:sz w:val="24"/>
      <w:szCs w:val="24"/>
    </w:rPr>
  </w:style>
  <w:style w:type="character" w:customStyle="1" w:styleId="45">
    <w:name w:val="标题 2 Char"/>
    <w:basedOn w:val="28"/>
    <w:link w:val="5"/>
    <w:qFormat/>
    <w:uiPriority w:val="99"/>
    <w:rPr>
      <w:rFonts w:ascii="Calibri Light" w:hAnsi="Calibri Light"/>
      <w:b/>
      <w:bCs/>
      <w:sz w:val="32"/>
      <w:szCs w:val="32"/>
    </w:rPr>
  </w:style>
  <w:style w:type="paragraph" w:customStyle="1" w:styleId="46">
    <w:name w:val="列出段落1"/>
    <w:basedOn w:val="1"/>
    <w:uiPriority w:val="99"/>
    <w:pPr>
      <w:ind w:firstLine="420" w:firstLineChars="200"/>
    </w:pPr>
    <w:rPr>
      <w:rFonts w:ascii="Calibri" w:hAnsi="Calibri" w:cs="Calibri"/>
      <w:szCs w:val="21"/>
    </w:rPr>
  </w:style>
  <w:style w:type="character" w:customStyle="1" w:styleId="47">
    <w:name w:val="标题 Char"/>
    <w:basedOn w:val="28"/>
    <w:link w:val="24"/>
    <w:qFormat/>
    <w:uiPriority w:val="99"/>
    <w:rPr>
      <w:rFonts w:ascii="Cambria" w:hAnsi="Cambria"/>
      <w:b/>
      <w:bCs/>
      <w:kern w:val="2"/>
      <w:sz w:val="32"/>
      <w:szCs w:val="32"/>
    </w:rPr>
  </w:style>
  <w:style w:type="paragraph" w:customStyle="1" w:styleId="4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9">
    <w:name w:val="批注文字 Char"/>
    <w:basedOn w:val="28"/>
    <w:link w:val="11"/>
    <w:qFormat/>
    <w:uiPriority w:val="0"/>
    <w:rPr>
      <w:rFonts w:ascii="Calibri" w:hAnsi="Calibri"/>
      <w:kern w:val="2"/>
      <w:sz w:val="21"/>
      <w:szCs w:val="22"/>
    </w:rPr>
  </w:style>
  <w:style w:type="paragraph" w:styleId="50">
    <w:name w:val="No Spacing"/>
    <w:qFormat/>
    <w:uiPriority w:val="99"/>
    <w:pPr>
      <w:widowControl w:val="0"/>
      <w:jc w:val="both"/>
    </w:pPr>
    <w:rPr>
      <w:rFonts w:ascii="Times New Roman" w:hAnsi="Times New Roman" w:eastAsia="楷体" w:cs="Times New Roman"/>
      <w:kern w:val="2"/>
      <w:sz w:val="21"/>
      <w:szCs w:val="24"/>
      <w:lang w:val="en-US" w:eastAsia="zh-CN" w:bidi="ar-SA"/>
    </w:rPr>
  </w:style>
  <w:style w:type="paragraph" w:customStyle="1" w:styleId="51">
    <w:name w:val="无间隔1"/>
    <w:basedOn w:val="1"/>
    <w:uiPriority w:val="99"/>
    <w:rPr>
      <w:sz w:val="24"/>
      <w:szCs w:val="24"/>
    </w:rPr>
  </w:style>
  <w:style w:type="paragraph" w:customStyle="1" w:styleId="52">
    <w:name w:val="Table Paragraph"/>
    <w:basedOn w:val="1"/>
    <w:qFormat/>
    <w:uiPriority w:val="1"/>
    <w:rPr>
      <w:rFonts w:ascii="宋体" w:hAnsi="宋体" w:cs="宋体"/>
      <w:szCs w:val="21"/>
    </w:rPr>
  </w:style>
  <w:style w:type="paragraph" w:customStyle="1" w:styleId="53">
    <w:name w:val="列出段落3"/>
    <w:basedOn w:val="1"/>
    <w:uiPriority w:val="99"/>
    <w:pPr>
      <w:autoSpaceDE w:val="0"/>
      <w:autoSpaceDN w:val="0"/>
      <w:adjustRightInd w:val="0"/>
      <w:ind w:firstLine="420" w:firstLineChars="200"/>
      <w:jc w:val="left"/>
      <w:textAlignment w:val="baseline"/>
    </w:pPr>
    <w:rPr>
      <w:rFonts w:ascii="宋体" w:cs="宋体"/>
      <w:kern w:val="0"/>
      <w:sz w:val="34"/>
      <w:szCs w:val="34"/>
    </w:rPr>
  </w:style>
  <w:style w:type="character" w:customStyle="1" w:styleId="54">
    <w:name w:val="正文首行缩进 2 Char"/>
    <w:basedOn w:val="28"/>
    <w:link w:val="2"/>
    <w:uiPriority w:val="99"/>
    <w:rPr>
      <w:kern w:val="2"/>
      <w:sz w:val="21"/>
    </w:rPr>
  </w:style>
  <w:style w:type="character" w:customStyle="1" w:styleId="55">
    <w:name w:val="正文2 字符"/>
    <w:basedOn w:val="28"/>
    <w:link w:val="35"/>
    <w:qFormat/>
    <w:uiPriority w:val="0"/>
    <w:rPr>
      <w:kern w:val="2"/>
      <w:sz w:val="24"/>
      <w:szCs w:val="22"/>
    </w:rPr>
  </w:style>
  <w:style w:type="character" w:customStyle="1" w:styleId="56">
    <w:name w:val="列出段落 Char"/>
    <w:link w:val="42"/>
    <w:qFormat/>
    <w:uiPriority w:val="34"/>
    <w:rPr>
      <w:kern w:val="2"/>
      <w:sz w:val="21"/>
      <w:szCs w:val="22"/>
    </w:rPr>
  </w:style>
  <w:style w:type="character" w:customStyle="1" w:styleId="57">
    <w:name w:val="标题 1 Char"/>
    <w:basedOn w:val="28"/>
    <w:link w:val="4"/>
    <w:qFormat/>
    <w:uiPriority w:val="9"/>
    <w:rPr>
      <w:rFonts w:cstheme="minorBidi"/>
      <w:b/>
      <w:kern w:val="44"/>
      <w:sz w:val="44"/>
    </w:rPr>
  </w:style>
  <w:style w:type="character" w:customStyle="1" w:styleId="58">
    <w:name w:val="标题 3 Char"/>
    <w:basedOn w:val="28"/>
    <w:link w:val="6"/>
    <w:qFormat/>
    <w:uiPriority w:val="0"/>
    <w:rPr>
      <w:rFonts w:ascii="Verdana" w:hAnsi="Verdana" w:eastAsia="黑体" w:cstheme="minorBidi"/>
      <w:bCs/>
      <w:color w:val="FF0000"/>
      <w:sz w:val="24"/>
    </w:rPr>
  </w:style>
  <w:style w:type="character" w:customStyle="1" w:styleId="59">
    <w:name w:val="标题 4 Char"/>
    <w:basedOn w:val="28"/>
    <w:link w:val="7"/>
    <w:qFormat/>
    <w:uiPriority w:val="0"/>
    <w:rPr>
      <w:rFonts w:ascii="Verdana" w:hAnsi="Verdana" w:eastAsia="黑体" w:cstheme="minorBidi"/>
      <w:bCs/>
      <w:sz w:val="24"/>
      <w:lang w:eastAsia="ja-JP"/>
    </w:rPr>
  </w:style>
  <w:style w:type="character" w:customStyle="1" w:styleId="60">
    <w:name w:val="标题 5 Char"/>
    <w:basedOn w:val="28"/>
    <w:link w:val="8"/>
    <w:qFormat/>
    <w:uiPriority w:val="0"/>
    <w:rPr>
      <w:rFonts w:cstheme="minorBidi"/>
      <w:b/>
      <w:kern w:val="2"/>
      <w:sz w:val="28"/>
    </w:rPr>
  </w:style>
  <w:style w:type="character" w:customStyle="1" w:styleId="61">
    <w:name w:val="文档结构图 Char"/>
    <w:basedOn w:val="28"/>
    <w:link w:val="10"/>
    <w:qFormat/>
    <w:uiPriority w:val="0"/>
    <w:rPr>
      <w:kern w:val="2"/>
      <w:sz w:val="21"/>
      <w:szCs w:val="24"/>
      <w:shd w:val="clear" w:color="auto" w:fill="000080"/>
    </w:rPr>
  </w:style>
  <w:style w:type="character" w:customStyle="1" w:styleId="62">
    <w:name w:val="副标题 Char"/>
    <w:basedOn w:val="28"/>
    <w:link w:val="19"/>
    <w:qFormat/>
    <w:uiPriority w:val="0"/>
    <w:rPr>
      <w:rFonts w:asciiTheme="majorHAnsi" w:hAnsiTheme="majorHAnsi" w:cstheme="majorBidi"/>
      <w:b/>
      <w:bCs/>
      <w:kern w:val="28"/>
      <w:sz w:val="32"/>
      <w:szCs w:val="32"/>
    </w:rPr>
  </w:style>
  <w:style w:type="character" w:customStyle="1" w:styleId="63">
    <w:name w:val="批注主题 Char"/>
    <w:basedOn w:val="49"/>
    <w:link w:val="25"/>
    <w:qFormat/>
    <w:uiPriority w:val="0"/>
    <w:rPr>
      <w:b/>
      <w:bCs/>
    </w:rPr>
  </w:style>
  <w:style w:type="character" w:customStyle="1" w:styleId="64">
    <w:name w:val="正文文本 Char1"/>
    <w:link w:val="12"/>
    <w:qFormat/>
    <w:uiPriority w:val="0"/>
    <w:rPr>
      <w:kern w:val="2"/>
      <w:sz w:val="21"/>
      <w:szCs w:val="22"/>
    </w:rPr>
  </w:style>
  <w:style w:type="paragraph" w:customStyle="1" w:styleId="65">
    <w:name w:val="样式 标题 2 + (中文) 宋体 段前: 7 磅 段后: 7 磅"/>
    <w:basedOn w:val="5"/>
    <w:qFormat/>
    <w:uiPriority w:val="0"/>
    <w:pPr>
      <w:spacing w:before="140" w:after="140" w:line="413" w:lineRule="auto"/>
    </w:pPr>
    <w:rPr>
      <w:rFonts w:ascii="Arial" w:hAnsi="Arial" w:eastAsia="楷体_GB2312" w:cs="宋体"/>
      <w:bCs w:val="0"/>
      <w:kern w:val="2"/>
      <w:szCs w:val="20"/>
    </w:rPr>
  </w:style>
  <w:style w:type="character" w:customStyle="1" w:styleId="66">
    <w:name w:val="批注主题 Char1"/>
    <w:link w:val="25"/>
    <w:qFormat/>
    <w:uiPriority w:val="99"/>
    <w:rPr>
      <w:rFonts w:ascii="Calibri" w:hAnsi="Calibri"/>
      <w:b/>
      <w:bCs/>
      <w:kern w:val="2"/>
      <w:sz w:val="21"/>
      <w:szCs w:val="24"/>
    </w:rPr>
  </w:style>
  <w:style w:type="character" w:customStyle="1" w:styleId="67">
    <w:name w:val="批注文字 字符"/>
    <w:qFormat/>
    <w:uiPriority w:val="99"/>
    <w:rPr>
      <w:rFonts w:ascii="Calibri" w:hAnsi="Calibri"/>
      <w:kern w:val="2"/>
      <w:sz w:val="21"/>
      <w:szCs w:val="22"/>
    </w:rPr>
  </w:style>
  <w:style w:type="character" w:customStyle="1" w:styleId="68">
    <w:name w:val="15"/>
    <w:uiPriority w:val="0"/>
    <w:rPr>
      <w:rFonts w:hint="default" w:ascii="Verdana" w:hAnsi="Verdana"/>
      <w:color w:val="C90000"/>
      <w:sz w:val="18"/>
    </w:rPr>
  </w:style>
  <w:style w:type="character" w:customStyle="1" w:styleId="69">
    <w:name w:val="页眉 Char1"/>
    <w:qFormat/>
    <w:uiPriority w:val="0"/>
    <w:rPr>
      <w:kern w:val="2"/>
      <w:sz w:val="18"/>
      <w:szCs w:val="18"/>
    </w:rPr>
  </w:style>
  <w:style w:type="character" w:customStyle="1" w:styleId="70">
    <w:name w:val="副标题 Char1"/>
    <w:link w:val="19"/>
    <w:qFormat/>
    <w:uiPriority w:val="11"/>
    <w:rPr>
      <w:rFonts w:ascii="等线 Light" w:hAnsi="等线 Light"/>
      <w:b/>
      <w:bCs/>
      <w:kern w:val="28"/>
      <w:sz w:val="32"/>
      <w:szCs w:val="32"/>
    </w:rPr>
  </w:style>
  <w:style w:type="character" w:customStyle="1" w:styleId="71">
    <w:name w:val="sim-link"/>
    <w:qFormat/>
    <w:uiPriority w:val="0"/>
  </w:style>
  <w:style w:type="paragraph" w:customStyle="1" w:styleId="72">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73">
    <w:name w:val="浅色网格 - 着色 31"/>
    <w:basedOn w:val="1"/>
    <w:qFormat/>
    <w:uiPriority w:val="34"/>
    <w:pPr>
      <w:ind w:firstLine="420" w:firstLineChars="200"/>
    </w:pPr>
    <w:rPr>
      <w:rFonts w:ascii="Cambria" w:hAnsi="Cambria"/>
      <w:sz w:val="24"/>
      <w:szCs w:val="24"/>
    </w:rPr>
  </w:style>
  <w:style w:type="paragraph" w:customStyle="1" w:styleId="74">
    <w:name w:val="修订1"/>
    <w:qFormat/>
    <w:uiPriority w:val="62"/>
    <w:rPr>
      <w:rFonts w:ascii="Times New Roman" w:hAnsi="Times New Roman" w:eastAsia="宋体" w:cs="Times New Roman"/>
      <w:kern w:val="2"/>
      <w:sz w:val="21"/>
      <w:szCs w:val="24"/>
      <w:lang w:val="en-US" w:eastAsia="zh-CN" w:bidi="ar-SA"/>
    </w:rPr>
  </w:style>
  <w:style w:type="character" w:customStyle="1" w:styleId="75">
    <w:name w:val="正文文本 Char"/>
    <w:basedOn w:val="28"/>
    <w:qFormat/>
    <w:uiPriority w:val="0"/>
    <w:rPr>
      <w:rFonts w:cstheme="minorBidi"/>
      <w:kern w:val="2"/>
      <w:sz w:val="21"/>
    </w:rPr>
  </w:style>
  <w:style w:type="paragraph" w:customStyle="1" w:styleId="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7">
    <w:name w:val="默认"/>
    <w:qFormat/>
    <w:uiPriority w:val="0"/>
    <w:rPr>
      <w:rFonts w:ascii="Helvetica Neue" w:hAnsi="Helvetica Neue" w:eastAsia="Helvetica Neue" w:cs="Helvetica Neue"/>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119</Pages>
  <Words>12959</Words>
  <Characters>73868</Characters>
  <Lines>615</Lines>
  <Paragraphs>173</Paragraphs>
  <TotalTime>43</TotalTime>
  <ScaleCrop>false</ScaleCrop>
  <LinksUpToDate>false</LinksUpToDate>
  <CharactersWithSpaces>86654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2020-05-07T00:54:00Z</dcterms:created>
  <dc:creator>心渃相依～</dc:creator>
  <cp:lastModifiedBy>奥达姆尼多·尘凯拉古奇·韵图斯</cp:lastModifiedBy>
  <dcterms:modified xsi:type="dcterms:W3CDTF">2020-09-17T11:59:47Z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