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8D5A2">
      <w:pPr>
        <w:widowControl w:val="0"/>
        <w:tabs>
          <w:tab w:val="center" w:pos="4677"/>
          <w:tab w:val="left" w:pos="7365"/>
        </w:tabs>
        <w:jc w:val="center"/>
        <w:rPr>
          <w:rFonts w:hint="eastAsia" w:ascii="宋体" w:eastAsia="宋体" w:cs="宋体"/>
          <w:b/>
          <w:bCs/>
          <w:color w:val="auto"/>
          <w:sz w:val="52"/>
          <w:szCs w:val="52"/>
          <w:highlight w:val="none"/>
          <w:lang w:eastAsia="zh-CN"/>
        </w:rPr>
      </w:pPr>
      <w:r>
        <w:rPr>
          <w:rFonts w:hint="eastAsia" w:ascii="宋体" w:eastAsia="宋体" w:cs="宋体"/>
          <w:b/>
          <w:bCs/>
          <w:color w:val="auto"/>
          <w:sz w:val="52"/>
          <w:szCs w:val="52"/>
          <w:highlight w:val="none"/>
          <w:lang w:eastAsia="zh-CN"/>
        </w:rPr>
        <w:t>永康市大数据发展中心</w:t>
      </w:r>
    </w:p>
    <w:p w14:paraId="35BE86A8">
      <w:pPr>
        <w:widowControl w:val="0"/>
        <w:tabs>
          <w:tab w:val="center" w:pos="4677"/>
          <w:tab w:val="left" w:pos="7365"/>
        </w:tabs>
        <w:jc w:val="center"/>
        <w:rPr>
          <w:rFonts w:hint="eastAsia" w:ascii="宋体" w:eastAsia="宋体" w:cs="宋体"/>
          <w:b/>
          <w:bCs/>
          <w:color w:val="auto"/>
          <w:sz w:val="52"/>
          <w:szCs w:val="52"/>
          <w:highlight w:val="none"/>
          <w:lang w:eastAsia="zh-CN"/>
        </w:rPr>
      </w:pPr>
      <w:r>
        <w:rPr>
          <w:rFonts w:hint="eastAsia" w:ascii="宋体" w:eastAsia="宋体" w:cs="宋体"/>
          <w:b/>
          <w:bCs/>
          <w:color w:val="auto"/>
          <w:sz w:val="52"/>
          <w:szCs w:val="52"/>
          <w:highlight w:val="none"/>
          <w:lang w:eastAsia="zh-CN"/>
        </w:rPr>
        <w:t>电子政务外网升级改造项目</w:t>
      </w:r>
    </w:p>
    <w:p w14:paraId="1F5AEAFE">
      <w:pPr>
        <w:widowControl w:val="0"/>
        <w:tabs>
          <w:tab w:val="center" w:pos="4677"/>
          <w:tab w:val="left" w:pos="7365"/>
        </w:tabs>
        <w:jc w:val="center"/>
        <w:rPr>
          <w:rFonts w:ascii="宋体" w:cs="宋体"/>
          <w:b/>
          <w:bCs/>
          <w:color w:val="auto"/>
          <w:sz w:val="72"/>
          <w:szCs w:val="72"/>
          <w:highlight w:val="none"/>
        </w:rPr>
      </w:pPr>
      <w:r>
        <w:rPr>
          <w:rFonts w:hint="eastAsia" w:ascii="宋体" w:cs="宋体"/>
          <w:b/>
          <w:bCs/>
          <w:color w:val="auto"/>
          <w:sz w:val="72"/>
          <w:szCs w:val="72"/>
          <w:highlight w:val="none"/>
        </w:rPr>
        <w:t>招标文件</w:t>
      </w:r>
    </w:p>
    <w:p w14:paraId="4561DD0D">
      <w:pPr>
        <w:pStyle w:val="19"/>
        <w:ind w:firstLine="1446"/>
        <w:rPr>
          <w:rFonts w:ascii="宋体" w:cs="宋体"/>
          <w:b/>
          <w:bCs/>
          <w:color w:val="auto"/>
          <w:sz w:val="72"/>
          <w:szCs w:val="72"/>
          <w:highlight w:val="none"/>
        </w:rPr>
      </w:pPr>
    </w:p>
    <w:p w14:paraId="6D107FD5">
      <w:pPr>
        <w:rPr>
          <w:color w:val="auto"/>
          <w:highlight w:val="none"/>
        </w:rPr>
      </w:pPr>
    </w:p>
    <w:p w14:paraId="2608C0AB">
      <w:pPr>
        <w:widowControl w:val="0"/>
        <w:jc w:val="center"/>
        <w:rPr>
          <w:rFonts w:hint="default" w:ascii="宋体" w:eastAsia="宋体" w:cs="宋体"/>
          <w:b/>
          <w:bCs/>
          <w:color w:val="auto"/>
          <w:sz w:val="32"/>
          <w:szCs w:val="32"/>
          <w:highlight w:val="none"/>
          <w:lang w:val="en-US" w:eastAsia="zh-CN"/>
        </w:rPr>
      </w:pPr>
      <w:r>
        <w:rPr>
          <w:rFonts w:hint="eastAsia" w:ascii="宋体" w:cs="宋体"/>
          <w:b/>
          <w:bCs/>
          <w:color w:val="auto"/>
          <w:sz w:val="32"/>
          <w:szCs w:val="32"/>
          <w:highlight w:val="none"/>
        </w:rPr>
        <w:t>采购编号：YKCG202</w:t>
      </w:r>
      <w:r>
        <w:rPr>
          <w:rFonts w:hint="eastAsia" w:ascii="宋体" w:cs="宋体"/>
          <w:b/>
          <w:bCs/>
          <w:color w:val="auto"/>
          <w:sz w:val="32"/>
          <w:szCs w:val="32"/>
          <w:highlight w:val="none"/>
          <w:lang w:val="en-US" w:eastAsia="zh-CN"/>
        </w:rPr>
        <w:t>5</w:t>
      </w:r>
      <w:r>
        <w:rPr>
          <w:rFonts w:hint="eastAsia" w:ascii="宋体" w:cs="宋体"/>
          <w:b/>
          <w:bCs/>
          <w:color w:val="auto"/>
          <w:sz w:val="32"/>
          <w:szCs w:val="32"/>
          <w:highlight w:val="none"/>
        </w:rPr>
        <w:t>-GK-0</w:t>
      </w:r>
      <w:r>
        <w:rPr>
          <w:rFonts w:hint="default" w:ascii="宋体" w:cs="宋体"/>
          <w:b/>
          <w:bCs/>
          <w:color w:val="auto"/>
          <w:sz w:val="32"/>
          <w:szCs w:val="32"/>
          <w:highlight w:val="none"/>
          <w:lang w:val="en-US"/>
        </w:rPr>
        <w:drawing>
          <wp:anchor distT="0" distB="0" distL="114300" distR="114300" simplePos="0" relativeHeight="251660288"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auto"/>
          <w:sz w:val="32"/>
          <w:szCs w:val="32"/>
          <w:highlight w:val="none"/>
          <w:lang w:val="en-US" w:eastAsia="zh-CN"/>
        </w:rPr>
        <w:t>33</w:t>
      </w:r>
    </w:p>
    <w:p w14:paraId="405FADED">
      <w:pPr>
        <w:widowControl w:val="0"/>
        <w:jc w:val="center"/>
        <w:rPr>
          <w:rFonts w:ascii="宋体" w:cs="宋体"/>
          <w:b/>
          <w:bCs/>
          <w:color w:val="FF0000"/>
          <w:sz w:val="32"/>
          <w:szCs w:val="32"/>
          <w:highlight w:val="none"/>
        </w:rPr>
      </w:pPr>
    </w:p>
    <w:p w14:paraId="64019AA7">
      <w:pPr>
        <w:widowControl w:val="0"/>
        <w:jc w:val="center"/>
        <w:rPr>
          <w:rFonts w:ascii="宋体" w:cs="宋体"/>
          <w:b/>
          <w:bCs/>
          <w:color w:val="FF0000"/>
          <w:sz w:val="32"/>
          <w:szCs w:val="32"/>
          <w:highlight w:val="none"/>
        </w:rPr>
      </w:pPr>
    </w:p>
    <w:p w14:paraId="562512C0">
      <w:pPr>
        <w:widowControl w:val="0"/>
        <w:jc w:val="center"/>
        <w:rPr>
          <w:rFonts w:ascii="宋体" w:cs="宋体"/>
          <w:b/>
          <w:bCs/>
          <w:sz w:val="32"/>
          <w:szCs w:val="32"/>
          <w:highlight w:val="none"/>
        </w:rPr>
      </w:pPr>
    </w:p>
    <w:p w14:paraId="6407DB75">
      <w:pPr>
        <w:widowControl w:val="0"/>
        <w:jc w:val="center"/>
        <w:rPr>
          <w:rFonts w:ascii="宋体" w:cs="宋体"/>
          <w:b/>
          <w:bCs/>
          <w:sz w:val="32"/>
          <w:szCs w:val="32"/>
          <w:highlight w:val="none"/>
        </w:rPr>
      </w:pPr>
    </w:p>
    <w:p w14:paraId="35CEE1DE">
      <w:pPr>
        <w:widowControl w:val="0"/>
        <w:jc w:val="center"/>
        <w:rPr>
          <w:rFonts w:ascii="宋体" w:cs="宋体"/>
          <w:b/>
          <w:bCs/>
          <w:sz w:val="32"/>
          <w:szCs w:val="32"/>
          <w:highlight w:val="none"/>
        </w:rPr>
      </w:pPr>
    </w:p>
    <w:p w14:paraId="1B60276B">
      <w:pPr>
        <w:widowControl w:val="0"/>
        <w:jc w:val="center"/>
        <w:rPr>
          <w:rFonts w:ascii="宋体" w:cs="宋体"/>
          <w:b/>
          <w:bCs/>
          <w:sz w:val="32"/>
          <w:szCs w:val="32"/>
          <w:highlight w:val="none"/>
        </w:rPr>
      </w:pPr>
    </w:p>
    <w:p w14:paraId="450C842F">
      <w:pPr>
        <w:widowControl w:val="0"/>
        <w:tabs>
          <w:tab w:val="left" w:pos="6926"/>
        </w:tabs>
        <w:jc w:val="left"/>
        <w:rPr>
          <w:rFonts w:ascii="宋体" w:cs="宋体"/>
          <w:b/>
          <w:bCs/>
          <w:sz w:val="32"/>
          <w:szCs w:val="32"/>
          <w:highlight w:val="none"/>
        </w:rPr>
      </w:pPr>
      <w:r>
        <w:rPr>
          <w:rFonts w:hint="eastAsia" w:ascii="宋体" w:cs="宋体"/>
          <w:b/>
          <w:bCs/>
          <w:sz w:val="32"/>
          <w:szCs w:val="32"/>
          <w:highlight w:val="none"/>
        </w:rPr>
        <w:tab/>
      </w:r>
    </w:p>
    <w:p w14:paraId="725BAEC5">
      <w:pPr>
        <w:widowControl w:val="0"/>
        <w:jc w:val="center"/>
        <w:rPr>
          <w:rFonts w:ascii="宋体" w:cs="宋体"/>
          <w:b/>
          <w:bCs/>
          <w:sz w:val="32"/>
          <w:szCs w:val="32"/>
          <w:highlight w:val="none"/>
        </w:rPr>
      </w:pPr>
    </w:p>
    <w:p w14:paraId="0D616625">
      <w:pPr>
        <w:widowControl w:val="0"/>
        <w:jc w:val="center"/>
        <w:rPr>
          <w:rFonts w:ascii="宋体" w:cs="宋体"/>
          <w:b/>
          <w:bCs/>
          <w:sz w:val="32"/>
          <w:szCs w:val="32"/>
          <w:highlight w:val="none"/>
        </w:rPr>
      </w:pPr>
    </w:p>
    <w:p w14:paraId="6ACBAA51">
      <w:pPr>
        <w:widowControl w:val="0"/>
        <w:jc w:val="center"/>
        <w:rPr>
          <w:rFonts w:ascii="宋体" w:cs="宋体"/>
          <w:b/>
          <w:bCs/>
          <w:sz w:val="32"/>
          <w:szCs w:val="32"/>
          <w:highlight w:val="none"/>
        </w:rPr>
      </w:pPr>
    </w:p>
    <w:p w14:paraId="09C39883">
      <w:pPr>
        <w:widowControl w:val="0"/>
        <w:jc w:val="center"/>
        <w:rPr>
          <w:rFonts w:ascii="宋体" w:cs="宋体"/>
          <w:b/>
          <w:bCs/>
          <w:sz w:val="32"/>
          <w:szCs w:val="32"/>
          <w:highlight w:val="none"/>
        </w:rPr>
      </w:pPr>
    </w:p>
    <w:p w14:paraId="1483FACD">
      <w:pPr>
        <w:widowControl w:val="0"/>
        <w:jc w:val="center"/>
        <w:rPr>
          <w:rFonts w:ascii="宋体" w:cs="宋体"/>
          <w:b/>
          <w:bCs/>
          <w:sz w:val="36"/>
          <w:szCs w:val="36"/>
          <w:highlight w:val="none"/>
        </w:rPr>
      </w:pPr>
    </w:p>
    <w:p w14:paraId="4A29B642">
      <w:pPr>
        <w:widowControl w:val="0"/>
        <w:jc w:val="center"/>
        <w:rPr>
          <w:rFonts w:ascii="宋体" w:cs="宋体"/>
          <w:b/>
          <w:bCs/>
          <w:sz w:val="36"/>
          <w:szCs w:val="36"/>
          <w:highlight w:val="none"/>
        </w:rPr>
      </w:pPr>
    </w:p>
    <w:p w14:paraId="13A1BBFC">
      <w:pPr>
        <w:widowControl w:val="0"/>
        <w:jc w:val="center"/>
        <w:rPr>
          <w:rFonts w:ascii="宋体" w:cs="宋体"/>
          <w:b/>
          <w:bCs/>
          <w:sz w:val="36"/>
          <w:szCs w:val="36"/>
          <w:highlight w:val="none"/>
        </w:rPr>
      </w:pPr>
    </w:p>
    <w:p w14:paraId="1B4E99C7">
      <w:pPr>
        <w:widowControl w:val="0"/>
        <w:jc w:val="center"/>
        <w:rPr>
          <w:rFonts w:ascii="宋体" w:cs="宋体"/>
          <w:b/>
          <w:bCs/>
          <w:sz w:val="36"/>
          <w:szCs w:val="36"/>
          <w:highlight w:val="none"/>
        </w:rPr>
      </w:pPr>
    </w:p>
    <w:p w14:paraId="0F85609E">
      <w:pPr>
        <w:widowControl w:val="0"/>
        <w:jc w:val="center"/>
        <w:rPr>
          <w:rFonts w:ascii="宋体" w:cs="宋体"/>
          <w:b/>
          <w:bCs/>
          <w:sz w:val="36"/>
          <w:szCs w:val="36"/>
          <w:highlight w:val="none"/>
        </w:rPr>
      </w:pPr>
    </w:p>
    <w:p w14:paraId="738F47FB">
      <w:pPr>
        <w:widowControl w:val="0"/>
        <w:ind w:firstLine="1807" w:firstLineChars="500"/>
        <w:rPr>
          <w:rFonts w:ascii="宋体" w:cs="宋体"/>
          <w:b/>
          <w:bCs/>
          <w:sz w:val="36"/>
          <w:szCs w:val="36"/>
          <w:highlight w:val="none"/>
        </w:rPr>
      </w:pPr>
      <w:r>
        <w:rPr>
          <w:rFonts w:hint="eastAsia" w:ascii="宋体" w:cs="宋体"/>
          <w:b/>
          <w:bCs/>
          <w:sz w:val="36"/>
          <w:szCs w:val="36"/>
          <w:highlight w:val="none"/>
        </w:rPr>
        <w:t>采购人：永康市大数据发展中心</w:t>
      </w:r>
    </w:p>
    <w:p w14:paraId="460D3D14">
      <w:pPr>
        <w:widowControl w:val="0"/>
        <w:jc w:val="center"/>
        <w:rPr>
          <w:rFonts w:ascii="宋体" w:cs="宋体"/>
          <w:b/>
          <w:bCs/>
          <w:sz w:val="36"/>
          <w:szCs w:val="36"/>
          <w:highlight w:val="none"/>
        </w:rPr>
      </w:pPr>
      <w:r>
        <w:rPr>
          <w:rFonts w:hint="eastAsia" w:ascii="宋体" w:cs="宋体"/>
          <w:b/>
          <w:bCs/>
          <w:sz w:val="36"/>
          <w:szCs w:val="36"/>
          <w:highlight w:val="none"/>
        </w:rPr>
        <w:t>采购代理机构：金华市政府采购中心永康市分中心</w:t>
      </w:r>
    </w:p>
    <w:p w14:paraId="34AF7854">
      <w:pPr>
        <w:widowControl w:val="0"/>
        <w:ind w:firstLine="3253" w:firstLineChars="900"/>
        <w:rPr>
          <w:rFonts w:ascii="宋体" w:cs="宋体"/>
          <w:b/>
          <w:bCs/>
          <w:sz w:val="36"/>
          <w:szCs w:val="36"/>
          <w:highlight w:val="none"/>
        </w:rPr>
      </w:pPr>
      <w:r>
        <w:rPr>
          <w:rFonts w:hint="eastAsia" w:ascii="宋体" w:cs="宋体"/>
          <w:b/>
          <w:bCs/>
          <w:sz w:val="36"/>
          <w:szCs w:val="36"/>
          <w:highlight w:val="none"/>
        </w:rPr>
        <w:t>二○二</w:t>
      </w:r>
      <w:r>
        <w:rPr>
          <w:rFonts w:hint="eastAsia" w:ascii="宋体" w:cs="宋体"/>
          <w:b/>
          <w:bCs/>
          <w:sz w:val="36"/>
          <w:szCs w:val="36"/>
          <w:highlight w:val="none"/>
          <w:lang w:val="en-US" w:eastAsia="zh-CN"/>
        </w:rPr>
        <w:t>五</w:t>
      </w:r>
      <w:r>
        <w:rPr>
          <w:rFonts w:hint="eastAsia" w:ascii="宋体" w:cs="宋体"/>
          <w:b/>
          <w:bCs/>
          <w:sz w:val="36"/>
          <w:szCs w:val="36"/>
          <w:highlight w:val="none"/>
        </w:rPr>
        <w:t>年</w:t>
      </w:r>
      <w:r>
        <w:rPr>
          <w:rFonts w:hint="eastAsia" w:ascii="宋体" w:cs="宋体"/>
          <w:b/>
          <w:bCs/>
          <w:sz w:val="36"/>
          <w:szCs w:val="36"/>
          <w:highlight w:val="none"/>
          <w:lang w:val="en-US" w:eastAsia="zh-CN"/>
        </w:rPr>
        <w:t>六</w:t>
      </w:r>
      <w:r>
        <w:rPr>
          <w:rFonts w:hint="eastAsia" w:ascii="宋体" w:cs="宋体"/>
          <w:b/>
          <w:bCs/>
          <w:sz w:val="36"/>
          <w:szCs w:val="36"/>
          <w:highlight w:val="none"/>
        </w:rPr>
        <w:t>月</w:t>
      </w:r>
    </w:p>
    <w:p w14:paraId="7BC84888">
      <w:pPr>
        <w:widowControl w:val="0"/>
        <w:rPr>
          <w:rFonts w:ascii="宋体" w:cs="宋体"/>
          <w:b/>
          <w:bCs/>
          <w:sz w:val="36"/>
          <w:szCs w:val="36"/>
          <w:highlight w:val="none"/>
        </w:rPr>
        <w:sectPr>
          <w:headerReference r:id="rId3" w:type="default"/>
          <w:pgSz w:w="11906" w:h="16838"/>
          <w:pgMar w:top="1134" w:right="1134" w:bottom="1134" w:left="1418" w:header="851" w:footer="992" w:gutter="0"/>
          <w:cols w:space="720" w:num="1"/>
          <w:docGrid w:linePitch="312" w:charSpace="0"/>
        </w:sectPr>
      </w:pPr>
    </w:p>
    <w:p w14:paraId="4A83CDD4">
      <w:pPr>
        <w:widowControl w:val="0"/>
        <w:jc w:val="center"/>
        <w:rPr>
          <w:rFonts w:ascii="宋体" w:cs="宋体"/>
          <w:b/>
          <w:bCs/>
          <w:sz w:val="36"/>
          <w:szCs w:val="36"/>
          <w:highlight w:val="none"/>
        </w:rPr>
      </w:pPr>
    </w:p>
    <w:p w14:paraId="103B4DFD">
      <w:pPr>
        <w:widowControl w:val="0"/>
        <w:jc w:val="center"/>
        <w:rPr>
          <w:rFonts w:ascii="宋体" w:cs="宋体"/>
          <w:b/>
          <w:bCs/>
          <w:sz w:val="36"/>
          <w:szCs w:val="36"/>
          <w:highlight w:val="none"/>
        </w:rPr>
      </w:pPr>
    </w:p>
    <w:p w14:paraId="2182B0D7">
      <w:pPr>
        <w:widowControl w:val="0"/>
        <w:jc w:val="center"/>
        <w:rPr>
          <w:rFonts w:ascii="宋体" w:cs="宋体"/>
          <w:b/>
          <w:bCs/>
          <w:sz w:val="36"/>
          <w:szCs w:val="36"/>
          <w:highlight w:val="none"/>
        </w:rPr>
      </w:pPr>
    </w:p>
    <w:p w14:paraId="71F66ED1">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t>目录</w:t>
      </w:r>
    </w:p>
    <w:p w14:paraId="4F56F352">
      <w:pPr>
        <w:widowControl w:val="0"/>
        <w:tabs>
          <w:tab w:val="left" w:pos="0"/>
          <w:tab w:val="left" w:pos="6300"/>
        </w:tabs>
        <w:snapToGrid w:val="0"/>
        <w:spacing w:line="480" w:lineRule="auto"/>
        <w:jc w:val="left"/>
        <w:rPr>
          <w:rFonts w:ascii="宋体" w:cs="宋体"/>
          <w:color w:val="000000"/>
          <w:sz w:val="28"/>
          <w:szCs w:val="28"/>
          <w:highlight w:val="none"/>
        </w:rPr>
      </w:pPr>
    </w:p>
    <w:p w14:paraId="4771AA3F">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招标公告</w:t>
      </w:r>
    </w:p>
    <w:p w14:paraId="7E7E80AD">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前附表、投标人须知</w:t>
      </w:r>
    </w:p>
    <w:p w14:paraId="342F9BB9">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评标定标办法</w:t>
      </w:r>
    </w:p>
    <w:p w14:paraId="65C75A87">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采购项目技术服务要求及货物需求一览表</w:t>
      </w:r>
    </w:p>
    <w:p w14:paraId="67D4F4E1">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投标文件格式</w:t>
      </w:r>
    </w:p>
    <w:p w14:paraId="48DA5E5F">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合同主要条款</w:t>
      </w:r>
    </w:p>
    <w:p w14:paraId="5A2347C2">
      <w:pPr>
        <w:widowControl w:val="0"/>
        <w:rPr>
          <w:rFonts w:ascii="宋体" w:cs="宋体"/>
          <w:highlight w:val="none"/>
        </w:rPr>
      </w:pPr>
    </w:p>
    <w:p w14:paraId="0C2BC70C">
      <w:pPr>
        <w:widowControl w:val="0"/>
        <w:rPr>
          <w:rFonts w:ascii="宋体" w:cs="宋体"/>
          <w:highlight w:val="none"/>
        </w:rPr>
      </w:pPr>
    </w:p>
    <w:p w14:paraId="6BB53FA0">
      <w:pPr>
        <w:widowControl w:val="0"/>
        <w:rPr>
          <w:rFonts w:ascii="宋体" w:cs="宋体"/>
          <w:highlight w:val="none"/>
        </w:rPr>
      </w:pPr>
    </w:p>
    <w:p w14:paraId="5979D571">
      <w:pPr>
        <w:widowControl w:val="0"/>
        <w:rPr>
          <w:rFonts w:ascii="宋体" w:cs="宋体"/>
          <w:highlight w:val="none"/>
        </w:rPr>
      </w:pPr>
    </w:p>
    <w:p w14:paraId="21BC9875">
      <w:pPr>
        <w:widowControl w:val="0"/>
        <w:rPr>
          <w:rFonts w:ascii="宋体" w:cs="宋体"/>
          <w:highlight w:val="none"/>
        </w:rPr>
      </w:pPr>
    </w:p>
    <w:p w14:paraId="1292531A">
      <w:pPr>
        <w:widowControl w:val="0"/>
        <w:rPr>
          <w:rFonts w:ascii="宋体" w:cs="宋体"/>
          <w:highlight w:val="none"/>
        </w:rPr>
      </w:pPr>
    </w:p>
    <w:p w14:paraId="47A52951">
      <w:pPr>
        <w:widowControl w:val="0"/>
        <w:rPr>
          <w:rFonts w:ascii="宋体" w:cs="宋体"/>
          <w:highlight w:val="none"/>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065D36D5">
      <w:pPr>
        <w:widowControl w:val="0"/>
        <w:spacing w:line="400" w:lineRule="exact"/>
        <w:jc w:val="center"/>
        <w:rPr>
          <w:rFonts w:ascii="宋体" w:cs="宋体"/>
          <w:b/>
          <w:bCs/>
          <w:sz w:val="32"/>
          <w:szCs w:val="32"/>
          <w:highlight w:val="none"/>
        </w:rPr>
      </w:pPr>
    </w:p>
    <w:p w14:paraId="3490F85B">
      <w:pPr>
        <w:widowControl w:val="0"/>
        <w:spacing w:line="400" w:lineRule="exact"/>
        <w:jc w:val="center"/>
        <w:rPr>
          <w:rFonts w:ascii="宋体" w:cs="宋体"/>
          <w:b/>
          <w:bCs/>
          <w:sz w:val="32"/>
          <w:szCs w:val="32"/>
          <w:highlight w:val="none"/>
        </w:rPr>
      </w:pPr>
    </w:p>
    <w:p w14:paraId="66B610F8">
      <w:pPr>
        <w:widowControl w:val="0"/>
        <w:spacing w:line="400" w:lineRule="exact"/>
        <w:jc w:val="center"/>
        <w:rPr>
          <w:rFonts w:ascii="宋体" w:cs="宋体"/>
          <w:b/>
          <w:bCs/>
          <w:sz w:val="32"/>
          <w:szCs w:val="32"/>
          <w:highlight w:val="none"/>
        </w:rPr>
      </w:pPr>
    </w:p>
    <w:p w14:paraId="168F0046">
      <w:pPr>
        <w:widowControl w:val="0"/>
        <w:spacing w:line="400" w:lineRule="exact"/>
        <w:jc w:val="center"/>
        <w:rPr>
          <w:rFonts w:ascii="宋体" w:cs="宋体"/>
          <w:b/>
          <w:bCs/>
          <w:sz w:val="32"/>
          <w:szCs w:val="32"/>
          <w:highlight w:val="none"/>
        </w:rPr>
      </w:pPr>
    </w:p>
    <w:p w14:paraId="3B5703DF">
      <w:pPr>
        <w:widowControl w:val="0"/>
        <w:spacing w:line="400" w:lineRule="exact"/>
        <w:jc w:val="center"/>
        <w:rPr>
          <w:rFonts w:ascii="宋体" w:cs="宋体"/>
          <w:b/>
          <w:bCs/>
          <w:sz w:val="32"/>
          <w:szCs w:val="32"/>
          <w:highlight w:val="none"/>
        </w:rPr>
      </w:pPr>
    </w:p>
    <w:p w14:paraId="7CEB3B04">
      <w:pPr>
        <w:widowControl w:val="0"/>
        <w:spacing w:line="400" w:lineRule="exact"/>
        <w:jc w:val="center"/>
        <w:rPr>
          <w:rFonts w:ascii="宋体" w:cs="宋体"/>
          <w:b/>
          <w:bCs/>
          <w:sz w:val="32"/>
          <w:szCs w:val="32"/>
          <w:highlight w:val="none"/>
        </w:rPr>
      </w:pPr>
    </w:p>
    <w:p w14:paraId="72192E7E">
      <w:pPr>
        <w:widowControl w:val="0"/>
        <w:spacing w:line="400" w:lineRule="exact"/>
        <w:jc w:val="center"/>
        <w:rPr>
          <w:rFonts w:ascii="宋体" w:cs="宋体"/>
          <w:b/>
          <w:bCs/>
          <w:sz w:val="32"/>
          <w:szCs w:val="32"/>
          <w:highlight w:val="none"/>
        </w:rPr>
      </w:pPr>
    </w:p>
    <w:p w14:paraId="19500CE7">
      <w:pPr>
        <w:widowControl w:val="0"/>
        <w:spacing w:line="400" w:lineRule="exact"/>
        <w:jc w:val="center"/>
        <w:rPr>
          <w:rFonts w:ascii="宋体" w:cs="宋体"/>
          <w:b/>
          <w:bCs/>
          <w:sz w:val="32"/>
          <w:szCs w:val="32"/>
          <w:highlight w:val="none"/>
        </w:rPr>
      </w:pPr>
    </w:p>
    <w:p w14:paraId="3A0C7E56">
      <w:pPr>
        <w:widowControl w:val="0"/>
        <w:spacing w:line="400" w:lineRule="exact"/>
        <w:jc w:val="center"/>
        <w:rPr>
          <w:rFonts w:ascii="宋体" w:cs="宋体"/>
          <w:b/>
          <w:bCs/>
          <w:sz w:val="32"/>
          <w:szCs w:val="32"/>
          <w:highlight w:val="none"/>
        </w:rPr>
      </w:pPr>
    </w:p>
    <w:p w14:paraId="1B0915D7">
      <w:pPr>
        <w:widowControl w:val="0"/>
        <w:spacing w:line="400" w:lineRule="exact"/>
        <w:jc w:val="center"/>
        <w:rPr>
          <w:rFonts w:ascii="宋体" w:cs="宋体"/>
          <w:b/>
          <w:bCs/>
          <w:sz w:val="32"/>
          <w:szCs w:val="32"/>
          <w:highlight w:val="none"/>
        </w:rPr>
      </w:pPr>
    </w:p>
    <w:p w14:paraId="71342539">
      <w:pPr>
        <w:widowControl w:val="0"/>
        <w:spacing w:line="400" w:lineRule="exact"/>
        <w:jc w:val="center"/>
        <w:rPr>
          <w:rFonts w:ascii="宋体" w:cs="宋体"/>
          <w:b/>
          <w:bCs/>
          <w:sz w:val="32"/>
          <w:szCs w:val="32"/>
          <w:highlight w:val="none"/>
        </w:rPr>
      </w:pPr>
    </w:p>
    <w:p w14:paraId="7E556BF0">
      <w:pPr>
        <w:widowControl w:val="0"/>
        <w:spacing w:line="400" w:lineRule="exact"/>
        <w:jc w:val="center"/>
        <w:rPr>
          <w:rFonts w:ascii="宋体" w:cs="宋体"/>
          <w:b/>
          <w:bCs/>
          <w:sz w:val="32"/>
          <w:szCs w:val="32"/>
          <w:highlight w:val="none"/>
        </w:rPr>
      </w:pPr>
    </w:p>
    <w:p w14:paraId="490130B8">
      <w:pPr>
        <w:widowControl w:val="0"/>
        <w:spacing w:line="400" w:lineRule="exact"/>
        <w:jc w:val="center"/>
        <w:rPr>
          <w:rFonts w:ascii="宋体" w:cs="宋体"/>
          <w:b/>
          <w:bCs/>
          <w:sz w:val="32"/>
          <w:szCs w:val="32"/>
          <w:highlight w:val="none"/>
        </w:rPr>
      </w:pPr>
    </w:p>
    <w:p w14:paraId="6015FFE0">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第一章</w:t>
      </w:r>
    </w:p>
    <w:p w14:paraId="2B1FB293">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招标公告</w:t>
      </w:r>
    </w:p>
    <w:p w14:paraId="4E6EC199">
      <w:pPr>
        <w:widowControl w:val="0"/>
        <w:spacing w:line="400" w:lineRule="exact"/>
        <w:jc w:val="center"/>
        <w:rPr>
          <w:rFonts w:ascii="宋体" w:cs="宋体"/>
          <w:b/>
          <w:bCs/>
          <w:sz w:val="32"/>
          <w:szCs w:val="32"/>
          <w:highlight w:val="none"/>
        </w:rPr>
      </w:pPr>
    </w:p>
    <w:p w14:paraId="5E1266E4">
      <w:pPr>
        <w:widowControl w:val="0"/>
        <w:spacing w:line="400" w:lineRule="exact"/>
        <w:jc w:val="center"/>
        <w:rPr>
          <w:rFonts w:ascii="宋体" w:cs="宋体"/>
          <w:b/>
          <w:bCs/>
          <w:sz w:val="32"/>
          <w:szCs w:val="32"/>
          <w:highlight w:val="none"/>
        </w:rPr>
      </w:pPr>
    </w:p>
    <w:p w14:paraId="575C0BFD">
      <w:pPr>
        <w:widowControl w:val="0"/>
        <w:spacing w:line="400" w:lineRule="exact"/>
        <w:jc w:val="center"/>
        <w:rPr>
          <w:rFonts w:ascii="宋体" w:cs="宋体"/>
          <w:b/>
          <w:bCs/>
          <w:sz w:val="32"/>
          <w:szCs w:val="32"/>
          <w:highlight w:val="none"/>
        </w:rPr>
      </w:pPr>
    </w:p>
    <w:p w14:paraId="4DF0FA02">
      <w:pPr>
        <w:widowControl w:val="0"/>
        <w:spacing w:line="400" w:lineRule="exact"/>
        <w:jc w:val="center"/>
        <w:rPr>
          <w:rFonts w:ascii="宋体" w:cs="宋体"/>
          <w:b/>
          <w:bCs/>
          <w:sz w:val="32"/>
          <w:szCs w:val="32"/>
          <w:highlight w:val="none"/>
        </w:rPr>
      </w:pPr>
    </w:p>
    <w:p w14:paraId="2BDA132C">
      <w:pPr>
        <w:widowControl w:val="0"/>
        <w:spacing w:line="400" w:lineRule="exact"/>
        <w:jc w:val="center"/>
        <w:rPr>
          <w:rFonts w:ascii="宋体" w:cs="宋体"/>
          <w:b/>
          <w:bCs/>
          <w:sz w:val="32"/>
          <w:szCs w:val="32"/>
          <w:highlight w:val="none"/>
        </w:rPr>
      </w:pPr>
    </w:p>
    <w:p w14:paraId="1ABB3129">
      <w:pPr>
        <w:widowControl w:val="0"/>
        <w:spacing w:line="400" w:lineRule="exact"/>
        <w:jc w:val="center"/>
        <w:rPr>
          <w:rFonts w:ascii="宋体" w:cs="宋体"/>
          <w:b/>
          <w:bCs/>
          <w:sz w:val="32"/>
          <w:szCs w:val="32"/>
          <w:highlight w:val="none"/>
        </w:rPr>
      </w:pPr>
    </w:p>
    <w:p w14:paraId="5B45B1BD">
      <w:pPr>
        <w:keepNext/>
        <w:keepLines/>
        <w:widowControl w:val="0"/>
        <w:spacing w:before="120" w:after="120"/>
        <w:jc w:val="center"/>
        <w:outlineLvl w:val="0"/>
        <w:rPr>
          <w:rFonts w:ascii="宋体" w:cs="宋体"/>
          <w:b/>
          <w:bCs/>
          <w:kern w:val="44"/>
          <w:sz w:val="44"/>
          <w:szCs w:val="44"/>
          <w:highlight w:val="none"/>
        </w:rPr>
      </w:pPr>
      <w:r>
        <w:rPr>
          <w:rFonts w:hint="eastAsia" w:ascii="宋体" w:cs="宋体"/>
          <w:kern w:val="44"/>
          <w:sz w:val="32"/>
          <w:szCs w:val="32"/>
          <w:highlight w:val="none"/>
        </w:rPr>
        <w:br w:type="page"/>
      </w:r>
      <w:r>
        <w:rPr>
          <w:rFonts w:hint="eastAsia" w:ascii="宋体" w:cs="宋体"/>
          <w:b/>
          <w:bCs/>
          <w:kern w:val="44"/>
          <w:sz w:val="44"/>
          <w:szCs w:val="44"/>
          <w:highlight w:val="none"/>
        </w:rPr>
        <w:t>招标公告</w:t>
      </w:r>
    </w:p>
    <w:p w14:paraId="13E332C4">
      <w:pPr>
        <w:widowControl w:val="0"/>
        <w:spacing w:line="400" w:lineRule="exact"/>
        <w:jc w:val="center"/>
        <w:rPr>
          <w:rFonts w:ascii="宋体" w:cs="宋体"/>
          <w:b/>
          <w:bCs/>
          <w:sz w:val="32"/>
          <w:szCs w:val="32"/>
          <w:highlight w:val="none"/>
        </w:rPr>
      </w:pPr>
    </w:p>
    <w:p w14:paraId="0402BD17">
      <w:pPr>
        <w:widowControl w:val="0"/>
        <w:spacing w:line="400" w:lineRule="exact"/>
        <w:rPr>
          <w:rFonts w:ascii="宋体" w:cs="宋体"/>
          <w:color w:val="FF0000"/>
          <w:sz w:val="24"/>
          <w:szCs w:val="24"/>
          <w:highlight w:val="none"/>
        </w:rPr>
      </w:pPr>
    </w:p>
    <w:p w14:paraId="0F544E83">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根据《中华人民共和国政府采购法》《中华人民共和国政府采购法实施条例》《政府采购货物和服务招标投标管理办法》等规定，现就下列项目进行公开招标采购，欢迎国内合格的供应商前来投标。</w:t>
      </w:r>
    </w:p>
    <w:p w14:paraId="3B6F3F7A">
      <w:pPr>
        <w:widowControl w:val="0"/>
        <w:spacing w:line="400" w:lineRule="exact"/>
        <w:ind w:firstLine="540" w:firstLineChars="225"/>
        <w:rPr>
          <w:rFonts w:hint="default" w:ascii="宋体" w:eastAsia="宋体" w:cs="宋体"/>
          <w:color w:val="auto"/>
          <w:sz w:val="24"/>
          <w:szCs w:val="24"/>
          <w:highlight w:val="none"/>
          <w:lang w:val="en-US" w:eastAsia="zh-CN"/>
        </w:rPr>
      </w:pPr>
      <w:r>
        <w:rPr>
          <w:rFonts w:hint="eastAsia" w:ascii="宋体" w:cs="宋体"/>
          <w:sz w:val="24"/>
          <w:szCs w:val="24"/>
          <w:highlight w:val="none"/>
        </w:rPr>
        <w:t>一．招标项目编号:</w:t>
      </w:r>
      <w:r>
        <w:rPr>
          <w:rFonts w:hint="eastAsia" w:ascii="宋体" w:cs="宋体"/>
          <w:color w:val="auto"/>
          <w:sz w:val="24"/>
          <w:szCs w:val="24"/>
          <w:highlight w:val="none"/>
        </w:rPr>
        <w:t xml:space="preserve"> YKCG202</w:t>
      </w:r>
      <w:r>
        <w:rPr>
          <w:rFonts w:hint="eastAsia" w:ascii="宋体" w:cs="宋体"/>
          <w:color w:val="auto"/>
          <w:sz w:val="24"/>
          <w:szCs w:val="24"/>
          <w:highlight w:val="none"/>
          <w:lang w:val="en-US" w:eastAsia="zh-CN"/>
        </w:rPr>
        <w:t>5</w:t>
      </w:r>
      <w:r>
        <w:rPr>
          <w:rFonts w:hint="eastAsia" w:ascii="宋体" w:cs="宋体"/>
          <w:color w:val="auto"/>
          <w:sz w:val="24"/>
          <w:szCs w:val="24"/>
          <w:highlight w:val="none"/>
        </w:rPr>
        <w:t>-GK-0</w:t>
      </w:r>
      <w:r>
        <w:rPr>
          <w:rFonts w:hint="eastAsia" w:ascii="宋体" w:cs="宋体"/>
          <w:color w:val="auto"/>
          <w:sz w:val="24"/>
          <w:szCs w:val="24"/>
          <w:highlight w:val="none"/>
          <w:lang w:val="en-US" w:eastAsia="zh-CN"/>
        </w:rPr>
        <w:t>33</w:t>
      </w:r>
    </w:p>
    <w:p w14:paraId="62B13D46">
      <w:pPr>
        <w:widowControl w:val="0"/>
        <w:spacing w:line="400" w:lineRule="exact"/>
        <w:ind w:firstLine="540" w:firstLineChars="225"/>
        <w:rPr>
          <w:rFonts w:ascii="宋体" w:cs="宋体"/>
          <w:color w:val="auto"/>
          <w:sz w:val="24"/>
          <w:szCs w:val="24"/>
          <w:highlight w:val="none"/>
        </w:rPr>
      </w:pPr>
      <w:r>
        <w:rPr>
          <w:rFonts w:hint="eastAsia" w:ascii="宋体" w:cs="宋体"/>
          <w:color w:val="auto"/>
          <w:sz w:val="24"/>
          <w:szCs w:val="24"/>
          <w:highlight w:val="none"/>
        </w:rPr>
        <w:t>二．采购组织类型：</w:t>
      </w:r>
      <w:r>
        <w:rPr>
          <w:rFonts w:hint="eastAsia" w:ascii="宋体" w:cs="宋体"/>
          <w:color w:val="auto"/>
          <w:sz w:val="24"/>
          <w:szCs w:val="24"/>
          <w:highlight w:val="none"/>
          <w:lang w:val="en-US" w:eastAsia="zh-CN"/>
        </w:rPr>
        <w:t>集中</w:t>
      </w:r>
      <w:r>
        <w:rPr>
          <w:rFonts w:hint="eastAsia" w:ascii="宋体" w:cs="宋体"/>
          <w:color w:val="auto"/>
          <w:sz w:val="24"/>
          <w:szCs w:val="24"/>
          <w:highlight w:val="none"/>
        </w:rPr>
        <w:t>采购-委托本级集采</w:t>
      </w:r>
    </w:p>
    <w:p w14:paraId="467C5CA8">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三．招标项目概况（内容、数量、预算金额、简要技术要求等）：</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1521"/>
        <w:gridCol w:w="1517"/>
      </w:tblGrid>
      <w:tr w14:paraId="5E3F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14:paraId="38E3E17C">
            <w:pPr>
              <w:widowControl w:val="0"/>
              <w:jc w:val="center"/>
              <w:rPr>
                <w:rFonts w:ascii="宋体" w:cs="宋体"/>
                <w:b/>
                <w:bCs/>
                <w:sz w:val="24"/>
                <w:szCs w:val="24"/>
                <w:highlight w:val="none"/>
              </w:rPr>
            </w:pPr>
            <w:r>
              <w:rPr>
                <w:rFonts w:hint="eastAsia" w:ascii="宋体" w:cs="宋体"/>
                <w:b/>
                <w:bCs/>
                <w:highlight w:val="none"/>
              </w:rPr>
              <w:t>序号</w:t>
            </w:r>
          </w:p>
        </w:tc>
        <w:tc>
          <w:tcPr>
            <w:tcW w:w="2583" w:type="dxa"/>
            <w:noWrap/>
            <w:vAlign w:val="center"/>
          </w:tcPr>
          <w:p w14:paraId="628AA1C1">
            <w:pPr>
              <w:widowControl w:val="0"/>
              <w:jc w:val="center"/>
              <w:rPr>
                <w:rFonts w:ascii="宋体" w:cs="宋体"/>
                <w:b/>
                <w:bCs/>
                <w:sz w:val="24"/>
                <w:szCs w:val="24"/>
                <w:highlight w:val="none"/>
              </w:rPr>
            </w:pPr>
            <w:r>
              <w:rPr>
                <w:rFonts w:hint="eastAsia" w:ascii="宋体" w:cs="宋体"/>
                <w:b/>
                <w:bCs/>
                <w:highlight w:val="none"/>
              </w:rPr>
              <w:t>项目名称</w:t>
            </w:r>
          </w:p>
        </w:tc>
        <w:tc>
          <w:tcPr>
            <w:tcW w:w="786" w:type="dxa"/>
            <w:noWrap/>
            <w:vAlign w:val="center"/>
          </w:tcPr>
          <w:p w14:paraId="149725ED">
            <w:pPr>
              <w:widowControl w:val="0"/>
              <w:jc w:val="center"/>
              <w:rPr>
                <w:rFonts w:ascii="宋体" w:cs="宋体"/>
                <w:b/>
                <w:bCs/>
                <w:sz w:val="24"/>
                <w:szCs w:val="24"/>
                <w:highlight w:val="none"/>
              </w:rPr>
            </w:pPr>
            <w:r>
              <w:rPr>
                <w:rFonts w:hint="eastAsia" w:ascii="宋体" w:cs="宋体"/>
                <w:b/>
                <w:bCs/>
                <w:highlight w:val="none"/>
              </w:rPr>
              <w:t>数量</w:t>
            </w:r>
          </w:p>
        </w:tc>
        <w:tc>
          <w:tcPr>
            <w:tcW w:w="805" w:type="dxa"/>
            <w:noWrap/>
            <w:vAlign w:val="center"/>
          </w:tcPr>
          <w:p w14:paraId="6F77651B">
            <w:pPr>
              <w:widowControl w:val="0"/>
              <w:jc w:val="center"/>
              <w:rPr>
                <w:rFonts w:ascii="宋体" w:cs="宋体"/>
                <w:b/>
                <w:bCs/>
                <w:sz w:val="24"/>
                <w:szCs w:val="24"/>
                <w:highlight w:val="none"/>
              </w:rPr>
            </w:pPr>
            <w:r>
              <w:rPr>
                <w:rFonts w:hint="eastAsia" w:ascii="宋体" w:cs="宋体"/>
                <w:b/>
                <w:bCs/>
                <w:highlight w:val="none"/>
              </w:rPr>
              <w:t>单位</w:t>
            </w:r>
          </w:p>
        </w:tc>
        <w:tc>
          <w:tcPr>
            <w:tcW w:w="1521" w:type="dxa"/>
            <w:noWrap/>
            <w:vAlign w:val="center"/>
          </w:tcPr>
          <w:p w14:paraId="1FEC0D0A">
            <w:pPr>
              <w:widowControl w:val="0"/>
              <w:jc w:val="center"/>
              <w:rPr>
                <w:rFonts w:ascii="宋体" w:cs="宋体"/>
                <w:b/>
                <w:bCs/>
                <w:sz w:val="24"/>
                <w:szCs w:val="24"/>
                <w:highlight w:val="none"/>
              </w:rPr>
            </w:pPr>
            <w:r>
              <w:rPr>
                <w:rFonts w:hint="eastAsia" w:ascii="宋体" w:cs="宋体"/>
                <w:b/>
                <w:bCs/>
                <w:highlight w:val="none"/>
              </w:rPr>
              <w:t>预算金额</w:t>
            </w:r>
          </w:p>
        </w:tc>
        <w:tc>
          <w:tcPr>
            <w:tcW w:w="1517" w:type="dxa"/>
            <w:noWrap/>
            <w:vAlign w:val="center"/>
          </w:tcPr>
          <w:p w14:paraId="32BF3700">
            <w:pPr>
              <w:widowControl w:val="0"/>
              <w:jc w:val="center"/>
              <w:rPr>
                <w:rFonts w:ascii="宋体" w:cs="宋体"/>
                <w:b/>
                <w:bCs/>
                <w:sz w:val="24"/>
                <w:szCs w:val="24"/>
                <w:highlight w:val="none"/>
              </w:rPr>
            </w:pPr>
            <w:r>
              <w:rPr>
                <w:rFonts w:hint="eastAsia" w:ascii="宋体" w:cs="宋体"/>
                <w:b/>
                <w:bCs/>
                <w:sz w:val="24"/>
                <w:szCs w:val="24"/>
                <w:highlight w:val="none"/>
              </w:rPr>
              <w:t>项目属性</w:t>
            </w:r>
          </w:p>
        </w:tc>
      </w:tr>
      <w:tr w14:paraId="1328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5" w:type="dxa"/>
            <w:noWrap/>
            <w:vAlign w:val="center"/>
          </w:tcPr>
          <w:p w14:paraId="046E01E6">
            <w:pPr>
              <w:pStyle w:val="30"/>
              <w:jc w:val="center"/>
              <w:rPr>
                <w:rFonts w:ascii="宋体" w:hAnsi="宋体" w:cs="宋体"/>
                <w:highlight w:val="none"/>
              </w:rPr>
            </w:pPr>
            <w:r>
              <w:rPr>
                <w:rFonts w:hint="eastAsia" w:ascii="宋体" w:hAnsi="宋体" w:cs="宋体"/>
                <w:highlight w:val="none"/>
              </w:rPr>
              <w:t>1</w:t>
            </w:r>
          </w:p>
        </w:tc>
        <w:tc>
          <w:tcPr>
            <w:tcW w:w="2583" w:type="dxa"/>
            <w:noWrap/>
            <w:vAlign w:val="center"/>
          </w:tcPr>
          <w:p w14:paraId="305DB0CB">
            <w:pPr>
              <w:jc w:val="center"/>
              <w:rPr>
                <w:rFonts w:hint="eastAsia" w:ascii="宋体" w:eastAsia="宋体" w:cs="宋体"/>
                <w:color w:val="auto"/>
                <w:highlight w:val="none"/>
                <w:lang w:eastAsia="zh-CN"/>
              </w:rPr>
            </w:pPr>
            <w:r>
              <w:rPr>
                <w:rFonts w:hint="eastAsia" w:ascii="宋体" w:cs="宋体"/>
                <w:color w:val="auto"/>
                <w:highlight w:val="none"/>
                <w:lang w:eastAsia="zh-CN"/>
              </w:rPr>
              <w:t>永康市大数据发展中心电子政务外网升级改造项目</w:t>
            </w:r>
          </w:p>
        </w:tc>
        <w:tc>
          <w:tcPr>
            <w:tcW w:w="786" w:type="dxa"/>
            <w:noWrap/>
            <w:vAlign w:val="center"/>
          </w:tcPr>
          <w:p w14:paraId="5AEEDBAB">
            <w:pPr>
              <w:jc w:val="center"/>
              <w:rPr>
                <w:rFonts w:hint="eastAsia" w:ascii="宋体" w:eastAsia="宋体" w:cs="宋体"/>
                <w:color w:val="auto"/>
                <w:highlight w:val="none"/>
                <w:lang w:eastAsia="zh-CN"/>
              </w:rPr>
            </w:pPr>
            <w:r>
              <w:rPr>
                <w:rFonts w:hint="eastAsia" w:ascii="宋体" w:cs="宋体"/>
                <w:color w:val="auto"/>
                <w:sz w:val="24"/>
                <w:szCs w:val="24"/>
                <w:highlight w:val="none"/>
                <w:lang w:val="en-US" w:eastAsia="zh-CN"/>
              </w:rPr>
              <w:t>3</w:t>
            </w:r>
          </w:p>
        </w:tc>
        <w:tc>
          <w:tcPr>
            <w:tcW w:w="805" w:type="dxa"/>
            <w:noWrap/>
            <w:vAlign w:val="center"/>
          </w:tcPr>
          <w:p w14:paraId="126FB435">
            <w:pPr>
              <w:jc w:val="center"/>
              <w:rPr>
                <w:rFonts w:ascii="宋体" w:cs="宋体"/>
                <w:color w:val="auto"/>
                <w:highlight w:val="none"/>
              </w:rPr>
            </w:pPr>
            <w:r>
              <w:rPr>
                <w:rFonts w:hint="eastAsia" w:ascii="宋体" w:cs="宋体"/>
                <w:color w:val="auto"/>
                <w:highlight w:val="none"/>
              </w:rPr>
              <w:t>年</w:t>
            </w:r>
          </w:p>
        </w:tc>
        <w:tc>
          <w:tcPr>
            <w:tcW w:w="1521" w:type="dxa"/>
            <w:noWrap/>
            <w:vAlign w:val="center"/>
          </w:tcPr>
          <w:p w14:paraId="50AB5264">
            <w:pPr>
              <w:jc w:val="center"/>
              <w:rPr>
                <w:rFonts w:ascii="宋体" w:cs="宋体"/>
                <w:color w:val="auto"/>
                <w:highlight w:val="none"/>
              </w:rPr>
            </w:pPr>
            <w:r>
              <w:rPr>
                <w:rFonts w:hint="eastAsia" w:ascii="宋体" w:cs="宋体"/>
                <w:color w:val="auto"/>
                <w:sz w:val="24"/>
                <w:szCs w:val="24"/>
                <w:highlight w:val="none"/>
                <w:lang w:val="en-US" w:eastAsia="zh-CN"/>
              </w:rPr>
              <w:t>516</w:t>
            </w:r>
            <w:r>
              <w:rPr>
                <w:rFonts w:hint="eastAsia" w:ascii="宋体" w:cs="宋体"/>
                <w:color w:val="auto"/>
                <w:sz w:val="24"/>
                <w:szCs w:val="24"/>
                <w:highlight w:val="none"/>
              </w:rPr>
              <w:t>万元</w:t>
            </w:r>
          </w:p>
        </w:tc>
        <w:tc>
          <w:tcPr>
            <w:tcW w:w="1517" w:type="dxa"/>
            <w:noWrap/>
            <w:vAlign w:val="center"/>
          </w:tcPr>
          <w:p w14:paraId="7A24909F">
            <w:pPr>
              <w:pStyle w:val="30"/>
              <w:jc w:val="center"/>
              <w:rPr>
                <w:rFonts w:hint="eastAsia" w:ascii="宋体" w:hAnsi="宋体" w:eastAsia="宋体" w:cs="宋体"/>
                <w:highlight w:val="none"/>
                <w:lang w:eastAsia="zh-CN"/>
              </w:rPr>
            </w:pPr>
            <w:r>
              <w:rPr>
                <w:rFonts w:hint="eastAsia" w:ascii="宋体" w:hAnsi="宋体" w:cs="宋体"/>
                <w:highlight w:val="none"/>
              </w:rPr>
              <w:t>服务采购</w:t>
            </w:r>
          </w:p>
        </w:tc>
      </w:tr>
    </w:tbl>
    <w:p w14:paraId="4D4E0441">
      <w:pPr>
        <w:widowControl w:val="0"/>
        <w:spacing w:line="360" w:lineRule="auto"/>
        <w:ind w:firstLine="480" w:firstLineChars="200"/>
        <w:rPr>
          <w:rFonts w:ascii="宋体" w:cs="宋体"/>
          <w:sz w:val="24"/>
          <w:szCs w:val="24"/>
          <w:highlight w:val="none"/>
        </w:rPr>
      </w:pPr>
      <w:r>
        <w:rPr>
          <w:rFonts w:hint="eastAsia" w:ascii="宋体" w:cs="宋体"/>
          <w:sz w:val="24"/>
          <w:szCs w:val="24"/>
          <w:highlight w:val="none"/>
        </w:rPr>
        <w:t>四．投标供应商资格要求:</w:t>
      </w:r>
    </w:p>
    <w:p w14:paraId="346D7C80">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（一）基本条件</w:t>
      </w:r>
    </w:p>
    <w:p w14:paraId="411C62BB">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另需提供《投标承诺函》（格式见附件）。</w:t>
      </w:r>
    </w:p>
    <w:p w14:paraId="50FE87F7">
      <w:pPr>
        <w:widowControl w:val="0"/>
        <w:spacing w:line="360" w:lineRule="auto"/>
        <w:ind w:firstLine="540" w:firstLineChars="225"/>
        <w:rPr>
          <w:color w:val="000000"/>
          <w:highlight w:val="none"/>
        </w:rPr>
      </w:pPr>
      <w:r>
        <w:rPr>
          <w:rFonts w:hint="eastAsia" w:ascii="Calibri" w:hAnsi="Calibri" w:cs="宋体"/>
          <w:color w:val="000000"/>
          <w:sz w:val="24"/>
          <w:szCs w:val="24"/>
          <w:highlight w:val="none"/>
        </w:rPr>
        <w:t>2、</w:t>
      </w:r>
      <w:r>
        <w:rPr>
          <w:rFonts w:hint="eastAsia" w:ascii="宋体" w:cs="宋体"/>
          <w:color w:val="000000"/>
          <w:sz w:val="24"/>
          <w:szCs w:val="24"/>
          <w:highlight w:val="none"/>
        </w:rPr>
        <w:t>本次招标</w:t>
      </w:r>
      <w:r>
        <w:rPr>
          <w:rFonts w:hint="eastAsia" w:ascii="宋体" w:cs="宋体"/>
          <w:color w:val="000000"/>
          <w:sz w:val="24"/>
          <w:szCs w:val="24"/>
          <w:highlight w:val="none"/>
          <w:u w:val="none"/>
          <w:lang w:val="en-US" w:eastAsia="zh-CN"/>
        </w:rPr>
        <w:t>接受</w:t>
      </w:r>
      <w:r>
        <w:rPr>
          <w:rFonts w:hint="eastAsia" w:ascii="宋体" w:cs="宋体"/>
          <w:color w:val="000000"/>
          <w:sz w:val="24"/>
          <w:szCs w:val="24"/>
          <w:highlight w:val="none"/>
        </w:rPr>
        <w:t>联合体投标人。</w:t>
      </w:r>
    </w:p>
    <w:p w14:paraId="22BB3133">
      <w:pPr>
        <w:widowControl w:val="0"/>
        <w:spacing w:line="400" w:lineRule="exact"/>
        <w:ind w:firstLine="420"/>
        <w:rPr>
          <w:rFonts w:ascii="宋体" w:cs="宋体"/>
          <w:sz w:val="24"/>
          <w:szCs w:val="24"/>
          <w:highlight w:val="none"/>
        </w:rPr>
      </w:pPr>
      <w:r>
        <w:rPr>
          <w:rFonts w:hint="eastAsia" w:ascii="宋体" w:cs="宋体"/>
          <w:sz w:val="24"/>
          <w:szCs w:val="24"/>
          <w:highlight w:val="none"/>
        </w:rPr>
        <w:t>五．获取招标文件方式</w:t>
      </w:r>
    </w:p>
    <w:p w14:paraId="7B22FD4C">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1、本项目招标文件实行“政府采购云平台”（https://zfcg.czt.zj.gov.cn/）在线获取，不提供招标文件纸质版。供应商获取招标文件前应先完成“政府采购云平台”的账号注册；</w:t>
      </w:r>
    </w:p>
    <w:p w14:paraId="140793B8">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2、地点：政采云平台（https://zfcg.czt.zj.gov.cn/）；</w:t>
      </w:r>
    </w:p>
    <w:p w14:paraId="203A013E">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4512B3E9">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4、供应商获取招标文件时须提交的文件资料：无</w:t>
      </w:r>
    </w:p>
    <w:p w14:paraId="3694306A">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FF267B6">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注：请供应商按上述要求获取招标文件，如未在“政采云”系统内完成相关流程，引起的投标无效责任自负。</w:t>
      </w:r>
    </w:p>
    <w:p w14:paraId="1EE988B0">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六、投标说明</w:t>
      </w:r>
    </w:p>
    <w:p w14:paraId="38A77DDF">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highlight w:val="none"/>
          <w:lang w:val="en-US" w:eastAsia="zh-CN"/>
        </w:rPr>
        <w:t>95763</w:t>
      </w:r>
      <w:r>
        <w:rPr>
          <w:rFonts w:hint="eastAsia" w:ascii="宋体" w:cs="宋体"/>
          <w:sz w:val="24"/>
          <w:szCs w:val="24"/>
          <w:highlight w:val="none"/>
        </w:rPr>
        <w:t>。</w:t>
      </w:r>
    </w:p>
    <w:p w14:paraId="44CA4E74">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2、投标人应在开标前完成CA数字证书办理以及驱动下载（办理流程详见浙江政府采购官网）。完成CA数字证书办理预计一周左右，建议各投标人抓紧时间办理。</w:t>
      </w:r>
    </w:p>
    <w:p w14:paraId="27276DFE">
      <w:pPr>
        <w:widowControl w:val="0"/>
        <w:wordWrap w:val="0"/>
        <w:adjustRightInd w:val="0"/>
        <w:snapToGrid w:val="0"/>
        <w:spacing w:before="120" w:after="120" w:line="500" w:lineRule="exact"/>
        <w:ind w:firstLine="480" w:firstLineChars="200"/>
        <w:rPr>
          <w:rFonts w:ascii="宋体" w:cs="宋体"/>
          <w:b/>
          <w:bCs/>
          <w:color w:val="FF0000"/>
          <w:sz w:val="28"/>
          <w:szCs w:val="28"/>
          <w:highlight w:val="none"/>
        </w:rPr>
      </w:pPr>
      <w:r>
        <w:rPr>
          <w:rFonts w:hint="eastAsia" w:ascii="宋体" w:cs="宋体"/>
          <w:sz w:val="24"/>
          <w:szCs w:val="24"/>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1894D5AF">
      <w:pPr>
        <w:widowControl w:val="0"/>
        <w:numPr>
          <w:ilvl w:val="0"/>
          <w:numId w:val="3"/>
        </w:numPr>
        <w:spacing w:line="400" w:lineRule="exact"/>
        <w:ind w:firstLine="540" w:firstLineChars="225"/>
        <w:rPr>
          <w:rFonts w:ascii="宋体" w:cs="宋体"/>
          <w:sz w:val="24"/>
          <w:szCs w:val="24"/>
          <w:highlight w:val="none"/>
        </w:rPr>
      </w:pPr>
      <w:r>
        <w:rPr>
          <w:rFonts w:hint="eastAsia" w:ascii="宋体" w:cs="宋体"/>
          <w:sz w:val="24"/>
          <w:szCs w:val="24"/>
          <w:highlight w:val="none"/>
        </w:rPr>
        <w:t>投标截止时间：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7</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18</w:t>
      </w:r>
      <w:r>
        <w:rPr>
          <w:rFonts w:hint="eastAsia" w:ascii="宋体" w:cs="宋体"/>
          <w:color w:val="FF0000"/>
          <w:sz w:val="24"/>
          <w:szCs w:val="24"/>
          <w:highlight w:val="none"/>
        </w:rPr>
        <w:t>日 09:30:00</w:t>
      </w:r>
    </w:p>
    <w:p w14:paraId="695D1481">
      <w:pPr>
        <w:pStyle w:val="21"/>
        <w:adjustRightInd w:val="0"/>
        <w:snapToGrid w:val="0"/>
        <w:spacing w:line="500" w:lineRule="exact"/>
        <w:ind w:firstLine="482" w:firstLineChars="201"/>
        <w:rPr>
          <w:rFonts w:hAnsi="宋体" w:cs="宋体"/>
          <w:color w:val="auto"/>
          <w:highlight w:val="none"/>
        </w:rPr>
      </w:pPr>
      <w:r>
        <w:rPr>
          <w:rFonts w:hint="eastAsia" w:hAnsi="宋体" w:cs="宋体"/>
          <w:sz w:val="24"/>
          <w:szCs w:val="24"/>
          <w:highlight w:val="none"/>
        </w:rPr>
        <w:t>投标人应当在投标截止时间前完成电子投标文件的传输递交。</w:t>
      </w:r>
      <w:r>
        <w:rPr>
          <w:rFonts w:hint="eastAsia" w:hAnsi="宋体" w:cs="宋体"/>
          <w:color w:val="auto"/>
          <w:sz w:val="24"/>
          <w:szCs w:val="24"/>
          <w:highlight w:val="none"/>
        </w:rPr>
        <w:t>如认为需要，投标人可以选择递交备份投标文件（递交方式详见第二章）。</w:t>
      </w:r>
    </w:p>
    <w:p w14:paraId="09A59B49">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八．开标时间：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7</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18</w:t>
      </w:r>
      <w:r>
        <w:rPr>
          <w:rFonts w:hint="eastAsia" w:ascii="宋体" w:cs="宋体"/>
          <w:color w:val="FF0000"/>
          <w:sz w:val="24"/>
          <w:szCs w:val="24"/>
          <w:highlight w:val="none"/>
        </w:rPr>
        <w:t>日 09:30:00</w:t>
      </w:r>
    </w:p>
    <w:p w14:paraId="5D9887FF">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九．开标地址：金华市政府采购中心永康市分中心（永康市五湖路1号国际会展中心办公楼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楼开标室）</w:t>
      </w:r>
    </w:p>
    <w:p w14:paraId="6A5CDD8A">
      <w:pPr>
        <w:widowControl w:val="0"/>
        <w:spacing w:line="400" w:lineRule="exact"/>
        <w:ind w:firstLine="540" w:firstLineChars="225"/>
        <w:rPr>
          <w:rFonts w:ascii="宋体" w:cs="宋体"/>
          <w:color w:val="FF0000"/>
          <w:sz w:val="24"/>
          <w:szCs w:val="24"/>
          <w:highlight w:val="none"/>
        </w:rPr>
      </w:pPr>
      <w:r>
        <w:rPr>
          <w:rFonts w:hint="eastAsia" w:ascii="宋体" w:cs="宋体"/>
          <w:sz w:val="24"/>
          <w:szCs w:val="24"/>
          <w:highlight w:val="none"/>
        </w:rPr>
        <w:t>十．投标保证金：本项目不收取投标保证金。</w:t>
      </w:r>
    </w:p>
    <w:p w14:paraId="2ACECD90">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十一．联系方式</w:t>
      </w:r>
    </w:p>
    <w:p w14:paraId="168A7501">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1、采购代理机构名称：金华市政府采购中心永康市分中心</w:t>
      </w:r>
    </w:p>
    <w:p w14:paraId="04BD4E12">
      <w:pPr>
        <w:widowControl w:val="0"/>
        <w:spacing w:line="400" w:lineRule="exact"/>
        <w:ind w:firstLine="540" w:firstLineChars="225"/>
        <w:rPr>
          <w:rFonts w:hint="eastAsia" w:ascii="宋体" w:eastAsia="宋体" w:cs="宋体"/>
          <w:sz w:val="24"/>
          <w:szCs w:val="24"/>
          <w:highlight w:val="none"/>
          <w:lang w:eastAsia="zh-CN"/>
        </w:rPr>
      </w:pPr>
      <w:r>
        <w:rPr>
          <w:rFonts w:hint="eastAsia" w:ascii="宋体" w:cs="宋体"/>
          <w:sz w:val="24"/>
          <w:szCs w:val="24"/>
          <w:highlight w:val="none"/>
        </w:rPr>
        <w:t>业务咨询联系人：</w:t>
      </w:r>
      <w:r>
        <w:rPr>
          <w:rFonts w:hint="eastAsia" w:ascii="宋体" w:cs="宋体"/>
          <w:sz w:val="24"/>
          <w:szCs w:val="24"/>
          <w:highlight w:val="none"/>
          <w:lang w:val="en-US" w:eastAsia="zh-CN"/>
        </w:rPr>
        <w:t>钱海汇</w:t>
      </w:r>
    </w:p>
    <w:p w14:paraId="4E7C4B2C">
      <w:pPr>
        <w:widowControl w:val="0"/>
        <w:spacing w:line="400" w:lineRule="exact"/>
        <w:ind w:firstLine="540" w:firstLineChars="225"/>
        <w:rPr>
          <w:rFonts w:hint="eastAsia" w:ascii="宋体" w:eastAsia="宋体" w:cs="宋体"/>
          <w:sz w:val="24"/>
          <w:szCs w:val="24"/>
          <w:highlight w:val="none"/>
          <w:lang w:val="en-US" w:eastAsia="zh-CN"/>
        </w:rPr>
      </w:pPr>
      <w:r>
        <w:rPr>
          <w:rFonts w:hint="eastAsia" w:ascii="宋体" w:cs="宋体"/>
          <w:sz w:val="24"/>
          <w:szCs w:val="24"/>
          <w:highlight w:val="none"/>
        </w:rPr>
        <w:t>联系电话：0579-8929517</w:t>
      </w:r>
      <w:r>
        <w:rPr>
          <w:rFonts w:hint="eastAsia" w:ascii="宋体" w:cs="宋体"/>
          <w:sz w:val="24"/>
          <w:szCs w:val="24"/>
          <w:highlight w:val="none"/>
          <w:lang w:val="en-US" w:eastAsia="zh-CN"/>
        </w:rPr>
        <w:t>7</w:t>
      </w:r>
    </w:p>
    <w:p w14:paraId="7599861A">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地址：永康市五湖路1号国际会展中心办公楼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楼6</w:t>
      </w:r>
      <w:r>
        <w:rPr>
          <w:rFonts w:hint="eastAsia" w:ascii="宋体" w:cs="宋体"/>
          <w:sz w:val="24"/>
          <w:szCs w:val="24"/>
          <w:highlight w:val="none"/>
          <w:lang w:val="en-US" w:eastAsia="zh-CN"/>
        </w:rPr>
        <w:t>607</w:t>
      </w:r>
      <w:r>
        <w:rPr>
          <w:rFonts w:hint="eastAsia" w:ascii="宋体" w:cs="宋体"/>
          <w:sz w:val="24"/>
          <w:szCs w:val="24"/>
          <w:highlight w:val="none"/>
        </w:rPr>
        <w:t>室</w:t>
      </w:r>
    </w:p>
    <w:p w14:paraId="4875D8B1">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2、采购人名称：永康市大数据发展中心</w:t>
      </w:r>
    </w:p>
    <w:p w14:paraId="1AE426D4">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采购需求咨询联系人：胡敏涛</w:t>
      </w:r>
    </w:p>
    <w:p w14:paraId="4B0E4296">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联系电话：0579-87101627</w:t>
      </w:r>
    </w:p>
    <w:p w14:paraId="74914E73">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地址：永康市望江路61号</w:t>
      </w:r>
    </w:p>
    <w:p w14:paraId="77986236">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3、同级政府采购监督管理部门名称：永康市财政局政府采购监管科</w:t>
      </w:r>
    </w:p>
    <w:p w14:paraId="4DB3106B">
      <w:pPr>
        <w:widowControl w:val="0"/>
        <w:spacing w:line="40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联系人：</w:t>
      </w:r>
      <w:r>
        <w:rPr>
          <w:rFonts w:hint="eastAsia" w:ascii="宋体" w:cs="宋体"/>
          <w:sz w:val="24"/>
          <w:szCs w:val="24"/>
          <w:highlight w:val="none"/>
          <w:lang w:val="en-US" w:eastAsia="zh-CN"/>
        </w:rPr>
        <w:t>徐亮</w:t>
      </w:r>
    </w:p>
    <w:p w14:paraId="5837CF5C">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监督投诉电话：0579-87171293</w:t>
      </w:r>
    </w:p>
    <w:p w14:paraId="2A4280E0">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传真：0579-87171293</w:t>
      </w:r>
    </w:p>
    <w:p w14:paraId="063AF5C8">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地址：浙江省永康市总部中心花园大道585号208室</w:t>
      </w:r>
    </w:p>
    <w:p w14:paraId="31BBD0E6">
      <w:pPr>
        <w:widowControl w:val="0"/>
        <w:numPr>
          <w:ilvl w:val="0"/>
          <w:numId w:val="4"/>
        </w:numPr>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系统技术支持：政采云有限公司</w:t>
      </w:r>
    </w:p>
    <w:p w14:paraId="06749E92">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联系人：客服</w:t>
      </w:r>
    </w:p>
    <w:p w14:paraId="7059EBBE">
      <w:pPr>
        <w:widowControl w:val="0"/>
        <w:spacing w:line="400" w:lineRule="exact"/>
        <w:ind w:firstLine="600" w:firstLineChars="250"/>
        <w:rPr>
          <w:rFonts w:ascii="宋体" w:cs="宋体"/>
          <w:highlight w:val="none"/>
        </w:rPr>
      </w:pPr>
      <w:r>
        <w:rPr>
          <w:rFonts w:hint="eastAsia" w:ascii="宋体" w:cs="宋体"/>
          <w:sz w:val="24"/>
          <w:szCs w:val="24"/>
          <w:highlight w:val="none"/>
        </w:rPr>
        <w:t>联系电话：95763</w:t>
      </w:r>
    </w:p>
    <w:p w14:paraId="72633D48">
      <w:pPr>
        <w:widowControl w:val="0"/>
        <w:spacing w:line="400" w:lineRule="exact"/>
        <w:ind w:firstLine="525" w:firstLineChars="250"/>
        <w:rPr>
          <w:rFonts w:ascii="宋体" w:cs="宋体"/>
          <w:highlight w:val="none"/>
        </w:rPr>
      </w:pPr>
    </w:p>
    <w:p w14:paraId="31125C44">
      <w:pPr>
        <w:rPr>
          <w:rFonts w:ascii="宋体" w:cs="宋体"/>
          <w:highlight w:val="none"/>
        </w:rPr>
      </w:pPr>
    </w:p>
    <w:p w14:paraId="1145E95E">
      <w:pPr>
        <w:widowControl w:val="0"/>
        <w:rPr>
          <w:rFonts w:ascii="Calibri" w:hAnsi="Calibri" w:cs="Times New Roman"/>
          <w:sz w:val="24"/>
          <w:szCs w:val="24"/>
          <w:highlight w:val="none"/>
        </w:rPr>
      </w:pPr>
      <w:r>
        <w:rPr>
          <w:rFonts w:hint="eastAsia" w:ascii="宋体" w:cs="宋体"/>
          <w:sz w:val="24"/>
          <w:szCs w:val="24"/>
          <w:highlight w:val="none"/>
        </w:rPr>
        <w:br w:type="page"/>
      </w:r>
    </w:p>
    <w:p w14:paraId="779395E2">
      <w:pPr>
        <w:widowControl w:val="0"/>
        <w:spacing w:line="360" w:lineRule="auto"/>
        <w:jc w:val="center"/>
        <w:rPr>
          <w:rFonts w:ascii="宋体" w:cs="宋体"/>
          <w:sz w:val="28"/>
          <w:szCs w:val="28"/>
          <w:highlight w:val="none"/>
        </w:rPr>
      </w:pPr>
      <w:r>
        <w:rPr>
          <w:rFonts w:hint="eastAsia" w:ascii="宋体" w:cs="宋体"/>
          <w:b/>
          <w:bCs/>
          <w:sz w:val="28"/>
          <w:szCs w:val="28"/>
          <w:highlight w:val="none"/>
        </w:rPr>
        <w:t>政府采购金融服务简介</w:t>
      </w:r>
    </w:p>
    <w:p w14:paraId="0363E7AE">
      <w:pPr>
        <w:widowControl w:val="0"/>
        <w:ind w:firstLine="480" w:firstLineChars="200"/>
        <w:rPr>
          <w:rFonts w:ascii="宋体" w:cs="宋体"/>
          <w:sz w:val="24"/>
          <w:szCs w:val="24"/>
          <w:highlight w:val="none"/>
        </w:rPr>
      </w:pPr>
      <w:r>
        <w:rPr>
          <w:rFonts w:hint="eastAsia" w:ascii="宋体" w:cs="宋体"/>
          <w:sz w:val="24"/>
          <w:szCs w:val="24"/>
          <w:highlight w:val="none"/>
        </w:rPr>
        <w:t>为优化政府采购营商环境，缓解供应商资金难题，有需要的中标供应商可根据需要申请办理政府采购合同贷款（以下简称“政采贷”）、履约保函、预付款保函等政府采购金融服务。</w:t>
      </w:r>
    </w:p>
    <w:p w14:paraId="0B3D47A8">
      <w:pPr>
        <w:widowControl w:val="0"/>
        <w:ind w:firstLine="480" w:firstLineChars="200"/>
        <w:rPr>
          <w:rFonts w:ascii="宋体" w:cs="宋体"/>
          <w:sz w:val="24"/>
          <w:szCs w:val="24"/>
          <w:highlight w:val="none"/>
        </w:rPr>
      </w:pPr>
      <w:r>
        <w:rPr>
          <w:rFonts w:hint="eastAsia" w:ascii="宋体" w:cs="宋体"/>
          <w:sz w:val="24"/>
          <w:szCs w:val="24"/>
          <w:highlight w:val="none"/>
        </w:rPr>
        <w:t>1、政采贷</w:t>
      </w:r>
    </w:p>
    <w:p w14:paraId="2CE9AE42">
      <w:pPr>
        <w:widowControl w:val="0"/>
        <w:ind w:firstLine="480" w:firstLineChars="200"/>
        <w:rPr>
          <w:rFonts w:ascii="宋体" w:cs="宋体"/>
          <w:sz w:val="24"/>
          <w:szCs w:val="24"/>
          <w:highlight w:val="none"/>
        </w:rPr>
      </w:pPr>
      <w:r>
        <w:rPr>
          <w:rFonts w:hint="eastAsia" w:ascii="宋体" w:cs="宋体"/>
          <w:sz w:val="24"/>
          <w:szCs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5CC95867">
      <w:pPr>
        <w:widowControl w:val="0"/>
        <w:rPr>
          <w:rFonts w:ascii="宋体" w:cs="宋体"/>
          <w:sz w:val="24"/>
          <w:szCs w:val="24"/>
          <w:highlight w:val="none"/>
        </w:rPr>
      </w:pPr>
      <w:r>
        <w:rPr>
          <w:rFonts w:hint="eastAsia" w:ascii="宋体" w:cs="宋体"/>
          <w:sz w:val="24"/>
          <w:szCs w:val="24"/>
          <w:highlight w:val="none"/>
        </w:rPr>
        <w:t>具体要求、条件和操作教程可通过政采云首页右上角——网站导航——金融服务查看，也可拨打政采云客服热线95763咨询，也可查看公告附件中的相关宣传资料，或向各地已开通政采贷的银行咨询办理。</w:t>
      </w:r>
    </w:p>
    <w:p w14:paraId="55E526A1">
      <w:pPr>
        <w:widowControl w:val="0"/>
        <w:ind w:firstLine="480" w:firstLineChars="200"/>
        <w:rPr>
          <w:rFonts w:ascii="宋体" w:cs="宋体"/>
          <w:sz w:val="24"/>
          <w:szCs w:val="24"/>
          <w:highlight w:val="none"/>
        </w:rPr>
      </w:pPr>
      <w:r>
        <w:rPr>
          <w:rFonts w:hint="eastAsia" w:ascii="宋体" w:cs="宋体"/>
          <w:sz w:val="24"/>
          <w:szCs w:val="24"/>
          <w:highlight w:val="none"/>
        </w:rPr>
        <w:t>2、履约保函</w:t>
      </w:r>
    </w:p>
    <w:p w14:paraId="56375346">
      <w:pPr>
        <w:widowControl w:val="0"/>
        <w:ind w:firstLine="480" w:firstLineChars="200"/>
        <w:rPr>
          <w:rFonts w:ascii="宋体" w:cs="宋体"/>
          <w:sz w:val="24"/>
          <w:szCs w:val="24"/>
          <w:highlight w:val="none"/>
        </w:rPr>
      </w:pPr>
      <w:r>
        <w:rPr>
          <w:rFonts w:hint="eastAsia" w:ascii="宋体" w:cs="宋体"/>
          <w:sz w:val="24"/>
          <w:szCs w:val="24"/>
          <w:highlight w:val="none"/>
        </w:rPr>
        <w:t>中标供应商可通过以保函的形式提交履约保证金，减少对中小微企业的资金占用，降低财务成本。</w:t>
      </w:r>
    </w:p>
    <w:p w14:paraId="02EBB153">
      <w:pPr>
        <w:widowControl w:val="0"/>
        <w:rPr>
          <w:rFonts w:ascii="宋体" w:cs="宋体"/>
          <w:sz w:val="24"/>
          <w:szCs w:val="24"/>
          <w:highlight w:val="none"/>
        </w:rPr>
      </w:pPr>
      <w:r>
        <w:rPr>
          <w:rFonts w:hint="eastAsia" w:ascii="宋体" w:cs="宋体"/>
          <w:sz w:val="24"/>
          <w:szCs w:val="24"/>
          <w:highlight w:val="none"/>
        </w:rPr>
        <w:t>具体的条件、要求和操作程序由申请贷款的中标供应商向各地保险公司、银行咨询办理。</w:t>
      </w:r>
    </w:p>
    <w:p w14:paraId="1AD719F1">
      <w:pPr>
        <w:widowControl w:val="0"/>
        <w:ind w:firstLine="480" w:firstLineChars="200"/>
        <w:rPr>
          <w:rFonts w:ascii="宋体" w:cs="宋体"/>
          <w:sz w:val="24"/>
          <w:szCs w:val="24"/>
          <w:highlight w:val="none"/>
        </w:rPr>
      </w:pPr>
      <w:r>
        <w:rPr>
          <w:rFonts w:hint="eastAsia" w:ascii="宋体" w:cs="宋体"/>
          <w:sz w:val="24"/>
          <w:szCs w:val="24"/>
          <w:highlight w:val="none"/>
        </w:rPr>
        <w:t>3、预付款保函</w:t>
      </w:r>
    </w:p>
    <w:p w14:paraId="653D0684">
      <w:pPr>
        <w:widowControl w:val="0"/>
        <w:ind w:firstLine="480" w:firstLineChars="200"/>
        <w:rPr>
          <w:rFonts w:ascii="宋体" w:cs="宋体"/>
          <w:sz w:val="24"/>
          <w:szCs w:val="24"/>
          <w:highlight w:val="none"/>
        </w:rPr>
      </w:pPr>
      <w:r>
        <w:rPr>
          <w:rFonts w:hint="eastAsia" w:ascii="宋体" w:cs="宋体"/>
          <w:sz w:val="24"/>
          <w:szCs w:val="24"/>
          <w:highlight w:val="none"/>
        </w:rPr>
        <w:t>采购单位根据项目特点、供应商诚信等因素，可以要求供应商提交银行、保险公司等金融机构出具的预付款保函或其他担保措施</w:t>
      </w:r>
    </w:p>
    <w:p w14:paraId="0EA9654F">
      <w:pPr>
        <w:widowControl w:val="0"/>
        <w:ind w:firstLine="480" w:firstLineChars="200"/>
        <w:rPr>
          <w:rFonts w:ascii="宋体" w:cs="宋体"/>
          <w:sz w:val="24"/>
          <w:szCs w:val="24"/>
          <w:highlight w:val="none"/>
        </w:rPr>
      </w:pPr>
      <w:r>
        <w:rPr>
          <w:rFonts w:hint="eastAsia" w:ascii="宋体" w:cs="宋体"/>
          <w:sz w:val="24"/>
          <w:szCs w:val="24"/>
          <w:highlight w:val="none"/>
        </w:rPr>
        <w:t>4.风险提示</w:t>
      </w:r>
    </w:p>
    <w:p w14:paraId="4E930D5A">
      <w:pPr>
        <w:widowControl w:val="0"/>
        <w:ind w:firstLine="480" w:firstLineChars="200"/>
        <w:rPr>
          <w:rFonts w:ascii="宋体" w:cs="宋体"/>
          <w:sz w:val="24"/>
          <w:szCs w:val="24"/>
          <w:highlight w:val="none"/>
        </w:rPr>
      </w:pPr>
      <w:r>
        <w:rPr>
          <w:rFonts w:hint="eastAsia" w:ascii="宋体" w:cs="宋体"/>
          <w:sz w:val="24"/>
          <w:szCs w:val="24"/>
          <w:highlight w:val="none"/>
        </w:rPr>
        <w:t>（1）本宣传简介内容仅为提供给各中标供应商对办理政府采购金融服务的宣传和了解之方便，对金融服务的具体内容和操作流程均以各金融机构的要求为准，也不作强制要求。</w:t>
      </w:r>
    </w:p>
    <w:p w14:paraId="01E56B5E">
      <w:pPr>
        <w:widowControl w:val="0"/>
        <w:ind w:firstLine="480" w:firstLineChars="200"/>
        <w:rPr>
          <w:rFonts w:ascii="宋体" w:cs="宋体"/>
          <w:sz w:val="24"/>
          <w:szCs w:val="24"/>
          <w:highlight w:val="none"/>
        </w:rPr>
      </w:pPr>
      <w:r>
        <w:rPr>
          <w:rFonts w:hint="eastAsia" w:ascii="宋体" w:cs="宋体"/>
          <w:sz w:val="24"/>
          <w:szCs w:val="24"/>
          <w:highlight w:val="none"/>
        </w:rPr>
        <w:t>（2）政府采购金融服务有风险，请详细了解并综合评估后再决定。</w:t>
      </w:r>
    </w:p>
    <w:p w14:paraId="3FE900CC">
      <w:pPr>
        <w:widowControl w:val="0"/>
        <w:ind w:firstLine="480" w:firstLineChars="200"/>
        <w:rPr>
          <w:rFonts w:ascii="宋体" w:cs="宋体"/>
          <w:sz w:val="24"/>
          <w:szCs w:val="24"/>
          <w:highlight w:val="none"/>
        </w:rPr>
      </w:pPr>
      <w:r>
        <w:rPr>
          <w:rFonts w:hint="eastAsia" w:ascii="宋体" w:cs="宋体"/>
          <w:sz w:val="24"/>
          <w:szCs w:val="24"/>
          <w:highlight w:val="none"/>
        </w:rPr>
        <w:t>（3）政府采购金融服务遵循平等自愿、风险自担的原则。采购人、代理机构、财政部门不为任何政府采购金融服务项目承担任何形式的担保、解释或其他连带责任。</w:t>
      </w:r>
    </w:p>
    <w:p w14:paraId="7849E3FE">
      <w:pPr>
        <w:widowControl w:val="0"/>
        <w:ind w:firstLine="480" w:firstLineChars="200"/>
        <w:rPr>
          <w:rFonts w:ascii="宋体" w:cs="宋体"/>
          <w:sz w:val="24"/>
          <w:szCs w:val="24"/>
          <w:highlight w:val="none"/>
        </w:rPr>
      </w:pPr>
      <w:r>
        <w:rPr>
          <w:rFonts w:hint="eastAsia" w:ascii="宋体" w:cs="宋体"/>
          <w:sz w:val="24"/>
          <w:szCs w:val="24"/>
          <w:highlight w:val="none"/>
        </w:rPr>
        <w:t xml:space="preserve">5、政采贷合作单位分为线上线下共四家。 </w:t>
      </w:r>
    </w:p>
    <w:p w14:paraId="0E707209">
      <w:pPr>
        <w:widowControl w:val="0"/>
        <w:ind w:firstLine="480" w:firstLineChars="200"/>
        <w:rPr>
          <w:rFonts w:ascii="宋体" w:cs="宋体"/>
          <w:sz w:val="24"/>
          <w:szCs w:val="24"/>
          <w:highlight w:val="none"/>
        </w:rPr>
      </w:pPr>
      <w:r>
        <w:rPr>
          <w:rFonts w:hint="eastAsia" w:ascii="宋体" w:cs="宋体"/>
          <w:sz w:val="24"/>
          <w:szCs w:val="24"/>
          <w:highlight w:val="none"/>
        </w:rPr>
        <w:t>永康招商银行： 陈豪 联系电话：13605896913/676913 （线上）</w:t>
      </w:r>
    </w:p>
    <w:p w14:paraId="34A70141">
      <w:pPr>
        <w:widowControl w:val="0"/>
        <w:ind w:firstLine="480" w:firstLineChars="200"/>
        <w:rPr>
          <w:rFonts w:ascii="宋体" w:cs="宋体"/>
          <w:sz w:val="24"/>
          <w:szCs w:val="24"/>
          <w:highlight w:val="none"/>
        </w:rPr>
      </w:pPr>
      <w:r>
        <w:rPr>
          <w:rFonts w:hint="eastAsia" w:ascii="宋体" w:cs="宋体"/>
          <w:sz w:val="24"/>
          <w:szCs w:val="24"/>
          <w:highlight w:val="none"/>
        </w:rPr>
        <w:t>永康农商银行： 陈中升 联系电话 15158900186/578260 （线上）</w:t>
      </w:r>
    </w:p>
    <w:p w14:paraId="7CDC36E7">
      <w:pPr>
        <w:widowControl w:val="0"/>
        <w:ind w:firstLine="480" w:firstLineChars="200"/>
        <w:rPr>
          <w:rFonts w:ascii="宋体" w:cs="宋体"/>
          <w:sz w:val="24"/>
          <w:szCs w:val="24"/>
          <w:highlight w:val="none"/>
        </w:rPr>
      </w:pPr>
      <w:r>
        <w:rPr>
          <w:rFonts w:hint="eastAsia" w:ascii="宋体" w:cs="宋体"/>
          <w:sz w:val="24"/>
          <w:szCs w:val="24"/>
          <w:highlight w:val="none"/>
        </w:rPr>
        <w:t xml:space="preserve">金华银行永康支行:杨望 联系电话：13858931020，0579-87217221（线下） </w:t>
      </w:r>
    </w:p>
    <w:p w14:paraId="01B7B4A9">
      <w:pPr>
        <w:widowControl w:val="0"/>
        <w:ind w:firstLine="480" w:firstLineChars="200"/>
        <w:rPr>
          <w:rFonts w:ascii="宋体" w:cs="宋体"/>
          <w:sz w:val="24"/>
          <w:szCs w:val="24"/>
          <w:highlight w:val="none"/>
        </w:rPr>
      </w:pPr>
      <w:r>
        <w:rPr>
          <w:rFonts w:hint="eastAsia" w:ascii="宋体" w:cs="宋体"/>
          <w:sz w:val="24"/>
          <w:szCs w:val="24"/>
          <w:highlight w:val="none"/>
        </w:rPr>
        <w:t>浙商银行金华永康支行：胡风华 联系电话：13758976161（676161）， 0579-87576758 （线下）</w:t>
      </w:r>
    </w:p>
    <w:p w14:paraId="1C6F1C91">
      <w:pPr>
        <w:widowControl w:val="0"/>
        <w:ind w:firstLine="480" w:firstLineChars="200"/>
        <w:rPr>
          <w:rFonts w:ascii="宋体" w:cs="宋体"/>
          <w:sz w:val="24"/>
          <w:szCs w:val="24"/>
          <w:highlight w:val="none"/>
        </w:rPr>
      </w:pPr>
      <w:r>
        <w:rPr>
          <w:rFonts w:hint="eastAsia" w:ascii="宋体" w:cs="宋体"/>
          <w:sz w:val="24"/>
          <w:szCs w:val="24"/>
          <w:highlight w:val="none"/>
        </w:rPr>
        <w:t>保函合作单位:</w:t>
      </w:r>
    </w:p>
    <w:tbl>
      <w:tblPr>
        <w:tblStyle w:val="32"/>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2C36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3617F4E7">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单位</w:t>
            </w:r>
          </w:p>
        </w:tc>
        <w:tc>
          <w:tcPr>
            <w:tcW w:w="1260" w:type="dxa"/>
            <w:noWrap/>
          </w:tcPr>
          <w:p w14:paraId="4803BD74">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联系人</w:t>
            </w:r>
          </w:p>
        </w:tc>
        <w:tc>
          <w:tcPr>
            <w:tcW w:w="2358" w:type="dxa"/>
            <w:noWrap/>
          </w:tcPr>
          <w:p w14:paraId="444A3EEB">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联系电话</w:t>
            </w:r>
          </w:p>
        </w:tc>
      </w:tr>
      <w:tr w14:paraId="5A21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88C13CB">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中国人民财产保险股份有限公司永康支公司</w:t>
            </w:r>
          </w:p>
        </w:tc>
        <w:tc>
          <w:tcPr>
            <w:tcW w:w="1260" w:type="dxa"/>
            <w:noWrap/>
            <w:vAlign w:val="center"/>
          </w:tcPr>
          <w:p w14:paraId="10388410">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倪海涛</w:t>
            </w:r>
          </w:p>
        </w:tc>
        <w:tc>
          <w:tcPr>
            <w:tcW w:w="2358" w:type="dxa"/>
            <w:noWrap/>
            <w:vAlign w:val="center"/>
          </w:tcPr>
          <w:p w14:paraId="00CFDB0E">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13758982628</w:t>
            </w:r>
          </w:p>
        </w:tc>
      </w:tr>
      <w:tr w14:paraId="6066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E66771C">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中华联合财产保险股份有限公司永康支公司</w:t>
            </w:r>
          </w:p>
        </w:tc>
        <w:tc>
          <w:tcPr>
            <w:tcW w:w="1260" w:type="dxa"/>
            <w:noWrap/>
            <w:vAlign w:val="center"/>
          </w:tcPr>
          <w:p w14:paraId="53CD34EC">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章卓航</w:t>
            </w:r>
          </w:p>
        </w:tc>
        <w:tc>
          <w:tcPr>
            <w:tcW w:w="2358" w:type="dxa"/>
            <w:noWrap/>
            <w:vAlign w:val="center"/>
          </w:tcPr>
          <w:p w14:paraId="03104BEB">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13819905616</w:t>
            </w:r>
          </w:p>
        </w:tc>
      </w:tr>
      <w:tr w14:paraId="0F6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7E916401">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天安财产保险股份有限公司永康支公司</w:t>
            </w:r>
          </w:p>
        </w:tc>
        <w:tc>
          <w:tcPr>
            <w:tcW w:w="1260" w:type="dxa"/>
            <w:noWrap/>
            <w:vAlign w:val="center"/>
          </w:tcPr>
          <w:p w14:paraId="740AE05B">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钱磊</w:t>
            </w:r>
          </w:p>
        </w:tc>
        <w:tc>
          <w:tcPr>
            <w:tcW w:w="2358" w:type="dxa"/>
            <w:noWrap/>
            <w:vAlign w:val="center"/>
          </w:tcPr>
          <w:p w14:paraId="1BBD7E12">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13758980258</w:t>
            </w:r>
          </w:p>
        </w:tc>
      </w:tr>
      <w:tr w14:paraId="7779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1DCFFDC6">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永安财产保险股份有限公司永康营销服务部</w:t>
            </w:r>
          </w:p>
        </w:tc>
        <w:tc>
          <w:tcPr>
            <w:tcW w:w="1260" w:type="dxa"/>
            <w:noWrap/>
            <w:vAlign w:val="center"/>
          </w:tcPr>
          <w:p w14:paraId="6DFD5470">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徐绍舜</w:t>
            </w:r>
          </w:p>
        </w:tc>
        <w:tc>
          <w:tcPr>
            <w:tcW w:w="2358" w:type="dxa"/>
            <w:noWrap/>
            <w:vAlign w:val="center"/>
          </w:tcPr>
          <w:p w14:paraId="61CC81EC">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13858928383</w:t>
            </w:r>
          </w:p>
        </w:tc>
      </w:tr>
    </w:tbl>
    <w:p w14:paraId="52DA00D4">
      <w:pPr>
        <w:widowControl w:val="0"/>
        <w:spacing w:line="780" w:lineRule="exact"/>
        <w:jc w:val="center"/>
        <w:rPr>
          <w:rFonts w:ascii="宋体" w:cs="宋体"/>
          <w:highlight w:val="none"/>
        </w:rPr>
      </w:pPr>
    </w:p>
    <w:p w14:paraId="0CCD6283">
      <w:pPr>
        <w:widowControl w:val="0"/>
        <w:spacing w:line="780" w:lineRule="exact"/>
        <w:jc w:val="center"/>
        <w:rPr>
          <w:rFonts w:ascii="宋体" w:cs="宋体"/>
          <w:highlight w:val="none"/>
        </w:rPr>
      </w:pPr>
    </w:p>
    <w:p w14:paraId="653B8C6B">
      <w:pPr>
        <w:widowControl w:val="0"/>
        <w:spacing w:line="780" w:lineRule="exact"/>
        <w:jc w:val="center"/>
        <w:rPr>
          <w:rFonts w:ascii="宋体" w:cs="宋体"/>
          <w:highlight w:val="none"/>
        </w:rPr>
      </w:pPr>
    </w:p>
    <w:p w14:paraId="37F2D3BC">
      <w:pPr>
        <w:widowControl w:val="0"/>
        <w:spacing w:line="780" w:lineRule="exact"/>
        <w:jc w:val="center"/>
        <w:rPr>
          <w:rFonts w:ascii="宋体" w:cs="宋体"/>
          <w:highlight w:val="none"/>
        </w:rPr>
      </w:pPr>
    </w:p>
    <w:p w14:paraId="034CD261">
      <w:pPr>
        <w:widowControl w:val="0"/>
        <w:spacing w:line="780" w:lineRule="exact"/>
        <w:jc w:val="center"/>
        <w:rPr>
          <w:rFonts w:ascii="宋体" w:cs="宋体"/>
          <w:highlight w:val="none"/>
        </w:rPr>
      </w:pPr>
    </w:p>
    <w:p w14:paraId="0EF043C1">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第二章</w:t>
      </w:r>
    </w:p>
    <w:p w14:paraId="1A75E78C">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前附表、投标人须知</w:t>
      </w:r>
    </w:p>
    <w:p w14:paraId="0737A69F">
      <w:pPr>
        <w:widowControl w:val="0"/>
        <w:jc w:val="center"/>
        <w:rPr>
          <w:rFonts w:ascii="宋体" w:cs="宋体"/>
          <w:highlight w:val="none"/>
        </w:rPr>
      </w:pPr>
    </w:p>
    <w:p w14:paraId="1B1C5EB2">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br w:type="page"/>
      </w:r>
      <w:r>
        <w:rPr>
          <w:rFonts w:hint="eastAsia" w:ascii="宋体" w:cs="宋体"/>
          <w:b/>
          <w:bCs/>
          <w:kern w:val="44"/>
          <w:sz w:val="44"/>
          <w:szCs w:val="44"/>
          <w:highlight w:val="none"/>
        </w:rPr>
        <w:t>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054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C56EEAD">
            <w:pPr>
              <w:widowControl w:val="0"/>
              <w:spacing w:line="400" w:lineRule="exact"/>
              <w:jc w:val="center"/>
              <w:rPr>
                <w:rFonts w:ascii="宋体" w:cs="宋体"/>
                <w:b/>
                <w:bCs/>
                <w:highlight w:val="none"/>
              </w:rPr>
            </w:pPr>
            <w:r>
              <w:rPr>
                <w:rFonts w:hint="eastAsia" w:ascii="宋体" w:cs="宋体"/>
                <w:b/>
                <w:bCs/>
                <w:highlight w:val="none"/>
              </w:rPr>
              <w:t>序号</w:t>
            </w:r>
          </w:p>
        </w:tc>
        <w:tc>
          <w:tcPr>
            <w:tcW w:w="1854" w:type="dxa"/>
            <w:noWrap/>
            <w:vAlign w:val="center"/>
          </w:tcPr>
          <w:p w14:paraId="75354861">
            <w:pPr>
              <w:widowControl w:val="0"/>
              <w:spacing w:line="400" w:lineRule="exact"/>
              <w:jc w:val="center"/>
              <w:rPr>
                <w:rFonts w:ascii="宋体" w:cs="宋体"/>
                <w:b/>
                <w:bCs/>
                <w:highlight w:val="none"/>
              </w:rPr>
            </w:pPr>
            <w:r>
              <w:rPr>
                <w:rFonts w:hint="eastAsia" w:ascii="宋体" w:cs="宋体"/>
                <w:b/>
                <w:bCs/>
                <w:sz w:val="24"/>
                <w:szCs w:val="24"/>
                <w:highlight w:val="none"/>
              </w:rPr>
              <w:t>名称</w:t>
            </w:r>
          </w:p>
        </w:tc>
        <w:tc>
          <w:tcPr>
            <w:tcW w:w="6391" w:type="dxa"/>
            <w:noWrap/>
            <w:vAlign w:val="center"/>
          </w:tcPr>
          <w:p w14:paraId="2F9847FC">
            <w:pPr>
              <w:widowControl w:val="0"/>
              <w:spacing w:line="400" w:lineRule="exact"/>
              <w:jc w:val="center"/>
              <w:rPr>
                <w:rFonts w:ascii="宋体" w:cs="宋体"/>
                <w:b/>
                <w:bCs/>
                <w:sz w:val="24"/>
                <w:szCs w:val="24"/>
                <w:highlight w:val="none"/>
              </w:rPr>
            </w:pPr>
            <w:r>
              <w:rPr>
                <w:rFonts w:hint="eastAsia" w:ascii="宋体" w:cs="宋体"/>
                <w:b/>
                <w:bCs/>
                <w:sz w:val="24"/>
                <w:szCs w:val="24"/>
                <w:highlight w:val="none"/>
              </w:rPr>
              <w:t>内容</w:t>
            </w:r>
          </w:p>
        </w:tc>
      </w:tr>
      <w:tr w14:paraId="5A65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1168FF8">
            <w:pPr>
              <w:widowControl w:val="0"/>
              <w:spacing w:line="400" w:lineRule="exact"/>
              <w:jc w:val="center"/>
              <w:rPr>
                <w:rFonts w:ascii="宋体" w:cs="宋体"/>
                <w:highlight w:val="none"/>
              </w:rPr>
            </w:pPr>
            <w:r>
              <w:rPr>
                <w:rFonts w:hint="eastAsia" w:ascii="宋体" w:cs="宋体"/>
                <w:highlight w:val="none"/>
              </w:rPr>
              <w:t>1</w:t>
            </w:r>
          </w:p>
        </w:tc>
        <w:tc>
          <w:tcPr>
            <w:tcW w:w="1854" w:type="dxa"/>
            <w:noWrap/>
            <w:vAlign w:val="center"/>
          </w:tcPr>
          <w:p w14:paraId="56AEF096">
            <w:pPr>
              <w:widowControl w:val="0"/>
              <w:jc w:val="center"/>
              <w:rPr>
                <w:rFonts w:ascii="宋体" w:cs="宋体"/>
                <w:color w:val="000000"/>
                <w:highlight w:val="none"/>
              </w:rPr>
            </w:pPr>
            <w:r>
              <w:rPr>
                <w:rFonts w:hint="eastAsia" w:ascii="宋体" w:cs="宋体"/>
                <w:highlight w:val="none"/>
              </w:rPr>
              <w:t>项目名称：</w:t>
            </w:r>
          </w:p>
        </w:tc>
        <w:tc>
          <w:tcPr>
            <w:tcW w:w="6391" w:type="dxa"/>
            <w:noWrap/>
            <w:vAlign w:val="center"/>
          </w:tcPr>
          <w:p w14:paraId="769B7A19">
            <w:pPr>
              <w:widowControl w:val="0"/>
              <w:rPr>
                <w:rFonts w:hint="eastAsia" w:ascii="宋体" w:eastAsia="宋体" w:cs="宋体"/>
                <w:kern w:val="0"/>
                <w:highlight w:val="none"/>
                <w:lang w:eastAsia="zh-CN"/>
              </w:rPr>
            </w:pPr>
            <w:r>
              <w:rPr>
                <w:rFonts w:hint="eastAsia" w:ascii="宋体" w:cs="宋体"/>
                <w:kern w:val="0"/>
                <w:highlight w:val="none"/>
                <w:lang w:eastAsia="zh-CN"/>
              </w:rPr>
              <w:t>永康市大数据发展中心电子政务外网升级改造项目</w:t>
            </w:r>
          </w:p>
        </w:tc>
      </w:tr>
      <w:tr w14:paraId="2F1B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4BFEBBE">
            <w:pPr>
              <w:widowControl w:val="0"/>
              <w:spacing w:line="400" w:lineRule="exact"/>
              <w:jc w:val="center"/>
              <w:rPr>
                <w:rFonts w:ascii="宋体" w:cs="宋体"/>
                <w:highlight w:val="none"/>
              </w:rPr>
            </w:pPr>
          </w:p>
        </w:tc>
        <w:tc>
          <w:tcPr>
            <w:tcW w:w="1854" w:type="dxa"/>
            <w:noWrap/>
            <w:vAlign w:val="center"/>
          </w:tcPr>
          <w:p w14:paraId="7832B92B">
            <w:pPr>
              <w:widowControl w:val="0"/>
              <w:jc w:val="center"/>
              <w:rPr>
                <w:rFonts w:ascii="宋体" w:cs="宋体"/>
                <w:color w:val="auto"/>
                <w:highlight w:val="none"/>
              </w:rPr>
            </w:pPr>
            <w:r>
              <w:rPr>
                <w:rFonts w:hint="eastAsia" w:ascii="宋体" w:cs="宋体"/>
                <w:color w:val="auto"/>
                <w:highlight w:val="none"/>
              </w:rPr>
              <w:t>项目预算：</w:t>
            </w:r>
          </w:p>
        </w:tc>
        <w:tc>
          <w:tcPr>
            <w:tcW w:w="6391" w:type="dxa"/>
            <w:noWrap/>
            <w:vAlign w:val="center"/>
          </w:tcPr>
          <w:p w14:paraId="0DFEAF77">
            <w:pPr>
              <w:widowControl w:val="0"/>
              <w:rPr>
                <w:rFonts w:ascii="宋体" w:cs="宋体"/>
                <w:color w:val="auto"/>
                <w:highlight w:val="none"/>
              </w:rPr>
            </w:pPr>
            <w:r>
              <w:rPr>
                <w:rFonts w:hint="eastAsia" w:ascii="宋体" w:cs="宋体"/>
                <w:color w:val="auto"/>
                <w:highlight w:val="none"/>
                <w:lang w:val="en-US" w:eastAsia="zh-CN"/>
              </w:rPr>
              <w:t>516</w:t>
            </w:r>
            <w:r>
              <w:rPr>
                <w:rFonts w:hint="eastAsia" w:ascii="宋体" w:cs="宋体"/>
                <w:color w:val="auto"/>
                <w:highlight w:val="none"/>
              </w:rPr>
              <w:t>万元</w:t>
            </w:r>
          </w:p>
        </w:tc>
      </w:tr>
      <w:tr w14:paraId="5102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681647D">
            <w:pPr>
              <w:widowControl w:val="0"/>
              <w:spacing w:line="400" w:lineRule="exact"/>
              <w:jc w:val="center"/>
              <w:rPr>
                <w:rFonts w:ascii="宋体" w:cs="宋体"/>
                <w:highlight w:val="none"/>
              </w:rPr>
            </w:pPr>
          </w:p>
        </w:tc>
        <w:tc>
          <w:tcPr>
            <w:tcW w:w="1854" w:type="dxa"/>
            <w:noWrap/>
            <w:vAlign w:val="center"/>
          </w:tcPr>
          <w:p w14:paraId="35593DAD">
            <w:pPr>
              <w:widowControl w:val="0"/>
              <w:jc w:val="center"/>
              <w:rPr>
                <w:rFonts w:ascii="宋体" w:cs="宋体"/>
                <w:color w:val="auto"/>
                <w:highlight w:val="none"/>
              </w:rPr>
            </w:pPr>
            <w:r>
              <w:rPr>
                <w:rFonts w:hint="eastAsia" w:ascii="宋体" w:cs="宋体"/>
                <w:color w:val="auto"/>
                <w:highlight w:val="none"/>
              </w:rPr>
              <w:t>本采购标的对应的所属行业</w:t>
            </w:r>
          </w:p>
        </w:tc>
        <w:tc>
          <w:tcPr>
            <w:tcW w:w="6391" w:type="dxa"/>
            <w:noWrap/>
            <w:vAlign w:val="center"/>
          </w:tcPr>
          <w:p w14:paraId="3A6C6CA9">
            <w:pPr>
              <w:widowControl w:val="0"/>
              <w:rPr>
                <w:rFonts w:ascii="宋体" w:cs="宋体"/>
                <w:color w:val="auto"/>
                <w:highlight w:val="none"/>
              </w:rPr>
            </w:pPr>
            <w:r>
              <w:rPr>
                <w:rFonts w:hint="eastAsia" w:ascii="宋体" w:cs="宋体"/>
                <w:color w:val="auto"/>
                <w:highlight w:val="none"/>
              </w:rPr>
              <w:t>根据《政府采购促进中小企业管理办法》及《关于印发中小企业划型标准规定的通知工信部联企业》（〔2011〕300号）有关规定，本采购标的对应的所属行业为</w:t>
            </w:r>
            <w:r>
              <w:rPr>
                <w:rFonts w:hint="eastAsia" w:ascii="宋体" w:cs="宋体"/>
                <w:color w:val="FF0000"/>
                <w:highlight w:val="none"/>
              </w:rPr>
              <w:t>软件和信息技术服务业</w:t>
            </w:r>
            <w:r>
              <w:rPr>
                <w:rFonts w:hint="eastAsia" w:ascii="宋体" w:cs="宋体"/>
                <w:color w:val="auto"/>
                <w:highlight w:val="none"/>
              </w:rPr>
              <w:t>（</w:t>
            </w:r>
            <w:r>
              <w:rPr>
                <w:rFonts w:hint="eastAsi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cs="宋体"/>
                <w:color w:val="auto"/>
                <w:highlight w:val="none"/>
              </w:rPr>
              <w:t>）</w:t>
            </w:r>
          </w:p>
        </w:tc>
      </w:tr>
      <w:tr w14:paraId="758E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96070CA">
            <w:pPr>
              <w:widowControl w:val="0"/>
              <w:spacing w:line="400" w:lineRule="exact"/>
              <w:rPr>
                <w:rFonts w:ascii="宋体" w:cs="宋体"/>
                <w:color w:val="000000"/>
                <w:highlight w:val="none"/>
              </w:rPr>
            </w:pPr>
          </w:p>
        </w:tc>
        <w:tc>
          <w:tcPr>
            <w:tcW w:w="1854" w:type="dxa"/>
            <w:noWrap/>
            <w:vAlign w:val="center"/>
          </w:tcPr>
          <w:p w14:paraId="7CD36352">
            <w:pPr>
              <w:widowControl w:val="0"/>
              <w:jc w:val="center"/>
              <w:rPr>
                <w:rFonts w:ascii="宋体" w:cs="宋体"/>
                <w:color w:val="auto"/>
                <w:highlight w:val="none"/>
              </w:rPr>
            </w:pPr>
            <w:r>
              <w:rPr>
                <w:rFonts w:hint="eastAsia" w:ascii="宋体" w:cs="宋体"/>
                <w:color w:val="auto"/>
                <w:highlight w:val="none"/>
              </w:rPr>
              <w:t>服务期限：</w:t>
            </w:r>
          </w:p>
        </w:tc>
        <w:tc>
          <w:tcPr>
            <w:tcW w:w="6391" w:type="dxa"/>
            <w:noWrap/>
            <w:vAlign w:val="center"/>
          </w:tcPr>
          <w:p w14:paraId="0F52E45E">
            <w:pPr>
              <w:spacing w:line="360" w:lineRule="exact"/>
              <w:rPr>
                <w:rFonts w:ascii="宋体" w:cs="宋体"/>
                <w:color w:val="auto"/>
                <w:highlight w:val="none"/>
              </w:rPr>
            </w:pPr>
            <w:r>
              <w:rPr>
                <w:rFonts w:hint="eastAsia" w:ascii="宋体" w:cs="宋体"/>
                <w:color w:val="auto"/>
                <w:highlight w:val="none"/>
                <w:lang w:val="en-US" w:eastAsia="zh-CN"/>
              </w:rPr>
              <w:t>三</w:t>
            </w:r>
            <w:r>
              <w:rPr>
                <w:rFonts w:hint="eastAsia" w:ascii="宋体" w:cs="宋体"/>
                <w:color w:val="auto"/>
                <w:highlight w:val="none"/>
              </w:rPr>
              <w:t>年</w:t>
            </w:r>
          </w:p>
        </w:tc>
      </w:tr>
      <w:tr w14:paraId="5C69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10A593">
            <w:pPr>
              <w:widowControl w:val="0"/>
              <w:spacing w:line="400" w:lineRule="exact"/>
              <w:rPr>
                <w:rFonts w:ascii="宋体" w:cs="宋体"/>
                <w:color w:val="000000"/>
                <w:highlight w:val="none"/>
              </w:rPr>
            </w:pPr>
          </w:p>
        </w:tc>
        <w:tc>
          <w:tcPr>
            <w:tcW w:w="1854" w:type="dxa"/>
            <w:noWrap/>
            <w:vAlign w:val="center"/>
          </w:tcPr>
          <w:p w14:paraId="45911E58">
            <w:pPr>
              <w:widowControl w:val="0"/>
              <w:jc w:val="center"/>
              <w:rPr>
                <w:rFonts w:ascii="宋体" w:cs="宋体"/>
                <w:color w:val="auto"/>
                <w:highlight w:val="none"/>
              </w:rPr>
            </w:pPr>
            <w:r>
              <w:rPr>
                <w:rFonts w:hint="eastAsia" w:ascii="宋体" w:cs="宋体"/>
                <w:color w:val="auto"/>
                <w:highlight w:val="none"/>
              </w:rPr>
              <w:t>付款方式：</w:t>
            </w:r>
          </w:p>
        </w:tc>
        <w:tc>
          <w:tcPr>
            <w:tcW w:w="6391" w:type="dxa"/>
            <w:noWrap/>
            <w:vAlign w:val="center"/>
          </w:tcPr>
          <w:p w14:paraId="3EF54221">
            <w:pPr>
              <w:pStyle w:val="19"/>
              <w:ind w:left="-13" w:leftChars="-6" w:firstLine="0" w:firstLineChars="0"/>
              <w:rPr>
                <w:rFonts w:ascii="宋体" w:hAnsi="宋体" w:cs="宋体"/>
                <w:color w:val="auto"/>
                <w:highlight w:val="none"/>
                <w:lang w:val="en-US" w:eastAsia="zh-CN"/>
              </w:rPr>
            </w:pPr>
            <w:r>
              <w:rPr>
                <w:rFonts w:hint="eastAsia" w:ascii="宋体" w:hAnsi="宋体" w:cs="宋体"/>
                <w:color w:val="auto"/>
                <w:highlight w:val="none"/>
                <w:lang w:val="en-US" w:eastAsia="zh-CN"/>
              </w:rPr>
              <w:t>详见第四章</w:t>
            </w:r>
          </w:p>
        </w:tc>
      </w:tr>
      <w:tr w14:paraId="53DD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6EC816D">
            <w:pPr>
              <w:widowControl w:val="0"/>
              <w:spacing w:line="400" w:lineRule="exact"/>
              <w:jc w:val="center"/>
              <w:rPr>
                <w:rFonts w:ascii="宋体" w:cs="宋体"/>
                <w:highlight w:val="none"/>
              </w:rPr>
            </w:pPr>
            <w:r>
              <w:rPr>
                <w:rFonts w:hint="eastAsia" w:ascii="宋体" w:cs="宋体"/>
                <w:highlight w:val="none"/>
              </w:rPr>
              <w:t>2</w:t>
            </w:r>
          </w:p>
        </w:tc>
        <w:tc>
          <w:tcPr>
            <w:tcW w:w="1854" w:type="dxa"/>
            <w:noWrap/>
            <w:vAlign w:val="center"/>
          </w:tcPr>
          <w:p w14:paraId="5D4E48F1">
            <w:pPr>
              <w:widowControl w:val="0"/>
              <w:jc w:val="center"/>
              <w:rPr>
                <w:rFonts w:ascii="宋体" w:cs="宋体"/>
                <w:color w:val="auto"/>
                <w:highlight w:val="none"/>
              </w:rPr>
            </w:pPr>
            <w:r>
              <w:rPr>
                <w:rFonts w:hint="eastAsia" w:ascii="宋体" w:cs="宋体"/>
                <w:color w:val="auto"/>
                <w:highlight w:val="none"/>
              </w:rPr>
              <w:t>投标保证金：</w:t>
            </w:r>
          </w:p>
        </w:tc>
        <w:tc>
          <w:tcPr>
            <w:tcW w:w="6391" w:type="dxa"/>
            <w:noWrap/>
            <w:vAlign w:val="center"/>
          </w:tcPr>
          <w:p w14:paraId="5325AD11">
            <w:pPr>
              <w:widowControl w:val="0"/>
              <w:rPr>
                <w:rFonts w:ascii="宋体" w:cs="宋体"/>
                <w:color w:val="auto"/>
                <w:highlight w:val="none"/>
              </w:rPr>
            </w:pPr>
            <w:r>
              <w:rPr>
                <w:rFonts w:hint="eastAsia" w:ascii="宋体" w:cs="宋体"/>
                <w:color w:val="auto"/>
                <w:highlight w:val="none"/>
              </w:rPr>
              <w:t>不收取投标保证金。</w:t>
            </w:r>
          </w:p>
        </w:tc>
      </w:tr>
      <w:tr w14:paraId="53CE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8786EF2">
            <w:pPr>
              <w:widowControl w:val="0"/>
              <w:spacing w:line="400" w:lineRule="exact"/>
              <w:jc w:val="center"/>
              <w:rPr>
                <w:rFonts w:ascii="宋体" w:cs="宋体"/>
                <w:highlight w:val="none"/>
              </w:rPr>
            </w:pPr>
            <w:r>
              <w:rPr>
                <w:rFonts w:hint="eastAsia" w:ascii="宋体" w:cs="宋体"/>
                <w:color w:val="000000"/>
                <w:highlight w:val="none"/>
              </w:rPr>
              <w:t>3</w:t>
            </w:r>
          </w:p>
        </w:tc>
        <w:tc>
          <w:tcPr>
            <w:tcW w:w="1854" w:type="dxa"/>
            <w:noWrap/>
            <w:vAlign w:val="center"/>
          </w:tcPr>
          <w:p w14:paraId="69761568">
            <w:pPr>
              <w:widowControl w:val="0"/>
              <w:jc w:val="center"/>
              <w:rPr>
                <w:rFonts w:ascii="宋体" w:cs="宋体"/>
                <w:color w:val="auto"/>
                <w:highlight w:val="none"/>
              </w:rPr>
            </w:pPr>
            <w:r>
              <w:rPr>
                <w:rFonts w:hint="eastAsia" w:ascii="宋体" w:cs="宋体"/>
                <w:color w:val="auto"/>
                <w:highlight w:val="none"/>
              </w:rPr>
              <w:t>履约保证金：</w:t>
            </w:r>
          </w:p>
        </w:tc>
        <w:tc>
          <w:tcPr>
            <w:tcW w:w="6391" w:type="dxa"/>
            <w:noWrap/>
            <w:vAlign w:val="center"/>
          </w:tcPr>
          <w:p w14:paraId="36699AAE">
            <w:pPr>
              <w:widowControl w:val="0"/>
              <w:numPr>
                <w:ilvl w:val="0"/>
                <w:numId w:val="5"/>
              </w:numPr>
              <w:rPr>
                <w:rFonts w:ascii="宋体" w:cs="宋体"/>
                <w:color w:val="auto"/>
                <w:highlight w:val="none"/>
              </w:rPr>
            </w:pPr>
            <w:r>
              <w:rPr>
                <w:rFonts w:hint="eastAsia" w:ascii="宋体" w:cs="宋体"/>
                <w:color w:val="auto"/>
                <w:highlight w:val="none"/>
              </w:rPr>
              <w:t>合同签订时，采购人可按《中华人民共和国政府采购法实施条例》有关规定自行收取项目履约保证金。</w:t>
            </w:r>
          </w:p>
          <w:p w14:paraId="3206EDFC">
            <w:pPr>
              <w:widowControl w:val="0"/>
              <w:numPr>
                <w:ilvl w:val="0"/>
                <w:numId w:val="5"/>
              </w:numPr>
              <w:rPr>
                <w:rFonts w:ascii="宋体" w:cs="宋体"/>
                <w:color w:val="auto"/>
                <w:highlight w:val="none"/>
              </w:rPr>
            </w:pPr>
            <w:r>
              <w:rPr>
                <w:rFonts w:hint="eastAsia" w:ascii="宋体" w:cs="宋体"/>
                <w:color w:val="auto"/>
                <w:highlight w:val="none"/>
              </w:rPr>
              <w:t>为发挥信用体系在履约保证金减免方面的基础作用提倡采购人减收或免收履约保证金。</w:t>
            </w:r>
          </w:p>
          <w:p w14:paraId="794AECC2">
            <w:pPr>
              <w:widowControl w:val="0"/>
              <w:numPr>
                <w:ilvl w:val="0"/>
                <w:numId w:val="5"/>
              </w:numPr>
              <w:rPr>
                <w:rFonts w:ascii="宋体" w:cs="宋体"/>
                <w:color w:val="auto"/>
                <w:highlight w:val="none"/>
              </w:rPr>
            </w:pPr>
            <w:r>
              <w:rPr>
                <w:rFonts w:hint="eastAsia" w:ascii="宋体" w:cs="宋体"/>
                <w:color w:val="auto"/>
                <w:highlight w:val="none"/>
              </w:rPr>
              <w:t>采购人要求中标或者成交供应商提交履约保证金的，供应商可以以支票、汇票、本票或者金融机构、担保机构出具的保函等非现金形式提交。</w:t>
            </w:r>
          </w:p>
          <w:p w14:paraId="1E2109CA">
            <w:pPr>
              <w:widowControl w:val="0"/>
              <w:rPr>
                <w:rFonts w:ascii="宋体" w:cs="宋体"/>
                <w:color w:val="auto"/>
                <w:highlight w:val="none"/>
              </w:rPr>
            </w:pPr>
            <w:r>
              <w:rPr>
                <w:rFonts w:hint="eastAsia" w:ascii="宋体" w:cs="宋体"/>
                <w:color w:val="auto"/>
                <w:highlight w:val="none"/>
              </w:rPr>
              <w:t>4、履约保证金的数额不得超过政府采购合同金额的1%。</w:t>
            </w:r>
          </w:p>
        </w:tc>
      </w:tr>
      <w:tr w14:paraId="6975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4C4D267">
            <w:pPr>
              <w:widowControl w:val="0"/>
              <w:spacing w:line="400" w:lineRule="exact"/>
              <w:jc w:val="center"/>
              <w:rPr>
                <w:rFonts w:ascii="宋体" w:cs="宋体"/>
                <w:color w:val="000000"/>
                <w:highlight w:val="none"/>
              </w:rPr>
            </w:pPr>
            <w:r>
              <w:rPr>
                <w:rFonts w:hint="eastAsia" w:ascii="宋体" w:cs="宋体"/>
                <w:highlight w:val="none"/>
              </w:rPr>
              <w:t>4</w:t>
            </w:r>
          </w:p>
        </w:tc>
        <w:tc>
          <w:tcPr>
            <w:tcW w:w="1854" w:type="dxa"/>
            <w:noWrap/>
            <w:vAlign w:val="center"/>
          </w:tcPr>
          <w:p w14:paraId="4655E74D">
            <w:pPr>
              <w:widowControl w:val="0"/>
              <w:jc w:val="center"/>
              <w:rPr>
                <w:rFonts w:ascii="宋体" w:cs="宋体"/>
                <w:color w:val="000000"/>
                <w:highlight w:val="none"/>
              </w:rPr>
            </w:pPr>
            <w:r>
              <w:rPr>
                <w:rFonts w:hint="eastAsia" w:ascii="宋体" w:cs="宋体"/>
                <w:color w:val="000000"/>
                <w:highlight w:val="none"/>
                <w:lang w:val="zh-TW" w:eastAsia="zh-TW"/>
              </w:rPr>
              <w:t>网上注册：</w:t>
            </w:r>
          </w:p>
        </w:tc>
        <w:tc>
          <w:tcPr>
            <w:tcW w:w="6391" w:type="dxa"/>
            <w:noWrap/>
            <w:vAlign w:val="center"/>
          </w:tcPr>
          <w:p w14:paraId="600E4CD1">
            <w:pPr>
              <w:widowControl w:val="0"/>
              <w:rPr>
                <w:rFonts w:ascii="宋体" w:cs="宋体"/>
                <w:color w:val="000000"/>
                <w:highlight w:val="none"/>
              </w:rPr>
            </w:pPr>
            <w:r>
              <w:rPr>
                <w:rFonts w:hint="eastAsia" w:ascii="宋体" w:cs="宋体"/>
                <w:color w:val="000000"/>
                <w:highlight w:val="none"/>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2620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0277B6BE">
            <w:pPr>
              <w:widowControl w:val="0"/>
              <w:spacing w:line="400" w:lineRule="exact"/>
              <w:jc w:val="center"/>
              <w:rPr>
                <w:rFonts w:ascii="宋体" w:cs="宋体"/>
                <w:highlight w:val="none"/>
              </w:rPr>
            </w:pPr>
            <w:r>
              <w:rPr>
                <w:rFonts w:hint="eastAsia" w:ascii="宋体" w:cs="宋体"/>
                <w:highlight w:val="none"/>
              </w:rPr>
              <w:t>5</w:t>
            </w:r>
          </w:p>
        </w:tc>
        <w:tc>
          <w:tcPr>
            <w:tcW w:w="1854" w:type="dxa"/>
            <w:noWrap/>
            <w:vAlign w:val="center"/>
          </w:tcPr>
          <w:p w14:paraId="142E9880">
            <w:pPr>
              <w:widowControl w:val="0"/>
              <w:jc w:val="center"/>
              <w:rPr>
                <w:rFonts w:ascii="宋体" w:cs="宋体"/>
                <w:highlight w:val="none"/>
              </w:rPr>
            </w:pPr>
            <w:r>
              <w:rPr>
                <w:rFonts w:hint="eastAsia" w:ascii="宋体" w:cs="宋体"/>
                <w:highlight w:val="none"/>
              </w:rPr>
              <w:t>转包</w:t>
            </w:r>
          </w:p>
        </w:tc>
        <w:tc>
          <w:tcPr>
            <w:tcW w:w="6391" w:type="dxa"/>
            <w:noWrap/>
            <w:vAlign w:val="center"/>
          </w:tcPr>
          <w:p w14:paraId="72AB6665">
            <w:pPr>
              <w:widowControl w:val="0"/>
              <w:rPr>
                <w:rFonts w:ascii="宋体" w:cs="宋体"/>
                <w:highlight w:val="none"/>
              </w:rPr>
            </w:pPr>
            <w:r>
              <w:rPr>
                <w:rFonts w:hint="eastAsia" w:ascii="宋体" w:cs="宋体"/>
                <w:highlight w:val="none"/>
              </w:rPr>
              <w:t>禁止转包</w:t>
            </w:r>
          </w:p>
        </w:tc>
      </w:tr>
      <w:tr w14:paraId="2A96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25CE9B49">
            <w:pPr>
              <w:widowControl w:val="0"/>
              <w:spacing w:line="400" w:lineRule="exact"/>
              <w:jc w:val="center"/>
              <w:rPr>
                <w:rFonts w:ascii="宋体" w:cs="宋体"/>
                <w:highlight w:val="none"/>
              </w:rPr>
            </w:pPr>
          </w:p>
        </w:tc>
        <w:tc>
          <w:tcPr>
            <w:tcW w:w="1854" w:type="dxa"/>
            <w:noWrap/>
            <w:vAlign w:val="center"/>
          </w:tcPr>
          <w:p w14:paraId="6D610156">
            <w:pPr>
              <w:widowControl w:val="0"/>
              <w:jc w:val="center"/>
              <w:rPr>
                <w:rFonts w:ascii="宋体" w:cs="宋体"/>
                <w:color w:val="000000"/>
                <w:highlight w:val="none"/>
              </w:rPr>
            </w:pPr>
            <w:r>
              <w:rPr>
                <w:rFonts w:hint="eastAsia" w:ascii="宋体" w:cs="宋体"/>
                <w:color w:val="000000"/>
                <w:highlight w:val="none"/>
              </w:rPr>
              <w:t>分包</w:t>
            </w:r>
          </w:p>
        </w:tc>
        <w:tc>
          <w:tcPr>
            <w:tcW w:w="6391" w:type="dxa"/>
            <w:noWrap/>
            <w:vAlign w:val="center"/>
          </w:tcPr>
          <w:p w14:paraId="3572E426">
            <w:pPr>
              <w:widowControl w:val="0"/>
              <w:rPr>
                <w:rFonts w:ascii="宋体" w:cs="宋体"/>
                <w:color w:val="000000"/>
                <w:highlight w:val="none"/>
              </w:rPr>
            </w:pPr>
            <w:r>
              <w:rPr>
                <w:rFonts w:hint="eastAsia" w:ascii="宋体" w:cs="宋体"/>
                <w:color w:val="000000"/>
                <w:highlight w:val="none"/>
              </w:rPr>
              <w:t>1、经采购人同意，中标、成交供应商可以依法采取分包方式履行合同。 政府采购合同分包履行的，中标、成交供应商就采购项目和分包项目向采购人负责，分包供应商就分包项目承担责任。</w:t>
            </w:r>
          </w:p>
          <w:p w14:paraId="69E80683">
            <w:pPr>
              <w:widowControl w:val="0"/>
              <w:rPr>
                <w:rFonts w:ascii="宋体" w:cs="宋体"/>
                <w:color w:val="000000"/>
                <w:highlight w:val="none"/>
              </w:rPr>
            </w:pPr>
            <w:r>
              <w:rPr>
                <w:rFonts w:hint="eastAsia" w:ascii="宋体" w:cs="宋体"/>
                <w:color w:val="000000"/>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D2A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5E5AA97D">
            <w:pPr>
              <w:widowControl w:val="0"/>
              <w:spacing w:line="400" w:lineRule="exact"/>
              <w:jc w:val="center"/>
              <w:rPr>
                <w:rFonts w:ascii="宋体" w:cs="宋体"/>
                <w:highlight w:val="none"/>
              </w:rPr>
            </w:pPr>
            <w:r>
              <w:rPr>
                <w:rFonts w:hint="eastAsia" w:ascii="宋体" w:cs="宋体"/>
                <w:highlight w:val="none"/>
              </w:rPr>
              <w:t>6</w:t>
            </w:r>
          </w:p>
        </w:tc>
        <w:tc>
          <w:tcPr>
            <w:tcW w:w="1854" w:type="dxa"/>
            <w:noWrap/>
            <w:vAlign w:val="center"/>
          </w:tcPr>
          <w:p w14:paraId="4475667C">
            <w:pPr>
              <w:widowControl w:val="0"/>
              <w:jc w:val="center"/>
              <w:rPr>
                <w:rFonts w:ascii="宋体" w:cs="宋体"/>
                <w:color w:val="FF0000"/>
                <w:highlight w:val="none"/>
                <w:lang w:val="zh-TW" w:eastAsia="zh-TW"/>
              </w:rPr>
            </w:pPr>
            <w:r>
              <w:rPr>
                <w:rFonts w:hint="eastAsia" w:ascii="宋体" w:cs="宋体"/>
                <w:highlight w:val="none"/>
              </w:rPr>
              <w:t>踏勘现场</w:t>
            </w:r>
          </w:p>
        </w:tc>
        <w:tc>
          <w:tcPr>
            <w:tcW w:w="6391" w:type="dxa"/>
            <w:noWrap/>
            <w:vAlign w:val="center"/>
          </w:tcPr>
          <w:p w14:paraId="6B8D0205">
            <w:pPr>
              <w:widowControl w:val="0"/>
              <w:rPr>
                <w:rFonts w:ascii="宋体" w:cs="宋体"/>
                <w:color w:val="FF0000"/>
                <w:highlight w:val="none"/>
              </w:rPr>
            </w:pPr>
            <w:r>
              <w:rPr>
                <w:rFonts w:hint="eastAsia" w:ascii="宋体" w:cs="宋体"/>
                <w:color w:val="000000"/>
                <w:highlight w:val="none"/>
              </w:rPr>
              <w:t>不组织</w:t>
            </w:r>
          </w:p>
        </w:tc>
      </w:tr>
      <w:tr w14:paraId="01CA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2DB0F35">
            <w:pPr>
              <w:widowControl w:val="0"/>
              <w:spacing w:line="400" w:lineRule="exact"/>
              <w:jc w:val="center"/>
              <w:rPr>
                <w:rFonts w:ascii="宋体" w:cs="宋体"/>
                <w:highlight w:val="none"/>
              </w:rPr>
            </w:pPr>
            <w:r>
              <w:rPr>
                <w:rFonts w:hint="eastAsia" w:ascii="宋体" w:cs="宋体"/>
                <w:highlight w:val="none"/>
              </w:rPr>
              <w:t>7</w:t>
            </w:r>
          </w:p>
        </w:tc>
        <w:tc>
          <w:tcPr>
            <w:tcW w:w="1854" w:type="dxa"/>
            <w:noWrap/>
            <w:vAlign w:val="center"/>
          </w:tcPr>
          <w:p w14:paraId="4744D37C">
            <w:pPr>
              <w:widowControl w:val="0"/>
              <w:snapToGrid w:val="0"/>
              <w:rPr>
                <w:rFonts w:ascii="宋体" w:cs="宋体"/>
                <w:highlight w:val="none"/>
              </w:rPr>
            </w:pPr>
            <w:r>
              <w:rPr>
                <w:rFonts w:hint="eastAsia" w:ascii="宋体" w:cs="宋体"/>
                <w:color w:val="000000"/>
                <w:highlight w:val="none"/>
              </w:rPr>
              <w:t>投标文件形式、制作及组成</w:t>
            </w:r>
          </w:p>
        </w:tc>
        <w:tc>
          <w:tcPr>
            <w:tcW w:w="6391" w:type="dxa"/>
            <w:noWrap/>
            <w:vAlign w:val="center"/>
          </w:tcPr>
          <w:p w14:paraId="5D854A09">
            <w:pPr>
              <w:widowControl w:val="0"/>
              <w:wordWrap w:val="0"/>
              <w:rPr>
                <w:rFonts w:ascii="宋体" w:cs="宋体"/>
                <w:color w:val="000000"/>
                <w:highlight w:val="none"/>
              </w:rPr>
            </w:pPr>
            <w:r>
              <w:rPr>
                <w:rFonts w:hint="eastAsia" w:ascii="宋体" w:cs="宋体"/>
                <w:color w:val="000000"/>
                <w:highlight w:val="none"/>
              </w:rPr>
              <w:t>投标人应准备电子投标文件：</w:t>
            </w:r>
          </w:p>
          <w:p w14:paraId="17ED908C">
            <w:pPr>
              <w:widowControl w:val="0"/>
              <w:wordWrap w:val="0"/>
              <w:rPr>
                <w:rFonts w:ascii="宋体" w:cs="宋体"/>
                <w:color w:val="000000"/>
                <w:highlight w:val="none"/>
              </w:rPr>
            </w:pPr>
            <w:r>
              <w:rPr>
                <w:rFonts w:hint="eastAsia" w:ascii="宋体" w:cs="宋体"/>
                <w:color w:val="000000"/>
                <w:highlight w:val="none"/>
              </w:rPr>
              <w:t>电子投标文件，按政采云平台供应商项目采购-电子招投标操作指南（网址：https://help.zcygov.cn/web/site_2/2018/12-28/2573.html）及本招标文件要求递交。</w:t>
            </w:r>
          </w:p>
        </w:tc>
      </w:tr>
      <w:tr w14:paraId="4356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7FFD7C1">
            <w:pPr>
              <w:widowControl w:val="0"/>
              <w:spacing w:line="400" w:lineRule="exact"/>
              <w:jc w:val="center"/>
              <w:rPr>
                <w:rFonts w:ascii="宋体" w:cs="宋体"/>
                <w:highlight w:val="none"/>
              </w:rPr>
            </w:pPr>
            <w:r>
              <w:rPr>
                <w:rFonts w:hint="eastAsia" w:ascii="宋体" w:cs="宋体"/>
                <w:highlight w:val="none"/>
              </w:rPr>
              <w:t>8</w:t>
            </w:r>
          </w:p>
        </w:tc>
        <w:tc>
          <w:tcPr>
            <w:tcW w:w="1854" w:type="dxa"/>
            <w:noWrap/>
            <w:vAlign w:val="center"/>
          </w:tcPr>
          <w:p w14:paraId="7778A3F9">
            <w:pPr>
              <w:widowControl w:val="0"/>
              <w:snapToGrid w:val="0"/>
              <w:rPr>
                <w:rFonts w:ascii="宋体" w:cs="宋体"/>
                <w:highlight w:val="none"/>
              </w:rPr>
            </w:pPr>
            <w:r>
              <w:rPr>
                <w:rFonts w:hint="eastAsia" w:ascii="宋体" w:cs="宋体"/>
                <w:color w:val="000000"/>
                <w:highlight w:val="none"/>
              </w:rPr>
              <w:t>电子投标文件的传输递交</w:t>
            </w:r>
          </w:p>
        </w:tc>
        <w:tc>
          <w:tcPr>
            <w:tcW w:w="6391" w:type="dxa"/>
            <w:noWrap/>
            <w:vAlign w:val="center"/>
          </w:tcPr>
          <w:p w14:paraId="698F0E07">
            <w:pPr>
              <w:widowControl w:val="0"/>
              <w:snapToGrid w:val="0"/>
              <w:spacing w:before="120" w:after="120"/>
              <w:rPr>
                <w:rFonts w:ascii="宋体" w:cs="宋体"/>
                <w:color w:val="000000"/>
                <w:highlight w:val="none"/>
              </w:rPr>
            </w:pPr>
            <w:r>
              <w:rPr>
                <w:rFonts w:hint="eastAsia" w:ascii="宋体" w:cs="宋体"/>
                <w:color w:val="000000"/>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F8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C18155E">
            <w:pPr>
              <w:widowControl w:val="0"/>
              <w:spacing w:line="400" w:lineRule="exact"/>
              <w:jc w:val="center"/>
              <w:rPr>
                <w:rFonts w:ascii="宋体" w:cs="宋体"/>
                <w:highlight w:val="none"/>
              </w:rPr>
            </w:pPr>
            <w:r>
              <w:rPr>
                <w:rFonts w:hint="eastAsia" w:ascii="宋体" w:cs="宋体"/>
                <w:highlight w:val="none"/>
              </w:rPr>
              <w:t>9</w:t>
            </w:r>
          </w:p>
        </w:tc>
        <w:tc>
          <w:tcPr>
            <w:tcW w:w="1854" w:type="dxa"/>
            <w:noWrap/>
            <w:vAlign w:val="center"/>
          </w:tcPr>
          <w:p w14:paraId="3F4B773A">
            <w:pPr>
              <w:widowControl w:val="0"/>
              <w:jc w:val="center"/>
              <w:rPr>
                <w:rFonts w:ascii="宋体" w:cs="宋体"/>
                <w:highlight w:val="none"/>
              </w:rPr>
            </w:pPr>
            <w:r>
              <w:rPr>
                <w:rFonts w:hint="eastAsia" w:ascii="宋体" w:cs="宋体"/>
                <w:highlight w:val="none"/>
              </w:rPr>
              <w:t>投标截止时间：</w:t>
            </w:r>
          </w:p>
        </w:tc>
        <w:tc>
          <w:tcPr>
            <w:tcW w:w="6391" w:type="dxa"/>
            <w:noWrap/>
            <w:vAlign w:val="center"/>
          </w:tcPr>
          <w:p w14:paraId="027039C8">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7</w:t>
            </w:r>
            <w:r>
              <w:rPr>
                <w:rFonts w:hint="eastAsia" w:ascii="宋体" w:cs="宋体"/>
                <w:color w:val="FF0000"/>
                <w:highlight w:val="none"/>
              </w:rPr>
              <w:t>月</w:t>
            </w:r>
            <w:r>
              <w:rPr>
                <w:rFonts w:hint="eastAsia" w:ascii="宋体" w:cs="宋体"/>
                <w:color w:val="FF0000"/>
                <w:highlight w:val="none"/>
                <w:lang w:val="en-US" w:eastAsia="zh-CN"/>
              </w:rPr>
              <w:t>18</w:t>
            </w:r>
            <w:bookmarkStart w:id="34" w:name="_GoBack"/>
            <w:bookmarkEnd w:id="34"/>
            <w:r>
              <w:rPr>
                <w:rFonts w:hint="eastAsia" w:ascii="宋体" w:cs="宋体"/>
                <w:color w:val="FF0000"/>
                <w:highlight w:val="none"/>
              </w:rPr>
              <w:t>日上午09:30</w:t>
            </w:r>
          </w:p>
        </w:tc>
      </w:tr>
      <w:tr w14:paraId="06FF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D0A1997">
            <w:pPr>
              <w:widowControl w:val="0"/>
              <w:spacing w:line="400" w:lineRule="exact"/>
              <w:jc w:val="center"/>
              <w:rPr>
                <w:rFonts w:ascii="宋体" w:cs="宋体"/>
                <w:highlight w:val="none"/>
              </w:rPr>
            </w:pPr>
            <w:r>
              <w:rPr>
                <w:rFonts w:hint="eastAsia" w:ascii="宋体" w:cs="宋体"/>
                <w:highlight w:val="none"/>
              </w:rPr>
              <w:t>10</w:t>
            </w:r>
          </w:p>
        </w:tc>
        <w:tc>
          <w:tcPr>
            <w:tcW w:w="1854" w:type="dxa"/>
            <w:noWrap/>
            <w:vAlign w:val="center"/>
          </w:tcPr>
          <w:p w14:paraId="702532F0">
            <w:pPr>
              <w:widowControl w:val="0"/>
              <w:jc w:val="center"/>
              <w:rPr>
                <w:rFonts w:ascii="宋体" w:cs="宋体"/>
                <w:color w:val="000000"/>
                <w:highlight w:val="none"/>
              </w:rPr>
            </w:pPr>
            <w:r>
              <w:rPr>
                <w:rFonts w:hint="eastAsia" w:ascii="宋体" w:cs="宋体"/>
                <w:highlight w:val="none"/>
              </w:rPr>
              <w:t>开标时间：</w:t>
            </w:r>
          </w:p>
        </w:tc>
        <w:tc>
          <w:tcPr>
            <w:tcW w:w="6391" w:type="dxa"/>
            <w:noWrap/>
            <w:vAlign w:val="center"/>
          </w:tcPr>
          <w:p w14:paraId="30351882">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7</w:t>
            </w:r>
            <w:r>
              <w:rPr>
                <w:rFonts w:hint="eastAsia" w:ascii="宋体" w:cs="宋体"/>
                <w:color w:val="FF0000"/>
                <w:highlight w:val="none"/>
              </w:rPr>
              <w:t>月</w:t>
            </w:r>
            <w:r>
              <w:rPr>
                <w:rFonts w:hint="eastAsia" w:ascii="宋体" w:cs="宋体"/>
                <w:color w:val="FF0000"/>
                <w:highlight w:val="none"/>
                <w:lang w:val="en-US" w:eastAsia="zh-CN"/>
              </w:rPr>
              <w:t>18</w:t>
            </w:r>
            <w:r>
              <w:rPr>
                <w:rFonts w:hint="eastAsia" w:ascii="宋体" w:cs="宋体"/>
                <w:color w:val="FF0000"/>
                <w:highlight w:val="none"/>
              </w:rPr>
              <w:t>日上午09:30</w:t>
            </w:r>
          </w:p>
        </w:tc>
      </w:tr>
      <w:tr w14:paraId="4923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8F7F0AF">
            <w:pPr>
              <w:widowControl w:val="0"/>
              <w:spacing w:line="400" w:lineRule="exact"/>
              <w:jc w:val="center"/>
              <w:rPr>
                <w:rFonts w:ascii="宋体" w:cs="宋体"/>
                <w:highlight w:val="none"/>
              </w:rPr>
            </w:pPr>
            <w:r>
              <w:rPr>
                <w:rFonts w:hint="eastAsia" w:ascii="宋体" w:cs="宋体"/>
                <w:highlight w:val="none"/>
              </w:rPr>
              <w:t>11</w:t>
            </w:r>
          </w:p>
        </w:tc>
        <w:tc>
          <w:tcPr>
            <w:tcW w:w="1854" w:type="dxa"/>
            <w:noWrap/>
            <w:vAlign w:val="center"/>
          </w:tcPr>
          <w:p w14:paraId="6CFBED98">
            <w:pPr>
              <w:widowControl w:val="0"/>
              <w:jc w:val="center"/>
              <w:rPr>
                <w:rFonts w:ascii="宋体" w:cs="宋体"/>
                <w:color w:val="000000"/>
                <w:highlight w:val="none"/>
              </w:rPr>
            </w:pPr>
            <w:r>
              <w:rPr>
                <w:rFonts w:hint="eastAsia" w:ascii="宋体" w:cs="宋体"/>
                <w:highlight w:val="none"/>
              </w:rPr>
              <w:t>开标地点：</w:t>
            </w:r>
          </w:p>
        </w:tc>
        <w:tc>
          <w:tcPr>
            <w:tcW w:w="6391" w:type="dxa"/>
            <w:noWrap/>
            <w:vAlign w:val="center"/>
          </w:tcPr>
          <w:p w14:paraId="784BD673">
            <w:pPr>
              <w:widowControl w:val="0"/>
              <w:rPr>
                <w:rFonts w:ascii="宋体" w:cs="宋体"/>
                <w:color w:val="000000"/>
                <w:highlight w:val="none"/>
              </w:rPr>
            </w:pPr>
            <w:r>
              <w:rPr>
                <w:rFonts w:hint="eastAsia" w:ascii="宋体" w:cs="宋体"/>
                <w:highlight w:val="none"/>
              </w:rPr>
              <w:t>金华市政府采购中心永康市分中心</w:t>
            </w:r>
          </w:p>
        </w:tc>
      </w:tr>
      <w:tr w14:paraId="4221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1BB5620">
            <w:pPr>
              <w:widowControl w:val="0"/>
              <w:spacing w:line="400" w:lineRule="exact"/>
              <w:jc w:val="center"/>
              <w:rPr>
                <w:rFonts w:ascii="宋体" w:cs="宋体"/>
                <w:highlight w:val="none"/>
              </w:rPr>
            </w:pPr>
            <w:r>
              <w:rPr>
                <w:rFonts w:hint="eastAsia" w:ascii="宋体" w:cs="宋体"/>
                <w:highlight w:val="none"/>
              </w:rPr>
              <w:t>12</w:t>
            </w:r>
          </w:p>
        </w:tc>
        <w:tc>
          <w:tcPr>
            <w:tcW w:w="1854" w:type="dxa"/>
            <w:noWrap/>
            <w:vAlign w:val="center"/>
          </w:tcPr>
          <w:p w14:paraId="02FDCEDB">
            <w:pPr>
              <w:widowControl w:val="0"/>
              <w:jc w:val="center"/>
              <w:rPr>
                <w:rFonts w:ascii="宋体" w:cs="宋体"/>
                <w:highlight w:val="none"/>
              </w:rPr>
            </w:pPr>
            <w:r>
              <w:rPr>
                <w:rFonts w:hint="eastAsia" w:ascii="宋体" w:cs="宋体"/>
                <w:highlight w:val="none"/>
              </w:rPr>
              <w:t>评分办法和中标标准：</w:t>
            </w:r>
          </w:p>
        </w:tc>
        <w:tc>
          <w:tcPr>
            <w:tcW w:w="6391" w:type="dxa"/>
            <w:noWrap/>
            <w:vAlign w:val="center"/>
          </w:tcPr>
          <w:p w14:paraId="28F4A706">
            <w:pPr>
              <w:widowControl w:val="0"/>
              <w:rPr>
                <w:rFonts w:ascii="宋体" w:cs="宋体"/>
                <w:highlight w:val="none"/>
              </w:rPr>
            </w:pPr>
            <w:r>
              <w:rPr>
                <w:rFonts w:hint="eastAsia" w:ascii="宋体" w:cs="宋体"/>
                <w:highlight w:val="none"/>
              </w:rPr>
              <w:t>见第三章</w:t>
            </w:r>
          </w:p>
        </w:tc>
      </w:tr>
      <w:tr w14:paraId="52F4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8460BF9">
            <w:pPr>
              <w:widowControl w:val="0"/>
              <w:spacing w:line="400" w:lineRule="exact"/>
              <w:jc w:val="center"/>
              <w:rPr>
                <w:rFonts w:ascii="宋体" w:cs="宋体"/>
                <w:highlight w:val="none"/>
              </w:rPr>
            </w:pPr>
            <w:r>
              <w:rPr>
                <w:rFonts w:hint="eastAsia" w:ascii="宋体" w:cs="宋体"/>
                <w:highlight w:val="none"/>
              </w:rPr>
              <w:t>13</w:t>
            </w:r>
          </w:p>
        </w:tc>
        <w:tc>
          <w:tcPr>
            <w:tcW w:w="1854" w:type="dxa"/>
            <w:noWrap/>
            <w:vAlign w:val="center"/>
          </w:tcPr>
          <w:p w14:paraId="45393D21">
            <w:pPr>
              <w:widowControl w:val="0"/>
              <w:spacing w:line="380" w:lineRule="exact"/>
              <w:rPr>
                <w:rFonts w:ascii="宋体" w:cs="宋体"/>
                <w:highlight w:val="none"/>
              </w:rPr>
            </w:pPr>
            <w:r>
              <w:rPr>
                <w:rFonts w:hint="eastAsia" w:ascii="宋体" w:cs="宋体"/>
                <w:highlight w:val="none"/>
              </w:rPr>
              <w:t>采购公告，更正公告，中标公示发布网址</w:t>
            </w:r>
          </w:p>
        </w:tc>
        <w:tc>
          <w:tcPr>
            <w:tcW w:w="6391" w:type="dxa"/>
            <w:noWrap/>
            <w:vAlign w:val="center"/>
          </w:tcPr>
          <w:p w14:paraId="074940E9">
            <w:pPr>
              <w:widowControl w:val="0"/>
              <w:snapToGrid w:val="0"/>
              <w:spacing w:line="380" w:lineRule="exact"/>
              <w:rPr>
                <w:rFonts w:ascii="宋体" w:cs="宋体"/>
                <w:highlight w:val="none"/>
              </w:rPr>
            </w:pPr>
            <w:r>
              <w:rPr>
                <w:rFonts w:hint="eastAsia" w:ascii="宋体" w:cs="宋体"/>
                <w:highlight w:val="none"/>
              </w:rPr>
              <w:t>http://zfcg.czt.zj.gov.cn/（浙江省政府采购网）</w:t>
            </w:r>
          </w:p>
        </w:tc>
      </w:tr>
      <w:tr w14:paraId="5511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8B25B23">
            <w:pPr>
              <w:widowControl w:val="0"/>
              <w:spacing w:line="400" w:lineRule="exact"/>
              <w:jc w:val="center"/>
              <w:rPr>
                <w:rFonts w:ascii="宋体" w:cs="宋体"/>
                <w:highlight w:val="none"/>
              </w:rPr>
            </w:pPr>
            <w:r>
              <w:rPr>
                <w:rFonts w:hint="eastAsia" w:ascii="宋体" w:cs="宋体"/>
                <w:highlight w:val="none"/>
              </w:rPr>
              <w:t>14</w:t>
            </w:r>
          </w:p>
        </w:tc>
        <w:tc>
          <w:tcPr>
            <w:tcW w:w="1854" w:type="dxa"/>
            <w:noWrap/>
            <w:vAlign w:val="center"/>
          </w:tcPr>
          <w:p w14:paraId="453D5913">
            <w:pPr>
              <w:widowControl w:val="0"/>
              <w:jc w:val="center"/>
              <w:rPr>
                <w:rFonts w:ascii="宋体" w:cs="宋体"/>
                <w:color w:val="FF0000"/>
                <w:highlight w:val="none"/>
              </w:rPr>
            </w:pPr>
            <w:r>
              <w:rPr>
                <w:rFonts w:hint="eastAsia" w:ascii="宋体" w:cs="宋体"/>
                <w:highlight w:val="none"/>
              </w:rPr>
              <w:t>中标结果公示：</w:t>
            </w:r>
          </w:p>
        </w:tc>
        <w:tc>
          <w:tcPr>
            <w:tcW w:w="6391" w:type="dxa"/>
            <w:noWrap/>
            <w:vAlign w:val="center"/>
          </w:tcPr>
          <w:p w14:paraId="07675D81">
            <w:pPr>
              <w:widowControl w:val="0"/>
              <w:rPr>
                <w:rFonts w:ascii="宋体" w:cs="宋体"/>
                <w:color w:val="FF0000"/>
                <w:highlight w:val="none"/>
              </w:rPr>
            </w:pPr>
            <w:r>
              <w:rPr>
                <w:rFonts w:hint="eastAsia" w:ascii="宋体" w:cs="宋体"/>
                <w:highlight w:val="none"/>
              </w:rPr>
              <w:t>中标结果公示在政府采购网http://zfcg.czt.zj.gov.cn。公示期满后，如无有效质疑和投诉，向中标人发出中标通知书。</w:t>
            </w:r>
          </w:p>
        </w:tc>
      </w:tr>
      <w:tr w14:paraId="4F54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C81C65A">
            <w:pPr>
              <w:widowControl w:val="0"/>
              <w:jc w:val="center"/>
              <w:rPr>
                <w:rFonts w:ascii="宋体" w:cs="宋体"/>
                <w:highlight w:val="none"/>
              </w:rPr>
            </w:pPr>
            <w:r>
              <w:rPr>
                <w:rFonts w:hint="eastAsia" w:ascii="宋体" w:cs="宋体"/>
                <w:highlight w:val="none"/>
              </w:rPr>
              <w:t>15</w:t>
            </w:r>
          </w:p>
        </w:tc>
        <w:tc>
          <w:tcPr>
            <w:tcW w:w="1854" w:type="dxa"/>
            <w:noWrap/>
            <w:vAlign w:val="center"/>
          </w:tcPr>
          <w:p w14:paraId="461F53F1">
            <w:pPr>
              <w:widowControl w:val="0"/>
              <w:jc w:val="center"/>
              <w:rPr>
                <w:rFonts w:ascii="宋体" w:cs="宋体"/>
                <w:highlight w:val="none"/>
              </w:rPr>
            </w:pPr>
            <w:r>
              <w:rPr>
                <w:rFonts w:hint="eastAsia" w:ascii="宋体" w:cs="宋体"/>
                <w:highlight w:val="none"/>
              </w:rPr>
              <w:t>信用记录</w:t>
            </w:r>
          </w:p>
        </w:tc>
        <w:tc>
          <w:tcPr>
            <w:tcW w:w="6391" w:type="dxa"/>
            <w:noWrap/>
            <w:vAlign w:val="center"/>
          </w:tcPr>
          <w:p w14:paraId="4451987F">
            <w:pPr>
              <w:widowControl w:val="0"/>
              <w:rPr>
                <w:rFonts w:ascii="宋体" w:cs="宋体"/>
                <w:highlight w:val="none"/>
              </w:rPr>
            </w:pPr>
            <w:r>
              <w:rPr>
                <w:rFonts w:hint="eastAsia" w:ascii="宋体" w:cs="宋体"/>
                <w:color w:val="000000"/>
                <w:highlight w:val="none"/>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6B51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F771A17">
            <w:pPr>
              <w:widowControl w:val="0"/>
              <w:jc w:val="center"/>
              <w:rPr>
                <w:rFonts w:ascii="宋体" w:cs="宋体"/>
                <w:highlight w:val="none"/>
              </w:rPr>
            </w:pPr>
            <w:r>
              <w:rPr>
                <w:rFonts w:hint="eastAsia" w:ascii="宋体" w:cs="宋体"/>
                <w:highlight w:val="none"/>
              </w:rPr>
              <w:t>16</w:t>
            </w:r>
          </w:p>
        </w:tc>
        <w:tc>
          <w:tcPr>
            <w:tcW w:w="1854" w:type="dxa"/>
            <w:noWrap/>
            <w:vAlign w:val="center"/>
          </w:tcPr>
          <w:p w14:paraId="7555D8B8">
            <w:pPr>
              <w:widowControl w:val="0"/>
              <w:spacing w:line="380" w:lineRule="exact"/>
              <w:jc w:val="center"/>
              <w:rPr>
                <w:rFonts w:ascii="宋体" w:cs="宋体"/>
                <w:highlight w:val="none"/>
              </w:rPr>
            </w:pPr>
            <w:r>
              <w:rPr>
                <w:rFonts w:hint="eastAsia" w:ascii="宋体" w:cs="宋体"/>
                <w:color w:val="000000"/>
                <w:highlight w:val="none"/>
              </w:rPr>
              <w:t>注意事项</w:t>
            </w:r>
          </w:p>
        </w:tc>
        <w:tc>
          <w:tcPr>
            <w:tcW w:w="6391" w:type="dxa"/>
            <w:noWrap/>
            <w:vAlign w:val="center"/>
          </w:tcPr>
          <w:p w14:paraId="7A20825A">
            <w:pPr>
              <w:widowControl w:val="0"/>
              <w:snapToGrid w:val="0"/>
              <w:spacing w:line="380" w:lineRule="exact"/>
              <w:rPr>
                <w:rFonts w:ascii="宋体" w:cs="宋体"/>
                <w:highlight w:val="none"/>
              </w:rPr>
            </w:pPr>
            <w:r>
              <w:rPr>
                <w:rFonts w:hint="eastAsia" w:ascii="宋体" w:cs="宋体"/>
                <w:color w:val="000000"/>
                <w:highlight w:val="none"/>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6FF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571C44B">
            <w:pPr>
              <w:pStyle w:val="160"/>
              <w:spacing w:line="460" w:lineRule="exact"/>
              <w:ind w:firstLine="0" w:firstLineChars="0"/>
              <w:jc w:val="center"/>
              <w:rPr>
                <w:rFonts w:cs="宋体"/>
                <w:highlight w:val="none"/>
              </w:rPr>
            </w:pPr>
            <w:r>
              <w:rPr>
                <w:rFonts w:hint="eastAsia" w:hAnsi="宋体" w:cs="宋体"/>
                <w:kern w:val="2"/>
                <w:sz w:val="21"/>
                <w:highlight w:val="none"/>
              </w:rPr>
              <w:t>17</w:t>
            </w:r>
          </w:p>
        </w:tc>
        <w:tc>
          <w:tcPr>
            <w:tcW w:w="1854" w:type="dxa"/>
            <w:noWrap/>
            <w:vAlign w:val="center"/>
          </w:tcPr>
          <w:p w14:paraId="749CEB2D">
            <w:pPr>
              <w:widowControl w:val="0"/>
              <w:snapToGrid w:val="0"/>
              <w:spacing w:line="380" w:lineRule="exact"/>
              <w:rPr>
                <w:rFonts w:ascii="宋体" w:cs="宋体"/>
                <w:color w:val="000000"/>
                <w:highlight w:val="none"/>
              </w:rPr>
            </w:pPr>
            <w:r>
              <w:rPr>
                <w:rFonts w:hint="eastAsia" w:ascii="宋体" w:cs="宋体"/>
                <w:highlight w:val="none"/>
              </w:rPr>
              <w:t>节能产品</w:t>
            </w:r>
          </w:p>
        </w:tc>
        <w:tc>
          <w:tcPr>
            <w:tcW w:w="6391" w:type="dxa"/>
            <w:noWrap/>
            <w:vAlign w:val="center"/>
          </w:tcPr>
          <w:p w14:paraId="3CBB4E6A">
            <w:pPr>
              <w:widowControl w:val="0"/>
              <w:snapToGrid w:val="0"/>
              <w:spacing w:line="380" w:lineRule="exact"/>
              <w:rPr>
                <w:rFonts w:ascii="宋体" w:cs="宋体"/>
                <w:highlight w:val="none"/>
              </w:rPr>
            </w:pPr>
            <w:r>
              <w:rPr>
                <w:rFonts w:hint="eastAsia" w:ascii="宋体" w:cs="宋体"/>
                <w:highlight w:val="none"/>
              </w:rPr>
              <w:t>□ 强制采购节能产品</w:t>
            </w:r>
          </w:p>
          <w:p w14:paraId="7EA4CCBA">
            <w:pPr>
              <w:widowControl w:val="0"/>
              <w:snapToGrid w:val="0"/>
              <w:spacing w:line="380" w:lineRule="exact"/>
              <w:rPr>
                <w:rFonts w:ascii="宋体" w:cs="宋体"/>
                <w:highlight w:val="none"/>
              </w:rPr>
            </w:pPr>
            <w:r>
              <w:rPr>
                <w:rFonts w:hint="eastAsia" w:ascii="宋体" w:cs="宋体"/>
                <w:highlight w:val="none"/>
              </w:rPr>
              <w:t>☑  优先采购节能产品</w:t>
            </w:r>
          </w:p>
          <w:p w14:paraId="4B2A7B47">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r w14:paraId="09B7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AF19DFF">
            <w:pPr>
              <w:pStyle w:val="160"/>
              <w:spacing w:line="460" w:lineRule="exact"/>
              <w:ind w:firstLine="0" w:firstLineChars="0"/>
              <w:jc w:val="center"/>
              <w:rPr>
                <w:rFonts w:cs="宋体"/>
                <w:highlight w:val="none"/>
              </w:rPr>
            </w:pPr>
            <w:r>
              <w:rPr>
                <w:rFonts w:hint="eastAsia" w:hAnsi="宋体" w:cs="宋体"/>
                <w:kern w:val="2"/>
                <w:sz w:val="21"/>
                <w:highlight w:val="none"/>
              </w:rPr>
              <w:t>18</w:t>
            </w:r>
          </w:p>
        </w:tc>
        <w:tc>
          <w:tcPr>
            <w:tcW w:w="1854" w:type="dxa"/>
            <w:noWrap/>
            <w:vAlign w:val="center"/>
          </w:tcPr>
          <w:p w14:paraId="64A3C8F8">
            <w:pPr>
              <w:widowControl w:val="0"/>
              <w:snapToGrid w:val="0"/>
              <w:spacing w:line="380" w:lineRule="exact"/>
              <w:rPr>
                <w:rFonts w:ascii="宋体" w:cs="宋体"/>
                <w:color w:val="000000"/>
                <w:highlight w:val="none"/>
              </w:rPr>
            </w:pPr>
            <w:r>
              <w:rPr>
                <w:rFonts w:hint="eastAsia" w:ascii="宋体" w:cs="宋体"/>
                <w:highlight w:val="none"/>
              </w:rPr>
              <w:t>环境标志产品</w:t>
            </w:r>
          </w:p>
        </w:tc>
        <w:tc>
          <w:tcPr>
            <w:tcW w:w="6391" w:type="dxa"/>
            <w:noWrap/>
            <w:vAlign w:val="center"/>
          </w:tcPr>
          <w:p w14:paraId="7A2FA8DF">
            <w:pPr>
              <w:widowControl w:val="0"/>
              <w:snapToGrid w:val="0"/>
              <w:spacing w:line="380" w:lineRule="exact"/>
              <w:rPr>
                <w:rFonts w:ascii="宋体" w:cs="宋体"/>
                <w:highlight w:val="none"/>
              </w:rPr>
            </w:pPr>
            <w:r>
              <w:rPr>
                <w:rFonts w:hint="eastAsia" w:ascii="宋体" w:cs="宋体"/>
                <w:highlight w:val="none"/>
              </w:rPr>
              <w:t>☑ 优先采购环境标志产品</w:t>
            </w:r>
          </w:p>
          <w:p w14:paraId="3096FA42">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bl>
    <w:p w14:paraId="273D9039">
      <w:pPr>
        <w:widowControl w:val="0"/>
        <w:spacing w:line="400" w:lineRule="exact"/>
        <w:rPr>
          <w:rFonts w:ascii="宋体" w:cs="宋体"/>
          <w:sz w:val="24"/>
          <w:szCs w:val="24"/>
          <w:highlight w:val="none"/>
        </w:rPr>
      </w:pPr>
      <w:r>
        <w:rPr>
          <w:rFonts w:hint="eastAsia" w:ascii="宋体" w:cs="宋体"/>
          <w:b/>
          <w:bCs/>
          <w:sz w:val="32"/>
          <w:szCs w:val="32"/>
          <w:highlight w:val="none"/>
        </w:rPr>
        <w:br w:type="page"/>
      </w:r>
    </w:p>
    <w:p w14:paraId="7DADE029">
      <w:pPr>
        <w:widowControl w:val="0"/>
        <w:spacing w:line="500" w:lineRule="exact"/>
        <w:ind w:firstLine="994" w:firstLineChars="225"/>
        <w:jc w:val="center"/>
        <w:rPr>
          <w:rFonts w:ascii="宋体" w:cs="宋体"/>
          <w:b/>
          <w:bCs/>
          <w:color w:val="000000"/>
          <w:sz w:val="44"/>
          <w:szCs w:val="44"/>
          <w:highlight w:val="none"/>
        </w:rPr>
      </w:pPr>
      <w:r>
        <w:rPr>
          <w:rFonts w:hint="eastAsia" w:ascii="宋体" w:cs="宋体"/>
          <w:b/>
          <w:bCs/>
          <w:color w:val="000000"/>
          <w:sz w:val="44"/>
          <w:szCs w:val="44"/>
          <w:highlight w:val="none"/>
        </w:rPr>
        <w:t>投标人须知</w:t>
      </w:r>
    </w:p>
    <w:p w14:paraId="53D6BC26">
      <w:pPr>
        <w:widowControl w:val="0"/>
        <w:spacing w:line="380" w:lineRule="exact"/>
        <w:ind w:firstLine="723" w:firstLineChars="225"/>
        <w:jc w:val="center"/>
        <w:rPr>
          <w:rFonts w:ascii="宋体" w:cs="宋体"/>
          <w:b/>
          <w:bCs/>
          <w:color w:val="000000"/>
          <w:sz w:val="32"/>
          <w:szCs w:val="32"/>
          <w:highlight w:val="none"/>
        </w:rPr>
      </w:pPr>
    </w:p>
    <w:p w14:paraId="04912D24">
      <w:pPr>
        <w:widowControl w:val="0"/>
        <w:spacing w:line="380" w:lineRule="exact"/>
        <w:ind w:firstLine="723" w:firstLineChars="225"/>
        <w:jc w:val="center"/>
        <w:rPr>
          <w:rFonts w:ascii="宋体" w:cs="宋体"/>
          <w:b/>
          <w:bCs/>
          <w:color w:val="000000"/>
          <w:sz w:val="32"/>
          <w:szCs w:val="32"/>
          <w:highlight w:val="none"/>
        </w:rPr>
      </w:pPr>
      <w:r>
        <w:rPr>
          <w:rFonts w:hint="eastAsia" w:ascii="宋体" w:cs="宋体"/>
          <w:b/>
          <w:bCs/>
          <w:color w:val="000000"/>
          <w:sz w:val="32"/>
          <w:szCs w:val="32"/>
          <w:highlight w:val="none"/>
        </w:rPr>
        <w:t>一、总则</w:t>
      </w:r>
    </w:p>
    <w:p w14:paraId="6620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1、适用范围</w:t>
      </w:r>
    </w:p>
    <w:p w14:paraId="6F8CB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仅适用于本次招标文件中采购项目的招标、投标、评标、定标、验收、合同履约、付款等行为（法律、法规另有规定的，从其规定）。</w:t>
      </w:r>
    </w:p>
    <w:p w14:paraId="29D50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2、定义</w:t>
      </w:r>
    </w:p>
    <w:p w14:paraId="12370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2.1“采购人”系指</w:t>
      </w:r>
      <w:r>
        <w:rPr>
          <w:rFonts w:hint="eastAsia" w:ascii="宋体" w:cs="宋体"/>
          <w:color w:val="FF0000"/>
          <w:kern w:val="0"/>
          <w:sz w:val="24"/>
          <w:szCs w:val="24"/>
          <w:highlight w:val="none"/>
        </w:rPr>
        <w:t>永康市大数据发展中心</w:t>
      </w:r>
      <w:r>
        <w:rPr>
          <w:rFonts w:hint="eastAsia" w:ascii="宋体" w:cs="宋体"/>
          <w:kern w:val="0"/>
          <w:sz w:val="24"/>
          <w:szCs w:val="24"/>
          <w:highlight w:val="none"/>
        </w:rPr>
        <w:t>。</w:t>
      </w:r>
    </w:p>
    <w:p w14:paraId="57E3A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2.2“投标人”系指向采购代理机构提交投标文件的供应商。</w:t>
      </w:r>
    </w:p>
    <w:p w14:paraId="02E1A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2.3“采购代理机构”系指组织本次招标的金华市政府采购中心永康市分中心。</w:t>
      </w:r>
    </w:p>
    <w:p w14:paraId="2E81D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2.4“货物”指招标文件规定投标人须向采购人提供的一切材料、设备、机械、仪器仪表、工具及其它有关技术资料和文字材料。</w:t>
      </w:r>
    </w:p>
    <w:p w14:paraId="6EE7A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2.5“服务”系指招标文件规定供方须承担的运输、设计、安装、调试、维护、培训、技术服务、及其它类似服务。</w:t>
      </w:r>
    </w:p>
    <w:p w14:paraId="6F3EC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2.6需方：即</w:t>
      </w:r>
      <w:r>
        <w:rPr>
          <w:rFonts w:hint="eastAsia" w:ascii="宋体" w:cs="宋体"/>
          <w:color w:val="FF0000"/>
          <w:kern w:val="0"/>
          <w:sz w:val="24"/>
          <w:szCs w:val="24"/>
          <w:highlight w:val="none"/>
        </w:rPr>
        <w:t>永康市大数据发展中心</w:t>
      </w:r>
      <w:r>
        <w:rPr>
          <w:rFonts w:hint="eastAsia" w:ascii="宋体" w:cs="宋体"/>
          <w:kern w:val="0"/>
          <w:sz w:val="24"/>
          <w:szCs w:val="24"/>
          <w:highlight w:val="none"/>
        </w:rPr>
        <w:t>，在招投标阶段称为采购人，在签订和执行合同阶段称为需方。</w:t>
      </w:r>
    </w:p>
    <w:p w14:paraId="6BB1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2.7供方：在招投标阶段称为投标人，中标后在签订和执行合同阶段称为供方。</w:t>
      </w:r>
    </w:p>
    <w:p w14:paraId="75D4FDD5">
      <w:pPr>
        <w:spacing w:line="360" w:lineRule="auto"/>
        <w:rPr>
          <w:rFonts w:ascii="宋体" w:cs="宋体"/>
          <w:highlight w:val="none"/>
        </w:rPr>
      </w:pPr>
      <w:r>
        <w:rPr>
          <w:rFonts w:hint="eastAsia" w:ascii="宋体" w:cs="宋体"/>
          <w:kern w:val="0"/>
          <w:sz w:val="24"/>
          <w:szCs w:val="24"/>
          <w:highlight w:val="none"/>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91756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投标人及委托有关说明</w:t>
      </w:r>
    </w:p>
    <w:p w14:paraId="3D91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highlight w:val="none"/>
        </w:rPr>
      </w:pPr>
      <w:r>
        <w:rPr>
          <w:rFonts w:hint="eastAsia" w:ascii="宋体" w:cs="宋体"/>
          <w:kern w:val="0"/>
          <w:sz w:val="24"/>
          <w:szCs w:val="24"/>
          <w:highlight w:val="none"/>
        </w:rPr>
        <w:t>3.1.如授权代表不是法定代表人，须有法定代表人出具的授权委托书（格式见附件）。</w:t>
      </w:r>
    </w:p>
    <w:p w14:paraId="16EF1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3.2.投标人投标所使用的资格、信誉、荣誉、业绩与企业认证必须为本法人所拥有。投标人投标所使用的采购项目实施人员必须为投标人员工（或投标人控股公司正式员工）。</w:t>
      </w:r>
    </w:p>
    <w:p w14:paraId="545C6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3.3.单位负责人为同一人或者存在直接控股、管理关系的不同供应商，不得参加同一合同项下的政府采购活动。</w:t>
      </w:r>
    </w:p>
    <w:p w14:paraId="3C854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3.4.投标人应仔细阅读招标文件的所有内容，按照招标文件的要求提交投标文件，并对所提供的全部资料的真实性承担法律责任。</w:t>
      </w:r>
    </w:p>
    <w:p w14:paraId="6A9DF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4、投标费用</w:t>
      </w:r>
    </w:p>
    <w:p w14:paraId="5A84B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4.1不论投标结果如何，投标人均应自行承担所有与投标有关的全部费用（招标文件有其他相反规定除外）。</w:t>
      </w:r>
    </w:p>
    <w:p w14:paraId="58265355">
      <w:pPr>
        <w:widowControl w:val="0"/>
        <w:rPr>
          <w:rFonts w:ascii="宋体" w:cs="宋体"/>
          <w:b/>
          <w:bCs/>
          <w:color w:val="000000"/>
          <w:sz w:val="24"/>
          <w:szCs w:val="24"/>
          <w:highlight w:val="none"/>
        </w:rPr>
      </w:pPr>
      <w:r>
        <w:rPr>
          <w:rFonts w:hint="eastAsia" w:ascii="宋体" w:cs="宋体"/>
          <w:b/>
          <w:bCs/>
          <w:color w:val="000000"/>
          <w:sz w:val="24"/>
          <w:szCs w:val="24"/>
          <w:highlight w:val="none"/>
        </w:rPr>
        <w:t>5、质疑</w:t>
      </w:r>
    </w:p>
    <w:p w14:paraId="252DE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5.1、供应商认为采购文件、采购过程、中标或者成交结果使自己的权益受到损害的，可以在知道或者应知其权益受到损害之日起7个工作日内，</w:t>
      </w:r>
      <w:r>
        <w:rPr>
          <w:rFonts w:hint="eastAsia" w:ascii="宋体" w:cs="宋体"/>
          <w:color w:val="auto"/>
          <w:kern w:val="0"/>
          <w:sz w:val="24"/>
          <w:szCs w:val="24"/>
          <w:highlight w:val="none"/>
        </w:rPr>
        <w:t>一次性以网上或书面</w:t>
      </w:r>
      <w:r>
        <w:rPr>
          <w:rFonts w:hint="eastAsia" w:ascii="宋体" w:cs="宋体"/>
          <w:color w:val="000000"/>
          <w:kern w:val="0"/>
          <w:sz w:val="24"/>
          <w:szCs w:val="24"/>
          <w:highlight w:val="none"/>
        </w:rPr>
        <w:t>形式向采购人、采购代理机构提出针对同一采购程序环节的质疑。</w:t>
      </w:r>
    </w:p>
    <w:p w14:paraId="554BB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5.2</w:t>
      </w:r>
      <w:r>
        <w:rPr>
          <w:rFonts w:hint="eastAsia" w:ascii="宋体" w:cs="宋体"/>
          <w:kern w:val="0"/>
          <w:sz w:val="24"/>
          <w:szCs w:val="24"/>
          <w:highlight w:val="none"/>
        </w:rPr>
        <w:t>质疑函格式见《政府采购质疑和投诉办法》（财政部令第94号）附件范本，</w:t>
      </w:r>
      <w:r>
        <w:rPr>
          <w:rFonts w:hint="eastAsia" w:ascii="宋体" w:cs="宋体"/>
          <w:color w:val="000000"/>
          <w:kern w:val="0"/>
          <w:sz w:val="24"/>
          <w:szCs w:val="24"/>
          <w:highlight w:val="none"/>
        </w:rPr>
        <w:t>下载网址：浙江政府采购网(http://zfcg.czt.zj.gov.cn/)，位置：“首页-下载专区-质疑投诉模板”。供应商提出质疑应当提交质疑函和必要的证明材料。质疑函应当包括下列内容：</w:t>
      </w:r>
    </w:p>
    <w:p w14:paraId="43EB7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a.供应商的姓名或者名称、地址、邮编、联系人及联系电话；</w:t>
      </w:r>
    </w:p>
    <w:p w14:paraId="4A329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b.质疑项目的名称、编号；</w:t>
      </w:r>
    </w:p>
    <w:p w14:paraId="2FB5B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c.具体、明确的质疑事项和与质疑事项相关的请求；</w:t>
      </w:r>
    </w:p>
    <w:p w14:paraId="0352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d.事实依据；</w:t>
      </w:r>
    </w:p>
    <w:p w14:paraId="6570F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e.必要的法律依据；</w:t>
      </w:r>
    </w:p>
    <w:p w14:paraId="03CFD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f.提出质疑的日期。</w:t>
      </w:r>
    </w:p>
    <w:p w14:paraId="78C8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6A87A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5.3质疑函受理：根据《浙江省财政厅关于进一步促进政府采购</w:t>
      </w:r>
      <w:r>
        <w:rPr>
          <w:rFonts w:hint="eastAsia" w:ascii="宋体" w:cs="宋体"/>
          <w:color w:val="auto"/>
          <w:kern w:val="0"/>
          <w:sz w:val="24"/>
          <w:szCs w:val="24"/>
          <w:highlight w:val="none"/>
        </w:rPr>
        <w:t>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w:t>
      </w:r>
      <w:r>
        <w:rPr>
          <w:rFonts w:hint="eastAsia" w:ascii="宋体" w:cs="宋体"/>
          <w:color w:val="000000"/>
          <w:kern w:val="0"/>
          <w:sz w:val="24"/>
          <w:szCs w:val="24"/>
          <w:highlight w:val="none"/>
        </w:rPr>
        <w:t>政府服务网-政府采购投诉处理-在线办理。同时接受以书面形式（现场或邮寄）递交到金华市政府采购中心永康市分中心的质疑函。地址：永康市五湖路1号国际会展中心办公楼</w:t>
      </w:r>
      <w:r>
        <w:rPr>
          <w:rFonts w:hint="eastAsia" w:ascii="宋体" w:cs="宋体"/>
          <w:color w:val="000000"/>
          <w:kern w:val="0"/>
          <w:sz w:val="24"/>
          <w:szCs w:val="24"/>
          <w:highlight w:val="none"/>
          <w:lang w:val="en-US" w:eastAsia="zh-CN"/>
        </w:rPr>
        <w:t>六</w:t>
      </w:r>
      <w:r>
        <w:rPr>
          <w:rFonts w:hint="eastAsia" w:ascii="宋体" w:cs="宋体"/>
          <w:color w:val="000000"/>
          <w:kern w:val="0"/>
          <w:sz w:val="24"/>
          <w:szCs w:val="24"/>
          <w:highlight w:val="none"/>
        </w:rPr>
        <w:t>楼。联系人：陈巧缘，电话、传真：0579-89295179。</w:t>
      </w:r>
    </w:p>
    <w:p w14:paraId="24948BC1">
      <w:pPr>
        <w:widowControl w:val="0"/>
        <w:spacing w:line="400" w:lineRule="exact"/>
        <w:rPr>
          <w:rFonts w:ascii="宋体" w:cs="宋体"/>
          <w:color w:val="000000"/>
          <w:kern w:val="0"/>
          <w:sz w:val="24"/>
          <w:szCs w:val="24"/>
          <w:highlight w:val="none"/>
        </w:rPr>
      </w:pPr>
      <w:r>
        <w:rPr>
          <w:rFonts w:hint="eastAsia" w:ascii="宋体" w:cs="宋体"/>
          <w:color w:val="000000"/>
          <w:kern w:val="0"/>
          <w:sz w:val="24"/>
          <w:szCs w:val="24"/>
          <w:highlight w:val="none"/>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7D62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举报电话：金华市公共资源交易中心永康市分中心  0579-89295193</w:t>
      </w:r>
    </w:p>
    <w:p w14:paraId="16F6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p>
    <w:p w14:paraId="79A719C2">
      <w:pPr>
        <w:pStyle w:val="19"/>
        <w:ind w:firstLine="602"/>
        <w:rPr>
          <w:rFonts w:ascii="宋体" w:hAnsi="宋体" w:cs="宋体"/>
          <w:b/>
          <w:bCs/>
          <w:kern w:val="0"/>
          <w:sz w:val="30"/>
          <w:szCs w:val="30"/>
          <w:highlight w:val="none"/>
        </w:rPr>
      </w:pPr>
    </w:p>
    <w:p w14:paraId="519AAEDE">
      <w:pPr>
        <w:pStyle w:val="20"/>
        <w:rPr>
          <w:rFonts w:ascii="宋体" w:cs="宋体"/>
          <w:highlight w:val="none"/>
        </w:rPr>
      </w:pPr>
    </w:p>
    <w:p w14:paraId="092FF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二、招标文件的说明</w:t>
      </w:r>
    </w:p>
    <w:p w14:paraId="2872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1、招标文件的构成</w:t>
      </w:r>
    </w:p>
    <w:p w14:paraId="5C34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1.1招标文件用以阐明所需供货、服务、招标程序和合同条款。招标文件由下述部分组成：</w:t>
      </w:r>
    </w:p>
    <w:p w14:paraId="0144F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（1）招标公告</w:t>
      </w:r>
    </w:p>
    <w:p w14:paraId="29323989">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（2）投标人须知</w:t>
      </w:r>
    </w:p>
    <w:p w14:paraId="31D2FCAD">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（3）开标和评标须知</w:t>
      </w:r>
    </w:p>
    <w:p w14:paraId="68FBAF4D">
      <w:pPr>
        <w:widowControl w:val="0"/>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（4）货物需求一览表及技术商务要求</w:t>
      </w:r>
    </w:p>
    <w:p w14:paraId="337D6027">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（5）附件—投标文件格式</w:t>
      </w:r>
    </w:p>
    <w:p w14:paraId="782FF011">
      <w:pPr>
        <w:widowControl w:val="0"/>
        <w:tabs>
          <w:tab w:val="left" w:pos="630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（6）永康市政府采购合同（样本）</w:t>
      </w:r>
    </w:p>
    <w:p w14:paraId="28DEE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1.2除非有特殊要求，招标文件不单独提供采购地的自然环境气候条件、公用设施等情况，投标人被视为熟悉上述与履行合同有关的一切情况。</w:t>
      </w:r>
    </w:p>
    <w:p w14:paraId="73AA9CD0">
      <w:pPr>
        <w:widowControl w:val="0"/>
        <w:tabs>
          <w:tab w:val="left" w:pos="0"/>
        </w:tabs>
        <w:snapToGrid w:val="0"/>
        <w:spacing w:line="400" w:lineRule="exact"/>
        <w:rPr>
          <w:rFonts w:ascii="宋体" w:cs="宋体"/>
          <w:color w:val="FF0000"/>
          <w:highlight w:val="none"/>
        </w:rPr>
      </w:pPr>
      <w:r>
        <w:rPr>
          <w:rFonts w:hint="eastAsia" w:ascii="宋体" w:cs="宋体"/>
          <w:color w:val="FF0000"/>
          <w:kern w:val="0"/>
          <w:sz w:val="24"/>
          <w:szCs w:val="24"/>
          <w:highlight w:val="none"/>
        </w:rPr>
        <w:t>1.3</w:t>
      </w:r>
      <w:r>
        <w:rPr>
          <w:rFonts w:hint="eastAsia" w:ascii="宋体" w:cs="宋体"/>
          <w:color w:val="FF0000"/>
          <w:sz w:val="24"/>
          <w:szCs w:val="24"/>
          <w:highlight w:val="none"/>
        </w:rPr>
        <w:t>本文件中打“▲”号的条款视作强制要求或必须满足的条件和资料，不允许有负偏离或缺失，投标人必须满足，否则该投标将导致无效。</w:t>
      </w:r>
    </w:p>
    <w:p w14:paraId="1FC17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2、招标文件的澄清与修改</w:t>
      </w:r>
    </w:p>
    <w:p w14:paraId="5878F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color w:val="000000"/>
          <w:sz w:val="24"/>
          <w:szCs w:val="24"/>
          <w:highlight w:val="none"/>
        </w:rPr>
        <w:t>编制的投标文件对招标文件中有关条款未提出异议的，均被视为接受和同意。</w:t>
      </w:r>
    </w:p>
    <w:p w14:paraId="5618DAFE">
      <w:pPr>
        <w:widowControl w:val="0"/>
        <w:spacing w:line="400" w:lineRule="exact"/>
        <w:rPr>
          <w:rFonts w:ascii="宋体" w:cs="宋体"/>
          <w:kern w:val="0"/>
          <w:sz w:val="24"/>
          <w:szCs w:val="24"/>
          <w:highlight w:val="none"/>
        </w:rPr>
      </w:pPr>
      <w:r>
        <w:rPr>
          <w:rFonts w:hint="eastAsia" w:ascii="宋体" w:cs="宋体"/>
          <w:kern w:val="0"/>
          <w:sz w:val="24"/>
          <w:szCs w:val="24"/>
          <w:highlight w:val="none"/>
        </w:rPr>
        <w:t>2.2、招标方主动进行的澄清、修改：招标方无论出于何种原因，均可主动对招标文件中的相关事项，用补充文件等方式进行澄清和修改。</w:t>
      </w:r>
    </w:p>
    <w:p w14:paraId="36E10359">
      <w:pPr>
        <w:widowControl w:val="0"/>
        <w:spacing w:line="400" w:lineRule="exact"/>
        <w:rPr>
          <w:rFonts w:ascii="宋体" w:cs="宋体"/>
          <w:kern w:val="0"/>
          <w:sz w:val="24"/>
          <w:szCs w:val="24"/>
          <w:highlight w:val="none"/>
        </w:rPr>
      </w:pPr>
      <w:r>
        <w:rPr>
          <w:rFonts w:hint="eastAsia" w:ascii="宋体" w:cs="宋体"/>
          <w:kern w:val="0"/>
          <w:sz w:val="24"/>
          <w:szCs w:val="24"/>
          <w:highlight w:val="none"/>
        </w:rPr>
        <w:t>2.3、招标文件澄清、答复、修改、补充的内容为招标文件的组成部分。当招标文件与招标文件的答复、澄清、修改、补充通知就同一内容的表述不一致时，以最后发出的书面文件为准。</w:t>
      </w:r>
    </w:p>
    <w:p w14:paraId="500A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2.4为使投标人准备投标时有充分时间对招标文件的修改部分进行研究，采购代理机构可适当延长投标截止期。</w:t>
      </w:r>
    </w:p>
    <w:p w14:paraId="0E61AD5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三、投标文件的编制及投标</w:t>
      </w:r>
    </w:p>
    <w:p w14:paraId="1E2DE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1、编制要求</w:t>
      </w:r>
    </w:p>
    <w:p w14:paraId="3BB18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1.1投标人应仔细阅读招标文件，了解招标文件的要求。在完全了解招标项目的技术要求和商务要求后，编制投标文件。</w:t>
      </w:r>
    </w:p>
    <w:p w14:paraId="52CB8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1.2投标人必须按招标文件的要求提供相关资料，并对招标文件中提出的所有内容要求给予实质性响应，须保证投标文件的准确、真实、明确。</w:t>
      </w:r>
    </w:p>
    <w:p w14:paraId="7A24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2、投标的语言及计量单位</w:t>
      </w:r>
    </w:p>
    <w:p w14:paraId="54A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2.1.投标文件以及投标人与招标方就有关投标事宜的所有来往函电，均应以中文简体字书写。除签名、盖章、专用名称等特殊情形外，投标文件中以中文汉语以外的文字表述部分视同未提供。</w:t>
      </w:r>
    </w:p>
    <w:p w14:paraId="0C0CC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2.2投标计量单位，招标文件已有明确规定的，使用招标文件规定的计量单位；招标文件没有规定的，应采用中华人民共和国法定计量单位（货币单位：人民币元），否则将作无效标处理。</w:t>
      </w:r>
    </w:p>
    <w:p w14:paraId="4A3A4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3、投标文件构成</w:t>
      </w:r>
    </w:p>
    <w:p w14:paraId="3C22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3.1本项目所称投标文件系指电子投标文件或备份投标文件。投标文件需按照本招标文件和电子交易平台的要求制作、加密并递交。</w:t>
      </w:r>
    </w:p>
    <w:p w14:paraId="6FB8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3.2电子投标文件每个标项由</w:t>
      </w:r>
      <w:r>
        <w:rPr>
          <w:rFonts w:hint="eastAsia" w:ascii="宋体" w:cs="宋体"/>
          <w:color w:val="FF0000"/>
          <w:kern w:val="0"/>
          <w:sz w:val="24"/>
          <w:szCs w:val="24"/>
          <w:highlight w:val="none"/>
        </w:rPr>
        <w:t>资格文件、技术商务文件、投标报价文件</w:t>
      </w:r>
      <w:r>
        <w:rPr>
          <w:rFonts w:hint="eastAsia" w:ascii="宋体" w:cs="宋体"/>
          <w:kern w:val="0"/>
          <w:sz w:val="24"/>
          <w:szCs w:val="24"/>
          <w:highlight w:val="none"/>
        </w:rPr>
        <w:t>三部分组成，具体详见“第五章  投标文件格式附件”。备份投标文件的组成和内容等同电子投标文件。</w:t>
      </w:r>
    </w:p>
    <w:p w14:paraId="23C38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3.3法定代表人授权委托书、投标声明书、投标承诺函、投标报价明细表必须按招标文件格式要求正确签署并加盖投标人公章。投标文件中所须加盖公章部分均采用CA签章。</w:t>
      </w:r>
    </w:p>
    <w:p w14:paraId="6073B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4、投标文件的签署和包装</w:t>
      </w:r>
    </w:p>
    <w:p w14:paraId="1A238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 xml:space="preserve">4.1.电子投标文件部分： </w:t>
      </w:r>
    </w:p>
    <w:p w14:paraId="634C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4496F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（2）投标文件须由投标人在规定位置盖章并由法定代表人或法定代表人的授权委托人签署，投标人应写全称。</w:t>
      </w:r>
    </w:p>
    <w:p w14:paraId="6BE50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（3）投标文件不得涂改，若有修改错漏处，须加盖投标人公章或者法定代表人或授权委托人签名或盖章。投标文件因字迹潦草或表达不清所引起的后果由投标人负责。</w:t>
      </w:r>
    </w:p>
    <w:p w14:paraId="5741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4.2.投标人选择递交备份投标文件，备份投标文件另须满足以下条件：</w:t>
      </w:r>
    </w:p>
    <w:p w14:paraId="3BA5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 xml:space="preserve">（1）储存形式：U盘、DVD </w:t>
      </w:r>
    </w:p>
    <w:p w14:paraId="7928D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14:paraId="206EE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color w:val="auto"/>
          <w:kern w:val="0"/>
          <w:sz w:val="24"/>
          <w:szCs w:val="24"/>
          <w:highlight w:val="none"/>
        </w:rPr>
      </w:pPr>
      <w:r>
        <w:rPr>
          <w:rFonts w:hint="eastAsia" w:ascii="宋体" w:cs="宋体"/>
          <w:b/>
          <w:bCs/>
          <w:color w:val="auto"/>
          <w:kern w:val="0"/>
          <w:sz w:val="24"/>
          <w:szCs w:val="24"/>
          <w:highlight w:val="none"/>
        </w:rPr>
        <w:t>5、投标人资格的有关证明资料（资格文件）</w:t>
      </w:r>
    </w:p>
    <w:p w14:paraId="53241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5.1内容包括：</w:t>
      </w:r>
    </w:p>
    <w:p w14:paraId="20F1B21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投标声明书 (格式见附件)；</w:t>
      </w:r>
    </w:p>
    <w:p w14:paraId="71304C3F">
      <w:pPr>
        <w:pStyle w:val="19"/>
        <w:ind w:left="0" w:leftChars="0" w:firstLine="0" w:firstLineChars="0"/>
        <w:rPr>
          <w:rFonts w:ascii="宋体" w:hAnsi="宋体" w:cs="宋体"/>
          <w:highlight w:val="none"/>
        </w:rPr>
      </w:pPr>
      <w:r>
        <w:rPr>
          <w:rFonts w:hint="eastAsia" w:ascii="宋体" w:hAnsi="宋体" w:cs="宋体"/>
          <w:kern w:val="0"/>
          <w:sz w:val="24"/>
          <w:szCs w:val="24"/>
          <w:highlight w:val="none"/>
        </w:rPr>
        <w:t>（2）《投标承诺函》（格式见附件）；</w:t>
      </w:r>
    </w:p>
    <w:p w14:paraId="6FADE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（3）法定代表人授权委托书(格式见附件)；</w:t>
      </w:r>
    </w:p>
    <w:p w14:paraId="3EDF7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（4）提供有效的营业执照复印件并加盖公司公章；事业单位的，则提供有效的《事业单位法人证书》副本复印件并加盖单位公章；自然人的，则提供有效的身份证复印件并签字；</w:t>
      </w:r>
    </w:p>
    <w:p w14:paraId="2BABD420">
      <w:pPr>
        <w:pStyle w:val="5"/>
        <w:rPr>
          <w:rFonts w:cs="宋体"/>
          <w:highlight w:val="none"/>
        </w:rPr>
      </w:pPr>
      <w:r>
        <w:rPr>
          <w:rFonts w:hint="eastAsia" w:cs="宋体"/>
          <w:highlight w:val="none"/>
        </w:rPr>
        <w:t>（5）联合投标协议书（若需要）；</w:t>
      </w:r>
    </w:p>
    <w:p w14:paraId="345AD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 w:val="24"/>
          <w:szCs w:val="24"/>
          <w:highlight w:val="none"/>
        </w:rPr>
      </w:pPr>
      <w:r>
        <w:rPr>
          <w:rFonts w:hint="eastAsia" w:ascii="宋体" w:cs="宋体"/>
          <w:kern w:val="0"/>
          <w:sz w:val="24"/>
          <w:szCs w:val="24"/>
          <w:highlight w:val="none"/>
        </w:rPr>
        <w:t>（6）联合投标授权委托书（若需要）；</w:t>
      </w:r>
    </w:p>
    <w:p w14:paraId="4358B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（7）提供采购公告中符合投标人特定条件要求的有效的其他资质复印件并加盖公司公章及需要说明的资料。</w:t>
      </w:r>
    </w:p>
    <w:p w14:paraId="65098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6、拟供货物及服务合格性符合招标文件的有关资料（技术商务文件）</w:t>
      </w:r>
    </w:p>
    <w:p w14:paraId="0B9A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6.1内容包括：</w:t>
      </w:r>
    </w:p>
    <w:p w14:paraId="0A85D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（1）评分对应表（格式见附件，主要用于评委对应评分内容）</w:t>
      </w:r>
    </w:p>
    <w:p w14:paraId="07B8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（2）投标项目明细清单（含货物、服务等）；</w:t>
      </w:r>
    </w:p>
    <w:p w14:paraId="3AE4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（3）技术响应表（格式见附件）；</w:t>
      </w:r>
    </w:p>
    <w:p w14:paraId="6C5A9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（4）项目总体解决方案（可包含且不限于对项目总体要求的理解、项目总体架构及技术解决方案等）；</w:t>
      </w:r>
    </w:p>
    <w:p w14:paraId="1DB7E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（5）项目实施计划（可包含且不限于保证工期的施工组织方案及人力资源安排、项目组人员清单等）；</w:t>
      </w:r>
    </w:p>
    <w:p w14:paraId="04E48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（6）列入政府采购节能环保清单的证明资料（若有）；</w:t>
      </w:r>
    </w:p>
    <w:p w14:paraId="772EB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（7）商务响应表（格式见附件）；</w:t>
      </w:r>
    </w:p>
    <w:p w14:paraId="7EE6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（8）售后服务计划（可包含且不限于对用户故障的响应、处理、定期巡检、备品备件、常用耗材提供、驻点人员情况等）；</w:t>
      </w:r>
    </w:p>
    <w:p w14:paraId="22BAF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（9）技术培训计划（若有）；</w:t>
      </w:r>
    </w:p>
    <w:p w14:paraId="3514E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（10）投标人履约能力（可包含且不限于技术力量情况、投标人各项能力证书）；</w:t>
      </w:r>
    </w:p>
    <w:p w14:paraId="4720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（11）案例的业绩证明（投标人业绩情况一览表、合同复印件等）；</w:t>
      </w:r>
    </w:p>
    <w:p w14:paraId="4CB0A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（12）投标人认为需要的其他文件资料。</w:t>
      </w:r>
    </w:p>
    <w:p w14:paraId="021EB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6.2证明响应内容和服务与招标文件的要求相一致的资料，可以是文字资料、表格、图纸和数据，它包括：</w:t>
      </w:r>
    </w:p>
    <w:p w14:paraId="5583F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（1）响应内容主要服务性质的详细说明。</w:t>
      </w:r>
    </w:p>
    <w:p w14:paraId="1029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（2）对照招标文件服务与商务要求，逐条说明所提供服务已对采购人的要求做出了实质性响应，若有偏离的均应在规范偏离表中提出。</w:t>
      </w:r>
    </w:p>
    <w:p w14:paraId="09FDF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（3）特别对于有具体要求的内容，投标人必须提供具体说明。</w:t>
      </w:r>
    </w:p>
    <w:p w14:paraId="10D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44AB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6.3编制的投标文件对招标文件中有关条款未提出异议的，均被视为接受和同意。</w:t>
      </w:r>
    </w:p>
    <w:p w14:paraId="50D28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6.4投标人应根据“政采云供应商项目采购-电子招投标操作指南”及本招标文件规定</w:t>
      </w:r>
      <w:r>
        <w:rPr>
          <w:rFonts w:hint="eastAsia" w:ascii="宋体" w:cs="宋体"/>
          <w:color w:val="FF0000"/>
          <w:kern w:val="0"/>
          <w:sz w:val="24"/>
          <w:szCs w:val="24"/>
          <w:highlight w:val="none"/>
        </w:rPr>
        <w:t>编制电子投标文件并进行评分条款对应的关联定位</w:t>
      </w:r>
      <w:r>
        <w:rPr>
          <w:rFonts w:hint="eastAsia" w:ascii="宋体" w:cs="宋体"/>
          <w:kern w:val="0"/>
          <w:sz w:val="24"/>
          <w:szCs w:val="24"/>
          <w:highlight w:val="none"/>
        </w:rPr>
        <w:t>，以便评标委员会在评标时，点击评分项，可直接定位到该评分项内容。</w:t>
      </w:r>
    </w:p>
    <w:p w14:paraId="47140F89">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highlight w:val="none"/>
        </w:rPr>
      </w:pPr>
      <w:r>
        <w:rPr>
          <w:rFonts w:hint="eastAsia" w:ascii="宋体" w:hAnsi="宋体" w:eastAsia="宋体" w:cs="宋体"/>
          <w:b/>
          <w:bCs/>
          <w:kern w:val="0"/>
          <w:sz w:val="24"/>
          <w:szCs w:val="24"/>
          <w:highlight w:val="none"/>
          <w:lang w:val="en-US" w:eastAsia="zh-CN" w:bidi="ar-SA"/>
        </w:rPr>
        <w:t>7、</w:t>
      </w:r>
      <w:r>
        <w:rPr>
          <w:rFonts w:hint="eastAsia" w:ascii="宋体" w:cs="宋体"/>
          <w:b/>
          <w:bCs/>
          <w:kern w:val="0"/>
          <w:sz w:val="24"/>
          <w:szCs w:val="24"/>
          <w:highlight w:val="none"/>
        </w:rPr>
        <w:t>投标书及投标报价（投标报价文件）</w:t>
      </w:r>
    </w:p>
    <w:p w14:paraId="7FCB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lang w:val="en-US" w:eastAsia="zh-CN"/>
        </w:rPr>
        <w:t>7</w:t>
      </w:r>
      <w:r>
        <w:rPr>
          <w:rFonts w:hint="eastAsia" w:ascii="宋体" w:cs="宋体"/>
          <w:kern w:val="0"/>
          <w:sz w:val="24"/>
          <w:szCs w:val="24"/>
          <w:highlight w:val="none"/>
        </w:rPr>
        <w:t>.1内容包括：</w:t>
      </w:r>
    </w:p>
    <w:p w14:paraId="41FFE99C">
      <w:pPr>
        <w:widowControl w:val="0"/>
        <w:spacing w:line="400" w:lineRule="exact"/>
        <w:rPr>
          <w:rFonts w:hint="eastAsia" w:ascii="宋体" w:cs="宋体"/>
          <w:sz w:val="24"/>
          <w:szCs w:val="24"/>
          <w:highlight w:val="none"/>
        </w:rPr>
      </w:pPr>
      <w:r>
        <w:rPr>
          <w:rFonts w:hint="eastAsia" w:ascii="宋体" w:cs="宋体"/>
          <w:sz w:val="24"/>
          <w:szCs w:val="24"/>
          <w:highlight w:val="none"/>
        </w:rPr>
        <w:t>（1）投标报价明细表（格式见附件）；</w:t>
      </w:r>
    </w:p>
    <w:p w14:paraId="6027DA7B">
      <w:pPr>
        <w:widowControl w:val="0"/>
        <w:spacing w:line="400" w:lineRule="exact"/>
        <w:rPr>
          <w:rFonts w:hint="eastAsia" w:ascii="宋体" w:cs="宋体"/>
          <w:sz w:val="24"/>
          <w:szCs w:val="24"/>
          <w:highlight w:val="none"/>
        </w:rPr>
      </w:pPr>
      <w:r>
        <w:rPr>
          <w:rFonts w:hint="eastAsia" w:ascii="宋体" w:cs="宋体"/>
          <w:sz w:val="24"/>
          <w:szCs w:val="24"/>
          <w:highlight w:val="none"/>
        </w:rPr>
        <w:t>（2）投标人针对报价需要说明的其他文件和说明（格式自拟）；</w:t>
      </w:r>
    </w:p>
    <w:p w14:paraId="01A23614">
      <w:pPr>
        <w:widowControl w:val="0"/>
        <w:spacing w:line="400" w:lineRule="exact"/>
        <w:rPr>
          <w:rFonts w:hint="eastAsia" w:ascii="宋体" w:cs="宋体"/>
          <w:sz w:val="24"/>
          <w:szCs w:val="24"/>
          <w:highlight w:val="none"/>
        </w:rPr>
      </w:pPr>
      <w:r>
        <w:rPr>
          <w:rFonts w:hint="eastAsia" w:ascii="宋体" w:cs="宋体"/>
          <w:sz w:val="24"/>
          <w:szCs w:val="24"/>
          <w:highlight w:val="none"/>
        </w:rPr>
        <w:t>（3）中小企业声明函（如有）、残疾人福利企业声明函（如有）、监狱企业声明函（如有）(格式见附件)；</w:t>
      </w:r>
    </w:p>
    <w:p w14:paraId="2B91182E">
      <w:pPr>
        <w:widowControl w:val="0"/>
        <w:spacing w:line="400" w:lineRule="exact"/>
        <w:rPr>
          <w:rFonts w:ascii="宋体" w:cs="宋体"/>
          <w:sz w:val="24"/>
          <w:szCs w:val="24"/>
          <w:highlight w:val="none"/>
          <w:shd w:val="pct10" w:color="auto" w:fill="FFFFFF"/>
        </w:rPr>
      </w:pPr>
      <w:r>
        <w:rPr>
          <w:rFonts w:hint="eastAsia" w:ascii="宋体" w:cs="宋体"/>
          <w:sz w:val="24"/>
          <w:szCs w:val="24"/>
          <w:highlight w:val="none"/>
        </w:rPr>
        <w:t>7.</w:t>
      </w:r>
      <w:r>
        <w:rPr>
          <w:rFonts w:hint="eastAsia" w:ascii="宋体" w:cs="宋体"/>
          <w:sz w:val="24"/>
          <w:szCs w:val="24"/>
          <w:highlight w:val="none"/>
          <w:lang w:val="en-US" w:eastAsia="zh-CN"/>
        </w:rPr>
        <w:t>2</w:t>
      </w:r>
      <w:r>
        <w:rPr>
          <w:rFonts w:hint="eastAsia" w:ascii="宋体" w:cs="宋体"/>
          <w:sz w:val="24"/>
          <w:szCs w:val="24"/>
          <w:highlight w:val="none"/>
        </w:rPr>
        <w:t>投标人应在招标文件所附的投标报价一览表上写明提供货物的单价和总价。投标人对每种项目只允许有一个报价，采购人不接受任何有选择性的报价。</w:t>
      </w:r>
    </w:p>
    <w:p w14:paraId="67B40F73">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3</w:t>
      </w:r>
      <w:r>
        <w:rPr>
          <w:rFonts w:hint="eastAsia" w:ascii="宋体" w:cs="宋体"/>
          <w:sz w:val="24"/>
          <w:szCs w:val="24"/>
          <w:highlight w:val="none"/>
        </w:rPr>
        <w:t>投标报价以人民币为结算货币，须包括完成本次招标项目中的所有服务内容、连带内容、关联内容及合同中明示或暗示的所有一般风险、责任和义务等一切应由采购人支付的费用。</w:t>
      </w:r>
    </w:p>
    <w:p w14:paraId="638F630A">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4</w:t>
      </w:r>
      <w:r>
        <w:rPr>
          <w:rFonts w:hint="eastAsia" w:ascii="宋体" w:cs="宋体"/>
          <w:sz w:val="24"/>
          <w:szCs w:val="24"/>
          <w:highlight w:val="none"/>
        </w:rPr>
        <w:t>填写报价一览表时应注意下列几点：</w:t>
      </w:r>
    </w:p>
    <w:p w14:paraId="084407E8">
      <w:pPr>
        <w:widowControl w:val="0"/>
        <w:spacing w:line="400" w:lineRule="exact"/>
        <w:rPr>
          <w:rFonts w:ascii="宋体" w:cs="宋体"/>
          <w:sz w:val="24"/>
          <w:szCs w:val="24"/>
          <w:highlight w:val="none"/>
        </w:rPr>
      </w:pPr>
      <w:r>
        <w:rPr>
          <w:rFonts w:hint="eastAsia" w:ascii="宋体" w:cs="宋体"/>
          <w:sz w:val="24"/>
          <w:szCs w:val="24"/>
          <w:highlight w:val="none"/>
        </w:rPr>
        <w:t>（1）投标文件只允许有一个报价，投标报价应按招标文件中相关附表格式填报，该投标报价应与明细报价汇总相等，且不允许出现报价优惠等字样（明细出现“0”元，视同赠送，按无效标处理）。</w:t>
      </w:r>
    </w:p>
    <w:p w14:paraId="772347B1">
      <w:pPr>
        <w:widowControl w:val="0"/>
        <w:spacing w:line="400" w:lineRule="exact"/>
        <w:rPr>
          <w:rFonts w:ascii="宋体" w:cs="宋体"/>
          <w:sz w:val="24"/>
          <w:szCs w:val="24"/>
          <w:highlight w:val="none"/>
        </w:rPr>
      </w:pPr>
      <w:r>
        <w:rPr>
          <w:rFonts w:hint="eastAsia" w:ascii="宋体" w:cs="宋体"/>
          <w:sz w:val="24"/>
          <w:szCs w:val="24"/>
          <w:highlight w:val="none"/>
        </w:rPr>
        <w:t>（2）投标报价应包含项目所需全部产品、服务，不得缺漏，是履行合同的最终价格（含货款、标准附件、备品备件、专用工具、包装、运输、装卸、保险、货到就位以及安装、调试、培训、保修等和费用，本项目不含车辆购置税）。</w:t>
      </w:r>
    </w:p>
    <w:p w14:paraId="696F502B">
      <w:pPr>
        <w:widowControl w:val="0"/>
        <w:spacing w:line="400" w:lineRule="exact"/>
        <w:rPr>
          <w:rFonts w:ascii="宋体" w:cs="宋体"/>
          <w:sz w:val="24"/>
          <w:szCs w:val="24"/>
          <w:highlight w:val="none"/>
        </w:rPr>
      </w:pPr>
      <w:r>
        <w:rPr>
          <w:rFonts w:hint="eastAsia" w:ascii="宋体" w:cs="宋体"/>
          <w:sz w:val="24"/>
          <w:szCs w:val="24"/>
          <w:highlight w:val="none"/>
        </w:rPr>
        <w:t>（3）投标报价金额到元为止，如投标报价总价出现角、分，将被抹除。</w:t>
      </w:r>
    </w:p>
    <w:p w14:paraId="1D915A58">
      <w:pPr>
        <w:widowControl w:val="0"/>
        <w:spacing w:line="400" w:lineRule="exact"/>
        <w:rPr>
          <w:rFonts w:ascii="宋体" w:cs="宋体"/>
          <w:sz w:val="24"/>
          <w:szCs w:val="24"/>
          <w:highlight w:val="none"/>
        </w:rPr>
      </w:pPr>
      <w:r>
        <w:rPr>
          <w:rFonts w:hint="eastAsia" w:ascii="宋体" w:cs="宋体"/>
          <w:sz w:val="24"/>
          <w:szCs w:val="24"/>
          <w:highlight w:val="none"/>
        </w:rPr>
        <w:t>7.5投标人应在“政府采购云平台”中填写报价，报价应与上传的报价文件一致，如有不一致，以上传的报价文件中报价为准。</w:t>
      </w:r>
    </w:p>
    <w:p w14:paraId="7241A39D">
      <w:pPr>
        <w:widowControl w:val="0"/>
        <w:spacing w:line="400" w:lineRule="exact"/>
        <w:rPr>
          <w:rFonts w:ascii="宋体" w:cs="宋体"/>
          <w:sz w:val="24"/>
          <w:szCs w:val="24"/>
          <w:highlight w:val="none"/>
        </w:rPr>
      </w:pPr>
      <w:r>
        <w:rPr>
          <w:rFonts w:hint="eastAsia" w:ascii="宋体" w:cs="宋体"/>
          <w:sz w:val="24"/>
          <w:szCs w:val="24"/>
          <w:highlight w:val="none"/>
        </w:rPr>
        <w:t>7.6投标人特别要求的其它附带服务的费用，投标人如不填写，将被视为已汇总到投标总价之中。</w:t>
      </w:r>
    </w:p>
    <w:p w14:paraId="60E085AF">
      <w:pPr>
        <w:widowControl w:val="0"/>
        <w:spacing w:line="400" w:lineRule="exact"/>
        <w:rPr>
          <w:rFonts w:ascii="宋体" w:cs="宋体"/>
          <w:sz w:val="24"/>
          <w:szCs w:val="24"/>
          <w:highlight w:val="none"/>
        </w:rPr>
      </w:pPr>
      <w:r>
        <w:rPr>
          <w:rFonts w:hint="eastAsia" w:ascii="宋体" w:cs="宋体"/>
          <w:sz w:val="24"/>
          <w:szCs w:val="24"/>
          <w:highlight w:val="none"/>
        </w:rPr>
        <w:t>7.7采购人和采购代理机构不接受招标项目范围内的捐赠。</w:t>
      </w:r>
    </w:p>
    <w:p w14:paraId="7F3D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8、在线演示</w:t>
      </w:r>
    </w:p>
    <w:p w14:paraId="1049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8.1如招标文件中设有演示环节，则供应商通过电子交易平台（政采云系统）嵌入的第三方视频会议系统在线向专家进行讲解、演示、答疑。</w:t>
      </w:r>
    </w:p>
    <w:p w14:paraId="701BF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8.2演示开始时间由评审小组在项目评审期间以在线短信或电话方式通知各投标人，故各投标人应在项目评审期间保持通讯工具的畅通并随时关注。</w:t>
      </w:r>
    </w:p>
    <w:p w14:paraId="14FF214A">
      <w:pPr>
        <w:pStyle w:val="2"/>
        <w:ind w:firstLine="0"/>
        <w:rPr>
          <w:rFonts w:cs="宋体"/>
          <w:color w:val="auto"/>
          <w:highlight w:val="none"/>
        </w:rPr>
      </w:pPr>
      <w:r>
        <w:rPr>
          <w:rFonts w:hint="eastAsia" w:cs="宋体"/>
          <w:color w:val="auto"/>
          <w:kern w:val="0"/>
          <w:sz w:val="24"/>
          <w:szCs w:val="24"/>
          <w:highlight w:val="none"/>
        </w:rPr>
        <w:t>8.3演示时供应商应自备电脑、摄像头、耳麦等演示所必备的硬件及演示内容。由于自身设备原因无法正常完成在线演示的，后果由投标人自行承担。</w:t>
      </w:r>
    </w:p>
    <w:p w14:paraId="4372A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highlight w:val="none"/>
        </w:rPr>
      </w:pPr>
      <w:r>
        <w:rPr>
          <w:rFonts w:hint="eastAsia" w:ascii="宋体" w:cs="宋体"/>
          <w:b/>
          <w:bCs/>
          <w:kern w:val="0"/>
          <w:sz w:val="24"/>
          <w:szCs w:val="24"/>
          <w:highlight w:val="none"/>
        </w:rPr>
        <w:t>9、投标有效期</w:t>
      </w:r>
    </w:p>
    <w:p w14:paraId="297F4B33">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9.1.自投标截止日起90天内投标文件应保持有效。有效期不足的投标文件将作无效标处理。</w:t>
      </w:r>
    </w:p>
    <w:p w14:paraId="507BED84">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9.2.中标供应商的投标文件自开标之日起至合同履行完毕止均应保持有效。</w:t>
      </w:r>
    </w:p>
    <w:p w14:paraId="2FB40FA4">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10.投标文件的形式</w:t>
      </w:r>
    </w:p>
    <w:p w14:paraId="3790417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投标文件为电子投标文件。电子投标文件按政采云平台供应商项目采购-电子招投标操作指南（网址：https://help.zcygov.cn/web/site_2/2018/12-28/2573.html）及本招标文件要求制作、加密并递交。</w:t>
      </w:r>
    </w:p>
    <w:p w14:paraId="69278133">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11. 提交投标文件</w:t>
      </w:r>
    </w:p>
    <w:p w14:paraId="2617133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11.1电子投标文件传输提交</w:t>
      </w:r>
    </w:p>
    <w:p w14:paraId="26666CD5">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kern w:val="0"/>
          <w:sz w:val="24"/>
          <w:szCs w:val="24"/>
          <w:highlight w:val="none"/>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7F4F73FC">
      <w:pPr>
        <w:widowControl w:val="0"/>
        <w:snapToGrid w:val="0"/>
        <w:spacing w:line="5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11.2备份电子投标文件提交</w:t>
      </w:r>
    </w:p>
    <w:p w14:paraId="23DC68F7">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如认为需要，投标人可以选择递交备份投标文件，采用数据电文形式，以U盘或DVD光盘形式存储，并在投标截止时间前，通过邮寄方式，送达指定地点，逾期送达或未密封将被拒收。</w:t>
      </w:r>
    </w:p>
    <w:p w14:paraId="009B6244">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投标文件收件填写人：</w:t>
      </w:r>
      <w:r>
        <w:rPr>
          <w:rFonts w:hint="eastAsia" w:ascii="宋体" w:cs="宋体"/>
          <w:color w:val="auto"/>
          <w:kern w:val="0"/>
          <w:sz w:val="24"/>
          <w:szCs w:val="24"/>
          <w:highlight w:val="none"/>
          <w:lang w:val="en-US" w:eastAsia="zh-CN"/>
        </w:rPr>
        <w:t>钱海汇</w:t>
      </w:r>
      <w:r>
        <w:rPr>
          <w:rFonts w:hint="eastAsia" w:ascii="宋体" w:cs="宋体"/>
          <w:color w:val="auto"/>
          <w:kern w:val="0"/>
          <w:sz w:val="24"/>
          <w:szCs w:val="24"/>
          <w:highlight w:val="none"/>
        </w:rPr>
        <w:t>，联系方式：0579-8929517</w:t>
      </w:r>
      <w:r>
        <w:rPr>
          <w:rFonts w:hint="eastAsia" w:ascii="宋体" w:cs="宋体"/>
          <w:color w:val="auto"/>
          <w:kern w:val="0"/>
          <w:sz w:val="24"/>
          <w:szCs w:val="24"/>
          <w:highlight w:val="none"/>
          <w:lang w:val="en-US" w:eastAsia="zh-CN"/>
        </w:rPr>
        <w:t>7</w:t>
      </w:r>
      <w:r>
        <w:rPr>
          <w:rFonts w:hint="eastAsia" w:ascii="宋体" w:cs="宋体"/>
          <w:color w:val="auto"/>
          <w:kern w:val="0"/>
          <w:sz w:val="24"/>
          <w:szCs w:val="24"/>
          <w:highlight w:val="none"/>
        </w:rPr>
        <w:t>，实际收件人：陈之约，联系方式：0579-89295177，收件地址：永康市五湖路1号国际会展中心办公楼</w:t>
      </w:r>
      <w:r>
        <w:rPr>
          <w:rFonts w:hint="eastAsia" w:ascii="宋体" w:cs="宋体"/>
          <w:color w:val="auto"/>
          <w:kern w:val="0"/>
          <w:sz w:val="24"/>
          <w:szCs w:val="24"/>
          <w:highlight w:val="none"/>
          <w:lang w:val="en-US" w:eastAsia="zh-CN"/>
        </w:rPr>
        <w:t>六</w:t>
      </w:r>
      <w:r>
        <w:rPr>
          <w:rFonts w:hint="eastAsia" w:ascii="宋体" w:cs="宋体"/>
          <w:color w:val="auto"/>
          <w:kern w:val="0"/>
          <w:sz w:val="24"/>
          <w:szCs w:val="24"/>
          <w:highlight w:val="none"/>
        </w:rPr>
        <w:t>楼 ，收件时间上午08:30-11:30 下午：14:00-17:00。备份电子投标文件仅在在线解密异常处理时使用。投标文件已按时解密的，备份电子投标文件自动失效。</w:t>
      </w:r>
    </w:p>
    <w:p w14:paraId="22036AF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11.3投标人提交的投标文件均不予退还。</w:t>
      </w:r>
    </w:p>
    <w:p w14:paraId="4C7751B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11.4 逾期传输的或逾期送达的或者未送达指定地点的投标文件，采购人将不予受理。</w:t>
      </w:r>
    </w:p>
    <w:p w14:paraId="7E7DBDED">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12.采购过程中的异常情况及处理措施</w:t>
      </w:r>
    </w:p>
    <w:p w14:paraId="57CF835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采购过程中出现以下情形，导致电子交易平台无法正常运行，或者无法保证电子交易的公平、公正和安全时，招标方可中止电子交易活动：</w:t>
      </w:r>
    </w:p>
    <w:p w14:paraId="7E7B368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（1）电子交易平台发生故障而无法登录访问的；</w:t>
      </w:r>
    </w:p>
    <w:p w14:paraId="54AA2C5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（2）电子交易平台应用或数据库出现错误，不能进行正常操作的；</w:t>
      </w:r>
    </w:p>
    <w:p w14:paraId="4DA3E9A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（3）电子交易平台发现严重安全漏洞，有潜在泄密危险的；</w:t>
      </w:r>
    </w:p>
    <w:p w14:paraId="2A3CD8A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（4）病毒发作导致不能进行正常操作的；</w:t>
      </w:r>
    </w:p>
    <w:p w14:paraId="7C8906B8">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（5）其他无法保证电子交易的公平、公正和安全的情况。</w:t>
      </w:r>
    </w:p>
    <w:p w14:paraId="03FCFC8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出现前款规定情形，不影响采购公平、公正性的，招标方可以待上述情形消除后继续组织电子交易活动，也可以决定某些环节以纸质形式进行；影响或可能影响采购公平、公正性的，应当重新采购。</w:t>
      </w:r>
    </w:p>
    <w:p w14:paraId="5337BA03">
      <w:pPr>
        <w:pageBreakBefore/>
        <w:widowControl w:val="0"/>
        <w:snapToGrid w:val="0"/>
        <w:spacing w:line="500" w:lineRule="exact"/>
        <w:ind w:firstLine="602" w:firstLineChars="200"/>
        <w:jc w:val="center"/>
        <w:rPr>
          <w:rFonts w:ascii="宋体" w:cs="宋体"/>
          <w:kern w:val="0"/>
          <w:sz w:val="24"/>
          <w:szCs w:val="24"/>
          <w:highlight w:val="none"/>
        </w:rPr>
      </w:pPr>
      <w:r>
        <w:rPr>
          <w:rFonts w:hint="eastAsia" w:ascii="宋体" w:cs="宋体"/>
          <w:b/>
          <w:bCs/>
          <w:kern w:val="0"/>
          <w:sz w:val="30"/>
          <w:szCs w:val="30"/>
          <w:highlight w:val="none"/>
        </w:rPr>
        <w:t>四、开标、评标及合同签订</w:t>
      </w:r>
    </w:p>
    <w:p w14:paraId="3972F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p>
    <w:p w14:paraId="6649FBC1">
      <w:pPr>
        <w:widowControl w:val="0"/>
        <w:snapToGrid w:val="0"/>
        <w:spacing w:line="500" w:lineRule="exact"/>
        <w:jc w:val="left"/>
        <w:rPr>
          <w:rFonts w:ascii="宋体" w:cs="宋体"/>
          <w:b/>
          <w:bCs/>
          <w:kern w:val="0"/>
          <w:sz w:val="24"/>
          <w:szCs w:val="24"/>
          <w:highlight w:val="none"/>
          <w:lang w:val="zh-CN"/>
        </w:rPr>
      </w:pPr>
      <w:r>
        <w:rPr>
          <w:rFonts w:hint="eastAsia" w:ascii="宋体" w:cs="宋体"/>
          <w:b/>
          <w:bCs/>
          <w:kern w:val="0"/>
          <w:sz w:val="24"/>
          <w:szCs w:val="24"/>
          <w:highlight w:val="none"/>
          <w:lang w:val="zh-CN"/>
        </w:rPr>
        <w:t>1、开标</w:t>
      </w:r>
    </w:p>
    <w:p w14:paraId="270B8D5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2D63B5E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1.2、开标流程</w:t>
      </w:r>
    </w:p>
    <w:p w14:paraId="16F2328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216290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（2）投标文件解密结束，开启资格文件，进入资格审查环节，采购人代表或由采购人委托的评标委员会依法对投标供应商的资格进行审查，具体见本章节“投标供应商资格审查”相关规定。</w:t>
      </w:r>
    </w:p>
    <w:p w14:paraId="3A7F540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（3）开启资格审查通过的投标供应商的商务技术文件进入符合性审查及商务技术评审；</w:t>
      </w:r>
    </w:p>
    <w:p w14:paraId="057103C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0EF2E4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开标时，报价文件中投标报价出现前后不一致的，按照下列规定修正：</w:t>
      </w:r>
    </w:p>
    <w:p w14:paraId="1C306AC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（一）投标文件中开标一览表内容与投标文件中相应内容不一致的，以开标一览表为准；</w:t>
      </w:r>
    </w:p>
    <w:p w14:paraId="274708B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（二）大写金额和小写金额不一致的，以大写金额为准；</w:t>
      </w:r>
    </w:p>
    <w:p w14:paraId="101AF26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（三）单价金额小数点或者百分比有明显错位的，以开标一览表的总价为准，并修改单价；</w:t>
      </w:r>
    </w:p>
    <w:p w14:paraId="6BA4EF5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（四）总价金额与按单价汇总金额不一致的，以单价金额计算结果为准。</w:t>
      </w:r>
    </w:p>
    <w:p w14:paraId="2BB862F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FF44BC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（5）评审结束后，公布采购结果。</w:t>
      </w:r>
    </w:p>
    <w:p w14:paraId="1C6DA9D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特别说明：如遇“政府采购云平台”电子化开标或评审程序调整的，按调整后程序执行。</w:t>
      </w:r>
    </w:p>
    <w:p w14:paraId="6E6A1488">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2、投标供应商资格审查</w:t>
      </w:r>
    </w:p>
    <w:p w14:paraId="007AF8F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6E6D5C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494048A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2.3、单位负责人为同一人或者存在直接控股、管理关系的不同供应商参加同一合同项下的政府采购活动的，相关投标供应商均作资格无效处理。</w:t>
      </w:r>
    </w:p>
    <w:p w14:paraId="020A4CA1">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3、评标</w:t>
      </w:r>
    </w:p>
    <w:p w14:paraId="49380BB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3.1、评标由依法组建的评标委员会负责，并独立履行下列职责：</w:t>
      </w:r>
    </w:p>
    <w:p w14:paraId="2AA7C8A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1）审查投标文件是否符合招标文件要求，并作出评价；</w:t>
      </w:r>
    </w:p>
    <w:p w14:paraId="3013ED4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2）要求投标供应商对投标文件有关事项作出解释或者澄清；</w:t>
      </w:r>
    </w:p>
    <w:p w14:paraId="7EDC504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3）按照招标文件确定的评标办法对各投标供应商进行排序，推荐中标候选供应商；综合得分最高的供应商推荐为中标供应商；</w:t>
      </w:r>
    </w:p>
    <w:p w14:paraId="6ACF594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4）向采购人推荐综合得分第一名的供应商为中标供应商，并提交评审报告。如果第一名得分相同，以投标报价低的优先；投标报价也相同，则以政采云系统记录的投标文件解密时间排序在前面的优先。</w:t>
      </w:r>
    </w:p>
    <w:p w14:paraId="48653E2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5）向采购代理机构或者有关部门报告非法干预评标工作的行为。</w:t>
      </w:r>
    </w:p>
    <w:p w14:paraId="687DE13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3.2、评标应当遵循下列工作程序：</w:t>
      </w:r>
    </w:p>
    <w:p w14:paraId="02DC032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1）投标文件符合性审查。依据招标文件的规定，从投标文件的有效性、完整性和对招标文件的响应程度进行审查，以确定是否对招标文件的实质性要求作出响应。</w:t>
      </w:r>
    </w:p>
    <w:p w14:paraId="4F0C8F6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38DAFFB9">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3）比较与评价。按招标文件中规定的评标方法和标准，对资格审查和符合性审查合格的投标文件进行商务和技术评估，综合比较与评价。</w:t>
      </w:r>
    </w:p>
    <w:p w14:paraId="486B8D47">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3.3、投标供应商存在下列情况之一的，投标无效：</w:t>
      </w:r>
    </w:p>
    <w:p w14:paraId="67E04973">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1）投标文件未按招标文件要求签署或CA电子签章的；</w:t>
      </w:r>
    </w:p>
    <w:p w14:paraId="3C111670">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2）不具备招标文件中规定的资格要求的；</w:t>
      </w:r>
    </w:p>
    <w:p w14:paraId="7B19932F">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3）报价超过招标文件中规定的预算金额或者最高限价的；</w:t>
      </w:r>
    </w:p>
    <w:p w14:paraId="7E778151">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4）供应商递交两份或两份以上内容不同的投标文件，未声明哪一份有效的；</w:t>
      </w:r>
    </w:p>
    <w:p w14:paraId="24252BDE">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5）对关键条文的偏离、保留或反对，例如关于付款方式、服务期、适用法律法规、标准、税费等其他内容；</w:t>
      </w:r>
    </w:p>
    <w:p w14:paraId="6FDF6896">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6）存在串标、抬标或弄虚作假情况的；</w:t>
      </w:r>
    </w:p>
    <w:p w14:paraId="4027B73F">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7）参与本项目的不同供应商单位负责人为同一人或者存在直接控股、管理关系的；</w:t>
      </w:r>
    </w:p>
    <w:p w14:paraId="0E361E05">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8）供应商的资格文件或者商务技术文件中出现投标报价的</w:t>
      </w:r>
    </w:p>
    <w:p w14:paraId="573806C2">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9）投标供应商在线制作投标文件时《开标一览表》中填写的金额与解密后“电子加密投标文件”中《开标一览表》填写的金额不一致并拒绝按招标文件要求接受此调整的；</w:t>
      </w:r>
    </w:p>
    <w:p w14:paraId="6FBE0ED2">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10）法律、法规和招标文件规定的其他无效情形（或出现重大偏差）。</w:t>
      </w:r>
    </w:p>
    <w:p w14:paraId="287154E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11)不同投标人被政采云系统识别为硬件设备或 IP 地址相同。</w:t>
      </w:r>
    </w:p>
    <w:p w14:paraId="6B75E695">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12)不同投标人被政采云系统识别为投标行为异常，即两家投标人累计超过30次以上共同投标，且其中一家中标率为0%。</w:t>
      </w:r>
    </w:p>
    <w:p w14:paraId="1729D41D">
      <w:pPr>
        <w:widowControl w:val="0"/>
        <w:snapToGrid w:val="0"/>
        <w:spacing w:line="500" w:lineRule="exact"/>
        <w:ind w:firstLine="482"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13）专门面向中小企业项目资格文件中的《中小企业声明函》类型填写错误的；</w:t>
      </w:r>
    </w:p>
    <w:p w14:paraId="17399704">
      <w:pPr>
        <w:widowControl w:val="0"/>
        <w:snapToGrid w:val="0"/>
        <w:spacing w:line="500" w:lineRule="exact"/>
        <w:ind w:firstLine="482"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14</w:t>
      </w:r>
      <w:r>
        <w:rPr>
          <w:rFonts w:hint="eastAsia" w:ascii="宋体" w:cs="宋体"/>
          <w:b/>
          <w:bCs/>
          <w:kern w:val="0"/>
          <w:sz w:val="24"/>
          <w:szCs w:val="24"/>
          <w:highlight w:val="none"/>
        </w:rPr>
        <w:t>)符合以</w:t>
      </w:r>
      <w:r>
        <w:rPr>
          <w:rFonts w:hint="eastAsia" w:ascii="宋体" w:cs="宋体"/>
          <w:b/>
          <w:bCs/>
          <w:kern w:val="0"/>
          <w:sz w:val="24"/>
          <w:szCs w:val="24"/>
          <w:highlight w:val="none"/>
          <w:lang w:val="en-US" w:eastAsia="zh-CN"/>
        </w:rPr>
        <w:t>下</w:t>
      </w:r>
      <w:r>
        <w:rPr>
          <w:rFonts w:hint="eastAsia" w:ascii="宋体" w:cs="宋体"/>
          <w:b/>
          <w:bCs/>
          <w:kern w:val="0"/>
          <w:sz w:val="24"/>
          <w:szCs w:val="24"/>
          <w:highlight w:val="none"/>
        </w:rPr>
        <w:t>情形之一的，作为无效响应：除政府采购法律法规规定的恶意串通、视同串通投标情形外，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36C5E123">
      <w:pPr>
        <w:widowControl w:val="0"/>
        <w:snapToGrid w:val="0"/>
        <w:spacing w:line="500" w:lineRule="exact"/>
        <w:jc w:val="left"/>
        <w:rPr>
          <w:rFonts w:ascii="宋体" w:cs="宋体"/>
          <w:color w:val="FF0000"/>
          <w:kern w:val="0"/>
          <w:sz w:val="24"/>
          <w:szCs w:val="24"/>
          <w:highlight w:val="none"/>
        </w:rPr>
      </w:pPr>
      <w:r>
        <w:rPr>
          <w:rFonts w:hint="eastAsia" w:ascii="宋体" w:cs="宋体"/>
          <w:kern w:val="0"/>
          <w:sz w:val="24"/>
          <w:szCs w:val="24"/>
          <w:highlight w:val="none"/>
        </w:rPr>
        <w:t>3.4 评标委员会发现投标文件有下列情形之一的属于重大偏差(评标委员会按少数服从多数原则认定),按照无效投标处理：</w:t>
      </w:r>
    </w:p>
    <w:p w14:paraId="51FD9F8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1）未按招标文件要求编制或字迹模糊、辨认不清的投标文件；</w:t>
      </w:r>
    </w:p>
    <w:p w14:paraId="601E400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2）除3.3条款以外，明显不符合招标文件要求的规格型号、质量标准，或者与招标文件中标“</w:t>
      </w:r>
      <w:r>
        <w:rPr>
          <w:rFonts w:hint="eastAsia" w:ascii="宋体" w:cs="宋体"/>
          <w:color w:val="FF0000"/>
          <w:sz w:val="24"/>
          <w:szCs w:val="24"/>
          <w:highlight w:val="none"/>
        </w:rPr>
        <w:t>▲</w:t>
      </w:r>
      <w:r>
        <w:rPr>
          <w:rFonts w:hint="eastAsia" w:ascii="宋体" w:cs="宋体"/>
          <w:kern w:val="0"/>
          <w:sz w:val="24"/>
          <w:szCs w:val="24"/>
          <w:highlight w:val="none"/>
        </w:rPr>
        <w:t xml:space="preserve">”的技术指标、主要功能项目发生实质性偏离的； </w:t>
      </w:r>
    </w:p>
    <w:p w14:paraId="1F1487A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3）除3.3条款以外，未提供或未如实提供投标货物的技术参数，或者投标文件标明的响应或偏离与事实不符或虚假投标的；</w:t>
      </w:r>
    </w:p>
    <w:p w14:paraId="50564FD9">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3.5、本次采购，如果投标供应商的投标报价均超出采购预算，本次招标做流标处理。</w:t>
      </w:r>
    </w:p>
    <w:p w14:paraId="7E88AE3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3.6、开启投标供应商报价文件后发现价格、数量有误，其投标价将按下述原则处理：</w:t>
      </w:r>
    </w:p>
    <w:p w14:paraId="7A24997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 任何有漏去一些小项货物或服务的投标将被视为其费用已包含在投标总价中，投标价格不予调整。</w:t>
      </w:r>
    </w:p>
    <w:p w14:paraId="351B3419">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 任何有多报一些小项工程或货物的投标其投标价不予调整，如果该投标供应商中标，则合同价格必须为核减掉多报的一些小项工程或货物后的价格。</w:t>
      </w:r>
    </w:p>
    <w:p w14:paraId="69D8D18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3）对于计算错误的其投标价不予调整，如果该投标供应商中标，如其投标价格计算错误导致多报者合同价格予以据实核减，少报者合同价格不予调整。</w:t>
      </w:r>
    </w:p>
    <w:p w14:paraId="0CAB0FF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19695E6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5）供应商不接受上述处理方式，将按无效投标处理。</w:t>
      </w:r>
    </w:p>
    <w:p w14:paraId="267CE10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4A47612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3.8、评标过程中遇到特殊情况，由评标委员会遵循公开、公正原则，采取投票方式按照少数服从多数原则决定。</w:t>
      </w:r>
    </w:p>
    <w:p w14:paraId="4AE294F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3.9、实质上没有响应招标文件要求的投标将被拒绝。评标委员会不得通过询标使投标供应商修正或撤消不合要求的偏离从而使其投标成为实质上响应的投标。</w:t>
      </w:r>
    </w:p>
    <w:p w14:paraId="73A6894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3.10、评标委员会对投标文件的判定，只依据投标内容本身，不依靠开标后的任何外来证明。</w:t>
      </w:r>
    </w:p>
    <w:p w14:paraId="145FDF3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3.11、评标委员会在评标中，不得改变招标文件中规定的评标标准、方法和中标条件。</w:t>
      </w:r>
    </w:p>
    <w:p w14:paraId="4608BE1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3.12、评标委员会对未中标的供应商不作解释。同时根据政府采购法实施条例第四十条规定，本项目不对各投标供应商公布详细的评审情况。</w:t>
      </w:r>
    </w:p>
    <w:p w14:paraId="7A12CD2C">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4、投标文件的澄清</w:t>
      </w:r>
    </w:p>
    <w:p w14:paraId="2F784D8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13C392F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4.2、投标供应商的澄清、说明应当通过“政府采购云平台”在线答复形式提交。投标供应商的澄清、说明不得超出投标文件的范围或者改变投标文件的实质性内容。 </w:t>
      </w:r>
    </w:p>
    <w:p w14:paraId="45F35D04">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5、有下列情形之一的，视为投标供应商相互串通投标：</w:t>
      </w:r>
    </w:p>
    <w:p w14:paraId="13F1661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5.1、不同投标供应商的投标文件由同一单位或者个人编制；</w:t>
      </w:r>
    </w:p>
    <w:p w14:paraId="6C00CD3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5.2、不同投标供应商委托同一单位或者个人办理投标事宜；</w:t>
      </w:r>
    </w:p>
    <w:p w14:paraId="42439A4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5.3、不同投标供应商的投标文件载明的项目管理成员为同一人；</w:t>
      </w:r>
    </w:p>
    <w:p w14:paraId="64096F6D">
      <w:pPr>
        <w:widowControl w:val="0"/>
        <w:snapToGrid w:val="0"/>
        <w:spacing w:line="500" w:lineRule="exact"/>
        <w:jc w:val="left"/>
        <w:rPr>
          <w:rFonts w:ascii="宋体" w:cs="宋体"/>
          <w:highlight w:val="none"/>
        </w:rPr>
      </w:pPr>
      <w:r>
        <w:rPr>
          <w:rFonts w:hint="eastAsia" w:ascii="宋体" w:cs="宋体"/>
          <w:kern w:val="0"/>
          <w:sz w:val="24"/>
          <w:szCs w:val="24"/>
          <w:highlight w:val="none"/>
        </w:rPr>
        <w:t>5.4、不同投标供应商的投标文件异常一致或者投标报价呈规律性差异。</w:t>
      </w:r>
    </w:p>
    <w:p w14:paraId="3F364DA8">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6、串通投标处理</w:t>
      </w:r>
    </w:p>
    <w:p w14:paraId="340D405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经评标委员会认定投标供应商进行串通投标的，评标委员会可以对相关投标供应商做出无效投标处理，并上报政府采购管理部门进行进一步处理。</w:t>
      </w:r>
    </w:p>
    <w:p w14:paraId="0DFA1698">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7、评标原则</w:t>
      </w:r>
    </w:p>
    <w:p w14:paraId="39D1F36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投标截止时或评审过程中有效投标供应商不足三家的，不予开标或评标。</w:t>
      </w:r>
    </w:p>
    <w:p w14:paraId="5B08F3C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评标委员会按照招标文件的要求和条件对投标文件进行商务和技术评估，综合比较与评价。评标办法具体见本招标文件第三章。</w:t>
      </w:r>
    </w:p>
    <w:p w14:paraId="471BAA06">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8、可中止电子交易活动的情形</w:t>
      </w:r>
    </w:p>
    <w:p w14:paraId="267DF9E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采购过程中出现以下情形，导致电子交易平台无法正常运行，或者无法保证电子交易的公平、公正和安全时，采购组织机构可中止电子交易活动：</w:t>
      </w:r>
    </w:p>
    <w:p w14:paraId="2402757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8.1、电子交易平台发生故障而无法登录访问的；</w:t>
      </w:r>
    </w:p>
    <w:p w14:paraId="60068CC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8.2、电子交易平台应用或数据库出现错误，不能进行正常操作的；</w:t>
      </w:r>
    </w:p>
    <w:p w14:paraId="4BD7F33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8.3、电子交易平台发现严重安全漏洞，有潜在泄密危险的；</w:t>
      </w:r>
    </w:p>
    <w:p w14:paraId="5D115F9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8.4、病毒发作导致不能进行正常操作的；</w:t>
      </w:r>
    </w:p>
    <w:p w14:paraId="39F0728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8.5、其他无法保证电子交易的公平、公正和安全的情况。</w:t>
      </w:r>
    </w:p>
    <w:p w14:paraId="4895AE6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出现前款规定情形，不影响采购公平、公正性的，采购组织机构可以待上述情形消除后继续组织电子交易活动；影响或可能影响采购公平、公正性的，应当重新采购。</w:t>
      </w:r>
    </w:p>
    <w:p w14:paraId="04B30EB6">
      <w:pPr>
        <w:widowControl w:val="0"/>
        <w:snapToGrid w:val="0"/>
        <w:spacing w:line="500" w:lineRule="exact"/>
        <w:jc w:val="left"/>
        <w:rPr>
          <w:rFonts w:ascii="宋体" w:cs="宋体"/>
          <w:b/>
          <w:bCs/>
          <w:kern w:val="0"/>
          <w:sz w:val="24"/>
          <w:szCs w:val="24"/>
          <w:highlight w:val="none"/>
        </w:rPr>
      </w:pPr>
      <w:bookmarkStart w:id="0" w:name="_Toc132123883"/>
      <w:bookmarkStart w:id="1" w:name="_Toc132123549"/>
      <w:bookmarkStart w:id="2" w:name="_Toc132125097"/>
      <w:bookmarkStart w:id="3" w:name="_Toc132123840"/>
      <w:bookmarkStart w:id="4" w:name="_Toc132122418"/>
      <w:bookmarkStart w:id="5" w:name="_Toc132122121"/>
      <w:bookmarkStart w:id="6" w:name="_Toc132123441"/>
      <w:bookmarkStart w:id="7" w:name="_Toc132125039"/>
      <w:bookmarkStart w:id="8" w:name="_Toc132123636"/>
      <w:bookmarkStart w:id="9" w:name="_Toc132655778"/>
      <w:bookmarkStart w:id="10" w:name="_Toc132125153"/>
      <w:bookmarkStart w:id="11" w:name="_Toc132125576"/>
      <w:bookmarkStart w:id="12" w:name="_Toc132124596"/>
      <w:bookmarkStart w:id="13" w:name="_Toc132126156"/>
      <w:bookmarkStart w:id="14" w:name="_Toc132125985"/>
      <w:r>
        <w:rPr>
          <w:rFonts w:hint="eastAsia" w:ascii="宋体" w:cs="宋体"/>
          <w:b/>
          <w:bCs/>
          <w:kern w:val="0"/>
          <w:sz w:val="24"/>
          <w:szCs w:val="24"/>
          <w:highlight w:val="none"/>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A377C0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9.1、中标条件</w:t>
      </w:r>
    </w:p>
    <w:p w14:paraId="1B64408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9.1.1投标文件基本符合招标文件要求，能够最大限度满足招标文件中规定的各项综合评价标准；</w:t>
      </w:r>
    </w:p>
    <w:p w14:paraId="63BFB76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9.1.2投标供应商有很好的执行合同的能力；</w:t>
      </w:r>
    </w:p>
    <w:p w14:paraId="17E4E7D8">
      <w:pPr>
        <w:widowControl w:val="0"/>
        <w:snapToGrid w:val="0"/>
        <w:spacing w:line="500" w:lineRule="exact"/>
        <w:ind w:firstLine="480" w:firstLineChars="200"/>
        <w:jc w:val="left"/>
        <w:rPr>
          <w:rFonts w:ascii="宋体" w:cs="宋体"/>
          <w:kern w:val="0"/>
          <w:sz w:val="24"/>
          <w:szCs w:val="24"/>
          <w:highlight w:val="none"/>
        </w:rPr>
      </w:pPr>
      <w:bookmarkStart w:id="15" w:name="_Toc132122419"/>
      <w:bookmarkStart w:id="16" w:name="_Toc132122122"/>
      <w:r>
        <w:rPr>
          <w:rFonts w:hint="eastAsia" w:ascii="宋体" w:cs="宋体"/>
          <w:kern w:val="0"/>
          <w:sz w:val="24"/>
          <w:szCs w:val="24"/>
          <w:highlight w:val="none"/>
        </w:rPr>
        <w:t>9.1.3投标供应商能够提供质量技术、商务经济占综合优势的产品及服务</w:t>
      </w:r>
      <w:bookmarkEnd w:id="15"/>
      <w:bookmarkEnd w:id="16"/>
      <w:r>
        <w:rPr>
          <w:rFonts w:hint="eastAsia" w:ascii="宋体" w:cs="宋体"/>
          <w:kern w:val="0"/>
          <w:sz w:val="24"/>
          <w:szCs w:val="24"/>
          <w:highlight w:val="none"/>
        </w:rPr>
        <w:t>。</w:t>
      </w:r>
    </w:p>
    <w:p w14:paraId="16EA28DA">
      <w:pPr>
        <w:widowControl w:val="0"/>
        <w:snapToGrid w:val="0"/>
        <w:spacing w:line="500" w:lineRule="exact"/>
        <w:jc w:val="left"/>
        <w:rPr>
          <w:rFonts w:ascii="宋体" w:cs="宋体"/>
          <w:kern w:val="0"/>
          <w:sz w:val="24"/>
          <w:szCs w:val="24"/>
          <w:highlight w:val="none"/>
        </w:rPr>
      </w:pPr>
      <w:bookmarkStart w:id="17" w:name="_Toc132122420"/>
      <w:bookmarkStart w:id="18" w:name="_Toc132122123"/>
      <w:r>
        <w:rPr>
          <w:rFonts w:hint="eastAsia" w:ascii="宋体" w:cs="宋体"/>
          <w:kern w:val="0"/>
          <w:sz w:val="24"/>
          <w:szCs w:val="24"/>
          <w:highlight w:val="none"/>
        </w:rPr>
        <w:t>9.2中标通知</w:t>
      </w:r>
      <w:bookmarkEnd w:id="17"/>
      <w:bookmarkEnd w:id="18"/>
    </w:p>
    <w:p w14:paraId="69FAAF4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9.2.1采购人依法确认中标供应商后，采购代理机构在浙江政府采购网公告中标结果，同时发出中标通知书，中标公告期限为1个工作日。</w:t>
      </w:r>
    </w:p>
    <w:p w14:paraId="45C14F7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9.2.2中标通知书对采购单位和中标供应商具有法律约束力。中标通知书发出后，采购人改变中标结果或者中标供应商放弃中标的，应当承担法律责任。</w:t>
      </w:r>
    </w:p>
    <w:p w14:paraId="1AF8698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9.3中标无效</w:t>
      </w:r>
    </w:p>
    <w:p w14:paraId="5A0213F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9.3.1发现中标供应商资格无效或中标供应商放弃中标或拒绝与采购人签订合同的,按相关规定执行。</w:t>
      </w:r>
    </w:p>
    <w:p w14:paraId="34C3BA0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9.3.2有《中华人民共和国政府采购法实施条例》第七十一条、第七十二条、第七十三条、第七十四条规定的违法行为之一，由政府采购监管部门依法处理。</w:t>
      </w:r>
    </w:p>
    <w:p w14:paraId="20C142CD">
      <w:pPr>
        <w:widowControl w:val="0"/>
        <w:snapToGrid w:val="0"/>
        <w:spacing w:line="500" w:lineRule="exact"/>
        <w:jc w:val="left"/>
        <w:rPr>
          <w:rFonts w:ascii="宋体" w:cs="宋体"/>
          <w:b/>
          <w:bCs/>
          <w:kern w:val="0"/>
          <w:sz w:val="24"/>
          <w:szCs w:val="24"/>
          <w:highlight w:val="none"/>
        </w:rPr>
      </w:pPr>
      <w:bookmarkStart w:id="19" w:name="_Toc132122124"/>
      <w:bookmarkStart w:id="20" w:name="_Toc132122421"/>
      <w:r>
        <w:rPr>
          <w:rFonts w:hint="eastAsia" w:ascii="宋体" w:cs="宋体"/>
          <w:b/>
          <w:bCs/>
          <w:kern w:val="0"/>
          <w:sz w:val="24"/>
          <w:szCs w:val="24"/>
          <w:highlight w:val="none"/>
        </w:rPr>
        <w:t>10、签订合同</w:t>
      </w:r>
      <w:bookmarkEnd w:id="19"/>
      <w:bookmarkEnd w:id="20"/>
    </w:p>
    <w:p w14:paraId="6952917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10.1除不可抗力等特殊情况外，采购人原则上应当在中标通知书发出之日起</w:t>
      </w:r>
      <w:r>
        <w:rPr>
          <w:rFonts w:hint="eastAsia" w:ascii="宋体" w:cs="宋体"/>
          <w:color w:val="FF0000"/>
          <w:kern w:val="0"/>
          <w:sz w:val="24"/>
          <w:szCs w:val="24"/>
          <w:highlight w:val="none"/>
        </w:rPr>
        <w:t>20日</w:t>
      </w:r>
      <w:r>
        <w:rPr>
          <w:rFonts w:hint="eastAsia" w:ascii="宋体" w:cs="宋体"/>
          <w:kern w:val="0"/>
          <w:sz w:val="24"/>
          <w:szCs w:val="24"/>
          <w:highlight w:val="none"/>
        </w:rPr>
        <w:t>内，与成交人按照采购文件确定的事项签订政府采购合同，并在签订之日起2个工作日内将政府采购合同在浙江政府采购网上公告。</w:t>
      </w:r>
    </w:p>
    <w:p w14:paraId="1DCB171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w:t>
      </w:r>
      <w:r>
        <w:rPr>
          <w:rFonts w:hint="eastAsia" w:ascii="宋体" w:cs="宋体"/>
          <w:kern w:val="0"/>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53A4C4C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10.3如签订合同并生效后，供应商无故拒绝或延期，除按照合同条款处理外，列入不良行为记录一次，并给予通报。</w:t>
      </w:r>
    </w:p>
    <w:p w14:paraId="6A89A2E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10.4成交人拒绝与采购人签订合同的，采购人可以按照评审报告推荐的中标或者成交候选人名单排序，确定下一候选人为成交人，也可以重新开展政府采购活动。</w:t>
      </w:r>
    </w:p>
    <w:p w14:paraId="4201BF2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10.5采购合同由采购人与成交人根据采购文件、磋商响应文件等内容通过政府采购电子交易平台在线签订，自动备案。</w:t>
      </w:r>
    </w:p>
    <w:p w14:paraId="0548EDE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10.6政府采购货物和服务项目不得收取质量保证金。政府采购工程以及与工程建设有关的货物、服务，采用招标方式采购的，按国家和省有关规定执行。</w:t>
      </w:r>
    </w:p>
    <w:p w14:paraId="402CFE15">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11、预付款</w:t>
      </w:r>
    </w:p>
    <w:p w14:paraId="248E1DD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377E7D4A">
      <w:pPr>
        <w:pageBreakBefore/>
        <w:widowControl w:val="0"/>
        <w:numPr>
          <w:ilvl w:val="0"/>
          <w:numId w:val="8"/>
        </w:numPr>
        <w:snapToGrid w:val="0"/>
        <w:spacing w:line="500" w:lineRule="exact"/>
        <w:ind w:firstLine="602" w:firstLineChars="200"/>
        <w:jc w:val="center"/>
        <w:rPr>
          <w:rFonts w:ascii="宋体" w:cs="宋体"/>
          <w:b/>
          <w:bCs/>
          <w:kern w:val="0"/>
          <w:sz w:val="30"/>
          <w:szCs w:val="30"/>
          <w:highlight w:val="none"/>
        </w:rPr>
      </w:pPr>
      <w:r>
        <w:rPr>
          <w:rFonts w:hint="eastAsia" w:ascii="宋体" w:cs="宋体"/>
          <w:b/>
          <w:bCs/>
          <w:kern w:val="0"/>
          <w:sz w:val="30"/>
          <w:szCs w:val="30"/>
          <w:highlight w:val="none"/>
        </w:rPr>
        <w:t>验收</w:t>
      </w:r>
    </w:p>
    <w:p w14:paraId="605AADB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983EC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2.采购人可以邀请参加本项目的其他供应商或者第三方机构参与验收。参与验收的供应商或者第三方机构的意见作为验收书的参考资料一并存档。</w:t>
      </w:r>
    </w:p>
    <w:p w14:paraId="154339B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EDDEF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4.采购人原则上应</w:t>
      </w:r>
      <w:r>
        <w:rPr>
          <w:rFonts w:hint="eastAsia" w:ascii="宋体" w:cs="宋体"/>
          <w:color w:val="auto"/>
          <w:kern w:val="0"/>
          <w:sz w:val="24"/>
          <w:szCs w:val="24"/>
          <w:highlight w:val="none"/>
        </w:rPr>
        <w:t>当在履约验收之日起2个工作日内，</w:t>
      </w:r>
      <w:r>
        <w:rPr>
          <w:rFonts w:hint="eastAsia" w:ascii="宋体" w:cs="宋体"/>
          <w:kern w:val="0"/>
          <w:sz w:val="24"/>
          <w:szCs w:val="24"/>
          <w:highlight w:val="none"/>
        </w:rPr>
        <w:t>将履约验收结果在浙江政府采购网上公告。</w:t>
      </w:r>
    </w:p>
    <w:p w14:paraId="3766038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5.验收合格的项目，采购人将根据采购合同的约定及时向供应商支付采购资金、退还履约保证金。</w:t>
      </w:r>
    </w:p>
    <w:p w14:paraId="4F9CD0F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52EBF2">
      <w:pPr>
        <w:pStyle w:val="5"/>
        <w:rPr>
          <w:highlight w:val="none"/>
        </w:rPr>
      </w:pPr>
    </w:p>
    <w:p w14:paraId="2A0C40E8">
      <w:pPr>
        <w:pStyle w:val="5"/>
        <w:rPr>
          <w:highlight w:val="none"/>
        </w:rPr>
      </w:pPr>
    </w:p>
    <w:p w14:paraId="6CA5E4FF">
      <w:pPr>
        <w:widowControl w:val="0"/>
        <w:snapToGrid w:val="0"/>
        <w:spacing w:line="500" w:lineRule="exact"/>
        <w:ind w:firstLine="420" w:firstLineChars="200"/>
        <w:jc w:val="left"/>
        <w:rPr>
          <w:rFonts w:ascii="宋体" w:cs="宋体"/>
          <w:highlight w:val="none"/>
        </w:rPr>
      </w:pPr>
      <w:r>
        <w:rPr>
          <w:rFonts w:hint="eastAsia" w:ascii="宋体" w:cs="宋体"/>
          <w:highlight w:val="none"/>
        </w:rPr>
        <w:br w:type="page"/>
      </w:r>
    </w:p>
    <w:p w14:paraId="0E081EEB">
      <w:pPr>
        <w:widowControl w:val="0"/>
        <w:spacing w:line="780" w:lineRule="exact"/>
        <w:jc w:val="center"/>
        <w:rPr>
          <w:rFonts w:ascii="宋体" w:cs="宋体"/>
          <w:highlight w:val="none"/>
        </w:rPr>
      </w:pPr>
    </w:p>
    <w:p w14:paraId="6841C89A">
      <w:pPr>
        <w:widowControl w:val="0"/>
        <w:spacing w:line="780" w:lineRule="exact"/>
        <w:jc w:val="center"/>
        <w:rPr>
          <w:rFonts w:ascii="宋体" w:cs="宋体"/>
          <w:highlight w:val="none"/>
        </w:rPr>
      </w:pPr>
    </w:p>
    <w:p w14:paraId="540F9774">
      <w:pPr>
        <w:widowControl w:val="0"/>
        <w:spacing w:line="780" w:lineRule="exact"/>
        <w:jc w:val="center"/>
        <w:rPr>
          <w:rFonts w:ascii="宋体" w:cs="宋体"/>
          <w:highlight w:val="none"/>
        </w:rPr>
      </w:pPr>
    </w:p>
    <w:p w14:paraId="179FAB1B">
      <w:pPr>
        <w:widowControl w:val="0"/>
        <w:spacing w:line="780" w:lineRule="exact"/>
        <w:jc w:val="center"/>
        <w:rPr>
          <w:rFonts w:ascii="宋体" w:cs="宋体"/>
          <w:highlight w:val="none"/>
        </w:rPr>
      </w:pPr>
    </w:p>
    <w:p w14:paraId="1BCBEDFC">
      <w:pPr>
        <w:widowControl w:val="0"/>
        <w:spacing w:line="780" w:lineRule="exact"/>
        <w:jc w:val="center"/>
        <w:rPr>
          <w:rFonts w:ascii="宋体" w:cs="宋体"/>
          <w:highlight w:val="none"/>
        </w:rPr>
      </w:pPr>
    </w:p>
    <w:p w14:paraId="4917ECDB">
      <w:pPr>
        <w:widowControl w:val="0"/>
        <w:spacing w:line="780" w:lineRule="exact"/>
        <w:jc w:val="center"/>
        <w:rPr>
          <w:rFonts w:ascii="宋体" w:cs="宋体"/>
          <w:highlight w:val="none"/>
        </w:rPr>
      </w:pPr>
    </w:p>
    <w:p w14:paraId="4745B6D6">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第三章</w:t>
      </w:r>
    </w:p>
    <w:p w14:paraId="1E0E3A62">
      <w:pPr>
        <w:widowControl w:val="0"/>
        <w:snapToGrid w:val="0"/>
        <w:spacing w:line="500" w:lineRule="exact"/>
        <w:jc w:val="center"/>
        <w:rPr>
          <w:rFonts w:ascii="宋体" w:cs="宋体"/>
          <w:kern w:val="0"/>
          <w:sz w:val="24"/>
          <w:szCs w:val="24"/>
          <w:highlight w:val="none"/>
        </w:rPr>
      </w:pPr>
      <w:r>
        <w:rPr>
          <w:rFonts w:hint="eastAsia" w:ascii="宋体" w:cs="宋体"/>
          <w:b/>
          <w:bCs/>
          <w:sz w:val="52"/>
          <w:szCs w:val="52"/>
          <w:highlight w:val="none"/>
        </w:rPr>
        <w:t>评标定标办法</w:t>
      </w:r>
      <w:r>
        <w:rPr>
          <w:rFonts w:hint="eastAsia" w:ascii="宋体" w:cs="宋体"/>
          <w:highlight w:val="none"/>
        </w:rPr>
        <w:br w:type="page"/>
      </w:r>
      <w:bookmarkStart w:id="21" w:name="_Toc31816"/>
      <w:r>
        <w:rPr>
          <w:rFonts w:hint="eastAsia" w:ascii="宋体" w:cs="宋体"/>
          <w:b/>
          <w:bCs/>
          <w:kern w:val="0"/>
          <w:sz w:val="32"/>
          <w:szCs w:val="32"/>
          <w:highlight w:val="none"/>
        </w:rPr>
        <w:t>一、总则</w:t>
      </w:r>
      <w:bookmarkEnd w:id="21"/>
    </w:p>
    <w:p w14:paraId="40B5924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本评标办法遵照《中华人民共和国政府采购法》等政府采购有关规定，并结合本项目的具体情况制定。</w:t>
      </w:r>
    </w:p>
    <w:p w14:paraId="455E75A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0C63331D">
      <w:pPr>
        <w:widowControl w:val="0"/>
        <w:snapToGrid w:val="0"/>
        <w:spacing w:line="500" w:lineRule="exact"/>
        <w:jc w:val="left"/>
        <w:rPr>
          <w:rFonts w:ascii="宋体" w:cs="宋体"/>
          <w:b/>
          <w:bCs/>
          <w:kern w:val="0"/>
          <w:sz w:val="32"/>
          <w:szCs w:val="32"/>
          <w:highlight w:val="none"/>
        </w:rPr>
      </w:pPr>
      <w:bookmarkStart w:id="22" w:name="_Toc20091"/>
      <w:r>
        <w:rPr>
          <w:rFonts w:hint="eastAsia" w:ascii="宋体" w:cs="宋体"/>
          <w:b/>
          <w:bCs/>
          <w:kern w:val="0"/>
          <w:sz w:val="32"/>
          <w:szCs w:val="32"/>
          <w:highlight w:val="none"/>
        </w:rPr>
        <w:t>二、评标组织</w:t>
      </w:r>
      <w:bookmarkEnd w:id="22"/>
    </w:p>
    <w:p w14:paraId="1A7530F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评标工作由采购人依法组建的评标委员会负责。评标委员会负责审标、询标、评审等工作，并向采购人提出评审意见和评标报告。</w:t>
      </w:r>
    </w:p>
    <w:p w14:paraId="05CC969B">
      <w:pPr>
        <w:widowControl w:val="0"/>
        <w:snapToGrid w:val="0"/>
        <w:spacing w:line="500" w:lineRule="exact"/>
        <w:jc w:val="left"/>
        <w:rPr>
          <w:rFonts w:ascii="宋体" w:cs="宋体"/>
          <w:b/>
          <w:bCs/>
          <w:kern w:val="0"/>
          <w:sz w:val="32"/>
          <w:szCs w:val="32"/>
          <w:highlight w:val="none"/>
        </w:rPr>
      </w:pPr>
      <w:bookmarkStart w:id="23" w:name="_Toc22667"/>
      <w:r>
        <w:rPr>
          <w:rFonts w:hint="eastAsia" w:ascii="宋体" w:cs="宋体"/>
          <w:b/>
          <w:bCs/>
          <w:kern w:val="0"/>
          <w:sz w:val="32"/>
          <w:szCs w:val="32"/>
          <w:highlight w:val="none"/>
        </w:rPr>
        <w:t>三、符合性审查</w:t>
      </w:r>
      <w:bookmarkEnd w:id="23"/>
    </w:p>
    <w:p w14:paraId="6E999C75">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评标委员会对投标文件依据招标文件规定进行符合性审查。符合性审查条件详见《第二章  投标人须知》</w:t>
      </w:r>
      <w:r>
        <w:rPr>
          <w:rFonts w:hint="eastAsia" w:ascii="宋体" w:cs="宋体"/>
          <w:kern w:val="0"/>
          <w:sz w:val="24"/>
          <w:szCs w:val="24"/>
          <w:highlight w:val="none"/>
          <w:lang w:eastAsia="zh-CN"/>
        </w:rPr>
        <w:t>。</w:t>
      </w:r>
    </w:p>
    <w:p w14:paraId="133E85DA">
      <w:pPr>
        <w:widowControl w:val="0"/>
        <w:snapToGrid w:val="0"/>
        <w:spacing w:line="500" w:lineRule="exact"/>
        <w:jc w:val="left"/>
        <w:rPr>
          <w:rFonts w:ascii="宋体" w:cs="宋体"/>
          <w:b/>
          <w:bCs/>
          <w:kern w:val="0"/>
          <w:sz w:val="32"/>
          <w:szCs w:val="32"/>
          <w:highlight w:val="none"/>
        </w:rPr>
      </w:pPr>
      <w:bookmarkStart w:id="24" w:name="_Toc9937"/>
      <w:r>
        <w:rPr>
          <w:rFonts w:hint="eastAsia" w:ascii="宋体" w:cs="宋体"/>
          <w:b/>
          <w:bCs/>
          <w:kern w:val="0"/>
          <w:sz w:val="32"/>
          <w:szCs w:val="32"/>
          <w:highlight w:val="none"/>
        </w:rPr>
        <w:t>四、投标文件的澄清、说明或者补正</w:t>
      </w:r>
      <w:bookmarkEnd w:id="24"/>
    </w:p>
    <w:p w14:paraId="7C58BBA4">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投标人根据评标委员会要求对投标文件进行澄清、说明或者补正。评标期间，投标人应随时随地答复评标委员会的询标。程序要求详见《第二章  投标人须知》</w:t>
      </w:r>
      <w:r>
        <w:rPr>
          <w:rFonts w:hint="eastAsia" w:ascii="宋体" w:cs="宋体"/>
          <w:kern w:val="0"/>
          <w:sz w:val="24"/>
          <w:szCs w:val="24"/>
          <w:highlight w:val="none"/>
          <w:lang w:eastAsia="zh-CN"/>
        </w:rPr>
        <w:t>。</w:t>
      </w:r>
    </w:p>
    <w:p w14:paraId="656D35D2">
      <w:pPr>
        <w:widowControl w:val="0"/>
        <w:snapToGrid w:val="0"/>
        <w:spacing w:line="500" w:lineRule="exact"/>
        <w:jc w:val="left"/>
        <w:rPr>
          <w:rFonts w:ascii="宋体" w:cs="宋体"/>
          <w:kern w:val="0"/>
          <w:sz w:val="24"/>
          <w:szCs w:val="24"/>
          <w:highlight w:val="none"/>
        </w:rPr>
      </w:pPr>
      <w:bookmarkStart w:id="25" w:name="_Toc27471"/>
      <w:r>
        <w:rPr>
          <w:rFonts w:hint="eastAsia" w:ascii="宋体" w:cs="宋体"/>
          <w:b/>
          <w:bCs/>
          <w:kern w:val="0"/>
          <w:sz w:val="32"/>
          <w:szCs w:val="32"/>
          <w:highlight w:val="none"/>
        </w:rPr>
        <w:t>五、评标细则</w:t>
      </w:r>
      <w:bookmarkEnd w:id="25"/>
    </w:p>
    <w:p w14:paraId="52947F2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1、本项目采用综合评分法（总分100分）。</w:t>
      </w:r>
    </w:p>
    <w:p w14:paraId="25151333">
      <w:pPr>
        <w:widowControl w:val="0"/>
        <w:snapToGrid w:val="0"/>
        <w:spacing w:line="500" w:lineRule="exact"/>
        <w:ind w:firstLine="480" w:firstLineChars="200"/>
        <w:jc w:val="left"/>
        <w:rPr>
          <w:rFonts w:ascii="宋体" w:cs="宋体"/>
          <w:color w:val="00B0F0"/>
          <w:kern w:val="0"/>
          <w:sz w:val="24"/>
          <w:szCs w:val="24"/>
          <w:highlight w:val="none"/>
        </w:rPr>
      </w:pPr>
      <w:r>
        <w:rPr>
          <w:rFonts w:hint="eastAsia" w:ascii="宋体" w:cs="宋体"/>
          <w:kern w:val="0"/>
          <w:sz w:val="24"/>
          <w:szCs w:val="24"/>
          <w:highlight w:val="none"/>
        </w:rPr>
        <w:t>评标委员会根据本评标办法进行评审，对符合性审查合格的投标文件进行商务和技术评估，综合比较与评价。每个投标人最终得分=商务技术分+价格分。</w:t>
      </w:r>
    </w:p>
    <w:p w14:paraId="0B26DF3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2、评审时，评标委员会各成员应当独立对每个有效响应的文件进行评价、打分，然后汇总每个投标人每项评分因素的得分。</w:t>
      </w:r>
    </w:p>
    <w:p w14:paraId="0552CB5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3、对投标人的价格分等客观评分项的评分应当一致，对其他需要借助专业知识评判的主观评分项，应当严格按照评分细则公正评分。</w:t>
      </w:r>
    </w:p>
    <w:p w14:paraId="138100D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w:t>
      </w:r>
      <w:r>
        <w:rPr>
          <w:rFonts w:hint="eastAsia" w:ascii="宋体" w:cs="宋体"/>
          <w:sz w:val="24"/>
          <w:szCs w:val="24"/>
          <w:highlight w:val="none"/>
        </w:rPr>
        <w:t>评标结果按投标文件满足招标文件全部实质性要求且评审后总分由高到低顺序排列，推荐总分</w:t>
      </w:r>
      <w:bookmarkStart w:id="26" w:name="OLE_LINK3"/>
      <w:r>
        <w:rPr>
          <w:rFonts w:hint="eastAsia" w:ascii="宋体" w:cs="宋体"/>
          <w:sz w:val="24"/>
          <w:szCs w:val="24"/>
          <w:highlight w:val="none"/>
        </w:rPr>
        <w:t>第一名</w:t>
      </w:r>
      <w:bookmarkEnd w:id="26"/>
      <w:r>
        <w:rPr>
          <w:rFonts w:hint="eastAsia" w:ascii="宋体" w:cs="宋体"/>
          <w:sz w:val="24"/>
          <w:szCs w:val="24"/>
          <w:highlight w:val="none"/>
        </w:rPr>
        <w:t>的供应商为中标候选人。</w:t>
      </w:r>
      <w:r>
        <w:rPr>
          <w:rFonts w:hint="eastAsia" w:ascii="宋体" w:cs="宋体"/>
          <w:kern w:val="0"/>
          <w:sz w:val="24"/>
          <w:szCs w:val="24"/>
          <w:highlight w:val="none"/>
        </w:rPr>
        <w:t>如果第一名得分相同，以投标报价低的优先；投标报价也相同，则以政采云系统记录的投标文件解密时间排序在前面的优先</w:t>
      </w:r>
      <w:r>
        <w:rPr>
          <w:rFonts w:hint="eastAsia" w:ascii="宋体" w:cs="宋体"/>
          <w:kern w:val="0"/>
          <w:sz w:val="24"/>
          <w:szCs w:val="24"/>
          <w:highlight w:val="none"/>
          <w:lang w:eastAsia="zh-CN"/>
        </w:rPr>
        <w:t>；</w:t>
      </w:r>
      <w:r>
        <w:rPr>
          <w:rFonts w:hint="eastAsia" w:ascii="宋体" w:cs="宋体"/>
          <w:kern w:val="0"/>
          <w:sz w:val="24"/>
          <w:szCs w:val="24"/>
          <w:highlight w:val="none"/>
        </w:rPr>
        <w:t>并编写评标报告。</w:t>
      </w:r>
    </w:p>
    <w:p w14:paraId="49F8373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5、评分因素及分值范围</w:t>
      </w:r>
    </w:p>
    <w:p w14:paraId="72250867">
      <w:pPr>
        <w:widowControl w:val="0"/>
        <w:snapToGrid w:val="0"/>
        <w:spacing w:line="500" w:lineRule="exact"/>
        <w:ind w:firstLine="480" w:firstLineChars="200"/>
        <w:jc w:val="left"/>
        <w:rPr>
          <w:rFonts w:ascii="宋体" w:cs="宋体"/>
          <w:kern w:val="0"/>
          <w:sz w:val="24"/>
          <w:szCs w:val="24"/>
          <w:highlight w:val="none"/>
        </w:rPr>
      </w:pPr>
      <w:bookmarkStart w:id="27" w:name="_Toc345320402"/>
      <w:r>
        <w:rPr>
          <w:rFonts w:hint="eastAsia" w:ascii="宋体" w:cs="宋体"/>
          <w:kern w:val="0"/>
          <w:sz w:val="24"/>
          <w:szCs w:val="24"/>
          <w:highlight w:val="none"/>
        </w:rPr>
        <w:t>5.1 商务技术分</w:t>
      </w:r>
      <w:bookmarkEnd w:id="27"/>
      <w:r>
        <w:rPr>
          <w:rFonts w:hint="eastAsia" w:ascii="宋体" w:cs="宋体"/>
          <w:kern w:val="0"/>
          <w:sz w:val="24"/>
          <w:szCs w:val="24"/>
          <w:highlight w:val="none"/>
        </w:rPr>
        <w:t>（</w:t>
      </w:r>
      <w:r>
        <w:rPr>
          <w:rFonts w:hint="eastAsia" w:ascii="宋体" w:cs="宋体"/>
          <w:kern w:val="0"/>
          <w:sz w:val="24"/>
          <w:szCs w:val="24"/>
          <w:highlight w:val="none"/>
          <w:lang w:val="en-US" w:eastAsia="zh-CN"/>
        </w:rPr>
        <w:t>8</w:t>
      </w:r>
      <w:r>
        <w:rPr>
          <w:rFonts w:hint="eastAsia" w:ascii="宋体" w:cs="宋体"/>
          <w:kern w:val="0"/>
          <w:sz w:val="24"/>
          <w:szCs w:val="24"/>
          <w:highlight w:val="none"/>
        </w:rPr>
        <w:t>0分）</w:t>
      </w:r>
    </w:p>
    <w:p w14:paraId="48CBADD7">
      <w:pPr>
        <w:widowControl w:val="0"/>
        <w:snapToGrid w:val="0"/>
        <w:spacing w:line="500" w:lineRule="exact"/>
        <w:jc w:val="left"/>
        <w:rPr>
          <w:rFonts w:ascii="宋体" w:cs="宋体"/>
          <w:highlight w:val="none"/>
        </w:rPr>
      </w:pPr>
      <w:r>
        <w:rPr>
          <w:rFonts w:hint="eastAsia" w:ascii="宋体" w:cs="宋体"/>
          <w:kern w:val="0"/>
          <w:sz w:val="24"/>
          <w:szCs w:val="24"/>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59C354F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(注：请投标人在制作电子投标文件时设置与各评分条款对应的关联定位。)</w:t>
      </w:r>
    </w:p>
    <w:tbl>
      <w:tblPr>
        <w:tblStyle w:val="32"/>
        <w:tblW w:w="9322" w:type="dxa"/>
        <w:tblInd w:w="0" w:type="dxa"/>
        <w:tblLayout w:type="fixed"/>
        <w:tblCellMar>
          <w:top w:w="0" w:type="dxa"/>
          <w:left w:w="108" w:type="dxa"/>
          <w:bottom w:w="0" w:type="dxa"/>
          <w:right w:w="108" w:type="dxa"/>
        </w:tblCellMar>
      </w:tblPr>
      <w:tblGrid>
        <w:gridCol w:w="1204"/>
        <w:gridCol w:w="7268"/>
        <w:gridCol w:w="850"/>
      </w:tblGrid>
      <w:tr w14:paraId="076E33E1">
        <w:tblPrEx>
          <w:tblCellMar>
            <w:top w:w="0" w:type="dxa"/>
            <w:left w:w="108" w:type="dxa"/>
            <w:bottom w:w="0" w:type="dxa"/>
            <w:right w:w="108" w:type="dxa"/>
          </w:tblCellMar>
        </w:tblPrEx>
        <w:trPr>
          <w:trHeight w:val="548" w:hRule="atLeast"/>
        </w:trPr>
        <w:tc>
          <w:tcPr>
            <w:tcW w:w="1204" w:type="dxa"/>
            <w:tcBorders>
              <w:top w:val="single" w:color="auto" w:sz="8" w:space="0"/>
              <w:left w:val="single" w:color="auto" w:sz="8" w:space="0"/>
              <w:bottom w:val="single" w:color="auto" w:sz="4" w:space="0"/>
              <w:right w:val="single" w:color="auto" w:sz="8" w:space="0"/>
            </w:tcBorders>
            <w:noWrap w:val="0"/>
            <w:vAlign w:val="center"/>
          </w:tcPr>
          <w:p w14:paraId="4522A8B5">
            <w:pPr>
              <w:spacing w:line="320" w:lineRule="exact"/>
              <w:jc w:val="left"/>
              <w:rPr>
                <w:rFonts w:ascii="宋体" w:hAnsi="宋体" w:cs="宋体"/>
                <w:color w:val="000000"/>
                <w:sz w:val="24"/>
              </w:rPr>
            </w:pPr>
            <w:r>
              <w:rPr>
                <w:rFonts w:hint="eastAsia" w:ascii="宋体" w:hAnsi="宋体" w:cs="宋体"/>
                <w:color w:val="000000"/>
                <w:sz w:val="24"/>
              </w:rPr>
              <w:t>评分项目</w:t>
            </w:r>
          </w:p>
        </w:tc>
        <w:tc>
          <w:tcPr>
            <w:tcW w:w="7268" w:type="dxa"/>
            <w:tcBorders>
              <w:top w:val="single" w:color="auto" w:sz="8" w:space="0"/>
              <w:left w:val="nil"/>
              <w:bottom w:val="single" w:color="auto" w:sz="4" w:space="0"/>
              <w:right w:val="single" w:color="auto" w:sz="8" w:space="0"/>
            </w:tcBorders>
            <w:noWrap w:val="0"/>
            <w:vAlign w:val="center"/>
          </w:tcPr>
          <w:p w14:paraId="0C19B06C">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评标要点及说明</w:t>
            </w:r>
          </w:p>
        </w:tc>
        <w:tc>
          <w:tcPr>
            <w:tcW w:w="850" w:type="dxa"/>
            <w:tcBorders>
              <w:top w:val="single" w:color="auto" w:sz="8" w:space="0"/>
              <w:left w:val="nil"/>
              <w:bottom w:val="single" w:color="auto" w:sz="8" w:space="0"/>
              <w:right w:val="single" w:color="auto" w:sz="8" w:space="0"/>
            </w:tcBorders>
            <w:noWrap w:val="0"/>
            <w:vAlign w:val="center"/>
          </w:tcPr>
          <w:p w14:paraId="476A22B3">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分值</w:t>
            </w:r>
          </w:p>
        </w:tc>
      </w:tr>
      <w:tr w14:paraId="38DA77C9">
        <w:tblPrEx>
          <w:tblCellMar>
            <w:top w:w="0" w:type="dxa"/>
            <w:left w:w="108" w:type="dxa"/>
            <w:bottom w:w="0" w:type="dxa"/>
            <w:right w:w="108" w:type="dxa"/>
          </w:tblCellMar>
        </w:tblPrEx>
        <w:trPr>
          <w:trHeight w:val="935"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1AF30320">
            <w:pPr>
              <w:spacing w:line="42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业绩</w:t>
            </w:r>
          </w:p>
        </w:tc>
        <w:tc>
          <w:tcPr>
            <w:tcW w:w="7268" w:type="dxa"/>
            <w:tcBorders>
              <w:top w:val="single" w:color="auto" w:sz="4" w:space="0"/>
              <w:left w:val="single" w:color="auto" w:sz="4" w:space="0"/>
              <w:bottom w:val="single" w:color="auto" w:sz="4" w:space="0"/>
              <w:right w:val="single" w:color="auto" w:sz="4" w:space="0"/>
            </w:tcBorders>
            <w:noWrap w:val="0"/>
            <w:vAlign w:val="center"/>
          </w:tcPr>
          <w:p w14:paraId="0F82E14F">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提供2022年1月1号以来(以合同签订时间为准)的同类业绩情况，每提供一项同类业绩得1分，并提供业绩对应项目合同关键页、发票扫描件。（对省级以上主管部门认定的首台套产品，自纳入《省推广应用指导目录》起三年内参加政府采购活动，视同已具备相应销售业绩，业绩分为满分。）</w:t>
            </w:r>
          </w:p>
        </w:tc>
        <w:tc>
          <w:tcPr>
            <w:tcW w:w="850" w:type="dxa"/>
            <w:tcBorders>
              <w:top w:val="single" w:color="auto" w:sz="4" w:space="0"/>
              <w:left w:val="single" w:color="auto" w:sz="4" w:space="0"/>
              <w:bottom w:val="single" w:color="auto" w:sz="4" w:space="0"/>
              <w:right w:val="single" w:color="auto" w:sz="8" w:space="0"/>
            </w:tcBorders>
            <w:noWrap w:val="0"/>
            <w:vAlign w:val="center"/>
          </w:tcPr>
          <w:p w14:paraId="5A53D7E9">
            <w:pPr>
              <w:spacing w:line="42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2</w:t>
            </w:r>
          </w:p>
        </w:tc>
      </w:tr>
      <w:tr w14:paraId="6EB0E3E6">
        <w:tblPrEx>
          <w:tblCellMar>
            <w:top w:w="0" w:type="dxa"/>
            <w:left w:w="108" w:type="dxa"/>
            <w:bottom w:w="0" w:type="dxa"/>
            <w:right w:w="108" w:type="dxa"/>
          </w:tblCellMar>
        </w:tblPrEx>
        <w:trPr>
          <w:trHeight w:val="935"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33F98C59">
            <w:pPr>
              <w:spacing w:line="420" w:lineRule="exact"/>
              <w:jc w:val="center"/>
              <w:rPr>
                <w:rFonts w:hint="eastAsia" w:ascii="宋体" w:hAnsi="宋体" w:cs="宋体"/>
                <w:color w:val="000000"/>
                <w:sz w:val="24"/>
              </w:rPr>
            </w:pPr>
            <w:r>
              <w:rPr>
                <w:rFonts w:hint="eastAsia" w:ascii="宋体" w:hAnsi="宋体" w:cs="宋体"/>
                <w:color w:val="000000"/>
                <w:sz w:val="24"/>
              </w:rPr>
              <w:t>企业</w:t>
            </w:r>
            <w:r>
              <w:rPr>
                <w:rFonts w:hint="eastAsia" w:ascii="宋体" w:hAnsi="宋体" w:cs="宋体"/>
                <w:color w:val="000000"/>
                <w:sz w:val="24"/>
                <w:lang w:val="en-US" w:eastAsia="zh-CN"/>
              </w:rPr>
              <w:t>综合</w:t>
            </w:r>
            <w:r>
              <w:rPr>
                <w:rFonts w:hint="eastAsia" w:ascii="宋体" w:hAnsi="宋体" w:cs="宋体"/>
                <w:color w:val="000000"/>
                <w:sz w:val="24"/>
              </w:rPr>
              <w:t>实力</w:t>
            </w:r>
          </w:p>
        </w:tc>
        <w:tc>
          <w:tcPr>
            <w:tcW w:w="7268" w:type="dxa"/>
            <w:tcBorders>
              <w:top w:val="single" w:color="auto" w:sz="4" w:space="0"/>
              <w:left w:val="single" w:color="auto" w:sz="4" w:space="0"/>
              <w:bottom w:val="single" w:color="auto" w:sz="4" w:space="0"/>
              <w:right w:val="single" w:color="auto" w:sz="4" w:space="0"/>
            </w:tcBorders>
            <w:noWrap w:val="0"/>
            <w:vAlign w:val="center"/>
          </w:tcPr>
          <w:p w14:paraId="0C783654">
            <w:pPr>
              <w:widowControl/>
              <w:jc w:val="left"/>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根据投标人提供的整体经营状况、公司技术力量、服务团队由专家进行评分。</w:t>
            </w:r>
          </w:p>
        </w:tc>
        <w:tc>
          <w:tcPr>
            <w:tcW w:w="850" w:type="dxa"/>
            <w:tcBorders>
              <w:top w:val="single" w:color="auto" w:sz="4" w:space="0"/>
              <w:left w:val="single" w:color="auto" w:sz="4" w:space="0"/>
              <w:bottom w:val="single" w:color="auto" w:sz="4" w:space="0"/>
              <w:right w:val="single" w:color="auto" w:sz="8" w:space="0"/>
            </w:tcBorders>
            <w:noWrap w:val="0"/>
            <w:vAlign w:val="center"/>
          </w:tcPr>
          <w:p w14:paraId="5AC42A2D">
            <w:pPr>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r>
      <w:tr w14:paraId="64CDFA02">
        <w:tblPrEx>
          <w:tblCellMar>
            <w:top w:w="0" w:type="dxa"/>
            <w:left w:w="108" w:type="dxa"/>
            <w:bottom w:w="0" w:type="dxa"/>
            <w:right w:w="108" w:type="dxa"/>
          </w:tblCellMar>
        </w:tblPrEx>
        <w:trPr>
          <w:trHeight w:val="4013" w:hRule="atLeast"/>
        </w:trPr>
        <w:tc>
          <w:tcPr>
            <w:tcW w:w="1204" w:type="dxa"/>
            <w:tcBorders>
              <w:top w:val="single" w:color="auto" w:sz="4" w:space="0"/>
              <w:left w:val="single" w:color="auto" w:sz="4" w:space="0"/>
              <w:right w:val="single" w:color="auto" w:sz="4" w:space="0"/>
            </w:tcBorders>
            <w:noWrap w:val="0"/>
            <w:vAlign w:val="center"/>
          </w:tcPr>
          <w:p w14:paraId="19D4AAD9">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拟派本项目团</w:t>
            </w:r>
            <w:r>
              <w:rPr>
                <w:rFonts w:hint="default" w:ascii="宋体" w:hAnsi="宋体" w:eastAsia="宋体" w:cs="宋体"/>
                <w:i w:val="0"/>
                <w:iCs w:val="0"/>
                <w:color w:val="000000"/>
                <w:kern w:val="0"/>
                <w:sz w:val="24"/>
                <w:szCs w:val="24"/>
                <w:u w:val="none"/>
                <w:lang w:val="en-US" w:eastAsia="zh-CN" w:bidi="ar"/>
              </w:rPr>
              <w:t>队人员的整体</w:t>
            </w:r>
          </w:p>
          <w:p w14:paraId="0AEEDA3A">
            <w:pPr>
              <w:widowControl/>
              <w:jc w:val="left"/>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实力</w:t>
            </w:r>
          </w:p>
          <w:p w14:paraId="495679D5">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single" w:color="auto" w:sz="4" w:space="0"/>
              <w:left w:val="single" w:color="auto" w:sz="4" w:space="0"/>
              <w:bottom w:val="single" w:color="auto" w:sz="4" w:space="0"/>
              <w:right w:val="single" w:color="auto" w:sz="8" w:space="0"/>
            </w:tcBorders>
            <w:noWrap w:val="0"/>
            <w:vAlign w:val="center"/>
          </w:tcPr>
          <w:p w14:paraId="0DDAA893">
            <w:pPr>
              <w:widowControl/>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项目经理：</w:t>
            </w:r>
          </w:p>
          <w:p w14:paraId="3C84B006">
            <w:pPr>
              <w:widowControl/>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具有信息系统项目管理师、网络规划设计师、系统架构设计师资格证书的，每有一本证书得2分，本项最高得4分。</w:t>
            </w:r>
          </w:p>
          <w:p w14:paraId="63B5A39B">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（2）技术负责人（项目经理除外）：</w:t>
            </w:r>
          </w:p>
          <w:p w14:paraId="4DCEE79B">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具有信息系统项目管理师、网络规划设计师、系统集成项目管理工程师、网络工程师、信息系统监理师、</w:t>
            </w:r>
            <w:r>
              <w:rPr>
                <w:rFonts w:hint="eastAsia" w:ascii="宋体" w:cs="宋体"/>
                <w:i w:val="0"/>
                <w:iCs w:val="0"/>
                <w:color w:val="000000"/>
                <w:kern w:val="0"/>
                <w:sz w:val="24"/>
                <w:szCs w:val="24"/>
                <w:u w:val="none"/>
                <w:lang w:val="en-US" w:eastAsia="zh-CN" w:bidi="ar"/>
              </w:rPr>
              <w:t>CISP</w:t>
            </w:r>
            <w:r>
              <w:rPr>
                <w:rFonts w:hint="eastAsia" w:ascii="宋体" w:hAnsi="宋体" w:eastAsia="宋体" w:cs="宋体"/>
                <w:i w:val="0"/>
                <w:iCs w:val="0"/>
                <w:color w:val="000000"/>
                <w:kern w:val="0"/>
                <w:sz w:val="24"/>
                <w:szCs w:val="24"/>
                <w:u w:val="none"/>
                <w:lang w:val="en-US" w:eastAsia="zh-CN" w:bidi="ar"/>
              </w:rPr>
              <w:t>等证书的，每有一本证书得1分，本项最高得3分。</w:t>
            </w:r>
          </w:p>
          <w:p w14:paraId="069D8FAF">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（3）实施团队成员（项目经理、技术负责人除外）</w:t>
            </w:r>
          </w:p>
          <w:p w14:paraId="507249B6">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具有网络工程师证书或网络规划设计师证书的，每有一人得1分，本项最高得3分。</w:t>
            </w:r>
          </w:p>
          <w:p w14:paraId="428A8490">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注：响应文件中需提供：1、人员证书扫描件 2、投标人为其缴纳的投标截止前近1个月社保费缴纳的记录（可以为税务或社保机构官方网站查询结果）。</w:t>
            </w:r>
          </w:p>
        </w:tc>
        <w:tc>
          <w:tcPr>
            <w:tcW w:w="850" w:type="dxa"/>
            <w:tcBorders>
              <w:top w:val="single" w:color="auto" w:sz="4" w:space="0"/>
              <w:left w:val="nil"/>
              <w:bottom w:val="single" w:color="auto" w:sz="4" w:space="0"/>
              <w:right w:val="single" w:color="auto" w:sz="8" w:space="0"/>
            </w:tcBorders>
            <w:noWrap w:val="0"/>
            <w:vAlign w:val="center"/>
          </w:tcPr>
          <w:p w14:paraId="577994FE">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3E5B1561">
        <w:tblPrEx>
          <w:tblCellMar>
            <w:top w:w="0" w:type="dxa"/>
            <w:left w:w="108" w:type="dxa"/>
            <w:bottom w:w="0" w:type="dxa"/>
            <w:right w:w="108" w:type="dxa"/>
          </w:tblCellMar>
        </w:tblPrEx>
        <w:trPr>
          <w:trHeight w:val="1198" w:hRule="atLeast"/>
        </w:trPr>
        <w:tc>
          <w:tcPr>
            <w:tcW w:w="1204" w:type="dxa"/>
            <w:vMerge w:val="restart"/>
            <w:tcBorders>
              <w:top w:val="single" w:color="auto" w:sz="4" w:space="0"/>
              <w:left w:val="single" w:color="auto" w:sz="4" w:space="0"/>
              <w:bottom w:val="single" w:color="auto" w:sz="4" w:space="0"/>
              <w:right w:val="single" w:color="auto" w:sz="4" w:space="0"/>
            </w:tcBorders>
            <w:noWrap w:val="0"/>
            <w:vAlign w:val="center"/>
          </w:tcPr>
          <w:p w14:paraId="6D76DE03">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项目方案</w:t>
            </w:r>
          </w:p>
        </w:tc>
        <w:tc>
          <w:tcPr>
            <w:tcW w:w="7268" w:type="dxa"/>
            <w:tcBorders>
              <w:top w:val="nil"/>
              <w:left w:val="single" w:color="auto" w:sz="4" w:space="0"/>
              <w:bottom w:val="single" w:color="auto" w:sz="8" w:space="0"/>
              <w:right w:val="single" w:color="auto" w:sz="8" w:space="0"/>
            </w:tcBorders>
            <w:noWrap w:val="0"/>
            <w:vAlign w:val="center"/>
          </w:tcPr>
          <w:p w14:paraId="2DC4D84D">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根据投标方对本政务外网的理解程度，对现有网络拓扑、系统硬件资源、业务和数据状况及其他资源、环境的熟悉程度进行打分。（6,5,4,3,2,1,0）</w:t>
            </w:r>
          </w:p>
        </w:tc>
        <w:tc>
          <w:tcPr>
            <w:tcW w:w="850" w:type="dxa"/>
            <w:tcBorders>
              <w:top w:val="single" w:color="auto" w:sz="4" w:space="0"/>
              <w:left w:val="nil"/>
              <w:bottom w:val="single" w:color="auto" w:sz="8" w:space="0"/>
              <w:right w:val="single" w:color="auto" w:sz="8" w:space="0"/>
            </w:tcBorders>
            <w:noWrap w:val="0"/>
            <w:vAlign w:val="center"/>
          </w:tcPr>
          <w:p w14:paraId="30EBC9D4">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i w:val="0"/>
                <w:iCs w:val="0"/>
                <w:color w:val="000000"/>
                <w:kern w:val="0"/>
                <w:sz w:val="24"/>
                <w:szCs w:val="24"/>
                <w:u w:val="none"/>
                <w:lang w:val="en-US" w:eastAsia="zh-CN" w:bidi="ar"/>
              </w:rPr>
              <w:t>6</w:t>
            </w:r>
          </w:p>
        </w:tc>
      </w:tr>
      <w:tr w14:paraId="1EC7E746">
        <w:tblPrEx>
          <w:tblCellMar>
            <w:top w:w="0" w:type="dxa"/>
            <w:left w:w="108" w:type="dxa"/>
            <w:bottom w:w="0" w:type="dxa"/>
            <w:right w:w="108" w:type="dxa"/>
          </w:tblCellMar>
        </w:tblPrEx>
        <w:trPr>
          <w:trHeight w:val="1049"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3CD7CFA8">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nil"/>
              <w:left w:val="single" w:color="auto" w:sz="4" w:space="0"/>
              <w:bottom w:val="single" w:color="auto" w:sz="8" w:space="0"/>
              <w:right w:val="single" w:color="auto" w:sz="8" w:space="0"/>
            </w:tcBorders>
            <w:noWrap w:val="0"/>
            <w:vAlign w:val="center"/>
          </w:tcPr>
          <w:p w14:paraId="69DB7E44">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根据投标方提供的详细设计方案进行打分</w:t>
            </w:r>
            <w:r>
              <w:rPr>
                <w:rFonts w:hint="eastAsia" w:asci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内容需包括网络设计、IP地址规划、网络安全设计等方面。（</w:t>
            </w:r>
            <w:r>
              <w:rPr>
                <w:rFonts w:hint="eastAsia" w:ascii="宋体" w:cs="宋体"/>
                <w:i w:val="0"/>
                <w:iCs w:val="0"/>
                <w:color w:val="000000"/>
                <w:kern w:val="0"/>
                <w:sz w:val="24"/>
                <w:szCs w:val="24"/>
                <w:u w:val="none"/>
                <w:lang w:val="en-US" w:eastAsia="zh-CN" w:bidi="ar"/>
              </w:rPr>
              <w:t>10,9,8,7,</w:t>
            </w:r>
            <w:r>
              <w:rPr>
                <w:rFonts w:hint="eastAsia" w:ascii="宋体" w:hAnsi="宋体" w:eastAsia="宋体" w:cs="宋体"/>
                <w:i w:val="0"/>
                <w:iCs w:val="0"/>
                <w:color w:val="000000"/>
                <w:kern w:val="0"/>
                <w:sz w:val="24"/>
                <w:szCs w:val="24"/>
                <w:u w:val="none"/>
                <w:lang w:val="en-US" w:eastAsia="zh-CN" w:bidi="ar"/>
              </w:rPr>
              <w:t>6,5,4,3,2,1,0）</w:t>
            </w:r>
          </w:p>
        </w:tc>
        <w:tc>
          <w:tcPr>
            <w:tcW w:w="850" w:type="dxa"/>
            <w:tcBorders>
              <w:top w:val="single" w:color="auto" w:sz="4" w:space="0"/>
              <w:left w:val="nil"/>
              <w:bottom w:val="single" w:color="auto" w:sz="8" w:space="0"/>
              <w:right w:val="single" w:color="auto" w:sz="8" w:space="0"/>
            </w:tcBorders>
            <w:noWrap w:val="0"/>
            <w:vAlign w:val="center"/>
          </w:tcPr>
          <w:p w14:paraId="47B864BF">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04B6A1B3">
        <w:tblPrEx>
          <w:tblCellMar>
            <w:top w:w="0" w:type="dxa"/>
            <w:left w:w="108" w:type="dxa"/>
            <w:bottom w:w="0" w:type="dxa"/>
            <w:right w:w="108" w:type="dxa"/>
          </w:tblCellMar>
        </w:tblPrEx>
        <w:trPr>
          <w:trHeight w:val="1286"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4D774BDC">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nil"/>
              <w:left w:val="single" w:color="auto" w:sz="4" w:space="0"/>
              <w:bottom w:val="single" w:color="auto" w:sz="8" w:space="0"/>
              <w:right w:val="single" w:color="auto" w:sz="8" w:space="0"/>
            </w:tcBorders>
            <w:noWrap w:val="0"/>
            <w:vAlign w:val="center"/>
          </w:tcPr>
          <w:p w14:paraId="1A46F08D">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根据投标人的系统维护方案、定期巡检方案、系统应急预案、数据保障服务方案，以及未来硬件及系统规划的建议，系统拓扑架构的优化建议等进行打分。（6,5,4,3,2,1,0）</w:t>
            </w:r>
          </w:p>
        </w:tc>
        <w:tc>
          <w:tcPr>
            <w:tcW w:w="850" w:type="dxa"/>
            <w:tcBorders>
              <w:top w:val="single" w:color="auto" w:sz="4" w:space="0"/>
              <w:left w:val="nil"/>
              <w:bottom w:val="single" w:color="auto" w:sz="8" w:space="0"/>
              <w:right w:val="single" w:color="auto" w:sz="8" w:space="0"/>
            </w:tcBorders>
            <w:noWrap w:val="0"/>
            <w:vAlign w:val="center"/>
          </w:tcPr>
          <w:p w14:paraId="07243861">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i w:val="0"/>
                <w:iCs w:val="0"/>
                <w:color w:val="000000"/>
                <w:kern w:val="0"/>
                <w:sz w:val="24"/>
                <w:szCs w:val="24"/>
                <w:u w:val="none"/>
                <w:lang w:val="en-US" w:eastAsia="zh-CN" w:bidi="ar"/>
              </w:rPr>
              <w:t>6</w:t>
            </w:r>
          </w:p>
        </w:tc>
      </w:tr>
      <w:tr w14:paraId="7E9BDBA4">
        <w:tblPrEx>
          <w:tblCellMar>
            <w:top w:w="0" w:type="dxa"/>
            <w:left w:w="108" w:type="dxa"/>
            <w:bottom w:w="0" w:type="dxa"/>
            <w:right w:w="108" w:type="dxa"/>
          </w:tblCellMar>
        </w:tblPrEx>
        <w:trPr>
          <w:trHeight w:val="1648"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07F69E76">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nil"/>
              <w:left w:val="single" w:color="auto" w:sz="4" w:space="0"/>
              <w:bottom w:val="single" w:color="auto" w:sz="8" w:space="0"/>
              <w:right w:val="single" w:color="auto" w:sz="8" w:space="0"/>
            </w:tcBorders>
            <w:noWrap w:val="0"/>
            <w:vAlign w:val="center"/>
          </w:tcPr>
          <w:p w14:paraId="5A8A90C2">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根据投标方提供的具体实施方案（含实施计划排期，预案处理等）进行打分。</w:t>
            </w:r>
          </w:p>
          <w:p w14:paraId="7119E1C3">
            <w:pPr>
              <w:widowControl/>
              <w:numPr>
                <w:ilvl w:val="0"/>
                <w:numId w:val="0"/>
              </w:num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实施方案有质量保证措施、现场安全文明施工措施、劳动力安排保证措施、工期保证措施，每个措施得1分，本项最高得4分。</w:t>
            </w:r>
          </w:p>
          <w:p w14:paraId="05F537A6">
            <w:pPr>
              <w:widowControl/>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2、有合理可行的故障处理预案得2分。</w:t>
            </w:r>
          </w:p>
        </w:tc>
        <w:tc>
          <w:tcPr>
            <w:tcW w:w="850" w:type="dxa"/>
            <w:tcBorders>
              <w:top w:val="single" w:color="auto" w:sz="4" w:space="0"/>
              <w:left w:val="nil"/>
              <w:bottom w:val="single" w:color="auto" w:sz="8" w:space="0"/>
              <w:right w:val="single" w:color="auto" w:sz="8" w:space="0"/>
            </w:tcBorders>
            <w:noWrap w:val="0"/>
            <w:vAlign w:val="center"/>
          </w:tcPr>
          <w:p w14:paraId="551F14FD">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4D9267DC">
        <w:tblPrEx>
          <w:tblCellMar>
            <w:top w:w="0" w:type="dxa"/>
            <w:left w:w="108" w:type="dxa"/>
            <w:bottom w:w="0" w:type="dxa"/>
            <w:right w:w="108" w:type="dxa"/>
          </w:tblCellMar>
        </w:tblPrEx>
        <w:trPr>
          <w:trHeight w:val="1059"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64228E60">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7268" w:type="dxa"/>
            <w:tcBorders>
              <w:top w:val="nil"/>
              <w:left w:val="single" w:color="auto" w:sz="4" w:space="0"/>
              <w:bottom w:val="single" w:color="auto" w:sz="4" w:space="0"/>
              <w:right w:val="single" w:color="auto" w:sz="8" w:space="0"/>
            </w:tcBorders>
            <w:noWrap w:val="0"/>
            <w:vAlign w:val="center"/>
          </w:tcPr>
          <w:p w14:paraId="4DD491D1">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设备选型及技术参数的先进性、科学性、扩展性等，设备运行稳定、安全、可靠，符合相关规定和文件要求并有质量保证措施。标★</w:t>
            </w:r>
            <w:r>
              <w:rPr>
                <w:rFonts w:hint="eastAsia" w:ascii="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t>不满足的每项扣</w:t>
            </w:r>
            <w:r>
              <w:rPr>
                <w:rFonts w:hint="eastAsia" w:asci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分，总分</w:t>
            </w:r>
            <w:r>
              <w:rPr>
                <w:rFonts w:hint="eastAsia" w:ascii="宋体" w:cs="宋体"/>
                <w:i w:val="0"/>
                <w:iCs w:val="0"/>
                <w:color w:val="000000"/>
                <w:kern w:val="0"/>
                <w:sz w:val="24"/>
                <w:szCs w:val="24"/>
                <w:u w:val="none"/>
                <w:lang w:val="en-US" w:eastAsia="zh-CN" w:bidi="ar"/>
              </w:rPr>
              <w:t>24</w:t>
            </w:r>
            <w:r>
              <w:rPr>
                <w:rFonts w:hint="eastAsia" w:ascii="宋体" w:hAnsi="宋体" w:eastAsia="宋体" w:cs="宋体"/>
                <w:i w:val="0"/>
                <w:iCs w:val="0"/>
                <w:color w:val="000000"/>
                <w:kern w:val="0"/>
                <w:sz w:val="24"/>
                <w:szCs w:val="24"/>
                <w:u w:val="none"/>
                <w:lang w:val="en-US" w:eastAsia="zh-CN" w:bidi="ar"/>
              </w:rPr>
              <w:t>分</w:t>
            </w:r>
            <w:r>
              <w:rPr>
                <w:rFonts w:hint="eastAsia" w:ascii="宋体" w:cs="宋体"/>
                <w:i w:val="0"/>
                <w:iCs w:val="0"/>
                <w:color w:val="000000"/>
                <w:kern w:val="0"/>
                <w:sz w:val="24"/>
                <w:szCs w:val="24"/>
                <w:u w:val="none"/>
                <w:lang w:val="en-US" w:eastAsia="zh-CN" w:bidi="ar"/>
              </w:rPr>
              <w:t>。</w:t>
            </w:r>
          </w:p>
        </w:tc>
        <w:tc>
          <w:tcPr>
            <w:tcW w:w="850" w:type="dxa"/>
            <w:tcBorders>
              <w:top w:val="nil"/>
              <w:left w:val="nil"/>
              <w:bottom w:val="single" w:color="auto" w:sz="4" w:space="0"/>
              <w:right w:val="single" w:color="auto" w:sz="8" w:space="0"/>
            </w:tcBorders>
            <w:noWrap w:val="0"/>
            <w:vAlign w:val="center"/>
          </w:tcPr>
          <w:p w14:paraId="594D5B8F">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i w:val="0"/>
                <w:iCs w:val="0"/>
                <w:color w:val="000000"/>
                <w:kern w:val="0"/>
                <w:sz w:val="24"/>
                <w:szCs w:val="24"/>
                <w:u w:val="none"/>
                <w:lang w:val="en-US" w:eastAsia="zh-CN" w:bidi="ar"/>
              </w:rPr>
              <w:t>24</w:t>
            </w:r>
          </w:p>
        </w:tc>
      </w:tr>
      <w:tr w14:paraId="2F5B264A">
        <w:tblPrEx>
          <w:tblCellMar>
            <w:top w:w="0" w:type="dxa"/>
            <w:left w:w="108" w:type="dxa"/>
            <w:bottom w:w="0" w:type="dxa"/>
            <w:right w:w="108" w:type="dxa"/>
          </w:tblCellMar>
        </w:tblPrEx>
        <w:trPr>
          <w:trHeight w:val="1071"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56C9C5B6">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服务部分</w:t>
            </w:r>
          </w:p>
        </w:tc>
        <w:tc>
          <w:tcPr>
            <w:tcW w:w="7268" w:type="dxa"/>
            <w:tcBorders>
              <w:top w:val="single" w:color="auto" w:sz="4" w:space="0"/>
              <w:left w:val="single" w:color="auto" w:sz="4" w:space="0"/>
              <w:bottom w:val="single" w:color="auto" w:sz="4" w:space="0"/>
              <w:right w:val="single" w:color="auto" w:sz="4" w:space="0"/>
            </w:tcBorders>
            <w:noWrap w:val="0"/>
            <w:vAlign w:val="center"/>
          </w:tcPr>
          <w:p w14:paraId="2AA09BD9">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投标人提供详尽的售后服务方案（包括但不限于质保期内外售后服务承诺、服务响应时间、应急响应、技术与服务支持等）（</w:t>
            </w:r>
            <w:r>
              <w:rPr>
                <w:rFonts w:hint="eastAsia" w:ascii="宋体" w:cs="宋体"/>
                <w:i w:val="0"/>
                <w:iCs w:val="0"/>
                <w:color w:val="000000"/>
                <w:kern w:val="0"/>
                <w:sz w:val="24"/>
                <w:szCs w:val="24"/>
                <w:u w:val="none"/>
                <w:lang w:val="en-US" w:eastAsia="zh-CN" w:bidi="ar"/>
              </w:rPr>
              <w:t>10,9,8,7,</w:t>
            </w:r>
            <w:r>
              <w:rPr>
                <w:rFonts w:hint="eastAsia" w:ascii="宋体" w:hAnsi="宋体" w:eastAsia="宋体" w:cs="宋体"/>
                <w:i w:val="0"/>
                <w:iCs w:val="0"/>
                <w:color w:val="000000"/>
                <w:kern w:val="0"/>
                <w:sz w:val="24"/>
                <w:szCs w:val="24"/>
                <w:u w:val="none"/>
                <w:lang w:val="en-US" w:eastAsia="zh-CN" w:bidi="ar"/>
              </w:rPr>
              <w:t>6,5,4,3,2,1,0）</w:t>
            </w:r>
          </w:p>
        </w:tc>
        <w:tc>
          <w:tcPr>
            <w:tcW w:w="850" w:type="dxa"/>
            <w:tcBorders>
              <w:top w:val="nil"/>
              <w:left w:val="single" w:color="auto" w:sz="4" w:space="0"/>
              <w:bottom w:val="single" w:color="auto" w:sz="4" w:space="0"/>
              <w:right w:val="single" w:color="auto" w:sz="8" w:space="0"/>
            </w:tcBorders>
            <w:noWrap w:val="0"/>
            <w:vAlign w:val="center"/>
          </w:tcPr>
          <w:p w14:paraId="4E31EDC3">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i w:val="0"/>
                <w:iCs w:val="0"/>
                <w:color w:val="000000"/>
                <w:kern w:val="0"/>
                <w:sz w:val="24"/>
                <w:szCs w:val="24"/>
                <w:u w:val="none"/>
                <w:lang w:val="en-US" w:eastAsia="zh-CN" w:bidi="ar"/>
              </w:rPr>
              <w:t>10</w:t>
            </w:r>
          </w:p>
        </w:tc>
      </w:tr>
    </w:tbl>
    <w:p w14:paraId="75720EB6"/>
    <w:p w14:paraId="5D8A370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 价格分（</w:t>
      </w:r>
      <w:r>
        <w:rPr>
          <w:rFonts w:hint="eastAsia" w:ascii="宋体" w:cs="宋体"/>
          <w:kern w:val="0"/>
          <w:sz w:val="24"/>
          <w:szCs w:val="24"/>
          <w:highlight w:val="none"/>
          <w:lang w:val="en-US" w:eastAsia="zh-CN"/>
        </w:rPr>
        <w:t>2</w:t>
      </w:r>
      <w:r>
        <w:rPr>
          <w:rFonts w:hint="eastAsia" w:ascii="宋体" w:cs="宋体"/>
          <w:kern w:val="0"/>
          <w:sz w:val="24"/>
          <w:szCs w:val="24"/>
          <w:highlight w:val="none"/>
        </w:rPr>
        <w:t>0分）</w:t>
      </w:r>
    </w:p>
    <w:p w14:paraId="695DDE0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价格评分将在有效投标人范围内进行，最高得</w:t>
      </w:r>
      <w:r>
        <w:rPr>
          <w:rFonts w:hint="eastAsia" w:ascii="宋体" w:cs="宋体"/>
          <w:kern w:val="0"/>
          <w:sz w:val="24"/>
          <w:szCs w:val="24"/>
          <w:highlight w:val="none"/>
          <w:lang w:val="en-US" w:eastAsia="zh-CN"/>
        </w:rPr>
        <w:t>2</w:t>
      </w:r>
      <w:r>
        <w:rPr>
          <w:rFonts w:hint="eastAsia" w:ascii="宋体" w:cs="宋体"/>
          <w:kern w:val="0"/>
          <w:sz w:val="24"/>
          <w:szCs w:val="24"/>
          <w:highlight w:val="none"/>
        </w:rPr>
        <w:t>0分，最低得 0分（小数点后保留二位小数，第三位四舍五入）。</w:t>
      </w:r>
    </w:p>
    <w:p w14:paraId="680DAF5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5.2.1</w:t>
      </w:r>
      <w:r>
        <w:rPr>
          <w:rFonts w:hint="eastAsia" w:ascii="宋体" w:cs="宋体"/>
          <w:color w:val="auto"/>
          <w:kern w:val="0"/>
          <w:sz w:val="24"/>
          <w:szCs w:val="24"/>
          <w:highlight w:val="none"/>
        </w:rPr>
        <w:t>评标价：在投标价基础上经政策调整及修正过后确定的价格。评标价仅作为价格标评审的依据，不等同于中标价、合同价。</w:t>
      </w:r>
    </w:p>
    <w:p w14:paraId="1433D15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5.2.2评定评标基准价：技术入围投标人中的最低评标价作为评标基准价。</w:t>
      </w:r>
    </w:p>
    <w:p w14:paraId="6DB44928">
      <w:pPr>
        <w:widowControl w:val="0"/>
        <w:snapToGrid w:val="0"/>
        <w:spacing w:line="500" w:lineRule="exact"/>
        <w:ind w:firstLine="480" w:firstLineChars="200"/>
        <w:jc w:val="left"/>
        <w:rPr>
          <w:highlight w:val="none"/>
        </w:rPr>
      </w:pPr>
      <w:r>
        <w:rPr>
          <w:rFonts w:hint="eastAsia" w:ascii="宋体" w:cs="宋体"/>
          <w:kern w:val="0"/>
          <w:sz w:val="24"/>
          <w:szCs w:val="24"/>
          <w:highlight w:val="none"/>
        </w:rPr>
        <w:t>5.2.3报价得分=（评标基准价/评标价）×价格分权值×100</w:t>
      </w:r>
    </w:p>
    <w:p w14:paraId="291BBEC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5.2.4落实政府采购政策说明：</w:t>
      </w:r>
    </w:p>
    <w:p w14:paraId="3DA3EA58">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根据相关规定，在评审时对符合本办法规定的小微企业报价给予（</w:t>
      </w:r>
      <w:r>
        <w:rPr>
          <w:rFonts w:hint="eastAsia" w:ascii="宋体" w:cs="宋体"/>
          <w:kern w:val="0"/>
          <w:sz w:val="24"/>
          <w:szCs w:val="24"/>
          <w:highlight w:val="none"/>
          <w:lang w:val="en-US" w:eastAsia="zh-CN"/>
        </w:rPr>
        <w:t>10</w:t>
      </w:r>
      <w:r>
        <w:rPr>
          <w:rFonts w:hint="eastAsia" w:ascii="宋体" w:cs="宋体"/>
          <w:kern w:val="0"/>
          <w:sz w:val="24"/>
          <w:szCs w:val="24"/>
          <w:highlight w:val="none"/>
        </w:rPr>
        <w:t>%）的扣除，取扣除后的价格作为最终投标报价（此最终投标报价仅作为评标价计算价格分）</w:t>
      </w:r>
      <w:r>
        <w:rPr>
          <w:rFonts w:hint="eastAsia" w:ascii="宋体" w:cs="宋体"/>
          <w:color w:val="auto"/>
          <w:kern w:val="0"/>
          <w:sz w:val="24"/>
          <w:szCs w:val="24"/>
          <w:highlight w:val="none"/>
        </w:rPr>
        <w:t>。中小企业参加政府采购活动，应当出具本办法规定的《中小企业声明函》，否则不</w:t>
      </w:r>
      <w:r>
        <w:rPr>
          <w:rFonts w:hint="eastAsia" w:ascii="宋体" w:cs="宋体"/>
          <w:kern w:val="0"/>
          <w:sz w:val="24"/>
          <w:szCs w:val="24"/>
          <w:highlight w:val="none"/>
        </w:rPr>
        <w:t>得享受相关中小企业扶持政策。</w:t>
      </w:r>
    </w:p>
    <w:p w14:paraId="0364A1E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color w:val="auto"/>
          <w:kern w:val="0"/>
          <w:sz w:val="24"/>
          <w:szCs w:val="24"/>
          <w:highlight w:val="none"/>
        </w:rPr>
        <w:t>接受大中型企业与小微企业组成联合体或者允许大中型企业向一家或者多家小微企业分包的采购</w:t>
      </w:r>
      <w:r>
        <w:rPr>
          <w:rFonts w:hint="eastAsia" w:ascii="宋体" w:cs="宋体"/>
          <w:kern w:val="0"/>
          <w:sz w:val="24"/>
          <w:szCs w:val="24"/>
          <w:highlight w:val="none"/>
        </w:rPr>
        <w:t>项目，对于联合协议或者分包意向协议约定小微企业的合同份额占到合同总金额 30%以上的，对联合体或者大中型企业的报价给予（</w:t>
      </w:r>
      <w:r>
        <w:rPr>
          <w:rFonts w:hint="eastAsia" w:ascii="宋体" w:cs="宋体"/>
          <w:kern w:val="0"/>
          <w:sz w:val="24"/>
          <w:szCs w:val="24"/>
          <w:highlight w:val="none"/>
          <w:lang w:val="en-US" w:eastAsia="zh-CN"/>
        </w:rPr>
        <w:t>4</w:t>
      </w:r>
      <w:r>
        <w:rPr>
          <w:rFonts w:hint="eastAsia" w:ascii="宋体" w:cs="宋体"/>
          <w:kern w:val="0"/>
          <w:sz w:val="24"/>
          <w:szCs w:val="24"/>
          <w:highlight w:val="none"/>
        </w:rPr>
        <w:t>%）的扣除，用扣除后的价格参加评审。</w:t>
      </w:r>
    </w:p>
    <w:p w14:paraId="059FA36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6B57A9C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组成联合体或者接受分包的小微企业与联合体内其他企业、分包企业之间存在直接控股、管理关系的，不享受价格扣除优惠政策。</w:t>
      </w:r>
    </w:p>
    <w:p w14:paraId="533C3C7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符合以下要求之一的投标人被认定为小型、微型企业：</w:t>
      </w:r>
    </w:p>
    <w:p w14:paraId="73DB3D9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投标人按照《关于印发中小企业划型标准规定的通知》（工信部联企业〔2011〕300号）的所属行业规定为小型、微型企业【按《关于印发中小企业划型标准规定的通知》规定提供《中小企业声明函》】；</w:t>
      </w:r>
    </w:p>
    <w:p w14:paraId="0FED43D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监狱企业参加投标【提供《监狱企业声明函》及其相关的充分的证明材料】，视为小型、微型企业，享受小微企业政策扶持。监狱企业属于小型、微型企业的，不重复享受扶持政策。</w:t>
      </w:r>
    </w:p>
    <w:p w14:paraId="1AEA4E9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残疾人福利性单位参加投标【提供《残疾人福利性单位声明函》】，视为小型、微型企业，享受小微企业政策扶持，残疾人福利性单位属于小型、微型企业的，不重复享受扶持政策。</w:t>
      </w:r>
    </w:p>
    <w:p w14:paraId="59C4ABF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此项由评标委员会集体核实后统一打分。</w:t>
      </w:r>
    </w:p>
    <w:p w14:paraId="3E4C4535">
      <w:pPr>
        <w:pStyle w:val="19"/>
        <w:ind w:left="0" w:leftChars="0" w:firstLine="0" w:firstLineChars="0"/>
        <w:rPr>
          <w:highlight w:val="none"/>
        </w:rPr>
      </w:pPr>
    </w:p>
    <w:p w14:paraId="3A1EA488">
      <w:pPr>
        <w:widowControl w:val="0"/>
        <w:snapToGrid w:val="0"/>
        <w:spacing w:line="500" w:lineRule="exact"/>
        <w:jc w:val="left"/>
        <w:rPr>
          <w:rFonts w:ascii="宋体" w:cs="宋体"/>
          <w:b/>
          <w:bCs/>
          <w:kern w:val="0"/>
          <w:sz w:val="32"/>
          <w:szCs w:val="32"/>
          <w:highlight w:val="none"/>
        </w:rPr>
      </w:pPr>
      <w:bookmarkStart w:id="28" w:name="_Toc29140"/>
      <w:r>
        <w:rPr>
          <w:rFonts w:hint="eastAsia" w:ascii="宋体" w:cs="宋体"/>
          <w:b/>
          <w:bCs/>
          <w:kern w:val="0"/>
          <w:sz w:val="32"/>
          <w:szCs w:val="32"/>
          <w:highlight w:val="none"/>
        </w:rPr>
        <w:t>六、重新评审</w:t>
      </w:r>
      <w:bookmarkEnd w:id="28"/>
    </w:p>
    <w:p w14:paraId="59B8645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评审结果形成后，除下列情形外，任何人不得重新评审：</w:t>
      </w:r>
    </w:p>
    <w:p w14:paraId="038420E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（一）分值汇总计算错误的；</w:t>
      </w:r>
    </w:p>
    <w:p w14:paraId="62416E0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（二）分项评分超出评分标准范围的；</w:t>
      </w:r>
    </w:p>
    <w:p w14:paraId="0A10170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（三）评标委员会成员对客观评审因素评分不一致的；</w:t>
      </w:r>
    </w:p>
    <w:p w14:paraId="34918A5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（四）经评标委员会认定评分畸高、畸低的。</w:t>
      </w:r>
    </w:p>
    <w:p w14:paraId="6139FE52">
      <w:pPr>
        <w:pStyle w:val="58"/>
        <w:rPr>
          <w:rFonts w:ascii="宋体" w:cs="宋体"/>
          <w:kern w:val="0"/>
          <w:sz w:val="24"/>
          <w:szCs w:val="24"/>
          <w:highlight w:val="none"/>
        </w:rPr>
      </w:pPr>
    </w:p>
    <w:p w14:paraId="7D8D6E8F">
      <w:pPr>
        <w:pStyle w:val="59"/>
        <w:numPr>
          <w:ilvl w:val="0"/>
          <w:numId w:val="9"/>
        </w:numPr>
        <w:rPr>
          <w:rFonts w:ascii="宋体" w:cs="宋体"/>
          <w:b/>
          <w:bCs/>
          <w:kern w:val="0"/>
          <w:sz w:val="32"/>
          <w:szCs w:val="32"/>
          <w:highlight w:val="none"/>
        </w:rPr>
      </w:pPr>
      <w:r>
        <w:rPr>
          <w:rFonts w:hint="eastAsia" w:ascii="宋体" w:cs="宋体"/>
          <w:b/>
          <w:bCs/>
          <w:kern w:val="0"/>
          <w:sz w:val="32"/>
          <w:szCs w:val="32"/>
          <w:highlight w:val="none"/>
        </w:rPr>
        <w:t>评审纪律和要求</w:t>
      </w:r>
    </w:p>
    <w:p w14:paraId="44CBBBD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1.评审专家必须公平、公正评审，遵纪守法，客观、廉洁地履行职责。</w:t>
      </w:r>
    </w:p>
    <w:p w14:paraId="3ED588C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2.评审专家在评审开始前，应关闭并上交随身携带的各种通信工具。</w:t>
      </w:r>
    </w:p>
    <w:p w14:paraId="366BFD1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3.评审专家在评审过程中，未经许可不得中途离开评审现场，不得迟到早退。</w:t>
      </w:r>
    </w:p>
    <w:p w14:paraId="44C3BBB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4.评审专家和工作人员不得透露评审过程中的讨论情况和评审结果。</w:t>
      </w:r>
    </w:p>
    <w:p w14:paraId="0CCBABF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0460A6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6.采购人、采购代理机构不得向评审委员会的评审专家作倾向性、误导性的解释或者说明。</w:t>
      </w:r>
    </w:p>
    <w:p w14:paraId="53AC5FC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7DB350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8.评审专家在评审过程中不得将自己的观点强加给其他评审专家，评审专家应自主发表见解，对评审意见承担个人责任。</w:t>
      </w:r>
    </w:p>
    <w:p w14:paraId="68124B8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7F292E3">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6E54F6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11.评审专家应当遵守评审工作纪律，不得泄露评审文件、评审情况和评审中获悉的商业秘密。</w:t>
      </w:r>
    </w:p>
    <w:p w14:paraId="612F647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评审委员会在评审过程中发现投标人有行贿、提供虚假材料或者串通等违法行为的，应当及时向财政部门报告。</w:t>
      </w:r>
    </w:p>
    <w:p w14:paraId="4035C3E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12.招标文件内容违反国家有关强制性规定的，评审委员会应当停止评审并向采购代理机构说明情况。</w:t>
      </w:r>
    </w:p>
    <w:p w14:paraId="77D801C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13.评审专家应当配合采购代理机构答复投标人提出的质疑。</w:t>
      </w:r>
    </w:p>
    <w:p w14:paraId="4E07739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14.评审专家应当配合财政部门的投诉处理工作。</w:t>
      </w:r>
    </w:p>
    <w:p w14:paraId="532BB34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15.评审专家有如下行为之一的，责令改正，给予警告，可以并处一千元以下的罚款：</w:t>
      </w:r>
    </w:p>
    <w:p w14:paraId="05CAE52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①明知应当回避而未主动回避的；</w:t>
      </w:r>
    </w:p>
    <w:p w14:paraId="2FC5DC8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②在得知自己为评审专家身份后至评审结束前时段内私下接触投标人的；</w:t>
      </w:r>
    </w:p>
    <w:p w14:paraId="0854E2D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③在评审过程中擅离职守，影响评审程序正常进行的；</w:t>
      </w:r>
    </w:p>
    <w:p w14:paraId="77FC009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④在评审过程有明显不合理或者不正当倾向性的；</w:t>
      </w:r>
    </w:p>
    <w:p w14:paraId="1A6FA07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⑤未按招标文件规定的评审方法和标准进行评审的。</w:t>
      </w:r>
    </w:p>
    <w:p w14:paraId="3EF6F10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⑥上述①至⑤行为影响中标结果的，中标结果无效。</w:t>
      </w:r>
    </w:p>
    <w:p w14:paraId="6BA103B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A2846C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政府采购评审专家与投标人存在利害关系未回避的，处2万元以上5万元以下的罚款，禁止其参加政府采购评审活动。</w:t>
      </w:r>
    </w:p>
    <w:p w14:paraId="52F6DA6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66363A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政府采购评审专家有上述违法行为的，其评审意见无效，不得获取评审费；有违法所得的，没收违法所得；给他人造成损失的，依法承担民事责任。</w:t>
      </w:r>
    </w:p>
    <w:p w14:paraId="0D2CFC96">
      <w:pPr>
        <w:pStyle w:val="5"/>
        <w:rPr>
          <w:highlight w:val="none"/>
        </w:rPr>
      </w:pPr>
    </w:p>
    <w:p w14:paraId="7F65AF91">
      <w:pPr>
        <w:pStyle w:val="5"/>
        <w:numPr>
          <w:ilvl w:val="0"/>
          <w:numId w:val="9"/>
        </w:numPr>
        <w:rPr>
          <w:rFonts w:cs="宋体"/>
          <w:b/>
          <w:bCs/>
          <w:kern w:val="0"/>
          <w:sz w:val="32"/>
          <w:szCs w:val="32"/>
          <w:highlight w:val="none"/>
        </w:rPr>
      </w:pPr>
      <w:r>
        <w:rPr>
          <w:rFonts w:hint="eastAsia" w:cs="宋体"/>
          <w:b/>
          <w:bCs/>
          <w:kern w:val="0"/>
          <w:sz w:val="32"/>
          <w:szCs w:val="32"/>
          <w:highlight w:val="none"/>
          <w:lang w:val="en-US" w:eastAsia="zh-CN"/>
        </w:rPr>
        <w:t>政府采购政策落实</w:t>
      </w:r>
    </w:p>
    <w:p w14:paraId="11392BAB">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.采购项目需要落实的政府采购政策</w:t>
      </w:r>
    </w:p>
    <w:p w14:paraId="5EA6617E">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D6E8D53">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 支持绿色发展</w:t>
      </w:r>
    </w:p>
    <w:p w14:paraId="5887105E">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5768CD2">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925DB3C">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.3支持中小企业发展</w:t>
      </w:r>
    </w:p>
    <w:p w14:paraId="78808F19">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415E75">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符合中小企业划分标准的个体工商户，在政府采购活动中视同中小企业。</w:t>
      </w:r>
    </w:p>
    <w:p w14:paraId="392DB838">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.3.2在政府采购活动中，供应商提供的货物、工程或者服务符合下列情形的，享受中小企业扶持政策：</w:t>
      </w:r>
    </w:p>
    <w:p w14:paraId="07F156BF">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.3.2.1在货物采购项目中，货物由中小企业制造，即货物由中小企业生产且使用该中小企业商号或者注册商标；</w:t>
      </w:r>
    </w:p>
    <w:p w14:paraId="781E6B6C">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.3.2.2在工程采购项目中，工程由中小企业承建，即工程施工单位为中小企业；</w:t>
      </w:r>
    </w:p>
    <w:p w14:paraId="3345E864">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.3.2.3在服务采购项目中，服务由中小企业承接，即提供服务的人员为中小企业依照《中华人民共和国劳动合同法》订立劳动合同的从业人员。</w:t>
      </w:r>
    </w:p>
    <w:p w14:paraId="6BDBFBC5">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在货物采购项目中，供应商提供的货物既有中小企业制造货物，也有大型企业制造货物的，不享受中小企业扶持政策。</w:t>
      </w:r>
    </w:p>
    <w:p w14:paraId="2612D0A9">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21F9CF1D">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highlight w:val="none"/>
          <w:lang w:val="en-US" w:eastAsia="zh-CN"/>
        </w:rPr>
        <w:t>10</w:t>
      </w:r>
      <w:r>
        <w:rPr>
          <w:rFonts w:hint="eastAsia" w:ascii="宋体" w:hAnsi="宋体" w:cs="宋体"/>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highlight w:val="none"/>
          <w:lang w:val="en-US" w:eastAsia="zh-CN"/>
        </w:rPr>
        <w:t>4</w:t>
      </w:r>
      <w:r>
        <w:rPr>
          <w:rFonts w:hint="eastAsia" w:ascii="宋体" w:hAnsi="宋体" w:cs="宋体"/>
          <w:kern w:val="0"/>
          <w:highlight w:val="none"/>
        </w:rPr>
        <w:t>%的扣除，用扣除后的价格参加评审。组成联合体或者接受分包的小微企业与联合体内其他企业、分包企业之间存在直接控股、管理关系的，不享受价格扣除优惠政策。</w:t>
      </w:r>
    </w:p>
    <w:p w14:paraId="33D6FE20">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.3.4符合《关于促进残疾人就业政府采购政策的通知》（财库〔2017〕141号）规定的条件并提供《残疾人福利性单位声明函》的残疾人福利性单位视同小型、微型企业；</w:t>
      </w:r>
    </w:p>
    <w:p w14:paraId="1F9BE5AB">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20DCB1">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1AD0DDB">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.3.7中小企业享受扶持政策获得政府采购合同的，小微企业不得将合同分包给大中型企业，中型企业不得将合同分包给大型企业。</w:t>
      </w:r>
    </w:p>
    <w:p w14:paraId="1995A44C">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.4支持创新发展</w:t>
      </w:r>
    </w:p>
    <w:p w14:paraId="167261F7">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.4.1 采购人优先采购被认定为首台套产品和“制造精品”的自主创新产品。</w:t>
      </w:r>
    </w:p>
    <w:p w14:paraId="43B3B4AF">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.4.2对省级以上主管部门认定的首台套产品，自纳入《省推广应用指导目录》起三年内参加政府采购活动，视同已具备相应销售业绩，业绩分为满分。</w:t>
      </w:r>
    </w:p>
    <w:p w14:paraId="7FF7432A">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14CB9FF">
      <w:pPr>
        <w:rPr>
          <w:highlight w:val="none"/>
        </w:rPr>
      </w:pPr>
    </w:p>
    <w:p w14:paraId="5E700143">
      <w:pPr>
        <w:widowControl w:val="0"/>
        <w:snapToGrid w:val="0"/>
        <w:spacing w:line="500" w:lineRule="exact"/>
        <w:jc w:val="left"/>
        <w:rPr>
          <w:rFonts w:ascii="宋体" w:cs="宋体"/>
          <w:kern w:val="0"/>
          <w:sz w:val="24"/>
          <w:szCs w:val="24"/>
          <w:highlight w:val="none"/>
        </w:rPr>
      </w:pPr>
    </w:p>
    <w:p w14:paraId="7C45C5E7">
      <w:pPr>
        <w:widowControl w:val="0"/>
        <w:spacing w:line="780" w:lineRule="exact"/>
        <w:rPr>
          <w:rFonts w:ascii="宋体" w:cs="宋体"/>
          <w:highlight w:val="none"/>
        </w:rPr>
      </w:pPr>
      <w:r>
        <w:rPr>
          <w:rFonts w:hint="eastAsia" w:ascii="宋体" w:cs="宋体"/>
          <w:highlight w:val="none"/>
        </w:rPr>
        <w:br w:type="page"/>
      </w:r>
    </w:p>
    <w:p w14:paraId="65905D59">
      <w:pPr>
        <w:widowControl w:val="0"/>
        <w:spacing w:line="780" w:lineRule="exact"/>
        <w:jc w:val="center"/>
        <w:rPr>
          <w:rFonts w:ascii="宋体" w:cs="宋体"/>
          <w:highlight w:val="none"/>
        </w:rPr>
      </w:pPr>
    </w:p>
    <w:p w14:paraId="636956E1">
      <w:pPr>
        <w:widowControl w:val="0"/>
        <w:spacing w:line="780" w:lineRule="exact"/>
        <w:jc w:val="center"/>
        <w:rPr>
          <w:rFonts w:ascii="宋体" w:cs="宋体"/>
          <w:highlight w:val="none"/>
        </w:rPr>
      </w:pPr>
    </w:p>
    <w:p w14:paraId="186FAB1D">
      <w:pPr>
        <w:widowControl w:val="0"/>
        <w:spacing w:line="780" w:lineRule="exact"/>
        <w:jc w:val="center"/>
        <w:rPr>
          <w:rFonts w:ascii="宋体" w:cs="宋体"/>
          <w:highlight w:val="none"/>
        </w:rPr>
      </w:pPr>
    </w:p>
    <w:p w14:paraId="74F4088B">
      <w:pPr>
        <w:widowControl w:val="0"/>
        <w:spacing w:line="780" w:lineRule="exact"/>
        <w:jc w:val="center"/>
        <w:rPr>
          <w:rFonts w:ascii="宋体" w:cs="宋体"/>
          <w:highlight w:val="none"/>
        </w:rPr>
      </w:pPr>
    </w:p>
    <w:p w14:paraId="5D2674D7">
      <w:pPr>
        <w:widowControl w:val="0"/>
        <w:spacing w:line="780" w:lineRule="exact"/>
        <w:jc w:val="center"/>
        <w:rPr>
          <w:rFonts w:ascii="宋体" w:cs="宋体"/>
          <w:highlight w:val="none"/>
        </w:rPr>
      </w:pPr>
    </w:p>
    <w:p w14:paraId="4213000D">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第四章</w:t>
      </w:r>
    </w:p>
    <w:p w14:paraId="027E6C54">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技术服务要求及货物需求一览表</w:t>
      </w:r>
    </w:p>
    <w:p w14:paraId="57835235">
      <w:pPr>
        <w:widowControl w:val="0"/>
        <w:spacing w:line="360" w:lineRule="auto"/>
        <w:rPr>
          <w:rFonts w:ascii="宋体" w:cs="宋体"/>
          <w:b/>
          <w:bCs/>
          <w:sz w:val="24"/>
          <w:szCs w:val="24"/>
          <w:highlight w:val="none"/>
        </w:rPr>
      </w:pPr>
    </w:p>
    <w:p w14:paraId="7666C07C">
      <w:pPr>
        <w:widowControl w:val="0"/>
        <w:spacing w:line="360" w:lineRule="auto"/>
        <w:rPr>
          <w:rFonts w:ascii="宋体" w:cs="宋体"/>
          <w:highlight w:val="none"/>
        </w:rPr>
      </w:pPr>
    </w:p>
    <w:p w14:paraId="09F38C28">
      <w:pPr>
        <w:widowControl w:val="0"/>
        <w:spacing w:line="780" w:lineRule="exact"/>
        <w:jc w:val="center"/>
        <w:rPr>
          <w:rFonts w:ascii="宋体" w:cs="宋体"/>
          <w:b/>
          <w:bCs/>
          <w:color w:val="FF0000"/>
          <w:sz w:val="52"/>
          <w:szCs w:val="52"/>
          <w:highlight w:val="none"/>
        </w:rPr>
      </w:pPr>
      <w:r>
        <w:rPr>
          <w:rFonts w:hint="eastAsia" w:ascii="宋体" w:cs="宋体"/>
          <w:color w:val="000000"/>
          <w:sz w:val="32"/>
          <w:szCs w:val="32"/>
          <w:highlight w:val="none"/>
        </w:rPr>
        <w:br w:type="page"/>
      </w:r>
      <w:bookmarkStart w:id="29" w:name="_Toc172029178"/>
      <w:bookmarkStart w:id="30" w:name="_Toc212628254"/>
      <w:bookmarkStart w:id="31" w:name="_Toc173836489"/>
      <w:bookmarkStart w:id="32" w:name="_Toc202244736"/>
    </w:p>
    <w:bookmarkEnd w:id="29"/>
    <w:bookmarkEnd w:id="30"/>
    <w:bookmarkEnd w:id="31"/>
    <w:bookmarkEnd w:id="32"/>
    <w:p w14:paraId="090647D4">
      <w:pPr>
        <w:pStyle w:val="4"/>
        <w:spacing w:before="120" w:after="120" w:line="240" w:lineRule="auto"/>
        <w:jc w:val="center"/>
      </w:pPr>
      <w:r>
        <w:rPr>
          <w:rFonts w:hint="eastAsia"/>
        </w:rPr>
        <w:t>技术要求及货物需求一览表</w:t>
      </w:r>
    </w:p>
    <w:p w14:paraId="69AFC4DA">
      <w:pPr>
        <w:pStyle w:val="5"/>
        <w:jc w:val="center"/>
        <w:rPr>
          <w:rFonts w:hint="eastAsia" w:ascii="Times New Roman" w:hAnsi="Times New Roman"/>
          <w:b/>
          <w:bCs w:val="0"/>
          <w:kern w:val="2"/>
          <w:sz w:val="28"/>
          <w:szCs w:val="28"/>
        </w:rPr>
      </w:pPr>
      <w:r>
        <w:rPr>
          <w:rFonts w:hint="eastAsia" w:ascii="Times New Roman" w:hAnsi="Times New Roman"/>
          <w:b/>
          <w:bCs w:val="0"/>
          <w:kern w:val="2"/>
          <w:sz w:val="28"/>
          <w:szCs w:val="28"/>
        </w:rPr>
        <w:t>服务内容（设备清单）</w:t>
      </w:r>
    </w:p>
    <w:p w14:paraId="2F751DE2"/>
    <w:tbl>
      <w:tblPr>
        <w:tblStyle w:val="32"/>
        <w:tblW w:w="83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2715"/>
        <w:gridCol w:w="2100"/>
        <w:gridCol w:w="660"/>
        <w:gridCol w:w="930"/>
        <w:gridCol w:w="1125"/>
      </w:tblGrid>
      <w:tr w14:paraId="4D1E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F146F0">
            <w:pPr>
              <w:keepNext w:val="0"/>
              <w:keepLines w:val="0"/>
              <w:widowControl/>
              <w:suppressLineNumbers w:val="0"/>
              <w:jc w:val="center"/>
              <w:textAlignment w:val="bottom"/>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F5AFE6">
            <w:pPr>
              <w:keepNext w:val="0"/>
              <w:keepLines w:val="0"/>
              <w:widowControl/>
              <w:suppressLineNumbers w:val="0"/>
              <w:jc w:val="center"/>
              <w:textAlignment w:val="bottom"/>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服务内容</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049F3D">
            <w:pPr>
              <w:keepNext w:val="0"/>
              <w:keepLines w:val="0"/>
              <w:widowControl/>
              <w:suppressLineNumbers w:val="0"/>
              <w:jc w:val="center"/>
              <w:textAlignment w:val="bottom"/>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基本要求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0D0B69">
            <w:pPr>
              <w:keepNext w:val="0"/>
              <w:keepLines w:val="0"/>
              <w:widowControl/>
              <w:suppressLineNumbers w:val="0"/>
              <w:jc w:val="center"/>
              <w:textAlignment w:val="bottom"/>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2F1630">
            <w:pPr>
              <w:keepNext w:val="0"/>
              <w:keepLines w:val="0"/>
              <w:widowControl/>
              <w:suppressLineNumbers w:val="0"/>
              <w:jc w:val="center"/>
              <w:textAlignment w:val="bottom"/>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0198B2">
            <w:pPr>
              <w:keepNext w:val="0"/>
              <w:keepLines w:val="0"/>
              <w:widowControl/>
              <w:suppressLineNumbers w:val="0"/>
              <w:jc w:val="center"/>
              <w:textAlignment w:val="bottom"/>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服务年限</w:t>
            </w:r>
          </w:p>
        </w:tc>
      </w:tr>
      <w:tr w14:paraId="0B47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7035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6005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裸光纤链路接入服务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AC5A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E0AB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C258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6A54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837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2A1D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47D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村级PON专线接入服务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1D26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D8CC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E359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5C18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061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0E3D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FFEF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汇聚线路服务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4DAD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FDC7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4609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4802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1549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1B86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3BCA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互联网出口服务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D26C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AAA9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A2B0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BC74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1294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3B71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5FF3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57FB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7032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CA12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663B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936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EE9A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4AA0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机房租赁服务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DE4D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5236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253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19D8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775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8639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A6B3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集成及运维服务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1ABD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77A9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AC07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1D8A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bl>
    <w:p w14:paraId="5461088E">
      <w:pPr>
        <w:ind w:firstLine="562" w:firstLineChars="200"/>
        <w:jc w:val="left"/>
        <w:rPr>
          <w:rFonts w:hint="eastAsia" w:ascii="宋体" w:hAnsi="宋体" w:cs="宋体"/>
          <w:b/>
          <w:bCs/>
          <w:color w:val="FF0000"/>
          <w:sz w:val="28"/>
          <w:szCs w:val="28"/>
        </w:rPr>
      </w:pPr>
    </w:p>
    <w:p w14:paraId="64627923">
      <w:pPr>
        <w:pStyle w:val="5"/>
        <w:rPr>
          <w:b/>
          <w:bCs w:val="0"/>
          <w:sz w:val="32"/>
          <w:szCs w:val="32"/>
        </w:rPr>
      </w:pPr>
      <w:r>
        <w:rPr>
          <w:rFonts w:hint="eastAsia"/>
          <w:b/>
          <w:bCs w:val="0"/>
          <w:sz w:val="32"/>
          <w:szCs w:val="32"/>
        </w:rPr>
        <w:t>一、项目整体介绍</w:t>
      </w:r>
    </w:p>
    <w:p w14:paraId="096A5867">
      <w:pPr>
        <w:keepNext/>
        <w:keepLines/>
        <w:numPr>
          <w:ilvl w:val="1"/>
          <w:numId w:val="0"/>
        </w:numPr>
        <w:spacing w:line="360" w:lineRule="auto"/>
        <w:ind w:firstLine="480" w:firstLineChars="200"/>
        <w:jc w:val="left"/>
        <w:outlineLvl w:val="0"/>
        <w:rPr>
          <w:rFonts w:hint="eastAsia"/>
          <w:sz w:val="24"/>
        </w:rPr>
      </w:pPr>
      <w:r>
        <w:rPr>
          <w:rFonts w:hint="eastAsia"/>
          <w:sz w:val="24"/>
        </w:rPr>
        <w:t>永康市电子政务外网是我市电子政务领域重要的信息化基础设施，</w:t>
      </w:r>
      <w:r>
        <w:rPr>
          <w:rFonts w:hint="eastAsia" w:ascii="Times New Roman" w:hAnsi="Times New Roman" w:eastAsia="宋体" w:cs="Times New Roman"/>
          <w:sz w:val="24"/>
        </w:rPr>
        <w:t>覆盖</w:t>
      </w:r>
      <w:r>
        <w:rPr>
          <w:rFonts w:hint="eastAsia" w:ascii="Times New Roman" w:hAnsi="Times New Roman" w:eastAsia="宋体" w:cs="Times New Roman"/>
          <w:sz w:val="24"/>
          <w:lang w:val="en-US" w:eastAsia="zh-CN"/>
        </w:rPr>
        <w:t>市</w:t>
      </w:r>
      <w:r>
        <w:rPr>
          <w:rFonts w:hint="eastAsia" w:ascii="Times New Roman" w:hAnsi="Times New Roman" w:eastAsia="宋体" w:cs="Times New Roman"/>
          <w:sz w:val="24"/>
        </w:rPr>
        <w:t>-乡镇（街道）－村三级行政事业机关单位</w:t>
      </w:r>
      <w:r>
        <w:rPr>
          <w:rFonts w:hint="eastAsia" w:ascii="Times New Roman" w:hAnsi="Times New Roman" w:eastAsia="宋体" w:cs="Times New Roman"/>
          <w:sz w:val="24"/>
          <w:lang w:eastAsia="zh-CN"/>
        </w:rPr>
        <w:t>，</w:t>
      </w:r>
      <w:r>
        <w:rPr>
          <w:rFonts w:hint="eastAsia"/>
          <w:sz w:val="24"/>
        </w:rPr>
        <w:t>是满足各级政务部门经济调节、市场监管、社会治理和公共服务等方面需求的政务公用服务。政务外网纵向覆盖省市县乡村，横向连接各级党委、人大、政府、政协、法院和检察院等政务部门。</w:t>
      </w:r>
    </w:p>
    <w:p w14:paraId="2489F4DB">
      <w:pPr>
        <w:pStyle w:val="136"/>
        <w:spacing w:line="360" w:lineRule="auto"/>
        <w:ind w:firstLine="480" w:firstLineChars="200"/>
        <w:rPr>
          <w:rFonts w:hint="eastAsia"/>
          <w:color w:val="auto"/>
        </w:rPr>
      </w:pPr>
      <w:r>
        <w:rPr>
          <w:rFonts w:hint="eastAsia"/>
          <w:color w:val="auto"/>
        </w:rPr>
        <w:t>永康市电子政务外网是全市各级政府及部门的政务专用网络平台、资源共享的公用网络平台合互联网接入平台。在政务外网上全网使用IPv4/IPv6双协议栈的方式，提供VPN（虚拟专用网）服务满足各政府部门、乡镇、行政村等单位的业务承载需求。</w:t>
      </w:r>
    </w:p>
    <w:p w14:paraId="6D4773CB">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rPr>
      </w:pPr>
      <w:r>
        <w:rPr>
          <w:rFonts w:hint="eastAsia" w:ascii="Times New Roman" w:hAnsi="Times New Roman" w:eastAsia="宋体" w:cs="Times New Roman"/>
          <w:color w:val="auto"/>
          <w:kern w:val="0"/>
          <w:sz w:val="24"/>
          <w:szCs w:val="24"/>
          <w:lang w:val="en-US" w:eastAsia="zh-CN" w:bidi="ar-SA"/>
        </w:rPr>
        <w:t>永康</w:t>
      </w:r>
      <w:r>
        <w:rPr>
          <w:rFonts w:hint="default" w:ascii="Times New Roman" w:hAnsi="Times New Roman" w:eastAsia="宋体" w:cs="Times New Roman"/>
          <w:color w:val="auto"/>
          <w:kern w:val="0"/>
          <w:sz w:val="24"/>
          <w:szCs w:val="24"/>
          <w:lang w:val="en-US" w:eastAsia="zh-CN" w:bidi="ar-SA"/>
        </w:rPr>
        <w:t>电子政务外网专网于 2014 年完成建设、20</w:t>
      </w:r>
      <w:r>
        <w:rPr>
          <w:rFonts w:hint="eastAsia" w:ascii="Times New Roman" w:hAnsi="Times New Roman" w:eastAsia="宋体" w:cs="Times New Roman"/>
          <w:color w:val="auto"/>
          <w:kern w:val="0"/>
          <w:sz w:val="24"/>
          <w:szCs w:val="24"/>
          <w:lang w:val="en-US" w:eastAsia="zh-CN" w:bidi="ar-SA"/>
        </w:rPr>
        <w:t>20</w:t>
      </w:r>
      <w:r>
        <w:rPr>
          <w:rFonts w:hint="default" w:ascii="Times New Roman" w:hAnsi="Times New Roman" w:eastAsia="宋体" w:cs="Times New Roman"/>
          <w:color w:val="auto"/>
          <w:kern w:val="0"/>
          <w:sz w:val="24"/>
          <w:szCs w:val="24"/>
          <w:lang w:val="en-US" w:eastAsia="zh-CN" w:bidi="ar-SA"/>
        </w:rPr>
        <w:t>年完成升级改造，作为数字化改革“1612”体系重要基础设施，已为</w:t>
      </w:r>
      <w:r>
        <w:rPr>
          <w:rFonts w:hint="eastAsia" w:ascii="Times New Roman" w:hAnsi="Times New Roman" w:eastAsia="宋体" w:cs="Times New Roman"/>
          <w:color w:val="auto"/>
          <w:kern w:val="0"/>
          <w:sz w:val="24"/>
          <w:szCs w:val="24"/>
          <w:lang w:val="en-US" w:eastAsia="zh-CN" w:bidi="ar-SA"/>
        </w:rPr>
        <w:t>永康</w:t>
      </w:r>
      <w:r>
        <w:rPr>
          <w:rFonts w:hint="default" w:ascii="Times New Roman" w:hAnsi="Times New Roman" w:eastAsia="宋体" w:cs="Times New Roman"/>
          <w:color w:val="auto"/>
          <w:kern w:val="0"/>
          <w:sz w:val="24"/>
          <w:szCs w:val="24"/>
          <w:lang w:val="en-US" w:eastAsia="zh-CN" w:bidi="ar-SA"/>
        </w:rPr>
        <w:t xml:space="preserve"> </w:t>
      </w:r>
      <w:r>
        <w:rPr>
          <w:rFonts w:hint="eastAsia" w:ascii="Times New Roman" w:hAnsi="Times New Roman" w:eastAsia="宋体" w:cs="Times New Roman"/>
          <w:color w:val="auto"/>
          <w:kern w:val="0"/>
          <w:sz w:val="24"/>
          <w:szCs w:val="24"/>
          <w:lang w:val="en-US" w:eastAsia="zh-CN" w:bidi="ar-SA"/>
        </w:rPr>
        <w:t>190</w:t>
      </w:r>
      <w:r>
        <w:rPr>
          <w:rFonts w:hint="default" w:ascii="Times New Roman" w:hAnsi="Times New Roman" w:eastAsia="宋体" w:cs="Times New Roman"/>
          <w:color w:val="auto"/>
          <w:kern w:val="0"/>
          <w:sz w:val="24"/>
          <w:szCs w:val="24"/>
          <w:lang w:val="en-US" w:eastAsia="zh-CN" w:bidi="ar-SA"/>
        </w:rPr>
        <w:t xml:space="preserve"> 余家政府部门承载政务服务、市场调节、社会管理等业务</w:t>
      </w:r>
      <w:r>
        <w:rPr>
          <w:rFonts w:hint="default" w:ascii="Times New Roman" w:hAnsi="Times New Roman" w:eastAsia="宋体" w:cs="Times New Roman"/>
          <w:highlight w:val="none"/>
        </w:rPr>
        <w:t>。</w:t>
      </w:r>
    </w:p>
    <w:p w14:paraId="56FC78D4">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本项目根据浙江省电子政务外网规划部署，按照统一规划、稳步推进的工作思路，充分利用现有电子政务资源，研究制定标准规范，升级各委办局、乡镇之间公共非涉密信息传输网络基础，推广政府公共资源共享等业务应用，着力推进安全防护体系和运维保障体系建设，建成结构合理、边界清晰、技术先进、安全可靠的</w:t>
      </w:r>
      <w:r>
        <w:rPr>
          <w:rFonts w:hint="eastAsia" w:ascii="Times New Roman" w:hAnsi="Times New Roman" w:eastAsia="宋体" w:cs="Times New Roman"/>
          <w:color w:val="auto"/>
          <w:kern w:val="0"/>
          <w:sz w:val="24"/>
          <w:szCs w:val="24"/>
          <w:lang w:val="en-US" w:eastAsia="zh-CN" w:bidi="ar-SA"/>
        </w:rPr>
        <w:t>永康</w:t>
      </w:r>
      <w:r>
        <w:rPr>
          <w:rFonts w:hint="default" w:ascii="Times New Roman" w:hAnsi="Times New Roman" w:eastAsia="宋体" w:cs="Times New Roman"/>
          <w:color w:val="auto"/>
          <w:kern w:val="0"/>
          <w:sz w:val="24"/>
          <w:szCs w:val="24"/>
          <w:lang w:val="en-US" w:eastAsia="zh-CN" w:bidi="ar-SA"/>
        </w:rPr>
        <w:t>电子政务外网平台，保证市、县、乡（镇）政府部门互联互通、数据交换、信息共享和业务协同，满足政府经济调节、市场监管、社会管理和公共服务需要的政务公用网络。</w:t>
      </w:r>
    </w:p>
    <w:p w14:paraId="6CD4E313">
      <w:pPr>
        <w:pStyle w:val="136"/>
        <w:spacing w:line="360" w:lineRule="auto"/>
        <w:ind w:firstLine="480" w:firstLineChars="200"/>
        <w:rPr>
          <w:rFonts w:hint="eastAsia"/>
          <w:color w:val="auto"/>
        </w:rPr>
      </w:pPr>
      <w:r>
        <w:rPr>
          <w:rFonts w:hint="eastAsia"/>
          <w:color w:val="auto"/>
        </w:rPr>
        <w:t>主要包括网络传输线路、边界安全服务、设备资源租用、网络运维服务和安全保障等。</w:t>
      </w:r>
    </w:p>
    <w:p w14:paraId="2F669EDE">
      <w:pPr>
        <w:pStyle w:val="5"/>
        <w:rPr>
          <w:rFonts w:hint="default" w:eastAsia="宋体"/>
          <w:b/>
          <w:bCs w:val="0"/>
          <w:sz w:val="32"/>
          <w:szCs w:val="32"/>
          <w:lang w:val="en-US" w:eastAsia="zh-CN"/>
        </w:rPr>
      </w:pPr>
      <w:r>
        <w:rPr>
          <w:rFonts w:hint="eastAsia"/>
          <w:b/>
          <w:bCs w:val="0"/>
          <w:sz w:val="32"/>
          <w:szCs w:val="32"/>
        </w:rPr>
        <w:t>二、</w:t>
      </w:r>
      <w:r>
        <w:rPr>
          <w:rFonts w:hint="eastAsia"/>
          <w:b/>
          <w:bCs w:val="0"/>
          <w:sz w:val="32"/>
          <w:szCs w:val="32"/>
          <w:lang w:val="en-US" w:eastAsia="zh-CN"/>
        </w:rPr>
        <w:t>服务内容</w:t>
      </w:r>
    </w:p>
    <w:p w14:paraId="02146C7F">
      <w:pPr>
        <w:pStyle w:val="136"/>
        <w:spacing w:line="360" w:lineRule="auto"/>
        <w:ind w:firstLine="482" w:firstLineChars="200"/>
        <w:rPr>
          <w:rFonts w:hint="eastAsia"/>
          <w:b/>
          <w:bCs/>
          <w:color w:val="auto"/>
        </w:rPr>
      </w:pPr>
      <w:r>
        <w:rPr>
          <w:rFonts w:hint="eastAsia"/>
          <w:b/>
          <w:bCs/>
          <w:color w:val="auto"/>
          <w:lang w:val="en-US" w:eastAsia="zh-CN"/>
        </w:rPr>
        <w:t>（一）</w:t>
      </w:r>
      <w:r>
        <w:rPr>
          <w:rFonts w:hint="eastAsia"/>
          <w:b/>
          <w:bCs/>
          <w:color w:val="auto"/>
        </w:rPr>
        <w:t>单位裸光纤链路接入服务</w:t>
      </w:r>
    </w:p>
    <w:p w14:paraId="29880F53">
      <w:pPr>
        <w:pStyle w:val="136"/>
        <w:spacing w:line="360" w:lineRule="auto"/>
        <w:ind w:firstLine="480" w:firstLineChars="200"/>
        <w:rPr>
          <w:rFonts w:hint="eastAsia"/>
          <w:color w:val="auto"/>
        </w:rPr>
      </w:pPr>
      <w:r>
        <w:rPr>
          <w:rFonts w:hint="eastAsia"/>
          <w:color w:val="auto"/>
        </w:rPr>
        <w:t>根据大数据发展中心实际需求，需包含</w:t>
      </w:r>
      <w:r>
        <w:rPr>
          <w:rFonts w:hint="eastAsia"/>
          <w:color w:val="auto"/>
          <w:lang w:val="en-US" w:eastAsia="zh-CN"/>
        </w:rPr>
        <w:t>20</w:t>
      </w:r>
      <w:r>
        <w:rPr>
          <w:rFonts w:hint="eastAsia"/>
          <w:color w:val="auto"/>
        </w:rPr>
        <w:t>0个点位（行政机关、事业单位）的</w:t>
      </w:r>
      <w:r>
        <w:rPr>
          <w:rFonts w:hint="eastAsia"/>
          <w:color w:val="auto"/>
          <w:lang w:val="en-US" w:eastAsia="zh-CN"/>
        </w:rPr>
        <w:t>政务外网</w:t>
      </w:r>
      <w:r>
        <w:rPr>
          <w:rFonts w:hint="eastAsia"/>
          <w:color w:val="auto"/>
        </w:rPr>
        <w:t>接入服务。政务外网单位（行政机关、事业单位等），通过光纤链路物理专网接入汇聚层，包含两端光模块，电路带宽≥1G。</w:t>
      </w:r>
    </w:p>
    <w:p w14:paraId="6970683B">
      <w:pPr>
        <w:pStyle w:val="136"/>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（二）村级PON专线接入服务</w:t>
      </w:r>
    </w:p>
    <w:p w14:paraId="25AEBF67">
      <w:pPr>
        <w:pStyle w:val="136"/>
        <w:spacing w:line="360" w:lineRule="auto"/>
        <w:ind w:firstLine="480" w:firstLineChars="200"/>
        <w:rPr>
          <w:rFonts w:hint="eastAsia"/>
          <w:color w:val="auto"/>
        </w:rPr>
      </w:pPr>
      <w:r>
        <w:rPr>
          <w:rFonts w:hint="eastAsia"/>
          <w:color w:val="auto"/>
        </w:rPr>
        <w:t>根据大数据发展中心实际需求，需包含</w:t>
      </w:r>
      <w:r>
        <w:rPr>
          <w:rFonts w:hint="eastAsia"/>
          <w:color w:val="auto"/>
          <w:lang w:val="en-US" w:eastAsia="zh-CN"/>
        </w:rPr>
        <w:t>425</w:t>
      </w:r>
      <w:r>
        <w:rPr>
          <w:rFonts w:hint="eastAsia"/>
          <w:color w:val="auto"/>
        </w:rPr>
        <w:t>个行政村（社区）的接入服务。行政村（社区）</w:t>
      </w:r>
      <w:r>
        <w:rPr>
          <w:rFonts w:hint="eastAsia"/>
          <w:color w:val="auto"/>
          <w:lang w:val="en-US" w:eastAsia="zh-CN"/>
        </w:rPr>
        <w:t>政务外网</w:t>
      </w:r>
      <w:r>
        <w:rPr>
          <w:rFonts w:hint="eastAsia"/>
          <w:color w:val="auto"/>
        </w:rPr>
        <w:t>接入光纤链路，按就近原则接入，电路和其他网络必须隔离，电路带宽≥100M。</w:t>
      </w:r>
    </w:p>
    <w:p w14:paraId="519FF49F">
      <w:pPr>
        <w:pStyle w:val="136"/>
        <w:numPr>
          <w:ilvl w:val="0"/>
          <w:numId w:val="10"/>
        </w:numPr>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汇聚线路服务</w:t>
      </w:r>
    </w:p>
    <w:p w14:paraId="5E73E2D6">
      <w:pPr>
        <w:pStyle w:val="136"/>
        <w:numPr>
          <w:ilvl w:val="0"/>
          <w:numId w:val="0"/>
        </w:numPr>
        <w:spacing w:line="360" w:lineRule="auto"/>
        <w:ind w:firstLine="480" w:firstLineChars="200"/>
        <w:rPr>
          <w:rFonts w:hint="eastAsia" w:eastAsia="宋体"/>
          <w:color w:val="auto"/>
          <w:lang w:eastAsia="zh-CN"/>
        </w:rPr>
      </w:pPr>
      <w:r>
        <w:rPr>
          <w:rFonts w:hint="eastAsia"/>
          <w:color w:val="auto"/>
        </w:rPr>
        <w:t>在</w:t>
      </w:r>
      <w:r>
        <w:rPr>
          <w:rFonts w:hint="eastAsia"/>
          <w:color w:val="auto"/>
          <w:lang w:val="en-US" w:eastAsia="zh-CN"/>
        </w:rPr>
        <w:t>市</w:t>
      </w:r>
      <w:r>
        <w:rPr>
          <w:rFonts w:hint="eastAsia"/>
          <w:color w:val="auto"/>
        </w:rPr>
        <w:t>域内根据需求部署</w:t>
      </w:r>
      <w:r>
        <w:rPr>
          <w:rFonts w:hint="eastAsia"/>
          <w:color w:val="auto"/>
          <w:lang w:val="en-US" w:eastAsia="zh-CN"/>
        </w:rPr>
        <w:t>7</w:t>
      </w:r>
      <w:r>
        <w:rPr>
          <w:rFonts w:hint="eastAsia"/>
          <w:color w:val="auto"/>
        </w:rPr>
        <w:t>个汇聚点，每个汇聚点</w:t>
      </w:r>
      <w:r>
        <w:rPr>
          <w:rFonts w:hint="eastAsia"/>
          <w:color w:val="auto"/>
          <w:lang w:val="en-US" w:eastAsia="zh-CN"/>
        </w:rPr>
        <w:t>采用万兆</w:t>
      </w:r>
      <w:r>
        <w:rPr>
          <w:rFonts w:hint="eastAsia"/>
          <w:color w:val="auto"/>
        </w:rPr>
        <w:t>双链路上行到核心机房，实现双路由上行</w:t>
      </w:r>
      <w:r>
        <w:rPr>
          <w:rFonts w:hint="eastAsia"/>
          <w:color w:val="auto"/>
          <w:lang w:eastAsia="zh-CN"/>
        </w:rPr>
        <w:t>。</w:t>
      </w:r>
    </w:p>
    <w:p w14:paraId="712AB927">
      <w:pPr>
        <w:pStyle w:val="136"/>
        <w:numPr>
          <w:ilvl w:val="0"/>
          <w:numId w:val="0"/>
        </w:numPr>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（四）互联网出口服务</w:t>
      </w:r>
    </w:p>
    <w:p w14:paraId="2CE6987F">
      <w:pPr>
        <w:pStyle w:val="136"/>
        <w:numPr>
          <w:ilvl w:val="0"/>
          <w:numId w:val="0"/>
        </w:numPr>
        <w:spacing w:line="360" w:lineRule="auto"/>
        <w:ind w:firstLine="480" w:firstLineChars="200"/>
        <w:rPr>
          <w:rFonts w:hint="eastAsia" w:ascii="Times New Roman" w:hAnsi="Times New Roman" w:eastAsia="宋体" w:cs="Times New Roman"/>
          <w:b/>
          <w:bCs/>
          <w:color w:val="auto"/>
          <w:lang w:val="en-US" w:eastAsia="zh-CN"/>
        </w:rPr>
      </w:pPr>
      <w:r>
        <w:rPr>
          <w:rFonts w:hint="eastAsia"/>
          <w:color w:val="auto"/>
        </w:rPr>
        <w:t>互联网出口根据用户需求，实现双物理出口冗余部署</w:t>
      </w:r>
      <w:r>
        <w:rPr>
          <w:rFonts w:hint="eastAsia"/>
          <w:color w:val="auto"/>
          <w:lang w:eastAsia="zh-CN"/>
        </w:rPr>
        <w:t>。</w:t>
      </w:r>
      <w:r>
        <w:rPr>
          <w:rFonts w:hint="eastAsia"/>
          <w:kern w:val="0"/>
          <w:sz w:val="24"/>
        </w:rPr>
        <w:t>提供不少于20G吞吐量的数据中心全局负载均衡能力，以上相关设备均需冗余</w:t>
      </w:r>
      <w:r>
        <w:rPr>
          <w:rFonts w:hint="eastAsia"/>
          <w:kern w:val="0"/>
          <w:sz w:val="24"/>
          <w:lang w:eastAsia="zh-CN"/>
        </w:rPr>
        <w:t>。</w:t>
      </w:r>
    </w:p>
    <w:p w14:paraId="5FF43F7A">
      <w:pPr>
        <w:pStyle w:val="136"/>
        <w:numPr>
          <w:ilvl w:val="0"/>
          <w:numId w:val="0"/>
        </w:numPr>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（五）安全服务</w:t>
      </w:r>
    </w:p>
    <w:p w14:paraId="53255D48">
      <w:pPr>
        <w:pStyle w:val="136"/>
        <w:spacing w:line="360" w:lineRule="auto"/>
        <w:ind w:firstLine="480" w:firstLineChars="200"/>
        <w:rPr>
          <w:rFonts w:hint="eastAsia"/>
          <w:color w:val="auto"/>
        </w:rPr>
      </w:pPr>
      <w:r>
        <w:rPr>
          <w:rFonts w:hint="eastAsia"/>
          <w:color w:val="auto"/>
          <w:lang w:val="en-US" w:eastAsia="zh-CN"/>
        </w:rPr>
        <w:t>1、</w:t>
      </w:r>
      <w:r>
        <w:rPr>
          <w:rFonts w:hint="eastAsia"/>
          <w:color w:val="auto"/>
        </w:rPr>
        <w:t>市县互联</w:t>
      </w:r>
      <w:r>
        <w:rPr>
          <w:rFonts w:hint="eastAsia"/>
          <w:color w:val="auto"/>
          <w:lang w:val="en-US" w:eastAsia="zh-CN"/>
        </w:rPr>
        <w:t>区</w:t>
      </w:r>
      <w:r>
        <w:rPr>
          <w:rFonts w:hint="eastAsia"/>
          <w:color w:val="auto"/>
        </w:rPr>
        <w:t>服务：</w:t>
      </w:r>
      <w:r>
        <w:rPr>
          <w:rFonts w:hint="eastAsia"/>
          <w:color w:val="auto"/>
          <w:lang w:val="en-US" w:eastAsia="zh-CN"/>
        </w:rPr>
        <w:t>部署</w:t>
      </w:r>
      <w:r>
        <w:rPr>
          <w:rFonts w:hint="eastAsia"/>
          <w:color w:val="auto"/>
        </w:rPr>
        <w:t xml:space="preserve">2台区域 PE </w:t>
      </w:r>
      <w:r>
        <w:rPr>
          <w:rFonts w:hint="eastAsia"/>
          <w:color w:val="auto"/>
          <w:lang w:val="en-US" w:eastAsia="zh-CN"/>
        </w:rPr>
        <w:t>核心</w:t>
      </w:r>
      <w:r>
        <w:rPr>
          <w:rFonts w:hint="eastAsia"/>
          <w:color w:val="auto"/>
        </w:rPr>
        <w:t>，</w:t>
      </w:r>
      <w:r>
        <w:rPr>
          <w:rFonts w:hint="eastAsia"/>
          <w:color w:val="auto"/>
          <w:lang w:val="en-US" w:eastAsia="zh-CN"/>
        </w:rPr>
        <w:t>部署1</w:t>
      </w:r>
      <w:r>
        <w:rPr>
          <w:rFonts w:hint="eastAsia"/>
          <w:color w:val="auto"/>
        </w:rPr>
        <w:t>台防火墙，承载从区县-地市- 省-国家的纵向流量，保障</w:t>
      </w:r>
      <w:r>
        <w:rPr>
          <w:rFonts w:hint="eastAsia"/>
          <w:color w:val="auto"/>
          <w:lang w:val="en-US" w:eastAsia="zh-CN"/>
        </w:rPr>
        <w:t>永康</w:t>
      </w:r>
      <w:r>
        <w:rPr>
          <w:rFonts w:hint="eastAsia"/>
          <w:color w:val="auto"/>
        </w:rPr>
        <w:t>和金华之间的边界安全。</w:t>
      </w:r>
    </w:p>
    <w:p w14:paraId="03B41F46">
      <w:pPr>
        <w:pStyle w:val="136"/>
        <w:spacing w:line="360" w:lineRule="auto"/>
        <w:ind w:firstLine="480" w:firstLineChars="200"/>
        <w:rPr>
          <w:rFonts w:hint="eastAsia"/>
          <w:color w:val="auto"/>
        </w:rPr>
      </w:pPr>
      <w:r>
        <w:rPr>
          <w:rFonts w:hint="eastAsia"/>
          <w:color w:val="auto"/>
          <w:lang w:val="en-US" w:eastAsia="zh-CN"/>
        </w:rPr>
        <w:t>2、</w:t>
      </w:r>
      <w:r>
        <w:rPr>
          <w:rFonts w:hint="eastAsia"/>
          <w:color w:val="auto"/>
        </w:rPr>
        <w:t>政府单位承载区服务：</w:t>
      </w:r>
      <w:r>
        <w:rPr>
          <w:rFonts w:hint="eastAsia"/>
          <w:color w:val="auto"/>
          <w:lang w:val="en-US" w:eastAsia="zh-CN"/>
        </w:rPr>
        <w:t>部署7台汇聚交换机，7</w:t>
      </w:r>
      <w:r>
        <w:rPr>
          <w:rFonts w:hint="eastAsia"/>
          <w:color w:val="auto"/>
        </w:rPr>
        <w:t>台东西向防火墙，将</w:t>
      </w:r>
      <w:r>
        <w:rPr>
          <w:rFonts w:hint="eastAsia"/>
          <w:color w:val="auto"/>
          <w:lang w:val="en-US" w:eastAsia="zh-CN"/>
        </w:rPr>
        <w:t>永康</w:t>
      </w:r>
      <w:r>
        <w:rPr>
          <w:rFonts w:hint="eastAsia"/>
          <w:color w:val="auto"/>
        </w:rPr>
        <w:t>市镇与镇之间、各委办局之间的东西向流量引流到防火墙上进行访问策略控制及攻击扫描，保障网络安全。</w:t>
      </w:r>
    </w:p>
    <w:p w14:paraId="28D17088">
      <w:pPr>
        <w:pStyle w:val="136"/>
        <w:spacing w:line="360" w:lineRule="auto"/>
        <w:ind w:firstLine="480" w:firstLineChars="200"/>
        <w:rPr>
          <w:rFonts w:hint="eastAsia"/>
          <w:color w:val="auto"/>
        </w:rPr>
      </w:pPr>
      <w:r>
        <w:rPr>
          <w:rFonts w:hint="eastAsia"/>
          <w:color w:val="auto"/>
          <w:lang w:val="en-US" w:eastAsia="zh-CN"/>
        </w:rPr>
        <w:t>3、</w:t>
      </w:r>
      <w:r>
        <w:rPr>
          <w:rFonts w:hint="eastAsia"/>
          <w:color w:val="auto"/>
        </w:rPr>
        <w:t>公共接入区服务：</w:t>
      </w:r>
      <w:r>
        <w:rPr>
          <w:rFonts w:hint="eastAsia"/>
          <w:color w:val="auto"/>
          <w:lang w:val="en-US" w:eastAsia="zh-CN"/>
        </w:rPr>
        <w:t>部署1</w:t>
      </w:r>
      <w:r>
        <w:rPr>
          <w:rFonts w:hint="eastAsia"/>
          <w:color w:val="auto"/>
        </w:rPr>
        <w:t>台防火墙，实现</w:t>
      </w:r>
      <w:r>
        <w:rPr>
          <w:rFonts w:hint="eastAsia"/>
          <w:color w:val="auto"/>
          <w:lang w:val="en-US" w:eastAsia="zh-CN"/>
        </w:rPr>
        <w:t>永康</w:t>
      </w:r>
      <w:r>
        <w:rPr>
          <w:rFonts w:hint="eastAsia"/>
          <w:color w:val="auto"/>
        </w:rPr>
        <w:t>市几大行业（国企、医疗、金融）电子政务外网专网接入需求的同时保障电子政务外网专网内部数据安全，实现</w:t>
      </w:r>
      <w:r>
        <w:rPr>
          <w:rFonts w:hint="eastAsia"/>
          <w:color w:val="auto"/>
          <w:lang w:val="en-US" w:eastAsia="zh-CN"/>
        </w:rPr>
        <w:t>永康</w:t>
      </w:r>
      <w:r>
        <w:rPr>
          <w:rFonts w:hint="eastAsia"/>
          <w:color w:val="auto"/>
        </w:rPr>
        <w:t>市的一网统管。</w:t>
      </w:r>
    </w:p>
    <w:p w14:paraId="568502D0">
      <w:pPr>
        <w:pStyle w:val="136"/>
        <w:spacing w:line="360" w:lineRule="auto"/>
        <w:ind w:firstLine="480" w:firstLineChars="200"/>
        <w:rPr>
          <w:rFonts w:hint="eastAsia"/>
          <w:color w:val="auto"/>
        </w:rPr>
      </w:pPr>
      <w:r>
        <w:rPr>
          <w:rFonts w:hint="eastAsia"/>
          <w:color w:val="auto"/>
          <w:lang w:val="en-US" w:eastAsia="zh-CN"/>
        </w:rPr>
        <w:t>4、</w:t>
      </w:r>
      <w:r>
        <w:rPr>
          <w:rFonts w:hint="eastAsia"/>
          <w:color w:val="auto"/>
        </w:rPr>
        <w:t>互联网出口区服务：通过</w:t>
      </w:r>
      <w:r>
        <w:rPr>
          <w:rFonts w:hint="eastAsia"/>
          <w:color w:val="auto"/>
          <w:lang w:val="en-US" w:eastAsia="zh-CN"/>
        </w:rPr>
        <w:t>部署2</w:t>
      </w:r>
      <w:r>
        <w:rPr>
          <w:rFonts w:hint="eastAsia"/>
          <w:color w:val="auto"/>
        </w:rPr>
        <w:t>台防火墙</w:t>
      </w:r>
      <w:r>
        <w:rPr>
          <w:rFonts w:hint="eastAsia"/>
          <w:color w:val="auto"/>
          <w:lang w:eastAsia="zh-CN"/>
        </w:rPr>
        <w:t>，</w:t>
      </w:r>
      <w:r>
        <w:rPr>
          <w:rFonts w:hint="eastAsia"/>
          <w:color w:val="auto"/>
          <w:lang w:val="en-US" w:eastAsia="zh-CN"/>
        </w:rPr>
        <w:t>部署</w:t>
      </w:r>
      <w:r>
        <w:rPr>
          <w:rFonts w:hint="eastAsia"/>
          <w:color w:val="auto"/>
        </w:rPr>
        <w:t>2台上网行为管理，有效提升访问控制安全保障能力，管控异常违规上网行为、发现敏感动作，为本级安全检查提供保障。</w:t>
      </w:r>
    </w:p>
    <w:p w14:paraId="5BE77355">
      <w:pPr>
        <w:pStyle w:val="136"/>
        <w:spacing w:line="360" w:lineRule="auto"/>
        <w:ind w:firstLine="480" w:firstLineChars="200"/>
        <w:rPr>
          <w:rFonts w:hint="eastAsia"/>
          <w:color w:val="auto"/>
        </w:rPr>
      </w:pPr>
      <w:r>
        <w:rPr>
          <w:rFonts w:hint="eastAsia"/>
          <w:color w:val="auto"/>
          <w:lang w:val="en-US" w:eastAsia="zh-CN"/>
        </w:rPr>
        <w:t>5、</w:t>
      </w:r>
      <w:r>
        <w:rPr>
          <w:rFonts w:hint="eastAsia"/>
          <w:color w:val="auto"/>
        </w:rPr>
        <w:t>政务外网专网延伸区服务：</w:t>
      </w:r>
      <w:r>
        <w:rPr>
          <w:rFonts w:hint="eastAsia"/>
          <w:color w:val="auto"/>
          <w:lang w:val="en-US" w:eastAsia="zh-CN"/>
        </w:rPr>
        <w:t>部署</w:t>
      </w:r>
      <w:r>
        <w:rPr>
          <w:rFonts w:hint="eastAsia"/>
          <w:color w:val="auto"/>
        </w:rPr>
        <w:t>1台防火墙，</w:t>
      </w:r>
      <w:r>
        <w:rPr>
          <w:rFonts w:hint="eastAsia"/>
          <w:color w:val="auto"/>
          <w:lang w:val="en-US" w:eastAsia="zh-CN"/>
        </w:rPr>
        <w:t>1</w:t>
      </w:r>
      <w:r>
        <w:rPr>
          <w:rFonts w:hint="eastAsia"/>
          <w:color w:val="auto"/>
        </w:rPr>
        <w:t>台接入区汇聚交换机</w:t>
      </w:r>
      <w:r>
        <w:rPr>
          <w:rFonts w:hint="eastAsia"/>
          <w:color w:val="auto"/>
          <w:lang w:eastAsia="zh-CN"/>
        </w:rPr>
        <w:t>，</w:t>
      </w:r>
      <w:r>
        <w:rPr>
          <w:rFonts w:hint="eastAsia"/>
          <w:color w:val="auto"/>
        </w:rPr>
        <w:t>提升网络隔离防护能力</w:t>
      </w:r>
      <w:r>
        <w:rPr>
          <w:rFonts w:hint="eastAsia"/>
          <w:color w:val="auto"/>
          <w:lang w:eastAsia="zh-CN"/>
        </w:rPr>
        <w:t>，</w:t>
      </w:r>
      <w:r>
        <w:rPr>
          <w:rFonts w:hint="eastAsia"/>
          <w:color w:val="auto"/>
        </w:rPr>
        <w:t>接入政务网、千兆到各社区、行政村的能力，提升社区、行政村的访问带宽和应用感知。</w:t>
      </w:r>
    </w:p>
    <w:p w14:paraId="19A97632">
      <w:pPr>
        <w:pStyle w:val="136"/>
        <w:spacing w:line="360" w:lineRule="auto"/>
        <w:ind w:firstLine="480" w:firstLineChars="200"/>
        <w:rPr>
          <w:rFonts w:hint="eastAsia" w:ascii="Times New Roman" w:hAnsi="Times New Roman" w:eastAsia="宋体" w:cs="Times New Roman"/>
          <w:b/>
          <w:bCs/>
          <w:color w:val="auto"/>
          <w:lang w:val="en-US" w:eastAsia="zh-CN"/>
        </w:rPr>
      </w:pPr>
      <w:r>
        <w:rPr>
          <w:rFonts w:hint="eastAsia"/>
          <w:color w:val="auto"/>
          <w:lang w:val="en-US" w:eastAsia="zh-CN"/>
        </w:rPr>
        <w:t>6、</w:t>
      </w:r>
      <w:r>
        <w:rPr>
          <w:rFonts w:hint="eastAsia"/>
          <w:color w:val="auto"/>
        </w:rPr>
        <w:t>安全运维区服务：</w:t>
      </w:r>
      <w:r>
        <w:rPr>
          <w:rFonts w:hint="eastAsia"/>
          <w:color w:val="auto"/>
          <w:lang w:val="en-US" w:eastAsia="zh-CN"/>
        </w:rPr>
        <w:t>部署</w:t>
      </w:r>
      <w:r>
        <w:rPr>
          <w:rFonts w:hint="eastAsia"/>
          <w:color w:val="auto"/>
        </w:rPr>
        <w:t>态势感知平台1套，探针3套，</w:t>
      </w:r>
      <w:r>
        <w:rPr>
          <w:rFonts w:hint="eastAsia"/>
          <w:color w:val="auto"/>
          <w:lang w:val="en-US" w:eastAsia="zh-CN"/>
        </w:rPr>
        <w:t>日志审计1台，运维审计1台，TAP交换机1台</w:t>
      </w:r>
      <w:r>
        <w:rPr>
          <w:rFonts w:hint="eastAsia"/>
          <w:color w:val="auto"/>
          <w:lang w:eastAsia="zh-CN"/>
        </w:rPr>
        <w:t>，</w:t>
      </w:r>
      <w:r>
        <w:rPr>
          <w:rFonts w:hint="eastAsia"/>
          <w:color w:val="auto"/>
        </w:rPr>
        <w:t>区域隔离防火墙</w:t>
      </w:r>
      <w:r>
        <w:rPr>
          <w:rFonts w:hint="eastAsia"/>
          <w:color w:val="auto"/>
          <w:lang w:val="en-US" w:eastAsia="zh-CN"/>
        </w:rPr>
        <w:t>1台</w:t>
      </w:r>
      <w:r>
        <w:rPr>
          <w:rFonts w:hint="eastAsia"/>
          <w:color w:val="auto"/>
        </w:rPr>
        <w:t>，</w:t>
      </w:r>
      <w:r>
        <w:rPr>
          <w:rFonts w:hint="eastAsia"/>
          <w:color w:val="auto"/>
          <w:lang w:val="en-US" w:eastAsia="zh-CN"/>
        </w:rPr>
        <w:t>防</w:t>
      </w:r>
      <w:r>
        <w:rPr>
          <w:rFonts w:hint="eastAsia"/>
          <w:color w:val="auto"/>
        </w:rPr>
        <w:t>火墙管理平台1套</w:t>
      </w:r>
      <w:r>
        <w:rPr>
          <w:rFonts w:hint="eastAsia"/>
          <w:color w:val="auto"/>
          <w:lang w:eastAsia="zh-CN"/>
        </w:rPr>
        <w:t>，</w:t>
      </w:r>
      <w:r>
        <w:rPr>
          <w:rFonts w:hint="eastAsia"/>
          <w:color w:val="auto"/>
          <w:lang w:val="en-US" w:eastAsia="zh-CN"/>
        </w:rPr>
        <w:t>违规外联检测1套，</w:t>
      </w:r>
      <w:r>
        <w:rPr>
          <w:rFonts w:hint="eastAsia"/>
          <w:color w:val="auto"/>
        </w:rPr>
        <w:t>提升用户访问服务系统的风险把控能力，做到从多方位提升网络安全，提高网络可用率。</w:t>
      </w:r>
    </w:p>
    <w:p w14:paraId="7C5D7EFE">
      <w:pPr>
        <w:pStyle w:val="136"/>
        <w:numPr>
          <w:ilvl w:val="0"/>
          <w:numId w:val="0"/>
        </w:numPr>
        <w:spacing w:line="360" w:lineRule="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（六）机房租赁服务</w:t>
      </w:r>
    </w:p>
    <w:p w14:paraId="5A0C4FA5">
      <w:pPr>
        <w:pStyle w:val="136"/>
        <w:spacing w:line="360" w:lineRule="auto"/>
        <w:ind w:firstLine="480" w:firstLineChars="200"/>
        <w:rPr>
          <w:rFonts w:hint="eastAsia" w:ascii="Times New Roman" w:hAnsi="Times New Roman" w:eastAsia="宋体" w:cs="Times New Roman"/>
          <w:b/>
          <w:bCs/>
          <w:color w:val="auto"/>
          <w:lang w:val="en-US" w:eastAsia="zh-CN"/>
        </w:rPr>
      </w:pPr>
      <w:r>
        <w:rPr>
          <w:rFonts w:hint="eastAsia"/>
          <w:color w:val="auto"/>
        </w:rPr>
        <w:t>供应商提供核心机房</w:t>
      </w:r>
      <w:r>
        <w:rPr>
          <w:rFonts w:hint="eastAsia"/>
          <w:color w:val="auto"/>
          <w:lang w:val="en-US" w:eastAsia="zh-CN"/>
        </w:rPr>
        <w:t>及4个机柜</w:t>
      </w:r>
      <w:r>
        <w:rPr>
          <w:rFonts w:hint="eastAsia"/>
          <w:color w:val="auto"/>
        </w:rPr>
        <w:t>，要求部署在</w:t>
      </w:r>
      <w:r>
        <w:rPr>
          <w:rFonts w:hint="eastAsia"/>
          <w:color w:val="auto"/>
          <w:lang w:val="en-US" w:eastAsia="zh-CN"/>
        </w:rPr>
        <w:t>永康市</w:t>
      </w:r>
      <w:r>
        <w:rPr>
          <w:rFonts w:hint="eastAsia"/>
          <w:color w:val="auto"/>
        </w:rPr>
        <w:t>域内，须允许其他运营商线路接入。放置在中标单位处的政务外网设备所产生的电费和迁移费等相关费用由中标单位承担。</w:t>
      </w:r>
    </w:p>
    <w:p w14:paraId="2D145FC2">
      <w:pPr>
        <w:pStyle w:val="136"/>
        <w:numPr>
          <w:ilvl w:val="0"/>
          <w:numId w:val="0"/>
        </w:numPr>
        <w:spacing w:line="360" w:lineRule="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（七）集成及运维服务</w:t>
      </w:r>
    </w:p>
    <w:p w14:paraId="750DAFAA">
      <w:pPr>
        <w:pStyle w:val="136"/>
        <w:spacing w:line="360" w:lineRule="auto"/>
        <w:ind w:firstLine="480" w:firstLineChars="200"/>
        <w:rPr>
          <w:rFonts w:hint="default" w:eastAsia="宋体"/>
          <w:color w:val="auto"/>
          <w:lang w:val="en-US" w:eastAsia="zh-CN"/>
        </w:rPr>
      </w:pPr>
      <w:r>
        <w:rPr>
          <w:rFonts w:hint="eastAsia"/>
          <w:color w:val="auto"/>
        </w:rPr>
        <w:t>1、</w:t>
      </w:r>
      <w:r>
        <w:rPr>
          <w:rFonts w:hint="eastAsia"/>
          <w:color w:val="auto"/>
          <w:lang w:val="en-US" w:eastAsia="zh-CN"/>
        </w:rPr>
        <w:t>项目集成服务，根据合同要求，按时完成各项集成服务内容，竣工验收。</w:t>
      </w:r>
    </w:p>
    <w:p w14:paraId="7C958E90">
      <w:pPr>
        <w:pStyle w:val="136"/>
        <w:spacing w:line="360" w:lineRule="auto"/>
        <w:ind w:firstLine="480" w:firstLineChars="200"/>
        <w:rPr>
          <w:rFonts w:hint="eastAsia"/>
          <w:color w:val="auto"/>
        </w:rPr>
      </w:pPr>
      <w:r>
        <w:rPr>
          <w:rFonts w:hint="eastAsia"/>
          <w:color w:val="auto"/>
          <w:lang w:val="en-US" w:eastAsia="zh-CN"/>
        </w:rPr>
        <w:t>2、</w:t>
      </w:r>
      <w:r>
        <w:rPr>
          <w:rFonts w:hint="eastAsia"/>
          <w:color w:val="auto"/>
        </w:rPr>
        <w:t>现场驻场服务（提供1名驻场人员，负责现场网络日常运维工作）。</w:t>
      </w:r>
    </w:p>
    <w:p w14:paraId="5E5B0ECA">
      <w:pPr>
        <w:pStyle w:val="136"/>
        <w:spacing w:line="360" w:lineRule="auto"/>
        <w:ind w:firstLine="480" w:firstLineChars="200"/>
        <w:rPr>
          <w:rFonts w:hint="eastAsia"/>
          <w:color w:val="auto"/>
        </w:rPr>
      </w:pPr>
      <w:r>
        <w:rPr>
          <w:rFonts w:hint="eastAsia"/>
          <w:color w:val="auto"/>
          <w:lang w:val="en-US" w:eastAsia="zh-CN"/>
        </w:rPr>
        <w:t>3</w:t>
      </w:r>
      <w:r>
        <w:rPr>
          <w:rFonts w:hint="eastAsia"/>
          <w:color w:val="auto"/>
        </w:rPr>
        <w:t>、定期巡检服务（按月完成政务外网定期巡检服务并提供巡检报告）。</w:t>
      </w:r>
    </w:p>
    <w:p w14:paraId="61D45A13">
      <w:pPr>
        <w:pStyle w:val="136"/>
        <w:spacing w:line="360" w:lineRule="auto"/>
        <w:ind w:firstLine="480" w:firstLineChars="200"/>
        <w:rPr>
          <w:rFonts w:hint="eastAsia"/>
          <w:color w:val="auto"/>
        </w:rPr>
      </w:pPr>
      <w:r>
        <w:rPr>
          <w:rFonts w:hint="eastAsia"/>
          <w:color w:val="auto"/>
          <w:lang w:val="en-US" w:eastAsia="zh-CN"/>
        </w:rPr>
        <w:t>4</w:t>
      </w:r>
      <w:r>
        <w:rPr>
          <w:rFonts w:hint="eastAsia"/>
          <w:color w:val="auto"/>
        </w:rPr>
        <w:t>、日常故障处理（包括日常故障运维及重大故障应急处理，及故障原因分析等）。</w:t>
      </w:r>
    </w:p>
    <w:p w14:paraId="1A98B09C">
      <w:pPr>
        <w:pStyle w:val="136"/>
        <w:spacing w:line="360" w:lineRule="auto"/>
        <w:ind w:firstLine="480" w:firstLineChars="200"/>
        <w:rPr>
          <w:rFonts w:hint="eastAsia"/>
          <w:color w:val="auto"/>
        </w:rPr>
      </w:pPr>
      <w:r>
        <w:rPr>
          <w:rFonts w:hint="eastAsia"/>
          <w:color w:val="auto"/>
          <w:lang w:val="en-US" w:eastAsia="zh-CN"/>
        </w:rPr>
        <w:t>5</w:t>
      </w:r>
      <w:r>
        <w:rPr>
          <w:rFonts w:hint="eastAsia"/>
          <w:color w:val="auto"/>
        </w:rPr>
        <w:t>、重大活动、节假日等网络安全保障服务。</w:t>
      </w:r>
    </w:p>
    <w:p w14:paraId="28DB09FC">
      <w:pPr>
        <w:pStyle w:val="136"/>
        <w:spacing w:line="360" w:lineRule="auto"/>
        <w:ind w:firstLine="480" w:firstLineChars="200"/>
        <w:rPr>
          <w:rFonts w:hint="eastAsia"/>
          <w:color w:val="auto"/>
        </w:rPr>
      </w:pPr>
      <w:r>
        <w:rPr>
          <w:rFonts w:hint="eastAsia"/>
          <w:color w:val="auto"/>
          <w:lang w:val="en-US" w:eastAsia="zh-CN"/>
        </w:rPr>
        <w:t>6</w:t>
      </w:r>
      <w:r>
        <w:rPr>
          <w:rFonts w:hint="eastAsia"/>
          <w:color w:val="auto"/>
        </w:rPr>
        <w:t>、</w:t>
      </w:r>
      <w:r>
        <w:rPr>
          <w:rFonts w:hint="eastAsia"/>
          <w:color w:val="auto"/>
          <w:lang w:val="en-US" w:eastAsia="zh-CN"/>
        </w:rPr>
        <w:t>市</w:t>
      </w:r>
      <w:r>
        <w:rPr>
          <w:rFonts w:hint="eastAsia"/>
          <w:color w:val="auto"/>
        </w:rPr>
        <w:t>级政务外网态势大屏服务，根据需要提供运维平台与省、县（市、区）对接服务。</w:t>
      </w:r>
    </w:p>
    <w:p w14:paraId="4CD59156">
      <w:pPr>
        <w:pStyle w:val="136"/>
        <w:spacing w:line="360" w:lineRule="auto"/>
        <w:ind w:firstLine="480" w:firstLineChars="200"/>
        <w:rPr>
          <w:rFonts w:hint="eastAsia"/>
          <w:color w:val="auto"/>
        </w:rPr>
      </w:pPr>
      <w:r>
        <w:rPr>
          <w:rFonts w:hint="eastAsia"/>
          <w:color w:val="auto"/>
          <w:lang w:val="en-US" w:eastAsia="zh-CN"/>
        </w:rPr>
        <w:t>7</w:t>
      </w:r>
      <w:r>
        <w:rPr>
          <w:rFonts w:hint="eastAsia"/>
          <w:color w:val="auto"/>
        </w:rPr>
        <w:t>、其他服务（包括热线电话、远程技术支持、网络调优、机房环境维护等）。</w:t>
      </w:r>
    </w:p>
    <w:p w14:paraId="2E78BACF">
      <w:pPr>
        <w:pStyle w:val="5"/>
        <w:rPr>
          <w:rFonts w:hint="default" w:eastAsia="宋体"/>
          <w:b/>
          <w:bCs w:val="0"/>
          <w:sz w:val="32"/>
          <w:szCs w:val="32"/>
          <w:lang w:val="en-US" w:eastAsia="zh-CN"/>
        </w:rPr>
      </w:pPr>
      <w:r>
        <w:rPr>
          <w:rFonts w:hint="eastAsia"/>
          <w:b/>
          <w:bCs w:val="0"/>
          <w:sz w:val="32"/>
          <w:szCs w:val="32"/>
        </w:rPr>
        <w:t>三、服务要求</w:t>
      </w:r>
    </w:p>
    <w:p w14:paraId="47498847">
      <w:pPr>
        <w:spacing w:line="360" w:lineRule="auto"/>
        <w:ind w:firstLine="480" w:firstLineChars="200"/>
        <w:jc w:val="left"/>
        <w:rPr>
          <w:rFonts w:hint="eastAsia"/>
          <w:sz w:val="24"/>
        </w:rPr>
      </w:pPr>
      <w:r>
        <w:rPr>
          <w:rFonts w:hint="eastAsia"/>
          <w:sz w:val="24"/>
        </w:rPr>
        <w:t>该项目线路实际带宽务必满足各部门、镇（街道、区）、行政村的业务使用要求，同时支持后期网络扩容及专线提速的平滑升级，主要指标：</w:t>
      </w:r>
    </w:p>
    <w:p w14:paraId="00655611">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1、</w:t>
      </w:r>
      <w:r>
        <w:rPr>
          <w:rFonts w:hint="eastAsia"/>
          <w:kern w:val="0"/>
          <w:sz w:val="24"/>
          <w:lang w:val="en-US" w:eastAsia="zh-CN"/>
        </w:rPr>
        <w:t>重点</w:t>
      </w:r>
      <w:r>
        <w:rPr>
          <w:rFonts w:hint="eastAsia"/>
          <w:kern w:val="0"/>
          <w:sz w:val="24"/>
        </w:rPr>
        <w:t>服务要求</w:t>
      </w:r>
    </w:p>
    <w:p w14:paraId="41A9B285">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（1）整个网络需要支持IPv6，现阶段能实现IPv6与IPv4的并行使用。</w:t>
      </w:r>
    </w:p>
    <w:p w14:paraId="4CB5AC29">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（2）出口能根据用户需求，提供不少于20G吞吐量的数据中心全局负载均衡能力，以上相关设备均需冗余。</w:t>
      </w:r>
    </w:p>
    <w:p w14:paraId="79E33AD4">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（3）电子政务外网具备上网审计、行为管理能力；</w:t>
      </w:r>
      <w:r>
        <w:rPr>
          <w:rFonts w:hint="eastAsia"/>
          <w:kern w:val="0"/>
          <w:sz w:val="24"/>
          <w:lang w:val="en-US" w:eastAsia="zh-CN"/>
        </w:rPr>
        <w:t>满足横向隔离</w:t>
      </w:r>
      <w:r>
        <w:rPr>
          <w:rFonts w:hint="eastAsia"/>
          <w:kern w:val="0"/>
          <w:sz w:val="24"/>
        </w:rPr>
        <w:t>功能。以上设备均需冗余并支持万兆。</w:t>
      </w:r>
    </w:p>
    <w:p w14:paraId="1FADCB93">
      <w:pPr>
        <w:overflowPunct w:val="0"/>
        <w:autoSpaceDE w:val="0"/>
        <w:autoSpaceDN w:val="0"/>
        <w:adjustRightInd w:val="0"/>
        <w:spacing w:line="360" w:lineRule="auto"/>
        <w:ind w:firstLine="240" w:firstLineChars="100"/>
        <w:textAlignment w:val="baseline"/>
        <w:rPr>
          <w:rFonts w:hint="eastAsia"/>
          <w:kern w:val="0"/>
          <w:sz w:val="24"/>
        </w:rPr>
      </w:pPr>
      <w:r>
        <w:rPr>
          <w:rFonts w:hint="eastAsia"/>
          <w:kern w:val="0"/>
          <w:sz w:val="24"/>
          <w:lang w:val="en-US" w:eastAsia="zh-CN"/>
        </w:rPr>
        <w:t>2</w:t>
      </w:r>
      <w:r>
        <w:rPr>
          <w:rFonts w:hint="eastAsia"/>
          <w:kern w:val="0"/>
          <w:sz w:val="24"/>
        </w:rPr>
        <w:t>、网络运行指标</w:t>
      </w:r>
    </w:p>
    <w:p w14:paraId="06BC3F56">
      <w:pPr>
        <w:pStyle w:val="136"/>
        <w:numPr>
          <w:ilvl w:val="0"/>
          <w:numId w:val="11"/>
        </w:numPr>
        <w:spacing w:line="360" w:lineRule="auto"/>
        <w:rPr>
          <w:rFonts w:hint="eastAsia"/>
          <w:color w:val="auto"/>
        </w:rPr>
      </w:pPr>
      <w:r>
        <w:rPr>
          <w:rFonts w:hint="eastAsia"/>
          <w:color w:val="auto"/>
        </w:rPr>
        <w:t>实际带宽可用率大于95%；</w:t>
      </w:r>
    </w:p>
    <w:p w14:paraId="791FF5C3">
      <w:pPr>
        <w:pStyle w:val="136"/>
        <w:numPr>
          <w:ilvl w:val="0"/>
          <w:numId w:val="11"/>
        </w:numPr>
        <w:spacing w:line="360" w:lineRule="auto"/>
        <w:rPr>
          <w:rFonts w:hint="eastAsia"/>
          <w:color w:val="auto"/>
        </w:rPr>
      </w:pPr>
      <w:r>
        <w:rPr>
          <w:rFonts w:hint="eastAsia"/>
          <w:color w:val="auto"/>
        </w:rPr>
        <w:t>光纤专线线路时延</w:t>
      </w:r>
      <w:r>
        <w:rPr>
          <w:rFonts w:hint="eastAsia" w:ascii="宋体" w:hAnsi="宋体"/>
          <w:color w:val="auto"/>
        </w:rPr>
        <w:t>≤</w:t>
      </w:r>
      <w:r>
        <w:rPr>
          <w:rFonts w:hint="eastAsia"/>
          <w:color w:val="auto"/>
        </w:rPr>
        <w:t>50ms；宽带专线线路时延</w:t>
      </w:r>
      <w:r>
        <w:rPr>
          <w:rFonts w:hint="eastAsia" w:ascii="宋体" w:hAnsi="宋体"/>
          <w:color w:val="auto"/>
        </w:rPr>
        <w:t>≤</w:t>
      </w:r>
      <w:r>
        <w:rPr>
          <w:rFonts w:hint="eastAsia"/>
          <w:color w:val="auto"/>
        </w:rPr>
        <w:t>100ms；</w:t>
      </w:r>
    </w:p>
    <w:p w14:paraId="1A49CBAB">
      <w:pPr>
        <w:pStyle w:val="136"/>
        <w:numPr>
          <w:ilvl w:val="0"/>
          <w:numId w:val="11"/>
        </w:numPr>
        <w:spacing w:line="360" w:lineRule="auto"/>
        <w:rPr>
          <w:rFonts w:hint="eastAsia"/>
          <w:color w:val="auto"/>
        </w:rPr>
      </w:pPr>
      <w:r>
        <w:rPr>
          <w:rFonts w:hint="eastAsia"/>
          <w:color w:val="auto"/>
        </w:rPr>
        <w:t>丢包率</w:t>
      </w:r>
      <w:r>
        <w:rPr>
          <w:rFonts w:hint="eastAsia" w:ascii="宋体" w:hAnsi="宋体"/>
          <w:color w:val="auto"/>
        </w:rPr>
        <w:t>≤0.1%</w:t>
      </w:r>
    </w:p>
    <w:p w14:paraId="49946946">
      <w:pPr>
        <w:pStyle w:val="136"/>
        <w:numPr>
          <w:ilvl w:val="0"/>
          <w:numId w:val="0"/>
        </w:numPr>
        <w:spacing w:line="360" w:lineRule="auto"/>
        <w:ind w:firstLine="240" w:firstLineChars="100"/>
        <w:rPr>
          <w:rFonts w:hint="eastAsia"/>
          <w:bCs/>
          <w:color w:val="auto"/>
        </w:rPr>
      </w:pPr>
      <w:r>
        <w:rPr>
          <w:rFonts w:hint="eastAsia" w:ascii="Calibri" w:hAnsi="Calibri"/>
          <w:bCs/>
          <w:color w:val="auto"/>
          <w:kern w:val="2"/>
          <w:lang w:val="en-US" w:eastAsia="zh-CN"/>
        </w:rPr>
        <w:t>3、</w:t>
      </w:r>
      <w:r>
        <w:rPr>
          <w:rFonts w:hint="eastAsia" w:ascii="Calibri" w:hAnsi="Calibri"/>
          <w:bCs/>
          <w:color w:val="auto"/>
          <w:kern w:val="2"/>
        </w:rPr>
        <w:t>线路质量要求</w:t>
      </w:r>
    </w:p>
    <w:p w14:paraId="1F725F8D">
      <w:pPr>
        <w:pStyle w:val="136"/>
        <w:spacing w:line="360" w:lineRule="auto"/>
        <w:ind w:firstLine="600" w:firstLineChars="250"/>
        <w:jc w:val="both"/>
        <w:rPr>
          <w:rFonts w:hint="eastAsia" w:ascii="Calibri" w:hAnsi="Calibri"/>
          <w:color w:val="auto"/>
          <w:kern w:val="2"/>
        </w:rPr>
      </w:pPr>
      <w:r>
        <w:rPr>
          <w:rFonts w:hint="eastAsia" w:ascii="Calibri" w:hAnsi="Calibri"/>
          <w:color w:val="auto"/>
          <w:kern w:val="2"/>
        </w:rPr>
        <w:t>提供的线路质量应符合工信部颁布的《电信服务标准》的电信业务质量要求，即长期运行基本无瞬时中断现象。</w:t>
      </w:r>
    </w:p>
    <w:p w14:paraId="63C225C9">
      <w:pPr>
        <w:pStyle w:val="136"/>
        <w:spacing w:line="360" w:lineRule="auto"/>
        <w:jc w:val="both"/>
        <w:rPr>
          <w:rFonts w:hint="default" w:ascii="Calibri" w:hAnsi="Calibri" w:eastAsia="宋体"/>
          <w:color w:val="auto"/>
          <w:kern w:val="2"/>
          <w:lang w:val="en-US" w:eastAsia="zh-CN"/>
        </w:rPr>
      </w:pPr>
      <w:r>
        <w:rPr>
          <w:rFonts w:hint="eastAsia" w:ascii="Calibri" w:hAnsi="Calibri"/>
          <w:color w:val="auto"/>
          <w:kern w:val="2"/>
          <w:lang w:val="en-US" w:eastAsia="zh-CN"/>
        </w:rPr>
        <w:t xml:space="preserve">  4、</w:t>
      </w:r>
      <w:r>
        <w:rPr>
          <w:rFonts w:hint="eastAsia" w:ascii="宋体" w:hAnsi="宋体" w:cs="宋体"/>
          <w:sz w:val="24"/>
        </w:rPr>
        <w:t>网络与金华电子政务外网实现无缝对接，形成一张网。</w:t>
      </w:r>
    </w:p>
    <w:p w14:paraId="450628C3">
      <w:pPr>
        <w:pStyle w:val="5"/>
        <w:rPr>
          <w:rFonts w:hint="default"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四、</w:t>
      </w:r>
      <w:r>
        <w:rPr>
          <w:rFonts w:hint="default" w:ascii="宋体" w:hAnsi="宋体" w:eastAsia="宋体" w:cs="Times New Roman"/>
          <w:b/>
          <w:bCs/>
          <w:sz w:val="32"/>
          <w:szCs w:val="32"/>
          <w:lang w:val="en-US" w:eastAsia="zh-CN"/>
        </w:rPr>
        <w:t>服务需投入设备清单及配置参数要求</w:t>
      </w:r>
    </w:p>
    <w:p w14:paraId="68093DB9">
      <w:pPr>
        <w:pStyle w:val="136"/>
        <w:numPr>
          <w:ilvl w:val="0"/>
          <w:numId w:val="0"/>
        </w:numPr>
        <w:spacing w:line="360" w:lineRule="auto"/>
        <w:ind w:firstLine="241" w:firstLineChars="100"/>
        <w:rPr>
          <w:rFonts w:hint="eastAsia" w:ascii="宋体" w:hAnsi="宋体" w:eastAsia="宋体" w:cs="Times New Roman"/>
          <w:b w:val="0"/>
          <w:bCs w:val="0"/>
          <w:color w:val="auto"/>
          <w:kern w:val="24"/>
          <w:sz w:val="24"/>
          <w:szCs w:val="24"/>
          <w:lang w:val="en-US" w:eastAsia="zh-CN" w:bidi="ar-SA"/>
        </w:rPr>
      </w:pPr>
      <w:r>
        <w:rPr>
          <w:rFonts w:hint="eastAsia" w:ascii="宋体" w:hAnsi="宋体" w:eastAsia="宋体" w:cs="Times New Roman"/>
          <w:b/>
          <w:bCs/>
          <w:color w:val="auto"/>
          <w:kern w:val="24"/>
          <w:sz w:val="24"/>
          <w:szCs w:val="24"/>
          <w:lang w:val="en-US" w:eastAsia="zh-CN" w:bidi="ar-SA"/>
        </w:rPr>
        <w:t>(一)</w:t>
      </w:r>
      <w:r>
        <w:rPr>
          <w:rFonts w:hint="default" w:ascii="宋体" w:hAnsi="宋体" w:eastAsia="宋体" w:cs="Times New Roman"/>
          <w:b/>
          <w:bCs/>
          <w:color w:val="auto"/>
          <w:kern w:val="24"/>
          <w:sz w:val="24"/>
          <w:szCs w:val="24"/>
          <w:lang w:val="en-US" w:eastAsia="zh-CN" w:bidi="ar-SA"/>
        </w:rPr>
        <w:t>配置设备清单</w:t>
      </w:r>
    </w:p>
    <w:tbl>
      <w:tblPr>
        <w:tblStyle w:val="32"/>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395"/>
        <w:gridCol w:w="960"/>
        <w:gridCol w:w="2670"/>
      </w:tblGrid>
      <w:tr w14:paraId="57B2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62" w:type="dxa"/>
            <w:noWrap w:val="0"/>
            <w:vAlign w:val="center"/>
          </w:tcPr>
          <w:p w14:paraId="75DD031A">
            <w:pPr>
              <w:pStyle w:val="136"/>
              <w:spacing w:line="360" w:lineRule="auto"/>
              <w:jc w:val="center"/>
              <w:rPr>
                <w:rFonts w:hint="eastAsia" w:ascii="Calibri" w:hAnsi="Calibri"/>
                <w:color w:val="auto"/>
                <w:kern w:val="2"/>
                <w:sz w:val="24"/>
                <w:szCs w:val="24"/>
              </w:rPr>
            </w:pPr>
          </w:p>
        </w:tc>
        <w:tc>
          <w:tcPr>
            <w:tcW w:w="4395" w:type="dxa"/>
            <w:noWrap w:val="0"/>
            <w:vAlign w:val="center"/>
          </w:tcPr>
          <w:p w14:paraId="0F579B43">
            <w:pPr>
              <w:pStyle w:val="136"/>
              <w:spacing w:line="360" w:lineRule="auto"/>
              <w:jc w:val="center"/>
              <w:rPr>
                <w:rFonts w:hint="eastAsia" w:ascii="Calibri" w:hAnsi="Calibri"/>
                <w:color w:val="auto"/>
                <w:kern w:val="2"/>
                <w:sz w:val="24"/>
                <w:szCs w:val="24"/>
              </w:rPr>
            </w:pPr>
            <w:r>
              <w:rPr>
                <w:rFonts w:hint="eastAsia" w:ascii="Calibri" w:hAnsi="Calibri"/>
                <w:color w:val="auto"/>
                <w:kern w:val="2"/>
                <w:sz w:val="24"/>
                <w:szCs w:val="24"/>
              </w:rPr>
              <w:t>产品名称</w:t>
            </w:r>
          </w:p>
        </w:tc>
        <w:tc>
          <w:tcPr>
            <w:tcW w:w="960" w:type="dxa"/>
            <w:noWrap w:val="0"/>
            <w:vAlign w:val="center"/>
          </w:tcPr>
          <w:p w14:paraId="7D3202B2">
            <w:pPr>
              <w:pStyle w:val="136"/>
              <w:spacing w:line="360" w:lineRule="auto"/>
              <w:jc w:val="center"/>
              <w:rPr>
                <w:rFonts w:hint="eastAsia" w:ascii="Calibri" w:hAnsi="Calibri"/>
                <w:color w:val="auto"/>
                <w:kern w:val="2"/>
                <w:sz w:val="24"/>
                <w:szCs w:val="24"/>
              </w:rPr>
            </w:pPr>
            <w:r>
              <w:rPr>
                <w:rFonts w:hint="eastAsia" w:ascii="Calibri" w:hAnsi="Calibri"/>
                <w:color w:val="auto"/>
                <w:kern w:val="2"/>
                <w:sz w:val="24"/>
                <w:szCs w:val="24"/>
              </w:rPr>
              <w:t>数量</w:t>
            </w:r>
          </w:p>
        </w:tc>
        <w:tc>
          <w:tcPr>
            <w:tcW w:w="2670" w:type="dxa"/>
            <w:noWrap w:val="0"/>
            <w:vAlign w:val="center"/>
          </w:tcPr>
          <w:p w14:paraId="0ED70402">
            <w:pPr>
              <w:pStyle w:val="136"/>
              <w:spacing w:line="360" w:lineRule="auto"/>
              <w:ind w:firstLine="240" w:firstLineChars="100"/>
              <w:jc w:val="both"/>
              <w:rPr>
                <w:rFonts w:hint="eastAsia" w:ascii="Calibri" w:hAnsi="Calibri"/>
                <w:color w:val="auto"/>
                <w:kern w:val="2"/>
                <w:sz w:val="24"/>
                <w:szCs w:val="24"/>
              </w:rPr>
            </w:pPr>
            <w:r>
              <w:rPr>
                <w:rFonts w:hint="eastAsia" w:ascii="Calibri" w:hAnsi="Calibri"/>
                <w:color w:val="auto"/>
                <w:kern w:val="2"/>
                <w:sz w:val="24"/>
                <w:szCs w:val="24"/>
              </w:rPr>
              <w:t>主要参数</w:t>
            </w:r>
          </w:p>
        </w:tc>
      </w:tr>
      <w:tr w14:paraId="2381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62" w:type="dxa"/>
            <w:noWrap w:val="0"/>
            <w:vAlign w:val="center"/>
          </w:tcPr>
          <w:p w14:paraId="51F5B570">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w:t>
            </w:r>
          </w:p>
        </w:tc>
        <w:tc>
          <w:tcPr>
            <w:tcW w:w="4395" w:type="dxa"/>
            <w:noWrap w:val="0"/>
            <w:vAlign w:val="center"/>
          </w:tcPr>
          <w:p w14:paraId="5B2910D0">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TAP交换机</w:t>
            </w:r>
          </w:p>
        </w:tc>
        <w:tc>
          <w:tcPr>
            <w:tcW w:w="960" w:type="dxa"/>
            <w:noWrap w:val="0"/>
            <w:vAlign w:val="center"/>
          </w:tcPr>
          <w:p w14:paraId="724BBD90">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1台</w:t>
            </w:r>
          </w:p>
        </w:tc>
        <w:tc>
          <w:tcPr>
            <w:tcW w:w="2670" w:type="dxa"/>
            <w:noWrap w:val="0"/>
            <w:vAlign w:val="center"/>
          </w:tcPr>
          <w:p w14:paraId="2F8A211A">
            <w:pPr>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0413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62" w:type="dxa"/>
            <w:noWrap w:val="0"/>
            <w:vAlign w:val="center"/>
          </w:tcPr>
          <w:p w14:paraId="05916251">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w:t>
            </w:r>
          </w:p>
        </w:tc>
        <w:tc>
          <w:tcPr>
            <w:tcW w:w="4395" w:type="dxa"/>
            <w:noWrap w:val="0"/>
            <w:vAlign w:val="center"/>
          </w:tcPr>
          <w:p w14:paraId="71D409B8">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日志审计</w:t>
            </w:r>
          </w:p>
        </w:tc>
        <w:tc>
          <w:tcPr>
            <w:tcW w:w="960" w:type="dxa"/>
            <w:noWrap w:val="0"/>
            <w:vAlign w:val="center"/>
          </w:tcPr>
          <w:p w14:paraId="0E84FBA5">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1台</w:t>
            </w:r>
          </w:p>
        </w:tc>
        <w:tc>
          <w:tcPr>
            <w:tcW w:w="2670" w:type="dxa"/>
            <w:noWrap w:val="0"/>
            <w:vAlign w:val="center"/>
          </w:tcPr>
          <w:p w14:paraId="2B509FF6">
            <w:pPr>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69CF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562" w:type="dxa"/>
            <w:noWrap w:val="0"/>
            <w:vAlign w:val="center"/>
          </w:tcPr>
          <w:p w14:paraId="7A942B92">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w:t>
            </w:r>
          </w:p>
        </w:tc>
        <w:tc>
          <w:tcPr>
            <w:tcW w:w="4395" w:type="dxa"/>
            <w:noWrap w:val="0"/>
            <w:vAlign w:val="center"/>
          </w:tcPr>
          <w:p w14:paraId="47B5A5B6">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汇聚边界防火墙</w:t>
            </w:r>
          </w:p>
        </w:tc>
        <w:tc>
          <w:tcPr>
            <w:tcW w:w="960" w:type="dxa"/>
            <w:noWrap w:val="0"/>
            <w:vAlign w:val="center"/>
          </w:tcPr>
          <w:p w14:paraId="4FDC9538">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7台</w:t>
            </w:r>
          </w:p>
        </w:tc>
        <w:tc>
          <w:tcPr>
            <w:tcW w:w="2670" w:type="dxa"/>
            <w:noWrap w:val="0"/>
            <w:vAlign w:val="center"/>
          </w:tcPr>
          <w:p w14:paraId="44EA1DC9">
            <w:pPr>
              <w:bidi w:val="0"/>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5D5D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62" w:type="dxa"/>
            <w:noWrap w:val="0"/>
            <w:vAlign w:val="center"/>
          </w:tcPr>
          <w:p w14:paraId="5E1ECB96">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w:t>
            </w:r>
          </w:p>
        </w:tc>
        <w:tc>
          <w:tcPr>
            <w:tcW w:w="4395" w:type="dxa"/>
            <w:noWrap w:val="0"/>
            <w:vAlign w:val="center"/>
          </w:tcPr>
          <w:p w14:paraId="197D51B1">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市县边界防火墙</w:t>
            </w:r>
          </w:p>
        </w:tc>
        <w:tc>
          <w:tcPr>
            <w:tcW w:w="960" w:type="dxa"/>
            <w:noWrap w:val="0"/>
            <w:vAlign w:val="center"/>
          </w:tcPr>
          <w:p w14:paraId="1D1E97E8">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1台</w:t>
            </w:r>
          </w:p>
        </w:tc>
        <w:tc>
          <w:tcPr>
            <w:tcW w:w="2670" w:type="dxa"/>
            <w:noWrap w:val="0"/>
            <w:vAlign w:val="center"/>
          </w:tcPr>
          <w:p w14:paraId="6E6B1786">
            <w:pPr>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12B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62" w:type="dxa"/>
            <w:noWrap w:val="0"/>
            <w:vAlign w:val="center"/>
          </w:tcPr>
          <w:p w14:paraId="747666E2">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5</w:t>
            </w:r>
          </w:p>
        </w:tc>
        <w:tc>
          <w:tcPr>
            <w:tcW w:w="4395" w:type="dxa"/>
            <w:noWrap w:val="0"/>
            <w:vAlign w:val="center"/>
          </w:tcPr>
          <w:p w14:paraId="1E4F1DDA">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防火墙管理平台</w:t>
            </w:r>
          </w:p>
        </w:tc>
        <w:tc>
          <w:tcPr>
            <w:tcW w:w="960" w:type="dxa"/>
            <w:noWrap w:val="0"/>
            <w:vAlign w:val="center"/>
          </w:tcPr>
          <w:p w14:paraId="24FE4FB5">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1套</w:t>
            </w:r>
          </w:p>
        </w:tc>
        <w:tc>
          <w:tcPr>
            <w:tcW w:w="2670" w:type="dxa"/>
            <w:noWrap w:val="0"/>
            <w:vAlign w:val="center"/>
          </w:tcPr>
          <w:p w14:paraId="7941A958">
            <w:pPr>
              <w:tabs>
                <w:tab w:val="left" w:pos="1434"/>
              </w:tabs>
              <w:bidi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08A0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2" w:type="dxa"/>
            <w:noWrap w:val="0"/>
            <w:vAlign w:val="center"/>
          </w:tcPr>
          <w:p w14:paraId="3911D1BC">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w:t>
            </w:r>
          </w:p>
        </w:tc>
        <w:tc>
          <w:tcPr>
            <w:tcW w:w="4395" w:type="dxa"/>
            <w:noWrap w:val="0"/>
            <w:vAlign w:val="center"/>
          </w:tcPr>
          <w:p w14:paraId="5285BE06">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利旧设备维护（核心PE交换机2套、汇聚交换机7套、态势感知平台1套、探针3套、互联网出口防火墙2套、功能区防火墙3套、上网行为管理2套、运维审计1套、违规外联检测1套）</w:t>
            </w:r>
          </w:p>
        </w:tc>
        <w:tc>
          <w:tcPr>
            <w:tcW w:w="960" w:type="dxa"/>
            <w:noWrap w:val="0"/>
            <w:vAlign w:val="center"/>
          </w:tcPr>
          <w:p w14:paraId="3649C01B">
            <w:pPr>
              <w:pStyle w:val="136"/>
              <w:spacing w:line="360" w:lineRule="auto"/>
              <w:jc w:val="center"/>
              <w:rPr>
                <w:rFonts w:hint="default" w:ascii="Calibri" w:hAnsi="Calibri"/>
                <w:color w:val="auto"/>
                <w:kern w:val="2"/>
                <w:sz w:val="24"/>
                <w:szCs w:val="24"/>
                <w:lang w:val="en-US" w:eastAsia="zh-CN"/>
              </w:rPr>
            </w:pPr>
            <w:r>
              <w:rPr>
                <w:rFonts w:hint="eastAsia" w:ascii="Calibri" w:hAnsi="Calibri"/>
                <w:color w:val="auto"/>
                <w:kern w:val="2"/>
                <w:sz w:val="24"/>
                <w:szCs w:val="24"/>
                <w:lang w:val="en-US" w:eastAsia="zh-CN"/>
              </w:rPr>
              <w:t>1批</w:t>
            </w:r>
          </w:p>
        </w:tc>
        <w:tc>
          <w:tcPr>
            <w:tcW w:w="2670" w:type="dxa"/>
            <w:noWrap w:val="0"/>
            <w:vAlign w:val="center"/>
          </w:tcPr>
          <w:p w14:paraId="50A1ADA0">
            <w:pPr>
              <w:tabs>
                <w:tab w:val="left" w:pos="1434"/>
              </w:tabs>
              <w:bidi w:val="0"/>
              <w:jc w:val="center"/>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auto"/>
                <w:sz w:val="21"/>
                <w:szCs w:val="24"/>
                <w:lang w:val="en-US" w:eastAsia="zh-CN"/>
              </w:rPr>
              <w:t>提供利旧设备续维保及相应功能授权，</w:t>
            </w:r>
            <w:r>
              <w:rPr>
                <w:rFonts w:hint="eastAsia" w:ascii="仿宋" w:hAnsi="仿宋" w:cs="仿宋"/>
                <w:szCs w:val="28"/>
              </w:rPr>
              <w:t>若原设备不能满足使用，须提供不低于原设备技术参数要求的设备</w:t>
            </w:r>
          </w:p>
        </w:tc>
      </w:tr>
    </w:tbl>
    <w:p w14:paraId="5E3DEC3A">
      <w:pPr>
        <w:numPr>
          <w:ilvl w:val="0"/>
          <w:numId w:val="0"/>
        </w:numPr>
        <w:spacing w:line="460" w:lineRule="exact"/>
        <w:rPr>
          <w:rFonts w:hint="eastAsia" w:ascii="Times New Roman" w:hAnsi="Times New Roman" w:eastAsia="宋体" w:cs="Times New Roman"/>
          <w:b/>
          <w:bCs/>
          <w:color w:val="000000"/>
          <w:kern w:val="0"/>
          <w:sz w:val="24"/>
          <w:szCs w:val="24"/>
          <w:highlight w:val="none"/>
          <w:lang w:eastAsia="zh-CN" w:bidi="ar"/>
        </w:rPr>
      </w:pPr>
    </w:p>
    <w:p w14:paraId="2BC0A1AF">
      <w:pPr>
        <w:numPr>
          <w:ilvl w:val="0"/>
          <w:numId w:val="0"/>
        </w:numPr>
        <w:spacing w:line="460" w:lineRule="exact"/>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color w:val="000000"/>
          <w:kern w:val="0"/>
          <w:sz w:val="24"/>
          <w:szCs w:val="24"/>
          <w:highlight w:val="none"/>
          <w:lang w:eastAsia="zh-CN" w:bidi="ar"/>
        </w:rPr>
        <w:br w:type="page"/>
      </w:r>
      <w:r>
        <w:rPr>
          <w:rFonts w:hint="eastAsia" w:ascii="Times New Roman" w:hAnsi="Times New Roman" w:eastAsia="宋体" w:cs="Times New Roman"/>
          <w:b/>
          <w:bCs/>
          <w:color w:val="000000"/>
          <w:kern w:val="0"/>
          <w:sz w:val="24"/>
          <w:szCs w:val="24"/>
          <w:highlight w:val="none"/>
          <w:lang w:eastAsia="zh-CN" w:bidi="ar"/>
        </w:rPr>
        <w:t>（</w:t>
      </w:r>
      <w:r>
        <w:rPr>
          <w:rFonts w:hint="eastAsia" w:ascii="Times New Roman" w:hAnsi="Times New Roman" w:eastAsia="宋体" w:cs="Times New Roman"/>
          <w:b/>
          <w:bCs/>
          <w:color w:val="000000"/>
          <w:kern w:val="0"/>
          <w:sz w:val="24"/>
          <w:szCs w:val="24"/>
          <w:highlight w:val="none"/>
          <w:lang w:val="en-US" w:eastAsia="zh-CN" w:bidi="ar"/>
        </w:rPr>
        <w:t>二</w:t>
      </w:r>
      <w:r>
        <w:rPr>
          <w:rFonts w:hint="eastAsia" w:ascii="Times New Roman" w:hAnsi="Times New Roman" w:eastAsia="宋体" w:cs="Times New Roman"/>
          <w:b/>
          <w:bCs/>
          <w:color w:val="000000"/>
          <w:kern w:val="0"/>
          <w:sz w:val="24"/>
          <w:szCs w:val="24"/>
          <w:highlight w:val="none"/>
          <w:lang w:eastAsia="zh-CN" w:bidi="ar"/>
        </w:rPr>
        <w:t>）</w:t>
      </w:r>
      <w:r>
        <w:rPr>
          <w:rFonts w:hint="default" w:ascii="Times New Roman" w:hAnsi="Times New Roman" w:eastAsia="宋体" w:cs="Times New Roman"/>
          <w:b/>
          <w:bCs/>
          <w:color w:val="000000"/>
          <w:kern w:val="0"/>
          <w:sz w:val="24"/>
          <w:szCs w:val="24"/>
          <w:highlight w:val="none"/>
          <w:lang w:val="en-US" w:eastAsia="zh-CN" w:bidi="ar"/>
        </w:rPr>
        <w:t>配置</w:t>
      </w:r>
      <w:r>
        <w:rPr>
          <w:rFonts w:hint="default" w:ascii="Times New Roman" w:hAnsi="Times New Roman" w:eastAsia="宋体" w:cs="Times New Roman"/>
          <w:b/>
          <w:bCs/>
          <w:color w:val="000000"/>
          <w:kern w:val="0"/>
          <w:sz w:val="24"/>
          <w:szCs w:val="24"/>
          <w:highlight w:val="none"/>
          <w:lang w:bidi="ar"/>
        </w:rPr>
        <w:t>设备参数要求</w:t>
      </w:r>
    </w:p>
    <w:p w14:paraId="6DDE74D6">
      <w:pPr>
        <w:pStyle w:val="4"/>
        <w:keepNext/>
        <w:keepLines/>
        <w:pageBreakBefore w:val="0"/>
        <w:widowControl/>
        <w:kinsoku/>
        <w:wordWrap/>
        <w:overflowPunct/>
        <w:topLinePunct w:val="0"/>
        <w:autoSpaceDE/>
        <w:autoSpaceDN/>
        <w:bidi w:val="0"/>
        <w:adjustRightInd/>
        <w:snapToGrid/>
        <w:spacing w:before="120" w:after="90" w:line="240" w:lineRule="auto"/>
        <w:textAlignment w:val="auto"/>
        <w:rPr>
          <w:rFonts w:hint="eastAsia" w:ascii="Times New Roman" w:hAnsi="Times New Roman" w:eastAsia="宋体" w:cs="Times New Roman"/>
          <w:b/>
          <w:bCs/>
          <w:sz w:val="32"/>
          <w:szCs w:val="32"/>
          <w:lang w:val="en-US" w:eastAsia="zh-CN"/>
        </w:rPr>
      </w:pPr>
      <w:r>
        <w:rPr>
          <w:rFonts w:hint="eastAsia"/>
          <w:sz w:val="32"/>
          <w:szCs w:val="32"/>
          <w:lang w:val="en-US" w:eastAsia="zh-CN"/>
        </w:rPr>
        <w:t>1、</w:t>
      </w:r>
      <w:r>
        <w:rPr>
          <w:rFonts w:hint="eastAsia" w:ascii="Times New Roman" w:hAnsi="Times New Roman" w:eastAsia="宋体" w:cs="Times New Roman"/>
          <w:b/>
          <w:bCs/>
          <w:sz w:val="32"/>
          <w:szCs w:val="32"/>
          <w:lang w:val="en-US" w:eastAsia="zh-CN"/>
        </w:rPr>
        <w:t>TAP交换机</w:t>
      </w:r>
    </w:p>
    <w:tbl>
      <w:tblPr>
        <w:tblStyle w:val="32"/>
        <w:tblW w:w="84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41"/>
      </w:tblGrid>
      <w:tr w14:paraId="0346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shd w:val="clear" w:color="000000" w:fill="D9D9D9"/>
            <w:noWrap w:val="0"/>
            <w:vAlign w:val="center"/>
          </w:tcPr>
          <w:p w14:paraId="5C5F18E4">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指标项</w:t>
            </w:r>
          </w:p>
        </w:tc>
        <w:tc>
          <w:tcPr>
            <w:tcW w:w="7041" w:type="dxa"/>
            <w:shd w:val="clear" w:color="000000" w:fill="D9D9D9"/>
            <w:noWrap w:val="0"/>
            <w:vAlign w:val="center"/>
          </w:tcPr>
          <w:p w14:paraId="7638B6BB">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指标要求</w:t>
            </w:r>
          </w:p>
        </w:tc>
      </w:tr>
      <w:tr w14:paraId="466B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37A912F1">
            <w:pPr>
              <w:widowControl/>
              <w:ind w:firstLine="0" w:firstLineChars="0"/>
              <w:jc w:val="center"/>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基本要求</w:t>
            </w:r>
          </w:p>
        </w:tc>
        <w:tc>
          <w:tcPr>
            <w:tcW w:w="7041" w:type="dxa"/>
            <w:noWrap w:val="0"/>
            <w:vAlign w:val="center"/>
          </w:tcPr>
          <w:p w14:paraId="1C2CD1C3">
            <w:pPr>
              <w:spacing w:line="240" w:lineRule="auto"/>
              <w:ind w:firstLine="0" w:firstLineChars="0"/>
              <w:jc w:val="left"/>
              <w:rPr>
                <w:rFonts w:ascii="宋体" w:hAnsi="宋体" w:eastAsia="宋体" w:cs="Times New Roman"/>
                <w:color w:val="000000"/>
                <w:sz w:val="21"/>
                <w:szCs w:val="21"/>
              </w:rPr>
            </w:pPr>
            <w:r>
              <w:rPr>
                <w:rFonts w:hint="eastAsia" w:ascii="宋体" w:hAnsi="宋体" w:eastAsia="宋体" w:cs="Times New Roman"/>
                <w:color w:val="000000"/>
                <w:sz w:val="21"/>
                <w:szCs w:val="21"/>
              </w:rPr>
              <w:t>具备24个10GE/GE光口，</w:t>
            </w:r>
            <w:r>
              <w:rPr>
                <w:rFonts w:hint="eastAsia" w:ascii="宋体" w:hAnsi="宋体" w:eastAsia="宋体" w:cs="Times New Roman"/>
                <w:sz w:val="21"/>
                <w:szCs w:val="21"/>
              </w:rPr>
              <w:t>配置至少</w:t>
            </w:r>
            <w:r>
              <w:rPr>
                <w:rFonts w:hint="eastAsia" w:ascii="宋体" w:hAnsi="宋体" w:eastAsia="宋体" w:cs="Times New Roman"/>
                <w:sz w:val="21"/>
                <w:szCs w:val="21"/>
                <w:lang w:val="en-US" w:eastAsia="zh-CN"/>
              </w:rPr>
              <w:t>12</w:t>
            </w:r>
            <w:r>
              <w:rPr>
                <w:rFonts w:hint="eastAsia" w:ascii="宋体" w:hAnsi="宋体" w:eastAsia="宋体" w:cs="Times New Roman"/>
                <w:sz w:val="21"/>
                <w:szCs w:val="21"/>
              </w:rPr>
              <w:t>对万兆多模光模块；</w:t>
            </w:r>
          </w:p>
          <w:p w14:paraId="259FD5B0">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支持GE</w:t>
            </w:r>
            <w:r>
              <w:rPr>
                <w:rFonts w:ascii="宋体" w:hAnsi="宋体" w:eastAsia="宋体" w:cs="Times New Roman"/>
                <w:color w:val="000000"/>
                <w:sz w:val="21"/>
                <w:szCs w:val="21"/>
              </w:rPr>
              <w:t>/10GE</w:t>
            </w:r>
            <w:r>
              <w:rPr>
                <w:rFonts w:hint="eastAsia" w:ascii="宋体" w:hAnsi="宋体" w:eastAsia="宋体" w:cs="Times New Roman"/>
                <w:color w:val="000000"/>
                <w:sz w:val="21"/>
                <w:szCs w:val="21"/>
              </w:rPr>
              <w:t>双纤LC</w:t>
            </w:r>
            <w:r>
              <w:rPr>
                <w:rFonts w:ascii="宋体" w:hAnsi="宋体" w:eastAsia="宋体" w:cs="Times New Roman"/>
                <w:color w:val="000000"/>
                <w:sz w:val="21"/>
                <w:szCs w:val="21"/>
              </w:rPr>
              <w:t>光模块</w:t>
            </w:r>
            <w:r>
              <w:rPr>
                <w:rFonts w:hint="eastAsia" w:ascii="宋体" w:hAnsi="宋体" w:eastAsia="宋体" w:cs="Times New Roman"/>
                <w:color w:val="000000"/>
                <w:sz w:val="21"/>
                <w:szCs w:val="21"/>
              </w:rPr>
              <w:t>，</w:t>
            </w:r>
            <w:r>
              <w:rPr>
                <w:rFonts w:ascii="宋体" w:hAnsi="宋体" w:eastAsia="宋体" w:cs="Times New Roman"/>
                <w:color w:val="000000"/>
                <w:sz w:val="21"/>
                <w:szCs w:val="21"/>
              </w:rPr>
              <w:t>电口RJ45</w:t>
            </w:r>
            <w:r>
              <w:rPr>
                <w:rFonts w:hint="eastAsia" w:ascii="宋体" w:hAnsi="宋体" w:eastAsia="宋体" w:cs="Times New Roman"/>
                <w:color w:val="000000"/>
                <w:sz w:val="21"/>
                <w:szCs w:val="21"/>
              </w:rPr>
              <w:t>光模块；</w:t>
            </w:r>
          </w:p>
        </w:tc>
      </w:tr>
      <w:tr w14:paraId="4B08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616FE237">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流量复制转发</w:t>
            </w:r>
          </w:p>
        </w:tc>
        <w:tc>
          <w:tcPr>
            <w:tcW w:w="7041" w:type="dxa"/>
            <w:noWrap w:val="0"/>
            <w:vAlign w:val="center"/>
          </w:tcPr>
          <w:p w14:paraId="7F285C50">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支持基于端口输入\输出双向的流量复制。支持基于流量分类规则的复制, 支持同时将报文输出到至少</w:t>
            </w:r>
            <w:r>
              <w:rPr>
                <w:rFonts w:ascii="宋体" w:hAnsi="宋体" w:eastAsia="宋体" w:cs="Times New Roman"/>
                <w:color w:val="000000"/>
                <w:sz w:val="21"/>
                <w:szCs w:val="21"/>
              </w:rPr>
              <w:t>8个输出端口组以支持多个业务后端系统，且每个组可选择不同的分发策略</w:t>
            </w:r>
            <w:r>
              <w:rPr>
                <w:rFonts w:hint="eastAsia" w:ascii="宋体" w:hAnsi="宋体" w:eastAsia="宋体" w:cs="Times New Roman"/>
                <w:color w:val="000000"/>
                <w:sz w:val="21"/>
                <w:szCs w:val="21"/>
              </w:rPr>
              <w:t>。支持基于指定输出接口转发。支持基于流分类结果转发。</w:t>
            </w:r>
          </w:p>
        </w:tc>
      </w:tr>
      <w:tr w14:paraId="4742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5E0026CB">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流量过滤</w:t>
            </w:r>
          </w:p>
        </w:tc>
        <w:tc>
          <w:tcPr>
            <w:tcW w:w="7041" w:type="dxa"/>
            <w:noWrap w:val="0"/>
            <w:vAlign w:val="center"/>
          </w:tcPr>
          <w:p w14:paraId="0C78E1D0">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支持源IP、目的IP、协议类型、源端口、目的端口、输入接口号,VLAN ID等多元组匹配规则。匹配时可选择内层或者外层五元组信息，分流时可选择内层或外层五元组信息。</w:t>
            </w:r>
            <w:r>
              <w:rPr>
                <w:rFonts w:ascii="宋体" w:hAnsi="宋体" w:eastAsia="宋体" w:cs="Times New Roman"/>
                <w:color w:val="000000"/>
                <w:sz w:val="21"/>
                <w:szCs w:val="21"/>
              </w:rPr>
              <w:t>支持五元组规则命中使能截断</w:t>
            </w:r>
            <w:r>
              <w:rPr>
                <w:rFonts w:hint="eastAsia" w:ascii="宋体" w:hAnsi="宋体" w:eastAsia="宋体" w:cs="Times New Roman"/>
                <w:color w:val="000000"/>
                <w:sz w:val="21"/>
                <w:szCs w:val="21"/>
              </w:rPr>
              <w:t>动作。支持CLI、WEB管理，操作界面具有友好性易用性，WEB界面支持HTTPS且可完成所有配置管理。</w:t>
            </w:r>
            <w:r>
              <w:rPr>
                <w:rFonts w:ascii="宋体" w:hAnsi="宋体" w:eastAsia="宋体" w:cs="Times New Roman"/>
                <w:color w:val="000000"/>
                <w:sz w:val="21"/>
                <w:szCs w:val="21"/>
              </w:rPr>
              <w:t>支持五元组规则命中添加</w:t>
            </w:r>
            <w:r>
              <w:rPr>
                <w:rFonts w:hint="eastAsia" w:ascii="宋体" w:hAnsi="宋体" w:eastAsia="宋体" w:cs="Times New Roman"/>
                <w:color w:val="000000"/>
                <w:sz w:val="21"/>
                <w:szCs w:val="21"/>
              </w:rPr>
              <w:t>V</w:t>
            </w:r>
            <w:r>
              <w:rPr>
                <w:rFonts w:ascii="宋体" w:hAnsi="宋体" w:eastAsia="宋体" w:cs="Times New Roman"/>
                <w:color w:val="000000"/>
                <w:sz w:val="21"/>
                <w:szCs w:val="21"/>
              </w:rPr>
              <w:t>LAN</w:t>
            </w:r>
            <w:r>
              <w:rPr>
                <w:rFonts w:hint="eastAsia" w:ascii="宋体" w:hAnsi="宋体" w:eastAsia="宋体" w:cs="Times New Roman"/>
                <w:color w:val="000000"/>
                <w:sz w:val="21"/>
                <w:szCs w:val="21"/>
              </w:rPr>
              <w:t>。</w:t>
            </w:r>
          </w:p>
        </w:tc>
      </w:tr>
      <w:tr w14:paraId="117C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708E5C31">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数据报文预处理</w:t>
            </w:r>
          </w:p>
        </w:tc>
        <w:tc>
          <w:tcPr>
            <w:tcW w:w="7041" w:type="dxa"/>
            <w:noWrap w:val="0"/>
            <w:vAlign w:val="center"/>
          </w:tcPr>
          <w:p w14:paraId="0582AE46">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支持纳秒级时间戳精度。支持报文截断，保留长度分端口可配置，支持五元组规则命中使能截断动作。支持</w:t>
            </w:r>
            <w:r>
              <w:rPr>
                <w:rFonts w:ascii="宋体" w:hAnsi="宋体" w:eastAsia="宋体" w:cs="Times New Roman"/>
                <w:color w:val="000000"/>
                <w:sz w:val="21"/>
                <w:szCs w:val="21"/>
              </w:rPr>
              <w:t>VLAN，GRE，VXLAN外层头的剥离和去封装</w:t>
            </w:r>
            <w:r>
              <w:rPr>
                <w:rFonts w:hint="eastAsia" w:ascii="宋体" w:hAnsi="宋体" w:eastAsia="宋体" w:cs="Times New Roman"/>
                <w:color w:val="000000"/>
                <w:sz w:val="21"/>
                <w:szCs w:val="21"/>
              </w:rPr>
              <w:t>。</w:t>
            </w:r>
            <w:r>
              <w:rPr>
                <w:rFonts w:ascii="宋体" w:hAnsi="宋体" w:eastAsia="宋体" w:cs="Times New Roman"/>
                <w:color w:val="000000"/>
                <w:sz w:val="21"/>
                <w:szCs w:val="21"/>
              </w:rPr>
              <w:t>支持</w:t>
            </w:r>
            <w:r>
              <w:rPr>
                <w:rFonts w:hint="eastAsia" w:ascii="宋体" w:hAnsi="宋体" w:eastAsia="宋体" w:cs="Times New Roman"/>
                <w:color w:val="000000"/>
                <w:sz w:val="21"/>
                <w:szCs w:val="21"/>
              </w:rPr>
              <w:t>入口</w:t>
            </w:r>
            <w:r>
              <w:rPr>
                <w:rFonts w:ascii="宋体" w:hAnsi="宋体" w:eastAsia="宋体" w:cs="Times New Roman"/>
                <w:color w:val="000000"/>
                <w:sz w:val="21"/>
                <w:szCs w:val="21"/>
              </w:rPr>
              <w:t>VLAN增删改</w:t>
            </w:r>
            <w:r>
              <w:rPr>
                <w:rFonts w:hint="eastAsia" w:ascii="宋体" w:hAnsi="宋体" w:eastAsia="宋体" w:cs="Times New Roman"/>
                <w:color w:val="000000"/>
                <w:sz w:val="21"/>
                <w:szCs w:val="21"/>
              </w:rPr>
              <w:t>，出口V</w:t>
            </w:r>
            <w:r>
              <w:rPr>
                <w:rFonts w:ascii="宋体" w:hAnsi="宋体" w:eastAsia="宋体" w:cs="Times New Roman"/>
                <w:color w:val="000000"/>
                <w:sz w:val="21"/>
                <w:szCs w:val="21"/>
              </w:rPr>
              <w:t>LAN增删改</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可修改输出报文的源/目的MAC地址或自</w:t>
            </w:r>
            <w:r>
              <w:rPr>
                <w:rFonts w:ascii="宋体" w:hAnsi="宋体" w:eastAsia="宋体" w:cs="Times New Roman"/>
                <w:color w:val="000000"/>
                <w:sz w:val="21"/>
                <w:szCs w:val="21"/>
              </w:rPr>
              <w:t>定义</w:t>
            </w:r>
            <w:r>
              <w:rPr>
                <w:rFonts w:hint="eastAsia" w:ascii="宋体" w:hAnsi="宋体" w:eastAsia="宋体" w:cs="Times New Roman"/>
                <w:color w:val="000000"/>
                <w:sz w:val="21"/>
                <w:szCs w:val="21"/>
              </w:rPr>
              <w:t>协商</w:t>
            </w:r>
            <w:r>
              <w:rPr>
                <w:rFonts w:ascii="宋体" w:hAnsi="宋体" w:eastAsia="宋体" w:cs="Times New Roman"/>
                <w:color w:val="000000"/>
                <w:sz w:val="21"/>
                <w:szCs w:val="21"/>
              </w:rPr>
              <w:t>字段</w:t>
            </w:r>
            <w:r>
              <w:rPr>
                <w:rFonts w:hint="eastAsia" w:ascii="宋体" w:hAnsi="宋体" w:eastAsia="宋体" w:cs="Times New Roman"/>
                <w:color w:val="000000"/>
                <w:sz w:val="21"/>
                <w:szCs w:val="21"/>
              </w:rPr>
              <w:t>，以便携带输入端口、命中规则号，或者精确时间戳等信息。</w:t>
            </w:r>
            <w:r>
              <w:rPr>
                <w:rFonts w:ascii="宋体" w:hAnsi="宋体" w:eastAsia="宋体" w:cs="Times New Roman"/>
                <w:color w:val="000000"/>
                <w:sz w:val="21"/>
                <w:szCs w:val="21"/>
              </w:rPr>
              <w:t>支持ERSPAN远程镜像接入</w:t>
            </w:r>
            <w:r>
              <w:rPr>
                <w:rFonts w:hint="eastAsia" w:ascii="宋体" w:hAnsi="宋体" w:eastAsia="宋体" w:cs="Times New Roman"/>
                <w:color w:val="000000"/>
                <w:sz w:val="21"/>
                <w:szCs w:val="21"/>
              </w:rPr>
              <w:t>。</w:t>
            </w:r>
            <w:r>
              <w:rPr>
                <w:rFonts w:hint="eastAsia" w:ascii="宋体" w:hAnsi="宋体" w:eastAsia="宋体" w:cs="Cambria"/>
                <w:color w:val="000000"/>
                <w:sz w:val="21"/>
                <w:szCs w:val="21"/>
              </w:rPr>
              <w:t>ACL</w:t>
            </w:r>
            <w:r>
              <w:rPr>
                <w:rFonts w:hint="eastAsia" w:ascii="宋体" w:hAnsi="宋体" w:eastAsia="宋体" w:cs="Times New Roman"/>
                <w:color w:val="000000"/>
                <w:sz w:val="21"/>
                <w:szCs w:val="21"/>
              </w:rPr>
              <w:t>规则使能控制功能，可实现针对单独ACL的使能配置选择，提升ACL规则的管理及使用效率，并支持规则的描述。</w:t>
            </w:r>
          </w:p>
        </w:tc>
      </w:tr>
      <w:tr w14:paraId="07CA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03DFBD40">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产品配置管理</w:t>
            </w:r>
          </w:p>
        </w:tc>
        <w:tc>
          <w:tcPr>
            <w:tcW w:w="7041" w:type="dxa"/>
            <w:noWrap w:val="0"/>
            <w:vAlign w:val="center"/>
          </w:tcPr>
          <w:p w14:paraId="7CACE20F">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WEB图形化系统管理功能，支持在WEB上对设备以图形化的方式对设备端口状态、模块插入状态、波长、模块接收光功率、模块发送光功率、端口字符描述、接口当前接收速率、接口当前发送速率、接口当前接收报文计数、接口当前发送报文计数、接口当前丢包计数、接口当前接收错包计数等，支持对端口的状态以指示灯颜色来展示，支持端口流量以趋势图方式查看，支持图形化查看CPU、内存、温度的使用情况，支持整体统计接口LINK的数量和接口详细统计，支持对接口插入模块的整体统计和接口详细统计。支持集中式管理平台，多台设备可通过管理平台客户端在统一的web图形化页面下进行配置操作。</w:t>
            </w:r>
          </w:p>
        </w:tc>
      </w:tr>
    </w:tbl>
    <w:p w14:paraId="2AA6A769">
      <w:pPr>
        <w:pStyle w:val="4"/>
        <w:keepNext/>
        <w:keepLines/>
        <w:pageBreakBefore w:val="0"/>
        <w:widowControl/>
        <w:kinsoku/>
        <w:wordWrap/>
        <w:overflowPunct/>
        <w:topLinePunct w:val="0"/>
        <w:autoSpaceDE/>
        <w:autoSpaceDN/>
        <w:bidi w:val="0"/>
        <w:adjustRightInd/>
        <w:snapToGrid/>
        <w:spacing w:after="90" w:line="579" w:lineRule="auto"/>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2、日志审计系统</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1794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2EED7368">
            <w:pPr>
              <w:pStyle w:val="99"/>
              <w:jc w:val="center"/>
              <w:rPr>
                <w:sz w:val="21"/>
                <w:szCs w:val="21"/>
              </w:rPr>
            </w:pPr>
            <w:r>
              <w:rPr>
                <w:rFonts w:hint="eastAsia"/>
                <w:sz w:val="21"/>
                <w:szCs w:val="21"/>
              </w:rPr>
              <w:t>指标项</w:t>
            </w:r>
          </w:p>
        </w:tc>
        <w:tc>
          <w:tcPr>
            <w:tcW w:w="7163" w:type="dxa"/>
            <w:shd w:val="clear" w:color="000000" w:fill="DDEBF7"/>
            <w:noWrap w:val="0"/>
            <w:vAlign w:val="center"/>
          </w:tcPr>
          <w:p w14:paraId="002C4450">
            <w:pPr>
              <w:pStyle w:val="99"/>
              <w:jc w:val="center"/>
              <w:rPr>
                <w:sz w:val="21"/>
                <w:szCs w:val="21"/>
              </w:rPr>
            </w:pPr>
            <w:r>
              <w:rPr>
                <w:rFonts w:hint="eastAsia"/>
                <w:sz w:val="21"/>
                <w:szCs w:val="21"/>
              </w:rPr>
              <w:t>指标要求</w:t>
            </w:r>
          </w:p>
        </w:tc>
      </w:tr>
      <w:tr w14:paraId="3055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020AACA0">
            <w:pPr>
              <w:pStyle w:val="99"/>
              <w:ind w:left="0" w:leftChars="0" w:firstLine="0" w:firstLineChars="0"/>
              <w:jc w:val="both"/>
              <w:rPr>
                <w:sz w:val="21"/>
                <w:szCs w:val="21"/>
              </w:rPr>
            </w:pPr>
            <w:r>
              <w:rPr>
                <w:rFonts w:hint="eastAsia"/>
                <w:sz w:val="21"/>
                <w:szCs w:val="21"/>
              </w:rPr>
              <w:t>硬件要求</w:t>
            </w:r>
          </w:p>
        </w:tc>
        <w:tc>
          <w:tcPr>
            <w:tcW w:w="7163" w:type="dxa"/>
            <w:noWrap w:val="0"/>
            <w:vAlign w:val="center"/>
          </w:tcPr>
          <w:p w14:paraId="102F4E75">
            <w:pPr>
              <w:pStyle w:val="99"/>
              <w:ind w:left="0" w:leftChars="0" w:firstLine="0" w:firstLineChars="0"/>
              <w:rPr>
                <w:sz w:val="21"/>
                <w:szCs w:val="21"/>
              </w:rPr>
            </w:pPr>
            <w:r>
              <w:rPr>
                <w:rFonts w:hint="eastAsia"/>
                <w:sz w:val="21"/>
                <w:szCs w:val="21"/>
              </w:rPr>
              <w:t>性能：综合日志处理性能≥2600EPS，日志采集处理均值≥7000EPS。硬件规格：1U机箱，千兆电口≥6个，扩展插槽≥</w:t>
            </w:r>
            <w:r>
              <w:rPr>
                <w:sz w:val="21"/>
                <w:szCs w:val="21"/>
              </w:rPr>
              <w:t>2</w:t>
            </w:r>
            <w:r>
              <w:rPr>
                <w:rFonts w:hint="eastAsia"/>
                <w:sz w:val="21"/>
                <w:szCs w:val="21"/>
              </w:rPr>
              <w:t>个，Console接口≥</w:t>
            </w:r>
            <w:r>
              <w:rPr>
                <w:sz w:val="21"/>
                <w:szCs w:val="21"/>
              </w:rPr>
              <w:t>1</w:t>
            </w:r>
            <w:r>
              <w:rPr>
                <w:rFonts w:hint="eastAsia"/>
                <w:sz w:val="21"/>
                <w:szCs w:val="21"/>
              </w:rPr>
              <w:t>个，单电源，硬盘≥2TB。包含</w:t>
            </w:r>
            <w:r>
              <w:rPr>
                <w:rFonts w:hint="eastAsia"/>
                <w:sz w:val="21"/>
                <w:szCs w:val="21"/>
                <w:lang w:val="en-US" w:eastAsia="zh-CN"/>
              </w:rPr>
              <w:t>不少于</w:t>
            </w:r>
            <w:r>
              <w:rPr>
                <w:rFonts w:hint="eastAsia"/>
                <w:sz w:val="21"/>
                <w:szCs w:val="21"/>
              </w:rPr>
              <w:t>35个日志源授权。</w:t>
            </w:r>
          </w:p>
        </w:tc>
      </w:tr>
      <w:tr w14:paraId="54D9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1FA1E4E">
            <w:pPr>
              <w:pStyle w:val="99"/>
              <w:ind w:left="0" w:leftChars="0" w:firstLine="0" w:firstLineChars="0"/>
              <w:jc w:val="both"/>
              <w:rPr>
                <w:sz w:val="21"/>
                <w:szCs w:val="21"/>
              </w:rPr>
            </w:pPr>
            <w:r>
              <w:rPr>
                <w:rFonts w:hint="eastAsia"/>
                <w:sz w:val="21"/>
                <w:szCs w:val="21"/>
              </w:rPr>
              <w:t>日志采集与转发</w:t>
            </w:r>
          </w:p>
        </w:tc>
        <w:tc>
          <w:tcPr>
            <w:tcW w:w="7163" w:type="dxa"/>
            <w:noWrap w:val="0"/>
            <w:vAlign w:val="center"/>
          </w:tcPr>
          <w:p w14:paraId="00BDE361">
            <w:pPr>
              <w:pStyle w:val="99"/>
              <w:ind w:left="0" w:leftChars="0" w:firstLine="0" w:firstLineChars="0"/>
              <w:rPr>
                <w:sz w:val="21"/>
                <w:szCs w:val="21"/>
              </w:rPr>
            </w:pPr>
            <w:r>
              <w:rPr>
                <w:rFonts w:hint="eastAsia"/>
                <w:sz w:val="21"/>
                <w:szCs w:val="21"/>
              </w:rPr>
              <w:t>★所投产品需支持通过Syslog、SNMP Trap、JDBC、Agent日志代理(Windows/Linux)、远程FTP、远程SFTP、文件共享(SMB、NetBIOS)、文件/目录读取、Kafka、WebService等多种方式。</w:t>
            </w:r>
            <w:r>
              <w:rPr>
                <w:rFonts w:hint="eastAsia"/>
                <w:b/>
                <w:sz w:val="21"/>
                <w:szCs w:val="21"/>
              </w:rPr>
              <w:t>（投标文件需要提供能够体现上述功能及配</w:t>
            </w:r>
            <w:r>
              <w:rPr>
                <w:rFonts w:hint="eastAsia"/>
                <w:b/>
                <w:sz w:val="21"/>
                <w:szCs w:val="21"/>
                <w:lang w:val="en-US" w:eastAsia="zh-CN"/>
              </w:rPr>
              <w:t xml:space="preserve">  </w:t>
            </w:r>
            <w:r>
              <w:rPr>
                <w:rFonts w:hint="eastAsia"/>
                <w:b/>
                <w:sz w:val="21"/>
                <w:szCs w:val="21"/>
              </w:rPr>
              <w:t>置选项的截图）</w:t>
            </w:r>
          </w:p>
        </w:tc>
      </w:tr>
      <w:tr w14:paraId="7269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AE6EE23">
            <w:pPr>
              <w:pStyle w:val="99"/>
              <w:ind w:left="0" w:leftChars="0" w:firstLine="0" w:firstLineChars="0"/>
              <w:jc w:val="both"/>
              <w:rPr>
                <w:sz w:val="21"/>
                <w:szCs w:val="21"/>
              </w:rPr>
            </w:pPr>
            <w:r>
              <w:rPr>
                <w:rFonts w:hint="eastAsia"/>
                <w:sz w:val="21"/>
                <w:szCs w:val="21"/>
              </w:rPr>
              <w:t>日志交互式分析</w:t>
            </w:r>
          </w:p>
        </w:tc>
        <w:tc>
          <w:tcPr>
            <w:tcW w:w="7163" w:type="dxa"/>
            <w:noWrap w:val="0"/>
            <w:vAlign w:val="center"/>
          </w:tcPr>
          <w:p w14:paraId="4C26B8C1">
            <w:pPr>
              <w:pStyle w:val="99"/>
              <w:ind w:left="0" w:leftChars="0" w:firstLine="0" w:firstLineChars="0"/>
              <w:rPr>
                <w:sz w:val="21"/>
                <w:szCs w:val="21"/>
              </w:rPr>
            </w:pPr>
            <w:r>
              <w:rPr>
                <w:rFonts w:hint="eastAsia"/>
                <w:sz w:val="21"/>
                <w:szCs w:val="21"/>
              </w:rPr>
              <w:t>可以以图形化的方式展示日志属性之间的聚合关系，并支持手动选择日志属性，显示多维事件分析图；属性可增加或减少。</w:t>
            </w:r>
          </w:p>
        </w:tc>
      </w:tr>
      <w:tr w14:paraId="61ED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96" w:type="dxa"/>
            <w:shd w:val="clear" w:color="000000" w:fill="FFFFFF"/>
            <w:noWrap w:val="0"/>
            <w:vAlign w:val="center"/>
          </w:tcPr>
          <w:p w14:paraId="0057107C">
            <w:pPr>
              <w:pStyle w:val="99"/>
              <w:ind w:left="0" w:leftChars="0" w:firstLine="0" w:firstLineChars="0"/>
              <w:jc w:val="both"/>
              <w:rPr>
                <w:sz w:val="21"/>
                <w:szCs w:val="21"/>
              </w:rPr>
            </w:pPr>
            <w:r>
              <w:rPr>
                <w:rFonts w:hint="eastAsia"/>
                <w:sz w:val="21"/>
                <w:szCs w:val="21"/>
              </w:rPr>
              <w:t>日志综合展现</w:t>
            </w:r>
          </w:p>
        </w:tc>
        <w:tc>
          <w:tcPr>
            <w:tcW w:w="7163" w:type="dxa"/>
            <w:noWrap w:val="0"/>
            <w:vAlign w:val="center"/>
          </w:tcPr>
          <w:p w14:paraId="4C6797B8">
            <w:pPr>
              <w:pStyle w:val="99"/>
              <w:ind w:left="0" w:leftChars="0" w:firstLine="0" w:firstLineChars="0"/>
              <w:rPr>
                <w:sz w:val="21"/>
                <w:szCs w:val="21"/>
              </w:rPr>
            </w:pPr>
            <w:r>
              <w:rPr>
                <w:rFonts w:hint="eastAsia"/>
                <w:sz w:val="21"/>
                <w:szCs w:val="21"/>
              </w:rPr>
              <w:t>系统提供可编辑的灵活强大的自定义仪表板；</w:t>
            </w:r>
          </w:p>
        </w:tc>
      </w:tr>
      <w:tr w14:paraId="1787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697448A">
            <w:pPr>
              <w:pStyle w:val="99"/>
              <w:ind w:left="0" w:leftChars="0" w:firstLine="0" w:firstLineChars="0"/>
              <w:jc w:val="both"/>
              <w:rPr>
                <w:sz w:val="21"/>
                <w:szCs w:val="21"/>
              </w:rPr>
            </w:pPr>
            <w:r>
              <w:rPr>
                <w:rFonts w:hint="eastAsia"/>
                <w:sz w:val="21"/>
                <w:szCs w:val="21"/>
              </w:rPr>
              <w:t>报表管理</w:t>
            </w:r>
          </w:p>
        </w:tc>
        <w:tc>
          <w:tcPr>
            <w:tcW w:w="7163" w:type="dxa"/>
            <w:noWrap w:val="0"/>
            <w:vAlign w:val="center"/>
          </w:tcPr>
          <w:p w14:paraId="678A89B7">
            <w:pPr>
              <w:pStyle w:val="99"/>
              <w:ind w:left="0" w:leftChars="0" w:firstLine="0" w:firstLineChars="0"/>
              <w:rPr>
                <w:sz w:val="21"/>
                <w:szCs w:val="21"/>
              </w:rPr>
            </w:pPr>
            <w:r>
              <w:rPr>
                <w:rFonts w:hint="eastAsia"/>
                <w:sz w:val="21"/>
                <w:szCs w:val="21"/>
              </w:rPr>
              <w:t>系统支持提供安全运维报告，帮助运维人员快速生成日常日志分析和运维报告</w:t>
            </w:r>
          </w:p>
        </w:tc>
      </w:tr>
    </w:tbl>
    <w:p w14:paraId="0EFFD4D7">
      <w:pPr>
        <w:pStyle w:val="4"/>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3、汇聚边界防火墙</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6557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46A1CFB4">
            <w:pPr>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指标项</w:t>
            </w:r>
          </w:p>
        </w:tc>
        <w:tc>
          <w:tcPr>
            <w:tcW w:w="7163" w:type="dxa"/>
            <w:shd w:val="clear" w:color="000000" w:fill="DDEBF7"/>
            <w:noWrap w:val="0"/>
            <w:vAlign w:val="center"/>
          </w:tcPr>
          <w:p w14:paraId="3C0DD4E4">
            <w:pPr>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指标要求</w:t>
            </w:r>
          </w:p>
        </w:tc>
      </w:tr>
      <w:tr w14:paraId="4B71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96" w:type="dxa"/>
            <w:shd w:val="clear" w:color="000000" w:fill="FFFFFF"/>
            <w:noWrap w:val="0"/>
            <w:vAlign w:val="center"/>
          </w:tcPr>
          <w:p w14:paraId="41FE4E39">
            <w:pPr>
              <w:ind w:firstLine="0" w:firstLineChars="0"/>
              <w:rPr>
                <w:rFonts w:ascii="Calibri" w:hAnsi="Calibri" w:eastAsia="宋体" w:cs="Times New Roman"/>
                <w:sz w:val="21"/>
                <w:szCs w:val="21"/>
              </w:rPr>
            </w:pPr>
            <w:r>
              <w:rPr>
                <w:rFonts w:hint="eastAsia" w:ascii="Calibri" w:hAnsi="Calibri" w:eastAsia="宋体" w:cs="Times New Roman"/>
                <w:sz w:val="21"/>
                <w:szCs w:val="21"/>
              </w:rPr>
              <w:t>硬件要求</w:t>
            </w:r>
          </w:p>
        </w:tc>
        <w:tc>
          <w:tcPr>
            <w:tcW w:w="7163" w:type="dxa"/>
            <w:noWrap w:val="0"/>
            <w:vAlign w:val="center"/>
          </w:tcPr>
          <w:p w14:paraId="0E156704">
            <w:pPr>
              <w:ind w:firstLine="0" w:firstLineChars="0"/>
              <w:rPr>
                <w:rFonts w:ascii="Calibri" w:hAnsi="Calibri" w:eastAsia="宋体" w:cs="Times New Roman"/>
                <w:sz w:val="21"/>
                <w:szCs w:val="21"/>
              </w:rPr>
            </w:pPr>
            <w:r>
              <w:rPr>
                <w:rFonts w:hint="eastAsia" w:ascii="Calibri" w:hAnsi="Calibri" w:eastAsia="宋体" w:cs="Times New Roman"/>
                <w:sz w:val="21"/>
                <w:szCs w:val="21"/>
              </w:rPr>
              <w:t>网络层吞吐量</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1</w:t>
            </w:r>
            <w:r>
              <w:rPr>
                <w:rFonts w:hint="eastAsia" w:ascii="Calibri" w:hAnsi="Calibri" w:eastAsia="宋体" w:cs="Times New Roman"/>
                <w:sz w:val="21"/>
                <w:szCs w:val="21"/>
                <w:lang w:val="en-US" w:eastAsia="zh-CN"/>
              </w:rPr>
              <w:t>0</w:t>
            </w:r>
            <w:r>
              <w:rPr>
                <w:rFonts w:hint="eastAsia" w:ascii="Calibri" w:hAnsi="Calibri" w:eastAsia="宋体" w:cs="Times New Roman"/>
                <w:sz w:val="21"/>
                <w:szCs w:val="21"/>
              </w:rPr>
              <w:t>G，并发连接≥</w:t>
            </w:r>
            <w:r>
              <w:rPr>
                <w:rFonts w:ascii="Calibri" w:hAnsi="Calibri" w:eastAsia="宋体" w:cs="Times New Roman"/>
                <w:sz w:val="21"/>
                <w:szCs w:val="21"/>
              </w:rPr>
              <w:t>5</w:t>
            </w:r>
            <w:r>
              <w:rPr>
                <w:rFonts w:hint="eastAsia" w:ascii="Calibri" w:hAnsi="Calibri" w:eastAsia="宋体" w:cs="Times New Roman"/>
                <w:sz w:val="21"/>
                <w:szCs w:val="21"/>
              </w:rPr>
              <w:t>50万，每秒新建连接数</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1</w:t>
            </w:r>
            <w:r>
              <w:rPr>
                <w:rFonts w:ascii="Calibri" w:hAnsi="Calibri" w:eastAsia="宋体" w:cs="Times New Roman"/>
                <w:sz w:val="21"/>
                <w:szCs w:val="21"/>
              </w:rPr>
              <w:t>0</w:t>
            </w:r>
            <w:r>
              <w:rPr>
                <w:rFonts w:hint="eastAsia" w:ascii="Calibri" w:hAnsi="Calibri" w:eastAsia="宋体" w:cs="Times New Roman"/>
                <w:sz w:val="21"/>
                <w:szCs w:val="21"/>
              </w:rPr>
              <w:t>万；</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8个千兆电口，</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4个万兆光口，开启防毒模块。</w:t>
            </w:r>
          </w:p>
        </w:tc>
      </w:tr>
      <w:tr w14:paraId="509F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6699CD1">
            <w:pPr>
              <w:ind w:firstLine="0" w:firstLineChars="0"/>
              <w:rPr>
                <w:rFonts w:ascii="Calibri" w:hAnsi="Calibri" w:eastAsia="宋体" w:cs="Times New Roman"/>
                <w:sz w:val="21"/>
                <w:szCs w:val="21"/>
              </w:rPr>
            </w:pPr>
            <w:r>
              <w:rPr>
                <w:rFonts w:hint="eastAsia" w:ascii="Calibri" w:hAnsi="Calibri" w:eastAsia="宋体" w:cs="Times New Roman"/>
                <w:sz w:val="21"/>
                <w:szCs w:val="21"/>
              </w:rPr>
              <w:t>网络协议</w:t>
            </w:r>
          </w:p>
        </w:tc>
        <w:tc>
          <w:tcPr>
            <w:tcW w:w="7163" w:type="dxa"/>
            <w:noWrap w:val="0"/>
            <w:vAlign w:val="center"/>
          </w:tcPr>
          <w:p w14:paraId="0017E476">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Identifier）、远程VTEP，手动管理VXLAN网络；支持MAC、VNI、VTEP静态绑定；VXLAN支持双栈V4和V6</w:t>
            </w:r>
          </w:p>
        </w:tc>
      </w:tr>
      <w:tr w14:paraId="1177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52694FD1">
            <w:pPr>
              <w:ind w:firstLine="0" w:firstLineChars="0"/>
              <w:rPr>
                <w:rFonts w:ascii="Calibri" w:hAnsi="Calibri" w:eastAsia="宋体" w:cs="Times New Roman"/>
                <w:sz w:val="21"/>
                <w:szCs w:val="21"/>
              </w:rPr>
            </w:pPr>
            <w:r>
              <w:rPr>
                <w:rFonts w:hint="eastAsia" w:ascii="Calibri" w:hAnsi="Calibri" w:eastAsia="宋体" w:cs="Times New Roman"/>
                <w:sz w:val="21"/>
                <w:szCs w:val="21"/>
              </w:rPr>
              <w:t>I</w:t>
            </w:r>
            <w:r>
              <w:rPr>
                <w:rFonts w:ascii="Calibri" w:hAnsi="Calibri" w:eastAsia="宋体" w:cs="Times New Roman"/>
                <w:sz w:val="21"/>
                <w:szCs w:val="21"/>
              </w:rPr>
              <w:t>PV6</w:t>
            </w:r>
            <w:r>
              <w:rPr>
                <w:rFonts w:hint="eastAsia" w:ascii="Calibri" w:hAnsi="Calibri" w:eastAsia="宋体" w:cs="Times New Roman"/>
                <w:sz w:val="21"/>
                <w:szCs w:val="21"/>
              </w:rPr>
              <w:t>支持</w:t>
            </w:r>
          </w:p>
        </w:tc>
        <w:tc>
          <w:tcPr>
            <w:tcW w:w="7163" w:type="dxa"/>
            <w:noWrap w:val="0"/>
            <w:vAlign w:val="center"/>
          </w:tcPr>
          <w:p w14:paraId="4FBFCA9A">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所投产品须支持4in6隧道过渡技术，至少包含DS-Lite协议中的b4和aftr能力，以及支持从DHCPv6服务器或手动方式获取AFTR参数</w:t>
            </w:r>
          </w:p>
        </w:tc>
      </w:tr>
      <w:tr w14:paraId="595F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127D33A0">
            <w:pPr>
              <w:ind w:firstLine="0" w:firstLineChars="0"/>
              <w:rPr>
                <w:rFonts w:ascii="Calibri" w:hAnsi="Calibri" w:eastAsia="宋体" w:cs="Times New Roman"/>
                <w:sz w:val="21"/>
                <w:szCs w:val="21"/>
              </w:rPr>
            </w:pPr>
            <w:r>
              <w:rPr>
                <w:rFonts w:hint="eastAsia" w:ascii="Calibri" w:hAnsi="Calibri" w:eastAsia="宋体" w:cs="Times New Roman"/>
                <w:sz w:val="21"/>
                <w:szCs w:val="21"/>
              </w:rPr>
              <w:t>访问控制</w:t>
            </w:r>
          </w:p>
        </w:tc>
        <w:tc>
          <w:tcPr>
            <w:tcW w:w="7163" w:type="dxa"/>
            <w:noWrap w:val="0"/>
            <w:vAlign w:val="center"/>
          </w:tcPr>
          <w:p w14:paraId="2EE8CD3E">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w:t>
            </w:r>
            <w:r>
              <w:rPr>
                <w:rFonts w:hint="eastAsia" w:ascii="Calibri" w:hAnsi="Calibri" w:cs="Times New Roman"/>
                <w:sz w:val="21"/>
                <w:szCs w:val="21"/>
                <w:lang w:val="en-US" w:eastAsia="zh-CN"/>
              </w:rPr>
              <w:t>需</w:t>
            </w:r>
            <w:r>
              <w:rPr>
                <w:rFonts w:hint="eastAsia" w:ascii="Calibri" w:hAnsi="Calibri" w:eastAsia="宋体" w:cs="Times New Roman"/>
                <w:sz w:val="21"/>
                <w:szCs w:val="21"/>
              </w:rPr>
              <w:t>支持</w:t>
            </w:r>
            <w:r>
              <w:rPr>
                <w:rFonts w:hint="eastAsia" w:ascii="Calibri" w:hAnsi="Calibri" w:cs="Times New Roman"/>
                <w:sz w:val="21"/>
                <w:szCs w:val="21"/>
                <w:lang w:val="en-US" w:eastAsia="zh-CN"/>
              </w:rPr>
              <w:t>访问控制配置，支持对IP地址、域名、端口的阻拦或放行策略，并记录策略命中的详细信息，包含命中时间、命中数、命中地址等，可在不同模块中实现，实现功能即可。</w:t>
            </w:r>
            <w:r>
              <w:rPr>
                <w:rFonts w:hint="eastAsia" w:ascii="Calibri" w:hAnsi="Calibri" w:eastAsia="宋体" w:cs="Times New Roman"/>
                <w:b/>
                <w:sz w:val="21"/>
                <w:szCs w:val="21"/>
              </w:rPr>
              <w:t>（投标文件需要提供能够体现上述功能及配置选项的截图）</w:t>
            </w:r>
          </w:p>
        </w:tc>
      </w:tr>
      <w:tr w14:paraId="6732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621FC901">
            <w:pPr>
              <w:ind w:firstLine="0" w:firstLineChars="0"/>
              <w:rPr>
                <w:rFonts w:ascii="Calibri" w:hAnsi="Calibri" w:eastAsia="宋体" w:cs="Times New Roman"/>
                <w:sz w:val="21"/>
                <w:szCs w:val="21"/>
              </w:rPr>
            </w:pPr>
            <w:r>
              <w:rPr>
                <w:rFonts w:hint="eastAsia" w:ascii="Calibri" w:hAnsi="Calibri" w:eastAsia="宋体" w:cs="Times New Roman"/>
                <w:sz w:val="21"/>
                <w:szCs w:val="21"/>
              </w:rPr>
              <w:t>应用识别与控制</w:t>
            </w:r>
          </w:p>
        </w:tc>
        <w:tc>
          <w:tcPr>
            <w:tcW w:w="7163" w:type="dxa"/>
            <w:noWrap w:val="0"/>
            <w:vAlign w:val="center"/>
          </w:tcPr>
          <w:p w14:paraId="65D8A84A">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应用识别，应用特征库包含的应用数量（非应用协议的规则总数）大于3000种，可深度识别每种应用的属性，为每种应用提供预定义的风险系数，并将应用基于类型、数据传输、风险等级等特征分类</w:t>
            </w:r>
          </w:p>
        </w:tc>
      </w:tr>
      <w:tr w14:paraId="5618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61E1B325">
            <w:pPr>
              <w:ind w:firstLine="0" w:firstLineChars="0"/>
              <w:rPr>
                <w:rFonts w:ascii="Calibri" w:hAnsi="Calibri" w:eastAsia="宋体" w:cs="Times New Roman"/>
                <w:sz w:val="21"/>
                <w:szCs w:val="21"/>
              </w:rPr>
            </w:pPr>
            <w:r>
              <w:rPr>
                <w:rFonts w:hint="eastAsia" w:ascii="Calibri" w:hAnsi="Calibri" w:eastAsia="宋体" w:cs="Times New Roman"/>
                <w:sz w:val="21"/>
                <w:szCs w:val="21"/>
              </w:rPr>
              <w:t>流量管理</w:t>
            </w:r>
          </w:p>
        </w:tc>
        <w:tc>
          <w:tcPr>
            <w:tcW w:w="7163" w:type="dxa"/>
            <w:noWrap w:val="0"/>
            <w:vAlign w:val="center"/>
          </w:tcPr>
          <w:p w14:paraId="6E8D3253">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多调度类相互嵌套最大5级的带宽管理设置。支持设置每IP最大或最小带宽，支持对每IP进行带宽配额管理，可通过优先级实现多应用的差分服务，并支持对剩余带宽进行基于优先级的动态分配；支持转发优先级（DSCP）,包含CS、AF、CP等不少于64种。</w:t>
            </w:r>
          </w:p>
        </w:tc>
      </w:tr>
      <w:tr w14:paraId="5E00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96" w:type="dxa"/>
            <w:shd w:val="clear" w:color="000000" w:fill="FFFFFF"/>
            <w:noWrap w:val="0"/>
            <w:vAlign w:val="center"/>
          </w:tcPr>
          <w:p w14:paraId="57C5AB4D">
            <w:pPr>
              <w:ind w:firstLine="0" w:firstLineChars="0"/>
              <w:rPr>
                <w:rFonts w:ascii="Calibri" w:hAnsi="Calibri" w:eastAsia="宋体" w:cs="Times New Roman"/>
                <w:sz w:val="21"/>
                <w:szCs w:val="21"/>
              </w:rPr>
            </w:pPr>
            <w:r>
              <w:rPr>
                <w:rFonts w:hint="eastAsia" w:ascii="Calibri" w:hAnsi="Calibri" w:eastAsia="宋体" w:cs="Times New Roman"/>
                <w:sz w:val="21"/>
                <w:szCs w:val="21"/>
              </w:rPr>
              <w:t>网络攻击防护</w:t>
            </w:r>
          </w:p>
        </w:tc>
        <w:tc>
          <w:tcPr>
            <w:tcW w:w="7163" w:type="dxa"/>
            <w:noWrap w:val="0"/>
            <w:vAlign w:val="center"/>
          </w:tcPr>
          <w:p w14:paraId="30D52E4C">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所投产品必须支持基于不同安全区域防御SYN Flood、UDP  Flood、ICMP  Flood、IP  Flood、Frag Flood、DNS Flood、HTTP Flood、NTP Query Flood 、NTP Reply Flood 和SIP Flood 攻击，并支持警告、丢弃、普通防护、增强防护、授权服务器防护等多种防护措施</w:t>
            </w:r>
          </w:p>
        </w:tc>
      </w:tr>
      <w:tr w14:paraId="0C4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1F2D6E35">
            <w:pPr>
              <w:ind w:firstLine="0" w:firstLineChars="0"/>
              <w:rPr>
                <w:rFonts w:ascii="Calibri" w:hAnsi="Calibri" w:eastAsia="宋体" w:cs="Times New Roman"/>
                <w:sz w:val="21"/>
                <w:szCs w:val="21"/>
              </w:rPr>
            </w:pPr>
            <w:r>
              <w:rPr>
                <w:rFonts w:hint="eastAsia" w:ascii="Calibri" w:hAnsi="Calibri" w:eastAsia="宋体" w:cs="Times New Roman"/>
                <w:sz w:val="21"/>
                <w:szCs w:val="21"/>
              </w:rPr>
              <w:t>病毒防护</w:t>
            </w:r>
          </w:p>
        </w:tc>
        <w:tc>
          <w:tcPr>
            <w:tcW w:w="7163" w:type="dxa"/>
            <w:noWrap w:val="0"/>
            <w:vAlign w:val="center"/>
          </w:tcPr>
          <w:p w14:paraId="51E90527">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所投产品必须能够对HTTP/FTP/POP3/SMTP/IMAP/SMB</w:t>
            </w:r>
            <w:r>
              <w:rPr>
                <w:rFonts w:hint="eastAsia" w:ascii="Calibri" w:hAnsi="Calibri" w:eastAsia="宋体" w:cs="Times New Roman"/>
                <w:sz w:val="21"/>
                <w:szCs w:val="21"/>
                <w:lang w:val="en-US" w:eastAsia="zh-CN"/>
              </w:rPr>
              <w:t>等</w:t>
            </w:r>
            <w:r>
              <w:rPr>
                <w:rFonts w:hint="eastAsia" w:ascii="Calibri" w:hAnsi="Calibri" w:eastAsia="宋体" w:cs="Times New Roman"/>
                <w:sz w:val="21"/>
                <w:szCs w:val="21"/>
              </w:rPr>
              <w:t>协议进行病毒查杀；本地病毒库规模</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3000万，支持样本留存。</w:t>
            </w:r>
          </w:p>
        </w:tc>
      </w:tr>
      <w:tr w14:paraId="493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6DAF3AF0">
            <w:pPr>
              <w:ind w:firstLine="0" w:firstLineChars="0"/>
              <w:rPr>
                <w:rFonts w:ascii="Calibri" w:hAnsi="Calibri" w:eastAsia="宋体" w:cs="Times New Roman"/>
                <w:sz w:val="21"/>
                <w:szCs w:val="21"/>
              </w:rPr>
            </w:pPr>
            <w:r>
              <w:rPr>
                <w:rFonts w:hint="eastAsia" w:ascii="Calibri" w:hAnsi="Calibri" w:eastAsia="宋体" w:cs="Times New Roman"/>
                <w:sz w:val="21"/>
                <w:szCs w:val="21"/>
              </w:rPr>
              <w:t>入侵防御</w:t>
            </w:r>
          </w:p>
        </w:tc>
        <w:tc>
          <w:tcPr>
            <w:tcW w:w="7163" w:type="dxa"/>
            <w:noWrap w:val="0"/>
            <w:vAlign w:val="center"/>
          </w:tcPr>
          <w:p w14:paraId="6356B4DC">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所投产品的漏洞防护特征库及</w:t>
            </w:r>
            <w:r>
              <w:rPr>
                <w:rFonts w:hint="eastAsia" w:ascii="Calibri" w:hAnsi="Calibri" w:cs="Times New Roman"/>
                <w:sz w:val="21"/>
                <w:szCs w:val="21"/>
                <w:lang w:val="en-US" w:eastAsia="zh-CN"/>
              </w:rPr>
              <w:t xml:space="preserve">  </w:t>
            </w:r>
            <w:r>
              <w:rPr>
                <w:rFonts w:hint="eastAsia" w:ascii="Calibri" w:hAnsi="Calibri" w:eastAsia="宋体" w:cs="Times New Roman"/>
                <w:sz w:val="21"/>
                <w:szCs w:val="21"/>
              </w:rPr>
              <w:t xml:space="preserve">间谍软件库包含高危漏洞攻击特征，至少包括“永恒之蓝”、“震网三代”、“Struts”、“Struts2”、“Xshell后门代码”以及对应的攻击的名称、CVEID、CNNVDID、CWEID、严重性、影响的平台、类型、描述、解决方案建议等（CVEID、CNNDID、CWEID等信息在漏洞攻击特征中体现）详细信息； </w:t>
            </w:r>
          </w:p>
        </w:tc>
      </w:tr>
      <w:tr w14:paraId="2E6D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96" w:type="dxa"/>
            <w:shd w:val="clear" w:color="000000" w:fill="FFFFFF"/>
            <w:noWrap w:val="0"/>
            <w:vAlign w:val="center"/>
          </w:tcPr>
          <w:p w14:paraId="428D9123">
            <w:pPr>
              <w:ind w:firstLine="0" w:firstLineChars="0"/>
              <w:rPr>
                <w:rFonts w:ascii="Calibri" w:hAnsi="Calibri" w:eastAsia="宋体" w:cs="Times New Roman"/>
                <w:sz w:val="21"/>
                <w:szCs w:val="21"/>
              </w:rPr>
            </w:pPr>
            <w:r>
              <w:rPr>
                <w:rFonts w:hint="eastAsia" w:ascii="Calibri" w:hAnsi="Calibri" w:eastAsia="宋体" w:cs="Times New Roman"/>
                <w:sz w:val="21"/>
                <w:szCs w:val="21"/>
              </w:rPr>
              <w:t>S</w:t>
            </w:r>
            <w:r>
              <w:rPr>
                <w:rFonts w:ascii="Calibri" w:hAnsi="Calibri" w:eastAsia="宋体" w:cs="Times New Roman"/>
                <w:sz w:val="21"/>
                <w:szCs w:val="21"/>
              </w:rPr>
              <w:t>SL</w:t>
            </w:r>
            <w:r>
              <w:rPr>
                <w:rFonts w:hint="eastAsia" w:ascii="Calibri" w:hAnsi="Calibri" w:eastAsia="宋体" w:cs="Times New Roman"/>
                <w:sz w:val="21"/>
                <w:szCs w:val="21"/>
              </w:rPr>
              <w:t>解密</w:t>
            </w:r>
          </w:p>
        </w:tc>
        <w:tc>
          <w:tcPr>
            <w:tcW w:w="7163" w:type="dxa"/>
            <w:noWrap w:val="0"/>
            <w:vAlign w:val="center"/>
          </w:tcPr>
          <w:p w14:paraId="143F6534">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w:t>
            </w:r>
            <w:r>
              <w:rPr>
                <w:rFonts w:hint="eastAsia" w:ascii="Calibri" w:hAnsi="Calibri" w:cs="Times New Roman"/>
                <w:sz w:val="21"/>
                <w:szCs w:val="21"/>
                <w:lang w:val="en-US" w:eastAsia="zh-CN"/>
              </w:rPr>
              <w:t>支持SSL解密，包含对ipv4，ipv6流量进行加密检测，支持HTPTS、SMTPS、POP3S、IMAPS、FTPS等加密协议的流量检测。</w:t>
            </w:r>
            <w:r>
              <w:rPr>
                <w:rFonts w:hint="eastAsia" w:ascii="Calibri" w:hAnsi="Calibri" w:eastAsia="宋体" w:cs="Times New Roman"/>
                <w:b/>
                <w:sz w:val="21"/>
                <w:szCs w:val="21"/>
              </w:rPr>
              <w:t>（投标文件需要提供能够体现上述功能及配置选项的截图）</w:t>
            </w:r>
          </w:p>
        </w:tc>
      </w:tr>
      <w:tr w14:paraId="30C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96" w:type="dxa"/>
            <w:shd w:val="clear" w:color="000000" w:fill="FFFFFF"/>
            <w:noWrap w:val="0"/>
            <w:vAlign w:val="center"/>
          </w:tcPr>
          <w:p w14:paraId="28425884">
            <w:pPr>
              <w:ind w:firstLine="0" w:firstLineChars="0"/>
              <w:rPr>
                <w:rFonts w:hint="default" w:ascii="Calibri" w:hAnsi="Calibri" w:eastAsia="宋体" w:cs="Times New Roman"/>
                <w:sz w:val="21"/>
                <w:szCs w:val="21"/>
                <w:lang w:val="en-US" w:eastAsia="zh-CN"/>
              </w:rPr>
            </w:pPr>
            <w:r>
              <w:rPr>
                <w:rFonts w:hint="eastAsia" w:ascii="Calibri" w:hAnsi="Calibri" w:cs="Times New Roman"/>
                <w:sz w:val="21"/>
                <w:szCs w:val="21"/>
                <w:lang w:val="en-US" w:eastAsia="zh-CN"/>
              </w:rPr>
              <w:t>日志记录</w:t>
            </w:r>
          </w:p>
        </w:tc>
        <w:tc>
          <w:tcPr>
            <w:tcW w:w="7163" w:type="dxa"/>
            <w:noWrap w:val="0"/>
            <w:vAlign w:val="center"/>
          </w:tcPr>
          <w:p w14:paraId="1E7CD047">
            <w:pPr>
              <w:ind w:firstLine="0" w:firstLineChars="0"/>
              <w:rPr>
                <w:rFonts w:hint="default" w:ascii="Calibri" w:hAnsi="Calibri" w:eastAsia="宋体" w:cs="Times New Roman"/>
                <w:sz w:val="21"/>
                <w:szCs w:val="21"/>
                <w:lang w:val="en-US" w:eastAsia="zh-CN"/>
              </w:rPr>
            </w:pPr>
            <w:r>
              <w:rPr>
                <w:rFonts w:hint="eastAsia" w:ascii="Calibri" w:hAnsi="Calibri" w:eastAsia="宋体" w:cs="Times New Roman"/>
                <w:sz w:val="21"/>
                <w:szCs w:val="21"/>
              </w:rPr>
              <w:t>★</w:t>
            </w:r>
            <w:r>
              <w:rPr>
                <w:rFonts w:hint="eastAsia" w:ascii="Calibri" w:hAnsi="Calibri" w:cs="Times New Roman"/>
                <w:sz w:val="21"/>
                <w:szCs w:val="21"/>
                <w:lang w:val="en-US" w:eastAsia="zh-CN"/>
              </w:rPr>
              <w:t>支持对防火墙上经过的流量进行详细日志记录，至少包含时间、IP地址、端口、命中策略、是否阻拦等信息。</w:t>
            </w:r>
            <w:r>
              <w:rPr>
                <w:rFonts w:hint="eastAsia" w:ascii="Calibri" w:hAnsi="Calibri" w:eastAsia="宋体" w:cs="Times New Roman"/>
                <w:b/>
                <w:sz w:val="21"/>
                <w:szCs w:val="21"/>
              </w:rPr>
              <w:t>（投标文件需要提供能够体现上述功能及配置选项的截图）</w:t>
            </w:r>
          </w:p>
        </w:tc>
      </w:tr>
    </w:tbl>
    <w:p w14:paraId="1FEFD71B">
      <w:pPr>
        <w:pStyle w:val="4"/>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4、市县边界防火墙</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4C70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6D88CC24">
            <w:pPr>
              <w:pStyle w:val="99"/>
              <w:jc w:val="center"/>
              <w:rPr>
                <w:sz w:val="21"/>
                <w:szCs w:val="21"/>
              </w:rPr>
            </w:pPr>
            <w:r>
              <w:rPr>
                <w:rFonts w:hint="eastAsia"/>
                <w:sz w:val="21"/>
                <w:szCs w:val="21"/>
              </w:rPr>
              <w:t>指标项</w:t>
            </w:r>
          </w:p>
        </w:tc>
        <w:tc>
          <w:tcPr>
            <w:tcW w:w="7163" w:type="dxa"/>
            <w:shd w:val="clear" w:color="000000" w:fill="DDEBF7"/>
            <w:noWrap w:val="0"/>
            <w:vAlign w:val="center"/>
          </w:tcPr>
          <w:p w14:paraId="034B2737">
            <w:pPr>
              <w:pStyle w:val="99"/>
              <w:jc w:val="center"/>
              <w:rPr>
                <w:sz w:val="21"/>
                <w:szCs w:val="21"/>
              </w:rPr>
            </w:pPr>
            <w:r>
              <w:rPr>
                <w:rFonts w:hint="eastAsia"/>
                <w:sz w:val="21"/>
                <w:szCs w:val="21"/>
              </w:rPr>
              <w:t>指标要求</w:t>
            </w:r>
          </w:p>
        </w:tc>
      </w:tr>
      <w:tr w14:paraId="330D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135B104">
            <w:pPr>
              <w:pStyle w:val="99"/>
              <w:ind w:left="0" w:leftChars="0" w:firstLine="0" w:firstLineChars="0"/>
              <w:rPr>
                <w:sz w:val="21"/>
                <w:szCs w:val="21"/>
              </w:rPr>
            </w:pPr>
            <w:r>
              <w:rPr>
                <w:rFonts w:hint="eastAsia"/>
                <w:sz w:val="21"/>
                <w:szCs w:val="21"/>
              </w:rPr>
              <w:t>硬件要求</w:t>
            </w:r>
          </w:p>
        </w:tc>
        <w:tc>
          <w:tcPr>
            <w:tcW w:w="7163" w:type="dxa"/>
            <w:noWrap w:val="0"/>
            <w:vAlign w:val="center"/>
          </w:tcPr>
          <w:p w14:paraId="01310358">
            <w:pPr>
              <w:pStyle w:val="99"/>
              <w:rPr>
                <w:sz w:val="21"/>
                <w:szCs w:val="21"/>
              </w:rPr>
            </w:pPr>
            <w:r>
              <w:rPr>
                <w:rFonts w:hint="eastAsia"/>
                <w:sz w:val="21"/>
                <w:szCs w:val="21"/>
              </w:rPr>
              <w:t>网络层吞吐量</w:t>
            </w:r>
            <w:r>
              <w:rPr>
                <w:rFonts w:hint="eastAsia"/>
                <w:sz w:val="21"/>
                <w:szCs w:val="21"/>
                <w:lang w:val="en-US" w:eastAsia="zh-CN"/>
              </w:rPr>
              <w:t>≥</w:t>
            </w:r>
            <w:r>
              <w:rPr>
                <w:rFonts w:hint="eastAsia"/>
                <w:sz w:val="21"/>
                <w:szCs w:val="21"/>
              </w:rPr>
              <w:t>20G，并发连接≥1000万，每秒新建连接数≥14万；≥4个千兆电口，≥4个万兆光口，开启</w:t>
            </w:r>
            <w:r>
              <w:rPr>
                <w:rFonts w:hint="eastAsia"/>
                <w:sz w:val="21"/>
                <w:szCs w:val="21"/>
                <w:lang w:val="en-US" w:eastAsia="zh-CN"/>
              </w:rPr>
              <w:t>入侵防御模块</w:t>
            </w:r>
            <w:r>
              <w:rPr>
                <w:rFonts w:hint="eastAsia"/>
                <w:sz w:val="21"/>
                <w:szCs w:val="21"/>
              </w:rPr>
              <w:t>。</w:t>
            </w:r>
          </w:p>
        </w:tc>
      </w:tr>
      <w:tr w14:paraId="5490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F691018">
            <w:pPr>
              <w:pStyle w:val="99"/>
              <w:ind w:left="0" w:leftChars="0" w:firstLine="0" w:firstLineChars="0"/>
              <w:rPr>
                <w:sz w:val="21"/>
                <w:szCs w:val="21"/>
              </w:rPr>
            </w:pPr>
            <w:r>
              <w:rPr>
                <w:rFonts w:hint="eastAsia"/>
                <w:sz w:val="21"/>
                <w:szCs w:val="21"/>
              </w:rPr>
              <w:t>网络协议</w:t>
            </w:r>
          </w:p>
        </w:tc>
        <w:tc>
          <w:tcPr>
            <w:tcW w:w="7163" w:type="dxa"/>
            <w:noWrap w:val="0"/>
            <w:vAlign w:val="center"/>
          </w:tcPr>
          <w:p w14:paraId="68725067">
            <w:pPr>
              <w:pStyle w:val="99"/>
              <w:rPr>
                <w:sz w:val="21"/>
                <w:szCs w:val="21"/>
              </w:rPr>
            </w:pPr>
            <w:r>
              <w:rPr>
                <w:rFonts w:hint="eastAsia"/>
                <w:sz w:val="21"/>
                <w:szCs w:val="21"/>
              </w:rPr>
              <w:t>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Identifier）、远程VTEP，手动管理VXLAN网络；支持MAC、VNI、VTEP静态绑定；VXLAN支持双栈V4和V6</w:t>
            </w:r>
          </w:p>
        </w:tc>
      </w:tr>
      <w:tr w14:paraId="5041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668A54F">
            <w:pPr>
              <w:pStyle w:val="99"/>
              <w:ind w:left="0" w:leftChars="0" w:firstLine="0" w:firstLineChars="0"/>
              <w:rPr>
                <w:sz w:val="21"/>
                <w:szCs w:val="21"/>
              </w:rPr>
            </w:pPr>
            <w:r>
              <w:rPr>
                <w:rFonts w:hint="eastAsia"/>
                <w:sz w:val="21"/>
                <w:szCs w:val="21"/>
              </w:rPr>
              <w:t>I</w:t>
            </w:r>
            <w:r>
              <w:rPr>
                <w:sz w:val="21"/>
                <w:szCs w:val="21"/>
              </w:rPr>
              <w:t>PV6</w:t>
            </w:r>
            <w:r>
              <w:rPr>
                <w:rFonts w:hint="eastAsia"/>
                <w:sz w:val="21"/>
                <w:szCs w:val="21"/>
              </w:rPr>
              <w:t>支持</w:t>
            </w:r>
          </w:p>
        </w:tc>
        <w:tc>
          <w:tcPr>
            <w:tcW w:w="7163" w:type="dxa"/>
            <w:noWrap w:val="0"/>
            <w:vAlign w:val="center"/>
          </w:tcPr>
          <w:p w14:paraId="26177E51">
            <w:pPr>
              <w:pStyle w:val="99"/>
              <w:rPr>
                <w:sz w:val="21"/>
                <w:szCs w:val="21"/>
              </w:rPr>
            </w:pPr>
            <w:r>
              <w:rPr>
                <w:rFonts w:hint="eastAsia"/>
                <w:sz w:val="21"/>
                <w:szCs w:val="21"/>
              </w:rPr>
              <w:t>所投产品须支持4in6隧道过渡技术，至少包含DS-Lite协议中的b4和aftr能力，以及支持从DHCPv6服务器或手动方式获取AFTR参数</w:t>
            </w:r>
          </w:p>
        </w:tc>
      </w:tr>
      <w:tr w14:paraId="7211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251DA66">
            <w:pPr>
              <w:pStyle w:val="99"/>
              <w:ind w:left="0" w:leftChars="0" w:firstLine="0" w:firstLineChars="0"/>
              <w:rPr>
                <w:sz w:val="21"/>
                <w:szCs w:val="21"/>
              </w:rPr>
            </w:pPr>
            <w:r>
              <w:rPr>
                <w:rFonts w:hint="eastAsia"/>
                <w:sz w:val="21"/>
                <w:szCs w:val="21"/>
              </w:rPr>
              <w:t>访问控制</w:t>
            </w:r>
          </w:p>
        </w:tc>
        <w:tc>
          <w:tcPr>
            <w:tcW w:w="7163" w:type="dxa"/>
            <w:noWrap w:val="0"/>
            <w:vAlign w:val="center"/>
          </w:tcPr>
          <w:p w14:paraId="45BA0E10">
            <w:pPr>
              <w:pStyle w:val="99"/>
              <w:ind w:left="0" w:leftChars="0" w:firstLine="0" w:firstLineChars="0"/>
              <w:rPr>
                <w:sz w:val="21"/>
                <w:szCs w:val="21"/>
              </w:rPr>
            </w:pPr>
            <w:r>
              <w:rPr>
                <w:rFonts w:hint="eastAsia" w:ascii="Calibri" w:hAnsi="Calibri" w:eastAsia="宋体" w:cs="Times New Roman"/>
                <w:sz w:val="21"/>
                <w:szCs w:val="21"/>
              </w:rPr>
              <w:t>★所投产品</w:t>
            </w:r>
            <w:r>
              <w:rPr>
                <w:rFonts w:hint="eastAsia" w:ascii="Calibri" w:hAnsi="Calibri" w:cs="Times New Roman"/>
                <w:sz w:val="21"/>
                <w:szCs w:val="21"/>
                <w:lang w:val="en-US" w:eastAsia="zh-CN"/>
              </w:rPr>
              <w:t>需</w:t>
            </w:r>
            <w:r>
              <w:rPr>
                <w:rFonts w:hint="eastAsia" w:ascii="Calibri" w:hAnsi="Calibri" w:eastAsia="宋体" w:cs="Times New Roman"/>
                <w:sz w:val="21"/>
                <w:szCs w:val="21"/>
              </w:rPr>
              <w:t>支持</w:t>
            </w:r>
            <w:r>
              <w:rPr>
                <w:rFonts w:hint="eastAsia" w:ascii="Calibri" w:hAnsi="Calibri" w:cs="Times New Roman"/>
                <w:sz w:val="21"/>
                <w:szCs w:val="21"/>
                <w:lang w:val="en-US" w:eastAsia="zh-CN"/>
              </w:rPr>
              <w:t>访问控制配置，支持对IP地址、域名、端口的阻拦或放行策略，并记录策略命中的详细信息，包含命中时间、命中数、命中地址等，可在不同模块中实现，实现功能即可。</w:t>
            </w:r>
            <w:r>
              <w:rPr>
                <w:rFonts w:hint="eastAsia" w:ascii="Calibri" w:hAnsi="Calibri" w:eastAsia="宋体" w:cs="Times New Roman"/>
                <w:b/>
                <w:sz w:val="21"/>
                <w:szCs w:val="21"/>
              </w:rPr>
              <w:t>（投标文件需要提供能够体现上述功能及配置选项的截图）</w:t>
            </w:r>
          </w:p>
        </w:tc>
      </w:tr>
      <w:tr w14:paraId="407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81B37BD">
            <w:pPr>
              <w:pStyle w:val="99"/>
              <w:ind w:left="0" w:leftChars="0" w:firstLine="0" w:firstLineChars="0"/>
              <w:rPr>
                <w:sz w:val="21"/>
                <w:szCs w:val="21"/>
              </w:rPr>
            </w:pPr>
            <w:r>
              <w:rPr>
                <w:rFonts w:hint="eastAsia"/>
                <w:sz w:val="21"/>
                <w:szCs w:val="21"/>
              </w:rPr>
              <w:t>应用识别与控制</w:t>
            </w:r>
          </w:p>
        </w:tc>
        <w:tc>
          <w:tcPr>
            <w:tcW w:w="7163" w:type="dxa"/>
            <w:noWrap w:val="0"/>
            <w:vAlign w:val="center"/>
          </w:tcPr>
          <w:p w14:paraId="70A0A989">
            <w:pPr>
              <w:pStyle w:val="99"/>
              <w:rPr>
                <w:sz w:val="21"/>
                <w:szCs w:val="21"/>
              </w:rPr>
            </w:pPr>
            <w:r>
              <w:rPr>
                <w:rFonts w:hint="eastAsia"/>
                <w:sz w:val="21"/>
                <w:szCs w:val="21"/>
              </w:rPr>
              <w:t>所投产品必须支持应用识别，应用特征库包含的应用数量（非应用协议的规则总数）大于3000种，可深度识别每种应用的属性，为每种应用提供预定义的风险系数，并将应用基于类型、数据传输、风险等级等特征分类</w:t>
            </w:r>
          </w:p>
        </w:tc>
      </w:tr>
      <w:tr w14:paraId="3ABA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26FD3716">
            <w:pPr>
              <w:pStyle w:val="99"/>
              <w:ind w:left="0" w:leftChars="0" w:firstLine="0" w:firstLineChars="0"/>
              <w:rPr>
                <w:sz w:val="21"/>
                <w:szCs w:val="21"/>
              </w:rPr>
            </w:pPr>
            <w:r>
              <w:rPr>
                <w:rFonts w:hint="eastAsia"/>
                <w:sz w:val="21"/>
                <w:szCs w:val="21"/>
              </w:rPr>
              <w:t>流量管理</w:t>
            </w:r>
          </w:p>
        </w:tc>
        <w:tc>
          <w:tcPr>
            <w:tcW w:w="7163" w:type="dxa"/>
            <w:noWrap w:val="0"/>
            <w:vAlign w:val="center"/>
          </w:tcPr>
          <w:p w14:paraId="59A5739F">
            <w:pPr>
              <w:pStyle w:val="99"/>
              <w:rPr>
                <w:sz w:val="21"/>
                <w:szCs w:val="21"/>
              </w:rPr>
            </w:pPr>
            <w:r>
              <w:rPr>
                <w:rFonts w:hint="eastAsia"/>
                <w:sz w:val="21"/>
                <w:szCs w:val="21"/>
              </w:rPr>
              <w:t>所投产品必须支持多调度类相互嵌套最大5级的带宽管理设置。支持设置每IP最大或最小带宽，支持对每IP进行带宽配额管理，可通过优先级实现多应用的差分服务，并支持对剩余带宽进行基于优先级的动态分配；支持转发优先级（DSCP）,包含CS、AF、CP等不少于64种。</w:t>
            </w:r>
          </w:p>
        </w:tc>
      </w:tr>
      <w:tr w14:paraId="6A9E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0F52657">
            <w:pPr>
              <w:pStyle w:val="99"/>
              <w:ind w:left="0" w:leftChars="0" w:firstLine="0" w:firstLineChars="0"/>
              <w:rPr>
                <w:sz w:val="21"/>
                <w:szCs w:val="21"/>
              </w:rPr>
            </w:pPr>
            <w:r>
              <w:rPr>
                <w:rFonts w:hint="eastAsia"/>
                <w:sz w:val="21"/>
                <w:szCs w:val="21"/>
              </w:rPr>
              <w:t>网络攻击防护</w:t>
            </w:r>
          </w:p>
        </w:tc>
        <w:tc>
          <w:tcPr>
            <w:tcW w:w="7163" w:type="dxa"/>
            <w:noWrap w:val="0"/>
            <w:vAlign w:val="center"/>
          </w:tcPr>
          <w:p w14:paraId="65739460">
            <w:pPr>
              <w:pStyle w:val="99"/>
              <w:rPr>
                <w:sz w:val="21"/>
                <w:szCs w:val="21"/>
              </w:rPr>
            </w:pPr>
            <w:r>
              <w:rPr>
                <w:rFonts w:hint="eastAsia"/>
                <w:sz w:val="21"/>
                <w:szCs w:val="21"/>
              </w:rPr>
              <w:t>所投产品必须支持基于不同安全区域防御SYN Flood、UDP  Flood、ICMP  Flood、IP  Flood、Frag Flood、DNS Flood、HTTP Flood、NTP Query Flood 、NTP Reply Flood 和SIP Flood 攻击，并支持警告、丢弃、普通防护、增强防护、授权服务器防护等多种防护措施</w:t>
            </w:r>
          </w:p>
        </w:tc>
      </w:tr>
      <w:tr w14:paraId="0F87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5A9C057">
            <w:pPr>
              <w:pStyle w:val="99"/>
              <w:ind w:left="0" w:leftChars="0" w:firstLine="0" w:firstLineChars="0"/>
              <w:rPr>
                <w:sz w:val="21"/>
                <w:szCs w:val="21"/>
              </w:rPr>
            </w:pPr>
            <w:r>
              <w:rPr>
                <w:rFonts w:hint="eastAsia"/>
                <w:sz w:val="21"/>
                <w:szCs w:val="21"/>
              </w:rPr>
              <w:t>病毒防护</w:t>
            </w:r>
          </w:p>
        </w:tc>
        <w:tc>
          <w:tcPr>
            <w:tcW w:w="7163" w:type="dxa"/>
            <w:noWrap w:val="0"/>
            <w:vAlign w:val="center"/>
          </w:tcPr>
          <w:p w14:paraId="2E7D719F">
            <w:pPr>
              <w:pStyle w:val="99"/>
              <w:rPr>
                <w:sz w:val="21"/>
                <w:szCs w:val="21"/>
              </w:rPr>
            </w:pPr>
            <w:r>
              <w:rPr>
                <w:rFonts w:hint="eastAsia"/>
                <w:sz w:val="21"/>
                <w:szCs w:val="21"/>
              </w:rPr>
              <w:t>所投产品必须能够对HTTP/FTP/POP3/SMTP/IMAP/SMB/IPTUX七种协议进行病毒查杀；本地病毒库规模大于3000万，支持样本留存。</w:t>
            </w:r>
          </w:p>
        </w:tc>
      </w:tr>
      <w:tr w14:paraId="4620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FA28EAB">
            <w:pPr>
              <w:pStyle w:val="99"/>
              <w:ind w:left="0" w:leftChars="0" w:firstLine="0" w:firstLineChars="0"/>
              <w:rPr>
                <w:sz w:val="21"/>
                <w:szCs w:val="21"/>
              </w:rPr>
            </w:pPr>
            <w:r>
              <w:rPr>
                <w:rFonts w:hint="eastAsia"/>
                <w:sz w:val="21"/>
                <w:szCs w:val="21"/>
              </w:rPr>
              <w:t>入侵防御</w:t>
            </w:r>
          </w:p>
        </w:tc>
        <w:tc>
          <w:tcPr>
            <w:tcW w:w="7163" w:type="dxa"/>
            <w:noWrap w:val="0"/>
            <w:vAlign w:val="center"/>
          </w:tcPr>
          <w:p w14:paraId="6E316BB5">
            <w:pPr>
              <w:pStyle w:val="99"/>
              <w:rPr>
                <w:sz w:val="21"/>
                <w:szCs w:val="21"/>
              </w:rPr>
            </w:pPr>
            <w:r>
              <w:rPr>
                <w:rFonts w:hint="eastAsia"/>
                <w:sz w:val="21"/>
                <w:szCs w:val="21"/>
              </w:rPr>
              <w:t xml:space="preserve">所投产品的漏洞防护特征库及间谍软件库包含高危漏洞攻击特征，至少包括“永恒之蓝”、“震网三代”、“Struts”、“Struts2”、“Xshell后门代码”以及对应的攻击的名称、CVEID、CNNVDID、CWEID、严重性、影响的平台、类型、描述、解决方案建议等（CVEID、CNNDID、CWEID等信息在漏洞攻击特征中体现）详细信息； </w:t>
            </w:r>
          </w:p>
        </w:tc>
      </w:tr>
      <w:tr w14:paraId="74AD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257F1CF">
            <w:pPr>
              <w:pStyle w:val="99"/>
              <w:ind w:left="0" w:leftChars="0" w:firstLine="0" w:firstLineChars="0"/>
              <w:rPr>
                <w:sz w:val="21"/>
                <w:szCs w:val="21"/>
              </w:rPr>
            </w:pPr>
            <w:r>
              <w:rPr>
                <w:rFonts w:hint="eastAsia"/>
                <w:sz w:val="21"/>
                <w:szCs w:val="21"/>
              </w:rPr>
              <w:t>S</w:t>
            </w:r>
            <w:r>
              <w:rPr>
                <w:sz w:val="21"/>
                <w:szCs w:val="21"/>
              </w:rPr>
              <w:t>SL</w:t>
            </w:r>
            <w:r>
              <w:rPr>
                <w:rFonts w:hint="eastAsia"/>
                <w:sz w:val="21"/>
                <w:szCs w:val="21"/>
              </w:rPr>
              <w:t>解密</w:t>
            </w:r>
          </w:p>
        </w:tc>
        <w:tc>
          <w:tcPr>
            <w:tcW w:w="7163" w:type="dxa"/>
            <w:noWrap w:val="0"/>
            <w:vAlign w:val="center"/>
          </w:tcPr>
          <w:p w14:paraId="7148D463">
            <w:pPr>
              <w:pStyle w:val="99"/>
              <w:ind w:left="0" w:leftChars="0" w:firstLine="0" w:firstLineChars="0"/>
              <w:rPr>
                <w:sz w:val="21"/>
                <w:szCs w:val="21"/>
              </w:rPr>
            </w:pPr>
            <w:r>
              <w:rPr>
                <w:rFonts w:hint="eastAsia" w:ascii="Calibri" w:hAnsi="Calibri" w:eastAsia="宋体" w:cs="Times New Roman"/>
                <w:sz w:val="21"/>
                <w:szCs w:val="21"/>
              </w:rPr>
              <w:t>★所投产品</w:t>
            </w:r>
            <w:r>
              <w:rPr>
                <w:rFonts w:hint="eastAsia" w:ascii="Calibri" w:hAnsi="Calibri" w:cs="Times New Roman"/>
                <w:sz w:val="21"/>
                <w:szCs w:val="21"/>
                <w:lang w:val="en-US" w:eastAsia="zh-CN"/>
              </w:rPr>
              <w:t>支持SSL解密，包含对ipv4，ipv6流量进行加密检测，支持HTPTS、SMTPS、POP3S、IMAPS、FTPS等加密协议的流量检测。</w:t>
            </w:r>
            <w:r>
              <w:rPr>
                <w:rFonts w:hint="eastAsia" w:ascii="Calibri" w:hAnsi="Calibri" w:eastAsia="宋体" w:cs="Times New Roman"/>
                <w:b/>
                <w:sz w:val="21"/>
                <w:szCs w:val="21"/>
              </w:rPr>
              <w:t>（投标文件需要提供能够体现上述功能及配置选项的截图）</w:t>
            </w:r>
          </w:p>
        </w:tc>
      </w:tr>
      <w:tr w14:paraId="7068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1D47BDDB">
            <w:pPr>
              <w:ind w:firstLine="0" w:firstLineChars="0"/>
              <w:rPr>
                <w:rFonts w:hint="eastAsia" w:ascii="Calibri" w:hAnsi="Calibri" w:eastAsia="宋体" w:cs="Times New Roman"/>
                <w:kern w:val="2"/>
                <w:sz w:val="21"/>
                <w:szCs w:val="21"/>
                <w:lang w:val="en-US" w:eastAsia="zh-CN" w:bidi="ar-SA"/>
              </w:rPr>
            </w:pPr>
            <w:r>
              <w:rPr>
                <w:rFonts w:hint="eastAsia" w:ascii="Calibri" w:hAnsi="Calibri" w:cs="Times New Roman"/>
                <w:sz w:val="21"/>
                <w:szCs w:val="21"/>
                <w:lang w:val="en-US" w:eastAsia="zh-CN"/>
              </w:rPr>
              <w:t>日志记录</w:t>
            </w:r>
          </w:p>
        </w:tc>
        <w:tc>
          <w:tcPr>
            <w:tcW w:w="7163" w:type="dxa"/>
            <w:shd w:val="clear" w:color="auto" w:fill="auto"/>
            <w:noWrap w:val="0"/>
            <w:vAlign w:val="center"/>
          </w:tcPr>
          <w:p w14:paraId="3AB46EE8">
            <w:pPr>
              <w:ind w:firstLine="0" w:firstLineChars="0"/>
              <w:rPr>
                <w:rFonts w:hint="eastAsia" w:ascii="Calibri" w:hAnsi="Calibri" w:eastAsia="宋体" w:cs="Times New Roman"/>
                <w:kern w:val="2"/>
                <w:sz w:val="21"/>
                <w:szCs w:val="21"/>
                <w:lang w:val="en-US" w:eastAsia="zh-CN" w:bidi="ar-SA"/>
              </w:rPr>
            </w:pPr>
            <w:r>
              <w:rPr>
                <w:rFonts w:hint="eastAsia"/>
                <w:sz w:val="21"/>
                <w:szCs w:val="21"/>
              </w:rPr>
              <w:t>★</w:t>
            </w:r>
            <w:r>
              <w:rPr>
                <w:rFonts w:hint="eastAsia" w:ascii="Calibri" w:hAnsi="Calibri" w:cs="Times New Roman"/>
                <w:sz w:val="21"/>
                <w:szCs w:val="21"/>
                <w:lang w:val="en-US" w:eastAsia="zh-CN"/>
              </w:rPr>
              <w:t>支持对防火墙上经过的流量进详细日志记录，至少包含时间、IP地址、端口、命中策略、是否阻拦等信息。</w:t>
            </w:r>
            <w:r>
              <w:rPr>
                <w:rFonts w:hint="eastAsia" w:ascii="Calibri" w:hAnsi="Calibri" w:eastAsia="宋体" w:cs="Times New Roman"/>
                <w:b/>
                <w:sz w:val="21"/>
                <w:szCs w:val="21"/>
              </w:rPr>
              <w:t>（投标文件需要提供能够体现上述功能及配置选项的截图）</w:t>
            </w:r>
          </w:p>
        </w:tc>
      </w:tr>
    </w:tbl>
    <w:p w14:paraId="60B36710">
      <w:pPr>
        <w:pStyle w:val="4"/>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5、防火智慧管理分析系统</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3ED4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071C4DF8">
            <w:pPr>
              <w:pStyle w:val="99"/>
              <w:jc w:val="center"/>
              <w:rPr>
                <w:sz w:val="21"/>
                <w:szCs w:val="21"/>
              </w:rPr>
            </w:pPr>
            <w:r>
              <w:rPr>
                <w:rFonts w:hint="eastAsia"/>
                <w:sz w:val="21"/>
                <w:szCs w:val="21"/>
              </w:rPr>
              <w:t>指标项</w:t>
            </w:r>
          </w:p>
        </w:tc>
        <w:tc>
          <w:tcPr>
            <w:tcW w:w="7163" w:type="dxa"/>
            <w:shd w:val="clear" w:color="000000" w:fill="DDEBF7"/>
            <w:noWrap w:val="0"/>
            <w:vAlign w:val="center"/>
          </w:tcPr>
          <w:p w14:paraId="50F44529">
            <w:pPr>
              <w:pStyle w:val="99"/>
              <w:jc w:val="center"/>
              <w:rPr>
                <w:sz w:val="21"/>
                <w:szCs w:val="21"/>
              </w:rPr>
            </w:pPr>
            <w:r>
              <w:rPr>
                <w:rFonts w:hint="eastAsia"/>
                <w:sz w:val="21"/>
                <w:szCs w:val="21"/>
              </w:rPr>
              <w:t>指标要求</w:t>
            </w:r>
          </w:p>
        </w:tc>
      </w:tr>
      <w:tr w14:paraId="2676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96" w:type="dxa"/>
            <w:shd w:val="clear" w:color="000000" w:fill="FFFFFF"/>
            <w:noWrap w:val="0"/>
            <w:vAlign w:val="center"/>
          </w:tcPr>
          <w:p w14:paraId="334AFE14">
            <w:pPr>
              <w:pStyle w:val="99"/>
              <w:ind w:left="0" w:leftChars="0" w:firstLine="0" w:firstLineChars="0"/>
              <w:rPr>
                <w:sz w:val="21"/>
                <w:szCs w:val="21"/>
              </w:rPr>
            </w:pPr>
            <w:r>
              <w:rPr>
                <w:rFonts w:hint="eastAsia"/>
                <w:sz w:val="21"/>
                <w:szCs w:val="21"/>
              </w:rPr>
              <w:t>设备形态</w:t>
            </w:r>
          </w:p>
        </w:tc>
        <w:tc>
          <w:tcPr>
            <w:tcW w:w="7163" w:type="dxa"/>
            <w:noWrap w:val="0"/>
            <w:vAlign w:val="center"/>
          </w:tcPr>
          <w:p w14:paraId="6407111D">
            <w:pPr>
              <w:pStyle w:val="99"/>
              <w:rPr>
                <w:sz w:val="21"/>
                <w:szCs w:val="21"/>
              </w:rPr>
            </w:pPr>
            <w:r>
              <w:rPr>
                <w:rFonts w:hint="eastAsia"/>
                <w:sz w:val="21"/>
                <w:szCs w:val="21"/>
                <w:lang w:val="en-US" w:eastAsia="zh-CN"/>
              </w:rPr>
              <w:t>包含不少于</w:t>
            </w:r>
            <w:r>
              <w:rPr>
                <w:rFonts w:hint="eastAsia"/>
                <w:sz w:val="21"/>
                <w:szCs w:val="21"/>
              </w:rPr>
              <w:t>15台防火墙管理授权</w:t>
            </w:r>
            <w:r>
              <w:rPr>
                <w:rFonts w:hint="eastAsia"/>
                <w:sz w:val="21"/>
                <w:szCs w:val="21"/>
                <w:lang w:eastAsia="zh-CN"/>
              </w:rPr>
              <w:t>，</w:t>
            </w:r>
            <w:r>
              <w:rPr>
                <w:rFonts w:hint="eastAsia"/>
                <w:sz w:val="21"/>
                <w:szCs w:val="21"/>
                <w:lang w:val="en-US" w:eastAsia="zh-CN"/>
              </w:rPr>
              <w:t>支持同时进行管理</w:t>
            </w:r>
            <w:r>
              <w:rPr>
                <w:rFonts w:hint="eastAsia"/>
                <w:sz w:val="21"/>
                <w:szCs w:val="21"/>
              </w:rPr>
              <w:t>。</w:t>
            </w:r>
          </w:p>
        </w:tc>
      </w:tr>
      <w:tr w14:paraId="182D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96" w:type="dxa"/>
            <w:shd w:val="clear" w:color="000000" w:fill="FFFFFF"/>
            <w:noWrap w:val="0"/>
            <w:vAlign w:val="center"/>
          </w:tcPr>
          <w:p w14:paraId="7AE85F35">
            <w:pPr>
              <w:pStyle w:val="99"/>
              <w:ind w:left="0" w:leftChars="0" w:firstLine="0" w:firstLineChars="0"/>
              <w:rPr>
                <w:sz w:val="21"/>
                <w:szCs w:val="21"/>
              </w:rPr>
            </w:pPr>
            <w:r>
              <w:rPr>
                <w:rFonts w:hint="eastAsia"/>
                <w:sz w:val="21"/>
                <w:szCs w:val="21"/>
              </w:rPr>
              <w:t>监控统计功能</w:t>
            </w:r>
          </w:p>
        </w:tc>
        <w:tc>
          <w:tcPr>
            <w:tcW w:w="7163" w:type="dxa"/>
            <w:noWrap w:val="0"/>
            <w:vAlign w:val="center"/>
          </w:tcPr>
          <w:p w14:paraId="286B90E1">
            <w:pPr>
              <w:pStyle w:val="99"/>
              <w:rPr>
                <w:sz w:val="21"/>
                <w:szCs w:val="21"/>
              </w:rPr>
            </w:pPr>
            <w:r>
              <w:rPr>
                <w:rFonts w:hint="eastAsia"/>
                <w:sz w:val="21"/>
                <w:szCs w:val="21"/>
              </w:rPr>
              <w:t>支持监控统计设备拓扑功能，支持生成拓扑，图标状态可显示在线、离线、有未读告警的状态；</w:t>
            </w:r>
          </w:p>
        </w:tc>
      </w:tr>
      <w:tr w14:paraId="4D76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4842D58">
            <w:pPr>
              <w:pStyle w:val="99"/>
              <w:ind w:left="0" w:leftChars="0" w:firstLine="0" w:firstLineChars="0"/>
              <w:rPr>
                <w:sz w:val="21"/>
                <w:szCs w:val="21"/>
              </w:rPr>
            </w:pPr>
            <w:r>
              <w:rPr>
                <w:rFonts w:hint="eastAsia"/>
                <w:sz w:val="21"/>
                <w:szCs w:val="21"/>
              </w:rPr>
              <w:t>分析功能</w:t>
            </w:r>
          </w:p>
        </w:tc>
        <w:tc>
          <w:tcPr>
            <w:tcW w:w="7163" w:type="dxa"/>
            <w:noWrap w:val="0"/>
            <w:vAlign w:val="center"/>
          </w:tcPr>
          <w:p w14:paraId="4EAD3380">
            <w:pPr>
              <w:pStyle w:val="99"/>
              <w:rPr>
                <w:sz w:val="21"/>
                <w:szCs w:val="21"/>
              </w:rPr>
            </w:pPr>
            <w:r>
              <w:rPr>
                <w:rFonts w:hint="eastAsia"/>
                <w:sz w:val="21"/>
                <w:szCs w:val="21"/>
              </w:rPr>
              <w:t>支持对已检测到的威胁命中次数和未阻断次数进行分析。分析威胁命中变化的总趋势图和TOPN威胁排名，支持对威胁事件排名中单个威胁进行趋势分析，以及根据攻击者IP、被攻击者IP等维度进行聚合分析。</w:t>
            </w:r>
          </w:p>
        </w:tc>
      </w:tr>
      <w:tr w14:paraId="695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96" w:type="dxa"/>
            <w:shd w:val="clear" w:color="000000" w:fill="FFFFFF"/>
            <w:noWrap w:val="0"/>
            <w:vAlign w:val="center"/>
          </w:tcPr>
          <w:p w14:paraId="2202E55B">
            <w:pPr>
              <w:pStyle w:val="99"/>
              <w:ind w:left="0" w:leftChars="0" w:firstLine="0" w:firstLineChars="0"/>
              <w:rPr>
                <w:sz w:val="21"/>
                <w:szCs w:val="21"/>
              </w:rPr>
            </w:pPr>
            <w:r>
              <w:rPr>
                <w:rFonts w:hint="eastAsia"/>
                <w:sz w:val="21"/>
                <w:szCs w:val="21"/>
              </w:rPr>
              <w:t>处置功能</w:t>
            </w:r>
          </w:p>
        </w:tc>
        <w:tc>
          <w:tcPr>
            <w:tcW w:w="7163" w:type="dxa"/>
            <w:noWrap w:val="0"/>
            <w:vAlign w:val="center"/>
          </w:tcPr>
          <w:p w14:paraId="4502450E">
            <w:pPr>
              <w:pStyle w:val="99"/>
              <w:ind w:left="0" w:leftChars="0" w:firstLine="0" w:firstLineChars="0"/>
              <w:rPr>
                <w:sz w:val="21"/>
                <w:szCs w:val="21"/>
              </w:rPr>
            </w:pPr>
            <w:r>
              <w:rPr>
                <w:rFonts w:hint="eastAsia"/>
                <w:sz w:val="21"/>
                <w:szCs w:val="21"/>
              </w:rPr>
              <w:t>支持人工添加处置任务。可选择处置设备、处置时间段和阻断等动作。</w:t>
            </w:r>
          </w:p>
        </w:tc>
      </w:tr>
      <w:tr w14:paraId="3E3D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296" w:type="dxa"/>
            <w:shd w:val="clear" w:color="000000" w:fill="FFFFFF"/>
            <w:noWrap w:val="0"/>
            <w:vAlign w:val="center"/>
          </w:tcPr>
          <w:p w14:paraId="3D3D4B68">
            <w:pPr>
              <w:pStyle w:val="99"/>
              <w:ind w:left="0" w:leftChars="0" w:firstLine="0" w:firstLineChars="0"/>
              <w:rPr>
                <w:sz w:val="21"/>
                <w:szCs w:val="21"/>
              </w:rPr>
            </w:pPr>
            <w:r>
              <w:rPr>
                <w:rFonts w:hint="eastAsia"/>
                <w:sz w:val="21"/>
                <w:szCs w:val="21"/>
              </w:rPr>
              <w:t>配置管理功能</w:t>
            </w:r>
          </w:p>
        </w:tc>
        <w:tc>
          <w:tcPr>
            <w:tcW w:w="7163" w:type="dxa"/>
            <w:noWrap w:val="0"/>
            <w:vAlign w:val="center"/>
          </w:tcPr>
          <w:p w14:paraId="7329B12F">
            <w:pPr>
              <w:pStyle w:val="99"/>
              <w:rPr>
                <w:sz w:val="21"/>
                <w:szCs w:val="21"/>
              </w:rPr>
            </w:pPr>
            <w:r>
              <w:rPr>
                <w:rFonts w:hint="eastAsia"/>
                <w:sz w:val="21"/>
                <w:szCs w:val="21"/>
              </w:rPr>
              <w:t>支持创建策略集和全局对象进行统一配置，统一配置可集中下发给多台防火墙，统一下发的策略支持安全策略、SSL解密策略、地址黑名单和会话限制等。</w:t>
            </w:r>
          </w:p>
        </w:tc>
      </w:tr>
      <w:tr w14:paraId="0095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96" w:type="dxa"/>
            <w:shd w:val="clear" w:color="000000" w:fill="FFFFFF"/>
            <w:noWrap w:val="0"/>
            <w:vAlign w:val="center"/>
          </w:tcPr>
          <w:p w14:paraId="00865ADE">
            <w:pPr>
              <w:pStyle w:val="99"/>
              <w:ind w:left="0" w:leftChars="0" w:firstLine="0" w:firstLineChars="0"/>
              <w:rPr>
                <w:sz w:val="21"/>
                <w:szCs w:val="21"/>
              </w:rPr>
            </w:pPr>
            <w:r>
              <w:rPr>
                <w:rFonts w:hint="eastAsia"/>
                <w:sz w:val="21"/>
                <w:szCs w:val="21"/>
              </w:rPr>
              <w:t>威胁情报监测</w:t>
            </w:r>
          </w:p>
        </w:tc>
        <w:tc>
          <w:tcPr>
            <w:tcW w:w="7163" w:type="dxa"/>
            <w:noWrap w:val="0"/>
            <w:vAlign w:val="center"/>
          </w:tcPr>
          <w:p w14:paraId="35B93CC5">
            <w:pPr>
              <w:pStyle w:val="99"/>
              <w:rPr>
                <w:sz w:val="21"/>
                <w:szCs w:val="21"/>
              </w:rPr>
            </w:pPr>
            <w:r>
              <w:rPr>
                <w:rFonts w:hint="eastAsia"/>
                <w:sz w:val="21"/>
                <w:szCs w:val="21"/>
              </w:rPr>
              <w:t>支持威胁情报云检测功能。</w:t>
            </w:r>
          </w:p>
        </w:tc>
      </w:tr>
      <w:tr w14:paraId="41DA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C59B483">
            <w:pPr>
              <w:pStyle w:val="99"/>
              <w:ind w:left="0" w:leftChars="0" w:firstLine="0" w:firstLineChars="0"/>
              <w:rPr>
                <w:sz w:val="21"/>
                <w:szCs w:val="21"/>
              </w:rPr>
            </w:pPr>
            <w:r>
              <w:rPr>
                <w:rFonts w:hint="eastAsia"/>
                <w:sz w:val="21"/>
                <w:szCs w:val="21"/>
              </w:rPr>
              <w:t>防火墙联动</w:t>
            </w:r>
          </w:p>
        </w:tc>
        <w:tc>
          <w:tcPr>
            <w:tcW w:w="7163" w:type="dxa"/>
            <w:noWrap w:val="0"/>
            <w:vAlign w:val="center"/>
          </w:tcPr>
          <w:p w14:paraId="711ED74F">
            <w:pPr>
              <w:pStyle w:val="99"/>
              <w:ind w:left="0" w:leftChars="0" w:firstLine="0" w:firstLineChars="0"/>
              <w:rPr>
                <w:sz w:val="21"/>
                <w:szCs w:val="21"/>
              </w:rPr>
            </w:pPr>
            <w:r>
              <w:rPr>
                <w:rFonts w:hint="eastAsia"/>
                <w:sz w:val="21"/>
                <w:szCs w:val="21"/>
              </w:rPr>
              <w:t>★所投产品支持对本次采购的防火墙安全策略下发、设备统一监控、日志管理、告警管理、报表管理等功能。</w:t>
            </w:r>
            <w:r>
              <w:rPr>
                <w:rFonts w:hint="eastAsia"/>
                <w:b/>
                <w:sz w:val="21"/>
                <w:szCs w:val="21"/>
              </w:rPr>
              <w:t>（投标文件需要提供能够体现上述功能的截图）</w:t>
            </w:r>
          </w:p>
        </w:tc>
      </w:tr>
    </w:tbl>
    <w:p w14:paraId="25CA3F56">
      <w:pPr>
        <w:ind w:firstLine="0" w:firstLineChars="0"/>
      </w:pPr>
      <w:r>
        <w:br w:type="page"/>
      </w:r>
    </w:p>
    <w:p w14:paraId="3514871E">
      <w:pPr>
        <w:ind w:firstLine="0" w:firstLineChars="0"/>
        <w:rPr>
          <w:rFonts w:hint="eastAsia"/>
          <w:b/>
          <w:bCs/>
          <w:sz w:val="32"/>
          <w:szCs w:val="32"/>
        </w:rPr>
      </w:pPr>
      <w:r>
        <w:rPr>
          <w:rFonts w:hint="eastAsia"/>
          <w:b/>
          <w:bCs/>
          <w:sz w:val="32"/>
          <w:szCs w:val="32"/>
          <w:lang w:val="en-US" w:eastAsia="zh-CN"/>
        </w:rPr>
        <w:t>五</w:t>
      </w:r>
      <w:r>
        <w:rPr>
          <w:rFonts w:hint="eastAsia"/>
          <w:b/>
          <w:bCs/>
          <w:sz w:val="32"/>
          <w:szCs w:val="32"/>
        </w:rPr>
        <w:t>、售后服务要求</w:t>
      </w:r>
    </w:p>
    <w:p w14:paraId="643B822F">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w:t>
      </w:r>
      <w:r>
        <w:rPr>
          <w:rFonts w:hint="eastAsia" w:ascii="Calibri" w:hAnsi="Calibri"/>
          <w:color w:val="auto"/>
          <w:kern w:val="2"/>
        </w:rPr>
        <w:t>供应商在响应文件中明确在服务期内各类软件、安全库、特征库免费升级，并详细阐述质量保证措施及售后服务的内容和形式。</w:t>
      </w:r>
    </w:p>
    <w:p w14:paraId="2EEEED63">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2、</w:t>
      </w:r>
      <w:r>
        <w:rPr>
          <w:rFonts w:hint="eastAsia" w:ascii="Calibri" w:hAnsi="Calibri"/>
          <w:color w:val="auto"/>
          <w:kern w:val="2"/>
        </w:rPr>
        <w:t>供应商在响应文件中明确在服务期内在该项目建设和维护的运行维护中，接受采购人的监督和管理，为采购人提供各类运行数据。</w:t>
      </w:r>
    </w:p>
    <w:p w14:paraId="7CE24D0C">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3、</w:t>
      </w:r>
      <w:r>
        <w:rPr>
          <w:rFonts w:hint="eastAsia" w:ascii="Calibri" w:hAnsi="Calibri"/>
          <w:color w:val="auto"/>
          <w:kern w:val="2"/>
        </w:rPr>
        <w:t>指定专门的故障申报客户服务电话，提供一站式服务包括：业务咨询、业务受理、故障申告、技术支持。</w:t>
      </w:r>
    </w:p>
    <w:p w14:paraId="04A956D1">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4、</w:t>
      </w:r>
      <w:r>
        <w:rPr>
          <w:rFonts w:hint="eastAsia" w:ascii="Calibri" w:hAnsi="Calibri"/>
          <w:color w:val="auto"/>
          <w:kern w:val="2"/>
        </w:rPr>
        <w:t>指定大客户经理专人服务，并保持7x24小时响应。</w:t>
      </w:r>
    </w:p>
    <w:p w14:paraId="66A249C3">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5、</w:t>
      </w:r>
      <w:r>
        <w:rPr>
          <w:rFonts w:hint="eastAsia" w:ascii="Calibri" w:hAnsi="Calibri"/>
          <w:color w:val="auto"/>
          <w:kern w:val="2"/>
        </w:rPr>
        <w:t>配备具备</w:t>
      </w:r>
      <w:r>
        <w:rPr>
          <w:rFonts w:hint="eastAsia" w:ascii="Calibri" w:hAnsi="Calibri"/>
          <w:color w:val="auto"/>
          <w:kern w:val="2"/>
          <w:lang w:val="en-US" w:eastAsia="zh-CN"/>
        </w:rPr>
        <w:t>网络工程师证书或</w:t>
      </w:r>
      <w:r>
        <w:rPr>
          <w:rFonts w:hint="eastAsia" w:ascii="Calibri" w:hAnsi="Calibri"/>
          <w:color w:val="auto"/>
          <w:kern w:val="2"/>
        </w:rPr>
        <w:t>HCNP或CCNP证书的运维人员，组成专门维护团队以保证最快的响应。</w:t>
      </w:r>
    </w:p>
    <w:p w14:paraId="3E688A4C">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6、</w:t>
      </w:r>
      <w:r>
        <w:rPr>
          <w:rFonts w:hint="eastAsia" w:ascii="Calibri" w:hAnsi="Calibri"/>
          <w:color w:val="auto"/>
          <w:kern w:val="2"/>
        </w:rPr>
        <w:t>根据采购人的需要，提供线路使用情况和设备运行情况报告和分析。</w:t>
      </w:r>
    </w:p>
    <w:p w14:paraId="02826E43">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7、</w:t>
      </w:r>
      <w:r>
        <w:rPr>
          <w:rFonts w:hint="eastAsia" w:ascii="Calibri" w:hAnsi="Calibri"/>
          <w:color w:val="auto"/>
          <w:kern w:val="2"/>
        </w:rPr>
        <w:t>对于可预见的原因，影响采购人通信的，提前24小时通知实际用户。</w:t>
      </w:r>
    </w:p>
    <w:p w14:paraId="5AFFACF9">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8、</w:t>
      </w:r>
      <w:r>
        <w:rPr>
          <w:rFonts w:hint="eastAsia" w:ascii="Calibri" w:hAnsi="Calibri"/>
          <w:color w:val="auto"/>
          <w:kern w:val="2"/>
        </w:rPr>
        <w:t>供应商应具备应急通信的能力，如遇不可抗力因素（如地震、洪水等）造成的线路阻断，供应商应在短期内采用应急手段恢复通信。</w:t>
      </w:r>
    </w:p>
    <w:p w14:paraId="7042B0E6">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9、</w:t>
      </w:r>
      <w:r>
        <w:rPr>
          <w:rFonts w:hint="eastAsia" w:ascii="Calibri" w:hAnsi="Calibri"/>
          <w:color w:val="auto"/>
          <w:kern w:val="2"/>
        </w:rPr>
        <w:t>供应商要制定完善的紧急故障处理流程及应急方案，保证紧急情况下快速故障处理，缩短故障处理时限。</w:t>
      </w:r>
    </w:p>
    <w:p w14:paraId="1EAC0C10">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10、</w:t>
      </w:r>
      <w:r>
        <w:rPr>
          <w:rFonts w:hint="eastAsia" w:ascii="Calibri" w:hAnsi="Calibri"/>
          <w:color w:val="auto"/>
          <w:kern w:val="2"/>
        </w:rPr>
        <w:t>供应商应对政务外网线路提供长期、不间断的监测，一旦发现故障，供应商应第一时间通知采购人，并由专人记录中断时间、恢复时间、故障原因、处理措施等，每月形成一份书面的系统运行报告，交付给采购人。</w:t>
      </w:r>
    </w:p>
    <w:p w14:paraId="59B4540A">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11、</w:t>
      </w:r>
      <w:r>
        <w:rPr>
          <w:rFonts w:hint="eastAsia" w:ascii="Calibri" w:hAnsi="Calibri"/>
          <w:color w:val="auto"/>
          <w:kern w:val="2"/>
        </w:rPr>
        <w:t>如采购人后期有新增政务部门接入需求，供应商应承诺提供与此次签订合同政务部门相同的服务。</w:t>
      </w:r>
    </w:p>
    <w:p w14:paraId="3AA93FEF">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12、</w:t>
      </w:r>
      <w:r>
        <w:rPr>
          <w:rFonts w:hint="eastAsia" w:ascii="Calibri" w:hAnsi="Calibri"/>
          <w:color w:val="auto"/>
          <w:kern w:val="2"/>
        </w:rPr>
        <w:t>如采购人后期有政务外网地址迁移或带宽升级需求，供应商承诺在迁移或升级过程中与其他服务商全力配合，并在规定时间内实施完毕。</w:t>
      </w:r>
    </w:p>
    <w:p w14:paraId="2FC9638C">
      <w:pPr>
        <w:pStyle w:val="5"/>
        <w:ind w:left="0" w:leftChars="0"/>
        <w:rPr>
          <w:rFonts w:hint="default" w:eastAsia="宋体"/>
          <w:b/>
          <w:bCs w:val="0"/>
          <w:sz w:val="32"/>
          <w:szCs w:val="32"/>
          <w:lang w:val="en-US" w:eastAsia="zh-CN"/>
        </w:rPr>
      </w:pPr>
      <w:r>
        <w:rPr>
          <w:rFonts w:hint="eastAsia"/>
          <w:b/>
          <w:bCs w:val="0"/>
          <w:sz w:val="32"/>
          <w:szCs w:val="32"/>
          <w:lang w:val="en-US" w:eastAsia="zh-CN"/>
        </w:rPr>
        <w:t>六</w:t>
      </w:r>
      <w:r>
        <w:rPr>
          <w:rFonts w:hint="eastAsia"/>
          <w:b/>
          <w:bCs w:val="0"/>
          <w:sz w:val="32"/>
          <w:szCs w:val="32"/>
        </w:rPr>
        <w:t>、施工</w:t>
      </w:r>
      <w:r>
        <w:rPr>
          <w:rFonts w:hint="eastAsia"/>
          <w:b/>
          <w:bCs w:val="0"/>
          <w:sz w:val="32"/>
          <w:szCs w:val="32"/>
          <w:lang w:val="en-US" w:eastAsia="zh-CN"/>
        </w:rPr>
        <w:t>要求</w:t>
      </w:r>
    </w:p>
    <w:p w14:paraId="2179B49E">
      <w:pPr>
        <w:pStyle w:val="136"/>
        <w:numPr>
          <w:ilvl w:val="0"/>
          <w:numId w:val="0"/>
        </w:numPr>
        <w:spacing w:line="360" w:lineRule="auto"/>
        <w:ind w:left="60" w:leftChars="0"/>
        <w:rPr>
          <w:rFonts w:hint="eastAsia"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1、工期要求</w:t>
      </w:r>
    </w:p>
    <w:p w14:paraId="06493126">
      <w:pPr>
        <w:pStyle w:val="136"/>
        <w:numPr>
          <w:ilvl w:val="0"/>
          <w:numId w:val="0"/>
        </w:numPr>
        <w:spacing w:line="360" w:lineRule="auto"/>
        <w:ind w:left="60" w:leftChars="0"/>
        <w:rPr>
          <w:rFonts w:hint="eastAsia"/>
          <w:color w:val="auto"/>
          <w:sz w:val="28"/>
          <w:szCs w:val="28"/>
        </w:rPr>
      </w:pPr>
      <w:r>
        <w:rPr>
          <w:rFonts w:hint="eastAsia"/>
          <w:b w:val="0"/>
          <w:bCs/>
          <w:color w:val="auto"/>
          <w:sz w:val="28"/>
          <w:szCs w:val="28"/>
        </w:rPr>
        <w:t>中标方需在合同签订之日起90天内完成项目</w:t>
      </w:r>
      <w:r>
        <w:rPr>
          <w:rFonts w:hint="eastAsia"/>
          <w:b w:val="0"/>
          <w:bCs/>
          <w:color w:val="auto"/>
          <w:sz w:val="28"/>
          <w:szCs w:val="28"/>
          <w:lang w:val="en-US" w:eastAsia="zh-CN"/>
        </w:rPr>
        <w:t>设备的安装调试及线路布放</w:t>
      </w:r>
      <w:r>
        <w:rPr>
          <w:rFonts w:hint="eastAsia"/>
          <w:b w:val="0"/>
          <w:bCs/>
          <w:color w:val="auto"/>
          <w:sz w:val="28"/>
          <w:szCs w:val="28"/>
        </w:rPr>
        <w:t>。</w:t>
      </w:r>
    </w:p>
    <w:p w14:paraId="40CC2F05">
      <w:pPr>
        <w:pStyle w:val="136"/>
        <w:numPr>
          <w:ilvl w:val="0"/>
          <w:numId w:val="0"/>
        </w:numPr>
        <w:spacing w:line="360" w:lineRule="auto"/>
        <w:ind w:left="60" w:leftChars="0"/>
        <w:rPr>
          <w:rFonts w:hint="eastAsia"/>
          <w:b/>
          <w:color w:val="auto"/>
        </w:rPr>
      </w:pPr>
      <w:r>
        <w:rPr>
          <w:rFonts w:hint="eastAsia"/>
          <w:b/>
          <w:color w:val="auto"/>
          <w:lang w:val="en-US" w:eastAsia="zh-CN"/>
        </w:rPr>
        <w:t>2、</w:t>
      </w:r>
      <w:r>
        <w:rPr>
          <w:rFonts w:hint="eastAsia"/>
          <w:b/>
          <w:color w:val="auto"/>
        </w:rPr>
        <w:t>质量要求</w:t>
      </w:r>
    </w:p>
    <w:p w14:paraId="0DE6EDF6">
      <w:pPr>
        <w:pStyle w:val="122"/>
        <w:numPr>
          <w:ilvl w:val="0"/>
          <w:numId w:val="0"/>
        </w:numPr>
        <w:spacing w:line="360" w:lineRule="auto"/>
        <w:rPr>
          <w:rFonts w:hint="eastAsia" w:ascii="Times New Roman" w:hAnsi="Times New Roman" w:eastAsia="宋体" w:cs="Times New Roman"/>
          <w:b w:val="0"/>
          <w:bCs/>
          <w:color w:val="auto"/>
          <w:sz w:val="24"/>
          <w:szCs w:val="24"/>
          <w:lang w:val="en-US" w:eastAsia="zh-CN" w:bidi="ar-SA"/>
        </w:rPr>
      </w:pPr>
      <w:r>
        <w:rPr>
          <w:rFonts w:hint="eastAsia" w:ascii="Times New Roman" w:hAnsi="Times New Roman" w:eastAsia="宋体" w:cs="Times New Roman"/>
          <w:b w:val="0"/>
          <w:bCs/>
          <w:color w:val="auto"/>
          <w:sz w:val="24"/>
          <w:szCs w:val="24"/>
          <w:lang w:val="en-US" w:eastAsia="zh-CN" w:bidi="ar-SA"/>
        </w:rPr>
        <w:t>总体质量要求：网络建成后要求通过相关单位的测试验收，通信线路上各通信设施符合行业标准，具有良好的连通性、安全性、可靠性、先进性、可扩展性以及可维护性，必须达到通信线路系统建设有关国家标准，确保网络畅通。</w:t>
      </w:r>
    </w:p>
    <w:p w14:paraId="5EC8385A">
      <w:pPr>
        <w:pStyle w:val="5"/>
        <w:ind w:left="0" w:leftChars="0"/>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七、网络和数据安全</w:t>
      </w:r>
    </w:p>
    <w:p w14:paraId="2660993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 xml:space="preserve">中标人须遵守并根据《中华人民共和国网络安全法》、《中华人民共和国个人信息保护法》、 《中华人民共和国数据安全法》和有关法律、法规之规定，做好有关本项目安全保密事宜。 </w:t>
      </w:r>
    </w:p>
    <w:p w14:paraId="0626FD60">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 xml:space="preserve">中标人需对以下内容负保密责任：本项目信息系统的系统数据、业务数据、项目资料及存放这 些数据、资料的计算机、存储介质；政务网上信息、维护工作中接触到的必须保密的内容。 </w:t>
      </w:r>
    </w:p>
    <w:p w14:paraId="33301334">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中标人保证派遣符合业主方要求的工作人员参加项目工作，对项目工作人员登记造册，并承担 法律上的担保责任；制定网络和数据安全管理制度，并严格落实。</w:t>
      </w:r>
    </w:p>
    <w:p w14:paraId="596CAF4A">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 xml:space="preserve">中标人在项目实施期间，必须严格依照业主方的要求，在业主方指定的工作场所和设备环境下 进行系统和数据的维护工作，不得非法拷贝数据；未经业主方书面同意，不得擅自将数据拷贝至指定 场所外进行处理；不得以任何方式将有关数据提供给第三方或用于其他商业目的。 </w:t>
      </w:r>
    </w:p>
    <w:p w14:paraId="2CEED300">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 xml:space="preserve">中标方人员的维护服务工作必须在合同确定的服务范围内进行，不得涉及于本项目无关的业务 及信息。不非法擅自登录、浏览、下载政务网上信息；不非法入侵政务网计算机信息系统；不制作或 故意传播计算机病毒以及其他破坏程序的行为；不利用政务网系统发布不正当言论行为以及法律法规 禁止的其他行为。 </w:t>
      </w:r>
    </w:p>
    <w:p w14:paraId="57D4E379">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发现本项目相关设备、服务存在安全隐患时，中标人需在业主方的限定时间内立即配合做好隐 患的整改。中标人保证一旦发现相关网络和数据安全事故，及时采取相应措施，为业主方提供查找相关事故原因的线索和证据，并承担相应责任。</w:t>
      </w:r>
    </w:p>
    <w:p w14:paraId="2EA9B980">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 xml:space="preserve">当业主方要求中标人交回专有信息时，中标人应当立即交回所有书面、电子的及其他形式的专 有信息以及所有描述和概括该专有信息的文件资料，不能以任何形式保留或擅自处理。 </w:t>
      </w:r>
    </w:p>
    <w:p w14:paraId="4AFBFD24">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中标人保证在该项目实施期间及完成以后的任何时间内保密内容不予泄露，对因中标人因素导 致该项目的保密内容泄密造成的后果，中标人承担相应的法律责任。</w:t>
      </w:r>
    </w:p>
    <w:p w14:paraId="515D27B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xml:space="preserve">中标人在本项目实施和服务过程中需保障采购单位的网络和数据安全，因中标人产生的安全风 险引发网络和数据安全事件事故，并导致采购单位损失的，由中标人全部承担。并实行如下处罚条款： </w:t>
      </w:r>
    </w:p>
    <w:p w14:paraId="072B3E9A">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发生一次人员变更的计事故一次。 </w:t>
      </w:r>
    </w:p>
    <w:p w14:paraId="087B7B32">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（2）发生一个单位网络故障超</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小时未处理完成的计事故一次，超24小时未完成修复的计重大事故一次。</w:t>
      </w:r>
    </w:p>
    <w:p w14:paraId="12B423A7">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（3）发生超过 50%单位网络故障的，在1小时内未修复的计事故一次，超4小时未完成修复的计</w:t>
      </w:r>
      <w:r>
        <w:rPr>
          <w:rFonts w:hint="eastAsia" w:ascii="Times New Roman" w:hAnsi="Times New Roman" w:eastAsia="宋体" w:cs="Times New Roman"/>
          <w:sz w:val="24"/>
          <w:szCs w:val="24"/>
          <w:lang w:val="en-US" w:eastAsia="zh-CN"/>
        </w:rPr>
        <w:t>重大</w:t>
      </w:r>
      <w:r>
        <w:rPr>
          <w:rFonts w:hint="eastAsia" w:ascii="Times New Roman" w:hAnsi="Times New Roman" w:eastAsia="宋体" w:cs="Times New Roman"/>
          <w:sz w:val="24"/>
          <w:szCs w:val="24"/>
        </w:rPr>
        <w:t>事故一次，超6小时未完成修复的计特别重大事故。</w:t>
      </w:r>
    </w:p>
    <w:p w14:paraId="1243AA2C">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（4）因硬件设备导致的网络故障，超10个工作日未完成修理的计重大事故一次。 </w:t>
      </w:r>
    </w:p>
    <w:p w14:paraId="7FEE9BE1">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）重复出现的网络故障，除以上处罚外，另计重大事故一次。</w:t>
      </w:r>
    </w:p>
    <w:p w14:paraId="136C7A4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）发生网络安全事件、事故时，不配合、不协助调查举证的，计特别重大事故一次，拒不配合 的扣除剩余合同款。</w:t>
      </w:r>
    </w:p>
    <w:p w14:paraId="55A69EB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）发生一次重大事故（三次事故换算为一次重大事故）的扣除当年服务费用的2%，出现特别重大事故的扣除当年服务费用10%。</w:t>
      </w:r>
    </w:p>
    <w:p w14:paraId="6D5E7995">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）因以下原因导致的以上情形不做处罚：</w:t>
      </w:r>
    </w:p>
    <w:p w14:paraId="143A7D42">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①非中标方提供的人员、服务或产品原因导致网络故障的；</w:t>
      </w:r>
    </w:p>
    <w:p w14:paraId="420090A2">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②业务方因业务需要，需要局部断网的； </w:t>
      </w:r>
    </w:p>
    <w:p w14:paraId="471829A4">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③不可抗力适用于本条款。</w:t>
      </w:r>
    </w:p>
    <w:p w14:paraId="68A80A6E">
      <w:pPr>
        <w:pStyle w:val="122"/>
      </w:pPr>
    </w:p>
    <w:p w14:paraId="09EF3D0D">
      <w:pPr>
        <w:pStyle w:val="89"/>
        <w:adjustRightInd w:val="0"/>
        <w:snapToGrid w:val="0"/>
        <w:spacing w:before="0" w:line="460" w:lineRule="exact"/>
        <w:ind w:firstLine="0" w:firstLineChars="0"/>
        <w:outlineLvl w:val="0"/>
        <w:rPr>
          <w:rFonts w:ascii="宋体" w:hAnsi="宋体" w:cs="宋体"/>
          <w:b/>
          <w:color w:val="C00000"/>
          <w:sz w:val="28"/>
          <w:szCs w:val="28"/>
        </w:rPr>
      </w:pPr>
    </w:p>
    <w:p w14:paraId="06B5D64B">
      <w:pPr>
        <w:rPr>
          <w:rFonts w:ascii="宋体" w:hAnsi="宋体" w:cs="宋体"/>
          <w:b/>
          <w:bCs/>
          <w:color w:val="000000"/>
          <w:kern w:val="0"/>
          <w:sz w:val="24"/>
        </w:rPr>
        <w:sectPr>
          <w:pgSz w:w="11849" w:h="16781"/>
          <w:pgMar w:top="1440" w:right="1803" w:bottom="1440" w:left="1803" w:header="851" w:footer="992" w:gutter="0"/>
          <w:cols w:space="720" w:num="1"/>
          <w:titlePg/>
          <w:docGrid w:type="lines" w:linePitch="312" w:charSpace="0"/>
        </w:sectPr>
      </w:pPr>
    </w:p>
    <w:p w14:paraId="2C3DF0BD">
      <w:pPr>
        <w:pStyle w:val="89"/>
        <w:adjustRightInd w:val="0"/>
        <w:snapToGrid w:val="0"/>
        <w:spacing w:before="0" w:line="460" w:lineRule="exact"/>
        <w:ind w:firstLine="0" w:firstLineChars="0"/>
        <w:jc w:val="center"/>
        <w:outlineLvl w:val="0"/>
        <w:rPr>
          <w:rFonts w:hint="eastAsia" w:ascii="宋体" w:hAnsi="宋体" w:eastAsia="宋体" w:cs="宋体"/>
          <w:b/>
          <w:bCs/>
          <w:sz w:val="44"/>
          <w:szCs w:val="44"/>
          <w:lang w:eastAsia="zh-CN"/>
        </w:rPr>
      </w:pPr>
      <w:r>
        <w:rPr>
          <w:rFonts w:hint="eastAsia" w:ascii="宋体" w:hAnsi="宋体" w:cs="宋体"/>
          <w:b/>
          <w:bCs/>
          <w:sz w:val="44"/>
          <w:szCs w:val="44"/>
        </w:rPr>
        <w:t>商务</w:t>
      </w:r>
      <w:r>
        <w:rPr>
          <w:rFonts w:hint="eastAsia" w:ascii="宋体" w:hAnsi="宋体" w:cs="宋体"/>
          <w:b/>
          <w:bCs/>
          <w:sz w:val="44"/>
          <w:szCs w:val="44"/>
          <w:lang w:val="en-US" w:eastAsia="zh-CN"/>
        </w:rPr>
        <w:t>条款</w:t>
      </w:r>
    </w:p>
    <w:p w14:paraId="610D13B0">
      <w:pPr>
        <w:numPr>
          <w:ilvl w:val="0"/>
          <w:numId w:val="12"/>
        </w:numPr>
        <w:adjustRightInd w:val="0"/>
        <w:snapToGrid w:val="0"/>
        <w:spacing w:line="360" w:lineRule="auto"/>
        <w:rPr>
          <w:rFonts w:ascii="宋体" w:hAnsi="宋体"/>
          <w:b/>
          <w:color w:val="auto"/>
          <w:sz w:val="24"/>
        </w:rPr>
      </w:pPr>
      <w:r>
        <w:rPr>
          <w:rFonts w:hint="eastAsia" w:ascii="宋体" w:hAnsi="宋体"/>
          <w:b/>
          <w:sz w:val="24"/>
        </w:rPr>
        <w:t>说明</w:t>
      </w:r>
    </w:p>
    <w:p w14:paraId="679B2451">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1.1供需双方签订采购合同条款的依据是《</w:t>
      </w:r>
      <w:r>
        <w:rPr>
          <w:rFonts w:hint="eastAsia" w:ascii="宋体"/>
          <w:bCs/>
          <w:color w:val="auto"/>
          <w:sz w:val="24"/>
          <w:lang w:val="en-US" w:eastAsia="zh-CN"/>
        </w:rPr>
        <w:t>民法典</w:t>
      </w:r>
      <w:r>
        <w:rPr>
          <w:rFonts w:hint="eastAsia" w:ascii="宋体" w:hAnsi="宋体"/>
          <w:bCs/>
          <w:color w:val="auto"/>
          <w:sz w:val="24"/>
        </w:rPr>
        <w:t>》；</w:t>
      </w:r>
    </w:p>
    <w:p w14:paraId="2206E5BD">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1.2招标文件、投标文件、技术澄清及询标承诺的所有内容是构成合同不可分割的部分，与合同具有同等法律效力。当文件有相互矛盾之处，以时间后者为准。</w:t>
      </w:r>
    </w:p>
    <w:p w14:paraId="0A3F1154">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1.3合同货物及服务的价款应与投标中确定的中标人投标报价相一致。</w:t>
      </w:r>
    </w:p>
    <w:p w14:paraId="2437B37D">
      <w:pPr>
        <w:adjustRightInd w:val="0"/>
        <w:snapToGrid w:val="0"/>
        <w:spacing w:line="360" w:lineRule="auto"/>
        <w:ind w:firstLine="480" w:firstLineChars="200"/>
        <w:rPr>
          <w:rFonts w:ascii="宋体" w:hAnsi="宋体"/>
          <w:b/>
          <w:color w:val="auto"/>
          <w:sz w:val="24"/>
        </w:rPr>
      </w:pPr>
      <w:r>
        <w:rPr>
          <w:rFonts w:hint="eastAsia" w:ascii="宋体" w:hAnsi="宋体"/>
          <w:color w:val="auto"/>
          <w:sz w:val="24"/>
        </w:rPr>
        <w:t>1.4合同货物及服务的质量、技术标准如在投标、投标文件中无相应说明的则按最近的国家或专业标准及相应的国际标准执行。</w:t>
      </w:r>
    </w:p>
    <w:p w14:paraId="6BE06D12">
      <w:pPr>
        <w:adjustRightInd w:val="0"/>
        <w:snapToGrid w:val="0"/>
        <w:spacing w:line="360" w:lineRule="auto"/>
        <w:rPr>
          <w:rFonts w:ascii="宋体" w:hAnsi="宋体"/>
          <w:color w:val="auto"/>
          <w:sz w:val="24"/>
        </w:rPr>
      </w:pPr>
      <w:r>
        <w:rPr>
          <w:rFonts w:hint="eastAsia" w:ascii="宋体" w:hAnsi="宋体"/>
          <w:b/>
          <w:color w:val="auto"/>
          <w:sz w:val="24"/>
        </w:rPr>
        <w:t>2、产品制造、现场施工指导及技术服务</w:t>
      </w:r>
    </w:p>
    <w:p w14:paraId="59829B9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2.1合同所定货物供方在生产前应向需方确认规格型号、种类、数量、颜色等。需方有权依法变更招标文件中采购货物的数量。</w:t>
      </w:r>
    </w:p>
    <w:p w14:paraId="180E8BFC">
      <w:pPr>
        <w:tabs>
          <w:tab w:val="left" w:pos="360"/>
          <w:tab w:val="left" w:pos="540"/>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2.2供方应提供货物现场施工，提供设备安装图，并指导中转站的土建施工；</w:t>
      </w:r>
      <w:r>
        <w:rPr>
          <w:rFonts w:hint="eastAsia" w:ascii="宋体" w:hAnsi="宋体"/>
          <w:bCs/>
          <w:color w:val="auto"/>
          <w:sz w:val="24"/>
        </w:rPr>
        <w:t>提供预埋件和整套设备的运送，并</w:t>
      </w:r>
      <w:r>
        <w:rPr>
          <w:rFonts w:hint="eastAsia" w:ascii="宋体" w:hAnsi="宋体"/>
          <w:color w:val="auto"/>
          <w:sz w:val="24"/>
        </w:rPr>
        <w:t>完成现场的安装调试。</w:t>
      </w:r>
    </w:p>
    <w:p w14:paraId="61031B91">
      <w:pPr>
        <w:tabs>
          <w:tab w:val="left" w:pos="360"/>
          <w:tab w:val="left" w:pos="540"/>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2.3供方人员在施工期间的费用由供方负责。</w:t>
      </w:r>
    </w:p>
    <w:p w14:paraId="4E64BED0">
      <w:pPr>
        <w:tabs>
          <w:tab w:val="left" w:pos="360"/>
          <w:tab w:val="left" w:pos="540"/>
        </w:tabs>
        <w:adjustRightInd w:val="0"/>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4供方须参加施工单位要求其参加的所有现场联络会，并接受施工单位的统一管理，遵守工地的安全和建筑规定。</w:t>
      </w:r>
    </w:p>
    <w:p w14:paraId="020D0DD7">
      <w:pPr>
        <w:tabs>
          <w:tab w:val="left" w:pos="540"/>
        </w:tabs>
        <w:adjustRightInd w:val="0"/>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5供方应与所有相关的部门联系，获得相关认可，以便产品能及时投入服务。</w:t>
      </w:r>
    </w:p>
    <w:p w14:paraId="45F4D330">
      <w:pPr>
        <w:tabs>
          <w:tab w:val="left" w:pos="540"/>
        </w:tabs>
        <w:adjustRightInd w:val="0"/>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6供方人员在需方服务期间应遵守有关部门的管理，并遵照相关的规定。</w:t>
      </w:r>
    </w:p>
    <w:p w14:paraId="4B91405A">
      <w:pPr>
        <w:tabs>
          <w:tab w:val="left" w:pos="540"/>
        </w:tabs>
        <w:adjustRightInd w:val="0"/>
        <w:snapToGrid w:val="0"/>
        <w:spacing w:line="360" w:lineRule="auto"/>
        <w:ind w:firstLine="480" w:firstLineChars="200"/>
        <w:rPr>
          <w:rFonts w:ascii="宋体" w:hAnsi="宋体"/>
          <w:color w:val="auto"/>
          <w:sz w:val="24"/>
        </w:rPr>
      </w:pPr>
      <w:r>
        <w:rPr>
          <w:rFonts w:hint="eastAsia" w:ascii="宋体" w:hAnsi="宋体"/>
          <w:color w:val="auto"/>
          <w:sz w:val="24"/>
        </w:rPr>
        <w:t>2.7供方需密切配合需方的要求，同时完全响应土建进度。供方必须按工程建设的进度详细编写切合实际的供货进度计划，报需方审定。如需方因土建等其它原因，要求将交货期作适当推迟的，或要求供方适当调整制造要求的，供方应无条件接受，并根据变化情况重新编制供货进度计划，交货期作相应修改而不加收另外费用。</w:t>
      </w:r>
    </w:p>
    <w:p w14:paraId="27B533C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2.8供方应随产品向需方提交产品使用说明书、产品合格证、保修卡及相关的技术资料。</w:t>
      </w:r>
    </w:p>
    <w:p w14:paraId="36C9137C">
      <w:pPr>
        <w:adjustRightInd w:val="0"/>
        <w:snapToGrid w:val="0"/>
        <w:spacing w:line="360" w:lineRule="auto"/>
        <w:rPr>
          <w:rFonts w:ascii="宋体" w:hAnsi="宋体"/>
          <w:b/>
          <w:color w:val="auto"/>
          <w:sz w:val="24"/>
        </w:rPr>
      </w:pPr>
      <w:r>
        <w:rPr>
          <w:rFonts w:hint="eastAsia" w:ascii="宋体" w:hAnsi="宋体"/>
          <w:b/>
          <w:color w:val="auto"/>
          <w:sz w:val="24"/>
        </w:rPr>
        <w:t>3、投标报价的说明</w:t>
      </w:r>
    </w:p>
    <w:p w14:paraId="136B1B27">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3.1本次投标的投标报价为货物按采购人要求送至工地现场、安装至运行正常的报价。如中标后发生设计变更，费用则按合同规定调整。中标后不得调整任何费用与单价，包括投标人发生的差错及有关定额和收费方面政策性调整文件导致的费用变更及市场行情的涨落因素。</w:t>
      </w:r>
    </w:p>
    <w:p w14:paraId="02555400">
      <w:pPr>
        <w:pStyle w:val="1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kern w:val="2"/>
        </w:rPr>
      </w:pPr>
      <w:r>
        <w:rPr>
          <w:rFonts w:hint="eastAsia" w:ascii="宋体" w:hAnsi="宋体"/>
          <w:color w:val="auto"/>
        </w:rPr>
        <w:t xml:space="preserve">3.2 </w:t>
      </w:r>
      <w:r>
        <w:rPr>
          <w:rFonts w:hint="eastAsia" w:ascii="宋体" w:hAnsi="宋体"/>
          <w:color w:val="auto"/>
          <w:kern w:val="2"/>
        </w:rPr>
        <w:t>投标报价为投标方所能承受的一次性最终报价，以人民币为结算币种，须精确到元，投标报价须包含光纤（数字电路）铺设租赁费、数字电路租赁费、货物价款（如有）、运输费、装卸费、利润、税金、完成本项目的其它费用和政策性文件规定及合同包含的所有风险、责任等各项应有费用，如有漏项，视同已包含在其总项目中，合同总价不予调整。</w:t>
      </w:r>
    </w:p>
    <w:p w14:paraId="70660181">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olor w:val="auto"/>
          <w:sz w:val="24"/>
        </w:rPr>
      </w:pPr>
      <w:r>
        <w:rPr>
          <w:rFonts w:hint="eastAsia" w:ascii="宋体" w:hAnsi="宋体"/>
          <w:b/>
          <w:color w:val="auto"/>
          <w:sz w:val="24"/>
        </w:rPr>
        <w:t>4、维修响应时间：</w:t>
      </w:r>
      <w:r>
        <w:rPr>
          <w:rFonts w:hint="eastAsia" w:ascii="宋体" w:hAnsi="宋体"/>
          <w:color w:val="auto"/>
          <w:sz w:val="24"/>
        </w:rPr>
        <w:t>供方收到需方通知后响应时间根据维修保养</w:t>
      </w:r>
      <w:r>
        <w:rPr>
          <w:rFonts w:hint="eastAsia" w:ascii="宋体" w:hAnsi="宋体"/>
          <w:bCs/>
          <w:color w:val="auto"/>
          <w:sz w:val="24"/>
        </w:rPr>
        <w:t>服务内容</w:t>
      </w:r>
      <w:r>
        <w:rPr>
          <w:rFonts w:hint="eastAsia" w:ascii="宋体" w:hAnsi="宋体"/>
          <w:color w:val="auto"/>
          <w:sz w:val="24"/>
        </w:rPr>
        <w:t>的要求。</w:t>
      </w:r>
    </w:p>
    <w:p w14:paraId="41BB33D5">
      <w:pPr>
        <w:adjustRightInd w:val="0"/>
        <w:snapToGrid w:val="0"/>
        <w:spacing w:line="360" w:lineRule="auto"/>
        <w:rPr>
          <w:rFonts w:ascii="宋体" w:hAnsi="宋体"/>
          <w:b/>
          <w:color w:val="auto"/>
          <w:sz w:val="24"/>
        </w:rPr>
      </w:pPr>
      <w:r>
        <w:rPr>
          <w:rFonts w:hint="eastAsia" w:ascii="宋体" w:hAnsi="宋体"/>
          <w:b/>
          <w:color w:val="auto"/>
          <w:sz w:val="24"/>
        </w:rPr>
        <w:t>5、质量保证</w:t>
      </w:r>
    </w:p>
    <w:p w14:paraId="467A6577">
      <w:pPr>
        <w:adjustRightInd w:val="0"/>
        <w:snapToGrid w:val="0"/>
        <w:spacing w:line="360" w:lineRule="auto"/>
        <w:ind w:firstLine="480" w:firstLineChars="200"/>
        <w:rPr>
          <w:rFonts w:ascii="宋体" w:hAnsi="宋体"/>
          <w:b/>
          <w:color w:val="auto"/>
          <w:sz w:val="24"/>
        </w:rPr>
      </w:pPr>
      <w:r>
        <w:rPr>
          <w:rFonts w:hint="eastAsia" w:ascii="宋体" w:hAnsi="宋体"/>
          <w:color w:val="auto"/>
          <w:sz w:val="24"/>
        </w:rPr>
        <w:t>5.1 供方应保证其提供的货物是全新、未使用过的、无缺陷的、符合国家相关标准的，或是无潜在缺陷或使用符合要求的材料。</w:t>
      </w:r>
    </w:p>
    <w:p w14:paraId="1684D733">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5.2供方应保证其提供的货物及服务完全符合合同规定的质量、规格和性能的要求；并保证所提供的货物正确维护保养，在其使用寿命期内应具有满意的性能。由于设计、工艺或材料的缺陷发生的任何不足或故障及其他情况供方应负完全责任。</w:t>
      </w:r>
    </w:p>
    <w:p w14:paraId="4C8CD7C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5.3根据需方按检验标准自己检验结果或相关部门检验结果，或者在质量保证期内，如果货物的数量、质量或规格与合同不符，或证实货物是有缺陷的，需方应尽快以书面形式通知供方，提出索赔。</w:t>
      </w:r>
    </w:p>
    <w:p w14:paraId="385F129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5.4质保期为验收合格后设备需享有</w:t>
      </w:r>
      <w:r>
        <w:rPr>
          <w:rFonts w:hint="eastAsia" w:ascii="宋体" w:hAnsi="宋体"/>
          <w:color w:val="auto"/>
          <w:sz w:val="24"/>
          <w:lang w:val="en-US" w:eastAsia="zh-CN"/>
        </w:rPr>
        <w:t>3</w:t>
      </w:r>
      <w:r>
        <w:rPr>
          <w:rFonts w:hint="eastAsia" w:ascii="宋体" w:hAnsi="宋体"/>
          <w:color w:val="auto"/>
          <w:sz w:val="24"/>
        </w:rPr>
        <w:t>年免费保修服务（特殊规定除外），时间从整体工程验收合格之日起计算。质保期内因货物本身缺陷造成各种问题应由供方免费技术服务和维修。</w:t>
      </w:r>
    </w:p>
    <w:p w14:paraId="260309AE">
      <w:pPr>
        <w:adjustRightInd w:val="0"/>
        <w:snapToGrid w:val="0"/>
        <w:spacing w:line="360" w:lineRule="auto"/>
        <w:rPr>
          <w:rFonts w:ascii="宋体" w:hAnsi="宋体"/>
          <w:b/>
          <w:color w:val="auto"/>
          <w:sz w:val="24"/>
        </w:rPr>
      </w:pPr>
      <w:r>
        <w:rPr>
          <w:rFonts w:hint="eastAsia" w:ascii="宋体" w:hAnsi="宋体"/>
          <w:b/>
          <w:color w:val="auto"/>
          <w:sz w:val="24"/>
        </w:rPr>
        <w:t>6、验收</w:t>
      </w:r>
    </w:p>
    <w:p w14:paraId="4FEF0D5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采购人将按国家相关规定对货物的品牌、外观、规格、参数配置、数量、配件及安装调试后的使用性能、运行状况、技术资料及其他进行验收。</w:t>
      </w:r>
    </w:p>
    <w:p w14:paraId="05B019F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验收中发现产品达不到验收标准或合同规定的性能指标，供方必须立即调整或更换产品。并且赔偿由此给用户造成的损失。</w:t>
      </w:r>
    </w:p>
    <w:p w14:paraId="0D8EBD75">
      <w:pPr>
        <w:tabs>
          <w:tab w:val="left" w:pos="0"/>
        </w:tabs>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6</w:t>
      </w:r>
      <w:r>
        <w:rPr>
          <w:rFonts w:ascii="宋体" w:hAnsi="宋体"/>
          <w:color w:val="auto"/>
          <w:sz w:val="24"/>
        </w:rPr>
        <w:t>.3</w:t>
      </w:r>
      <w:r>
        <w:rPr>
          <w:rFonts w:hint="eastAsia" w:ascii="宋体" w:hAnsi="宋体"/>
          <w:color w:val="auto"/>
          <w:sz w:val="24"/>
        </w:rPr>
        <w:t>需方</w:t>
      </w:r>
      <w:r>
        <w:rPr>
          <w:rFonts w:ascii="宋体" w:hAnsi="宋体"/>
          <w:color w:val="auto"/>
          <w:sz w:val="24"/>
        </w:rPr>
        <w:t>(</w:t>
      </w:r>
      <w:r>
        <w:rPr>
          <w:rFonts w:hint="eastAsia" w:ascii="宋体" w:hAnsi="宋体"/>
          <w:color w:val="auto"/>
          <w:sz w:val="24"/>
        </w:rPr>
        <w:t>包括其外聘专家</w:t>
      </w:r>
      <w:r>
        <w:rPr>
          <w:rFonts w:ascii="宋体" w:hAnsi="宋体"/>
          <w:color w:val="auto"/>
          <w:sz w:val="24"/>
        </w:rPr>
        <w:t>)</w:t>
      </w:r>
      <w:r>
        <w:rPr>
          <w:rFonts w:hint="eastAsia" w:ascii="宋体" w:hAnsi="宋体"/>
          <w:color w:val="auto"/>
          <w:sz w:val="24"/>
        </w:rPr>
        <w:t>、监理单位、供方、需方的上级管理机关以及相关部门人员对产品验收合格后，共同签署验收合格证书。验收工作主要以供方提供的文件为基础。产生的相关验收费用由中标方负责。</w:t>
      </w:r>
    </w:p>
    <w:p w14:paraId="58EB8E2D">
      <w:pPr>
        <w:pStyle w:val="2"/>
        <w:rPr>
          <w:rFonts w:hint="default" w:eastAsia="宋体"/>
          <w:color w:val="auto"/>
          <w:lang w:val="en-US" w:eastAsia="zh-CN"/>
        </w:rPr>
      </w:pPr>
      <w:r>
        <w:rPr>
          <w:rFonts w:hint="eastAsia"/>
          <w:color w:val="auto"/>
          <w:sz w:val="24"/>
          <w:lang w:val="en-US" w:eastAsia="zh-CN"/>
        </w:rPr>
        <w:t>6.4验收时间：验收时间为供方完成项目设备安装调试及线路布放后，经需方确认后组织开展验收。</w:t>
      </w:r>
    </w:p>
    <w:p w14:paraId="5BFDF8E4">
      <w:pPr>
        <w:adjustRightInd w:val="0"/>
        <w:snapToGrid w:val="0"/>
        <w:spacing w:line="360" w:lineRule="auto"/>
        <w:rPr>
          <w:rFonts w:ascii="宋体" w:hAnsi="宋体"/>
          <w:b/>
          <w:color w:val="auto"/>
          <w:sz w:val="24"/>
        </w:rPr>
      </w:pPr>
      <w:r>
        <w:rPr>
          <w:rFonts w:hint="eastAsia" w:ascii="宋体" w:hAnsi="宋体"/>
          <w:b/>
          <w:color w:val="auto"/>
          <w:sz w:val="24"/>
        </w:rPr>
        <w:t>7、付款方法和条件</w:t>
      </w:r>
    </w:p>
    <w:p w14:paraId="69998013">
      <w:pPr>
        <w:tabs>
          <w:tab w:val="left" w:pos="0"/>
        </w:tabs>
        <w:adjustRightInd w:val="0"/>
        <w:snapToGrid w:val="0"/>
        <w:spacing w:line="360" w:lineRule="auto"/>
        <w:ind w:firstLine="480" w:firstLineChars="200"/>
        <w:jc w:val="left"/>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7.1</w:t>
      </w:r>
      <w:r>
        <w:rPr>
          <w:rFonts w:hint="eastAsia" w:ascii="宋体" w:cs="Times New Roman"/>
          <w:color w:val="auto"/>
          <w:sz w:val="24"/>
          <w:lang w:val="en-US" w:eastAsia="zh-CN"/>
        </w:rPr>
        <w:t>合同金额分三个年度平均分摊。</w:t>
      </w:r>
    </w:p>
    <w:p w14:paraId="20A079D0">
      <w:pPr>
        <w:tabs>
          <w:tab w:val="left" w:pos="0"/>
        </w:tabs>
        <w:adjustRightInd w:val="0"/>
        <w:snapToGrid w:val="0"/>
        <w:spacing w:line="360" w:lineRule="auto"/>
        <w:ind w:firstLine="480" w:firstLineChars="200"/>
        <w:jc w:val="left"/>
        <w:rPr>
          <w:rFonts w:hint="eastAsia" w:ascii="宋体" w:hAnsi="宋体" w:eastAsia="宋体" w:cs="Times New Roman"/>
          <w:color w:val="auto"/>
          <w:sz w:val="24"/>
        </w:rPr>
      </w:pPr>
      <w:r>
        <w:rPr>
          <w:rFonts w:hint="eastAsia" w:ascii="宋体" w:cs="Times New Roman"/>
          <w:color w:val="auto"/>
          <w:sz w:val="24"/>
          <w:lang w:val="en-US" w:eastAsia="zh-CN"/>
        </w:rPr>
        <w:t>7.2</w:t>
      </w:r>
      <w:r>
        <w:rPr>
          <w:rFonts w:hint="eastAsia" w:ascii="宋体" w:hAnsi="宋体" w:eastAsia="宋体" w:cs="Times New Roman"/>
          <w:color w:val="auto"/>
          <w:sz w:val="24"/>
        </w:rPr>
        <w:t>合同签订</w:t>
      </w:r>
      <w:r>
        <w:rPr>
          <w:rFonts w:hint="eastAsia" w:ascii="宋体" w:hAnsi="宋体" w:eastAsia="宋体" w:cs="Times New Roman"/>
          <w:color w:val="auto"/>
          <w:sz w:val="24"/>
          <w:lang w:val="en-US" w:eastAsia="zh-CN"/>
        </w:rPr>
        <w:t>并收到正式发票</w:t>
      </w:r>
      <w:r>
        <w:rPr>
          <w:rFonts w:hint="eastAsia" w:ascii="宋体" w:hAnsi="宋体" w:eastAsia="宋体" w:cs="Times New Roman"/>
          <w:color w:val="auto"/>
          <w:sz w:val="24"/>
        </w:rPr>
        <w:t>后</w:t>
      </w:r>
      <w:r>
        <w:rPr>
          <w:rFonts w:hint="eastAsia" w:ascii="宋体" w:hAnsi="宋体" w:eastAsia="宋体" w:cs="Times New Roman"/>
          <w:color w:val="auto"/>
          <w:sz w:val="24"/>
          <w:lang w:val="en-US" w:eastAsia="zh-CN"/>
        </w:rPr>
        <w:t>7个工作日内</w:t>
      </w:r>
      <w:r>
        <w:rPr>
          <w:rFonts w:hint="eastAsia" w:ascii="宋体" w:hAnsi="宋体" w:eastAsia="宋体" w:cs="Times New Roman"/>
          <w:color w:val="auto"/>
          <w:sz w:val="24"/>
        </w:rPr>
        <w:t>支付第一年度的40%</w:t>
      </w:r>
      <w:r>
        <w:rPr>
          <w:rFonts w:hint="eastAsia" w:ascii="宋体" w:hAnsi="宋体" w:eastAsia="宋体" w:cs="Times New Roman"/>
          <w:color w:val="auto"/>
          <w:sz w:val="24"/>
          <w:lang w:val="en-US" w:eastAsia="zh-CN"/>
        </w:rPr>
        <w:t>作为预付款</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自验收合格之日起</w:t>
      </w:r>
      <w:r>
        <w:rPr>
          <w:rFonts w:hint="eastAsia" w:ascii="宋体" w:hAnsi="宋体" w:eastAsia="宋体" w:cs="Times New Roman"/>
          <w:color w:val="auto"/>
          <w:sz w:val="24"/>
        </w:rPr>
        <w:t>满一</w:t>
      </w:r>
      <w:r>
        <w:rPr>
          <w:rFonts w:hint="eastAsia" w:ascii="宋体" w:hAnsi="宋体" w:eastAsia="宋体" w:cs="Times New Roman"/>
          <w:color w:val="auto"/>
          <w:sz w:val="24"/>
          <w:lang w:val="en-US" w:eastAsia="zh-CN"/>
        </w:rPr>
        <w:t>年经考核合格</w:t>
      </w:r>
      <w:r>
        <w:rPr>
          <w:rFonts w:hint="eastAsia" w:ascii="宋体" w:hAnsi="宋体" w:eastAsia="宋体" w:cs="Times New Roman"/>
          <w:color w:val="auto"/>
          <w:sz w:val="24"/>
        </w:rPr>
        <w:t>后支付第一年度的60%和第二年度的40%，满两年</w:t>
      </w:r>
      <w:r>
        <w:rPr>
          <w:rFonts w:hint="eastAsia" w:ascii="宋体" w:hAnsi="宋体" w:eastAsia="宋体" w:cs="Times New Roman"/>
          <w:color w:val="auto"/>
          <w:sz w:val="24"/>
          <w:lang w:val="en-US" w:eastAsia="zh-CN"/>
        </w:rPr>
        <w:t>经考核合格</w:t>
      </w:r>
      <w:r>
        <w:rPr>
          <w:rFonts w:hint="eastAsia" w:ascii="宋体" w:hAnsi="宋体" w:eastAsia="宋体" w:cs="Times New Roman"/>
          <w:color w:val="auto"/>
          <w:sz w:val="24"/>
        </w:rPr>
        <w:t>后支付第二年度的60%和第三年度的40%，满3年</w:t>
      </w:r>
      <w:r>
        <w:rPr>
          <w:rFonts w:hint="eastAsia" w:ascii="宋体" w:hAnsi="宋体" w:eastAsia="宋体" w:cs="Times New Roman"/>
          <w:color w:val="auto"/>
          <w:sz w:val="24"/>
          <w:lang w:val="en-US" w:eastAsia="zh-CN"/>
        </w:rPr>
        <w:t>经考核合格</w:t>
      </w:r>
      <w:r>
        <w:rPr>
          <w:rFonts w:hint="eastAsia" w:ascii="宋体" w:hAnsi="宋体" w:eastAsia="宋体" w:cs="Times New Roman"/>
          <w:color w:val="auto"/>
          <w:sz w:val="24"/>
        </w:rPr>
        <w:t>后支付第三年度的60%。</w:t>
      </w:r>
    </w:p>
    <w:p w14:paraId="2BFD73F1">
      <w:pPr>
        <w:tabs>
          <w:tab w:val="left" w:pos="0"/>
        </w:tabs>
        <w:adjustRightInd w:val="0"/>
        <w:snapToGrid w:val="0"/>
        <w:spacing w:line="360" w:lineRule="auto"/>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cs="Times New Roman"/>
          <w:color w:val="auto"/>
          <w:sz w:val="24"/>
          <w:lang w:val="en-US" w:eastAsia="zh-CN"/>
        </w:rPr>
        <w:t>3</w:t>
      </w:r>
      <w:r>
        <w:rPr>
          <w:rFonts w:hint="eastAsia" w:ascii="宋体" w:hAnsi="宋体" w:eastAsia="宋体" w:cs="Times New Roman"/>
          <w:color w:val="auto"/>
          <w:sz w:val="24"/>
        </w:rPr>
        <w:t xml:space="preserve"> 结算时中标单位必须提供正式税务发票。</w:t>
      </w:r>
    </w:p>
    <w:p w14:paraId="5E15344A">
      <w:pPr>
        <w:adjustRightInd w:val="0"/>
        <w:snapToGrid w:val="0"/>
        <w:spacing w:line="360" w:lineRule="auto"/>
        <w:rPr>
          <w:rFonts w:ascii="宋体" w:hAnsi="宋体"/>
          <w:b/>
          <w:color w:val="auto"/>
          <w:sz w:val="24"/>
        </w:rPr>
      </w:pPr>
      <w:r>
        <w:rPr>
          <w:rFonts w:hint="eastAsia" w:ascii="宋体" w:hAnsi="宋体"/>
          <w:b/>
          <w:color w:val="auto"/>
          <w:sz w:val="24"/>
        </w:rPr>
        <w:t>8、履约保证金</w:t>
      </w:r>
    </w:p>
    <w:p w14:paraId="07A667A0">
      <w:pPr>
        <w:adjustRightInd w:val="0"/>
        <w:snapToGrid w:val="0"/>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本项目不收取履约保证金。</w:t>
      </w:r>
    </w:p>
    <w:p w14:paraId="019233CB">
      <w:pPr>
        <w:adjustRightInd w:val="0"/>
        <w:snapToGrid w:val="0"/>
        <w:spacing w:line="360" w:lineRule="auto"/>
        <w:rPr>
          <w:rFonts w:ascii="宋体" w:hAnsi="宋体"/>
          <w:b/>
          <w:bCs/>
          <w:color w:val="auto"/>
          <w:sz w:val="24"/>
        </w:rPr>
      </w:pPr>
      <w:r>
        <w:rPr>
          <w:rFonts w:hint="eastAsia" w:ascii="宋体" w:hAnsi="宋体"/>
          <w:b/>
          <w:bCs/>
          <w:color w:val="auto"/>
          <w:sz w:val="24"/>
        </w:rPr>
        <w:t>9、合同转让与分包</w:t>
      </w:r>
    </w:p>
    <w:p w14:paraId="3D5AA9C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未经需方书面同意供方不得将合同产品转包给第三方。</w:t>
      </w:r>
    </w:p>
    <w:p w14:paraId="01FF633B">
      <w:pPr>
        <w:adjustRightInd w:val="0"/>
        <w:snapToGrid w:val="0"/>
        <w:spacing w:line="360" w:lineRule="auto"/>
        <w:rPr>
          <w:rFonts w:ascii="宋体" w:hAnsi="宋体"/>
          <w:b/>
          <w:color w:val="auto"/>
          <w:sz w:val="24"/>
        </w:rPr>
      </w:pPr>
      <w:r>
        <w:rPr>
          <w:rFonts w:hint="eastAsia" w:ascii="宋体" w:hAnsi="宋体"/>
          <w:b/>
          <w:color w:val="auto"/>
          <w:sz w:val="24"/>
        </w:rPr>
        <w:t>10、完工日期</w:t>
      </w:r>
    </w:p>
    <w:p w14:paraId="07408726">
      <w:pPr>
        <w:adjustRightInd w:val="0"/>
        <w:snapToGrid w:val="0"/>
        <w:spacing w:line="360" w:lineRule="auto"/>
        <w:ind w:firstLine="480" w:firstLineChars="200"/>
        <w:rPr>
          <w:rFonts w:hint="eastAsia" w:ascii="宋体" w:hAnsi="宋体" w:eastAsia="宋体" w:cs="Courier New"/>
          <w:color w:val="auto"/>
          <w:sz w:val="24"/>
        </w:rPr>
      </w:pPr>
      <w:r>
        <w:rPr>
          <w:rFonts w:hint="eastAsia" w:ascii="宋体" w:hAnsi="宋体" w:eastAsia="宋体" w:cs="Courier New"/>
          <w:color w:val="auto"/>
          <w:sz w:val="24"/>
        </w:rPr>
        <w:t>合同签订后</w:t>
      </w:r>
      <w:r>
        <w:rPr>
          <w:rFonts w:hint="eastAsia" w:ascii="宋体" w:hAnsi="宋体" w:eastAsia="宋体" w:cs="Courier New"/>
          <w:color w:val="auto"/>
          <w:sz w:val="24"/>
          <w:lang w:val="en-US" w:eastAsia="zh-CN"/>
        </w:rPr>
        <w:t>9</w:t>
      </w:r>
      <w:r>
        <w:rPr>
          <w:rFonts w:hint="eastAsia" w:ascii="宋体" w:hAnsi="宋体" w:eastAsia="宋体" w:cs="Courier New"/>
          <w:color w:val="auto"/>
          <w:sz w:val="24"/>
        </w:rPr>
        <w:t>0天内安装、调试、实施完毕交付使用。</w:t>
      </w:r>
    </w:p>
    <w:p w14:paraId="18588923">
      <w:pPr>
        <w:adjustRightInd w:val="0"/>
        <w:snapToGrid w:val="0"/>
        <w:spacing w:line="360" w:lineRule="auto"/>
        <w:rPr>
          <w:rFonts w:ascii="宋体" w:hAnsi="宋体"/>
          <w:color w:val="auto"/>
          <w:sz w:val="24"/>
        </w:rPr>
      </w:pPr>
      <w:r>
        <w:rPr>
          <w:rFonts w:hint="eastAsia" w:ascii="宋体" w:hAnsi="宋体"/>
          <w:b/>
          <w:color w:val="auto"/>
          <w:sz w:val="24"/>
        </w:rPr>
        <w:t>11、违约责任</w:t>
      </w:r>
    </w:p>
    <w:p w14:paraId="5C29D759">
      <w:pPr>
        <w:adjustRightInd w:val="0"/>
        <w:snapToGrid w:val="0"/>
        <w:spacing w:line="360" w:lineRule="auto"/>
        <w:ind w:firstLine="480" w:firstLineChars="200"/>
        <w:rPr>
          <w:rFonts w:ascii="宋体" w:hAnsi="宋体" w:cs="Courier New"/>
          <w:color w:val="auto"/>
          <w:sz w:val="24"/>
        </w:rPr>
      </w:pPr>
      <w:r>
        <w:rPr>
          <w:rFonts w:hint="eastAsia" w:ascii="宋体" w:hAnsi="宋体" w:cs="Courier New"/>
          <w:color w:val="auto"/>
          <w:sz w:val="24"/>
        </w:rPr>
        <w:t>11.1需方</w:t>
      </w:r>
      <w:r>
        <w:rPr>
          <w:rFonts w:ascii="宋体" w:hAnsi="宋体" w:cs="Courier New"/>
          <w:color w:val="auto"/>
          <w:sz w:val="24"/>
        </w:rPr>
        <w:t>(</w:t>
      </w:r>
      <w:r>
        <w:rPr>
          <w:rFonts w:hint="eastAsia" w:ascii="宋体" w:hAnsi="宋体" w:cs="Courier New"/>
          <w:color w:val="auto"/>
          <w:sz w:val="24"/>
        </w:rPr>
        <w:t>使用单位</w:t>
      </w:r>
      <w:r>
        <w:rPr>
          <w:rFonts w:ascii="宋体" w:hAnsi="宋体" w:cs="Courier New"/>
          <w:color w:val="auto"/>
          <w:sz w:val="24"/>
        </w:rPr>
        <w:t>)</w:t>
      </w:r>
      <w:r>
        <w:rPr>
          <w:rFonts w:hint="eastAsia" w:ascii="宋体" w:hAnsi="宋体" w:cs="Courier New"/>
          <w:color w:val="auto"/>
          <w:sz w:val="24"/>
        </w:rPr>
        <w:t>无正当理由拒收货物，拒付货款的，需方向供方偿付合同价款总值的百分之五违约金。</w:t>
      </w:r>
    </w:p>
    <w:p w14:paraId="4CA3F7B0">
      <w:pPr>
        <w:adjustRightInd w:val="0"/>
        <w:snapToGrid w:val="0"/>
        <w:spacing w:line="360" w:lineRule="auto"/>
        <w:ind w:firstLine="480" w:firstLineChars="200"/>
        <w:rPr>
          <w:rFonts w:ascii="宋体" w:hAnsi="宋体" w:cs="Courier New"/>
          <w:color w:val="auto"/>
          <w:sz w:val="24"/>
        </w:rPr>
      </w:pPr>
      <w:r>
        <w:rPr>
          <w:rFonts w:hint="eastAsia" w:ascii="宋体" w:hAnsi="宋体" w:cs="Courier New"/>
          <w:color w:val="auto"/>
          <w:sz w:val="24"/>
        </w:rPr>
        <w:t>11.2需方逾期支付货款的，</w:t>
      </w:r>
      <w:r>
        <w:rPr>
          <w:rFonts w:ascii="宋体" w:hAnsi="宋体" w:cs="Courier New"/>
          <w:color w:val="auto"/>
          <w:sz w:val="24"/>
        </w:rPr>
        <w:t xml:space="preserve"> </w:t>
      </w:r>
      <w:r>
        <w:rPr>
          <w:rFonts w:hint="eastAsia" w:ascii="宋体" w:hAnsi="宋体" w:cs="Courier New"/>
          <w:color w:val="auto"/>
          <w:sz w:val="24"/>
        </w:rPr>
        <w:t>需方向供方每日偿付欠款总额万分之</w:t>
      </w:r>
      <w:r>
        <w:rPr>
          <w:rFonts w:hint="eastAsia" w:ascii="宋体" w:cs="Courier New"/>
          <w:color w:val="auto"/>
          <w:sz w:val="24"/>
          <w:lang w:val="en-US" w:eastAsia="zh-CN"/>
        </w:rPr>
        <w:t>五</w:t>
      </w:r>
      <w:r>
        <w:rPr>
          <w:rFonts w:hint="eastAsia" w:ascii="宋体" w:hAnsi="宋体" w:cs="Courier New"/>
          <w:color w:val="auto"/>
          <w:sz w:val="24"/>
        </w:rPr>
        <w:t>的滞纳金。</w:t>
      </w:r>
    </w:p>
    <w:p w14:paraId="43000A66">
      <w:pPr>
        <w:adjustRightInd w:val="0"/>
        <w:snapToGrid w:val="0"/>
        <w:spacing w:line="360" w:lineRule="auto"/>
        <w:ind w:firstLine="480" w:firstLineChars="200"/>
        <w:rPr>
          <w:rFonts w:hint="eastAsia" w:ascii="宋体" w:hAnsi="宋体" w:cs="Courier New"/>
          <w:color w:val="auto"/>
          <w:sz w:val="24"/>
        </w:rPr>
      </w:pPr>
      <w:r>
        <w:rPr>
          <w:rFonts w:hint="eastAsia" w:ascii="宋体" w:hAnsi="宋体" w:cs="Courier New"/>
          <w:color w:val="auto"/>
          <w:sz w:val="24"/>
        </w:rPr>
        <w:t>11.3</w:t>
      </w:r>
      <w:r>
        <w:rPr>
          <w:rFonts w:hint="eastAsia" w:ascii="宋体" w:cs="Courier New"/>
          <w:color w:val="auto"/>
          <w:sz w:val="24"/>
          <w:lang w:val="en-US" w:eastAsia="zh-CN"/>
        </w:rPr>
        <w:t>供方</w:t>
      </w:r>
      <w:r>
        <w:rPr>
          <w:rFonts w:hint="eastAsia" w:ascii="宋体" w:hAnsi="宋体" w:cs="Courier New"/>
          <w:color w:val="auto"/>
          <w:sz w:val="24"/>
        </w:rPr>
        <w:t>未能如期提供服务的，每日向需方支付合同款项的千分之六作为违约金。</w:t>
      </w:r>
      <w:r>
        <w:rPr>
          <w:rFonts w:hint="eastAsia" w:ascii="宋体" w:cs="Courier New"/>
          <w:color w:val="auto"/>
          <w:sz w:val="24"/>
          <w:lang w:val="en-US" w:eastAsia="zh-CN"/>
        </w:rPr>
        <w:t>供方</w:t>
      </w:r>
      <w:r>
        <w:rPr>
          <w:rFonts w:hint="eastAsia" w:ascii="宋体" w:hAnsi="宋体" w:cs="Courier New"/>
          <w:color w:val="auto"/>
          <w:sz w:val="24"/>
        </w:rPr>
        <w:t>超过约定日期</w:t>
      </w:r>
      <w:r>
        <w:rPr>
          <w:rFonts w:hint="eastAsia" w:ascii="宋体" w:cs="Courier New"/>
          <w:color w:val="auto"/>
          <w:sz w:val="24"/>
          <w:lang w:val="en-US" w:eastAsia="zh-CN"/>
        </w:rPr>
        <w:t>20</w:t>
      </w:r>
      <w:r>
        <w:rPr>
          <w:rFonts w:hint="eastAsia" w:ascii="宋体" w:hAnsi="宋体" w:cs="Courier New"/>
          <w:color w:val="auto"/>
          <w:sz w:val="24"/>
        </w:rPr>
        <w:t>个工作日仍不能提供服务的，甲方可解除本合同。</w:t>
      </w:r>
      <w:r>
        <w:rPr>
          <w:rFonts w:hint="eastAsia" w:ascii="宋体" w:cs="Courier New"/>
          <w:color w:val="auto"/>
          <w:sz w:val="24"/>
          <w:lang w:val="en-US" w:eastAsia="zh-CN"/>
        </w:rPr>
        <w:t>供方</w:t>
      </w:r>
      <w:r>
        <w:rPr>
          <w:rFonts w:hint="eastAsia" w:ascii="宋体" w:hAnsi="宋体" w:cs="Courier New"/>
          <w:color w:val="auto"/>
          <w:sz w:val="24"/>
        </w:rPr>
        <w:t>因未能如期提供服务或因其他违约行为导致甲方解除合同的，</w:t>
      </w:r>
      <w:r>
        <w:rPr>
          <w:rFonts w:hint="eastAsia" w:ascii="宋体" w:cs="Courier New"/>
          <w:color w:val="auto"/>
          <w:sz w:val="24"/>
          <w:lang w:val="en-US" w:eastAsia="zh-CN"/>
        </w:rPr>
        <w:t>供方</w:t>
      </w:r>
      <w:r>
        <w:rPr>
          <w:rFonts w:hint="eastAsia" w:ascii="宋体" w:hAnsi="宋体" w:cs="Courier New"/>
          <w:color w:val="auto"/>
          <w:sz w:val="24"/>
        </w:rPr>
        <w:t>应向需方支付合同总值5%的违约金，如造成需方损失超过违约金的，超出部分由</w:t>
      </w:r>
      <w:r>
        <w:rPr>
          <w:rFonts w:hint="eastAsia" w:ascii="宋体" w:cs="Courier New"/>
          <w:color w:val="auto"/>
          <w:sz w:val="24"/>
          <w:lang w:val="en-US" w:eastAsia="zh-CN"/>
        </w:rPr>
        <w:t>供方</w:t>
      </w:r>
      <w:r>
        <w:rPr>
          <w:rFonts w:hint="eastAsia" w:ascii="宋体" w:hAnsi="宋体" w:cs="Courier New"/>
          <w:color w:val="auto"/>
          <w:sz w:val="24"/>
        </w:rPr>
        <w:t>继续承担赔偿责任。</w:t>
      </w:r>
    </w:p>
    <w:p w14:paraId="58D8BE5A">
      <w:pPr>
        <w:pStyle w:val="2"/>
        <w:rPr>
          <w:rFonts w:hint="default" w:eastAsia="宋体"/>
          <w:color w:val="auto"/>
          <w:lang w:val="en-US" w:eastAsia="zh-CN"/>
        </w:rPr>
      </w:pPr>
      <w:r>
        <w:rPr>
          <w:rFonts w:hint="eastAsia" w:cs="Courier New"/>
          <w:color w:val="auto"/>
          <w:sz w:val="24"/>
          <w:lang w:val="en-US" w:eastAsia="zh-CN"/>
        </w:rPr>
        <w:t>11.4</w:t>
      </w:r>
      <w:r>
        <w:rPr>
          <w:rFonts w:hint="eastAsia" w:ascii="宋体" w:cs="Courier New"/>
          <w:color w:val="auto"/>
          <w:sz w:val="24"/>
          <w:lang w:val="en-US" w:eastAsia="zh-CN"/>
        </w:rPr>
        <w:t>供方</w:t>
      </w:r>
      <w:r>
        <w:rPr>
          <w:rFonts w:hint="eastAsia" w:cs="Courier New"/>
          <w:color w:val="auto"/>
          <w:sz w:val="24"/>
          <w:lang w:val="en-US" w:eastAsia="zh-CN"/>
        </w:rPr>
        <w:t>拒不提供服务或提供服务明显不符合合同质量的，</w:t>
      </w:r>
      <w:r>
        <w:rPr>
          <w:rFonts w:hint="eastAsia" w:ascii="宋体" w:hAnsi="宋体" w:cs="Courier New"/>
          <w:color w:val="auto"/>
          <w:sz w:val="24"/>
        </w:rPr>
        <w:t>需方</w:t>
      </w:r>
      <w:r>
        <w:rPr>
          <w:rFonts w:hint="eastAsia" w:cs="Courier New"/>
          <w:color w:val="auto"/>
          <w:sz w:val="24"/>
          <w:lang w:val="en-US" w:eastAsia="zh-CN"/>
        </w:rPr>
        <w:t>有权解除合同并要求</w:t>
      </w:r>
      <w:r>
        <w:rPr>
          <w:rFonts w:hint="eastAsia" w:ascii="宋体" w:cs="Courier New"/>
          <w:color w:val="auto"/>
          <w:sz w:val="24"/>
          <w:lang w:val="en-US" w:eastAsia="zh-CN"/>
        </w:rPr>
        <w:t>供方</w:t>
      </w:r>
      <w:r>
        <w:rPr>
          <w:rFonts w:hint="eastAsia" w:cs="Courier New"/>
          <w:color w:val="auto"/>
          <w:sz w:val="24"/>
          <w:lang w:val="en-US" w:eastAsia="zh-CN"/>
        </w:rPr>
        <w:t>返还已付款项，并赔偿合理损失。</w:t>
      </w:r>
    </w:p>
    <w:p w14:paraId="1908FCE2">
      <w:pPr>
        <w:adjustRightInd w:val="0"/>
        <w:snapToGrid w:val="0"/>
        <w:spacing w:line="360" w:lineRule="auto"/>
        <w:rPr>
          <w:rFonts w:ascii="宋体" w:hAnsi="宋体"/>
          <w:b/>
          <w:color w:val="auto"/>
          <w:sz w:val="24"/>
        </w:rPr>
      </w:pPr>
      <w:r>
        <w:rPr>
          <w:rFonts w:hint="eastAsia" w:ascii="宋体" w:hAnsi="宋体"/>
          <w:b/>
          <w:color w:val="auto"/>
          <w:sz w:val="24"/>
        </w:rPr>
        <w:t>12、保密</w:t>
      </w:r>
    </w:p>
    <w:p w14:paraId="6AD69E89">
      <w:pPr>
        <w:adjustRightInd w:val="0"/>
        <w:snapToGrid w:val="0"/>
        <w:spacing w:line="360" w:lineRule="auto"/>
        <w:ind w:firstLine="480" w:firstLineChars="200"/>
        <w:rPr>
          <w:rFonts w:ascii="宋体" w:hAnsi="宋体"/>
          <w:sz w:val="24"/>
        </w:rPr>
      </w:pPr>
      <w:r>
        <w:rPr>
          <w:rFonts w:hint="eastAsia" w:ascii="宋体" w:hAnsi="宋体"/>
          <w:sz w:val="24"/>
        </w:rPr>
        <w:t>招标及合同中凡涉及需方项目的有关信息，不得透露给第三方。</w:t>
      </w:r>
    </w:p>
    <w:p w14:paraId="0376843F">
      <w:pPr>
        <w:adjustRightInd w:val="0"/>
        <w:snapToGrid w:val="0"/>
        <w:spacing w:line="360" w:lineRule="auto"/>
        <w:ind w:firstLine="480" w:firstLineChars="200"/>
        <w:rPr>
          <w:rFonts w:ascii="宋体" w:hAnsi="宋体"/>
          <w:sz w:val="24"/>
        </w:rPr>
      </w:pPr>
    </w:p>
    <w:p w14:paraId="4901065D">
      <w:pPr>
        <w:rPr>
          <w:highlight w:val="none"/>
        </w:rPr>
      </w:pPr>
    </w:p>
    <w:p w14:paraId="7037B0E1">
      <w:pPr>
        <w:pStyle w:val="2"/>
        <w:spacing w:line="360" w:lineRule="auto"/>
        <w:ind w:firstLine="0"/>
        <w:rPr>
          <w:rFonts w:cs="宋体"/>
          <w:highlight w:val="none"/>
        </w:rPr>
      </w:pPr>
      <w:r>
        <w:rPr>
          <w:rFonts w:hint="eastAsia" w:cs="宋体"/>
          <w:highlight w:val="none"/>
        </w:rPr>
        <w:br w:type="page"/>
      </w:r>
    </w:p>
    <w:p w14:paraId="0361E83A">
      <w:pPr>
        <w:pStyle w:val="2"/>
        <w:spacing w:line="360" w:lineRule="auto"/>
        <w:ind w:firstLine="0"/>
        <w:rPr>
          <w:rFonts w:cs="宋体"/>
          <w:highlight w:val="none"/>
        </w:rPr>
      </w:pPr>
    </w:p>
    <w:p w14:paraId="06E8F9BF">
      <w:pPr>
        <w:pStyle w:val="19"/>
        <w:rPr>
          <w:rFonts w:ascii="宋体" w:hAnsi="宋体" w:cs="宋体"/>
          <w:highlight w:val="none"/>
        </w:rPr>
      </w:pPr>
    </w:p>
    <w:p w14:paraId="3E353D20">
      <w:pPr>
        <w:pStyle w:val="19"/>
        <w:rPr>
          <w:rFonts w:ascii="宋体" w:hAnsi="宋体" w:cs="宋体"/>
          <w:highlight w:val="none"/>
        </w:rPr>
      </w:pPr>
    </w:p>
    <w:p w14:paraId="3A592FE3">
      <w:pPr>
        <w:pStyle w:val="19"/>
        <w:rPr>
          <w:rFonts w:ascii="宋体" w:hAnsi="宋体" w:cs="宋体"/>
          <w:highlight w:val="none"/>
        </w:rPr>
      </w:pPr>
    </w:p>
    <w:p w14:paraId="3A0A5C63">
      <w:pPr>
        <w:pStyle w:val="19"/>
        <w:rPr>
          <w:rFonts w:ascii="宋体" w:hAnsi="宋体" w:cs="宋体"/>
          <w:highlight w:val="none"/>
        </w:rPr>
      </w:pPr>
    </w:p>
    <w:p w14:paraId="1AFE1D66">
      <w:pPr>
        <w:pStyle w:val="19"/>
        <w:rPr>
          <w:rFonts w:ascii="宋体" w:hAnsi="宋体" w:cs="宋体"/>
          <w:highlight w:val="none"/>
        </w:rPr>
      </w:pPr>
    </w:p>
    <w:p w14:paraId="7CFB39BB">
      <w:pPr>
        <w:pStyle w:val="19"/>
        <w:rPr>
          <w:rFonts w:ascii="宋体" w:hAnsi="宋体" w:cs="宋体"/>
          <w:highlight w:val="none"/>
        </w:rPr>
      </w:pPr>
    </w:p>
    <w:p w14:paraId="04D681A2">
      <w:pPr>
        <w:pStyle w:val="19"/>
        <w:rPr>
          <w:rFonts w:ascii="宋体" w:hAnsi="宋体" w:cs="宋体"/>
          <w:highlight w:val="none"/>
        </w:rPr>
      </w:pPr>
    </w:p>
    <w:p w14:paraId="45E7C9BE">
      <w:pPr>
        <w:pStyle w:val="19"/>
        <w:rPr>
          <w:rFonts w:ascii="宋体" w:hAnsi="宋体" w:cs="宋体"/>
          <w:highlight w:val="none"/>
        </w:rPr>
      </w:pPr>
    </w:p>
    <w:p w14:paraId="7A51D725">
      <w:pPr>
        <w:widowControl w:val="0"/>
        <w:spacing w:after="120"/>
        <w:rPr>
          <w:rFonts w:ascii="宋体" w:cs="宋体"/>
          <w:highlight w:val="none"/>
        </w:rPr>
      </w:pPr>
    </w:p>
    <w:p w14:paraId="6303CE6B">
      <w:pPr>
        <w:widowControl w:val="0"/>
        <w:spacing w:after="120"/>
        <w:jc w:val="center"/>
        <w:rPr>
          <w:rFonts w:ascii="宋体" w:cs="宋体"/>
          <w:highlight w:val="none"/>
        </w:rPr>
      </w:pPr>
    </w:p>
    <w:p w14:paraId="0E31FE32">
      <w:pPr>
        <w:widowControl w:val="0"/>
        <w:tabs>
          <w:tab w:val="left" w:pos="0"/>
        </w:tabs>
        <w:snapToGrid w:val="0"/>
        <w:spacing w:line="360" w:lineRule="auto"/>
        <w:jc w:val="center"/>
        <w:rPr>
          <w:rFonts w:ascii="宋体" w:cs="宋体"/>
          <w:b/>
          <w:bCs/>
          <w:color w:val="000000"/>
          <w:sz w:val="48"/>
          <w:szCs w:val="48"/>
          <w:highlight w:val="none"/>
        </w:rPr>
      </w:pPr>
      <w:r>
        <w:rPr>
          <w:rFonts w:hint="eastAsia" w:ascii="宋体" w:cs="宋体"/>
          <w:b/>
          <w:bCs/>
          <w:color w:val="000000"/>
          <w:sz w:val="48"/>
          <w:szCs w:val="48"/>
          <w:highlight w:val="none"/>
        </w:rPr>
        <w:t>第五章</w:t>
      </w:r>
    </w:p>
    <w:p w14:paraId="426A71A9">
      <w:pPr>
        <w:widowControl w:val="0"/>
        <w:tabs>
          <w:tab w:val="left" w:pos="0"/>
        </w:tabs>
        <w:snapToGrid w:val="0"/>
        <w:spacing w:line="360" w:lineRule="auto"/>
        <w:jc w:val="center"/>
        <w:rPr>
          <w:rFonts w:ascii="宋体" w:cs="宋体"/>
          <w:b/>
          <w:bCs/>
          <w:color w:val="000000"/>
          <w:sz w:val="32"/>
          <w:szCs w:val="32"/>
          <w:highlight w:val="none"/>
        </w:rPr>
      </w:pPr>
      <w:r>
        <w:rPr>
          <w:rFonts w:hint="eastAsia" w:ascii="宋体" w:cs="宋体"/>
          <w:b/>
          <w:bCs/>
          <w:color w:val="000000"/>
          <w:sz w:val="48"/>
          <w:szCs w:val="48"/>
          <w:highlight w:val="none"/>
        </w:rPr>
        <w:t>附件—投标文件格式</w:t>
      </w:r>
    </w:p>
    <w:p w14:paraId="560D2EF7">
      <w:pPr>
        <w:widowControl w:val="0"/>
        <w:tabs>
          <w:tab w:val="left" w:pos="0"/>
        </w:tabs>
        <w:snapToGrid w:val="0"/>
        <w:spacing w:line="360" w:lineRule="auto"/>
        <w:rPr>
          <w:rFonts w:ascii="宋体" w:cs="宋体"/>
          <w:b/>
          <w:bCs/>
          <w:color w:val="000000"/>
          <w:sz w:val="32"/>
          <w:szCs w:val="32"/>
          <w:highlight w:val="none"/>
        </w:rPr>
      </w:pPr>
    </w:p>
    <w:p w14:paraId="3E6C7433">
      <w:pPr>
        <w:widowControl w:val="0"/>
        <w:spacing w:line="480" w:lineRule="auto"/>
        <w:rPr>
          <w:rFonts w:ascii="宋体" w:cs="宋体"/>
          <w:b/>
          <w:sz w:val="30"/>
          <w:szCs w:val="30"/>
          <w:highlight w:val="none"/>
        </w:rPr>
      </w:pPr>
      <w:r>
        <w:rPr>
          <w:rFonts w:hint="eastAsia" w:ascii="宋体" w:cs="宋体"/>
          <w:b/>
          <w:bCs/>
          <w:color w:val="000000"/>
          <w:sz w:val="32"/>
          <w:szCs w:val="32"/>
          <w:highlight w:val="none"/>
        </w:rPr>
        <w:br w:type="page"/>
      </w:r>
      <w:r>
        <w:rPr>
          <w:rFonts w:hint="eastAsia" w:ascii="宋体" w:cs="宋体"/>
          <w:sz w:val="30"/>
          <w:szCs w:val="30"/>
          <w:highlight w:val="none"/>
        </w:rPr>
        <w:t>附件1</w:t>
      </w:r>
      <w:r>
        <w:rPr>
          <w:rFonts w:hint="eastAsia" w:ascii="宋体" w:cs="宋体"/>
          <w:b/>
          <w:sz w:val="30"/>
          <w:szCs w:val="30"/>
          <w:highlight w:val="none"/>
        </w:rPr>
        <w:t xml:space="preserve">：                                          </w:t>
      </w:r>
    </w:p>
    <w:p w14:paraId="3FC13A40">
      <w:pPr>
        <w:snapToGrid w:val="0"/>
        <w:spacing w:beforeLines="50" w:after="50"/>
        <w:ind w:right="150"/>
        <w:jc w:val="right"/>
        <w:rPr>
          <w:rFonts w:ascii="宋体" w:cs="宋体"/>
          <w:bCs/>
          <w:sz w:val="30"/>
          <w:szCs w:val="30"/>
          <w:highlight w:val="none"/>
        </w:rPr>
      </w:pPr>
    </w:p>
    <w:p w14:paraId="4B4A1C22">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07DD36A4">
      <w:pPr>
        <w:spacing w:beforeLines="100" w:line="240" w:lineRule="atLeast"/>
        <w:jc w:val="center"/>
        <w:rPr>
          <w:rFonts w:ascii="宋体" w:cs="宋体"/>
          <w:sz w:val="36"/>
          <w:szCs w:val="36"/>
          <w:highlight w:val="none"/>
        </w:rPr>
      </w:pPr>
      <w:r>
        <w:rPr>
          <w:rFonts w:hint="eastAsia" w:ascii="宋体" w:cs="宋体"/>
          <w:sz w:val="36"/>
          <w:szCs w:val="36"/>
          <w:highlight w:val="none"/>
        </w:rPr>
        <w:t>项目编号：</w:t>
      </w:r>
    </w:p>
    <w:p w14:paraId="4EC2DCC5">
      <w:pPr>
        <w:spacing w:after="100" w:afterAutospacing="1" w:line="800" w:lineRule="exact"/>
        <w:ind w:right="-108"/>
        <w:jc w:val="center"/>
        <w:rPr>
          <w:rFonts w:ascii="宋体" w:cs="宋体"/>
          <w:b/>
          <w:spacing w:val="40"/>
          <w:sz w:val="84"/>
          <w:szCs w:val="84"/>
          <w:highlight w:val="none"/>
        </w:rPr>
      </w:pPr>
    </w:p>
    <w:p w14:paraId="260C7555">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资</w:t>
      </w:r>
    </w:p>
    <w:p w14:paraId="067E4349">
      <w:pPr>
        <w:spacing w:after="100" w:afterAutospacing="1" w:line="800" w:lineRule="exact"/>
        <w:ind w:right="-108"/>
        <w:jc w:val="center"/>
        <w:rPr>
          <w:rFonts w:ascii="宋体" w:cs="宋体"/>
          <w:b/>
          <w:spacing w:val="40"/>
          <w:sz w:val="84"/>
          <w:szCs w:val="84"/>
          <w:highlight w:val="none"/>
        </w:rPr>
      </w:pPr>
    </w:p>
    <w:p w14:paraId="56778C6E">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格</w:t>
      </w:r>
    </w:p>
    <w:p w14:paraId="378FC5E4">
      <w:pPr>
        <w:spacing w:after="100" w:afterAutospacing="1" w:line="800" w:lineRule="exact"/>
        <w:ind w:right="-108"/>
        <w:jc w:val="center"/>
        <w:rPr>
          <w:rFonts w:ascii="宋体" w:cs="宋体"/>
          <w:b/>
          <w:spacing w:val="40"/>
          <w:sz w:val="84"/>
          <w:szCs w:val="84"/>
          <w:highlight w:val="none"/>
        </w:rPr>
      </w:pPr>
    </w:p>
    <w:p w14:paraId="71574BB9">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636BB15C">
      <w:pPr>
        <w:spacing w:after="100" w:afterAutospacing="1" w:line="800" w:lineRule="exact"/>
        <w:ind w:right="-108"/>
        <w:jc w:val="center"/>
        <w:rPr>
          <w:rFonts w:ascii="宋体" w:cs="宋体"/>
          <w:b/>
          <w:spacing w:val="40"/>
          <w:sz w:val="84"/>
          <w:szCs w:val="84"/>
          <w:highlight w:val="none"/>
        </w:rPr>
      </w:pPr>
    </w:p>
    <w:p w14:paraId="3E5AE04B">
      <w:pPr>
        <w:spacing w:after="100" w:afterAutospacing="1" w:line="800" w:lineRule="exact"/>
        <w:ind w:right="-108"/>
        <w:jc w:val="center"/>
        <w:rPr>
          <w:rFonts w:ascii="宋体" w:cs="宋体"/>
          <w:sz w:val="36"/>
          <w:szCs w:val="36"/>
          <w:highlight w:val="none"/>
        </w:rPr>
      </w:pPr>
      <w:r>
        <w:rPr>
          <w:rFonts w:hint="eastAsia" w:ascii="宋体" w:cs="宋体"/>
          <w:b/>
          <w:spacing w:val="40"/>
          <w:sz w:val="84"/>
          <w:szCs w:val="84"/>
          <w:highlight w:val="none"/>
        </w:rPr>
        <w:t>件</w:t>
      </w:r>
    </w:p>
    <w:p w14:paraId="6F773A35">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771F2F96">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地    址：</w:t>
      </w:r>
    </w:p>
    <w:p w14:paraId="742F2492">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时    间：</w:t>
      </w:r>
    </w:p>
    <w:p w14:paraId="4B6829B5">
      <w:pPr>
        <w:snapToGrid w:val="0"/>
        <w:spacing w:before="50" w:after="50"/>
        <w:rPr>
          <w:rFonts w:ascii="宋体" w:cs="宋体"/>
          <w:b/>
          <w:sz w:val="36"/>
          <w:szCs w:val="36"/>
          <w:highlight w:val="none"/>
        </w:rPr>
      </w:pPr>
      <w:r>
        <w:rPr>
          <w:rFonts w:hint="eastAsia" w:ascii="宋体" w:cs="宋体"/>
          <w:b/>
          <w:sz w:val="36"/>
          <w:szCs w:val="36"/>
          <w:highlight w:val="none"/>
        </w:rPr>
        <w:br w:type="page"/>
      </w:r>
    </w:p>
    <w:p w14:paraId="7EA3B179">
      <w:pPr>
        <w:snapToGrid w:val="0"/>
        <w:spacing w:before="50" w:after="50"/>
        <w:rPr>
          <w:rFonts w:ascii="宋体" w:cs="宋体"/>
          <w:b/>
          <w:bCs/>
          <w:sz w:val="36"/>
          <w:szCs w:val="36"/>
          <w:highlight w:val="none"/>
        </w:rPr>
      </w:pPr>
      <w:r>
        <w:rPr>
          <w:rFonts w:hint="eastAsia" w:ascii="宋体" w:cs="宋体"/>
          <w:b/>
          <w:bCs/>
          <w:sz w:val="36"/>
          <w:szCs w:val="36"/>
          <w:highlight w:val="none"/>
        </w:rPr>
        <w:t>资格文件目录</w:t>
      </w:r>
    </w:p>
    <w:p w14:paraId="50AE5586">
      <w:pPr>
        <w:snapToGrid w:val="0"/>
        <w:spacing w:before="50" w:after="50"/>
        <w:rPr>
          <w:rFonts w:ascii="宋体" w:cs="宋体"/>
          <w:sz w:val="30"/>
          <w:szCs w:val="30"/>
          <w:highlight w:val="none"/>
        </w:rPr>
      </w:pPr>
    </w:p>
    <w:p w14:paraId="7AA38AE6">
      <w:pPr>
        <w:snapToGrid w:val="0"/>
        <w:spacing w:line="460" w:lineRule="exact"/>
        <w:ind w:firstLine="600" w:firstLineChars="200"/>
        <w:jc w:val="left"/>
        <w:rPr>
          <w:rFonts w:ascii="宋体" w:cs="宋体"/>
          <w:highlight w:val="none"/>
        </w:rPr>
      </w:pPr>
      <w:r>
        <w:rPr>
          <w:rFonts w:hint="eastAsia" w:ascii="宋体" w:cs="宋体"/>
          <w:sz w:val="30"/>
          <w:szCs w:val="30"/>
          <w:highlight w:val="none"/>
        </w:rPr>
        <w:t>（1）投标声明书 (格式见附件)；</w:t>
      </w:r>
    </w:p>
    <w:p w14:paraId="455AF4F8">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（2）《投标承诺函》(格式见附件)；</w:t>
      </w:r>
    </w:p>
    <w:p w14:paraId="433189DC">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（3）法定代表人授权委托书(格式见附件)；</w:t>
      </w:r>
    </w:p>
    <w:p w14:paraId="4D0C0816">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（4）提供有效的营业执照复印件并加盖公司公章；事业单位的，则提供有效的《事业单位法人证书》副本复印件并加盖单位公章；自然人的，则提供有效的身份证复印件并签字；</w:t>
      </w:r>
    </w:p>
    <w:p w14:paraId="6B5142E2">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（5）联合投标协议书（若需要）；</w:t>
      </w:r>
    </w:p>
    <w:p w14:paraId="6F72318D">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（6）联合投标授权委托书（若需要）；</w:t>
      </w:r>
    </w:p>
    <w:p w14:paraId="5CD4C320">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（7）提供采购公告中符合投标人特定条件要求的有效的其他资质复印件并加盖公司公章及需要说明的资料。</w:t>
      </w:r>
    </w:p>
    <w:p w14:paraId="77A5EE85">
      <w:pPr>
        <w:snapToGrid w:val="0"/>
        <w:spacing w:line="460" w:lineRule="exact"/>
        <w:ind w:firstLine="588" w:firstLineChars="196"/>
        <w:jc w:val="left"/>
        <w:rPr>
          <w:rFonts w:ascii="宋体" w:cs="宋体"/>
          <w:sz w:val="30"/>
          <w:szCs w:val="30"/>
          <w:highlight w:val="none"/>
        </w:rPr>
      </w:pPr>
    </w:p>
    <w:p w14:paraId="616C8F30">
      <w:pPr>
        <w:snapToGrid w:val="0"/>
        <w:spacing w:line="460" w:lineRule="exact"/>
        <w:ind w:firstLine="588" w:firstLineChars="196"/>
        <w:jc w:val="left"/>
        <w:rPr>
          <w:rFonts w:ascii="宋体" w:cs="宋体"/>
          <w:sz w:val="30"/>
          <w:szCs w:val="30"/>
          <w:highlight w:val="none"/>
        </w:rPr>
      </w:pPr>
    </w:p>
    <w:p w14:paraId="16789A04">
      <w:pPr>
        <w:snapToGrid w:val="0"/>
        <w:spacing w:before="50" w:afterLines="50" w:line="460" w:lineRule="exact"/>
        <w:jc w:val="left"/>
        <w:rPr>
          <w:rFonts w:ascii="宋体" w:cs="宋体"/>
          <w:sz w:val="30"/>
          <w:szCs w:val="30"/>
          <w:highlight w:val="none"/>
        </w:rPr>
      </w:pPr>
    </w:p>
    <w:p w14:paraId="61CFC701">
      <w:pPr>
        <w:pStyle w:val="21"/>
        <w:snapToGrid w:val="0"/>
        <w:spacing w:before="120" w:after="120"/>
        <w:rPr>
          <w:rFonts w:hAnsi="宋体" w:cs="宋体"/>
          <w:sz w:val="30"/>
          <w:szCs w:val="30"/>
          <w:highlight w:val="none"/>
        </w:rPr>
      </w:pPr>
    </w:p>
    <w:p w14:paraId="5420DFB9">
      <w:pPr>
        <w:pStyle w:val="21"/>
        <w:snapToGrid w:val="0"/>
        <w:spacing w:before="120" w:after="120"/>
        <w:rPr>
          <w:rFonts w:hAnsi="宋体" w:cs="宋体"/>
          <w:sz w:val="30"/>
          <w:szCs w:val="30"/>
          <w:highlight w:val="none"/>
        </w:rPr>
      </w:pPr>
    </w:p>
    <w:p w14:paraId="03D0661D">
      <w:pPr>
        <w:pStyle w:val="21"/>
        <w:snapToGrid w:val="0"/>
        <w:spacing w:before="120" w:after="120"/>
        <w:rPr>
          <w:rFonts w:hAnsi="宋体" w:cs="宋体"/>
          <w:sz w:val="30"/>
          <w:szCs w:val="30"/>
          <w:highlight w:val="none"/>
        </w:rPr>
      </w:pPr>
    </w:p>
    <w:p w14:paraId="40004D82">
      <w:pPr>
        <w:pStyle w:val="21"/>
        <w:snapToGrid w:val="0"/>
        <w:spacing w:before="120" w:after="120"/>
        <w:rPr>
          <w:rFonts w:hAnsi="宋体" w:cs="宋体"/>
          <w:sz w:val="30"/>
          <w:szCs w:val="30"/>
          <w:highlight w:val="none"/>
        </w:rPr>
      </w:pPr>
    </w:p>
    <w:p w14:paraId="6CEC3F96">
      <w:pPr>
        <w:pStyle w:val="21"/>
        <w:snapToGrid w:val="0"/>
        <w:spacing w:before="120" w:after="120"/>
        <w:rPr>
          <w:rFonts w:hAnsi="宋体" w:cs="宋体"/>
          <w:sz w:val="30"/>
          <w:szCs w:val="30"/>
          <w:highlight w:val="none"/>
        </w:rPr>
      </w:pPr>
    </w:p>
    <w:p w14:paraId="20E3FCCE">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附件2：</w:t>
      </w:r>
    </w:p>
    <w:p w14:paraId="7BDA4C85">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投 标 声 明 书</w:t>
      </w:r>
    </w:p>
    <w:p w14:paraId="5DF43C38">
      <w:pPr>
        <w:snapToGrid w:val="0"/>
        <w:spacing w:beforeLines="50" w:after="50" w:line="460" w:lineRule="exact"/>
        <w:rPr>
          <w:rFonts w:ascii="宋体" w:cs="宋体"/>
          <w:color w:val="auto"/>
          <w:sz w:val="30"/>
          <w:szCs w:val="30"/>
          <w:highlight w:val="none"/>
        </w:rPr>
      </w:pPr>
      <w:r>
        <w:rPr>
          <w:rFonts w:hint="eastAsia" w:ascii="宋体" w:cs="宋体"/>
          <w:color w:val="auto"/>
          <w:sz w:val="30"/>
          <w:szCs w:val="30"/>
          <w:highlight w:val="none"/>
        </w:rPr>
        <w:t>致金华市政府采购中心永康市分中心：</w:t>
      </w:r>
    </w:p>
    <w:p w14:paraId="3301099F">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u w:val="single"/>
        </w:rPr>
        <w:t>（投标人名称）</w:t>
      </w:r>
      <w:r>
        <w:rPr>
          <w:rFonts w:hint="eastAsia" w:ascii="宋体" w:cs="宋体"/>
          <w:color w:val="auto"/>
          <w:sz w:val="30"/>
          <w:szCs w:val="30"/>
          <w:highlight w:val="none"/>
        </w:rPr>
        <w:t>系中华人民共和国合法企业，经营地址。</w:t>
      </w:r>
    </w:p>
    <w:p w14:paraId="20F5434E">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我</w:t>
      </w:r>
      <w:r>
        <w:rPr>
          <w:rFonts w:hint="eastAsia" w:ascii="宋体" w:cs="宋体"/>
          <w:color w:val="auto"/>
          <w:sz w:val="30"/>
          <w:szCs w:val="30"/>
          <w:highlight w:val="none"/>
          <w:u w:val="single"/>
        </w:rPr>
        <w:t>（姓名）</w:t>
      </w:r>
      <w:r>
        <w:rPr>
          <w:rFonts w:hint="eastAsia" w:ascii="宋体" w:cs="宋体"/>
          <w:color w:val="auto"/>
          <w:sz w:val="30"/>
          <w:szCs w:val="30"/>
          <w:highlight w:val="none"/>
        </w:rPr>
        <w:t>系</w:t>
      </w:r>
      <w:r>
        <w:rPr>
          <w:rFonts w:hint="eastAsia" w:ascii="宋体" w:cs="宋体"/>
          <w:color w:val="auto"/>
          <w:sz w:val="30"/>
          <w:szCs w:val="30"/>
          <w:highlight w:val="none"/>
          <w:u w:val="single"/>
        </w:rPr>
        <w:t>（投标人名称）</w:t>
      </w:r>
      <w:r>
        <w:rPr>
          <w:rFonts w:hint="eastAsia" w:ascii="宋体" w:cs="宋体"/>
          <w:color w:val="auto"/>
          <w:sz w:val="30"/>
          <w:szCs w:val="30"/>
          <w:highlight w:val="none"/>
        </w:rPr>
        <w:t>的法定代表人，我方愿意参加贵方组织的</w:t>
      </w:r>
      <w:r>
        <w:rPr>
          <w:rFonts w:hint="eastAsia" w:ascii="宋体" w:cs="宋体"/>
          <w:color w:val="auto"/>
          <w:sz w:val="30"/>
          <w:szCs w:val="30"/>
          <w:highlight w:val="none"/>
          <w:u w:val="single"/>
        </w:rPr>
        <w:t>（招标项目名称）（编号为            ）</w:t>
      </w:r>
      <w:r>
        <w:rPr>
          <w:rFonts w:hint="eastAsia" w:ascii="宋体" w:cs="宋体"/>
          <w:color w:val="auto"/>
          <w:sz w:val="30"/>
          <w:szCs w:val="30"/>
          <w:highlight w:val="none"/>
        </w:rPr>
        <w:t>的投标，为此，我方就本次投标有关事项郑重声明如下：</w:t>
      </w:r>
    </w:p>
    <w:p w14:paraId="5B0F29C7">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1.我方已详细审查全部招标文件，同意招标文件的各项要求，包括疫情期间采取的各项应急开标措施。</w:t>
      </w:r>
    </w:p>
    <w:p w14:paraId="699A3784">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2.我方向贵方提交的所有投标文件、资料都是准确的和真实的。</w:t>
      </w:r>
    </w:p>
    <w:p w14:paraId="4D6D599C">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3.若中标，我方将按招标文件规定履行合同责任和义务。</w:t>
      </w:r>
    </w:p>
    <w:p w14:paraId="483A7F57">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4.我方不是采购人的附属机构；在获知本项目采购信息后，与采购人聘请的为此项目提供咨询服务的公司及其附属机构没有任何联系。</w:t>
      </w:r>
    </w:p>
    <w:p w14:paraId="1C68D380">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5.投标文件自开标日起有效期为90天。</w:t>
      </w:r>
    </w:p>
    <w:p w14:paraId="2E5643E0">
      <w:pPr>
        <w:snapToGrid w:val="0"/>
        <w:spacing w:line="460" w:lineRule="exact"/>
        <w:ind w:firstLine="590" w:firstLineChars="196"/>
        <w:jc w:val="left"/>
        <w:rPr>
          <w:rFonts w:ascii="宋体" w:cs="宋体"/>
          <w:b/>
          <w:color w:val="FF0000"/>
          <w:sz w:val="30"/>
          <w:szCs w:val="30"/>
          <w:highlight w:val="none"/>
        </w:rPr>
      </w:pPr>
      <w:r>
        <w:rPr>
          <w:rFonts w:hint="eastAsia" w:ascii="宋体" w:cs="宋体"/>
          <w:b/>
          <w:color w:val="auto"/>
          <w:sz w:val="30"/>
          <w:szCs w:val="30"/>
          <w:highlight w:val="none"/>
        </w:rPr>
        <w:t>6.我方承诺已经具备参与政府采购活动的资格条件并且没有税收缴纳、社会保障等方面的失信记录。</w:t>
      </w:r>
    </w:p>
    <w:p w14:paraId="174E472E">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7.我方通过“信用中国”网站（www.creditchina.gov.cn）、中国政府采购网（www.ccgp.gov.cn）查询，未被列入失信被执行人、重大税收违法失信主体、政府采购严重违法失信行为记录名单。</w:t>
      </w:r>
    </w:p>
    <w:p w14:paraId="2D436615">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8.以上事项如有虚假或隐瞒，我方愿意承担一切后果，并不再寻求任何旨在减轻或免除法律责任的辩解。</w:t>
      </w:r>
    </w:p>
    <w:p w14:paraId="31EB0F11">
      <w:pPr>
        <w:snapToGrid w:val="0"/>
        <w:spacing w:beforeLines="50" w:after="50" w:line="460" w:lineRule="exact"/>
        <w:ind w:right="600" w:firstLine="150" w:firstLineChars="50"/>
        <w:rPr>
          <w:rFonts w:ascii="宋体" w:cs="宋体"/>
          <w:sz w:val="30"/>
          <w:szCs w:val="30"/>
          <w:highlight w:val="none"/>
          <w:u w:val="single"/>
        </w:rPr>
      </w:pPr>
      <w:r>
        <w:rPr>
          <w:rFonts w:hint="eastAsia" w:ascii="宋体" w:cs="宋体"/>
          <w:sz w:val="30"/>
          <w:szCs w:val="30"/>
          <w:highlight w:val="none"/>
        </w:rPr>
        <w:t>法定代表人签名（或签名章）：  日 期：</w:t>
      </w:r>
    </w:p>
    <w:p w14:paraId="13D1E71E">
      <w:pPr>
        <w:snapToGrid w:val="0"/>
        <w:spacing w:beforeLines="50" w:after="50" w:line="460" w:lineRule="exact"/>
        <w:ind w:firstLine="150" w:firstLineChars="50"/>
        <w:rPr>
          <w:rFonts w:ascii="宋体" w:cs="宋体"/>
          <w:sz w:val="30"/>
          <w:szCs w:val="30"/>
          <w:highlight w:val="none"/>
        </w:rPr>
      </w:pPr>
      <w:r>
        <w:rPr>
          <w:rFonts w:hint="eastAsia" w:ascii="宋体" w:cs="宋体"/>
          <w:sz w:val="30"/>
          <w:szCs w:val="30"/>
          <w:highlight w:val="none"/>
        </w:rPr>
        <w:t>投标人全称（公章）：</w:t>
      </w:r>
    </w:p>
    <w:p w14:paraId="605AAD46">
      <w:pPr>
        <w:snapToGrid w:val="0"/>
        <w:spacing w:before="50" w:afterLines="50"/>
        <w:jc w:val="left"/>
        <w:rPr>
          <w:rFonts w:ascii="宋体" w:cs="宋体"/>
          <w:sz w:val="30"/>
          <w:szCs w:val="30"/>
          <w:highlight w:val="none"/>
        </w:rPr>
      </w:pPr>
      <w:r>
        <w:rPr>
          <w:rFonts w:hint="eastAsia" w:ascii="宋体" w:cs="宋体"/>
          <w:highlight w:val="none"/>
        </w:rPr>
        <w:br w:type="page"/>
      </w:r>
      <w:r>
        <w:rPr>
          <w:rFonts w:hint="eastAsia" w:ascii="宋体" w:cs="宋体"/>
          <w:sz w:val="30"/>
          <w:szCs w:val="30"/>
          <w:highlight w:val="none"/>
        </w:rPr>
        <w:t xml:space="preserve"> 附件3：     </w:t>
      </w:r>
    </w:p>
    <w:p w14:paraId="4E28328E">
      <w:pPr>
        <w:snapToGrid w:val="0"/>
        <w:spacing w:before="50" w:afterLines="50"/>
        <w:jc w:val="center"/>
        <w:rPr>
          <w:rFonts w:ascii="宋体" w:cs="宋体"/>
          <w:sz w:val="30"/>
          <w:szCs w:val="30"/>
          <w:highlight w:val="none"/>
        </w:rPr>
      </w:pPr>
      <w:r>
        <w:rPr>
          <w:rFonts w:hint="eastAsia" w:ascii="宋体" w:cs="宋体"/>
          <w:b/>
          <w:bCs/>
          <w:sz w:val="36"/>
          <w:szCs w:val="36"/>
          <w:highlight w:val="none"/>
        </w:rPr>
        <w:t>投标承诺函</w:t>
      </w:r>
    </w:p>
    <w:p w14:paraId="2BC85C4B">
      <w:pPr>
        <w:snapToGrid w:val="0"/>
        <w:spacing w:before="50" w:afterLines="50"/>
        <w:jc w:val="left"/>
        <w:rPr>
          <w:rFonts w:ascii="宋体" w:cs="宋体"/>
          <w:sz w:val="30"/>
          <w:szCs w:val="30"/>
          <w:highlight w:val="none"/>
        </w:rPr>
      </w:pPr>
      <w:r>
        <w:rPr>
          <w:rFonts w:hint="eastAsia" w:ascii="宋体" w:cs="宋体"/>
          <w:sz w:val="30"/>
          <w:szCs w:val="30"/>
          <w:highlight w:val="none"/>
        </w:rPr>
        <w:t>致（采购人、采购代理机构）：</w:t>
      </w:r>
    </w:p>
    <w:p w14:paraId="331445C3">
      <w:pPr>
        <w:snapToGrid w:val="0"/>
        <w:spacing w:before="50" w:afterLines="50"/>
        <w:jc w:val="left"/>
        <w:rPr>
          <w:rFonts w:ascii="宋体" w:cs="宋体"/>
          <w:sz w:val="30"/>
          <w:szCs w:val="30"/>
          <w:highlight w:val="none"/>
        </w:rPr>
      </w:pPr>
      <w:r>
        <w:rPr>
          <w:rFonts w:hint="eastAsia" w:ascii="宋体" w:cs="宋体"/>
          <w:sz w:val="30"/>
          <w:szCs w:val="30"/>
          <w:highlight w:val="none"/>
        </w:rPr>
        <w:t>（投标人名称）系中华人民共和国合法企业，愿意就贵方组织的（招标项目名称）（编号为：            ）项目进行投标，并就本次投标郑重承诺如下：</w:t>
      </w:r>
    </w:p>
    <w:p w14:paraId="03BAFD39">
      <w:pPr>
        <w:snapToGrid w:val="0"/>
        <w:spacing w:before="50" w:afterLines="50"/>
        <w:jc w:val="left"/>
        <w:rPr>
          <w:rFonts w:ascii="宋体" w:cs="宋体"/>
          <w:sz w:val="30"/>
          <w:szCs w:val="30"/>
          <w:highlight w:val="none"/>
        </w:rPr>
      </w:pPr>
      <w:r>
        <w:rPr>
          <w:rFonts w:hint="eastAsia" w:ascii="宋体" w:cs="宋体"/>
          <w:sz w:val="30"/>
          <w:szCs w:val="30"/>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170B04D6">
      <w:pPr>
        <w:snapToGrid w:val="0"/>
        <w:spacing w:before="50" w:afterLines="50"/>
        <w:jc w:val="left"/>
        <w:rPr>
          <w:rFonts w:ascii="宋体" w:cs="宋体"/>
          <w:sz w:val="30"/>
          <w:szCs w:val="30"/>
          <w:highlight w:val="none"/>
        </w:rPr>
      </w:pPr>
      <w:r>
        <w:rPr>
          <w:rFonts w:hint="eastAsia" w:ascii="宋体" w:cs="宋体"/>
          <w:sz w:val="30"/>
          <w:szCs w:val="30"/>
          <w:highlight w:val="none"/>
        </w:rPr>
        <w:t>（1）在投标有效期90历天内撤回投标的；</w:t>
      </w:r>
    </w:p>
    <w:p w14:paraId="1979DDDB">
      <w:pPr>
        <w:snapToGrid w:val="0"/>
        <w:spacing w:before="50" w:afterLines="50"/>
        <w:jc w:val="left"/>
        <w:rPr>
          <w:rFonts w:ascii="宋体" w:cs="宋体"/>
          <w:sz w:val="30"/>
          <w:szCs w:val="30"/>
          <w:highlight w:val="none"/>
        </w:rPr>
      </w:pPr>
      <w:r>
        <w:rPr>
          <w:rFonts w:hint="eastAsia" w:ascii="宋体" w:cs="宋体"/>
          <w:sz w:val="30"/>
          <w:szCs w:val="30"/>
          <w:highlight w:val="none"/>
        </w:rPr>
        <w:t>（2）中标后拒签合同或拖延签订合同超过规定时间的；</w:t>
      </w:r>
    </w:p>
    <w:p w14:paraId="66456A11">
      <w:pPr>
        <w:snapToGrid w:val="0"/>
        <w:spacing w:before="50" w:afterLines="50"/>
        <w:jc w:val="left"/>
        <w:rPr>
          <w:rFonts w:ascii="宋体" w:cs="宋体"/>
          <w:sz w:val="30"/>
          <w:szCs w:val="30"/>
          <w:highlight w:val="none"/>
        </w:rPr>
      </w:pPr>
      <w:r>
        <w:rPr>
          <w:rFonts w:hint="eastAsia" w:ascii="宋体" w:cs="宋体"/>
          <w:sz w:val="30"/>
          <w:szCs w:val="30"/>
          <w:highlight w:val="none"/>
        </w:rPr>
        <w:t>（3）在投标过程中弄虚作假，提供虚假材料的；</w:t>
      </w:r>
    </w:p>
    <w:p w14:paraId="215B9D88">
      <w:pPr>
        <w:snapToGrid w:val="0"/>
        <w:spacing w:before="50" w:afterLines="50"/>
        <w:jc w:val="left"/>
        <w:rPr>
          <w:rFonts w:ascii="宋体" w:cs="宋体"/>
          <w:sz w:val="30"/>
          <w:szCs w:val="30"/>
          <w:highlight w:val="none"/>
        </w:rPr>
      </w:pPr>
      <w:r>
        <w:rPr>
          <w:rFonts w:hint="eastAsia" w:ascii="宋体" w:cs="宋体"/>
          <w:sz w:val="30"/>
          <w:szCs w:val="30"/>
          <w:highlight w:val="none"/>
        </w:rPr>
        <w:t>（4）出现串通投标的；</w:t>
      </w:r>
    </w:p>
    <w:p w14:paraId="000E3126">
      <w:pPr>
        <w:snapToGrid w:val="0"/>
        <w:spacing w:before="50" w:afterLines="50"/>
        <w:jc w:val="left"/>
        <w:rPr>
          <w:rFonts w:ascii="宋体" w:cs="宋体"/>
          <w:sz w:val="30"/>
          <w:szCs w:val="30"/>
          <w:highlight w:val="none"/>
        </w:rPr>
      </w:pPr>
      <w:r>
        <w:rPr>
          <w:rFonts w:hint="eastAsia" w:ascii="宋体" w:cs="宋体"/>
          <w:sz w:val="30"/>
          <w:szCs w:val="30"/>
          <w:highlight w:val="none"/>
        </w:rPr>
        <w:t>（5）严重扰乱招投标程序的；</w:t>
      </w:r>
    </w:p>
    <w:p w14:paraId="0A1ED88F">
      <w:pPr>
        <w:snapToGrid w:val="0"/>
        <w:spacing w:before="50" w:afterLines="50"/>
        <w:jc w:val="left"/>
        <w:rPr>
          <w:rFonts w:ascii="宋体" w:cs="宋体"/>
          <w:sz w:val="30"/>
          <w:szCs w:val="30"/>
          <w:highlight w:val="none"/>
        </w:rPr>
      </w:pPr>
      <w:r>
        <w:rPr>
          <w:rFonts w:hint="eastAsia" w:ascii="宋体" w:cs="宋体"/>
          <w:sz w:val="30"/>
          <w:szCs w:val="30"/>
          <w:highlight w:val="none"/>
        </w:rPr>
        <w:t>（6）其他违法违规导致被废除投标或中标资格的；</w:t>
      </w:r>
    </w:p>
    <w:p w14:paraId="621BEA05">
      <w:pPr>
        <w:snapToGrid w:val="0"/>
        <w:spacing w:before="50" w:afterLines="50"/>
        <w:jc w:val="left"/>
        <w:rPr>
          <w:rFonts w:ascii="宋体" w:cs="宋体"/>
          <w:sz w:val="30"/>
          <w:szCs w:val="30"/>
          <w:highlight w:val="none"/>
        </w:rPr>
      </w:pPr>
    </w:p>
    <w:p w14:paraId="1B1A1E83">
      <w:pPr>
        <w:snapToGrid w:val="0"/>
        <w:spacing w:before="50" w:afterLines="50"/>
        <w:jc w:val="left"/>
        <w:rPr>
          <w:rFonts w:ascii="宋体" w:cs="宋体"/>
          <w:sz w:val="30"/>
          <w:szCs w:val="30"/>
          <w:highlight w:val="none"/>
        </w:rPr>
      </w:pPr>
      <w:r>
        <w:rPr>
          <w:rFonts w:hint="eastAsia" w:ascii="宋体" w:cs="宋体"/>
          <w:sz w:val="30"/>
          <w:szCs w:val="30"/>
          <w:highlight w:val="none"/>
        </w:rPr>
        <w:t xml:space="preserve">授权代表签名：                      </w:t>
      </w:r>
    </w:p>
    <w:p w14:paraId="290C0603">
      <w:pPr>
        <w:snapToGrid w:val="0"/>
        <w:spacing w:before="50" w:afterLines="50"/>
        <w:jc w:val="left"/>
        <w:rPr>
          <w:rFonts w:ascii="宋体" w:cs="宋体"/>
          <w:sz w:val="30"/>
          <w:szCs w:val="30"/>
          <w:highlight w:val="none"/>
        </w:rPr>
      </w:pPr>
      <w:r>
        <w:rPr>
          <w:rFonts w:hint="eastAsia" w:ascii="宋体" w:cs="宋体"/>
          <w:sz w:val="30"/>
          <w:szCs w:val="30"/>
          <w:highlight w:val="none"/>
        </w:rPr>
        <w:t>投标单位名称（公章）：</w:t>
      </w:r>
    </w:p>
    <w:p w14:paraId="500D75BC">
      <w:pPr>
        <w:snapToGrid w:val="0"/>
        <w:spacing w:before="50" w:afterLines="50"/>
        <w:jc w:val="left"/>
        <w:rPr>
          <w:rFonts w:ascii="宋体" w:cs="宋体"/>
          <w:sz w:val="30"/>
          <w:szCs w:val="30"/>
          <w:highlight w:val="none"/>
        </w:rPr>
      </w:pPr>
      <w:r>
        <w:rPr>
          <w:rFonts w:hint="eastAsia" w:ascii="宋体" w:cs="宋体"/>
          <w:sz w:val="30"/>
          <w:szCs w:val="30"/>
          <w:highlight w:val="none"/>
        </w:rPr>
        <w:t>日期：    年   月    日</w:t>
      </w:r>
    </w:p>
    <w:p w14:paraId="547BD77D">
      <w:pPr>
        <w:snapToGrid w:val="0"/>
        <w:spacing w:before="50" w:afterLines="50"/>
        <w:jc w:val="left"/>
        <w:rPr>
          <w:rFonts w:ascii="宋体" w:cs="宋体"/>
          <w:sz w:val="24"/>
          <w:szCs w:val="24"/>
          <w:highlight w:val="none"/>
        </w:rPr>
      </w:pPr>
      <w:r>
        <w:rPr>
          <w:rFonts w:hint="eastAsia" w:ascii="宋体" w:cs="宋体"/>
          <w:sz w:val="24"/>
          <w:szCs w:val="24"/>
          <w:highlight w:val="none"/>
        </w:rPr>
        <w:t>备注：</w:t>
      </w:r>
    </w:p>
    <w:p w14:paraId="116826DD">
      <w:pPr>
        <w:snapToGrid w:val="0"/>
        <w:spacing w:before="50" w:afterLines="50"/>
        <w:jc w:val="left"/>
        <w:rPr>
          <w:rFonts w:ascii="宋体" w:cs="宋体"/>
          <w:sz w:val="24"/>
          <w:szCs w:val="24"/>
          <w:highlight w:val="none"/>
        </w:rPr>
      </w:pPr>
      <w:r>
        <w:rPr>
          <w:rFonts w:hint="eastAsia" w:ascii="宋体" w:cs="宋体"/>
          <w:sz w:val="24"/>
          <w:szCs w:val="24"/>
          <w:highlight w:val="none"/>
        </w:rPr>
        <w:t>1.本投标承诺函作为资格标资料之一，未提供的视为无法保证投标响应和履约服务能力，资格审查不予通过。</w:t>
      </w:r>
    </w:p>
    <w:p w14:paraId="36BB1792">
      <w:pPr>
        <w:snapToGrid w:val="0"/>
        <w:spacing w:before="50" w:afterLines="50"/>
        <w:jc w:val="left"/>
        <w:rPr>
          <w:rFonts w:ascii="宋体" w:cs="宋体"/>
          <w:sz w:val="24"/>
          <w:szCs w:val="24"/>
          <w:highlight w:val="none"/>
        </w:rPr>
      </w:pPr>
      <w:r>
        <w:rPr>
          <w:rFonts w:hint="eastAsia" w:ascii="宋体" w:cs="宋体"/>
          <w:sz w:val="24"/>
          <w:szCs w:val="24"/>
          <w:highlight w:val="none"/>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F14C9B">
      <w:pPr>
        <w:pStyle w:val="19"/>
        <w:rPr>
          <w:rFonts w:ascii="宋体" w:hAnsi="宋体" w:cs="宋体"/>
          <w:highlight w:val="none"/>
        </w:rPr>
      </w:pPr>
    </w:p>
    <w:p w14:paraId="7D4DEFA4">
      <w:pPr>
        <w:snapToGrid w:val="0"/>
        <w:spacing w:beforeLines="50" w:after="50" w:line="460" w:lineRule="exac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附件4：</w:t>
      </w:r>
    </w:p>
    <w:p w14:paraId="59D902E8">
      <w:pPr>
        <w:snapToGrid w:val="0"/>
        <w:spacing w:before="50" w:after="50"/>
        <w:jc w:val="center"/>
        <w:rPr>
          <w:rFonts w:ascii="宋体" w:cs="宋体"/>
          <w:b/>
          <w:sz w:val="36"/>
          <w:szCs w:val="36"/>
          <w:highlight w:val="none"/>
        </w:rPr>
      </w:pPr>
      <w:r>
        <w:rPr>
          <w:rFonts w:hint="eastAsia" w:ascii="宋体" w:cs="宋体"/>
          <w:b/>
          <w:sz w:val="36"/>
          <w:szCs w:val="36"/>
          <w:highlight w:val="none"/>
        </w:rPr>
        <w:t>法定代表人授权委托书</w:t>
      </w:r>
    </w:p>
    <w:p w14:paraId="7AA975B8">
      <w:pPr>
        <w:snapToGrid w:val="0"/>
        <w:spacing w:beforeLines="50" w:after="50"/>
        <w:jc w:val="center"/>
        <w:rPr>
          <w:rFonts w:ascii="宋体" w:cs="宋体"/>
          <w:b/>
          <w:sz w:val="30"/>
          <w:szCs w:val="30"/>
          <w:highlight w:val="none"/>
        </w:rPr>
      </w:pPr>
    </w:p>
    <w:p w14:paraId="5FCBB79B">
      <w:pPr>
        <w:snapToGrid w:val="0"/>
        <w:spacing w:beforeLines="50" w:after="50" w:line="460" w:lineRule="exact"/>
        <w:rPr>
          <w:rFonts w:ascii="宋体" w:cs="宋体"/>
          <w:b/>
          <w:bCs/>
          <w:sz w:val="30"/>
          <w:szCs w:val="30"/>
          <w:highlight w:val="none"/>
        </w:rPr>
      </w:pPr>
      <w:r>
        <w:rPr>
          <w:rFonts w:hint="eastAsia" w:ascii="宋体" w:cs="宋体"/>
          <w:bCs/>
          <w:sz w:val="30"/>
          <w:szCs w:val="30"/>
          <w:highlight w:val="none"/>
        </w:rPr>
        <w:t>金华市政府采购中心永康市分中心：</w:t>
      </w:r>
    </w:p>
    <w:p w14:paraId="0FFEBDAA">
      <w:pPr>
        <w:snapToGrid w:val="0"/>
        <w:spacing w:beforeLines="50" w:after="50" w:line="460" w:lineRule="exact"/>
        <w:ind w:firstLine="900" w:firstLineChars="300"/>
        <w:rPr>
          <w:rFonts w:ascii="宋体" w:cs="宋体"/>
          <w:sz w:val="30"/>
          <w:szCs w:val="30"/>
          <w:highlight w:val="none"/>
        </w:rPr>
      </w:pPr>
      <w:r>
        <w:rPr>
          <w:rFonts w:hint="eastAsia" w:ascii="宋体" w:cs="宋体"/>
          <w:sz w:val="30"/>
          <w:szCs w:val="30"/>
          <w:highlight w:val="none"/>
        </w:rPr>
        <w:t>我（姓名）系（投标人名称）的法定代表人，现授权委托本单位在职职工 （姓名）为授权代表，以我方的名义参加项目编号：项目名称</w:t>
      </w:r>
      <w:r>
        <w:rPr>
          <w:rFonts w:hint="eastAsia" w:ascii="宋体" w:cs="宋体"/>
          <w:sz w:val="30"/>
          <w:szCs w:val="30"/>
          <w:highlight w:val="none"/>
          <w:u w:val="single"/>
        </w:rPr>
        <w:t xml:space="preserve">：      </w:t>
      </w:r>
      <w:r>
        <w:rPr>
          <w:rFonts w:hint="eastAsia" w:ascii="宋体" w:cs="宋体"/>
          <w:sz w:val="30"/>
          <w:szCs w:val="30"/>
          <w:highlight w:val="none"/>
        </w:rPr>
        <w:t>项目的投标活动，并代表我方全权办理针对上述项目的投标、开标、评标、签约等具体事务和签署相关文件。我方对授权代表的签名事项负全部责任。</w:t>
      </w:r>
    </w:p>
    <w:p w14:paraId="75083815">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在撤销授权的书面通知以前，本授权书一直有效。授权代表在授权书有效期内签署的所有文件不因授权的撤销而失效。</w:t>
      </w:r>
    </w:p>
    <w:p w14:paraId="1F4FA244">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授权代表无转委托权，特此委托。</w:t>
      </w:r>
    </w:p>
    <w:p w14:paraId="1FBD2E00">
      <w:pPr>
        <w:snapToGrid w:val="0"/>
        <w:spacing w:beforeLines="50" w:after="50" w:line="460" w:lineRule="exact"/>
        <w:ind w:firstLine="480"/>
        <w:rPr>
          <w:rFonts w:ascii="宋体" w:cs="宋体"/>
          <w:sz w:val="30"/>
          <w:szCs w:val="30"/>
          <w:highlight w:val="none"/>
        </w:rPr>
      </w:pPr>
    </w:p>
    <w:p w14:paraId="1A9FD368">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授权代表签名： 职务：  联系方式：</w:t>
      </w:r>
    </w:p>
    <w:p w14:paraId="71EB2CD7">
      <w:pPr>
        <w:snapToGrid w:val="0"/>
        <w:spacing w:beforeLines="50" w:after="50" w:line="460" w:lineRule="exact"/>
        <w:rPr>
          <w:rFonts w:ascii="宋体" w:cs="宋体"/>
          <w:sz w:val="30"/>
          <w:szCs w:val="30"/>
          <w:highlight w:val="none"/>
        </w:rPr>
      </w:pPr>
      <w:r>
        <w:rPr>
          <w:rFonts w:hint="eastAsia" w:ascii="宋体" w:cs="宋体"/>
          <w:sz w:val="30"/>
          <w:szCs w:val="30"/>
          <w:highlight w:val="none"/>
        </w:rPr>
        <w:t>邮箱： 传真：</w:t>
      </w:r>
    </w:p>
    <w:p w14:paraId="1A76BE7A">
      <w:pPr>
        <w:snapToGrid w:val="0"/>
        <w:spacing w:beforeLines="50" w:after="50" w:line="460" w:lineRule="exact"/>
        <w:rPr>
          <w:rFonts w:ascii="宋体" w:cs="宋体"/>
          <w:sz w:val="30"/>
          <w:szCs w:val="30"/>
          <w:highlight w:val="none"/>
        </w:rPr>
      </w:pPr>
      <w:r>
        <w:rPr>
          <w:rFonts w:hint="eastAsia" w:ascii="宋体" w:cs="宋体"/>
          <w:sz w:val="30"/>
          <w:szCs w:val="30"/>
          <w:highlight w:val="none"/>
        </w:rPr>
        <w:t>授权代表身份证号码：</w:t>
      </w:r>
    </w:p>
    <w:p w14:paraId="0D0F27CD">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法定代表人签名（或签名章）：   职务：</w:t>
      </w:r>
    </w:p>
    <w:p w14:paraId="13D2B086">
      <w:pPr>
        <w:snapToGrid w:val="0"/>
        <w:spacing w:beforeLines="50" w:after="50" w:line="460" w:lineRule="exact"/>
        <w:rPr>
          <w:rFonts w:ascii="宋体" w:cs="宋体"/>
          <w:sz w:val="30"/>
          <w:szCs w:val="30"/>
          <w:highlight w:val="none"/>
        </w:rPr>
      </w:pPr>
      <w:r>
        <w:rPr>
          <w:rFonts w:hint="eastAsia" w:ascii="宋体" w:cs="宋体"/>
          <w:sz w:val="30"/>
          <w:szCs w:val="30"/>
          <w:highlight w:val="none"/>
        </w:rPr>
        <w:t>联系方式：</w:t>
      </w:r>
    </w:p>
    <w:p w14:paraId="55CFC633">
      <w:pPr>
        <w:snapToGrid w:val="0"/>
        <w:spacing w:beforeLines="50" w:after="50" w:line="460" w:lineRule="exact"/>
        <w:rPr>
          <w:rFonts w:ascii="宋体" w:cs="宋体"/>
          <w:sz w:val="30"/>
          <w:szCs w:val="30"/>
          <w:highlight w:val="none"/>
        </w:rPr>
      </w:pPr>
    </w:p>
    <w:p w14:paraId="73C16D6B">
      <w:pPr>
        <w:snapToGrid w:val="0"/>
        <w:spacing w:beforeLines="50" w:after="50" w:line="460" w:lineRule="exact"/>
        <w:rPr>
          <w:rFonts w:ascii="宋体" w:cs="宋体"/>
          <w:sz w:val="30"/>
          <w:szCs w:val="30"/>
          <w:highlight w:val="none"/>
        </w:rPr>
      </w:pPr>
    </w:p>
    <w:p w14:paraId="037CABAE">
      <w:pPr>
        <w:snapToGrid w:val="0"/>
        <w:spacing w:beforeLines="50" w:after="50" w:line="460" w:lineRule="exact"/>
        <w:ind w:firstLine="6150" w:firstLineChars="2050"/>
        <w:rPr>
          <w:rFonts w:ascii="宋体" w:cs="宋体"/>
          <w:sz w:val="30"/>
          <w:szCs w:val="30"/>
          <w:highlight w:val="none"/>
        </w:rPr>
      </w:pPr>
    </w:p>
    <w:p w14:paraId="7EB43F9B">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投标人全称（公章）：         日  期：</w:t>
      </w:r>
    </w:p>
    <w:p w14:paraId="7E5F757A">
      <w:pPr>
        <w:widowControl w:val="0"/>
        <w:spacing w:before="240"/>
        <w:rPr>
          <w:rFonts w:ascii="宋体" w:cs="宋体"/>
          <w:spacing w:val="20"/>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附件5：</w:t>
      </w:r>
    </w:p>
    <w:p w14:paraId="009B674B">
      <w:pPr>
        <w:pStyle w:val="2"/>
        <w:overflowPunct w:val="0"/>
        <w:spacing w:line="360" w:lineRule="auto"/>
        <w:ind w:firstLine="0"/>
        <w:jc w:val="center"/>
        <w:rPr>
          <w:rFonts w:cs="宋体"/>
          <w:b/>
          <w:spacing w:val="40"/>
          <w:kern w:val="0"/>
          <w:sz w:val="30"/>
          <w:szCs w:val="30"/>
          <w:highlight w:val="none"/>
        </w:rPr>
      </w:pPr>
      <w:r>
        <w:rPr>
          <w:rFonts w:hint="eastAsia" w:cs="宋体"/>
          <w:b/>
          <w:spacing w:val="40"/>
          <w:kern w:val="0"/>
          <w:sz w:val="30"/>
          <w:szCs w:val="30"/>
          <w:highlight w:val="none"/>
        </w:rPr>
        <w:t>联合投标协议书</w:t>
      </w:r>
    </w:p>
    <w:p w14:paraId="10897972">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甲方：</w:t>
      </w:r>
    </w:p>
    <w:p w14:paraId="70D3D76E">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乙方：</w:t>
      </w:r>
    </w:p>
    <w:p w14:paraId="4D53793B">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（如果有的话，可按甲、乙、丙、丁…序列增加）</w:t>
      </w:r>
    </w:p>
    <w:p w14:paraId="4F85410E">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各方经协商，就响应 组织实施的编号为号的招标活动联合进行投标之事宜，达成如下协议：</w:t>
      </w:r>
    </w:p>
    <w:p w14:paraId="169DD57A">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一、各方一致决定，以  为主办人进行投标，并按照招标文件的规定分别提交资格文件。</w:t>
      </w:r>
    </w:p>
    <w:p w14:paraId="7A4A1526">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58FA779">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三、联合投标其余各方保证对主办人为响应本次招标而提供的产品和服务提供全部质量保证及售后服务支持。</w:t>
      </w:r>
    </w:p>
    <w:p w14:paraId="5A163148">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四、本次联合投标中，甲方承担的工作和义务为:</w:t>
      </w:r>
    </w:p>
    <w:p w14:paraId="3F1C86C4">
      <w:pPr>
        <w:pStyle w:val="2"/>
        <w:overflowPunct w:val="0"/>
        <w:spacing w:line="460" w:lineRule="exact"/>
        <w:ind w:firstLine="642" w:firstLineChars="214"/>
        <w:rPr>
          <w:rFonts w:cs="宋体"/>
          <w:sz w:val="30"/>
          <w:szCs w:val="30"/>
          <w:highlight w:val="none"/>
          <w:u w:val="single"/>
        </w:rPr>
      </w:pPr>
    </w:p>
    <w:p w14:paraId="7057290A">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乙方承担的工作和义务为：</w:t>
      </w:r>
    </w:p>
    <w:p w14:paraId="2E6E0F62">
      <w:pPr>
        <w:pStyle w:val="2"/>
        <w:overflowPunct w:val="0"/>
        <w:spacing w:line="460" w:lineRule="exact"/>
        <w:ind w:firstLine="642" w:firstLineChars="214"/>
        <w:rPr>
          <w:rFonts w:cs="宋体"/>
          <w:sz w:val="30"/>
          <w:szCs w:val="30"/>
          <w:highlight w:val="none"/>
        </w:rPr>
      </w:pPr>
    </w:p>
    <w:p w14:paraId="046BF97D">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五、有关本次联合投标的其他事宜：</w:t>
      </w:r>
    </w:p>
    <w:p w14:paraId="16586EF7">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六、本协议提交招标方后，联合投标各方不得以任何形式对上述实质内容进行修改或撤销。</w:t>
      </w:r>
    </w:p>
    <w:p w14:paraId="71C01EB2">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七、本协议签约各方各持一份，并作为投标文件的一部分。</w:t>
      </w:r>
    </w:p>
    <w:tbl>
      <w:tblPr>
        <w:tblStyle w:val="32"/>
        <w:tblW w:w="8528" w:type="dxa"/>
        <w:jc w:val="center"/>
        <w:tblLayout w:type="fixed"/>
        <w:tblCellMar>
          <w:top w:w="0" w:type="dxa"/>
          <w:left w:w="108" w:type="dxa"/>
          <w:bottom w:w="0" w:type="dxa"/>
          <w:right w:w="108" w:type="dxa"/>
        </w:tblCellMar>
      </w:tblPr>
      <w:tblGrid>
        <w:gridCol w:w="4264"/>
        <w:gridCol w:w="4264"/>
      </w:tblGrid>
      <w:tr w14:paraId="7A12A026">
        <w:tblPrEx>
          <w:tblCellMar>
            <w:top w:w="0" w:type="dxa"/>
            <w:left w:w="108" w:type="dxa"/>
            <w:bottom w:w="0" w:type="dxa"/>
            <w:right w:w="108" w:type="dxa"/>
          </w:tblCellMar>
        </w:tblPrEx>
        <w:trPr>
          <w:jc w:val="center"/>
        </w:trPr>
        <w:tc>
          <w:tcPr>
            <w:tcW w:w="4264" w:type="dxa"/>
            <w:noWrap/>
          </w:tcPr>
          <w:p w14:paraId="224A591C">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甲方单位：       （公章）</w:t>
            </w:r>
          </w:p>
          <w:p w14:paraId="4E06E364">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3605D32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14:paraId="03EE27A1">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乙方单位：       （公章）</w:t>
            </w:r>
          </w:p>
          <w:p w14:paraId="138DE657">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5A59FF1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14:paraId="711CB449">
      <w:pPr>
        <w:pStyle w:val="2"/>
        <w:overflowPunct w:val="0"/>
        <w:spacing w:line="460" w:lineRule="exact"/>
        <w:ind w:firstLine="0"/>
        <w:rPr>
          <w:rFonts w:cs="宋体"/>
          <w:sz w:val="30"/>
          <w:szCs w:val="30"/>
          <w:highlight w:val="none"/>
        </w:rPr>
      </w:pPr>
      <w:r>
        <w:rPr>
          <w:rFonts w:hint="eastAsia" w:cs="宋体"/>
          <w:sz w:val="30"/>
          <w:szCs w:val="30"/>
          <w:highlight w:val="none"/>
        </w:rPr>
        <w:br w:type="page"/>
      </w:r>
      <w:r>
        <w:rPr>
          <w:rFonts w:hint="eastAsia" w:cs="宋体"/>
          <w:sz w:val="30"/>
          <w:szCs w:val="30"/>
          <w:highlight w:val="none"/>
        </w:rPr>
        <w:t>附件</w:t>
      </w:r>
      <w:r>
        <w:rPr>
          <w:rFonts w:hint="eastAsia" w:cs="宋体"/>
          <w:sz w:val="30"/>
          <w:szCs w:val="30"/>
          <w:highlight w:val="none"/>
          <w:lang w:val="en-US" w:eastAsia="zh-CN"/>
        </w:rPr>
        <w:t>6</w:t>
      </w:r>
      <w:r>
        <w:rPr>
          <w:rFonts w:hint="eastAsia" w:cs="宋体"/>
          <w:sz w:val="30"/>
          <w:szCs w:val="30"/>
          <w:highlight w:val="none"/>
        </w:rPr>
        <w:t>：</w:t>
      </w:r>
    </w:p>
    <w:p w14:paraId="528342D7">
      <w:pPr>
        <w:pStyle w:val="2"/>
        <w:overflowPunct w:val="0"/>
        <w:spacing w:line="460" w:lineRule="exact"/>
        <w:jc w:val="center"/>
        <w:rPr>
          <w:rFonts w:cs="宋体"/>
          <w:b/>
          <w:sz w:val="30"/>
          <w:szCs w:val="30"/>
          <w:highlight w:val="none"/>
        </w:rPr>
      </w:pPr>
      <w:r>
        <w:rPr>
          <w:rFonts w:hint="eastAsia" w:cs="宋体"/>
          <w:b/>
          <w:sz w:val="30"/>
          <w:szCs w:val="30"/>
          <w:highlight w:val="none"/>
        </w:rPr>
        <w:t>联合投标授权委托书</w:t>
      </w:r>
    </w:p>
    <w:p w14:paraId="713C3C90">
      <w:pPr>
        <w:pStyle w:val="2"/>
        <w:overflowPunct w:val="0"/>
        <w:spacing w:line="460" w:lineRule="exact"/>
        <w:rPr>
          <w:rFonts w:cs="宋体"/>
          <w:sz w:val="30"/>
          <w:szCs w:val="30"/>
          <w:highlight w:val="none"/>
        </w:rPr>
      </w:pPr>
    </w:p>
    <w:p w14:paraId="4558E52B">
      <w:pPr>
        <w:pStyle w:val="2"/>
        <w:overflowPunct w:val="0"/>
        <w:spacing w:line="460" w:lineRule="exact"/>
        <w:rPr>
          <w:rFonts w:cs="宋体"/>
          <w:sz w:val="30"/>
          <w:szCs w:val="30"/>
          <w:highlight w:val="none"/>
        </w:rPr>
      </w:pPr>
      <w:r>
        <w:rPr>
          <w:rFonts w:hint="eastAsia" w:cs="宋体"/>
          <w:sz w:val="30"/>
          <w:szCs w:val="30"/>
          <w:highlight w:val="none"/>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6569E088">
      <w:pPr>
        <w:pStyle w:val="2"/>
        <w:overflowPunct w:val="0"/>
        <w:spacing w:line="460" w:lineRule="exact"/>
        <w:rPr>
          <w:rFonts w:cs="宋体"/>
          <w:sz w:val="30"/>
          <w:szCs w:val="30"/>
          <w:highlight w:val="none"/>
        </w:rPr>
      </w:pPr>
      <w:r>
        <w:rPr>
          <w:rFonts w:hint="eastAsia" w:cs="宋体"/>
          <w:sz w:val="30"/>
          <w:szCs w:val="30"/>
          <w:highlight w:val="none"/>
        </w:rPr>
        <w:t xml:space="preserve"> 特此委托。</w:t>
      </w:r>
    </w:p>
    <w:p w14:paraId="200F15FB">
      <w:pPr>
        <w:pStyle w:val="2"/>
        <w:overflowPunct w:val="0"/>
        <w:spacing w:line="460" w:lineRule="exact"/>
        <w:rPr>
          <w:rFonts w:cs="宋体"/>
          <w:sz w:val="30"/>
          <w:szCs w:val="30"/>
          <w:highlight w:val="none"/>
        </w:rPr>
      </w:pPr>
    </w:p>
    <w:p w14:paraId="3BC40B82">
      <w:pPr>
        <w:pStyle w:val="2"/>
        <w:overflowPunct w:val="0"/>
        <w:spacing w:line="460" w:lineRule="exact"/>
        <w:ind w:firstLine="600" w:firstLineChars="200"/>
        <w:rPr>
          <w:rFonts w:cs="宋体"/>
          <w:sz w:val="30"/>
          <w:szCs w:val="30"/>
          <w:highlight w:val="none"/>
        </w:rPr>
      </w:pPr>
      <w:r>
        <w:rPr>
          <w:rFonts w:hint="eastAsia" w:cs="宋体"/>
          <w:sz w:val="30"/>
          <w:szCs w:val="30"/>
          <w:highlight w:val="none"/>
        </w:rPr>
        <w:t>授权人（签名）：</w:t>
      </w:r>
    </w:p>
    <w:p w14:paraId="7D14850D">
      <w:pPr>
        <w:pStyle w:val="2"/>
        <w:overflowPunct w:val="0"/>
        <w:spacing w:line="460" w:lineRule="exact"/>
        <w:ind w:firstLine="600" w:firstLineChars="200"/>
        <w:rPr>
          <w:rFonts w:cs="宋体"/>
          <w:sz w:val="30"/>
          <w:szCs w:val="30"/>
          <w:highlight w:val="none"/>
        </w:rPr>
      </w:pPr>
    </w:p>
    <w:p w14:paraId="6978F879">
      <w:pPr>
        <w:pStyle w:val="2"/>
        <w:overflowPunct w:val="0"/>
        <w:spacing w:line="460" w:lineRule="exact"/>
        <w:ind w:left="420" w:leftChars="200" w:firstLine="150" w:firstLineChars="50"/>
        <w:rPr>
          <w:rFonts w:cs="宋体"/>
          <w:sz w:val="30"/>
          <w:szCs w:val="30"/>
          <w:highlight w:val="none"/>
        </w:rPr>
      </w:pPr>
      <w:r>
        <w:rPr>
          <w:rFonts w:hint="eastAsia" w:cs="宋体"/>
          <w:sz w:val="30"/>
          <w:szCs w:val="30"/>
          <w:highlight w:val="none"/>
        </w:rPr>
        <w:t>日期：    年  月  日</w:t>
      </w:r>
    </w:p>
    <w:p w14:paraId="6ED949AA">
      <w:pPr>
        <w:pStyle w:val="2"/>
        <w:overflowPunct w:val="0"/>
        <w:spacing w:line="460" w:lineRule="exact"/>
        <w:rPr>
          <w:rFonts w:cs="宋体"/>
          <w:sz w:val="30"/>
          <w:szCs w:val="30"/>
          <w:highlight w:val="none"/>
        </w:rPr>
      </w:pPr>
    </w:p>
    <w:p w14:paraId="47DF594D">
      <w:pPr>
        <w:pStyle w:val="2"/>
        <w:overflowPunct w:val="0"/>
        <w:spacing w:line="460" w:lineRule="exact"/>
        <w:ind w:firstLine="570" w:firstLineChars="190"/>
        <w:rPr>
          <w:rFonts w:cs="宋体"/>
          <w:sz w:val="30"/>
          <w:szCs w:val="30"/>
          <w:highlight w:val="none"/>
        </w:rPr>
      </w:pPr>
      <w:r>
        <w:rPr>
          <w:rFonts w:hint="eastAsia" w:cs="宋体"/>
          <w:sz w:val="30"/>
          <w:szCs w:val="30"/>
          <w:highlight w:val="none"/>
        </w:rPr>
        <w:t>授权代表（签名）；</w:t>
      </w:r>
    </w:p>
    <w:p w14:paraId="3F0EA6A5">
      <w:pPr>
        <w:pStyle w:val="2"/>
        <w:overflowPunct w:val="0"/>
        <w:spacing w:line="460" w:lineRule="exact"/>
        <w:ind w:firstLine="570" w:firstLineChars="190"/>
        <w:rPr>
          <w:rFonts w:cs="宋体"/>
          <w:sz w:val="30"/>
          <w:szCs w:val="30"/>
          <w:highlight w:val="none"/>
        </w:rPr>
      </w:pPr>
    </w:p>
    <w:p w14:paraId="33C07850">
      <w:pPr>
        <w:pStyle w:val="2"/>
        <w:overflowPunct w:val="0"/>
        <w:spacing w:line="460" w:lineRule="exact"/>
        <w:ind w:firstLine="570" w:firstLineChars="190"/>
        <w:rPr>
          <w:rFonts w:cs="宋体"/>
          <w:sz w:val="30"/>
          <w:szCs w:val="30"/>
          <w:highlight w:val="none"/>
        </w:rPr>
      </w:pPr>
      <w:r>
        <w:rPr>
          <w:rFonts w:hint="eastAsia" w:cs="宋体"/>
          <w:sz w:val="30"/>
          <w:szCs w:val="30"/>
          <w:highlight w:val="none"/>
        </w:rPr>
        <w:t>日期：    年  月  日</w:t>
      </w:r>
    </w:p>
    <w:p w14:paraId="3A1F3FAC">
      <w:pPr>
        <w:tabs>
          <w:tab w:val="left" w:pos="606"/>
        </w:tabs>
        <w:spacing w:line="460" w:lineRule="exact"/>
        <w:rPr>
          <w:rFonts w:ascii="宋体" w:cs="宋体"/>
          <w:spacing w:val="20"/>
          <w:sz w:val="30"/>
          <w:szCs w:val="30"/>
          <w:highlight w:val="none"/>
        </w:rPr>
      </w:pPr>
    </w:p>
    <w:p w14:paraId="5C5138A7">
      <w:pPr>
        <w:tabs>
          <w:tab w:val="left" w:pos="606"/>
        </w:tabs>
        <w:spacing w:line="460" w:lineRule="exact"/>
        <w:rPr>
          <w:rFonts w:ascii="宋体" w:cs="宋体"/>
          <w:spacing w:val="20"/>
          <w:sz w:val="30"/>
          <w:szCs w:val="30"/>
          <w:highlight w:val="none"/>
        </w:rPr>
      </w:pPr>
    </w:p>
    <w:tbl>
      <w:tblPr>
        <w:tblStyle w:val="32"/>
        <w:tblW w:w="8528" w:type="dxa"/>
        <w:jc w:val="center"/>
        <w:tblLayout w:type="fixed"/>
        <w:tblCellMar>
          <w:top w:w="0" w:type="dxa"/>
          <w:left w:w="108" w:type="dxa"/>
          <w:bottom w:w="0" w:type="dxa"/>
          <w:right w:w="108" w:type="dxa"/>
        </w:tblCellMar>
      </w:tblPr>
      <w:tblGrid>
        <w:gridCol w:w="4264"/>
        <w:gridCol w:w="4264"/>
      </w:tblGrid>
      <w:tr w14:paraId="3D86615E">
        <w:tblPrEx>
          <w:tblCellMar>
            <w:top w:w="0" w:type="dxa"/>
            <w:left w:w="108" w:type="dxa"/>
            <w:bottom w:w="0" w:type="dxa"/>
            <w:right w:w="108" w:type="dxa"/>
          </w:tblCellMar>
        </w:tblPrEx>
        <w:trPr>
          <w:jc w:val="center"/>
        </w:trPr>
        <w:tc>
          <w:tcPr>
            <w:tcW w:w="4264" w:type="dxa"/>
            <w:noWrap/>
          </w:tcPr>
          <w:p w14:paraId="0E31D382">
            <w:pPr>
              <w:pStyle w:val="2"/>
              <w:overflowPunct w:val="0"/>
              <w:spacing w:line="460" w:lineRule="exact"/>
              <w:ind w:firstLine="0"/>
              <w:rPr>
                <w:rFonts w:cs="宋体"/>
                <w:sz w:val="30"/>
                <w:szCs w:val="30"/>
                <w:highlight w:val="none"/>
                <w:lang w:val="en-US" w:eastAsia="zh-CN"/>
              </w:rPr>
            </w:pPr>
          </w:p>
          <w:p w14:paraId="5C842285">
            <w:pPr>
              <w:pStyle w:val="2"/>
              <w:overflowPunct w:val="0"/>
              <w:spacing w:line="460" w:lineRule="exact"/>
              <w:ind w:firstLine="0"/>
              <w:rPr>
                <w:rFonts w:cs="宋体"/>
                <w:sz w:val="30"/>
                <w:szCs w:val="30"/>
                <w:highlight w:val="none"/>
                <w:lang w:val="en-US" w:eastAsia="zh-CN"/>
              </w:rPr>
            </w:pPr>
          </w:p>
          <w:p w14:paraId="1862EFB7">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联合体甲方单位：   （公章）</w:t>
            </w:r>
          </w:p>
          <w:p w14:paraId="2E1CA455">
            <w:pPr>
              <w:pStyle w:val="2"/>
              <w:overflowPunct w:val="0"/>
              <w:spacing w:line="460" w:lineRule="exact"/>
              <w:ind w:firstLine="0"/>
              <w:rPr>
                <w:rFonts w:cs="宋体"/>
                <w:sz w:val="30"/>
                <w:szCs w:val="30"/>
                <w:highlight w:val="none"/>
                <w:lang w:val="en-US" w:eastAsia="zh-CN"/>
              </w:rPr>
            </w:pPr>
          </w:p>
          <w:p w14:paraId="4F7239E8">
            <w:pPr>
              <w:pStyle w:val="2"/>
              <w:overflowPunct w:val="0"/>
              <w:spacing w:line="460" w:lineRule="exact"/>
              <w:ind w:firstLine="0"/>
              <w:rPr>
                <w:rFonts w:cs="宋体"/>
                <w:sz w:val="30"/>
                <w:szCs w:val="30"/>
                <w:highlight w:val="none"/>
                <w:lang w:val="en-US" w:eastAsia="zh-CN"/>
              </w:rPr>
            </w:pPr>
          </w:p>
          <w:p w14:paraId="0C8BE63F">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1714BECB">
            <w:pPr>
              <w:pStyle w:val="2"/>
              <w:overflowPunct w:val="0"/>
              <w:spacing w:line="460" w:lineRule="exact"/>
              <w:ind w:firstLine="0"/>
              <w:rPr>
                <w:rFonts w:cs="宋体"/>
                <w:sz w:val="30"/>
                <w:szCs w:val="30"/>
                <w:highlight w:val="none"/>
                <w:lang w:val="en-US" w:eastAsia="zh-CN"/>
              </w:rPr>
            </w:pPr>
          </w:p>
          <w:p w14:paraId="1E4AAC73">
            <w:pPr>
              <w:pStyle w:val="2"/>
              <w:overflowPunct w:val="0"/>
              <w:spacing w:line="460" w:lineRule="exact"/>
              <w:ind w:firstLine="0"/>
              <w:rPr>
                <w:rFonts w:cs="宋体"/>
                <w:sz w:val="30"/>
                <w:szCs w:val="30"/>
                <w:highlight w:val="none"/>
                <w:lang w:val="en-US" w:eastAsia="zh-CN"/>
              </w:rPr>
            </w:pPr>
          </w:p>
          <w:p w14:paraId="4ACC94A4">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14:paraId="2BD8D34A">
            <w:pPr>
              <w:pStyle w:val="2"/>
              <w:overflowPunct w:val="0"/>
              <w:spacing w:line="460" w:lineRule="exact"/>
              <w:ind w:firstLine="0"/>
              <w:rPr>
                <w:rFonts w:cs="宋体"/>
                <w:sz w:val="30"/>
                <w:szCs w:val="30"/>
                <w:highlight w:val="none"/>
                <w:lang w:val="en-US" w:eastAsia="zh-CN"/>
              </w:rPr>
            </w:pPr>
          </w:p>
          <w:p w14:paraId="47C6E92B">
            <w:pPr>
              <w:pStyle w:val="2"/>
              <w:overflowPunct w:val="0"/>
              <w:spacing w:line="460" w:lineRule="exact"/>
              <w:ind w:firstLine="0"/>
              <w:rPr>
                <w:rFonts w:cs="宋体"/>
                <w:sz w:val="30"/>
                <w:szCs w:val="30"/>
                <w:highlight w:val="none"/>
                <w:lang w:val="en-US" w:eastAsia="zh-CN"/>
              </w:rPr>
            </w:pPr>
          </w:p>
          <w:p w14:paraId="5B95B6EB">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联合体乙方单位：   （公章）</w:t>
            </w:r>
          </w:p>
          <w:p w14:paraId="6FFE8597">
            <w:pPr>
              <w:pStyle w:val="2"/>
              <w:overflowPunct w:val="0"/>
              <w:spacing w:line="460" w:lineRule="exact"/>
              <w:ind w:firstLine="0"/>
              <w:rPr>
                <w:rFonts w:cs="宋体"/>
                <w:sz w:val="30"/>
                <w:szCs w:val="30"/>
                <w:highlight w:val="none"/>
                <w:lang w:val="en-US" w:eastAsia="zh-CN"/>
              </w:rPr>
            </w:pPr>
          </w:p>
          <w:p w14:paraId="21167D68">
            <w:pPr>
              <w:pStyle w:val="2"/>
              <w:overflowPunct w:val="0"/>
              <w:spacing w:line="460" w:lineRule="exact"/>
              <w:ind w:firstLine="0"/>
              <w:rPr>
                <w:rFonts w:cs="宋体"/>
                <w:sz w:val="30"/>
                <w:szCs w:val="30"/>
                <w:highlight w:val="none"/>
                <w:lang w:val="en-US" w:eastAsia="zh-CN"/>
              </w:rPr>
            </w:pPr>
          </w:p>
          <w:p w14:paraId="7643CF2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3D3900F0">
            <w:pPr>
              <w:pStyle w:val="2"/>
              <w:overflowPunct w:val="0"/>
              <w:spacing w:line="460" w:lineRule="exact"/>
              <w:ind w:firstLine="0"/>
              <w:rPr>
                <w:rFonts w:cs="宋体"/>
                <w:sz w:val="30"/>
                <w:szCs w:val="30"/>
                <w:highlight w:val="none"/>
                <w:lang w:val="en-US" w:eastAsia="zh-CN"/>
              </w:rPr>
            </w:pPr>
          </w:p>
          <w:p w14:paraId="7D8527E5">
            <w:pPr>
              <w:pStyle w:val="2"/>
              <w:overflowPunct w:val="0"/>
              <w:spacing w:line="460" w:lineRule="exact"/>
              <w:ind w:firstLine="0"/>
              <w:rPr>
                <w:rFonts w:cs="宋体"/>
                <w:sz w:val="30"/>
                <w:szCs w:val="30"/>
                <w:highlight w:val="none"/>
                <w:lang w:val="en-US" w:eastAsia="zh-CN"/>
              </w:rPr>
            </w:pPr>
          </w:p>
          <w:p w14:paraId="3033B66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14:paraId="1584DD7B">
      <w:pPr>
        <w:snapToGrid w:val="0"/>
        <w:spacing w:beforeLines="50" w:after="50"/>
        <w:rPr>
          <w:rFonts w:ascii="宋体" w:cs="宋体"/>
          <w:b/>
          <w:sz w:val="30"/>
          <w:szCs w:val="30"/>
          <w:highlight w:val="none"/>
        </w:rPr>
      </w:pPr>
      <w:r>
        <w:rPr>
          <w:rFonts w:hint="eastAsia" w:ascii="宋体" w:cs="宋体"/>
          <w:highlight w:val="none"/>
        </w:rPr>
        <w:br w:type="page"/>
      </w:r>
      <w:r>
        <w:rPr>
          <w:rFonts w:hint="eastAsia" w:ascii="宋体" w:cs="宋体"/>
          <w:sz w:val="30"/>
          <w:szCs w:val="30"/>
          <w:highlight w:val="none"/>
        </w:rPr>
        <w:t>附件7</w:t>
      </w:r>
      <w:r>
        <w:rPr>
          <w:rFonts w:hint="eastAsia" w:ascii="宋体" w:cs="宋体"/>
          <w:b/>
          <w:sz w:val="30"/>
          <w:szCs w:val="30"/>
          <w:highlight w:val="none"/>
        </w:rPr>
        <w:t xml:space="preserve">：                                     </w:t>
      </w:r>
    </w:p>
    <w:p w14:paraId="1078609C">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276F6564">
      <w:pPr>
        <w:spacing w:beforeLines="100" w:line="240" w:lineRule="atLeast"/>
        <w:jc w:val="center"/>
        <w:rPr>
          <w:rFonts w:ascii="宋体" w:cs="宋体"/>
          <w:sz w:val="36"/>
          <w:szCs w:val="36"/>
          <w:highlight w:val="none"/>
        </w:rPr>
      </w:pPr>
      <w:r>
        <w:rPr>
          <w:rFonts w:hint="eastAsia" w:ascii="宋体" w:cs="宋体"/>
          <w:sz w:val="36"/>
          <w:szCs w:val="36"/>
          <w:highlight w:val="none"/>
        </w:rPr>
        <w:t>项目编号：                   （标项  ）</w:t>
      </w:r>
    </w:p>
    <w:p w14:paraId="2F9E0D28">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技</w:t>
      </w:r>
    </w:p>
    <w:p w14:paraId="6DA6CE97">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术</w:t>
      </w:r>
    </w:p>
    <w:p w14:paraId="1A0BE4A3">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及</w:t>
      </w:r>
    </w:p>
    <w:p w14:paraId="4D5ED904">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商</w:t>
      </w:r>
    </w:p>
    <w:p w14:paraId="2B8384DA">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务</w:t>
      </w:r>
    </w:p>
    <w:p w14:paraId="14DBF38E">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55AEB207">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件</w:t>
      </w:r>
    </w:p>
    <w:p w14:paraId="6F47BBD0">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636736A3">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14:paraId="44F1CD11">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14:paraId="56571738">
      <w:pPr>
        <w:snapToGrid w:val="0"/>
        <w:spacing w:before="50" w:after="50"/>
        <w:rPr>
          <w:rFonts w:ascii="宋体" w:cs="宋体"/>
          <w:sz w:val="30"/>
          <w:szCs w:val="30"/>
          <w:highlight w:val="none"/>
        </w:rPr>
      </w:pPr>
    </w:p>
    <w:p w14:paraId="4BB5E11E">
      <w:pPr>
        <w:snapToGrid w:val="0"/>
        <w:spacing w:before="50" w:after="50"/>
        <w:rPr>
          <w:rFonts w:ascii="宋体" w:cs="宋体"/>
          <w:sz w:val="30"/>
          <w:szCs w:val="30"/>
          <w:highlight w:val="none"/>
        </w:rPr>
      </w:pPr>
    </w:p>
    <w:p w14:paraId="41A52209">
      <w:pPr>
        <w:snapToGrid w:val="0"/>
        <w:spacing w:before="50" w:after="50"/>
        <w:rPr>
          <w:rFonts w:ascii="宋体" w:cs="宋体"/>
          <w:b/>
          <w:bCs/>
          <w:sz w:val="36"/>
          <w:szCs w:val="36"/>
          <w:highlight w:val="none"/>
        </w:rPr>
      </w:pPr>
      <w:r>
        <w:rPr>
          <w:rFonts w:hint="eastAsia" w:ascii="宋体" w:cs="宋体"/>
          <w:sz w:val="36"/>
          <w:szCs w:val="36"/>
          <w:highlight w:val="none"/>
        </w:rPr>
        <w:br w:type="page"/>
      </w:r>
      <w:r>
        <w:rPr>
          <w:rFonts w:hint="eastAsia" w:ascii="宋体" w:cs="宋体"/>
          <w:sz w:val="36"/>
          <w:szCs w:val="36"/>
          <w:highlight w:val="none"/>
        </w:rPr>
        <w:t>2、</w:t>
      </w:r>
      <w:r>
        <w:rPr>
          <w:rFonts w:hint="eastAsia" w:ascii="宋体" w:cs="宋体"/>
          <w:b/>
          <w:bCs/>
          <w:sz w:val="36"/>
          <w:szCs w:val="36"/>
          <w:highlight w:val="none"/>
        </w:rPr>
        <w:t>技术及商务文件目录</w:t>
      </w:r>
    </w:p>
    <w:p w14:paraId="2F71E26D">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（1）评分对应表（格式见附件，主要用于评委对应评分内容）</w:t>
      </w:r>
    </w:p>
    <w:p w14:paraId="005ECEF8">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（2）投标项目明细清单（含货物、服务等）；</w:t>
      </w:r>
    </w:p>
    <w:p w14:paraId="15917EBA">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（3）技术响应表（格式见附件）；</w:t>
      </w:r>
    </w:p>
    <w:p w14:paraId="64D42B4D">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（4）项目总体解决方案（可包含且不限于对项目总体要求的理解、项目总体架构及技术解决方案等）；</w:t>
      </w:r>
    </w:p>
    <w:p w14:paraId="1280BB50">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（5）项目实施计划（可包含且不限于保证工期的施工组织方案及人力资源安排、项目组人员清单等）；</w:t>
      </w:r>
    </w:p>
    <w:p w14:paraId="4B836E62">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（6）列入政府采购节能环保清单的证明资料（若有）；</w:t>
      </w:r>
    </w:p>
    <w:p w14:paraId="0878D5DC">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（7）商务响应表（格式见附件）；</w:t>
      </w:r>
    </w:p>
    <w:p w14:paraId="49FBD072">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（8）售后服务计划（可包含且不限于对用户故障的响应、处理、定期巡检、备品备件、常用耗材提供、驻点人员情况等）；</w:t>
      </w:r>
    </w:p>
    <w:p w14:paraId="1ECE8047">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（9）技术培训计划（若有）；</w:t>
      </w:r>
    </w:p>
    <w:p w14:paraId="0E324CA6">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（10）投标人履约能力（可包含且不限于技术力量情况、投标人各项能力证书）；</w:t>
      </w:r>
    </w:p>
    <w:p w14:paraId="09B7DA35">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（11）案例的业绩证明（投标人业绩情况一览表、合同复印件等）；</w:t>
      </w:r>
    </w:p>
    <w:p w14:paraId="4F90740A">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（12）投标人认为需要的其他文件资料。</w:t>
      </w:r>
    </w:p>
    <w:p w14:paraId="2928DBDB">
      <w:pPr>
        <w:snapToGrid w:val="0"/>
        <w:spacing w:before="50" w:afterLines="50"/>
        <w:jc w:val="left"/>
        <w:rPr>
          <w:rFonts w:ascii="宋体" w:cs="宋体"/>
          <w:sz w:val="30"/>
          <w:szCs w:val="30"/>
          <w:highlight w:val="none"/>
        </w:rPr>
      </w:pPr>
    </w:p>
    <w:p w14:paraId="27B108CA">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附件8：</w:t>
      </w:r>
    </w:p>
    <w:p w14:paraId="0EBF9B84">
      <w:pPr>
        <w:snapToGrid w:val="0"/>
        <w:spacing w:before="50" w:after="50"/>
        <w:jc w:val="center"/>
        <w:rPr>
          <w:rFonts w:ascii="宋体" w:cs="宋体"/>
          <w:b/>
          <w:sz w:val="36"/>
          <w:szCs w:val="36"/>
          <w:highlight w:val="none"/>
        </w:rPr>
      </w:pPr>
      <w:r>
        <w:rPr>
          <w:rFonts w:hint="eastAsia" w:ascii="宋体" w:cs="宋体"/>
          <w:b/>
          <w:sz w:val="36"/>
          <w:szCs w:val="36"/>
          <w:highlight w:val="none"/>
        </w:rPr>
        <w:t>评分对应表</w:t>
      </w:r>
    </w:p>
    <w:p w14:paraId="5EB4CE30">
      <w:pPr>
        <w:snapToGrid w:val="0"/>
        <w:spacing w:before="50"/>
        <w:jc w:val="center"/>
        <w:rPr>
          <w:rFonts w:ascii="宋体" w:cs="宋体"/>
          <w:b/>
          <w:sz w:val="32"/>
          <w:szCs w:val="32"/>
          <w:highlight w:val="none"/>
        </w:rPr>
      </w:pPr>
    </w:p>
    <w:p w14:paraId="75915950">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7FA9D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CDD948F">
            <w:pPr>
              <w:snapToGrid w:val="0"/>
              <w:spacing w:beforeLines="50"/>
              <w:jc w:val="center"/>
              <w:rPr>
                <w:rFonts w:ascii="宋体" w:cs="宋体"/>
                <w:sz w:val="30"/>
                <w:szCs w:val="30"/>
                <w:highlight w:val="none"/>
              </w:rPr>
            </w:pPr>
            <w:r>
              <w:rPr>
                <w:rFonts w:hint="eastAsia" w:ascii="宋体" w:cs="宋体"/>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1EF1F8C1">
            <w:pPr>
              <w:snapToGrid w:val="0"/>
              <w:spacing w:beforeLines="50"/>
              <w:jc w:val="center"/>
              <w:rPr>
                <w:rFonts w:ascii="宋体" w:cs="宋体"/>
                <w:sz w:val="30"/>
                <w:szCs w:val="30"/>
                <w:highlight w:val="none"/>
              </w:rPr>
            </w:pPr>
            <w:r>
              <w:rPr>
                <w:rFonts w:hint="eastAsia" w:ascii="宋体" w:cs="宋体"/>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35D01D98">
            <w:pPr>
              <w:snapToGrid w:val="0"/>
              <w:spacing w:beforeLines="50"/>
              <w:jc w:val="center"/>
              <w:rPr>
                <w:rFonts w:ascii="宋体" w:cs="宋体"/>
                <w:kern w:val="0"/>
                <w:sz w:val="30"/>
                <w:szCs w:val="30"/>
                <w:highlight w:val="none"/>
              </w:rPr>
            </w:pPr>
            <w:r>
              <w:rPr>
                <w:rFonts w:hint="eastAsia" w:ascii="宋体" w:cs="宋体"/>
                <w:sz w:val="30"/>
                <w:szCs w:val="30"/>
                <w:highlight w:val="none"/>
              </w:rPr>
              <w:t>投标文件页码</w:t>
            </w:r>
          </w:p>
        </w:tc>
      </w:tr>
      <w:tr w14:paraId="49C45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DB7BF55">
            <w:pPr>
              <w:snapToGrid w:val="0"/>
              <w:rPr>
                <w:rFonts w:ascii="宋体" w:cs="宋体"/>
                <w:sz w:val="30"/>
                <w:szCs w:val="30"/>
                <w:highlight w:val="none"/>
              </w:rPr>
            </w:pPr>
            <w:r>
              <w:rPr>
                <w:rFonts w:hint="eastAsia" w:ascii="宋体" w:cs="宋体"/>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08647185">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DF2501B">
            <w:pPr>
              <w:snapToGrid w:val="0"/>
              <w:spacing w:beforeLines="50"/>
              <w:rPr>
                <w:rFonts w:ascii="宋体" w:cs="宋体"/>
                <w:sz w:val="30"/>
                <w:szCs w:val="30"/>
                <w:highlight w:val="none"/>
              </w:rPr>
            </w:pPr>
          </w:p>
        </w:tc>
      </w:tr>
      <w:tr w14:paraId="25E69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559A7D8">
            <w:pPr>
              <w:snapToGrid w:val="0"/>
              <w:rPr>
                <w:rFonts w:ascii="宋体" w:cs="宋体"/>
                <w:sz w:val="30"/>
                <w:szCs w:val="30"/>
                <w:highlight w:val="none"/>
              </w:rPr>
            </w:pPr>
            <w:r>
              <w:rPr>
                <w:rFonts w:hint="eastAsia" w:ascii="宋体" w:cs="宋体"/>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tcPr>
          <w:p w14:paraId="556CA524">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76223BC">
            <w:pPr>
              <w:snapToGrid w:val="0"/>
              <w:spacing w:beforeLines="50"/>
              <w:ind w:left="43"/>
              <w:rPr>
                <w:rFonts w:ascii="宋体" w:cs="宋体"/>
                <w:sz w:val="30"/>
                <w:szCs w:val="30"/>
                <w:highlight w:val="none"/>
              </w:rPr>
            </w:pPr>
          </w:p>
        </w:tc>
      </w:tr>
      <w:tr w14:paraId="50EB4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FD1E508">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C9EBE46">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1A076DE">
            <w:pPr>
              <w:snapToGrid w:val="0"/>
              <w:spacing w:beforeLines="50"/>
              <w:ind w:left="43"/>
              <w:rPr>
                <w:rFonts w:ascii="宋体" w:cs="宋体"/>
                <w:sz w:val="30"/>
                <w:szCs w:val="30"/>
                <w:highlight w:val="none"/>
              </w:rPr>
            </w:pPr>
          </w:p>
        </w:tc>
      </w:tr>
      <w:tr w14:paraId="5EAA8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32B413D">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0211B03">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8B5612C">
            <w:pPr>
              <w:snapToGrid w:val="0"/>
              <w:spacing w:beforeLines="50"/>
              <w:ind w:left="43"/>
              <w:rPr>
                <w:rFonts w:ascii="宋体" w:cs="宋体"/>
                <w:sz w:val="30"/>
                <w:szCs w:val="30"/>
                <w:highlight w:val="none"/>
              </w:rPr>
            </w:pPr>
          </w:p>
        </w:tc>
      </w:tr>
      <w:tr w14:paraId="474EE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AA23A9F">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1F18731">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D7982F9">
            <w:pPr>
              <w:snapToGrid w:val="0"/>
              <w:spacing w:beforeLines="50"/>
              <w:rPr>
                <w:rFonts w:ascii="宋体" w:cs="宋体"/>
                <w:sz w:val="30"/>
                <w:szCs w:val="30"/>
                <w:highlight w:val="none"/>
              </w:rPr>
            </w:pPr>
          </w:p>
        </w:tc>
      </w:tr>
      <w:tr w14:paraId="5677D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16773C5">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2E5451A">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29171EE">
            <w:pPr>
              <w:snapToGrid w:val="0"/>
              <w:spacing w:beforeLines="50"/>
              <w:rPr>
                <w:rFonts w:ascii="宋体" w:cs="宋体"/>
                <w:sz w:val="30"/>
                <w:szCs w:val="30"/>
                <w:highlight w:val="none"/>
              </w:rPr>
            </w:pPr>
          </w:p>
        </w:tc>
      </w:tr>
      <w:tr w14:paraId="16049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32AA663D">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AAE0F1C">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503C477">
            <w:pPr>
              <w:snapToGrid w:val="0"/>
              <w:spacing w:beforeLines="50"/>
              <w:rPr>
                <w:rFonts w:ascii="宋体" w:cs="宋体"/>
                <w:sz w:val="30"/>
                <w:szCs w:val="30"/>
                <w:highlight w:val="none"/>
              </w:rPr>
            </w:pPr>
          </w:p>
        </w:tc>
      </w:tr>
      <w:tr w14:paraId="390D3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6E79E4F">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F53A2E6">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993AFA1">
            <w:pPr>
              <w:snapToGrid w:val="0"/>
              <w:spacing w:beforeLines="50"/>
              <w:rPr>
                <w:rFonts w:ascii="宋体" w:cs="宋体"/>
                <w:sz w:val="30"/>
                <w:szCs w:val="30"/>
                <w:highlight w:val="none"/>
              </w:rPr>
            </w:pPr>
          </w:p>
        </w:tc>
      </w:tr>
      <w:tr w14:paraId="54C0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7DC3CEC">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3FBF3B6">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AEB8146">
            <w:pPr>
              <w:snapToGrid w:val="0"/>
              <w:spacing w:beforeLines="50"/>
              <w:rPr>
                <w:rFonts w:ascii="宋体" w:cs="宋体"/>
                <w:sz w:val="30"/>
                <w:szCs w:val="30"/>
                <w:highlight w:val="none"/>
              </w:rPr>
            </w:pPr>
          </w:p>
        </w:tc>
      </w:tr>
    </w:tbl>
    <w:p w14:paraId="3D5B4637">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1D36291C">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附件9：</w:t>
      </w:r>
    </w:p>
    <w:p w14:paraId="655AE99F">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投标项目明细清单</w:t>
      </w:r>
    </w:p>
    <w:p w14:paraId="103B7681">
      <w:pPr>
        <w:snapToGrid w:val="0"/>
        <w:spacing w:before="50" w:afterLines="50"/>
        <w:rPr>
          <w:rFonts w:ascii="宋体" w:cs="宋体"/>
          <w:b/>
          <w:spacing w:val="40"/>
          <w:kern w:val="0"/>
          <w:sz w:val="36"/>
          <w:szCs w:val="36"/>
          <w:highlight w:val="none"/>
        </w:rPr>
      </w:pPr>
    </w:p>
    <w:p w14:paraId="30457502">
      <w:pPr>
        <w:pStyle w:val="11"/>
        <w:snapToGrid w:val="0"/>
        <w:rPr>
          <w:rFonts w:ascii="宋体" w:hAnsi="宋体" w:eastAsia="宋体" w:cs="宋体"/>
          <w:kern w:val="0"/>
          <w:sz w:val="30"/>
          <w:szCs w:val="30"/>
          <w:highlight w:val="none"/>
          <w:u w:val="single"/>
        </w:rPr>
      </w:pPr>
      <w:r>
        <w:rPr>
          <w:rFonts w:hint="eastAsia" w:ascii="宋体" w:hAnsi="宋体" w:eastAsia="宋体" w:cs="宋体"/>
          <w:sz w:val="30"/>
          <w:szCs w:val="30"/>
          <w:highlight w:val="none"/>
        </w:rPr>
        <w:t>投标人全称（公章）：                标项：</w:t>
      </w:r>
    </w:p>
    <w:p w14:paraId="4A408F78">
      <w:pPr>
        <w:pStyle w:val="11"/>
        <w:snapToGrid w:val="0"/>
        <w:rPr>
          <w:rFonts w:ascii="宋体" w:hAnsi="宋体" w:eastAsia="宋体" w:cs="宋体"/>
          <w:sz w:val="30"/>
          <w:szCs w:val="30"/>
          <w:highlight w:val="none"/>
        </w:rPr>
      </w:pPr>
      <w:r>
        <w:rPr>
          <w:rFonts w:hint="eastAsia" w:ascii="宋体" w:hAnsi="宋体" w:eastAsia="宋体" w:cs="宋体"/>
          <w:sz w:val="30"/>
          <w:szCs w:val="30"/>
          <w:highlight w:val="none"/>
        </w:rPr>
        <w:t>货物类</w:t>
      </w:r>
    </w:p>
    <w:tbl>
      <w:tblPr>
        <w:tblStyle w:val="3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CA6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6EF2E74">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10BF6E4C">
            <w:pPr>
              <w:snapToGrid w:val="0"/>
              <w:spacing w:before="50" w:after="50"/>
              <w:jc w:val="center"/>
              <w:rPr>
                <w:rFonts w:ascii="宋体" w:cs="宋体"/>
                <w:sz w:val="30"/>
                <w:szCs w:val="30"/>
                <w:highlight w:val="none"/>
              </w:rPr>
            </w:pPr>
            <w:r>
              <w:rPr>
                <w:rFonts w:hint="eastAsia" w:ascii="宋体" w:cs="宋体"/>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3D90917">
            <w:pPr>
              <w:snapToGrid w:val="0"/>
              <w:spacing w:before="50" w:after="50"/>
              <w:jc w:val="center"/>
              <w:rPr>
                <w:rFonts w:ascii="宋体" w:cs="宋体"/>
                <w:sz w:val="30"/>
                <w:szCs w:val="30"/>
                <w:highlight w:val="none"/>
              </w:rPr>
            </w:pPr>
            <w:r>
              <w:rPr>
                <w:rFonts w:hint="eastAsia" w:ascii="宋体" w:cs="宋体"/>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26C4F2A">
            <w:pPr>
              <w:snapToGrid w:val="0"/>
              <w:spacing w:before="50" w:after="50"/>
              <w:jc w:val="center"/>
              <w:rPr>
                <w:rFonts w:ascii="宋体" w:cs="宋体"/>
                <w:sz w:val="30"/>
                <w:szCs w:val="30"/>
                <w:highlight w:val="none"/>
              </w:rPr>
            </w:pPr>
            <w:r>
              <w:rPr>
                <w:rFonts w:hint="eastAsia" w:ascii="宋体" w:cs="宋体"/>
                <w:sz w:val="30"/>
                <w:szCs w:val="30"/>
                <w:highlight w:val="none"/>
              </w:rPr>
              <w:t>规格</w:t>
            </w:r>
          </w:p>
          <w:p w14:paraId="51CB5EA8">
            <w:pPr>
              <w:snapToGrid w:val="0"/>
              <w:spacing w:before="50" w:after="50"/>
              <w:jc w:val="center"/>
              <w:rPr>
                <w:rFonts w:ascii="宋体" w:cs="宋体"/>
                <w:sz w:val="30"/>
                <w:szCs w:val="30"/>
                <w:highlight w:val="none"/>
              </w:rPr>
            </w:pPr>
            <w:r>
              <w:rPr>
                <w:rFonts w:hint="eastAsia" w:ascii="宋体" w:cs="宋体"/>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9308B60">
            <w:pPr>
              <w:snapToGrid w:val="0"/>
              <w:spacing w:before="50" w:after="50"/>
              <w:jc w:val="center"/>
              <w:rPr>
                <w:rFonts w:ascii="宋体" w:cs="宋体"/>
                <w:sz w:val="30"/>
                <w:szCs w:val="30"/>
                <w:highlight w:val="none"/>
              </w:rPr>
            </w:pPr>
            <w:r>
              <w:rPr>
                <w:rFonts w:hint="eastAsia" w:ascii="宋体" w:cs="宋体"/>
                <w:sz w:val="30"/>
                <w:szCs w:val="30"/>
                <w:highlight w:val="none"/>
              </w:rPr>
              <w:t>单位及</w:t>
            </w:r>
          </w:p>
          <w:p w14:paraId="371DA731">
            <w:pPr>
              <w:snapToGrid w:val="0"/>
              <w:spacing w:before="50" w:after="50"/>
              <w:jc w:val="center"/>
              <w:rPr>
                <w:rFonts w:ascii="宋体" w:cs="宋体"/>
                <w:sz w:val="30"/>
                <w:szCs w:val="30"/>
                <w:highlight w:val="none"/>
              </w:rPr>
            </w:pPr>
            <w:r>
              <w:rPr>
                <w:rFonts w:hint="eastAsia" w:ascii="宋体" w:cs="宋体"/>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45E461D">
            <w:pPr>
              <w:snapToGrid w:val="0"/>
              <w:spacing w:before="50" w:after="50"/>
              <w:jc w:val="center"/>
              <w:rPr>
                <w:rFonts w:ascii="宋体" w:cs="宋体"/>
                <w:sz w:val="30"/>
                <w:szCs w:val="30"/>
                <w:highlight w:val="none"/>
              </w:rPr>
            </w:pPr>
            <w:r>
              <w:rPr>
                <w:rFonts w:hint="eastAsia" w:ascii="宋体" w:cs="宋体"/>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D5630EA">
            <w:pPr>
              <w:snapToGrid w:val="0"/>
              <w:spacing w:before="50" w:after="50"/>
              <w:jc w:val="center"/>
              <w:rPr>
                <w:rFonts w:ascii="宋体" w:cs="宋体"/>
                <w:sz w:val="30"/>
                <w:szCs w:val="30"/>
                <w:highlight w:val="none"/>
              </w:rPr>
            </w:pPr>
            <w:r>
              <w:rPr>
                <w:rFonts w:hint="eastAsia" w:ascii="宋体" w:cs="宋体"/>
                <w:sz w:val="30"/>
                <w:szCs w:val="30"/>
                <w:highlight w:val="none"/>
              </w:rPr>
              <w:t>产地</w:t>
            </w:r>
          </w:p>
        </w:tc>
      </w:tr>
      <w:tr w14:paraId="2A418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F9CF44">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787E4BBA">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FF3755B">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70B9ADD">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0C21877">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1DF3FCD">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3875B16">
            <w:pPr>
              <w:snapToGrid w:val="0"/>
              <w:spacing w:before="50" w:after="50"/>
              <w:jc w:val="center"/>
              <w:rPr>
                <w:rFonts w:ascii="宋体" w:cs="宋体"/>
                <w:sz w:val="30"/>
                <w:szCs w:val="30"/>
                <w:highlight w:val="none"/>
              </w:rPr>
            </w:pPr>
          </w:p>
        </w:tc>
      </w:tr>
      <w:tr w14:paraId="06B83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7286DC5">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24D8568">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893FF54">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166E8AD">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55E8986">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014B9E0">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62D2861">
            <w:pPr>
              <w:snapToGrid w:val="0"/>
              <w:spacing w:before="50" w:after="50"/>
              <w:jc w:val="center"/>
              <w:rPr>
                <w:rFonts w:ascii="宋体" w:cs="宋体"/>
                <w:sz w:val="30"/>
                <w:szCs w:val="30"/>
                <w:highlight w:val="none"/>
              </w:rPr>
            </w:pPr>
          </w:p>
        </w:tc>
      </w:tr>
    </w:tbl>
    <w:p w14:paraId="49456FCD">
      <w:pPr>
        <w:snapToGrid w:val="0"/>
        <w:spacing w:beforeLines="50"/>
        <w:rPr>
          <w:rFonts w:ascii="宋体" w:cs="宋体"/>
          <w:sz w:val="30"/>
          <w:szCs w:val="30"/>
          <w:highlight w:val="none"/>
        </w:rPr>
      </w:pPr>
      <w:r>
        <w:rPr>
          <w:rFonts w:hint="eastAsia" w:ascii="宋体" w:cs="宋体"/>
          <w:sz w:val="30"/>
          <w:szCs w:val="30"/>
          <w:highlight w:val="none"/>
        </w:rPr>
        <w:t>服务类</w:t>
      </w:r>
    </w:p>
    <w:tbl>
      <w:tblPr>
        <w:tblStyle w:val="3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7CB8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7D963D5">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46F590FF">
            <w:pPr>
              <w:snapToGrid w:val="0"/>
              <w:spacing w:before="50" w:after="50"/>
              <w:jc w:val="center"/>
              <w:rPr>
                <w:rFonts w:ascii="宋体" w:cs="宋体"/>
                <w:sz w:val="30"/>
                <w:szCs w:val="30"/>
                <w:highlight w:val="none"/>
              </w:rPr>
            </w:pPr>
            <w:r>
              <w:rPr>
                <w:rFonts w:hint="eastAsia" w:ascii="宋体" w:cs="宋体"/>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75EE03C3">
            <w:pPr>
              <w:snapToGrid w:val="0"/>
              <w:spacing w:before="50" w:after="50"/>
              <w:jc w:val="center"/>
              <w:rPr>
                <w:rFonts w:ascii="宋体" w:cs="宋体"/>
                <w:sz w:val="30"/>
                <w:szCs w:val="30"/>
                <w:highlight w:val="none"/>
              </w:rPr>
            </w:pPr>
            <w:r>
              <w:rPr>
                <w:rFonts w:hint="eastAsia" w:ascii="宋体" w:cs="宋体"/>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6DB062C3">
            <w:pPr>
              <w:snapToGrid w:val="0"/>
              <w:spacing w:before="50" w:after="50"/>
              <w:jc w:val="center"/>
              <w:rPr>
                <w:rFonts w:ascii="宋体" w:cs="宋体"/>
                <w:sz w:val="30"/>
                <w:szCs w:val="30"/>
                <w:highlight w:val="none"/>
              </w:rPr>
            </w:pPr>
            <w:r>
              <w:rPr>
                <w:rFonts w:hint="eastAsia" w:ascii="宋体" w:cs="宋体"/>
                <w:sz w:val="30"/>
                <w:szCs w:val="30"/>
                <w:highlight w:val="none"/>
              </w:rPr>
              <w:t>工作量</w:t>
            </w:r>
          </w:p>
        </w:tc>
      </w:tr>
      <w:tr w14:paraId="4E51D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0E2BC44">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3F10EC21">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2346A4F">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3D5C700">
            <w:pPr>
              <w:snapToGrid w:val="0"/>
              <w:spacing w:before="50" w:after="50"/>
              <w:jc w:val="center"/>
              <w:rPr>
                <w:rFonts w:ascii="宋体" w:cs="宋体"/>
                <w:sz w:val="30"/>
                <w:szCs w:val="30"/>
                <w:highlight w:val="none"/>
              </w:rPr>
            </w:pPr>
          </w:p>
        </w:tc>
      </w:tr>
      <w:tr w14:paraId="67C2B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EB0AEE4">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ADA516C">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1A014FB9">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04863235">
            <w:pPr>
              <w:snapToGrid w:val="0"/>
              <w:spacing w:before="50" w:after="50"/>
              <w:jc w:val="center"/>
              <w:rPr>
                <w:rFonts w:ascii="宋体" w:cs="宋体"/>
                <w:sz w:val="30"/>
                <w:szCs w:val="30"/>
                <w:highlight w:val="none"/>
              </w:rPr>
            </w:pPr>
          </w:p>
        </w:tc>
      </w:tr>
    </w:tbl>
    <w:p w14:paraId="697EECDE">
      <w:pPr>
        <w:snapToGrid w:val="0"/>
        <w:spacing w:beforeLines="50"/>
        <w:rPr>
          <w:rFonts w:ascii="宋体" w:cs="宋体"/>
          <w:sz w:val="30"/>
          <w:szCs w:val="30"/>
          <w:highlight w:val="none"/>
        </w:rPr>
      </w:pPr>
      <w:r>
        <w:rPr>
          <w:rFonts w:hint="eastAsia" w:ascii="宋体" w:cs="宋体"/>
          <w:sz w:val="30"/>
          <w:szCs w:val="30"/>
          <w:highlight w:val="none"/>
        </w:rPr>
        <w:t>注：在填写时，如上表不适合本项目的实际情况，可在确保投标明细内容完整的情况下，根据上表格式自行划表填写。</w:t>
      </w:r>
    </w:p>
    <w:p w14:paraId="7AB49263">
      <w:pPr>
        <w:snapToGrid w:val="0"/>
        <w:spacing w:beforeLines="50"/>
        <w:rPr>
          <w:rFonts w:ascii="宋体" w:cs="宋体"/>
          <w:sz w:val="30"/>
          <w:szCs w:val="30"/>
          <w:highlight w:val="none"/>
        </w:rPr>
      </w:pPr>
    </w:p>
    <w:p w14:paraId="0F9B8F04">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3422BC73">
      <w:pPr>
        <w:snapToGrid w:val="0"/>
        <w:spacing w:before="50" w:after="50"/>
        <w:rPr>
          <w:rFonts w:ascii="宋体" w:cs="宋体"/>
          <w:spacing w:val="20"/>
          <w:sz w:val="30"/>
          <w:szCs w:val="30"/>
          <w:highlight w:val="none"/>
        </w:rPr>
      </w:pPr>
    </w:p>
    <w:p w14:paraId="63C270E4">
      <w:pPr>
        <w:snapToGrid w:val="0"/>
        <w:spacing w:before="50" w:after="50"/>
        <w:rPr>
          <w:rFonts w:ascii="宋体" w:cs="宋体"/>
          <w:sz w:val="30"/>
          <w:szCs w:val="30"/>
          <w:highlight w:val="none"/>
        </w:rPr>
      </w:pPr>
      <w:r>
        <w:rPr>
          <w:rFonts w:hint="eastAsia" w:ascii="宋体" w:cs="宋体"/>
          <w:spacing w:val="20"/>
          <w:sz w:val="30"/>
          <w:szCs w:val="30"/>
          <w:highlight w:val="none"/>
        </w:rPr>
        <w:br w:type="page"/>
      </w:r>
      <w:r>
        <w:rPr>
          <w:rFonts w:hint="eastAsia" w:ascii="宋体" w:cs="宋体"/>
          <w:sz w:val="30"/>
          <w:szCs w:val="30"/>
          <w:highlight w:val="none"/>
        </w:rPr>
        <w:t>附件10：</w:t>
      </w:r>
    </w:p>
    <w:p w14:paraId="7D5DB0FB">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技 术 响 应 表</w:t>
      </w:r>
    </w:p>
    <w:p w14:paraId="6D940D55">
      <w:pPr>
        <w:snapToGrid w:val="0"/>
        <w:spacing w:before="50" w:afterLines="50"/>
        <w:rPr>
          <w:rFonts w:ascii="宋体" w:cs="宋体"/>
          <w:b/>
          <w:sz w:val="32"/>
          <w:szCs w:val="32"/>
          <w:highlight w:val="none"/>
        </w:rPr>
      </w:pPr>
    </w:p>
    <w:p w14:paraId="2B2F5DBF">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4BA62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15943FDD">
            <w:pPr>
              <w:snapToGrid w:val="0"/>
              <w:spacing w:before="50" w:afterLines="50"/>
              <w:jc w:val="center"/>
              <w:rPr>
                <w:rFonts w:ascii="宋体" w:cs="宋体"/>
                <w:sz w:val="30"/>
                <w:szCs w:val="30"/>
                <w:highlight w:val="none"/>
              </w:rPr>
            </w:pPr>
            <w:r>
              <w:rPr>
                <w:rFonts w:hint="eastAsia" w:ascii="宋体" w:cs="宋体"/>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04FC1F4C">
            <w:pPr>
              <w:snapToGrid w:val="0"/>
              <w:spacing w:before="50" w:afterLines="50"/>
              <w:jc w:val="center"/>
              <w:rPr>
                <w:rFonts w:ascii="宋体" w:cs="宋体"/>
                <w:sz w:val="30"/>
                <w:szCs w:val="30"/>
                <w:highlight w:val="none"/>
              </w:rPr>
            </w:pPr>
            <w:r>
              <w:rPr>
                <w:rFonts w:hint="eastAsia" w:ascii="宋体" w:cs="宋体"/>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7694195B">
            <w:pPr>
              <w:snapToGrid w:val="0"/>
              <w:spacing w:before="50" w:afterLines="50"/>
              <w:jc w:val="center"/>
              <w:rPr>
                <w:rFonts w:ascii="宋体" w:cs="宋体"/>
                <w:kern w:val="0"/>
                <w:sz w:val="30"/>
                <w:szCs w:val="30"/>
                <w:highlight w:val="none"/>
              </w:rPr>
            </w:pPr>
            <w:r>
              <w:rPr>
                <w:rFonts w:hint="eastAsia" w:ascii="宋体" w:cs="宋体"/>
                <w:sz w:val="30"/>
                <w:szCs w:val="30"/>
                <w:highlight w:val="none"/>
              </w:rPr>
              <w:t xml:space="preserve">偏离情况      </w:t>
            </w:r>
          </w:p>
        </w:tc>
      </w:tr>
      <w:tr w14:paraId="0CB1D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39BAA4B">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338F943">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041DA94E">
            <w:pPr>
              <w:pStyle w:val="21"/>
              <w:snapToGrid w:val="0"/>
              <w:spacing w:before="120" w:after="120"/>
              <w:outlineLvl w:val="0"/>
              <w:rPr>
                <w:rFonts w:hAnsi="宋体" w:cs="宋体"/>
                <w:sz w:val="30"/>
                <w:szCs w:val="30"/>
                <w:highlight w:val="none"/>
                <w:lang w:val="en-US" w:eastAsia="zh-CN"/>
              </w:rPr>
            </w:pPr>
          </w:p>
        </w:tc>
      </w:tr>
      <w:tr w14:paraId="73A02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162A910D">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1D3CE089">
            <w:pPr>
              <w:pStyle w:val="21"/>
              <w:snapToGrid w:val="0"/>
              <w:spacing w:before="120" w:after="12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6F695B4">
            <w:pPr>
              <w:pStyle w:val="21"/>
              <w:snapToGrid w:val="0"/>
              <w:spacing w:before="120" w:after="120"/>
              <w:rPr>
                <w:rFonts w:hAnsi="宋体" w:cs="宋体"/>
                <w:sz w:val="30"/>
                <w:szCs w:val="30"/>
                <w:highlight w:val="none"/>
                <w:lang w:val="en-US" w:eastAsia="zh-CN"/>
              </w:rPr>
            </w:pPr>
          </w:p>
        </w:tc>
      </w:tr>
      <w:tr w14:paraId="5CA4C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89B4964">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150845FC">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39B5BBB">
            <w:pPr>
              <w:pStyle w:val="21"/>
              <w:snapToGrid w:val="0"/>
              <w:spacing w:before="120" w:after="120"/>
              <w:outlineLvl w:val="0"/>
              <w:rPr>
                <w:rFonts w:hAnsi="宋体" w:cs="宋体"/>
                <w:sz w:val="30"/>
                <w:szCs w:val="30"/>
                <w:highlight w:val="none"/>
                <w:lang w:val="en-US" w:eastAsia="zh-CN"/>
              </w:rPr>
            </w:pPr>
          </w:p>
        </w:tc>
      </w:tr>
      <w:tr w14:paraId="2BBDC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C0B50CA">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4E137B16">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nil"/>
              <w:right w:val="single" w:color="auto" w:sz="4" w:space="0"/>
            </w:tcBorders>
            <w:noWrap/>
          </w:tcPr>
          <w:p w14:paraId="79F333FF">
            <w:pPr>
              <w:pStyle w:val="21"/>
              <w:snapToGrid w:val="0"/>
              <w:spacing w:before="120" w:after="120"/>
              <w:outlineLvl w:val="0"/>
              <w:rPr>
                <w:rFonts w:hAnsi="宋体" w:cs="宋体"/>
                <w:sz w:val="30"/>
                <w:szCs w:val="30"/>
                <w:highlight w:val="none"/>
                <w:lang w:val="en-US" w:eastAsia="zh-CN"/>
              </w:rPr>
            </w:pPr>
          </w:p>
        </w:tc>
      </w:tr>
      <w:tr w14:paraId="1CD6C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14243994">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5B099630">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082E9152">
            <w:pPr>
              <w:pStyle w:val="21"/>
              <w:snapToGrid w:val="0"/>
              <w:spacing w:before="120" w:after="120"/>
              <w:outlineLvl w:val="0"/>
              <w:rPr>
                <w:rFonts w:hAnsi="宋体" w:cs="宋体"/>
                <w:sz w:val="30"/>
                <w:szCs w:val="30"/>
                <w:highlight w:val="none"/>
                <w:lang w:val="en-US" w:eastAsia="zh-CN"/>
              </w:rPr>
            </w:pPr>
          </w:p>
        </w:tc>
      </w:tr>
      <w:tr w14:paraId="3F62B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C6216BF">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2BAB9F9F">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650F67D">
            <w:pPr>
              <w:pStyle w:val="21"/>
              <w:snapToGrid w:val="0"/>
              <w:spacing w:before="120" w:after="120"/>
              <w:outlineLvl w:val="0"/>
              <w:rPr>
                <w:rFonts w:hAnsi="宋体" w:cs="宋体"/>
                <w:sz w:val="30"/>
                <w:szCs w:val="30"/>
                <w:highlight w:val="none"/>
                <w:lang w:val="en-US" w:eastAsia="zh-CN"/>
              </w:rPr>
            </w:pPr>
          </w:p>
        </w:tc>
      </w:tr>
    </w:tbl>
    <w:p w14:paraId="30605A5B">
      <w:pPr>
        <w:pStyle w:val="15"/>
        <w:rPr>
          <w:rFonts w:ascii="宋体" w:eastAsia="宋体" w:cs="宋体"/>
          <w:spacing w:val="20"/>
          <w:kern w:val="0"/>
          <w:sz w:val="30"/>
          <w:szCs w:val="30"/>
          <w:highlight w:val="none"/>
        </w:rPr>
      </w:pPr>
      <w:r>
        <w:rPr>
          <w:rFonts w:hint="eastAsia" w:ascii="宋体" w:eastAsia="宋体" w:cs="宋体"/>
          <w:sz w:val="30"/>
          <w:szCs w:val="30"/>
          <w:highlight w:val="none"/>
        </w:rPr>
        <w:t>注：投标人应根据投标设备的性能指标、对照招标文件要求在“偏离情况”栏注明“正偏离”、“负偏离”或“无偏离”。</w:t>
      </w:r>
    </w:p>
    <w:p w14:paraId="2191C004">
      <w:pPr>
        <w:snapToGrid w:val="0"/>
        <w:spacing w:before="50" w:after="50"/>
        <w:rPr>
          <w:rFonts w:ascii="宋体" w:cs="宋体"/>
          <w:spacing w:val="20"/>
          <w:sz w:val="30"/>
          <w:szCs w:val="30"/>
          <w:highlight w:val="none"/>
        </w:rPr>
      </w:pPr>
    </w:p>
    <w:p w14:paraId="77743C9D">
      <w:pPr>
        <w:snapToGrid w:val="0"/>
        <w:spacing w:before="50" w:after="50"/>
        <w:rPr>
          <w:rFonts w:ascii="宋体" w:cs="宋体"/>
          <w:sz w:val="30"/>
          <w:szCs w:val="30"/>
          <w:highlight w:val="none"/>
        </w:rPr>
      </w:pPr>
      <w:r>
        <w:rPr>
          <w:rFonts w:hint="eastAsia" w:ascii="宋体" w:cs="宋体"/>
          <w:spacing w:val="20"/>
          <w:sz w:val="30"/>
          <w:szCs w:val="30"/>
          <w:highlight w:val="none"/>
        </w:rPr>
        <w:t>授权代表签名：          日 期：</w:t>
      </w:r>
    </w:p>
    <w:p w14:paraId="501B7B3D">
      <w:pPr>
        <w:snapToGrid w:val="0"/>
        <w:spacing w:before="50" w:afterLines="50"/>
        <w:jc w:val="left"/>
        <w:rPr>
          <w:rFonts w:ascii="宋体" w:cs="宋体"/>
          <w:sz w:val="30"/>
          <w:szCs w:val="30"/>
          <w:highlight w:val="none"/>
        </w:rPr>
      </w:pPr>
    </w:p>
    <w:p w14:paraId="2F6604AC">
      <w:pPr>
        <w:snapToGrid w:val="0"/>
        <w:spacing w:before="50" w:after="50"/>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附件11：</w:t>
      </w:r>
    </w:p>
    <w:p w14:paraId="2E6AA564">
      <w:pPr>
        <w:snapToGrid w:val="0"/>
        <w:spacing w:before="50" w:afterLines="50"/>
        <w:jc w:val="center"/>
        <w:rPr>
          <w:rFonts w:ascii="宋体" w:cs="宋体"/>
          <w:b/>
          <w:kern w:val="0"/>
          <w:sz w:val="36"/>
          <w:szCs w:val="36"/>
          <w:highlight w:val="none"/>
        </w:rPr>
      </w:pPr>
      <w:r>
        <w:rPr>
          <w:rFonts w:hint="eastAsia" w:ascii="宋体" w:cs="宋体"/>
          <w:b/>
          <w:kern w:val="0"/>
          <w:sz w:val="36"/>
          <w:szCs w:val="36"/>
          <w:highlight w:val="none"/>
        </w:rPr>
        <w:t>项目组人员清单</w:t>
      </w:r>
    </w:p>
    <w:p w14:paraId="46CF04E1">
      <w:pPr>
        <w:snapToGrid w:val="0"/>
        <w:spacing w:beforeLines="50" w:after="50"/>
        <w:rPr>
          <w:rFonts w:ascii="宋体" w:cs="宋体"/>
          <w:b/>
          <w:sz w:val="30"/>
          <w:szCs w:val="30"/>
          <w:highlight w:val="none"/>
        </w:rPr>
      </w:pPr>
    </w:p>
    <w:p w14:paraId="52A11FFF">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774B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3BFDA749">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537BAF3">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336EC53">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专业技</w:t>
            </w:r>
          </w:p>
          <w:p w14:paraId="0B6828E9">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5B9D5134">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证书</w:t>
            </w:r>
          </w:p>
          <w:p w14:paraId="731B8720">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6C9CAADA">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75A332CA">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劳动合</w:t>
            </w:r>
          </w:p>
          <w:p w14:paraId="0E9C22C4">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同编号</w:t>
            </w:r>
          </w:p>
        </w:tc>
      </w:tr>
      <w:tr w14:paraId="38891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733CF55">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85E263E">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D465335">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62C218B">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3F18139">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3B760CC">
            <w:pPr>
              <w:snapToGrid w:val="0"/>
              <w:spacing w:beforeLines="50" w:after="50" w:line="460" w:lineRule="exact"/>
              <w:rPr>
                <w:rFonts w:ascii="宋体" w:cs="宋体"/>
                <w:b/>
                <w:bCs/>
                <w:kern w:val="0"/>
                <w:sz w:val="30"/>
                <w:szCs w:val="30"/>
                <w:highlight w:val="none"/>
              </w:rPr>
            </w:pPr>
          </w:p>
        </w:tc>
      </w:tr>
      <w:tr w14:paraId="5D270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9C9D7D7">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8CDEE98">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F7105F">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8AADE8">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F87B3DE">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70A67A">
            <w:pPr>
              <w:snapToGrid w:val="0"/>
              <w:spacing w:beforeLines="50" w:after="50" w:line="460" w:lineRule="exact"/>
              <w:rPr>
                <w:rFonts w:ascii="宋体" w:cs="宋体"/>
                <w:b/>
                <w:bCs/>
                <w:kern w:val="0"/>
                <w:sz w:val="30"/>
                <w:szCs w:val="30"/>
                <w:highlight w:val="none"/>
              </w:rPr>
            </w:pPr>
          </w:p>
        </w:tc>
      </w:tr>
      <w:tr w14:paraId="6AF0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38BB8CD">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7793A7F">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214B2DD">
            <w:pPr>
              <w:pStyle w:val="22"/>
              <w:snapToGrid w:val="0"/>
              <w:spacing w:beforeLines="50" w:after="50" w:line="460" w:lineRule="exact"/>
              <w:ind w:left="5250"/>
              <w:rPr>
                <w:rFonts w:ascii="宋体" w:eastAsia="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C26395">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6F49BA9">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FC6A39D">
            <w:pPr>
              <w:snapToGrid w:val="0"/>
              <w:spacing w:beforeLines="50" w:after="50" w:line="460" w:lineRule="exact"/>
              <w:rPr>
                <w:rFonts w:ascii="宋体" w:cs="宋体"/>
                <w:b/>
                <w:bCs/>
                <w:kern w:val="0"/>
                <w:sz w:val="30"/>
                <w:szCs w:val="30"/>
                <w:highlight w:val="none"/>
              </w:rPr>
            </w:pPr>
          </w:p>
        </w:tc>
      </w:tr>
      <w:tr w14:paraId="4D5EA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8E4C8A0">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EA9E019">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0B13F7B">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A03B47">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866378D">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3F74036">
            <w:pPr>
              <w:snapToGrid w:val="0"/>
              <w:spacing w:beforeLines="50" w:after="50" w:line="460" w:lineRule="exact"/>
              <w:rPr>
                <w:rFonts w:ascii="宋体" w:cs="宋体"/>
                <w:b/>
                <w:bCs/>
                <w:kern w:val="0"/>
                <w:sz w:val="30"/>
                <w:szCs w:val="30"/>
                <w:highlight w:val="none"/>
              </w:rPr>
            </w:pPr>
          </w:p>
        </w:tc>
      </w:tr>
      <w:tr w14:paraId="5EAD5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7EDCEB8">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F3F97D">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714D02C">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A935987">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50ED7F">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76E8968">
            <w:pPr>
              <w:snapToGrid w:val="0"/>
              <w:spacing w:beforeLines="50" w:after="50" w:line="460" w:lineRule="exact"/>
              <w:rPr>
                <w:rFonts w:ascii="宋体" w:cs="宋体"/>
                <w:b/>
                <w:bCs/>
                <w:kern w:val="0"/>
                <w:sz w:val="30"/>
                <w:szCs w:val="30"/>
                <w:highlight w:val="none"/>
              </w:rPr>
            </w:pPr>
          </w:p>
        </w:tc>
      </w:tr>
      <w:tr w14:paraId="43A8F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278DA3D">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F292E2C">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23DE3D9">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E1943F">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FA363AE">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475F36C">
            <w:pPr>
              <w:snapToGrid w:val="0"/>
              <w:spacing w:beforeLines="50" w:after="50" w:line="460" w:lineRule="exact"/>
              <w:rPr>
                <w:rFonts w:ascii="宋体" w:cs="宋体"/>
                <w:b/>
                <w:bCs/>
                <w:kern w:val="0"/>
                <w:sz w:val="30"/>
                <w:szCs w:val="30"/>
                <w:highlight w:val="none"/>
              </w:rPr>
            </w:pPr>
          </w:p>
        </w:tc>
      </w:tr>
      <w:tr w14:paraId="29F09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4C34B53">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A7086A">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9592647">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B10BF">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16D4A03">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2A421B3">
            <w:pPr>
              <w:snapToGrid w:val="0"/>
              <w:spacing w:beforeLines="50" w:after="50" w:line="460" w:lineRule="exact"/>
              <w:rPr>
                <w:rFonts w:ascii="宋体" w:cs="宋体"/>
                <w:b/>
                <w:bCs/>
                <w:kern w:val="0"/>
                <w:sz w:val="30"/>
                <w:szCs w:val="30"/>
                <w:highlight w:val="none"/>
              </w:rPr>
            </w:pPr>
          </w:p>
        </w:tc>
      </w:tr>
      <w:tr w14:paraId="6893F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AACF430">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7FAF5E2">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98C61D">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FE3630">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5F21BA0">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91F8A91">
            <w:pPr>
              <w:snapToGrid w:val="0"/>
              <w:spacing w:beforeLines="50" w:after="50" w:line="460" w:lineRule="exact"/>
              <w:rPr>
                <w:rFonts w:ascii="宋体" w:cs="宋体"/>
                <w:b/>
                <w:bCs/>
                <w:kern w:val="0"/>
                <w:sz w:val="30"/>
                <w:szCs w:val="30"/>
                <w:highlight w:val="none"/>
              </w:rPr>
            </w:pPr>
          </w:p>
        </w:tc>
      </w:tr>
      <w:tr w14:paraId="64DD0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F0C0775">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E65C047">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807BA15">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3336714">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8670F32">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ECBFDAE">
            <w:pPr>
              <w:snapToGrid w:val="0"/>
              <w:spacing w:beforeLines="50" w:after="50" w:line="460" w:lineRule="exact"/>
              <w:rPr>
                <w:rFonts w:ascii="宋体" w:cs="宋体"/>
                <w:b/>
                <w:bCs/>
                <w:kern w:val="0"/>
                <w:sz w:val="30"/>
                <w:szCs w:val="30"/>
                <w:highlight w:val="none"/>
              </w:rPr>
            </w:pPr>
          </w:p>
        </w:tc>
      </w:tr>
    </w:tbl>
    <w:p w14:paraId="7F41EC6D">
      <w:pPr>
        <w:snapToGrid w:val="0"/>
        <w:spacing w:before="50" w:afterLines="50" w:line="460" w:lineRule="exact"/>
        <w:jc w:val="left"/>
        <w:rPr>
          <w:rFonts w:ascii="宋体" w:cs="宋体"/>
          <w:sz w:val="30"/>
          <w:szCs w:val="30"/>
          <w:highlight w:val="none"/>
        </w:rPr>
      </w:pPr>
      <w:r>
        <w:rPr>
          <w:rFonts w:hint="eastAsia" w:ascii="宋体" w:cs="宋体"/>
          <w:sz w:val="30"/>
          <w:szCs w:val="30"/>
          <w:highlight w:val="none"/>
        </w:rPr>
        <w:t xml:space="preserve">注：在填写时，如本表格不适合投标单位的实际情况，可根据本表格式自行划表填写。 </w:t>
      </w:r>
    </w:p>
    <w:p w14:paraId="07EF31D4">
      <w:pPr>
        <w:snapToGrid w:val="0"/>
        <w:spacing w:before="50" w:afterLines="50" w:line="460" w:lineRule="exact"/>
        <w:jc w:val="left"/>
        <w:rPr>
          <w:rFonts w:ascii="宋体" w:cs="宋体"/>
          <w:sz w:val="30"/>
          <w:szCs w:val="30"/>
          <w:highlight w:val="none"/>
        </w:rPr>
      </w:pPr>
    </w:p>
    <w:p w14:paraId="382271BE">
      <w:pPr>
        <w:snapToGrid w:val="0"/>
        <w:spacing w:before="50" w:after="50" w:line="460" w:lineRule="exact"/>
        <w:rPr>
          <w:rFonts w:ascii="宋体" w:cs="宋体"/>
          <w:spacing w:val="20"/>
          <w:sz w:val="30"/>
          <w:szCs w:val="30"/>
          <w:highlight w:val="none"/>
          <w:u w:val="single"/>
        </w:rPr>
      </w:pPr>
      <w:r>
        <w:rPr>
          <w:rFonts w:hint="eastAsia" w:ascii="宋体" w:cs="宋体"/>
          <w:spacing w:val="20"/>
          <w:sz w:val="30"/>
          <w:szCs w:val="30"/>
          <w:highlight w:val="none"/>
        </w:rPr>
        <w:t>授权代表签名： 日  期：</w:t>
      </w:r>
    </w:p>
    <w:p w14:paraId="0ACDB81C">
      <w:pPr>
        <w:snapToGrid w:val="0"/>
        <w:spacing w:before="50" w:afterLines="50" w:line="460" w:lineRule="exact"/>
        <w:jc w:val="left"/>
        <w:rPr>
          <w:rFonts w:ascii="宋体" w:cs="宋体"/>
          <w:sz w:val="30"/>
          <w:szCs w:val="30"/>
          <w:highlight w:val="none"/>
        </w:rPr>
      </w:pPr>
    </w:p>
    <w:p w14:paraId="2A8BBD3B">
      <w:pPr>
        <w:pStyle w:val="21"/>
        <w:snapToGrid w:val="0"/>
        <w:spacing w:before="120" w:after="120" w:line="460" w:lineRule="exact"/>
        <w:rPr>
          <w:rFonts w:hAnsi="宋体" w:cs="宋体"/>
          <w:sz w:val="30"/>
          <w:szCs w:val="30"/>
          <w:highlight w:val="none"/>
        </w:rPr>
      </w:pPr>
    </w:p>
    <w:p w14:paraId="36336741">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附件12：</w:t>
      </w:r>
    </w:p>
    <w:p w14:paraId="446F5C7D">
      <w:pPr>
        <w:snapToGrid w:val="0"/>
        <w:spacing w:before="50" w:after="50"/>
        <w:jc w:val="center"/>
        <w:rPr>
          <w:rFonts w:ascii="宋体" w:cs="宋体"/>
          <w:b/>
          <w:sz w:val="36"/>
          <w:szCs w:val="36"/>
          <w:highlight w:val="none"/>
        </w:rPr>
      </w:pPr>
      <w:r>
        <w:rPr>
          <w:rFonts w:hint="eastAsia" w:ascii="宋体" w:cs="宋体"/>
          <w:b/>
          <w:sz w:val="36"/>
          <w:szCs w:val="36"/>
          <w:highlight w:val="none"/>
        </w:rPr>
        <w:t>商务响应表</w:t>
      </w:r>
    </w:p>
    <w:p w14:paraId="1B0EE95F">
      <w:pPr>
        <w:snapToGrid w:val="0"/>
        <w:spacing w:before="50"/>
        <w:jc w:val="center"/>
        <w:rPr>
          <w:rFonts w:ascii="宋体" w:cs="宋体"/>
          <w:b/>
          <w:sz w:val="32"/>
          <w:szCs w:val="32"/>
          <w:highlight w:val="none"/>
        </w:rPr>
      </w:pPr>
    </w:p>
    <w:p w14:paraId="57757DD9">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7EA42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35207030">
            <w:pPr>
              <w:snapToGrid w:val="0"/>
              <w:spacing w:beforeLines="50"/>
              <w:jc w:val="center"/>
              <w:rPr>
                <w:rFonts w:ascii="宋体" w:cs="宋体"/>
                <w:sz w:val="30"/>
                <w:szCs w:val="30"/>
                <w:highlight w:val="none"/>
              </w:rPr>
            </w:pPr>
            <w:r>
              <w:rPr>
                <w:rFonts w:hint="eastAsia" w:ascii="宋体" w:cs="宋体"/>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79F035AD">
            <w:pPr>
              <w:snapToGrid w:val="0"/>
              <w:spacing w:beforeLines="50"/>
              <w:jc w:val="center"/>
              <w:rPr>
                <w:rFonts w:ascii="宋体" w:cs="宋体"/>
                <w:sz w:val="30"/>
                <w:szCs w:val="30"/>
                <w:highlight w:val="none"/>
              </w:rPr>
            </w:pPr>
            <w:r>
              <w:rPr>
                <w:rFonts w:hint="eastAsia" w:ascii="宋体" w:cs="宋体"/>
                <w:sz w:val="30"/>
                <w:szCs w:val="30"/>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6A474862">
            <w:pPr>
              <w:snapToGrid w:val="0"/>
              <w:spacing w:beforeLines="50"/>
              <w:jc w:val="center"/>
              <w:rPr>
                <w:rFonts w:ascii="宋体" w:cs="宋体"/>
                <w:kern w:val="0"/>
                <w:sz w:val="30"/>
                <w:szCs w:val="30"/>
                <w:highlight w:val="none"/>
              </w:rPr>
            </w:pPr>
            <w:r>
              <w:rPr>
                <w:rFonts w:hint="eastAsia" w:ascii="宋体" w:cs="宋体"/>
                <w:sz w:val="30"/>
                <w:szCs w:val="30"/>
                <w:highlight w:val="none"/>
              </w:rPr>
              <w:t>是否</w:t>
            </w:r>
          </w:p>
          <w:p w14:paraId="4A941B4D">
            <w:pPr>
              <w:snapToGrid w:val="0"/>
              <w:spacing w:beforeLines="50"/>
              <w:jc w:val="center"/>
              <w:rPr>
                <w:rFonts w:ascii="宋体" w:cs="宋体"/>
                <w:kern w:val="0"/>
                <w:sz w:val="30"/>
                <w:szCs w:val="30"/>
                <w:highlight w:val="none"/>
              </w:rPr>
            </w:pPr>
            <w:r>
              <w:rPr>
                <w:rFonts w:hint="eastAsia" w:ascii="宋体" w:cs="宋体"/>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461BB694">
            <w:pPr>
              <w:snapToGrid w:val="0"/>
              <w:spacing w:beforeLines="50"/>
              <w:jc w:val="center"/>
              <w:rPr>
                <w:rFonts w:ascii="宋体" w:cs="宋体"/>
                <w:kern w:val="0"/>
                <w:sz w:val="30"/>
                <w:szCs w:val="30"/>
                <w:highlight w:val="none"/>
              </w:rPr>
            </w:pPr>
            <w:r>
              <w:rPr>
                <w:rFonts w:hint="eastAsia" w:ascii="宋体" w:cs="宋体"/>
                <w:sz w:val="30"/>
                <w:szCs w:val="30"/>
                <w:highlight w:val="none"/>
              </w:rPr>
              <w:t>投标人的承诺或说明</w:t>
            </w:r>
          </w:p>
        </w:tc>
      </w:tr>
      <w:tr w14:paraId="394A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0788127">
            <w:pPr>
              <w:snapToGrid w:val="0"/>
              <w:jc w:val="left"/>
              <w:rPr>
                <w:rFonts w:ascii="宋体" w:cs="宋体"/>
                <w:sz w:val="28"/>
                <w:szCs w:val="28"/>
                <w:highlight w:val="none"/>
              </w:rPr>
            </w:pPr>
            <w:r>
              <w:rPr>
                <w:rFonts w:hint="eastAsia" w:ascii="宋体" w:cs="宋体"/>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3FD91903">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7B2DDC">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354DFD2D">
            <w:pPr>
              <w:snapToGrid w:val="0"/>
              <w:spacing w:beforeLines="50"/>
              <w:rPr>
                <w:rFonts w:ascii="宋体" w:cs="宋体"/>
                <w:sz w:val="30"/>
                <w:szCs w:val="30"/>
                <w:highlight w:val="none"/>
              </w:rPr>
            </w:pPr>
          </w:p>
        </w:tc>
      </w:tr>
      <w:tr w14:paraId="5C8EB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183C7D39">
            <w:pPr>
              <w:snapToGrid w:val="0"/>
              <w:jc w:val="left"/>
              <w:rPr>
                <w:rFonts w:ascii="宋体" w:cs="宋体"/>
                <w:sz w:val="28"/>
                <w:szCs w:val="28"/>
                <w:highlight w:val="none"/>
              </w:rPr>
            </w:pPr>
            <w:r>
              <w:rPr>
                <w:rFonts w:hint="eastAsia" w:ascii="宋体" w:cs="宋体"/>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tcPr>
          <w:p w14:paraId="23EA8FC9">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DFD555">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3C085103">
            <w:pPr>
              <w:snapToGrid w:val="0"/>
              <w:spacing w:beforeLines="50"/>
              <w:ind w:left="43"/>
              <w:rPr>
                <w:rFonts w:ascii="宋体" w:cs="宋体"/>
                <w:sz w:val="30"/>
                <w:szCs w:val="30"/>
                <w:highlight w:val="none"/>
              </w:rPr>
            </w:pPr>
          </w:p>
        </w:tc>
      </w:tr>
      <w:tr w14:paraId="5D730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A9580E5">
            <w:pPr>
              <w:snapToGrid w:val="0"/>
              <w:jc w:val="left"/>
              <w:rPr>
                <w:rFonts w:ascii="宋体" w:cs="宋体"/>
                <w:sz w:val="28"/>
                <w:szCs w:val="28"/>
                <w:highlight w:val="none"/>
              </w:rPr>
            </w:pPr>
            <w:r>
              <w:rPr>
                <w:rFonts w:hint="eastAsia" w:ascii="宋体" w:cs="宋体"/>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031D67BC">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D5CA255">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45D4AA20">
            <w:pPr>
              <w:snapToGrid w:val="0"/>
              <w:spacing w:beforeLines="50"/>
              <w:ind w:left="43"/>
              <w:rPr>
                <w:rFonts w:ascii="宋体" w:cs="宋体"/>
                <w:sz w:val="30"/>
                <w:szCs w:val="30"/>
                <w:highlight w:val="none"/>
              </w:rPr>
            </w:pPr>
          </w:p>
        </w:tc>
      </w:tr>
      <w:tr w14:paraId="34B9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1EB4F11">
            <w:pPr>
              <w:snapToGrid w:val="0"/>
              <w:jc w:val="left"/>
              <w:rPr>
                <w:rFonts w:ascii="宋体" w:cs="宋体"/>
                <w:sz w:val="28"/>
                <w:szCs w:val="28"/>
                <w:highlight w:val="none"/>
              </w:rPr>
            </w:pPr>
            <w:r>
              <w:rPr>
                <w:rFonts w:hint="eastAsia" w:ascii="宋体" w:cs="宋体"/>
                <w:sz w:val="28"/>
                <w:szCs w:val="28"/>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7EF9C153">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553AD84">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078B1012">
            <w:pPr>
              <w:snapToGrid w:val="0"/>
              <w:spacing w:beforeLines="50"/>
              <w:ind w:left="43"/>
              <w:rPr>
                <w:rFonts w:ascii="宋体" w:cs="宋体"/>
                <w:sz w:val="30"/>
                <w:szCs w:val="30"/>
                <w:highlight w:val="none"/>
              </w:rPr>
            </w:pPr>
          </w:p>
        </w:tc>
      </w:tr>
      <w:tr w14:paraId="0C789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DB69A49">
            <w:pPr>
              <w:snapToGrid w:val="0"/>
              <w:jc w:val="left"/>
              <w:rPr>
                <w:rFonts w:ascii="宋体" w:cs="宋体"/>
                <w:sz w:val="28"/>
                <w:szCs w:val="28"/>
                <w:highlight w:val="none"/>
              </w:rPr>
            </w:pPr>
            <w:r>
              <w:rPr>
                <w:rFonts w:hint="eastAsia" w:ascii="宋体" w:cs="宋体"/>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noWrap/>
          </w:tcPr>
          <w:p w14:paraId="116DD176">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FAE347B">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6C934460">
            <w:pPr>
              <w:snapToGrid w:val="0"/>
              <w:spacing w:beforeLines="50"/>
              <w:rPr>
                <w:rFonts w:ascii="宋体" w:cs="宋体"/>
                <w:sz w:val="30"/>
                <w:szCs w:val="30"/>
                <w:highlight w:val="none"/>
              </w:rPr>
            </w:pPr>
          </w:p>
        </w:tc>
      </w:tr>
      <w:tr w14:paraId="63945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ECDEFD1">
            <w:pPr>
              <w:snapToGrid w:val="0"/>
              <w:jc w:val="left"/>
              <w:rPr>
                <w:rFonts w:ascii="宋体" w:cs="宋体"/>
                <w:sz w:val="28"/>
                <w:szCs w:val="28"/>
                <w:highlight w:val="none"/>
              </w:rPr>
            </w:pPr>
            <w:r>
              <w:rPr>
                <w:rFonts w:hint="eastAsia" w:ascii="宋体" w:cs="宋体"/>
                <w:sz w:val="28"/>
                <w:szCs w:val="28"/>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5F1FCC87">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F5CD0E">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554BEB67">
            <w:pPr>
              <w:snapToGrid w:val="0"/>
              <w:spacing w:beforeLines="50"/>
              <w:rPr>
                <w:rFonts w:ascii="宋体" w:cs="宋体"/>
                <w:sz w:val="30"/>
                <w:szCs w:val="30"/>
                <w:highlight w:val="none"/>
              </w:rPr>
            </w:pPr>
          </w:p>
        </w:tc>
      </w:tr>
      <w:tr w14:paraId="652F7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BB62373">
            <w:pPr>
              <w:snapToGrid w:val="0"/>
              <w:jc w:val="left"/>
              <w:rPr>
                <w:rFonts w:ascii="宋体" w:cs="宋体"/>
                <w:sz w:val="28"/>
                <w:szCs w:val="28"/>
                <w:highlight w:val="none"/>
              </w:rPr>
            </w:pPr>
            <w:r>
              <w:rPr>
                <w:rFonts w:hint="eastAsia" w:ascii="宋体" w:cs="宋体"/>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tcPr>
          <w:p w14:paraId="715608F6">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8D2B858">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4E9F37CD">
            <w:pPr>
              <w:snapToGrid w:val="0"/>
              <w:spacing w:beforeLines="50"/>
              <w:rPr>
                <w:rFonts w:ascii="宋体" w:cs="宋体"/>
                <w:sz w:val="30"/>
                <w:szCs w:val="30"/>
                <w:highlight w:val="none"/>
              </w:rPr>
            </w:pPr>
          </w:p>
        </w:tc>
      </w:tr>
      <w:tr w14:paraId="24E10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158BAEE7">
            <w:pPr>
              <w:snapToGrid w:val="0"/>
              <w:jc w:val="left"/>
              <w:rPr>
                <w:rFonts w:ascii="宋体" w:cs="宋体"/>
                <w:sz w:val="28"/>
                <w:szCs w:val="28"/>
                <w:highlight w:val="none"/>
              </w:rPr>
            </w:pPr>
            <w:r>
              <w:rPr>
                <w:rFonts w:hint="eastAsia" w:ascii="宋体" w:cs="宋体"/>
                <w:sz w:val="28"/>
                <w:szCs w:val="28"/>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606D5F58">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31C4F5E">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185DC521">
            <w:pPr>
              <w:snapToGrid w:val="0"/>
              <w:spacing w:beforeLines="50"/>
              <w:rPr>
                <w:rFonts w:ascii="宋体" w:cs="宋体"/>
                <w:sz w:val="30"/>
                <w:szCs w:val="30"/>
                <w:highlight w:val="none"/>
              </w:rPr>
            </w:pPr>
          </w:p>
        </w:tc>
      </w:tr>
      <w:tr w14:paraId="35799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B068D5E">
            <w:pPr>
              <w:snapToGrid w:val="0"/>
              <w:jc w:val="left"/>
              <w:rPr>
                <w:rFonts w:ascii="宋体" w:cs="宋体"/>
                <w:sz w:val="28"/>
                <w:szCs w:val="28"/>
                <w:highlight w:val="none"/>
              </w:rPr>
            </w:pPr>
            <w:r>
              <w:rPr>
                <w:rFonts w:hint="eastAsia" w:ascii="宋体" w:cs="宋体"/>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77916A79">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96649CB">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690F1479">
            <w:pPr>
              <w:snapToGrid w:val="0"/>
              <w:spacing w:beforeLines="50"/>
              <w:rPr>
                <w:rFonts w:ascii="宋体" w:cs="宋体"/>
                <w:sz w:val="30"/>
                <w:szCs w:val="30"/>
                <w:highlight w:val="none"/>
              </w:rPr>
            </w:pPr>
          </w:p>
        </w:tc>
      </w:tr>
      <w:tr w14:paraId="4BE0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A4C0B92">
            <w:pPr>
              <w:snapToGrid w:val="0"/>
              <w:rPr>
                <w:rFonts w:ascii="宋体" w:cs="宋体"/>
                <w:sz w:val="30"/>
                <w:szCs w:val="30"/>
                <w:highlight w:val="none"/>
              </w:rPr>
            </w:pPr>
            <w:r>
              <w:rPr>
                <w:rFonts w:hint="eastAsia" w:ascii="宋体" w:cs="宋体"/>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noWrap/>
          </w:tcPr>
          <w:p w14:paraId="6563D623">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6B72C2">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3129D710">
            <w:pPr>
              <w:snapToGrid w:val="0"/>
              <w:spacing w:beforeLines="50"/>
              <w:rPr>
                <w:rFonts w:ascii="宋体" w:cs="宋体"/>
                <w:b/>
                <w:bCs/>
                <w:sz w:val="30"/>
                <w:szCs w:val="30"/>
                <w:highlight w:val="none"/>
              </w:rPr>
            </w:pPr>
          </w:p>
        </w:tc>
      </w:tr>
    </w:tbl>
    <w:p w14:paraId="6ED5B3F8">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368FE5DC">
      <w:pPr>
        <w:jc w:val="left"/>
        <w:rPr>
          <w:rFonts w:ascii="宋体" w:cs="宋体"/>
          <w:sz w:val="30"/>
          <w:szCs w:val="30"/>
          <w:highlight w:val="none"/>
        </w:rPr>
      </w:pPr>
    </w:p>
    <w:p w14:paraId="0D6AC208">
      <w:pPr>
        <w:pStyle w:val="16"/>
        <w:rPr>
          <w:highlight w:val="none"/>
        </w:rPr>
        <w:sectPr>
          <w:footerReference r:id="rId6" w:type="default"/>
          <w:pgSz w:w="11905" w:h="16838"/>
          <w:pgMar w:top="1440" w:right="1463" w:bottom="1440" w:left="1576" w:header="850" w:footer="992" w:gutter="0"/>
          <w:cols w:space="720" w:num="1"/>
          <w:docGrid w:type="lines" w:linePitch="328" w:charSpace="0"/>
        </w:sectPr>
      </w:pPr>
    </w:p>
    <w:p w14:paraId="33392834">
      <w:pPr>
        <w:snapToGrid w:val="0"/>
        <w:spacing w:before="50" w:afterLines="50"/>
        <w:jc w:val="left"/>
        <w:rPr>
          <w:rFonts w:ascii="宋体" w:cs="宋体"/>
          <w:sz w:val="30"/>
          <w:szCs w:val="30"/>
          <w:highlight w:val="none"/>
        </w:rPr>
      </w:pPr>
      <w:r>
        <w:rPr>
          <w:rFonts w:hint="eastAsia" w:ascii="宋体" w:cs="宋体"/>
          <w:sz w:val="30"/>
          <w:szCs w:val="30"/>
          <w:highlight w:val="none"/>
        </w:rPr>
        <w:t>附件13：</w:t>
      </w:r>
    </w:p>
    <w:p w14:paraId="3BDA2D78">
      <w:pPr>
        <w:snapToGrid w:val="0"/>
        <w:spacing w:before="50" w:after="50"/>
        <w:jc w:val="center"/>
        <w:rPr>
          <w:rFonts w:ascii="宋体" w:cs="宋体"/>
          <w:b/>
          <w:sz w:val="36"/>
          <w:szCs w:val="36"/>
          <w:highlight w:val="none"/>
        </w:rPr>
      </w:pPr>
      <w:r>
        <w:rPr>
          <w:rFonts w:hint="eastAsia" w:ascii="宋体" w:cs="宋体"/>
          <w:b/>
          <w:sz w:val="36"/>
          <w:szCs w:val="36"/>
          <w:highlight w:val="none"/>
        </w:rPr>
        <w:t>投标人业绩情况一览表</w:t>
      </w:r>
    </w:p>
    <w:p w14:paraId="008D0EE0">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w:t>
      </w:r>
    </w:p>
    <w:tbl>
      <w:tblPr>
        <w:tblStyle w:val="3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7F2F0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503743DC">
            <w:pPr>
              <w:snapToGrid w:val="0"/>
              <w:jc w:val="center"/>
              <w:rPr>
                <w:rFonts w:ascii="宋体" w:cs="宋体"/>
                <w:sz w:val="30"/>
                <w:szCs w:val="30"/>
                <w:highlight w:val="none"/>
              </w:rPr>
            </w:pPr>
            <w:r>
              <w:rPr>
                <w:rFonts w:hint="eastAsia" w:ascii="宋体" w:cs="宋体"/>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43864691">
            <w:pPr>
              <w:snapToGrid w:val="0"/>
              <w:jc w:val="center"/>
              <w:rPr>
                <w:rFonts w:ascii="宋体" w:cs="宋体"/>
                <w:sz w:val="30"/>
                <w:szCs w:val="30"/>
                <w:highlight w:val="none"/>
              </w:rPr>
            </w:pPr>
            <w:r>
              <w:rPr>
                <w:rFonts w:hint="eastAsia" w:ascii="宋体" w:cs="宋体"/>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2A087EF9">
            <w:pPr>
              <w:snapToGrid w:val="0"/>
              <w:jc w:val="center"/>
              <w:rPr>
                <w:rFonts w:ascii="宋体" w:cs="宋体"/>
                <w:sz w:val="30"/>
                <w:szCs w:val="30"/>
                <w:highlight w:val="none"/>
              </w:rPr>
            </w:pPr>
            <w:r>
              <w:rPr>
                <w:rFonts w:hint="eastAsia" w:ascii="宋体" w:cs="宋体"/>
                <w:sz w:val="30"/>
                <w:szCs w:val="30"/>
                <w:highlight w:val="none"/>
              </w:rPr>
              <w:t>采购</w:t>
            </w:r>
          </w:p>
          <w:p w14:paraId="3187766E">
            <w:pPr>
              <w:snapToGrid w:val="0"/>
              <w:jc w:val="center"/>
              <w:rPr>
                <w:rFonts w:ascii="宋体" w:cs="宋体"/>
                <w:sz w:val="30"/>
                <w:szCs w:val="30"/>
                <w:highlight w:val="none"/>
              </w:rPr>
            </w:pPr>
            <w:r>
              <w:rPr>
                <w:rFonts w:hint="eastAsia" w:ascii="宋体" w:cs="宋体"/>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0F667718">
            <w:pPr>
              <w:snapToGrid w:val="0"/>
              <w:jc w:val="center"/>
              <w:rPr>
                <w:rFonts w:ascii="宋体" w:cs="宋体"/>
                <w:sz w:val="30"/>
                <w:szCs w:val="30"/>
                <w:highlight w:val="none"/>
              </w:rPr>
            </w:pPr>
            <w:r>
              <w:rPr>
                <w:rFonts w:hint="eastAsia" w:ascii="宋体" w:cs="宋体"/>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DFF09B5">
            <w:pPr>
              <w:snapToGrid w:val="0"/>
              <w:jc w:val="center"/>
              <w:rPr>
                <w:rFonts w:ascii="宋体" w:cs="宋体"/>
                <w:sz w:val="30"/>
                <w:szCs w:val="30"/>
                <w:highlight w:val="none"/>
              </w:rPr>
            </w:pPr>
            <w:r>
              <w:rPr>
                <w:rFonts w:hint="eastAsia" w:ascii="宋体" w:cs="宋体"/>
                <w:sz w:val="30"/>
                <w:szCs w:val="30"/>
                <w:highlight w:val="none"/>
              </w:rPr>
              <w:t>合同</w:t>
            </w:r>
          </w:p>
          <w:p w14:paraId="09E3EDF8">
            <w:pPr>
              <w:snapToGrid w:val="0"/>
              <w:jc w:val="center"/>
              <w:rPr>
                <w:rFonts w:ascii="宋体" w:cs="宋体"/>
                <w:sz w:val="30"/>
                <w:szCs w:val="30"/>
                <w:highlight w:val="none"/>
              </w:rPr>
            </w:pPr>
            <w:r>
              <w:rPr>
                <w:rFonts w:hint="eastAsia" w:ascii="宋体" w:cs="宋体"/>
                <w:sz w:val="30"/>
                <w:szCs w:val="30"/>
                <w:highlight w:val="none"/>
              </w:rPr>
              <w:t>金额</w:t>
            </w:r>
          </w:p>
          <w:p w14:paraId="59BDF5E6">
            <w:pPr>
              <w:snapToGrid w:val="0"/>
              <w:jc w:val="center"/>
              <w:rPr>
                <w:rFonts w:ascii="宋体" w:cs="宋体"/>
                <w:sz w:val="30"/>
                <w:szCs w:val="30"/>
                <w:highlight w:val="none"/>
              </w:rPr>
            </w:pPr>
            <w:r>
              <w:rPr>
                <w:rFonts w:hint="eastAsia" w:ascii="宋体" w:cs="宋体"/>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4F3CF46">
            <w:pPr>
              <w:snapToGrid w:val="0"/>
              <w:jc w:val="center"/>
              <w:rPr>
                <w:rFonts w:ascii="宋体" w:cs="宋体"/>
                <w:sz w:val="30"/>
                <w:szCs w:val="30"/>
                <w:highlight w:val="none"/>
              </w:rPr>
            </w:pPr>
            <w:r>
              <w:rPr>
                <w:rFonts w:hint="eastAsia" w:ascii="宋体" w:cs="宋体"/>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7CFE5B32">
            <w:pPr>
              <w:snapToGrid w:val="0"/>
              <w:jc w:val="center"/>
              <w:rPr>
                <w:rFonts w:ascii="宋体" w:cs="宋体"/>
                <w:sz w:val="30"/>
                <w:szCs w:val="30"/>
                <w:highlight w:val="none"/>
              </w:rPr>
            </w:pPr>
            <w:r>
              <w:rPr>
                <w:rFonts w:hint="eastAsia" w:ascii="宋体" w:cs="宋体"/>
                <w:sz w:val="30"/>
                <w:szCs w:val="30"/>
                <w:highlight w:val="none"/>
              </w:rPr>
              <w:t>采购单位联系人及</w:t>
            </w:r>
          </w:p>
          <w:p w14:paraId="1FF70C0F">
            <w:pPr>
              <w:snapToGrid w:val="0"/>
              <w:jc w:val="center"/>
              <w:rPr>
                <w:rFonts w:ascii="宋体" w:cs="宋体"/>
                <w:sz w:val="30"/>
                <w:szCs w:val="30"/>
                <w:highlight w:val="none"/>
              </w:rPr>
            </w:pPr>
            <w:r>
              <w:rPr>
                <w:rFonts w:hint="eastAsia" w:ascii="宋体" w:cs="宋体"/>
                <w:sz w:val="30"/>
                <w:szCs w:val="30"/>
                <w:highlight w:val="none"/>
              </w:rPr>
              <w:t>联系电话</w:t>
            </w:r>
          </w:p>
        </w:tc>
      </w:tr>
      <w:tr w14:paraId="1C343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52B19C2A">
            <w:pPr>
              <w:jc w:val="left"/>
              <w:rPr>
                <w:rFonts w:ascii="宋体" w:cs="宋体"/>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3835CBC0">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6CE527D4">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00961895">
            <w:pPr>
              <w:jc w:val="left"/>
              <w:rPr>
                <w:rFonts w:ascii="宋体" w:cs="宋体"/>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4E11CC9F">
            <w:pPr>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3B74F0E">
            <w:pPr>
              <w:snapToGrid w:val="0"/>
              <w:jc w:val="center"/>
              <w:rPr>
                <w:rFonts w:ascii="宋体" w:cs="宋体"/>
                <w:sz w:val="30"/>
                <w:szCs w:val="30"/>
                <w:highlight w:val="none"/>
              </w:rPr>
            </w:pPr>
            <w:r>
              <w:rPr>
                <w:rFonts w:hint="eastAsia" w:ascii="宋体" w:cs="宋体"/>
                <w:sz w:val="30"/>
                <w:szCs w:val="30"/>
                <w:highlight w:val="none"/>
              </w:rPr>
              <w:t>合</w:t>
            </w:r>
          </w:p>
          <w:p w14:paraId="0D010808">
            <w:pPr>
              <w:snapToGrid w:val="0"/>
              <w:jc w:val="center"/>
              <w:rPr>
                <w:rFonts w:ascii="宋体" w:cs="宋体"/>
                <w:sz w:val="30"/>
                <w:szCs w:val="30"/>
                <w:highlight w:val="none"/>
              </w:rPr>
            </w:pPr>
            <w:r>
              <w:rPr>
                <w:rFonts w:hint="eastAsia" w:ascii="宋体" w:cs="宋体"/>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0140FF1B">
            <w:pPr>
              <w:snapToGrid w:val="0"/>
              <w:jc w:val="center"/>
              <w:rPr>
                <w:rFonts w:ascii="宋体" w:cs="宋体"/>
                <w:sz w:val="30"/>
                <w:szCs w:val="30"/>
                <w:highlight w:val="none"/>
              </w:rPr>
            </w:pPr>
            <w:r>
              <w:rPr>
                <w:rFonts w:hint="eastAsia" w:ascii="宋体" w:cs="宋体"/>
                <w:sz w:val="30"/>
                <w:szCs w:val="30"/>
                <w:highlight w:val="none"/>
              </w:rPr>
              <w:t>验收</w:t>
            </w:r>
          </w:p>
          <w:p w14:paraId="4C5433D0">
            <w:pPr>
              <w:snapToGrid w:val="0"/>
              <w:jc w:val="center"/>
              <w:rPr>
                <w:rFonts w:ascii="宋体" w:cs="宋体"/>
                <w:sz w:val="30"/>
                <w:szCs w:val="30"/>
                <w:highlight w:val="none"/>
              </w:rPr>
            </w:pPr>
            <w:r>
              <w:rPr>
                <w:rFonts w:hint="eastAsia" w:ascii="宋体" w:cs="宋体"/>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0B999876">
            <w:pPr>
              <w:jc w:val="left"/>
              <w:rPr>
                <w:rFonts w:ascii="宋体" w:cs="宋体"/>
                <w:sz w:val="30"/>
                <w:szCs w:val="30"/>
                <w:highlight w:val="none"/>
              </w:rPr>
            </w:pPr>
          </w:p>
        </w:tc>
      </w:tr>
      <w:tr w14:paraId="4D7CF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0E0A763">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18AE2591">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9BF2F92">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C5E4D36">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ED9D6CC">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6858746">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F5E621">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75A74308">
            <w:pPr>
              <w:snapToGrid w:val="0"/>
              <w:spacing w:before="50" w:afterLines="50" w:line="400" w:lineRule="exact"/>
              <w:jc w:val="left"/>
              <w:rPr>
                <w:rFonts w:ascii="宋体" w:cs="宋体"/>
                <w:b/>
                <w:bCs/>
                <w:kern w:val="0"/>
                <w:sz w:val="30"/>
                <w:szCs w:val="30"/>
                <w:highlight w:val="none"/>
              </w:rPr>
            </w:pPr>
          </w:p>
        </w:tc>
      </w:tr>
      <w:tr w14:paraId="25D76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6BCC2ECC">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16BC45E6">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AD9E44D">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6026BAC">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289379F">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7E9092B">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4206FF6">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7D9B60DA">
            <w:pPr>
              <w:snapToGrid w:val="0"/>
              <w:spacing w:before="50" w:afterLines="50" w:line="400" w:lineRule="exact"/>
              <w:jc w:val="left"/>
              <w:rPr>
                <w:rFonts w:ascii="宋体" w:cs="宋体"/>
                <w:b/>
                <w:bCs/>
                <w:kern w:val="0"/>
                <w:sz w:val="30"/>
                <w:szCs w:val="30"/>
                <w:highlight w:val="none"/>
              </w:rPr>
            </w:pPr>
          </w:p>
        </w:tc>
      </w:tr>
      <w:tr w14:paraId="53F5E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4E9CD5C">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43435F07">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32624B3">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19AC262">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4FD000C">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8C37283">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303C187">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61070244">
            <w:pPr>
              <w:snapToGrid w:val="0"/>
              <w:spacing w:before="50" w:afterLines="50" w:line="400" w:lineRule="exact"/>
              <w:jc w:val="left"/>
              <w:rPr>
                <w:rFonts w:ascii="宋体" w:cs="宋体"/>
                <w:b/>
                <w:bCs/>
                <w:kern w:val="0"/>
                <w:sz w:val="30"/>
                <w:szCs w:val="30"/>
                <w:highlight w:val="none"/>
              </w:rPr>
            </w:pPr>
          </w:p>
        </w:tc>
      </w:tr>
      <w:tr w14:paraId="222BE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58450C5">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711CC49A">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9F02DF1">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7E3E458">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E719B78">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E5A2B9B">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A5DCB9A">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18F9CC44">
            <w:pPr>
              <w:snapToGrid w:val="0"/>
              <w:spacing w:before="50" w:afterLines="50" w:line="400" w:lineRule="exact"/>
              <w:jc w:val="left"/>
              <w:rPr>
                <w:rFonts w:ascii="宋体" w:cs="宋体"/>
                <w:b/>
                <w:bCs/>
                <w:kern w:val="0"/>
                <w:sz w:val="30"/>
                <w:szCs w:val="30"/>
                <w:highlight w:val="none"/>
              </w:rPr>
            </w:pPr>
          </w:p>
        </w:tc>
      </w:tr>
      <w:tr w14:paraId="01596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0B7D148">
            <w:pPr>
              <w:snapToGrid w:val="0"/>
              <w:spacing w:before="50" w:afterLines="50" w:line="400" w:lineRule="exact"/>
              <w:jc w:val="center"/>
              <w:rPr>
                <w:rFonts w:ascii="宋体" w:cs="宋体"/>
                <w:sz w:val="30"/>
                <w:szCs w:val="30"/>
                <w:highlight w:val="none"/>
              </w:rPr>
            </w:pPr>
            <w:r>
              <w:rPr>
                <w:rFonts w:hint="eastAsia" w:ascii="宋体" w:cs="宋体"/>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121EAB8F">
            <w:pPr>
              <w:snapToGrid w:val="0"/>
              <w:spacing w:before="50" w:afterLines="50" w:line="400" w:lineRule="exact"/>
              <w:jc w:val="left"/>
              <w:rPr>
                <w:rFonts w:ascii="宋体" w:cs="宋体"/>
                <w:sz w:val="30"/>
                <w:szCs w:val="30"/>
                <w:highlight w:val="none"/>
              </w:rPr>
            </w:pPr>
            <w:r>
              <w:rPr>
                <w:rFonts w:hint="eastAsia" w:ascii="宋体" w:cs="宋体"/>
                <w:sz w:val="32"/>
                <w:szCs w:val="32"/>
                <w:highlight w:val="none"/>
              </w:rPr>
              <w:t>提供投标人同类项目合同复印件、用户验收报告（如有）。</w:t>
            </w:r>
          </w:p>
        </w:tc>
      </w:tr>
    </w:tbl>
    <w:p w14:paraId="7659DC0A">
      <w:pPr>
        <w:pStyle w:val="11"/>
        <w:snapToGrid w:val="0"/>
        <w:spacing w:before="240"/>
        <w:rPr>
          <w:rFonts w:ascii="宋体" w:hAnsi="宋体" w:eastAsia="宋体" w:cs="宋体"/>
          <w:kern w:val="0"/>
          <w:sz w:val="30"/>
          <w:szCs w:val="30"/>
          <w:highlight w:val="none"/>
        </w:rPr>
      </w:pPr>
      <w:r>
        <w:rPr>
          <w:rFonts w:hint="eastAsia" w:ascii="宋体" w:hAnsi="宋体" w:eastAsia="宋体" w:cs="宋体"/>
          <w:sz w:val="30"/>
          <w:szCs w:val="30"/>
          <w:highlight w:val="none"/>
        </w:rPr>
        <w:t>授权代表签名：</w:t>
      </w:r>
      <w:r>
        <w:rPr>
          <w:rFonts w:hint="eastAsia" w:ascii="宋体" w:hAnsi="宋体" w:eastAsia="宋体" w:cs="宋体"/>
          <w:sz w:val="30"/>
          <w:szCs w:val="30"/>
          <w:highlight w:val="none"/>
          <w:u w:val="single"/>
        </w:rPr>
        <w:t>　　　　　</w:t>
      </w:r>
      <w:r>
        <w:rPr>
          <w:rFonts w:hint="eastAsia" w:ascii="宋体" w:hAnsi="宋体" w:eastAsia="宋体" w:cs="宋体"/>
          <w:sz w:val="30"/>
          <w:szCs w:val="30"/>
          <w:highlight w:val="none"/>
        </w:rPr>
        <w:t xml:space="preserve">                                            时  间：</w:t>
      </w:r>
    </w:p>
    <w:p w14:paraId="5369DC62">
      <w:pPr>
        <w:jc w:val="left"/>
        <w:rPr>
          <w:rFonts w:ascii="宋体" w:cs="宋体"/>
          <w:sz w:val="30"/>
          <w:szCs w:val="30"/>
          <w:highlight w:val="none"/>
        </w:rPr>
        <w:sectPr>
          <w:pgSz w:w="16838" w:h="11905" w:orient="landscape"/>
          <w:pgMar w:top="1576" w:right="1440" w:bottom="1463" w:left="1440" w:header="850" w:footer="992" w:gutter="0"/>
          <w:cols w:space="720" w:num="1"/>
          <w:docGrid w:type="lines" w:linePitch="328" w:charSpace="0"/>
        </w:sectPr>
      </w:pPr>
    </w:p>
    <w:p w14:paraId="3AFACCF5">
      <w:pPr>
        <w:snapToGrid w:val="0"/>
        <w:spacing w:beforeLines="50" w:after="50"/>
        <w:rPr>
          <w:rFonts w:ascii="宋体" w:cs="宋体"/>
          <w:b/>
          <w:sz w:val="30"/>
          <w:szCs w:val="30"/>
          <w:highlight w:val="none"/>
        </w:rPr>
      </w:pPr>
      <w:r>
        <w:rPr>
          <w:rFonts w:hint="eastAsia" w:ascii="宋体" w:cs="宋体"/>
          <w:sz w:val="30"/>
          <w:szCs w:val="30"/>
          <w:highlight w:val="none"/>
        </w:rPr>
        <w:t>附件14</w:t>
      </w:r>
      <w:r>
        <w:rPr>
          <w:rFonts w:hint="eastAsia" w:ascii="宋体" w:cs="宋体"/>
          <w:b/>
          <w:sz w:val="30"/>
          <w:szCs w:val="30"/>
          <w:highlight w:val="none"/>
        </w:rPr>
        <w:t xml:space="preserve">：                                    </w:t>
      </w:r>
    </w:p>
    <w:p w14:paraId="3E0FDF51">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46C45D65">
      <w:pPr>
        <w:spacing w:beforeLines="100" w:line="240" w:lineRule="atLeast"/>
        <w:jc w:val="center"/>
        <w:rPr>
          <w:rFonts w:ascii="宋体" w:cs="宋体"/>
          <w:sz w:val="36"/>
          <w:szCs w:val="36"/>
          <w:highlight w:val="none"/>
        </w:rPr>
      </w:pPr>
      <w:r>
        <w:rPr>
          <w:rFonts w:hint="eastAsia" w:ascii="宋体" w:cs="宋体"/>
          <w:sz w:val="36"/>
          <w:szCs w:val="36"/>
          <w:highlight w:val="none"/>
        </w:rPr>
        <w:t>项目编号：（标项  ）</w:t>
      </w:r>
    </w:p>
    <w:p w14:paraId="5A99A706">
      <w:pPr>
        <w:spacing w:after="100" w:afterAutospacing="1" w:line="800" w:lineRule="exact"/>
        <w:ind w:right="-108"/>
        <w:jc w:val="center"/>
        <w:rPr>
          <w:rFonts w:ascii="宋体" w:cs="宋体"/>
          <w:b/>
          <w:spacing w:val="40"/>
          <w:sz w:val="84"/>
          <w:szCs w:val="84"/>
          <w:highlight w:val="none"/>
        </w:rPr>
      </w:pPr>
    </w:p>
    <w:p w14:paraId="4FEE20B7">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报</w:t>
      </w:r>
    </w:p>
    <w:p w14:paraId="2BCC0A6A">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价</w:t>
      </w:r>
    </w:p>
    <w:p w14:paraId="16EB7B55">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2FA1A9D9">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件</w:t>
      </w:r>
    </w:p>
    <w:p w14:paraId="197E1215">
      <w:pPr>
        <w:spacing w:line="500" w:lineRule="exact"/>
        <w:ind w:right="532"/>
        <w:jc w:val="center"/>
        <w:rPr>
          <w:rFonts w:ascii="宋体" w:cs="宋体"/>
          <w:sz w:val="36"/>
          <w:szCs w:val="36"/>
          <w:highlight w:val="none"/>
        </w:rPr>
      </w:pPr>
    </w:p>
    <w:p w14:paraId="08873BA9">
      <w:pPr>
        <w:spacing w:line="5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26A32F03">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14:paraId="0FA230E7">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14:paraId="6513034F">
      <w:pPr>
        <w:snapToGrid w:val="0"/>
        <w:spacing w:before="50" w:after="50"/>
        <w:rPr>
          <w:rFonts w:ascii="宋体" w:cs="宋体"/>
          <w:sz w:val="30"/>
          <w:szCs w:val="30"/>
          <w:highlight w:val="none"/>
        </w:rPr>
      </w:pPr>
    </w:p>
    <w:p w14:paraId="1DE4C6D2">
      <w:pPr>
        <w:pStyle w:val="22"/>
        <w:snapToGrid w:val="0"/>
        <w:ind w:left="0" w:leftChars="0"/>
        <w:rPr>
          <w:rFonts w:ascii="宋体" w:eastAsia="宋体" w:cs="宋体"/>
          <w:b/>
          <w:sz w:val="36"/>
          <w:szCs w:val="36"/>
          <w:highlight w:val="none"/>
        </w:rPr>
      </w:pPr>
      <w:r>
        <w:rPr>
          <w:rFonts w:hint="eastAsia" w:ascii="宋体" w:eastAsia="宋体" w:cs="宋体"/>
          <w:kern w:val="0"/>
          <w:sz w:val="36"/>
          <w:szCs w:val="36"/>
          <w:highlight w:val="none"/>
        </w:rPr>
        <w:br w:type="page"/>
      </w:r>
      <w:r>
        <w:rPr>
          <w:rFonts w:hint="eastAsia" w:ascii="宋体" w:eastAsia="宋体" w:cs="宋体"/>
          <w:sz w:val="36"/>
          <w:szCs w:val="36"/>
          <w:highlight w:val="none"/>
        </w:rPr>
        <w:t>3、</w:t>
      </w:r>
      <w:r>
        <w:rPr>
          <w:rFonts w:hint="eastAsia" w:ascii="宋体" w:eastAsia="宋体" w:cs="宋体"/>
          <w:b/>
          <w:sz w:val="36"/>
          <w:szCs w:val="36"/>
          <w:highlight w:val="none"/>
        </w:rPr>
        <w:t>报价文件目录</w:t>
      </w:r>
    </w:p>
    <w:p w14:paraId="1A85DD8D">
      <w:pPr>
        <w:rPr>
          <w:rFonts w:ascii="宋体" w:cs="宋体"/>
          <w:highlight w:val="none"/>
        </w:rPr>
      </w:pPr>
    </w:p>
    <w:p w14:paraId="632FCDF5">
      <w:pPr>
        <w:pStyle w:val="22"/>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（1）投标报价明细表（格式见附件）；</w:t>
      </w:r>
    </w:p>
    <w:p w14:paraId="6568885B">
      <w:pPr>
        <w:pStyle w:val="22"/>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（2）投标人针对报价需要说明的其他文件和说明（格式自拟）；</w:t>
      </w:r>
    </w:p>
    <w:p w14:paraId="1A96F197">
      <w:pPr>
        <w:snapToGrid w:val="0"/>
        <w:spacing w:line="460" w:lineRule="exact"/>
        <w:jc w:val="left"/>
        <w:rPr>
          <w:highlight w:val="none"/>
        </w:rPr>
      </w:pPr>
      <w:r>
        <w:rPr>
          <w:rFonts w:hint="eastAsia" w:ascii="宋体" w:cs="宋体"/>
          <w:sz w:val="30"/>
          <w:szCs w:val="30"/>
          <w:highlight w:val="none"/>
        </w:rPr>
        <w:t>（3）中小企业声明函、残疾人福利企业声明函（如有）、监狱企业声明函（如有）(格式见附件)；</w:t>
      </w:r>
    </w:p>
    <w:p w14:paraId="046A52A8">
      <w:pPr>
        <w:pStyle w:val="21"/>
        <w:snapToGrid w:val="0"/>
        <w:spacing w:before="120" w:after="120"/>
        <w:jc w:val="left"/>
        <w:rPr>
          <w:rFonts w:hAnsi="宋体" w:cs="宋体"/>
          <w:b/>
          <w:sz w:val="36"/>
          <w:szCs w:val="36"/>
          <w:highlight w:val="none"/>
        </w:rPr>
      </w:pPr>
      <w:r>
        <w:rPr>
          <w:rFonts w:hint="eastAsia" w:hAnsi="宋体" w:cs="宋体"/>
          <w:kern w:val="0"/>
          <w:sz w:val="30"/>
          <w:szCs w:val="30"/>
          <w:highlight w:val="none"/>
        </w:rPr>
        <w:br w:type="page"/>
      </w:r>
      <w:r>
        <w:rPr>
          <w:rFonts w:hint="eastAsia" w:hAnsi="宋体" w:cs="宋体"/>
          <w:sz w:val="30"/>
          <w:szCs w:val="30"/>
          <w:highlight w:val="none"/>
        </w:rPr>
        <w:t>附件1</w:t>
      </w:r>
      <w:r>
        <w:rPr>
          <w:rFonts w:hint="eastAsia" w:hAnsi="宋体" w:cs="宋体"/>
          <w:sz w:val="30"/>
          <w:szCs w:val="30"/>
          <w:highlight w:val="none"/>
          <w:lang w:val="en-US" w:eastAsia="zh-CN"/>
        </w:rPr>
        <w:t>5</w:t>
      </w:r>
      <w:r>
        <w:rPr>
          <w:rFonts w:hint="eastAsia" w:hAnsi="宋体" w:cs="宋体"/>
          <w:sz w:val="30"/>
          <w:szCs w:val="30"/>
          <w:highlight w:val="none"/>
        </w:rPr>
        <w:t>：</w:t>
      </w:r>
    </w:p>
    <w:p w14:paraId="42E1018C">
      <w:pPr>
        <w:pStyle w:val="21"/>
        <w:snapToGrid w:val="0"/>
        <w:spacing w:before="120" w:after="120"/>
        <w:ind w:firstLine="1084" w:firstLineChars="300"/>
        <w:jc w:val="center"/>
        <w:rPr>
          <w:rFonts w:hAnsi="宋体" w:cs="宋体"/>
          <w:b/>
          <w:sz w:val="36"/>
          <w:szCs w:val="36"/>
          <w:highlight w:val="none"/>
        </w:rPr>
      </w:pPr>
      <w:r>
        <w:rPr>
          <w:rFonts w:hint="eastAsia" w:hAnsi="宋体" w:cs="宋体"/>
          <w:b/>
          <w:sz w:val="36"/>
          <w:szCs w:val="36"/>
          <w:highlight w:val="none"/>
        </w:rPr>
        <w:t>投 标 报 价 明 细 表</w:t>
      </w:r>
    </w:p>
    <w:p w14:paraId="3F9E1F53">
      <w:pPr>
        <w:pStyle w:val="21"/>
        <w:snapToGrid w:val="0"/>
        <w:spacing w:before="120" w:after="120"/>
        <w:ind w:firstLine="1084" w:firstLineChars="300"/>
        <w:jc w:val="center"/>
        <w:rPr>
          <w:rFonts w:hAnsi="宋体" w:cs="宋体"/>
          <w:b/>
          <w:sz w:val="36"/>
          <w:szCs w:val="36"/>
          <w:highlight w:val="none"/>
        </w:rPr>
      </w:pPr>
    </w:p>
    <w:p w14:paraId="27CBB744">
      <w:pPr>
        <w:snapToGrid w:val="0"/>
        <w:rPr>
          <w:rFonts w:ascii="宋体" w:cs="宋体"/>
          <w:sz w:val="28"/>
          <w:szCs w:val="28"/>
          <w:highlight w:val="none"/>
        </w:rPr>
      </w:pPr>
      <w:r>
        <w:rPr>
          <w:rFonts w:hint="eastAsia" w:ascii="宋体" w:cs="宋体"/>
          <w:sz w:val="28"/>
          <w:szCs w:val="28"/>
          <w:highlight w:val="none"/>
        </w:rPr>
        <w:t>投标人全称（公章）：</w:t>
      </w:r>
    </w:p>
    <w:p w14:paraId="146B7EB2">
      <w:pPr>
        <w:snapToGrid w:val="0"/>
        <w:rPr>
          <w:rFonts w:ascii="宋体" w:cs="宋体"/>
          <w:sz w:val="28"/>
          <w:szCs w:val="28"/>
          <w:highlight w:val="none"/>
        </w:rPr>
      </w:pPr>
    </w:p>
    <w:p w14:paraId="24D40D53">
      <w:pPr>
        <w:snapToGrid w:val="0"/>
        <w:rPr>
          <w:rFonts w:hint="eastAsia" w:ascii="宋体" w:cs="宋体"/>
          <w:sz w:val="28"/>
          <w:szCs w:val="28"/>
          <w:highlight w:val="none"/>
        </w:rPr>
      </w:pPr>
      <w:r>
        <w:rPr>
          <w:rFonts w:hint="eastAsia" w:ascii="宋体" w:cs="宋体"/>
          <w:sz w:val="28"/>
          <w:szCs w:val="28"/>
          <w:highlight w:val="none"/>
          <w:lang w:val="en-US" w:eastAsia="zh-CN"/>
        </w:rPr>
        <w:t>项目编号</w:t>
      </w:r>
      <w:r>
        <w:rPr>
          <w:rFonts w:hint="eastAsia" w:ascii="宋体" w:cs="宋体"/>
          <w:sz w:val="28"/>
          <w:szCs w:val="28"/>
          <w:highlight w:val="none"/>
        </w:rPr>
        <w:t>：</w:t>
      </w:r>
    </w:p>
    <w:p w14:paraId="65A94612">
      <w:pPr>
        <w:pStyle w:val="2"/>
      </w:pPr>
    </w:p>
    <w:tbl>
      <w:tblPr>
        <w:tblStyle w:val="32"/>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780"/>
        <w:gridCol w:w="1944"/>
        <w:gridCol w:w="1911"/>
      </w:tblGrid>
      <w:tr w14:paraId="6535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370FF31F">
            <w:pPr>
              <w:spacing w:line="400" w:lineRule="exact"/>
              <w:jc w:val="center"/>
              <w:rPr>
                <w:rFonts w:ascii="宋体" w:cs="宋体"/>
                <w:sz w:val="24"/>
                <w:highlight w:val="none"/>
              </w:rPr>
            </w:pPr>
            <w:r>
              <w:rPr>
                <w:rFonts w:hint="eastAsia" w:ascii="宋体" w:cs="宋体"/>
                <w:sz w:val="24"/>
                <w:highlight w:val="none"/>
              </w:rPr>
              <w:t>序号</w:t>
            </w:r>
          </w:p>
        </w:tc>
        <w:tc>
          <w:tcPr>
            <w:tcW w:w="2883" w:type="dxa"/>
            <w:noWrap/>
            <w:vAlign w:val="center"/>
          </w:tcPr>
          <w:p w14:paraId="5D20DA15">
            <w:pPr>
              <w:spacing w:line="400" w:lineRule="exact"/>
              <w:jc w:val="center"/>
              <w:rPr>
                <w:rFonts w:hint="default" w:ascii="宋体" w:eastAsia="宋体" w:cs="宋体"/>
                <w:sz w:val="24"/>
                <w:highlight w:val="none"/>
                <w:lang w:val="en-US" w:eastAsia="zh-CN"/>
              </w:rPr>
            </w:pPr>
            <w:r>
              <w:rPr>
                <w:rFonts w:hint="eastAsia" w:ascii="宋体" w:cs="宋体"/>
                <w:sz w:val="24"/>
                <w:highlight w:val="none"/>
                <w:lang w:val="en-US" w:eastAsia="zh-CN"/>
              </w:rPr>
              <w:t>项目名称</w:t>
            </w:r>
          </w:p>
        </w:tc>
        <w:tc>
          <w:tcPr>
            <w:tcW w:w="1780" w:type="dxa"/>
            <w:noWrap/>
            <w:vAlign w:val="center"/>
          </w:tcPr>
          <w:p w14:paraId="60F961CD">
            <w:pPr>
              <w:spacing w:line="400" w:lineRule="exact"/>
              <w:jc w:val="center"/>
              <w:rPr>
                <w:rFonts w:ascii="宋体" w:cs="宋体"/>
                <w:sz w:val="24"/>
                <w:highlight w:val="none"/>
              </w:rPr>
            </w:pPr>
            <w:r>
              <w:rPr>
                <w:rFonts w:hint="eastAsia" w:ascii="宋体" w:cs="宋体"/>
                <w:sz w:val="24"/>
                <w:highlight w:val="none"/>
              </w:rPr>
              <w:t>是否中小企业</w:t>
            </w:r>
          </w:p>
        </w:tc>
        <w:tc>
          <w:tcPr>
            <w:tcW w:w="1944" w:type="dxa"/>
            <w:noWrap/>
            <w:vAlign w:val="center"/>
          </w:tcPr>
          <w:p w14:paraId="788DFD95">
            <w:pPr>
              <w:jc w:val="center"/>
              <w:rPr>
                <w:rFonts w:ascii="宋体" w:cs="宋体"/>
                <w:kern w:val="0"/>
                <w:sz w:val="24"/>
                <w:highlight w:val="none"/>
              </w:rPr>
            </w:pPr>
            <w:r>
              <w:rPr>
                <w:rFonts w:hint="eastAsia" w:ascii="宋体" w:cs="宋体"/>
                <w:sz w:val="24"/>
                <w:highlight w:val="none"/>
              </w:rPr>
              <w:t>总价</w:t>
            </w:r>
          </w:p>
        </w:tc>
        <w:tc>
          <w:tcPr>
            <w:tcW w:w="1911" w:type="dxa"/>
            <w:noWrap/>
            <w:vAlign w:val="center"/>
          </w:tcPr>
          <w:p w14:paraId="33F7A801">
            <w:pPr>
              <w:jc w:val="center"/>
              <w:rPr>
                <w:rFonts w:ascii="宋体" w:cs="宋体"/>
                <w:kern w:val="0"/>
                <w:sz w:val="24"/>
                <w:highlight w:val="none"/>
              </w:rPr>
            </w:pPr>
            <w:r>
              <w:rPr>
                <w:rFonts w:hint="eastAsia" w:ascii="宋体" w:cs="宋体"/>
                <w:kern w:val="0"/>
                <w:sz w:val="24"/>
                <w:highlight w:val="none"/>
              </w:rPr>
              <w:t>备注</w:t>
            </w:r>
          </w:p>
        </w:tc>
      </w:tr>
      <w:tr w14:paraId="1C9D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29DE69E0">
            <w:pPr>
              <w:spacing w:beforeLines="50" w:afterLines="50"/>
              <w:jc w:val="center"/>
              <w:rPr>
                <w:rFonts w:ascii="宋体" w:cs="宋体"/>
                <w:sz w:val="24"/>
                <w:highlight w:val="none"/>
              </w:rPr>
            </w:pPr>
            <w:r>
              <w:rPr>
                <w:rFonts w:hint="eastAsia" w:ascii="宋体" w:cs="宋体"/>
                <w:sz w:val="24"/>
                <w:highlight w:val="none"/>
              </w:rPr>
              <w:t>1</w:t>
            </w:r>
          </w:p>
        </w:tc>
        <w:tc>
          <w:tcPr>
            <w:tcW w:w="2883" w:type="dxa"/>
            <w:noWrap/>
            <w:vAlign w:val="center"/>
          </w:tcPr>
          <w:p w14:paraId="069F9580">
            <w:pPr>
              <w:spacing w:beforeLines="50" w:afterLines="50"/>
              <w:jc w:val="center"/>
              <w:rPr>
                <w:rFonts w:hint="eastAsia" w:ascii="宋体" w:eastAsia="宋体" w:cs="宋体"/>
                <w:kern w:val="0"/>
                <w:sz w:val="24"/>
                <w:highlight w:val="none"/>
                <w:lang w:eastAsia="zh-CN"/>
              </w:rPr>
            </w:pPr>
            <w:r>
              <w:rPr>
                <w:rFonts w:hint="eastAsia" w:ascii="宋体" w:eastAsia="宋体" w:cs="宋体"/>
                <w:kern w:val="0"/>
                <w:sz w:val="24"/>
                <w:highlight w:val="none"/>
                <w:lang w:eastAsia="zh-CN"/>
              </w:rPr>
              <w:t>永康市大数据发展中心电子政务外网升级改造项目</w:t>
            </w:r>
          </w:p>
        </w:tc>
        <w:tc>
          <w:tcPr>
            <w:tcW w:w="1780" w:type="dxa"/>
            <w:noWrap/>
            <w:vAlign w:val="center"/>
          </w:tcPr>
          <w:p w14:paraId="6F48930C">
            <w:pPr>
              <w:spacing w:beforeLines="50" w:afterLines="50"/>
              <w:jc w:val="center"/>
              <w:rPr>
                <w:rFonts w:ascii="宋体" w:cs="宋体"/>
                <w:kern w:val="0"/>
                <w:sz w:val="24"/>
                <w:highlight w:val="none"/>
              </w:rPr>
            </w:pPr>
          </w:p>
        </w:tc>
        <w:tc>
          <w:tcPr>
            <w:tcW w:w="1944" w:type="dxa"/>
            <w:noWrap/>
            <w:vAlign w:val="center"/>
          </w:tcPr>
          <w:p w14:paraId="46CC82AE">
            <w:pPr>
              <w:jc w:val="center"/>
              <w:rPr>
                <w:rFonts w:ascii="宋体" w:cs="宋体"/>
                <w:highlight w:val="none"/>
              </w:rPr>
            </w:pPr>
          </w:p>
        </w:tc>
        <w:tc>
          <w:tcPr>
            <w:tcW w:w="1911" w:type="dxa"/>
            <w:noWrap/>
            <w:vAlign w:val="center"/>
          </w:tcPr>
          <w:p w14:paraId="53BF72DA">
            <w:pPr>
              <w:jc w:val="center"/>
              <w:rPr>
                <w:rFonts w:ascii="宋体" w:cs="宋体"/>
                <w:b/>
                <w:kern w:val="0"/>
                <w:sz w:val="24"/>
                <w:highlight w:val="none"/>
              </w:rPr>
            </w:pPr>
            <w:r>
              <w:rPr>
                <w:rFonts w:hint="eastAsia" w:ascii="宋体" w:cs="宋体"/>
                <w:b/>
                <w:kern w:val="0"/>
                <w:sz w:val="24"/>
                <w:highlight w:val="none"/>
              </w:rPr>
              <w:t>须提供各分项报价清单（如有）</w:t>
            </w:r>
          </w:p>
        </w:tc>
      </w:tr>
      <w:tr w14:paraId="4FDA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418" w:type="dxa"/>
            <w:gridSpan w:val="5"/>
            <w:noWrap/>
            <w:vAlign w:val="center"/>
          </w:tcPr>
          <w:p w14:paraId="2BE8CDF0">
            <w:pPr>
              <w:jc w:val="both"/>
              <w:rPr>
                <w:rFonts w:hint="eastAsia" w:ascii="宋体" w:cs="宋体"/>
                <w:b/>
                <w:kern w:val="0"/>
                <w:sz w:val="24"/>
                <w:highlight w:val="none"/>
              </w:rPr>
            </w:pPr>
            <w:r>
              <w:rPr>
                <w:rFonts w:hint="eastAsia" w:ascii="宋体" w:cs="宋体"/>
                <w:sz w:val="24"/>
              </w:rPr>
              <w:t xml:space="preserve">投标总价合计金额大写：         </w:t>
            </w:r>
            <w:r>
              <w:rPr>
                <w:rFonts w:hint="eastAsia" w:ascii="宋体" w:cs="宋体"/>
                <w:sz w:val="24"/>
                <w:lang w:val="en-US" w:eastAsia="zh-CN"/>
              </w:rPr>
              <w:t xml:space="preserve">  </w:t>
            </w:r>
            <w:r>
              <w:rPr>
                <w:rFonts w:hint="eastAsia" w:ascii="宋体" w:cs="宋体"/>
                <w:sz w:val="24"/>
              </w:rPr>
              <w:t>小写：￥</w:t>
            </w:r>
          </w:p>
        </w:tc>
      </w:tr>
      <w:tr w14:paraId="384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noWrap/>
            <w:vAlign w:val="center"/>
          </w:tcPr>
          <w:p w14:paraId="58F8FA12">
            <w:pPr>
              <w:spacing w:line="400" w:lineRule="exact"/>
              <w:rPr>
                <w:rFonts w:ascii="宋体" w:cs="宋体"/>
                <w:sz w:val="24"/>
                <w:highlight w:val="none"/>
              </w:rPr>
            </w:pPr>
            <w:r>
              <w:rPr>
                <w:rFonts w:hint="eastAsia" w:ascii="宋体" w:cs="宋体"/>
                <w:sz w:val="24"/>
                <w:highlight w:val="none"/>
              </w:rPr>
              <w:t>1.此表应按项目的明细情况列项填报,在填写时，如上表不适合本项目的实际情况，可在确保投标明细内容完整的情况下，根据上表格式自行划表填写。</w:t>
            </w:r>
          </w:p>
          <w:p w14:paraId="3DDDB3E1">
            <w:pPr>
              <w:spacing w:line="400" w:lineRule="exact"/>
              <w:rPr>
                <w:rFonts w:ascii="宋体" w:cs="宋体"/>
                <w:sz w:val="24"/>
                <w:highlight w:val="none"/>
              </w:rPr>
            </w:pPr>
            <w:r>
              <w:rPr>
                <w:rFonts w:hint="eastAsia" w:ascii="宋体" w:cs="宋体"/>
                <w:sz w:val="24"/>
                <w:highlight w:val="none"/>
              </w:rPr>
              <w:t>2.报价要求：项目费用包括项目实施所需的工程费、工时费、服务费、运输费、安装调试费、税费及其他一切费用。</w:t>
            </w:r>
          </w:p>
          <w:p w14:paraId="493512BB">
            <w:pPr>
              <w:spacing w:line="400" w:lineRule="exact"/>
              <w:rPr>
                <w:rFonts w:ascii="宋体" w:cs="宋体"/>
                <w:sz w:val="24"/>
                <w:highlight w:val="none"/>
              </w:rPr>
            </w:pPr>
            <w:r>
              <w:rPr>
                <w:rFonts w:hint="eastAsia" w:ascii="宋体" w:cs="宋体"/>
                <w:sz w:val="24"/>
                <w:highlight w:val="none"/>
              </w:rPr>
              <w:t>3.报价中不允许出现报价优惠等字样（明细出现“0”元，视同赠送）,投标总价合计金额应与明细报价汇总相等。</w:t>
            </w:r>
          </w:p>
        </w:tc>
      </w:tr>
    </w:tbl>
    <w:p w14:paraId="1C573C2A">
      <w:pPr>
        <w:spacing w:before="240"/>
        <w:rPr>
          <w:rFonts w:ascii="宋体" w:cs="宋体"/>
          <w:sz w:val="24"/>
          <w:highlight w:val="none"/>
          <w:u w:val="single"/>
        </w:rPr>
      </w:pPr>
    </w:p>
    <w:p w14:paraId="5D753F47">
      <w:pPr>
        <w:snapToGrid w:val="0"/>
        <w:spacing w:line="360" w:lineRule="auto"/>
        <w:rPr>
          <w:rFonts w:ascii="宋体" w:cs="宋体"/>
          <w:sz w:val="30"/>
          <w:szCs w:val="30"/>
          <w:highlight w:val="none"/>
        </w:rPr>
      </w:pPr>
    </w:p>
    <w:p w14:paraId="28CDF8C1">
      <w:pPr>
        <w:snapToGrid w:val="0"/>
        <w:spacing w:line="400" w:lineRule="exact"/>
        <w:jc w:val="left"/>
        <w:rPr>
          <w:rFonts w:ascii="宋体" w:cs="宋体"/>
          <w:sz w:val="28"/>
          <w:szCs w:val="28"/>
          <w:highlight w:val="none"/>
        </w:rPr>
      </w:pPr>
    </w:p>
    <w:p w14:paraId="38BF00B2">
      <w:pPr>
        <w:snapToGrid w:val="0"/>
        <w:spacing w:line="400" w:lineRule="exact"/>
        <w:jc w:val="left"/>
        <w:rPr>
          <w:rFonts w:ascii="宋体" w:cs="宋体"/>
          <w:sz w:val="28"/>
          <w:szCs w:val="28"/>
          <w:highlight w:val="none"/>
        </w:rPr>
      </w:pPr>
    </w:p>
    <w:p w14:paraId="5A440BFB">
      <w:pPr>
        <w:snapToGrid w:val="0"/>
        <w:spacing w:line="400" w:lineRule="exact"/>
        <w:jc w:val="left"/>
        <w:rPr>
          <w:rFonts w:ascii="宋体" w:cs="宋体"/>
          <w:sz w:val="28"/>
          <w:szCs w:val="28"/>
          <w:highlight w:val="none"/>
        </w:rPr>
      </w:pPr>
      <w:r>
        <w:rPr>
          <w:rFonts w:hint="eastAsia" w:ascii="宋体" w:cs="宋体"/>
          <w:sz w:val="28"/>
          <w:szCs w:val="28"/>
          <w:highlight w:val="none"/>
        </w:rPr>
        <w:t>授权代表签名</w:t>
      </w:r>
      <w:r>
        <w:rPr>
          <w:rFonts w:hint="eastAsia" w:ascii="宋体" w:cs="宋体"/>
          <w:sz w:val="30"/>
          <w:szCs w:val="30"/>
          <w:highlight w:val="none"/>
        </w:rPr>
        <w:t>（或签名章）</w:t>
      </w:r>
      <w:r>
        <w:rPr>
          <w:rFonts w:hint="eastAsia" w:ascii="宋体" w:cs="宋体"/>
          <w:sz w:val="28"/>
          <w:szCs w:val="28"/>
          <w:highlight w:val="none"/>
        </w:rPr>
        <w:t xml:space="preserve">：                              日期： </w:t>
      </w:r>
    </w:p>
    <w:p w14:paraId="37CF80F6">
      <w:pPr>
        <w:snapToGrid w:val="0"/>
        <w:spacing w:line="360" w:lineRule="auto"/>
        <w:rPr>
          <w:rFonts w:ascii="宋体" w:cs="宋体"/>
          <w:sz w:val="30"/>
          <w:szCs w:val="30"/>
          <w:highlight w:val="none"/>
        </w:rPr>
      </w:pPr>
    </w:p>
    <w:p w14:paraId="685B411F">
      <w:pPr>
        <w:rPr>
          <w:rFonts w:ascii="宋体" w:cs="宋体"/>
          <w:sz w:val="30"/>
          <w:szCs w:val="30"/>
          <w:highlight w:val="none"/>
        </w:rPr>
      </w:pPr>
      <w:r>
        <w:rPr>
          <w:rFonts w:hint="eastAsia" w:ascii="宋体" w:cs="宋体"/>
          <w:sz w:val="30"/>
          <w:szCs w:val="30"/>
          <w:highlight w:val="none"/>
        </w:rPr>
        <w:br w:type="page"/>
      </w:r>
    </w:p>
    <w:p w14:paraId="778B40D3">
      <w:pPr>
        <w:snapToGrid w:val="0"/>
        <w:spacing w:line="360" w:lineRule="auto"/>
        <w:rPr>
          <w:rFonts w:ascii="宋体" w:cs="宋体"/>
          <w:sz w:val="28"/>
          <w:szCs w:val="28"/>
          <w:highlight w:val="none"/>
        </w:rPr>
      </w:pPr>
      <w:r>
        <w:rPr>
          <w:rFonts w:hint="eastAsia" w:ascii="宋体" w:cs="宋体"/>
          <w:sz w:val="30"/>
          <w:szCs w:val="30"/>
          <w:highlight w:val="none"/>
        </w:rPr>
        <w:t>附件16：</w:t>
      </w:r>
    </w:p>
    <w:p w14:paraId="6B891496">
      <w:pPr>
        <w:spacing w:line="460" w:lineRule="atLeast"/>
        <w:ind w:firstLine="723" w:firstLineChars="200"/>
        <w:jc w:val="center"/>
        <w:rPr>
          <w:rFonts w:ascii="宋体" w:cs="宋体"/>
          <w:b/>
          <w:bCs/>
          <w:color w:val="auto"/>
          <w:sz w:val="36"/>
          <w:szCs w:val="36"/>
          <w:highlight w:val="none"/>
        </w:rPr>
      </w:pPr>
      <w:r>
        <w:rPr>
          <w:rFonts w:hint="eastAsia" w:ascii="宋体" w:cs="宋体"/>
          <w:b/>
          <w:bCs/>
          <w:color w:val="auto"/>
          <w:sz w:val="36"/>
          <w:szCs w:val="36"/>
          <w:highlight w:val="none"/>
        </w:rPr>
        <w:t>中小企业声明函（服务）</w:t>
      </w:r>
    </w:p>
    <w:p w14:paraId="1AF13791">
      <w:pPr>
        <w:pStyle w:val="19"/>
        <w:rPr>
          <w:rFonts w:ascii="宋体" w:hAnsi="宋体" w:cs="宋体"/>
          <w:color w:val="000000"/>
          <w:highlight w:val="none"/>
        </w:rPr>
      </w:pPr>
    </w:p>
    <w:p w14:paraId="04B2FADB">
      <w:pPr>
        <w:spacing w:line="360" w:lineRule="auto"/>
        <w:ind w:firstLine="480" w:firstLineChars="200"/>
        <w:rPr>
          <w:rFonts w:ascii="宋体" w:cs="宋体"/>
          <w:color w:val="000000"/>
          <w:sz w:val="24"/>
          <w:szCs w:val="24"/>
          <w:highlight w:val="none"/>
        </w:rPr>
      </w:pPr>
      <w:r>
        <w:rPr>
          <w:rFonts w:hint="eastAsia" w:ascii="宋体" w:cs="宋体"/>
          <w:color w:val="000000"/>
          <w:sz w:val="24"/>
          <w:szCs w:val="24"/>
          <w:highlight w:val="none"/>
        </w:rPr>
        <w:t>本公司（联合体）郑重声明，根据《政府采购促进中小企业发展管理办法》（财库﹝2020﹞46 号）的规定，本公司（联合体）参加</w:t>
      </w:r>
      <w:r>
        <w:rPr>
          <w:rFonts w:hint="eastAsia" w:ascii="宋体" w:cs="宋体"/>
          <w:color w:val="000000"/>
          <w:sz w:val="24"/>
          <w:szCs w:val="24"/>
          <w:highlight w:val="none"/>
          <w:u w:val="single"/>
        </w:rPr>
        <w:t>（单位名称）</w:t>
      </w:r>
      <w:r>
        <w:rPr>
          <w:rFonts w:hint="eastAsia" w:ascii="宋体" w:cs="宋体"/>
          <w:color w:val="000000"/>
          <w:sz w:val="24"/>
          <w:szCs w:val="24"/>
          <w:highlight w:val="none"/>
        </w:rPr>
        <w:t>的</w:t>
      </w:r>
      <w:r>
        <w:rPr>
          <w:rFonts w:hint="eastAsia" w:ascii="宋体" w:cs="宋体"/>
          <w:color w:val="000000"/>
          <w:sz w:val="24"/>
          <w:szCs w:val="24"/>
          <w:highlight w:val="none"/>
          <w:u w:val="single"/>
        </w:rPr>
        <w:t>（项目名称）</w:t>
      </w:r>
      <w:r>
        <w:rPr>
          <w:rFonts w:hint="eastAsia" w:ascii="宋体" w:cs="宋体"/>
          <w:color w:val="000000"/>
          <w:sz w:val="24"/>
          <w:szCs w:val="24"/>
          <w:highlight w:val="none"/>
        </w:rPr>
        <w:t>采购活动，</w:t>
      </w:r>
      <w:r>
        <w:rPr>
          <w:rFonts w:hint="eastAsia" w:ascii="宋体" w:cs="宋体"/>
          <w:sz w:val="24"/>
          <w:highlight w:val="none"/>
        </w:rPr>
        <w:t>服务全部由符合政策要求的中小企业承接</w:t>
      </w:r>
      <w:r>
        <w:rPr>
          <w:rFonts w:hint="eastAsia" w:ascii="宋体" w:cs="宋体"/>
          <w:color w:val="000000"/>
          <w:sz w:val="24"/>
          <w:szCs w:val="24"/>
          <w:highlight w:val="none"/>
        </w:rPr>
        <w:t>。相关企业（含联合体中的中小企业、签订分包意向协议的中小企业）的具体情况如下：</w:t>
      </w:r>
    </w:p>
    <w:p w14:paraId="2E934466">
      <w:pPr>
        <w:pStyle w:val="19"/>
        <w:spacing w:line="360" w:lineRule="auto"/>
        <w:ind w:left="0" w:leftChars="0"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 xml:space="preserve">    1.</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w:t>
      </w:r>
      <w:r>
        <w:rPr>
          <w:rFonts w:hint="eastAsia" w:ascii="宋体" w:hAnsi="宋体" w:cs="宋体"/>
          <w:color w:val="000000"/>
          <w:sz w:val="24"/>
          <w:szCs w:val="24"/>
          <w:highlight w:val="none"/>
          <w:vertAlign w:val="superscript"/>
        </w:rPr>
        <w:t>1</w:t>
      </w:r>
      <w:r>
        <w:rPr>
          <w:rFonts w:hint="eastAsia" w:ascii="宋体" w:hAnsi="宋体" w:cs="宋体"/>
          <w:color w:val="000000"/>
          <w:sz w:val="24"/>
          <w:szCs w:val="24"/>
          <w:highlight w:val="none"/>
        </w:rPr>
        <w:t>，资产总额为万元，属于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14:paraId="63E1F6E9">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u w:val="single"/>
        </w:rPr>
        <w:t>2.（标的名称）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14:paraId="5C77E6A2">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w:t>
      </w:r>
    </w:p>
    <w:p w14:paraId="755B2381">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以上企业，不属于大企业的分支机构，不存在控股股东为大企业的情形，也不存在与大企业的负责人为同一人的情形。</w:t>
      </w:r>
    </w:p>
    <w:p w14:paraId="7240C45C">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本企业对上述声明内容的真实性负责。如有虚假，将依法承担相应责任。</w:t>
      </w:r>
    </w:p>
    <w:p w14:paraId="79A8C402">
      <w:pPr>
        <w:spacing w:line="460" w:lineRule="atLeast"/>
        <w:ind w:firstLine="480" w:firstLineChars="200"/>
        <w:jc w:val="right"/>
        <w:rPr>
          <w:rFonts w:ascii="宋体" w:cs="宋体"/>
          <w:color w:val="000000"/>
          <w:sz w:val="24"/>
          <w:szCs w:val="24"/>
          <w:highlight w:val="none"/>
        </w:rPr>
      </w:pPr>
      <w:r>
        <w:rPr>
          <w:rFonts w:hint="eastAsia" w:ascii="宋体" w:cs="宋体"/>
          <w:color w:val="000000"/>
          <w:sz w:val="24"/>
          <w:szCs w:val="24"/>
          <w:highlight w:val="none"/>
        </w:rPr>
        <w:t xml:space="preserve">    </w:t>
      </w:r>
    </w:p>
    <w:p w14:paraId="755645A3">
      <w:pPr>
        <w:spacing w:line="460" w:lineRule="atLeast"/>
        <w:ind w:firstLine="6264" w:firstLineChars="2600"/>
        <w:rPr>
          <w:rFonts w:ascii="宋体" w:cs="宋体"/>
          <w:b/>
          <w:bCs/>
          <w:color w:val="000000"/>
          <w:sz w:val="24"/>
          <w:szCs w:val="24"/>
          <w:highlight w:val="none"/>
        </w:rPr>
      </w:pPr>
      <w:r>
        <w:rPr>
          <w:rFonts w:hint="eastAsia" w:ascii="宋体" w:cs="宋体"/>
          <w:b/>
          <w:bCs/>
          <w:color w:val="000000"/>
          <w:sz w:val="24"/>
          <w:szCs w:val="24"/>
          <w:highlight w:val="none"/>
        </w:rPr>
        <w:t>企业名称（盖章）：</w:t>
      </w:r>
    </w:p>
    <w:p w14:paraId="488A8DFD">
      <w:pPr>
        <w:spacing w:line="460" w:lineRule="atLeast"/>
        <w:ind w:firstLine="723" w:firstLineChars="300"/>
        <w:rPr>
          <w:rFonts w:ascii="宋体" w:cs="宋体"/>
          <w:color w:val="000000"/>
          <w:sz w:val="24"/>
          <w:szCs w:val="24"/>
          <w:highlight w:val="none"/>
        </w:rPr>
      </w:pPr>
      <w:r>
        <w:rPr>
          <w:rFonts w:hint="eastAsia" w:ascii="宋体" w:cs="宋体"/>
          <w:b/>
          <w:bCs/>
          <w:color w:val="000000"/>
          <w:sz w:val="24"/>
          <w:szCs w:val="24"/>
          <w:highlight w:val="none"/>
        </w:rPr>
        <w:t xml:space="preserve">                                                日 期：</w:t>
      </w:r>
    </w:p>
    <w:p w14:paraId="15265271">
      <w:pPr>
        <w:pStyle w:val="19"/>
        <w:ind w:left="0" w:leftChars="0" w:firstLine="0" w:firstLineChars="0"/>
        <w:rPr>
          <w:rFonts w:ascii="宋体" w:hAnsi="宋体" w:cs="宋体"/>
          <w:color w:val="000000"/>
          <w:sz w:val="22"/>
          <w:highlight w:val="none"/>
          <w:u w:val="single"/>
        </w:rPr>
      </w:pPr>
    </w:p>
    <w:p w14:paraId="7C8DCC79">
      <w:pPr>
        <w:rPr>
          <w:rFonts w:ascii="宋体" w:cs="宋体"/>
          <w:sz w:val="18"/>
          <w:szCs w:val="18"/>
          <w:highlight w:val="none"/>
        </w:rPr>
      </w:pPr>
      <w:r>
        <w:rPr>
          <w:rFonts w:hint="eastAsia" w:ascii="宋体" w:cs="宋体"/>
          <w:sz w:val="18"/>
          <w:szCs w:val="18"/>
          <w:highlight w:val="none"/>
        </w:rPr>
        <w:t>1.中小企业参加政府采购活动，应当出具财库〔2020〕46号文件规定的《中小企业声明函》，否则不得享受相关中小企业扶持政策。</w:t>
      </w:r>
    </w:p>
    <w:p w14:paraId="6C4BEF2C">
      <w:pPr>
        <w:rPr>
          <w:rFonts w:ascii="宋体" w:cs="宋体"/>
          <w:sz w:val="18"/>
          <w:szCs w:val="18"/>
          <w:highlight w:val="none"/>
        </w:rPr>
      </w:pPr>
      <w:r>
        <w:rPr>
          <w:rFonts w:hint="eastAsia" w:ascii="宋体" w:cs="宋体"/>
          <w:sz w:val="18"/>
          <w:szCs w:val="18"/>
          <w:highlight w:val="none"/>
        </w:rPr>
        <w:t>2.从业人员、营业收入、资产总额填报上一年度数据，无上一年度数据的新成立企业可不填报。</w:t>
      </w:r>
    </w:p>
    <w:p w14:paraId="33052FAF">
      <w:pPr>
        <w:rPr>
          <w:rFonts w:ascii="宋体" w:cs="宋体"/>
          <w:sz w:val="18"/>
          <w:szCs w:val="18"/>
          <w:highlight w:val="none"/>
        </w:rPr>
      </w:pPr>
      <w:r>
        <w:rPr>
          <w:rFonts w:hint="eastAsia" w:ascii="宋体" w:cs="宋体"/>
          <w:sz w:val="18"/>
          <w:szCs w:val="18"/>
          <w:highlight w:val="none"/>
        </w:rPr>
        <w:t>3.“中小企业声明函”填写不全的，视为未填报。如项目包含“多件”标的物的，需按标的物项数逐项填写。</w:t>
      </w:r>
    </w:p>
    <w:p w14:paraId="401B1922">
      <w:pPr>
        <w:rPr>
          <w:rFonts w:ascii="宋体" w:cs="宋体"/>
          <w:sz w:val="18"/>
          <w:szCs w:val="18"/>
          <w:highlight w:val="none"/>
        </w:rPr>
      </w:pPr>
      <w:bookmarkStart w:id="33" w:name="_Hlk71885339"/>
      <w:r>
        <w:rPr>
          <w:rFonts w:hint="eastAsia" w:ascii="宋体" w:cs="宋体"/>
          <w:sz w:val="18"/>
          <w:szCs w:val="18"/>
          <w:highlight w:val="none"/>
        </w:rPr>
        <w:t>4.供应商提供《中小企业声明函》内容不实的，属于提供虚假材料谋取中标、成交，依照《中华人民共和国政府采购法》等国家有关规定追究相应责任。</w:t>
      </w:r>
      <w:bookmarkEnd w:id="33"/>
    </w:p>
    <w:p w14:paraId="520CE1E5">
      <w:pPr>
        <w:rPr>
          <w:rFonts w:hint="eastAsia" w:ascii="宋体" w:cs="宋体"/>
          <w:sz w:val="18"/>
          <w:szCs w:val="18"/>
          <w:highlight w:val="none"/>
        </w:rPr>
      </w:pPr>
      <w:r>
        <w:rPr>
          <w:rFonts w:hint="eastAsia" w:ascii="宋体" w:cs="宋体"/>
          <w:sz w:val="18"/>
          <w:szCs w:val="18"/>
          <w:highlight w:val="none"/>
        </w:rPr>
        <w:t>5.本项目只以《中小企业声明函》作为评判供应商是否属于中小企业的唯一依据。</w:t>
      </w:r>
    </w:p>
    <w:p w14:paraId="6A7BC9B7">
      <w:pPr>
        <w:snapToGrid w:val="0"/>
        <w:spacing w:line="312" w:lineRule="auto"/>
        <w:ind w:firstLine="4620" w:firstLineChars="1650"/>
        <w:rPr>
          <w:rFonts w:ascii="宋体" w:cs="宋体"/>
          <w:sz w:val="28"/>
          <w:szCs w:val="28"/>
          <w:highlight w:val="none"/>
        </w:rPr>
      </w:pPr>
    </w:p>
    <w:p w14:paraId="7F42206D">
      <w:pPr>
        <w:jc w:val="left"/>
        <w:rPr>
          <w:rFonts w:ascii="宋体" w:cs="宋体"/>
          <w:highlight w:val="none"/>
        </w:rPr>
      </w:pPr>
      <w:r>
        <w:rPr>
          <w:rFonts w:hint="eastAsia" w:ascii="宋体" w:cs="宋体"/>
          <w:sz w:val="30"/>
          <w:szCs w:val="30"/>
          <w:highlight w:val="none"/>
        </w:rPr>
        <w:t>附件17：</w:t>
      </w:r>
    </w:p>
    <w:p w14:paraId="00B109ED">
      <w:pPr>
        <w:rPr>
          <w:rFonts w:ascii="宋体" w:cs="宋体"/>
          <w:highlight w:val="none"/>
        </w:rPr>
      </w:pPr>
    </w:p>
    <w:p w14:paraId="6379CA83">
      <w:pPr>
        <w:spacing w:line="588" w:lineRule="exact"/>
        <w:jc w:val="center"/>
        <w:rPr>
          <w:rFonts w:ascii="宋体" w:cs="宋体"/>
          <w:b/>
          <w:spacing w:val="6"/>
          <w:sz w:val="32"/>
          <w:szCs w:val="32"/>
          <w:highlight w:val="none"/>
        </w:rPr>
      </w:pPr>
      <w:r>
        <w:rPr>
          <w:rFonts w:hint="eastAsia" w:ascii="宋体" w:cs="宋体"/>
          <w:b/>
          <w:spacing w:val="6"/>
          <w:sz w:val="32"/>
          <w:szCs w:val="32"/>
          <w:highlight w:val="none"/>
        </w:rPr>
        <w:t>残疾人福利性单位声明函</w:t>
      </w:r>
    </w:p>
    <w:p w14:paraId="64632BF8">
      <w:pPr>
        <w:pStyle w:val="6"/>
        <w:jc w:val="center"/>
        <w:rPr>
          <w:rFonts w:ascii="宋体" w:eastAsia="宋体" w:cs="宋体"/>
          <w:b/>
          <w:spacing w:val="6"/>
          <w:sz w:val="30"/>
          <w:szCs w:val="30"/>
          <w:highlight w:val="none"/>
        </w:rPr>
      </w:pPr>
      <w:r>
        <w:rPr>
          <w:rFonts w:hint="eastAsia" w:ascii="宋体" w:eastAsia="宋体" w:cs="宋体"/>
          <w:b/>
          <w:spacing w:val="6"/>
          <w:sz w:val="30"/>
          <w:szCs w:val="30"/>
          <w:highlight w:val="none"/>
        </w:rPr>
        <w:t>【不属于</w:t>
      </w:r>
      <w:r>
        <w:rPr>
          <w:rFonts w:hint="eastAsia" w:ascii="宋体" w:eastAsia="宋体" w:cs="宋体"/>
          <w:b/>
          <w:spacing w:val="6"/>
          <w:sz w:val="32"/>
          <w:szCs w:val="32"/>
          <w:highlight w:val="none"/>
        </w:rPr>
        <w:t>残疾人福利性</w:t>
      </w:r>
      <w:r>
        <w:rPr>
          <w:rFonts w:hint="eastAsia" w:ascii="宋体" w:eastAsia="宋体" w:cs="宋体"/>
          <w:b/>
          <w:spacing w:val="6"/>
          <w:sz w:val="30"/>
          <w:szCs w:val="30"/>
          <w:highlight w:val="none"/>
        </w:rPr>
        <w:t>企业，不用提供此函】</w:t>
      </w:r>
    </w:p>
    <w:p w14:paraId="0AD575BE">
      <w:pPr>
        <w:rPr>
          <w:rFonts w:ascii="宋体" w:cs="宋体"/>
          <w:highlight w:val="none"/>
        </w:rPr>
      </w:pPr>
    </w:p>
    <w:p w14:paraId="139E2F5E">
      <w:pPr>
        <w:snapToGrid w:val="0"/>
        <w:spacing w:line="360" w:lineRule="auto"/>
        <w:ind w:firstLine="840" w:firstLineChars="300"/>
        <w:rPr>
          <w:rFonts w:ascii="宋体" w:cs="宋体"/>
          <w:sz w:val="28"/>
          <w:szCs w:val="28"/>
          <w:highlight w:val="none"/>
        </w:rPr>
      </w:pPr>
      <w:r>
        <w:rPr>
          <w:rFonts w:hint="eastAsia" w:ascii="宋体" w:cs="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B376DB">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本单位对上述声明的真实性负责。如有虚假，将依法承担相应责任。</w:t>
      </w:r>
    </w:p>
    <w:p w14:paraId="74F8B47E">
      <w:pPr>
        <w:snapToGrid w:val="0"/>
        <w:spacing w:line="360" w:lineRule="auto"/>
        <w:ind w:firstLine="560" w:firstLineChars="200"/>
        <w:rPr>
          <w:rFonts w:ascii="宋体" w:cs="宋体"/>
          <w:sz w:val="28"/>
          <w:szCs w:val="28"/>
          <w:highlight w:val="none"/>
        </w:rPr>
      </w:pPr>
    </w:p>
    <w:p w14:paraId="2711FEF4">
      <w:pPr>
        <w:spacing w:line="588" w:lineRule="exact"/>
        <w:ind w:firstLine="624" w:firstLineChars="200"/>
        <w:rPr>
          <w:rFonts w:ascii="宋体" w:cs="宋体"/>
          <w:spacing w:val="6"/>
          <w:sz w:val="30"/>
          <w:szCs w:val="30"/>
          <w:highlight w:val="none"/>
        </w:rPr>
      </w:pPr>
    </w:p>
    <w:p w14:paraId="6D1CE7F0">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投标人名称（盖章）：</w:t>
      </w:r>
    </w:p>
    <w:p w14:paraId="0DEAC672">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日  期：</w:t>
      </w:r>
    </w:p>
    <w:p w14:paraId="56EBA1FB">
      <w:pPr>
        <w:rPr>
          <w:rFonts w:ascii="宋体" w:cs="宋体"/>
          <w:highlight w:val="none"/>
        </w:rPr>
      </w:pPr>
    </w:p>
    <w:p w14:paraId="6C167485">
      <w:pPr>
        <w:rPr>
          <w:rFonts w:ascii="宋体" w:cs="宋体"/>
          <w:highlight w:val="none"/>
        </w:rPr>
      </w:pPr>
    </w:p>
    <w:p w14:paraId="13C41B66">
      <w:pPr>
        <w:jc w:val="left"/>
        <w:rPr>
          <w:rFonts w:ascii="宋体" w:cs="宋体"/>
          <w:highlight w:val="none"/>
        </w:rPr>
      </w:pPr>
      <w:r>
        <w:rPr>
          <w:rFonts w:hint="eastAsia" w:ascii="宋体" w:cs="宋体"/>
          <w:b/>
          <w:bCs/>
          <w:color w:val="000000"/>
          <w:sz w:val="30"/>
          <w:szCs w:val="30"/>
          <w:highlight w:val="none"/>
        </w:rPr>
        <w:br w:type="page"/>
      </w:r>
      <w:r>
        <w:rPr>
          <w:rFonts w:hint="eastAsia" w:ascii="宋体" w:cs="宋体"/>
          <w:sz w:val="30"/>
          <w:szCs w:val="30"/>
          <w:highlight w:val="none"/>
        </w:rPr>
        <w:t>附件18：</w:t>
      </w:r>
    </w:p>
    <w:p w14:paraId="2D8890A4">
      <w:pPr>
        <w:pStyle w:val="21"/>
        <w:adjustRightInd w:val="0"/>
        <w:snapToGrid w:val="0"/>
        <w:spacing w:line="360" w:lineRule="auto"/>
        <w:rPr>
          <w:rFonts w:hAnsi="宋体" w:cs="宋体"/>
          <w:b/>
          <w:bCs/>
          <w:color w:val="000000"/>
          <w:sz w:val="30"/>
          <w:szCs w:val="30"/>
          <w:highlight w:val="none"/>
        </w:rPr>
      </w:pPr>
    </w:p>
    <w:p w14:paraId="04761444">
      <w:pPr>
        <w:pStyle w:val="21"/>
        <w:adjustRightInd w:val="0"/>
        <w:snapToGrid w:val="0"/>
        <w:spacing w:line="360" w:lineRule="auto"/>
        <w:jc w:val="center"/>
        <w:rPr>
          <w:rFonts w:hAnsi="宋体" w:cs="宋体"/>
          <w:sz w:val="44"/>
          <w:szCs w:val="44"/>
          <w:highlight w:val="none"/>
        </w:rPr>
      </w:pPr>
      <w:r>
        <w:rPr>
          <w:rFonts w:hint="eastAsia" w:hAnsi="宋体" w:cs="宋体"/>
          <w:b/>
          <w:bCs/>
          <w:sz w:val="32"/>
          <w:szCs w:val="32"/>
          <w:highlight w:val="none"/>
        </w:rPr>
        <w:t>监狱企业声明函</w:t>
      </w:r>
    </w:p>
    <w:p w14:paraId="48D8EC31">
      <w:pPr>
        <w:adjustRightInd w:val="0"/>
        <w:snapToGrid w:val="0"/>
        <w:spacing w:line="360" w:lineRule="auto"/>
        <w:jc w:val="center"/>
        <w:rPr>
          <w:rFonts w:ascii="宋体" w:cs="宋体"/>
          <w:sz w:val="28"/>
          <w:szCs w:val="28"/>
          <w:highlight w:val="none"/>
        </w:rPr>
      </w:pPr>
      <w:r>
        <w:rPr>
          <w:rFonts w:hint="eastAsia" w:ascii="宋体" w:cs="宋体"/>
          <w:sz w:val="28"/>
          <w:szCs w:val="28"/>
          <w:highlight w:val="none"/>
        </w:rPr>
        <w:t>【不属于监狱企业，不用提供此函】</w:t>
      </w:r>
    </w:p>
    <w:p w14:paraId="2D8C91FC">
      <w:pPr>
        <w:adjustRightInd w:val="0"/>
        <w:snapToGrid w:val="0"/>
        <w:spacing w:line="360" w:lineRule="auto"/>
        <w:ind w:firstLine="560" w:firstLineChars="200"/>
        <w:rPr>
          <w:rFonts w:ascii="宋体" w:cs="宋体"/>
          <w:sz w:val="28"/>
          <w:szCs w:val="28"/>
          <w:highlight w:val="none"/>
        </w:rPr>
      </w:pPr>
    </w:p>
    <w:p w14:paraId="645CEF09">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本企业郑重声明，根据《关于政府采购支持监狱企业发展有关问题的通知》（财库[2014]68号）的规定，本企业为监狱企业。</w:t>
      </w:r>
    </w:p>
    <w:p w14:paraId="0C4D6229">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根据上述标准，我企业属于监狱企业的理由为：         。</w:t>
      </w:r>
    </w:p>
    <w:p w14:paraId="1DA09E59">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本企业参加______单位的______项目采购活动提供本企业的产品。</w:t>
      </w:r>
    </w:p>
    <w:p w14:paraId="42E5DCEE">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本企业对上述声明的真实性负责。如有虚假，将依法承担相应责任。</w:t>
      </w:r>
    </w:p>
    <w:p w14:paraId="4D60EC0B">
      <w:pPr>
        <w:adjustRightInd w:val="0"/>
        <w:snapToGrid w:val="0"/>
        <w:spacing w:line="360" w:lineRule="auto"/>
        <w:ind w:firstLine="560" w:firstLineChars="200"/>
        <w:jc w:val="center"/>
        <w:rPr>
          <w:rFonts w:ascii="宋体" w:cs="宋体"/>
          <w:sz w:val="28"/>
          <w:szCs w:val="28"/>
          <w:highlight w:val="none"/>
        </w:rPr>
      </w:pPr>
    </w:p>
    <w:p w14:paraId="72B89549">
      <w:pPr>
        <w:pStyle w:val="21"/>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投标人全称：                      （盖单位公章）</w:t>
      </w:r>
    </w:p>
    <w:p w14:paraId="4E094F78">
      <w:pPr>
        <w:pStyle w:val="21"/>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日期：202 年  月  日</w:t>
      </w:r>
    </w:p>
    <w:p w14:paraId="7D20F2A6">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监狱企业参加政府采购活动时，应当提供由省级以上监狱管理局、戒毒管理局（含新疆生产建设兵团）出具的属于监狱企业的证明文件。</w:t>
      </w:r>
    </w:p>
    <w:p w14:paraId="1A12C4B5">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BABB3F">
      <w:pPr>
        <w:widowControl w:val="0"/>
        <w:spacing w:before="240"/>
        <w:jc w:val="center"/>
        <w:rPr>
          <w:rFonts w:ascii="宋体" w:cs="宋体"/>
          <w:sz w:val="28"/>
          <w:szCs w:val="28"/>
          <w:highlight w:val="none"/>
        </w:rPr>
      </w:pPr>
    </w:p>
    <w:p w14:paraId="1F08BE87">
      <w:pPr>
        <w:widowControl w:val="0"/>
        <w:snapToGrid w:val="0"/>
        <w:spacing w:line="900" w:lineRule="exact"/>
        <w:jc w:val="center"/>
        <w:rPr>
          <w:rFonts w:ascii="宋体" w:cs="宋体"/>
          <w:color w:val="000000"/>
          <w:sz w:val="24"/>
          <w:szCs w:val="24"/>
          <w:highlight w:val="none"/>
        </w:rPr>
      </w:pPr>
      <w:r>
        <w:rPr>
          <w:rFonts w:hint="eastAsia" w:ascii="宋体" w:cs="宋体"/>
          <w:sz w:val="30"/>
          <w:szCs w:val="30"/>
          <w:highlight w:val="none"/>
        </w:rPr>
        <w:br w:type="page"/>
      </w:r>
    </w:p>
    <w:p w14:paraId="4B0631BB">
      <w:pPr>
        <w:widowControl w:val="0"/>
        <w:snapToGrid w:val="0"/>
        <w:spacing w:line="900" w:lineRule="exact"/>
        <w:rPr>
          <w:rFonts w:ascii="宋体" w:cs="宋体"/>
          <w:color w:val="000000"/>
          <w:sz w:val="24"/>
          <w:szCs w:val="24"/>
          <w:highlight w:val="none"/>
        </w:rPr>
      </w:pPr>
    </w:p>
    <w:p w14:paraId="3E4A6994">
      <w:pPr>
        <w:widowControl w:val="0"/>
        <w:snapToGrid w:val="0"/>
        <w:spacing w:line="900" w:lineRule="exact"/>
        <w:jc w:val="center"/>
        <w:rPr>
          <w:rFonts w:ascii="宋体" w:cs="宋体"/>
          <w:color w:val="000000"/>
          <w:sz w:val="24"/>
          <w:szCs w:val="24"/>
          <w:highlight w:val="none"/>
        </w:rPr>
      </w:pPr>
    </w:p>
    <w:p w14:paraId="003AFF6B">
      <w:pPr>
        <w:widowControl w:val="0"/>
        <w:snapToGrid w:val="0"/>
        <w:spacing w:line="900" w:lineRule="exact"/>
        <w:jc w:val="center"/>
        <w:rPr>
          <w:rFonts w:ascii="宋体" w:cs="宋体"/>
          <w:b/>
          <w:bCs/>
          <w:sz w:val="48"/>
          <w:szCs w:val="48"/>
          <w:highlight w:val="none"/>
        </w:rPr>
      </w:pPr>
      <w:r>
        <w:rPr>
          <w:rFonts w:hint="eastAsia" w:ascii="宋体" w:cs="宋体"/>
          <w:b/>
          <w:bCs/>
          <w:sz w:val="48"/>
          <w:szCs w:val="48"/>
          <w:highlight w:val="none"/>
        </w:rPr>
        <w:t>第六章</w:t>
      </w:r>
    </w:p>
    <w:p w14:paraId="4B397CC4">
      <w:pPr>
        <w:widowControl w:val="0"/>
        <w:snapToGrid w:val="0"/>
        <w:spacing w:line="900" w:lineRule="exact"/>
        <w:jc w:val="center"/>
        <w:rPr>
          <w:rFonts w:ascii="宋体" w:cs="宋体"/>
          <w:b/>
          <w:bCs/>
          <w:color w:val="000000"/>
          <w:sz w:val="48"/>
          <w:szCs w:val="48"/>
          <w:highlight w:val="none"/>
        </w:rPr>
      </w:pPr>
      <w:r>
        <w:rPr>
          <w:rFonts w:hint="eastAsia" w:ascii="宋体" w:cs="宋体"/>
          <w:b/>
          <w:bCs/>
          <w:color w:val="000000"/>
          <w:sz w:val="48"/>
          <w:szCs w:val="48"/>
          <w:highlight w:val="none"/>
        </w:rPr>
        <w:t>合同主要条款</w:t>
      </w:r>
    </w:p>
    <w:p w14:paraId="724035AB">
      <w:pPr>
        <w:widowControl w:val="0"/>
        <w:adjustRightInd w:val="0"/>
        <w:rPr>
          <w:rFonts w:ascii="宋体" w:cs="宋体"/>
          <w:sz w:val="24"/>
          <w:szCs w:val="24"/>
          <w:highlight w:val="none"/>
        </w:rPr>
      </w:pPr>
    </w:p>
    <w:p w14:paraId="7AFD04FA">
      <w:pPr>
        <w:widowControl w:val="0"/>
        <w:snapToGrid w:val="0"/>
        <w:spacing w:beforeLines="50" w:afterLines="50"/>
        <w:jc w:val="center"/>
        <w:rPr>
          <w:rFonts w:ascii="宋体" w:cs="宋体"/>
          <w:b/>
          <w:bCs/>
          <w:sz w:val="36"/>
          <w:szCs w:val="36"/>
          <w:highlight w:val="none"/>
        </w:rPr>
      </w:pPr>
    </w:p>
    <w:p w14:paraId="2490E00C">
      <w:pPr>
        <w:snapToGrid w:val="0"/>
        <w:spacing w:beforeLines="50" w:afterLines="50"/>
        <w:jc w:val="center"/>
        <w:outlineLvl w:val="0"/>
        <w:rPr>
          <w:rFonts w:ascii="宋体"/>
          <w:bCs/>
          <w:highlight w:val="none"/>
        </w:rPr>
      </w:pPr>
      <w:r>
        <w:rPr>
          <w:rFonts w:hint="eastAsia" w:ascii="宋体" w:cs="宋体"/>
          <w:b/>
          <w:bCs/>
          <w:sz w:val="30"/>
          <w:szCs w:val="30"/>
          <w:highlight w:val="none"/>
        </w:rPr>
        <w:br w:type="page"/>
      </w:r>
      <w:r>
        <w:rPr>
          <w:rFonts w:hint="eastAsia" w:ascii="宋体"/>
          <w:bCs/>
          <w:highlight w:val="none"/>
        </w:rPr>
        <w:t>（服务类可普遍适用，货物类普遍适用困难）</w:t>
      </w:r>
    </w:p>
    <w:p w14:paraId="6750E8C7">
      <w:pPr>
        <w:snapToGrid w:val="0"/>
        <w:spacing w:beforeLines="50" w:afterLines="50"/>
        <w:jc w:val="center"/>
        <w:outlineLvl w:val="0"/>
        <w:rPr>
          <w:rFonts w:ascii="宋体"/>
          <w:bCs/>
          <w:highlight w:val="none"/>
        </w:rPr>
      </w:pPr>
    </w:p>
    <w:p w14:paraId="06DCAB5B">
      <w:pPr>
        <w:snapToGrid w:val="0"/>
        <w:spacing w:beforeLines="50" w:afterLines="50"/>
        <w:jc w:val="center"/>
        <w:outlineLvl w:val="0"/>
        <w:rPr>
          <w:rFonts w:ascii="宋体"/>
          <w:b/>
          <w:sz w:val="30"/>
          <w:highlight w:val="none"/>
        </w:rPr>
      </w:pPr>
      <w:r>
        <w:rPr>
          <w:rFonts w:hint="eastAsia" w:ascii="宋体"/>
          <w:b/>
          <w:sz w:val="30"/>
          <w:highlight w:val="none"/>
        </w:rPr>
        <w:t>永康市政府采购合同指引（参考）</w:t>
      </w:r>
    </w:p>
    <w:p w14:paraId="013B90EF">
      <w:pPr>
        <w:snapToGrid w:val="0"/>
        <w:spacing w:beforeLines="50" w:afterLines="50"/>
        <w:jc w:val="center"/>
        <w:outlineLvl w:val="0"/>
        <w:rPr>
          <w:rFonts w:ascii="宋体"/>
          <w:b/>
          <w:sz w:val="30"/>
          <w:highlight w:val="none"/>
        </w:rPr>
      </w:pPr>
    </w:p>
    <w:p w14:paraId="15A61A9E">
      <w:pPr>
        <w:pStyle w:val="21"/>
        <w:snapToGrid w:val="0"/>
        <w:spacing w:before="120" w:after="120"/>
        <w:rPr>
          <w:rFonts w:hAnsi="宋体"/>
          <w:highlight w:val="none"/>
        </w:rPr>
      </w:pPr>
      <w:r>
        <w:rPr>
          <w:rFonts w:hAnsi="宋体"/>
          <w:highlight w:val="none"/>
        </w:rPr>
        <w:t>项目名称：                                       项目编号：</w:t>
      </w:r>
    </w:p>
    <w:p w14:paraId="1D8CA8A6">
      <w:pPr>
        <w:pStyle w:val="21"/>
        <w:snapToGrid w:val="0"/>
        <w:spacing w:before="120" w:after="120"/>
        <w:rPr>
          <w:rFonts w:hAnsi="宋体"/>
          <w:highlight w:val="none"/>
        </w:rPr>
      </w:pPr>
      <w:r>
        <w:rPr>
          <w:rFonts w:hint="eastAsia" w:hAnsi="宋体"/>
          <w:highlight w:val="none"/>
        </w:rPr>
        <w:t>采购计划文号：                                   标段：</w:t>
      </w:r>
    </w:p>
    <w:p w14:paraId="648EB860">
      <w:pPr>
        <w:pStyle w:val="21"/>
        <w:snapToGrid w:val="0"/>
        <w:spacing w:before="120" w:after="120"/>
        <w:rPr>
          <w:rFonts w:hAnsi="宋体"/>
          <w:highlight w:val="none"/>
        </w:rPr>
      </w:pPr>
      <w:r>
        <w:rPr>
          <w:rFonts w:hAnsi="宋体"/>
          <w:highlight w:val="none"/>
        </w:rPr>
        <w:t>甲方（</w:t>
      </w:r>
      <w:r>
        <w:rPr>
          <w:rFonts w:hint="eastAsia" w:hAnsi="宋体"/>
          <w:highlight w:val="none"/>
        </w:rPr>
        <w:t>委托</w:t>
      </w:r>
      <w:r>
        <w:rPr>
          <w:rFonts w:hAnsi="宋体"/>
          <w:highlight w:val="none"/>
        </w:rPr>
        <w:t>方）：</w:t>
      </w:r>
    </w:p>
    <w:p w14:paraId="67A9E83B">
      <w:pPr>
        <w:pStyle w:val="21"/>
        <w:snapToGrid w:val="0"/>
        <w:spacing w:before="120" w:after="120"/>
        <w:rPr>
          <w:rFonts w:hAnsi="宋体"/>
          <w:highlight w:val="none"/>
        </w:rPr>
      </w:pPr>
      <w:r>
        <w:rPr>
          <w:rFonts w:hAnsi="宋体"/>
          <w:highlight w:val="none"/>
        </w:rPr>
        <w:t>乙方（</w:t>
      </w:r>
      <w:r>
        <w:rPr>
          <w:rFonts w:hint="eastAsia" w:hAnsi="宋体"/>
          <w:highlight w:val="none"/>
        </w:rPr>
        <w:t>服务</w:t>
      </w:r>
      <w:r>
        <w:rPr>
          <w:rFonts w:hAnsi="宋体"/>
          <w:highlight w:val="none"/>
        </w:rPr>
        <w:t>方）：</w:t>
      </w:r>
    </w:p>
    <w:p w14:paraId="703256E0">
      <w:pPr>
        <w:pStyle w:val="21"/>
        <w:snapToGrid w:val="0"/>
        <w:spacing w:before="120" w:after="120" w:line="360" w:lineRule="auto"/>
        <w:rPr>
          <w:rFonts w:hAnsi="宋体"/>
          <w:b/>
          <w:highlight w:val="none"/>
        </w:rPr>
      </w:pPr>
      <w:r>
        <w:rPr>
          <w:rFonts w:hAnsi="宋体"/>
          <w:highlight w:val="none"/>
        </w:rPr>
        <w:t>甲、乙双方根据</w:t>
      </w:r>
      <w:r>
        <w:rPr>
          <w:rFonts w:hint="eastAsia" w:hAnsi="宋体"/>
          <w:highlight w:val="none"/>
        </w:rPr>
        <w:t>金华市政府采购中心永康市分中心</w:t>
      </w:r>
      <w:r>
        <w:rPr>
          <w:rFonts w:hAnsi="宋体"/>
          <w:highlight w:val="none"/>
        </w:rPr>
        <w:t>关于</w:t>
      </w:r>
      <w:r>
        <w:rPr>
          <w:rFonts w:hint="eastAsia" w:hAnsi="宋体"/>
          <w:highlight w:val="none"/>
        </w:rPr>
        <w:t>项目采购</w:t>
      </w:r>
      <w:r>
        <w:rPr>
          <w:rFonts w:hAnsi="宋体"/>
          <w:highlight w:val="none"/>
        </w:rPr>
        <w:t>的结果，签署本合同。</w:t>
      </w:r>
    </w:p>
    <w:p w14:paraId="135D746C">
      <w:pPr>
        <w:pStyle w:val="21"/>
        <w:snapToGrid w:val="0"/>
        <w:spacing w:before="120" w:after="120"/>
        <w:rPr>
          <w:rFonts w:hAnsi="宋体"/>
          <w:b/>
          <w:highlight w:val="none"/>
        </w:rPr>
      </w:pPr>
      <w:r>
        <w:rPr>
          <w:rFonts w:hAnsi="宋体"/>
          <w:b/>
          <w:highlight w:val="none"/>
        </w:rPr>
        <w:t>一、服务</w:t>
      </w:r>
      <w:r>
        <w:rPr>
          <w:rFonts w:hint="eastAsia" w:hAnsi="宋体"/>
          <w:b/>
          <w:highlight w:val="none"/>
        </w:rPr>
        <w:t>项目</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165C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14F5499">
            <w:pPr>
              <w:pStyle w:val="21"/>
              <w:snapToGrid w:val="0"/>
              <w:spacing w:line="330" w:lineRule="exact"/>
              <w:ind w:left="-108"/>
              <w:jc w:val="center"/>
              <w:rPr>
                <w:rFonts w:ascii="Times New Roman" w:hAnsi="Times New Roman"/>
                <w:sz w:val="24"/>
                <w:szCs w:val="24"/>
                <w:highlight w:val="none"/>
                <w:lang w:val="en-US" w:eastAsia="zh-CN"/>
              </w:rPr>
            </w:pPr>
            <w:r>
              <w:rPr>
                <w:rFonts w:hint="eastAsia" w:hAnsi="宋体"/>
                <w:highlight w:val="none"/>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19C8A73F">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439AAF0B">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639F965D">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78E2F8E8">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总价</w:t>
            </w:r>
          </w:p>
        </w:tc>
      </w:tr>
      <w:tr w14:paraId="670A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0FB13D2F">
            <w:pPr>
              <w:pStyle w:val="130"/>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50A743D4">
            <w:pPr>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000350C">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EA1ED5F">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FCA36CB">
            <w:pPr>
              <w:jc w:val="center"/>
              <w:rPr>
                <w:sz w:val="24"/>
                <w:highlight w:val="none"/>
              </w:rPr>
            </w:pPr>
          </w:p>
        </w:tc>
      </w:tr>
      <w:tr w14:paraId="1740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3506B857">
            <w:pPr>
              <w:pStyle w:val="130"/>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0ACD0610">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E8807DB">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5BBF116">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AB7EF7E">
            <w:pPr>
              <w:pStyle w:val="130"/>
              <w:spacing w:line="330" w:lineRule="exact"/>
              <w:jc w:val="center"/>
              <w:rPr>
                <w:highlight w:val="none"/>
              </w:rPr>
            </w:pPr>
          </w:p>
        </w:tc>
      </w:tr>
      <w:tr w14:paraId="4C2B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15825D42">
            <w:pPr>
              <w:pStyle w:val="130"/>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367FEFDE">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D45FF3">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25DAA88">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A76E859">
            <w:pPr>
              <w:pStyle w:val="130"/>
              <w:spacing w:line="330" w:lineRule="exact"/>
              <w:jc w:val="center"/>
              <w:rPr>
                <w:highlight w:val="none"/>
              </w:rPr>
            </w:pPr>
          </w:p>
        </w:tc>
      </w:tr>
      <w:tr w14:paraId="3AC1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401F41C4">
            <w:pPr>
              <w:pStyle w:val="21"/>
              <w:snapToGrid w:val="0"/>
              <w:spacing w:line="330" w:lineRule="exact"/>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19F4EE83">
            <w:pPr>
              <w:pStyle w:val="21"/>
              <w:snapToGrid w:val="0"/>
              <w:spacing w:line="330" w:lineRule="exact"/>
              <w:jc w:val="center"/>
              <w:rPr>
                <w:rFonts w:ascii="Times New Roman" w:hAnsi="Times New Roman"/>
                <w:sz w:val="24"/>
                <w:szCs w:val="24"/>
                <w:highlight w:val="none"/>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4B9227E4">
            <w:pPr>
              <w:pStyle w:val="130"/>
              <w:spacing w:line="330" w:lineRule="exact"/>
              <w:rPr>
                <w:rFonts w:ascii="Times New Roman"/>
                <w:highlight w:val="none"/>
              </w:rPr>
            </w:pPr>
          </w:p>
        </w:tc>
      </w:tr>
    </w:tbl>
    <w:p w14:paraId="10D1E9E9">
      <w:pPr>
        <w:pStyle w:val="21"/>
        <w:snapToGrid w:val="0"/>
        <w:spacing w:before="120" w:after="120"/>
        <w:rPr>
          <w:rFonts w:hAnsi="宋体"/>
          <w:b/>
          <w:highlight w:val="none"/>
        </w:rPr>
      </w:pPr>
      <w:r>
        <w:rPr>
          <w:rFonts w:hint="eastAsia"/>
          <w:highlight w:val="none"/>
        </w:rPr>
        <w:t>注：本表格不能详列的请另附清单</w:t>
      </w:r>
    </w:p>
    <w:p w14:paraId="5517036C">
      <w:pPr>
        <w:pStyle w:val="21"/>
        <w:snapToGrid w:val="0"/>
        <w:spacing w:before="120" w:after="120"/>
        <w:rPr>
          <w:rFonts w:hAnsi="宋体"/>
          <w:b/>
          <w:highlight w:val="none"/>
        </w:rPr>
      </w:pPr>
      <w:r>
        <w:rPr>
          <w:rFonts w:hAnsi="宋体"/>
          <w:b/>
          <w:highlight w:val="none"/>
        </w:rPr>
        <w:t>二、合同金额</w:t>
      </w:r>
    </w:p>
    <w:p w14:paraId="3A7F5878">
      <w:pPr>
        <w:pStyle w:val="21"/>
        <w:snapToGrid w:val="0"/>
        <w:spacing w:before="120" w:after="120"/>
        <w:ind w:left="359" w:hanging="359" w:hangingChars="171"/>
        <w:rPr>
          <w:rFonts w:hAnsi="宋体"/>
          <w:highlight w:val="none"/>
        </w:rPr>
      </w:pPr>
      <w:r>
        <w:rPr>
          <w:rFonts w:hAnsi="宋体"/>
          <w:highlight w:val="none"/>
        </w:rPr>
        <w:t xml:space="preserve"> 本合同金额为（大写）：___________________元（￥___________元）人民币。</w:t>
      </w:r>
    </w:p>
    <w:p w14:paraId="4E545A78">
      <w:pPr>
        <w:pStyle w:val="21"/>
        <w:snapToGrid w:val="0"/>
        <w:spacing w:before="120" w:after="120"/>
        <w:rPr>
          <w:rFonts w:hAnsi="宋体"/>
          <w:b/>
          <w:highlight w:val="none"/>
        </w:rPr>
      </w:pPr>
      <w:r>
        <w:rPr>
          <w:rFonts w:hAnsi="宋体"/>
          <w:b/>
          <w:highlight w:val="none"/>
        </w:rPr>
        <w:t>三、技术资料</w:t>
      </w:r>
    </w:p>
    <w:p w14:paraId="0835C081">
      <w:pPr>
        <w:pStyle w:val="21"/>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乙方应按招标文件规定的时间向甲方提供有关技术资料。</w:t>
      </w:r>
    </w:p>
    <w:p w14:paraId="47889F9E">
      <w:pPr>
        <w:pStyle w:val="21"/>
        <w:snapToGrid w:val="0"/>
        <w:spacing w:before="120" w:after="120" w:line="360" w:lineRule="auto"/>
        <w:rPr>
          <w:rFonts w:hAnsi="宋体"/>
          <w:highlight w:val="none"/>
        </w:rPr>
      </w:pPr>
      <w:r>
        <w:rPr>
          <w:rFonts w:hAnsi="宋体"/>
          <w:highlight w:val="none"/>
        </w:rPr>
        <w:t>2</w:t>
      </w:r>
      <w:r>
        <w:rPr>
          <w:rFonts w:hint="eastAsia" w:hAnsi="宋体"/>
          <w:highlight w:val="none"/>
        </w:rPr>
        <w:t>.</w:t>
      </w:r>
      <w:r>
        <w:rPr>
          <w:rFonts w:hAnsi="宋体"/>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FC068B">
      <w:pPr>
        <w:pStyle w:val="21"/>
        <w:snapToGrid w:val="0"/>
        <w:spacing w:before="120" w:after="120"/>
        <w:ind w:left="360" w:hanging="361" w:hangingChars="171"/>
        <w:rPr>
          <w:rFonts w:hAnsi="宋体"/>
          <w:b/>
          <w:highlight w:val="none"/>
        </w:rPr>
      </w:pPr>
      <w:r>
        <w:rPr>
          <w:rFonts w:hAnsi="宋体"/>
          <w:b/>
          <w:highlight w:val="none"/>
        </w:rPr>
        <w:t>四、知识产权</w:t>
      </w:r>
    </w:p>
    <w:p w14:paraId="5F9BBB4B">
      <w:pPr>
        <w:pStyle w:val="21"/>
        <w:snapToGrid w:val="0"/>
        <w:spacing w:before="120" w:after="120"/>
        <w:rPr>
          <w:rFonts w:hAnsi="宋体"/>
          <w:bCs/>
          <w:highlight w:val="none"/>
        </w:rPr>
      </w:pPr>
      <w:r>
        <w:rPr>
          <w:rFonts w:hint="eastAsia" w:hAnsi="宋体"/>
          <w:bCs/>
          <w:highlight w:val="none"/>
        </w:rPr>
        <w:t>乙方应保证提供服务过程中不会侵犯任何第三方的知识产权。</w:t>
      </w:r>
    </w:p>
    <w:p w14:paraId="60DBDC7C">
      <w:pPr>
        <w:pStyle w:val="21"/>
        <w:snapToGrid w:val="0"/>
        <w:spacing w:before="120" w:after="120"/>
        <w:ind w:left="358" w:hanging="358" w:hangingChars="170"/>
        <w:rPr>
          <w:rFonts w:hAnsi="宋体"/>
          <w:b/>
          <w:highlight w:val="none"/>
        </w:rPr>
      </w:pPr>
      <w:r>
        <w:rPr>
          <w:rFonts w:hint="eastAsia" w:hAnsi="宋体"/>
          <w:b/>
          <w:highlight w:val="none"/>
        </w:rPr>
        <w:t>五</w:t>
      </w:r>
      <w:r>
        <w:rPr>
          <w:rFonts w:hAnsi="宋体"/>
          <w:b/>
          <w:highlight w:val="none"/>
        </w:rPr>
        <w:t>、履约保证金</w:t>
      </w:r>
    </w:p>
    <w:p w14:paraId="7A06C2F7">
      <w:pPr>
        <w:pStyle w:val="21"/>
        <w:snapToGrid w:val="0"/>
        <w:spacing w:before="120" w:after="120"/>
        <w:ind w:left="357" w:hanging="357" w:hangingChars="170"/>
        <w:rPr>
          <w:rFonts w:hAnsi="宋体"/>
          <w:highlight w:val="none"/>
        </w:rPr>
      </w:pPr>
      <w:r>
        <w:rPr>
          <w:rFonts w:hAnsi="宋体"/>
          <w:highlight w:val="none"/>
        </w:rPr>
        <w:t>乙方交纳人民币</w:t>
      </w:r>
      <w:r>
        <w:rPr>
          <w:rFonts w:hAnsi="宋体"/>
          <w:b/>
          <w:highlight w:val="none"/>
          <w:u w:val="single"/>
        </w:rPr>
        <w:t>△</w:t>
      </w:r>
      <w:r>
        <w:rPr>
          <w:rFonts w:hAnsi="宋体"/>
          <w:highlight w:val="none"/>
        </w:rPr>
        <w:t>元作为本合同的履约保证金</w:t>
      </w:r>
      <w:r>
        <w:rPr>
          <w:rFonts w:hint="eastAsia" w:hAnsi="宋体"/>
          <w:highlight w:val="none"/>
        </w:rPr>
        <w:t>（如有）</w:t>
      </w:r>
      <w:r>
        <w:rPr>
          <w:rFonts w:hAnsi="宋体"/>
          <w:highlight w:val="none"/>
        </w:rPr>
        <w:t>。</w:t>
      </w:r>
    </w:p>
    <w:p w14:paraId="6FCEB95E">
      <w:pPr>
        <w:pStyle w:val="21"/>
        <w:snapToGrid w:val="0"/>
        <w:spacing w:before="120" w:after="120"/>
        <w:ind w:left="358" w:hanging="358" w:hangingChars="170"/>
        <w:rPr>
          <w:rFonts w:hAnsi="宋体"/>
          <w:b/>
          <w:highlight w:val="none"/>
        </w:rPr>
      </w:pPr>
      <w:r>
        <w:rPr>
          <w:rFonts w:hint="eastAsia" w:hAnsi="宋体"/>
          <w:b/>
          <w:highlight w:val="none"/>
        </w:rPr>
        <w:t>六、转包或分包</w:t>
      </w:r>
    </w:p>
    <w:p w14:paraId="1FFA056C">
      <w:pPr>
        <w:snapToGrid w:val="0"/>
        <w:spacing w:beforeLines="50" w:afterLines="50"/>
        <w:rPr>
          <w:rFonts w:ascii="宋体"/>
          <w:highlight w:val="none"/>
        </w:rPr>
      </w:pPr>
      <w:r>
        <w:rPr>
          <w:rFonts w:ascii="宋体"/>
          <w:highlight w:val="none"/>
        </w:rPr>
        <w:t>1</w:t>
      </w:r>
      <w:r>
        <w:rPr>
          <w:rFonts w:hint="eastAsia" w:ascii="宋体"/>
          <w:highlight w:val="none"/>
        </w:rPr>
        <w:t>.乙方不得将本合同转包其他供应商履行。</w:t>
      </w:r>
    </w:p>
    <w:p w14:paraId="4449F7B8">
      <w:pPr>
        <w:snapToGrid w:val="0"/>
        <w:spacing w:beforeLines="50" w:afterLines="50" w:line="360" w:lineRule="auto"/>
        <w:rPr>
          <w:rFonts w:ascii="宋体"/>
          <w:highlight w:val="none"/>
        </w:rPr>
      </w:pPr>
      <w:r>
        <w:rPr>
          <w:rFonts w:hint="eastAsia" w:ascii="宋体"/>
          <w:highlight w:val="none"/>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05A031FD">
      <w:pPr>
        <w:pStyle w:val="21"/>
        <w:snapToGrid w:val="0"/>
        <w:spacing w:before="120" w:after="120"/>
        <w:rPr>
          <w:rFonts w:hAnsi="宋体"/>
          <w:b/>
          <w:highlight w:val="none"/>
        </w:rPr>
      </w:pPr>
      <w:r>
        <w:rPr>
          <w:rFonts w:hint="eastAsia" w:hAnsi="宋体"/>
          <w:b/>
          <w:highlight w:val="none"/>
        </w:rPr>
        <w:t>七</w:t>
      </w:r>
      <w:r>
        <w:rPr>
          <w:rFonts w:hAnsi="宋体"/>
          <w:b/>
          <w:highlight w:val="none"/>
        </w:rPr>
        <w:t>、合同履行时间、履行方式及履行地点</w:t>
      </w:r>
    </w:p>
    <w:p w14:paraId="12A181E4">
      <w:pPr>
        <w:pStyle w:val="21"/>
        <w:snapToGrid w:val="0"/>
        <w:spacing w:before="120" w:after="120"/>
        <w:rPr>
          <w:rFonts w:hAnsi="宋体"/>
          <w:bCs/>
          <w:color w:val="000000"/>
          <w:highlight w:val="none"/>
        </w:rPr>
      </w:pPr>
      <w:r>
        <w:rPr>
          <w:rFonts w:hAnsi="宋体"/>
          <w:bCs/>
          <w:highlight w:val="none"/>
        </w:rPr>
        <w:t>1</w:t>
      </w:r>
      <w:r>
        <w:rPr>
          <w:rFonts w:hint="eastAsia" w:hAnsi="宋体"/>
          <w:bCs/>
          <w:highlight w:val="none"/>
        </w:rPr>
        <w:t>.</w:t>
      </w:r>
      <w:r>
        <w:rPr>
          <w:rFonts w:hAnsi="宋体"/>
          <w:highlight w:val="none"/>
        </w:rPr>
        <w:t>履行时间</w:t>
      </w:r>
      <w:r>
        <w:rPr>
          <w:rFonts w:hAnsi="宋体"/>
          <w:bCs/>
          <w:highlight w:val="none"/>
        </w:rPr>
        <w:t>：</w:t>
      </w:r>
    </w:p>
    <w:p w14:paraId="638F3528">
      <w:pPr>
        <w:pStyle w:val="21"/>
        <w:snapToGrid w:val="0"/>
        <w:spacing w:before="120" w:after="120"/>
        <w:rPr>
          <w:rFonts w:hAnsi="宋体"/>
          <w:bCs/>
          <w:color w:val="000000"/>
          <w:highlight w:val="none"/>
        </w:rPr>
      </w:pPr>
      <w:r>
        <w:rPr>
          <w:rFonts w:hAnsi="宋体"/>
          <w:bCs/>
          <w:color w:val="000000"/>
          <w:highlight w:val="none"/>
        </w:rPr>
        <w:t>2</w:t>
      </w:r>
      <w:r>
        <w:rPr>
          <w:rFonts w:hint="eastAsia" w:hAnsi="宋体"/>
          <w:bCs/>
          <w:color w:val="000000"/>
          <w:highlight w:val="none"/>
        </w:rPr>
        <w:t>.</w:t>
      </w:r>
      <w:r>
        <w:rPr>
          <w:rFonts w:hAnsi="宋体"/>
          <w:highlight w:val="none"/>
        </w:rPr>
        <w:t>履行方式</w:t>
      </w:r>
      <w:r>
        <w:rPr>
          <w:rFonts w:hAnsi="宋体"/>
          <w:bCs/>
          <w:color w:val="000000"/>
          <w:highlight w:val="none"/>
        </w:rPr>
        <w:t>：</w:t>
      </w:r>
    </w:p>
    <w:p w14:paraId="1C834B1A">
      <w:pPr>
        <w:pStyle w:val="21"/>
        <w:snapToGrid w:val="0"/>
        <w:spacing w:before="120" w:after="120"/>
        <w:rPr>
          <w:rFonts w:hAnsi="宋体"/>
          <w:color w:val="000000"/>
          <w:highlight w:val="none"/>
        </w:rPr>
      </w:pPr>
      <w:r>
        <w:rPr>
          <w:rFonts w:hAnsi="宋体"/>
          <w:bCs/>
          <w:color w:val="000000"/>
          <w:highlight w:val="none"/>
        </w:rPr>
        <w:t>3</w:t>
      </w:r>
      <w:r>
        <w:rPr>
          <w:rFonts w:hint="eastAsia" w:hAnsi="宋体"/>
          <w:bCs/>
          <w:color w:val="000000"/>
          <w:highlight w:val="none"/>
        </w:rPr>
        <w:t>.</w:t>
      </w:r>
      <w:r>
        <w:rPr>
          <w:rFonts w:hAnsi="宋体"/>
          <w:highlight w:val="none"/>
        </w:rPr>
        <w:t>履行地点</w:t>
      </w:r>
      <w:r>
        <w:rPr>
          <w:rFonts w:hAnsi="宋体"/>
          <w:bCs/>
          <w:color w:val="000000"/>
          <w:highlight w:val="none"/>
        </w:rPr>
        <w:t>：</w:t>
      </w:r>
    </w:p>
    <w:p w14:paraId="2B30787D">
      <w:pPr>
        <w:pStyle w:val="21"/>
        <w:snapToGrid w:val="0"/>
        <w:spacing w:before="120" w:after="120"/>
        <w:rPr>
          <w:rFonts w:hAnsi="宋体"/>
          <w:b/>
          <w:highlight w:val="none"/>
        </w:rPr>
      </w:pPr>
      <w:r>
        <w:rPr>
          <w:rFonts w:hint="eastAsia" w:hAnsi="宋体"/>
          <w:b/>
          <w:bCs/>
          <w:color w:val="000000"/>
          <w:highlight w:val="none"/>
        </w:rPr>
        <w:t>八</w:t>
      </w:r>
      <w:r>
        <w:rPr>
          <w:rFonts w:hAnsi="宋体"/>
          <w:b/>
          <w:bCs/>
          <w:color w:val="000000"/>
          <w:highlight w:val="none"/>
        </w:rPr>
        <w:t>、</w:t>
      </w:r>
      <w:r>
        <w:rPr>
          <w:rFonts w:hint="eastAsia" w:hAnsi="宋体"/>
          <w:b/>
          <w:highlight w:val="none"/>
        </w:rPr>
        <w:t>验收标准及方式</w:t>
      </w:r>
    </w:p>
    <w:p w14:paraId="157607E5">
      <w:pPr>
        <w:pStyle w:val="21"/>
        <w:snapToGrid w:val="0"/>
        <w:spacing w:before="120" w:after="120"/>
        <w:rPr>
          <w:rFonts w:hAnsi="宋体"/>
          <w:b/>
          <w:bCs/>
          <w:color w:val="000000"/>
          <w:highlight w:val="none"/>
        </w:rPr>
      </w:pPr>
    </w:p>
    <w:p w14:paraId="52571FFB">
      <w:pPr>
        <w:pStyle w:val="21"/>
        <w:snapToGrid w:val="0"/>
        <w:spacing w:before="120" w:after="120"/>
        <w:rPr>
          <w:rFonts w:hAnsi="宋体"/>
          <w:b/>
          <w:bCs/>
          <w:color w:val="000000"/>
          <w:highlight w:val="none"/>
        </w:rPr>
      </w:pPr>
      <w:r>
        <w:rPr>
          <w:rFonts w:hint="eastAsia" w:hAnsi="宋体"/>
          <w:b/>
          <w:bCs/>
          <w:color w:val="000000"/>
          <w:highlight w:val="none"/>
        </w:rPr>
        <w:t>九、</w:t>
      </w:r>
      <w:r>
        <w:rPr>
          <w:rFonts w:hAnsi="宋体"/>
          <w:b/>
          <w:bCs/>
          <w:color w:val="000000"/>
          <w:highlight w:val="none"/>
        </w:rPr>
        <w:t>款项支付</w:t>
      </w:r>
    </w:p>
    <w:p w14:paraId="7368014C">
      <w:pPr>
        <w:pStyle w:val="21"/>
        <w:snapToGrid w:val="0"/>
        <w:spacing w:before="120" w:after="120"/>
        <w:rPr>
          <w:rFonts w:hAnsi="宋体"/>
          <w:bCs/>
          <w:highlight w:val="none"/>
        </w:rPr>
      </w:pPr>
      <w:r>
        <w:rPr>
          <w:rFonts w:hAnsi="宋体"/>
          <w:bCs/>
          <w:highlight w:val="none"/>
        </w:rPr>
        <w:t xml:space="preserve"> 付款方式：</w:t>
      </w:r>
    </w:p>
    <w:p w14:paraId="44E925D8">
      <w:pPr>
        <w:snapToGrid w:val="0"/>
        <w:spacing w:beforeLines="50" w:afterLines="50"/>
        <w:rPr>
          <w:rFonts w:ascii="宋体"/>
          <w:b/>
          <w:sz w:val="24"/>
          <w:szCs w:val="20"/>
          <w:highlight w:val="none"/>
        </w:rPr>
      </w:pPr>
      <w:r>
        <w:rPr>
          <w:rFonts w:hint="eastAsia" w:ascii="宋体"/>
          <w:b/>
          <w:sz w:val="24"/>
          <w:highlight w:val="none"/>
        </w:rPr>
        <w:t>十、税费</w:t>
      </w:r>
    </w:p>
    <w:p w14:paraId="713E7C5D">
      <w:pPr>
        <w:snapToGrid w:val="0"/>
        <w:spacing w:beforeLines="50" w:afterLines="50"/>
        <w:rPr>
          <w:rFonts w:ascii="宋体"/>
          <w:highlight w:val="none"/>
        </w:rPr>
      </w:pPr>
      <w:r>
        <w:rPr>
          <w:rFonts w:hint="eastAsia" w:ascii="宋体"/>
          <w:highlight w:val="none"/>
        </w:rPr>
        <w:t>本合同执行中相关的一切税费均由</w:t>
      </w:r>
      <w:r>
        <w:rPr>
          <w:highlight w:val="none"/>
        </w:rPr>
        <w:t>乙</w:t>
      </w:r>
      <w:r>
        <w:rPr>
          <w:rFonts w:hint="eastAsia" w:ascii="宋体"/>
          <w:highlight w:val="none"/>
        </w:rPr>
        <w:t>方负担。</w:t>
      </w:r>
    </w:p>
    <w:p w14:paraId="1C943A2C">
      <w:pPr>
        <w:pStyle w:val="21"/>
        <w:snapToGrid w:val="0"/>
        <w:spacing w:before="120" w:after="120"/>
        <w:rPr>
          <w:rFonts w:hAnsi="宋体"/>
          <w:b/>
          <w:highlight w:val="none"/>
        </w:rPr>
      </w:pPr>
      <w:r>
        <w:rPr>
          <w:rFonts w:hint="eastAsia" w:hAnsi="宋体"/>
          <w:b/>
          <w:highlight w:val="none"/>
        </w:rPr>
        <w:t>十一、</w:t>
      </w:r>
      <w:r>
        <w:rPr>
          <w:rFonts w:hAnsi="宋体"/>
          <w:b/>
          <w:highlight w:val="none"/>
        </w:rPr>
        <w:t>质量保证及</w:t>
      </w:r>
      <w:r>
        <w:rPr>
          <w:rFonts w:hint="eastAsia" w:hAnsi="宋体"/>
          <w:b/>
          <w:highlight w:val="none"/>
        </w:rPr>
        <w:t>验收标准</w:t>
      </w:r>
    </w:p>
    <w:p w14:paraId="3C42C894">
      <w:pPr>
        <w:pStyle w:val="21"/>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 xml:space="preserve"> 乙方应按</w:t>
      </w:r>
      <w:r>
        <w:rPr>
          <w:rFonts w:hint="eastAsia" w:hAnsi="宋体"/>
          <w:highlight w:val="none"/>
        </w:rPr>
        <w:t>要求</w:t>
      </w:r>
      <w:r>
        <w:rPr>
          <w:rFonts w:hAnsi="宋体"/>
          <w:highlight w:val="none"/>
        </w:rPr>
        <w:t>向甲方提供服务。</w:t>
      </w:r>
    </w:p>
    <w:p w14:paraId="4A8B8CAD">
      <w:pPr>
        <w:pStyle w:val="21"/>
        <w:snapToGrid w:val="0"/>
        <w:spacing w:before="120" w:after="120"/>
        <w:rPr>
          <w:rFonts w:hAnsi="宋体"/>
          <w:highlight w:val="none"/>
        </w:rPr>
      </w:pPr>
      <w:r>
        <w:rPr>
          <w:rFonts w:hint="eastAsia" w:hAnsi="宋体"/>
          <w:highlight w:val="none"/>
        </w:rPr>
        <w:t>2．</w:t>
      </w:r>
      <w:r>
        <w:rPr>
          <w:rFonts w:hAnsi="宋体"/>
          <w:highlight w:val="none"/>
        </w:rPr>
        <w:t xml:space="preserve"> 如在使用过程中发生问题，乙方在接到甲方通知后</w:t>
      </w:r>
      <w:r>
        <w:rPr>
          <w:rFonts w:hAnsi="宋体"/>
          <w:color w:val="000000"/>
          <w:highlight w:val="none"/>
        </w:rPr>
        <w:t>在</w:t>
      </w:r>
      <w:r>
        <w:rPr>
          <w:rFonts w:hAnsi="宋体"/>
          <w:highlight w:val="none"/>
        </w:rPr>
        <w:t>△</w:t>
      </w:r>
      <w:r>
        <w:rPr>
          <w:rFonts w:hAnsi="宋体"/>
          <w:color w:val="000000"/>
          <w:highlight w:val="none"/>
        </w:rPr>
        <w:t>小时</w:t>
      </w:r>
      <w:r>
        <w:rPr>
          <w:rFonts w:hAnsi="宋体"/>
          <w:highlight w:val="none"/>
        </w:rPr>
        <w:t>内到达甲方现场。</w:t>
      </w:r>
    </w:p>
    <w:p w14:paraId="47BCAA34">
      <w:pPr>
        <w:pStyle w:val="21"/>
        <w:snapToGrid w:val="0"/>
        <w:spacing w:before="120" w:after="120"/>
        <w:rPr>
          <w:rFonts w:hAnsi="宋体"/>
          <w:b/>
          <w:highlight w:val="none"/>
        </w:rPr>
      </w:pPr>
      <w:r>
        <w:rPr>
          <w:rFonts w:hint="eastAsia" w:hAnsi="宋体"/>
          <w:highlight w:val="none"/>
        </w:rPr>
        <w:t>3．</w:t>
      </w:r>
      <w:r>
        <w:rPr>
          <w:rFonts w:hAnsi="宋体"/>
          <w:highlight w:val="none"/>
        </w:rPr>
        <w:t>在</w:t>
      </w:r>
      <w:r>
        <w:rPr>
          <w:rFonts w:hAnsi="宋体"/>
          <w:bCs/>
          <w:highlight w:val="none"/>
        </w:rPr>
        <w:t>服务质量保证期内</w:t>
      </w:r>
      <w:r>
        <w:rPr>
          <w:rFonts w:hAnsi="宋体"/>
          <w:highlight w:val="none"/>
        </w:rPr>
        <w:t>，乙方应对出现的质量及安全问题负责处理解决并承担一切费用。</w:t>
      </w:r>
    </w:p>
    <w:p w14:paraId="12CB5EF1">
      <w:pPr>
        <w:pStyle w:val="21"/>
        <w:snapToGrid w:val="0"/>
        <w:spacing w:before="120" w:after="120"/>
        <w:rPr>
          <w:rFonts w:hAnsi="宋体"/>
          <w:b/>
          <w:highlight w:val="none"/>
        </w:rPr>
      </w:pPr>
      <w:r>
        <w:rPr>
          <w:rFonts w:hAnsi="宋体"/>
          <w:b/>
          <w:highlight w:val="none"/>
        </w:rPr>
        <w:t>十</w:t>
      </w:r>
      <w:r>
        <w:rPr>
          <w:rFonts w:hint="eastAsia" w:hAnsi="宋体"/>
          <w:b/>
          <w:highlight w:val="none"/>
        </w:rPr>
        <w:t>二</w:t>
      </w:r>
      <w:r>
        <w:rPr>
          <w:rFonts w:hAnsi="宋体"/>
          <w:b/>
          <w:highlight w:val="none"/>
        </w:rPr>
        <w:t>、违约责任</w:t>
      </w:r>
    </w:p>
    <w:p w14:paraId="587CC97B">
      <w:pPr>
        <w:pStyle w:val="21"/>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甲方无正当理由拒收接受服务的，甲方向乙方偿付合同款项百分之五作为违约金。</w:t>
      </w:r>
    </w:p>
    <w:p w14:paraId="3ED5B53C">
      <w:pPr>
        <w:pStyle w:val="21"/>
        <w:snapToGrid w:val="0"/>
        <w:spacing w:before="120" w:after="120"/>
        <w:ind w:left="359" w:hanging="359" w:hangingChars="171"/>
        <w:rPr>
          <w:rFonts w:hAnsi="宋体"/>
          <w:highlight w:val="none"/>
        </w:rPr>
      </w:pPr>
      <w:r>
        <w:rPr>
          <w:rFonts w:hAnsi="宋体"/>
          <w:highlight w:val="none"/>
        </w:rPr>
        <w:t>2</w:t>
      </w:r>
      <w:r>
        <w:rPr>
          <w:rFonts w:hint="eastAsia" w:hAnsi="宋体"/>
          <w:highlight w:val="none"/>
        </w:rPr>
        <w:t>．</w:t>
      </w:r>
      <w:r>
        <w:rPr>
          <w:rFonts w:hAnsi="宋体"/>
          <w:highlight w:val="none"/>
        </w:rPr>
        <w:t>甲方无故逾期验收和办理款项支付手续的,甲方应按逾期付款总额每日万分之五向乙方支付违约金。</w:t>
      </w:r>
    </w:p>
    <w:p w14:paraId="60B28103">
      <w:pPr>
        <w:pStyle w:val="21"/>
        <w:snapToGrid w:val="0"/>
        <w:spacing w:before="120" w:after="120" w:line="360" w:lineRule="auto"/>
        <w:ind w:left="359" w:hanging="359" w:hangingChars="171"/>
        <w:rPr>
          <w:rFonts w:hAnsi="宋体"/>
          <w:highlight w:val="none"/>
        </w:rPr>
      </w:pPr>
      <w:r>
        <w:rPr>
          <w:rFonts w:hAnsi="宋体"/>
          <w:highlight w:val="none"/>
        </w:rPr>
        <w:t>3</w:t>
      </w:r>
      <w:r>
        <w:rPr>
          <w:rFonts w:hint="eastAsia" w:hAnsi="宋体"/>
          <w:highlight w:val="none"/>
        </w:rPr>
        <w:t>．</w:t>
      </w:r>
      <w:r>
        <w:rPr>
          <w:rFonts w:hAnsi="宋体"/>
          <w:highlight w:val="none"/>
        </w:rPr>
        <w:t xml:space="preserve"> 乙方</w:t>
      </w:r>
      <w:r>
        <w:rPr>
          <w:rFonts w:hint="eastAsia" w:hAnsi="宋体"/>
          <w:highlight w:val="none"/>
        </w:rPr>
        <w:t>未能如</w:t>
      </w:r>
      <w:r>
        <w:rPr>
          <w:rFonts w:hAnsi="宋体"/>
          <w:highlight w:val="none"/>
        </w:rPr>
        <w:t>期提供服务的，每日向甲方支付</w:t>
      </w:r>
      <w:r>
        <w:rPr>
          <w:rFonts w:hint="eastAsia" w:hAnsi="宋体"/>
          <w:highlight w:val="none"/>
        </w:rPr>
        <w:t>合同款项的</w:t>
      </w:r>
      <w:r>
        <w:rPr>
          <w:rFonts w:hAnsi="宋体"/>
          <w:highlight w:val="none"/>
        </w:rPr>
        <w:t>千分之六</w:t>
      </w:r>
      <w:r>
        <w:rPr>
          <w:rFonts w:hint="eastAsia" w:hAnsi="宋体"/>
          <w:highlight w:val="none"/>
        </w:rPr>
        <w:t>作为</w:t>
      </w:r>
      <w:r>
        <w:rPr>
          <w:rFonts w:hAnsi="宋体"/>
          <w:highlight w:val="none"/>
        </w:rPr>
        <w:t>违约金。乙方超过约定日期10个工作日</w:t>
      </w:r>
      <w:r>
        <w:rPr>
          <w:rFonts w:hint="eastAsia" w:hAnsi="宋体"/>
          <w:highlight w:val="none"/>
        </w:rPr>
        <w:t>仍</w:t>
      </w:r>
      <w:r>
        <w:rPr>
          <w:rFonts w:hAnsi="宋体"/>
          <w:highlight w:val="none"/>
        </w:rPr>
        <w:t>不能</w:t>
      </w:r>
      <w:r>
        <w:rPr>
          <w:rFonts w:hint="eastAsia" w:hAnsi="宋体"/>
          <w:highlight w:val="none"/>
        </w:rPr>
        <w:t>提供服务</w:t>
      </w:r>
      <w:r>
        <w:rPr>
          <w:rFonts w:hAnsi="宋体"/>
          <w:highlight w:val="none"/>
        </w:rPr>
        <w:t>的，甲方可解除本合同。乙方因</w:t>
      </w:r>
      <w:r>
        <w:rPr>
          <w:rFonts w:hint="eastAsia" w:hAnsi="宋体"/>
          <w:highlight w:val="none"/>
        </w:rPr>
        <w:t>未能如</w:t>
      </w:r>
      <w:r>
        <w:rPr>
          <w:rFonts w:hAnsi="宋体"/>
          <w:highlight w:val="none"/>
        </w:rPr>
        <w:t xml:space="preserve">期提供服务或因其他违约行为导致甲方解除合同的，乙方应向甲方支付合同总值5%的违约金，如造成甲方损失超过违约金的，超出部分由乙方继续承担赔偿责任。 </w:t>
      </w:r>
    </w:p>
    <w:p w14:paraId="2D5BA2BF">
      <w:pPr>
        <w:pStyle w:val="21"/>
        <w:snapToGrid w:val="0"/>
        <w:spacing w:before="120" w:after="120"/>
        <w:rPr>
          <w:rFonts w:hAnsi="宋体"/>
          <w:b/>
          <w:highlight w:val="none"/>
        </w:rPr>
      </w:pPr>
      <w:r>
        <w:rPr>
          <w:rFonts w:hAnsi="宋体"/>
          <w:b/>
          <w:highlight w:val="none"/>
        </w:rPr>
        <w:t>十</w:t>
      </w:r>
      <w:r>
        <w:rPr>
          <w:rFonts w:hint="eastAsia" w:hAnsi="宋体"/>
          <w:b/>
          <w:highlight w:val="none"/>
        </w:rPr>
        <w:t>三</w:t>
      </w:r>
      <w:r>
        <w:rPr>
          <w:rFonts w:hAnsi="宋体"/>
          <w:b/>
          <w:highlight w:val="none"/>
        </w:rPr>
        <w:t>、不可抗力事件处理</w:t>
      </w:r>
    </w:p>
    <w:p w14:paraId="50593B54">
      <w:pPr>
        <w:pStyle w:val="21"/>
        <w:snapToGrid w:val="0"/>
        <w:spacing w:before="120" w:after="120" w:line="360" w:lineRule="auto"/>
        <w:rPr>
          <w:rFonts w:hAnsi="宋体"/>
          <w:highlight w:val="none"/>
        </w:rPr>
      </w:pPr>
      <w:r>
        <w:rPr>
          <w:rFonts w:hAnsi="宋体"/>
          <w:highlight w:val="none"/>
        </w:rPr>
        <w:t>1</w:t>
      </w:r>
      <w:r>
        <w:rPr>
          <w:rFonts w:hint="eastAsia" w:hAnsi="宋体"/>
          <w:highlight w:val="none"/>
        </w:rPr>
        <w:t>.</w:t>
      </w:r>
      <w:r>
        <w:rPr>
          <w:rFonts w:hAnsi="宋体"/>
          <w:highlight w:val="none"/>
        </w:rPr>
        <w:t xml:space="preserve"> 在合同有效期内，任何一方因不可抗力事件导致不能履行合同，则合同履行期可延长，其延长期与不可抗力影响期相同。</w:t>
      </w:r>
    </w:p>
    <w:p w14:paraId="1F3A2215">
      <w:pPr>
        <w:pStyle w:val="21"/>
        <w:snapToGrid w:val="0"/>
        <w:spacing w:before="120" w:after="120"/>
        <w:rPr>
          <w:rFonts w:hAnsi="宋体"/>
          <w:highlight w:val="none"/>
        </w:rPr>
      </w:pPr>
      <w:r>
        <w:rPr>
          <w:rFonts w:hAnsi="宋体"/>
          <w:highlight w:val="none"/>
        </w:rPr>
        <w:t>2</w:t>
      </w:r>
      <w:r>
        <w:rPr>
          <w:rFonts w:hint="eastAsia" w:hAnsi="宋体"/>
          <w:highlight w:val="none"/>
        </w:rPr>
        <w:t>.</w:t>
      </w:r>
      <w:r>
        <w:rPr>
          <w:rFonts w:hAnsi="宋体"/>
          <w:highlight w:val="none"/>
        </w:rPr>
        <w:t xml:space="preserve"> 不可抗力事件发生后，应立即通知对方。</w:t>
      </w:r>
    </w:p>
    <w:p w14:paraId="4A63E5A0">
      <w:pPr>
        <w:pStyle w:val="21"/>
        <w:snapToGrid w:val="0"/>
        <w:spacing w:before="120" w:after="120"/>
        <w:rPr>
          <w:rFonts w:hAnsi="宋体"/>
          <w:highlight w:val="none"/>
        </w:rPr>
      </w:pPr>
      <w:r>
        <w:rPr>
          <w:rFonts w:hAnsi="宋体"/>
          <w:highlight w:val="none"/>
        </w:rPr>
        <w:t>3</w:t>
      </w:r>
      <w:r>
        <w:rPr>
          <w:rFonts w:hint="eastAsia" w:hAnsi="宋体"/>
          <w:highlight w:val="none"/>
        </w:rPr>
        <w:t>.</w:t>
      </w:r>
      <w:r>
        <w:rPr>
          <w:rFonts w:hAnsi="宋体"/>
          <w:highlight w:val="none"/>
        </w:rPr>
        <w:t xml:space="preserve"> 不可抗力事件延续120天以上，双方应通过友好协商，确定是否继续履行合同。</w:t>
      </w:r>
    </w:p>
    <w:p w14:paraId="33C37DEB">
      <w:pPr>
        <w:pStyle w:val="21"/>
        <w:snapToGrid w:val="0"/>
        <w:spacing w:before="120" w:after="120"/>
        <w:rPr>
          <w:rFonts w:hAnsi="宋体"/>
          <w:b/>
          <w:highlight w:val="none"/>
        </w:rPr>
      </w:pPr>
      <w:r>
        <w:rPr>
          <w:rFonts w:hAnsi="宋体"/>
          <w:b/>
          <w:highlight w:val="none"/>
        </w:rPr>
        <w:t>十</w:t>
      </w:r>
      <w:r>
        <w:rPr>
          <w:rFonts w:hint="eastAsia" w:hAnsi="宋体"/>
          <w:b/>
          <w:highlight w:val="none"/>
        </w:rPr>
        <w:t>四</w:t>
      </w:r>
      <w:r>
        <w:rPr>
          <w:rFonts w:hAnsi="宋体"/>
          <w:b/>
          <w:highlight w:val="none"/>
        </w:rPr>
        <w:t>、诉讼</w:t>
      </w:r>
    </w:p>
    <w:p w14:paraId="62146BC8">
      <w:pPr>
        <w:pStyle w:val="21"/>
        <w:snapToGrid w:val="0"/>
        <w:spacing w:before="120" w:after="120"/>
        <w:ind w:left="420" w:hanging="420" w:hangingChars="200"/>
        <w:rPr>
          <w:rFonts w:hAnsi="宋体"/>
          <w:highlight w:val="none"/>
        </w:rPr>
      </w:pPr>
      <w:r>
        <w:rPr>
          <w:rFonts w:hint="eastAsia" w:hAnsi="宋体"/>
          <w:highlight w:val="none"/>
        </w:rPr>
        <w:t>1、</w:t>
      </w:r>
      <w:r>
        <w:rPr>
          <w:rFonts w:hAnsi="宋体"/>
          <w:highlight w:val="none"/>
        </w:rPr>
        <w:t>双方在执行合同中所发生的一切争议，应通过协商解决。如协商不成，可向</w:t>
      </w:r>
      <w:r>
        <w:rPr>
          <w:rFonts w:hint="eastAsia" w:hAnsi="宋体"/>
          <w:highlight w:val="none"/>
        </w:rPr>
        <w:t>甲方所在</w:t>
      </w:r>
      <w:r>
        <w:rPr>
          <w:rFonts w:hAnsi="宋体"/>
          <w:highlight w:val="none"/>
        </w:rPr>
        <w:t>地法院起诉。</w:t>
      </w:r>
    </w:p>
    <w:p w14:paraId="7B378DA2">
      <w:pPr>
        <w:pStyle w:val="21"/>
        <w:snapToGrid w:val="0"/>
        <w:spacing w:before="120" w:after="120"/>
        <w:rPr>
          <w:rFonts w:hAnsi="宋体"/>
          <w:b/>
          <w:highlight w:val="none"/>
        </w:rPr>
      </w:pPr>
      <w:r>
        <w:rPr>
          <w:rFonts w:hAnsi="宋体"/>
          <w:b/>
          <w:highlight w:val="none"/>
        </w:rPr>
        <w:t>十</w:t>
      </w:r>
      <w:r>
        <w:rPr>
          <w:rFonts w:hint="eastAsia" w:hAnsi="宋体"/>
          <w:b/>
          <w:highlight w:val="none"/>
        </w:rPr>
        <w:t>五</w:t>
      </w:r>
      <w:r>
        <w:rPr>
          <w:rFonts w:hAnsi="宋体"/>
          <w:b/>
          <w:highlight w:val="none"/>
        </w:rPr>
        <w:t>、合同生效及其它</w:t>
      </w:r>
    </w:p>
    <w:p w14:paraId="3C493CA5">
      <w:pPr>
        <w:pStyle w:val="21"/>
        <w:snapToGrid w:val="0"/>
        <w:spacing w:before="120" w:after="120"/>
        <w:rPr>
          <w:rFonts w:hAnsi="宋体"/>
          <w:highlight w:val="none"/>
        </w:rPr>
      </w:pPr>
      <w:r>
        <w:rPr>
          <w:rFonts w:hAnsi="宋体"/>
          <w:highlight w:val="none"/>
        </w:rPr>
        <w:t>1</w:t>
      </w:r>
      <w:r>
        <w:rPr>
          <w:rFonts w:hint="eastAsia" w:hAnsi="宋体"/>
          <w:highlight w:val="none"/>
        </w:rPr>
        <w:t>.</w:t>
      </w:r>
      <w:r>
        <w:rPr>
          <w:rFonts w:hAnsi="宋体"/>
          <w:highlight w:val="none"/>
        </w:rPr>
        <w:t xml:space="preserve"> 合同经双方法定代表人或授权代表签字并加盖单位公章后生效。</w:t>
      </w:r>
    </w:p>
    <w:p w14:paraId="2C2F31E0">
      <w:pPr>
        <w:pStyle w:val="21"/>
        <w:snapToGrid w:val="0"/>
        <w:spacing w:before="120" w:after="120" w:line="360" w:lineRule="auto"/>
        <w:ind w:left="420" w:hanging="420" w:hangingChars="200"/>
        <w:rPr>
          <w:rFonts w:hAnsi="宋体"/>
          <w:highlight w:val="none"/>
        </w:rPr>
      </w:pPr>
      <w:r>
        <w:rPr>
          <w:rFonts w:hAnsi="宋体"/>
          <w:highlight w:val="none"/>
        </w:rPr>
        <w:t>3</w:t>
      </w:r>
      <w:r>
        <w:rPr>
          <w:rFonts w:hint="eastAsia" w:hAnsi="宋体"/>
          <w:highlight w:val="none"/>
        </w:rPr>
        <w:t>.项目（采购编号：             ）采购文件以及采购响应文件、询标纪要、“承诺书”等是本合同不可分割的组成部分，本合同未尽事宜从其规定。其它按</w:t>
      </w:r>
      <w:r>
        <w:rPr>
          <w:rFonts w:hAnsi="宋体"/>
          <w:highlight w:val="none"/>
        </w:rPr>
        <w:t>《</w:t>
      </w:r>
      <w:r>
        <w:rPr>
          <w:rFonts w:hint="eastAsia" w:hAnsi="宋体"/>
          <w:highlight w:val="none"/>
          <w:lang w:val="en-US" w:eastAsia="zh-CN"/>
        </w:rPr>
        <w:t>民法典</w:t>
      </w:r>
      <w:r>
        <w:rPr>
          <w:rFonts w:hAnsi="宋体"/>
          <w:highlight w:val="none"/>
        </w:rPr>
        <w:t>》有关条文执行。</w:t>
      </w:r>
    </w:p>
    <w:p w14:paraId="178A81C2">
      <w:pPr>
        <w:pStyle w:val="21"/>
        <w:snapToGrid w:val="0"/>
        <w:spacing w:before="120" w:after="120" w:line="360" w:lineRule="auto"/>
        <w:ind w:left="420" w:hanging="420" w:hangingChars="200"/>
        <w:rPr>
          <w:rFonts w:hAnsi="宋体"/>
          <w:highlight w:val="none"/>
        </w:rPr>
      </w:pPr>
      <w:r>
        <w:rPr>
          <w:rFonts w:hAnsi="宋体"/>
          <w:highlight w:val="none"/>
        </w:rPr>
        <w:t>4</w:t>
      </w:r>
      <w:r>
        <w:rPr>
          <w:rFonts w:hint="eastAsia" w:hAnsi="宋体"/>
          <w:highlight w:val="none"/>
        </w:rPr>
        <w:t>.</w:t>
      </w:r>
      <w:r>
        <w:rPr>
          <w:rFonts w:hAnsi="宋体"/>
          <w:highlight w:val="none"/>
        </w:rPr>
        <w:t>本合同正本一式</w:t>
      </w:r>
      <w:r>
        <w:rPr>
          <w:rFonts w:hint="eastAsia" w:hAnsi="宋体"/>
          <w:highlight w:val="none"/>
        </w:rPr>
        <w:t>二</w:t>
      </w:r>
      <w:r>
        <w:rPr>
          <w:rFonts w:hAnsi="宋体"/>
          <w:highlight w:val="none"/>
        </w:rPr>
        <w:t>份，具有同等法律效力，甲乙双方各执一份；副本</w:t>
      </w:r>
      <w:r>
        <w:rPr>
          <w:rFonts w:hint="eastAsia" w:hAnsi="宋体"/>
          <w:b/>
          <w:highlight w:val="none"/>
          <w:lang w:val="en-US" w:eastAsia="zh-CN"/>
        </w:rPr>
        <w:t>一</w:t>
      </w:r>
      <w:r>
        <w:rPr>
          <w:rFonts w:hAnsi="宋体"/>
          <w:highlight w:val="none"/>
        </w:rPr>
        <w:t>份，</w:t>
      </w:r>
      <w:r>
        <w:rPr>
          <w:rFonts w:hint="eastAsia" w:hAnsi="宋体"/>
          <w:highlight w:val="none"/>
        </w:rPr>
        <w:t>交由金华市政府采购中心永康市分中心存档</w:t>
      </w:r>
      <w:r>
        <w:rPr>
          <w:rFonts w:hAnsi="宋体"/>
          <w:highlight w:val="none"/>
        </w:rPr>
        <w:t>。</w:t>
      </w:r>
    </w:p>
    <w:p w14:paraId="1DCD961F">
      <w:pPr>
        <w:snapToGrid w:val="0"/>
        <w:spacing w:beforeLines="50" w:afterLines="50"/>
        <w:outlineLvl w:val="0"/>
        <w:rPr>
          <w:highlight w:val="none"/>
        </w:rPr>
      </w:pPr>
    </w:p>
    <w:p w14:paraId="49416542">
      <w:pPr>
        <w:snapToGrid w:val="0"/>
        <w:spacing w:beforeLines="50" w:afterLines="50"/>
        <w:ind w:firstLine="360" w:firstLineChars="150"/>
        <w:outlineLvl w:val="0"/>
        <w:rPr>
          <w:highlight w:val="none"/>
        </w:rPr>
      </w:pPr>
      <w:r>
        <w:rPr>
          <w:rFonts w:hint="eastAsia"/>
          <w:color w:val="000000"/>
          <w:sz w:val="24"/>
          <w:highlight w:val="none"/>
        </w:rPr>
        <w:t>甲方（公章）：                    见证方（公章）：</w:t>
      </w:r>
    </w:p>
    <w:p w14:paraId="52634B3F">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法定代表人或受委托人              法定代表人或受委托人</w:t>
      </w:r>
    </w:p>
    <w:p w14:paraId="10FBF469">
      <w:pPr>
        <w:pStyle w:val="21"/>
        <w:snapToGrid w:val="0"/>
        <w:spacing w:line="330" w:lineRule="exact"/>
        <w:ind w:firstLine="600" w:firstLineChars="250"/>
        <w:rPr>
          <w:color w:val="000000"/>
          <w:sz w:val="24"/>
          <w:szCs w:val="24"/>
          <w:highlight w:val="none"/>
        </w:rPr>
      </w:pPr>
      <w:r>
        <w:rPr>
          <w:rFonts w:hint="eastAsia"/>
          <w:color w:val="000000"/>
          <w:sz w:val="24"/>
          <w:szCs w:val="24"/>
          <w:highlight w:val="none"/>
        </w:rPr>
        <w:t>（签字）                           （签字）</w:t>
      </w:r>
    </w:p>
    <w:p w14:paraId="2D5085DF">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14:paraId="3285C52C">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14:paraId="28BE85F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14:paraId="45DEF2E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14:paraId="285C8FE5">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14:paraId="148DCC0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14:paraId="4D80B360">
      <w:pPr>
        <w:pStyle w:val="21"/>
        <w:snapToGrid w:val="0"/>
        <w:spacing w:line="330" w:lineRule="exact"/>
        <w:rPr>
          <w:color w:val="000000"/>
          <w:sz w:val="24"/>
          <w:szCs w:val="24"/>
          <w:highlight w:val="none"/>
        </w:rPr>
      </w:pPr>
    </w:p>
    <w:p w14:paraId="09F9D350">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乙方（公章）：                 </w:t>
      </w:r>
    </w:p>
    <w:p w14:paraId="09A15CFF">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法定代表人或受委托人             </w:t>
      </w:r>
    </w:p>
    <w:p w14:paraId="1470DC33">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（签字）                         </w:t>
      </w:r>
    </w:p>
    <w:p w14:paraId="7BD78609">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14:paraId="6215501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14:paraId="26D38F5D">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14:paraId="77E26465">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14:paraId="193A30AB">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14:paraId="371173EC">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14:paraId="4F3E7DF3">
      <w:pPr>
        <w:pStyle w:val="21"/>
        <w:snapToGrid w:val="0"/>
        <w:spacing w:line="330" w:lineRule="exact"/>
        <w:rPr>
          <w:color w:val="000000"/>
          <w:sz w:val="24"/>
          <w:szCs w:val="24"/>
          <w:highlight w:val="none"/>
        </w:rPr>
      </w:pPr>
    </w:p>
    <w:p w14:paraId="7A358CBB">
      <w:pPr>
        <w:pStyle w:val="21"/>
        <w:snapToGrid w:val="0"/>
        <w:spacing w:line="330" w:lineRule="exact"/>
        <w:rPr>
          <w:color w:val="000000"/>
          <w:sz w:val="24"/>
          <w:szCs w:val="24"/>
          <w:highlight w:val="none"/>
        </w:rPr>
      </w:pPr>
    </w:p>
    <w:p w14:paraId="49C32E1C">
      <w:pPr>
        <w:pStyle w:val="21"/>
        <w:snapToGrid w:val="0"/>
        <w:spacing w:line="330" w:lineRule="exact"/>
        <w:ind w:firstLine="4935" w:firstLineChars="2350"/>
        <w:rPr>
          <w:highlight w:val="none"/>
        </w:rPr>
      </w:pPr>
      <w:r>
        <w:rPr>
          <w:rFonts w:hint="eastAsia"/>
          <w:highlight w:val="none"/>
        </w:rPr>
        <w:t>签约时间：年    月    日</w:t>
      </w:r>
    </w:p>
    <w:p w14:paraId="26EAB6F6">
      <w:pPr>
        <w:rPr>
          <w:highlight w:val="none"/>
        </w:rPr>
      </w:pPr>
    </w:p>
    <w:p w14:paraId="435A8BB8">
      <w:pPr>
        <w:rPr>
          <w:highlight w:val="none"/>
        </w:rPr>
      </w:pPr>
    </w:p>
    <w:p w14:paraId="47294C44">
      <w:pPr>
        <w:snapToGrid w:val="0"/>
        <w:spacing w:beforeLines="50" w:afterLines="50"/>
        <w:jc w:val="center"/>
        <w:outlineLvl w:val="0"/>
        <w:rPr>
          <w:highlight w:val="none"/>
        </w:rPr>
      </w:pPr>
    </w:p>
    <w:p w14:paraId="4167E9DA">
      <w:pPr>
        <w:pStyle w:val="21"/>
        <w:snapToGrid w:val="0"/>
        <w:spacing w:line="330" w:lineRule="exact"/>
        <w:rPr>
          <w:rFonts w:hAnsi="宋体" w:cs="宋体"/>
          <w:highlight w:val="none"/>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20EC1A2-B921-4A15-AC6C-7007DEF9A2F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0491E580-2F11-4FA8-90F9-AF61D37F758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7426C93-62B2-4EDF-8CEA-90DAFFCAEF43}"/>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embedRegular r:id="rId4" w:fontKey="{F99EF31B-9F16-4775-A25D-F2EEE7D4186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E616B99E-DBDC-4A7E-A505-7723BFEA95DB}"/>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_x000B__x000C_">
    <w:altName w:val="DejaVu Math TeX Gyre"/>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6D59">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765C">
    <w:pPr>
      <w:pStyle w:val="25"/>
      <w:jc w:val="center"/>
    </w:pPr>
    <w:r>
      <w:rPr>
        <w:lang w:val="en-US"/>
      </w:rPr>
      <w:fldChar w:fldCharType="begin"/>
    </w:r>
    <w:r>
      <w:instrText xml:space="preserve"> PAGE   \* MERGEFORMAT </w:instrText>
    </w:r>
    <w:r>
      <w:rPr>
        <w:lang w:val="en-US"/>
      </w:rPr>
      <w:fldChar w:fldCharType="separate"/>
    </w:r>
    <w:r>
      <w:rPr>
        <w:lang w:val="zh-CN"/>
      </w:rPr>
      <w:t>49</w:t>
    </w:r>
    <w:r>
      <w:rPr>
        <w:lang w:val="zh-CN"/>
      </w:rPr>
      <w:fldChar w:fldCharType="end"/>
    </w:r>
  </w:p>
  <w:p w14:paraId="5EA4173B">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F0EB">
    <w:pPr>
      <w:widowControl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B17868">
                          <w:pPr>
                            <w:pStyle w:val="25"/>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4fru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k4fruIBAADMAwAADgAA&#10;AAAAAAABACAAAAAeAQAAZHJzL2Uyb0RvYy54bWxQSwUGAAAAAAYABgBZAQAAcgUAAAAA&#10;">
              <v:fill on="f" focussize="0,0"/>
              <v:stroke on="f"/>
              <v:imagedata o:title=""/>
              <o:lock v:ext="edit" aspectratio="f"/>
              <v:textbox inset="0mm,0mm,0mm,0mm" style="mso-fit-shape-to-text:t;">
                <w:txbxContent>
                  <w:p w14:paraId="4FB17868">
                    <w:pPr>
                      <w:pStyle w:val="2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6B09">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79B0">
    <w:pPr>
      <w:pStyle w:val="26"/>
    </w:pPr>
    <w:r>
      <w:rPr>
        <w:rFonts w:hint="eastAsia" w:cs="宋体"/>
        <w:color w:val="FF0000"/>
        <w:lang w:eastAsia="zh-CN"/>
      </w:rPr>
      <w:t>永康市大数据发展中心电子政务外网升级改造项目</w:t>
    </w:r>
    <w:r>
      <w:rPr>
        <w:rFonts w:hint="eastAsia" w:cs="宋体"/>
        <w:color w:val="FF0000"/>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10"/>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6">
    <w:nsid w:val="2BA87701"/>
    <w:multiLevelType w:val="multilevel"/>
    <w:tmpl w:val="2BA8770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548FB09"/>
    <w:multiLevelType w:val="singleLevel"/>
    <w:tmpl w:val="5548FB09"/>
    <w:lvl w:ilvl="0" w:tentative="0">
      <w:start w:val="7"/>
      <w:numFmt w:val="chineseCounting"/>
      <w:suff w:val="nothing"/>
      <w:lvlText w:val="%1、"/>
      <w:lvlJc w:val="left"/>
      <w:rPr>
        <w:rFonts w:hint="eastAsia"/>
      </w:rPr>
    </w:lvl>
  </w:abstractNum>
  <w:abstractNum w:abstractNumId="8">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6C0B36DF"/>
    <w:multiLevelType w:val="singleLevel"/>
    <w:tmpl w:val="6C0B36DF"/>
    <w:lvl w:ilvl="0" w:tentative="0">
      <w:start w:val="4"/>
      <w:numFmt w:val="decimal"/>
      <w:suff w:val="nothing"/>
      <w:lvlText w:val="%1、"/>
      <w:lvlJc w:val="left"/>
    </w:lvl>
  </w:abstractNum>
  <w:abstractNum w:abstractNumId="10">
    <w:nsid w:val="6EB493A1"/>
    <w:multiLevelType w:val="singleLevel"/>
    <w:tmpl w:val="6EB493A1"/>
    <w:lvl w:ilvl="0" w:tentative="0">
      <w:start w:val="3"/>
      <w:numFmt w:val="chineseCounting"/>
      <w:suff w:val="nothing"/>
      <w:lvlText w:val="（%1）"/>
      <w:lvlJc w:val="left"/>
      <w:rPr>
        <w:rFonts w:hint="eastAsia"/>
      </w:rPr>
    </w:lvl>
  </w:abstractNum>
  <w:abstractNum w:abstractNumId="11">
    <w:nsid w:val="7AECA05C"/>
    <w:multiLevelType w:val="singleLevel"/>
    <w:tmpl w:val="7AECA05C"/>
    <w:lvl w:ilvl="0" w:tentative="0">
      <w:start w:val="1"/>
      <w:numFmt w:val="decimal"/>
      <w:suff w:val="nothing"/>
      <w:lvlText w:val="%1、"/>
      <w:lvlJc w:val="left"/>
    </w:lvl>
  </w:abstractNum>
  <w:num w:numId="1">
    <w:abstractNumId w:val="2"/>
  </w:num>
  <w:num w:numId="2">
    <w:abstractNumId w:val="5"/>
  </w:num>
  <w:num w:numId="3">
    <w:abstractNumId w:val="0"/>
  </w:num>
  <w:num w:numId="4">
    <w:abstractNumId w:val="9"/>
  </w:num>
  <w:num w:numId="5">
    <w:abstractNumId w:val="11"/>
  </w:num>
  <w:num w:numId="6">
    <w:abstractNumId w:val="8"/>
  </w:num>
  <w:num w:numId="7">
    <w:abstractNumId w:val="3"/>
  </w:num>
  <w:num w:numId="8">
    <w:abstractNumId w:val="1"/>
  </w:num>
  <w:num w:numId="9">
    <w:abstractNumId w:val="7"/>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486B"/>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05077"/>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8756B"/>
    <w:rsid w:val="006945C5"/>
    <w:rsid w:val="006966E0"/>
    <w:rsid w:val="006974BF"/>
    <w:rsid w:val="006A2D87"/>
    <w:rsid w:val="006A3885"/>
    <w:rsid w:val="006A5513"/>
    <w:rsid w:val="006B4B0D"/>
    <w:rsid w:val="006C0FBA"/>
    <w:rsid w:val="006C43A9"/>
    <w:rsid w:val="006E533D"/>
    <w:rsid w:val="006E70C3"/>
    <w:rsid w:val="00710179"/>
    <w:rsid w:val="00715616"/>
    <w:rsid w:val="00715A8A"/>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5529C"/>
    <w:rsid w:val="00B674EC"/>
    <w:rsid w:val="00B732D1"/>
    <w:rsid w:val="00B77E0B"/>
    <w:rsid w:val="00B80063"/>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D2AB7"/>
    <w:rsid w:val="00DE3B20"/>
    <w:rsid w:val="00DE4A15"/>
    <w:rsid w:val="00DE4F79"/>
    <w:rsid w:val="00DF28D2"/>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C766E"/>
    <w:rsid w:val="00ED1917"/>
    <w:rsid w:val="00ED1ED6"/>
    <w:rsid w:val="00ED433F"/>
    <w:rsid w:val="00ED4C7F"/>
    <w:rsid w:val="00EF02EF"/>
    <w:rsid w:val="00EF1088"/>
    <w:rsid w:val="00EF37E2"/>
    <w:rsid w:val="00EF7ACA"/>
    <w:rsid w:val="00F0678B"/>
    <w:rsid w:val="00F167E9"/>
    <w:rsid w:val="00F16AA3"/>
    <w:rsid w:val="00F237B3"/>
    <w:rsid w:val="00F524D6"/>
    <w:rsid w:val="00F569D6"/>
    <w:rsid w:val="00F5743C"/>
    <w:rsid w:val="00F60F0F"/>
    <w:rsid w:val="00F61D87"/>
    <w:rsid w:val="00F62431"/>
    <w:rsid w:val="00F72FF8"/>
    <w:rsid w:val="00F800F1"/>
    <w:rsid w:val="00F81F59"/>
    <w:rsid w:val="00F944D5"/>
    <w:rsid w:val="00F971AC"/>
    <w:rsid w:val="00FA37AB"/>
    <w:rsid w:val="00FB374C"/>
    <w:rsid w:val="00FB57C3"/>
    <w:rsid w:val="00FC165C"/>
    <w:rsid w:val="00FC4245"/>
    <w:rsid w:val="00FC5E86"/>
    <w:rsid w:val="00FD2F4D"/>
    <w:rsid w:val="00FE09E1"/>
    <w:rsid w:val="00FF2293"/>
    <w:rsid w:val="01270E65"/>
    <w:rsid w:val="013B0DE8"/>
    <w:rsid w:val="01CF6CC2"/>
    <w:rsid w:val="01DD430E"/>
    <w:rsid w:val="01F04499"/>
    <w:rsid w:val="020F3A79"/>
    <w:rsid w:val="04344AA5"/>
    <w:rsid w:val="04C0207A"/>
    <w:rsid w:val="04D1736D"/>
    <w:rsid w:val="050D7546"/>
    <w:rsid w:val="05615ED2"/>
    <w:rsid w:val="05BA66DE"/>
    <w:rsid w:val="05CF2DE2"/>
    <w:rsid w:val="05D22E89"/>
    <w:rsid w:val="065357F9"/>
    <w:rsid w:val="079B087A"/>
    <w:rsid w:val="08006787"/>
    <w:rsid w:val="082559D9"/>
    <w:rsid w:val="08410120"/>
    <w:rsid w:val="08C654CC"/>
    <w:rsid w:val="09276052"/>
    <w:rsid w:val="0A3529A7"/>
    <w:rsid w:val="0B471537"/>
    <w:rsid w:val="0B594EE1"/>
    <w:rsid w:val="0B604B7D"/>
    <w:rsid w:val="0BE11644"/>
    <w:rsid w:val="0BF5372E"/>
    <w:rsid w:val="0C813D3B"/>
    <w:rsid w:val="0C9C496A"/>
    <w:rsid w:val="0CF83B80"/>
    <w:rsid w:val="0DA62408"/>
    <w:rsid w:val="0DF163DF"/>
    <w:rsid w:val="0DF60B9D"/>
    <w:rsid w:val="0E0C6C8E"/>
    <w:rsid w:val="0E283478"/>
    <w:rsid w:val="0E8C0579"/>
    <w:rsid w:val="0EDC0F3A"/>
    <w:rsid w:val="0F1478D0"/>
    <w:rsid w:val="0F276B9F"/>
    <w:rsid w:val="0FA715ED"/>
    <w:rsid w:val="0FF04A9E"/>
    <w:rsid w:val="107812AC"/>
    <w:rsid w:val="10A952F8"/>
    <w:rsid w:val="111D538C"/>
    <w:rsid w:val="114B6629"/>
    <w:rsid w:val="11F56CB9"/>
    <w:rsid w:val="11FC51F4"/>
    <w:rsid w:val="132C3788"/>
    <w:rsid w:val="139B184C"/>
    <w:rsid w:val="13A56906"/>
    <w:rsid w:val="13C53535"/>
    <w:rsid w:val="13CA5118"/>
    <w:rsid w:val="140963AB"/>
    <w:rsid w:val="143D7154"/>
    <w:rsid w:val="1486575B"/>
    <w:rsid w:val="14F74CA5"/>
    <w:rsid w:val="14FF668D"/>
    <w:rsid w:val="151A1147"/>
    <w:rsid w:val="159F326D"/>
    <w:rsid w:val="15A96067"/>
    <w:rsid w:val="162445F8"/>
    <w:rsid w:val="165D6E50"/>
    <w:rsid w:val="1735546D"/>
    <w:rsid w:val="17BB00C8"/>
    <w:rsid w:val="182E0686"/>
    <w:rsid w:val="182E16C5"/>
    <w:rsid w:val="19456905"/>
    <w:rsid w:val="19C723FF"/>
    <w:rsid w:val="1A78499A"/>
    <w:rsid w:val="1ACC681F"/>
    <w:rsid w:val="1B42488B"/>
    <w:rsid w:val="1B7156DA"/>
    <w:rsid w:val="1C6A0AB5"/>
    <w:rsid w:val="1CAD0994"/>
    <w:rsid w:val="1CC52663"/>
    <w:rsid w:val="1D0332CB"/>
    <w:rsid w:val="1D2F1605"/>
    <w:rsid w:val="1D312236"/>
    <w:rsid w:val="1EEB57A3"/>
    <w:rsid w:val="1F4072EA"/>
    <w:rsid w:val="1F9C3E1C"/>
    <w:rsid w:val="1FE173D8"/>
    <w:rsid w:val="2079648E"/>
    <w:rsid w:val="20843BD2"/>
    <w:rsid w:val="208650F4"/>
    <w:rsid w:val="20CA1D45"/>
    <w:rsid w:val="20E051D4"/>
    <w:rsid w:val="2118743F"/>
    <w:rsid w:val="21996D28"/>
    <w:rsid w:val="21D435EF"/>
    <w:rsid w:val="22080B21"/>
    <w:rsid w:val="2236792C"/>
    <w:rsid w:val="224C1EB9"/>
    <w:rsid w:val="228171E7"/>
    <w:rsid w:val="22D32A33"/>
    <w:rsid w:val="233B0FDC"/>
    <w:rsid w:val="23630548"/>
    <w:rsid w:val="237E22DE"/>
    <w:rsid w:val="238B6382"/>
    <w:rsid w:val="23A6060B"/>
    <w:rsid w:val="24261E9E"/>
    <w:rsid w:val="243226E8"/>
    <w:rsid w:val="244F1B89"/>
    <w:rsid w:val="255B73F1"/>
    <w:rsid w:val="25987DE4"/>
    <w:rsid w:val="26095AB0"/>
    <w:rsid w:val="26156EE1"/>
    <w:rsid w:val="268A4A57"/>
    <w:rsid w:val="26A94938"/>
    <w:rsid w:val="26AD6E50"/>
    <w:rsid w:val="26D76D2B"/>
    <w:rsid w:val="26F33BA3"/>
    <w:rsid w:val="274D05D2"/>
    <w:rsid w:val="27503E53"/>
    <w:rsid w:val="275616A1"/>
    <w:rsid w:val="27BF40D9"/>
    <w:rsid w:val="283B5284"/>
    <w:rsid w:val="28A21943"/>
    <w:rsid w:val="28B56309"/>
    <w:rsid w:val="28BF18B6"/>
    <w:rsid w:val="28E675A5"/>
    <w:rsid w:val="2967007A"/>
    <w:rsid w:val="29BB3D48"/>
    <w:rsid w:val="29D91732"/>
    <w:rsid w:val="2A5D31BD"/>
    <w:rsid w:val="2AE2201F"/>
    <w:rsid w:val="2AEB06C3"/>
    <w:rsid w:val="2B014054"/>
    <w:rsid w:val="2B35078E"/>
    <w:rsid w:val="2BF735CD"/>
    <w:rsid w:val="2C02294E"/>
    <w:rsid w:val="2C140842"/>
    <w:rsid w:val="2CD61258"/>
    <w:rsid w:val="2DD94E89"/>
    <w:rsid w:val="2E1E5DAE"/>
    <w:rsid w:val="2E704F3D"/>
    <w:rsid w:val="2E7E21BE"/>
    <w:rsid w:val="2F5338F2"/>
    <w:rsid w:val="309269AE"/>
    <w:rsid w:val="30C938A4"/>
    <w:rsid w:val="30DF79E5"/>
    <w:rsid w:val="30F84323"/>
    <w:rsid w:val="31081A27"/>
    <w:rsid w:val="31A6515C"/>
    <w:rsid w:val="31FC5D17"/>
    <w:rsid w:val="3231670E"/>
    <w:rsid w:val="32963B87"/>
    <w:rsid w:val="34540AF1"/>
    <w:rsid w:val="346B1F88"/>
    <w:rsid w:val="34DD43D8"/>
    <w:rsid w:val="3570373E"/>
    <w:rsid w:val="35A07A01"/>
    <w:rsid w:val="364F6998"/>
    <w:rsid w:val="366D71CF"/>
    <w:rsid w:val="36925D08"/>
    <w:rsid w:val="36E301FD"/>
    <w:rsid w:val="37054AD1"/>
    <w:rsid w:val="37236AE7"/>
    <w:rsid w:val="375B6BAC"/>
    <w:rsid w:val="377016F3"/>
    <w:rsid w:val="37767AA9"/>
    <w:rsid w:val="37E2758F"/>
    <w:rsid w:val="383B214B"/>
    <w:rsid w:val="39195FFA"/>
    <w:rsid w:val="39322095"/>
    <w:rsid w:val="393E407D"/>
    <w:rsid w:val="39413CC5"/>
    <w:rsid w:val="394A221F"/>
    <w:rsid w:val="398D06B3"/>
    <w:rsid w:val="39FA6247"/>
    <w:rsid w:val="3A017404"/>
    <w:rsid w:val="3A154D7A"/>
    <w:rsid w:val="3A160C88"/>
    <w:rsid w:val="3B64270E"/>
    <w:rsid w:val="3C0D4421"/>
    <w:rsid w:val="3C1154A4"/>
    <w:rsid w:val="3C4C1E54"/>
    <w:rsid w:val="3C5640FF"/>
    <w:rsid w:val="3C6F2803"/>
    <w:rsid w:val="3C894DA9"/>
    <w:rsid w:val="3C9E715D"/>
    <w:rsid w:val="3CFB68AF"/>
    <w:rsid w:val="3D0D23C5"/>
    <w:rsid w:val="3D1607FC"/>
    <w:rsid w:val="3D1E3215"/>
    <w:rsid w:val="3D657435"/>
    <w:rsid w:val="3DAD00D8"/>
    <w:rsid w:val="3DC74C3A"/>
    <w:rsid w:val="3E72374B"/>
    <w:rsid w:val="3E985CDA"/>
    <w:rsid w:val="3F2059EC"/>
    <w:rsid w:val="3F6B7562"/>
    <w:rsid w:val="3FD9719A"/>
    <w:rsid w:val="403B564E"/>
    <w:rsid w:val="417836A0"/>
    <w:rsid w:val="4204506C"/>
    <w:rsid w:val="427B7631"/>
    <w:rsid w:val="42A52DE2"/>
    <w:rsid w:val="42B62A37"/>
    <w:rsid w:val="42E06B87"/>
    <w:rsid w:val="43DF5027"/>
    <w:rsid w:val="44A001B3"/>
    <w:rsid w:val="45A763F5"/>
    <w:rsid w:val="45AE10A0"/>
    <w:rsid w:val="45E143E0"/>
    <w:rsid w:val="460C5F87"/>
    <w:rsid w:val="466B524A"/>
    <w:rsid w:val="46CF5C1F"/>
    <w:rsid w:val="47147BFE"/>
    <w:rsid w:val="472C4CFD"/>
    <w:rsid w:val="47347ED4"/>
    <w:rsid w:val="47481675"/>
    <w:rsid w:val="48A944CA"/>
    <w:rsid w:val="48F05B38"/>
    <w:rsid w:val="492C6132"/>
    <w:rsid w:val="495B5395"/>
    <w:rsid w:val="496B00B0"/>
    <w:rsid w:val="49AA0DEC"/>
    <w:rsid w:val="4A515007"/>
    <w:rsid w:val="4A6E2145"/>
    <w:rsid w:val="4AFE304E"/>
    <w:rsid w:val="4BB40127"/>
    <w:rsid w:val="4C181A27"/>
    <w:rsid w:val="4C9537F9"/>
    <w:rsid w:val="4CB132D9"/>
    <w:rsid w:val="4D0A29E9"/>
    <w:rsid w:val="4D6952C3"/>
    <w:rsid w:val="4E0E623F"/>
    <w:rsid w:val="4E181C6A"/>
    <w:rsid w:val="4E4D4F9C"/>
    <w:rsid w:val="4FA611B3"/>
    <w:rsid w:val="50101D8B"/>
    <w:rsid w:val="519F5AA2"/>
    <w:rsid w:val="51DD619C"/>
    <w:rsid w:val="520B0905"/>
    <w:rsid w:val="526E1486"/>
    <w:rsid w:val="53860519"/>
    <w:rsid w:val="53E333C6"/>
    <w:rsid w:val="54593C76"/>
    <w:rsid w:val="550946D4"/>
    <w:rsid w:val="556531E4"/>
    <w:rsid w:val="55930515"/>
    <w:rsid w:val="55941913"/>
    <w:rsid w:val="55A244F7"/>
    <w:rsid w:val="55CD2EFC"/>
    <w:rsid w:val="55E446F6"/>
    <w:rsid w:val="55FB7922"/>
    <w:rsid w:val="577469B9"/>
    <w:rsid w:val="579D6C5C"/>
    <w:rsid w:val="57B80A54"/>
    <w:rsid w:val="58E0610A"/>
    <w:rsid w:val="58F21E8F"/>
    <w:rsid w:val="58F61756"/>
    <w:rsid w:val="59006D75"/>
    <w:rsid w:val="594D55A5"/>
    <w:rsid w:val="59707845"/>
    <w:rsid w:val="597D4A75"/>
    <w:rsid w:val="59EF2F37"/>
    <w:rsid w:val="5A8F05E2"/>
    <w:rsid w:val="5ACC1F18"/>
    <w:rsid w:val="5B176633"/>
    <w:rsid w:val="5B55302F"/>
    <w:rsid w:val="5B6A7279"/>
    <w:rsid w:val="5C2E1802"/>
    <w:rsid w:val="5C313755"/>
    <w:rsid w:val="5CD56B70"/>
    <w:rsid w:val="5D8A58D0"/>
    <w:rsid w:val="5E1029D5"/>
    <w:rsid w:val="5E8149E3"/>
    <w:rsid w:val="5F2D2D10"/>
    <w:rsid w:val="5F933A06"/>
    <w:rsid w:val="606028D4"/>
    <w:rsid w:val="60E21587"/>
    <w:rsid w:val="61371DBF"/>
    <w:rsid w:val="6199108D"/>
    <w:rsid w:val="62036F93"/>
    <w:rsid w:val="62065446"/>
    <w:rsid w:val="622F5680"/>
    <w:rsid w:val="627E748F"/>
    <w:rsid w:val="62832D80"/>
    <w:rsid w:val="6299696B"/>
    <w:rsid w:val="62ED40D4"/>
    <w:rsid w:val="63BD6ED1"/>
    <w:rsid w:val="63F525EF"/>
    <w:rsid w:val="642679BA"/>
    <w:rsid w:val="645C1E8E"/>
    <w:rsid w:val="64FC4DBC"/>
    <w:rsid w:val="656735AD"/>
    <w:rsid w:val="65680850"/>
    <w:rsid w:val="65705BA3"/>
    <w:rsid w:val="65B039E9"/>
    <w:rsid w:val="65BF02DA"/>
    <w:rsid w:val="65E9336A"/>
    <w:rsid w:val="65F236AC"/>
    <w:rsid w:val="66186F67"/>
    <w:rsid w:val="664C2042"/>
    <w:rsid w:val="66DB46B8"/>
    <w:rsid w:val="670D0F51"/>
    <w:rsid w:val="675F1796"/>
    <w:rsid w:val="676C5FE9"/>
    <w:rsid w:val="67714FD1"/>
    <w:rsid w:val="677B4223"/>
    <w:rsid w:val="677F6056"/>
    <w:rsid w:val="67AA0AB5"/>
    <w:rsid w:val="67FC3F60"/>
    <w:rsid w:val="682B39B6"/>
    <w:rsid w:val="684B64CB"/>
    <w:rsid w:val="689E6951"/>
    <w:rsid w:val="68C43A27"/>
    <w:rsid w:val="6904153A"/>
    <w:rsid w:val="693B5EE6"/>
    <w:rsid w:val="69420AF4"/>
    <w:rsid w:val="69A656B9"/>
    <w:rsid w:val="6A607489"/>
    <w:rsid w:val="6A6C5856"/>
    <w:rsid w:val="6AF71ECE"/>
    <w:rsid w:val="6B176BF5"/>
    <w:rsid w:val="6B9E2823"/>
    <w:rsid w:val="6BA5059F"/>
    <w:rsid w:val="6BA70785"/>
    <w:rsid w:val="6BAB727A"/>
    <w:rsid w:val="6C761276"/>
    <w:rsid w:val="6C845956"/>
    <w:rsid w:val="6CF91E10"/>
    <w:rsid w:val="6E11586E"/>
    <w:rsid w:val="6E1441D9"/>
    <w:rsid w:val="6F320C1C"/>
    <w:rsid w:val="6F8C6227"/>
    <w:rsid w:val="6F9422EA"/>
    <w:rsid w:val="6F9817A2"/>
    <w:rsid w:val="70A14871"/>
    <w:rsid w:val="70C20CF6"/>
    <w:rsid w:val="71080904"/>
    <w:rsid w:val="71811461"/>
    <w:rsid w:val="7238256D"/>
    <w:rsid w:val="725526ED"/>
    <w:rsid w:val="73484244"/>
    <w:rsid w:val="73983E06"/>
    <w:rsid w:val="74254155"/>
    <w:rsid w:val="74344135"/>
    <w:rsid w:val="753A66D3"/>
    <w:rsid w:val="75E611FB"/>
    <w:rsid w:val="767B1767"/>
    <w:rsid w:val="76A374CE"/>
    <w:rsid w:val="77337E64"/>
    <w:rsid w:val="77C43794"/>
    <w:rsid w:val="78F13EE1"/>
    <w:rsid w:val="795F767E"/>
    <w:rsid w:val="799B1C9E"/>
    <w:rsid w:val="7A5200C9"/>
    <w:rsid w:val="7B4427BD"/>
    <w:rsid w:val="7B83218C"/>
    <w:rsid w:val="7BE31528"/>
    <w:rsid w:val="7D385128"/>
    <w:rsid w:val="7D3E31C9"/>
    <w:rsid w:val="7E620DE2"/>
    <w:rsid w:val="7ECC355F"/>
    <w:rsid w:val="7EE44F73"/>
    <w:rsid w:val="7F696011"/>
    <w:rsid w:val="7F770EF6"/>
    <w:rsid w:val="7FA57890"/>
    <w:rsid w:val="7FA76E25"/>
    <w:rsid w:val="C65A0EB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4">
    <w:name w:val="heading 1"/>
    <w:basedOn w:val="1"/>
    <w:next w:val="1"/>
    <w:link w:val="41"/>
    <w:qFormat/>
    <w:uiPriority w:val="9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40"/>
    <w:qFormat/>
    <w:uiPriority w:val="9"/>
    <w:pPr>
      <w:keepNext/>
      <w:keepLines/>
      <w:tabs>
        <w:tab w:val="left" w:pos="1080"/>
      </w:tabs>
      <w:spacing w:line="360" w:lineRule="auto"/>
      <w:outlineLvl w:val="1"/>
    </w:pPr>
    <w:rPr>
      <w:rFonts w:ascii="宋体" w:cs="Times New Roman"/>
      <w:kern w:val="24"/>
      <w:sz w:val="24"/>
      <w:szCs w:val="24"/>
    </w:rPr>
  </w:style>
  <w:style w:type="paragraph" w:styleId="6">
    <w:name w:val="heading 3"/>
    <w:basedOn w:val="1"/>
    <w:next w:val="1"/>
    <w:link w:val="42"/>
    <w:qFormat/>
    <w:uiPriority w:val="9"/>
    <w:pPr>
      <w:keepNext/>
      <w:keepLines/>
      <w:spacing w:after="120" w:line="360" w:lineRule="auto"/>
      <w:outlineLvl w:val="2"/>
    </w:pPr>
    <w:rPr>
      <w:rFonts w:ascii="黑体" w:eastAsia="黑体" w:cs="Times New Roman"/>
      <w:color w:val="000000"/>
      <w:kern w:val="24"/>
      <w:sz w:val="24"/>
      <w:szCs w:val="24"/>
    </w:rPr>
  </w:style>
  <w:style w:type="paragraph" w:styleId="7">
    <w:name w:val="heading 4"/>
    <w:basedOn w:val="1"/>
    <w:next w:val="1"/>
    <w:link w:val="43"/>
    <w:qFormat/>
    <w:uiPriority w:val="9"/>
    <w:pPr>
      <w:keepNext/>
      <w:keepLines/>
      <w:spacing w:before="280" w:after="290" w:line="376" w:lineRule="auto"/>
      <w:outlineLvl w:val="3"/>
    </w:pPr>
    <w:rPr>
      <w:rFonts w:ascii="Cambria" w:hAnsi="Cambria" w:cs="Times New Roman"/>
      <w:b/>
      <w:bCs/>
      <w:sz w:val="28"/>
      <w:szCs w:val="28"/>
    </w:rPr>
  </w:style>
  <w:style w:type="paragraph" w:styleId="8">
    <w:name w:val="heading 5"/>
    <w:basedOn w:val="1"/>
    <w:next w:val="9"/>
    <w:link w:val="44"/>
    <w:qFormat/>
    <w:uiPriority w:val="99"/>
    <w:pPr>
      <w:widowControl w:val="0"/>
      <w:ind w:firstLine="454"/>
      <w:outlineLvl w:val="4"/>
    </w:pPr>
    <w:rPr>
      <w:rFonts w:ascii="Calibri" w:hAnsi="Calibri" w:cs="Times New Roman"/>
    </w:rPr>
  </w:style>
  <w:style w:type="paragraph" w:styleId="9">
    <w:name w:val="heading 6"/>
    <w:basedOn w:val="1"/>
    <w:next w:val="1"/>
    <w:link w:val="45"/>
    <w:qFormat/>
    <w:uiPriority w:val="99"/>
    <w:pPr>
      <w:widowControl w:val="0"/>
      <w:ind w:firstLine="680"/>
      <w:outlineLvl w:val="5"/>
    </w:pPr>
    <w:rPr>
      <w:rFonts w:ascii="Calibri" w:hAnsi="Calibri" w:cs="Times New Roma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46"/>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3">
    <w:name w:val="toc 2"/>
    <w:basedOn w:val="1"/>
    <w:next w:val="1"/>
    <w:qFormat/>
    <w:uiPriority w:val="0"/>
    <w:pPr>
      <w:ind w:left="420" w:leftChars="200"/>
    </w:pPr>
  </w:style>
  <w:style w:type="paragraph" w:styleId="10">
    <w:name w:val="List Number"/>
    <w:basedOn w:val="1"/>
    <w:unhideWhenUsed/>
    <w:qFormat/>
    <w:uiPriority w:val="0"/>
    <w:pPr>
      <w:numPr>
        <w:ilvl w:val="0"/>
        <w:numId w:val="1"/>
      </w:numPr>
    </w:pPr>
  </w:style>
  <w:style w:type="paragraph" w:styleId="11">
    <w:name w:val="caption"/>
    <w:basedOn w:val="1"/>
    <w:next w:val="1"/>
    <w:qFormat/>
    <w:uiPriority w:val="35"/>
    <w:rPr>
      <w:rFonts w:ascii="Arial" w:hAnsi="Arial" w:eastAsia="黑体"/>
      <w:sz w:val="20"/>
    </w:rPr>
  </w:style>
  <w:style w:type="paragraph" w:styleId="12">
    <w:name w:val="Document Map"/>
    <w:basedOn w:val="1"/>
    <w:link w:val="48"/>
    <w:qFormat/>
    <w:uiPriority w:val="99"/>
    <w:pPr>
      <w:widowControl w:val="0"/>
    </w:pPr>
    <w:rPr>
      <w:rFonts w:ascii="宋体" w:hAnsi="Calibri" w:cs="Times New Roman"/>
      <w:sz w:val="18"/>
      <w:szCs w:val="18"/>
    </w:rPr>
  </w:style>
  <w:style w:type="paragraph" w:styleId="13">
    <w:name w:val="annotation text"/>
    <w:basedOn w:val="1"/>
    <w:link w:val="49"/>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next w:val="17"/>
    <w:link w:val="50"/>
    <w:qFormat/>
    <w:uiPriority w:val="99"/>
    <w:pPr>
      <w:widowControl w:val="0"/>
      <w:spacing w:after="120"/>
    </w:pPr>
    <w:rPr>
      <w:rFonts w:ascii="Calibri" w:hAnsi="Calibri" w:cs="Times New Roman"/>
    </w:rPr>
  </w:style>
  <w:style w:type="paragraph" w:styleId="17">
    <w:name w:val="Body Text First Indent"/>
    <w:basedOn w:val="16"/>
    <w:next w:val="1"/>
    <w:unhideWhenUsed/>
    <w:qFormat/>
    <w:uiPriority w:val="99"/>
    <w:pPr>
      <w:ind w:firstLine="420" w:firstLineChars="100"/>
    </w:pPr>
    <w:rPr>
      <w:szCs w:val="22"/>
      <w:lang w:val="en-US"/>
    </w:rPr>
  </w:style>
  <w:style w:type="paragraph" w:styleId="18">
    <w:name w:val="Body Text Indent"/>
    <w:basedOn w:val="1"/>
    <w:next w:val="19"/>
    <w:link w:val="47"/>
    <w:qFormat/>
    <w:uiPriority w:val="99"/>
    <w:pPr>
      <w:widowControl w:val="0"/>
      <w:spacing w:after="120"/>
      <w:ind w:left="420" w:leftChars="200"/>
    </w:pPr>
    <w:rPr>
      <w:rFonts w:ascii="Calibri" w:hAnsi="Calibri" w:cs="Times New Roman"/>
    </w:rPr>
  </w:style>
  <w:style w:type="paragraph" w:styleId="19">
    <w:name w:val="Body Text First Indent 2"/>
    <w:basedOn w:val="18"/>
    <w:next w:val="20"/>
    <w:link w:val="57"/>
    <w:qFormat/>
    <w:uiPriority w:val="99"/>
    <w:pPr>
      <w:ind w:firstLine="420" w:firstLineChars="200"/>
    </w:pPr>
  </w:style>
  <w:style w:type="paragraph" w:customStyle="1" w:styleId="20">
    <w:name w:val="xl53"/>
    <w:basedOn w:val="1"/>
    <w:next w:val="1"/>
    <w:qFormat/>
    <w:uiPriority w:val="0"/>
    <w:pPr>
      <w:spacing w:before="280" w:after="280" w:line="100" w:lineRule="exact"/>
      <w:jc w:val="center"/>
    </w:pPr>
    <w:rPr>
      <w:b/>
      <w:sz w:val="20"/>
    </w:rPr>
  </w:style>
  <w:style w:type="paragraph" w:styleId="21">
    <w:name w:val="Plain Text"/>
    <w:basedOn w:val="1"/>
    <w:link w:val="51"/>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pacing w:line="480" w:lineRule="atLeast"/>
      <w:ind w:firstLine="480"/>
    </w:pPr>
    <w:rPr>
      <w:rFonts w:ascii="宋体"/>
      <w:kern w:val="0"/>
      <w:sz w:val="24"/>
      <w:szCs w:val="20"/>
    </w:rPr>
  </w:style>
  <w:style w:type="paragraph" w:styleId="24">
    <w:name w:val="Balloon Text"/>
    <w:basedOn w:val="1"/>
    <w:link w:val="52"/>
    <w:qFormat/>
    <w:uiPriority w:val="99"/>
    <w:pPr>
      <w:widowControl w:val="0"/>
    </w:pPr>
    <w:rPr>
      <w:rFonts w:ascii="Calibri" w:hAnsi="Calibri" w:cs="Times New Roman"/>
      <w:sz w:val="18"/>
      <w:szCs w:val="18"/>
    </w:rPr>
  </w:style>
  <w:style w:type="paragraph" w:styleId="25">
    <w:name w:val="footer"/>
    <w:basedOn w:val="1"/>
    <w:link w:val="53"/>
    <w:qFormat/>
    <w:uiPriority w:val="99"/>
    <w:pPr>
      <w:tabs>
        <w:tab w:val="center" w:pos="4153"/>
        <w:tab w:val="right" w:pos="8306"/>
      </w:tabs>
      <w:snapToGrid w:val="0"/>
      <w:jc w:val="left"/>
    </w:pPr>
    <w:rPr>
      <w:rFonts w:cs="Times New Roman"/>
      <w:sz w:val="18"/>
      <w:szCs w:val="18"/>
    </w:rPr>
  </w:style>
  <w:style w:type="paragraph" w:styleId="26">
    <w:name w:val="header"/>
    <w:basedOn w:val="1"/>
    <w:link w:val="54"/>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5"/>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3"/>
    <w:next w:val="13"/>
    <w:link w:val="56"/>
    <w:qFormat/>
    <w:uiPriority w:val="99"/>
    <w:rPr>
      <w:b/>
      <w:bCs/>
    </w:r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2 Char"/>
    <w:link w:val="5"/>
    <w:qFormat/>
    <w:locked/>
    <w:uiPriority w:val="9"/>
    <w:rPr>
      <w:rFonts w:ascii="宋体" w:hAnsi="宋体" w:cs="宋体"/>
      <w:kern w:val="24"/>
      <w:sz w:val="24"/>
      <w:szCs w:val="24"/>
    </w:rPr>
  </w:style>
  <w:style w:type="character" w:customStyle="1" w:styleId="41">
    <w:name w:val="标题 1 Char"/>
    <w:link w:val="4"/>
    <w:qFormat/>
    <w:locked/>
    <w:uiPriority w:val="99"/>
    <w:rPr>
      <w:rFonts w:ascii="等线" w:hAnsi="宋体" w:cs="等线"/>
      <w:b/>
      <w:bCs/>
      <w:kern w:val="44"/>
      <w:sz w:val="44"/>
      <w:szCs w:val="44"/>
    </w:rPr>
  </w:style>
  <w:style w:type="character" w:customStyle="1" w:styleId="42">
    <w:name w:val="标题 3 Char"/>
    <w:link w:val="6"/>
    <w:qFormat/>
    <w:locked/>
    <w:uiPriority w:val="9"/>
    <w:rPr>
      <w:rFonts w:ascii="黑体" w:hAnsi="宋体" w:eastAsia="黑体" w:cs="黑体"/>
      <w:color w:val="000000"/>
      <w:kern w:val="24"/>
      <w:sz w:val="24"/>
      <w:szCs w:val="24"/>
    </w:rPr>
  </w:style>
  <w:style w:type="character" w:customStyle="1" w:styleId="43">
    <w:name w:val="标题 4 Char"/>
    <w:link w:val="7"/>
    <w:qFormat/>
    <w:uiPriority w:val="9"/>
    <w:rPr>
      <w:rFonts w:ascii="Cambria" w:hAnsi="Cambria"/>
      <w:b/>
      <w:bCs/>
      <w:kern w:val="2"/>
      <w:sz w:val="28"/>
      <w:szCs w:val="28"/>
    </w:rPr>
  </w:style>
  <w:style w:type="character" w:customStyle="1" w:styleId="44">
    <w:name w:val="标题 5 Char"/>
    <w:link w:val="8"/>
    <w:qFormat/>
    <w:uiPriority w:val="99"/>
    <w:rPr>
      <w:rFonts w:ascii="Calibri" w:hAnsi="Calibri" w:cs="Calibri"/>
      <w:kern w:val="2"/>
      <w:sz w:val="21"/>
      <w:szCs w:val="21"/>
    </w:rPr>
  </w:style>
  <w:style w:type="character" w:customStyle="1" w:styleId="45">
    <w:name w:val="标题 6 Char"/>
    <w:link w:val="9"/>
    <w:qFormat/>
    <w:uiPriority w:val="99"/>
    <w:rPr>
      <w:rFonts w:ascii="Calibri" w:hAnsi="Calibri" w:cs="Calibri"/>
      <w:kern w:val="2"/>
      <w:sz w:val="21"/>
      <w:szCs w:val="21"/>
    </w:rPr>
  </w:style>
  <w:style w:type="character" w:customStyle="1" w:styleId="46">
    <w:name w:val="正文缩进 Char"/>
    <w:link w:val="2"/>
    <w:qFormat/>
    <w:uiPriority w:val="0"/>
    <w:rPr>
      <w:rFonts w:ascii="宋体" w:hAnsi="宋体"/>
      <w:snapToGrid w:val="0"/>
      <w:color w:val="000000"/>
      <w:kern w:val="28"/>
      <w:sz w:val="28"/>
    </w:rPr>
  </w:style>
  <w:style w:type="character" w:customStyle="1" w:styleId="47">
    <w:name w:val="正文文本缩进 Char"/>
    <w:link w:val="18"/>
    <w:qFormat/>
    <w:locked/>
    <w:uiPriority w:val="99"/>
    <w:rPr>
      <w:rFonts w:ascii="Calibri" w:hAnsi="Calibri" w:cs="Calibri"/>
      <w:kern w:val="2"/>
      <w:sz w:val="21"/>
      <w:szCs w:val="21"/>
    </w:rPr>
  </w:style>
  <w:style w:type="character" w:customStyle="1" w:styleId="48">
    <w:name w:val="文档结构图 Char"/>
    <w:link w:val="12"/>
    <w:qFormat/>
    <w:uiPriority w:val="99"/>
    <w:rPr>
      <w:rFonts w:ascii="宋体" w:hAnsi="Calibri" w:cs="宋体"/>
      <w:kern w:val="2"/>
      <w:sz w:val="18"/>
      <w:szCs w:val="18"/>
    </w:rPr>
  </w:style>
  <w:style w:type="character" w:customStyle="1" w:styleId="49">
    <w:name w:val="批注文字 Char"/>
    <w:link w:val="13"/>
    <w:qFormat/>
    <w:uiPriority w:val="99"/>
    <w:rPr>
      <w:rFonts w:ascii="Calibri" w:hAnsi="Calibri" w:cs="Calibri"/>
      <w:kern w:val="2"/>
      <w:sz w:val="21"/>
      <w:szCs w:val="21"/>
    </w:rPr>
  </w:style>
  <w:style w:type="character" w:customStyle="1" w:styleId="50">
    <w:name w:val="正文文本 Char"/>
    <w:link w:val="16"/>
    <w:qFormat/>
    <w:uiPriority w:val="99"/>
    <w:rPr>
      <w:rFonts w:ascii="Calibri" w:hAnsi="Calibri" w:cs="Calibri"/>
      <w:kern w:val="2"/>
      <w:sz w:val="21"/>
      <w:szCs w:val="21"/>
    </w:rPr>
  </w:style>
  <w:style w:type="character" w:customStyle="1" w:styleId="51">
    <w:name w:val="纯文本 Char"/>
    <w:link w:val="21"/>
    <w:qFormat/>
    <w:locked/>
    <w:uiPriority w:val="0"/>
    <w:rPr>
      <w:rFonts w:ascii="宋体" w:hAnsi="Courier New" w:cs="宋体"/>
      <w:kern w:val="2"/>
      <w:sz w:val="21"/>
      <w:szCs w:val="21"/>
    </w:rPr>
  </w:style>
  <w:style w:type="character" w:customStyle="1" w:styleId="52">
    <w:name w:val="批注框文本 Char"/>
    <w:link w:val="24"/>
    <w:qFormat/>
    <w:uiPriority w:val="99"/>
    <w:rPr>
      <w:rFonts w:ascii="Calibri" w:hAnsi="Calibri" w:cs="Calibri"/>
      <w:kern w:val="2"/>
      <w:sz w:val="18"/>
      <w:szCs w:val="18"/>
    </w:rPr>
  </w:style>
  <w:style w:type="character" w:customStyle="1" w:styleId="53">
    <w:name w:val="页脚 Char"/>
    <w:link w:val="25"/>
    <w:qFormat/>
    <w:uiPriority w:val="99"/>
    <w:rPr>
      <w:rFonts w:ascii="等线" w:hAnsi="宋体" w:cs="等线"/>
      <w:kern w:val="2"/>
      <w:sz w:val="18"/>
      <w:szCs w:val="18"/>
    </w:rPr>
  </w:style>
  <w:style w:type="character" w:customStyle="1" w:styleId="54">
    <w:name w:val="页眉 Char"/>
    <w:link w:val="26"/>
    <w:qFormat/>
    <w:locked/>
    <w:uiPriority w:val="99"/>
    <w:rPr>
      <w:rFonts w:ascii="Calibri" w:hAnsi="Calibri" w:cs="Calibri"/>
      <w:kern w:val="2"/>
      <w:sz w:val="18"/>
      <w:szCs w:val="18"/>
    </w:rPr>
  </w:style>
  <w:style w:type="character" w:customStyle="1" w:styleId="55">
    <w:name w:val="HTML 预设格式 Char"/>
    <w:link w:val="29"/>
    <w:qFormat/>
    <w:uiPriority w:val="99"/>
    <w:rPr>
      <w:rFonts w:ascii="Courier New" w:hAnsi="Courier New" w:cs="Courier New"/>
      <w:kern w:val="2"/>
    </w:rPr>
  </w:style>
  <w:style w:type="character" w:customStyle="1" w:styleId="56">
    <w:name w:val="批注主题 Char"/>
    <w:link w:val="31"/>
    <w:qFormat/>
    <w:uiPriority w:val="99"/>
    <w:rPr>
      <w:rFonts w:ascii="Calibri" w:hAnsi="Calibri" w:cs="Calibri"/>
      <w:b/>
      <w:bCs/>
      <w:kern w:val="2"/>
      <w:sz w:val="21"/>
      <w:szCs w:val="21"/>
    </w:rPr>
  </w:style>
  <w:style w:type="character" w:customStyle="1" w:styleId="57">
    <w:name w:val="正文首行缩进 2 Char"/>
    <w:link w:val="19"/>
    <w:qFormat/>
    <w:locked/>
    <w:uiPriority w:val="99"/>
    <w:rPr>
      <w:rFonts w:ascii="Calibri" w:hAnsi="Calibri" w:cs="Calibri"/>
      <w:kern w:val="2"/>
      <w:sz w:val="21"/>
      <w:szCs w:val="21"/>
    </w:rPr>
  </w:style>
  <w:style w:type="paragraph" w:customStyle="1" w:styleId="58">
    <w:name w:val="index heading1"/>
    <w:basedOn w:val="1"/>
    <w:next w:val="59"/>
    <w:qFormat/>
    <w:uiPriority w:val="99"/>
    <w:rPr>
      <w:rFonts w:ascii="Arial" w:hAnsi="Arial" w:cs="Arial"/>
      <w:b/>
      <w:bCs/>
    </w:rPr>
  </w:style>
  <w:style w:type="paragraph" w:customStyle="1" w:styleId="59">
    <w:name w:val="index 11"/>
    <w:basedOn w:val="1"/>
    <w:next w:val="1"/>
    <w:qFormat/>
    <w:uiPriority w:val="99"/>
  </w:style>
  <w:style w:type="paragraph" w:customStyle="1" w:styleId="60">
    <w:name w:val="首行缩进"/>
    <w:basedOn w:val="1"/>
    <w:qFormat/>
    <w:uiPriority w:val="0"/>
    <w:pPr>
      <w:spacing w:line="360" w:lineRule="auto"/>
      <w:ind w:firstLine="480" w:firstLineChars="200"/>
      <w:jc w:val="left"/>
    </w:pPr>
    <w:rPr>
      <w:rFonts w:ascii="宋体"/>
      <w:sz w:val="24"/>
    </w:rPr>
  </w:style>
  <w:style w:type="paragraph" w:customStyle="1" w:styleId="61">
    <w:name w:val="样式1"/>
    <w:basedOn w:val="1"/>
    <w:next w:val="1"/>
    <w:qFormat/>
    <w:uiPriority w:val="0"/>
    <w:pPr>
      <w:spacing w:line="360" w:lineRule="exact"/>
      <w:ind w:firstLine="200" w:firstLineChars="200"/>
    </w:pPr>
    <w:rPr>
      <w:rFonts w:ascii="Arial" w:hAnsi="Arial"/>
    </w:rPr>
  </w:style>
  <w:style w:type="character" w:customStyle="1" w:styleId="62">
    <w:name w:val="font51"/>
    <w:qFormat/>
    <w:uiPriority w:val="99"/>
    <w:rPr>
      <w:rFonts w:ascii="宋体" w:hAnsi="宋体" w:eastAsia="宋体" w:cs="宋体"/>
      <w:color w:val="000000"/>
      <w:sz w:val="20"/>
      <w:szCs w:val="20"/>
      <w:u w:val="none"/>
    </w:rPr>
  </w:style>
  <w:style w:type="character" w:customStyle="1" w:styleId="63">
    <w:name w:val="font61"/>
    <w:qFormat/>
    <w:uiPriority w:val="99"/>
    <w:rPr>
      <w:rFonts w:ascii="宋体" w:hAnsi="宋体" w:eastAsia="宋体" w:cs="宋体"/>
      <w:color w:val="7030A0"/>
      <w:sz w:val="20"/>
      <w:szCs w:val="20"/>
      <w:u w:val="none"/>
    </w:rPr>
  </w:style>
  <w:style w:type="character" w:customStyle="1" w:styleId="64">
    <w:name w:val="large1"/>
    <w:qFormat/>
    <w:uiPriority w:val="99"/>
    <w:rPr>
      <w:rFonts w:ascii="宋体" w:hAnsi="宋体" w:eastAsia="宋体" w:cs="宋体"/>
      <w:sz w:val="21"/>
      <w:szCs w:val="21"/>
    </w:rPr>
  </w:style>
  <w:style w:type="character" w:customStyle="1" w:styleId="65">
    <w:name w:val="不明显强调1"/>
    <w:qFormat/>
    <w:uiPriority w:val="99"/>
    <w:rPr>
      <w:i/>
      <w:iCs/>
      <w:color w:val="auto"/>
    </w:rPr>
  </w:style>
  <w:style w:type="character" w:customStyle="1" w:styleId="66">
    <w:name w:val="font71"/>
    <w:qFormat/>
    <w:uiPriority w:val="99"/>
    <w:rPr>
      <w:rFonts w:ascii="宋体" w:hAnsi="宋体" w:eastAsia="宋体" w:cs="宋体"/>
      <w:color w:val="000000"/>
      <w:sz w:val="18"/>
      <w:szCs w:val="18"/>
      <w:u w:val="none"/>
    </w:rPr>
  </w:style>
  <w:style w:type="character" w:customStyle="1" w:styleId="67">
    <w:name w:val="font41"/>
    <w:basedOn w:val="34"/>
    <w:qFormat/>
    <w:uiPriority w:val="99"/>
    <w:rPr>
      <w:rFonts w:ascii="Calibri" w:hAnsi="Calibri" w:cs="Calibri"/>
      <w:color w:val="000000"/>
      <w:sz w:val="18"/>
      <w:szCs w:val="18"/>
      <w:u w:val="none"/>
    </w:rPr>
  </w:style>
  <w:style w:type="character" w:customStyle="1" w:styleId="68">
    <w:name w:val="font11"/>
    <w:qFormat/>
    <w:uiPriority w:val="99"/>
    <w:rPr>
      <w:rFonts w:ascii="宋体" w:hAnsi="宋体" w:eastAsia="宋体" w:cs="宋体"/>
      <w:color w:val="000000"/>
      <w:sz w:val="22"/>
      <w:szCs w:val="22"/>
      <w:u w:val="none"/>
    </w:rPr>
  </w:style>
  <w:style w:type="character" w:customStyle="1" w:styleId="69">
    <w:name w:val="font131"/>
    <w:qFormat/>
    <w:uiPriority w:val="99"/>
    <w:rPr>
      <w:rFonts w:ascii="等线" w:hAnsi="等线" w:eastAsia="等线" w:cs="等线"/>
      <w:color w:val="FF0000"/>
      <w:sz w:val="22"/>
      <w:szCs w:val="22"/>
      <w:u w:val="none"/>
    </w:rPr>
  </w:style>
  <w:style w:type="character" w:customStyle="1" w:styleId="70">
    <w:name w:val="font161"/>
    <w:qFormat/>
    <w:uiPriority w:val="99"/>
    <w:rPr>
      <w:rFonts w:ascii="宋体" w:hAnsi="宋体" w:eastAsia="宋体" w:cs="宋体"/>
      <w:color w:val="000000"/>
      <w:sz w:val="20"/>
      <w:szCs w:val="20"/>
      <w:u w:val="none"/>
    </w:rPr>
  </w:style>
  <w:style w:type="character" w:customStyle="1" w:styleId="71">
    <w:name w:val="！正文（四号字） Char"/>
    <w:link w:val="72"/>
    <w:qFormat/>
    <w:uiPriority w:val="0"/>
    <w:rPr>
      <w:sz w:val="24"/>
      <w:szCs w:val="28"/>
      <w:lang w:val="en-US" w:eastAsia="zh-CN" w:bidi="ar-SA"/>
    </w:rPr>
  </w:style>
  <w:style w:type="paragraph" w:customStyle="1" w:styleId="72">
    <w:name w:val="！正文（四号字）"/>
    <w:link w:val="71"/>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3">
    <w:name w:val="font141"/>
    <w:qFormat/>
    <w:uiPriority w:val="99"/>
    <w:rPr>
      <w:rFonts w:ascii="宋体" w:hAnsi="宋体" w:eastAsia="宋体" w:cs="宋体"/>
      <w:color w:val="000000"/>
      <w:sz w:val="20"/>
      <w:szCs w:val="20"/>
      <w:u w:val="none"/>
    </w:rPr>
  </w:style>
  <w:style w:type="character" w:customStyle="1" w:styleId="74">
    <w:name w:val="font171"/>
    <w:qFormat/>
    <w:uiPriority w:val="99"/>
    <w:rPr>
      <w:rFonts w:ascii="font-weight : 400" w:hAnsi="font-weight : 400" w:cs="font-weight : 400"/>
      <w:color w:val="000000"/>
      <w:sz w:val="20"/>
      <w:szCs w:val="20"/>
      <w:u w:val="none"/>
    </w:rPr>
  </w:style>
  <w:style w:type="character" w:customStyle="1" w:styleId="75">
    <w:name w:val="font01"/>
    <w:qFormat/>
    <w:uiPriority w:val="99"/>
    <w:rPr>
      <w:rFonts w:ascii="宋体" w:hAnsi="宋体" w:eastAsia="宋体" w:cs="宋体"/>
      <w:color w:val="000000"/>
      <w:sz w:val="20"/>
      <w:szCs w:val="20"/>
      <w:u w:val="none"/>
    </w:rPr>
  </w:style>
  <w:style w:type="character" w:customStyle="1" w:styleId="76">
    <w:name w:val="font151"/>
    <w:qFormat/>
    <w:uiPriority w:val="99"/>
    <w:rPr>
      <w:rFonts w:ascii="宋体" w:hAnsi="宋体" w:eastAsia="宋体" w:cs="宋体"/>
      <w:color w:val="000000"/>
      <w:sz w:val="20"/>
      <w:szCs w:val="20"/>
      <w:u w:val="none"/>
    </w:rPr>
  </w:style>
  <w:style w:type="character" w:customStyle="1" w:styleId="77">
    <w:name w:val="font21"/>
    <w:qFormat/>
    <w:uiPriority w:val="99"/>
    <w:rPr>
      <w:rFonts w:ascii="宋体" w:hAnsi="宋体" w:eastAsia="宋体" w:cs="宋体"/>
      <w:color w:val="000000"/>
      <w:sz w:val="22"/>
      <w:szCs w:val="22"/>
      <w:u w:val="none"/>
    </w:rPr>
  </w:style>
  <w:style w:type="character" w:customStyle="1" w:styleId="78">
    <w:name w:val="font31"/>
    <w:qFormat/>
    <w:uiPriority w:val="99"/>
    <w:rPr>
      <w:rFonts w:ascii="宋体" w:hAnsi="宋体" w:eastAsia="宋体" w:cs="宋体"/>
      <w:color w:val="000000"/>
      <w:sz w:val="24"/>
      <w:szCs w:val="24"/>
      <w:u w:val="none"/>
    </w:rPr>
  </w:style>
  <w:style w:type="paragraph" w:customStyle="1" w:styleId="79">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0">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1">
    <w:name w:val="bg正文"/>
    <w:basedOn w:val="1"/>
    <w:qFormat/>
    <w:uiPriority w:val="0"/>
    <w:pPr>
      <w:spacing w:line="360" w:lineRule="auto"/>
      <w:jc w:val="left"/>
    </w:pPr>
    <w:rPr>
      <w:rFonts w:ascii="仿宋" w:eastAsia="仿宋" w:cs="Times New Roman"/>
      <w:sz w:val="28"/>
      <w:szCs w:val="28"/>
    </w:rPr>
  </w:style>
  <w:style w:type="paragraph" w:customStyle="1" w:styleId="82">
    <w:name w:val="列出段落11"/>
    <w:basedOn w:val="1"/>
    <w:qFormat/>
    <w:uiPriority w:val="99"/>
    <w:pPr>
      <w:widowControl w:val="0"/>
      <w:ind w:firstLine="420" w:firstLineChars="200"/>
    </w:pPr>
    <w:rPr>
      <w:rFonts w:ascii="Calibri" w:hAnsi="Calibri" w:cs="Calibri"/>
    </w:rPr>
  </w:style>
  <w:style w:type="paragraph" w:customStyle="1" w:styleId="8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4">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5">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8">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9">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0">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1">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2">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4">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5">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6">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7">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8">
    <w:name w:val="_Style 131"/>
    <w:basedOn w:val="1"/>
    <w:next w:val="99"/>
    <w:qFormat/>
    <w:uiPriority w:val="34"/>
    <w:pPr>
      <w:ind w:firstLine="420" w:firstLineChars="200"/>
    </w:pPr>
    <w:rPr>
      <w:rFonts w:ascii="Calibri" w:hAnsi="Calibri" w:cs="Times New Roman"/>
    </w:rPr>
  </w:style>
  <w:style w:type="paragraph" w:styleId="99">
    <w:name w:val="List Paragraph"/>
    <w:basedOn w:val="1"/>
    <w:qFormat/>
    <w:uiPriority w:val="34"/>
    <w:pPr>
      <w:ind w:firstLine="420" w:firstLineChars="200"/>
    </w:pPr>
  </w:style>
  <w:style w:type="paragraph" w:customStyle="1" w:styleId="10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1">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2">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3">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4">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列出段落1"/>
    <w:basedOn w:val="1"/>
    <w:qFormat/>
    <w:uiPriority w:val="99"/>
    <w:pPr>
      <w:widowControl w:val="0"/>
      <w:ind w:firstLine="420" w:firstLineChars="200"/>
    </w:pPr>
    <w:rPr>
      <w:rFonts w:ascii="Calibri" w:hAnsi="Calibri" w:cs="Calibri"/>
    </w:rPr>
  </w:style>
  <w:style w:type="paragraph" w:customStyle="1" w:styleId="106">
    <w:name w:val="+正文"/>
    <w:basedOn w:val="1"/>
    <w:qFormat/>
    <w:uiPriority w:val="0"/>
    <w:pPr>
      <w:ind w:firstLine="200" w:firstLineChars="200"/>
    </w:pPr>
    <w:rPr>
      <w:rFonts w:cs="Times New Roman"/>
      <w:szCs w:val="24"/>
    </w:rPr>
  </w:style>
  <w:style w:type="paragraph" w:customStyle="1" w:styleId="107">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8">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9">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1">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3">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4">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5">
    <w:name w:val="_Style 49"/>
    <w:basedOn w:val="1"/>
    <w:next w:val="99"/>
    <w:qFormat/>
    <w:uiPriority w:val="34"/>
    <w:pPr>
      <w:ind w:firstLine="420" w:firstLineChars="200"/>
    </w:pPr>
    <w:rPr>
      <w:rFonts w:ascii="Calibri" w:hAnsi="Calibri" w:cs="Times New Roman"/>
    </w:rPr>
  </w:style>
  <w:style w:type="paragraph" w:customStyle="1" w:styleId="116">
    <w:name w:val="Table Paragraph"/>
    <w:basedOn w:val="1"/>
    <w:qFormat/>
    <w:uiPriority w:val="99"/>
    <w:pPr>
      <w:widowControl w:val="0"/>
    </w:pPr>
    <w:rPr>
      <w:rFonts w:ascii="PMingLiU" w:hAnsi="PMingLiU" w:eastAsia="PMingLiU" w:cs="PMingLiU"/>
      <w:lang w:val="zh-CN"/>
    </w:rPr>
  </w:style>
  <w:style w:type="paragraph" w:customStyle="1" w:styleId="117">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8">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9">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2">
    <w:name w:val="_Style 3"/>
    <w:qFormat/>
    <w:uiPriority w:val="99"/>
    <w:rPr>
      <w:rFonts w:ascii="Calibri" w:hAnsi="Calibri" w:eastAsia="宋体" w:cs="Calibri"/>
      <w:sz w:val="22"/>
      <w:szCs w:val="22"/>
      <w:lang w:val="en-US" w:eastAsia="zh-CN" w:bidi="ar-SA"/>
    </w:rPr>
  </w:style>
  <w:style w:type="paragraph" w:customStyle="1" w:styleId="123">
    <w:name w:val="列出段落2"/>
    <w:basedOn w:val="1"/>
    <w:qFormat/>
    <w:uiPriority w:val="0"/>
    <w:pPr>
      <w:ind w:firstLine="420" w:firstLineChars="200"/>
    </w:pPr>
  </w:style>
  <w:style w:type="paragraph" w:customStyle="1" w:styleId="124">
    <w:name w:val="_Style 2"/>
    <w:basedOn w:val="1"/>
    <w:qFormat/>
    <w:uiPriority w:val="99"/>
    <w:pPr>
      <w:widowControl w:val="0"/>
      <w:ind w:firstLine="420" w:firstLineChars="200"/>
    </w:pPr>
    <w:rPr>
      <w:rFonts w:ascii="Calibri" w:hAnsi="Calibri" w:cs="Calibri"/>
    </w:rPr>
  </w:style>
  <w:style w:type="paragraph" w:customStyle="1" w:styleId="12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7">
    <w:name w:val="p0"/>
    <w:basedOn w:val="1"/>
    <w:qFormat/>
    <w:uiPriority w:val="0"/>
    <w:pPr>
      <w:ind w:left="108" w:right="108" w:firstLine="200"/>
    </w:pPr>
    <w:rPr>
      <w:rFonts w:ascii="Times New Roman" w:hAnsi="Times New Roman" w:eastAsia="微软雅黑" w:cs="Times New Roman"/>
      <w:kern w:val="0"/>
    </w:rPr>
  </w:style>
  <w:style w:type="paragraph" w:customStyle="1" w:styleId="128">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29">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0">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1">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2">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3">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4">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8">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3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0">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1">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2">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3">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4">
    <w:name w:val="Normal Indent1"/>
    <w:basedOn w:val="1"/>
    <w:qFormat/>
    <w:uiPriority w:val="0"/>
    <w:pPr>
      <w:ind w:firstLine="420" w:firstLineChars="200"/>
    </w:pPr>
  </w:style>
  <w:style w:type="paragraph" w:customStyle="1" w:styleId="145">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6">
    <w:name w:val="font191"/>
    <w:basedOn w:val="34"/>
    <w:qFormat/>
    <w:uiPriority w:val="0"/>
    <w:rPr>
      <w:rFonts w:hint="eastAsia" w:ascii="新宋体" w:hAnsi="新宋体" w:eastAsia="新宋体" w:cs="新宋体"/>
      <w:color w:val="FF0000"/>
      <w:sz w:val="18"/>
      <w:szCs w:val="18"/>
      <w:u w:val="none"/>
    </w:rPr>
  </w:style>
  <w:style w:type="character" w:customStyle="1" w:styleId="147">
    <w:name w:val="font201"/>
    <w:basedOn w:val="34"/>
    <w:qFormat/>
    <w:uiPriority w:val="0"/>
    <w:rPr>
      <w:rFonts w:ascii="Arial" w:hAnsi="Arial" w:cs="Arial"/>
      <w:color w:val="000000"/>
      <w:sz w:val="18"/>
      <w:szCs w:val="18"/>
      <w:u w:val="none"/>
    </w:rPr>
  </w:style>
  <w:style w:type="character" w:customStyle="1" w:styleId="148">
    <w:name w:val="font81"/>
    <w:basedOn w:val="34"/>
    <w:qFormat/>
    <w:uiPriority w:val="0"/>
    <w:rPr>
      <w:rFonts w:hint="eastAsia" w:ascii="宋体" w:hAnsi="宋体" w:eastAsia="宋体" w:cs="宋体"/>
      <w:color w:val="000000"/>
      <w:sz w:val="18"/>
      <w:szCs w:val="18"/>
      <w:u w:val="none"/>
    </w:rPr>
  </w:style>
  <w:style w:type="character" w:customStyle="1" w:styleId="149">
    <w:name w:val="font212"/>
    <w:basedOn w:val="34"/>
    <w:qFormat/>
    <w:uiPriority w:val="0"/>
    <w:rPr>
      <w:rFonts w:ascii="Calibri" w:hAnsi="Calibri" w:cs="Calibri"/>
      <w:color w:val="000000"/>
      <w:sz w:val="18"/>
      <w:szCs w:val="18"/>
      <w:u w:val="none"/>
    </w:rPr>
  </w:style>
  <w:style w:type="character" w:customStyle="1" w:styleId="150">
    <w:name w:val="font221"/>
    <w:basedOn w:val="34"/>
    <w:qFormat/>
    <w:uiPriority w:val="0"/>
    <w:rPr>
      <w:rFonts w:hint="default" w:ascii="Calibri" w:hAnsi="Calibri" w:cs="Calibri"/>
      <w:color w:val="000000"/>
      <w:sz w:val="18"/>
      <w:szCs w:val="18"/>
      <w:u w:val="none"/>
    </w:rPr>
  </w:style>
  <w:style w:type="character" w:customStyle="1" w:styleId="151">
    <w:name w:val="font91"/>
    <w:basedOn w:val="34"/>
    <w:qFormat/>
    <w:uiPriority w:val="0"/>
    <w:rPr>
      <w:rFonts w:hint="eastAsia" w:ascii="宋体" w:hAnsi="宋体" w:eastAsia="宋体" w:cs="宋体"/>
      <w:color w:val="000000"/>
      <w:sz w:val="18"/>
      <w:szCs w:val="18"/>
      <w:u w:val="none"/>
    </w:rPr>
  </w:style>
  <w:style w:type="character" w:customStyle="1" w:styleId="152">
    <w:name w:val="font231"/>
    <w:basedOn w:val="34"/>
    <w:qFormat/>
    <w:uiPriority w:val="0"/>
    <w:rPr>
      <w:rFonts w:hint="default" w:ascii="Calibri" w:hAnsi="Calibri" w:cs="Calibri"/>
      <w:color w:val="000000"/>
      <w:sz w:val="18"/>
      <w:szCs w:val="18"/>
      <w:u w:val="none"/>
    </w:rPr>
  </w:style>
  <w:style w:type="paragraph" w:customStyle="1" w:styleId="153">
    <w:name w:val="表格文本"/>
    <w:basedOn w:val="1"/>
    <w:qFormat/>
    <w:uiPriority w:val="0"/>
    <w:pPr>
      <w:spacing w:before="120" w:after="120"/>
    </w:pPr>
    <w:rPr>
      <w:rFonts w:cs="黑体"/>
    </w:rPr>
  </w:style>
  <w:style w:type="paragraph" w:customStyle="1" w:styleId="154">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5">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6">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57">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58">
    <w:name w:val="列出段落4"/>
    <w:basedOn w:val="1"/>
    <w:qFormat/>
    <w:uiPriority w:val="34"/>
    <w:pPr>
      <w:ind w:firstLine="420" w:firstLineChars="200"/>
    </w:pPr>
    <w:rPr>
      <w:rFonts w:ascii="Times New Roman" w:hAnsi="Times New Roman" w:cs="Times New Roman"/>
    </w:rPr>
  </w:style>
  <w:style w:type="paragraph" w:customStyle="1" w:styleId="159">
    <w:name w:val="样式 正文2 + 仿宋_GB2312 黑色 段前: 0 磅 行距: 固定值 23 磅"/>
    <w:basedOn w:val="89"/>
    <w:qFormat/>
    <w:uiPriority w:val="0"/>
    <w:pPr>
      <w:spacing w:before="0" w:line="460" w:lineRule="exact"/>
      <w:ind w:firstLine="0" w:firstLineChars="0"/>
      <w:jc w:val="center"/>
    </w:pPr>
    <w:rPr>
      <w:rFonts w:ascii="仿宋_GB2312" w:hAnsi="仿宋_GB2312" w:eastAsia="仿宋_GB2312" w:cs="宋体"/>
      <w:color w:val="000000"/>
      <w:szCs w:val="20"/>
    </w:rPr>
  </w:style>
  <w:style w:type="paragraph" w:customStyle="1" w:styleId="160">
    <w:name w:val="纯文本1"/>
    <w:basedOn w:val="89"/>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B0EB3-CABE-460C-ABD6-74FCD4831E8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81</Pages>
  <Words>23487</Words>
  <Characters>24998</Characters>
  <Lines>345</Lines>
  <Paragraphs>97</Paragraphs>
  <TotalTime>10</TotalTime>
  <ScaleCrop>false</ScaleCrop>
  <LinksUpToDate>false</LinksUpToDate>
  <CharactersWithSpaces>25094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2022-10-08T09:39:00Z</dcterms:created>
  <dc:creator>2K-5</dc:creator>
  <cp:lastModifiedBy>交易中心-钱海汇</cp:lastModifiedBy>
  <cp:lastPrinted>2021-05-11T17:00:00Z</cp:lastPrinted>
  <dcterms:modified xsi:type="dcterms:W3CDTF">2025-06-25T06:49:48Z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6BEB800698324AC999EF935A93FEDF6F_13</vt:lpwstr>
  </property>
  <property fmtid="{D5CDD505-2E9C-101B-9397-08002B2CF9AE}" pid="4" name="KSOTemplateDocerSaveRecord">
    <vt:lpwstr>eyJoZGlkIjoiNjAxYTgzYmU5OTQzMmE5NGJlMjc4N2M3NThmYTM4ZjIiLCJ1c2VySWQiOiIyNzEzMTMwNDYifQ==</vt:lpwstr>
  </property>
</Properties>
</file>