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jc w:val="center"/>
        <w:rPr>
          <w:rFonts w:hint="eastAsia" w:ascii="宋体" w:cs="宋体"/>
          <w:b/>
          <w:bCs/>
          <w:color w:val="FF0000"/>
          <w:sz w:val="48"/>
          <w:szCs w:val="48"/>
        </w:rPr>
      </w:pPr>
      <w:bookmarkStart w:id="62" w:name="_GoBack"/>
      <w:bookmarkEnd w:id="62"/>
      <w:r>
        <w:rPr>
          <w:rFonts w:hint="eastAsia" w:ascii="宋体" w:cs="宋体"/>
          <w:b/>
          <w:bCs/>
          <w:color w:val="FF0000"/>
          <w:sz w:val="48"/>
          <w:szCs w:val="48"/>
        </w:rPr>
        <w:t>永康市融媒体中心</w:t>
      </w:r>
    </w:p>
    <w:p>
      <w:pPr>
        <w:widowControl w:val="0"/>
        <w:tabs>
          <w:tab w:val="center" w:pos="4677"/>
          <w:tab w:val="left" w:pos="7365"/>
        </w:tabs>
        <w:jc w:val="center"/>
        <w:rPr>
          <w:rFonts w:hint="eastAsia" w:ascii="宋体" w:cs="宋体"/>
          <w:b/>
          <w:bCs/>
          <w:color w:val="FF0000"/>
          <w:sz w:val="48"/>
          <w:szCs w:val="48"/>
        </w:rPr>
      </w:pPr>
      <w:r>
        <w:rPr>
          <w:rFonts w:hint="eastAsia" w:ascii="宋体" w:cs="宋体"/>
          <w:b/>
          <w:bCs/>
          <w:color w:val="FF0000"/>
          <w:sz w:val="48"/>
          <w:szCs w:val="48"/>
        </w:rPr>
        <w:t>永康市智慧城市指挥调度中心智能化</w:t>
      </w:r>
    </w:p>
    <w:p>
      <w:pPr>
        <w:widowControl w:val="0"/>
        <w:tabs>
          <w:tab w:val="center" w:pos="4677"/>
          <w:tab w:val="left" w:pos="7365"/>
        </w:tabs>
        <w:jc w:val="center"/>
        <w:rPr>
          <w:rFonts w:hint="eastAsia" w:ascii="宋体" w:cs="宋体"/>
          <w:b/>
          <w:bCs/>
          <w:color w:val="FF0000"/>
          <w:sz w:val="48"/>
          <w:szCs w:val="48"/>
        </w:rPr>
      </w:pPr>
      <w:r>
        <w:rPr>
          <w:rFonts w:hint="eastAsia" w:ascii="宋体" w:cs="宋体"/>
          <w:b/>
          <w:bCs/>
          <w:color w:val="FF0000"/>
          <w:sz w:val="48"/>
          <w:szCs w:val="48"/>
        </w:rPr>
        <w:t>设施设备项目采购</w:t>
      </w:r>
    </w:p>
    <w:p>
      <w:pPr>
        <w:pStyle w:val="2"/>
      </w:pPr>
    </w:p>
    <w:p>
      <w:pPr>
        <w:widowControl w:val="0"/>
        <w:tabs>
          <w:tab w:val="center" w:pos="4677"/>
          <w:tab w:val="left" w:pos="7365"/>
        </w:tabs>
        <w:jc w:val="center"/>
        <w:rPr>
          <w:rFonts w:hint="eastAsia" w:ascii="黑体" w:hAnsi="Calibri" w:eastAsia="黑体" w:cs="黑体"/>
          <w:b/>
          <w:bCs/>
          <w:color w:val="0000FF"/>
          <w:sz w:val="72"/>
          <w:szCs w:val="72"/>
        </w:rPr>
      </w:pPr>
      <w:r>
        <w:rPr>
          <w:rFonts w:hint="eastAsia" w:ascii="黑体" w:hAnsi="Calibri" w:eastAsia="黑体" w:cs="黑体"/>
          <w:b/>
          <w:bCs/>
          <w:color w:val="0000FF"/>
          <w:sz w:val="72"/>
          <w:szCs w:val="72"/>
        </w:rPr>
        <w:t>招标文件</w:t>
      </w:r>
    </w:p>
    <w:p>
      <w:pPr>
        <w:pStyle w:val="2"/>
      </w:pPr>
    </w:p>
    <w:p>
      <w:pPr>
        <w:widowControl w:val="0"/>
        <w:jc w:val="center"/>
        <w:rPr>
          <w:rFonts w:hint="default" w:ascii="Calibri" w:hAnsi="Calibri" w:eastAsia="宋体" w:cs="Times New Roman"/>
          <w:b/>
          <w:bCs/>
          <w:color w:val="FF0000"/>
          <w:sz w:val="32"/>
          <w:szCs w:val="32"/>
          <w:lang w:val="en-US" w:eastAsia="zh-CN"/>
        </w:rPr>
      </w:pPr>
      <w:r>
        <w:rPr>
          <w:rFonts w:hint="eastAsia" w:ascii="宋体" w:cs="宋体"/>
          <w:b/>
          <w:bCs/>
          <w:color w:val="FF0000"/>
          <w:sz w:val="32"/>
          <w:szCs w:val="32"/>
        </w:rPr>
        <w:t>采购编号：</w:t>
      </w:r>
      <w:r>
        <w:rPr>
          <w:rFonts w:hint="eastAsia" w:ascii="Calibri" w:hAnsi="Calibri" w:cs="Calibri"/>
          <w:b/>
          <w:bCs/>
          <w:color w:val="FF0000"/>
          <w:sz w:val="32"/>
          <w:szCs w:val="32"/>
        </w:rPr>
        <w:t>YKCG202</w:t>
      </w:r>
      <w:r>
        <w:rPr>
          <w:rFonts w:hint="eastAsia" w:ascii="Calibri" w:hAnsi="Calibri" w:cs="Calibri"/>
          <w:b/>
          <w:bCs/>
          <w:color w:val="FF0000"/>
          <w:sz w:val="32"/>
          <w:szCs w:val="32"/>
          <w:lang w:val="en-US" w:eastAsia="zh-CN"/>
        </w:rPr>
        <w:t>2</w:t>
      </w:r>
      <w:r>
        <w:rPr>
          <w:rFonts w:hint="eastAsia" w:ascii="Calibri" w:hAnsi="Calibri" w:cs="Calibri"/>
          <w:b/>
          <w:bCs/>
          <w:color w:val="FF0000"/>
          <w:sz w:val="32"/>
          <w:szCs w:val="32"/>
        </w:rPr>
        <w:t>-GK-0</w:t>
      </w:r>
      <w:r>
        <w:rPr>
          <w:rFonts w:hint="default" w:ascii="Calibri" w:hAnsi="Calibri" w:cs="Calibri"/>
          <w:b/>
          <w:bCs/>
          <w:color w:val="FF0000"/>
          <w:sz w:val="32"/>
          <w:szCs w:val="32"/>
          <w:lang w:val="en-US"/>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219710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11">
                      <a:lum bright="43994" contrast="-24002"/>
                    </a:blip>
                    <a:stretch>
                      <a:fillRect/>
                    </a:stretch>
                  </pic:blipFill>
                  <pic:spPr>
                    <a:xfrm>
                      <a:off x="0" y="0"/>
                      <a:ext cx="3609340" cy="3665220"/>
                    </a:xfrm>
                    <a:prstGeom prst="rect">
                      <a:avLst/>
                    </a:prstGeom>
                    <a:noFill/>
                    <a:ln>
                      <a:noFill/>
                    </a:ln>
                  </pic:spPr>
                </pic:pic>
              </a:graphicData>
            </a:graphic>
          </wp:anchor>
        </w:drawing>
      </w:r>
      <w:r>
        <w:rPr>
          <w:rFonts w:hint="eastAsia" w:ascii="Calibri" w:hAnsi="Calibri" w:cs="Calibri"/>
          <w:b/>
          <w:bCs/>
          <w:color w:val="FF0000"/>
          <w:sz w:val="32"/>
          <w:szCs w:val="32"/>
          <w:lang w:val="en-US" w:eastAsia="zh-CN"/>
        </w:rPr>
        <w:t>1</w:t>
      </w:r>
      <w:r>
        <w:rPr>
          <w:rFonts w:hint="eastAsia" w:ascii="Calibri" w:hAnsi="Calibri" w:cs="Calibri"/>
          <w:b/>
          <w:bCs/>
          <w:color w:val="FF0000"/>
          <w:sz w:val="32"/>
          <w:szCs w:val="32"/>
          <w:lang w:val="en-US" w:eastAsia="zh-CN"/>
        </w:rPr>
        <w:t>8</w:t>
      </w:r>
    </w:p>
    <w:p>
      <w:pPr>
        <w:widowControl w:val="0"/>
        <w:jc w:val="center"/>
        <w:rPr>
          <w:rFonts w:ascii="Calibri" w:hAnsi="Calibri" w:cs="Times New Roman"/>
          <w:b/>
          <w:bCs/>
          <w:color w:val="FF0000"/>
          <w:sz w:val="32"/>
          <w:szCs w:val="32"/>
        </w:rPr>
      </w:pPr>
    </w:p>
    <w:p>
      <w:pPr>
        <w:widowControl w:val="0"/>
        <w:jc w:val="center"/>
        <w:rPr>
          <w:rFonts w:ascii="宋体" w:hAnsi="Calibri" w:cs="Times New Roman"/>
          <w:b/>
          <w:bCs/>
          <w:color w:val="FF0000"/>
          <w:sz w:val="32"/>
          <w:szCs w:val="32"/>
        </w:rPr>
      </w:pPr>
    </w:p>
    <w:p>
      <w:pPr>
        <w:widowControl w:val="0"/>
        <w:jc w:val="center"/>
        <w:rPr>
          <w:rFonts w:ascii="宋体" w:hAnsi="Calibri" w:cs="Times New Roman"/>
          <w:b/>
          <w:bCs/>
          <w:sz w:val="32"/>
          <w:szCs w:val="32"/>
        </w:rPr>
      </w:pPr>
    </w:p>
    <w:p>
      <w:pPr>
        <w:widowControl w:val="0"/>
        <w:jc w:val="center"/>
        <w:rPr>
          <w:rFonts w:ascii="宋体" w:hAnsi="Calibri" w:cs="Times New Roman"/>
          <w:b/>
          <w:bCs/>
          <w:sz w:val="32"/>
          <w:szCs w:val="32"/>
        </w:rPr>
      </w:pPr>
    </w:p>
    <w:p>
      <w:pPr>
        <w:widowControl w:val="0"/>
        <w:jc w:val="center"/>
        <w:rPr>
          <w:rFonts w:ascii="宋体" w:hAnsi="Calibri" w:cs="Times New Roman"/>
          <w:b/>
          <w:bCs/>
          <w:sz w:val="32"/>
          <w:szCs w:val="32"/>
        </w:rPr>
      </w:pPr>
    </w:p>
    <w:p>
      <w:pPr>
        <w:widowControl w:val="0"/>
        <w:jc w:val="center"/>
        <w:rPr>
          <w:rFonts w:ascii="宋体" w:hAnsi="Calibri" w:cs="Times New Roman"/>
          <w:b/>
          <w:bCs/>
          <w:sz w:val="32"/>
          <w:szCs w:val="32"/>
        </w:rPr>
      </w:pPr>
    </w:p>
    <w:p>
      <w:pPr>
        <w:widowControl w:val="0"/>
        <w:tabs>
          <w:tab w:val="left" w:pos="6926"/>
        </w:tabs>
        <w:jc w:val="left"/>
        <w:rPr>
          <w:rFonts w:ascii="宋体" w:hAnsi="Calibri" w:cs="Times New Roman"/>
          <w:b/>
          <w:bCs/>
          <w:sz w:val="32"/>
          <w:szCs w:val="32"/>
        </w:rPr>
      </w:pPr>
      <w:r>
        <w:rPr>
          <w:rFonts w:ascii="宋体" w:hAnsi="Calibri" w:cs="Times New Roman"/>
          <w:b/>
          <w:bCs/>
          <w:sz w:val="32"/>
          <w:szCs w:val="32"/>
        </w:rPr>
        <w:tab/>
      </w:r>
    </w:p>
    <w:p>
      <w:pPr>
        <w:widowControl w:val="0"/>
        <w:jc w:val="center"/>
        <w:rPr>
          <w:rFonts w:ascii="宋体" w:hAnsi="Calibri" w:cs="Times New Roman"/>
          <w:b/>
          <w:bCs/>
          <w:sz w:val="32"/>
          <w:szCs w:val="32"/>
        </w:rPr>
      </w:pPr>
    </w:p>
    <w:p>
      <w:pPr>
        <w:widowControl w:val="0"/>
        <w:jc w:val="center"/>
        <w:rPr>
          <w:rFonts w:ascii="宋体" w:hAnsi="Calibri" w:cs="Times New Roman"/>
          <w:b/>
          <w:bCs/>
          <w:sz w:val="32"/>
          <w:szCs w:val="32"/>
        </w:rPr>
      </w:pPr>
    </w:p>
    <w:p>
      <w:pPr>
        <w:widowControl w:val="0"/>
        <w:jc w:val="center"/>
        <w:rPr>
          <w:rFonts w:ascii="宋体" w:hAnsi="Calibri" w:cs="Times New Roman"/>
          <w:b/>
          <w:bCs/>
          <w:sz w:val="32"/>
          <w:szCs w:val="32"/>
        </w:rPr>
      </w:pPr>
    </w:p>
    <w:p>
      <w:pPr>
        <w:widowControl w:val="0"/>
        <w:jc w:val="center"/>
        <w:rPr>
          <w:rFonts w:ascii="宋体" w:hAnsi="Calibri" w:cs="Times New Roman"/>
          <w:b/>
          <w:bCs/>
          <w:sz w:val="32"/>
          <w:szCs w:val="32"/>
        </w:rPr>
      </w:pPr>
    </w:p>
    <w:p>
      <w:pPr>
        <w:widowControl w:val="0"/>
        <w:jc w:val="center"/>
        <w:rPr>
          <w:rFonts w:ascii="宋体" w:hAnsi="Calibri" w:cs="Times New Roman"/>
          <w:b/>
          <w:bCs/>
          <w:sz w:val="36"/>
          <w:szCs w:val="36"/>
        </w:rPr>
      </w:pPr>
    </w:p>
    <w:p>
      <w:pPr>
        <w:widowControl w:val="0"/>
        <w:jc w:val="center"/>
        <w:rPr>
          <w:rFonts w:ascii="宋体" w:hAnsi="Calibri" w:cs="Times New Roman"/>
          <w:b/>
          <w:bCs/>
          <w:sz w:val="36"/>
          <w:szCs w:val="36"/>
        </w:rPr>
      </w:pPr>
    </w:p>
    <w:p>
      <w:pPr>
        <w:widowControl w:val="0"/>
        <w:jc w:val="center"/>
        <w:rPr>
          <w:rFonts w:ascii="宋体" w:hAnsi="Calibri" w:cs="Times New Roman"/>
          <w:b/>
          <w:bCs/>
          <w:sz w:val="36"/>
          <w:szCs w:val="36"/>
        </w:rPr>
      </w:pPr>
    </w:p>
    <w:p>
      <w:pPr>
        <w:widowControl w:val="0"/>
        <w:jc w:val="center"/>
        <w:rPr>
          <w:rFonts w:ascii="宋体" w:hAnsi="Calibri" w:cs="Times New Roman"/>
          <w:b/>
          <w:bCs/>
          <w:sz w:val="36"/>
          <w:szCs w:val="36"/>
        </w:rPr>
      </w:pPr>
    </w:p>
    <w:p>
      <w:pPr>
        <w:widowControl w:val="0"/>
        <w:jc w:val="center"/>
        <w:rPr>
          <w:rFonts w:ascii="宋体" w:hAnsi="Calibri" w:cs="Times New Roman"/>
          <w:b/>
          <w:bCs/>
          <w:sz w:val="36"/>
          <w:szCs w:val="36"/>
        </w:rPr>
      </w:pPr>
    </w:p>
    <w:p>
      <w:pPr>
        <w:widowControl w:val="0"/>
        <w:jc w:val="center"/>
        <w:rPr>
          <w:rFonts w:hint="eastAsia" w:ascii="宋体" w:hAnsi="宋体" w:eastAsia="宋体" w:cs="宋体"/>
          <w:b/>
          <w:bCs/>
          <w:sz w:val="36"/>
          <w:szCs w:val="36"/>
        </w:rPr>
      </w:pPr>
      <w:r>
        <w:rPr>
          <w:rFonts w:hint="eastAsia" w:ascii="宋体" w:hAnsi="宋体" w:eastAsia="宋体" w:cs="宋体"/>
          <w:b/>
          <w:bCs/>
          <w:sz w:val="36"/>
          <w:szCs w:val="36"/>
        </w:rPr>
        <w:t>采购人：永康市融媒体中心</w:t>
      </w:r>
    </w:p>
    <w:p>
      <w:pPr>
        <w:widowControl w:val="0"/>
        <w:jc w:val="center"/>
        <w:rPr>
          <w:rFonts w:hint="eastAsia" w:ascii="宋体" w:hAnsi="宋体" w:eastAsia="宋体" w:cs="宋体"/>
          <w:b/>
          <w:bCs/>
          <w:sz w:val="36"/>
          <w:szCs w:val="36"/>
        </w:rPr>
      </w:pPr>
      <w:r>
        <w:rPr>
          <w:rFonts w:hint="eastAsia" w:ascii="宋体" w:hAnsi="宋体" w:eastAsia="宋体" w:cs="宋体"/>
          <w:b/>
          <w:bCs/>
          <w:sz w:val="36"/>
          <w:szCs w:val="36"/>
        </w:rPr>
        <w:t>采购代理机构：金华市政府采购中心永康市分中心</w:t>
      </w:r>
    </w:p>
    <w:p>
      <w:pPr>
        <w:widowControl w:val="0"/>
        <w:jc w:val="center"/>
        <w:rPr>
          <w:rFonts w:hint="eastAsia" w:ascii="宋体" w:hAnsi="宋体" w:eastAsia="宋体" w:cs="宋体"/>
          <w:b/>
          <w:bCs/>
          <w:sz w:val="36"/>
          <w:szCs w:val="36"/>
        </w:rPr>
      </w:pPr>
      <w:r>
        <w:rPr>
          <w:rFonts w:hint="eastAsia" w:ascii="宋体" w:hAnsi="宋体" w:eastAsia="宋体" w:cs="宋体"/>
          <w:b/>
          <w:bCs/>
          <w:sz w:val="36"/>
          <w:szCs w:val="36"/>
        </w:rPr>
        <w:t>二○二</w:t>
      </w:r>
      <w:r>
        <w:rPr>
          <w:rFonts w:hint="eastAsia" w:ascii="宋体" w:hAnsi="宋体" w:eastAsia="宋体" w:cs="宋体"/>
          <w:b/>
          <w:bCs/>
          <w:sz w:val="36"/>
          <w:szCs w:val="36"/>
          <w:lang w:val="en-US" w:eastAsia="zh-CN"/>
        </w:rPr>
        <w:t>二</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八</w:t>
      </w:r>
      <w:r>
        <w:rPr>
          <w:rFonts w:hint="eastAsia" w:ascii="宋体" w:hAnsi="宋体" w:eastAsia="宋体" w:cs="宋体"/>
          <w:b/>
          <w:bCs/>
          <w:sz w:val="36"/>
          <w:szCs w:val="36"/>
        </w:rPr>
        <w:t>月</w:t>
      </w:r>
    </w:p>
    <w:p>
      <w:pPr>
        <w:widowControl w:val="0"/>
        <w:ind w:firstLine="1807" w:firstLineChars="500"/>
        <w:rPr>
          <w:rFonts w:hint="eastAsia" w:ascii="宋体" w:hAnsi="宋体" w:eastAsia="宋体" w:cs="宋体"/>
          <w:b/>
          <w:bCs/>
          <w:sz w:val="36"/>
          <w:szCs w:val="36"/>
        </w:rPr>
        <w:sectPr>
          <w:headerReference r:id="rId3" w:type="default"/>
          <w:pgSz w:w="11906" w:h="16838"/>
          <w:pgMar w:top="1134" w:right="1134" w:bottom="1134" w:left="1418" w:header="851" w:footer="992" w:gutter="0"/>
          <w:cols w:space="720" w:num="1"/>
          <w:docGrid w:linePitch="312" w:charSpace="0"/>
        </w:sectPr>
      </w:pPr>
    </w:p>
    <w:p>
      <w:pPr>
        <w:widowControl w:val="0"/>
        <w:jc w:val="center"/>
        <w:rPr>
          <w:rFonts w:ascii="Calibri" w:hAnsi="Calibri" w:eastAsia="方正黑体简体" w:cs="Times New Roman"/>
          <w:b/>
          <w:bCs/>
          <w:sz w:val="36"/>
          <w:szCs w:val="36"/>
        </w:rPr>
      </w:pPr>
    </w:p>
    <w:p>
      <w:pPr>
        <w:widowControl w:val="0"/>
        <w:jc w:val="center"/>
        <w:rPr>
          <w:rFonts w:ascii="Calibri" w:hAnsi="Calibri" w:eastAsia="方正黑体简体" w:cs="Times New Roman"/>
          <w:b/>
          <w:bCs/>
          <w:sz w:val="36"/>
          <w:szCs w:val="36"/>
        </w:rPr>
      </w:pPr>
    </w:p>
    <w:p>
      <w:pPr>
        <w:widowControl w:val="0"/>
        <w:jc w:val="center"/>
        <w:rPr>
          <w:rFonts w:ascii="Calibri" w:hAnsi="Calibri" w:eastAsia="方正黑体简体" w:cs="Times New Roman"/>
          <w:b/>
          <w:bCs/>
          <w:sz w:val="36"/>
          <w:szCs w:val="36"/>
        </w:rPr>
      </w:pPr>
    </w:p>
    <w:p>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pPr>
        <w:widowControl w:val="0"/>
        <w:tabs>
          <w:tab w:val="left" w:pos="0"/>
          <w:tab w:val="left" w:pos="6300"/>
        </w:tabs>
        <w:snapToGrid w:val="0"/>
        <w:spacing w:line="480" w:lineRule="auto"/>
        <w:jc w:val="left"/>
        <w:rPr>
          <w:rFonts w:ascii="Calibri" w:hAnsi="Calibri" w:cs="Times New Roman"/>
          <w:color w:val="000000"/>
          <w:sz w:val="28"/>
          <w:szCs w:val="28"/>
        </w:rPr>
      </w:pPr>
    </w:p>
    <w:p>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pPr>
        <w:widowControl w:val="0"/>
        <w:numPr>
          <w:ilvl w:val="0"/>
          <w:numId w:val="1"/>
        </w:numPr>
        <w:tabs>
          <w:tab w:val="left" w:pos="0"/>
          <w:tab w:val="left" w:pos="1800"/>
          <w:tab w:val="left" w:pos="6300"/>
        </w:tabs>
        <w:snapToGrid w:val="0"/>
        <w:spacing w:line="900" w:lineRule="exact"/>
        <w:ind w:left="3646" w:hanging="3107"/>
        <w:jc w:val="left"/>
        <w:rPr>
          <w:rFonts w:hint="eastAsia" w:ascii="宋体" w:cs="宋体"/>
          <w:color w:val="000000"/>
          <w:sz w:val="28"/>
          <w:szCs w:val="28"/>
        </w:rPr>
      </w:pPr>
      <w:r>
        <w:rPr>
          <w:rFonts w:hint="eastAsia" w:ascii="宋体" w:cs="宋体"/>
          <w:color w:val="000000"/>
          <w:sz w:val="28"/>
          <w:szCs w:val="28"/>
        </w:rPr>
        <w:t>评标定标办法</w:t>
      </w:r>
    </w:p>
    <w:p>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采购项目技术服务要求及货物需求一览表</w:t>
      </w:r>
    </w:p>
    <w:p>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lang w:val="en-US" w:eastAsia="zh-CN"/>
        </w:rPr>
        <w:t>附件—</w:t>
      </w:r>
      <w:r>
        <w:rPr>
          <w:rFonts w:hint="eastAsia" w:ascii="Calibri" w:hAnsi="Calibri" w:cs="宋体"/>
          <w:color w:val="000000"/>
          <w:sz w:val="28"/>
          <w:szCs w:val="28"/>
        </w:rPr>
        <w:t>投标文件格式</w:t>
      </w:r>
    </w:p>
    <w:p>
      <w:pPr>
        <w:widowControl w:val="0"/>
        <w:numPr>
          <w:ilvl w:val="0"/>
          <w:numId w:val="1"/>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pPr>
        <w:widowControl w:val="0"/>
        <w:spacing w:line="400" w:lineRule="exact"/>
        <w:jc w:val="center"/>
        <w:rPr>
          <w:rFonts w:ascii="Calibri" w:hAnsi="Calibri" w:cs="Times New Roman"/>
          <w:b/>
          <w:bCs/>
          <w:sz w:val="32"/>
          <w:szCs w:val="32"/>
        </w:rPr>
      </w:pPr>
    </w:p>
    <w:p>
      <w:pPr>
        <w:widowControl w:val="0"/>
        <w:spacing w:line="400" w:lineRule="exact"/>
        <w:rPr>
          <w:rFonts w:ascii="宋体" w:hAnsi="Calibri" w:cs="Times New Roman"/>
          <w:color w:val="FF0000"/>
          <w:sz w:val="24"/>
          <w:szCs w:val="24"/>
        </w:rPr>
      </w:pPr>
    </w:p>
    <w:p>
      <w:pPr>
        <w:widowControl w:val="0"/>
        <w:spacing w:line="400" w:lineRule="exact"/>
        <w:ind w:firstLine="540" w:firstLineChars="225"/>
        <w:rPr>
          <w:rFonts w:hint="eastAsia"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default" w:ascii="Calibri" w:hAnsi="Calibri" w:cs="Times New Roman"/>
          <w:sz w:val="24"/>
          <w:szCs w:val="24"/>
          <w:lang w:val="en-US"/>
        </w:rPr>
      </w:pPr>
      <w:r>
        <w:rPr>
          <w:rFonts w:hint="eastAsia" w:ascii="Calibri" w:hAnsi="Calibri" w:cs="宋体"/>
          <w:sz w:val="24"/>
          <w:szCs w:val="24"/>
        </w:rPr>
        <w:t>一．招标项目编号</w:t>
      </w:r>
      <w:r>
        <w:rPr>
          <w:rFonts w:ascii="Calibri" w:hAnsi="Calibri" w:cs="Calibri"/>
          <w:sz w:val="24"/>
          <w:szCs w:val="24"/>
        </w:rPr>
        <w:t xml:space="preserve">: </w:t>
      </w:r>
      <w:r>
        <w:rPr>
          <w:rFonts w:hint="eastAsia" w:ascii="宋体" w:cs="宋体"/>
          <w:sz w:val="24"/>
          <w:szCs w:val="24"/>
        </w:rPr>
        <w:t>YKCG202</w:t>
      </w:r>
      <w:r>
        <w:rPr>
          <w:rFonts w:hint="eastAsia" w:ascii="宋体" w:cs="宋体"/>
          <w:sz w:val="24"/>
          <w:szCs w:val="24"/>
          <w:lang w:val="en-US" w:eastAsia="zh-CN"/>
        </w:rPr>
        <w:t>2</w:t>
      </w:r>
      <w:r>
        <w:rPr>
          <w:rFonts w:hint="eastAsia" w:ascii="宋体" w:cs="宋体"/>
          <w:sz w:val="24"/>
          <w:szCs w:val="24"/>
        </w:rPr>
        <w:t>-</w:t>
      </w:r>
      <w:r>
        <w:rPr>
          <w:rFonts w:hint="eastAsia" w:ascii="宋体" w:cs="宋体"/>
          <w:sz w:val="24"/>
          <w:szCs w:val="24"/>
          <w:lang w:val="en-US" w:eastAsia="zh-CN"/>
        </w:rPr>
        <w:t>GK</w:t>
      </w:r>
      <w:r>
        <w:rPr>
          <w:rFonts w:hint="eastAsia" w:ascii="宋体" w:cs="宋体"/>
          <w:sz w:val="24"/>
          <w:szCs w:val="24"/>
        </w:rPr>
        <w:t>-0</w:t>
      </w:r>
      <w:r>
        <w:rPr>
          <w:rFonts w:hint="eastAsia" w:ascii="宋体" w:cs="宋体"/>
          <w:sz w:val="24"/>
          <w:szCs w:val="24"/>
          <w:lang w:val="en-US" w:eastAsia="zh-CN"/>
        </w:rPr>
        <w:t>18</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w:t>
      </w:r>
      <w:r>
        <w:rPr>
          <w:rFonts w:hint="eastAsia" w:ascii="Calibri" w:hAnsi="Calibri" w:cs="宋体"/>
          <w:sz w:val="24"/>
          <w:szCs w:val="24"/>
          <w:lang w:val="en-US" w:eastAsia="zh-CN"/>
        </w:rPr>
        <w:t>分散</w:t>
      </w:r>
      <w:r>
        <w:rPr>
          <w:rFonts w:hint="eastAsia" w:ascii="Calibri" w:hAnsi="Calibri" w:cs="宋体"/>
          <w:sz w:val="24"/>
          <w:szCs w:val="24"/>
        </w:rPr>
        <w:t>采购</w:t>
      </w:r>
      <w:r>
        <w:rPr>
          <w:rFonts w:ascii="Calibri" w:hAnsi="Calibri" w:cs="Calibri"/>
          <w:sz w:val="24"/>
          <w:szCs w:val="24"/>
        </w:rPr>
        <w:t>-</w:t>
      </w:r>
      <w:r>
        <w:rPr>
          <w:rFonts w:hint="eastAsia" w:ascii="Calibri" w:hAnsi="Calibri" w:cs="宋体"/>
          <w:sz w:val="24"/>
          <w:szCs w:val="24"/>
        </w:rPr>
        <w:t>委托集采</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901"/>
        <w:gridCol w:w="883"/>
        <w:gridCol w:w="904"/>
        <w:gridCol w:w="1520"/>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trPr>
        <w:tc>
          <w:tcPr>
            <w:tcW w:w="1196" w:type="dxa"/>
            <w:noWrap/>
            <w:vAlign w:val="center"/>
          </w:tcPr>
          <w:p>
            <w:pPr>
              <w:widowControl w:val="0"/>
              <w:jc w:val="center"/>
              <w:rPr>
                <w:rFonts w:ascii="宋体" w:hAnsi="Calibri" w:cs="Times New Roman"/>
                <w:b/>
                <w:bCs/>
                <w:sz w:val="24"/>
                <w:szCs w:val="24"/>
              </w:rPr>
            </w:pPr>
            <w:r>
              <w:rPr>
                <w:rFonts w:hint="eastAsia" w:ascii="Calibri" w:hAnsi="Calibri" w:cs="宋体"/>
                <w:b/>
                <w:bCs/>
              </w:rPr>
              <w:t>序号</w:t>
            </w:r>
          </w:p>
        </w:tc>
        <w:tc>
          <w:tcPr>
            <w:tcW w:w="2901" w:type="dxa"/>
            <w:noWrap/>
            <w:vAlign w:val="center"/>
          </w:tcPr>
          <w:p>
            <w:pPr>
              <w:widowControl w:val="0"/>
              <w:jc w:val="center"/>
              <w:rPr>
                <w:rFonts w:ascii="宋体" w:hAnsi="Calibri" w:cs="Times New Roman"/>
                <w:b/>
                <w:bCs/>
                <w:sz w:val="24"/>
                <w:szCs w:val="24"/>
              </w:rPr>
            </w:pPr>
            <w:r>
              <w:rPr>
                <w:rFonts w:hint="eastAsia" w:ascii="Calibri" w:hAnsi="Calibri" w:cs="宋体"/>
                <w:b/>
                <w:bCs/>
              </w:rPr>
              <w:t>项目名称</w:t>
            </w:r>
          </w:p>
        </w:tc>
        <w:tc>
          <w:tcPr>
            <w:tcW w:w="883" w:type="dxa"/>
            <w:noWrap/>
            <w:vAlign w:val="center"/>
          </w:tcPr>
          <w:p>
            <w:pPr>
              <w:widowControl w:val="0"/>
              <w:jc w:val="center"/>
              <w:rPr>
                <w:rFonts w:ascii="宋体" w:hAnsi="Calibri" w:cs="Times New Roman"/>
                <w:b/>
                <w:bCs/>
                <w:sz w:val="24"/>
                <w:szCs w:val="24"/>
              </w:rPr>
            </w:pPr>
            <w:r>
              <w:rPr>
                <w:rFonts w:hint="eastAsia" w:ascii="Calibri" w:hAnsi="Calibri" w:cs="宋体"/>
                <w:b/>
                <w:bCs/>
              </w:rPr>
              <w:t>数量</w:t>
            </w:r>
          </w:p>
        </w:tc>
        <w:tc>
          <w:tcPr>
            <w:tcW w:w="904" w:type="dxa"/>
            <w:noWrap/>
            <w:vAlign w:val="center"/>
          </w:tcPr>
          <w:p>
            <w:pPr>
              <w:widowControl w:val="0"/>
              <w:jc w:val="center"/>
              <w:rPr>
                <w:rFonts w:ascii="宋体" w:hAnsi="Calibri" w:cs="Times New Roman"/>
                <w:b/>
                <w:bCs/>
                <w:sz w:val="24"/>
                <w:szCs w:val="24"/>
              </w:rPr>
            </w:pPr>
            <w:r>
              <w:rPr>
                <w:rFonts w:hint="eastAsia" w:ascii="Calibri" w:hAnsi="Calibri" w:cs="宋体"/>
                <w:b/>
                <w:bCs/>
              </w:rPr>
              <w:t>单位</w:t>
            </w:r>
          </w:p>
        </w:tc>
        <w:tc>
          <w:tcPr>
            <w:tcW w:w="1520" w:type="dxa"/>
            <w:noWrap/>
            <w:vAlign w:val="center"/>
          </w:tcPr>
          <w:p>
            <w:pPr>
              <w:widowControl w:val="0"/>
              <w:jc w:val="center"/>
              <w:rPr>
                <w:rFonts w:ascii="宋体" w:hAnsi="Calibri" w:cs="Times New Roman"/>
                <w:b/>
                <w:bCs/>
                <w:sz w:val="24"/>
                <w:szCs w:val="24"/>
              </w:rPr>
            </w:pPr>
            <w:r>
              <w:rPr>
                <w:rFonts w:hint="eastAsia" w:ascii="Calibri" w:hAnsi="Calibri" w:cs="宋体"/>
                <w:b/>
                <w:bCs/>
              </w:rPr>
              <w:t>预算金额</w:t>
            </w:r>
          </w:p>
        </w:tc>
        <w:tc>
          <w:tcPr>
            <w:tcW w:w="1892" w:type="dxa"/>
            <w:noWrap/>
            <w:vAlign w:val="center"/>
          </w:tcPr>
          <w:p>
            <w:pPr>
              <w:widowControl w:val="0"/>
              <w:jc w:val="center"/>
              <w:rPr>
                <w:rFonts w:ascii="宋体" w:hAnsi="Calibri" w:cs="Times New Roman"/>
                <w:b/>
                <w:bCs/>
                <w:sz w:val="24"/>
                <w:szCs w:val="24"/>
              </w:rPr>
            </w:pPr>
            <w:r>
              <w:rPr>
                <w:rFonts w:hint="eastAsia" w:ascii="Calibri" w:hAnsi="Calibri" w:cs="宋体"/>
                <w:b/>
                <w:bCs/>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6" w:hRule="atLeast"/>
        </w:trPr>
        <w:tc>
          <w:tcPr>
            <w:tcW w:w="1196" w:type="dxa"/>
            <w:noWrap/>
            <w:vAlign w:val="center"/>
          </w:tcPr>
          <w:p>
            <w:pPr>
              <w:pStyle w:val="29"/>
              <w:jc w:val="center"/>
            </w:pPr>
            <w:r>
              <w:rPr>
                <w:rFonts w:hint="eastAsia"/>
              </w:rPr>
              <w:t>1</w:t>
            </w:r>
          </w:p>
        </w:tc>
        <w:tc>
          <w:tcPr>
            <w:tcW w:w="2901" w:type="dxa"/>
            <w:noWrap/>
            <w:vAlign w:val="center"/>
          </w:tcPr>
          <w:p>
            <w:pPr>
              <w:jc w:val="center"/>
              <w:rPr>
                <w:rFonts w:cs="Times New Roman"/>
                <w:color w:val="FF0000"/>
              </w:rPr>
            </w:pPr>
            <w:r>
              <w:rPr>
                <w:rFonts w:hint="eastAsia" w:ascii="宋体" w:cs="宋体"/>
                <w:color w:val="FF0000"/>
                <w:sz w:val="24"/>
                <w:szCs w:val="24"/>
              </w:rPr>
              <w:t>永康市</w:t>
            </w:r>
            <w:r>
              <w:rPr>
                <w:rFonts w:hint="eastAsia" w:ascii="宋体" w:cs="宋体"/>
                <w:color w:val="FF0000"/>
                <w:sz w:val="24"/>
                <w:szCs w:val="24"/>
                <w:lang w:val="en-US" w:eastAsia="zh-CN"/>
              </w:rPr>
              <w:t>智慧城市指挥调度中心智能化设施设备</w:t>
            </w:r>
            <w:r>
              <w:rPr>
                <w:rFonts w:hint="eastAsia" w:ascii="宋体" w:cs="宋体"/>
                <w:color w:val="FF0000"/>
                <w:sz w:val="24"/>
                <w:szCs w:val="24"/>
              </w:rPr>
              <w:t>项目</w:t>
            </w:r>
          </w:p>
        </w:tc>
        <w:tc>
          <w:tcPr>
            <w:tcW w:w="883" w:type="dxa"/>
            <w:noWrap/>
            <w:vAlign w:val="center"/>
          </w:tcPr>
          <w:p>
            <w:pPr>
              <w:jc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w:t>
            </w:r>
          </w:p>
        </w:tc>
        <w:tc>
          <w:tcPr>
            <w:tcW w:w="904" w:type="dxa"/>
            <w:noWrap/>
            <w:vAlign w:val="center"/>
          </w:tcPr>
          <w:p>
            <w:pPr>
              <w:jc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批</w:t>
            </w:r>
          </w:p>
        </w:tc>
        <w:tc>
          <w:tcPr>
            <w:tcW w:w="1520" w:type="dxa"/>
            <w:noWrap/>
            <w:vAlign w:val="center"/>
          </w:tcPr>
          <w:p>
            <w:pPr>
              <w:jc w:val="cente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2642.535万元</w:t>
            </w:r>
          </w:p>
        </w:tc>
        <w:tc>
          <w:tcPr>
            <w:tcW w:w="1892" w:type="dxa"/>
            <w:noWrap/>
            <w:vAlign w:val="center"/>
          </w:tcPr>
          <w:p>
            <w:pPr>
              <w:pStyle w:val="29"/>
              <w:jc w:val="center"/>
              <w:rPr>
                <w:rFonts w:cs="Times New Roman"/>
              </w:rPr>
            </w:pPr>
            <w:r>
              <w:rPr>
                <w:rFonts w:hint="eastAsia" w:cs="宋体"/>
              </w:rPr>
              <w:t>详见第四章</w:t>
            </w:r>
          </w:p>
        </w:tc>
      </w:tr>
    </w:tbl>
    <w:p>
      <w:pPr>
        <w:widowControl w:val="0"/>
        <w:spacing w:line="360" w:lineRule="auto"/>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pPr>
        <w:widowControl w:val="0"/>
        <w:spacing w:line="360" w:lineRule="auto"/>
        <w:ind w:firstLine="540" w:firstLineChars="225"/>
        <w:rPr>
          <w:rFonts w:ascii="Calibri" w:hAnsi="Calibri" w:cs="Times New Roman"/>
          <w:sz w:val="24"/>
          <w:szCs w:val="24"/>
        </w:rPr>
      </w:pPr>
      <w:r>
        <w:rPr>
          <w:rFonts w:hint="eastAsia" w:ascii="Calibri" w:hAnsi="Calibri" w:cs="宋体"/>
          <w:sz w:val="24"/>
          <w:szCs w:val="24"/>
        </w:rPr>
        <w:t>（一）基本条件</w:t>
      </w:r>
    </w:p>
    <w:p>
      <w:pPr>
        <w:widowControl w:val="0"/>
        <w:spacing w:line="360" w:lineRule="auto"/>
        <w:ind w:firstLine="540" w:firstLineChars="225"/>
        <w:rPr>
          <w:rFonts w:hint="eastAsia"/>
        </w:rPr>
      </w:pPr>
      <w:r>
        <w:rPr>
          <w:rFonts w:ascii="Calibri" w:hAnsi="Calibri" w:cs="Calibri"/>
          <w:sz w:val="24"/>
          <w:szCs w:val="24"/>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w:t>
      </w:r>
      <w:r>
        <w:rPr>
          <w:rFonts w:hint="eastAsia" w:ascii="Calibri" w:hAnsi="Calibri" w:cs="宋体"/>
          <w:sz w:val="24"/>
          <w:szCs w:val="24"/>
        </w:rPr>
        <w:t>重大税收违法</w:t>
      </w:r>
      <w:r>
        <w:rPr>
          <w:rFonts w:hint="eastAsia" w:ascii="Calibri" w:hAnsi="Calibri" w:cs="宋体"/>
          <w:sz w:val="24"/>
          <w:szCs w:val="24"/>
          <w:lang w:val="en-US" w:eastAsia="zh-CN"/>
        </w:rPr>
        <w:t>失信主体</w:t>
      </w:r>
      <w:r>
        <w:rPr>
          <w:rFonts w:hint="eastAsia" w:ascii="Calibri" w:hAnsi="Calibri" w:cs="宋体"/>
          <w:sz w:val="24"/>
          <w:szCs w:val="24"/>
        </w:rPr>
        <w:t>、政府采购严重违法失信行为记录名单。</w:t>
      </w:r>
      <w:r>
        <w:rPr>
          <w:rFonts w:hint="eastAsia" w:ascii="Calibri" w:hAnsi="Calibri" w:cs="宋体"/>
          <w:sz w:val="24"/>
          <w:szCs w:val="24"/>
          <w:lang w:val="en-US" w:eastAsia="zh-CN"/>
        </w:rPr>
        <w:t>另</w:t>
      </w:r>
      <w:r>
        <w:rPr>
          <w:rFonts w:hint="eastAsia" w:ascii="Calibri" w:hAnsi="Calibri" w:cs="宋体"/>
          <w:sz w:val="24"/>
          <w:szCs w:val="24"/>
        </w:rPr>
        <w:t>须提供本项目采购《投标承诺函》（格式详见采购文件）。</w:t>
      </w:r>
    </w:p>
    <w:p>
      <w:pPr>
        <w:widowControl w:val="0"/>
        <w:numPr>
          <w:ilvl w:val="0"/>
          <w:numId w:val="2"/>
        </w:numPr>
        <w:spacing w:line="360" w:lineRule="auto"/>
        <w:ind w:firstLine="540" w:firstLineChars="225"/>
        <w:rPr>
          <w:rFonts w:hint="eastAsia" w:ascii="宋体" w:cs="宋体"/>
          <w:sz w:val="24"/>
          <w:szCs w:val="24"/>
        </w:rPr>
      </w:pPr>
      <w:r>
        <w:rPr>
          <w:rFonts w:hint="eastAsia" w:ascii="宋体" w:cs="宋体"/>
          <w:color w:val="000000"/>
          <w:sz w:val="24"/>
          <w:szCs w:val="24"/>
        </w:rPr>
        <w:t>本次招标</w:t>
      </w:r>
      <w:r>
        <w:rPr>
          <w:rFonts w:hint="eastAsia" w:ascii="宋体" w:cs="宋体"/>
          <w:color w:val="auto"/>
          <w:sz w:val="24"/>
          <w:szCs w:val="24"/>
          <w:lang w:val="en-US" w:eastAsia="zh-CN"/>
        </w:rPr>
        <w:t>不</w:t>
      </w:r>
      <w:r>
        <w:rPr>
          <w:rFonts w:hint="eastAsia" w:ascii="宋体" w:cs="宋体"/>
          <w:color w:val="auto"/>
          <w:sz w:val="24"/>
          <w:szCs w:val="24"/>
        </w:rPr>
        <w:t>接受</w:t>
      </w:r>
      <w:r>
        <w:rPr>
          <w:rFonts w:hint="eastAsia" w:ascii="宋体" w:cs="宋体"/>
          <w:sz w:val="24"/>
          <w:szCs w:val="24"/>
        </w:rPr>
        <w:t>联合体投标人。</w:t>
      </w:r>
    </w:p>
    <w:p>
      <w:pPr>
        <w:pStyle w:val="2"/>
        <w:numPr>
          <w:ilvl w:val="0"/>
          <w:numId w:val="0"/>
        </w:numPr>
        <w:ind w:leftChars="400"/>
      </w:pPr>
    </w:p>
    <w:p>
      <w:pPr>
        <w:widowControl w:val="0"/>
        <w:spacing w:line="360" w:lineRule="auto"/>
        <w:ind w:firstLine="540" w:firstLineChars="225"/>
      </w:pP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二</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是否专门面向中小企业：否</w:t>
      </w:r>
    </w:p>
    <w:p>
      <w:pPr>
        <w:widowControl w:val="0"/>
        <w:spacing w:line="400" w:lineRule="exact"/>
        <w:ind w:firstLine="420"/>
        <w:rPr>
          <w:rFonts w:hint="eastAsia" w:ascii="宋体" w:cs="宋体"/>
          <w:sz w:val="24"/>
          <w:szCs w:val="24"/>
        </w:rPr>
      </w:pPr>
      <w:r>
        <w:rPr>
          <w:rFonts w:hint="eastAsia" w:ascii="宋体" w:cs="宋体"/>
          <w:sz w:val="24"/>
          <w:szCs w:val="24"/>
        </w:rPr>
        <w:t>五．获取招标文件方式</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2、地点：政采云平台（https://zfcg.czt.zj.gov.cn/）；</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4、供应商获取招标文件时须提交的文件资料：无</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六、投标说明</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1、本项目实行电子投标，应按照本项目招标文件和政采云平台的要求编制、加密并递交投标文件</w:t>
      </w:r>
      <w:r>
        <w:rPr>
          <w:rFonts w:hint="eastAsia" w:ascii="宋体" w:cs="宋体"/>
          <w:sz w:val="24"/>
          <w:szCs w:val="24"/>
          <w:lang w:eastAsia="zh-CN"/>
        </w:rPr>
        <w:t>，</w:t>
      </w:r>
      <w:r>
        <w:rPr>
          <w:rFonts w:hint="eastAsia" w:ascii="宋体" w:cs="宋体"/>
          <w:sz w:val="24"/>
          <w:szCs w:val="24"/>
          <w:lang w:val="en-US" w:eastAsia="zh-CN"/>
        </w:rPr>
        <w:t>电子投标后不需要供应商提供纸质文件</w:t>
      </w:r>
      <w:r>
        <w:rPr>
          <w:rFonts w:hint="eastAsia" w:ascii="宋体" w:cs="宋体"/>
          <w:sz w:val="24"/>
          <w:szCs w:val="24"/>
        </w:rPr>
        <w:t>。供应商在使用系统进行投标的过程中遇到涉及平台使用的任何问题，可致电政采云平台技术支持热线咨询，联系方式：400-881-7190。</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hint="eastAsia" w:ascii="宋体" w:cs="宋体"/>
          <w:b/>
          <w:bCs/>
          <w:color w:val="FF0000"/>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hint="eastAsia" w:ascii="宋体" w:cs="宋体"/>
          <w:sz w:val="24"/>
          <w:szCs w:val="24"/>
        </w:rPr>
      </w:pPr>
      <w:r>
        <w:rPr>
          <w:rFonts w:hint="eastAsia" w:ascii="宋体" w:cs="宋体"/>
          <w:sz w:val="24"/>
          <w:szCs w:val="24"/>
        </w:rPr>
        <w:t>投标截止时间：</w:t>
      </w:r>
      <w:r>
        <w:rPr>
          <w:rFonts w:hint="eastAsia" w:ascii="宋体" w:cs="宋体"/>
          <w:color w:val="FF0000"/>
          <w:sz w:val="24"/>
          <w:szCs w:val="24"/>
        </w:rPr>
        <w:t>2022年0</w:t>
      </w:r>
      <w:r>
        <w:rPr>
          <w:rFonts w:hint="eastAsia" w:ascii="宋体" w:cs="宋体"/>
          <w:color w:val="FF0000"/>
          <w:sz w:val="24"/>
          <w:szCs w:val="24"/>
          <w:lang w:val="en-US" w:eastAsia="zh-CN"/>
        </w:rPr>
        <w:t>9</w:t>
      </w:r>
      <w:r>
        <w:rPr>
          <w:rFonts w:hint="eastAsia" w:ascii="宋体" w:cs="宋体"/>
          <w:color w:val="FF0000"/>
          <w:sz w:val="24"/>
          <w:szCs w:val="24"/>
        </w:rPr>
        <w:t>月</w:t>
      </w:r>
      <w:r>
        <w:rPr>
          <w:rFonts w:hint="eastAsia" w:ascii="宋体" w:cs="宋体"/>
          <w:color w:val="FF0000"/>
          <w:sz w:val="24"/>
          <w:szCs w:val="24"/>
          <w:lang w:val="en-US" w:eastAsia="zh-CN"/>
        </w:rPr>
        <w:t>23</w:t>
      </w:r>
      <w:r>
        <w:rPr>
          <w:rFonts w:hint="eastAsia" w:ascii="宋体" w:cs="宋体"/>
          <w:color w:val="FF0000"/>
          <w:sz w:val="24"/>
          <w:szCs w:val="24"/>
        </w:rPr>
        <w:t>日 09:</w:t>
      </w:r>
      <w:r>
        <w:rPr>
          <w:rFonts w:hint="eastAsia" w:ascii="宋体" w:cs="宋体"/>
          <w:color w:val="FF0000"/>
          <w:sz w:val="24"/>
          <w:szCs w:val="24"/>
          <w:lang w:val="en-US" w:eastAsia="zh-CN"/>
        </w:rPr>
        <w:t>30</w:t>
      </w:r>
      <w:r>
        <w:rPr>
          <w:rFonts w:hint="eastAsia" w:ascii="宋体" w:cs="宋体"/>
          <w:color w:val="FF0000"/>
          <w:sz w:val="24"/>
          <w:szCs w:val="24"/>
        </w:rPr>
        <w:t>:00</w:t>
      </w:r>
    </w:p>
    <w:p>
      <w:pPr>
        <w:pStyle w:val="21"/>
        <w:adjustRightInd w:val="0"/>
        <w:snapToGrid w:val="0"/>
        <w:spacing w:line="500" w:lineRule="exact"/>
        <w:ind w:firstLine="482" w:firstLineChars="201"/>
        <w:rPr>
          <w:rFonts w:hint="eastAsia" w:hAnsi="宋体" w:cs="宋体"/>
        </w:rPr>
      </w:pPr>
      <w:r>
        <w:rPr>
          <w:rFonts w:hint="eastAsia" w:hAnsi="宋体" w:cs="宋体"/>
          <w:sz w:val="24"/>
          <w:szCs w:val="24"/>
        </w:rPr>
        <w:t>投标人应当在投标截止时间前完成电子投标文件的传输递交。</w:t>
      </w:r>
      <w:r>
        <w:rPr>
          <w:rFonts w:hint="eastAsia" w:hAnsi="宋体" w:cs="宋体"/>
          <w:color w:val="FF0000"/>
          <w:sz w:val="24"/>
          <w:szCs w:val="24"/>
        </w:rPr>
        <w:t>如认为需要，投标人可以选择递交备份投标文件（递交方式详见第二章）。</w:t>
      </w:r>
    </w:p>
    <w:p>
      <w:pPr>
        <w:widowControl w:val="0"/>
        <w:spacing w:line="400" w:lineRule="exact"/>
        <w:ind w:firstLine="540" w:firstLineChars="225"/>
        <w:rPr>
          <w:rFonts w:hint="eastAsia" w:ascii="宋体" w:cs="宋体"/>
          <w:sz w:val="24"/>
          <w:szCs w:val="24"/>
        </w:rPr>
      </w:pPr>
      <w:r>
        <w:rPr>
          <w:rFonts w:hint="eastAsia" w:ascii="宋体" w:cs="宋体"/>
          <w:sz w:val="24"/>
          <w:szCs w:val="24"/>
        </w:rPr>
        <w:t>八．开标时间：</w:t>
      </w:r>
      <w:r>
        <w:rPr>
          <w:rFonts w:hint="eastAsia" w:ascii="宋体" w:cs="宋体"/>
          <w:color w:val="FF0000"/>
          <w:sz w:val="24"/>
          <w:szCs w:val="24"/>
        </w:rPr>
        <w:t>2022年0</w:t>
      </w:r>
      <w:r>
        <w:rPr>
          <w:rFonts w:hint="eastAsia" w:ascii="宋体" w:cs="宋体"/>
          <w:color w:val="FF0000"/>
          <w:sz w:val="24"/>
          <w:szCs w:val="24"/>
          <w:lang w:val="en-US" w:eastAsia="zh-CN"/>
        </w:rPr>
        <w:t>9</w:t>
      </w:r>
      <w:r>
        <w:rPr>
          <w:rFonts w:hint="eastAsia" w:ascii="宋体" w:cs="宋体"/>
          <w:color w:val="FF0000"/>
          <w:sz w:val="24"/>
          <w:szCs w:val="24"/>
        </w:rPr>
        <w:t>月</w:t>
      </w:r>
      <w:r>
        <w:rPr>
          <w:rFonts w:hint="eastAsia" w:ascii="宋体" w:cs="宋体"/>
          <w:color w:val="FF0000"/>
          <w:sz w:val="24"/>
          <w:szCs w:val="24"/>
          <w:lang w:val="en-US" w:eastAsia="zh-CN"/>
        </w:rPr>
        <w:t>23</w:t>
      </w:r>
      <w:r>
        <w:rPr>
          <w:rFonts w:hint="eastAsia" w:ascii="宋体" w:cs="宋体"/>
          <w:color w:val="FF0000"/>
          <w:sz w:val="24"/>
          <w:szCs w:val="24"/>
        </w:rPr>
        <w:t>日 09:</w:t>
      </w:r>
      <w:r>
        <w:rPr>
          <w:rFonts w:hint="eastAsia" w:ascii="宋体" w:cs="宋体"/>
          <w:color w:val="FF0000"/>
          <w:sz w:val="24"/>
          <w:szCs w:val="24"/>
          <w:lang w:val="en-US" w:eastAsia="zh-CN"/>
        </w:rPr>
        <w:t>30</w:t>
      </w:r>
      <w:r>
        <w:rPr>
          <w:rFonts w:hint="eastAsia" w:ascii="宋体" w:cs="宋体"/>
          <w:color w:val="FF0000"/>
          <w:sz w:val="24"/>
          <w:szCs w:val="24"/>
        </w:rPr>
        <w:t>:00</w:t>
      </w:r>
    </w:p>
    <w:p>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九．开标地址：金华市政府采购中心永康市分中心</w:t>
      </w:r>
      <w:r>
        <w:rPr>
          <w:rFonts w:hint="eastAsia" w:ascii="宋体" w:cs="宋体"/>
          <w:sz w:val="24"/>
          <w:szCs w:val="24"/>
          <w:lang w:eastAsia="zh-CN"/>
        </w:rPr>
        <w:t>（</w:t>
      </w:r>
      <w:r>
        <w:rPr>
          <w:rFonts w:hint="eastAsia" w:ascii="宋体" w:cs="宋体"/>
          <w:sz w:val="24"/>
          <w:szCs w:val="24"/>
        </w:rPr>
        <w:t>永康市五湖路1号国际会展中心办公楼三楼开标室</w:t>
      </w:r>
      <w:r>
        <w:rPr>
          <w:rFonts w:hint="eastAsia" w:ascii="宋体" w:cs="宋体"/>
          <w:sz w:val="24"/>
          <w:szCs w:val="24"/>
          <w:lang w:eastAsia="zh-CN"/>
        </w:rPr>
        <w:t>）</w:t>
      </w:r>
    </w:p>
    <w:p>
      <w:pPr>
        <w:widowControl w:val="0"/>
        <w:spacing w:line="400" w:lineRule="exact"/>
        <w:ind w:firstLine="540" w:firstLineChars="225"/>
        <w:rPr>
          <w:rFonts w:hint="eastAsia" w:ascii="宋体" w:cs="宋体"/>
          <w:color w:val="FF0000"/>
          <w:sz w:val="24"/>
          <w:szCs w:val="24"/>
        </w:rPr>
      </w:pPr>
      <w:r>
        <w:rPr>
          <w:rFonts w:hint="eastAsia" w:ascii="宋体" w:cs="宋体"/>
          <w:sz w:val="24"/>
          <w:szCs w:val="24"/>
        </w:rPr>
        <w:t>十．投标保证金：本项目不收取投标保证金。</w:t>
      </w:r>
    </w:p>
    <w:p>
      <w:pPr>
        <w:widowControl w:val="0"/>
        <w:spacing w:line="400" w:lineRule="exact"/>
        <w:ind w:firstLine="480" w:firstLineChars="200"/>
        <w:rPr>
          <w:rFonts w:hint="eastAsia" w:ascii="宋体" w:cs="宋体"/>
          <w:sz w:val="24"/>
          <w:szCs w:val="24"/>
        </w:rPr>
      </w:pPr>
      <w:r>
        <w:rPr>
          <w:rFonts w:hint="eastAsia" w:ascii="宋体" w:cs="宋体"/>
          <w:sz w:val="24"/>
          <w:szCs w:val="24"/>
        </w:rPr>
        <w:t>十一．联系方式</w:t>
      </w:r>
    </w:p>
    <w:p>
      <w:pPr>
        <w:widowControl w:val="0"/>
        <w:spacing w:line="400" w:lineRule="exact"/>
        <w:ind w:firstLine="480" w:firstLineChars="200"/>
        <w:rPr>
          <w:rFonts w:hint="eastAsia" w:ascii="宋体" w:cs="宋体"/>
          <w:sz w:val="24"/>
          <w:szCs w:val="24"/>
        </w:rPr>
      </w:pPr>
      <w:r>
        <w:rPr>
          <w:rFonts w:hint="eastAsia" w:ascii="宋体" w:cs="宋体"/>
          <w:sz w:val="24"/>
          <w:szCs w:val="24"/>
        </w:rPr>
        <w:t>1、采购代理机构名称：金华市政府采购中心永康市分中心</w:t>
      </w:r>
    </w:p>
    <w:p>
      <w:pPr>
        <w:widowControl w:val="0"/>
        <w:spacing w:line="400" w:lineRule="exact"/>
        <w:ind w:firstLine="540" w:firstLineChars="225"/>
        <w:rPr>
          <w:rFonts w:hint="eastAsia" w:ascii="宋体" w:cs="宋体"/>
          <w:color w:val="auto"/>
          <w:sz w:val="24"/>
          <w:szCs w:val="24"/>
        </w:rPr>
      </w:pPr>
      <w:r>
        <w:rPr>
          <w:rFonts w:hint="eastAsia" w:ascii="宋体" w:cs="宋体"/>
          <w:color w:val="auto"/>
          <w:sz w:val="24"/>
          <w:szCs w:val="24"/>
        </w:rPr>
        <w:t xml:space="preserve">业务咨询联系人：钱海汇    </w:t>
      </w:r>
    </w:p>
    <w:p>
      <w:pPr>
        <w:widowControl w:val="0"/>
        <w:spacing w:line="400" w:lineRule="exact"/>
        <w:ind w:firstLine="540" w:firstLineChars="225"/>
        <w:rPr>
          <w:rFonts w:hint="eastAsia" w:ascii="宋体" w:eastAsia="宋体" w:cs="宋体"/>
          <w:color w:val="auto"/>
          <w:sz w:val="24"/>
          <w:szCs w:val="24"/>
          <w:lang w:eastAsia="zh-CN"/>
        </w:rPr>
      </w:pPr>
      <w:r>
        <w:rPr>
          <w:rFonts w:hint="eastAsia" w:ascii="宋体" w:cs="宋体"/>
          <w:color w:val="auto"/>
          <w:sz w:val="24"/>
          <w:szCs w:val="24"/>
        </w:rPr>
        <w:t>联系电话：0579-8929517</w:t>
      </w:r>
      <w:r>
        <w:rPr>
          <w:rFonts w:hint="eastAsia" w:ascii="宋体" w:cs="宋体"/>
          <w:color w:val="auto"/>
          <w:sz w:val="24"/>
          <w:szCs w:val="24"/>
          <w:lang w:val="en-US" w:eastAsia="zh-CN"/>
        </w:rPr>
        <w:t>9</w:t>
      </w:r>
    </w:p>
    <w:p>
      <w:pPr>
        <w:widowControl w:val="0"/>
        <w:spacing w:line="400" w:lineRule="exact"/>
        <w:ind w:firstLine="540" w:firstLineChars="225"/>
        <w:rPr>
          <w:rFonts w:hint="eastAsia" w:ascii="宋体" w:cs="宋体"/>
          <w:color w:val="auto"/>
          <w:sz w:val="24"/>
          <w:szCs w:val="24"/>
        </w:rPr>
      </w:pPr>
      <w:r>
        <w:rPr>
          <w:rFonts w:hint="eastAsia" w:ascii="宋体" w:cs="宋体"/>
          <w:color w:val="auto"/>
          <w:sz w:val="24"/>
          <w:szCs w:val="24"/>
        </w:rPr>
        <w:t>传真：0579-89295177</w:t>
      </w:r>
    </w:p>
    <w:p>
      <w:pPr>
        <w:widowControl w:val="0"/>
        <w:spacing w:line="400" w:lineRule="exact"/>
        <w:ind w:firstLine="540" w:firstLineChars="225"/>
        <w:rPr>
          <w:rFonts w:hint="default" w:ascii="宋体" w:eastAsia="宋体" w:cs="宋体"/>
          <w:color w:val="auto"/>
          <w:sz w:val="24"/>
          <w:szCs w:val="24"/>
          <w:lang w:val="en-US" w:eastAsia="zh-CN"/>
        </w:rPr>
      </w:pPr>
      <w:r>
        <w:rPr>
          <w:rFonts w:hint="eastAsia" w:ascii="宋体" w:cs="宋体"/>
          <w:color w:val="auto"/>
          <w:sz w:val="24"/>
          <w:szCs w:val="24"/>
        </w:rPr>
        <w:t>地址：永康市五湖路1号国际会展中心办公楼三楼</w:t>
      </w:r>
      <w:r>
        <w:rPr>
          <w:rFonts w:hint="eastAsia" w:ascii="宋体" w:cs="宋体"/>
          <w:color w:val="auto"/>
          <w:sz w:val="24"/>
          <w:szCs w:val="24"/>
          <w:lang w:val="en-US" w:eastAsia="zh-CN"/>
        </w:rPr>
        <w:t>6342室</w:t>
      </w:r>
    </w:p>
    <w:p>
      <w:pPr>
        <w:widowControl w:val="0"/>
        <w:wordWrap w:val="0"/>
        <w:spacing w:line="480" w:lineRule="atLeast"/>
        <w:ind w:firstLine="480" w:firstLineChars="200"/>
        <w:rPr>
          <w:rFonts w:hint="default" w:ascii="宋体" w:eastAsia="宋体" w:cs="宋体"/>
          <w:color w:val="auto"/>
          <w:sz w:val="24"/>
          <w:szCs w:val="24"/>
          <w:lang w:val="en-US" w:eastAsia="zh-CN"/>
        </w:rPr>
      </w:pPr>
      <w:r>
        <w:rPr>
          <w:rFonts w:hint="eastAsia" w:ascii="宋体" w:cs="宋体"/>
          <w:color w:val="auto"/>
          <w:sz w:val="24"/>
          <w:szCs w:val="24"/>
        </w:rPr>
        <w:t>2、采购人名称：</w:t>
      </w:r>
      <w:r>
        <w:rPr>
          <w:rFonts w:hint="eastAsia" w:ascii="宋体" w:cs="宋体"/>
          <w:color w:val="auto"/>
          <w:sz w:val="24"/>
          <w:szCs w:val="24"/>
          <w:lang w:val="en-US" w:eastAsia="zh-CN"/>
        </w:rPr>
        <w:t>永康市融媒体中心</w:t>
      </w:r>
    </w:p>
    <w:p>
      <w:pPr>
        <w:widowControl w:val="0"/>
        <w:wordWrap w:val="0"/>
        <w:spacing w:line="480" w:lineRule="atLeast"/>
        <w:ind w:firstLine="480" w:firstLineChars="200"/>
        <w:rPr>
          <w:rFonts w:hint="eastAsia" w:ascii="宋体" w:cs="宋体"/>
          <w:color w:val="auto"/>
          <w:sz w:val="24"/>
          <w:szCs w:val="24"/>
        </w:rPr>
      </w:pPr>
      <w:r>
        <w:rPr>
          <w:rFonts w:hint="eastAsia" w:ascii="宋体" w:cs="宋体"/>
          <w:color w:val="auto"/>
          <w:sz w:val="24"/>
          <w:szCs w:val="24"/>
        </w:rPr>
        <w:t>采购需求咨询联系人：虞杰</w:t>
      </w:r>
    </w:p>
    <w:p>
      <w:pPr>
        <w:widowControl w:val="0"/>
        <w:wordWrap w:val="0"/>
        <w:spacing w:line="480" w:lineRule="atLeast"/>
        <w:ind w:firstLine="480" w:firstLineChars="200"/>
        <w:rPr>
          <w:rFonts w:hint="eastAsia" w:ascii="宋体" w:cs="宋体"/>
          <w:color w:val="auto"/>
          <w:sz w:val="24"/>
          <w:szCs w:val="24"/>
        </w:rPr>
      </w:pPr>
      <w:r>
        <w:rPr>
          <w:rFonts w:hint="eastAsia" w:ascii="宋体" w:cs="宋体"/>
          <w:color w:val="auto"/>
          <w:sz w:val="24"/>
          <w:szCs w:val="24"/>
        </w:rPr>
        <w:t>联系电话：13735620368</w:t>
      </w:r>
    </w:p>
    <w:p>
      <w:pPr>
        <w:widowControl w:val="0"/>
        <w:wordWrap w:val="0"/>
        <w:spacing w:line="480" w:lineRule="atLeast"/>
        <w:ind w:firstLine="480" w:firstLineChars="200"/>
        <w:rPr>
          <w:rFonts w:hint="eastAsia" w:ascii="宋体" w:cs="宋体"/>
          <w:color w:val="auto"/>
          <w:sz w:val="24"/>
          <w:szCs w:val="24"/>
        </w:rPr>
      </w:pPr>
      <w:r>
        <w:rPr>
          <w:rFonts w:hint="eastAsia" w:ascii="宋体" w:cs="宋体"/>
          <w:color w:val="auto"/>
          <w:sz w:val="24"/>
          <w:szCs w:val="24"/>
        </w:rPr>
        <w:t>地址：永康市广电路168号</w:t>
      </w:r>
    </w:p>
    <w:p>
      <w:pPr>
        <w:widowControl w:val="0"/>
        <w:wordWrap w:val="0"/>
        <w:spacing w:line="480" w:lineRule="atLeast"/>
        <w:ind w:firstLine="480" w:firstLineChars="200"/>
        <w:rPr>
          <w:rFonts w:hint="eastAsia" w:ascii="宋体" w:cs="宋体"/>
          <w:color w:val="auto"/>
          <w:sz w:val="24"/>
          <w:szCs w:val="24"/>
        </w:rPr>
      </w:pPr>
      <w:r>
        <w:rPr>
          <w:rFonts w:hint="eastAsia" w:ascii="宋体" w:cs="宋体"/>
          <w:color w:val="auto"/>
          <w:sz w:val="24"/>
          <w:szCs w:val="24"/>
        </w:rPr>
        <w:t>3、同级政府采购监督管理部门名称：永康市财政局政府采购监管科</w:t>
      </w:r>
    </w:p>
    <w:p>
      <w:pPr>
        <w:widowControl w:val="0"/>
        <w:spacing w:line="400" w:lineRule="exact"/>
        <w:ind w:firstLine="600" w:firstLineChars="250"/>
        <w:rPr>
          <w:rFonts w:hint="eastAsia" w:ascii="宋体" w:cs="宋体"/>
          <w:color w:val="auto"/>
          <w:sz w:val="24"/>
          <w:szCs w:val="24"/>
        </w:rPr>
      </w:pPr>
      <w:r>
        <w:rPr>
          <w:rFonts w:hint="eastAsia" w:ascii="宋体" w:cs="宋体"/>
          <w:color w:val="auto"/>
          <w:sz w:val="24"/>
          <w:szCs w:val="24"/>
        </w:rPr>
        <w:t>联系人：宋任萍</w:t>
      </w:r>
    </w:p>
    <w:p>
      <w:pPr>
        <w:widowControl w:val="0"/>
        <w:spacing w:line="400" w:lineRule="exact"/>
        <w:ind w:firstLine="600" w:firstLineChars="250"/>
        <w:rPr>
          <w:rFonts w:hint="eastAsia" w:ascii="宋体" w:cs="宋体"/>
          <w:color w:val="auto"/>
          <w:sz w:val="24"/>
          <w:szCs w:val="24"/>
        </w:rPr>
      </w:pPr>
      <w:r>
        <w:rPr>
          <w:rFonts w:hint="eastAsia" w:ascii="宋体" w:cs="宋体"/>
          <w:color w:val="auto"/>
          <w:sz w:val="24"/>
          <w:szCs w:val="24"/>
        </w:rPr>
        <w:t>监督投诉电话：0579-87171293</w:t>
      </w:r>
    </w:p>
    <w:p>
      <w:pPr>
        <w:widowControl w:val="0"/>
        <w:spacing w:line="400" w:lineRule="exact"/>
        <w:ind w:firstLine="600" w:firstLineChars="250"/>
        <w:rPr>
          <w:rFonts w:hint="eastAsia" w:ascii="宋体" w:cs="宋体"/>
          <w:color w:val="auto"/>
          <w:sz w:val="24"/>
          <w:szCs w:val="24"/>
        </w:rPr>
      </w:pPr>
      <w:r>
        <w:rPr>
          <w:rFonts w:hint="eastAsia" w:ascii="宋体" w:cs="宋体"/>
          <w:color w:val="auto"/>
          <w:sz w:val="24"/>
          <w:szCs w:val="24"/>
        </w:rPr>
        <w:t>传真：0579-87171293</w:t>
      </w:r>
    </w:p>
    <w:p>
      <w:pPr>
        <w:widowControl w:val="0"/>
        <w:spacing w:line="400" w:lineRule="exact"/>
        <w:ind w:firstLine="600" w:firstLineChars="250"/>
        <w:rPr>
          <w:rFonts w:hint="eastAsia" w:ascii="宋体" w:cs="宋体"/>
          <w:color w:val="auto"/>
          <w:sz w:val="24"/>
          <w:szCs w:val="24"/>
        </w:rPr>
      </w:pPr>
      <w:r>
        <w:rPr>
          <w:rFonts w:hint="eastAsia" w:ascii="宋体" w:cs="宋体"/>
          <w:color w:val="auto"/>
          <w:sz w:val="24"/>
          <w:szCs w:val="24"/>
        </w:rPr>
        <w:t>地址：浙江省永康市总部中心花园大道585号208室</w:t>
      </w:r>
    </w:p>
    <w:p>
      <w:pPr>
        <w:widowControl w:val="0"/>
        <w:numPr>
          <w:ilvl w:val="0"/>
          <w:numId w:val="4"/>
        </w:numPr>
        <w:wordWrap w:val="0"/>
        <w:spacing w:line="480" w:lineRule="atLeast"/>
        <w:ind w:firstLine="480" w:firstLineChars="200"/>
        <w:rPr>
          <w:rFonts w:hint="eastAsia" w:ascii="宋体" w:cs="宋体"/>
          <w:color w:val="auto"/>
          <w:sz w:val="24"/>
          <w:szCs w:val="24"/>
        </w:rPr>
      </w:pPr>
      <w:r>
        <w:rPr>
          <w:rFonts w:hint="eastAsia" w:ascii="宋体" w:cs="宋体"/>
          <w:color w:val="auto"/>
          <w:sz w:val="24"/>
          <w:szCs w:val="24"/>
        </w:rPr>
        <w:t>系统技术支持：政采云有限公司</w:t>
      </w:r>
    </w:p>
    <w:p>
      <w:pPr>
        <w:widowControl w:val="0"/>
        <w:spacing w:line="400" w:lineRule="exact"/>
        <w:ind w:firstLine="600" w:firstLineChars="250"/>
        <w:rPr>
          <w:rFonts w:hint="eastAsia" w:ascii="宋体" w:cs="宋体"/>
          <w:color w:val="auto"/>
          <w:sz w:val="24"/>
          <w:szCs w:val="24"/>
        </w:rPr>
      </w:pPr>
      <w:r>
        <w:rPr>
          <w:rFonts w:hint="eastAsia" w:ascii="宋体" w:cs="宋体"/>
          <w:color w:val="auto"/>
          <w:sz w:val="24"/>
          <w:szCs w:val="24"/>
        </w:rPr>
        <w:t>联系人：客服</w:t>
      </w:r>
    </w:p>
    <w:p>
      <w:pPr>
        <w:widowControl w:val="0"/>
        <w:spacing w:line="400" w:lineRule="exact"/>
        <w:ind w:firstLine="600" w:firstLineChars="250"/>
        <w:rPr>
          <w:rFonts w:hint="eastAsia" w:ascii="宋体" w:cs="宋体"/>
          <w:color w:val="auto"/>
        </w:rPr>
      </w:pPr>
      <w:r>
        <w:rPr>
          <w:rFonts w:hint="eastAsia" w:ascii="宋体" w:cs="宋体"/>
          <w:color w:val="auto"/>
          <w:sz w:val="24"/>
          <w:szCs w:val="24"/>
        </w:rPr>
        <w:t>联系电话：4008817190</w:t>
      </w:r>
    </w:p>
    <w:p>
      <w:pPr>
        <w:widowControl w:val="0"/>
        <w:jc w:val="center"/>
        <w:rPr>
          <w:rFonts w:hint="eastAsia" w:ascii="宋体" w:cs="宋体"/>
          <w:sz w:val="28"/>
          <w:szCs w:val="28"/>
        </w:rPr>
      </w:pPr>
      <w:r>
        <w:rPr>
          <w:rFonts w:ascii="Calibri" w:hAnsi="Calibri" w:cs="Times New Roman"/>
          <w:sz w:val="24"/>
          <w:szCs w:val="24"/>
        </w:rPr>
        <w:br w:type="page"/>
      </w:r>
      <w:r>
        <w:rPr>
          <w:rFonts w:hint="eastAsia" w:ascii="宋体" w:cs="宋体"/>
          <w:b/>
          <w:bCs/>
          <w:sz w:val="28"/>
          <w:szCs w:val="28"/>
        </w:rPr>
        <w:t>政府采购金融服务简介</w:t>
      </w:r>
    </w:p>
    <w:p>
      <w:pPr>
        <w:widowControl w:val="0"/>
        <w:ind w:firstLine="480" w:firstLineChars="200"/>
        <w:rPr>
          <w:rFonts w:hint="eastAsia"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pPr>
        <w:widowControl w:val="0"/>
        <w:ind w:firstLine="480" w:firstLineChars="200"/>
        <w:rPr>
          <w:rFonts w:hint="eastAsia" w:ascii="宋体" w:cs="宋体"/>
          <w:sz w:val="24"/>
          <w:szCs w:val="24"/>
        </w:rPr>
      </w:pPr>
      <w:r>
        <w:rPr>
          <w:rFonts w:hint="eastAsia" w:ascii="宋体" w:cs="宋体"/>
          <w:sz w:val="24"/>
          <w:szCs w:val="24"/>
        </w:rPr>
        <w:t>1、政采贷</w:t>
      </w:r>
    </w:p>
    <w:p>
      <w:pPr>
        <w:widowControl w:val="0"/>
        <w:ind w:firstLine="480" w:firstLineChars="200"/>
        <w:rPr>
          <w:rFonts w:hint="eastAsia"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widowControl w:val="0"/>
        <w:rPr>
          <w:rFonts w:hint="eastAsia" w:ascii="宋体" w:cs="宋体"/>
          <w:sz w:val="24"/>
          <w:szCs w:val="24"/>
        </w:rPr>
      </w:pPr>
      <w:r>
        <w:rPr>
          <w:rFonts w:hint="eastAsia" w:ascii="宋体" w:cs="宋体"/>
          <w:sz w:val="24"/>
          <w:szCs w:val="24"/>
        </w:rPr>
        <w:t>具体要求、条件和操作教程可通过政采云首页右上角——网站导航——金融服务查看，也可拨打政采云客服热线400-881-7190咨询，也可查看公告附件中的相关宣传资料，或向各地已开通政采贷的银行咨询办理。</w:t>
      </w:r>
    </w:p>
    <w:p>
      <w:pPr>
        <w:widowControl w:val="0"/>
        <w:ind w:firstLine="480" w:firstLineChars="200"/>
        <w:rPr>
          <w:rFonts w:hint="eastAsia" w:ascii="宋体" w:cs="宋体"/>
          <w:sz w:val="24"/>
          <w:szCs w:val="24"/>
        </w:rPr>
      </w:pPr>
      <w:r>
        <w:rPr>
          <w:rFonts w:hint="eastAsia" w:ascii="宋体" w:cs="宋体"/>
          <w:sz w:val="24"/>
          <w:szCs w:val="24"/>
        </w:rPr>
        <w:t>2、履约保函</w:t>
      </w:r>
    </w:p>
    <w:p>
      <w:pPr>
        <w:widowControl w:val="0"/>
        <w:ind w:firstLine="480" w:firstLineChars="200"/>
        <w:rPr>
          <w:rFonts w:hint="eastAsia" w:ascii="宋体" w:cs="宋体"/>
          <w:sz w:val="24"/>
          <w:szCs w:val="24"/>
        </w:rPr>
      </w:pPr>
      <w:r>
        <w:rPr>
          <w:rFonts w:hint="eastAsia" w:ascii="宋体" w:cs="宋体"/>
          <w:sz w:val="24"/>
          <w:szCs w:val="24"/>
        </w:rPr>
        <w:t>中标供应商可通过以保函的形式提交履约保证金，减少对中小微企业的资金占用，降低财务成本。</w:t>
      </w:r>
    </w:p>
    <w:p>
      <w:pPr>
        <w:widowControl w:val="0"/>
        <w:rPr>
          <w:rFonts w:hint="eastAsia" w:ascii="宋体" w:cs="宋体"/>
          <w:sz w:val="24"/>
          <w:szCs w:val="24"/>
        </w:rPr>
      </w:pPr>
      <w:r>
        <w:rPr>
          <w:rFonts w:hint="eastAsia" w:ascii="宋体" w:cs="宋体"/>
          <w:sz w:val="24"/>
          <w:szCs w:val="24"/>
        </w:rPr>
        <w:t>具体的条件、要求和操作程序由申请贷款的中标供应商向各地保险公司、银行咨询办理。</w:t>
      </w:r>
    </w:p>
    <w:p>
      <w:pPr>
        <w:widowControl w:val="0"/>
        <w:ind w:firstLine="480" w:firstLineChars="200"/>
        <w:rPr>
          <w:rFonts w:hint="eastAsia" w:ascii="宋体" w:cs="宋体"/>
          <w:sz w:val="24"/>
          <w:szCs w:val="24"/>
        </w:rPr>
      </w:pPr>
      <w:r>
        <w:rPr>
          <w:rFonts w:hint="eastAsia" w:ascii="宋体" w:cs="宋体"/>
          <w:sz w:val="24"/>
          <w:szCs w:val="24"/>
        </w:rPr>
        <w:t>3、预付款保函</w:t>
      </w:r>
    </w:p>
    <w:p>
      <w:pPr>
        <w:widowControl w:val="0"/>
        <w:ind w:firstLine="480" w:firstLineChars="200"/>
        <w:rPr>
          <w:rFonts w:hint="eastAsia"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pPr>
        <w:widowControl w:val="0"/>
        <w:ind w:firstLine="480" w:firstLineChars="200"/>
        <w:rPr>
          <w:rFonts w:hint="eastAsia" w:ascii="宋体" w:cs="宋体"/>
          <w:sz w:val="24"/>
          <w:szCs w:val="24"/>
        </w:rPr>
      </w:pPr>
      <w:r>
        <w:rPr>
          <w:rFonts w:hint="eastAsia" w:ascii="宋体" w:cs="宋体"/>
          <w:sz w:val="24"/>
          <w:szCs w:val="24"/>
        </w:rPr>
        <w:t>4.风险提示</w:t>
      </w:r>
    </w:p>
    <w:p>
      <w:pPr>
        <w:widowControl w:val="0"/>
        <w:ind w:firstLine="480" w:firstLineChars="200"/>
        <w:rPr>
          <w:rFonts w:hint="eastAsia"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pPr>
        <w:widowControl w:val="0"/>
        <w:ind w:firstLine="480" w:firstLineChars="200"/>
        <w:rPr>
          <w:rFonts w:hint="eastAsia" w:ascii="宋体" w:cs="宋体"/>
          <w:sz w:val="24"/>
          <w:szCs w:val="24"/>
        </w:rPr>
      </w:pPr>
      <w:r>
        <w:rPr>
          <w:rFonts w:hint="eastAsia" w:ascii="宋体" w:cs="宋体"/>
          <w:sz w:val="24"/>
          <w:szCs w:val="24"/>
        </w:rPr>
        <w:t>（2）政府采购金融服务有风险，请详细了解并综合评估后再决定。</w:t>
      </w:r>
    </w:p>
    <w:p>
      <w:pPr>
        <w:widowControl w:val="0"/>
        <w:ind w:firstLine="480" w:firstLineChars="200"/>
        <w:rPr>
          <w:rFonts w:hint="eastAsia"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pPr>
        <w:widowControl w:val="0"/>
        <w:ind w:firstLine="480" w:firstLineChars="200"/>
        <w:rPr>
          <w:rFonts w:hint="eastAsia" w:ascii="宋体" w:cs="宋体"/>
          <w:sz w:val="24"/>
          <w:szCs w:val="24"/>
        </w:rPr>
      </w:pPr>
      <w:r>
        <w:rPr>
          <w:rFonts w:hint="eastAsia" w:ascii="宋体" w:cs="宋体"/>
          <w:sz w:val="24"/>
          <w:szCs w:val="24"/>
        </w:rPr>
        <w:t xml:space="preserve">5、政采贷合作单位分为线上线下共四家。 </w:t>
      </w:r>
    </w:p>
    <w:p>
      <w:pPr>
        <w:widowControl w:val="0"/>
        <w:ind w:firstLine="480" w:firstLineChars="200"/>
        <w:rPr>
          <w:rFonts w:hint="eastAsia" w:ascii="宋体" w:cs="宋体"/>
          <w:sz w:val="24"/>
          <w:szCs w:val="24"/>
        </w:rPr>
      </w:pPr>
      <w:r>
        <w:rPr>
          <w:rFonts w:hint="eastAsia" w:ascii="宋体" w:cs="宋体"/>
          <w:sz w:val="24"/>
          <w:szCs w:val="24"/>
        </w:rPr>
        <w:t>永康招商银行： 陈豪 联系电话：13605896913/676913 （线上）</w:t>
      </w:r>
    </w:p>
    <w:p>
      <w:pPr>
        <w:widowControl w:val="0"/>
        <w:ind w:firstLine="480" w:firstLineChars="200"/>
        <w:rPr>
          <w:rFonts w:hint="eastAsia" w:ascii="宋体" w:cs="宋体"/>
          <w:sz w:val="24"/>
          <w:szCs w:val="24"/>
        </w:rPr>
      </w:pPr>
      <w:r>
        <w:rPr>
          <w:rFonts w:hint="eastAsia" w:ascii="宋体" w:cs="宋体"/>
          <w:sz w:val="24"/>
          <w:szCs w:val="24"/>
        </w:rPr>
        <w:t>永康农商银行： 陈中升 联系电话 15158900186/578260 （线上）</w:t>
      </w:r>
    </w:p>
    <w:p>
      <w:pPr>
        <w:widowControl w:val="0"/>
        <w:ind w:firstLine="480" w:firstLineChars="200"/>
        <w:rPr>
          <w:rFonts w:hint="eastAsia" w:ascii="宋体" w:cs="宋体"/>
          <w:sz w:val="24"/>
          <w:szCs w:val="24"/>
        </w:rPr>
      </w:pPr>
      <w:r>
        <w:rPr>
          <w:rFonts w:hint="eastAsia" w:ascii="宋体" w:cs="宋体"/>
          <w:sz w:val="24"/>
          <w:szCs w:val="24"/>
        </w:rPr>
        <w:t xml:space="preserve">金华银行永康支行:杨望 联系电话：13858931020，0579-87217221（线下） </w:t>
      </w:r>
    </w:p>
    <w:p>
      <w:pPr>
        <w:widowControl w:val="0"/>
        <w:ind w:firstLine="480" w:firstLineChars="200"/>
        <w:rPr>
          <w:rFonts w:hint="eastAsia" w:ascii="宋体" w:cs="宋体"/>
          <w:sz w:val="24"/>
          <w:szCs w:val="24"/>
        </w:rPr>
      </w:pPr>
      <w:r>
        <w:rPr>
          <w:rFonts w:hint="eastAsia" w:ascii="宋体" w:cs="宋体"/>
          <w:sz w:val="24"/>
          <w:szCs w:val="24"/>
        </w:rPr>
        <w:t>浙商银行金华永康支行：胡风华 联系电话：13758976161（676161）， 0579-87576758 （线下）</w:t>
      </w:r>
    </w:p>
    <w:p>
      <w:pPr>
        <w:widowControl w:val="0"/>
        <w:ind w:firstLine="480" w:firstLineChars="200"/>
        <w:rPr>
          <w:rFonts w:hint="eastAsia"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350"/>
        <w:gridCol w:w="171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noWrap w:val="0"/>
            <w:vAlign w:val="top"/>
          </w:tcPr>
          <w:p>
            <w:pPr>
              <w:widowControl w:val="0"/>
              <w:jc w:val="center"/>
              <w:rPr>
                <w:rFonts w:hint="eastAsia" w:ascii="宋体" w:cs="宋体"/>
                <w:color w:val="FF0000"/>
                <w:sz w:val="24"/>
                <w:szCs w:val="24"/>
              </w:rPr>
            </w:pPr>
            <w:r>
              <w:rPr>
                <w:rFonts w:hint="eastAsia" w:ascii="宋体" w:cs="宋体"/>
                <w:color w:val="FF0000"/>
                <w:sz w:val="24"/>
                <w:szCs w:val="24"/>
              </w:rPr>
              <w:t>单位</w:t>
            </w:r>
          </w:p>
        </w:tc>
        <w:tc>
          <w:tcPr>
            <w:tcW w:w="1350" w:type="dxa"/>
            <w:noWrap w:val="0"/>
            <w:vAlign w:val="top"/>
          </w:tcPr>
          <w:p>
            <w:pPr>
              <w:widowControl w:val="0"/>
              <w:jc w:val="center"/>
              <w:rPr>
                <w:rFonts w:hint="eastAsia" w:ascii="宋体" w:cs="宋体"/>
                <w:color w:val="FF0000"/>
                <w:sz w:val="24"/>
                <w:szCs w:val="24"/>
              </w:rPr>
            </w:pPr>
            <w:r>
              <w:rPr>
                <w:rFonts w:hint="eastAsia" w:ascii="宋体" w:cs="宋体"/>
                <w:color w:val="FF0000"/>
                <w:sz w:val="24"/>
                <w:szCs w:val="24"/>
              </w:rPr>
              <w:t>联系人</w:t>
            </w:r>
          </w:p>
        </w:tc>
        <w:tc>
          <w:tcPr>
            <w:tcW w:w="3574" w:type="dxa"/>
            <w:gridSpan w:val="2"/>
            <w:noWrap w:val="0"/>
            <w:vAlign w:val="top"/>
          </w:tcPr>
          <w:p>
            <w:pPr>
              <w:widowControl w:val="0"/>
              <w:jc w:val="center"/>
              <w:rPr>
                <w:rFonts w:hint="eastAsia" w:ascii="宋体" w:cs="宋体"/>
                <w:color w:val="FF0000"/>
                <w:sz w:val="24"/>
                <w:szCs w:val="24"/>
              </w:rPr>
            </w:pPr>
            <w:r>
              <w:rPr>
                <w:rFonts w:hint="eastAsia" w:ascii="宋体" w:cs="宋体"/>
                <w:color w:val="FF00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noWrap w:val="0"/>
            <w:vAlign w:val="center"/>
          </w:tcPr>
          <w:p>
            <w:pPr>
              <w:widowControl w:val="0"/>
              <w:rPr>
                <w:rFonts w:hint="eastAsia" w:ascii="宋体" w:cs="宋体"/>
                <w:color w:val="FF0000"/>
                <w:sz w:val="24"/>
                <w:szCs w:val="24"/>
              </w:rPr>
            </w:pPr>
            <w:r>
              <w:rPr>
                <w:rFonts w:hint="eastAsia" w:ascii="宋体" w:cs="宋体"/>
                <w:color w:val="FF0000"/>
                <w:sz w:val="24"/>
                <w:szCs w:val="24"/>
              </w:rPr>
              <w:t>中国人民财产保险股份有限公司永康支公司</w:t>
            </w:r>
          </w:p>
        </w:tc>
        <w:tc>
          <w:tcPr>
            <w:tcW w:w="1350" w:type="dxa"/>
            <w:noWrap w:val="0"/>
            <w:vAlign w:val="center"/>
          </w:tcPr>
          <w:p>
            <w:pPr>
              <w:widowControl w:val="0"/>
              <w:jc w:val="center"/>
              <w:rPr>
                <w:rFonts w:hint="eastAsia" w:ascii="宋体" w:cs="宋体"/>
                <w:color w:val="FF0000"/>
                <w:sz w:val="24"/>
                <w:szCs w:val="24"/>
              </w:rPr>
            </w:pPr>
            <w:r>
              <w:rPr>
                <w:rFonts w:hint="eastAsia" w:ascii="宋体" w:cs="宋体"/>
                <w:color w:val="FF0000"/>
                <w:sz w:val="24"/>
                <w:szCs w:val="24"/>
              </w:rPr>
              <w:t>倪海涛</w:t>
            </w:r>
          </w:p>
        </w:tc>
        <w:tc>
          <w:tcPr>
            <w:tcW w:w="1710" w:type="dxa"/>
            <w:noWrap w:val="0"/>
            <w:vAlign w:val="center"/>
          </w:tcPr>
          <w:p>
            <w:pPr>
              <w:widowControl w:val="0"/>
              <w:jc w:val="center"/>
              <w:rPr>
                <w:rFonts w:hint="eastAsia" w:ascii="宋体" w:cs="宋体"/>
                <w:color w:val="FF0000"/>
                <w:sz w:val="24"/>
                <w:szCs w:val="24"/>
              </w:rPr>
            </w:pPr>
            <w:r>
              <w:rPr>
                <w:rFonts w:hint="eastAsia" w:ascii="宋体" w:cs="宋体"/>
                <w:color w:val="FF0000"/>
                <w:sz w:val="24"/>
                <w:szCs w:val="24"/>
              </w:rPr>
              <w:t>13758982628</w:t>
            </w:r>
          </w:p>
        </w:tc>
        <w:tc>
          <w:tcPr>
            <w:tcW w:w="1864" w:type="dxa"/>
            <w:noWrap w:val="0"/>
            <w:vAlign w:val="center"/>
          </w:tcPr>
          <w:p>
            <w:pPr>
              <w:widowControl w:val="0"/>
              <w:jc w:val="center"/>
              <w:rPr>
                <w:rFonts w:hint="eastAsia" w:asci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noWrap w:val="0"/>
            <w:vAlign w:val="center"/>
          </w:tcPr>
          <w:p>
            <w:pPr>
              <w:widowControl w:val="0"/>
              <w:rPr>
                <w:rFonts w:hint="eastAsia" w:ascii="宋体" w:cs="宋体"/>
                <w:color w:val="FF0000"/>
                <w:sz w:val="24"/>
                <w:szCs w:val="24"/>
              </w:rPr>
            </w:pPr>
            <w:r>
              <w:rPr>
                <w:rFonts w:hint="eastAsia" w:ascii="宋体" w:cs="宋体"/>
                <w:color w:val="FF0000"/>
                <w:sz w:val="24"/>
                <w:szCs w:val="24"/>
              </w:rPr>
              <w:t>中华联合财产保险股份有限公司永康支公司</w:t>
            </w:r>
          </w:p>
        </w:tc>
        <w:tc>
          <w:tcPr>
            <w:tcW w:w="1350" w:type="dxa"/>
            <w:noWrap w:val="0"/>
            <w:vAlign w:val="center"/>
          </w:tcPr>
          <w:p>
            <w:pPr>
              <w:widowControl w:val="0"/>
              <w:jc w:val="center"/>
              <w:rPr>
                <w:rFonts w:hint="eastAsia" w:ascii="宋体" w:cs="宋体"/>
                <w:color w:val="FF0000"/>
                <w:sz w:val="24"/>
                <w:szCs w:val="24"/>
              </w:rPr>
            </w:pPr>
            <w:r>
              <w:rPr>
                <w:rFonts w:hint="eastAsia" w:ascii="宋体" w:cs="宋体"/>
                <w:color w:val="FF0000"/>
                <w:sz w:val="24"/>
                <w:szCs w:val="24"/>
              </w:rPr>
              <w:t>章卓航</w:t>
            </w:r>
          </w:p>
        </w:tc>
        <w:tc>
          <w:tcPr>
            <w:tcW w:w="1710" w:type="dxa"/>
            <w:noWrap w:val="0"/>
            <w:vAlign w:val="center"/>
          </w:tcPr>
          <w:p>
            <w:pPr>
              <w:widowControl w:val="0"/>
              <w:jc w:val="center"/>
              <w:rPr>
                <w:rFonts w:hint="eastAsia" w:ascii="宋体" w:cs="宋体"/>
                <w:color w:val="FF0000"/>
                <w:sz w:val="24"/>
                <w:szCs w:val="24"/>
              </w:rPr>
            </w:pPr>
            <w:r>
              <w:rPr>
                <w:rFonts w:hint="eastAsia" w:ascii="宋体" w:cs="宋体"/>
                <w:color w:val="FF0000"/>
                <w:sz w:val="24"/>
                <w:szCs w:val="24"/>
              </w:rPr>
              <w:t>13819905616</w:t>
            </w:r>
          </w:p>
        </w:tc>
        <w:tc>
          <w:tcPr>
            <w:tcW w:w="1864" w:type="dxa"/>
            <w:noWrap w:val="0"/>
            <w:vAlign w:val="center"/>
          </w:tcPr>
          <w:p>
            <w:pPr>
              <w:widowControl w:val="0"/>
              <w:jc w:val="center"/>
              <w:rPr>
                <w:rFonts w:hint="eastAsia" w:asci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noWrap w:val="0"/>
            <w:vAlign w:val="center"/>
          </w:tcPr>
          <w:p>
            <w:pPr>
              <w:widowControl w:val="0"/>
              <w:rPr>
                <w:rFonts w:hint="eastAsia" w:ascii="宋体" w:cs="宋体"/>
                <w:color w:val="FF0000"/>
                <w:sz w:val="24"/>
                <w:szCs w:val="24"/>
              </w:rPr>
            </w:pPr>
            <w:r>
              <w:rPr>
                <w:rFonts w:hint="eastAsia" w:ascii="宋体" w:cs="宋体"/>
                <w:color w:val="FF0000"/>
                <w:sz w:val="24"/>
                <w:szCs w:val="24"/>
              </w:rPr>
              <w:t>天安财产保险股份有限公司永康支公司</w:t>
            </w:r>
          </w:p>
        </w:tc>
        <w:tc>
          <w:tcPr>
            <w:tcW w:w="1350" w:type="dxa"/>
            <w:noWrap w:val="0"/>
            <w:vAlign w:val="center"/>
          </w:tcPr>
          <w:p>
            <w:pPr>
              <w:widowControl w:val="0"/>
              <w:jc w:val="center"/>
              <w:rPr>
                <w:rFonts w:hint="eastAsia" w:ascii="宋体" w:cs="宋体"/>
                <w:color w:val="FF0000"/>
                <w:sz w:val="24"/>
                <w:szCs w:val="24"/>
              </w:rPr>
            </w:pPr>
            <w:r>
              <w:rPr>
                <w:rFonts w:hint="eastAsia" w:ascii="宋体" w:cs="宋体"/>
                <w:color w:val="FF0000"/>
                <w:sz w:val="24"/>
                <w:szCs w:val="24"/>
              </w:rPr>
              <w:t>钱磊</w:t>
            </w:r>
          </w:p>
        </w:tc>
        <w:tc>
          <w:tcPr>
            <w:tcW w:w="1710" w:type="dxa"/>
            <w:noWrap w:val="0"/>
            <w:vAlign w:val="center"/>
          </w:tcPr>
          <w:p>
            <w:pPr>
              <w:widowControl w:val="0"/>
              <w:jc w:val="center"/>
              <w:rPr>
                <w:rFonts w:hint="eastAsia" w:ascii="宋体" w:cs="宋体"/>
                <w:color w:val="FF0000"/>
                <w:sz w:val="24"/>
                <w:szCs w:val="24"/>
              </w:rPr>
            </w:pPr>
            <w:r>
              <w:rPr>
                <w:rFonts w:hint="eastAsia" w:ascii="宋体" w:cs="宋体"/>
                <w:color w:val="FF0000"/>
                <w:sz w:val="24"/>
                <w:szCs w:val="24"/>
              </w:rPr>
              <w:t>13758980258</w:t>
            </w:r>
          </w:p>
        </w:tc>
        <w:tc>
          <w:tcPr>
            <w:tcW w:w="1864" w:type="dxa"/>
            <w:noWrap w:val="0"/>
            <w:vAlign w:val="center"/>
          </w:tcPr>
          <w:p>
            <w:pPr>
              <w:widowControl w:val="0"/>
              <w:jc w:val="center"/>
              <w:rPr>
                <w:rFonts w:hint="eastAsia" w:asci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cs="宋体"/>
                <w:color w:val="FF0000"/>
                <w:kern w:val="2"/>
                <w:sz w:val="24"/>
                <w:szCs w:val="24"/>
                <w:vertAlign w:val="baseline"/>
                <w:lang w:val="en-US" w:eastAsia="zh-CN" w:bidi="ar-SA"/>
              </w:rPr>
            </w:pPr>
            <w:r>
              <w:rPr>
                <w:rFonts w:hint="eastAsia" w:ascii="Calibri" w:hAnsi="Calibri" w:cs="宋体"/>
                <w:color w:val="FF0000"/>
                <w:sz w:val="24"/>
                <w:szCs w:val="24"/>
                <w:vertAlign w:val="baseline"/>
                <w:lang w:eastAsia="zh-CN"/>
              </w:rPr>
              <w:t>永安财产保险股份有限公司永康营销服务部</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宋体"/>
                <w:color w:val="FF0000"/>
                <w:kern w:val="2"/>
                <w:sz w:val="24"/>
                <w:szCs w:val="24"/>
                <w:vertAlign w:val="baseline"/>
                <w:lang w:val="en-US" w:eastAsia="zh-CN" w:bidi="ar-SA"/>
              </w:rPr>
            </w:pPr>
            <w:r>
              <w:rPr>
                <w:rFonts w:hint="eastAsia" w:ascii="Calibri" w:hAnsi="Calibri" w:cs="宋体"/>
                <w:color w:val="FF0000"/>
                <w:sz w:val="24"/>
                <w:szCs w:val="24"/>
                <w:vertAlign w:val="baseline"/>
                <w:lang w:eastAsia="zh-CN"/>
              </w:rPr>
              <w:t>徐绍舜</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宋体"/>
                <w:color w:val="FF0000"/>
                <w:kern w:val="2"/>
                <w:sz w:val="24"/>
                <w:szCs w:val="24"/>
                <w:vertAlign w:val="baseline"/>
                <w:lang w:val="en-US" w:eastAsia="zh-CN" w:bidi="ar-SA"/>
              </w:rPr>
            </w:pPr>
            <w:r>
              <w:rPr>
                <w:rFonts w:hint="eastAsia" w:ascii="Calibri" w:hAnsi="Calibri" w:cs="宋体"/>
                <w:color w:val="FF0000"/>
                <w:sz w:val="24"/>
                <w:szCs w:val="24"/>
                <w:vertAlign w:val="baseline"/>
                <w:lang w:val="en-US" w:eastAsia="zh-CN"/>
              </w:rPr>
              <w:t>13858928383</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宋体"/>
                <w:color w:val="FF0000"/>
                <w:kern w:val="2"/>
                <w:sz w:val="24"/>
                <w:szCs w:val="24"/>
                <w:vertAlign w:val="baseline"/>
                <w:lang w:val="en-US" w:eastAsia="zh-CN" w:bidi="ar-SA"/>
              </w:rPr>
            </w:pPr>
          </w:p>
        </w:tc>
      </w:tr>
    </w:tbl>
    <w:p>
      <w:pPr>
        <w:widowControl w:val="0"/>
        <w:spacing w:line="400" w:lineRule="exact"/>
        <w:ind w:firstLine="602" w:firstLineChars="250"/>
        <w:rPr>
          <w:rFonts w:ascii="Calibri" w:hAnsi="Calibri" w:cs="Times New Roman"/>
        </w:rPr>
      </w:pPr>
      <w:r>
        <w:rPr>
          <w:rFonts w:ascii="Calibri" w:hAnsi="Calibri" w:cs="Times New Roman"/>
          <w:b/>
          <w:bCs/>
          <w:sz w:val="24"/>
          <w:szCs w:val="24"/>
        </w:rPr>
        <w:br w:type="page"/>
      </w: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pPr>
        <w:widowControl w:val="0"/>
        <w:jc w:val="center"/>
        <w:rPr>
          <w:rFonts w:ascii="Calibri" w:hAnsi="Calibri" w:cs="Times New Roman"/>
        </w:rPr>
      </w:pPr>
    </w:p>
    <w:p>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b/>
                <w:bCs/>
              </w:rPr>
            </w:pPr>
            <w:r>
              <w:rPr>
                <w:rFonts w:hint="eastAsia" w:ascii="宋体" w:cs="宋体"/>
                <w:b/>
                <w:bCs/>
              </w:rPr>
              <w:t>序号</w:t>
            </w:r>
          </w:p>
        </w:tc>
        <w:tc>
          <w:tcPr>
            <w:tcW w:w="1854" w:type="dxa"/>
            <w:noWrap/>
            <w:vAlign w:val="center"/>
          </w:tcPr>
          <w:p>
            <w:pPr>
              <w:widowControl w:val="0"/>
              <w:spacing w:line="400" w:lineRule="exact"/>
              <w:jc w:val="center"/>
              <w:rPr>
                <w:rFonts w:hint="eastAsia" w:ascii="宋体" w:cs="宋体"/>
                <w:b/>
                <w:bCs/>
              </w:rPr>
            </w:pPr>
            <w:r>
              <w:rPr>
                <w:rFonts w:hint="eastAsia" w:ascii="宋体" w:cs="宋体"/>
                <w:b/>
                <w:bCs/>
                <w:sz w:val="24"/>
                <w:szCs w:val="24"/>
              </w:rPr>
              <w:t>名称</w:t>
            </w:r>
          </w:p>
        </w:tc>
        <w:tc>
          <w:tcPr>
            <w:tcW w:w="6391" w:type="dxa"/>
            <w:noWrap/>
            <w:vAlign w:val="center"/>
          </w:tcPr>
          <w:p>
            <w:pPr>
              <w:widowControl w:val="0"/>
              <w:spacing w:line="400" w:lineRule="exact"/>
              <w:jc w:val="center"/>
              <w:rPr>
                <w:rFonts w:hint="eastAsia" w:ascii="宋体" w:cs="宋体"/>
                <w:b/>
                <w:bCs/>
                <w:sz w:val="24"/>
                <w:szCs w:val="24"/>
              </w:rPr>
            </w:pPr>
            <w:r>
              <w:rPr>
                <w:rFonts w:hint="eastAsia" w:asci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pPr>
              <w:widowControl w:val="0"/>
              <w:spacing w:line="400" w:lineRule="exact"/>
              <w:jc w:val="center"/>
              <w:rPr>
                <w:rFonts w:hint="eastAsia" w:ascii="宋体" w:cs="宋体"/>
              </w:rPr>
            </w:pPr>
            <w:r>
              <w:rPr>
                <w:rFonts w:hint="eastAsia" w:ascii="宋体" w:cs="宋体"/>
              </w:rPr>
              <w:t>1</w:t>
            </w:r>
          </w:p>
        </w:tc>
        <w:tc>
          <w:tcPr>
            <w:tcW w:w="1854" w:type="dxa"/>
            <w:noWrap/>
            <w:vAlign w:val="center"/>
          </w:tcPr>
          <w:p>
            <w:pPr>
              <w:widowControl w:val="0"/>
              <w:jc w:val="center"/>
              <w:rPr>
                <w:rFonts w:hint="eastAsia" w:ascii="宋体" w:cs="宋体"/>
                <w:color w:val="000000"/>
              </w:rPr>
            </w:pPr>
            <w:r>
              <w:rPr>
                <w:rFonts w:hint="eastAsia" w:ascii="宋体" w:cs="宋体"/>
              </w:rPr>
              <w:t>项目名称：</w:t>
            </w:r>
          </w:p>
        </w:tc>
        <w:tc>
          <w:tcPr>
            <w:tcW w:w="6391" w:type="dxa"/>
            <w:noWrap/>
            <w:vAlign w:val="center"/>
          </w:tcPr>
          <w:p>
            <w:pPr>
              <w:widowControl w:val="0"/>
              <w:rPr>
                <w:rFonts w:hint="eastAsia" w:ascii="宋体" w:cs="宋体"/>
                <w:kern w:val="0"/>
              </w:rPr>
            </w:pPr>
            <w:r>
              <w:rPr>
                <w:rFonts w:hint="eastAsia" w:ascii="宋体" w:cs="宋体"/>
                <w:kern w:val="0"/>
              </w:rPr>
              <w:t>永康市</w:t>
            </w:r>
            <w:r>
              <w:rPr>
                <w:rFonts w:hint="eastAsia" w:ascii="宋体" w:cs="宋体"/>
                <w:kern w:val="0"/>
                <w:lang w:val="en-US" w:eastAsia="zh-CN"/>
              </w:rPr>
              <w:t>智慧城市指挥调度中心智能化设施设备</w:t>
            </w:r>
            <w:r>
              <w:rPr>
                <w:rFonts w:hint="eastAsia" w:ascii="宋体" w:cs="宋体"/>
                <w:kern w:val="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hint="eastAsia" w:ascii="宋体" w:cs="宋体"/>
              </w:rPr>
            </w:pPr>
          </w:p>
        </w:tc>
        <w:tc>
          <w:tcPr>
            <w:tcW w:w="1854" w:type="dxa"/>
            <w:noWrap/>
            <w:vAlign w:val="center"/>
          </w:tcPr>
          <w:p>
            <w:pPr>
              <w:widowControl w:val="0"/>
              <w:jc w:val="center"/>
              <w:rPr>
                <w:rFonts w:hint="eastAsia" w:ascii="宋体" w:cs="宋体"/>
                <w:color w:val="000000"/>
              </w:rPr>
            </w:pPr>
            <w:r>
              <w:rPr>
                <w:rFonts w:hint="eastAsia" w:ascii="宋体" w:cs="宋体"/>
              </w:rPr>
              <w:t>项目预算：</w:t>
            </w:r>
          </w:p>
        </w:tc>
        <w:tc>
          <w:tcPr>
            <w:tcW w:w="6391" w:type="dxa"/>
            <w:noWrap/>
            <w:vAlign w:val="center"/>
          </w:tcPr>
          <w:p>
            <w:pPr>
              <w:widowControl w:val="0"/>
              <w:rPr>
                <w:rFonts w:hint="eastAsia" w:ascii="宋体" w:cs="宋体"/>
                <w:color w:val="000000"/>
              </w:rPr>
            </w:pPr>
            <w:r>
              <w:rPr>
                <w:rFonts w:hint="eastAsia" w:ascii="宋体" w:cs="宋体"/>
                <w:color w:val="000000"/>
                <w:lang w:val="en-US" w:eastAsia="zh-CN"/>
              </w:rPr>
              <w:t>2642.535</w:t>
            </w:r>
            <w:r>
              <w:rPr>
                <w:rFonts w:hint="eastAsia" w:ascii="宋体" w:cs="宋体"/>
                <w:color w:val="00000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hint="eastAsia" w:ascii="宋体" w:cs="宋体"/>
              </w:rPr>
            </w:pPr>
          </w:p>
        </w:tc>
        <w:tc>
          <w:tcPr>
            <w:tcW w:w="1854" w:type="dxa"/>
            <w:noWrap/>
            <w:vAlign w:val="center"/>
          </w:tcPr>
          <w:p>
            <w:pPr>
              <w:widowControl w:val="0"/>
              <w:jc w:val="center"/>
              <w:rPr>
                <w:rFonts w:hint="eastAsia" w:ascii="宋体" w:eastAsia="宋体" w:cs="宋体"/>
                <w:lang w:eastAsia="zh-CN"/>
              </w:rPr>
            </w:pPr>
            <w:r>
              <w:rPr>
                <w:rFonts w:hint="eastAsia" w:ascii="宋体" w:cs="宋体"/>
              </w:rPr>
              <w:t>本采购标的对应的所属行业</w:t>
            </w:r>
            <w:r>
              <w:rPr>
                <w:rFonts w:hint="eastAsia" w:ascii="宋体" w:cs="宋体"/>
                <w:lang w:eastAsia="zh-CN"/>
              </w:rPr>
              <w:t>：</w:t>
            </w:r>
          </w:p>
        </w:tc>
        <w:tc>
          <w:tcPr>
            <w:tcW w:w="6391" w:type="dxa"/>
            <w:noWrap/>
            <w:vAlign w:val="center"/>
          </w:tcPr>
          <w:p>
            <w:pPr>
              <w:widowControl w:val="0"/>
              <w:rPr>
                <w:rFonts w:hint="eastAsia" w:ascii="宋体" w:cs="宋体"/>
                <w:color w:val="FF0000"/>
              </w:rPr>
            </w:pPr>
            <w:r>
              <w:rPr>
                <w:rFonts w:hint="eastAsia" w:ascii="宋体" w:cs="宋体"/>
                <w:color w:val="000000"/>
              </w:rPr>
              <w:t>根据《政府采购促进中小企业管理办法》及《关于印发中小企业划型标准规定的通知工信部联企业》（〔2011〕300号）有关规定，本采购标的对应的所属行业为</w:t>
            </w:r>
            <w:r>
              <w:rPr>
                <w:rFonts w:hint="eastAsia" w:ascii="宋体" w:cs="宋体"/>
                <w:color w:val="FF0000"/>
              </w:rPr>
              <w:t>工业</w:t>
            </w:r>
            <w:r>
              <w:rPr>
                <w:rFonts w:hint="eastAsia" w:ascii="宋体" w:cs="宋体"/>
                <w:color w:val="auto"/>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5" w:type="dxa"/>
            <w:vMerge w:val="continue"/>
            <w:noWrap/>
            <w:vAlign w:val="center"/>
          </w:tcPr>
          <w:p>
            <w:pPr>
              <w:widowControl w:val="0"/>
              <w:spacing w:line="400" w:lineRule="exact"/>
              <w:rPr>
                <w:rFonts w:hint="eastAsia" w:ascii="宋体" w:cs="宋体"/>
                <w:color w:val="000000"/>
              </w:rPr>
            </w:pPr>
          </w:p>
        </w:tc>
        <w:tc>
          <w:tcPr>
            <w:tcW w:w="1854" w:type="dxa"/>
            <w:noWrap/>
            <w:vAlign w:val="center"/>
          </w:tcPr>
          <w:p>
            <w:pPr>
              <w:widowControl w:val="0"/>
              <w:jc w:val="center"/>
              <w:rPr>
                <w:rFonts w:hint="eastAsia" w:ascii="宋体" w:cs="宋体"/>
                <w:color w:val="000000"/>
              </w:rPr>
            </w:pPr>
            <w:r>
              <w:rPr>
                <w:rFonts w:hint="eastAsia" w:ascii="宋体" w:cs="宋体"/>
                <w:color w:val="000000"/>
              </w:rPr>
              <w:t>供货期限：</w:t>
            </w:r>
          </w:p>
        </w:tc>
        <w:tc>
          <w:tcPr>
            <w:tcW w:w="6391" w:type="dxa"/>
            <w:noWrap/>
            <w:vAlign w:val="center"/>
          </w:tcPr>
          <w:p>
            <w:pPr>
              <w:spacing w:line="360" w:lineRule="exact"/>
              <w:rPr>
                <w:rFonts w:hint="eastAsia" w:ascii="宋体" w:cs="宋体"/>
                <w:color w:val="000000"/>
              </w:rPr>
            </w:pPr>
            <w:r>
              <w:rPr>
                <w:rFonts w:hint="eastAsia" w:ascii="宋体" w:cs="宋体"/>
                <w:color w:val="000000"/>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35" w:type="dxa"/>
            <w:vMerge w:val="continue"/>
            <w:noWrap/>
            <w:vAlign w:val="center"/>
          </w:tcPr>
          <w:p>
            <w:pPr>
              <w:widowControl w:val="0"/>
              <w:spacing w:line="400" w:lineRule="exact"/>
              <w:rPr>
                <w:rFonts w:hint="eastAsia" w:ascii="宋体" w:cs="宋体"/>
                <w:color w:val="000000"/>
              </w:rPr>
            </w:pPr>
          </w:p>
        </w:tc>
        <w:tc>
          <w:tcPr>
            <w:tcW w:w="1854" w:type="dxa"/>
            <w:noWrap/>
            <w:vAlign w:val="center"/>
          </w:tcPr>
          <w:p>
            <w:pPr>
              <w:widowControl w:val="0"/>
              <w:jc w:val="center"/>
              <w:rPr>
                <w:rFonts w:hint="eastAsia" w:ascii="宋体" w:cs="宋体"/>
                <w:color w:val="000000"/>
              </w:rPr>
            </w:pPr>
            <w:r>
              <w:rPr>
                <w:rFonts w:hint="eastAsia" w:ascii="宋体" w:cs="宋体"/>
                <w:color w:val="000000"/>
              </w:rPr>
              <w:t>付款方式：</w:t>
            </w:r>
          </w:p>
        </w:tc>
        <w:tc>
          <w:tcPr>
            <w:tcW w:w="6391" w:type="dxa"/>
            <w:noWrap/>
            <w:vAlign w:val="center"/>
          </w:tcPr>
          <w:p>
            <w:pPr>
              <w:pStyle w:val="2"/>
              <w:ind w:left="-13" w:leftChars="-6" w:firstLine="0" w:firstLineChars="0"/>
              <w:jc w:val="left"/>
              <w:rPr>
                <w:rFonts w:hint="eastAsia" w:ascii="宋体" w:hAnsi="宋体" w:cs="宋体"/>
              </w:rPr>
            </w:pPr>
            <w:r>
              <w:rPr>
                <w:rFonts w:hint="eastAsia" w:ascii="宋体" w:hAnsi="宋体" w:eastAsia="宋体" w:cs="宋体"/>
                <w:color w:val="000000"/>
                <w:kern w:val="2"/>
                <w:sz w:val="21"/>
                <w:szCs w:val="21"/>
                <w:lang w:val="en-US" w:eastAsia="zh-CN" w:bidi="ar-SA"/>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2</w:t>
            </w:r>
          </w:p>
        </w:tc>
        <w:tc>
          <w:tcPr>
            <w:tcW w:w="1854" w:type="dxa"/>
            <w:noWrap/>
            <w:vAlign w:val="center"/>
          </w:tcPr>
          <w:p>
            <w:pPr>
              <w:widowControl w:val="0"/>
              <w:jc w:val="center"/>
              <w:rPr>
                <w:rFonts w:hint="eastAsia" w:ascii="宋体" w:cs="宋体"/>
                <w:color w:val="000000"/>
              </w:rPr>
            </w:pPr>
            <w:r>
              <w:rPr>
                <w:rFonts w:hint="eastAsia" w:ascii="宋体" w:cs="宋体"/>
                <w:color w:val="000000"/>
              </w:rPr>
              <w:t>投标保证金：</w:t>
            </w:r>
          </w:p>
        </w:tc>
        <w:tc>
          <w:tcPr>
            <w:tcW w:w="6391" w:type="dxa"/>
            <w:noWrap/>
            <w:vAlign w:val="center"/>
          </w:tcPr>
          <w:p>
            <w:pPr>
              <w:widowControl w:val="0"/>
              <w:rPr>
                <w:rFonts w:hint="eastAsia" w:ascii="宋体" w:cs="宋体"/>
                <w:color w:val="000000"/>
              </w:rPr>
            </w:pPr>
            <w:r>
              <w:rPr>
                <w:rFonts w:hint="eastAsia" w:ascii="宋体" w:cs="宋体"/>
                <w:color w:val="000000"/>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color w:val="000000"/>
              </w:rPr>
              <w:t>3</w:t>
            </w:r>
          </w:p>
        </w:tc>
        <w:tc>
          <w:tcPr>
            <w:tcW w:w="1854" w:type="dxa"/>
            <w:noWrap/>
            <w:vAlign w:val="center"/>
          </w:tcPr>
          <w:p>
            <w:pPr>
              <w:widowControl w:val="0"/>
              <w:jc w:val="center"/>
              <w:rPr>
                <w:rFonts w:hint="eastAsia" w:ascii="宋体" w:cs="宋体"/>
                <w:color w:val="FF0000"/>
              </w:rPr>
            </w:pPr>
            <w:r>
              <w:rPr>
                <w:rFonts w:hint="eastAsia" w:ascii="宋体" w:cs="宋体"/>
                <w:color w:val="FF0000"/>
              </w:rPr>
              <w:t>履约保证金：</w:t>
            </w:r>
          </w:p>
        </w:tc>
        <w:tc>
          <w:tcPr>
            <w:tcW w:w="6391" w:type="dxa"/>
            <w:noWrap/>
            <w:vAlign w:val="center"/>
          </w:tcPr>
          <w:p>
            <w:pPr>
              <w:widowControl w:val="0"/>
              <w:numPr>
                <w:ilvl w:val="0"/>
                <w:numId w:val="5"/>
              </w:numPr>
              <w:rPr>
                <w:rFonts w:hint="eastAsia" w:ascii="宋体" w:cs="宋体"/>
                <w:color w:val="auto"/>
                <w:shd w:val="clear" w:color="auto" w:fill="auto"/>
              </w:rPr>
            </w:pPr>
            <w:r>
              <w:rPr>
                <w:rFonts w:hint="eastAsia" w:ascii="宋体" w:cs="宋体"/>
                <w:color w:val="auto"/>
                <w:shd w:val="clear" w:color="auto" w:fill="auto"/>
              </w:rPr>
              <w:t>合同签订时，采购人可按《中华人民共和国政府采购法实施条例》有关规定自行收取项目履约保证金。</w:t>
            </w:r>
          </w:p>
          <w:p>
            <w:pPr>
              <w:widowControl w:val="0"/>
              <w:numPr>
                <w:ilvl w:val="0"/>
                <w:numId w:val="5"/>
              </w:numPr>
              <w:rPr>
                <w:rFonts w:hint="eastAsia" w:ascii="宋体" w:cs="宋体"/>
                <w:color w:val="auto"/>
                <w:shd w:val="clear" w:color="auto" w:fill="auto"/>
              </w:rPr>
            </w:pPr>
            <w:r>
              <w:rPr>
                <w:rFonts w:hint="eastAsia" w:ascii="宋体" w:cs="宋体"/>
                <w:color w:val="auto"/>
                <w:shd w:val="clear" w:color="auto" w:fill="auto"/>
              </w:rPr>
              <w:t>为发挥信用体系在履约保证金减免方面的基础作用提倡采购人减收或免收履约保证金。</w:t>
            </w:r>
          </w:p>
          <w:p>
            <w:pPr>
              <w:widowControl w:val="0"/>
              <w:numPr>
                <w:ilvl w:val="0"/>
                <w:numId w:val="5"/>
              </w:numPr>
              <w:rPr>
                <w:rFonts w:hint="eastAsia" w:ascii="宋体" w:cs="宋体"/>
                <w:color w:val="auto"/>
                <w:shd w:val="clear" w:color="auto" w:fill="auto"/>
              </w:rPr>
            </w:pPr>
            <w:r>
              <w:rPr>
                <w:rFonts w:hint="eastAsia" w:ascii="宋体" w:cs="宋体"/>
                <w:color w:val="auto"/>
                <w:shd w:val="clear" w:color="auto" w:fill="auto"/>
              </w:rPr>
              <w:t>采购人要求中标或者成交供应商提交履约保证金的，供应商</w:t>
            </w:r>
            <w:r>
              <w:rPr>
                <w:rFonts w:hint="eastAsia" w:ascii="宋体" w:cs="宋体"/>
                <w:color w:val="auto"/>
                <w:shd w:val="clear" w:color="auto" w:fill="auto"/>
                <w:lang w:val="en-US" w:eastAsia="zh-CN"/>
              </w:rPr>
              <w:t>可以</w:t>
            </w:r>
            <w:r>
              <w:rPr>
                <w:rFonts w:hint="eastAsia" w:ascii="宋体" w:cs="宋体"/>
                <w:color w:val="auto"/>
                <w:shd w:val="clear" w:color="auto" w:fill="auto"/>
              </w:rPr>
              <w:t>以支票、汇票、本票或者金融机构、担保机构出具的保函等非现金形式提交。</w:t>
            </w:r>
          </w:p>
          <w:p>
            <w:pPr>
              <w:widowControl w:val="0"/>
              <w:numPr>
                <w:ilvl w:val="0"/>
                <w:numId w:val="5"/>
              </w:numPr>
              <w:rPr>
                <w:rFonts w:hint="eastAsia" w:ascii="宋体" w:cs="宋体"/>
                <w:color w:val="FF0000"/>
              </w:rPr>
            </w:pPr>
            <w:r>
              <w:rPr>
                <w:rFonts w:hint="eastAsia" w:ascii="宋体" w:cs="宋体"/>
                <w:color w:val="FF0000"/>
              </w:rPr>
              <w:t>履约保证金的数额不得超过政府采购合同金额的</w:t>
            </w:r>
            <w:r>
              <w:rPr>
                <w:rFonts w:hint="eastAsia" w:ascii="宋体" w:cs="宋体"/>
                <w:color w:val="FF0000"/>
                <w:lang w:val="en-US" w:eastAsia="zh-CN"/>
              </w:rPr>
              <w:t>1</w:t>
            </w:r>
            <w:r>
              <w:rPr>
                <w:rFonts w:hint="eastAsia" w:asci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pPr>
              <w:widowControl w:val="0"/>
              <w:spacing w:line="400" w:lineRule="exact"/>
              <w:jc w:val="center"/>
              <w:rPr>
                <w:rFonts w:hint="eastAsia" w:ascii="宋体" w:cs="宋体"/>
                <w:color w:val="000000"/>
              </w:rPr>
            </w:pPr>
            <w:r>
              <w:rPr>
                <w:rFonts w:hint="eastAsia" w:ascii="宋体" w:cs="宋体"/>
              </w:rPr>
              <w:t>4</w:t>
            </w:r>
          </w:p>
        </w:tc>
        <w:tc>
          <w:tcPr>
            <w:tcW w:w="1854" w:type="dxa"/>
            <w:noWrap/>
            <w:vAlign w:val="center"/>
          </w:tcPr>
          <w:p>
            <w:pPr>
              <w:widowControl w:val="0"/>
              <w:jc w:val="center"/>
              <w:rPr>
                <w:rFonts w:hint="eastAsia" w:ascii="宋体" w:cs="宋体"/>
                <w:color w:val="000000"/>
              </w:rPr>
            </w:pPr>
            <w:r>
              <w:rPr>
                <w:rFonts w:hint="eastAsia" w:ascii="宋体" w:cs="宋体"/>
                <w:color w:val="000000"/>
                <w:lang w:val="zh-TW" w:eastAsia="zh-TW"/>
              </w:rPr>
              <w:t>网上注册：</w:t>
            </w:r>
          </w:p>
        </w:tc>
        <w:tc>
          <w:tcPr>
            <w:tcW w:w="6391" w:type="dxa"/>
            <w:noWrap/>
            <w:vAlign w:val="center"/>
          </w:tcPr>
          <w:p>
            <w:pPr>
              <w:widowControl w:val="0"/>
              <w:rPr>
                <w:rFonts w:hint="eastAsia" w:ascii="宋体" w:cs="宋体"/>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pPr>
              <w:widowControl w:val="0"/>
              <w:spacing w:line="400" w:lineRule="exact"/>
              <w:jc w:val="center"/>
              <w:rPr>
                <w:rFonts w:hint="eastAsia" w:ascii="宋体" w:cs="宋体"/>
              </w:rPr>
            </w:pPr>
            <w:r>
              <w:rPr>
                <w:rFonts w:hint="eastAsia" w:ascii="宋体" w:cs="宋体"/>
              </w:rPr>
              <w:t>5</w:t>
            </w:r>
          </w:p>
        </w:tc>
        <w:tc>
          <w:tcPr>
            <w:tcW w:w="1854" w:type="dxa"/>
            <w:noWrap/>
            <w:vAlign w:val="center"/>
          </w:tcPr>
          <w:p>
            <w:pPr>
              <w:widowControl w:val="0"/>
              <w:jc w:val="center"/>
              <w:rPr>
                <w:rFonts w:hint="eastAsia" w:ascii="宋体" w:eastAsia="宋体" w:cs="宋体"/>
                <w:lang w:eastAsia="zh-CN"/>
              </w:rPr>
            </w:pPr>
            <w:r>
              <w:rPr>
                <w:rFonts w:hint="eastAsia" w:ascii="宋体" w:cs="宋体"/>
              </w:rPr>
              <w:t>转包</w:t>
            </w:r>
            <w:r>
              <w:rPr>
                <w:rFonts w:hint="eastAsia" w:ascii="宋体" w:cs="宋体"/>
                <w:lang w:eastAsia="zh-CN"/>
              </w:rPr>
              <w:t>：</w:t>
            </w:r>
          </w:p>
        </w:tc>
        <w:tc>
          <w:tcPr>
            <w:tcW w:w="6391" w:type="dxa"/>
            <w:noWrap/>
            <w:vAlign w:val="center"/>
          </w:tcPr>
          <w:p>
            <w:pPr>
              <w:widowControl w:val="0"/>
              <w:rPr>
                <w:rFonts w:hint="eastAsia" w:ascii="宋体" w:cs="宋体"/>
              </w:rPr>
            </w:pPr>
            <w:r>
              <w:rPr>
                <w:rFonts w:hint="eastAsia" w:ascii="宋体" w:cs="宋体"/>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pPr>
              <w:widowControl w:val="0"/>
              <w:spacing w:line="400" w:lineRule="exact"/>
              <w:jc w:val="center"/>
              <w:rPr>
                <w:rFonts w:hint="eastAsia" w:ascii="宋体" w:cs="宋体"/>
              </w:rPr>
            </w:pPr>
          </w:p>
        </w:tc>
        <w:tc>
          <w:tcPr>
            <w:tcW w:w="1854" w:type="dxa"/>
            <w:noWrap/>
            <w:vAlign w:val="center"/>
          </w:tcPr>
          <w:p>
            <w:pPr>
              <w:widowControl w:val="0"/>
              <w:jc w:val="center"/>
              <w:rPr>
                <w:rFonts w:hint="eastAsia" w:ascii="宋体" w:eastAsia="宋体" w:cs="宋体"/>
                <w:color w:val="000000"/>
                <w:lang w:eastAsia="zh-CN"/>
              </w:rPr>
            </w:pPr>
            <w:r>
              <w:rPr>
                <w:rFonts w:hint="eastAsia" w:ascii="宋体" w:cs="宋体"/>
                <w:color w:val="000000"/>
              </w:rPr>
              <w:t>分包</w:t>
            </w:r>
            <w:r>
              <w:rPr>
                <w:rFonts w:hint="eastAsia" w:ascii="宋体" w:cs="宋体"/>
                <w:color w:val="000000"/>
                <w:lang w:eastAsia="zh-CN"/>
              </w:rPr>
              <w:t>：</w:t>
            </w:r>
          </w:p>
        </w:tc>
        <w:tc>
          <w:tcPr>
            <w:tcW w:w="6391" w:type="dxa"/>
            <w:noWrap/>
            <w:vAlign w:val="center"/>
          </w:tcPr>
          <w:p>
            <w:pPr>
              <w:widowControl w:val="0"/>
              <w:rPr>
                <w:rFonts w:hint="eastAsia" w:ascii="宋体" w:cs="宋体"/>
                <w:color w:val="000000"/>
              </w:rPr>
            </w:pPr>
            <w:r>
              <w:rPr>
                <w:rFonts w:hint="eastAsia" w:ascii="宋体" w:cs="宋体"/>
                <w:color w:val="000000"/>
              </w:rPr>
              <w:t>1、经采购人同意，中标、成交供应商可以依法采取分包方式履行合同。 政府采购合同分包履行的，中标、成交供应商就采购项目和分包项目向采购人负责，分包供应商就分包项目承担责任。</w:t>
            </w:r>
          </w:p>
          <w:p>
            <w:pPr>
              <w:widowControl w:val="0"/>
              <w:rPr>
                <w:rFonts w:hint="eastAsia" w:ascii="宋体" w:cs="宋体"/>
                <w:color w:val="000000"/>
              </w:rPr>
            </w:pPr>
            <w:r>
              <w:rPr>
                <w:rFonts w:hint="eastAsia" w:ascii="宋体" w:cs="宋体"/>
                <w:color w:val="000000"/>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6</w:t>
            </w:r>
          </w:p>
        </w:tc>
        <w:tc>
          <w:tcPr>
            <w:tcW w:w="1854" w:type="dxa"/>
            <w:noWrap/>
            <w:vAlign w:val="center"/>
          </w:tcPr>
          <w:p>
            <w:pPr>
              <w:widowControl w:val="0"/>
              <w:jc w:val="center"/>
              <w:rPr>
                <w:rFonts w:hint="eastAsia" w:ascii="宋体" w:eastAsia="宋体" w:cs="宋体"/>
                <w:color w:val="FF0000"/>
                <w:lang w:val="zh-TW" w:eastAsia="zh-CN"/>
              </w:rPr>
            </w:pPr>
            <w:r>
              <w:rPr>
                <w:rFonts w:hint="eastAsia" w:ascii="宋体" w:cs="宋体"/>
              </w:rPr>
              <w:t>踏勘现场</w:t>
            </w:r>
            <w:r>
              <w:rPr>
                <w:rFonts w:hint="eastAsia" w:ascii="宋体" w:cs="宋体"/>
                <w:lang w:eastAsia="zh-CN"/>
              </w:rPr>
              <w:t>：</w:t>
            </w:r>
          </w:p>
        </w:tc>
        <w:tc>
          <w:tcPr>
            <w:tcW w:w="6391" w:type="dxa"/>
            <w:noWrap/>
            <w:vAlign w:val="center"/>
          </w:tcPr>
          <w:p>
            <w:pPr>
              <w:widowControl w:val="0"/>
              <w:rPr>
                <w:rFonts w:hint="eastAsia" w:ascii="宋体" w:cs="宋体"/>
                <w:color w:val="FF0000"/>
              </w:rPr>
            </w:pPr>
            <w:r>
              <w:rPr>
                <w:rFonts w:hint="eastAsia" w:ascii="宋体" w:cs="宋体"/>
                <w:color w:val="00000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7</w:t>
            </w:r>
          </w:p>
        </w:tc>
        <w:tc>
          <w:tcPr>
            <w:tcW w:w="1854" w:type="dxa"/>
            <w:noWrap/>
            <w:vAlign w:val="center"/>
          </w:tcPr>
          <w:p>
            <w:pPr>
              <w:widowControl w:val="0"/>
              <w:snapToGrid w:val="0"/>
              <w:rPr>
                <w:rFonts w:hint="eastAsia" w:ascii="宋体" w:eastAsia="宋体" w:cs="宋体"/>
                <w:lang w:eastAsia="zh-CN"/>
              </w:rPr>
            </w:pPr>
            <w:r>
              <w:rPr>
                <w:rFonts w:hint="eastAsia" w:ascii="宋体" w:cs="宋体"/>
                <w:color w:val="000000"/>
              </w:rPr>
              <w:t>投标文件形式、制作及组成</w:t>
            </w:r>
            <w:r>
              <w:rPr>
                <w:rFonts w:hint="eastAsia" w:ascii="宋体" w:cs="宋体"/>
                <w:color w:val="000000"/>
                <w:lang w:eastAsia="zh-CN"/>
              </w:rPr>
              <w:t>：</w:t>
            </w:r>
          </w:p>
        </w:tc>
        <w:tc>
          <w:tcPr>
            <w:tcW w:w="6391" w:type="dxa"/>
            <w:noWrap/>
            <w:vAlign w:val="center"/>
          </w:tcPr>
          <w:p>
            <w:pPr>
              <w:widowControl w:val="0"/>
              <w:wordWrap w:val="0"/>
              <w:rPr>
                <w:rFonts w:hint="eastAsia" w:ascii="宋体" w:cs="宋体"/>
                <w:color w:val="000000"/>
              </w:rPr>
            </w:pPr>
            <w:r>
              <w:rPr>
                <w:rFonts w:hint="eastAsia" w:ascii="宋体" w:cs="宋体"/>
                <w:color w:val="000000"/>
              </w:rPr>
              <w:t>投标人应准备电子投标文件：</w:t>
            </w:r>
          </w:p>
          <w:p>
            <w:pPr>
              <w:widowControl w:val="0"/>
              <w:wordWrap w:val="0"/>
              <w:rPr>
                <w:rFonts w:hint="eastAsia" w:ascii="宋体" w:cs="宋体"/>
                <w:color w:val="000000"/>
              </w:rPr>
            </w:pPr>
            <w:r>
              <w:rPr>
                <w:rFonts w:hint="eastAsia" w:ascii="宋体" w:cs="宋体"/>
                <w:color w:val="000000"/>
              </w:rPr>
              <w:t>电子投标文件，按政采云平台供应商项目采购-电子招投标操作指南（网址：https://help.zcygov.cn/web/site_2/2018/12-28/2573.html）及本招标文件要求递交。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8</w:t>
            </w:r>
          </w:p>
        </w:tc>
        <w:tc>
          <w:tcPr>
            <w:tcW w:w="1854" w:type="dxa"/>
            <w:noWrap/>
            <w:vAlign w:val="center"/>
          </w:tcPr>
          <w:p>
            <w:pPr>
              <w:widowControl w:val="0"/>
              <w:snapToGrid w:val="0"/>
              <w:rPr>
                <w:rFonts w:hint="eastAsia" w:ascii="宋体" w:eastAsia="宋体" w:cs="宋体"/>
                <w:lang w:eastAsia="zh-CN"/>
              </w:rPr>
            </w:pPr>
            <w:r>
              <w:rPr>
                <w:rFonts w:hint="eastAsia" w:ascii="宋体" w:cs="宋体"/>
                <w:color w:val="000000"/>
              </w:rPr>
              <w:t>电子投标文件的传输递交</w:t>
            </w:r>
            <w:r>
              <w:rPr>
                <w:rFonts w:hint="eastAsia" w:ascii="宋体" w:cs="宋体"/>
                <w:color w:val="000000"/>
                <w:lang w:eastAsia="zh-CN"/>
              </w:rPr>
              <w:t>：</w:t>
            </w:r>
          </w:p>
        </w:tc>
        <w:tc>
          <w:tcPr>
            <w:tcW w:w="6391" w:type="dxa"/>
            <w:noWrap/>
            <w:vAlign w:val="center"/>
          </w:tcPr>
          <w:p>
            <w:pPr>
              <w:widowControl w:val="0"/>
              <w:snapToGrid w:val="0"/>
              <w:spacing w:before="120" w:after="120"/>
              <w:rPr>
                <w:rFonts w:hint="eastAsia" w:ascii="宋体" w:cs="宋体"/>
                <w:color w:val="000000"/>
              </w:rPr>
            </w:pPr>
            <w:r>
              <w:rPr>
                <w:rFonts w:hint="eastAsia" w:ascii="宋体"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9</w:t>
            </w:r>
          </w:p>
        </w:tc>
        <w:tc>
          <w:tcPr>
            <w:tcW w:w="1854" w:type="dxa"/>
            <w:noWrap/>
            <w:vAlign w:val="center"/>
          </w:tcPr>
          <w:p>
            <w:pPr>
              <w:widowControl w:val="0"/>
              <w:jc w:val="center"/>
              <w:rPr>
                <w:rFonts w:hint="eastAsia" w:ascii="宋体" w:cs="宋体"/>
              </w:rPr>
            </w:pPr>
            <w:r>
              <w:rPr>
                <w:rFonts w:hint="eastAsia" w:ascii="宋体" w:cs="宋体"/>
              </w:rPr>
              <w:t>投标截止时间：</w:t>
            </w:r>
          </w:p>
        </w:tc>
        <w:tc>
          <w:tcPr>
            <w:tcW w:w="6391" w:type="dxa"/>
            <w:noWrap/>
            <w:vAlign w:val="center"/>
          </w:tcPr>
          <w:p>
            <w:pPr>
              <w:widowControl w:val="0"/>
              <w:rPr>
                <w:rFonts w:hint="default" w:ascii="宋体" w:eastAsia="宋体" w:cs="宋体"/>
                <w:color w:val="000000"/>
                <w:lang w:val="en-US" w:eastAsia="zh-CN"/>
              </w:rPr>
            </w:pPr>
            <w:r>
              <w:rPr>
                <w:rFonts w:hint="eastAsia" w:ascii="宋体" w:cs="宋体"/>
                <w:color w:val="FF0000"/>
              </w:rPr>
              <w:t>2022年0</w:t>
            </w:r>
            <w:r>
              <w:rPr>
                <w:rFonts w:hint="eastAsia" w:ascii="宋体" w:cs="宋体"/>
                <w:color w:val="FF0000"/>
                <w:lang w:val="en-US" w:eastAsia="zh-CN"/>
              </w:rPr>
              <w:t>9</w:t>
            </w:r>
            <w:r>
              <w:rPr>
                <w:rFonts w:hint="eastAsia" w:ascii="宋体" w:cs="宋体"/>
                <w:color w:val="FF0000"/>
              </w:rPr>
              <w:t>月</w:t>
            </w:r>
            <w:r>
              <w:rPr>
                <w:rFonts w:hint="eastAsia" w:ascii="宋体" w:cs="宋体"/>
                <w:color w:val="FF0000"/>
                <w:lang w:val="en-US" w:eastAsia="zh-CN"/>
              </w:rPr>
              <w:t>23</w:t>
            </w:r>
            <w:r>
              <w:rPr>
                <w:rFonts w:hint="eastAsia" w:ascii="宋体" w:cs="宋体"/>
                <w:color w:val="FF0000"/>
              </w:rPr>
              <w:t>日上午09:</w:t>
            </w:r>
            <w:r>
              <w:rPr>
                <w:rFonts w:hint="eastAsia" w:ascii="宋体" w:cs="宋体"/>
                <w:color w:val="FF000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10</w:t>
            </w:r>
          </w:p>
        </w:tc>
        <w:tc>
          <w:tcPr>
            <w:tcW w:w="1854" w:type="dxa"/>
            <w:noWrap/>
            <w:vAlign w:val="center"/>
          </w:tcPr>
          <w:p>
            <w:pPr>
              <w:widowControl w:val="0"/>
              <w:jc w:val="center"/>
              <w:rPr>
                <w:rFonts w:hint="eastAsia" w:ascii="宋体" w:cs="宋体"/>
                <w:color w:val="000000"/>
              </w:rPr>
            </w:pPr>
            <w:r>
              <w:rPr>
                <w:rFonts w:hint="eastAsia" w:ascii="宋体" w:cs="宋体"/>
              </w:rPr>
              <w:t>开标时间：</w:t>
            </w:r>
          </w:p>
        </w:tc>
        <w:tc>
          <w:tcPr>
            <w:tcW w:w="6391" w:type="dxa"/>
            <w:noWrap/>
            <w:vAlign w:val="center"/>
          </w:tcPr>
          <w:p>
            <w:pPr>
              <w:widowControl w:val="0"/>
              <w:rPr>
                <w:rFonts w:hint="eastAsia" w:ascii="宋体" w:cs="宋体"/>
                <w:color w:val="000000"/>
              </w:rPr>
            </w:pPr>
            <w:r>
              <w:rPr>
                <w:rFonts w:hint="eastAsia" w:ascii="宋体" w:cs="宋体"/>
                <w:color w:val="FF0000"/>
              </w:rPr>
              <w:t>2022年0</w:t>
            </w:r>
            <w:r>
              <w:rPr>
                <w:rFonts w:hint="eastAsia" w:ascii="宋体" w:cs="宋体"/>
                <w:color w:val="FF0000"/>
                <w:lang w:val="en-US" w:eastAsia="zh-CN"/>
              </w:rPr>
              <w:t>9</w:t>
            </w:r>
            <w:r>
              <w:rPr>
                <w:rFonts w:hint="eastAsia" w:ascii="宋体" w:cs="宋体"/>
                <w:color w:val="FF0000"/>
              </w:rPr>
              <w:t>月</w:t>
            </w:r>
            <w:r>
              <w:rPr>
                <w:rFonts w:hint="eastAsia" w:ascii="宋体" w:cs="宋体"/>
                <w:color w:val="FF0000"/>
                <w:lang w:val="en-US" w:eastAsia="zh-CN"/>
              </w:rPr>
              <w:t>23</w:t>
            </w:r>
            <w:r>
              <w:rPr>
                <w:rFonts w:hint="eastAsia" w:ascii="宋体" w:cs="宋体"/>
                <w:color w:val="FF0000"/>
              </w:rPr>
              <w:t>日上午09:</w:t>
            </w:r>
            <w:r>
              <w:rPr>
                <w:rFonts w:hint="eastAsia" w:ascii="宋体" w:cs="宋体"/>
                <w:color w:val="FF0000"/>
                <w:lang w:val="en-US" w:eastAsia="zh-CN"/>
              </w:rPr>
              <w:t>3</w:t>
            </w:r>
            <w:r>
              <w:rPr>
                <w:rFonts w:hint="eastAsia" w:ascii="宋体" w:cs="宋体"/>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11</w:t>
            </w:r>
          </w:p>
        </w:tc>
        <w:tc>
          <w:tcPr>
            <w:tcW w:w="1854" w:type="dxa"/>
            <w:noWrap/>
            <w:vAlign w:val="center"/>
          </w:tcPr>
          <w:p>
            <w:pPr>
              <w:widowControl w:val="0"/>
              <w:jc w:val="center"/>
              <w:rPr>
                <w:rFonts w:hint="eastAsia" w:ascii="宋体" w:cs="宋体"/>
                <w:color w:val="000000"/>
              </w:rPr>
            </w:pPr>
            <w:r>
              <w:rPr>
                <w:rFonts w:hint="eastAsia" w:ascii="宋体" w:cs="宋体"/>
              </w:rPr>
              <w:t>开标地点：</w:t>
            </w:r>
          </w:p>
        </w:tc>
        <w:tc>
          <w:tcPr>
            <w:tcW w:w="6391" w:type="dxa"/>
            <w:noWrap/>
            <w:vAlign w:val="center"/>
          </w:tcPr>
          <w:p>
            <w:pPr>
              <w:widowControl w:val="0"/>
              <w:rPr>
                <w:rFonts w:hint="eastAsia" w:ascii="宋体" w:cs="宋体"/>
                <w:color w:val="000000"/>
              </w:rPr>
            </w:pPr>
            <w:r>
              <w:rPr>
                <w:rFonts w:hint="eastAsia" w:ascii="宋体" w:cs="宋体"/>
              </w:rPr>
              <w:t>金华市政府采购中心永康市分中心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12</w:t>
            </w:r>
          </w:p>
        </w:tc>
        <w:tc>
          <w:tcPr>
            <w:tcW w:w="1854" w:type="dxa"/>
            <w:noWrap/>
            <w:vAlign w:val="center"/>
          </w:tcPr>
          <w:p>
            <w:pPr>
              <w:widowControl w:val="0"/>
              <w:jc w:val="left"/>
              <w:rPr>
                <w:rFonts w:hint="eastAsia" w:ascii="宋体" w:cs="宋体"/>
              </w:rPr>
            </w:pPr>
            <w:r>
              <w:rPr>
                <w:rFonts w:hint="eastAsia" w:ascii="宋体" w:cs="宋体"/>
              </w:rPr>
              <w:t>评分办法和中标标准：</w:t>
            </w:r>
          </w:p>
        </w:tc>
        <w:tc>
          <w:tcPr>
            <w:tcW w:w="6391" w:type="dxa"/>
            <w:noWrap/>
            <w:vAlign w:val="center"/>
          </w:tcPr>
          <w:p>
            <w:pPr>
              <w:widowControl w:val="0"/>
              <w:rPr>
                <w:rFonts w:hint="eastAsia" w:ascii="宋体" w:cs="宋体"/>
              </w:rPr>
            </w:pPr>
            <w:r>
              <w:rPr>
                <w:rFonts w:hint="eastAsia" w:ascii="宋体" w:cs="宋体"/>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13</w:t>
            </w:r>
          </w:p>
        </w:tc>
        <w:tc>
          <w:tcPr>
            <w:tcW w:w="1854" w:type="dxa"/>
            <w:noWrap/>
            <w:vAlign w:val="center"/>
          </w:tcPr>
          <w:p>
            <w:pPr>
              <w:widowControl w:val="0"/>
              <w:spacing w:line="380" w:lineRule="exact"/>
              <w:rPr>
                <w:rFonts w:hint="eastAsia" w:ascii="宋体" w:eastAsia="宋体" w:cs="宋体"/>
                <w:lang w:eastAsia="zh-CN"/>
              </w:rPr>
            </w:pPr>
            <w:r>
              <w:rPr>
                <w:rFonts w:hint="eastAsia" w:ascii="宋体" w:cs="宋体"/>
              </w:rPr>
              <w:t>采购公告，更正公告，中标公示发布网址</w:t>
            </w:r>
            <w:r>
              <w:rPr>
                <w:rFonts w:hint="eastAsia" w:ascii="宋体" w:cs="宋体"/>
                <w:lang w:eastAsia="zh-CN"/>
              </w:rPr>
              <w:t>：</w:t>
            </w:r>
          </w:p>
        </w:tc>
        <w:tc>
          <w:tcPr>
            <w:tcW w:w="6391" w:type="dxa"/>
            <w:noWrap/>
            <w:vAlign w:val="center"/>
          </w:tcPr>
          <w:p>
            <w:pPr>
              <w:widowControl w:val="0"/>
              <w:snapToGrid w:val="0"/>
              <w:spacing w:line="380" w:lineRule="exact"/>
              <w:rPr>
                <w:rFonts w:hint="eastAsia" w:ascii="宋体" w:cs="宋体"/>
              </w:rPr>
            </w:pPr>
            <w:r>
              <w:rPr>
                <w:rFonts w:hint="eastAsia" w:ascii="宋体" w:cs="宋体"/>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14</w:t>
            </w:r>
          </w:p>
        </w:tc>
        <w:tc>
          <w:tcPr>
            <w:tcW w:w="1854" w:type="dxa"/>
            <w:noWrap/>
            <w:vAlign w:val="center"/>
          </w:tcPr>
          <w:p>
            <w:pPr>
              <w:widowControl w:val="0"/>
              <w:jc w:val="center"/>
              <w:rPr>
                <w:rFonts w:hint="eastAsia" w:ascii="宋体" w:cs="宋体"/>
                <w:color w:val="FF0000"/>
              </w:rPr>
            </w:pPr>
            <w:r>
              <w:rPr>
                <w:rFonts w:hint="eastAsia" w:ascii="宋体" w:cs="宋体"/>
              </w:rPr>
              <w:t>中标结果公示：</w:t>
            </w:r>
          </w:p>
        </w:tc>
        <w:tc>
          <w:tcPr>
            <w:tcW w:w="6391" w:type="dxa"/>
            <w:noWrap/>
            <w:vAlign w:val="center"/>
          </w:tcPr>
          <w:p>
            <w:pPr>
              <w:widowControl w:val="0"/>
              <w:rPr>
                <w:rFonts w:hint="eastAsia" w:ascii="宋体" w:cs="宋体"/>
                <w:color w:val="FF0000"/>
              </w:rPr>
            </w:pPr>
            <w:r>
              <w:rPr>
                <w:rFonts w:hint="eastAsia" w:ascii="宋体" w:cs="宋体"/>
              </w:rPr>
              <w:t>中标结果公示在政府采购网http://zfcg.czt.zj.gov.cn。公示期满后，如无有效质疑和投诉，向中标人发出中标通知书。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jc w:val="center"/>
              <w:rPr>
                <w:rFonts w:hint="eastAsia" w:ascii="宋体" w:cs="宋体"/>
              </w:rPr>
            </w:pPr>
            <w:r>
              <w:rPr>
                <w:rFonts w:hint="eastAsia" w:ascii="宋体" w:cs="宋体"/>
              </w:rPr>
              <w:t>15</w:t>
            </w:r>
          </w:p>
        </w:tc>
        <w:tc>
          <w:tcPr>
            <w:tcW w:w="1854" w:type="dxa"/>
            <w:noWrap/>
            <w:vAlign w:val="center"/>
          </w:tcPr>
          <w:p>
            <w:pPr>
              <w:widowControl w:val="0"/>
              <w:jc w:val="center"/>
              <w:rPr>
                <w:rFonts w:hint="eastAsia" w:ascii="宋体" w:eastAsia="宋体" w:cs="宋体"/>
                <w:lang w:eastAsia="zh-CN"/>
              </w:rPr>
            </w:pPr>
            <w:r>
              <w:rPr>
                <w:rFonts w:hint="eastAsia" w:ascii="宋体" w:cs="宋体"/>
              </w:rPr>
              <w:t>信用记录</w:t>
            </w:r>
            <w:r>
              <w:rPr>
                <w:rFonts w:hint="eastAsia" w:ascii="宋体" w:cs="宋体"/>
                <w:lang w:eastAsia="zh-CN"/>
              </w:rPr>
              <w:t>：</w:t>
            </w:r>
          </w:p>
        </w:tc>
        <w:tc>
          <w:tcPr>
            <w:tcW w:w="6391" w:type="dxa"/>
            <w:noWrap/>
            <w:vAlign w:val="center"/>
          </w:tcPr>
          <w:p>
            <w:pPr>
              <w:widowControl w:val="0"/>
              <w:rPr>
                <w:rFonts w:hint="eastAsia" w:ascii="宋体" w:cs="宋体"/>
              </w:rPr>
            </w:pPr>
            <w:r>
              <w:rPr>
                <w:rFonts w:hint="eastAsia" w:ascii="宋体" w:cs="宋体"/>
                <w:color w:val="000000"/>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3）信用信息截止时点为从本项目投标截止日往前追溯三年，期间被列入失信被执行人名单、重大税收违法案件当事人名单、政府采购严重违法失信行为记录名单等供应商信用信息均将用于本项目。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hint="eastAsia" w:ascii="宋体" w:cs="宋体"/>
              </w:rPr>
            </w:pPr>
            <w:r>
              <w:rPr>
                <w:rFonts w:hint="eastAsia" w:ascii="宋体" w:cs="宋体"/>
              </w:rPr>
              <w:t>16</w:t>
            </w:r>
          </w:p>
        </w:tc>
        <w:tc>
          <w:tcPr>
            <w:tcW w:w="1854" w:type="dxa"/>
            <w:noWrap/>
            <w:vAlign w:val="center"/>
          </w:tcPr>
          <w:p>
            <w:pPr>
              <w:widowControl w:val="0"/>
              <w:spacing w:line="380" w:lineRule="exact"/>
              <w:jc w:val="center"/>
              <w:rPr>
                <w:rFonts w:hint="eastAsia" w:ascii="宋体" w:eastAsia="宋体" w:cs="宋体"/>
                <w:lang w:eastAsia="zh-CN"/>
              </w:rPr>
            </w:pPr>
            <w:r>
              <w:rPr>
                <w:rFonts w:hint="eastAsia" w:ascii="宋体" w:cs="宋体"/>
                <w:color w:val="000000"/>
              </w:rPr>
              <w:t>注意事项</w:t>
            </w:r>
            <w:r>
              <w:rPr>
                <w:rFonts w:hint="eastAsia" w:ascii="宋体" w:cs="宋体"/>
                <w:color w:val="000000"/>
                <w:lang w:eastAsia="zh-CN"/>
              </w:rPr>
              <w:t>：</w:t>
            </w:r>
          </w:p>
        </w:tc>
        <w:tc>
          <w:tcPr>
            <w:tcW w:w="6391" w:type="dxa"/>
            <w:noWrap/>
            <w:vAlign w:val="center"/>
          </w:tcPr>
          <w:p>
            <w:pPr>
              <w:widowControl w:val="0"/>
              <w:snapToGrid w:val="0"/>
              <w:spacing w:line="380" w:lineRule="exact"/>
              <w:rPr>
                <w:rFonts w:hint="eastAsia" w:ascii="宋体" w:cs="宋体"/>
              </w:rPr>
            </w:pPr>
            <w:r>
              <w:rPr>
                <w:rFonts w:hint="eastAsia" w:ascii="宋体" w:cs="宋体"/>
                <w:color w:val="000000"/>
              </w:rPr>
              <w:t>1.请务必确保投标文件制作客户端为最新版本，旧版本可能导致投标文件解密失败。2.请务必确保投标文件制作时所用的 CA 锁与投标文件解密时的 CA 锁为同一把，否则可能导致投标文件解密失败。</w:t>
            </w:r>
          </w:p>
        </w:tc>
      </w:tr>
    </w:tbl>
    <w:p>
      <w:pPr>
        <w:widowControl w:val="0"/>
        <w:spacing w:line="400" w:lineRule="exact"/>
        <w:rPr>
          <w:rFonts w:ascii="宋体" w:hAnsi="Calibri" w:cs="Times New Roman"/>
          <w:sz w:val="24"/>
          <w:szCs w:val="24"/>
        </w:rPr>
      </w:pPr>
      <w:r>
        <w:rPr>
          <w:rFonts w:ascii="Calibri" w:hAnsi="Calibri" w:cs="Times New Roman"/>
          <w:b/>
          <w:bCs/>
          <w:sz w:val="32"/>
          <w:szCs w:val="32"/>
        </w:rPr>
        <w:br w:type="page"/>
      </w:r>
    </w:p>
    <w:p>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投标人须知</w:t>
      </w:r>
    </w:p>
    <w:p>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color w:val="FF0000"/>
          <w:kern w:val="0"/>
          <w:sz w:val="24"/>
          <w:szCs w:val="24"/>
          <w:lang w:eastAsia="zh-CN"/>
        </w:rPr>
        <w:t>永康市</w:t>
      </w:r>
      <w:r>
        <w:rPr>
          <w:rFonts w:hint="eastAsia" w:ascii="宋体" w:cs="宋体"/>
          <w:color w:val="FF0000"/>
          <w:kern w:val="0"/>
          <w:sz w:val="24"/>
          <w:szCs w:val="24"/>
          <w:lang w:val="en-US" w:eastAsia="zh-CN"/>
        </w:rPr>
        <w:t>融媒体中心</w:t>
      </w:r>
      <w:r>
        <w:rPr>
          <w:rFonts w:hint="eastAsia" w:ascii="宋体" w:cs="宋体"/>
          <w:kern w:val="0"/>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“采购代理机构”系指组织本次招标的金华市政府采购中心永康市分中心。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“货物”系指供方按招标文件规定须向需方提供的设备、软件、专用工具、手册及其它有关技术资料和辅助材料。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2.5</w:t>
      </w:r>
      <w:r>
        <w:rPr>
          <w:rFonts w:hint="eastAsia" w:ascii="宋体" w:cs="宋体"/>
          <w:kern w:val="0"/>
          <w:sz w:val="24"/>
          <w:szCs w:val="24"/>
        </w:rPr>
        <w:t>“服务”系指招标文件规定供方须承担的运输、设计、安装、调试、维护、培训、技术服务、及其它类似服务。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2.6</w:t>
      </w:r>
      <w:r>
        <w:rPr>
          <w:rFonts w:hint="eastAsia" w:ascii="宋体" w:cs="宋体"/>
          <w:kern w:val="0"/>
          <w:sz w:val="24"/>
          <w:szCs w:val="24"/>
        </w:rPr>
        <w:t>需方：即</w:t>
      </w:r>
      <w:r>
        <w:rPr>
          <w:rFonts w:hint="eastAsia" w:ascii="宋体" w:cs="宋体"/>
          <w:color w:val="FF0000"/>
          <w:kern w:val="0"/>
          <w:sz w:val="24"/>
          <w:szCs w:val="24"/>
          <w:lang w:eastAsia="zh-CN"/>
        </w:rPr>
        <w:t>永康市</w:t>
      </w:r>
      <w:r>
        <w:rPr>
          <w:rFonts w:hint="eastAsia" w:ascii="宋体" w:cs="宋体"/>
          <w:color w:val="FF0000"/>
          <w:kern w:val="0"/>
          <w:sz w:val="24"/>
          <w:szCs w:val="24"/>
          <w:lang w:val="en-US" w:eastAsia="zh-CN"/>
        </w:rPr>
        <w:t>融媒体中心</w:t>
      </w:r>
      <w:r>
        <w:rPr>
          <w:rFonts w:hint="eastAsia" w:ascii="宋体" w:cs="宋体"/>
          <w:kern w:val="0"/>
          <w:sz w:val="24"/>
          <w:szCs w:val="24"/>
        </w:rPr>
        <w:t>，在招投标阶段称为采购人，在签订和执行合同阶段称为需方。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ascii="宋体" w:cs="宋体"/>
          <w:kern w:val="0"/>
          <w:sz w:val="24"/>
          <w:szCs w:val="24"/>
        </w:rPr>
        <w:t>2.7</w:t>
      </w:r>
      <w:r>
        <w:rPr>
          <w:rFonts w:hint="eastAsia" w:ascii="宋体" w:cs="宋体"/>
          <w:kern w:val="0"/>
          <w:sz w:val="24"/>
          <w:szCs w:val="24"/>
        </w:rPr>
        <w:t>供方：在招投标阶段称为投标人，中标后在签订和执行合同阶段称为供方。</w:t>
      </w:r>
    </w:p>
    <w:p>
      <w:pPr>
        <w:spacing w:line="360" w:lineRule="auto"/>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hint="eastAsia" w:ascii="宋体" w:cs="宋体"/>
          <w:kern w:val="0"/>
          <w:sz w:val="24"/>
          <w:szCs w:val="24"/>
        </w:rPr>
      </w:pPr>
      <w:r>
        <w:rPr>
          <w:rFonts w:hint="eastAsia" w:ascii="宋体" w:cs="宋体"/>
          <w:kern w:val="0"/>
          <w:sz w:val="24"/>
          <w:szCs w:val="24"/>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b/>
          <w:bCs/>
          <w:kern w:val="0"/>
          <w:sz w:val="24"/>
          <w:szCs w:val="24"/>
        </w:rPr>
        <w:t>4、投标费用</w:t>
      </w:r>
    </w:p>
    <w:p>
      <w:pPr>
        <w:widowControl w:val="0"/>
        <w:rPr>
          <w:rFonts w:ascii="宋体" w:cs="宋体"/>
          <w:b/>
          <w:bCs/>
          <w:color w:val="000000"/>
          <w:sz w:val="24"/>
          <w:szCs w:val="24"/>
        </w:rPr>
      </w:pPr>
      <w:r>
        <w:rPr>
          <w:rFonts w:hint="eastAsia" w:ascii="宋体" w:cs="宋体"/>
          <w:kern w:val="0"/>
          <w:sz w:val="24"/>
          <w:szCs w:val="24"/>
        </w:rPr>
        <w:t>4.1不论投标结果如何，投标人均应自行承担所有与投标有关的全部费用（招标文件有其他相反规定除外）。</w:t>
      </w:r>
    </w:p>
    <w:p>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auto"/>
          <w:kern w:val="0"/>
          <w:sz w:val="24"/>
          <w:szCs w:val="24"/>
        </w:rPr>
      </w:pPr>
      <w:r>
        <w:rPr>
          <w:rFonts w:hint="eastAsia" w:ascii="宋体" w:cs="宋体"/>
          <w:color w:val="000000"/>
          <w:kern w:val="0"/>
          <w:sz w:val="24"/>
          <w:szCs w:val="24"/>
        </w:rPr>
        <w:t>5.1、供应商认为采购文件、采购过程、中标或者成交结果使自己的权益受到损害的，可以在知道或者应知其权益受到损害之日起7个工作日内，一次性</w:t>
      </w:r>
      <w:r>
        <w:rPr>
          <w:rFonts w:hint="eastAsia" w:ascii="宋体" w:cs="宋体"/>
          <w:color w:val="auto"/>
          <w:kern w:val="0"/>
          <w:sz w:val="24"/>
          <w:szCs w:val="24"/>
        </w:rPr>
        <w:t>以网上或书面形式向采购人、采购代理机构提出针对同一采购程序环节的质疑。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000000"/>
          <w:kern w:val="0"/>
          <w:sz w:val="24"/>
          <w:szCs w:val="24"/>
        </w:rPr>
      </w:pPr>
      <w:r>
        <w:rPr>
          <w:rFonts w:hint="eastAsia" w:ascii="宋体" w:cs="宋体"/>
          <w:color w:val="auto"/>
          <w:kern w:val="0"/>
          <w:sz w:val="24"/>
          <w:szCs w:val="24"/>
        </w:rPr>
        <w:t>5.2质疑函格式见《政府采购质疑和投诉办法》（财政部令第94号）附件范本，</w:t>
      </w:r>
      <w:r>
        <w:rPr>
          <w:rFonts w:hint="eastAsia" w:ascii="宋体" w:cs="宋体"/>
          <w:color w:val="000000"/>
          <w:kern w:val="0"/>
          <w:sz w:val="24"/>
          <w:szCs w:val="24"/>
        </w:rPr>
        <w:t>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000000"/>
          <w:kern w:val="0"/>
          <w:sz w:val="24"/>
          <w:szCs w:val="24"/>
        </w:rPr>
      </w:pPr>
      <w:r>
        <w:rPr>
          <w:rFonts w:hint="eastAsia" w:ascii="宋体" w:cs="宋体"/>
          <w:color w:val="000000"/>
          <w:kern w:val="0"/>
          <w:sz w:val="24"/>
          <w:szCs w:val="24"/>
        </w:rPr>
        <w:t>5.3质疑函受理：</w:t>
      </w:r>
      <w:r>
        <w:rPr>
          <w:rFonts w:hint="eastAsia" w:ascii="宋体" w:cs="宋体"/>
          <w:color w:val="000000"/>
          <w:kern w:val="0"/>
          <w:sz w:val="24"/>
          <w:szCs w:val="24"/>
          <w:lang w:val="en-US" w:eastAsia="zh-CN"/>
        </w:rPr>
        <w:t>根据《浙江省财政厅关于进一步促进政府采购公平竞争打造最优营商环境的通知》（浙财采监（2021）22号）文件关于“健全行政裁决机制”要求，</w:t>
      </w:r>
      <w:r>
        <w:rPr>
          <w:rFonts w:hint="eastAsia" w:ascii="宋体" w:cs="宋体"/>
          <w:color w:val="FF0000"/>
          <w:kern w:val="0"/>
          <w:sz w:val="24"/>
          <w:szCs w:val="24"/>
        </w:rPr>
        <w:t>鼓励供应商在线提起询问，路径为：政采云-项目采购-询问质疑投诉-询问列表</w:t>
      </w:r>
      <w:r>
        <w:rPr>
          <w:rFonts w:hint="eastAsia" w:ascii="宋体" w:cs="宋体"/>
          <w:color w:val="FF0000"/>
          <w:kern w:val="0"/>
          <w:sz w:val="24"/>
          <w:szCs w:val="24"/>
          <w:lang w:eastAsia="zh-CN"/>
        </w:rPr>
        <w:t>。</w:t>
      </w:r>
      <w:r>
        <w:rPr>
          <w:rFonts w:hint="eastAsia" w:ascii="宋体" w:cs="宋体"/>
          <w:color w:val="000000"/>
          <w:kern w:val="0"/>
          <w:sz w:val="24"/>
          <w:szCs w:val="24"/>
        </w:rPr>
        <w:t>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三楼。联系人：陈巧缘，电话、传真：0579-89295179。</w:t>
      </w:r>
    </w:p>
    <w:p>
      <w:pPr>
        <w:widowControl w:val="0"/>
        <w:spacing w:line="400" w:lineRule="exact"/>
        <w:rPr>
          <w:rFonts w:hint="eastAsia" w:ascii="宋体" w:cs="宋体"/>
          <w:color w:val="000000"/>
          <w:kern w:val="0"/>
          <w:sz w:val="24"/>
          <w:szCs w:val="24"/>
        </w:rPr>
      </w:pPr>
      <w:r>
        <w:rPr>
          <w:rFonts w:hint="eastAsia" w:ascii="宋体" w:cs="宋体"/>
          <w:color w:val="000000"/>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000000"/>
          <w:kern w:val="0"/>
          <w:sz w:val="24"/>
          <w:szCs w:val="24"/>
        </w:rPr>
      </w:pPr>
      <w:r>
        <w:rPr>
          <w:rFonts w:hint="eastAsia" w:ascii="宋体" w:cs="宋体"/>
          <w:color w:val="000000"/>
          <w:kern w:val="0"/>
          <w:sz w:val="24"/>
          <w:szCs w:val="24"/>
        </w:rPr>
        <w:t>举报电话：金华市公共资源交易中心永康市分中心  0579-89295193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ascii="黑体" w:hAnsi="Courier New" w:eastAsia="黑体" w:cs="Times New Roman"/>
          <w:b/>
          <w:bCs/>
          <w:kern w:val="0"/>
          <w:sz w:val="30"/>
          <w:szCs w:val="30"/>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）货物需求一览表及技术商务要求</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pPr>
      <w:r>
        <w:rPr>
          <w:rFonts w:hint="eastAsia" w:ascii="宋体" w:cs="宋体"/>
          <w:color w:val="FF0000"/>
          <w:kern w:val="0"/>
          <w:sz w:val="24"/>
          <w:szCs w:val="24"/>
        </w:rPr>
        <w:t>1.3</w:t>
      </w:r>
      <w:r>
        <w:rPr>
          <w:rFonts w:hint="eastAsia" w:ascii="宋体" w:cs="宋体"/>
          <w:color w:val="FF0000"/>
          <w:sz w:val="24"/>
          <w:szCs w:val="24"/>
        </w:rPr>
        <w:t>本文件中打“</w:t>
      </w:r>
      <w:r>
        <w:rPr>
          <w:rFonts w:hint="eastAsia" w:ascii="宋体" w:cs="宋体"/>
          <w:color w:val="FF0000"/>
          <w:sz w:val="24"/>
          <w:szCs w:val="24"/>
          <w:lang w:eastAsia="zh-CN"/>
        </w:rPr>
        <w:t>▲</w:t>
      </w:r>
      <w:r>
        <w:rPr>
          <w:rFonts w:hint="eastAsia" w:ascii="宋体" w:cs="宋体"/>
          <w:color w:val="FF0000"/>
          <w:sz w:val="24"/>
          <w:szCs w:val="24"/>
        </w:rPr>
        <w:t>”号的条款视作强制要求或必须满足的条件和资料，不允许有负偏离或缺失，投标人必须满足，否则该投标将导致无效。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个工作日内以书面形式向招标方提出。招标方将在规定的时间内，在浙江政府采购网上发布更正公告</w:t>
      </w:r>
      <w:r>
        <w:rPr>
          <w:rFonts w:hint="eastAsia" w:ascii="宋体" w:cs="宋体"/>
          <w:kern w:val="0"/>
          <w:sz w:val="24"/>
          <w:szCs w:val="24"/>
          <w:lang w:eastAsia="zh-CN"/>
        </w:rPr>
        <w:t>。</w:t>
      </w:r>
      <w:r>
        <w:rPr>
          <w:rFonts w:hint="eastAsia" w:ascii="宋体" w:cs="宋体"/>
          <w:kern w:val="0"/>
          <w:sz w:val="24"/>
          <w:szCs w:val="24"/>
        </w:rPr>
        <w:t>逾期提出招标方将不予受理。</w:t>
      </w:r>
      <w:r>
        <w:rPr>
          <w:rFonts w:hint="eastAsia" w:ascii="宋体" w:cs="宋体"/>
          <w:color w:val="000000"/>
          <w:sz w:val="24"/>
          <w:szCs w:val="24"/>
        </w:rPr>
        <w:t>编制的投标文件对招标文件中有关条款未提出异议的，均被视为接受和同意。</w:t>
      </w:r>
    </w:p>
    <w:p>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pPr>
        <w:pStyle w:val="2"/>
        <w:rPr>
          <w:rFonts w:hint="eastAsia"/>
        </w:rPr>
      </w:pPr>
      <w:r>
        <w:rPr>
          <w:rFonts w:hint="eastAsia"/>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r>
        <w:rPr>
          <w:rFonts w:hint="eastAsia" w:ascii="宋体" w:cs="宋体"/>
          <w:b/>
          <w:bCs/>
          <w:kern w:val="0"/>
          <w:sz w:val="30"/>
          <w:szCs w:val="30"/>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2、投标的语言及计量单位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3、投标文件构成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3.2电子投标文件每个标项由</w:t>
      </w:r>
      <w:r>
        <w:rPr>
          <w:rFonts w:hint="eastAsia" w:ascii="宋体" w:cs="宋体"/>
          <w:color w:val="FF0000"/>
          <w:kern w:val="0"/>
          <w:sz w:val="24"/>
          <w:szCs w:val="24"/>
        </w:rPr>
        <w:t>资格文件、技术商务文件、投标报价文件</w:t>
      </w:r>
      <w:r>
        <w:rPr>
          <w:rFonts w:hint="eastAsia" w:ascii="宋体" w:cs="宋体"/>
          <w:kern w:val="0"/>
          <w:sz w:val="24"/>
          <w:szCs w:val="24"/>
        </w:rPr>
        <w:t>三部份组成，具体详见“第五章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FF0000"/>
          <w:kern w:val="0"/>
          <w:sz w:val="24"/>
          <w:szCs w:val="24"/>
        </w:rPr>
      </w:pPr>
      <w:r>
        <w:rPr>
          <w:rFonts w:hint="eastAsia" w:ascii="宋体" w:cs="宋体"/>
          <w:color w:val="FF0000"/>
          <w:kern w:val="0"/>
          <w:sz w:val="24"/>
          <w:szCs w:val="24"/>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5、</w:t>
      </w:r>
      <w:r>
        <w:rPr>
          <w:rFonts w:hint="eastAsia" w:ascii="宋体" w:cs="宋体"/>
          <w:b/>
          <w:bCs/>
          <w:color w:val="FF0000"/>
          <w:kern w:val="0"/>
          <w:sz w:val="24"/>
          <w:szCs w:val="24"/>
        </w:rPr>
        <w:t>投标人资格的有关证明资料（资格文件）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5.1内容包括：</w:t>
      </w:r>
    </w:p>
    <w:p>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投标声明书 (格式见附件，含重大违法记录声明)；</w:t>
      </w:r>
    </w:p>
    <w:p>
      <w:pPr>
        <w:pStyle w:val="2"/>
        <w:ind w:left="0" w:leftChars="0" w:firstLine="0" w:firstLineChars="0"/>
        <w:rPr>
          <w:rFonts w:hint="eastAsia" w:ascii="宋体" w:hAnsi="宋体" w:cs="宋体"/>
        </w:rPr>
      </w:pPr>
      <w:r>
        <w:rPr>
          <w:rFonts w:hint="eastAsia" w:ascii="宋体" w:hAnsi="宋体" w:cs="宋体"/>
          <w:kern w:val="0"/>
          <w:sz w:val="24"/>
          <w:szCs w:val="24"/>
        </w:rPr>
        <w:t>（2）《投标承诺函》（格式见附件）；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pPr>
        <w:pStyle w:val="6"/>
        <w:rPr>
          <w:rFonts w:hint="eastAsia" w:cs="宋体"/>
        </w:rPr>
      </w:pPr>
      <w:r>
        <w:rPr>
          <w:rFonts w:hint="eastAsia" w:cs="宋体"/>
        </w:rPr>
        <w:t>（5）联合投标协议书（若需要）；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cs="宋体"/>
          <w:kern w:val="0"/>
          <w:sz w:val="24"/>
          <w:szCs w:val="24"/>
        </w:rPr>
      </w:pPr>
      <w:r>
        <w:rPr>
          <w:rFonts w:hint="eastAsia" w:ascii="宋体" w:cs="宋体"/>
          <w:kern w:val="0"/>
          <w:sz w:val="24"/>
          <w:szCs w:val="24"/>
        </w:rPr>
        <w:t>（6）联合投标授权委托书（若需要）；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（7）提供采购公告中符合投标人特定条件要求的有效的其他资质复印件并加盖公司公章及需要说明的资料。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6、拟供货物及服务合格性符合招标文件的有关资料（技术商务文件）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（9）技术培训计划（若有）；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（10）投标人履约能力（可包含且不限于技术力量情况、投标人各项能力证书）；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6.3编制的投标文件对招标文件中有关条款未提出异议的，均被视为接受和同意。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6.4投标人应根据“政采云供应商项目采购-电子招投标操作指南”及本招标文件规定</w:t>
      </w:r>
      <w:r>
        <w:rPr>
          <w:rFonts w:hint="eastAsia" w:ascii="宋体" w:cs="宋体"/>
          <w:color w:val="FF0000"/>
          <w:kern w:val="0"/>
          <w:sz w:val="24"/>
          <w:szCs w:val="24"/>
        </w:rPr>
        <w:t>编制电子投标文件并进行评分条款对应的关联定位</w:t>
      </w:r>
      <w:r>
        <w:rPr>
          <w:rFonts w:hint="eastAsia" w:ascii="宋体" w:cs="宋体"/>
          <w:kern w:val="0"/>
          <w:sz w:val="24"/>
          <w:szCs w:val="24"/>
        </w:rPr>
        <w:t>，以便评标委员会在评标时，点击评分项，可直接定位到该评分项内容。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7、投标书及投标报价（投标报价文件）</w:t>
      </w:r>
    </w:p>
    <w:p>
      <w:pPr>
        <w:widowControl w:val="0"/>
        <w:spacing w:line="400" w:lineRule="exact"/>
        <w:rPr>
          <w:rFonts w:hint="eastAsia"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pPr>
        <w:widowControl w:val="0"/>
        <w:spacing w:line="400" w:lineRule="exact"/>
        <w:rPr>
          <w:rFonts w:hint="eastAsia"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hint="eastAsia" w:ascii="宋体" w:cs="宋体"/>
          <w:sz w:val="24"/>
          <w:szCs w:val="24"/>
        </w:rPr>
      </w:pPr>
      <w:r>
        <w:rPr>
          <w:rFonts w:hint="eastAsia" w:ascii="宋体" w:cs="宋体"/>
          <w:sz w:val="24"/>
          <w:szCs w:val="24"/>
        </w:rPr>
        <w:t>7.3填写报价一览表时应注意下列几点：</w:t>
      </w:r>
    </w:p>
    <w:p>
      <w:pPr>
        <w:widowControl w:val="0"/>
        <w:spacing w:line="400" w:lineRule="exact"/>
        <w:rPr>
          <w:rFonts w:hint="eastAsia"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hint="eastAsia"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pPr>
        <w:widowControl w:val="0"/>
        <w:spacing w:line="400" w:lineRule="exact"/>
        <w:rPr>
          <w:rFonts w:hint="eastAsia" w:ascii="宋体" w:cs="宋体"/>
          <w:sz w:val="24"/>
          <w:szCs w:val="24"/>
        </w:rPr>
      </w:pPr>
      <w:r>
        <w:rPr>
          <w:rFonts w:hint="eastAsia" w:ascii="宋体" w:cs="宋体"/>
          <w:sz w:val="24"/>
          <w:szCs w:val="24"/>
        </w:rPr>
        <w:t>（3）投标报价金额到元为止，如投标报价总价出现角、分，将被抹除。</w:t>
      </w:r>
    </w:p>
    <w:p>
      <w:pPr>
        <w:widowControl w:val="0"/>
        <w:spacing w:line="400" w:lineRule="exact"/>
        <w:rPr>
          <w:rFonts w:hint="eastAsia"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pPr>
        <w:widowControl w:val="0"/>
        <w:spacing w:line="400" w:lineRule="exact"/>
        <w:rPr>
          <w:rFonts w:hint="eastAsia" w:ascii="宋体" w:cs="宋体"/>
          <w:sz w:val="24"/>
          <w:szCs w:val="24"/>
        </w:rPr>
      </w:pPr>
      <w:r>
        <w:rPr>
          <w:rFonts w:hint="eastAsia" w:ascii="宋体" w:cs="宋体"/>
          <w:sz w:val="24"/>
          <w:szCs w:val="24"/>
        </w:rPr>
        <w:t>7.6投标人特别要求的其它附带服务的费用，投标人如不填写，将被视为已汇总到投标总价之中。</w:t>
      </w:r>
    </w:p>
    <w:p>
      <w:pPr>
        <w:widowControl w:val="0"/>
        <w:spacing w:line="400" w:lineRule="exact"/>
        <w:rPr>
          <w:rFonts w:hint="eastAsia" w:ascii="宋体" w:cs="宋体"/>
          <w:sz w:val="24"/>
          <w:szCs w:val="24"/>
        </w:rPr>
      </w:pPr>
      <w:r>
        <w:rPr>
          <w:rFonts w:hint="eastAsia" w:ascii="宋体" w:cs="宋体"/>
          <w:sz w:val="24"/>
          <w:szCs w:val="24"/>
        </w:rPr>
        <w:t>7.7采购人和采购代理机构不接受招标项目范围内的捐赠。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color w:val="auto"/>
          <w:kern w:val="0"/>
          <w:sz w:val="24"/>
          <w:szCs w:val="24"/>
        </w:rPr>
      </w:pPr>
      <w:r>
        <w:rPr>
          <w:rFonts w:hint="eastAsia" w:ascii="宋体" w:cs="宋体"/>
          <w:b/>
          <w:bCs/>
          <w:color w:val="auto"/>
          <w:kern w:val="0"/>
          <w:sz w:val="24"/>
          <w:szCs w:val="24"/>
        </w:rPr>
        <w:t>8、在线演示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auto"/>
          <w:kern w:val="0"/>
          <w:sz w:val="24"/>
          <w:szCs w:val="24"/>
        </w:rPr>
      </w:pPr>
      <w:r>
        <w:rPr>
          <w:rFonts w:hint="eastAsia" w:ascii="宋体" w:cs="宋体"/>
          <w:color w:val="auto"/>
          <w:kern w:val="0"/>
          <w:sz w:val="24"/>
          <w:szCs w:val="24"/>
        </w:rPr>
        <w:t>8.1如招标文件中设有演示环节，则供应商通过电子交易平台（政采云系统）嵌入的第三方视频会议系统在线向专家进行讲解、演示、答疑。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auto"/>
          <w:kern w:val="0"/>
          <w:sz w:val="24"/>
          <w:szCs w:val="24"/>
        </w:rPr>
      </w:pPr>
      <w:r>
        <w:rPr>
          <w:rFonts w:hint="eastAsia" w:ascii="宋体" w:cs="宋体"/>
          <w:color w:val="auto"/>
          <w:kern w:val="0"/>
          <w:sz w:val="24"/>
          <w:szCs w:val="24"/>
        </w:rPr>
        <w:t>8.2演示开始时间由评审小组在项目评审期间以在线短信或电话方式通知各投标人，故各投标人应在项目评审期间保持通讯工具的畅通并随时关注。</w:t>
      </w:r>
    </w:p>
    <w:p>
      <w:pPr>
        <w:pStyle w:val="11"/>
        <w:ind w:firstLine="0"/>
        <w:rPr>
          <w:rFonts w:hint="eastAsia"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b/>
          <w:bCs/>
          <w:kern w:val="0"/>
          <w:sz w:val="24"/>
          <w:szCs w:val="24"/>
        </w:rPr>
      </w:pPr>
      <w:r>
        <w:rPr>
          <w:rFonts w:hint="eastAsia" w:ascii="宋体" w:cs="宋体"/>
          <w:b/>
          <w:bCs/>
          <w:kern w:val="0"/>
          <w:sz w:val="24"/>
          <w:szCs w:val="24"/>
        </w:rPr>
        <w:t>9、投标有效期</w:t>
      </w:r>
    </w:p>
    <w:p>
      <w:pPr>
        <w:widowControl w:val="0"/>
        <w:snapToGrid w:val="0"/>
        <w:spacing w:line="500" w:lineRule="exact"/>
        <w:rPr>
          <w:rFonts w:hint="eastAsia"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pPr>
        <w:widowControl w:val="0"/>
        <w:snapToGrid w:val="0"/>
        <w:spacing w:line="500" w:lineRule="exact"/>
        <w:rPr>
          <w:rFonts w:hint="eastAsia" w:ascii="宋体" w:cs="宋体"/>
          <w:kern w:val="0"/>
          <w:sz w:val="24"/>
          <w:szCs w:val="24"/>
        </w:rPr>
      </w:pPr>
      <w:r>
        <w:rPr>
          <w:rFonts w:hint="eastAsia" w:ascii="宋体" w:cs="宋体"/>
          <w:kern w:val="0"/>
          <w:sz w:val="24"/>
          <w:szCs w:val="24"/>
        </w:rPr>
        <w:t>9.2.中标供应商的投标文件自开标之日起至合同履行完毕止均应保持有效。</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10.投标文件的形式</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11. 提交投标文件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11.1电子投标文件传输提交</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hint="eastAsia" w:ascii="宋体" w:cs="宋体"/>
          <w:color w:val="auto"/>
          <w:kern w:val="0"/>
          <w:sz w:val="24"/>
          <w:szCs w:val="24"/>
        </w:rPr>
      </w:pPr>
      <w:r>
        <w:rPr>
          <w:rFonts w:hint="eastAsia" w:ascii="宋体" w:cs="宋体"/>
          <w:kern w:val="0"/>
          <w:sz w:val="24"/>
          <w:szCs w:val="24"/>
        </w:rPr>
        <w:t>11.2</w:t>
      </w:r>
      <w:r>
        <w:rPr>
          <w:rFonts w:hint="eastAsia" w:ascii="宋体" w:cs="宋体"/>
          <w:color w:val="auto"/>
          <w:kern w:val="0"/>
          <w:sz w:val="24"/>
          <w:szCs w:val="24"/>
        </w:rPr>
        <w:t>备份电子投标文件提交</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color w:val="auto"/>
          <w:kern w:val="0"/>
          <w:sz w:val="24"/>
          <w:szCs w:val="24"/>
        </w:rPr>
        <w:t>如认为需要，投标人可以选择递交备份投标文件，采用数据电文形式，以U盘或DVD光盘形式存储，</w:t>
      </w:r>
      <w:r>
        <w:rPr>
          <w:rFonts w:hint="eastAsia" w:ascii="宋体" w:cs="宋体"/>
          <w:kern w:val="0"/>
          <w:sz w:val="24"/>
          <w:szCs w:val="24"/>
        </w:rPr>
        <w:t>并在投标截止时间前，通过邮寄方式，送达指定地点，逾期送达或未密封将被拒收。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color w:val="FF0000"/>
          <w:kern w:val="0"/>
          <w:sz w:val="24"/>
          <w:szCs w:val="24"/>
        </w:rPr>
        <w:t>投标文件收件填写人： 钱海汇，联系方式：0579-8929517</w:t>
      </w:r>
      <w:r>
        <w:rPr>
          <w:rFonts w:hint="eastAsia" w:ascii="宋体" w:cs="宋体"/>
          <w:color w:val="FF0000"/>
          <w:kern w:val="0"/>
          <w:sz w:val="24"/>
          <w:szCs w:val="24"/>
          <w:lang w:val="en-US" w:eastAsia="zh-CN"/>
        </w:rPr>
        <w:t>9</w:t>
      </w:r>
      <w:r>
        <w:rPr>
          <w:rFonts w:hint="eastAsia" w:ascii="宋体" w:cs="宋体"/>
          <w:color w:val="FF0000"/>
          <w:kern w:val="0"/>
          <w:sz w:val="24"/>
          <w:szCs w:val="24"/>
        </w:rPr>
        <w:t xml:space="preserve">，实际收件人：陈之约，联系方式：0579-89295177，收件地址：永康市五湖路1号国际会展中心办公楼三楼 </w:t>
      </w:r>
      <w:r>
        <w:rPr>
          <w:rFonts w:hint="eastAsia" w:ascii="宋体" w:cs="宋体"/>
          <w:kern w:val="0"/>
          <w:sz w:val="24"/>
          <w:szCs w:val="24"/>
        </w:rPr>
        <w:t>，收件时间上午08:30-11:30 下午：14:00-17:00。（疫情期间仅接收邮寄方式递交的备份投标文件,因疫情管控，推荐使用中国邮政速递和顺丰快递。）备份电子投标文件仅在在线解密异常处理时使用。投标文件已按时解密的，备份电子投标文件自动失效。</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11.3投标人提交的投标文件均不予退还。</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12.采购过程中的异常情况及处理措施</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（4）病毒发作导致不能进行正常操作的；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pPr>
        <w:pageBreakBefore/>
        <w:widowControl w:val="0"/>
        <w:snapToGrid w:val="0"/>
        <w:spacing w:line="500" w:lineRule="exact"/>
        <w:ind w:firstLine="602" w:firstLineChars="200"/>
        <w:jc w:val="center"/>
        <w:rPr>
          <w:rFonts w:hint="eastAsia" w:ascii="宋体" w:cs="宋体"/>
          <w:kern w:val="0"/>
          <w:sz w:val="24"/>
          <w:szCs w:val="24"/>
        </w:rPr>
      </w:pPr>
      <w:r>
        <w:rPr>
          <w:rFonts w:hint="eastAsia" w:ascii="宋体" w:cs="宋体"/>
          <w:b/>
          <w:bCs/>
          <w:kern w:val="0"/>
          <w:sz w:val="30"/>
          <w:szCs w:val="30"/>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color w:val="000000"/>
          <w:kern w:val="0"/>
          <w:sz w:val="24"/>
          <w:szCs w:val="24"/>
        </w:rPr>
      </w:pPr>
    </w:p>
    <w:p>
      <w:pPr>
        <w:widowControl w:val="0"/>
        <w:snapToGrid w:val="0"/>
        <w:spacing w:line="500" w:lineRule="exact"/>
        <w:jc w:val="left"/>
        <w:rPr>
          <w:rFonts w:hint="eastAsia" w:ascii="宋体" w:cs="宋体"/>
          <w:b/>
          <w:bCs/>
          <w:kern w:val="0"/>
          <w:sz w:val="24"/>
          <w:szCs w:val="24"/>
          <w:lang w:val="zh-CN"/>
        </w:rPr>
      </w:pPr>
      <w:r>
        <w:rPr>
          <w:rFonts w:hint="eastAsia" w:ascii="宋体" w:cs="宋体"/>
          <w:b/>
          <w:bCs/>
          <w:kern w:val="0"/>
          <w:sz w:val="24"/>
          <w:szCs w:val="24"/>
          <w:lang w:val="zh-CN"/>
        </w:rPr>
        <w:t>1、开标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1.2、开标流程</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开标时，报价文件中投标报价出现前后不一致的，按照下列规定修正：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（二）大写金额和小写金额不一致的，以大写金额为准；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（四）总价金额与按单价汇总金额不一致的，以单价金额计算结果为准。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（5）评审结束后，公布采购结果。</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2、投标供应商资格审查</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3、评标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3.1、评标由依法组建的评标委员会负责，并独立履行下列职责：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1）审查投标文件是否符合招标文件要求，并作出评价；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2）要求投标供应商对投标文件有关事项作出解释或者澄清；</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5）向采购代理机构或者有关部门报告非法干预评标工作的行为。</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3.2、评标应当遵循下列工作程序：</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3.3、投标供应商存在下列情况之一的，投标无效：</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1）投标文件未按招标文件要求签署或CA电子签章的；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2）不具备招标文件中规定的资格要求的；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6）存在串标、抬标或弄虚作假情况的；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hint="eastAsia"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pPr>
        <w:widowControl w:val="0"/>
        <w:snapToGrid w:val="0"/>
        <w:spacing w:line="500" w:lineRule="exact"/>
        <w:ind w:firstLine="480" w:firstLineChars="200"/>
        <w:jc w:val="left"/>
        <w:rPr>
          <w:rFonts w:hint="eastAsia" w:ascii="宋体" w:cs="宋体"/>
          <w:color w:val="FF0000"/>
          <w:kern w:val="0"/>
          <w:sz w:val="24"/>
          <w:szCs w:val="24"/>
        </w:rPr>
      </w:pPr>
      <w:r>
        <w:rPr>
          <w:rFonts w:hint="eastAsia" w:ascii="宋体" w:cs="宋体"/>
          <w:color w:val="FF0000"/>
          <w:kern w:val="0"/>
          <w:sz w:val="24"/>
          <w:szCs w:val="24"/>
        </w:rPr>
        <w:t>11)不同投标人被政采云系统识别为硬件设备或 IP 地址相同。</w:t>
      </w:r>
    </w:p>
    <w:p>
      <w:pPr>
        <w:widowControl w:val="0"/>
        <w:snapToGrid w:val="0"/>
        <w:spacing w:line="500" w:lineRule="exact"/>
        <w:ind w:firstLine="480" w:firstLineChars="200"/>
        <w:jc w:val="left"/>
        <w:rPr>
          <w:rFonts w:hint="eastAsia" w:ascii="宋体" w:cs="宋体"/>
          <w:color w:val="FF0000"/>
          <w:kern w:val="0"/>
          <w:sz w:val="24"/>
          <w:szCs w:val="24"/>
        </w:rPr>
      </w:pPr>
      <w:r>
        <w:rPr>
          <w:rFonts w:hint="eastAsia" w:ascii="宋体" w:cs="宋体"/>
          <w:color w:val="FF0000"/>
          <w:kern w:val="0"/>
          <w:sz w:val="24"/>
          <w:szCs w:val="24"/>
        </w:rPr>
        <w:t>12)不同投标人被政采云系统识别为投标行为异常，即两家投标人累计超过30次以上共同投标，且其中一家中标率为0%。</w:t>
      </w:r>
    </w:p>
    <w:p>
      <w:pPr>
        <w:widowControl w:val="0"/>
        <w:snapToGrid w:val="0"/>
        <w:spacing w:line="500" w:lineRule="exact"/>
        <w:jc w:val="left"/>
        <w:rPr>
          <w:rFonts w:hint="eastAsia" w:ascii="宋体" w:cs="宋体"/>
          <w:color w:val="FF0000"/>
          <w:kern w:val="0"/>
          <w:sz w:val="24"/>
          <w:szCs w:val="24"/>
        </w:rPr>
      </w:pPr>
      <w:r>
        <w:rPr>
          <w:rFonts w:hint="eastAsia" w:ascii="宋体" w:cs="宋体"/>
          <w:kern w:val="0"/>
          <w:sz w:val="24"/>
          <w:szCs w:val="24"/>
        </w:rPr>
        <w:t xml:space="preserve">3.4 </w:t>
      </w:r>
      <w:r>
        <w:rPr>
          <w:rFonts w:hint="eastAsia" w:ascii="宋体" w:cs="宋体"/>
          <w:color w:val="FF0000"/>
          <w:kern w:val="0"/>
          <w:sz w:val="24"/>
          <w:szCs w:val="24"/>
        </w:rPr>
        <w:t>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1）未按招标文件要求编制或字迹模糊、辨认不清的投标文件；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lang w:eastAsia="zh-CN"/>
        </w:rPr>
        <w:t>▲</w:t>
      </w:r>
      <w:r>
        <w:rPr>
          <w:rFonts w:hint="eastAsia" w:ascii="宋体" w:cs="宋体"/>
          <w:kern w:val="0"/>
          <w:sz w:val="24"/>
          <w:szCs w:val="24"/>
        </w:rPr>
        <w:t xml:space="preserve">”的技术指标、主要功能项目发生实质性偏离的； </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3.5、本次采购，如果投标供应商的投标报价均超出采购预算，本次招标做流标处理。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3.6、开启投标供应商报价文件后发现价格、数量有误，其投标价将按下述原则处理：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5）供应商不接受上述处理方式，将按无效投标处理。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3.11、评标委员会在评标中，不得改变招标文件中规定的评标标准、方法和中标条件。</w:t>
      </w:r>
    </w:p>
    <w:p>
      <w:pPr>
        <w:widowControl w:val="0"/>
        <w:snapToGrid w:val="0"/>
        <w:spacing w:line="500" w:lineRule="exact"/>
        <w:jc w:val="left"/>
        <w:rPr>
          <w:rFonts w:hint="eastAsia"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4、投标文件的澄清</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5、有下列情形之一的，视为投标供应商相互串通投标：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5.1、不同投标供应商的投标文件由同一单位或者个人编制；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5.2、不同投标供应商委托同一单位或者个人办理投标事宜；</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5.3、不同投标供应商的投标文件载明的项目管理成员为同一人；</w:t>
      </w:r>
    </w:p>
    <w:p>
      <w:pPr>
        <w:widowControl w:val="0"/>
        <w:snapToGrid w:val="0"/>
        <w:spacing w:line="500" w:lineRule="exact"/>
        <w:jc w:val="left"/>
        <w:rPr>
          <w:rFonts w:hint="eastAsia" w:ascii="宋体" w:cs="宋体"/>
        </w:rPr>
      </w:pPr>
      <w:r>
        <w:rPr>
          <w:rFonts w:hint="eastAsia" w:ascii="宋体" w:cs="宋体"/>
          <w:kern w:val="0"/>
          <w:sz w:val="24"/>
          <w:szCs w:val="24"/>
        </w:rPr>
        <w:t>5.4、不同投标供应商的投标文件异常一致或者投标报价呈规律性差异。</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6、串通投标处理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7、评标原则</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投标截止时或评审过程中有效投标供应商不足三家的，不予开标或评标。</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8、可中止电子交易活动的情形</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8.4、病毒发作导致不能进行正常操作的；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hint="eastAsia" w:ascii="宋体" w:cs="宋体"/>
          <w:b/>
          <w:bCs/>
          <w:kern w:val="0"/>
          <w:sz w:val="24"/>
          <w:szCs w:val="24"/>
        </w:rPr>
      </w:pPr>
      <w:bookmarkStart w:id="0" w:name="_Toc132126156"/>
      <w:bookmarkStart w:id="1" w:name="_Toc132123883"/>
      <w:bookmarkStart w:id="2" w:name="_Toc132125097"/>
      <w:bookmarkStart w:id="3" w:name="_Toc132125039"/>
      <w:bookmarkStart w:id="4" w:name="_Toc132124596"/>
      <w:bookmarkStart w:id="5" w:name="_Toc132123636"/>
      <w:bookmarkStart w:id="6" w:name="_Toc132122418"/>
      <w:bookmarkStart w:id="7" w:name="_Toc132122121"/>
      <w:bookmarkStart w:id="8" w:name="_Toc132125576"/>
      <w:bookmarkStart w:id="9" w:name="_Toc132655778"/>
      <w:bookmarkStart w:id="10" w:name="_Toc132123549"/>
      <w:bookmarkStart w:id="11" w:name="_Toc132125153"/>
      <w:bookmarkStart w:id="12" w:name="_Toc132123840"/>
      <w:bookmarkStart w:id="13" w:name="_Toc132125985"/>
      <w:bookmarkStart w:id="14" w:name="_Toc132123441"/>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9.1、中标条件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9.1.2投标供应商有很好的执行合同的能力；</w:t>
      </w:r>
    </w:p>
    <w:p>
      <w:pPr>
        <w:widowControl w:val="0"/>
        <w:snapToGrid w:val="0"/>
        <w:spacing w:line="500" w:lineRule="exact"/>
        <w:ind w:firstLine="480" w:firstLineChars="200"/>
        <w:jc w:val="left"/>
        <w:rPr>
          <w:rFonts w:hint="eastAsia"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pPr>
        <w:widowControl w:val="0"/>
        <w:snapToGrid w:val="0"/>
        <w:spacing w:line="500" w:lineRule="exact"/>
        <w:jc w:val="left"/>
        <w:rPr>
          <w:rFonts w:hint="eastAsia"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9.3中标无效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hint="eastAsia"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10.1中标供应商须主动联系采购人或采购代理机构领取中标通知书。中标供应商应当在中标通知书发出之</w:t>
      </w:r>
      <w:r>
        <w:rPr>
          <w:rFonts w:hint="eastAsia" w:ascii="宋体" w:cs="宋体"/>
          <w:color w:val="FF0000"/>
          <w:kern w:val="0"/>
          <w:sz w:val="24"/>
          <w:szCs w:val="24"/>
        </w:rPr>
        <w:t>日起20日</w:t>
      </w:r>
      <w:r>
        <w:rPr>
          <w:rFonts w:hint="eastAsia" w:ascii="宋体" w:cs="宋体"/>
          <w:kern w:val="0"/>
          <w:sz w:val="24"/>
          <w:szCs w:val="24"/>
        </w:rPr>
        <w:t>内与采购人签订合同。中标供应商未经采购人许可，在规定时间内未与采购人签订合同，则视为拒签合同。</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10.2招标文件、中标供应商的投标文件及投标修改文件、评标过程中有关澄清文件及询标纪要和中标通知书均作为合同附件。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10.3拒签合同的责任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hint="eastAsia" w:ascii="宋体" w:cs="宋体"/>
          <w:kern w:val="0"/>
          <w:sz w:val="24"/>
          <w:szCs w:val="24"/>
        </w:rPr>
        <w:t xml:space="preserve"> 中标供应商在规定时间内借故否认已经承诺的条件、拒签合同者，以投标违约处理，并赔偿采购人由此造成的直接经济损失；采购人重新组织招标的，所需费用由原中标供应商承担。</w:t>
      </w:r>
    </w:p>
    <w:p>
      <w:pPr>
        <w:widowControl w:val="0"/>
        <w:spacing w:line="780" w:lineRule="exact"/>
        <w:jc w:val="center"/>
        <w:rPr>
          <w:rFonts w:ascii="Calibri" w:hAnsi="Calibri" w:cs="Times New Roman"/>
        </w:rPr>
      </w:pPr>
      <w:r>
        <w:rPr>
          <w:rFonts w:ascii="Calibri" w:hAnsi="Calibri" w:cs="Times New Roman"/>
        </w:rPr>
        <w:br w:type="page"/>
      </w: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ascii="Calibri" w:hAnsi="Calibri" w:cs="Times New Roman"/>
        </w:rPr>
      </w:pPr>
    </w:p>
    <w:p>
      <w:pPr>
        <w:pStyle w:val="2"/>
        <w:rPr>
          <w:rFonts w:hint="eastAsia" w:ascii="Calibri" w:hAnsi="Calibri" w:cs="Times New Roman"/>
        </w:rPr>
      </w:pPr>
    </w:p>
    <w:p>
      <w:pPr>
        <w:widowControl w:val="0"/>
        <w:spacing w:line="780" w:lineRule="exact"/>
        <w:jc w:val="center"/>
        <w:rPr>
          <w:rFonts w:hint="eastAsia" w:ascii="宋体" w:cs="宋体"/>
          <w:b/>
          <w:bCs/>
          <w:sz w:val="52"/>
          <w:szCs w:val="52"/>
        </w:rPr>
      </w:pPr>
      <w:r>
        <w:rPr>
          <w:rFonts w:hint="eastAsia" w:ascii="宋体" w:cs="宋体"/>
          <w:b/>
          <w:bCs/>
          <w:sz w:val="52"/>
          <w:szCs w:val="52"/>
        </w:rPr>
        <w:t>第三章</w:t>
      </w:r>
    </w:p>
    <w:p>
      <w:pPr>
        <w:widowControl w:val="0"/>
        <w:snapToGrid w:val="0"/>
        <w:spacing w:line="500" w:lineRule="exact"/>
        <w:jc w:val="center"/>
        <w:rPr>
          <w:rFonts w:hint="eastAsia"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hint="eastAsia" w:ascii="宋体" w:cs="宋体"/>
          <w:b/>
          <w:bCs/>
          <w:kern w:val="0"/>
          <w:sz w:val="32"/>
          <w:szCs w:val="32"/>
        </w:rPr>
      </w:pPr>
      <w:bookmarkStart w:id="22" w:name="_Toc20091"/>
      <w:r>
        <w:rPr>
          <w:rFonts w:hint="eastAsia" w:ascii="宋体" w:cs="宋体"/>
          <w:b/>
          <w:bCs/>
          <w:kern w:val="0"/>
          <w:sz w:val="32"/>
          <w:szCs w:val="32"/>
        </w:rPr>
        <w:t>二、评标组织</w:t>
      </w:r>
      <w:bookmarkEnd w:id="22"/>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pPr>
        <w:widowControl w:val="0"/>
        <w:snapToGrid w:val="0"/>
        <w:spacing w:line="500" w:lineRule="exact"/>
        <w:jc w:val="left"/>
        <w:rPr>
          <w:rFonts w:hint="eastAsia" w:ascii="宋体" w:cs="宋体"/>
          <w:b/>
          <w:bCs/>
          <w:kern w:val="0"/>
          <w:sz w:val="32"/>
          <w:szCs w:val="32"/>
        </w:rPr>
      </w:pPr>
      <w:bookmarkStart w:id="23" w:name="_Toc22667"/>
      <w:r>
        <w:rPr>
          <w:rFonts w:hint="eastAsia" w:ascii="宋体" w:cs="宋体"/>
          <w:b/>
          <w:bCs/>
          <w:kern w:val="0"/>
          <w:sz w:val="32"/>
          <w:szCs w:val="32"/>
        </w:rPr>
        <w:t>三、符合性审查</w:t>
      </w:r>
      <w:bookmarkEnd w:id="23"/>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pPr>
        <w:widowControl w:val="0"/>
        <w:snapToGrid w:val="0"/>
        <w:spacing w:line="500" w:lineRule="exact"/>
        <w:jc w:val="left"/>
        <w:rPr>
          <w:rFonts w:hint="eastAsia"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pPr>
        <w:widowControl w:val="0"/>
        <w:snapToGrid w:val="0"/>
        <w:spacing w:line="500" w:lineRule="exact"/>
        <w:jc w:val="left"/>
        <w:rPr>
          <w:rFonts w:hint="eastAsia" w:ascii="宋体" w:cs="宋体"/>
          <w:kern w:val="0"/>
          <w:sz w:val="24"/>
          <w:szCs w:val="24"/>
        </w:rPr>
      </w:pPr>
      <w:bookmarkStart w:id="25" w:name="_Toc27471"/>
      <w:r>
        <w:rPr>
          <w:rFonts w:hint="eastAsia" w:ascii="宋体" w:cs="宋体"/>
          <w:b/>
          <w:bCs/>
          <w:kern w:val="0"/>
          <w:sz w:val="32"/>
          <w:szCs w:val="32"/>
        </w:rPr>
        <w:t>五、评标细则</w:t>
      </w:r>
      <w:bookmarkEnd w:id="25"/>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1、本项目采用综合评分法（总分100分）。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本项目为非单一产品采购项目，采购人根据采购项目技术构成、产品价格比重等合理确定核心产品为</w:t>
      </w:r>
      <w:r>
        <w:rPr>
          <w:rFonts w:hint="eastAsia" w:ascii="宋体" w:cs="宋体"/>
          <w:b/>
          <w:bCs/>
          <w:color w:val="auto"/>
          <w:kern w:val="0"/>
          <w:sz w:val="24"/>
          <w:szCs w:val="24"/>
        </w:rPr>
        <w:t>：</w:t>
      </w:r>
      <w:r>
        <w:rPr>
          <w:rFonts w:hint="eastAsia" w:ascii="宋体" w:hAnsi="宋体" w:eastAsia="宋体" w:cs="宋体"/>
          <w:color w:val="FF0000"/>
          <w:kern w:val="0"/>
          <w:sz w:val="24"/>
          <w:szCs w:val="24"/>
          <w:lang w:val="en-US" w:eastAsia="zh-CN"/>
        </w:rPr>
        <w:t>LED大屏、分布式控制设备、音频扩声设备、无纸化及数字会议设备</w:t>
      </w:r>
      <w:r>
        <w:rPr>
          <w:rFonts w:hint="eastAsia" w:ascii="宋体" w:hAnsi="宋体" w:eastAsia="宋体" w:cs="宋体"/>
          <w:color w:val="FF0000"/>
          <w:kern w:val="0"/>
          <w:sz w:val="24"/>
          <w:szCs w:val="24"/>
        </w:rPr>
        <w:t>。</w:t>
      </w:r>
      <w:r>
        <w:rPr>
          <w:rFonts w:hint="eastAsia" w:ascii="宋体" w:cs="宋体"/>
          <w:kern w:val="0"/>
          <w:sz w:val="24"/>
          <w:szCs w:val="24"/>
        </w:rPr>
        <w:t>多家投标人提供的核心产品品牌均相同的，按前款规定处理。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5、评分因素及分值范围</w:t>
      </w:r>
    </w:p>
    <w:p>
      <w:pPr>
        <w:widowControl w:val="0"/>
        <w:snapToGrid w:val="0"/>
        <w:spacing w:line="500" w:lineRule="exact"/>
        <w:ind w:firstLine="480" w:firstLineChars="200"/>
        <w:jc w:val="left"/>
        <w:rPr>
          <w:rFonts w:hint="eastAsia"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（70分）</w:t>
      </w:r>
    </w:p>
    <w:p>
      <w:pPr>
        <w:widowControl w:val="0"/>
        <w:snapToGrid w:val="0"/>
        <w:spacing w:line="500" w:lineRule="exact"/>
        <w:jc w:val="left"/>
        <w:rPr>
          <w:rFonts w:hint="eastAsia"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(注：请投标人在制作电子投标文件时设置与各评分条款对应的关联定位。)</w:t>
      </w:r>
    </w:p>
    <w:tbl>
      <w:tblPr>
        <w:tblStyle w:val="3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431"/>
        <w:gridCol w:w="2253"/>
        <w:gridCol w:w="2253"/>
        <w:gridCol w:w="2253"/>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z w:val="21"/>
                <w:szCs w:val="21"/>
                <w:u w:val="none"/>
              </w:rPr>
            </w:pPr>
            <w:r>
              <w:rPr>
                <w:rFonts w:hint="eastAsia" w:ascii="新宋体" w:hAnsi="新宋体" w:eastAsia="新宋体" w:cs="新宋体"/>
                <w:b/>
                <w:bCs/>
                <w:i w:val="0"/>
                <w:iCs w:val="0"/>
                <w:color w:val="auto"/>
                <w:kern w:val="0"/>
                <w:sz w:val="21"/>
                <w:szCs w:val="21"/>
                <w:u w:val="none"/>
                <w:lang w:val="en-US" w:eastAsia="zh-CN" w:bidi="ar"/>
              </w:rPr>
              <w:t>序号</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z w:val="21"/>
                <w:szCs w:val="21"/>
                <w:u w:val="none"/>
              </w:rPr>
            </w:pPr>
            <w:r>
              <w:rPr>
                <w:rFonts w:hint="eastAsia" w:ascii="新宋体" w:hAnsi="新宋体" w:eastAsia="新宋体" w:cs="新宋体"/>
                <w:b/>
                <w:bCs/>
                <w:i w:val="0"/>
                <w:iCs w:val="0"/>
                <w:color w:val="auto"/>
                <w:kern w:val="0"/>
                <w:sz w:val="21"/>
                <w:szCs w:val="21"/>
                <w:u w:val="none"/>
                <w:lang w:val="en-US" w:eastAsia="zh-CN" w:bidi="ar"/>
              </w:rPr>
              <w:t>评分内容</w:t>
            </w:r>
          </w:p>
        </w:tc>
        <w:tc>
          <w:tcPr>
            <w:tcW w:w="6759" w:type="dxa"/>
            <w:gridSpan w:val="3"/>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z w:val="21"/>
                <w:szCs w:val="21"/>
                <w:u w:val="none"/>
              </w:rPr>
            </w:pPr>
            <w:r>
              <w:rPr>
                <w:rFonts w:hint="eastAsia" w:ascii="新宋体" w:hAnsi="新宋体" w:eastAsia="新宋体" w:cs="新宋体"/>
                <w:b/>
                <w:bCs/>
                <w:i w:val="0"/>
                <w:iCs w:val="0"/>
                <w:color w:val="auto"/>
                <w:kern w:val="0"/>
                <w:sz w:val="21"/>
                <w:szCs w:val="21"/>
                <w:u w:val="none"/>
                <w:lang w:val="en-US" w:eastAsia="zh-CN" w:bidi="ar"/>
              </w:rPr>
              <w:t>评分说明（所提供的扫描件均需加盖投标公司的电子签章）</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sz w:val="21"/>
                <w:szCs w:val="21"/>
                <w:u w:val="none"/>
              </w:rPr>
            </w:pPr>
            <w:r>
              <w:rPr>
                <w:rFonts w:hint="eastAsia" w:ascii="新宋体" w:hAnsi="新宋体" w:eastAsia="新宋体" w:cs="新宋体"/>
                <w:b/>
                <w:bCs/>
                <w:i w:val="0"/>
                <w:iCs w:val="0"/>
                <w:color w:val="auto"/>
                <w:kern w:val="0"/>
                <w:sz w:val="21"/>
                <w:szCs w:val="21"/>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1</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企业综合情况</w:t>
            </w:r>
          </w:p>
        </w:tc>
        <w:tc>
          <w:tcPr>
            <w:tcW w:w="6759" w:type="dxa"/>
            <w:gridSpan w:val="3"/>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企业需提供项目相关认证证书以证明企业具有相应项目实力，可提供的证书为以下证书：（1）诚信管理体系认证证书（GB/T31950）、（2）投标人具有质量管理体系认证证书（ISO9001）、（3）环境管理体系认证证书（ISO14001）、（4）信息安全管理体系认证证书（ISO/IE27001）、（5）信息技术服务管理体系认证证书（ISO/IE20000），每本证书得1分，本项最高得5分。</w:t>
            </w:r>
          </w:p>
          <w:p>
            <w:pPr>
              <w:keepNext w:val="0"/>
              <w:keepLines w:val="0"/>
              <w:widowControl/>
              <w:suppressLineNumbers w:val="0"/>
              <w:jc w:val="left"/>
              <w:textAlignment w:val="center"/>
              <w:rPr>
                <w:rFonts w:hint="default"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注：需在商务技术响应文件中提供相关荣誉证书扫描件和能力佐证材料加盖投标人电子签章。</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2</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i w:val="0"/>
                <w:iCs w:val="0"/>
                <w:color w:val="auto"/>
                <w:kern w:val="0"/>
                <w:sz w:val="20"/>
                <w:szCs w:val="20"/>
                <w:u w:val="none"/>
                <w:lang w:val="en-US" w:eastAsia="zh-CN" w:bidi="ar"/>
              </w:rPr>
              <w:t>投标人业绩案例</w:t>
            </w:r>
          </w:p>
        </w:tc>
        <w:tc>
          <w:tcPr>
            <w:tcW w:w="6759" w:type="dxa"/>
            <w:gridSpan w:val="3"/>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根据投标人提供2019年1月1日以来的同类型业绩情况，每提供一个业绩得1分，最高得3分。需提供合同、中标通知书、相应票据的扫描件，不提供不得分。</w:t>
            </w:r>
          </w:p>
          <w:p>
            <w:pPr>
              <w:keepNext w:val="0"/>
              <w:keepLines w:val="0"/>
              <w:widowControl/>
              <w:suppressLineNumbers w:val="0"/>
              <w:jc w:val="left"/>
              <w:textAlignment w:val="center"/>
              <w:rPr>
                <w:rFonts w:hint="eastAsia" w:ascii="新宋体" w:hAnsi="新宋体" w:eastAsia="新宋体" w:cs="新宋体"/>
                <w:color w:val="auto"/>
                <w:sz w:val="20"/>
                <w:szCs w:val="20"/>
                <w:highlight w:val="none"/>
              </w:rPr>
            </w:pPr>
            <w:r>
              <w:rPr>
                <w:rFonts w:hint="eastAsia" w:ascii="新宋体" w:hAnsi="新宋体" w:eastAsia="新宋体" w:cs="新宋体"/>
                <w:i w:val="0"/>
                <w:iCs w:val="0"/>
                <w:color w:val="auto"/>
                <w:kern w:val="0"/>
                <w:sz w:val="20"/>
                <w:szCs w:val="20"/>
                <w:u w:val="none"/>
                <w:lang w:val="en-US" w:eastAsia="zh-CN" w:bidi="ar"/>
              </w:rPr>
              <w:t>（对省级以上主管部门认定的首台套产品，自纳入《省推广应用指导目录》起三年内参加政府采购活动，视同已具备相应销售业绩，业绩分为满分）。</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3</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设备技术参数要求</w:t>
            </w:r>
          </w:p>
        </w:tc>
        <w:tc>
          <w:tcPr>
            <w:tcW w:w="6759" w:type="dxa"/>
            <w:gridSpan w:val="3"/>
            <w:noWrap w:val="0"/>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根据投标产品的基本功能、技术指标与需求的吻合程度，所有指标均满足招标要求得26分；</w:t>
            </w:r>
          </w:p>
          <w:p>
            <w:pPr>
              <w:keepNext w:val="0"/>
              <w:keepLines w:val="0"/>
              <w:widowControl/>
              <w:suppressLineNumbers w:val="0"/>
              <w:jc w:val="left"/>
              <w:textAlignment w:val="center"/>
              <w:rPr>
                <w:rFonts w:hint="eastAsia"/>
                <w:lang w:val="en-US" w:eastAsia="zh-CN"/>
              </w:rPr>
            </w:pPr>
            <w:r>
              <w:rPr>
                <w:rFonts w:hint="eastAsia"/>
                <w:lang w:val="en-US" w:eastAsia="zh-CN"/>
              </w:rPr>
              <w:t>主要技术指标低于招标需求（负偏离）的，每项扣0.5分；核心参数（即标“★”的参数）负偏离，每项扣1分；扣完为止（负偏离由评委根据项目需求进行认定）。</w:t>
            </w:r>
          </w:p>
          <w:p>
            <w:pPr>
              <w:keepNext w:val="0"/>
              <w:keepLines w:val="0"/>
              <w:widowControl/>
              <w:suppressLineNumbers w:val="0"/>
              <w:jc w:val="left"/>
              <w:textAlignment w:val="center"/>
              <w:rPr>
                <w:rFonts w:hint="eastAsia"/>
                <w:lang w:val="en-US" w:eastAsia="zh-CN"/>
              </w:rPr>
            </w:pPr>
            <w:r>
              <w:rPr>
                <w:rFonts w:hint="eastAsia"/>
                <w:lang w:val="en-US" w:eastAsia="zh-CN"/>
              </w:rPr>
              <w:t>主要产品技术指标高于招标需求（正偏离）的，每项加0.5分。同类设备多项正偏离最多加1分。本项最多加2分，且加分后总分不超过26分。（是否属于正偏离由评委根据项目需求进行认定）。</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585" w:type="dxa"/>
            <w:vMerge w:val="restart"/>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4</w:t>
            </w:r>
          </w:p>
        </w:tc>
        <w:tc>
          <w:tcPr>
            <w:tcW w:w="1431"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bCs/>
                <w:sz w:val="20"/>
                <w:szCs w:val="20"/>
              </w:rPr>
              <w:t>技术方案整体构架完整性、合理性、</w:t>
            </w:r>
            <w:r>
              <w:rPr>
                <w:rFonts w:hint="eastAsia" w:ascii="新宋体" w:hAnsi="新宋体" w:eastAsia="新宋体" w:cs="新宋体"/>
                <w:bCs/>
                <w:sz w:val="20"/>
                <w:szCs w:val="20"/>
                <w:lang w:val="en-US" w:eastAsia="zh-CN"/>
              </w:rPr>
              <w:t>科学性</w:t>
            </w: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大屏系统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p>
        </w:tc>
        <w:tc>
          <w:tcPr>
            <w:tcW w:w="2253" w:type="dxa"/>
            <w:noWrap w:val="0"/>
            <w:vAlign w:val="center"/>
          </w:tcPr>
          <w:p>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大屏系统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FF0000"/>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FF0000"/>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科学的得2-3分；</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3分</w:t>
            </w:r>
          </w:p>
        </w:tc>
        <w:tc>
          <w:tcPr>
            <w:tcW w:w="765"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大屏系统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科学的得1-2分；</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分布式系统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numPr>
                <w:ilvl w:val="0"/>
                <w:numId w:val="0"/>
              </w:numPr>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分布式系统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科学的得2-3分；</w:t>
            </w: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sz w:val="20"/>
                <w:szCs w:val="20"/>
                <w:lang w:val="en-US" w:eastAsia="zh-CN"/>
              </w:rPr>
            </w:pPr>
            <w:r>
              <w:rPr>
                <w:rFonts w:hint="eastAsia" w:ascii="新宋体" w:hAnsi="新宋体" w:eastAsia="新宋体" w:cs="新宋体"/>
                <w:sz w:val="20"/>
                <w:szCs w:val="20"/>
                <w:lang w:val="en-US" w:eastAsia="zh-CN"/>
              </w:rPr>
              <w:t>3分</w:t>
            </w: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分布式系统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科学的得1-2分；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音频扩声系统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音频扩声系统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科学的得1-2分；</w:t>
            </w: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sz w:val="20"/>
                <w:szCs w:val="20"/>
                <w:lang w:val="en-US" w:eastAsia="zh-CN"/>
              </w:rPr>
            </w:pPr>
            <w:r>
              <w:rPr>
                <w:rFonts w:hint="eastAsia" w:ascii="新宋体" w:hAnsi="新宋体" w:eastAsia="新宋体" w:cs="新宋体"/>
                <w:sz w:val="20"/>
                <w:szCs w:val="20"/>
                <w:lang w:val="en-US" w:eastAsia="zh-CN"/>
              </w:rPr>
              <w:t>2分</w:t>
            </w: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音频扩声系统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科学的得0-1分</w:t>
            </w: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无纸化办公系统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提供的无</w:t>
            </w:r>
            <w:r>
              <w:rPr>
                <w:rFonts w:hint="eastAsia" w:ascii="新宋体" w:hAnsi="新宋体" w:eastAsia="新宋体" w:cs="新宋体"/>
                <w:color w:val="FF0000"/>
                <w:sz w:val="20"/>
                <w:szCs w:val="20"/>
                <w:lang w:val="en-US" w:eastAsia="zh-CN"/>
              </w:rPr>
              <w:t>纸化办公系统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科学的得1-2分；</w:t>
            </w: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sz w:val="20"/>
                <w:szCs w:val="20"/>
                <w:lang w:val="en-US" w:eastAsia="zh-CN"/>
              </w:rPr>
            </w:pPr>
            <w:r>
              <w:rPr>
                <w:rFonts w:hint="eastAsia" w:ascii="新宋体" w:hAnsi="新宋体" w:eastAsia="新宋体" w:cs="新宋体"/>
                <w:sz w:val="20"/>
                <w:szCs w:val="20"/>
                <w:lang w:val="en-US" w:eastAsia="zh-CN"/>
              </w:rPr>
              <w:t>2分</w:t>
            </w: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提供的无</w:t>
            </w:r>
            <w:r>
              <w:rPr>
                <w:rFonts w:hint="eastAsia" w:ascii="新宋体" w:hAnsi="新宋体" w:eastAsia="新宋体" w:cs="新宋体"/>
                <w:color w:val="FF0000"/>
                <w:sz w:val="20"/>
                <w:szCs w:val="20"/>
                <w:lang w:val="en-US" w:eastAsia="zh-CN"/>
              </w:rPr>
              <w:t>纸化办公系统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科学的得0-1分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数字会议系统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数字会议系统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科学的得1-2分；</w:t>
            </w: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sz w:val="20"/>
                <w:szCs w:val="20"/>
                <w:lang w:val="en-US" w:eastAsia="zh-CN"/>
              </w:rPr>
            </w:pPr>
            <w:r>
              <w:rPr>
                <w:rFonts w:hint="eastAsia" w:ascii="新宋体" w:hAnsi="新宋体" w:eastAsia="新宋体" w:cs="新宋体"/>
                <w:sz w:val="20"/>
                <w:szCs w:val="20"/>
                <w:lang w:val="en-US" w:eastAsia="zh-CN"/>
              </w:rPr>
              <w:t>2分</w:t>
            </w: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数字会议系统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科学的得0-1分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center"/>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视频会议系统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视频会议系统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科学的得1-2分；</w:t>
            </w: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sz w:val="20"/>
                <w:szCs w:val="20"/>
                <w:lang w:val="en-US" w:eastAsia="zh-CN"/>
              </w:rPr>
            </w:pPr>
            <w:r>
              <w:rPr>
                <w:rFonts w:hint="eastAsia" w:ascii="新宋体" w:hAnsi="新宋体" w:eastAsia="新宋体" w:cs="新宋体"/>
                <w:sz w:val="20"/>
                <w:szCs w:val="20"/>
                <w:lang w:val="en-US" w:eastAsia="zh-CN"/>
              </w:rPr>
              <w:t>2分</w:t>
            </w: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视频会议系统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科学的得0-1分</w:t>
            </w: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restart"/>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据对项目的实质了解性及针对性（根据对现场的实际勘察情况描述）提供</w:t>
            </w:r>
            <w:r>
              <w:rPr>
                <w:rFonts w:hint="eastAsia" w:ascii="新宋体" w:hAnsi="新宋体" w:eastAsia="新宋体" w:cs="新宋体"/>
                <w:color w:val="FF0000"/>
                <w:sz w:val="20"/>
                <w:szCs w:val="20"/>
                <w:lang w:val="en-US" w:eastAsia="zh-CN"/>
              </w:rPr>
              <w:t>机房系统</w:t>
            </w:r>
            <w:r>
              <w:rPr>
                <w:rFonts w:hint="eastAsia" w:ascii="新宋体" w:hAnsi="新宋体" w:eastAsia="新宋体" w:cs="新宋体"/>
                <w:i w:val="0"/>
                <w:iCs w:val="0"/>
                <w:color w:val="auto"/>
                <w:kern w:val="0"/>
                <w:sz w:val="20"/>
                <w:szCs w:val="20"/>
                <w:u w:val="none"/>
                <w:lang w:val="en-US" w:eastAsia="zh-CN" w:bidi="ar"/>
              </w:rPr>
              <w:t>拓扑图、施工安装图、线路布线图等各项施工技术方案进行打分。</w:t>
            </w: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机房系统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拓扑图、施工安装图、线路布线图整体构架完整</w:t>
            </w:r>
            <w:r>
              <w:rPr>
                <w:rFonts w:hint="eastAsia" w:ascii="新宋体" w:hAnsi="新宋体" w:eastAsia="新宋体" w:cs="新宋体"/>
                <w:color w:val="FF0000"/>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制作精良，方案阐述合理</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科学的得1-2分；</w:t>
            </w:r>
          </w:p>
        </w:tc>
        <w:tc>
          <w:tcPr>
            <w:tcW w:w="2253" w:type="dxa"/>
            <w:vMerge w:val="restart"/>
            <w:noWrap w:val="0"/>
            <w:vAlign w:val="center"/>
          </w:tcPr>
          <w:p>
            <w:pPr>
              <w:keepNext w:val="0"/>
              <w:keepLines w:val="0"/>
              <w:widowControl/>
              <w:suppressLineNumbers w:val="0"/>
              <w:jc w:val="center"/>
              <w:textAlignment w:val="center"/>
              <w:rPr>
                <w:rFonts w:hint="eastAsia" w:ascii="新宋体" w:hAnsi="新宋体" w:eastAsia="新宋体" w:cs="新宋体"/>
                <w:sz w:val="20"/>
                <w:szCs w:val="20"/>
                <w:lang w:val="en-US" w:eastAsia="zh-CN"/>
              </w:rPr>
            </w:pPr>
            <w:r>
              <w:rPr>
                <w:rFonts w:hint="eastAsia" w:ascii="新宋体" w:hAnsi="新宋体" w:eastAsia="新宋体" w:cs="新宋体"/>
                <w:sz w:val="20"/>
                <w:szCs w:val="20"/>
                <w:lang w:val="en-US" w:eastAsia="zh-CN"/>
              </w:rPr>
              <w:t>2分</w:t>
            </w: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提供的</w:t>
            </w:r>
            <w:r>
              <w:rPr>
                <w:rFonts w:hint="eastAsia" w:ascii="新宋体" w:hAnsi="新宋体" w:eastAsia="新宋体" w:cs="新宋体"/>
                <w:color w:val="FF0000"/>
                <w:sz w:val="20"/>
                <w:szCs w:val="20"/>
                <w:lang w:val="en-US" w:eastAsia="zh-CN"/>
              </w:rPr>
              <w:t>机房系统</w:t>
            </w:r>
            <w:r>
              <w:rPr>
                <w:rFonts w:hint="eastAsia" w:ascii="新宋体" w:hAnsi="新宋体" w:eastAsia="新宋体" w:cs="新宋体"/>
                <w:i w:val="0"/>
                <w:iCs w:val="0"/>
                <w:color w:val="auto"/>
                <w:kern w:val="0"/>
                <w:sz w:val="20"/>
                <w:szCs w:val="20"/>
                <w:u w:val="none"/>
                <w:lang w:val="en-US" w:eastAsia="zh-CN" w:bidi="ar"/>
              </w:rPr>
              <w:t>拓扑图、施工安装图、线路布线图整体构架基本完整</w:t>
            </w:r>
            <w:r>
              <w:rPr>
                <w:rFonts w:hint="eastAsia" w:ascii="新宋体" w:hAnsi="新宋体" w:eastAsia="新宋体" w:cs="新宋体"/>
                <w:color w:val="auto"/>
                <w:sz w:val="20"/>
                <w:szCs w:val="20"/>
                <w:lang w:val="en-US" w:eastAsia="zh-CN"/>
              </w:rPr>
              <w:t>、</w:t>
            </w:r>
            <w:r>
              <w:rPr>
                <w:rFonts w:hint="eastAsia" w:ascii="新宋体" w:hAnsi="新宋体" w:eastAsia="新宋体" w:cs="新宋体"/>
                <w:i w:val="0"/>
                <w:iCs w:val="0"/>
                <w:color w:val="auto"/>
                <w:kern w:val="0"/>
                <w:sz w:val="20"/>
                <w:szCs w:val="20"/>
                <w:u w:val="none"/>
                <w:lang w:val="en-US" w:eastAsia="zh-CN" w:bidi="ar"/>
              </w:rPr>
              <w:t>制作较精良，方案阐述较合理</w:t>
            </w:r>
            <w:r>
              <w:rPr>
                <w:rFonts w:hint="eastAsia" w:ascii="新宋体" w:hAnsi="新宋体" w:eastAsia="新宋体" w:cs="新宋体"/>
                <w:color w:val="auto"/>
                <w:sz w:val="20"/>
                <w:szCs w:val="20"/>
                <w:lang w:val="en-US" w:eastAsia="zh-CN"/>
              </w:rPr>
              <w:t>、较</w:t>
            </w:r>
            <w:r>
              <w:rPr>
                <w:rFonts w:hint="eastAsia" w:ascii="新宋体" w:hAnsi="新宋体" w:eastAsia="新宋体" w:cs="新宋体"/>
                <w:i w:val="0"/>
                <w:iCs w:val="0"/>
                <w:color w:val="auto"/>
                <w:kern w:val="0"/>
                <w:sz w:val="20"/>
                <w:szCs w:val="20"/>
                <w:u w:val="none"/>
                <w:lang w:val="en-US" w:eastAsia="zh-CN" w:bidi="ar"/>
              </w:rPr>
              <w:t>科学的得0-1分</w:t>
            </w: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5" w:type="dxa"/>
            <w:vMerge w:val="continue"/>
            <w:noWrap w:val="0"/>
            <w:vAlign w:val="center"/>
          </w:tcPr>
          <w:p>
            <w:pPr>
              <w:keepNext w:val="0"/>
              <w:keepLines w:val="0"/>
              <w:widowControl/>
              <w:suppressLineNumbers w:val="0"/>
              <w:jc w:val="left"/>
              <w:textAlignment w:val="center"/>
            </w:pPr>
          </w:p>
        </w:tc>
        <w:tc>
          <w:tcPr>
            <w:tcW w:w="1431"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2253" w:type="dxa"/>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r>
              <w:rPr>
                <w:rFonts w:hint="eastAsia" w:ascii="新宋体" w:hAnsi="新宋体" w:eastAsia="新宋体" w:cs="新宋体"/>
                <w:i w:val="0"/>
                <w:iCs w:val="0"/>
                <w:color w:val="auto"/>
                <w:kern w:val="0"/>
                <w:sz w:val="20"/>
                <w:szCs w:val="20"/>
                <w:u w:val="none"/>
                <w:lang w:val="en-US" w:eastAsia="zh-CN" w:bidi="ar"/>
              </w:rPr>
              <w:t>不提供方案不得分</w:t>
            </w:r>
          </w:p>
        </w:tc>
        <w:tc>
          <w:tcPr>
            <w:tcW w:w="2253"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c>
          <w:tcPr>
            <w:tcW w:w="765" w:type="dxa"/>
            <w:vMerge w:val="continue"/>
            <w:noWrap w:val="0"/>
            <w:vAlign w:val="center"/>
          </w:tcPr>
          <w:p>
            <w:pPr>
              <w:keepNext w:val="0"/>
              <w:keepLines w:val="0"/>
              <w:widowControl/>
              <w:suppressLineNumbers w:val="0"/>
              <w:jc w:val="left"/>
              <w:textAlignment w:val="center"/>
              <w:rPr>
                <w:rFonts w:hint="eastAsia" w:ascii="新宋体" w:hAnsi="新宋体" w:eastAsia="新宋体" w:cs="新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5</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项目实施方案</w:t>
            </w:r>
          </w:p>
        </w:tc>
        <w:tc>
          <w:tcPr>
            <w:tcW w:w="6759" w:type="dxa"/>
            <w:gridSpan w:val="3"/>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根据对采购单位现有建设情况的了解，提供本次项目与当前实际建设情况相符的建设技术方案。方案完整性、先进性好，且可实行性高的得5-6分；方案完整性、先进性较好，且具有一定可行性的得3-4分；方案完整性、先进性一般，或可行性较差的得1-2分；不提供方案不得分。</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6</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color w:val="auto"/>
                <w:sz w:val="20"/>
                <w:szCs w:val="20"/>
                <w:highlight w:val="none"/>
                <w:lang w:val="en-US" w:eastAsia="zh-CN"/>
              </w:rPr>
              <w:t>技术力量</w:t>
            </w:r>
          </w:p>
        </w:tc>
        <w:tc>
          <w:tcPr>
            <w:tcW w:w="6759" w:type="dxa"/>
            <w:gridSpan w:val="3"/>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新宋体" w:hAnsi="新宋体" w:eastAsia="新宋体" w:cs="新宋体"/>
                <w:color w:val="auto"/>
                <w:sz w:val="20"/>
                <w:szCs w:val="20"/>
                <w:highlight w:val="none"/>
              </w:rPr>
            </w:pPr>
            <w:r>
              <w:rPr>
                <w:rFonts w:hint="eastAsia" w:ascii="新宋体" w:hAnsi="新宋体" w:eastAsia="新宋体" w:cs="新宋体"/>
                <w:color w:val="auto"/>
                <w:sz w:val="20"/>
                <w:szCs w:val="20"/>
                <w:highlight w:val="none"/>
              </w:rPr>
              <w:t>根据拟派本项目负责人的专业素质、技术能力、经验及相关</w:t>
            </w:r>
            <w:r>
              <w:rPr>
                <w:rFonts w:hint="eastAsia" w:ascii="新宋体" w:hAnsi="新宋体" w:eastAsia="新宋体" w:cs="新宋体"/>
                <w:color w:val="auto"/>
                <w:sz w:val="20"/>
                <w:szCs w:val="20"/>
                <w:highlight w:val="none"/>
                <w:lang w:eastAsia="zh-CN"/>
              </w:rPr>
              <w:t>技术</w:t>
            </w:r>
            <w:r>
              <w:rPr>
                <w:rFonts w:hint="eastAsia" w:ascii="新宋体" w:hAnsi="新宋体" w:eastAsia="新宋体" w:cs="新宋体"/>
                <w:color w:val="auto"/>
                <w:sz w:val="20"/>
                <w:szCs w:val="20"/>
                <w:highlight w:val="none"/>
              </w:rPr>
              <w:t>人员的数量、配备、职称、能力等安排以及有无类似项目工作经验等评分；</w:t>
            </w:r>
          </w:p>
          <w:p>
            <w:pPr>
              <w:keepNext w:val="0"/>
              <w:keepLines w:val="0"/>
              <w:pageBreakBefore w:val="0"/>
              <w:numPr>
                <w:ilvl w:val="0"/>
                <w:numId w:val="8"/>
              </w:numPr>
              <w:kinsoku/>
              <w:wordWrap/>
              <w:overflowPunct/>
              <w:topLinePunct w:val="0"/>
              <w:autoSpaceDE/>
              <w:autoSpaceDN/>
              <w:bidi w:val="0"/>
              <w:adjustRightInd/>
              <w:snapToGrid/>
              <w:spacing w:line="320" w:lineRule="exact"/>
              <w:jc w:val="left"/>
              <w:textAlignment w:val="auto"/>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color w:val="auto"/>
                <w:sz w:val="20"/>
                <w:szCs w:val="20"/>
                <w:highlight w:val="none"/>
                <w:lang w:val="en-US" w:eastAsia="zh-CN"/>
              </w:rPr>
              <w:t>项目负责人</w:t>
            </w:r>
            <w:r>
              <w:rPr>
                <w:rFonts w:hint="eastAsia" w:ascii="新宋体" w:hAnsi="新宋体" w:eastAsia="新宋体" w:cs="新宋体"/>
                <w:i w:val="0"/>
                <w:iCs w:val="0"/>
                <w:color w:val="auto"/>
                <w:kern w:val="0"/>
                <w:sz w:val="20"/>
                <w:szCs w:val="20"/>
                <w:u w:val="none"/>
                <w:lang w:val="en-US" w:eastAsia="zh-CN" w:bidi="ar"/>
              </w:rPr>
              <w:t>具有高级及以上职业证书的得2分，具有中级职业证书的得1分，初级或无职业证书不得分；</w:t>
            </w:r>
          </w:p>
          <w:p>
            <w:pPr>
              <w:keepNext w:val="0"/>
              <w:keepLines w:val="0"/>
              <w:pageBreakBefore w:val="0"/>
              <w:numPr>
                <w:ilvl w:val="0"/>
                <w:numId w:val="8"/>
              </w:numPr>
              <w:kinsoku/>
              <w:wordWrap/>
              <w:overflowPunct/>
              <w:topLinePunct w:val="0"/>
              <w:autoSpaceDE/>
              <w:autoSpaceDN/>
              <w:bidi w:val="0"/>
              <w:adjustRightInd/>
              <w:snapToGrid/>
              <w:spacing w:line="320" w:lineRule="exact"/>
              <w:jc w:val="left"/>
              <w:textAlignment w:val="auto"/>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color w:val="auto"/>
                <w:sz w:val="20"/>
                <w:szCs w:val="20"/>
                <w:highlight w:val="none"/>
                <w:lang w:val="en-US" w:eastAsia="zh-CN"/>
              </w:rPr>
              <w:t>项目负责人</w:t>
            </w:r>
            <w:r>
              <w:rPr>
                <w:rFonts w:hint="eastAsia" w:ascii="新宋体" w:hAnsi="新宋体" w:eastAsia="新宋体" w:cs="新宋体"/>
                <w:i w:val="0"/>
                <w:iCs w:val="0"/>
                <w:color w:val="auto"/>
                <w:kern w:val="0"/>
                <w:sz w:val="20"/>
                <w:szCs w:val="20"/>
                <w:u w:val="none"/>
                <w:lang w:val="en-US" w:eastAsia="zh-CN" w:bidi="ar"/>
              </w:rPr>
              <w:t>有负责相关项目经验的得1分（提供相关证明材料），没有负责相关项目经验的不得分；</w:t>
            </w:r>
          </w:p>
          <w:p>
            <w:pPr>
              <w:pStyle w:val="2"/>
              <w:ind w:left="0" w:leftChars="0" w:firstLine="0" w:firstLineChars="0"/>
              <w:rPr>
                <w:rFonts w:hint="default"/>
                <w:lang w:val="en-US" w:eastAsia="zh-CN"/>
              </w:rPr>
            </w:pPr>
            <w:r>
              <w:rPr>
                <w:rFonts w:hint="eastAsia" w:ascii="新宋体" w:hAnsi="新宋体" w:eastAsia="新宋体" w:cs="新宋体"/>
                <w:i w:val="0"/>
                <w:iCs w:val="0"/>
                <w:color w:val="auto"/>
                <w:kern w:val="0"/>
                <w:sz w:val="20"/>
                <w:szCs w:val="20"/>
                <w:u w:val="none"/>
                <w:lang w:val="en-US" w:eastAsia="zh-CN" w:bidi="ar"/>
              </w:rPr>
              <w:t>3.提供技术团队配备方案，且方案合理能满足项目需求的得1分；</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新宋体" w:hAnsi="新宋体" w:eastAsia="新宋体" w:cs="新宋体"/>
                <w:color w:val="auto"/>
                <w:sz w:val="20"/>
                <w:szCs w:val="20"/>
                <w:highlight w:val="none"/>
              </w:rPr>
            </w:pPr>
            <w:r>
              <w:rPr>
                <w:rFonts w:hint="eastAsia" w:ascii="新宋体" w:hAnsi="新宋体" w:eastAsia="新宋体" w:cs="新宋体"/>
                <w:i w:val="0"/>
                <w:iCs w:val="0"/>
                <w:color w:val="auto"/>
                <w:kern w:val="0"/>
                <w:sz w:val="20"/>
                <w:szCs w:val="20"/>
                <w:u w:val="none"/>
                <w:lang w:val="en-US" w:eastAsia="zh-CN" w:bidi="ar"/>
              </w:rPr>
              <w:t>注：需提供人员相关证书扫描件，以及投标前连续近3个月在投标单位缴纳的完整社保缴纳清单扫描件并加盖投标人电子签章。如中标单位新成立不足3个月的，按实际缴纳情况提供相关人员在该单位的社保缴费清单。</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7</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售后服务方案</w:t>
            </w:r>
          </w:p>
        </w:tc>
        <w:tc>
          <w:tcPr>
            <w:tcW w:w="6759" w:type="dxa"/>
            <w:gridSpan w:val="3"/>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依据各投标人提供的质保期承诺、售后服务方案、备件供应承诺、巡检计划及现场服务措施，应急响应预案打分。</w:t>
            </w:r>
          </w:p>
          <w:p>
            <w:pPr>
              <w:pStyle w:val="2"/>
              <w:numPr>
                <w:ilvl w:val="0"/>
                <w:numId w:val="0"/>
              </w:numPr>
              <w:ind w:leftChars="0"/>
              <w:jc w:val="left"/>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sz w:val="20"/>
                <w:szCs w:val="20"/>
                <w:lang w:val="en-US" w:eastAsia="zh-CN"/>
              </w:rPr>
              <w:t>1.质保期延长2年</w:t>
            </w:r>
            <w:r>
              <w:rPr>
                <w:rFonts w:hint="eastAsia" w:ascii="新宋体" w:hAnsi="新宋体" w:eastAsia="新宋体" w:cs="新宋体"/>
                <w:i w:val="0"/>
                <w:iCs w:val="0"/>
                <w:color w:val="auto"/>
                <w:kern w:val="0"/>
                <w:sz w:val="20"/>
                <w:szCs w:val="20"/>
                <w:u w:val="none"/>
                <w:lang w:val="en-US" w:eastAsia="zh-CN" w:bidi="ar"/>
              </w:rPr>
              <w:t>、</w:t>
            </w:r>
            <w:r>
              <w:rPr>
                <w:rFonts w:hint="eastAsia" w:ascii="新宋体" w:hAnsi="新宋体" w:eastAsia="新宋体" w:cs="新宋体"/>
                <w:sz w:val="20"/>
                <w:szCs w:val="20"/>
                <w:lang w:val="en-US" w:eastAsia="zh-CN"/>
              </w:rPr>
              <w:t>承诺全面</w:t>
            </w:r>
            <w:r>
              <w:rPr>
                <w:rFonts w:hint="eastAsia" w:ascii="新宋体" w:hAnsi="新宋体" w:eastAsia="新宋体" w:cs="新宋体"/>
                <w:i w:val="0"/>
                <w:iCs w:val="0"/>
                <w:color w:val="auto"/>
                <w:kern w:val="0"/>
                <w:sz w:val="20"/>
                <w:szCs w:val="20"/>
                <w:u w:val="none"/>
                <w:lang w:val="en-US" w:eastAsia="zh-CN" w:bidi="ar"/>
              </w:rPr>
              <w:t>、保障措施完善、备品备件充足、应急响应预案可靠得6分；</w:t>
            </w:r>
          </w:p>
          <w:p>
            <w:pPr>
              <w:pStyle w:val="2"/>
              <w:numPr>
                <w:ilvl w:val="0"/>
                <w:numId w:val="0"/>
              </w:numPr>
              <w:ind w:leftChars="0"/>
              <w:jc w:val="left"/>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sz w:val="20"/>
                <w:szCs w:val="20"/>
                <w:lang w:val="en-US" w:eastAsia="zh-CN"/>
              </w:rPr>
              <w:t>2.质保期延长1年</w:t>
            </w:r>
            <w:r>
              <w:rPr>
                <w:rFonts w:hint="eastAsia" w:ascii="新宋体" w:hAnsi="新宋体" w:eastAsia="新宋体" w:cs="新宋体"/>
                <w:i w:val="0"/>
                <w:iCs w:val="0"/>
                <w:color w:val="auto"/>
                <w:kern w:val="0"/>
                <w:sz w:val="20"/>
                <w:szCs w:val="20"/>
                <w:u w:val="none"/>
                <w:lang w:val="en-US" w:eastAsia="zh-CN" w:bidi="ar"/>
              </w:rPr>
              <w:t>、</w:t>
            </w:r>
            <w:r>
              <w:rPr>
                <w:rFonts w:hint="eastAsia" w:ascii="新宋体" w:hAnsi="新宋体" w:eastAsia="新宋体" w:cs="新宋体"/>
                <w:sz w:val="20"/>
                <w:szCs w:val="20"/>
                <w:lang w:val="en-US" w:eastAsia="zh-CN"/>
              </w:rPr>
              <w:t>承诺较全面</w:t>
            </w:r>
            <w:r>
              <w:rPr>
                <w:rFonts w:hint="eastAsia" w:ascii="新宋体" w:hAnsi="新宋体" w:eastAsia="新宋体" w:cs="新宋体"/>
                <w:i w:val="0"/>
                <w:iCs w:val="0"/>
                <w:color w:val="auto"/>
                <w:kern w:val="0"/>
                <w:sz w:val="20"/>
                <w:szCs w:val="20"/>
                <w:u w:val="none"/>
                <w:lang w:val="en-US" w:eastAsia="zh-CN" w:bidi="ar"/>
              </w:rPr>
              <w:t>、保障措施较完善、备品备件较充足、应急响应预案较可靠得5分；</w:t>
            </w:r>
          </w:p>
          <w:p>
            <w:pPr>
              <w:pStyle w:val="2"/>
              <w:numPr>
                <w:ilvl w:val="0"/>
                <w:numId w:val="0"/>
              </w:numPr>
              <w:ind w:leftChars="0"/>
              <w:jc w:val="left"/>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3.</w:t>
            </w:r>
            <w:r>
              <w:rPr>
                <w:rFonts w:hint="eastAsia" w:ascii="新宋体" w:hAnsi="新宋体" w:eastAsia="新宋体" w:cs="新宋体"/>
                <w:sz w:val="20"/>
                <w:szCs w:val="20"/>
                <w:lang w:val="en-US" w:eastAsia="zh-CN"/>
              </w:rPr>
              <w:t>质保期满足</w:t>
            </w:r>
            <w:r>
              <w:rPr>
                <w:rFonts w:hint="eastAsia" w:ascii="新宋体" w:hAnsi="新宋体" w:eastAsia="新宋体" w:cs="新宋体"/>
                <w:i w:val="0"/>
                <w:iCs w:val="0"/>
                <w:color w:val="auto"/>
                <w:kern w:val="0"/>
                <w:sz w:val="20"/>
                <w:szCs w:val="20"/>
                <w:u w:val="none"/>
                <w:lang w:val="en-US" w:eastAsia="zh-CN" w:bidi="ar"/>
              </w:rPr>
              <w:t>、</w:t>
            </w:r>
            <w:r>
              <w:rPr>
                <w:rFonts w:hint="eastAsia" w:ascii="新宋体" w:hAnsi="新宋体" w:eastAsia="新宋体" w:cs="新宋体"/>
                <w:sz w:val="20"/>
                <w:szCs w:val="20"/>
                <w:lang w:val="en-US" w:eastAsia="zh-CN"/>
              </w:rPr>
              <w:t>承诺较全面</w:t>
            </w:r>
            <w:r>
              <w:rPr>
                <w:rFonts w:hint="eastAsia" w:ascii="新宋体" w:hAnsi="新宋体" w:eastAsia="新宋体" w:cs="新宋体"/>
                <w:i w:val="0"/>
                <w:iCs w:val="0"/>
                <w:color w:val="auto"/>
                <w:kern w:val="0"/>
                <w:sz w:val="20"/>
                <w:szCs w:val="20"/>
                <w:u w:val="none"/>
                <w:lang w:val="en-US" w:eastAsia="zh-CN" w:bidi="ar"/>
              </w:rPr>
              <w:t>、保障措施较完善、备品备件较充足、应急响应预案较可靠得4分；</w:t>
            </w:r>
          </w:p>
          <w:p>
            <w:pPr>
              <w:pStyle w:val="2"/>
              <w:numPr>
                <w:ilvl w:val="0"/>
                <w:numId w:val="0"/>
              </w:numPr>
              <w:ind w:leftChars="0"/>
              <w:jc w:val="left"/>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4.</w:t>
            </w:r>
            <w:r>
              <w:rPr>
                <w:rFonts w:hint="eastAsia" w:ascii="新宋体" w:hAnsi="新宋体" w:eastAsia="新宋体" w:cs="新宋体"/>
                <w:sz w:val="20"/>
                <w:szCs w:val="20"/>
                <w:lang w:val="en-US" w:eastAsia="zh-CN"/>
              </w:rPr>
              <w:t>质保期满足</w:t>
            </w:r>
            <w:r>
              <w:rPr>
                <w:rFonts w:hint="eastAsia" w:ascii="新宋体" w:hAnsi="新宋体" w:eastAsia="新宋体" w:cs="新宋体"/>
                <w:i w:val="0"/>
                <w:iCs w:val="0"/>
                <w:color w:val="auto"/>
                <w:kern w:val="0"/>
                <w:sz w:val="20"/>
                <w:szCs w:val="20"/>
                <w:u w:val="none"/>
                <w:lang w:val="en-US" w:eastAsia="zh-CN" w:bidi="ar"/>
              </w:rPr>
              <w:t>、</w:t>
            </w:r>
            <w:r>
              <w:rPr>
                <w:rFonts w:hint="eastAsia" w:ascii="新宋体" w:hAnsi="新宋体" w:eastAsia="新宋体" w:cs="新宋体"/>
                <w:sz w:val="20"/>
                <w:szCs w:val="20"/>
                <w:lang w:val="en-US" w:eastAsia="zh-CN"/>
              </w:rPr>
              <w:t>承诺不够全面</w:t>
            </w:r>
            <w:r>
              <w:rPr>
                <w:rFonts w:hint="eastAsia" w:ascii="新宋体" w:hAnsi="新宋体" w:eastAsia="新宋体" w:cs="新宋体"/>
                <w:i w:val="0"/>
                <w:iCs w:val="0"/>
                <w:color w:val="auto"/>
                <w:kern w:val="0"/>
                <w:sz w:val="20"/>
                <w:szCs w:val="20"/>
                <w:u w:val="none"/>
                <w:lang w:val="en-US" w:eastAsia="zh-CN" w:bidi="ar"/>
              </w:rPr>
              <w:t>、保障措施不够完善、备品备件不够充足、应急响应预案不够可靠得3分；</w:t>
            </w:r>
          </w:p>
          <w:p>
            <w:pPr>
              <w:pStyle w:val="2"/>
              <w:numPr>
                <w:ilvl w:val="0"/>
                <w:numId w:val="0"/>
              </w:numPr>
              <w:ind w:leftChars="0"/>
              <w:jc w:val="left"/>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5.</w:t>
            </w:r>
            <w:r>
              <w:rPr>
                <w:rFonts w:hint="eastAsia" w:ascii="新宋体" w:hAnsi="新宋体" w:eastAsia="新宋体" w:cs="新宋体"/>
                <w:sz w:val="20"/>
                <w:szCs w:val="20"/>
                <w:lang w:val="en-US" w:eastAsia="zh-CN"/>
              </w:rPr>
              <w:t>质保期满足</w:t>
            </w:r>
            <w:r>
              <w:rPr>
                <w:rFonts w:hint="eastAsia" w:ascii="新宋体" w:hAnsi="新宋体" w:eastAsia="新宋体" w:cs="新宋体"/>
                <w:i w:val="0"/>
                <w:iCs w:val="0"/>
                <w:color w:val="auto"/>
                <w:kern w:val="0"/>
                <w:sz w:val="20"/>
                <w:szCs w:val="20"/>
                <w:u w:val="none"/>
                <w:lang w:val="en-US" w:eastAsia="zh-CN" w:bidi="ar"/>
              </w:rPr>
              <w:t>、</w:t>
            </w:r>
            <w:r>
              <w:rPr>
                <w:rFonts w:hint="eastAsia" w:ascii="新宋体" w:hAnsi="新宋体" w:eastAsia="新宋体" w:cs="新宋体"/>
                <w:sz w:val="20"/>
                <w:szCs w:val="20"/>
                <w:lang w:val="en-US" w:eastAsia="zh-CN"/>
              </w:rPr>
              <w:t>承诺不全面</w:t>
            </w:r>
            <w:r>
              <w:rPr>
                <w:rFonts w:hint="eastAsia" w:ascii="新宋体" w:hAnsi="新宋体" w:eastAsia="新宋体" w:cs="新宋体"/>
                <w:i w:val="0"/>
                <w:iCs w:val="0"/>
                <w:color w:val="auto"/>
                <w:kern w:val="0"/>
                <w:sz w:val="20"/>
                <w:szCs w:val="20"/>
                <w:u w:val="none"/>
                <w:lang w:val="en-US" w:eastAsia="zh-CN" w:bidi="ar"/>
              </w:rPr>
              <w:t>、保障措施不完善、备品备件不充足、应急响应预案不可靠得1-2分；</w:t>
            </w:r>
          </w:p>
          <w:p>
            <w:pPr>
              <w:pStyle w:val="2"/>
              <w:numPr>
                <w:ilvl w:val="0"/>
                <w:numId w:val="0"/>
              </w:numPr>
              <w:ind w:leftChars="0"/>
              <w:jc w:val="left"/>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6.无此方案和承诺不得分。</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8</w:t>
            </w:r>
          </w:p>
        </w:tc>
        <w:tc>
          <w:tcPr>
            <w:tcW w:w="1431" w:type="dxa"/>
            <w:noWrap w:val="0"/>
            <w:vAlign w:val="center"/>
          </w:tcPr>
          <w:p>
            <w:pPr>
              <w:keepNext w:val="0"/>
              <w:keepLines w:val="0"/>
              <w:widowControl/>
              <w:suppressLineNumbers w:val="0"/>
              <w:jc w:val="center"/>
              <w:textAlignment w:val="center"/>
              <w:rPr>
                <w:rFonts w:hint="default"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节能环保</w:t>
            </w:r>
          </w:p>
        </w:tc>
        <w:tc>
          <w:tcPr>
            <w:tcW w:w="6759" w:type="dxa"/>
            <w:gridSpan w:val="3"/>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投标产品属于品目清单范围且提供国家确定的认证机构出具的处于有效期之内的节能产品认证证书（扫描件加盖公章）的得1分；</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投标产品属于品目清单范围且提供国家确定的认证机构出具的处于有效期之内的环境标志产品认证证书（扫描件加盖公章）的得1分。</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noWrap w:val="0"/>
            <w:vAlign w:val="center"/>
          </w:tcPr>
          <w:p>
            <w:pPr>
              <w:keepNext w:val="0"/>
              <w:keepLines w:val="0"/>
              <w:widowControl/>
              <w:suppressLineNumbers w:val="0"/>
              <w:jc w:val="center"/>
              <w:textAlignment w:val="center"/>
              <w:rPr>
                <w:rFonts w:hint="default"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9</w:t>
            </w:r>
          </w:p>
        </w:tc>
        <w:tc>
          <w:tcPr>
            <w:tcW w:w="1431" w:type="dxa"/>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color w:val="auto"/>
                <w:sz w:val="20"/>
                <w:szCs w:val="20"/>
                <w:highlight w:val="none"/>
              </w:rPr>
              <w:t>合理化建议</w:t>
            </w:r>
          </w:p>
        </w:tc>
        <w:tc>
          <w:tcPr>
            <w:tcW w:w="6759" w:type="dxa"/>
            <w:gridSpan w:val="3"/>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color w:val="auto"/>
                <w:sz w:val="20"/>
                <w:szCs w:val="20"/>
                <w:highlight w:val="none"/>
              </w:rPr>
              <w:t>投标人提供针对本项目的合理化建议方案，由评委评价打分。</w:t>
            </w:r>
            <w:r>
              <w:rPr>
                <w:rFonts w:hint="eastAsia" w:ascii="新宋体" w:hAnsi="新宋体" w:eastAsia="新宋体" w:cs="新宋体"/>
                <w:color w:val="auto"/>
                <w:sz w:val="20"/>
                <w:szCs w:val="20"/>
                <w:highlight w:val="none"/>
                <w:lang w:val="en-US" w:eastAsia="zh-CN"/>
              </w:rPr>
              <w:t>建议方案有先进性，具备可行性的得2分；建议方案创新性一般，或可行性较差的得1分；不提供不得分。</w:t>
            </w:r>
          </w:p>
        </w:tc>
        <w:tc>
          <w:tcPr>
            <w:tcW w:w="765" w:type="dxa"/>
            <w:noWrap w:val="0"/>
            <w:vAlign w:val="center"/>
          </w:tcPr>
          <w:p>
            <w:pPr>
              <w:keepNext w:val="0"/>
              <w:keepLines w:val="0"/>
              <w:widowControl/>
              <w:suppressLineNumbers w:val="0"/>
              <w:jc w:val="center"/>
              <w:textAlignment w:val="center"/>
              <w:rPr>
                <w:rFonts w:hint="eastAsia" w:ascii="新宋体" w:hAnsi="新宋体" w:eastAsia="新宋体" w:cs="新宋体"/>
                <w:b/>
                <w:bCs/>
                <w:i w:val="0"/>
                <w:iCs w:val="0"/>
                <w:color w:val="auto"/>
                <w:kern w:val="0"/>
                <w:sz w:val="20"/>
                <w:szCs w:val="20"/>
                <w:u w:val="none"/>
                <w:lang w:val="en-US" w:eastAsia="zh-CN" w:bidi="ar"/>
              </w:rPr>
            </w:pPr>
            <w:r>
              <w:rPr>
                <w:rFonts w:hint="eastAsia" w:ascii="新宋体" w:hAnsi="新宋体" w:eastAsia="新宋体" w:cs="新宋体"/>
                <w:b/>
                <w:bCs/>
                <w:i w:val="0"/>
                <w:iCs w:val="0"/>
                <w:color w:val="auto"/>
                <w:kern w:val="0"/>
                <w:sz w:val="20"/>
                <w:szCs w:val="20"/>
                <w:u w:val="none"/>
                <w:lang w:val="en-US" w:eastAsia="zh-CN" w:bidi="ar"/>
              </w:rPr>
              <w:t>2分</w:t>
            </w:r>
          </w:p>
        </w:tc>
      </w:tr>
    </w:tbl>
    <w:p>
      <w:pPr>
        <w:widowControl w:val="0"/>
        <w:snapToGrid w:val="0"/>
        <w:spacing w:line="500" w:lineRule="exact"/>
        <w:jc w:val="left"/>
        <w:rPr>
          <w:rFonts w:hint="eastAsia" w:ascii="宋体" w:cs="宋体"/>
          <w:kern w:val="0"/>
          <w:sz w:val="24"/>
          <w:szCs w:val="24"/>
        </w:rPr>
      </w:pPr>
    </w:p>
    <w:p>
      <w:pPr>
        <w:widowControl w:val="0"/>
        <w:snapToGrid w:val="0"/>
        <w:spacing w:line="500" w:lineRule="exact"/>
        <w:ind w:firstLine="480" w:firstLineChars="200"/>
        <w:jc w:val="left"/>
        <w:rPr>
          <w:rFonts w:hint="eastAsia" w:ascii="宋体" w:cs="宋体"/>
          <w:kern w:val="0"/>
          <w:sz w:val="24"/>
          <w:szCs w:val="24"/>
        </w:rPr>
      </w:pPr>
      <w:bookmarkStart w:id="28" w:name="_Toc345320401"/>
      <w:r>
        <w:rPr>
          <w:rFonts w:hint="eastAsia" w:ascii="宋体" w:cs="宋体"/>
          <w:kern w:val="0"/>
          <w:sz w:val="24"/>
          <w:szCs w:val="24"/>
        </w:rPr>
        <w:t>5.2 价格分</w:t>
      </w:r>
      <w:bookmarkEnd w:id="28"/>
      <w:r>
        <w:rPr>
          <w:rFonts w:hint="eastAsia" w:ascii="宋体" w:cs="宋体"/>
          <w:kern w:val="0"/>
          <w:sz w:val="24"/>
          <w:szCs w:val="24"/>
        </w:rPr>
        <w:t>（30分）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价格评分将在有效投标人范围内进行，最高得30分，最低得 0分（小数点后保留二位小数，第三位四舍五入）。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5.2.1</w:t>
      </w:r>
      <w:r>
        <w:rPr>
          <w:rFonts w:hint="eastAsia" w:ascii="宋体" w:cs="宋体"/>
          <w:color w:val="FF0000"/>
          <w:kern w:val="0"/>
          <w:sz w:val="24"/>
          <w:szCs w:val="24"/>
        </w:rPr>
        <w:t>评标价：在投标价基础上经政策调整及修正过后确定的价格</w:t>
      </w:r>
      <w:r>
        <w:rPr>
          <w:rFonts w:hint="eastAsia" w:ascii="宋体" w:cs="宋体"/>
          <w:kern w:val="0"/>
          <w:sz w:val="24"/>
          <w:szCs w:val="24"/>
        </w:rPr>
        <w:t>。评标价仅作为价格标评审的依据，不等同于中标价、合同价。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5.2.2评定评标基准价：技术入围投标人中的最低评标价作为评标基准价。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5.2.3报价得分=</w:t>
      </w:r>
      <w:r>
        <w:rPr>
          <w:rFonts w:hint="eastAsia" w:ascii="宋体" w:cs="宋体"/>
          <w:color w:val="FF0000"/>
          <w:kern w:val="0"/>
          <w:sz w:val="24"/>
          <w:szCs w:val="24"/>
        </w:rPr>
        <w:t>（评标基准价/评标价）</w:t>
      </w:r>
      <w:r>
        <w:rPr>
          <w:rFonts w:hint="eastAsia" w:ascii="宋体" w:cs="宋体"/>
          <w:kern w:val="0"/>
          <w:sz w:val="24"/>
          <w:szCs w:val="24"/>
        </w:rPr>
        <w:t>×（100-商务技术分权值）</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5.2.4落实政府采购政策说明：</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根据相关规定，在评审时对符合本办法规定的小微企业报价给予（</w:t>
      </w:r>
      <w:r>
        <w:rPr>
          <w:rFonts w:hint="eastAsia" w:ascii="宋体" w:cs="宋体"/>
          <w:kern w:val="0"/>
          <w:sz w:val="24"/>
          <w:szCs w:val="24"/>
          <w:lang w:val="en-US" w:eastAsia="zh-CN"/>
        </w:rPr>
        <w:t>2</w:t>
      </w:r>
      <w:r>
        <w:rPr>
          <w:rFonts w:hint="eastAsia" w:ascii="宋体" w:cs="宋体"/>
          <w:kern w:val="0"/>
          <w:sz w:val="24"/>
          <w:szCs w:val="24"/>
        </w:rPr>
        <w:t>0%）的扣除，取扣除后的价格作为最终投标报价（此最终投标报价仅作为评标价计算价格分）。</w:t>
      </w:r>
      <w:r>
        <w:rPr>
          <w:rFonts w:hint="eastAsia" w:ascii="宋体" w:cs="宋体"/>
          <w:color w:val="FF0000"/>
          <w:kern w:val="0"/>
          <w:sz w:val="24"/>
          <w:szCs w:val="24"/>
        </w:rPr>
        <w:t>中小企业参加政府采购活动</w:t>
      </w:r>
      <w:r>
        <w:rPr>
          <w:rFonts w:hint="eastAsia" w:ascii="宋体" w:cs="宋体"/>
          <w:kern w:val="0"/>
          <w:sz w:val="24"/>
          <w:szCs w:val="24"/>
        </w:rPr>
        <w:t>，应当出具本办法规定的《中小企业声明函》，否则不得享受相关中小企业扶持政策。</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color w:val="FF0000"/>
          <w:kern w:val="0"/>
          <w:sz w:val="24"/>
          <w:szCs w:val="24"/>
        </w:rPr>
        <w:t>接受大中型企业与小微企业组成联合体或者允许大中型企业向一家或者多家小微企业分包</w:t>
      </w:r>
      <w:r>
        <w:rPr>
          <w:rFonts w:hint="eastAsia" w:ascii="宋体" w:cs="宋体"/>
          <w:kern w:val="0"/>
          <w:sz w:val="24"/>
          <w:szCs w:val="24"/>
        </w:rPr>
        <w:t>的采购项目，对于联合协议或者分包意向协议约定小微企业的合同份额占到合同总金额 30%以上的，对联合体或者大中型企业的报价给予</w:t>
      </w:r>
      <w:r>
        <w:rPr>
          <w:rFonts w:hint="eastAsia" w:ascii="宋体" w:cs="宋体"/>
          <w:kern w:val="0"/>
          <w:sz w:val="24"/>
          <w:szCs w:val="24"/>
          <w:lang w:eastAsia="zh-CN"/>
        </w:rPr>
        <w:t>（</w:t>
      </w:r>
      <w:r>
        <w:rPr>
          <w:rFonts w:hint="eastAsia" w:ascii="宋体" w:cs="宋体"/>
          <w:kern w:val="0"/>
          <w:sz w:val="24"/>
          <w:szCs w:val="24"/>
          <w:lang w:val="en-US" w:eastAsia="zh-CN"/>
        </w:rPr>
        <w:t>6</w:t>
      </w:r>
      <w:r>
        <w:rPr>
          <w:rFonts w:hint="eastAsia" w:ascii="宋体" w:cs="宋体"/>
          <w:kern w:val="0"/>
          <w:sz w:val="24"/>
          <w:szCs w:val="24"/>
        </w:rPr>
        <w:t>%</w:t>
      </w:r>
      <w:r>
        <w:rPr>
          <w:rFonts w:hint="eastAsia" w:ascii="宋体" w:cs="宋体"/>
          <w:kern w:val="0"/>
          <w:sz w:val="24"/>
          <w:szCs w:val="24"/>
          <w:lang w:eastAsia="zh-CN"/>
        </w:rPr>
        <w:t>）</w:t>
      </w:r>
      <w:r>
        <w:rPr>
          <w:rFonts w:hint="eastAsia" w:ascii="宋体" w:cs="宋体"/>
          <w:kern w:val="0"/>
          <w:sz w:val="24"/>
          <w:szCs w:val="24"/>
        </w:rPr>
        <w:t>的扣除，用扣除后的价格参加评审。</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组成联合体或者接受分包的小微企业与联合体内其他企业、分包企业之间存在直接控股、管理关系的，不享受价格扣除优惠政策。</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符合以下要求之一的投标人被认定为小型、微型企业：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投标人按照《关于印发中小企业划型标准规定的通知》（工信部联企业〔2011〕300号）的所属行业规定为小型、微型企业【按《关于印发中小企业划型标准规定的通知》规定提供《中小企业声明函》】；</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监狱企业参加投标【提供《监狱企业声明函》及其相关的充分的证明材料】，视为小型、微型企业，享受小微企业政策扶持。监狱企业属于小型、微型企业的，不重复享受扶持政策。</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    残疾人福利性单位参加投标【提供《残疾人福利性单位声明函》】，视为小型、微型企业，享受小微企业政策扶持，残疾人福利性单位属于小型、微型企业的，不重复享受扶持政策。</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此项由评标委员会集体核实后统一打分。</w:t>
      </w:r>
    </w:p>
    <w:p>
      <w:pPr>
        <w:widowControl w:val="0"/>
        <w:snapToGrid w:val="0"/>
        <w:spacing w:line="500" w:lineRule="exact"/>
        <w:jc w:val="left"/>
        <w:rPr>
          <w:rFonts w:hint="eastAsia" w:ascii="宋体" w:cs="宋体"/>
          <w:b/>
          <w:bCs/>
          <w:kern w:val="0"/>
          <w:sz w:val="32"/>
          <w:szCs w:val="32"/>
        </w:rPr>
      </w:pPr>
      <w:bookmarkStart w:id="29" w:name="_Toc29140"/>
      <w:r>
        <w:rPr>
          <w:rFonts w:hint="eastAsia" w:ascii="宋体" w:cs="宋体"/>
          <w:b/>
          <w:bCs/>
          <w:kern w:val="0"/>
          <w:sz w:val="32"/>
          <w:szCs w:val="32"/>
        </w:rPr>
        <w:t>六、重新评审</w:t>
      </w:r>
      <w:bookmarkEnd w:id="29"/>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评审结果形成后，除下列情形外，任何人不得重新评审：</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（一）分值汇总计算错误的；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（二）分项评分超出评分标准范围的；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（三）评标委员会成员对客观评审因素评分不一致的；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（四）经评标委员会认定评分畸高、畸低的。</w:t>
      </w:r>
    </w:p>
    <w:p>
      <w:pPr>
        <w:widowControl w:val="0"/>
        <w:snapToGrid w:val="0"/>
        <w:spacing w:line="500" w:lineRule="exact"/>
        <w:jc w:val="left"/>
        <w:rPr>
          <w:rFonts w:hint="eastAsia" w:ascii="宋体" w:cs="宋体"/>
          <w:kern w:val="0"/>
          <w:sz w:val="24"/>
          <w:szCs w:val="24"/>
        </w:rPr>
      </w:pPr>
    </w:p>
    <w:p>
      <w:pPr>
        <w:widowControl w:val="0"/>
        <w:spacing w:line="780" w:lineRule="exact"/>
        <w:rPr>
          <w:rFonts w:hint="eastAsia" w:ascii="宋体" w:cs="宋体"/>
        </w:rPr>
      </w:pPr>
      <w:r>
        <w:rPr>
          <w:rFonts w:hint="eastAsia" w:ascii="宋体" w:cs="宋体"/>
        </w:rPr>
        <w:br w:type="page"/>
      </w: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b/>
          <w:bCs/>
          <w:sz w:val="52"/>
          <w:szCs w:val="52"/>
        </w:rPr>
        <w:t>第四章</w:t>
      </w:r>
    </w:p>
    <w:p>
      <w:pPr>
        <w:widowControl w:val="0"/>
        <w:spacing w:line="780" w:lineRule="exact"/>
        <w:jc w:val="center"/>
        <w:rPr>
          <w:rFonts w:hint="eastAsia" w:ascii="宋体" w:cs="宋体"/>
          <w:b/>
          <w:bCs/>
          <w:sz w:val="52"/>
          <w:szCs w:val="52"/>
        </w:rPr>
      </w:pPr>
      <w:r>
        <w:rPr>
          <w:rFonts w:hint="eastAsia" w:ascii="宋体" w:cs="宋体"/>
          <w:b/>
          <w:bCs/>
          <w:sz w:val="52"/>
          <w:szCs w:val="52"/>
        </w:rPr>
        <w:t>技术服务要求及货物需求一览表</w:t>
      </w:r>
    </w:p>
    <w:p>
      <w:pPr>
        <w:widowControl w:val="0"/>
        <w:spacing w:line="360" w:lineRule="auto"/>
        <w:rPr>
          <w:rFonts w:hint="eastAsia" w:ascii="宋体" w:cs="宋体"/>
          <w:b/>
          <w:bCs/>
          <w:sz w:val="24"/>
          <w:szCs w:val="24"/>
        </w:rPr>
      </w:pPr>
    </w:p>
    <w:p>
      <w:pPr>
        <w:widowControl w:val="0"/>
        <w:spacing w:line="360" w:lineRule="auto"/>
        <w:rPr>
          <w:rFonts w:hint="eastAsia" w:ascii="宋体" w:cs="宋体"/>
        </w:rPr>
      </w:pPr>
    </w:p>
    <w:p>
      <w:pPr>
        <w:widowControl w:val="0"/>
        <w:spacing w:line="780" w:lineRule="exact"/>
        <w:jc w:val="center"/>
        <w:rPr>
          <w:rFonts w:hint="eastAsia" w:ascii="宋体" w:cs="宋体"/>
          <w:b/>
          <w:bCs/>
          <w:color w:val="FF0000"/>
          <w:sz w:val="52"/>
          <w:szCs w:val="52"/>
        </w:rPr>
      </w:pPr>
      <w:r>
        <w:rPr>
          <w:rFonts w:hint="eastAsia" w:ascii="宋体" w:cs="宋体"/>
          <w:color w:val="000000"/>
          <w:sz w:val="32"/>
          <w:szCs w:val="32"/>
        </w:rPr>
        <w:br w:type="page"/>
      </w:r>
      <w:r>
        <w:rPr>
          <w:rFonts w:hint="eastAsia" w:ascii="宋体" w:cs="宋体"/>
          <w:b/>
          <w:bCs/>
          <w:color w:val="FF0000"/>
          <w:sz w:val="52"/>
          <w:szCs w:val="52"/>
        </w:rPr>
        <w:t>技术服务要求及货物需求一览表</w:t>
      </w:r>
      <w:bookmarkStart w:id="30" w:name="_Toc212628254"/>
      <w:bookmarkStart w:id="31" w:name="_Toc173836489"/>
      <w:bookmarkStart w:id="32" w:name="_Toc202244736"/>
      <w:bookmarkStart w:id="33" w:name="_Toc172029178"/>
    </w:p>
    <w:bookmarkEnd w:id="30"/>
    <w:bookmarkEnd w:id="31"/>
    <w:bookmarkEnd w:id="32"/>
    <w:bookmarkEnd w:id="33"/>
    <w:p>
      <w:pPr>
        <w:pStyle w:val="2"/>
        <w:rPr>
          <w:rFonts w:hint="eastAsia" w:ascii="宋体" w:hAnsi="宋体" w:cs="宋体"/>
        </w:rPr>
      </w:pPr>
    </w:p>
    <w:p>
      <w:pPr>
        <w:pStyle w:val="95"/>
        <w:numPr>
          <w:ilvl w:val="0"/>
          <w:numId w:val="9"/>
        </w:numPr>
        <w:tabs>
          <w:tab w:val="left" w:pos="1134"/>
        </w:tabs>
        <w:spacing w:before="120" w:beforeLines="50" w:after="120" w:afterLines="50" w:line="360" w:lineRule="auto"/>
        <w:ind w:firstLineChars="0"/>
        <w:jc w:val="center"/>
        <w:outlineLvl w:val="0"/>
        <w:rPr>
          <w:rFonts w:ascii="宋体" w:hAnsi="宋体" w:eastAsia="宋体"/>
          <w:b/>
          <w:sz w:val="32"/>
          <w:szCs w:val="32"/>
        </w:rPr>
      </w:pPr>
      <w:bookmarkStart w:id="34" w:name="_Toc10009"/>
      <w:r>
        <w:rPr>
          <w:rFonts w:hint="eastAsia" w:ascii="宋体" w:hAnsi="宋体" w:eastAsia="宋体"/>
          <w:b/>
          <w:sz w:val="32"/>
          <w:szCs w:val="32"/>
        </w:rPr>
        <w:t>项目概述</w:t>
      </w:r>
      <w:bookmarkEnd w:id="34"/>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35" w:name="_Toc31787"/>
      <w:r>
        <w:rPr>
          <w:rFonts w:hint="eastAsia" w:ascii="宋体" w:hAnsi="宋体" w:eastAsia="宋体"/>
          <w:b/>
          <w:sz w:val="30"/>
          <w:szCs w:val="30"/>
        </w:rPr>
        <w:t>概述</w:t>
      </w:r>
      <w:bookmarkEnd w:id="35"/>
    </w:p>
    <w:p>
      <w:pPr>
        <w:spacing w:line="360" w:lineRule="auto"/>
        <w:ind w:firstLine="480" w:firstLineChars="200"/>
        <w:rPr>
          <w:rFonts w:hint="eastAsia"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本项目位于永康市融媒体中心大院内东侧的原市广电新闻技术交流中心大楼，东临望江路，大楼用地面积为11456.68平方米，总建筑面积为22387平方米。</w:t>
      </w:r>
    </w:p>
    <w:p>
      <w:pPr>
        <w:spacing w:line="360" w:lineRule="auto"/>
        <w:ind w:firstLine="480" w:firstLineChars="200"/>
        <w:rPr>
          <w:rFonts w:ascii="宋体" w:hAnsi="宋体" w:eastAsia="宋体" w:cs="Arial"/>
          <w:color w:val="191919"/>
          <w:sz w:val="24"/>
          <w:szCs w:val="24"/>
          <w:shd w:val="clear" w:color="auto" w:fill="FFFFFF"/>
        </w:rPr>
      </w:pPr>
      <w:r>
        <w:rPr>
          <w:rFonts w:ascii="宋体" w:hAnsi="宋体" w:eastAsia="宋体" w:cs="Arial"/>
          <w:color w:val="191919"/>
          <w:sz w:val="24"/>
          <w:szCs w:val="24"/>
          <w:shd w:val="clear" w:color="auto" w:fill="FFFFFF"/>
        </w:rPr>
        <w:t>城市</w:t>
      </w:r>
      <w:r>
        <w:rPr>
          <w:rFonts w:hint="eastAsia" w:ascii="宋体" w:hAnsi="宋体" w:eastAsia="宋体" w:cs="Arial"/>
          <w:color w:val="191919"/>
          <w:sz w:val="24"/>
          <w:szCs w:val="24"/>
          <w:shd w:val="clear" w:color="auto" w:fill="FFFFFF"/>
          <w:lang w:eastAsia="zh-CN"/>
        </w:rPr>
        <w:t>指挥调度中心</w:t>
      </w:r>
      <w:r>
        <w:rPr>
          <w:rFonts w:ascii="宋体" w:hAnsi="宋体" w:eastAsia="宋体" w:cs="Arial"/>
          <w:color w:val="191919"/>
          <w:sz w:val="24"/>
          <w:szCs w:val="24"/>
          <w:shd w:val="clear" w:color="auto" w:fill="FFFFFF"/>
        </w:rPr>
        <w:t>是支撑未来城市可持续发展的全新基础设施,其核心是利用实时全量的城市数据资源全局优化城市公共资源，即时修正城市运行缺陷，实现城市治理模式突破、城市服务模式突破、城市产业发展突破。</w:t>
      </w:r>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的设计是基于云计算、大数据、物联网、人工智能等新一代信息技术构建的；是集政府、**、消防等单位统一服务平台；支撑经济、社会、政府数字化转型的开放式智能运营平台，是数字浙江建设的重要基础设施和综合应用工具。</w:t>
      </w:r>
      <w:r>
        <w:rPr>
          <w:rFonts w:hint="eastAsia" w:ascii="宋体" w:hAnsi="宋体" w:eastAsia="宋体" w:cs="Arial"/>
          <w:color w:val="191919"/>
          <w:sz w:val="24"/>
          <w:szCs w:val="24"/>
          <w:shd w:val="clear" w:color="auto" w:fill="FFFFFF"/>
          <w:lang w:eastAsia="zh-CN"/>
        </w:rPr>
        <w:t>永康</w:t>
      </w:r>
      <w:r>
        <w:rPr>
          <w:rFonts w:hint="eastAsia" w:ascii="宋体" w:hAnsi="宋体" w:eastAsia="宋体" w:cs="Arial"/>
          <w:color w:val="191919"/>
          <w:sz w:val="24"/>
          <w:szCs w:val="24"/>
          <w:shd w:val="clear" w:color="auto" w:fill="FFFFFF"/>
        </w:rPr>
        <w:t>市城市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是加快我市“城市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”建设与应用，推进新一代信息技术与城市现代化深度融合。</w:t>
      </w:r>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36" w:name="_Toc23065"/>
      <w:r>
        <w:rPr>
          <w:rFonts w:hint="eastAsia" w:ascii="宋体" w:hAnsi="宋体" w:eastAsia="宋体"/>
          <w:b/>
          <w:sz w:val="30"/>
          <w:szCs w:val="30"/>
        </w:rPr>
        <w:t>指导思想</w:t>
      </w:r>
      <w:bookmarkEnd w:id="36"/>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以习近平新时代中国特色社会主义思想为指导，深入贯彻党的十九大提出的“建设网络强国、数字中国、智慧社会”战略部署，坚持以人民为中心，坚持新发展理念，以城市数据资源的整合共享和深度应用为突破口，以云计算、大数据、物联网、人工智能、5G等新一代信息技术的创新应用为引领，以“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”通用平台建设和特色应用示范试点为抓手，促进技术创新、治理创新、服务创新、应用创新和产业发展，打造新型智慧城市，助推数字政府、数字经济、数字社会发展。</w:t>
      </w:r>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37" w:name="_Toc17235"/>
      <w:r>
        <w:rPr>
          <w:rFonts w:hint="eastAsia" w:ascii="宋体" w:hAnsi="宋体" w:eastAsia="宋体"/>
          <w:b/>
          <w:sz w:val="30"/>
          <w:szCs w:val="30"/>
        </w:rPr>
        <w:t>主要目标</w:t>
      </w:r>
      <w:bookmarkEnd w:id="37"/>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到2022年，全省各设区市“城市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通用平台基本建成，信息孤岛基本消除，数据资源实现共享，基于人工智能的感知、分析、决策能力取得突破，自主可控的技术产业体系基本形成，城市整体运行的数字映射基本得以实时呈现，形成一批基于“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”的特色应用，并在交通、平安、城管、经济、健康、环保、文旅等领域实现综合应用，“城市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”应用成效显现，“最多跑一次”改革持续深化，城市精细化管理和精准服务迈上新台阶。</w:t>
      </w:r>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到2035年，各设区市“城市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”应用成效凸显，实现对城市运行状态的整体感知、全局分析和智能处置，公共资源高效调配，城市运营效率大幅提升，新型智慧城市建设、技术产业发展走在全国前列，为全国“城市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”建设与应用提供浙江样板。</w:t>
      </w:r>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38" w:name="_Toc28488"/>
      <w:r>
        <w:rPr>
          <w:rFonts w:hint="eastAsia" w:ascii="宋体" w:hAnsi="宋体" w:eastAsia="宋体"/>
          <w:b/>
          <w:sz w:val="30"/>
          <w:szCs w:val="30"/>
        </w:rPr>
        <w:t>基本原则</w:t>
      </w:r>
      <w:bookmarkEnd w:id="38"/>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集约建设，深度整合。加强顶层设计，注重统一架构、互联互通、数据共享，强化“城市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”与政府数字化转型、新型智慧城市建设等工作的一体化统筹推进。充分利用现有信息基础设施、数据资源、应用系统，建立统一、开放、可操作的建设标准体系和评价指标体系。</w:t>
      </w:r>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政府引导，创新驱动。强化政府在规划引领、统筹协调、政策扶持、应用示范、数据管理等方面的主导作用，发挥市场在资源配置中的决定性作用，进一步激发市场活力。加强新一代信息技术与数据资源创新应用，积极探索城市管理运行服务新模式。</w:t>
      </w:r>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以人为本，应用主导。以提升人民群众的获得感幸福感安全感为出发点，主攻政务管理、城市治理、群众服务中的“痛点”，在“城市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”通用平台基础上，深化政府数字化基础性通用应用，提升建设一批跨部门、跨层级、跨区域、跨系统的融合性创新应用。</w:t>
      </w:r>
    </w:p>
    <w:p>
      <w:pPr>
        <w:spacing w:line="360" w:lineRule="auto"/>
        <w:ind w:firstLine="480" w:firstLineChars="200"/>
        <w:rPr>
          <w:rFonts w:ascii="宋体" w:hAnsi="宋体" w:eastAsia="宋体" w:cs="Arial"/>
          <w:color w:val="191919"/>
          <w:sz w:val="24"/>
          <w:szCs w:val="24"/>
          <w:shd w:val="clear" w:color="auto" w:fill="FFFFFF"/>
        </w:rPr>
      </w:pPr>
      <w:r>
        <w:rPr>
          <w:rFonts w:hint="eastAsia" w:ascii="宋体" w:hAnsi="宋体" w:eastAsia="宋体" w:cs="Arial"/>
          <w:color w:val="191919"/>
          <w:sz w:val="24"/>
          <w:szCs w:val="24"/>
          <w:shd w:val="clear" w:color="auto" w:fill="FFFFFF"/>
        </w:rPr>
        <w:t>产业支撑，安全可控。坚持以应用促发展，培育、壮大、集聚相关产业，提升以企业为主体的“城市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”应用服务支撑能力。坚持安全与发展并重，推动关键核心领域国产技术和产品的研发与推广使用，健全“城市</w:t>
      </w:r>
      <w:r>
        <w:rPr>
          <w:rFonts w:hint="eastAsia" w:ascii="宋体" w:hAnsi="宋体" w:eastAsia="宋体" w:cs="Arial"/>
          <w:color w:val="191919"/>
          <w:sz w:val="24"/>
          <w:szCs w:val="24"/>
          <w:shd w:val="clear" w:color="auto" w:fill="FFFFFF"/>
          <w:lang w:eastAsia="zh-CN"/>
        </w:rPr>
        <w:t>指挥调度中心</w:t>
      </w:r>
      <w:r>
        <w:rPr>
          <w:rFonts w:hint="eastAsia" w:ascii="宋体" w:hAnsi="宋体" w:eastAsia="宋体" w:cs="Arial"/>
          <w:color w:val="191919"/>
          <w:sz w:val="24"/>
          <w:szCs w:val="24"/>
          <w:shd w:val="clear" w:color="auto" w:fill="FFFFFF"/>
        </w:rPr>
        <w:t>”网络与信息安全保障体系。</w:t>
      </w:r>
    </w:p>
    <w:p>
      <w:pPr>
        <w:pStyle w:val="95"/>
        <w:numPr>
          <w:ilvl w:val="0"/>
          <w:numId w:val="9"/>
        </w:numPr>
        <w:tabs>
          <w:tab w:val="left" w:pos="1134"/>
        </w:tabs>
        <w:spacing w:before="120" w:beforeLines="50" w:after="120" w:afterLines="50" w:line="360" w:lineRule="auto"/>
        <w:ind w:firstLineChars="0"/>
        <w:jc w:val="center"/>
        <w:outlineLvl w:val="0"/>
        <w:rPr>
          <w:rFonts w:ascii="宋体" w:hAnsi="宋体" w:eastAsia="宋体"/>
          <w:b/>
          <w:sz w:val="32"/>
          <w:szCs w:val="32"/>
        </w:rPr>
      </w:pPr>
      <w:bookmarkStart w:id="39" w:name="_Toc5846"/>
      <w:bookmarkStart w:id="40" w:name="_Toc8815"/>
      <w:r>
        <w:rPr>
          <w:rFonts w:hint="eastAsia" w:ascii="宋体" w:hAnsi="宋体" w:eastAsia="宋体"/>
          <w:b/>
          <w:sz w:val="32"/>
          <w:szCs w:val="32"/>
          <w:lang w:val="en-US" w:eastAsia="zh-CN"/>
        </w:rPr>
        <w:t>建设</w:t>
      </w:r>
      <w:r>
        <w:rPr>
          <w:rFonts w:hint="eastAsia" w:ascii="宋体" w:hAnsi="宋体" w:eastAsia="宋体"/>
          <w:b/>
          <w:sz w:val="32"/>
          <w:szCs w:val="32"/>
        </w:rPr>
        <w:t>依据</w:t>
      </w:r>
      <w:bookmarkEnd w:id="39"/>
      <w:r>
        <w:rPr>
          <w:rFonts w:hint="eastAsia" w:ascii="宋体" w:hAnsi="宋体" w:eastAsia="宋体"/>
          <w:b/>
          <w:sz w:val="32"/>
          <w:szCs w:val="32"/>
        </w:rPr>
        <w:t>及标准</w:t>
      </w:r>
      <w:bookmarkEnd w:id="40"/>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41" w:name="_Toc23059"/>
      <w:r>
        <w:rPr>
          <w:rFonts w:hint="eastAsia" w:ascii="宋体" w:hAnsi="宋体" w:eastAsia="宋体"/>
          <w:b/>
          <w:sz w:val="30"/>
          <w:szCs w:val="30"/>
          <w:lang w:val="en-US" w:eastAsia="zh-CN"/>
        </w:rPr>
        <w:t>建设</w:t>
      </w:r>
      <w:r>
        <w:rPr>
          <w:rFonts w:hint="eastAsia" w:ascii="宋体" w:hAnsi="宋体" w:eastAsia="宋体"/>
          <w:b/>
          <w:sz w:val="30"/>
          <w:szCs w:val="30"/>
        </w:rPr>
        <w:t>依据</w:t>
      </w:r>
      <w:bookmarkEnd w:id="41"/>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《智能建筑设计标准》GB/T50314-2015</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《智能建筑工程施工规范》GB50606-2010</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《智能建筑工程质量验收规范》GB50339-2013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《建筑智能化系统设计规范》DBJ50/T-175-2014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《电子会议系统工程设计规范》GB50799-2012</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《电子会议系统工程施工与质量验收规范》GB 51043-2014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《会议系统电及音频的性能要求》GBT 15381-1994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《会议电视系统工程设计规范》YD5032-2005</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《会议电视会场系统工程设计规范》GB50635-2010</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《红外线同声传译系统工程技术规范》GB 50524-2010</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《厅堂扩声系统设计规范》 GB50371-2006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《厅堂、体育场馆扩声系统设计规范》GB/T 28049-2011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《厅堂扩声系统设备互联的优选电气配接法》 SS2112-82</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《厅堂扩音系统的声学特性要求》JGGYJ125</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《扩声系统的声学特性指标与测量方法》WH01-93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《厅堂扩声系统声学特性指标》GY125-86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《厅堂扩声特性测量方法》GB/T4959-2011 </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《室内混响时间测量规范》GB/T 50076-2013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《扩声系统工程施工规范》GB 50949-2013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《声系统设备互联优选配接值》GB/T14197-93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《声系统设备互联用连接器应用》GB/T14947-94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《数据中心设计规范》GB50174-2017</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《综合布线系统工程设计规范》GB50311—2016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《综合布线系统工程验收规范》GB50312—2016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《建筑与建筑群综合布线系统工程验收规》GB/T50312-2000</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《低压配电设计规范》GB50054-2011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《民用建筑电气设计标准》GB51348-2019</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《民用建筑设计统一标准》GB 50352-2019</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《建筑设计防火规范》GB50016-2014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《国家公共安全行业标准》GB50198-94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《电子计算机场地通用规范》GB/T2887-2011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《出入口控制系统工程设计规范》GB50396-2007</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《出入口控制系统技术要求》GB/T37078-2018</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《出入口控制人脸识别系统技术要求》GA/T 1093-2013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《出入口控制系统技术要求》GA/T 394-2002</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《出入口控制系统 控制器》GA/T 1739-2020</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《出入口控制系统 编码识读设备》GA/T 1738-2020</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《人行出入口电控通道闸通用技术要求》GA/T 1260-2016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《火灾自动报警系统设计规范》GB50116—2013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《火灾自动报警系统施工及验收规范》GB50166－2016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《综合电子信息系统术语》GJB3510A-2018</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《信息安全管理体系要求》 GJB 7249-2011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《信息安全保障体系框架》 GJB 7250-2011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《楼宇对讲电控防盗门通用技术条件》GA/T72-94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《视频安防监控系统工程设计规范》GB 50395-2007</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《视频安防监控系统技术要求》GA/T367-2001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《安全防范视频监控联网系统信息传输、交换、控制技术要求》GB/T28181-2011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《民用闭路监控电视系统工程技术规范》GB50198-2011</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《电气装置安装工程低压电器施工及验收规范》GB50254-2014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《可视对讲技术功能及技术要求》</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《视听系统设备互连用连接器的应用》GB/T15644-95</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《视听、视频和电视系统中设备互连的优选配接值》GB/T15859-1995</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《中国建筑电气设计规范》GBH115-83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《建筑防雷设计规范》GB50057-94</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《建筑物电子信息系统防雷技术规范》GB 50343-20</w:t>
      </w:r>
      <w:r>
        <w:rPr>
          <w:rFonts w:hint="eastAsia" w:ascii="宋体" w:hAnsi="宋体" w:eastAsia="宋体" w:cs="宋体"/>
          <w:sz w:val="24"/>
          <w:szCs w:val="24"/>
          <w:shd w:val="clear" w:color="auto" w:fill="FFFFFF"/>
          <w:lang w:val="en-US" w:eastAsia="zh-CN"/>
        </w:rPr>
        <w:t>12</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《安全防范工程技术规范》GB 50348-20</w:t>
      </w:r>
      <w:r>
        <w:rPr>
          <w:rFonts w:hint="eastAsia" w:ascii="宋体" w:hAnsi="宋体" w:eastAsia="宋体" w:cs="宋体"/>
          <w:sz w:val="24"/>
          <w:szCs w:val="24"/>
          <w:shd w:val="clear" w:color="auto" w:fill="FFFFFF"/>
          <w:lang w:val="en-US" w:eastAsia="zh-CN"/>
        </w:rPr>
        <w:t>18</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《安全防范工程费用概预算编制方法》；</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《安全防范系统通用图形符号》；</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《通信光缆系列》GB/T 13993-200X</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《外壳防护等级(IP代码)》GB4208-1993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《弱电系统工程质量验收标准》GB 50339-2003</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《电气装置安装工程 电缆线路施工及验收规范》GB 50168-2006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《中国电气装置安装工程施工及验收规范》GBJ232—82</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《计算机软件开发规范》GB8566-2007；</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《计算机软件产品开发文件编制指南》GB8567-2006；</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《计算机软件需求说明编制指南》GB9385-2008；</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《计算机软件测试文件编制规范》GB9386-2008；</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《计算机软件测试规范》GB/T15532-2008；</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《信息处理、数据流程图、程序流程图、系统流程图、程序网络和系统资源图的文件编制符号及约定》GB1526-1989；</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《信息处理、程序构造及其表示法的约定》GB/T13502-1992；</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《中华人民共和国安全生产法》</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《30MHz—1GHz声音和视频信号的电缆分配系统》；</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中华人民共和国公共安全行业标准《安全防范工程程序与要求》</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《中国民用建筑电气设计规范》</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《建筑弱电工程设计手册》</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《地方公共安全技术防范管理规定》</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《工业电视系统工程设计规范》</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《民用建筑闭路电视系统工作技术规范》</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《施工现场临时用电安全技术防范》</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《建筑施工安全检查标准》</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《建筑智能化系统工程设计管理暂行规定》</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《建筑和建筑群综合布线工程设计规范》</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《建筑和建筑群综合布线工程施工及验收规范》</w:t>
      </w:r>
    </w:p>
    <w:p>
      <w:pPr>
        <w:pStyle w:val="95"/>
        <w:numPr>
          <w:ilvl w:val="0"/>
          <w:numId w:val="10"/>
        </w:numPr>
        <w:spacing w:line="360" w:lineRule="auto"/>
        <w:ind w:firstLine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其它有关国家及地方的现行规程，规范及标准。</w:t>
      </w:r>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42" w:name="_Toc7501"/>
      <w:bookmarkStart w:id="43" w:name="_Toc22237"/>
      <w:r>
        <w:rPr>
          <w:rFonts w:hint="eastAsia" w:ascii="宋体" w:hAnsi="宋体" w:eastAsia="宋体"/>
          <w:b/>
          <w:sz w:val="30"/>
          <w:szCs w:val="30"/>
          <w:lang w:val="en-US" w:eastAsia="zh-CN"/>
        </w:rPr>
        <w:t>建设</w:t>
      </w:r>
      <w:r>
        <w:rPr>
          <w:rFonts w:hint="eastAsia" w:ascii="宋体" w:hAnsi="宋体" w:eastAsia="宋体"/>
          <w:b/>
          <w:sz w:val="30"/>
          <w:szCs w:val="30"/>
        </w:rPr>
        <w:t>原则</w:t>
      </w:r>
      <w:bookmarkEnd w:id="42"/>
      <w:bookmarkEnd w:id="43"/>
    </w:p>
    <w:p>
      <w:pPr>
        <w:pStyle w:val="139"/>
        <w:ind w:firstLine="482"/>
        <w:rPr>
          <w:rFonts w:ascii="宋体" w:hAnsi="宋体" w:eastAsia="宋体"/>
          <w:sz w:val="24"/>
          <w:szCs w:val="24"/>
        </w:rPr>
      </w:pPr>
      <w:r>
        <w:rPr>
          <w:rFonts w:hint="eastAsia" w:ascii="宋体" w:hAnsi="宋体" w:eastAsia="宋体"/>
          <w:b/>
          <w:bCs/>
          <w:sz w:val="24"/>
          <w:szCs w:val="24"/>
        </w:rPr>
        <w:t>坚持统筹发展原则：</w:t>
      </w:r>
      <w:r>
        <w:rPr>
          <w:rFonts w:hint="eastAsia" w:ascii="宋体" w:hAnsi="宋体" w:eastAsia="宋体"/>
          <w:sz w:val="24"/>
          <w:szCs w:val="24"/>
        </w:rPr>
        <w:t>强化信息化顶层设计，坚持统一领导、统一规划、统一标准、统一管理，加强对全国应急管理信息化工作的统筹指导，立足当前、面向长远、有序推进，确保应急管理信息化全面协调可持续健康发展。</w:t>
      </w:r>
    </w:p>
    <w:p>
      <w:pPr>
        <w:pStyle w:val="139"/>
        <w:ind w:firstLine="482"/>
        <w:rPr>
          <w:rFonts w:ascii="宋体" w:hAnsi="宋体" w:eastAsia="宋体"/>
          <w:sz w:val="24"/>
          <w:szCs w:val="24"/>
        </w:rPr>
      </w:pPr>
      <w:r>
        <w:rPr>
          <w:rFonts w:hint="eastAsia" w:ascii="宋体" w:hAnsi="宋体" w:eastAsia="宋体"/>
          <w:b/>
          <w:bCs/>
          <w:sz w:val="24"/>
          <w:szCs w:val="24"/>
        </w:rPr>
        <w:t>坚持业务引领原则：</w:t>
      </w:r>
      <w:r>
        <w:rPr>
          <w:rFonts w:hint="eastAsia" w:ascii="宋体" w:hAnsi="宋体" w:eastAsia="宋体"/>
          <w:sz w:val="24"/>
          <w:szCs w:val="24"/>
        </w:rPr>
        <w:t>以需求为依据，以问题为导向，紧密围绕应急管理、防灾减灾和安全生产工作需求，准确把现代化信息技术在传统业务流程和工作模式改革创新的关键作用。以数据位关键要素，以应用为核心，促进技术与业务深度融合，最大限度发挥信息化效能。</w:t>
      </w:r>
    </w:p>
    <w:p>
      <w:pPr>
        <w:pStyle w:val="139"/>
        <w:ind w:firstLine="482"/>
        <w:rPr>
          <w:rFonts w:ascii="宋体" w:hAnsi="宋体" w:eastAsia="宋体"/>
          <w:sz w:val="24"/>
          <w:szCs w:val="24"/>
        </w:rPr>
      </w:pPr>
      <w:r>
        <w:rPr>
          <w:rFonts w:hint="eastAsia" w:ascii="宋体" w:hAnsi="宋体" w:eastAsia="宋体"/>
          <w:b/>
          <w:bCs/>
          <w:sz w:val="24"/>
          <w:szCs w:val="24"/>
        </w:rPr>
        <w:t>坚持创新驱动原则：</w:t>
      </w:r>
      <w:r>
        <w:rPr>
          <w:rFonts w:hint="eastAsia" w:ascii="宋体" w:hAnsi="宋体" w:eastAsia="宋体"/>
          <w:sz w:val="24"/>
          <w:szCs w:val="24"/>
        </w:rPr>
        <w:t>把握全球信息技术发展趋势，推动云计算、大数据、物联网、人工智能、移动互联、IPV6、虚拟现实（VR）、增强现实（AR）等新一代信息技术深度应用，加强应急管理技术创新、应用创新、模式创新，不断激发创新内生动力、营造创新良好生态、拓宽创新发展途径。</w:t>
      </w:r>
    </w:p>
    <w:p>
      <w:pPr>
        <w:pStyle w:val="139"/>
        <w:ind w:firstLine="482"/>
        <w:rPr>
          <w:rFonts w:ascii="宋体" w:hAnsi="宋体" w:eastAsia="宋体"/>
          <w:sz w:val="24"/>
          <w:szCs w:val="24"/>
        </w:rPr>
      </w:pPr>
      <w:r>
        <w:rPr>
          <w:rFonts w:hint="eastAsia" w:ascii="宋体" w:hAnsi="宋体" w:eastAsia="宋体"/>
          <w:b/>
          <w:bCs/>
          <w:sz w:val="24"/>
          <w:szCs w:val="24"/>
        </w:rPr>
        <w:t>坚持共享重创原则：</w:t>
      </w:r>
      <w:r>
        <w:rPr>
          <w:rFonts w:hint="eastAsia" w:ascii="宋体" w:hAnsi="宋体" w:eastAsia="宋体"/>
          <w:sz w:val="24"/>
          <w:szCs w:val="24"/>
        </w:rPr>
        <w:t>立足业务协调与联动需求，把握大数据时代特征，按照集约化原则建设信息化基础设施和信息系统，广泛汇聚信息资源，构建共享服务体系，推动跨部门、跨层级、跨区域的互联互通、信息共享和业务协调，消除信息孤岛。运用互联网思维，鼓励政府、企业、设备共同参与应急管理信息化建设，营造众创众智的新生态。</w:t>
      </w:r>
    </w:p>
    <w:p>
      <w:pPr>
        <w:pStyle w:val="139"/>
        <w:ind w:firstLine="482"/>
        <w:rPr>
          <w:rFonts w:ascii="宋体" w:hAnsi="宋体" w:eastAsia="宋体"/>
          <w:sz w:val="24"/>
          <w:szCs w:val="24"/>
        </w:rPr>
      </w:pPr>
      <w:r>
        <w:rPr>
          <w:rFonts w:hint="eastAsia" w:ascii="宋体" w:hAnsi="宋体" w:eastAsia="宋体"/>
          <w:b/>
          <w:bCs/>
          <w:sz w:val="24"/>
          <w:szCs w:val="24"/>
        </w:rPr>
        <w:t>坚持安全可控原则：</w:t>
      </w:r>
      <w:r>
        <w:rPr>
          <w:rFonts w:hint="eastAsia" w:ascii="宋体" w:hAnsi="宋体" w:eastAsia="宋体"/>
          <w:sz w:val="24"/>
          <w:szCs w:val="24"/>
        </w:rPr>
        <w:t>大力推进自主可控核心技术在关键软硬件和技术装备中的规模应用，不断增强信息化基础设施的韧性抗毁能力和安全保障能力，强化信息系统安全防护和数据分级分类管理，确保系统和应用可靠、可信、可控，满足突发事件全天候、全方位、全过程应急处置需求。</w:t>
      </w:r>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44" w:name="_Toc15581"/>
      <w:bookmarkStart w:id="45" w:name="_Toc27790"/>
      <w:r>
        <w:rPr>
          <w:rFonts w:hint="eastAsia" w:ascii="宋体" w:hAnsi="宋体" w:eastAsia="宋体"/>
          <w:b/>
          <w:sz w:val="30"/>
          <w:szCs w:val="30"/>
          <w:lang w:val="en-US" w:eastAsia="zh-CN"/>
        </w:rPr>
        <w:t>建设</w:t>
      </w:r>
      <w:r>
        <w:rPr>
          <w:rFonts w:hint="eastAsia" w:ascii="宋体" w:hAnsi="宋体" w:eastAsia="宋体"/>
          <w:b/>
          <w:sz w:val="30"/>
          <w:szCs w:val="30"/>
        </w:rPr>
        <w:t>目标</w:t>
      </w:r>
      <w:bookmarkEnd w:id="44"/>
      <w:bookmarkEnd w:id="45"/>
    </w:p>
    <w:p>
      <w:pPr>
        <w:pStyle w:val="139"/>
        <w:ind w:firstLine="480"/>
        <w:rPr>
          <w:rFonts w:ascii="宋体" w:hAnsi="宋体" w:eastAsia="宋体"/>
          <w:sz w:val="24"/>
          <w:szCs w:val="24"/>
        </w:rPr>
      </w:pPr>
      <w:r>
        <w:rPr>
          <w:rFonts w:hint="eastAsia" w:ascii="宋体" w:hAnsi="宋体" w:eastAsia="宋体"/>
          <w:sz w:val="24"/>
          <w:szCs w:val="24"/>
        </w:rPr>
        <w:t>城市</w:t>
      </w:r>
      <w:r>
        <w:rPr>
          <w:rFonts w:hint="eastAsia" w:ascii="宋体" w:hAnsi="宋体" w:eastAsia="宋体"/>
          <w:sz w:val="24"/>
          <w:szCs w:val="24"/>
          <w:lang w:eastAsia="zh-CN"/>
        </w:rPr>
        <w:t>指挥调度中心</w:t>
      </w:r>
      <w:r>
        <w:rPr>
          <w:rFonts w:ascii="宋体" w:hAnsi="宋体" w:eastAsia="宋体"/>
          <w:sz w:val="24"/>
          <w:szCs w:val="24"/>
        </w:rPr>
        <w:t>是城市的数据引擎，具备感能、视能、图能、数能、算能和管能。其中，感能是能够接入到各种场景的传感器；视能是摄像头和带有摄像头的无人机；图能是高分遥感、GIS；数能是来自政府、公共事业、互联网公司等机构的数据；算能是异构的计算能力，包括标准化计算和各种边缘事件的对应算法；管能是城管执法、城域巡查，以及今后的无人机、无人车巡查。</w:t>
      </w:r>
    </w:p>
    <w:p>
      <w:pPr>
        <w:pStyle w:val="139"/>
        <w:ind w:firstLine="480"/>
        <w:rPr>
          <w:rFonts w:ascii="宋体" w:hAnsi="宋体" w:eastAsia="宋体"/>
          <w:sz w:val="24"/>
          <w:szCs w:val="24"/>
        </w:rPr>
      </w:pPr>
      <w:r>
        <w:rPr>
          <w:rFonts w:hint="eastAsia" w:ascii="宋体" w:hAnsi="宋体" w:eastAsia="宋体"/>
          <w:sz w:val="24"/>
          <w:szCs w:val="24"/>
          <w:lang w:eastAsia="zh-CN"/>
        </w:rPr>
        <w:t>永康</w:t>
      </w:r>
      <w:r>
        <w:rPr>
          <w:rFonts w:hint="eastAsia" w:ascii="宋体" w:hAnsi="宋体" w:eastAsia="宋体"/>
          <w:sz w:val="24"/>
          <w:szCs w:val="24"/>
        </w:rPr>
        <w:t>市</w:t>
      </w:r>
      <w:r>
        <w:rPr>
          <w:rFonts w:hint="eastAsia" w:ascii="宋体" w:hAnsi="宋体" w:eastAsia="宋体"/>
          <w:sz w:val="24"/>
          <w:szCs w:val="24"/>
          <w:lang w:eastAsia="zh-CN"/>
        </w:rPr>
        <w:t>指挥调度中心</w:t>
      </w:r>
      <w:r>
        <w:rPr>
          <w:rFonts w:ascii="宋体" w:hAnsi="宋体" w:eastAsia="宋体"/>
          <w:sz w:val="24"/>
          <w:szCs w:val="24"/>
        </w:rPr>
        <w:t>最终目标</w:t>
      </w:r>
      <w:r>
        <w:rPr>
          <w:rFonts w:hint="eastAsia" w:ascii="宋体" w:hAnsi="宋体" w:eastAsia="宋体"/>
          <w:sz w:val="24"/>
          <w:szCs w:val="24"/>
        </w:rPr>
        <w:t>是整合</w:t>
      </w:r>
      <w:r>
        <w:rPr>
          <w:rFonts w:ascii="宋体" w:hAnsi="宋体" w:eastAsia="宋体"/>
          <w:sz w:val="24"/>
          <w:szCs w:val="24"/>
        </w:rPr>
        <w:t>城市安全保障、精细管理、高效服务、生态环保、幸福宜居的发展</w:t>
      </w:r>
      <w:r>
        <w:rPr>
          <w:rFonts w:hint="eastAsia" w:ascii="宋体" w:hAnsi="宋体" w:eastAsia="宋体"/>
          <w:sz w:val="24"/>
          <w:szCs w:val="24"/>
        </w:rPr>
        <w:t>，利用现代信息技术，建立现代化新型的城市</w:t>
      </w:r>
      <w:r>
        <w:rPr>
          <w:rFonts w:hint="eastAsia" w:ascii="宋体" w:hAnsi="宋体" w:eastAsia="宋体"/>
          <w:sz w:val="24"/>
          <w:szCs w:val="24"/>
          <w:lang w:eastAsia="zh-CN"/>
        </w:rPr>
        <w:t>指挥调度中心</w:t>
      </w:r>
      <w:r>
        <w:rPr>
          <w:rFonts w:hint="eastAsia" w:ascii="宋体" w:hAnsi="宋体" w:eastAsia="宋体"/>
          <w:sz w:val="24"/>
          <w:szCs w:val="24"/>
        </w:rPr>
        <w:t>,发挥神经中枢和信息中心的作用，实现上传下达、综合汇聚、协同会商、专题研判和指挥调度功能。</w:t>
      </w:r>
    </w:p>
    <w:p>
      <w:pPr>
        <w:pStyle w:val="95"/>
        <w:numPr>
          <w:ilvl w:val="0"/>
          <w:numId w:val="10"/>
        </w:numPr>
        <w:spacing w:line="360" w:lineRule="auto"/>
        <w:ind w:firstLineChars="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上传下达：实现多元化远程视频会议终端，多场合视频通话指导协商；</w:t>
      </w:r>
    </w:p>
    <w:p>
      <w:pPr>
        <w:pStyle w:val="95"/>
        <w:numPr>
          <w:ilvl w:val="0"/>
          <w:numId w:val="10"/>
        </w:numPr>
        <w:spacing w:line="360" w:lineRule="auto"/>
        <w:ind w:firstLineChars="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综合汇聚：实现</w:t>
      </w:r>
      <w:r>
        <w:rPr>
          <w:rFonts w:hint="eastAsia" w:ascii="宋体" w:hAnsi="宋体" w:eastAsia="宋体" w:cs="Arial"/>
          <w:color w:val="191919"/>
          <w:sz w:val="24"/>
          <w:szCs w:val="24"/>
          <w:shd w:val="clear" w:color="auto" w:fill="FFFFFF"/>
        </w:rPr>
        <w:t>集政府、**、消防、民生服务等单位统一服务平台；</w:t>
      </w:r>
    </w:p>
    <w:p>
      <w:pPr>
        <w:pStyle w:val="95"/>
        <w:numPr>
          <w:ilvl w:val="0"/>
          <w:numId w:val="10"/>
        </w:numPr>
        <w:spacing w:line="360" w:lineRule="auto"/>
        <w:ind w:firstLineChars="0"/>
        <w:rPr>
          <w:rFonts w:ascii="宋体" w:hAnsi="宋体" w:eastAsia="宋体" w:cs="宋体"/>
          <w:sz w:val="24"/>
          <w:szCs w:val="24"/>
          <w:shd w:val="clear" w:color="auto" w:fill="FFFFFF"/>
        </w:rPr>
      </w:pPr>
      <w:r>
        <w:rPr>
          <w:rFonts w:hint="eastAsia" w:ascii="宋体" w:hAnsi="宋体" w:eastAsia="宋体" w:cs="Arial"/>
          <w:color w:val="191919"/>
          <w:sz w:val="24"/>
          <w:szCs w:val="24"/>
          <w:shd w:val="clear" w:color="auto" w:fill="FFFFFF"/>
        </w:rPr>
        <w:t>协同会商：可视化音视频调度平台，实时话题研讨协商；</w:t>
      </w:r>
    </w:p>
    <w:p>
      <w:pPr>
        <w:pStyle w:val="95"/>
        <w:numPr>
          <w:ilvl w:val="0"/>
          <w:numId w:val="10"/>
        </w:numPr>
        <w:spacing w:line="360" w:lineRule="auto"/>
        <w:ind w:firstLineChars="0"/>
        <w:rPr>
          <w:rFonts w:ascii="宋体" w:hAnsi="宋体" w:eastAsia="宋体" w:cs="宋体"/>
          <w:sz w:val="24"/>
          <w:szCs w:val="24"/>
          <w:shd w:val="clear" w:color="auto" w:fill="FFFFFF"/>
        </w:rPr>
      </w:pPr>
      <w:r>
        <w:rPr>
          <w:rFonts w:hint="eastAsia" w:ascii="宋体" w:hAnsi="宋体" w:eastAsia="宋体" w:cs="Arial"/>
          <w:color w:val="191919"/>
          <w:sz w:val="24"/>
          <w:szCs w:val="24"/>
          <w:shd w:val="clear" w:color="auto" w:fill="FFFFFF"/>
        </w:rPr>
        <w:t>专题研判：专题实时同屏，各专家领导可标注不同建议，同屏研讨；</w:t>
      </w:r>
    </w:p>
    <w:p>
      <w:pPr>
        <w:pStyle w:val="95"/>
        <w:numPr>
          <w:ilvl w:val="0"/>
          <w:numId w:val="10"/>
        </w:numPr>
        <w:spacing w:line="360" w:lineRule="auto"/>
        <w:ind w:firstLineChars="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指挥调度：实现集单兵执法、无人机等特种工具以及各单位指挥调度系统统一调度管理平台</w:t>
      </w:r>
    </w:p>
    <w:p>
      <w:pPr>
        <w:pStyle w:val="95"/>
        <w:numPr>
          <w:ilvl w:val="1"/>
          <w:numId w:val="9"/>
        </w:numPr>
        <w:tabs>
          <w:tab w:val="left" w:pos="284"/>
          <w:tab w:val="left" w:pos="567"/>
        </w:tabs>
        <w:spacing w:before="120" w:beforeLines="50" w:after="120" w:afterLines="50" w:line="360" w:lineRule="auto"/>
        <w:ind w:left="0" w:firstLine="0" w:firstLineChars="0"/>
        <w:outlineLvl w:val="1"/>
        <w:rPr>
          <w:rFonts w:ascii="宋体" w:hAnsi="宋体" w:eastAsia="宋体"/>
          <w:b/>
          <w:sz w:val="30"/>
          <w:szCs w:val="30"/>
        </w:rPr>
      </w:pPr>
      <w:bookmarkStart w:id="46" w:name="_Toc27493"/>
      <w:r>
        <w:rPr>
          <w:rFonts w:hint="eastAsia" w:ascii="宋体" w:hAnsi="宋体" w:eastAsia="宋体"/>
          <w:b/>
          <w:sz w:val="30"/>
          <w:szCs w:val="30"/>
          <w:lang w:val="en-US" w:eastAsia="zh-CN"/>
        </w:rPr>
        <w:t>建设</w:t>
      </w:r>
      <w:r>
        <w:rPr>
          <w:rFonts w:hint="eastAsia" w:ascii="宋体" w:hAnsi="宋体" w:eastAsia="宋体"/>
          <w:b/>
          <w:sz w:val="30"/>
          <w:szCs w:val="30"/>
        </w:rPr>
        <w:t>内容</w:t>
      </w:r>
      <w:bookmarkEnd w:id="46"/>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指挥中心大楼总建筑面积为22387平方米，地下一层，地上八层，局部九层。该大楼已完成主体工程建设，外墙饰面及铝合金窗安装等外立面均已施工完毕，室内为框架毛坯结构。各楼层主要功能及建设规模如下：</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（1）地下一层，</w:t>
      </w:r>
      <w:r>
        <w:rPr>
          <w:rFonts w:hint="eastAsia" w:ascii="宋体" w:hAnsi="宋体" w:eastAsia="宋体"/>
          <w:sz w:val="24"/>
          <w:szCs w:val="24"/>
          <w:lang w:val="en-US" w:eastAsia="zh-CN"/>
        </w:rPr>
        <w:t>建筑</w:t>
      </w:r>
      <w:r>
        <w:rPr>
          <w:rFonts w:hint="eastAsia" w:ascii="宋体" w:hAnsi="宋体" w:eastAsia="宋体" w:cs="Times New Roman"/>
          <w:kern w:val="2"/>
          <w:sz w:val="24"/>
          <w:szCs w:val="24"/>
          <w:lang w:val="en-US" w:eastAsia="zh-CN" w:bidi="ar-SA"/>
        </w:rPr>
        <w:t>面积4969平方米，设置为停车场、配电房、机房及人防工程，可停车86辆；</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（2）一层，建筑面积3800平方米，为流调溯源办公区及预留城市客厅（数字化改革成果展示区）；</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（3）二层，建筑面积3664平方米，为指挥大厅、领导会商室及各专班研判室，含一个大会议厅面积1280平方米；</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（4）三层，建筑面积2424平方米，为大数据运营公司及传媒集团办公区；</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（5）四层，建筑面积1400平方米，为大数据中心数字创新实验室、日常运维保障及机关工作人员办公区；</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（6）五层，建筑面积1400平方米，为应急管理局办公区；</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（7）六层至八层，每层建筑面积1400平方米，为24小时值班休息室；</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（8）九层，为屋面电梯</w:t>
      </w:r>
      <w:r>
        <w:rPr>
          <w:rFonts w:hint="eastAsia" w:ascii="宋体" w:hAnsi="宋体" w:eastAsia="宋体"/>
          <w:sz w:val="24"/>
          <w:szCs w:val="24"/>
          <w:lang w:val="en-US" w:eastAsia="zh-CN"/>
        </w:rPr>
        <w:t>机房</w:t>
      </w:r>
      <w:r>
        <w:rPr>
          <w:rFonts w:hint="eastAsia" w:ascii="宋体" w:hAnsi="宋体" w:eastAsia="宋体" w:cs="Times New Roman"/>
          <w:kern w:val="2"/>
          <w:sz w:val="24"/>
          <w:szCs w:val="24"/>
          <w:lang w:val="en-US" w:eastAsia="zh-CN" w:bidi="ar-SA"/>
        </w:rPr>
        <w:t>等附属用房，建筑面积530平方米。</w:t>
      </w:r>
    </w:p>
    <w:p>
      <w:pPr>
        <w:pStyle w:val="139"/>
        <w:ind w:firstLine="48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完成永康市智慧城市指挥调度中心指挥大厅、会商室、专班会议室的专业设施设备的采购安装并同步完成大楼基础配套系统（计算机网络系统、视频监控系统、出入口门禁系统、UPS系统、机房工程等）。</w:t>
      </w:r>
    </w:p>
    <w:p>
      <w:pPr>
        <w:widowControl/>
        <w:spacing w:line="360" w:lineRule="auto"/>
        <w:jc w:val="left"/>
        <w:rPr>
          <w:rFonts w:ascii="宋体" w:hAnsi="宋体" w:eastAsia="宋体"/>
          <w:sz w:val="24"/>
          <w:szCs w:val="24"/>
        </w:rPr>
      </w:pPr>
    </w:p>
    <w:p>
      <w:pPr>
        <w:pStyle w:val="139"/>
        <w:ind w:firstLine="480"/>
        <w:rPr>
          <w:rFonts w:hint="default" w:ascii="宋体" w:hAnsi="宋体" w:eastAsia="宋体"/>
          <w:sz w:val="24"/>
          <w:szCs w:val="24"/>
          <w:lang w:val="en-US" w:eastAsia="zh-CN"/>
        </w:rPr>
      </w:pPr>
      <w:r>
        <w:rPr>
          <w:rFonts w:ascii="宋体" w:hAnsi="宋体" w:eastAsia="宋体"/>
          <w:sz w:val="24"/>
          <w:szCs w:val="24"/>
        </w:rPr>
        <w:br w:type="page"/>
      </w:r>
    </w:p>
    <w:p>
      <w:pPr>
        <w:pStyle w:val="95"/>
        <w:numPr>
          <w:ilvl w:val="0"/>
          <w:numId w:val="10"/>
        </w:numPr>
        <w:spacing w:line="360" w:lineRule="auto"/>
        <w:ind w:firstLineChars="0"/>
        <w:rPr>
          <w:rFonts w:hint="eastAsia" w:ascii="宋体" w:hAnsi="宋体" w:eastAsia="宋体" w:cs="Arial"/>
          <w:color w:val="auto"/>
          <w:sz w:val="24"/>
          <w:szCs w:val="24"/>
          <w:shd w:val="clear" w:color="auto" w:fill="FFFFFF"/>
        </w:rPr>
      </w:pPr>
      <w:r>
        <w:rPr>
          <w:rFonts w:hint="eastAsia" w:ascii="宋体" w:hAnsi="宋体" w:eastAsia="宋体" w:cs="宋体"/>
          <w:b/>
          <w:bCs/>
          <w:color w:val="FF0000"/>
          <w:sz w:val="24"/>
          <w:szCs w:val="24"/>
          <w:shd w:val="clear" w:color="auto" w:fill="FFFFFF"/>
        </w:rPr>
        <w:t>指挥中心</w:t>
      </w:r>
      <w:r>
        <w:rPr>
          <w:rFonts w:hint="eastAsia" w:ascii="宋体" w:hAnsi="宋体" w:eastAsia="宋体" w:cs="宋体"/>
          <w:color w:val="auto"/>
          <w:sz w:val="24"/>
          <w:szCs w:val="24"/>
          <w:shd w:val="clear" w:color="auto" w:fill="FFFFFF"/>
        </w:rPr>
        <w:t>智能化系统</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LED</w:t>
      </w:r>
      <w:r>
        <w:rPr>
          <w:rFonts w:hint="eastAsia" w:ascii="宋体" w:hAnsi="宋体" w:eastAsia="宋体" w:cs="Arial"/>
          <w:color w:val="auto"/>
          <w:sz w:val="24"/>
          <w:szCs w:val="24"/>
          <w:shd w:val="clear" w:color="auto" w:fill="FFFFFF"/>
        </w:rPr>
        <w:t>大屏显示系统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rPr>
        <w:t>操作台坐席系统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lang w:val="en-US" w:eastAsia="zh-CN"/>
        </w:rPr>
        <w:t>分布式控制系统、</w:t>
      </w:r>
      <w:r>
        <w:rPr>
          <w:rFonts w:hint="eastAsia" w:ascii="宋体" w:hAnsi="宋体" w:eastAsia="宋体" w:cs="Arial"/>
          <w:color w:val="auto"/>
          <w:sz w:val="24"/>
          <w:szCs w:val="24"/>
          <w:shd w:val="clear" w:color="auto" w:fill="FFFFFF"/>
        </w:rPr>
        <w:t>专业扩声系统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rPr>
        <w:t>数字会议系统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lang w:val="en-US" w:eastAsia="zh-CN"/>
        </w:rPr>
        <w:t>视频会议系统</w:t>
      </w:r>
    </w:p>
    <w:p>
      <w:pPr>
        <w:pStyle w:val="95"/>
        <w:numPr>
          <w:ilvl w:val="0"/>
          <w:numId w:val="10"/>
        </w:numPr>
        <w:spacing w:line="360" w:lineRule="auto"/>
        <w:ind w:firstLineChars="0"/>
        <w:rPr>
          <w:rFonts w:hint="eastAsia" w:ascii="宋体" w:hAnsi="宋体" w:eastAsia="宋体" w:cs="Arial"/>
          <w:color w:val="auto"/>
          <w:sz w:val="24"/>
          <w:szCs w:val="24"/>
          <w:shd w:val="clear" w:color="auto" w:fill="FFFFFF"/>
        </w:rPr>
      </w:pPr>
      <w:r>
        <w:rPr>
          <w:rFonts w:hint="eastAsia" w:ascii="宋体" w:hAnsi="宋体" w:eastAsia="宋体" w:cs="宋体"/>
          <w:b/>
          <w:bCs/>
          <w:color w:val="FF0000"/>
          <w:sz w:val="24"/>
          <w:szCs w:val="24"/>
          <w:shd w:val="clear" w:color="auto" w:fill="FFFFFF"/>
          <w:lang w:val="en-US" w:eastAsia="zh-CN"/>
        </w:rPr>
        <w:t>会商室</w:t>
      </w:r>
      <w:r>
        <w:rPr>
          <w:rFonts w:hint="eastAsia" w:ascii="宋体" w:hAnsi="宋体" w:eastAsia="宋体" w:cs="宋体"/>
          <w:color w:val="auto"/>
          <w:sz w:val="24"/>
          <w:szCs w:val="24"/>
          <w:shd w:val="clear" w:color="auto" w:fill="FFFFFF"/>
        </w:rPr>
        <w:t>智能化系统</w:t>
      </w:r>
      <w:r>
        <w:rPr>
          <w:rFonts w:hint="eastAsia" w:ascii="宋体" w:hAnsi="宋体" w:eastAsia="宋体" w:cs="宋体"/>
          <w:color w:val="auto"/>
          <w:sz w:val="24"/>
          <w:szCs w:val="24"/>
          <w:shd w:val="clear" w:color="auto" w:fill="FFFFFF"/>
          <w:lang w:eastAsia="zh-CN"/>
        </w:rPr>
        <w:t>：</w:t>
      </w:r>
      <w:r>
        <w:rPr>
          <w:rFonts w:hint="eastAsia" w:ascii="宋体" w:hAnsi="宋体" w:eastAsia="宋体" w:cs="Arial"/>
          <w:color w:val="auto"/>
          <w:sz w:val="24"/>
          <w:szCs w:val="24"/>
          <w:shd w:val="clear" w:color="auto" w:fill="FFFFFF"/>
        </w:rPr>
        <w:t>大屏显示系统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lang w:val="en-US" w:eastAsia="zh-CN"/>
        </w:rPr>
        <w:t>分布式控制系统、</w:t>
      </w:r>
      <w:r>
        <w:rPr>
          <w:rFonts w:hint="eastAsia" w:ascii="宋体" w:hAnsi="宋体" w:eastAsia="宋体" w:cs="Arial"/>
          <w:color w:val="auto"/>
          <w:sz w:val="24"/>
          <w:szCs w:val="24"/>
          <w:shd w:val="clear" w:color="auto" w:fill="FFFFFF"/>
        </w:rPr>
        <w:t>专业扩声系统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rPr>
        <w:t>数字会议系统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lang w:val="en-US" w:eastAsia="zh-CN"/>
        </w:rPr>
        <w:t>无纸化会议系统</w:t>
      </w:r>
    </w:p>
    <w:p>
      <w:pPr>
        <w:pStyle w:val="95"/>
        <w:numPr>
          <w:ilvl w:val="0"/>
          <w:numId w:val="10"/>
        </w:numPr>
        <w:spacing w:line="360" w:lineRule="auto"/>
        <w:ind w:firstLineChars="0"/>
        <w:rPr>
          <w:rFonts w:hint="eastAsia" w:ascii="宋体" w:hAnsi="宋体" w:eastAsia="宋体" w:cs="Arial"/>
          <w:color w:val="191919"/>
          <w:sz w:val="24"/>
          <w:szCs w:val="24"/>
          <w:shd w:val="clear" w:color="auto" w:fill="FFFFFF"/>
        </w:rPr>
      </w:pPr>
      <w:r>
        <w:rPr>
          <w:rFonts w:hint="eastAsia" w:ascii="宋体" w:hAnsi="宋体" w:eastAsia="宋体" w:cs="宋体"/>
          <w:b/>
          <w:bCs/>
          <w:color w:val="FF0000"/>
          <w:sz w:val="24"/>
          <w:szCs w:val="24"/>
          <w:shd w:val="clear" w:color="auto" w:fill="FFFFFF"/>
          <w:lang w:val="en-US" w:eastAsia="zh-CN"/>
        </w:rPr>
        <w:t>专班会议室</w:t>
      </w:r>
      <w:r>
        <w:rPr>
          <w:rFonts w:hint="eastAsia" w:ascii="宋体" w:hAnsi="宋体" w:eastAsia="宋体" w:cs="宋体"/>
          <w:color w:val="auto"/>
          <w:sz w:val="24"/>
          <w:szCs w:val="24"/>
          <w:shd w:val="clear" w:color="auto" w:fill="FFFFFF"/>
        </w:rPr>
        <w:t>智能化系统</w:t>
      </w:r>
      <w:r>
        <w:rPr>
          <w:rFonts w:hint="eastAsia" w:ascii="宋体" w:hAnsi="宋体" w:eastAsia="宋体" w:cs="宋体"/>
          <w:color w:val="auto"/>
          <w:sz w:val="24"/>
          <w:szCs w:val="24"/>
          <w:shd w:val="clear" w:color="auto" w:fill="FFFFFF"/>
          <w:lang w:eastAsia="zh-CN"/>
        </w:rPr>
        <w:t>：</w:t>
      </w:r>
      <w:r>
        <w:rPr>
          <w:rFonts w:hint="eastAsia" w:ascii="宋体" w:hAnsi="宋体" w:eastAsia="宋体" w:cs="Arial"/>
          <w:color w:val="auto"/>
          <w:sz w:val="24"/>
          <w:szCs w:val="24"/>
          <w:shd w:val="clear" w:color="auto" w:fill="FFFFFF"/>
          <w:lang w:val="en-US" w:eastAsia="zh-CN"/>
        </w:rPr>
        <w:t>会议平板显示系统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rPr>
        <w:t>专业扩声系统</w:t>
      </w:r>
      <w:r>
        <w:rPr>
          <w:rFonts w:hint="eastAsia" w:ascii="宋体" w:hAnsi="宋体" w:eastAsia="宋体" w:cs="Arial"/>
          <w:color w:val="auto"/>
          <w:sz w:val="24"/>
          <w:szCs w:val="24"/>
          <w:shd w:val="clear" w:color="auto" w:fill="FFFFFF"/>
          <w:lang w:eastAsia="zh-CN"/>
        </w:rPr>
        <w:t>、</w:t>
      </w:r>
      <w:r>
        <w:rPr>
          <w:rFonts w:hint="eastAsia" w:ascii="宋体" w:hAnsi="宋体" w:eastAsia="宋体" w:cs="Arial"/>
          <w:color w:val="auto"/>
          <w:sz w:val="24"/>
          <w:szCs w:val="24"/>
          <w:shd w:val="clear" w:color="auto" w:fill="FFFFFF"/>
        </w:rPr>
        <w:t>数字会议系统</w:t>
      </w:r>
    </w:p>
    <w:p>
      <w:pPr>
        <w:pStyle w:val="95"/>
        <w:numPr>
          <w:ilvl w:val="0"/>
          <w:numId w:val="10"/>
        </w:numPr>
        <w:spacing w:line="360" w:lineRule="auto"/>
        <w:ind w:firstLineChars="0"/>
        <w:rPr>
          <w:rFonts w:hint="eastAsia" w:ascii="宋体" w:hAnsi="宋体" w:eastAsia="宋体" w:cs="Arial"/>
          <w:color w:val="191919"/>
          <w:sz w:val="24"/>
          <w:szCs w:val="24"/>
          <w:shd w:val="clear" w:color="auto" w:fill="FFFFFF"/>
        </w:rPr>
      </w:pPr>
      <w:r>
        <w:rPr>
          <w:rFonts w:hint="eastAsia" w:ascii="宋体" w:hAnsi="宋体" w:eastAsia="宋体" w:cs="Arial"/>
          <w:b/>
          <w:bCs/>
          <w:color w:val="FF0000"/>
          <w:sz w:val="24"/>
          <w:szCs w:val="24"/>
          <w:shd w:val="clear" w:color="auto" w:fill="FFFFFF"/>
          <w:lang w:val="en-US" w:eastAsia="zh-CN"/>
        </w:rPr>
        <w:t>基础支撑保障</w:t>
      </w:r>
      <w:r>
        <w:rPr>
          <w:rFonts w:hint="eastAsia" w:ascii="宋体" w:hAnsi="宋体" w:eastAsia="宋体" w:cs="Arial"/>
          <w:color w:val="191919"/>
          <w:sz w:val="24"/>
          <w:szCs w:val="24"/>
          <w:shd w:val="clear" w:color="auto" w:fill="FFFFFF"/>
          <w:lang w:val="en-US" w:eastAsia="zh-CN"/>
        </w:rPr>
        <w:t>系统：综合布线系统（1F-2F）</w:t>
      </w:r>
      <w:r>
        <w:rPr>
          <w:rFonts w:hint="eastAsia" w:ascii="宋体" w:hAnsi="宋体" w:eastAsia="宋体" w:cs="Times New Roman"/>
          <w:kern w:val="2"/>
          <w:sz w:val="24"/>
          <w:szCs w:val="24"/>
          <w:lang w:val="en-US" w:eastAsia="zh-CN" w:bidi="ar-SA"/>
        </w:rPr>
        <w:t>、视频监控系统、出入口门禁系统、计算机网络系统、无线WIFI覆盖系统</w:t>
      </w:r>
    </w:p>
    <w:p>
      <w:pPr>
        <w:pStyle w:val="95"/>
        <w:numPr>
          <w:ilvl w:val="0"/>
          <w:numId w:val="10"/>
        </w:numPr>
        <w:spacing w:line="360" w:lineRule="auto"/>
        <w:ind w:firstLineChars="0"/>
        <w:rPr>
          <w:rFonts w:hint="eastAsia" w:ascii="宋体" w:hAnsi="宋体" w:eastAsia="宋体" w:cs="Arial"/>
          <w:color w:val="191919"/>
          <w:sz w:val="24"/>
          <w:szCs w:val="24"/>
          <w:shd w:val="clear" w:color="auto" w:fill="FFFFFF"/>
        </w:rPr>
      </w:pPr>
      <w:r>
        <w:rPr>
          <w:rFonts w:hint="eastAsia" w:ascii="宋体" w:hAnsi="宋体" w:eastAsia="宋体" w:cs="Arial"/>
          <w:b/>
          <w:bCs/>
          <w:color w:val="FF0000"/>
          <w:sz w:val="24"/>
          <w:szCs w:val="24"/>
          <w:shd w:val="clear" w:color="auto" w:fill="FFFFFF"/>
          <w:lang w:val="en-US" w:eastAsia="zh-CN"/>
        </w:rPr>
        <w:t>配套机房及UPS</w:t>
      </w:r>
      <w:r>
        <w:rPr>
          <w:rFonts w:hint="eastAsia" w:ascii="宋体" w:hAnsi="宋体" w:eastAsia="宋体" w:cs="Arial"/>
          <w:color w:val="191919"/>
          <w:sz w:val="24"/>
          <w:szCs w:val="24"/>
          <w:shd w:val="clear" w:color="auto" w:fill="FFFFFF"/>
          <w:lang w:val="en-US" w:eastAsia="zh-CN"/>
        </w:rPr>
        <w:t>系统：机房系统（机房动环监控、机房气体消防等）、UPS不间断电源系统</w:t>
      </w:r>
    </w:p>
    <w:p>
      <w:pPr>
        <w:pStyle w:val="95"/>
        <w:numPr>
          <w:ilvl w:val="0"/>
          <w:numId w:val="0"/>
        </w:numPr>
        <w:tabs>
          <w:tab w:val="left" w:pos="709"/>
        </w:tabs>
        <w:spacing w:before="156" w:beforeLines="50" w:after="156" w:afterLines="50" w:line="360" w:lineRule="auto"/>
        <w:ind w:leftChars="0"/>
        <w:outlineLvl w:val="2"/>
        <w:rPr>
          <w:rFonts w:hint="eastAsia" w:ascii="宋体" w:hAnsi="宋体" w:eastAsia="宋体"/>
          <w:b/>
          <w:sz w:val="28"/>
          <w:szCs w:val="28"/>
        </w:rPr>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pPr>
    </w:p>
    <w:p>
      <w:pPr>
        <w:pStyle w:val="95"/>
        <w:numPr>
          <w:ilvl w:val="0"/>
          <w:numId w:val="9"/>
        </w:numPr>
        <w:tabs>
          <w:tab w:val="left" w:pos="1134"/>
        </w:tabs>
        <w:spacing w:before="156" w:beforeLines="50" w:after="156" w:afterLines="50" w:line="360" w:lineRule="auto"/>
        <w:ind w:firstLineChars="0"/>
        <w:jc w:val="center"/>
        <w:outlineLvl w:val="0"/>
        <w:rPr>
          <w:rFonts w:ascii="宋体" w:hAnsi="宋体" w:eastAsia="宋体"/>
          <w:b/>
          <w:sz w:val="32"/>
          <w:szCs w:val="32"/>
        </w:rPr>
      </w:pPr>
      <w:r>
        <w:rPr>
          <w:rFonts w:hint="eastAsia" w:ascii="宋体" w:hAnsi="宋体" w:eastAsia="宋体"/>
          <w:b/>
          <w:sz w:val="32"/>
          <w:szCs w:val="32"/>
          <w:lang w:val="en-US" w:eastAsia="zh-CN"/>
        </w:rPr>
        <w:t xml:space="preserve"> 设备清单</w:t>
      </w:r>
    </w:p>
    <w:p>
      <w:pPr>
        <w:pStyle w:val="95"/>
        <w:numPr>
          <w:ilvl w:val="0"/>
          <w:numId w:val="0"/>
        </w:numPr>
        <w:tabs>
          <w:tab w:val="left" w:pos="1134"/>
        </w:tabs>
        <w:spacing w:before="156" w:beforeLines="50" w:after="156" w:afterLines="50" w:line="360" w:lineRule="auto"/>
        <w:ind w:leftChars="0"/>
        <w:jc w:val="both"/>
        <w:outlineLvl w:val="0"/>
        <w:rPr>
          <w:rFonts w:ascii="宋体" w:hAnsi="宋体" w:eastAsia="宋体"/>
          <w:b/>
          <w:sz w:val="32"/>
          <w:szCs w:val="32"/>
          <w:highlight w:val="none"/>
          <w:shd w:val="clear" w:color="auto" w:fill="auto"/>
        </w:rPr>
      </w:pP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shd w:val="clear" w:color="auto" w:fill="auto"/>
        </w:rPr>
      </w:pPr>
      <w:r>
        <w:rPr>
          <w:rFonts w:hint="eastAsia" w:ascii="宋体" w:hAnsi="宋体" w:eastAsia="宋体"/>
          <w:b/>
          <w:sz w:val="28"/>
          <w:szCs w:val="28"/>
          <w:highlight w:val="none"/>
          <w:shd w:val="clear" w:color="auto" w:fill="auto"/>
          <w:lang w:val="en-US" w:eastAsia="zh-CN"/>
        </w:rPr>
        <w:t xml:space="preserve"> </w:t>
      </w:r>
      <w:bookmarkStart w:id="47" w:name="_Toc19599"/>
      <w:r>
        <w:rPr>
          <w:rFonts w:hint="eastAsia" w:ascii="宋体" w:hAnsi="宋体" w:eastAsia="宋体"/>
          <w:b/>
          <w:sz w:val="28"/>
          <w:szCs w:val="28"/>
          <w:highlight w:val="none"/>
          <w:shd w:val="clear" w:color="auto" w:fill="auto"/>
          <w:lang w:val="en-US" w:eastAsia="zh-CN"/>
        </w:rPr>
        <w:t>1F疫情防控流调溯源办公专区</w:t>
      </w:r>
      <w:bookmarkEnd w:id="47"/>
    </w:p>
    <w:tbl>
      <w:tblPr>
        <w:tblStyle w:val="32"/>
        <w:tblW w:w="13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1"/>
        <w:gridCol w:w="1638"/>
        <w:gridCol w:w="9797"/>
        <w:gridCol w:w="712"/>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3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shd w:val="clear" w:color="auto" w:fill="auto"/>
              </w:rPr>
            </w:pPr>
            <w:r>
              <w:rPr>
                <w:rFonts w:hint="eastAsia" w:ascii="等线" w:hAnsi="等线" w:eastAsia="等线" w:cs="等线"/>
                <w:b/>
                <w:bCs/>
                <w:i w:val="0"/>
                <w:iCs w:val="0"/>
                <w:color w:val="000000"/>
                <w:kern w:val="0"/>
                <w:sz w:val="22"/>
                <w:szCs w:val="22"/>
                <w:highlight w:val="none"/>
                <w:u w:val="none"/>
                <w:shd w:val="clear" w:color="auto" w:fill="auto"/>
                <w:lang w:val="en-US" w:eastAsia="zh-CN" w:bidi="ar"/>
              </w:rPr>
              <w:t>1F疫情防控流调溯源办公专区清单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序号</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设备名称</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招标参数要求</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数量</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一、会议显示平板</w:t>
            </w:r>
          </w:p>
        </w:tc>
        <w:tc>
          <w:tcPr>
            <w:tcW w:w="97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p>
        </w:tc>
        <w:tc>
          <w:tcPr>
            <w:tcW w:w="7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4"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86寸会议平板</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1.尺寸：86 inch DLED背光源；分辨率：3840 × 2160 @60 Hz；响应时间：6 ms</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2.对比度：1200：1（Typ.）；色深度：10 bit；亮度：350 cd/m²</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3.操作系统：Android 8.0</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4.CPU：4核 A73*2+A53*2，主频1.5 GHz；存储：32 GB；内存：3 GB</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5.支持路由功能；支持蓝牙5.0</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6.采用红外触控，AG顺滑玻璃</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7.触摸精度要求90%以上的触摸区域为 ±1 mm；触控响应速度：＜ 10 ms；触控点：20点</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8.接口：HDMI OUT 1路，最大4K@60Hz，HDMI IN 2路，最大4K@60Hz；LINE OUT 1路，LINE IN 1路；1个RS-232 ，2个RJ45，4个USB</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9.内置2个16W音箱</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PC模块</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1.处理器：Intel H310C Express</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2.CPU：Intel Core i5 9400，主频：2.9GHz</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3.内存：8GB；硬盘：256G固态硬盘</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4.网卡：Integrated 10/100/1000M Adaption；WiFi支持IEEE 802.11 ac</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5.声卡：集成High Definition Audio Stereo</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6.平台架构：Coffee Lake</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7.显卡：集成显卡</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8.接口：网络接口RJ45 x1，存储控制接口USB 2.0/3.0 x6，视频输出接口HDMI接口(out) x1, DP(out) 接口 x1</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9.蓝牙：Bluetooth 4.2</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无线传屏器</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1.配置安装：免配置，免安装，自动连接，自动运行，USB接口即插即用</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2.支持系统： Windows7/8/10 , macOS 10以上</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3.分辨率：1080P 30fps</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4.传输延时：&lt; 200 ms</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5.触控回传：支持10点触摸回传（Windows 、 Mac），支持鼠标模式回传 （Windows，Mac）</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 xml:space="preserve">6.WiFi类型：2.4G/5G 双频 WiFi </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7.无线传输协议：IEEE 802.11  a/g/n/ac；无线速率：&gt; 400 Mbps</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8.频段：2.4G&amp;5.8G</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9.加密：AES</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10.验证协议： WPA2-PSK</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安装架</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定制</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桌面多媒体盒</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HDMI+五孔插座+网口</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7</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HDMI数据线</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20米</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3</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二、数字会议系统</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2"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 xml:space="preserve">数字会议系统主机 </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2"/>
                <w:szCs w:val="22"/>
                <w:highlight w:val="none"/>
                <w:u w:val="none"/>
                <w:shd w:val="clear" w:color="auto" w:fill="auto"/>
                <w:lang w:val="en-US" w:eastAsia="zh-CN" w:bidi="ar"/>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内置高性能双CPU处理器，支持8KHz至96KHz范围内的采样速率，并支持数字音量控制。</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具有≥4.3英寸触摸屏，具有WIFI网络接口，可以通过连接POE网络交换机扩充无线AP数量，提供更大的无线覆盖范围。具有1-4路会议单元输出接口，具有超大系统容量，系统最大支持≥4096台有线会议单元，≥300台无线会议单元。系统最大支持同时开≥8个有线话筒和≥6个无线话筒。</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3.具有一键关机所有无线单元功能。具有1路USB接口，支持插入U盘设备进行录音功能，支持播放背景音乐功能。具有≥两路功放输出接口，可接驳两个定阻音箱。</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shd w:val="clear" w:color="auto" w:fill="auto"/>
                <w:lang w:val="en-US" w:eastAsia="zh-CN" w:bidi="ar"/>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4.支持四种话筒管理模式：FIFO/ NORMAL/VOICE(声控)/APPLY。具有1路EXTENSION 口，可用于连接扩展主机。</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具有≥1路RS-485接口，支持一台摄像机实现摄像跟踪。具有≥1路消防报警联动触发接口，在消防紧急状况下可为会议主机面板触摸屏、单元机屏提供火灾报警信息。具有≥1路平衡信号和≥1路非平衡信号输入接口，≥1路平衡信号和≥1路非平衡信号输出接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6.PC软件端可查看无线单元的电池电量、WiFi信号等信息状态。具有一键关机所有无线单元功能。具有丰富的会议应用功能，支持投票表决功能、会议签到功能、5段EQ调节功能、广播短消息、茶水申请服务等，支持会议信息导出，满足日常会议应用所需。</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台面式数字会议话筒主席单元</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1.桌面式话筒采用心型指向性驻极体麦克风，支持声控功能。内部具有DSP音频处理；采用100M网络传输，实现手拉手级联。</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2.具有≥4.3英寸触摸屏，支持茶水服务功能。</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3.支持触摸按键签到功能。支持表决评级选举功能，支持五键选举/三键表决，主席机支持发起投票、签到功能；支持签到、表决状态实时显示，后台同步显示。</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4.单元具有自动编ID功能，支持同声传译功能可选择接收语言通道，出厂默认为15+1，可选配31+1，63+1。</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5.主席单元具有计时发言功能 ，发言时间不受限制；代表机具有申请发言功能，主席可批准申请人发言；单元具备优先权功能，可关闭正在发言的所有代表话筒。</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6.支持5段EQ调节功能，后台软件可针对发言者的声音特点调节不同的音效。</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台面式数字会议话筒代表单元</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2"/>
                <w:szCs w:val="22"/>
                <w:highlight w:val="none"/>
                <w:u w:val="none"/>
                <w:shd w:val="clear" w:color="auto" w:fill="auto"/>
                <w:lang w:val="en-US" w:eastAsia="zh-CN" w:bidi="ar"/>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桌面式话筒采用心型指向性驻极体麦克风，支持声控功能。内部具有DSP音频处理；采用100M网络传输，实现手拉手级联。</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2.具有≥4.3英寸触摸屏，支持茶水服务功能。支持触摸按键签到功能。支持表决评级选举功能，支持五键选举/三键表决；支持签到、表决状态实时显示，后台同步显示。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3.单元具有自动编ID功能，支持同声传译功能可选择接收语言通道，出厂默认为15+1，可选配31+1，63+1。</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4.代表单元具有计时发言功能 ，发言时间不受限制；代表机具有申请发言功能，主席可批准申请人发言。</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5.支持5段EQ调节功能，后台软件可针对发言者的声音特点调节不同的音效。</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15</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无线鹅颈会议话筒</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2"/>
                <w:szCs w:val="22"/>
                <w:highlight w:val="none"/>
                <w:u w:val="none"/>
                <w:shd w:val="clear" w:color="auto" w:fill="auto"/>
                <w:lang w:val="en-US" w:eastAsia="zh-CN" w:bidi="ar"/>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频率指标：470-510M 540-590M 640-690M 740-790M 807-830MHz 五段（要求满足或优于此性能），调制方式：宽带FM，频道数目：≥500个频道。</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2.系统包括有一台主机+两台桌面式无线麦克。</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5.平衡和非平衡两种选择输出端口，适应不同的设备连接需求。</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7.发射机指标：天线程式: 内置螺旋天线</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8.输出功率:3mW~30mW。</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6芯20米延长电缆</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20米延长线（一公一母）</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9"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三、音频扩声系统</w:t>
            </w:r>
          </w:p>
        </w:tc>
        <w:tc>
          <w:tcPr>
            <w:tcW w:w="97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p>
        </w:tc>
        <w:tc>
          <w:tcPr>
            <w:tcW w:w="7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p>
        </w:tc>
        <w:tc>
          <w:tcPr>
            <w:tcW w:w="77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12路调音台</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3.内置24位DSP效果器，提供≥100种预设效果。</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4.具备13个60mm行程的高精密碳膜推子。</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5.内置USB声卡模块，支持连接电脑进行音乐播放和声音录音；内置MP3播放器，支持≥1个USB接口接U盘播放音乐。</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数字音频处理器</w:t>
            </w:r>
          </w:p>
        </w:tc>
        <w:tc>
          <w:tcPr>
            <w:tcW w:w="9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4"/>
              </w:numPr>
              <w:suppressLineNumbers w:val="0"/>
              <w:jc w:val="left"/>
              <w:textAlignment w:val="center"/>
              <w:rPr>
                <w:rFonts w:hint="eastAsia" w:ascii="宋体" w:hAnsi="宋体" w:eastAsia="宋体" w:cs="宋体"/>
                <w:i w:val="0"/>
                <w:iCs w:val="0"/>
                <w:color w:val="000000"/>
                <w:kern w:val="0"/>
                <w:sz w:val="22"/>
                <w:szCs w:val="22"/>
                <w:highlight w:val="none"/>
                <w:u w:val="none"/>
                <w:shd w:val="clear" w:color="auto" w:fill="auto"/>
                <w:lang w:val="en-US" w:eastAsia="zh-CN" w:bidi="ar"/>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3.输出通道支持31段图示均衡器、延时器、分频器、高低通滤波器、限幅器。</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4.支持24bit/48kHz的声音，支持输入通道48V幻象供电。</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6.支持通过iOS、iPad、Android的手机/平板APP软件进行操作控制，面板具备USB接口，支持多媒体存储，可进行播放或存储录播。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9.支持断电自动保护记忆功能。支持通道拷贝、粘贴、联控功能。支持通过浏览器访问设备，下载自带管理控制软件；可工作在XP/Windows7、8、10等系统环境下。</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反馈抑制器</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3.每通道支持压缩、限幅、噪声门、功能设置，可切换工作模式为直通或反馈抑制；可任意编辑固定和动态反馈点数量，可一键清除啸叫点；单机可存储30组用户程序。</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全频音箱</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1.阻抗：8Ω</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2.频响：70Hz-20KHz</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3.额定功率≥150W</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4.灵敏度≥96dB/W/M</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5.水平覆盖角≥100°，垂直覆盖角≥80°</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6.高音：3"锥形高音单元×2</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7.低音：8"低音×1</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5</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支架</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固定面板固定孔尺寸（长*宽）：34mm*34mm</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箱体固定面板固定孔尺寸：110mm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双通道功率放大器</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2.采用强制散热设计；具有安全保护措施和工作状态指示（短路、过载、直流和过热保护，变压器过热保护）。</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3.输出功率:立体声/并联8Ω:350W*2.立体声/并联4Ω:530W*2.桥接8Ω:1060W。</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4、采用标准XLR+TRS1/4"复合多功能输入接口。智能削峰限幅器，控制功率模块及扬声器系统在安全范围内工作。</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7</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电源管理器</w:t>
            </w:r>
          </w:p>
        </w:tc>
        <w:tc>
          <w:tcPr>
            <w:tcW w:w="97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4.具有一路及以上USB输出接口。</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9</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JDG管</w:t>
            </w:r>
          </w:p>
        </w:tc>
        <w:tc>
          <w:tcPr>
            <w:tcW w:w="9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φ25</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80</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10</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线材附件</w:t>
            </w:r>
          </w:p>
        </w:tc>
        <w:tc>
          <w:tcPr>
            <w:tcW w:w="9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音响线 话筒线接插件等</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管材及配件</w:t>
            </w:r>
          </w:p>
        </w:tc>
        <w:tc>
          <w:tcPr>
            <w:tcW w:w="9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含电源线、网线、五金件、扎带、胶带等</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项</w:t>
            </w:r>
          </w:p>
        </w:tc>
      </w:tr>
    </w:tbl>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shd w:val="clear" w:color="auto" w:fill="auto"/>
        </w:rPr>
      </w:pPr>
      <w:r>
        <w:rPr>
          <w:rFonts w:hint="eastAsia"/>
          <w:highlight w:val="none"/>
          <w:shd w:val="clear" w:color="auto" w:fill="auto"/>
        </w:rPr>
        <w:br w:type="page"/>
      </w:r>
      <w:r>
        <w:rPr>
          <w:rFonts w:hint="eastAsia" w:ascii="宋体" w:hAnsi="宋体" w:eastAsia="宋体"/>
          <w:b/>
          <w:sz w:val="28"/>
          <w:szCs w:val="28"/>
          <w:highlight w:val="none"/>
          <w:shd w:val="clear" w:color="auto" w:fill="auto"/>
          <w:lang w:val="en-US" w:eastAsia="zh-CN"/>
        </w:rPr>
        <w:t xml:space="preserve"> </w:t>
      </w:r>
      <w:bookmarkStart w:id="48" w:name="_Toc23917"/>
      <w:r>
        <w:rPr>
          <w:rFonts w:hint="eastAsia" w:ascii="宋体" w:hAnsi="宋体" w:eastAsia="宋体"/>
          <w:b/>
          <w:sz w:val="28"/>
          <w:szCs w:val="28"/>
          <w:highlight w:val="none"/>
          <w:shd w:val="clear" w:color="auto" w:fill="auto"/>
        </w:rPr>
        <w:t>2F指挥大厅</w:t>
      </w:r>
      <w:bookmarkEnd w:id="48"/>
    </w:p>
    <w:tbl>
      <w:tblPr>
        <w:tblStyle w:val="32"/>
        <w:tblW w:w="13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1669"/>
        <w:gridCol w:w="9769"/>
        <w:gridCol w:w="712"/>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129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shd w:val="clear" w:color="auto" w:fill="auto"/>
              </w:rPr>
            </w:pPr>
            <w:r>
              <w:rPr>
                <w:rFonts w:hint="eastAsia" w:ascii="等线" w:hAnsi="等线" w:eastAsia="等线" w:cs="等线"/>
                <w:b/>
                <w:bCs/>
                <w:i w:val="0"/>
                <w:iCs w:val="0"/>
                <w:color w:val="000000"/>
                <w:kern w:val="0"/>
                <w:sz w:val="22"/>
                <w:szCs w:val="22"/>
                <w:highlight w:val="none"/>
                <w:u w:val="none"/>
                <w:shd w:val="clear" w:color="auto" w:fill="auto"/>
                <w:lang w:val="en-US" w:eastAsia="zh-CN" w:bidi="ar"/>
              </w:rPr>
              <w:t>2F指挥大厅功能清单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设备名称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招标参数要求</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数量</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shd w:val="clear" w:color="auto" w:fill="auto"/>
              </w:rPr>
            </w:pPr>
            <w:r>
              <w:rPr>
                <w:rFonts w:hint="eastAsia" w:ascii="宋体" w:hAnsi="宋体" w:eastAsia="宋体" w:cs="宋体"/>
                <w:b/>
                <w:bCs/>
                <w:i w:val="0"/>
                <w:iCs w:val="0"/>
                <w:color w:val="000000"/>
                <w:kern w:val="0"/>
                <w:sz w:val="22"/>
                <w:szCs w:val="22"/>
                <w:highlight w:val="none"/>
                <w:u w:val="none"/>
                <w:shd w:val="clear" w:color="auto" w:fill="auto"/>
                <w:lang w:val="en-US" w:eastAsia="zh-CN" w:bidi="ar"/>
              </w:rPr>
              <w:t>一、LED大屏显示</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P1.5全彩LED显示屏</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★1.</w:t>
            </w:r>
            <w:r>
              <w:rPr>
                <w:rStyle w:val="140"/>
                <w:highlight w:val="none"/>
                <w:shd w:val="clear" w:color="auto" w:fill="auto"/>
                <w:lang w:val="en-US" w:eastAsia="zh-CN" w:bidi="ar"/>
              </w:rPr>
              <w:t>像素间距≤</w:t>
            </w:r>
            <w:r>
              <w:rPr>
                <w:rFonts w:hint="eastAsia" w:ascii="宋体" w:hAnsi="宋体" w:eastAsia="宋体" w:cs="宋体"/>
                <w:i w:val="0"/>
                <w:iCs w:val="0"/>
                <w:color w:val="000000"/>
                <w:kern w:val="0"/>
                <w:sz w:val="22"/>
                <w:szCs w:val="22"/>
                <w:highlight w:val="none"/>
                <w:u w:val="none"/>
                <w:shd w:val="clear" w:color="auto" w:fill="auto"/>
                <w:lang w:val="en-US" w:eastAsia="zh-CN" w:bidi="ar"/>
              </w:rPr>
              <w:t>1.56mm；国星金线；LED表贴三合一；</w:t>
            </w:r>
            <w:r>
              <w:rPr>
                <w:rFonts w:hint="eastAsia" w:ascii="宋体" w:hAnsi="宋体" w:eastAsia="宋体" w:cs="宋体"/>
                <w:i w:val="0"/>
                <w:iCs w:val="0"/>
                <w:color w:val="auto"/>
                <w:kern w:val="0"/>
                <w:sz w:val="22"/>
                <w:szCs w:val="22"/>
                <w:highlight w:val="none"/>
                <w:u w:val="none"/>
                <w:shd w:val="clear" w:color="auto" w:fill="auto"/>
                <w:lang w:val="en-US" w:eastAsia="zh-CN" w:bidi="ar"/>
              </w:rPr>
              <w:t>投标LED的灯珠采用SMD金线封装，中标供货后，业主有权将箱体样品送交管芯封装厂商检测，如有作假，追究责任；</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2.箱体比例：16:9，全封闭压铸铝材质；</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3.像素密度：409600点/㎡ ；</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4.显示屏亮度≥600cd/㎡，色温3000K—10000K可调，水平、垂直视角160°，亮度均匀性≥97%，色度均匀性±0.003Cx,Cy之内，最大对比度≥3000:1；刷新率：3840Hz</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5.支持256灰阶每一级灰度进行精准检测与控制，解决灰阶过渡偏色反跳等问题，使灰阶过渡更加细腻。</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6.工作温度范围0—40℃，存储温度范围-10—50℃，工作湿度范围（RH）无结露10-60%，带包装存储湿度范围（RH）无结露10-70%。</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7.功能特性：支持任意方向、任意尺寸、任意造型拼接，画面均匀一致，无黑线，实现真正无缝拼接。</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8.当控制卡的网络环境变化后，能自动获取控制卡的IP地址，防止网络环境变化后，使用者无法登陆设备</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9.支持灰度再编码技术，每帧图像实时处理，针对低灰图像细节进行对比度增强，低灰更细腻；刷新帧率倍频，减少闪烁。</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10.维护方式：完全前维护，灯板电源和接收卡前维护。</w:t>
            </w:r>
            <w:r>
              <w:rPr>
                <w:rFonts w:hint="eastAsia" w:ascii="宋体" w:hAnsi="宋体" w:eastAsia="宋体" w:cs="宋体"/>
                <w:i w:val="0"/>
                <w:iCs w:val="0"/>
                <w:color w:val="000000"/>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000000"/>
                <w:kern w:val="0"/>
                <w:sz w:val="22"/>
                <w:szCs w:val="22"/>
                <w:highlight w:val="none"/>
                <w:u w:val="none"/>
                <w:shd w:val="clear" w:color="auto" w:fill="auto"/>
                <w:lang w:val="en-US" w:eastAsia="zh-CN" w:bidi="ar"/>
              </w:rPr>
              <w:t>11.电气参数：峰值功耗850W/㎡，平均功耗＜280W/㎡，供电要求110~220VAC±15%；</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68.04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LED全彩屏发送卡</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支持1个DVI、1个HDMI、1个DP输入接口，支持4K分辨率信号接入。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2.支持亮度调节，可以通过客户端、遥控器、PAD及物理按键进行调节，并支持多台设备同时调节。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3.可通过遥控器的便捷式操作，对图像的对比度、清晰度、饱和度、色温以及图像模式进行调节设置。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4.支持倍帧功能，可以将输入为30Hz的信号转成60Hz信号输出。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5.支持图片上传作为底图显示，且图片可轮巡。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6.支持800*600-4092*2160之间的多种分辨率视频信号自适应接入。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7.支持屏体各通道逐个延时上电，可通过遥控器进行操作。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8.可通过物理按键、遥控器、客户端方式对屏幕红、绿、蓝、白、条纹逐行扫描进行自检操作。9.具备光感扩展接口，配合光感传感器，无需增加额外设备即可实现光感调节功能。</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落地式支架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落地式支架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68.04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智能大屏管理软件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1.大屏显控软件，包含大屏显控、平板操控、内容切换、中控管理等一系列功能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2.系统具备 C/S 和 B/S 结构，可通过客户端软件、平板和浏览器对大屏系统进行统一管理，包括大屏门户、 场景配置、预案切换、远程操控、 信号控制、 一键上墙、内容切换、多屏互动、窗口叠加/拼接/漫游/放大/缩小/移动/关闭等操作；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3.支持拼控器、播控主机、 KVM 坐席、 PC主机、中控主机设备增删改查的统一管理；支持查看播控主机、 KVM 坐席、PC主机、中控主机设备的在线/离线状态；支持通过平台远程重启、更新播控主机的程序；支持场景关联播控主机的开关量模式；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PPT、Word 文档、 Excel、PDF、文本等内容窗口拖动到大屏中，每种类型窗口可添加多个文件，可设置内容文件播放时长，内容播放顺序等属性；支持实时查看大屏显示的内容，可远程操控数据可视化面本、AR 客户端、VR 网页端、第三方业务系统等。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5.支持大屏预编辑功能，在不影响大屏显示的前提下进行后台布局；；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6.可控制大屏的智能控制功能，包括广告、会议、监控、护眼模式的开启屏保，以及对具有除湿功能的大屏进行除湿；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7.支持可视化展示播控主机、屏幕、拼控器、中控主机、 PC 主机、 KVM 坐席等设备的在离线统计信息以及播控主机的页面数量、分辨率、温度、稳定运行时长、设备告警等信息；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8.支持一键将本地电脑桌面，投放到大屏上显示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9.支持大屏系统一键开关机， 并可设置定时开关机；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10.为保证兼容性与统一管理，要求本软件与LED大屏为同一品牌。</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配电柜</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1.类型：80KW配电柜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2.控制：欧姆龙PLC控制器，网络远程控制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3.元器件：德力西断路器，施耐德接触器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4.输入电压：380V，三相五线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5.输出电压：220V</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主电缆</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YJV4*150+1*70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HDMI高清线（4k）</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3米</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六类非屏蔽网线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RVV3*4mm²</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含扎带、水晶头、标签、胶带等</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二、坐席系统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操作员席位</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共49个工位/每工位2屏幕/定制/台面高度：760mm；台体深度：800-1000mm；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控制台台板基材须采用防火、防潮、防刻划、绝缘、耐磨、强度高的抗培特板制作，厚度≥15mm,表面贴防火板。控制台台面应当保持平滑及水平，应保证两块台板间拼缝间隙≤0.5mm，高低基本平齐，手摸无明显拼缝感觉，两块台面间高低差≤0.5mm。控制台台面的边缘应为圆弧形设计的手枕，保证手臂工作时的舒适性。手枕采用台板一体化延伸的台板边缘，外形手感好，适合人手放置的流线型表面，经抛光、耐磨喷涂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体框架结构应使用铝合金型材与优质冷轧钢板相结合的结构设计，主体框架下部应采用可调整水平的固定脚支撑，满足控制台整体平整性和工程的受力强度要求；所有钣金配件均做R圆角处理，外表面使用静电吸塑工艺，整体结构稳固防腐，耐划伤；为了保证散热通风，方便操作与整体环境美观统一,前后门板需采用厚度1.0mm的镀锌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前后门采用优质液压缓冲铰链与主框架连接，方便日后的管理，同时台体下部有足够的腿部活动空间，底柜前后部有散热孔。主机设备需全部密封底柜内部，降低工作噪音，内设主机托板，方便日后的设备维护，主机托板采用滑槽固定承托可左右移动满足下部进线的需要，相应的上线位主机托板设计为多模块式底板，不需要任何固定螺丝，方便拆卸。控制台内设有短捷顺畅的线缆管理系统，且电源、讯号线分开管理，做到各个方向的线都能方便的在线槽内方便的捆扎，线槽可以做到布线短捷、隐蔽、合理之要求。前面LCD显示器之电源线按标准规格长度即可方便地连入电源插座，讯号数据线也可不用加长即可插入相应主机，使用方便合理。内部横纵向强弱电分开走线，方便捆扎，科学安全管理。铝型材厚度不小于2.0mm，铝型材槽宽不小于8mm。侧板采用厚复合型材，厚度不小于12 mm，表面采用汽车烤漆处理，烤漆厚度标准达到（30-40um），硬度达到3H，附着力达到100/100mm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4.控制台的静电放电抗扰度、射频电磁场辐射抗扰度、射频场感应传导骚扰抗扰度性能等级应达到IEC61000标准A级要求。                                                                                                                        5.控制台整套产品，其甲醛、TVOC、苯/甲苯/二甲苯、涂层可迁移元素，应能通过GB/T 35607-2017《绿色产品评价家具》或相关同等要求国家标准的规定值（至少满足甲醛释放量≤0.01mg/m³，汞≤1mg/kg，铬≤1mg/kg，镉≤0.5mg/kg，铅≤2mg/kg）。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6.控制台产品按GB20286-2006附录C做燃烧测试达到等级应不低于阻燃1级，其中“烟密度”应低于20%，同时“一氧化碳浓度”释放量应低于80ppm,“质量损失率”不大于0.1%。</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专业调度椅</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1.头枕、背垫、腰枕及座垫均为进口网布；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2.黑色塑胶框架，PU扶手垫；塑胶头枕插条、头枕横把手；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3.背支撑架、底盘支撑架均为铝合金精抛光；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4.100MM气压棒,340MM铝合金精抛光椅脚,60MM PU滑轮</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液晶显示器支臂</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挂墙型固定于控制台背墙，可9方向自由调节、伸缩的支架，稳定承重50寸以下液晶显示器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图形工作站（高配）</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品牌工作站</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1.CPU:不低于i7-10700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2.内存：≥16GB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3.硬盘：机械硬盘≥1T+固态硬盘≥256SDD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4.显卡：独显，GTX3080 10GB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前置：≥5个USB接口（至少1个USB Type-C）、≥2个6.音频接口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后置：≥4个USB接口、串口、音频接口、≥2个DP接口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7.扩展槽位：≥1个PCIe Gen3.0x16、≥1个PCIe Gen 3.0x4（16长度）、≥1个PCIe Gen3.0x1；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8.塔式标准机箱，≤17L，节省空间；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9.内嵌式把手设计，易于搬运，顶置电源开关键，方便使用；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10.配备有线键鼠</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图形工作站（普配）</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品牌工作站</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1.CPU:不低于i5-10500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2.内存：≥8G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3.硬盘：机械硬盘≥1T+固态硬盘≥256SDD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4.显卡：独显，≥2G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前置：≥5个USB接口（至少1个USB Type-C）、≥2个6.音频接口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后置：≥4个USB接口、串口、音频接口、≥2个DP接口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7.扩展槽位：≥1个PCIe Gen3.0x16、≥1个PCIe Gen 3.0x4（16长度）、≥1个PCIe Gen3.0x1；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8.塔式标准机箱，≤17L，节省空间；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9.内嵌式把手设计，易于搬运，顶置电源开关键，方便使用；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10.配备有线键鼠</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HDMI高清线（4k）</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曲面液晶显示器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1.屏幕比例 16:9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2.面板类型 IPS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3.静态对比度 1000:1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4.响应时间 ≤5ms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5.显示参数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6.点距 0.234mm纠错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7.亮度 430cd/㎡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8.可视角度 178/178°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9.刷新率 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10.接口参数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11.视频接口 HDMI≥2，Displayport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12.其它接口 USB≥4，音频输入，音频输出</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灯光控制器软件V1.0</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1.支持本地按钮改变6种常用氛围颜色（蓝、红、绿、紫、黄、冰蓝）切换，也支持6种特定颜色（三原色任意调整RGB值的组合颜色）切换；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2.支持RGB任意颜色（三原色任意调整RGB值的组合颜色）调整；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3.支持常亮、闪烁两种常用氛围状态（及通用和报警功能划分）；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4.支持485通信协议组网，确保远距离传输的稳定可靠性的同时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嵌入式多媒体盒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多媒体插座采用简单易用的接入方式，支持接2个电源、4个网口、ups口、1个音频口，锁定后的连接盒与桌面保持齐平，所有接口隐藏。</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键盘托盘</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金属托盘，聚氨酯护腕，人体工程学机构</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电源PDU</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19英寸标准机架PDU，6位3孔，可直连UPS配电柜</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44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电脑主机服务器托盘</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金属托盘，可竖直放置电脑主机等设备</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领导观摩指挥席位</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共36个工位3组弧形/定制/台面高度：760mm；台体深度：800mm；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所有钣金配件外表面使用静电吸塑工艺。整体框架通过螺栓连接成型，下部采用可调整水平的固定脚支撑,框架下部设有进线孔,方便外部线路引入框体,连接其他设备。控制台深度为800mm，可提供足够的腿部空间(450mm)；工作台表面到地面距离为：740-755 mm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2、控制台的静电放电抗扰度、射频电磁场辐射抗扰度、射频场感应传导骚扰抗扰度性能等级应达到IEC61000标准A级要求.                                                                                                                         3、控制台整套产品，其甲醛、TVOC、苯/甲苯/二甲苯、涂层可迁移元素，应能通过GB/T 35607-2017《绿色产品评价家具》或相关同等要求国家标准的规定值（至少满足甲醛释放量≤0.01mg/m³，汞≤1mg/kg，铬≤1mg/kg，镉≤0.5mg/kg，铅≤2mg/kg）。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4、控制台产品按GB20286-2006附录C做燃烧测试达到等级应不低于阻燃1级，其中“烟密度”应低于20%，同时“一氧化碳浓度”释放量应低于80ppm,“质量损失率”不大于0.1%.</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领导指挥椅</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头层黄牛皮，不锈钢弓形结构，扶手斜度设计。</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嵌入式多媒体盒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多媒体插座采用简单易用的接入方式，支持接2个电源插座，锁定后的连接盒与桌面保持齐平，所有接口隐藏。</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24口接入交换机（内网）</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24口接入交换机（外网）</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24口接入交换机(视频专网)</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7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24口网线配线架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 24口机架式180度模块化六类非屏蔽网络配线架 含标签条</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100对110机架式配线架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100对1U 110配线架机架式 （包括配线架底座、标签夹、白色标签条、10个4对连接模块和2个5对连接模块）</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理线架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六类非屏蔽网线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网络跳线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RJ45-RJ45 六类2米非屏蔽跳线</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RJ45网络跳线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w:t>
            </w:r>
          </w:p>
        </w:tc>
        <w:tc>
          <w:tcPr>
            <w:tcW w:w="7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PVC管</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857.5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定制线槽</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尺寸定制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含扎带、水晶头、标签、胶带等</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三、分布式控制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双引擎2K输入节点</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6"/>
              </w:numPr>
              <w:suppressLineNumbers w:val="0"/>
              <w:jc w:val="left"/>
              <w:textAlignment w:val="center"/>
              <w:rPr>
                <w:rFonts w:hint="eastAsia" w:ascii="宋体" w:hAnsi="宋体" w:eastAsia="宋体" w:cs="宋体"/>
                <w:i w:val="0"/>
                <w:iCs w:val="0"/>
                <w:strike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单个2K60输入节点具备1路视频环出接口、1路视频输入接口、1路音频输入接口、1路音频环出接口、1路反向音频输出接口、≥1路千兆网口。</w:t>
            </w:r>
            <w:r>
              <w:rPr>
                <w:rFonts w:hint="eastAsia" w:ascii="宋体" w:hAnsi="宋体" w:eastAsia="宋体" w:cs="宋体"/>
                <w:i w:val="0"/>
                <w:iCs w:val="0"/>
                <w:strike/>
                <w:dstrike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2.节点可支持1200、2400、4800、9600、14400、19200、38400、56000、57600、115200、128000、250000、256000和自定义波特率；3.支持4:4:4颜色采样方式，还原信号颜色。经过编码后，画质仍然保持原图像质量、亮度、对比度、色度。</w:t>
            </w:r>
            <w:r>
              <w:rPr>
                <w:rFonts w:hint="eastAsia" w:ascii="宋体" w:hAnsi="宋体" w:eastAsia="宋体" w:cs="宋体"/>
                <w:i w:val="0"/>
                <w:iCs w:val="0"/>
                <w:strike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p>
          <w:p>
            <w:pPr>
              <w:keepNext w:val="0"/>
              <w:keepLines w:val="0"/>
              <w:widowControl/>
              <w:numPr>
                <w:ilvl w:val="0"/>
                <w:numId w:val="17"/>
              </w:numPr>
              <w:suppressLineNumbers w:val="0"/>
              <w:jc w:val="left"/>
              <w:textAlignment w:val="center"/>
              <w:rPr>
                <w:rFonts w:hint="eastAsia" w:ascii="宋体" w:hAnsi="宋体" w:eastAsia="宋体" w:cs="宋体"/>
                <w:i w:val="0"/>
                <w:iCs w:val="0"/>
                <w:strike w:val="0"/>
                <w:dstrike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支持深压缩模式（带宽为256k-40M）和浅压缩模式（带宽为300Mbps-10Gbps），为保证解码画面质量，两种模式都支持图像4：4： 4采样、传输、处理；</w:t>
            </w:r>
          </w:p>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设备应具有电源、网络连接、运行状态、故障指示灯，方便排查故障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单个节点可同时传输嵌入式音频及模拟音频。分布式输入/输出节点支持音频加嵌、解嵌功能；可对编码音频的使能（开启/关闭）、音量大小、采样率和编码模式等进行详细设置，音视频可同步或分离进行切换，且平台的H. 265/H. 264视频码流可被第三方平台釆集处理；</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7.信号源由输入节点编码，经过交换机传输，由输出节点进行解码输出。编码端至解码端，图像延时＜17ms。</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双引擎4K输入节点</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单个4K30输入节点具备1路视频环出接口、1路视频输入接口、1路音频输入接口、1路音频环出接口、1路反向音频输出接口、≥1路千兆网口。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eastAsia="宋体" w:cs="宋体"/>
                <w:i w:val="0"/>
                <w:iCs w:val="0"/>
                <w:strike w:val="0"/>
                <w:dstrike w:val="0"/>
                <w:color w:val="000000"/>
                <w:kern w:val="0"/>
                <w:sz w:val="22"/>
                <w:szCs w:val="22"/>
                <w:highlight w:val="none"/>
                <w:u w:val="none"/>
                <w:lang w:val="en-US" w:eastAsia="zh-CN" w:bidi="ar"/>
              </w:rPr>
              <w:t>节点可支持1200、2400、4800、9600、14400、19200、38400、56000、57600、115200、128000、250000、256000和自定义波特率；</w:t>
            </w:r>
          </w:p>
          <w:p>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strike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支持4:4:4颜色采样方式，还原信号颜色。经过编码后，画质仍然保持原图像质量、亮度、对比度、色度。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4.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p>
          <w:p>
            <w:pPr>
              <w:keepNext w:val="0"/>
              <w:keepLines w:val="0"/>
              <w:widowControl/>
              <w:numPr>
                <w:ilvl w:val="0"/>
                <w:numId w:val="19"/>
              </w:numPr>
              <w:suppressLineNumbers w:val="0"/>
              <w:ind w:leftChars="0"/>
              <w:jc w:val="left"/>
              <w:textAlignment w:val="center"/>
              <w:rPr>
                <w:rFonts w:hint="eastAsia" w:ascii="宋体" w:hAnsi="宋体" w:eastAsia="宋体" w:cs="宋体"/>
                <w:i w:val="0"/>
                <w:iCs w:val="0"/>
                <w:strike w:val="0"/>
                <w:dstrike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支持深压缩模式（带宽为256k-40M）和浅压缩模式（带宽为300Mbps-10Gbps），为保证解码画面质量，两种模式都支持图像4：4： 4采样、传输、处理；</w:t>
            </w:r>
          </w:p>
          <w:p>
            <w:pPr>
              <w:keepNext w:val="0"/>
              <w:keepLines w:val="0"/>
              <w:widowControl/>
              <w:numPr>
                <w:ilvl w:val="0"/>
                <w:numId w:val="19"/>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设备应具有电源、网络连接、运行状态、故障指示灯，方便排查故障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单个节点可同时传输嵌入式音频及模拟音频。分布式输入/输出节点支持音频加嵌、解嵌功能；可对编码音频的使能（开启/关闭）、音量大小、采样率和编码模式等进行详细设置，音视频可同步或分离进行切换，且平台的H. 265/H. 264视频码流可被第三方平台釆集处理；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双引擎2K输出节点</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0"/>
              </w:numPr>
              <w:suppressLineNumbers w:val="0"/>
              <w:jc w:val="left"/>
              <w:textAlignment w:val="center"/>
              <w:rPr>
                <w:rFonts w:hint="eastAsia" w:ascii="宋体" w:hAnsi="宋体" w:eastAsia="宋体" w:cs="宋体"/>
                <w:i w:val="0"/>
                <w:iCs w:val="0"/>
                <w:strike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最高支持1920*1080@60HZ，并可向下兼容常见分辨率，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2.支持无缝切换，切换时无黑场，闪屏，画面静止等状态，端到端传输延时不高于16ms；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3.支持4:4:4颜色采样方式，还原信号颜色。经过编码后，画质仍然保持原图像质量、色度、亮度、对比度。</w:t>
            </w:r>
            <w:r>
              <w:rPr>
                <w:rFonts w:hint="eastAsia" w:ascii="宋体" w:hAnsi="宋体" w:eastAsia="宋体" w:cs="宋体"/>
                <w:i w:val="0"/>
                <w:iCs w:val="0"/>
                <w:strike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4.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p>
          <w:p>
            <w:pPr>
              <w:keepNext w:val="0"/>
              <w:keepLines w:val="0"/>
              <w:widowControl/>
              <w:numPr>
                <w:ilvl w:val="0"/>
                <w:numId w:val="21"/>
              </w:numPr>
              <w:suppressLineNumbers w:val="0"/>
              <w:jc w:val="left"/>
              <w:textAlignment w:val="center"/>
              <w:rPr>
                <w:rFonts w:hint="eastAsia" w:ascii="宋体" w:hAnsi="宋体" w:eastAsia="宋体" w:cs="宋体"/>
                <w:i w:val="0"/>
                <w:iCs w:val="0"/>
                <w:strike w:val="0"/>
                <w:dstrike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支持双引擎容错，当浅压码流异常时，支持自动切换至深压缩码流，保证画面的正常显示；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6.支持登录用户名和密码采用BASE64编码格式传输；支持TLS、DTLS和SRTP安全协议；支持AES128、AES265加密；支持SHA摘要，支持HTTPS通讯加密协议；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7.支持鼠标键盘远程信号源控制功能，可通过坐席键盘鼠标对前端不同操作系统、不同分辨率的信号源主机进行远程KVM操作与控制。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8.具有OSD菜单，支持本地坐席操作人员通过节点生成的OSD菜单进行本地信号的切换调用，无需外置硬件即可对各信号源的在线状态与画面进行实时预览显示。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9.支持本地坐席通过分布式设备，实现与远端电脑主机USB数据透传，并兼容USB2.0, 可支持U盘，Ukey, CA认证，移动硬盘、移动 光驱、触控屏、USB摄像头、FSB扫码枪等USB外设的使用，单一节点无需外部设备，可同时使用不少于5种不同类型的USB外设；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10.支持USB锁定功能。设置U盘锁定后，坐席链接的U盘将锁定在固定信号源上，当坐席切换其它信号源或者其它坐席以控制权切换该信号源，该信号源仍可使用锁定U盘；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11.接收端所使用的透传设备可与任意主机进行双向数据传输；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12.支持支持设置用户权限级别，各个操作用户可根据实际需求设置不用用户级别，划分不同用户权限，用户之间操作同步实时显示。用户权限可细分至单个信号源、单个屏组、单个矩阵与USB权限。</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大屏拼接输出节点</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单个2K60拼接输出节点、最高支持1920*1080@60HZ，并可向下兼容常见分辨率，2.视频解码同步输出，同一信号源经过编码、解码后到两台显示屏显示，显示时间差小于5us；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3.支持4:4:4颜色采样方式，还原信号颜色。经过编码后，画质仍然保持原图像质量、色度、亮度、对比度。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4.支持码率自适应、编码率、顶码率。码率支持128Kbps-900Mbps范围内调节，为适应多种带宽环境，1920x1080@60视频最低可使用256Kbps带宽传输；</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5.支持深压缩编码模式和浅压缩编码模式，码流编码模式、编码帧率与码率可调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6.分布式拼接输出节点支持音柱叠加功能，可在输出节点上预览信号源音频的状态,可以音柱的形式监看音频音量大小、电平信号等；</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7.支持4096x2160@60Hz，3840x2160@60Hz，3840x2160P@30Hz，1920x1200@60Hz、1920x1080P@60Hz等分辨率的解码和输出显示，并可向下兼容常见分辨率。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8.支持GB28181、ONVIF等协议的网络摄像机的解码显示；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9.具备大屏拼接管理功能，可实现大屏信号源开窗、拼接、叠加，漫游等功能。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10.可同时显示浅压缩与深压缩（H.264/H.265)视频画面,且支持双引擎容错功能，当特殊情况发生，可自动切换浅压缩码流至深压缩码流，保障拼接墙画面正常显示。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11.支持不少于600MHz像素时钟任意调整，全数字；支持GTF、DMT、CVT视频标准；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12.支持设置拼接屏的拼缝补偿，可精确至1像素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13.支持滚动字幕OSD功能，具有文字、图片滚动字幕显示功能，可配置多条高清滚动字幕，支持用户调整字幕 的样式、动作、方向、速度、颜色、字体等。同时支持和北斗时钟对接；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14.不使用第三方设备的情况下，可显示超大分辨率点对点背景图片。</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4K矩阵输出节点</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单个4K30矩阵输出节点、最高支持3840*2160@30HZ，并可向下兼容常见分辨率。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2.视频解码同步输出，同一信号源经过编码、解码后到两台显示屏显示，显示时间差小于5us；</w:t>
            </w:r>
          </w:p>
          <w:p>
            <w:pPr>
              <w:keepNext w:val="0"/>
              <w:keepLines w:val="0"/>
              <w:widowControl/>
              <w:numPr>
                <w:ilvl w:val="0"/>
                <w:numId w:val="23"/>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支持4:4:4颜色采样方式，还原信号颜色。经过编码后，画质仍然保持原图像质量、色度、亮度、对比度。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4.支持码率自适应、编码率、顶码率。码率支持128Kbps-900Mbps范围内调节，为适应多种带宽环境，1920x1080@60视频最低可使用256Kbps带宽传输；</w:t>
            </w:r>
          </w:p>
          <w:p>
            <w:pPr>
              <w:keepNext w:val="0"/>
              <w:keepLines w:val="0"/>
              <w:widowControl/>
              <w:numPr>
                <w:ilvl w:val="0"/>
                <w:numId w:val="24"/>
              </w:numPr>
              <w:suppressLineNumbers w:val="0"/>
              <w:ind w:left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支持深压缩编码模式和浅压缩编码模式，码流编码模式、编码帧率与码率可调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6.分布式拼接输出节点支持音柱叠加功能，可在输出节点上预览信号源音频的状态,可以音柱的形式监看音频音量大小、电平信号等；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7.支持4096x2160@60Hz，3840x2160@60Hz，3840x2160P@30Hz，1920x1200@60Hz、1920x1080P@60Hz等分辨率的解码和输出显示，并可向下兼容常见分辨率。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8.支持GB28181、ONVIF等协议的网络摄像机的解码显示；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9.具备大屏拼接管理功能，可实现大屏信号源开窗、拼接、叠加，漫游等功能。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10.可同时显示浅压缩与深压缩（H.264/H.265)视频画面,且支持双引擎容错功能，当特殊情况发生，可自动切换浅压缩码流至深压缩码流，保障拼接墙画面正常显示。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11.支持视频信号采集和输出可调，支持 30Hz、60Hz、 120Hz、144Hz、240Hz视项信号采集和输出:信号传输延时&lt;5ms, 图像处理不失帧，无丢帧、卡顿现象；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12.支持设置拼接屏的拼缝补偿，可精确至1像素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13.支持滚动字幕OSD功能，具有文字、图片滚动字幕显示功能，可配置多条高清滚动字幕，支持用户调整字幕的样式、动作、方向、速度、颜色、字体等。同时支持和北斗时钟对接；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14.不使用第三方设备的情况下，可显示超大 分辨率点对点背景图片。</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管理节点（含拼接板授权、坐席授权）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分布式系统控制模块，支持对系统进行整体配置管理及控制，支持256个节点以内的授权管理。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安装托盘</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机柜安装托盘附件，支持将两个盒式设备安装在1U的机柜内</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千兆级48网口处理中心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千兆级分布式处理中心，支持48路千兆电口，4路万兆光口</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万兆级32光口处理中心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万兆级分布式处理中心，支持32路万兆光口</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LC接口模块（1310nm），10km，单模，适用于SFP+接口</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可视化管理平台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功能包括：</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 机构管理：支持组织结构划分，可对机构进行增加、修改、删除，实现多级别、多机构的划分与管理。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设备管理：支持矩阵、处理器、编解码器等音视频设备以及服务器等网络设备的统一管理，实现设备的添加注册与删除。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屏幕管理：支持配置各类拼接屏、单屏显示单元，实现大屏显示窗口的窗口操作、预案调取、信号切换等。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预监回显：支持信号源预监及屏幕显示画面回显，实现对信号源的预览及屏幕的监看。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IP信号源接入：支持IP信号源接入与管理，支持最多100路IP信号源接入及管理，如需增加接入路数，可额外配置授权模块。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转发负载均衡：支持流媒体的转发，并实现负载均衡，最多支持64路8M码流同时转发，如需增加同时转发路数，可额外配置流媒体转发系统。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用户管理：支持精确的用户权限划分，既可按照级别划分用户的权限，也可按授权限制用户的功能，从而实现多维度的权限管理。最多支持10个用户同时登录。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日志与报警：支持操作日志保存与查看，设备上线、通道上线等报警提示与日志记录。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 中控管理：支持对接中控主机，从而实现灯光、窗帘、屏幕开关等环境控制，需配合中控主机等其他外设使用。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 操作系统：支持Windows系统、麒麟系统客户端，可选配支持IOS移动客户端。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 视频点播：支持对所有IP信号源的实时浏览，可自由设置浏览的窗口布局；对于云台可进行转向、变倍等操作。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 录像管理：支持录像回看与录像下载，需配合存储系统使用。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 双机热备：支持服务器主备配置，从而实现双机热备份，需单独另购一套中心管理平台支持。</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机架式电源时序器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八路时序电源，8路电源管理，最大容量50A，抗浪涌80A，</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平板触摸控制终端</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屏幕尺寸：10.9英寸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分辨率：2360*1640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厚度：7.0mm以下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CPU核心数：八核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内存容量：64GB</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六类非屏蔽双绞线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7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9225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RJ45网络跳线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w:t>
            </w:r>
          </w:p>
        </w:tc>
        <w:tc>
          <w:tcPr>
            <w:tcW w:w="7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扎带、水晶头、标签、胶带等</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四、音频扩声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a.指挥中心扩声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远场全频线阵扬声器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1.高音压缩单元 -频带更宽，使得全频模块也做二分频；每个全频模块中采用4个高音压缩单元，声压级输出更高，改善人声表现；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2.3点“快速插销”吊装快速、轻松的安装，支持多达24个全频段模块，设计因数 10:1；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3.吊装重叠角度调整可以调整覆盖重叠或“模块张角”，范围为0到5°，增量为1°，可提供远距离传输以及高SPL输出；                                                                                            4.高频：4x扩展中高频压缩驱动单元 (2英寸音圈)；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5.低频：2x8英寸低音单元 (3英寸音圈)；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6.频率响应：59Hz~18kHz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7.连续功率（AES测试标准）：600W（低频），125W（高频）；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8.阻抗：8Ω（低频）,6Ω（高频）；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9.灵敏度：LF:94dB SPL，灵敏度：HF: 107 dB SPL；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10.最大声压级：LF（AES测试标准） : 122 dB SPL (128 dB SPL peak)；                                                                                                                                                                              11.辐射角度：70° H x 05° V（更换随箱导波管）100° H x 05° V（默认）55° H x 05° V（更换购买的导波管）；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12.最大声压级：HF（AES测试标准）: 128 dBSPL (134 dBSPL peak)；</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中场全频线阵扬声器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1.高音压缩单元带更宽，使得全频模块也做二分频；每个全频模块中采用4个高音压缩单元，声压级输出更高，改善人声表现；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2.3点“快速插销”吊装快速、轻松的安装，支持多达 24个全频段模块，设计因数 10:1；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3.吊装重叠角度调整在SM模块上可以调整覆盖重叠或“模块张角”，范围为 0到5°，增量为1°，可提供远距离传输以及高SP 输出；                                                                                             4.高频：4x扩展中高频压缩驱动单元 (2英寸音圈)；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5.低频：2x8英寸低音单元 (3英寸音圈)；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6.频率响应：59Hz~18kHz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7.连续功率（AES测试标准）：600W（低频），125W（高频）；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8.阻抗：8Ω（低频）,6Ω（高频）；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9.灵敏度：LF : 94 dB SPL，HF: 106 dB SPL；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10.最大声压级：LF（AES测试标准） : 122 dB SPL (128 dB SPL peak)；HF（AES测试标准）: 127 dBSPL (133 dBSPL peak)；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11.辐射角度：100°Hx10° V（默认）70°Hx10°V（更换随箱导波管）。</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近场全频线阵扬声器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1.高音压缩单元频带更宽，使得全频模块也做二分频；每个全频模块中采用4个高音压缩单元，声压级输出更高，改善人声表现；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2.3点“快速插销”吊装快速、轻松的安装，支持多达24个全频段模块，设计因数 10:1；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3.吊装重叠角度调整在SM模块上可以调整覆盖重叠或“模块张角”，范围为 0到5°，增量为1°，可提供远距离传输以及高SPL输出；                                                                                             4.高频：4xEMB2S 扩展中高频压缩驱动单元 (2英寸音圈)；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5.低频： 2xSM8 8英寸低音单元 (3英寸音圈)；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6.频率响应：59Hz~18kHz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7.连续功率（AES测试标准）：600W（低频），125W（高频）；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8.阻抗：8Ω（低频）,6Ω（高频）；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9.灵敏度：LF : 94 dB SPL，HF: 105 dB SPL，HF（AES测试标准）: 126 dBSPL (132 dBSPL peak)；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10.最大声压级：LF（AES测试标准） : 122 dB SPL (128 dB SPL peak)；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11.辐射角度：100° H x 20° V（默认）70° H x 20° V（更换随箱导波管）120° H x 20° V（更换购买的导波管）。</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超低音线阵扬声器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4.5 英寸音圈的钕磁铁，18英寸大位移低音单元；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2.集成式4点“快速插销”吊装支持阵列使用多达18个低音箱，安全系数为 10:1；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3.前网罩上的NL4输入以及背面的 NL4 输入可轻松设置心形列阵；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4.集成的凸形罩适配器可与其他中/高频扬声器和安装杆配件一起使用；                                                                                                                                                            5.低频：1xLF18 大位移18寸低音单元 (4.5寸音圈)；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6.频率范围：29Hz-300Hz(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7.灵敏度：阵列吊装92dB，地面摆放 98dB；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8.最大声压级：地面摆放127dB SPL(峰值133dB)，AES测试标准：阵列吊装 123dB SPL(峰值129dB)，地面摆放 129dB SPL(峰值135dB)；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9.扩散角度：100Hz以下全指向性；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10.阻抗：4Ω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11.峰值功率：5000W（AES测试标准）。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原厂线阵专用吊架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与线阵配套使用，低音吊顶需要配置4只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可控辐射角大功率吸顶扬声器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1.180°水平覆盖设计为近墙/天花吸顶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高频压缩单元提供行业最佳音质，频率响应和覆盖连续性；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8英寸低音单元，同时因为放在墙边，低音能量得到增强；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3.二分频无源分频器同时带有70/100V 变压器，新的自动保持，弹簧支撑的安装臂是安装快捷简便；磁铁吸附的网罩使接线和变压器抽头设置更加快捷；符合UL1480 标准可使用在空气调节（微高压）环境中；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4.频率范围（</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t xml:space="preserve">）：45-20kHz；                                                                                                                                                                                                                                              5.标称覆盖范围（HxV）:180度 Hx非对称75度V(相对于天花板的角度为-90度至15度)，指向房间；                                                                                                                                                   6.连续功率： 150W（AES），峰值功率：500W，600W（AES）                                                                                                                                                                                                                             7.灵敏度：93dB（AES）；                                                                                                                                                                                                                        8.连续最大声压级：114dB，115dB（AES），峰值最大声压级：121dB（AES）；                                                                                                                                                              9.额定阻抗：8欧姆；变压器抽头（70V/100V）70V：2.5、5、10、20、40、80W ；100V：5、10、20、40、80W；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10.扬声器结构：低频1x8寸低音单元（1.5寸音圈），高频1个压缩单元（1.3英寸音圈）。</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数字多通道专业功放</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1.立体声输出功率：4Ω 2×1500W/RMS/8Ω 2.2×1200W/RMS；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3.桥接输出功率：8Ω 3000 W/RMS；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4.频率响应(±3 dB)：20 Hz～20000Hz；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5.信噪比（20Hz - 20kHz）：100dB；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6.串扰（1kHz / 20kHz）：–75dB；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7.阻尼系统：&gt;200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8.转换率：10V/μS；</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线阵超低音功放</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1.立体声模式：8Ω 260W,4Ω 425W,2Ω 700W；                                                                                                                                                                                             2.桥接单声道模式：8Ω 900W，4Ω 1400W；                                                                                                                                                                                            3.信噪比（20Hz-20kHz）-100dB/8Ω 输入灵敏度 1.07 Vrms/电压增益 33dB/输出电路 AB类/失真 &lt;0.01%/频率响应 20 Hz – 4.20 kHz, +0/-1dB；                                                                                                         5.输入阻抗 10k 欧姆 非平衡,20k 欧姆平衡/阻尼系数 &gt; 200.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线阵低频功放</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5"/>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2.语音自动优化以及声音预设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3.清晰简洁的用户界面，具有OLED 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4.以太网连接（IPv4 与IPv6）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5.支持媒体控制协议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8.快速设置配对流程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9.频率范围 1,880 to 1,900 MHz ;1,920 to 1,930 MHz ;1,893 to 1,906 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1,880 to 1,895 MHz;1,910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10.电源 12 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12.THD，总谐波失真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13.重量  828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14.功耗 350 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15.信噪比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17.天线接头 2 x reverse SMA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18.音频输出电平（平衡） max. +18 dBu, typ. -24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19.音频输出电平（非平衡） max. +6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20.动态范围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21.RF 灵敏度 &lt; -90 dBm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22.采样率 24 bit/48 kHz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23.连接 Audio Out: XLR 3M Audio Out: 2 x RCA Network: RJ 45</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线阵中高音功放</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2.为语音优化的电容话筒头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4.工作时间长达15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5.高级电源管理，可充电锂离子电池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8.频率范围 1,880 to 1,900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1,920 to 1,930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1,893 to 1,906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1,880 to 1,895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11.重量 approx. 262 g incl. microphone head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12.RF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13.工作时间 Accupack: typ. 15 h Batteries: typ. 10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15.采样率 24 bit/48 kHz</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数字网络无线主机</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2.语音自动优化以及声音预设；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3.清晰简洁的用户界面，具有OLED 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4.以太网连接（IPv4 与IPv6）；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5.支持媒体控制协议；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8.快速设置配对流程；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9.频率范围 1,880 to 1,900 MHz ;1,920 to 1,930 MHz ;1,893 to 1,906 MHz;1,880 to 1,895 MHz;1,910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10.电源 12 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13.重量  828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14.功耗 350 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17.天线接头 2 x reverse SMA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18.音频输出电平（平衡） max. +18 dBu, typ. -24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19.音频输出电平（非平衡） max. +6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21.RF 灵敏度 &lt; -90 dBm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22.采样率 24 bit/48 kHz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23.连接 Audio Out: XLR 3M Audio Out: 2 x RCA Network: RJ 45；</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数字网络无线手持话筒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2.可锁定的3.5mm 插口；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4.工作时间长达15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5.高级电源管理，可充电锂离子电池；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8.频率范围 1,880 to 1,900 MHz 1,920 to 1,930 MHz 1,893 to 1,906 MHz 1,880 to 1,895 MHz 1,910 to 1,920 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11.重量 approx. 88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12.音频输入 3,5 mm socket, lockable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15.工作时间 Accupack: typ. 15 h Batteries: typ. 10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16.输入电压的范围 Mic: 2.2 V RMS Line: 3.3 V RMS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18.输入阻抗 1 MΩ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19.采样率 24 bit/48 kHz。</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数字网络无线头戴话筒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1.使用最为舒适的演讲话筒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2.出色的音质，全向型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3.流线型的低调外观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4.重量极轻，却十分牢固的金属框架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5.便于运输和储存的软盒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6.提供黑色，米色和银色版本</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7.颜色 beige black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8.频率响应 20-20000Hz±3dB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9.最大声压级 143 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10.拾音模式 omni-directional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11.自由场中的灵敏度，无负载 5mV/Pa±2.5dB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12.标称阻抗 1kΩ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13.等效噪声电平27dB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14.电流消耗 aprox. 240μA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15.工作电压（独立运行）4,5-15V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16.重量（不含耳机线） 7g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天线混合器/分配器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1.无源4通路真分集天线混合器/分配器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2.尺寸 210x160x41毫米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3.重量 663克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4.衰减 8dB典型值.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5.工作温度 -40到85°C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6.颜色 黑色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7.频率 1880-1930MHz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8.频带 DECT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9.天线接头 10RP-SMA接头(AC 耦合式)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10.输入功率 1.5W最大值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11.接收机可连接的最大数量 4</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1.外观低调的天线，墙上或三脚架安装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2.安装固定：底部提供3/8'内螺纹接口，便于三脚架安装固定，同时在其后方提供了两个9 mm固定安装孔以便于墙面安装。</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天线延长线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天线延长线, 20 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天线延长线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天线延长线, 1 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4槽充电底座</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1.无缝网络集成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2.4个独立充电槽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3.每个充电槽具有电池状态指示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4.可完全远程控制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5.以太网连接能力（IPv4 及IPv6）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6.媒体控制协议集成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7.尺寸 270 x 100 x 102 mm (10.6" x 3.9" x 4")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8.接头 RJ45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9.重量 approx. 1100 g (without power supply unit)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10.充电时间 SL Handheld DW: 2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11.SL Bodypack DW: 2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12.工作温度 0 °C to 45 °C (32 °F to 113 °F)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13.电源 12 V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14.输出电压 5 V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15.充电电流 4x 1000 mA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b.指挥中心控制室</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操作员席位</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共5个工位/每工位2屏幕/定制/台面高度：760mm；台体深度：800-1000mm；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控制台台板基材须采用防火、防潮、防刻划、绝缘、耐磨、强度高的抗培特板制作，厚度≥15mm,表面贴防火板。控制台台面应当保持平滑及水平，应保证两块台板间拼缝间隙≤0.5mm，高低基本平齐，手摸无明显拼缝感觉，两块台面间高低差≤0.5mm。控制台台面的边缘应为圆弧形设计的手枕，保证手臂工作时的舒适性。手枕采用台板一体化延伸的台板边缘，外形手感好，适合人手放置的流线型表面，经抛光、耐磨喷涂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体框架结构应使用铝合金型材与优质冷轧钢板相结合的结构设计，主体框架下部应采用可调整水平的固定脚支撑，满足控制台整体平整性和工程的受力强度要求；所有钣金配件均做R圆角处理，外表面使用静电吸塑工艺，整体结构稳固防腐，耐划伤；为了保证散热通风，方便操作与整体环境美观统一,前后门板需采用厚度1.0mm的镀锌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前后门采用优质液压缓冲铰链与主框架连接，方便日后的管理，同时台体下部有足够的腿部活动空间，底柜前后部有散热孔。主机设备需全部密封底柜内部，降低工作噪音，内设主机托板，方便日后的设备维护，主机托板采用滑槽固定承托可左右移动满足下部进线的需要，相应的上线位主机托板设计为多模块式底板，不需要任何固定螺丝，方便拆卸。控制台内设有短捷顺畅的线缆管理系统，且电源、讯号线分开管理，做到各个方向的线都能方便的在线槽内方便的捆扎，线槽可以做到布线短捷、隐蔽、合理之要求。前面LCD显示器之电源线按标准规格长度即可方便地连入电源插座，讯号数据线也可不用加长即可插入相应主机，使用方便合理。内部横纵向强弱电分开走线，方便捆扎，科学安全管理。铝型材厚度不小于2.0mm，铝型材槽宽不小于8mm。侧板采用厚复合型材，厚度不小于12 mm，表面采用汽车烤漆处理，烤漆厚度标准达到（30-40um），硬度达到3H，附着力达到100/100mm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4.控制台的静电放电抗扰度、射频电磁场辐射抗扰度、射频场感应传导骚扰抗扰度性能等级应达到IEC61000标准A级要求。                                                                                                                         5.控制台整套产品，其甲醛、TVOC、苯/甲苯/二甲苯、涂层可迁移元素，应能通过GB/T 35607-2017《绿色产品评价家具》或相关同等要求国家标准的规定值（至少满足甲醛释放量≤0.01mg/m³，汞≤1mg/kg，铬≤1mg/kg，镉≤0.5mg/kg，铅≤2mg/kg）。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6.控制台产品按GB20286-2006附录C做燃烧测试达到等级应不低于阻燃1级，其中“烟密度”应低于20%，同时“一氧化碳浓度”释放量应低于80ppm,“质量损失率”不大于0.1%。</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专业调度椅</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1.头枕、背垫、腰枕及座垫均为进口网布；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2.黑色塑胶框架，PU扶手垫；塑胶头枕插条、头枕横把手；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3.背支撑架、底盘支撑架均为铝合金精抛光；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4.100MM气压棒,340MM铝合金精抛光椅脚,60MM PU滑轮</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液晶显示器支臂</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挂墙型固定于控制台背墙，可9方向自由调节、伸缩的支架，稳定承重50寸以下液晶显示器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图形工作站（高配）</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品牌工作站</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1.CPU:不低于i7-10700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2.内存：≥16GB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3.硬盘：机械硬盘≥1T+固态硬盘≥256SDD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4.显卡：独显，GTX3080 10GB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前置：≥5个USB接口（至少1个USB Type-C）、≥2个6.音频接口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后置：≥4个USB接口、串口、音频接口、≥2个DP接口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7.扩展槽位：≥1个PCIe Gen3.0x16、≥1个PCIe Gen 3.0x4（16长度）、≥1个PCIe Gen3.0x1；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8.塔式标准机箱，≤17L，节省空间；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9.内嵌式把手设计，易于搬运，顶置电源开关键，方便使用；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10.配备有线键鼠</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HDMI高清线（4k）</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曲面液晶显示器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1.屏幕比例 16:9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2.面板类型 IPS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3.静态对比度 1000:1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4.响应时间 ≤5ms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5.显示参数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6.点距 0.234mm纠错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7.亮度 430cd/㎡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8.可视角度 178/178°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9.刷新率 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10.接口参数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11.视频接口 HDMI≥2，Displayport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12.其它接口 USB≥4，音频输入，音频输出</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32寸抬头显示器（含支架）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1.屏幕比例 16:9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2.静态对比度 1000:1</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灯光控制器软件V1.0</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1.支持本地按钮改变6种常用氛围颜色（蓝、红、绿、紫、黄、冰蓝）切换，也支持6种特定颜色（三原色任意调整RGB值的组合颜色）切换；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2.支持RGB任意颜色（三原色任意调整RGB值的组合颜色）调整；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3.支持常亮、闪烁两种常用氛围状态（及通用和报警功能划分）；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4.支持485通信协议组网，确保远距离传输的稳定可靠性的同时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嵌入式多媒体盒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多媒体插座采用简单易用的接入方式，支持接2个电源、4个网口、ups口、1个音频口，锁定后的连接盒与桌面保持齐平，所有接口隐藏。</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键盘托盘</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金属托盘，聚氨酯护腕，人体工程学机构</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电源PDU</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19英寸标准机架PDU，6位3孔，可直连UPS配电柜</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电脑主机服务器托盘</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金属托盘，可竖直放置电脑主机等设备</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1.32路输入通道，包括24路麦克风/线路输入通道、1路USB立体声回放通道；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2.10"彩色触屏界面，直观便捷，硬件控制方便快速操作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3.操作简易，初次使用可快速上手，专业人士可熟练使用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4.逾120种通道预设，记录多类现实环境声源；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5.反馈抑制、室内调试、增益及效果器模块等多项功能；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6.全面实用信息系统导航，协助用户操作使用；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7.输入通道带4段全频带均衡器、可变高低通滤波器；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8.输入通道带门限、压缩及延迟功能；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9.输出通道兼容各种功能：1/3倍频程图示均衡功能、6段参量均衡功能、限幅功能、延迟及12段滤波功能；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10.内置8路编组通道并配有6段全频带均衡器，带有高低通滤波及限幅功能，可实现连接立体声通道功能；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11.8路DCA通道、8路静音通道及8路编组通道，内置两个频率响应实时分析器；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12.6组立体声效果器，带有独立校调功能，实现录音级音质输出；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13.内置跳线盘功能，通道参数（混音、通道、均衡、动态及其他参数）可通过复制黏贴实现轻松拷贝；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14路辅助通道可相邻连接作为立体声通道输出，同时配有两组耳返监听通道输出；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14.32路通道信号实现硬盘分轨录音及回放，无需电脑音频工作站接入，即可实现录音回放功能；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15.兼容Mac® 计算机的32路DAW端口，实现双向输入输出通道接通；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16.移动终端接入无线网络可实现远程控制；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1.多合一设计仅一台1RU的设备，可同时支持VoIP、PSTN和USB音视频编解码器；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2.12通道先进的AEC可路由，与模拟或 Dante 输入端连接。多个参考信号使 EX-1280C处理器可用于多个房间或实现多台处理器间AEC共享。每个AEC通道均有可调整的降噪、非线性处理和舒适噪声功能，可提高会议音频的清晰度和可辨识度；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3.两路VoIP支持所有流行的编解码器。VoIP web界面确保IT人员能够快速完成VoIP参数配置，而无需查看音频系统设计文件，也无需系统集成人员介入；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4.PSTN连接(RJ-11)适用于广泛使用的 POTS/模拟电话系统。；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5.USB连接让设备轻松与个人电脑上的音视频编解码实现整合；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6.Dante™ 音频网络连接支持64x64音频通道，可与其它采用Dante 技术的产品连接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7.AmpLink可通过屏蔽CAT5/6线缆与配备 AmpLink端口的功放实现无压缩、低延时的数字音频连接；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8.前面板界面 具有大尺寸 OLED 显示屏和旋钮编码器，可用于设置网络参数，监控通道状态；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9.GPIO (5 个输入端/5 个输出端) 可用于外部连接 (包括麦克风按钮或驱动麦克风 LED)；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10.模拟通道：12路输入×8路输出；平衡；凤凰插接口；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11.数字通道：8路AmpLink输出+64×64路Dante；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12.通信端口：USB 设备（ Micro-B型，立体声输入/输出）、VoIP（RJ-45; 2线）、PSTN（RJ-11; 1线, Tx/Rx）；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13.输入阻抗：12kΩ@1kHz；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14.输出阻抗：200Ω；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15.最大输入电平：+24dBu；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16.最大输出电平：+24dBu；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17.频率响应：20Hz-20kHz （+0.3dB/-0.1dB）；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18.总谐波失真+噪声：0.002%（+4dBu，A计权/20Hz-20kHz）；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19.通道隔离(串扰)：&lt;-105dB（+4dBu输入输出，1KHz）；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20.动态范围：&gt;115dB（A计权/20Hz-20kHz，模拟，输入-输出）；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21.A/D和D/A转换器：24位；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22.采样率：48kHz；</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1.包括：语言滤波器，低、中、高，三段音乐滤波器，输入通道测量表，每通道24段滤波器测量表，电子平衡的输入和输出端XLR和TRS，让用户尽可能完善地消除声反馈；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2.安全认证: UL 6500，IEC 60065，EN 55013，E 60065 AFS224的关键特性是固定滤波器和活动滤波器的操作模块和滤波器的释放能力。活动滤波器的操作模块提供连续更新滤波器位置的操作灵活性。滤波器的自动释放特性是依次自动消除不在需要使用的滤波器，从而优化声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3.DBX的高级反馈抑制技术（AFS）；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4.每通道具有24个可编程的滤波器；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5.立体声或独立的双通道处理；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6.可选择的滤波器脱开时间；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7.滤波器应用的类型，包括：语言滤波器，低、中、高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8.三段音乐滤波器；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9.输入通道测量表；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10.每通道24段滤波器测量表；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11.采样率:48KHz 动态范围: &gt;109dB，A计权gt;106dB不计权；带宽22KHz；                   12.总谐波失真+噪声:典型值0.003%；                                                                                                                                                              13.输出电平+4dBu,1KHz频率响应特性:20Hz-20KHz,±0.5dB；                                         14.通道间交叉话音:典型值&gt;80dB 输出端交叉话音:典型值&gt;80dB；</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网络机柜</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600*800*2000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13路带净化抗雷击电源管理器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具有12+1共13个电源输出接口；2U标准高度。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整机容量63A，配置防漏空气开关和LED电压显示屏。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每路输出采用万能插座AC220V/13A，适用各种类型电源插头；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MCU控制的智能化设计，具有RS-232控制接口，兼容中控系统；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具有1路级联输入和1路级联输出控制接口；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支持PC配套软件调试及设置，支持触摸屏墙控制；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中6路具有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5.25寸监听音箱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专有的立体声数字处理电路能够产生宽广的双通道声场，专为计算机聆听而设计。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多功能线控装置具备旋转式音量控制、单点触控静音、耳机插孔和连接第二个音频源（例如 MP3 播放器）功能。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先进的端口设计和驱动单元可实现强大的低音性能和充满整个房间的饱满、自然的声音。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专有集成式信号处理功能可以在几乎任何音量水平下实现逼真音效表现。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有源电子均衡功能可平衡低、中和高频，获得更加自然的音调和清晰度。</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五、数字会议</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智能会议主机</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1.用于50个单元的数字控制单元；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2.集成的录音功能；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3.集成的Web服务器，可通过平板电脑，智能手机进行控制；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4.设计与外观相匹配的设备；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5.4个数字RJ 45端口；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6.分支或循环连接（冗余）；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7.用于Web服务器或摄像机控制协议的LAN连接；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8.即插即用环保省电模式；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9.带锁扣的电源连接器；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10.XLR输出，XLR输入，RCA输入和两个RCA输出；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11.包括外部电源。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会议主席单元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10.适用于30、40、50或70厘米长的D-MIC话筒；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11.按钮：“优先权”按钮和“下一步”按钮。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会议代表单元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10.适用于30、40、50或70厘米长的D-MIC话筒。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可拆卸鹅颈话筒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1.拆卸鹅颈话筒配有螺纹式麦克风，使话筒可以方便和安全地连接到主机；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2.其指向性特征，保证在大量噪声的环境中仍能提供最佳性能；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3.具有极强的抗手机信号干扰；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4.当麦克风关闭时，光环形熄灭；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5.红灯亮时，麦克风正在发言；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6.绿色时，请求发言；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7.尺寸：40cm；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数字会议地插/墙插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电源+网口</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六、视频会议</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高清摄像机1</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总体要求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所投产品必须与视频会议终端1同一品牌。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支持图像倒转功能，方便摄像机安装在天花板上。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镜头要求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支持不小于851万像素1/2.5英寸CMOS成像芯片。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支持4K25/30fps、1080P 50/60fps、1080p 25/30fps视频输出。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支持不小于12倍光学变焦。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支持≥80°水平视角，增加外置广角镜视为不满足。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水平转动范围：≥+/-110°，垂直转动范围：≥+/- 30°。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支持≥254个预置位。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支持不少于2路高清视频输出接口。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支持不少于2个RS-232控制接口，支持标准VISCA控制协议。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功能要求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支持红外透传功能，实现终端遥控器通过摄像机控制机房内会议终端，方便调试。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支持本地USB接口软件升级功能。</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高清摄像机2</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具有完善的功能、优异的性能、丰富的接口；先进的ISP处理技术和算法，使得图像效果生动逼真、画面亮度均匀、光色层次感强、清晰度高、色彩还原性好。支持H.264+/H.264编码，在低带宽下使得画面更加流畅、清晰。具有12X、20X、30X等多种光学变倍镜头选择，镜头具有72.5°无畸变宽视角</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3"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视频会议终端1</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采用国产自主编解码芯片，嵌入式操作系统，非PC、工控机架构。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支持ITU-T H.323、IETF SIP协议，具有良好的兼容性和开放性。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呼叫带宽要求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支持并提供64Kbps-8Mbps接入速率。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视频指标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支持H.265、H.264 HP、H.264 BP、H.263、H.264 SVC等图像编码协议。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支持4K30fps、1080P 50/60 fps、1080P 25/30 fps、720P 50/ 60 fps、720P 25/30 fps、4CIF、 CIF等分辨率。本次配置为1080P60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音频指标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支持G.711、G.722、G.722.1C、G.729A、ACC-LD、Opus等音频协议，支持双声道立体声功能。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双流指标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支持H.239和BFCP双流协议。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支持在H.264会议下，支持主流达到1080P60fps情况下，辅流同时达到1080P60fps；在H.265会议下，支持主流达到4K30fps情况下，辅流同时达到4K30fps。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支持无线双流功能，兼容Windows、MAC操作系统，PC可通过Wi-Fi或有线网络将桌面内容作为双流发送给远端会场，视频清晰度不少于1080P，支持音频共享。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提供至少4路高清视频输入接口、至少3路高清视频输出接口。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支持4K30fps视频信号远距离传输，通过以太网线无须增加额外设备，传输距离不少于120米，方便大型会议室摄像机远距离布置。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支持摄像头一线连接终端，实现同时传输视频信号、控制信号和摄像头供电。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支持不少于2个10M/100M/1000M自适应网口。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支持2.4GHz、5GHz双频接入，同时支持Wi-Fi热点及客户端模式，满足通过无线网络进行视音频通信。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支持IEEE802.11a/b/g/n/ac网络协议，支持WPA、WPA2认证。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网络适应性要求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30%网络丢包时，语音清晰连续，视频清晰流畅，无卡顿。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80%的网络丢包时，声音清晰，不影响会议继续进行。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支持1Mbps会议带宽下，实现4K30fps帧图像格式编解码；支持512Kbps会议带宽下，实现1080P60帧图像格式编解码；384Kbps会议带宽下，实现1080P30帧图像格式编解码；256Kbps会议带宽下，实现720P30帧图像格式编解码。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支持768Kbps会议带宽下，实现1080P60帧图像格式编解码；512Kbps会议带宽下，实现1080P30帧图像格式编解码；384Kbps会议带宽下，实现720P30帧图像格式编解码。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支持IP网络升降速，可根据IP网络带宽的变化，自动调整会议中视音频带宽，保证图像语音质量良好。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支持IPV4和IPV6双协议栈。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安全指标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支持在H.323协议下，H.235信令加密；支持在SIP下，TLS、SRTP加密；支持 AES媒体流加密算法，保证会议安全。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支持Web、telnet密码保护功能，密码须符合复杂度要求，至少包含字母、数字、特殊字符中的两种，密码长度不小于8位。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终端功能要求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支持同时发送不少于4路视频码流，接收不少于16路视频码流，同时观看多个视频会场画面。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支持在终端3个不同的视频输出口，分别显示辅流画面、1路远端会场画面及1路自定义的多画面。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支持数字阵列麦克风接入，麦克风拾音距离不少于8米。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支持通过终端Web界面，实现会场预览及摄像机曝光度、白平衡、视频格式等参数调节。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支持在终端前面板显示启动、升级、休眠、异常信息（温度异常、外设连接异常）、IP地址、H.323号码、SIP号码等信息。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支持通过USB接口自动导入终端配置，方便设备的安装部署。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支持USB连接外置键盘鼠标，通过键盘鼠标进行操作。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支持三屏三显功能，可以在三个显示设备上分别输出远端图像、本端图像及双流图像。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支持单屏三显功能，在一个显示设备上显示远端图像、本端图像及双流图像。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支持终端上电开机后，自动调用摄像机的预置位，无须人工干预。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支持断线重呼功能，能对会议中掉线的终端自动重新呼叫。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支持断点续传功能，终端升级过程中发生网络中断、断电重启，恢复后可断点续传，避免升级失败。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支持高温告警功能，超过临界温度时终端界面弹出告警提示框。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视频画面经过本地采集、编码、网络传输、解码、显示输出后整体时延不超过250ms。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支持TR069，实现平台对终端自动配置下发、软件升级、状态监测、故障诊断等功能。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提供API二次开发接口，实现与第三方系统集成。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AI功能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支持智能语音控制，通过语音指令实现唤醒终端、加入/结束会议、调节音量、发送/停止双流共享、延长会议等功能。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触控平板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支持并配置触控平板，采用不小于10英寸尺寸的IPS触控屏，分辨率不小于1920*1200，像素密度不小于220PPI。</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内置以太网口接口及Wi-Fi模块，支持通过有线、无线网络与终端连接。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支持终端休眠和唤醒、创建会议、静音/闭音、音量调节、摄像机PTZ控制、预置位调用、双流共享、呼叫/挂断会场、添加/删除会场、观看/广播会场、多画面设置、声控切换、结束会议等功能。</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视频会议终端2</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视频标准和协议：H.263、H.263+、H.264、H.264 HP、多码流技术、ITU-T H.323协议、SIP协议、双流协议H.239、加密协议H.235、NAT穿透协议H.460、云台控制协议 H.281；音频标准：G.711、G.711u、G.711c、G.722、G.722.1、G.722.1c、G.719、G.729、OPUS；视频特性：最高视频编码：1920×1080;最高视频解码：1920×1080;最高数据内容：1920×1080;帧率：5~60帧/秒；视频分辨率主视频：1080p、720p、4CIF、CIF、QCIF数据：SXGA、XGA、SVGA、VGA、AUTO; 最大视频输入:1×Composite Video1×DVI-I 数据输入,1×SDI 高清输入;视频输出：1×DVI，1920*1080全高清解码输出，1× HDMI 1920*1080全高清解码输出；音频输入：麦克风输入：Mini MIC IN，AMAI 接口线路输入：LINE IN，RCA接口；音频输出：线路输出：LINE OUT，RCA接口；音频特性：快速回声消除（PowerAEC），增强智能噪声抑制（PowerANS），增强自动增益控制（PowerAGC），全线性回声抵消技术回音拖尾处理能力 , 高达500ms的回声清除能力；</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三脚架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专业三脚架云台套装 优质铝合金便携三角架黑色</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录播服务器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通讯协议：HTTP、RTP、RTSP、NFS、ISCSI、DHCP、NTP、SMTP、SNMPv1、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SNMPv2c、SNMPv3、UPNP、SADP、PPPoE、DNS、FTP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视频接口：5路HDMI输入，1路HDMI输出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音频编码：AAC、PCMA、MPEG2、MP3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文件格式：MP4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音频接口：1路输入（3.5mm Line In），1路输出（3.5mm Line Out）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视频编码：H.265、H.264Base Profile、Main Profile、High Profile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视频分辨率：CIF、4 CIF、SVGA、XGA、WXGA、SXGA、240P、360P、480P、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720P、1080P、4K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可靠性MTBF（小时）：120,000小时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流媒体协议：H.264-FLV over HTTP/RTMP ；H.264-RTP over RTSP/RTP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外部接口：10/100/1000M RJ45接口×1；标准RS-232串行接口×1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电源：输入：DC 12V 3A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传输带宽：16Kbit/s～4Mbit/s 存储空间：2T 4T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物理尺寸：400mm×200mm×45mm 重量：净重1.9Kg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工作湿度：30%至90%非凝结 直播点播数：50路并发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工作温度： 0-50摄氏度 功率：30W</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七、电动窗帘</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开合联电机</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额定电压是100-240（V），额定频率是50-60（Hz）</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窗帘导轨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传动箱组合</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橡胶皮带</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窗帘幕</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含线材、管材、五金件等</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49" w:name="_Toc5474"/>
      <w:r>
        <w:rPr>
          <w:rFonts w:hint="eastAsia" w:ascii="宋体" w:hAnsi="宋体" w:eastAsia="宋体"/>
          <w:b/>
          <w:sz w:val="28"/>
          <w:szCs w:val="28"/>
          <w:highlight w:val="none"/>
        </w:rPr>
        <w:t>2F领导会商室</w:t>
      </w:r>
      <w:bookmarkEnd w:id="49"/>
    </w:p>
    <w:tbl>
      <w:tblPr>
        <w:tblStyle w:val="32"/>
        <w:tblW w:w="136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1669"/>
        <w:gridCol w:w="9787"/>
        <w:gridCol w:w="713"/>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291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2F领导会商室功能清单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一、LED显示大屏</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0"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P1.2全彩LED显示屏</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Style w:val="140"/>
                <w:highlight w:val="none"/>
                <w:lang w:val="en-US" w:eastAsia="zh-CN" w:bidi="ar"/>
              </w:rPr>
              <w:t>小间距LED全彩显示屏；</w:t>
            </w:r>
            <w:r>
              <w:rPr>
                <w:rStyle w:val="140"/>
                <w:highlight w:val="none"/>
                <w:lang w:val="en-US" w:eastAsia="zh-CN" w:bidi="ar"/>
              </w:rPr>
              <w:br w:type="textWrapping"/>
            </w:r>
            <w:r>
              <w:rPr>
                <w:rStyle w:val="140"/>
                <w:rFonts w:hint="eastAsia"/>
                <w:highlight w:val="none"/>
                <w:lang w:val="en-US" w:eastAsia="zh-CN" w:bidi="ar"/>
              </w:rPr>
              <w:t>1.</w:t>
            </w:r>
            <w:r>
              <w:rPr>
                <w:rStyle w:val="140"/>
                <w:highlight w:val="none"/>
                <w:lang w:val="en-US" w:eastAsia="zh-CN" w:bidi="ar"/>
              </w:rPr>
              <w:t>★像素间距≤1.25mm；国星金线；LED表贴三合一；像素密度≥640000点/㎡ ；</w:t>
            </w:r>
            <w:r>
              <w:rPr>
                <w:rFonts w:hint="eastAsia" w:ascii="宋体" w:hAnsi="宋体" w:eastAsia="宋体" w:cs="宋体"/>
                <w:i w:val="0"/>
                <w:iCs w:val="0"/>
                <w:color w:val="auto"/>
                <w:kern w:val="0"/>
                <w:sz w:val="22"/>
                <w:szCs w:val="22"/>
                <w:highlight w:val="none"/>
                <w:u w:val="none"/>
                <w:lang w:val="en-US" w:eastAsia="zh-CN" w:bidi="ar"/>
              </w:rPr>
              <w:t>投标LED的灯珠采用SMD金线封装，中标供货后，业主有权将箱体样品送交管芯封装厂商检测，如有作假，追究责任；</w:t>
            </w:r>
            <w:r>
              <w:rPr>
                <w:rStyle w:val="140"/>
                <w:highlight w:val="none"/>
                <w:lang w:val="en-US" w:eastAsia="zh-CN" w:bidi="ar"/>
              </w:rPr>
              <w:br w:type="textWrapping"/>
            </w:r>
            <w:r>
              <w:rPr>
                <w:rStyle w:val="140"/>
                <w:rFonts w:hint="eastAsia"/>
                <w:highlight w:val="none"/>
                <w:lang w:val="en-US" w:eastAsia="zh-CN" w:bidi="ar"/>
              </w:rPr>
              <w:t>2.</w:t>
            </w:r>
            <w:r>
              <w:rPr>
                <w:rStyle w:val="140"/>
                <w:highlight w:val="none"/>
                <w:lang w:val="en-US" w:eastAsia="zh-CN" w:bidi="ar"/>
              </w:rPr>
              <w:t>箱体比例：16:9，全封闭压铸铝材质；</w:t>
            </w:r>
            <w:r>
              <w:rPr>
                <w:rStyle w:val="140"/>
                <w:highlight w:val="none"/>
                <w:lang w:val="en-US" w:eastAsia="zh-CN" w:bidi="ar"/>
              </w:rPr>
              <w:br w:type="textWrapping"/>
            </w:r>
            <w:r>
              <w:rPr>
                <w:rStyle w:val="140"/>
                <w:rFonts w:hint="eastAsia"/>
                <w:highlight w:val="none"/>
                <w:lang w:val="en-US" w:eastAsia="zh-CN" w:bidi="ar"/>
              </w:rPr>
              <w:t>3.</w:t>
            </w:r>
            <w:r>
              <w:rPr>
                <w:rStyle w:val="140"/>
                <w:highlight w:val="none"/>
                <w:lang w:val="en-US" w:eastAsia="zh-CN" w:bidi="ar"/>
              </w:rPr>
              <w:t>显示屏亮度≥600cd/㎡，色温3000K—10000K可调，水平、垂直视角160°，亮度均匀性≥97%，色度均匀性±0.003Cx,Cy之内，最大对比度≥3000:1；刷新率：3840Hz</w:t>
            </w:r>
            <w:r>
              <w:rPr>
                <w:rStyle w:val="140"/>
                <w:highlight w:val="none"/>
                <w:lang w:val="en-US" w:eastAsia="zh-CN" w:bidi="ar"/>
              </w:rPr>
              <w:br w:type="textWrapping"/>
            </w:r>
            <w:r>
              <w:rPr>
                <w:rStyle w:val="140"/>
                <w:rFonts w:hint="eastAsia"/>
                <w:highlight w:val="none"/>
                <w:lang w:val="en-US" w:eastAsia="zh-CN" w:bidi="ar"/>
              </w:rPr>
              <w:t>4.</w:t>
            </w:r>
            <w:r>
              <w:rPr>
                <w:rStyle w:val="140"/>
                <w:highlight w:val="none"/>
                <w:lang w:val="en-US" w:eastAsia="zh-CN" w:bidi="ar"/>
              </w:rPr>
              <w:t>水平和垂直视角≥170°；亮度均匀性≥98%，NTSC色域覆盖率≥115%，DCI-P3色域覆盖率≥115%。</w:t>
            </w:r>
            <w:r>
              <w:rPr>
                <w:rStyle w:val="140"/>
                <w:highlight w:val="none"/>
                <w:lang w:val="en-US" w:eastAsia="zh-CN" w:bidi="ar"/>
              </w:rPr>
              <w:br w:type="textWrapping"/>
            </w:r>
            <w:r>
              <w:rPr>
                <w:rStyle w:val="140"/>
                <w:rFonts w:hint="eastAsia"/>
                <w:highlight w:val="none"/>
                <w:lang w:val="en-US" w:eastAsia="zh-CN" w:bidi="ar"/>
              </w:rPr>
              <w:t>5.</w:t>
            </w:r>
            <w:r>
              <w:rPr>
                <w:rStyle w:val="140"/>
                <w:highlight w:val="none"/>
                <w:lang w:val="en-US" w:eastAsia="zh-CN" w:bidi="ar"/>
              </w:rPr>
              <w:t>支持任意方向、任意尺寸、任意造型拼接，画面均匀一致，无黑线，实现真正无缝拼接。</w:t>
            </w:r>
            <w:r>
              <w:rPr>
                <w:rStyle w:val="140"/>
                <w:highlight w:val="none"/>
                <w:lang w:val="en-US" w:eastAsia="zh-CN" w:bidi="ar"/>
              </w:rPr>
              <w:br w:type="textWrapping"/>
            </w:r>
            <w:r>
              <w:rPr>
                <w:rStyle w:val="140"/>
                <w:rFonts w:hint="eastAsia"/>
                <w:highlight w:val="none"/>
                <w:lang w:val="en-US" w:eastAsia="zh-CN" w:bidi="ar"/>
              </w:rPr>
              <w:t>6.</w:t>
            </w:r>
            <w:r>
              <w:rPr>
                <w:rStyle w:val="140"/>
                <w:highlight w:val="none"/>
                <w:lang w:val="en-US" w:eastAsia="zh-CN" w:bidi="ar"/>
              </w:rPr>
              <w:t>当控制卡的网络环境变化后，能自动获取控制卡的IP地址，防止网络环境变化后，使用者无法登陆设备</w:t>
            </w:r>
            <w:r>
              <w:rPr>
                <w:rStyle w:val="140"/>
                <w:highlight w:val="none"/>
                <w:lang w:val="en-US" w:eastAsia="zh-CN" w:bidi="ar"/>
              </w:rPr>
              <w:br w:type="textWrapping"/>
            </w:r>
            <w:r>
              <w:rPr>
                <w:rStyle w:val="140"/>
                <w:rFonts w:hint="eastAsia"/>
                <w:highlight w:val="none"/>
                <w:lang w:val="en-US" w:eastAsia="zh-CN" w:bidi="ar"/>
              </w:rPr>
              <w:t>7.</w:t>
            </w:r>
            <w:r>
              <w:rPr>
                <w:rStyle w:val="140"/>
                <w:highlight w:val="none"/>
                <w:lang w:val="en-US" w:eastAsia="zh-CN" w:bidi="ar"/>
              </w:rPr>
              <w:t>电源和接收卡采用前后壳传导散热方式，具有导热柱设计，箱体内部元器件热量可传导至后壳进行散热。</w:t>
            </w:r>
            <w:r>
              <w:rPr>
                <w:rStyle w:val="140"/>
                <w:highlight w:val="none"/>
                <w:lang w:val="en-US" w:eastAsia="zh-CN" w:bidi="ar"/>
              </w:rPr>
              <w:br w:type="textWrapping"/>
            </w:r>
            <w:r>
              <w:rPr>
                <w:rStyle w:val="140"/>
                <w:rFonts w:hint="eastAsia"/>
                <w:highlight w:val="none"/>
                <w:lang w:val="en-US" w:eastAsia="zh-CN" w:bidi="ar"/>
              </w:rPr>
              <w:t>8.</w:t>
            </w:r>
            <w:r>
              <w:rPr>
                <w:rStyle w:val="140"/>
                <w:highlight w:val="none"/>
                <w:lang w:val="en-US" w:eastAsia="zh-CN" w:bidi="ar"/>
              </w:rPr>
              <w:t>维护方式：完全前维护，灯板电源和接收卡前维护。</w:t>
            </w:r>
            <w:r>
              <w:rPr>
                <w:rStyle w:val="140"/>
                <w:highlight w:val="none"/>
                <w:lang w:val="en-US" w:eastAsia="zh-CN" w:bidi="ar"/>
              </w:rPr>
              <w:br w:type="textWrapping"/>
            </w:r>
            <w:r>
              <w:rPr>
                <w:rStyle w:val="140"/>
                <w:rFonts w:hint="eastAsia"/>
                <w:highlight w:val="none"/>
                <w:lang w:val="en-US" w:eastAsia="zh-CN" w:bidi="ar"/>
              </w:rPr>
              <w:t>9.</w:t>
            </w:r>
            <w:r>
              <w:rPr>
                <w:rStyle w:val="140"/>
                <w:highlight w:val="none"/>
                <w:lang w:val="en-US" w:eastAsia="zh-CN" w:bidi="ar"/>
              </w:rPr>
              <w:t>可通过遥控器快速开关机。</w:t>
            </w:r>
            <w:r>
              <w:rPr>
                <w:rStyle w:val="140"/>
                <w:highlight w:val="none"/>
                <w:lang w:val="en-US" w:eastAsia="zh-CN" w:bidi="ar"/>
              </w:rPr>
              <w:br w:type="textWrapping"/>
            </w:r>
            <w:r>
              <w:rPr>
                <w:rStyle w:val="140"/>
                <w:rFonts w:hint="eastAsia"/>
                <w:highlight w:val="none"/>
                <w:lang w:val="en-US" w:eastAsia="zh-CN" w:bidi="ar"/>
              </w:rPr>
              <w:t>10.</w:t>
            </w:r>
            <w:r>
              <w:rPr>
                <w:rStyle w:val="140"/>
                <w:highlight w:val="none"/>
                <w:lang w:val="en-US" w:eastAsia="zh-CN" w:bidi="ar"/>
              </w:rPr>
              <w:t>峰值功耗600W/㎡，平均功耗200W/㎡，供电要求110~220VAC±15%；</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31.19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6"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LED全彩屏发送卡</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4个千兆网口输出，单个网口最大带载65万个像素点；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带载分辨率：2048×1152@60Hz或1920×1200@60Hz；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DVI、DP、HDMI多信号输入，支持信源自动检测，无需手动切换信源；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16bit处理深度，低亮高灰，真实还原图像色彩；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3840Hz高刷新率，纳秒级响应时间，视频画面更细腻流畅；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可通过遥控器的便捷式操作，对图像的对比度、清晰度、饱和度、色温以及图像模式进行调节设置。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图像色温调节，标准、冷、暖三色可调；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支持屏体各通道逐个延时上电，可通过遥控器进行操作。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具备文稿模式、护眼模式、影院场景、监控场景、常规场景、商用场景、广电场景。</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落地式支架</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落地式支架</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31.19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配电柜</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类型：40KW配电柜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控制：欧姆龙PLC控制器，网络远程控制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3）元器件：德力西断路器，施耐德接触器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输入电压：380V，三相五线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5）输出电压：220V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6）输出回路：6个单相回路</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6"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智能大屏管理软件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line="240" w:lineRule="auto"/>
              <w:jc w:val="left"/>
              <w:textAlignment w:val="center"/>
              <w:rPr>
                <w:rFonts w:hint="eastAsia"/>
                <w:highlight w:val="none"/>
              </w:rPr>
            </w:pPr>
            <w:r>
              <w:rPr>
                <w:rFonts w:hint="eastAsia"/>
                <w:highlight w:val="none"/>
                <w:lang w:val="en-US" w:eastAsia="zh-CN"/>
              </w:rPr>
              <w:t>1.大屏显控软件，包含大屏显控、平板操控、内容切换、中控管理等一系列功能</w:t>
            </w:r>
            <w:r>
              <w:rPr>
                <w:rFonts w:hint="eastAsia"/>
                <w:highlight w:val="none"/>
                <w:lang w:val="en-US" w:eastAsia="zh-CN"/>
              </w:rPr>
              <w:br w:type="textWrapping"/>
            </w:r>
            <w:r>
              <w:rPr>
                <w:rFonts w:hint="eastAsia"/>
                <w:highlight w:val="none"/>
                <w:lang w:val="en-US" w:eastAsia="zh-CN"/>
              </w:rPr>
              <w:t>系统具备 C/S 和 B/S 结构，可通过客户端软件、平板和浏览器对大屏系统进行统一管理，包括大屏门户、 场景配置、预案切换、远程操控、 信号控制、 一键上墙、内容切换、多屏互动、窗口叠加/拼接/漫游/放大/缩小/移动/关闭等操作；</w:t>
            </w:r>
            <w:r>
              <w:rPr>
                <w:rFonts w:hint="eastAsia"/>
                <w:highlight w:val="none"/>
                <w:lang w:val="en-US" w:eastAsia="zh-CN"/>
              </w:rPr>
              <w:br w:type="textWrapping"/>
            </w:r>
            <w:r>
              <w:rPr>
                <w:rFonts w:hint="eastAsia"/>
                <w:highlight w:val="none"/>
                <w:lang w:val="en-US" w:eastAsia="zh-CN"/>
              </w:rPr>
              <w:t>2.支持拼控器、播控主机、 KVM 坐席、 PC主机、中控主机设备增删改查的统一管理；支持查看播控主机、 KVM 坐席、 PC 主机、中控主机设备的在线/离线状态；支持通过平台远程重启、更新播控主机的程序；支持场景关联播控主机的开关量模式；</w:t>
            </w:r>
            <w:r>
              <w:rPr>
                <w:rFonts w:hint="eastAsia"/>
                <w:highlight w:val="none"/>
                <w:lang w:val="en-US" w:eastAsia="zh-CN"/>
              </w:rPr>
              <w:br w:type="textWrapping"/>
            </w:r>
            <w:r>
              <w:rPr>
                <w:rFonts w:hint="eastAsia"/>
                <w:highlight w:val="none"/>
                <w:lang w:val="en-US" w:eastAsia="zh-CN"/>
              </w:rPr>
              <w:t>3.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 PPT、Word 文档、 Excel、 PDF、文本等内容窗口拖动到大屏中，每种类型窗口可添加多个文件，可设置内容文件播放时长，内容播放顺序等属性；支持实时查看大屏显示的内容，可远程操控数据可视化面本、AR 客户端、VR 网页端、第三方业务系统等</w:t>
            </w:r>
            <w:r>
              <w:rPr>
                <w:rFonts w:hint="eastAsia"/>
                <w:highlight w:val="none"/>
                <w:lang w:val="en-US" w:eastAsia="zh-CN"/>
              </w:rPr>
              <w:br w:type="textWrapping"/>
            </w:r>
            <w:r>
              <w:rPr>
                <w:rFonts w:hint="eastAsia"/>
                <w:highlight w:val="none"/>
                <w:lang w:val="en-US" w:eastAsia="zh-CN"/>
              </w:rPr>
              <w:t>4.支持大屏预编辑功能，在不影响大屏显示的前提下进行后台布局；；</w:t>
            </w:r>
            <w:r>
              <w:rPr>
                <w:rFonts w:hint="eastAsia"/>
                <w:highlight w:val="none"/>
                <w:lang w:val="en-US" w:eastAsia="zh-CN"/>
              </w:rPr>
              <w:br w:type="textWrapping"/>
            </w:r>
            <w:r>
              <w:rPr>
                <w:rFonts w:hint="eastAsia"/>
                <w:highlight w:val="none"/>
                <w:lang w:val="en-US" w:eastAsia="zh-CN"/>
              </w:rPr>
              <w:t>可控制大屏的智能控制功能，包括广告、会议、监控、护眼模式的开启屏保，以及对具有除湿功能的大屏进行除湿；</w:t>
            </w:r>
            <w:r>
              <w:rPr>
                <w:rFonts w:hint="eastAsia"/>
                <w:highlight w:val="none"/>
                <w:lang w:val="en-US" w:eastAsia="zh-CN"/>
              </w:rPr>
              <w:br w:type="textWrapping"/>
            </w:r>
            <w:r>
              <w:rPr>
                <w:rFonts w:hint="eastAsia"/>
                <w:highlight w:val="none"/>
                <w:lang w:val="en-US" w:eastAsia="zh-CN"/>
              </w:rPr>
              <w:t>5.支持可视化展示播控主机、屏幕、拼控器、中控主机、PC 主机、KVM 坐席等设备的在离线统计信息以及播控主机的页面数量、分辨率、温度、稳定运行时长、设备告警等信息；</w:t>
            </w:r>
            <w:r>
              <w:rPr>
                <w:rFonts w:hint="eastAsia"/>
                <w:highlight w:val="none"/>
                <w:lang w:val="en-US" w:eastAsia="zh-CN"/>
              </w:rPr>
              <w:br w:type="textWrapping"/>
            </w:r>
            <w:r>
              <w:rPr>
                <w:rFonts w:hint="eastAsia"/>
                <w:highlight w:val="none"/>
                <w:lang w:val="en-US" w:eastAsia="zh-CN"/>
              </w:rPr>
              <w:t>6.支持一键将本地电脑桌面，投放到大屏上显示</w:t>
            </w:r>
            <w:r>
              <w:rPr>
                <w:rFonts w:hint="eastAsia"/>
                <w:highlight w:val="none"/>
                <w:lang w:val="en-US" w:eastAsia="zh-CN"/>
              </w:rPr>
              <w:br w:type="textWrapping"/>
            </w:r>
            <w:r>
              <w:rPr>
                <w:rFonts w:hint="eastAsia"/>
                <w:highlight w:val="none"/>
                <w:lang w:val="en-US" w:eastAsia="zh-CN"/>
              </w:rPr>
              <w:t>7.</w:t>
            </w:r>
            <w:r>
              <w:rPr>
                <w:rFonts w:hint="eastAsia" w:hAnsi="宋体" w:eastAsia="宋体"/>
                <w:highlight w:val="none"/>
                <w:lang w:val="en-US" w:eastAsia="zh-CN"/>
              </w:rPr>
              <w:t>支持大屏系统一键开关机，并可设置定时开关机；</w:t>
            </w:r>
            <w:r>
              <w:rPr>
                <w:rFonts w:hint="eastAsia" w:ascii="宋体" w:hAnsi="宋体" w:eastAsia="宋体" w:cs="宋体"/>
                <w:highlight w:val="none"/>
                <w:lang w:val="en-US" w:eastAsia="zh-CN"/>
              </w:rPr>
              <w:t>为保证兼容性与统一管理，要求本软件与LED大屏为同一品牌</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主电缆</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YJV5*10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干电源线</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w:t>
            </w:r>
          </w:p>
        </w:tc>
        <w:tc>
          <w:tcPr>
            <w:tcW w:w="71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260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HDMI高清线（4k）</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3米</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六类非屏蔽网线</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扎带、水晶头、标签、胶带等</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二、分布式控制节点</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双引擎2K输入节点</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6"/>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单个2K60输入节点具备1路视频环出接口、1路视频输入接口、1路音频输入接口、1路音频环出接口、1路反向音频输出接口、≥1路千兆网口。</w:t>
            </w:r>
            <w:r>
              <w:rPr>
                <w:rFonts w:hint="eastAsia" w:ascii="宋体" w:hAnsi="宋体" w:eastAsia="宋体" w:cs="宋体"/>
                <w:i w:val="0"/>
                <w:iCs w:val="0"/>
                <w:strike/>
                <w:dstrike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2.节点</w:t>
            </w:r>
            <w:r>
              <w:rPr>
                <w:rFonts w:hint="eastAsia" w:ascii="宋体" w:hAnsi="宋体" w:eastAsia="宋体" w:cs="宋体"/>
                <w:i w:val="0"/>
                <w:iCs w:val="0"/>
                <w:strike w:val="0"/>
                <w:dstrike w:val="0"/>
                <w:color w:val="000000"/>
                <w:kern w:val="0"/>
                <w:sz w:val="22"/>
                <w:szCs w:val="22"/>
                <w:highlight w:val="none"/>
                <w:u w:val="none"/>
                <w:lang w:val="en-US" w:eastAsia="zh-CN" w:bidi="ar"/>
              </w:rPr>
              <w:t>支持1200、2400、4800、9600、14400、19200、38400、56000、57600、115200、128000、250000、256000和自定义波特率；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3.支持4:4:4颜色采样方式，还原信号颜色。经过编码后，画质仍然保持原图像质量、亮度、对比度、色度。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4.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r>
              <w:rPr>
                <w:rFonts w:hint="eastAsia" w:ascii="宋体" w:hAnsi="宋体" w:eastAsia="宋体" w:cs="宋体"/>
                <w:i w:val="0"/>
                <w:iCs w:val="0"/>
                <w:strike/>
                <w:dstrike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w:t>
            </w:r>
            <w:r>
              <w:rPr>
                <w:rFonts w:hint="eastAsia" w:ascii="宋体" w:hAnsi="宋体" w:eastAsia="宋体" w:cs="宋体"/>
                <w:i w:val="0"/>
                <w:iCs w:val="0"/>
                <w:strike w:val="0"/>
                <w:dstrike w:val="0"/>
                <w:color w:val="000000"/>
                <w:kern w:val="0"/>
                <w:sz w:val="22"/>
                <w:szCs w:val="22"/>
                <w:highlight w:val="none"/>
                <w:u w:val="none"/>
                <w:lang w:val="en-US" w:eastAsia="zh-CN" w:bidi="ar"/>
              </w:rPr>
              <w:t>支持深压缩模式（带宽为256k-40M）和浅压缩模式（带宽为300Mbps-10Gbps），为保证解码画面质量，两种模式都支持图像4：4： 4采样、传输、处理；</w:t>
            </w:r>
          </w:p>
          <w:p>
            <w:pPr>
              <w:keepNext w:val="0"/>
              <w:keepLines w:val="0"/>
              <w:widowControl/>
              <w:numPr>
                <w:ilvl w:val="0"/>
                <w:numId w:val="24"/>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设备应具有电源、网络连接、运行状态、故障指示灯，方便排查故障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单个节点可同时传输嵌入式音频及模拟音频。分布式输入/输出节点支持音频加嵌、解嵌功能；可对编码音频的使能（开启/关闭）、音量大小、采样率和编码模式等进行详细设置，音视频可同步或分离进行切换，且平台的H. 265/H. 264视频码流可被第三方平台釆集处理；</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8.信号源由输入节点编码，经过交换机传输，由输出节点进行解码输出。编码端至解码端，图像延时＜17ms。</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双引擎4K输入节点</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7"/>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单个4K30输入节点具备1路视频环出接口、1路视频输入接口、1路音频输入接口、1路音频环出接口、1路反向音频输出接口、≥1路千兆网口。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trike w:val="0"/>
                <w:dstrike w:val="0"/>
                <w:color w:val="000000"/>
                <w:kern w:val="0"/>
                <w:sz w:val="22"/>
                <w:szCs w:val="22"/>
                <w:highlight w:val="none"/>
                <w:u w:val="none"/>
                <w:lang w:val="en-US" w:eastAsia="zh-CN" w:bidi="ar"/>
              </w:rPr>
              <w:t>2.节点支持1200、2400、4800、9600、14400、19200、38400、56000、57600、115200、128000、250000、256000和自定义波特率；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3.支持4:4:4颜色采样方式，还原信号颜色。经过编码后，画质仍然保持原图像质量、亮度、对比度、色度。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4.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5.支持深压缩模式（带宽为256k-40M）和浅压缩模式（带宽为300Mbps-10Gbps），为保证解码画面质量，两种模式都支持图像4：4： 4采样、传输、处理；</w:t>
            </w:r>
            <w:r>
              <w:rPr>
                <w:rFonts w:hint="eastAsia" w:ascii="宋体" w:hAnsi="宋体" w:eastAsia="宋体" w:cs="宋体"/>
                <w:i w:val="0"/>
                <w:iCs w:val="0"/>
                <w:strike/>
                <w:dstrike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6.设备应具有电源、网络连接、运行状态、故障指示灯，方便排查故障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单个节点可同时传输嵌入式音频及模拟音频。分布式输入/输出节点支持音频加嵌、解嵌功能；可对编码音频的使能（开启/关闭）、音量大小、采样率和编码模式等进行详细设置，音视频可同步或分离进行切换，且平台的H. 265/H. 264视频码流可被第三方平台釆集处理；</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双引擎2K输出节点</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8"/>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最高支持1920*1080@60HZ，并可向下兼容常见分辨率。</w:t>
            </w:r>
          </w:p>
          <w:p>
            <w:pPr>
              <w:keepNext w:val="0"/>
              <w:keepLines w:val="0"/>
              <w:widowControl/>
              <w:numPr>
                <w:ilvl w:val="0"/>
                <w:numId w:val="0"/>
              </w:numPr>
              <w:suppressLineNumbers w:val="0"/>
              <w:jc w:val="left"/>
              <w:textAlignment w:val="center"/>
              <w:rPr>
                <w:rFonts w:hint="eastAsia" w:ascii="宋体" w:hAnsi="宋体" w:eastAsia="宋体" w:cs="宋体"/>
                <w:i w:val="0"/>
                <w:iCs w:val="0"/>
                <w:strike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2.支持无缝切换，切换时无黑场，闪屏，画面静止等状态，端到端传输延时不高于16ms；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eastAsia="宋体" w:cs="宋体"/>
                <w:i w:val="0"/>
                <w:iCs w:val="0"/>
                <w:strike w:val="0"/>
                <w:dstrike w:val="0"/>
                <w:color w:val="000000"/>
                <w:kern w:val="0"/>
                <w:sz w:val="22"/>
                <w:szCs w:val="22"/>
                <w:highlight w:val="none"/>
                <w:u w:val="none"/>
                <w:lang w:val="en-US" w:eastAsia="zh-CN" w:bidi="ar"/>
              </w:rPr>
              <w:t>.支持4:4:4颜色采样方式，还原信号颜色。经过编码后，画质仍然保持原图像质量、色度、亮度、对比度。</w:t>
            </w:r>
            <w:r>
              <w:rPr>
                <w:rFonts w:hint="eastAsia" w:ascii="宋体" w:hAnsi="宋体" w:eastAsia="宋体" w:cs="宋体"/>
                <w:i w:val="0"/>
                <w:iCs w:val="0"/>
                <w:strike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4.在无额外硬件情况下，上位机可支持信号源画面实时预览与输出显示内容的实时监看，画面可达到60Hz。上位机软件具备多种清晰度模式选择，包括高清模式、标清模式、流畅模式，且节点可输出至少3种不同分辨率的码流。可根据当前硬件性能调节最佳的监看效果，当前画面卡顿时可通过调节不同模式实现流畅监看；可支持不少于32路画面同时预监；</w:t>
            </w:r>
          </w:p>
          <w:p>
            <w:pPr>
              <w:keepNext w:val="0"/>
              <w:keepLines w:val="0"/>
              <w:widowControl/>
              <w:numPr>
                <w:ilvl w:val="0"/>
                <w:numId w:val="29"/>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strike w:val="0"/>
                <w:dstrike w:val="0"/>
                <w:color w:val="000000"/>
                <w:kern w:val="0"/>
                <w:sz w:val="22"/>
                <w:szCs w:val="22"/>
                <w:highlight w:val="none"/>
                <w:u w:val="none"/>
                <w:lang w:val="en-US" w:eastAsia="zh-CN" w:bidi="ar"/>
              </w:rPr>
              <w:t>支持双引擎容错，当浅压码流异常时，支持自动切换至深压缩码流，保证画面的正常显示；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6.支持登录用户名和密码采用BASE64编码格式传输；支持TLS、DTLS和SRTP安全协议；支持AES128、AES265加密；支持SHA摘要，支持HTTPS通讯加密协议；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7.支持鼠标键盘远程信号源控制功能，可通过坐席键盘鼠标对前端不同操作系统、不同分辨率的信号源主机进行远程KVM操作与控制。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8.具有OSD菜单，支持本地坐席操作人员通过节点生成的OSD菜单进行本地信号的切换调用，无需外置硬件即可对各信号源的在线状态与画面进行实时预览显示。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9.支持本地坐席通过分布式设备，实现与远端电脑主机USB数据透传，并兼容USB2.0, 可支持U盘，Ukey, CA认证，移动硬盘、移动 光驱、触控屏、USB摄像头、FSB扫码枪等USB外设的使用，单一节点无需外部设备，可同时使用不少于5种不同类型的USB外设；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10.支持USB锁定功能。设置U盘锁定后，坐席链接的U盘将锁定在固定信号源上，当坐席切换其它信号源或者其它坐席以控制权切换该信号源，该信号源仍可使用锁定U盘；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11.接收端所使用的透传设备可与任意主机进行双向数据传输；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12.支持支持设置用户权限级别，各个操作用户可根据实际需求设置不用用户级别，划分不同用户权限，用户之间操作同步实时显示。用户权限可细分至单个信号源、单个屏组、单个矩阵与USB权限。</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大屏拼接输出节点</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1.单个2K60拼接输出节点、最高支持1920*1080@60HZ</w:t>
            </w:r>
            <w:r>
              <w:rPr>
                <w:rFonts w:hint="eastAsia" w:ascii="宋体" w:hAnsi="宋体" w:eastAsia="宋体" w:cs="宋体"/>
                <w:i w:val="0"/>
                <w:iCs w:val="0"/>
                <w:strike w:val="0"/>
                <w:dstrike w:val="0"/>
                <w:color w:val="000000"/>
                <w:kern w:val="0"/>
                <w:sz w:val="22"/>
                <w:szCs w:val="22"/>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2.视频解码同步输出，同一信号源经过编码、解码后到两台显示屏显示，显示时间差小于5us；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3.支持4:4:4颜色采样方式，还原信号颜色。经过编码后，画质仍然保持原图像质量、色度、亮度、对比度。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4.支持码率自适应、编码率、顶码率。码率支持128Kbps-900Mbps范围内调节，为适应多种带宽环境，1920x1080@60视频最低可使用256Kbps带宽传输；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5.支持深压缩编码模式和浅压缩编码模式，码流编码模式、编码帧率与码率可调；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6.分布式拼接输出节点支持音柱叠加功能，可在输出节点上预览信号源音频的状态,可以音柱的形式监看音频音量大小、电平信号等；</w:t>
            </w:r>
          </w:p>
          <w:p>
            <w:pPr>
              <w:keepNext w:val="0"/>
              <w:keepLines w:val="0"/>
              <w:widowControl/>
              <w:numPr>
                <w:ilvl w:val="0"/>
                <w:numId w:val="29"/>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支持4096x2160@60Hz，3840x2160@60Hz，3840x2160P@30Hz，1920x1200@60Hz、1920x1080P@60Hz等分辨率的解码和输出显示，并可向下兼容常见分辨率。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8.支持GB28181、ONVIF等协议的网络摄像机的解码显示；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9.具备大屏拼接管理功能，可实现大屏信号源开窗、拼接、叠加，漫游等功能。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10.可同时显示浅压缩与深压缩（H.264/H.265)视频画面,且支持双引擎容错功能，当特殊情况发生，可自动切换浅压缩码流至深压缩码流，保障拼接墙画面正常显示。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11.支持不少于600MHz像素时钟任意调整，全数字；支持GTF、DMT、CVT视频标准；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12.支持设置拼接屏的拼缝补偿，可精确至1像素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13.支持滚动字幕OSD功能，具有文字、图片滚动字幕显示功能，可配置多条高清滚动字幕，支持用户调整字幕的样式、动作、方向、速度、颜色、字体等。 同时支持和北斗时钟对接；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14.不使用第三方设备的情况下，可显示超大分辨率点对点背景图片。</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4K矩阵输出节点</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单个4K30矩阵输出节点、最高支持3840*2160@30HZ，并可向下兼容常见分辨率；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2.视频解码同步输出，同一信号源经过编码、解码后到两台显示屏显示，显示时间差小于5us；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3.支持4:4:4颜色采样方式，还原信号颜色。经过编码后，画质仍然保持原图像质量、色度、亮度、对比度。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4.支持码率自适应、编码率、顶码率。码率支持128Kbps-900Mbps范围内调节，为适应多种带宽环境，1920x1080@60视频最低可使用256Kbps带宽传输；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5.支持深压缩编码模式和浅压缩编码模式，码流编码模式、编码帧率与码率可调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6.分布式拼接输出节点支持音柱叠加功能，可在输出节点上预览信号源音频的状态,可以音柱的形式监看音频音量大小、电平信号等；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7.支持4096x2160@60Hz，3840x2160@60Hz，3840x2160P@30Hz，1920x1200@60Hz、1920x1080P@60Hz等分辨率的解码和输出显示，并可向下兼容常见分辨率。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8.支持GB28181、ONVIF等协议的网络摄像机的解码显示；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9.具备大屏拼接管理功能，可实现大屏信号源开窗、拼接、叠加，漫游等功能。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10.可同时显示浅压缩与深压缩（H.264/H.265)视频画面,且支持双引擎容错功能，当特殊情况发生，可自动切换浅压缩码流至深压缩码流，保障拼接墙画面正常显示。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11.支持视频信号采集和输出可调，支持 30Hz、60Hz、120Hz、144Hz、240Hz视项信号采集和输出:信号传输延时&lt;5ms, 图像处理不失帧，无丢帧、卡顿现象；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12.支持设置拼接屏的拼缝补偿，可精确至1像素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13.支持滚动字幕OSD功能，具有文字、图片滚动字幕显示功能，可配置多条高清滚动字幕，支持用户调整字幕的样式、动作、方向、速度、颜色、字体等。同时支持和北斗时钟对接；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14.不使用第三方设备的情况下，可显示超大分辨率点对点背景图片。</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2K矩阵输出节点</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单个2K60矩阵输出节点、最高支持1920*1080@60HZ，并可向下兼容常见分辨率；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2.视频解码同步输出，同一信号源经过编码、解码后到两台显示屏显示，显示时间差小于5us；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3.支持4:4:4颜色采样方式，还原信号颜色。经过编码后，画质仍然保持原图像质量、色度、亮度、对比度。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4.支持码率自适应、编码率、顶码率。码率支持128Kbps-900Mbps范围内调节，为适应多种带宽环境，1920x1080@60视频最低可使用256Kbps带宽传输；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5.支持深压缩编码模式和浅压缩编码模式，码流编码模式、编码帧率与码率可调；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6.分布式拼接输出节点支持音柱叠加功能，可在输出节点上预览信号源音频的状态,可以音柱的形式监看音频音量大小、电平信号等；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7.支持4096x2160@60Hz，3840x2160@60Hz，3840x2160P@30Hz，1920x1200@60Hz、1920x1080P@60Hz等分辨率的解码和输出显示，并可向下兼容常见分辨率。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8.支持GB28181、ONVIF等协议的网络摄像机的解码显示；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9.具备大屏拼接管理功能，可实现大屏信号源开窗、拼接、叠加，漫游等功能。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000000"/>
                <w:kern w:val="0"/>
                <w:sz w:val="22"/>
                <w:szCs w:val="22"/>
                <w:highlight w:val="none"/>
                <w:u w:val="none"/>
                <w:lang w:val="en-US" w:eastAsia="zh-CN" w:bidi="ar"/>
              </w:rPr>
              <w:t>10.可同时显示浅压缩与深压缩（H.264/H.265)视频画面,且支持双引擎容错功能，当特殊情况发生，可自动切换浅压缩码流至深压缩码流，保障拼接墙画面正常显示。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11.支持视频信号采集和输出可调，支持30Hz、60Hz、120Hz、144Hz、240Hz视项信号采 集和输出:信号传输延时&lt;5ms,图像处理不失帧，无丢帧、卡顿现象；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12.支持设置拼接屏的拼缝补偿，可精确至1像素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13.支持滚动字幕OSD功能，具有文字、图片滚动字幕显示功能，可配置多条高清滚动字幕，支持用户调整字幕的样式、动作、方向、速度、颜色、字体等。同时支持和北斗时钟对接；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14.不使用第三方设备的情况下，可显示超大分辨率点对点背景图片。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16，信号源由输入节点编码，经过交换机传输，由输出节点进行解码输出。编码端至解码端，图像延时＜17ms。</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安装托盘</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机柜安装托盘附件，支持将两个盒式设备安装在1U的机柜内</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千兆级24网口处理中心</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千兆级分布式处理中心，支持24路千兆电口，4路万兆光口</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万兆LC接口模块（1310nm），10km，单模，适用于SFP+接口</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机架电源时序器</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八路时序电源，8路电源管理，最大容量50A，抗浪涌80A，</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平板触摸控制终端</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屏幕尺寸：10.9英寸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分辨率：2360*1640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厚度：7.0mm以下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CPU核心数：八核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内存容量：64GB</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2米</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含网线、跳线、线管、五金配件、扎带、胶布等</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三、无纸化及数字会议系统</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无纸化服务器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2"/>
              </w:numPr>
              <w:suppressLineNumbers w:val="0"/>
              <w:jc w:val="left"/>
              <w:textAlignment w:val="center"/>
              <w:rPr>
                <w:rFonts w:hint="eastAsia"/>
                <w:highlight w:val="none"/>
                <w:lang w:val="en-US" w:eastAsia="zh-CN"/>
              </w:rPr>
            </w:pPr>
            <w:r>
              <w:rPr>
                <w:rFonts w:hint="eastAsia"/>
                <w:highlight w:val="none"/>
                <w:lang w:val="en-US" w:eastAsia="zh-CN"/>
              </w:rPr>
              <w:t>操作系统:windows server 2003</w:t>
            </w:r>
            <w:r>
              <w:rPr>
                <w:rFonts w:hint="eastAsia"/>
                <w:highlight w:val="none"/>
                <w:lang w:val="en-US" w:eastAsia="zh-CN"/>
              </w:rPr>
              <w:br w:type="textWrapping"/>
            </w:r>
            <w:r>
              <w:rPr>
                <w:rFonts w:hint="eastAsia"/>
                <w:highlight w:val="none"/>
                <w:lang w:val="en-US" w:eastAsia="zh-CN"/>
              </w:rPr>
              <w:t>2.处理器:英特尔至强16核E5处理器</w:t>
            </w:r>
            <w:r>
              <w:rPr>
                <w:rFonts w:hint="eastAsia"/>
                <w:highlight w:val="none"/>
                <w:lang w:val="en-US" w:eastAsia="zh-CN"/>
              </w:rPr>
              <w:br w:type="textWrapping"/>
            </w:r>
            <w:r>
              <w:rPr>
                <w:rFonts w:hint="eastAsia"/>
                <w:highlight w:val="none"/>
                <w:lang w:val="en-US" w:eastAsia="zh-CN"/>
              </w:rPr>
              <w:t>3.连接方式：CATA5+RU45 (支持干兆网络)</w:t>
            </w:r>
            <w:r>
              <w:rPr>
                <w:rFonts w:hint="eastAsia"/>
                <w:highlight w:val="none"/>
                <w:lang w:val="en-US" w:eastAsia="zh-CN"/>
              </w:rPr>
              <w:br w:type="textWrapping"/>
            </w:r>
            <w:r>
              <w:rPr>
                <w:rFonts w:hint="eastAsia"/>
                <w:highlight w:val="none"/>
                <w:lang w:val="en-US" w:eastAsia="zh-CN"/>
              </w:rPr>
              <w:t>4.视频接口：VGA +HDMI</w:t>
            </w:r>
            <w:r>
              <w:rPr>
                <w:rFonts w:hint="eastAsia"/>
                <w:highlight w:val="none"/>
                <w:lang w:val="en-US" w:eastAsia="zh-CN"/>
              </w:rPr>
              <w:br w:type="textWrapping"/>
            </w:r>
            <w:r>
              <w:rPr>
                <w:rFonts w:hint="eastAsia"/>
                <w:highlight w:val="none"/>
                <w:lang w:val="en-US" w:eastAsia="zh-CN"/>
              </w:rPr>
              <w:t>5.硬盘：1T*2</w:t>
            </w:r>
          </w:p>
          <w:p>
            <w:pPr>
              <w:keepNext w:val="0"/>
              <w:keepLines w:val="0"/>
              <w:widowControl/>
              <w:numPr>
                <w:ilvl w:val="0"/>
                <w:numId w:val="0"/>
              </w:numPr>
              <w:suppressLineNumbers w:val="0"/>
              <w:jc w:val="left"/>
              <w:textAlignment w:val="center"/>
              <w:rPr>
                <w:rFonts w:hint="eastAsia"/>
                <w:highlight w:val="none"/>
                <w:lang w:val="en-US" w:eastAsia="zh-CN"/>
              </w:rPr>
            </w:pPr>
            <w:r>
              <w:rPr>
                <w:rFonts w:hint="eastAsia"/>
                <w:highlight w:val="none"/>
                <w:lang w:val="en-US" w:eastAsia="zh-CN"/>
              </w:rPr>
              <w:t>6.内存：双通道32GB内存</w:t>
            </w:r>
            <w:r>
              <w:rPr>
                <w:rFonts w:hint="eastAsia"/>
                <w:highlight w:val="none"/>
                <w:lang w:val="en-US" w:eastAsia="zh-CN"/>
              </w:rPr>
              <w:br w:type="textWrapping"/>
            </w:r>
            <w:r>
              <w:rPr>
                <w:rFonts w:hint="eastAsia"/>
                <w:highlight w:val="none"/>
                <w:lang w:val="en-US" w:eastAsia="zh-CN"/>
              </w:rPr>
              <w:t>7.机箱电源：工业级ATX500W电源</w:t>
            </w:r>
            <w:r>
              <w:rPr>
                <w:rFonts w:hint="eastAsia"/>
                <w:highlight w:val="none"/>
                <w:lang w:val="en-US" w:eastAsia="zh-CN"/>
              </w:rPr>
              <w:br w:type="textWrapping"/>
            </w:r>
            <w:r>
              <w:rPr>
                <w:rFonts w:hint="eastAsia"/>
                <w:highlight w:val="none"/>
                <w:lang w:val="en-US" w:eastAsia="zh-CN"/>
              </w:rPr>
              <w:t>8.系统状态：LED指示灯可显示运行情况9.耗电功率：350W</w:t>
            </w:r>
          </w:p>
          <w:p>
            <w:pPr>
              <w:pStyle w:val="2"/>
              <w:numPr>
                <w:ilvl w:val="0"/>
                <w:numId w:val="0"/>
              </w:numPr>
              <w:rPr>
                <w:rFonts w:hint="default" w:eastAsia="宋体"/>
                <w:highlight w:val="none"/>
                <w:lang w:val="en-US" w:eastAsia="zh-CN"/>
              </w:rPr>
            </w:pPr>
            <w:r>
              <w:rPr>
                <w:rFonts w:hint="eastAsia"/>
                <w:highlight w:val="none"/>
                <w:lang w:val="en-US" w:eastAsia="zh-CN"/>
              </w:rPr>
              <w:t>9.</w:t>
            </w:r>
            <w:r>
              <w:rPr>
                <w:rFonts w:hint="eastAsia" w:ascii="宋体" w:hAnsi="宋体" w:eastAsia="宋体" w:cs="宋体"/>
                <w:i w:val="0"/>
                <w:iCs w:val="0"/>
                <w:color w:val="000000"/>
                <w:kern w:val="0"/>
                <w:sz w:val="22"/>
                <w:szCs w:val="22"/>
                <w:highlight w:val="none"/>
                <w:u w:val="none"/>
                <w:lang w:val="en-US" w:eastAsia="zh-CN" w:bidi="ar"/>
              </w:rPr>
              <w:t>产品需符合国家质量标准;</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4"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智能无纸化会议管理服务器软件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1.系统部署调试简单，一台笔记本电脑、一台无线路由器设备及若干台平板电脑即可构建一套无纸化会议环境，方便移动办公。对于企业集团办公模式，提供集中服务器部署方式，一点部署，各会议室都可使用；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2.具有高运算处理速度，强大的外部数据吞吐能力，功能全面，可管理性强，且易于维护；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3.具有防干扰、防尘、防震、防扰流的功能；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4.支持维护数据库，监测终端,安全涉密性强；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5.高端硬件配置，采用硬件MAC地址绑定策略，防止恶意用户接入；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6.过滤内吹冷却风扇，可在整个机箱内维持正常的空气循环；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7.终端的控制信号、文档、视频、同步桌面等所有数据共用一条网线；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8.针对平板电脑设备提供APP应用，提升操作流畅性，增强用户体验；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9.支持DOC、PPT、XLS、PDF、TIFF、JPG、MP4、Project、CAD等常用文件格式；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10.文档打开速度快，操作平滑，几百页的文档同样能瞬间打开；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11.DOC、PPT、XLS、PDF、TIFF文件类型采用了自主开发的文档浏览引擎，解决了平板电脑中DOC、PDF文件无法查看大纲和缩略图、TIFF只能查看第一页、XLS文件Sheet过多切换不方便等众多问题，操作更人性化；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12.实现了屏幕共享，所有与会终端均可查看到共享人的电脑屏幕；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13.实现了平板电脑间的同步浏览，让所有与会终端可跟随主持人对平板电脑的操作来一起阅读资料；</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升降式无纸化会议单元（15.6寸）</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1.铝合金箱体耐腐蚀领先行业标准，结构CNC精雕工艺更轻薄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2.双电机驱动（升降和仰角）默认为15°，可调节至30°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3.显示器背面框架纯金属铝合金一体成型,厚度约为7mm,表面处理为阳极拉丝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4.传动结构为直线导轨结合同步轮，结构运行稳定噪音小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5.内部采用合理的坦克链走线结构，机器在运行上升下降不会出现折线卡线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6.面板按键为金属材质，外观精细质感优越，长时间使用不会降低按键灵敏度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7.面板统一标配金属电脑主机按钮以及USB数据接口,丰富产品功能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8.除屏幕以及电子元器件外，面板机箱和内部金属件均为铝合金材质，抗腐蚀性强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9.接口丰富，面板：USB*1，开机按钮*1；视频输入：VGA,HDMI；数据传输：USB*1，RS485控制接口：RJ45*2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10.具有电源环出的接口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11.分辨率：≥1920*1080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12.屏幕尺寸：≥15.6寸带十点触摸电容屏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13.控制方式：面板按键、遥控、中控</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2"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无纸化会议终端</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1.可根据客户需要配置RAM 和ROM。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 HDMI 和 VGA 双屏异显，最大支持3840x2160的4K解码，支持HDMI4K点屏。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3.可支持双网口，内置PCI-E 4G接口.支持华为、中兴、龙尚等多种PCI-E4G 模块,支持上网和通话。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4.丰富的扩展接口，4个USB接口(1 个 USB OTG,3 个 USB HOST)；1路 RS232 串口（DB9公头）。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5.多个功能按键（1个电源按键，1 个升级 uboot 按键，1个可自定义按键）。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 Android 系统定制，提供系统调用接口 API  参考代码，完美支持客户上层应用 APP开发。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9.完美支持红外、光学、电容、电阻、触摸膜等多种主流触摸屏，支持主流外设驱动，无需调试。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10.处理器：四核，主频最高≥1.8 GHz，系统Android 7.1， 高性能  GPU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11.内存/存储:≥2G；内存：EMMC≥8G(可扩展)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12：输出接口：≥1个VGA输出；≥1 个HDMI输出,支持1080P输出/4kx2k@60Hz输出</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无纸化会议终端软件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1.后台管理：会议概况信息、参会人员、座位编排、会议流程、会议文件、会议投票和会议权限等进行设置和管理；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2.会议存档：支持会议内容存档，可设置会后清空或者留存档案；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3.同步现场：实现发言人与每位参会人员的桌面同步共享。同步时，支持手写批注、画圈；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4.会议文件：本次会议文件的列表、分类、供参会者查阅、讨论。支持修改文件、分发；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5.会议主持：会议主持人具备控制会议现场的一切管理权限。如指定发言人、强制同步、停止信息交流、停止会议录制等；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6.座位编排：会务人员再后台对参会人员的座位进行编排、调整，具有会议室意图编辑功能，参会人员在会中可以浏览座位；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7.手写批注：支持全屏手写批注。可没准高分辨率压感触摸屏，书写更流畅自由，支持笔势、快捷操作；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8.电子白板：参会人员同时在电子白板上进行圈划、书写；支持在白板上打开图片和设计图纸；参会人员实时共享白板上书写的内容；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9.会议公告：会议主持人或秘书向所有参会人员发送的通知、注意事项等信息，会议公告以滚动字幕形式循环显示使用说明；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10.文件权限设置：对参会人员 浏览文件的权限进行设置，哪一级别的人可以浏览哪些文件；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11.网页浏览：支持浏览互联网、局域网；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12.会议签到：实现所有参会人员电子签到，自动记录、统计会议出席情况；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13.会议表决：投票表决和考核评分表决；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14.电子签名：对会议形成的记录、纪要、决议，实现电子签名，保留原迹，自动形成会签文件；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15.同步浏览：会议文件同步共享时，可查阅原文和其他会议文件；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网络连接盒</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1.网络标准：IEEE 802.3、IEEE 802.3u、IEEE 802.3ab、IEEE 802.3x、IEEE 802.3af、IEEE 802.3at 2/1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2.端口：≥5个10/100Mbps RJ45 端口，其中1-4端口支持PoE供电功能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3.10BASE-T：3、4、5类非屏蔽双绞线（≤100米）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4.100BASE-TX：5类及以上非屏蔽双绞线（≤100米）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5.1000BASE-T：5类及以上非屏蔽/屏蔽双绞线（≤100米） 0°/180° &gt; 20 dB (1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6.性能：支持2K的MAC地址表深度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7.采用高保真音频传输协议传输音频数据，可兼容数字网络dante协议</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编解码服务器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1.采用先进的H.264和H.265网络数字音视频芯片压缩技术；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2.具有稳定可靠、高清新、低码率、低延时；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输出码流类型、视频帧率及分辨率可调；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4.支持格式：MPEG2、MPEG4、TS、MP4、MOV、FLV、F4V、WMV、RM；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5.标 准：RJ45；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6.速 率：100M/1000M自适应；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7.传输协议：RTSP、UDP、TCP、MUTP、RTP、MMS；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8.压缩算法： H.264/ MPEG2/MPEG4；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9.接口：HDMI,VGA,AUDIO；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10.功耗：45W；</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无纸化投屏服务器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1.采用高速八核运算处理器保障视频传输的稳定和可靠性；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2.内嵌GUI使使用方便快捷；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3.设备传输高清晰、低码率、低延时；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4.其核心运用了实时操作系统的嵌入式计算机和高性能视频DSP；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5.Cpu,Intel八核，主频1.8GHz(可选）；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6.内存：2G；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7.内置存储器 ：&gt;EMMC 8G(可选)；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8.解码分辨率 ：&gt;最高支持1080P；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9.网络支持 ：&lt;以太网、支持WiFi、无线外设扩展；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10.以太网 ： &gt;1个，10M/100M自适应以太网；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11.LVDS输出 ：&gt;1个，可直接驱动50/60Hz显示屏；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12.HDMI输出 ：1个,支持1080P输出；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13.RTC实时时钟：支持；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14.定时开关机：支持；</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24口交换机（会场）</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71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智能会议主机</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1.用于50个单元的数字控制单元；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2.集成的录音功能；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3.集成的Web服务器，可通过平板电脑，智能手机进行控制；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4.设计与外观相匹配的设备；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5.4个数字RJ 45端口；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6.分支或循环连接（冗余）；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7.用于Web服务器或摄像机控制协议的LAN连接；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8.即插即用环保省电模式；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9.带锁扣的电源连接器；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10.XLR输出，XLR输入，RCA输入和两个RCA输出；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11.包括外部电源。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8"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会议主席单元</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10.适用于30、40、50或70厘米长的D-MIC话筒；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11.按钮：“优先权”按钮和“下一步”按钮。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6"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会议代表单元</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10.适用于30、40、50或70厘米长的D-MIC话筒。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可拆卸鹅颈话筒</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1.拆卸鹅颈话筒配有螺纹式麦克风，使话筒可以方便和安全地连接到主机；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2.其指向性特征，保证在大量噪声的环境中仍能提供最佳性能；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3.具有极强的抗手机信号干扰；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4.当麦克风关闭时，光环形熄灭；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5.红灯亮时，麦克风正在发言；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6.绿色时，请求发言；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7.尺寸：40cm；</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定制线槽</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尺寸定制</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四、音频扩声</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a.会商室扩声</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线性音柱音箱</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数字可控波束柱状阵列扬声器，带有板载DSP和600瓦(12x50W)功放；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十二(12)个2.25英寸全频单元,频率范围可达 58Hz-18kHz；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数字音频网络接口和模拟线路电平输入；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铰接列阵配置，可以实现宽广的160度水平覆盖。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模块化设计，允许使用1到3台设备构建纵向阵列；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波束控制的多种算法 - 设计人员可以根据每个项目来优化设计覆盖一致性、音色平衡和最大声压级；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对于每个阵列的2个独立波束，支持单独的电平和 EQ 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集成式安装支架，允许高达90度的水平偏角调整；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使用软件进行先进的波束和声场覆盖的预测；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使用软件进行系统设置、控制和监测；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可选黑色或白色外观；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频率范围 </w:t>
            </w:r>
            <w:r>
              <w:rPr>
                <w:rFonts w:hint="eastAsia" w:ascii="宋体" w:hAnsi="宋体" w:eastAsia="宋体" w:cs="宋体"/>
                <w:i w:val="0"/>
                <w:iCs w:val="0"/>
                <w:strike w:val="0"/>
                <w:dstrike w:val="0"/>
                <w:color w:val="000000"/>
                <w:kern w:val="0"/>
                <w:sz w:val="22"/>
                <w:szCs w:val="22"/>
                <w:highlight w:val="none"/>
                <w:u w:val="none"/>
                <w:lang w:val="en-US" w:eastAsia="zh-CN" w:bidi="ar"/>
              </w:rPr>
              <w:t>(-10 dB)</w:t>
            </w:r>
            <w:r>
              <w:rPr>
                <w:rFonts w:hint="eastAsia" w:ascii="宋体" w:hAnsi="宋体" w:eastAsia="宋体" w:cs="宋体"/>
                <w:i w:val="0"/>
                <w:iCs w:val="0"/>
                <w:color w:val="000000"/>
                <w:kern w:val="0"/>
                <w:sz w:val="22"/>
                <w:szCs w:val="22"/>
                <w:highlight w:val="none"/>
                <w:u w:val="none"/>
                <w:lang w:val="en-US" w:eastAsia="zh-CN" w:bidi="ar"/>
              </w:rPr>
              <w:t>：58Hz-18kHz；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水平涵盖角：160°；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垂直涵盖角：软件可调；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1个模块最大角度为 30°,2-3 个模块：最大角度为 40°（垂直）；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垂直波束控制角度：+/-20°；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最大声压级 @ 1m：112 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多模块性能（1个模块）：典型可用投射距离：10 m (33 ft)；特定距离：10 m (33 ft)；在特定距离下的最大 SPL： 97 dB (103 dB 峰值)；波束控制低频下限：500 Hz；全频扬声器单元：12 x 2.25” (57 mm)；功放通道/额定功率：12 x 50 W；物理阵列高度：39” (1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多模块性能（2个模块）：典型可用投射距离：25 m (82ft)；特定距离：20 m (33 ft)；在特定距离下的最大 SPL： 96dB (102 dB 峰值)；波束控制低频下限：250 Hz；全频扬声器单元：24 x 2.25” (57 mm)；功放通道/额定功率：24 x 50 W；物理阵列高度：78” (2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多模块性能（3个模块）：典型可用投射距离：35 m (115ft)；特定距离：30 m (98 ft)；在特定距离下的最大 SPL： 95dB (101 dB 峰值)；波束控制低频下限：160 Hz；全频扬声器单元：36 x 2.25” (57 mm)；功放通道/额定功率：36 x 50 W；物理阵列高度：117” (3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输入灵敏度：15dBu；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输入阻抗：20kΩ；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数字音频输入：数字音频网络 (RJ45)，扩展：LVDS (RJ50)；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数字输出  扩展：LVDS (RJ50),A/D 和 D/A 转换器：24 位, 48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支持波束数量：2；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音频延迟：5.7ms.</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数字网络无线主机</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2.语音自动优化以及声音预设；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3.清晰简洁的用户界面，具有OLED 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4.以太网连接（IPv4 与IPv6）；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5.支持媒体控制协议；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8.快速设置配对流程；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9.频率范围 1,880 to 1,900 MHz ;1,920 to 1,930 MHz ;1,893 to 1,906 MHz;1,880 to 1,895 MHz;1,910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10.电源 12 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13.重量  828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14.功耗 350 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17.天线接头 2 x reverse SMA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18.音频输出电平（平衡） max. +18 dBu, typ. -24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19.音频输出电平（非平衡） max. +6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21.RF 灵敏度 &lt; -90 dBm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22.采样率 24 bit/48 kHz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23.连接 Audio Out: XLR 3M Audio Out: 2 x RCA Network: RJ 45；</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数字网络无线手持话筒</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2.可锁定的3.5mm 插口；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4.工作时间长达15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5.高级电源管理，可充电锂离子电池；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8.频率范围 1,880 to 1,900 MHz 1,920 to 1,930 MHz 1,893 to 1,906 MHz 1,880 to 1,895 MHz 1,910 to 1,920 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11.重量 approx. 88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12.音频输入 3,5 mm socket, lockable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15.工作时间 Accupack: typ. 15 h Batteries: typ. 10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16.输入电压的范围 Mic: 2.2 V RMS Line: 3.3 V RMS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18.输入阻抗 1 MΩ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19.采样率 24 bit/48 kHz。</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2位无线充电底座</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1.无线充电底座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2.最多可为两个移动设备充电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3.最大输入电压 12 V DC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13路带净化抗雷击电源管理器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具有12+1共13个电源输出接口；2U标准高度。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整机容量63A，配置防漏空气开关和LED电压显示屏。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每路输出采用万能插座AC220V/13A，适用各种类型电源插头；</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MCU控制的智能化设计，具有RS-232控制接口，兼容中控系统；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具有1路级联输入和1路级联输出控制接口；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支持PC配套软件调试及设置，支持触摸屏墙控制；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中6路具有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线缆、线管、五金配件、扎带、胶布、音响线 话筒线接插件等</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b.会商室控制室</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操作员席位</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共3个工位/每工位2屏幕/定制/台面高度：760mm；台体深度：800-1000mm；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控制台台板基材须采用防火、防潮、防刻划、绝缘、耐磨、强度高的抗培特板制作，厚度≥15mm,表面贴防火板。控制台台面应当保持平滑及水平，应保证两块台板间拼缝间隙≤0.5mm，高低基本平齐，手摸无明显拼缝感觉，两块台面间高低差≤0.5mm。控制台台面的边缘应为圆弧形设计的手枕，保证手臂工作时的舒适性。手枕采用台板一体化延伸的台板边缘，外形手感好，适合人手放置的流线型表面，经抛光、耐磨喷涂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2、主体框架结构应使用铝合金型材与优质冷轧钢板相结合的结构设计，主体框架下部应采用可调整水平的固定脚支撑，满足控制台整体平整性和工程的受力强度要求；所有钣金配件均做R圆角处理，外表面使用静电吸塑工艺，整体结构稳固防腐，耐划伤；为了保证散热通风，方便操作与整体环境美观统一,前后门板需采用厚度1.0mm的镀锌钢板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前后门采用优质液压缓冲铰链与主框架连接，方便日后的管理，同时台体下部有足够的腿部活动空间，底柜前后部有散热孔。主机设备需全部密封底柜内部，降低工作噪音，内设主机托板，方便日后的设备维护，主机托板采用滑槽固定承托可左右移动满足下部进线的需要，相应的上线位主机托板设计为多模块式底板，不需要任何固定螺丝，方便拆卸。控制台内设有短捷顺畅的线缆管理系统，且电源、讯号线分开管理，做到各个方向的线都能方便的在线槽内方便的捆扎，线槽可以做到布线短捷、隐蔽、合理之要求。前面LCD显示器之电源线按标准规格长度即可方便地连入电源插座，讯号数据线也可不用加长即可插入相应主机，使用方便合理。内部横纵向强弱电分开走线，方便捆扎，科学安全管理。铝型材厚度不小于2.0mm，铝型材槽宽不小于8mm。侧板采用厚复合型材，厚度不小于12 mm，表面采用汽车烤漆处理，烤漆厚度标准达到（30-40um），硬度达到3H，附着力达到100/100mm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4、控制台的静电放电抗扰度、射频电磁场辐射抗扰度、射频场感应传导骚扰抗扰度性能等级应达到IEC61000标准A级要求。                                                                                                                         5、控制台整套产品，其甲醛、TVOC、苯/甲苯/二甲苯、涂层可迁移元素，应能通过GB/T 35607-2017《绿色产品评价家具》或相关同等要求国家标准的规定值（至少满足甲醛释放量≤0.01mg/m³，汞≤1mg/kg，铬≤1mg/kg，镉≤0.5mg/kg，铅≤2mg/kg）。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6、控制台产品按GB20286-2006附录C做燃烧测试达到等级应不低于阻燃1级，其中“烟密度”应低于20%，同时“一氧化碳浓度”释放量应低于80ppm,“质量损失率”不大于0.1%。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专业调度椅</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1、头枕、背垫、腰枕及座垫均为进口网布；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2、黑色塑胶框架，PU扶手垫；塑胶头枕插条、头枕横把手；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3、背支撑架、底盘支撑架均为铝合金精抛光；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4、100MM气压棒,340MM铝合金精抛光椅脚,60MM PU滑轮</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电脑支臂（单层）</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挂墙型固定于控制台背墙，可9方向自由调节、伸缩的支架，稳定承重50寸以下液晶显示器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电脑主机（高配）</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品牌工作站</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CPU:不低于i7-10700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内存：≥16GB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硬盘：机械硬盘≥1T+固态硬盘≥256SDD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显卡：独显，不低于GTX3080 6GB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前置：≥5个USB接口（至少1个USB Type-C）、≥2个音频接口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后置：≥4个USB接口、串口、音频接口、≥2个DP接口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扩展槽位：≥1个PCIe Gen3.0x16、≥1个PCIe Gen 3.0x4（16长度）、≥1个PCIe Gen3.0x1；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塔式标准机箱，≤17L，节省空间；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内嵌式把手设计，易于搬运，顶置电源开关键，方便使用；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配备有线键鼠</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HDMI高清线（4k）</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1.5M</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曲面液晶显示器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屏幕比例 16:9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面板类型 IPS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静态对比度 1000:1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响应时间 ≤5ms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显示参数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点距 0.234mm纠错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亮度 430cd/㎡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可视角度 178/178°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刷新率 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视频接口 HDMI≥2，Displayport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其它接口 USB≥4，音频输入，音频输出</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32寸抬头显示器（含支架）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屏幕比例 16:9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静态对比度 1000:1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灯光控制器软件V1.0</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1)支持本地按钮改变6种常用氛围颜色（蓝、红、绿、紫、黄、冰蓝）切换，也支持6种特定颜色（三原色任意调整RGB值的组合颜色）切换；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2)支持RGB任意颜色（三原色任意调整RGB值的组合颜色）调整；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3)支持常亮、闪烁两种常用氛围状态（及通用和报警功能划分）；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4)支持485通信协议组网，确保远距离传输的稳定可靠性的同时。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嵌入式多媒体盒</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多媒体插座采用简单易用的接入方式，支持接2个电源、4个网口、ups口、1个音频口，锁定后的连接盒与桌面保持齐平，所有接口隐藏。</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键盘托盘</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金属托盘，聚氨酯护腕，人体工程学机构</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电源PDU</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19英寸标准机架PDU，6位3孔，可直连UPS配电柜</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电脑主机服务器托盘</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金属托盘，可竖直放置电脑主机等设备</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8"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数字调音台</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32路输入通道，包括24路麦克风/线路输入通道、1路USB立体声回放通道；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10"彩色触屏界面，直观便捷，硬件控制方便快速操作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操作简易，初次使用可快速上手，专业人士可熟练使用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逾120种通道预设，记录多类现实环境声源；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反馈抑制、室内调试、增益及效果器模块等多项功能；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全面实用信息系统导航，协助用户操作使用；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输入通道带4段全频带均衡器、可变高低通滤波器；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输入通道带门限、压缩及延迟功能；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输出通道兼容各种功能：1/3倍频程图示均衡功能、6段参量均衡功能、限幅功能、延迟及12段滤波功能；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内置8路编组通道并配有6段全频带均衡器，带有高低通滤波及限幅功能，可实现连接立体声通道功能；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8路DCA通道、8路静音通道及8路编组通道，内置两个频率响应实时分析器；</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6组立体声效果器，带有独立校调功能，实现录音级音质输出；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内置跳线盘功能，通道参数（混音、通道、均衡、动态及其他参数）可通过复制黏贴实现轻松拷贝；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14路辅助通道可相邻连接作为立体声通道输出，同时配有两组耳返监听通道输出；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32路通道信号实现硬盘分轨录音及回放，无需电脑音频工作站接入，即可实现录音回放功能；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兼容Mac® 计算机的32路DAW端口，实现双向输入输出通道接通；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移动终端接入无线网络可实现远程控制；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模拟4路平衡输入+模拟8路平衡输出；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预置专业扬声器配套数据库；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以太网+USB+255级联+RS485串口协议集控；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32位DSP-96kHz采样-24bit AD/DA转换；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输入通道内置双路31段图示均衡器；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音频DSP数字全功能处理集成；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智能通道分配混合可调矩阵；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通过控制软件显示所有通道参数与数据曲线；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内置标准音频测试与调试信号源；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全功能操作按键式与多位显示屏组合面板；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内置21个用户场景预置，含扬声器数据库；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断电与关机自动保存用户场景数据；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单机独立ID编码支持最大255台设备级联管理；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主机密码保护数据安全功能；</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3.每通道支持压缩、限幅、噪声门、功能设置，可切换工作模式为直通或反馈抑制；可任意编辑固定和动态反馈点数量，可一键清除啸叫点；单机可存储30组用户程序。</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网络机柜</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600*800*2000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13路带净化抗雷击电源管理器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具有12+1共13个电源输出接口；2U标准高度。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整机容量63A，配置防漏空气开关和LED电压显示屏。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每路输出采用万能插座AC220V/13A，适用各种类型电源插头；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MCU控制的智能化设计，具有RS-232控制接口，兼容中控系统；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具有1路级联输入和1路级联输出控制接口；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支持PC配套软件调试及设置，支持触摸屏墙控制；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中6路具有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5.25寸监听音箱</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专有的立体声数字处理电路能够产生宽广的双通道声场，专为计算机聆听而设计。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多功能线控装置具备旋转式音量控制、单点触控静音、耳机插孔和连接第二个音频源（例如 MP3 播放器）功能。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先进的端口设计和驱动单元可实现强大的低音性能和充满整个房间的饱满、自然的声音。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专有集成式信号处理功能可以在几乎任何音量水平下实现逼真音效表现。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有源电子均衡功能可平衡低、中和高频，获得更加自然的音调和清晰度。</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五、视频会议</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高清摄像机1</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总体要求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所投产品必须与视频会议终端1同一品牌。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支持图像倒转功能，方便摄像机安装在天花板上。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镜头要求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支持不小于851万像素1/2.5英寸CMOS成像芯片。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支持4K25/30fps、1080P 50/60fps、1080p 25/30fps视频输出。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支持不小于12倍光学变焦。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支持≥80°水平视角，增加外置广角镜视为不满足。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水平转动范围：≥+/-110°，垂直转动范围：≥+/- 30°。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支持≥254个预置位。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支持不少于2路高清视频输出接口。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支持不少于2个RS-232控制接口，支持标准VISCA控制协议。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功能要求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支持红外透传功能，实现终端遥控器通过摄像机控制机房内会议终端，方便调试。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支持本地USB接口软件升级功能。</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高清摄像机2</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具有完善的功能、优异的性能、丰富的接口；先进的ISP处理技术和算法，使得图像效果生动逼真、画面亮度均匀、光色层次感强、清晰度高、色彩还原性好。支持H.264+/H.264编码，在低带宽下使得画面更加流畅、清晰。具有12X、20X、30X等多种光学变倍镜头选择，镜头具有72.5°无畸变宽视角</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三脚架</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专业三脚架云台套装 优质铝合金便携三角架黑色</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录播服务器</w:t>
            </w:r>
          </w:p>
        </w:tc>
        <w:tc>
          <w:tcPr>
            <w:tcW w:w="9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通讯协议：HTTP、RTP、RTSP、NFS、ISCSI、DHCP、NTP、SMTP、SNMPv1、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SNMPv2c、SNMPv3、UPNP、SADP、PPPoE、DNS、FTP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视频接口：5路HDMI输入，1路HDMI输出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音频编码：AAC、PCMA、MPEG2、MP3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文件格式：MP4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音频接口：1路输入（3.5mm Line In），1路输出（3.5mm Line Out）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视频编码：H.265、H.264Base Profile、Main Profile、High Profile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视频分辨率：CIF、4 CIF、SVGA、XGA、WXGA、SXGA、240P、360P、480P、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720P、1080P、4K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可靠性MTBF（小时）：120,000小时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流媒体协议：H.264-FLV over HTTP/RTMP ；H.264-RTP over RTSP/RTP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外部接口：10/100/1000M RJ45接口×1；标准RS-232串行接口×1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电源：输入：DC 12V 3A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传输带宽：16Kbit/s～4Mbit/s 存储空间：2T 4T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物理尺寸：400mm×200mm×45mm 重量：净重1.9Kg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工作湿度：30%至90%非凝结 直播点播数：50路并发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工作温度： 0-50摄氏度 功率：30W</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六、电动窗帘</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开合联电机</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额定电压是100-240（V），额定频率是50-60（Hz）</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窗帘导轨</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传动箱组合</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橡胶皮带</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窗帘幕</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含线材、管材、五金件等</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rPr>
          <w:rFonts w:hint="eastAsia"/>
          <w:highlight w:val="none"/>
        </w:rPr>
      </w:pP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50" w:name="_Toc30788"/>
      <w:r>
        <w:rPr>
          <w:rFonts w:hint="eastAsia" w:ascii="宋体" w:hAnsi="宋体" w:eastAsia="宋体"/>
          <w:b/>
          <w:sz w:val="28"/>
          <w:szCs w:val="28"/>
          <w:highlight w:val="none"/>
        </w:rPr>
        <w:t>2F专班会议室</w:t>
      </w:r>
      <w:bookmarkEnd w:id="50"/>
    </w:p>
    <w:tbl>
      <w:tblPr>
        <w:tblStyle w:val="32"/>
        <w:tblW w:w="136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
        <w:gridCol w:w="1669"/>
        <w:gridCol w:w="9769"/>
        <w:gridCol w:w="731"/>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29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2F专班会议室功能清单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1、81㎡会议室（1个） 主楼西北侧</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2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6"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86寸会议平板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1.尺寸：86 inch DLED背光源；分辨率：3840 × 2160 @60 Hz；响应时间：6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2.对比度：1200：1（Typ.）；色深度：10 bit；亮度：350 cd/m²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3.操作系统：Android 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4.CPU：4核 A73*2+A53*2，主频1.5 GHz；存储：32 GB；内存：3 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5.支持路由功能；支持蓝牙5.0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6.采用红外触控，AG顺滑玻璃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7.触摸精度要求90%以上的触摸区域为 ±1 mm；触控响应速度：＜ 10 ms；触控点：20点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8.接口：HDMI OUT 1路，最大4K@60Hz，HDMI IN 2路，最大4K@60Hz；LINE OUT 1路，LINE IN 1路；1个RS-232 ，2个RJ45，4个USB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9.内置2个16W音箱</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1.处理器：Intel H310C Express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2.CPU：Intel Core i5 9400，主频：2.9GHz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3.内存：8GB；硬盘：256G固态硬盘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4.网卡：Integrated 10/100/1000M Adaption；WiFi支持IEEE 802.11 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5.声卡：集成High Definition Audio Stereo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6.平台架构：Coffee Lake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7.显卡：集成显卡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8.接口：网络接口RJ45 x1，存储控制接口USB 2.0/3.0 x6，视频输出接口HDMI接口(out) x1, DP(out) 接口 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9.蓝牙：Bluetooth 4.2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1.配置安装：免配置，免安装，自动连接，自动运行，USB接口即插即用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2.支持系统： Windows7/8/10 , macOS 10以上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3.分辨率：1080P 30fps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4.传输延时：&lt; 200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5.触控回传：支持10点触摸回传（Windows 、 Mac），支持鼠标模式回传 （Windows，Mac）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6.WiFi类型：2.4G/5G 双频 WiFi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7.无线传输协议：IEEE 802.11  a/g/n/ac；无线速率：&gt; 400 Mbps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8.频段：2.4G&amp;5.8G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9.加密：AES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10.验证协议： WPA2-PSK</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二、数字会议系统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2"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数字会议系统主机 </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1.内置高性能双CPU处理器，支持8KHz至96KHz范围内的采样速率，并支持数字音量控制。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4.3英寸触摸屏，具有WIFI网络接口，可以通过连接POE网络交换机扩充无线AP数量，提供更大的无线覆盖范围。具有1-4路会议单元输出接口，具有超大系统容量，系统最大支持≥4096台有线会议单元，≥300台无线会议单元。系统最大支持同时开≥8个有线话筒和≥6个无线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4.具有一键关机所有无线单元功能。具有1路USB接口，支持插入U盘设备进行录音功能，支持播放背景音乐功能。具有≥两路功放输出接口，可接驳两个定阻音箱。</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5.支持四种话筒管理模式：FIFO/ NORMAL/VOICE(声控)/APPLY。具有1路EXTENSION 口，可用于连接扩展主机。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具有≥1路RS-485接口，支持一台摄像机实现摄像跟踪。具有≥1路消防报警联动触发接口，在消防紧急状况下可为会议主机面板触摸屏、单元机屏提供火灾报警信息。具有≥1路平衡信号和≥1路非平衡信号输入接口，≥1路平衡信号和≥1路非平衡信号输出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PC软件端可查看无线单元的电池电量、WiFi信号等信息状态。具有一键关机所有无线单元功能。具有丰富的会议应用功能，支持投票表决功能、会议签到功能、5段EQ调节功能、广播短消息、茶水申请服务等，支持会议信息导出，满足日常会议应用所需。</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台面式数字会议话筒主席单元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1.桌面式话筒采用心型指向性驻极体麦克风，支持声控功能。内部具有DSP音频处理；采用100M网络传输，实现手拉手级联。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2.具有≥4.3英寸触摸屏，支持茶水服务功能。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3.支持触摸按键签到功能。支持表决评级选举功能，支持五键选举/三键表决，主席机支持发起投票、签到功能；支持签到、表决状态实时显示，后台同步显示。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4.单元具有自动编ID功能，支持同声传译功能可选择接收语言通道，出厂默认为15+1，可选配31+1，63+1。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5.主席单元具有计时发言功能 ，发言时间不受限制；代表机具有申请发言功能，主席可批准申请人发言；单元具备优先权功能，可关闭正在发言的所有代表话筒。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6.支持5段EQ调节功能，后台软件可针对发言者的声音特点调节不同的音效。</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台面式数字会议话筒代表单元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1.桌面式话筒采用心型指向性驻极体麦克风，支持声控功能。内部具有DSP音频处理；采用100M网络传输，实现手拉手级联。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2.具有≥4.3英寸触摸屏，支持茶水服务功能。支持触摸按键签到功能。支持表决评级选举功能，支持五键选举/三键表决；支持签到、表决状态实时显示，后台同步显示。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3.单元具有自动编ID功能，支持同声传译功能可选择接收语言通道，出厂默认为15+1，可选配31+1，63+1。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4.代表单元具有计时发言功能 ，发言时间不受限制；代表机具有申请发言功能，主席可批准申请人发言。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5.支持5段EQ调节功能，后台软件可针对发言者的声音特点调节不同的音效。</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无线鹅颈会议话筒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频率指标：470-510M 540-590M 640-690M 740-790M 807-830MHz 五段（要求满足或优于此性能），调制方式：宽带FM，频道数目：≥500个频道。</w:t>
            </w:r>
          </w:p>
          <w:p>
            <w:pPr>
              <w:keepNext w:val="0"/>
              <w:keepLines w:val="0"/>
              <w:widowControl/>
              <w:numPr>
                <w:ilvl w:val="0"/>
                <w:numId w:val="33"/>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系统包括有一台主机+两台桌面式无线麦克。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7.发射机指标：天线程式: 内置螺旋天线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8.输出功率:3mW~30mW。</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6芯20米延长电缆</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20米延长线（一公一母）</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3.内置24位DSP效果器，提供≥100种预设效果。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4.具备13个60mm行程的高精密碳膜推子。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5.内置USB声卡模块，支持连接电脑进行音乐播放和声音录音；内置MP3播放器，支持≥1个USB接口接U盘播放音乐。</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4.支持24bit/48kHz的声音，支持输入通道48V幻象供电。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6.支持通过iOS、iPad、Android的手机/平板APP软件进行操作控制，面板具备USB接口，支持多媒体存储，可进行播放或存储录播。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3.每通道支持压缩、限幅、噪声门、功能设置，可切换工作模式为直通或反馈抑制；可任意编辑固定和动态反馈点数量，可一键清除啸叫点；单机可存储30组用户程序。</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2.频响：70Hz-20KHz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3.额定功率≥150W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4.灵敏度≥96dB/W/M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5.水平覆盖角≥100°，垂直覆盖角≥80°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6.高音：3"锥形高音单元×2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7.低音：8"低音×1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固定面板固定孔尺寸（长*宽）：34mm*34mm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箱体固定面板固定孔尺寸：110mm</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2.采用强制散热设计；具有安全保护措施和工作状态指示（短路、过载、直流和过热保护，变压器过热保护）。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3.输出功率:立体声/并联8Ω:350W*2.立体声/并联4Ω:530W*2.桥接8Ω:1060W。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4、采用标准XLR+TRS1/4"复合多功能输入接口。智能削峰限幅器，控制功率模块及扬声器系统在安全范围内工作。</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4.具有一路及以上USB输出接口。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2、85㎡会议室（2个）  主楼南侧</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2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86寸会议平板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1.尺寸：86 inch DLED背光源；分辨率：3840 × 2160 @60 Hz；响应时间：6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2.对比度：1200：1（Typ.）；色深度：10 bit；亮度：350 cd/m²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3.操作系统：Android 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4.CPU：4核 A73*2+A53*2，主频1.5 GHz；存储：32 GB；内存：3 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5.支持路由功能；支持蓝牙5.0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6.采用红外触控，AG顺滑玻璃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7.触摸精度要求90%以上的触摸区域为 ±1 mm；触控响应速度：＜ 10 ms；触控点：20点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8.接口：HDMI OUT 1路，最大4K@60Hz，HDMI IN 2路，最大4K@60Hz；LINE OUT 1路，LINE IN 1路；1个RS-232 ，2个RJ45，4个USB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9.内置2个16W音箱</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1.处理器：Intel H310C Express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2.CPU：Intel Core i5 9400，主频：2.9GHz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3.内存：8GB；硬盘：256G固态硬盘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4.网卡：Integrated 10/100/1000M Adaption；WiFi支持IEEE 802.11 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5.声卡：集成High Definition Audio Stereo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6.平台架构：Coffee Lake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7.显卡：集成显卡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8.接口：网络接口RJ45 x1，存储控制接口USB 2.0/3.0 x6，视频输出接口HDMI接口(out) x1, DP(out) 接口 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9.蓝牙：Bluetooth 4.2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1.配置安装：免配置，免安装，自动连接，自动运行，USB接口即插即用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2.支持系统： Windows7/8/10 , macOS 10以上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3.分辨率：1080P 30fps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4.传输延时：&lt; 200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5.触控回传：支持10点触摸回传（Windows 、 Mac），支持鼠标模式回传 （Windows，Mac）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6.WiFi类型：2.4G/5G 双频 WiFi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7.无线传输协议：IEEE 802.11  a/g/n/ac；无线速率：&gt; 400 Mbps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8.频段：2.4G&amp;5.8G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9.加密：AES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10.验证协议： WPA2-PSK</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二、数字会议系统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有线话筒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1.类型：Φ14背极电容式、双极头</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3.指向类型：单一锐指向</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4.灵敏度≥-30dB±3dB</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5.频率响应：100Hz-8KHz</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6.输出阻抗：200Ω(±20%)平衡</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8"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无线鹅颈会议话筒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5"/>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频率指标：470-510M 540-590M 640-690M 740-790M 807-830MHz 五段（要求满足或优于此性能），调制方式：宽带FM，频道数目：≥500个频道。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2.系统包括有一台主机+两台桌面式无线麦克。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7.发射机指标：天线程式: 内置螺旋天线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8.输出功率:3mW~30mW。</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6芯20米延长电缆</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20米延长线（一公一母）</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3.内置24位DSP效果器，提供≥100种预设效果。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4.具备13个60mm行程的高精密碳膜推子。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5.内置USB声卡模块，支持连接电脑进行音乐播放和声音录音；内置MP3播放器，支持≥1个USB接口接U盘播放音乐。</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8"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4.支持24bit/48kHz的声音，支持输入通道48V幻象供电。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6.支持通过iOS、iPad、Android的手机/平板APP软件进行操作控制，面板具备USB接口，支持多媒体存储，可进行播放或存储录播。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3.每通道支持压缩、限幅、噪声门、功能设置，可切换工作模式为直通或反馈抑制；可任意编辑固定和动态反馈点数量，可一键清除啸叫点；单机可存储30组用户程序。</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2.频响：70Hz-20KHz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3.额定功率≥150W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4.灵敏度≥96dB/W/M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5.水平覆盖角≥100°，垂直覆盖角≥80°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6.高音：3"锥形高音单元×2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7.低音：8"低音×1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固定面板固定孔尺寸（长*宽）：34mm*34mm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箱体固定面板固定孔尺寸：110mm</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2.采用强制散热设计；具有安全保护措施和工作状态指示（短路、过载、直流和过热保护，变压器过热保护）。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3.输出功率:立体声/并联8Ω:350W*2.立体声/并联4Ω:530W*2.桥接8Ω:1060W。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4、采用标准XLR+TRS1/4"复合多功能输入接口。智能削峰限幅器，控制功率模块及扬声器系统在安全范围内工作。</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4.具有一路及以上USB输出接口。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4、73㎡会议室（1个）  主楼西南侧</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4"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86寸会议平板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1.尺寸：86 inch DLED背光源；分辨率：3840 × 2160 @60 Hz；响应时间：6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2.对比度：1200：1（Typ.）；色深度：10 bit；亮度：350 cd/m²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3.操作系统：Android 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4.CPU：4核 A73*2+A53*2，主频1.5 GHz；存储：32 GB；内存：3 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5.支持路由功能；支持蓝牙5.0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6.采用红外触控，AG顺滑玻璃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7.触摸精度要求90%以上的触摸区域为 ±1 mm；触控响应速度：＜ 10 ms；触控点：20点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8.接口：HDMI OUT 1路，最大4K@60Hz，HDMI IN 2路，最大4K@60Hz；LINE OUT 1路，LINE IN 1路；1个RS-232 ，2个RJ45，4个USB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9.内置2个16W音箱</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1.处理器：Intel H310C Express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2.CPU：Intel Core i5 9400，主频：2.9GHz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3.内存：8GB；硬盘：256G固态硬盘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4.网卡：Integrated 10/100/1000M Adaption；WiFi支持IEEE 802.11 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5.声卡：集成High Definition Audio Stereo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6.平台架构：Coffee Lake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7.显卡：集成显卡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8.接口：网络接口RJ45 x1，存储控制接口USB 2.0/3.0 x6，视频输出接口HDMI接口(out) x1, DP(out) 接口 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9.蓝牙：Bluetooth 4.2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1.配置安装：免配置，免安装，自动连接，自动运行，USB接口即插即用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2.支持系统： Windows7/8/10 , macOS 10以上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3.分辨率：1080P 30fps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4.传输延时：&lt; 200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5.触控回传：支持10点触摸回传（Windows 、 Mac），支持鼠标模式回传 （Windows，Mac）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6.WiFi类型：2.4G/5G 双频 WiFi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7.无线传输协议：IEEE 802.11  a/g/n/ac；无线速率：&gt; 400 Mbps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8.频段：2.4G&amp;5.8G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9.加密：AES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10.验证协议： WPA2-PSK</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二、数字会议系统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有线话筒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1.类型：Φ14背极电容式、双极头</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3.指向类型：单一锐指向</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4.灵敏度≥-30dB±3dB</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5.频率响应：100Hz-8KHz</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6.输出阻抗：200Ω(±20%)平衡</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6"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无线鹅颈会议话筒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频率指标：470-510M 540-590M 640-690M 740-790M 807-830MHz 五段（要求满足或优于此性能），调制方式：宽带FM，频道数目：≥500个频道。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2.系统包括有一台主机+两台桌面式无线麦克。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7.发射机指标：天线程式: 内置螺旋天线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8.输出功率:3mW~30mW。</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6芯20米延长电缆</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20米延长线（一公一母）</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7"/>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2.具有≥2组立体主输出、≥4路编组输出、≥4路辅助输出、≥1组立体声监听输出、≥1个耳机监听输出、≥2个效果输出、≥1组主混音断点插入、≥6个断点插入。</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3.内置24位DSP效果器，提供≥100种预设效果。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4.具备13个60mm行程的高精密碳膜推子。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5.内置USB声卡模块，支持连接电脑进行音乐播放和声音录音；内置MP3播放器，支持≥1个USB接口接U盘播放音乐。</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6"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4.支持24bit/48kHz的声音，支持输入通道48V幻象供电。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6.支持通过iOS、iPad、Android的手机/平板APP软件进行操作控制，面板具备USB接口，支持多媒体存储，可进行播放或存储录播。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3.每通道支持压缩、限幅、噪声门、功能设置，可切换工作模式为直通或反馈抑制；可任意编辑固定和动态反馈点数量，可一键清除啸叫点；单机可存储30组用户程序。</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2.频响：70Hz-20KHz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3.额定功率≥150W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4.灵敏度≥96dB/W/M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5.水平覆盖角≥100°，垂直覆盖角≥80°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6.高音：3"锥形高音单元×2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7.低音：8"低音×1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固定面板固定孔尺寸（长*宽）：34mm*34mm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箱体固定面板固定孔尺寸：110mm</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2.采用强制散热设计；具有安全保护措施和工作状态指示（短路、过载、直流和过热保护，变压器过热保护）。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3.输出功率:立体声/并联8Ω:350W*2.立体声/并联4Ω:530W*2.桥接8Ω:1060W。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4、采用标准XLR+TRS1/4"复合多功能输入接口。智能削峰限幅器，控制功率模块及扬声器系统在安全范围内工作。</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4.具有一路及以上USB输出接口。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5、76㎡会议室（2个）  辅楼南侧</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8"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86寸会议平板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1.尺寸：86 inch DLED背光源；分辨率：3840 × 2160 @60 Hz；响应时间：6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2.对比度：1200：1（Typ.）；色深度：10 bit；亮度：350 cd/m²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3.操作系统：Android 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4.CPU：4核 A73*2+A53*2，主频1.5 GHz；存储：32 GB；内存：3 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5.支持路由功能；支持蓝牙5.0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6.采用红外触控，AG顺滑玻璃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7.触摸精度要求90%以上的触摸区域为 ±1 mm；触控响应速度：＜ 10 ms；触控点：20点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8.接口：HDMI OUT 1路，最大4K@60Hz，HDMI IN 2路，最大4K@60Hz；LINE OUT 1路，LINE IN 1路；1个RS-232 ，2个RJ45，4个USB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9.内置2个16W音箱</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1.处理器：Intel H310C Express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2.CPU：Intel Core i5 9400，主频：2.9GHz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3.内存：8GB；硬盘：256G固态硬盘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4.网卡：Integrated 10/100/1000M Adaption；WiFi支持IEEE 802.11 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5.声卡：集成High Definition Audio Stereo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6.平台架构：Coffee Lake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7.显卡：集成显卡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8.接口：网络接口RJ45 x1，存储控制接口USB 2.0/3.0 x6，视频输出接口HDMI接口(out) x1, DP(out) 接口 x1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9.蓝牙：Bluetooth 4.2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1.配置安装：免配置，免安装，自动连接，自动运行，USB接口即插即用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2.支持系统： Windows7/8/10 , macOS 10以上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3.分辨率：1080P 30fps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4.传输延时：&lt; 200 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5.触控回传：支持10点触摸回传（Windows 、 Mac），支持鼠标模式回传 （Windows，Mac）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6.WiFi类型：2.4G/5G 双频 WiFi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7.无线传输协议：IEEE 802.11  a/g/n/ac；无线速率：&gt; 400 Mbps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8.频段：2.4G&amp;5.8G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9.加密：AES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10.验证协议： WPA2-PSK</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二、数字会议系统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有线话筒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1.类型：Φ14背极电容式、双极头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3.指向类型：单一锐指向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4.灵敏度≥-30dB±3dB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5.频率响应：100Hz-8KHz</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6.输出阻抗：200Ω(±20%)平衡</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无线鹅颈会议话筒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8"/>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频率指标：470-510M 540-590M 640-690M 740-790M 807-830MHz 五段（要求满足或优于此性能），调制方式：宽带FM，频道数目：≥500个频道。</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2.系统包括有一台主机+两台桌面式无线麦克。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7.发射机指标：天线程式: 内置螺旋天线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8.输出功率:3mW~30mW。</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6芯20米延长电缆</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20米延长线（一公一母）</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3.内置24位DSP效果器，提供≥100种预设效果。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4.具备13个60mm行程的高精密碳膜推子。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5.内置USB声卡模块，支持连接电脑进行音乐播放和声音录音；内置MP3播放器，支持≥1个USB接口接U盘播放音乐。</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2"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9"/>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4.支持24bit/48kHz的声音，支持输入通道48V幻象供电。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6.支持通过iOS、iPad、Android的手机/平板APP软件进行操作控制，面板具备USB接口，支持多媒体存储，可进行播放或存储录播。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3.每通道支持压缩、限幅、噪声门、功能设置，可切换工作模式为直通或反馈抑制；可任意编辑固定和动态反馈点数量，可一键清除啸叫点；单机可存储30组用户程序。</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2.频响：70Hz-20KHz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3.额定功率≥150W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4.灵敏度≥96dB/W/M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5.水平覆盖角≥100°，垂直覆盖角≥80°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6.高音：3"锥形高音单元×2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7.低音：8"低音×1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固定面板固定孔尺寸（长*宽）：34mm*34mm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箱体固定面板固定孔尺寸：110mm</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2.采用强制散热设计；具有安全保护措施和工作状态指示（短路、过载、直流和过热保护，变压器过热保护）。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3.输出功率:立体声/并联8Ω:350W*2.立体声/并联4Ω:530W*2.桥接8Ω:1060W。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4、采用标准XLR+TRS1/4"复合多功能输入接口。智能削峰限幅器，控制功率模块及扬声器系统在安全范围内工作。</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4.具有一路及以上USB输出接口。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6、2F专家研判室桌椅 95㎡*3辅楼西侧</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一、数字会议系统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有线话筒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1.类型：Φ14背极电容式、双极头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3.指向类型：单一锐指向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4.灵敏度≥-30dB±3dB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5.频率响应：100Hz-8KHz</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6.输出阻抗：200Ω(±20%)平衡</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4"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无线鹅颈会议话筒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频率指标：470-510M 540-590M 640-690M 740-790M 807-830MHz 五段（要求满足或优于此性能），调制方式：宽带FM，频道数目：≥500个频道。</w:t>
            </w:r>
          </w:p>
          <w:p>
            <w:pPr>
              <w:keepNext w:val="0"/>
              <w:keepLines w:val="0"/>
              <w:widowControl/>
              <w:numPr>
                <w:ilvl w:val="0"/>
                <w:numId w:val="4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系统包括有一台主机+两台桌面式无线麦克。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7.发射机指标：天线程式: 内置螺旋天线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8.输出功率:3mW~30mW。</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6芯20米延长电缆</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20米延长线（一公一母）</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二、音频扩声系统</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3.内置24位DSP效果器，提供≥100种预设效果。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4.具备13个60mm行程的高精密碳膜推子。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5.内置USB声卡模块，支持连接电脑进行音乐播放和声音录音；内置MP3播放器，支持≥1个USB接口接U盘播放音乐。</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6"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1"/>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4.支持24bit/48kHz的声音，支持输入通道48V幻象供电。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5.具有≥2.19英寸液晶显示屏，支持显示设备网络信息、实时电平、通道静音状态、矩阵混音状态。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6.支持通过iOS、iPad、Android的手机/平板APP软件进行操作控制，面板具备USB接口，支持多媒体存储，可进行播放或存储录播。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1.采用96KHz采样频率，32-bit DSP处理器，24-bitA/D及D/A转换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2.支持数字信号输入输出通道提供coaxial，AES及光纤接口。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3.支持144 x 32的LCD显示屏显示参数功能，提供6段LED显示输出电平；每通道24个LED灯显示啸叫抑制状态数量；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3.每通道支持压缩、限幅、噪声门、功能设置，可切换工作模式为直通或反馈抑制；可任意编辑固定和动态反馈点数量，可一键清除啸叫点；单机可存储30组用户程序。</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2.频响：70Hz-20KHz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3.额定功率≥150W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4.灵敏度≥96dB/W/M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5.水平覆盖角≥100°，垂直覆盖角≥80°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6.高音：3"锥形高音单元×2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7.低音：8"低音×1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固定面板固定孔尺寸（长*宽）：34mm*34mm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箱体固定面板固定孔尺寸：110mm</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2.采用强制散热设计；具有安全保护措施和工作状态指示（短路、过载、直流和过热保护，变压器过热保护）。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3.输出功率:立体声/并联8Ω:350W*2.立体声/并联4Ω:530W*2.桥接8Ω:1060W。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4、采用标准XLR+TRS1/4"复合多功能输入接口。智能削峰限幅器，控制功率模块及扬声器系统在安全范围内工作。</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4.具有一路及以上USB输出接口。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51" w:name="_Toc4110"/>
      <w:r>
        <w:rPr>
          <w:rFonts w:hint="eastAsia" w:ascii="宋体" w:hAnsi="宋体" w:eastAsia="宋体"/>
          <w:b/>
          <w:sz w:val="28"/>
          <w:szCs w:val="28"/>
          <w:highlight w:val="none"/>
        </w:rPr>
        <w:t>3F北面办公区会议室</w:t>
      </w:r>
      <w:bookmarkEnd w:id="51"/>
    </w:p>
    <w:tbl>
      <w:tblPr>
        <w:tblStyle w:val="32"/>
        <w:tblW w:w="13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688"/>
        <w:gridCol w:w="9769"/>
        <w:gridCol w:w="731"/>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0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3F北面办公区会议室清单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2"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98寸会议平板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整机设计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1.超薄窄边框设计，整机屏占比≥88%以上，整机最薄处≤26mm整机外边框采用弧形转角设计，边框和背壳采用金属材质，防止塑料老化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2.采用模块化系统方案，整机可通过同一高速接口支持Windows 10企业版系统模块、Android 9.0系统模块切换使用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3.整机内置千兆路由模块，支持双频（2.4G/5G）2T2R AP，最多支持40个端接入；内置WI-FI6无线STA模块，支持802.11a/b/g/n/ac/ax协议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4.整机不含网络接口，Android 系统与Windows模块自带网络接口，Android与Windows系统网络物理隔离，保障使用安全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5.支持选配国产插拔模块，采用高性能国产芯片与 UOS 操作系统，带来稳定安全的流畅体验</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6.PC通道下内置视频会议软件，视频会议软件与整机为同一厂家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7.为保证整机一体性，内置天线设计，整机包括模块无外伸天线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8.支持声音模式自定义，壁挂和脚架，满足不同应用场景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9.采用2.1声道，2*10W（中高音）+20W（低音）缝隙发声扬声器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10.具有全功能Type-C接口，可支持手机充电、音视频信号传输、外部设备调用本机摄像头、麦克风及扬声器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11.支持空间感应，内置光线传感器/微波传感器，人体靠近屏幕自动开机唤醒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显示参数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1.整机屏幕采用98英寸UHD超高清LCD液晶屏，显示比例16:9，屏幕图像分辨率达3840*2160，色彩度10bit ,可视角度178°，全高清4K系统图标显示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2.整机屏幕与屏幕保护层零贴合技术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3.色域达到 90%NTSC， 可显示更真实更鲜艳的色；支持≥5种色彩空间选择</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4.在色彩空间sRGB模式下达到△E≤1.5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5.整机采用3mm AG防眩光玻璃，硬度7级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6.整机书写面板采用防眩光全钢化防爆玻璃面板，可见光透射比不低于88%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7.为方便共享，手机和电脑可以和整机互传文件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8.可通过软件可自动发现近场可投屏的会议设备，选择即可投屏，无需手动配对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9.无线传屏器与整机为同一品牌厂商，为确保使用稳定拒绝传屏器为OEM品牌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应用软件功能参数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1.白板内支持mp3、mp4、ppt、pdf、word等多种格式文件窗口化插入，插入后可随意调整其位置、大小，同时支持对窗口化文件重点内容直接截图并以图片格式插入白板中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2.智能识别手绘图形，书写无需重新点击选择画笔功能；可支持插入智能表格，表格大小可根据书写内容自动扩充，可通过画直线的方式添加行列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3.支持插入思维导图，可任意增加思维导图单元格数量并形成树状思维导图，并且可在单元格大小可根据书写内容自动扩充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4.白板内可一键打开协同白板，可多人同时扫码，从手机端及大板端同时在白板内进行创作，并支持语音通话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5.支持提笔检测：吸附在整机笔槽上的书写笔，提笔之后，可出现提示窗口，引导用户进入白板、批注或者快捷白板，方便使用，整体操作更加便捷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6.快捷白板：在非白板模式下可快捷调出书写板，满足用户临时快速书写需求，快捷白板内容亦可快速复制到白板中进行功能扩展，满足灵活讨论需求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7.在无线投屏状态中，搭配PC模块后无需调用PPT播放软件的批注功能，即可对PPT播放状态下进行连续多页批注，擦除，批注内容与原文件扫码分享保存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支持扫码上传移动端设备中文件，会议平板从云端下载文件，可在大板播放展示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9.支持多应用的窗口在同一屏展示，可任意拉伸大小，可支持4分屏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10.提供时钟、会议、连接码、单日程、日程组等组件，可自由编辑桌面内容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11.支持带有NFC功能的手机开启NFC后，一碰即可将手机与大板链接，并进行投屏等后续操作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12.可直接将输入源图标放置于主界面ICON中，方便客户自由切换通道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13.集控管理：支持集控管理平台软件对接，实现集控相关功能，如：远程桌面控制，恢复出厂设置，检查系统更新，开关机，命令行等功能。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协作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1.可通过大屏主页面连接码，连接个人办公设备，进行投屏、文件传输等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2.支持多人同时将文件上传至大板，并可以选择所有上传文件切换播放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3.支持文件播放与投屏可随时切换显示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4.截屏：可随时通过协作平台将大板端展示所有内容一键截屏，并在大板端展示截屏内容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5.使用音视频会议：可通过协作平台使用会议平板发起音视频会议，并支持控制麦克风、摄像头、邀请成员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6.获取文件：上传的会议文件、会议平板截图、录屏等文件，可一键获取并可分享给他人</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1.采用模块化电脑方案，抽拉内置式，PC模块可完全插入整机，保护PC模块不易受灰尘影响。采用40pin接口，实现无单独接线的插拔。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2.采用按压式开关，可直接拆卸电脑模块，无需工具。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3.配置： CPU Intel® Core i5十代  内存DDR4 8G /固态硬盘128G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4.正版激活Win10企业版操作系统</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实现电脑和平板之间的无线同屏传输，反向控制，双屏互动，5S快速启动 TypeC免驱，即插即用 NFC一碰传 2.5M 蓝牙互联 2.5K高清TypeC/USB4K高清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，每台平板最多支持32个设备切换，无间隔30米内有效。</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无线翻面智能笔 </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蓝牙连接，10米有效距离，重点批注，红点激光，红外压感技术，兼容所有PC及安卓系统</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二、数字会议系统</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智能会议主机</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1.用于50个单元的数字控制单元；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2.集成的录音功能；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3.集成的Web服务器，可通过平板电脑，智能手机进行控制；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4.设计与外观相匹配的设备；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5.4个数字RJ 45端口；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6.分支或循环连接（冗余）；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7.用于Web服务器或摄像机控制协议的LAN连接；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8.即插即用环保省电模式；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9.带锁扣的电源连接器；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10.XLR输出，XLR输入，RCA输入和两个RCA输出；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11.包括外部电源。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会议主席单元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10.适用于30、40、50或70厘米长的D-MIC话筒；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11.按钮：“优先权”按钮和“下一步”按钮。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会议代表单元</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10.适用于30、40、50或70厘米长的D-MIC话筒。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可拆卸鹅颈话筒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1.拆卸鹅颈话筒配有螺纹式麦克风，使话筒可以方便和安全地连接到主机；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2.其指向性特征，保证在大量噪声的环境中仍能提供最佳性能；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3.具有极强的抗手机信号干扰；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4.当麦克风关闭时，光环形熄灭；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5.红灯亮时，麦克风正在发言；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6.绿色时，请求发言；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7.尺寸：40cm；</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数字网络无线主机</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2.语音自动优化以及声音预设；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3.清晰简洁的用户界面，具有OLED 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4.以太网连接（IPv4 与IPv6）；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5.支持媒体控制协议；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8.快速设置配对流程；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9.频率范围 1,880 to 1,900 MHz ;1,920 to 1,930 MHz ;1,893 to 1,906 MHz;1,880 to 1,895 MHz;1,910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10.电源 12 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13.重量  828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14.功耗 350 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17.天线接头 2 x reverse SMA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18.音频输出电平（平衡） max. +18 dBu, typ. -24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19.音频输出电平（非平衡） max. +6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21.RF 灵敏度 &lt; -90 dBm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22.采样率 24 bit/48 kHz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23.连接 Audio Out: XLR 3M Audio Out: 2 x RCA Network: RJ 45；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数字网络无线手持话筒</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2.可锁定的3.5mm 插口；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4.工作时间长达15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5.高级电源管理，可充电锂离子电池；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8.频率范围 1,880 to 1,900 MHz 1,920 to 1,930 MHz 1,893 to 1,906 MHz 1,880 to 1,895 MHz 1,910 to 1,920 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11.重量 approx. 88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12.音频输入 3,5 mm socket, lockable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15.工作时间 Accupack: typ. 15 h Batteries: typ. 10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16.输入电压的范围 Mic: 2.2 V RMS Line: 3.3 V RMS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18.输入阻抗 1 MΩ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19.采样率 24 bit/48 kHz。</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2位无线充电底座</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1.无线充电底座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2.最多可为两个移动设备充电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3.最大输入电压 12 V DC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1.内置效果器和USB I/O；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2.6个话放,带LED电平表；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3.4个全立体声通道,加上一个额外的立体声返回；</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4.16种效果器,7段图示均衡器,每个通道3段均衡器；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5.1个高阻输入,所有话筒通道都有断点插入口；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6.100 Hz低切滤波器和48V幻象供电；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7.立体声RCA磁带I/O,耳机输出,效果静音带遥控功能（通过脚踏开关）；</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1.模拟2路平衡输入，模拟4路平衡输出。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2.内置专业扬声器预置参数数据库。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3.以太网与串口控制，可接入中控系统实现总控与集控管理。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4.32位DSP SHARC芯片-96kHz采样-24bit AD/DA转换。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5.内置双路31段图示均衡器。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6.内置通道DSP高切，低切，参量均衡，噪声门，增益，静音，相位，延时，连动调节等处理功能。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7.输入输出通道具备数字控制矩阵分配功能并可重命名。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8.通道延时模块不小于680ms延时时间，并可切换延时单元的步长单位。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9.通道间设置数据可随意复制和编组联动调整设置。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10.控制软件可显示所用通道设置参数和曲线图表。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11.主机内置音频测试与噪声源可调标准信号。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12.面板可操作所有功能与设置，PC端可接入控制与设置。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13.21个用户场景预置，包含品牌扬声器数据库专用场景模式，场景用户可自定义修改数据和重命名场景名称，场景可调用和切换，关机后主机保存用户场景数据。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14.主机具备单独ID编码，可级联控制255台机器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15.密码保护数据安全功能。</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1.包括：语言滤波器，低、中、高，三段音乐滤波器，输入通道测量表，每通道24段滤波器测量表，电子平衡的输入和输出端XLR和TRS，让用户尽可能完善地消除声反馈；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2.安全认证: UL 6500，IEC 60065，EN 55013，E 60065 AFS224的关键特性是固定滤波器和活动滤波器的操作模块和滤波器的释放能力。活动滤波器的操作模块提供连续更新滤波器位置的操作灵活性。滤波器的自动释放特性是依次自动消除不在需要使用的滤波器，从而优化声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3.DBX的高级反馈抑制技术（AFS）；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4.每通道具有24个可编程的滤波器；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5.立体声或独立的双通道处理；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6.可选择的滤波器脱开时间；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7.滤波器应用的类型，包括：语言滤波器，低、中、高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8.三段音乐滤波器；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9.输入通道测量表；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10.每通道24段滤波器测量表；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11.采样率: 48KHz 动态范围: &gt;109dB，A 计权 gt;106dB 不计权；带宽22KHz；                                                                                                                                                                      12.总谐波失真+ 噪声: 典型值0.003%；                                                                                                                                                                                               13.输出电平+4dBu,1KHz 频率响应特性:20Hz-20KHz,±0.5dB ；                                                                                                                                                                   14.通道间交叉话音:典型值&gt;80dB 输出端交叉话音:典型值&gt;80dB。</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2"/>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采用4只4.5英寸全频扬声器单元，采用铰接列阵技术排列</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2.频率响应：73Hz-15kHz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3.持续功率处理：120w 连续功率，150W AES功率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5.灵敏度： 91dB-SPL,1w,1m（粉红噪声）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6.最大声输出：112dB-SPL, 1m (粉红噪声)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7.辐射角度： 120º (H), 60º (V)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8.外形尺寸： 59.2(H)x20.6(W) x20.2(D) 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9.重量： 7.3Kg</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定制配套</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1.8Ω/FTC 20 Hz-20 kHz/0.1%THD：每声道平均持续输出功率185W;4Ω/FTC 20 Hz-20 kHz/0.1%THD：每声道平均持续输出功率280W;2Ω/1 kHz/1%THD：每声道平均持续输出功率430W/;桥接单声道模式;8Ω/1 kHz/0.1%THD：平均持续输出功率600W;4Ω/1 kHz/1%THD：平均持续输出功率830W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2.信噪比（20Hz－20KHz,8Ω)：100 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3.失真（典型）20 Hz-20 kHz:低于额定功率10dB：&lt;0.03%THD/4Ω和8Ω；1.0KHz及以下：全值额定功率：&lt;0.03%THD/4Ω和8Ω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4.阻尼系数（直接输出）：8Ω时&gt;200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5.频率响应（10dB以下额定输出功率）：ISA280:20 Hz-20kHz,+0/-1 dB|-3 dB points,5 Hz and 50 kHz</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13路带净化抗雷击电源管理器</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具有12+1共13个电源输出接口；2U标准高度。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整机容量63A，配置防漏空气开关和LED电压显示屏。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每路输出采用万能插座AC220V/13A，适用各种类型电源插头。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MCU控制的智能化设计，具有RS-232控制接口，兼容中控系统。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具有1路级联输入和1路级联输出控制接口。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支持PC配套软件调试及设置，支持触摸屏墙控控制。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中6路具有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电源线、网线、五金件、扎带、胶带等</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52" w:name="_Toc9555"/>
      <w:r>
        <w:rPr>
          <w:rFonts w:hint="eastAsia" w:ascii="宋体" w:hAnsi="宋体" w:eastAsia="宋体"/>
          <w:b/>
          <w:sz w:val="28"/>
          <w:szCs w:val="28"/>
          <w:highlight w:val="none"/>
        </w:rPr>
        <w:t>4F办公区会议室</w:t>
      </w:r>
      <w:bookmarkEnd w:id="52"/>
    </w:p>
    <w:tbl>
      <w:tblPr>
        <w:tblStyle w:val="32"/>
        <w:tblW w:w="136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1687"/>
        <w:gridCol w:w="9788"/>
        <w:gridCol w:w="712"/>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26"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4F办公区会议室清单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98寸会议平板</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整机设计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1.超薄窄边框设计，整机屏占比≥88%以上，整机最薄处≤26mm整机外边框采用弧形转角设计，边框和背壳采用金属材质，防止塑料老化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2.采用模块化系统方案，整机可通过同一高速接口支持Windows 10企业版系统模块、Android 9.0系统模块切换使用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3.整机内置千兆路由模块，支持双频（2.4G/5G）2T2R AP，最多支持40个端接入；内置WI-FI6无线STA模块，支持802.11a/b/g/n/ac/ax协议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4.整机不含网络接口，Android 系统与Windows模块自带网络接口，Android与Windows系统网络物理隔离，保障使用安全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5.支持选配国产插拔模块，采用高性能国产芯片与 UOS 操作系统，带来稳定安全的流畅体验6.PC通道下内置视频会议软件，视频会议软件与整机为同一厂家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7.为保证整机一体性，内置天线设计，整机包括模块无外伸天线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8.支持声音模式自定义，壁挂和脚架，满足不同应用场景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9.采用2.1声道，2*10W（中高音）+20W（低音）缝隙发声扬声器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10.具有全功能Type-C接口，可支持手机充电、音视频信号传输、外部设备调用本机摄像头、麦克风及扬声器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11.支持空间感应，内置光线传感器/微波传感器，人体靠近屏幕自动开机唤醒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显示参数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1.整机屏幕采用98英寸UHD超高清LCD液晶屏，显示比例16:9，屏幕图像分辨率达3840*2160，色彩度10bit ,可视角度178°，全高清4K系统图标显示</w:t>
            </w:r>
          </w:p>
          <w:p>
            <w:pPr>
              <w:keepNext w:val="0"/>
              <w:keepLines w:val="0"/>
              <w:widowControl/>
              <w:numPr>
                <w:ilvl w:val="0"/>
                <w:numId w:val="42"/>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整机屏幕与屏幕保护层零贴合技术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3.色域达到 90%NTSC， 可显示更真实更鲜艳的色；支持≥5种色彩空间选择</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4.在色彩空间sRGB模式下达到△E≤1.5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5.整机采用3mm AG防眩光玻璃，硬度7级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6.整机书写面板采用防眩光全钢化防爆玻璃面板，可见光透射比不低于88%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7.为方便共享，手机和电脑可以和整机互传文件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8.可通过软件可自动发现近场可投屏的会议设备，选择即可投屏，无需手动配对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9.无线传屏器与整机为同一品牌厂商，为确保使用稳定拒绝传屏器为OEM品牌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应用软件功能参数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1.白板内支持mp3、mp4、ppt、pdf、word等多种格式文件窗口化插入，插入后可随意调整其位置、大小，同时支持对窗口化文件重点内容直接截图并以图片格式插入白板中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2.智能识别手绘图形，书写无需重新点击选择画笔功能；可支持插入智能表格，表格大小可根据书写内容自动扩充，可通过画直线的方式添加行列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3.支持插入思维导图，可任意增加思维导图单元格数量并形成树状思维导图，并且可在单元格大小可根据书写内容自动扩充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4.白板内可一键打开协同白板，可多人同时扫码，从手机端及大板端同时在白板内进行创作，并支持语音通话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5.支持提笔检测：吸附在整机笔槽上的书写笔，提笔之后，可出现提示窗口，引导用户进入白板、批注或者快捷白板，方便使用，整体操作更加便捷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6.快捷白板：在非白板模式下可快捷调出书写板，满足用户临时快速书写需求，快捷白板内容亦可快速复制到白板中进行功能扩展，满足灵活讨论需求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7.在无线投屏状态中，搭配PC模块后无需调用PPT播放软件的批注功能，即可对PPT播放状态下进行连续多页批注，擦除，批注内容与原文件扫码分享保存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支持扫码上传移动端设备中文件，会议平板从云端下载文件，可在大板播放展示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9.支持多应用的窗口在同一屏展示，可任意拉伸大小，可支持4分屏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10.提供时钟、会议、连接码、单日程、日程组等组件，可自由编辑桌面内容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11.支持带有NFC功能的手机开启NFC后，一碰即可将手机与大板链接，并进行投屏等后续操作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12.可直接将输入源图标放置于主界面ICON中，方便客户自由切换通道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13.集控管理：支持集控管理平台软件对接，实现集控相关功能，如：远程桌面控制，恢复出厂设置，检查系统更新，开关机，命令行等功能。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协作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1.可通过大屏主页面连接码，连接个人办公设备，进行投屏、文件传输等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2.支持多人同时将文件上传至大板，并可以选择所有上传文件切换播放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3.支持文件播放与投屏可随时切换显示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4.截屏：可随时通过协作平台将大板端展示所有内容一键截屏，并在大板端展示截屏内容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5.使用音视频会议：可通过协作平台使用会议平板发起音视频会议，并支持控制麦克风、摄像头、邀请成员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6.获取文件：上传的会议文件、会议平板截图、录屏等文件，可一键获取并可分享给他人</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1.采用模块化电脑方案，抽拉内置式，PC模块可完全插入整机，保护PC模块不易受灰尘影响。采用40pin接口，实现无单独接线的插拔。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2.采用按压式开关，可直接拆卸电脑模块，无需工具。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3.配置： CPU Intel® Core i5十代  内存DDR4 8G /固态硬盘128G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4.正版激活Win10企业版操作系统</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实现电脑和平板之间的无线同屏传输，反向控制，双屏互动，5S快速启动 TypeC免驱，即插即用 NFC一碰传 2.5M 蓝牙互联 2.5K高清TypeC/USB4K高清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，每台平板最多支持32个设备切换，无间隔30米内有效。</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无线翻面智能笔 </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蓝牙连接，10米有效距离，重点批注，红点激光，红外压感技术，兼容所有PC及安卓系统</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三、无纸化及数字会议系统</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无纸化服务器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1.操作系统:windows server 2003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2.处理器:英特尔至强16核E5处理器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3.连接方式：CATA5+RU45 (支持干兆网络)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4.视频接口：VGA +HDMI</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5.硬盘：1T*2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6.内存：双通道32GB内存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7.机箱电源：工业级ATX500W电源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8.系统状态：LED指示灯可显示运行情况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9.耗电功率：350W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10.产品需符合国家质量标准；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6"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智能无纸化会议管理服务器软件</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1.系统部署调试简单，一台笔记本电脑、一台无线路由器设备及若干台平板电脑即可构建一套无纸化会议环境，方便移动办公。对于企业集团办公模式，提供集中服务器部署方式，一点部署，各会议室都可使用；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2.具有高运算处理速度，强大的外部数据吞吐能力，功能全面，可管理性强，且易于维护；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3.具有防干扰、防尘、防震、防扰流的功能；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4.支持维护数据库，监测终端,安全涉密性强；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5.高端硬件配置，采用硬件MAC地址绑定策略，防止恶意用户接入；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6.过滤内吹冷却风扇，可在整个机箱内维持正常的空气循环；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7.终端的控制信号、文档、视频、同步桌面等所有数据共用一条网线；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8.针对平板电脑设备提供APP应用，提升操作流畅性，增强用户体验；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9.支持DOC、PPT、XLS、PDF、TIFF、JPG、MP4、Project、CAD等常用文件格式；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10.文档打开速度快，操作平滑，几百页的文档同样能瞬间打开；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11.DOC、PPT、XLS、PDF、TIFF文件类型采用了自主开发的文档浏览引擎，解决了平板电脑中DOC、PDF文件无法查看大纲和缩略图、TIFF只能查看第一页、XLS文件Sheet过多切换不方便等众多问题，操作更人性化；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12.实现了屏幕共享，所有与会终端均可查看到共享人的电脑屏幕；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13.实现了平板电脑间的同步浏览，让所有与会终端可跟随主持人对平板电脑的操作来一起阅读资料；</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6"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升降式无纸化会议单元（15,6寸）</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1.铝合金箱体耐腐蚀领先行业标准，结构CNC精雕工艺更轻薄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2.双电机驱动（升降和仰角）默认为15°，可调节至30°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3.显示器背面框架纯金属铝合金一体成型,厚度约为7mm,表面处理为阳极拉丝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4.传动结构为直线导轨结合同步轮，结构运行稳定噪音小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5.内部采用合理的坦克链走线结构，机器在运行上升下降不会出现折线卡线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6.面板按键为金属材质，外观精细质感优越，长时间使用不会降低按键灵敏度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7.面板统一标配金属电脑主机按钮以及USB数据接口,丰富产品功能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8.除屏幕以及电子元器件外，面板机箱和内部金属件均为铝合金材质，抗腐蚀性强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9.接口丰富，面板：USB*1，开机按钮*1；视频输入：VGA,HDMI；数据传输：USB*1，RS485控制接口：RJ45*2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10.具有电源环出的接口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11.分辨率：≥1920*1080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12.屏幕尺寸：≥15.6寸带十点触摸电容屏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13.控制方式：面板按键、遥控、中控</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3"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无纸化会议终端</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1.可根据客户需要配置RAM 和ROM。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 HDMI 和 VGA 双屏异显，最大支持3840x2160的4K解码，支持HDMI4K点屏。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3.可支持双网口，内置PCI-E 4G接口.支持华为、中兴、龙尚等多种PCI-E4G 模块,支持上网和通话。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4.丰富的扩展接口，4个USB接口(1 个 USB OTG,3 个 USB HOST)；1路 RS232 串口（DB9公头）。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5.多个功能按键（1个电源按键，1 个升级 uboot 按键，1个可自定义按键）。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 Android 系统定制，提供系统调用接口 API  参考代码，完美支持客户上层应用 APP开发。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9.完美支持红外、光学、电容、电阻、触摸膜等多种主流触摸屏，支持主流外设驱动，无需调试。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10.处理器：四核，主频最高≥1.8 GHz，系统Android 7.1， 高性能  GPU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11.内存/存储:≥2G；内存：EMMC≥8G(可扩展)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12：输出接口：≥1个VGA输出；≥1 个HDMI输出,支持1080P输出/4kx2k@60Hz输出</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无纸化会议终端软件</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1.后台管理：会议概况信息、参会人员、座位编排、会议流程、会议文件、会议投票和会议权限等进行设置和管理；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2.会议存档：支持会议内容存档，可设置会后清空或者留存档案；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3.同步现场：实现发言人与每位参会人员的桌面同步共享。同步时，支持手写批注、画圈；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4.会议文件：本次会议文件的列表、分类、供参会者查阅、讨论。支持修改文件、分发；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5.会议主持：会议主持人具备控制会议现场的一切管理权限。如指定发言人、强制同步、停止信息交流、停止会议录制等；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6.座位编排：会务人员再后台对参会人员的座位进行编排、调整，具有会议室意图编辑功能，参会人员在会中可以浏览座位；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7.手写批注：支持全屏手写批注。可没准高分辨率压感触摸屏，书写更流畅自由，支持笔势、快捷操作；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8.电子白板：参会人员同时在电子白板上进行圈划、书写；支持在白板上打开图片和设计图纸；参会人员实时共享白板上书写的内容；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9.会议公告：会议主持人或秘书向所有参会人员发送的通知、注意事项等信息，会议公告以滚动字幕形式循环显示使用说明；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10.文件权限设置：对参会人员 浏览文件的权限进行设置，哪一级别的人可以浏览哪些文件；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11.网页浏览：支持浏览互联网、局域网；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12.会议签到：实现所有参会人员电子签到，自动记录、统计会议出席情况；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13.会议表决：投票表决和考核评分表决；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14.电子签名：对会议形成的记录、纪要、决议，实现电子签名，保留原迹，自动形成会签文件；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15.同步浏览：会议文件同步共享时，可查阅原文和其他会议文件；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2"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网络连接盒</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1.网络标准：IEEE 802.3、IEEE 802.3u、IEEE 802.3ab、IEEE 802.3x、IEEE 802.3af、IEEE 802.3at 2/1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2.端口：≥5个10/100Mbps RJ45 端口，其中1-4端口支持PoE供电功能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3.10BASE-T：3、4、5类非屏蔽双绞线（≤100米）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4.100BASE-TX：5类及以上非屏蔽双绞线（≤100米）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5.1000BASE-T：5类及以上非屏蔽/屏蔽双绞线（≤100米） 0°/180° &gt; 20 dB (1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6.性能：支持2K的MAC地址表深度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7.采用高保真音频传输协议传输音频数据，可兼容数字网络dante协议</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编解码服务器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1.采用先进的H.264和H.265网络数字音视频芯片压缩技术；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2.具有稳定可靠、高清新、低码率、低延时；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输出码流类型、视频帧率及分辨率可调；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4.支持格式：MPEG2、MPEG4、TS、MP4、MOV、FLV、F4V、WMV、RM；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5.标 准：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6.速 率：100M/1000M自适应；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7.传输协议：RTSP、UDP、TCP、MUTP、RTP、MMS；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8.压缩算法： H.264/ MPEG2/MPEG4；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9.接口：HDMI,VGA,AUDIO；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10.功耗：45W；</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无纸化投屏服务器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1.采用高速八核运算处理器保障视频传输的稳定和可靠性；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2.内嵌GUI使使用方便快捷；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3.设备传输高清晰、低码率、低延时；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4.其核心运用了实时操作系统的嵌入式计算机和高性能视频DSP；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5.Cpu,Intel八核，主频1.8GHz(可选）；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6.内存：2G；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7.内置存储器 ：&gt;EMMC 8G(可选)；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8.解码分辨率 ：&gt;最高支持1080P；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9.网络支持 ：&lt;以太网、支持WiFi、无线外设扩展；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10.以太网 ： &gt;1个，10M/100M自适应以太网；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11.LVDS输出 ：&gt;1个，可直接驱动50/60Hz显示屏；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12.HDMI输出 ：1个,支持1080P输出；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13.RTC实时时钟：支持；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14.定时开关机：支持；</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4"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24口交换机（会场）</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712"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智能会议主机</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1.用于50个单元的数字控制单元；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2.集成的录音功能；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3.集成的Web服务器，可通过平板电脑，智能手机进行控制；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4.设计与外观相匹配的设备；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5.4个数字RJ 45端口；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6.分支或循环连接（冗余）；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7.用于Web服务器或摄像机控制协议的LAN连接；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8.即插即用环保省电模式；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9.带锁扣的电源连接器；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10.XLR输出，XLR输入，RCA输入和两个RCA输出；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11.包括外部电源。                                                                                                                                                                                                                                      </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6"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会议主席单元</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10.适用于30、40、50或70厘米长的D-MIC话筒；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11.按钮：“优先权”按钮和“下一步”按钮。                                                                                                                                                                                            </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4"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会议代表单元</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10.适用于30、40、50或70厘米长的D-MIC话筒。                                                                                                                                                                                            </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2"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可拆卸鹅颈话筒</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1.拆卸鹅颈话筒配有螺纹式麦克风，使话筒可以方便和安全地连接到主机；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2.其指向性特征，保证在大量噪声的环境中仍能提供最佳性能；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3.具有极强的抗手机信号干扰；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4.当麦克风关闭时，光环形熄灭；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5.红灯亮时，麦克风正在发言；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6.绿色时，请求发言；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7.尺寸：40cm；</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定制线槽</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尺寸定制</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1.内置效果器和USB I/O；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2.6个话放,带LED电平表；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3.4个全立体声通道,加上一个额外的立体声返回；</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4.16种效果器,7段图示均衡器,每个通道3段均衡器；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5.1个高阻输入,所有话筒通道都有断点插入口；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6.100 Hz低切滤波器和48V幻象供电；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7.立体声RCA磁带I/O,耳机输出,效果静音带遥控功能（通过脚踏开关）；</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2"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1.模拟2路平衡输入，模拟4路平衡输出。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2.内置专业扬声器预置参数数据库。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3.以太网与串口控制，可接入中控系统实现总控与集控管理。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4.32位DSP SHARC芯片-96kHz采样-24bit AD/DA转换。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5.内置双路31段图示均衡器。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6.内置通道DSP高切，低切，参量均衡，噪声门，增益，静音，相位，延时，连动调节等处理功能。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7.输入输出通道具备数字控制矩阵分配功能并可重命名。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8.通道延时模块不小于680ms延时时间，并可切换延时单元的步长单位。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9.通道间设置数据可随意复制和编组联动调整设置。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10.控制软件可显示所用通道设置参数和曲线图表。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11.主机内置音频测试与噪声源可调标准信号。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12.面板可操作所有功能与设置，PC端可接入控制与设置。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13.21个用户场景预置，包含品牌扬声器数据库专用场景模式，场景用户可自定义修改数据和重命名场景名称，场景可调用和切换，关机后主机保存用户场景数据。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14.主机具备单独ID编码，可级联控制255台机器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15.密码保护数据安全功能。</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8"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1.包括：语言滤波器，低、中、高，三段音乐滤波器，输入通道测量表，每通道24段滤波器测量表，电子平衡的输入和输出端XLR和TRS，让用户尽可能完善地消除声反馈；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2.安全认证: UL 6500，IEC 60065，EN 55013，E 60065 AFS224的关键特性是固定滤波器和活动滤波器的操作模块和滤波器的释放能力。活动滤波器的操作模块提供连续更新滤波器位置的操作灵活性。滤波器的自动释放特性是依次自动消除不在需要使用的滤波器，从而优化声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3.DBX的高级反馈抑制技术（AFS）；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4.每通道具有24个可编程的滤波器；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5.立体声或独立的双通道处理；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6.可选择的滤波器脱开时间；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7.滤波器应用的类型，包括：语言滤波器，低、中、高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8.三段音乐滤波器；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9.输入通道测量表；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10.每通道24段滤波器测量表；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11.采样率: 48KHz 动态范围: &gt;109dB，A 计权 gt;106dB 不计权；带宽22KHz；                                                                                                                                                                      12.总谐波失真+ 噪声: 典型值0.003%；                                                                                                                                                                                               13.输出电平+4dBu,1KHz 频率响应特性:20Hz-20KHz,±0.5dB ；                                                                                                                                                                   14.通道间交叉话音:典型值&gt;80dB 输出端交叉话音:典型值&gt;80dB。</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1.采用4只4.5英寸全频扬声器单元，采用铰接列阵技术排列2.频率响应：73Hz-15kHz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3.持续功率处理：120w 连续功率，150W AES功率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5.灵敏度： 91dB-SPL,1w,1m（粉红噪声）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6.最大声输出：112dB-SPL, 1m (粉红噪声)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7.辐射角度： 120º (H), 60º (V)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8.外形尺寸： 59.2(H)x20.6(W) x20.2(D) 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9.重量： 7.3Kg</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定制配套</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8"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1.8Ω/FTC 20 Hz-20 kHz/0.1%THD：每声道平均持续输出功率185W;4Ω/FTC 20 Hz-20 kHz/0.1%THD：每声道平均持续输出功率280W;2Ω/1 kHz/1%THD：每声道平均持续输出功率430W/;桥接单声道模式;8Ω/1 kHz/0.1%THD：平均持续输出功率600W;4Ω/1 kHz/1%THD：平均持续输出功率830W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2.信噪比（20Hz－20KHz,8Ω)：100 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3.失真（典型）20 Hz-20 kHz:低于额定功率10dB：&lt;0.03%THD/4Ω和8Ω；1.0KHz及以下：全值额定功率：&lt;0.03%THD/4Ω和8Ω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4.阻尼系数（直接输出）：8Ω时&gt;200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5.频率响应（10dB以下额定输出功率）：ISA280:20 Hz-20kHz,+0/-1 dB|-3 dB points,5 Hz and 50 kHz</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13路带净化抗雷击电源管理器</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具有12+1共13个电源输出接口；2U标准高度。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整机容量63A，配置防漏空气开关和LED电压显示屏。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每路输出采用万能插座AC220V/13A，适用各种类型电源插头。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MCU控制的智能化设计，具有RS-232控制接口，兼容中控系统。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具有1路级联输入和1路级联输出控制接口。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支持PC配套软件调试及设置，支持触摸屏墙控控制。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中6路具有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数字网络无线主机</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2.语音自动优化以及声音预设；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3.清晰简洁的用户界面，具有OLED 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4.以太网连接（IPv4 与IPv6）；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5.支持媒体控制协议；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8.快速设置配对流程；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9.频率范围 1,880 to 1,900 MHz ;1,920 to 1,930 MHz ;1,893 to 1,906 MHz;1,880 to 1,895 MHz;1,910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10.电源 12 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13.重量  828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14.功耗 350 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17.天线接头 2 x reverse SMA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18.音频输出电平（平衡） max. +18 dBu, typ. -24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19.音频输出电平（非平衡） max. +6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21.RF 灵敏度 &lt; -90 dBm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22.采样率 24 bit/48 kHz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23.连接 Audio Out: XLR 3M Audio Out: 2 x RCA Network: RJ 45；</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0"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数字网络无线手持话筒</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2.可锁定的3.5mm 插口；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4.工作时间长达15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5.高级电源管理，可充电锂离子电池；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8.频率范围 1,880 to 1,900 MHz 1,920 to 1,930 MHz 1,893 to 1,906 MHz 1,880 to 1,895 MHz 1,910 to 1,920 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11.重量 approx. 88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12.音频输入 3,5 mm socket, lockable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15.工作时间 Accupack: typ. 15 h Batteries: typ. 10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16.输入电压的范围 Mic: 2.2 V RMS Line: 3.3 V RMS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18.输入阻抗 1 MΩ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19.采样率 24 bit/48 kHz。</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2位无线充电底座</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1.无线充电底座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2.最多可为两个移动设备充电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3.最大输入电压 12 V DC </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电源线、网线、五金件、扎带、胶带等</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53" w:name="_Toc13769"/>
      <w:r>
        <w:rPr>
          <w:rFonts w:hint="eastAsia" w:ascii="宋体" w:hAnsi="宋体" w:eastAsia="宋体"/>
          <w:b/>
          <w:sz w:val="28"/>
          <w:szCs w:val="28"/>
          <w:highlight w:val="none"/>
        </w:rPr>
        <w:t>5F办公区会议室</w:t>
      </w:r>
      <w:bookmarkEnd w:id="53"/>
    </w:p>
    <w:tbl>
      <w:tblPr>
        <w:tblStyle w:val="32"/>
        <w:tblW w:w="13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707"/>
        <w:gridCol w:w="9768"/>
        <w:gridCol w:w="713"/>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2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5F办公区会议室清单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一、会议显示平板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7"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98寸会议平板</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整机设计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1.超薄窄边框设计，整机屏占比≥88%以上，整机最薄处≤26mm整机外边框采用弧形转角设计，边框和背壳采用金属材质，防止塑料老化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2.采用模块化系统方案，整机可通过同一高速接口支持Windows 10企业版系统模块、Android 9.0系统模块切换使用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3.整机内置千兆路由模块，支持双频（2.4G/5G）2T2R AP，最多支持40个端接入；内置WI-FI6无线STA模块，支持802.11a/b/g/n/ac/ax协议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4.整机不含网络接口，Android 系统与Windows模块自带网络接口，Android与Windows系统网络物理隔离，保障使用安全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5.支持选配国产插拔模块，采用高性能国产芯片与 UOS 操作系统，带来稳定安全的流畅体验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6.PC通道下内置视频会议软件，视频会议软件与整机为同一厂家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7.为保证整机一体性，内置天线设计，整机包括模块无外伸天线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8.支持声音模式自定义，壁挂和脚架，满足不同应用场景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9.采用2.1声道，2*10W（中高音）+20W（低音）缝隙发声扬声器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10.具有全功能Type-C接口，可支持手机充电、音视频信号传输、外部设备调用本机摄像头、麦克风及扬声器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11.支持空间感应，内置光线传感器/微波传感器，人体靠近屏幕自动开机唤醒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显示参数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1.整机屏幕采用98英寸UHD超高清LCD液晶屏，显示比例16:9，屏幕图像分辨率达3840*2160，色彩度10bit ,可视角度178°，全高清4K系统图标显示</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2.整机屏幕与屏幕保护层零贴合技术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3.色域达到 90%NTSC， 可显示更真实更鲜艳的色；支持≥5种色彩空间选择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4.在色彩空间sRGB模式下达到△E≤1.5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5.整机采用3mm AG防眩光玻璃，硬度7级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6.整机书写面板采用防眩光全钢化防爆玻璃面板，可见光透射比不低于88%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7.为方便共享，手机和电脑可以和整机互传文件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8.可通过软件可自动发现近场可投屏的会议设备，选择即可投屏，无需手动配对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9.无线传屏器与整机为同一品牌厂商，为确保使用稳定拒绝传屏器为OEM品牌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应用软件功能参数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1.白板内支持mp3、mp4、ppt、pdf、word等多种格式文件窗口化插入，插入后可随意调整其位置、大小，同时支持对窗口化文件重点内容直接截图并以图片格式插入白板中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2.智能识别手绘图形，书写无需重新点击选择画笔功能；可支持插入智能表格，表格大小可根据书写内容自动扩充，可通过画直线的方式添加行列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3.支持插入思维导图，可任意增加思维导图单元格数量并形成树状思维导图，并且可在单元格大小可根据书写内容自动扩充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4.白板内可一键打开协同白板，可多人同时扫码，从手机端及大板端同时在白板内进行创作，并支持语音通话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5.支持提笔检测：吸附在整机笔槽上的书写笔，提笔之后，可出现提示窗口，引导用户进入白板、批注或者快捷白板，方便使用，整体操作更加便捷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6.快捷白板：在非白板模式下可快捷调出书写板，满足用户临时快速书写需求，快捷白板内容亦可快速复制到白板中进行功能扩展，满足灵活讨论需求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7.在无线投屏状态中，搭配PC模块后无需调用PPT播放软件的批注功能，即可对PPT播放状态下进行连续多页批注，擦除，批注内容与原文件扫码分享保存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支持扫码上传移动端设备中文件，会议平板从云端下载文件，可在大板播放展示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9.支持多应用的窗口在同一屏展示，可任意拉伸大小，可支持4分屏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10.提供时钟、会议、连接码、单日程、日程组等组件，可自由编辑桌面内容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11.支持带有NFC功能的手机开启NFC后，一碰即可将手机与大板链接，并进行投屏等后续操作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12.可直接将输入源图标放置于主界面ICON中，方便客户自由切换通道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13.集控管理：支持集控管理平台软件对接，实现集控相关功能，如：远程桌面控制，恢复出厂设置，检查系统更新，开关机，命令行等功能。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协作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1.可通过大屏主页面连接码，连接个人办公设备，进行投屏、文件传输等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2.支持多人同时将文件上传至大板，并可以选择所有上传文件切换播放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3.支持文件播放与投屏可随时切换显示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4.截屏：可随时通过协作平台将大板端展示所有内容一键截屏，并在大板端展示截屏内容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5.使用音视频会议：可通过协作平台使用会议平板发起音视频会议，并支持控制麦克风、摄像头、邀请成员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6.获取文件：上传的会议文件、会议平板截图、录屏等文件，可一键获取并可分享给他人</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PC模块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1.采用模块化电脑方案，抽拉内置式，PC模块可完全插入整机，保护PC模块不易受灰尘影响。采用40pin接口，实现无单独接线的插拔。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2.采用按压式开关，可直接拆卸电脑模块，无需工具。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3.配置： CPU Intel® Core i5十代  内存DDR4 8G /固态硬盘128G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4.正版激活Win10企业版操作系统</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无线传屏器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实现电脑和平板之间的无线同屏传输，反向控制，双屏互动，5S快速启动 TypeC免驱，即插即用 NFC一碰传 2.5M 蓝牙互联 2.5K高清TypeC/USB4K高清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，每台平板最多支持32个设备切换，无间隔30米内有效。</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无线翻面智能笔 </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蓝牙连接，10米有效距离，重点批注，红点激光，红外压感技术，兼容所有PC及安卓系统</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桌面多媒体盒</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HDMI+五孔插座+网口</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HDMI数据线</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20米</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二、矩阵及中控系统</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8"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16进16出拼控矩阵</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1.3U或4U主机，支持16路HDMI输入，16路HDMI输出。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2.设备满足图像开窗、漫游、叠加、缩放等，具备字符叠加、EDID管理、随路音频切换功能，以实现项目应用的基础需求。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3.为保证视频信号流畅度，采用60Hz帧率信号采集，无丢帧、无卡顿现象。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4.为实现视频信号的实时快速处理，对各个输入通道采用纯硬件处理技术，采用独享带宽方式为每个输入通道分配带宽，切换过程对其他信号无影响，实现了对输入通道的实时处理功能。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5.考虑项目及后期扩展应用，设备支持RRTA分辨率实时全兼容技术，单台设备应支持同时控制多组不同分辨率的大屏幕显示。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6.切换＜20ms。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7.图像开窗响应速度小于15ms。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8.支持不影响大屏信号显示的前提下，可以在软件上对信号源进行位置、大小、布局的调整，在确认无误后，直接推送上屏显示。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9.支持窗口布局保存至设备，支持不少于1280个单屏场景。</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8"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中央控制主机</w:t>
            </w:r>
          </w:p>
        </w:tc>
        <w:tc>
          <w:tcPr>
            <w:tcW w:w="976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1、多核 CPU 速率≥1.4G，1G内存，8GFlash闪存，最大支持128G Flash闪存；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2、支持≥2路带供电T-NET总线信号管理，支持1路Ethernet接口，支持1路红外仿真输出接口，支持1路红外学习接口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3、支持≥8路可自定义的I/O输入输出或红外输出，支持红外调制信号发送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4设备需具备≥4路触点，每路触点安装的继电器规格为支持30V/1A DC，125V/0.5A AC负载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5、设备需具备端口复用功能，支持8路可自定义协议的串口，可配置RS-232、RS-485、DMX512协议，第一第五路支持24V供电输出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6、设备编程方式支持自定义宏、可编辑宏、可导入或导出宏，支持图形化和语句式编程，具备时间轴、多线程时间编辑功能，支持操控屏直接编程，用户可自行编辑按键形式及按键的执行联动操作内容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7、设备可建立自有的红外代码数据库，或下载最新的红外代码库，可实现一键发双代码等红外逻辑控制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8、设备需支持多平台控制。支持Android、IOS、Windows三平台同时控制，主机支持一机多屏、一屏多机、多屏多机等对接方式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9、设备应支持双机备份功能，当主控主机出现网络通讯中断或停机时，备份主机自动启动并接管系统，保证系统正常运行</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中控软件编程定制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中控编程调试费，根据用户要求定义软件及用户界面</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机架式电源时序器</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八路时序电源，8路电源管理，最大容量50A，抗浪涌80A，</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平板触摸控制终端</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屏幕尺寸：10.9英寸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分辨率：2360*1640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厚度：7.0mm以下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CPU核心数：八核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内存容量：64GB</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二、数字会议系统</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智能会议主机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1.用于50个单元的数字控制单元；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2.集成的录音功能；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3.集成的Web服务器，可通过平板电脑，智能手机进行控制；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4.设计与外观相匹配的设备；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5.4个数字RJ 45端口；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6.分支或循环连接（冗余）；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7.用于Web服务器或摄像机控制协议的LAN连接；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8.即插即用环保省电模式；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9.带锁扣的电源连接器；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10.XLR输出，XLR输入，RCA输入和两个RCA输出；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11.包括外部电源。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4"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会议主席单元</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10.适用于30、40、50或70厘米长的D-MIC话筒；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11.按钮：“优先权”按钮和“下一步”按钮。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2"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会议代表单元</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1.带LED灯的话筒按钮；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2.可拆卸式话筒连接器：可使用不同长度的话筒；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3.采用圆角设计，便于安装；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4.数字信号处理采用全屏蔽技术，免受手机信号干扰；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5.麦克风的开关按钮；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6.环路连接、菊链式连接；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7.隐藏会议总线连接；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8.双状态LED指示灯；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9.显示开启的话筒或显示语音请求状态；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10.适用于30、40、50或70厘米长的D-MIC话筒。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可拆卸鹅颈话筒</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1.拆卸鹅颈话筒配有螺纹式麦克风，使话筒可以方便和安全地连接到主机；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2.其指向性特征，保证在大量噪声的环境中仍能提供最佳性能；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3.具有极强的抗手机信号干扰；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4.当麦克风关闭时，光环形熄灭；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5.红灯亮时，麦克风正在发言；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6.绿色时，请求发言；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7.尺寸：40cm；</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8"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数字网络无线主机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2.语音自动优化以及声音预设；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3.清晰简洁的用户界面，具有OLED 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4.以太网连接（IPv4 与IPv6）；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5.支持媒体控制协议；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8.快速设置配对流程；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9.频率范围 1,880 to 1,900 MHz ;1,920 to 1,930 MHz ;1,893 to 1,906 MHz;1,880 to 1,895 MHz;1,910 to 1,920 MHz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10.电源 12 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13.重量  828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14.功耗 350 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16.RF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17.天线接头 2 x reverse SMA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18.音频输出电平（平衡） max. +18 dBu, typ. -24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19.音频输出电平（非平衡） max. +6 dBu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21.RF 灵敏度 &lt; -90 dBm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22.采样率 24 bit/48 kHz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23.连接 Audio Out: XLR 3M Audio Out: 2 x RCA Network: RJ 45；</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4"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数字网络无线手持话筒</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1.自动频率及干扰管理；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2.可锁定的3.5mm 插口；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3.清晰简洁的用户界面；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4.工作时间长达15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5.高级电源管理，可充电锂离子电池；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6.安全的256 bit AES 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7.可远程控制；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8.频率范围 1,880 to 1,900 MHz 1,920 to 1,930 MHz 1,893 to 1,906 MHz 1,880 to 1,895 MHz 1,910 to 1,920 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9.频率响应 20 to 20,000 Hz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10.THD，总谐波失真 typ. 0.1 %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11.重量 approx. 88 g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12.音频输入 3,5 mm socket, lockable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13.信噪比 &gt; 90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14.RF 输出功率 adaptive, up to 250 mW (country-specific)；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15.工作时间 Accupack: typ. 15 h Batteries: typ. 10 h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16.输入电压的范围 Mic: 2.2 V RMS Line: 3.3 V RMS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17.动态范围 &gt; 120 dB(A)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18.输入阻抗 1 MΩ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19.采样率 24 bit/48 kHz。</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2位无线充电底座</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1.无线充电底座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2.最多可为两个移动设备充电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3.最大输入电压 12 V DC </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含线缆、线管、五金配件、扎带、胶布等</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三、音频扩声系统</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12路调音台</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1.内置效果器和USB I/O；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2.6个话放,带LED电平表；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3.4个全立体声通道,加上一个额外的立体声返回；</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4.16种效果器,7段图示均衡器,每个通道3段均衡器；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5.1个高阻输入,所有话筒通道都有断点插入口；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6.100 Hz低切滤波器和48V幻象供电；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7.立体声RCA磁带I/O,耳机输出,效果静音带遥控功能（通过脚踏开关）；</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8"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数字音频处理器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1.模拟2路平衡输入，模拟4路平衡输出。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2.内置专业扬声器预置参数数据库。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3.以太网与串口控制，可接入中控系统实现总控与集控管理。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4.32位DSP SHARC芯片-96kHz采样-24bit AD/DA转换。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5.内置双路31段图示均衡器。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6.内置通道DSP高切，低切，参量均衡，噪声门，增益，静音，相位，延时，连动调节等处理功能。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7.输入输出通道具备数字控制矩阵分配功能并可重命名。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8.通道延时模块不小于680ms延时时间，并可切换延时单元的步长单位。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9.通道间设置数据可随意复制和编组联动调整设置。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10.控制软件可显示所用通道设置参数和曲线图表。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11.主机内置音频测试与噪声源可调标准信号。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12.面板可操作所有功能与设置，PC端可接入控制与设置。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13.21个用户场景预置，包含品牌扬声器数据库专用场景模式，场景用户可自定义修改数据和重命名场景名称，场景可调用和切换，关机后主机保存用户场景数据。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14.主机具备单独ID编码，可级联控制255台机器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15.密码保护数据安全功能。</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反馈抑制器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1.包括：语言滤波器，低、中、高，三段音乐滤波器，输入通道测量表，每通道24段滤波器测量表，电子平衡的输入和输出端XLR和TRS，让用户尽可能完善地消除声反馈；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2.安全认证: UL 6500，IEC 60065，EN 55013，E 60065 AFS224的关键特性是固定滤波器和活动滤波器的操作模块和滤波器的释放能力。活动滤波器的操作模块提供连续更新滤波器位置的操作灵活性。滤波器的自动释放特性是依次自动消除不在需要使用的滤波器，从而优化声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3.DBX的高级反馈抑制技术（AFS）；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4.每通道具有24个可编程的滤波器；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5.立体声或独立的双通道处理；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6.可选择的滤波器脱开时间；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7.滤波器应用的类型，包括：语言滤波器，低、中、高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8.三段音乐滤波器；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9.输入通道测量表；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10.每通道24段滤波器测量表；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11.采样率: 48KHz 动态范围: &gt;109dB，A 计权 gt;106dB 不计权；带宽22KHz；                                                                                                                                                                      12.总谐波失真+ 噪声: 典型值0.003%；                                                                                                                                                                                               13.输出电平+4dBu,1KHz 频率响应特性:20Hz-20KHz,±0.5dB ；                                                                                                                                                                   14.通道间交叉话音:典型值&gt;80dB 输出端交叉话音:典型值&gt;80dB。</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全频音箱</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采用4只4.5英寸全频扬声器单元，采用铰接列阵技术排列</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2.频率响应：73Hz-15kHz(</w:t>
            </w:r>
            <w:r>
              <w:rPr>
                <w:rFonts w:hint="eastAsia" w:ascii="宋体" w:hAnsi="宋体" w:eastAsia="宋体" w:cs="宋体"/>
                <w:i w:val="0"/>
                <w:iCs w:val="0"/>
                <w:strike w:val="0"/>
                <w:dstrike w:val="0"/>
                <w:color w:val="000000"/>
                <w:kern w:val="0"/>
                <w:sz w:val="22"/>
                <w:szCs w:val="22"/>
                <w:highlight w:val="none"/>
                <w:u w:val="none"/>
                <w:lang w:val="en-US" w:eastAsia="zh-CN" w:bidi="ar"/>
              </w:rPr>
              <w:t>-10dB</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3.持续功率处理：120w 连续功率，150W AES功率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4.阻抗：8Ω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5.灵敏度： 91dB-SPL,1w,1m（粉红噪声）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6.最大声输出：112dB-SPL, 1m (粉红噪声)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7.辐射角度： 120º (H), 60º (V)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8.外形尺寸： 59.2(H)x20.6(W) x20.2(D) 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9.重量： 7.3Kg</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定制配套</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4"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双通道功率放大器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1.8Ω/FTC 20 Hz-20 kHz/0.1%THD：每声道平均持续输出功率185W;4Ω/FTC 20 Hz-20 kHz/0.1%THD：每声道平均持续输出功率280W;2Ω/1 kHz/1%THD：每声道平均持续输出功率430W/;桥接单声道模式;8Ω/1 kHz/0.1%THD：平均持续输出功率600W;4Ω/1 kHz/1%THD：平均持续输出功率830W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2.信噪比（20Hz－20KHz,8Ω)：100 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3.失真（典型）20 Hz-20 kHz:低于额定功率10dB：&lt;0.03%THD/4Ω和8Ω；1.0KHz及以下：全值额定功率：&lt;0.03%THD/4Ω和8Ω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4.阻尼系数（直接输出）：8Ω时&gt;200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5.频率响应（10dB以下额定输出功率）：ISA280:20 Hz-20kHz,+0/-1 dB|-3 dB points,5 Hz and 50 kHz</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网络机柜</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600*800*2000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13路带净化抗雷击电源管理器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具有12+1共13个电源输出接口；2U标准高度。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整机容量63A，配置防漏空气开关和LED电压显示屏。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每路输出采用万能插座AC220V/13A，适用各种类型电源插头。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MCU控制的智能化设计，具有RS-232控制接口，兼容中控系统。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具有1路级联输入和1路级联输出控制接口。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支持PC配套软件调试及设置，支持触摸屏墙控控制。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中6路具有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JDG管</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线材附件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音响线 话筒线接插件等</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管材及配件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电源线、网线、五金件、扎带、胶带等</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54" w:name="_Toc8456"/>
      <w:r>
        <w:rPr>
          <w:rFonts w:hint="eastAsia" w:ascii="宋体" w:hAnsi="宋体" w:eastAsia="宋体"/>
          <w:b/>
          <w:sz w:val="28"/>
          <w:szCs w:val="28"/>
          <w:highlight w:val="none"/>
        </w:rPr>
        <w:t>基础支撑保障系统</w:t>
      </w:r>
      <w:bookmarkEnd w:id="54"/>
    </w:p>
    <w:tbl>
      <w:tblPr>
        <w:tblStyle w:val="32"/>
        <w:tblW w:w="13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8"/>
        <w:gridCol w:w="1726"/>
        <w:gridCol w:w="9768"/>
        <w:gridCol w:w="694"/>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24" w:type="dxa"/>
            <w:gridSpan w:val="5"/>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基础支撑保障系统清单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设备名称</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招标参数要求</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一、综合布线</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双网口面板</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双口平面面板86型 （含六类模块、标签条、带防尘门、电话网络标签块）</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325</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六类非屏蔽模块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六类180度非屏蔽网络模块</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24口网络配线架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 24口机架式180度模块化六类非屏蔽网络配线架 含标签条</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100对110机架式配线架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100对1U 110配线架机架式 （包括配线架底座、标签夹、白色标签条、10个4对连接模块和2个5对连接模块）</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理线架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RJ45网络跳线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859</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RJ11-RJ45电话跳线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475</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100对室内大对数电缆</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三类100对非屏蔽双绞线</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六类非屏蔽双绞线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35750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桥架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200*100</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桥架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300*100</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JDG管</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5037.5</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8芯光纤</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8芯单模光纤</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24芯光纤</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24芯单模光纤</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网络机柜42U</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600*600 42U</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8口光纤配线盒</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8口光纤盒、带塑料透明标签条、前面板为塑料空板，可配置ST\SC\FC专用适配器、</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24口光纤配线架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19寸机架式1U 24口光纤盒、带塑料透明标签条、前面板为塑料空板，可配置ST\SC\FC专用适配器、</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96口ODF架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96芯0DF光纤架、带塑料透明标签条、前面板为塑料空板，可配置ST\SC\FC专用适配器、</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光纤配套（主干光纤））</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含光纤跳线、光纤尾纤、光纤熔接、会议室光纤面板等</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含桥架转弯接头、五金组件、水晶头、接地线、扎带、胶布等</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二、语音通话</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程控交换机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单机系统最大支持7000线语音端口，系统最大支持32个E1接口、3500个环路中继。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分机和环路可实现1：1的分配方式（根据需求选择IP分机/数字中继等）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应能提供网络联机方式，系统管理软件直接接入局域网内。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应能提供来电指示业务。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应能提供语音信箱业务。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应能提供一机多号业务。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能向用户提供集中用户交换机基本功能和增强功能：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基本业务：能提供群内呼叫、群外呼叫、恶意呼叫跟踪、话务员功能、智能来电匹配、远端光电延伸功能、IP注册、叫醒服务、区别振铃、来话转接、呼叫代答等功能。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主要需求业务：缩位拨号、热线服务、免打扰服务、闹钟服务、截接服务、呼叫等待、查找恶 意呼叫、遇忙/无应答/无条件前转、遇忙回叫、呼出限制、缺席用户服务、立即计费、三方通话、128方会议电话、主叫号码显示、主叫号码显示限制、话音邮箱、200个以上黑名单设置。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要求系统最大的用户容量不小于7000线，最大中继容量不小于3500线，支持No.7/PRI / No.1信令。交换系统应具备较强的系统升级能力，能在不影响话务处理的情况下，平滑在线添加系统新功能，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满足对不断增加的各种增值业务(新业务)的需求。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报价方提供的交换设备要求高可靠性，主要设备采用热主备的备份方式（主控板、二次电源板、分控板）。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系统构成应具有冗余和容错等安全措施，支持CPU双备份、每框分控板双备份、每框的二次电源双备份，并且每一个电源模块支持独立48V输入。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为优化机房资源，提供最先进的技术方案。主机房主设备系统（数字程控用户交换机）支持直接出光纤/E1方式与远端PCM对连。主设备系统内置PCM板卡，可以1～4E1接口或1～4路光口，分别对应1～4个远端。每一个PCM板卡支持分机数量32--256路电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主设备系统支持以太网和串口同时管理，通过网络接口可支持8路软坐席。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远端可支持E1接口及光口1+1保护。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远端模块可扩容10/100M以太网接口。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局端、远端支持远程在线升级。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系统可提供VOIP用户接入，VOIP用户板可以任意切换成VOIP中继板实现很好的转换，VOIP用户板单板支持256路IP接入。远端可以注册IP话机或者IAD设备。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IAD单机支持16、24、32、48、64、96、128线等各种规格。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硬件系统支持磁石电话的接入，支持自动电话，并于远端PCM实现直接通话。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整机系统（包含远端）实现统一网管，支持维护台、话务台、计费台管理。</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IP话机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1、Linux操作系统，屏幕不小于2.4英寸，240x320像素LCD彩色背光屏，支持&gt;=2条SIP线路，支持电话会议&gt;=3方，支持功能键、软按键 功能自定义，支持HD 高清语音，桌面及挂壁，电话本：1000组，黑名单：100组，通话日志：100条，本地电话簿与远程电话簿文件格式一样，可以共用，支持SNMP管理，支持网管平台管理，支持自定义铃声，支持屏幕截图；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2、支持双网口自适应10M/100M/1000M；支持RJ9接口，标准耳机线序；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3、支持标准SIP协议V1（RFC2543）；标准SIP协议V2（RFC3261）；支持SIP TLS，SRTP加密；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4、支持宽带语音编码: G.722、OPUS、OPUS_WB；</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8"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远端接入模块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1.设备采用3U插卡式设计，提供16个通用业务插槽，根据用户需求任意配置各种功能的业务盘卡。业务选配非常灵活。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2.各接口技术参数均符合国际或国内相关标准，语音汇聚功能；128路电话汇聚至(1-4)个E1传输,(1-4)E1支持自动/人工切换,大大节省了线路资源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3.光接入,实现128路电话延伸。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4.支持双光路1+1保护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5.16个通用业务插槽，根据用户需求配置FXO/FXS/磁石/E&amp;M/4线音频/E1/以太网RS232/RS422/RS485等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6.1～2个物理隔离以太网接口,带宽根据用户需求(动/静态)配置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7.E1接入时，此款设备支持星型连接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9.支持热插拔功能，同时具备浪涌和三级防雷击保护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10.抗干扰能力强、性能稳定、功能完善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11.模块化电源设计；AC220V、DC-48V双重供电方式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12.完善的网管功能，实时检测设备运行中的各种状态(选配)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13.19英寸3U铝型材机箱</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三、门禁及视频监控</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4.1视频监控系统</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室外球机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双400万25倍拼接枪球一体机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全景通道内置2个镜头，光圈不小于F1.0，具有不小于1/1.8靶面尺寸，内置4颗补光灯。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细节通道内置镜头，具备不小于1/1.8靶面尺寸，内置10颗红外补光灯及1颗白光灯。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支持最低照度可达彩色0.0002 lx，黑白0.0001 lx</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支持全景路3840 × 1080 @25 fps高清画面输出，细节路最大2560 × 1440 @30 fps高清画面输出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支持H.265高效压缩算法，可较大节省存储空间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采用高效红外阵列，低功耗，照射距离最远可达200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支持3D数字降噪、强光抑制、电子防抖、SmartIR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全景通道可输出两个镜头无缝拼接的全景图像，拼接偏差像素不大于4个像素，全景画面水平视场角不小于192°。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细节支持360°水平旋转，垂直方向-20°~90°（自动翻转）。全景支持垂直方向7°~17°可调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支持1路音频输入和1路音频输出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内置7路报警输入和2路报警输出，支持报警联动功能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支持硬件微引导程序、uboot、OS、应用软件逐级校验功能。非法篡改的uboot、OS、应用软件固件包，不能通过命令行、浏览器、客户端方式进行升级。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支持最大256 GB的MicroSD/MicroSDHC/MicroSDXC卡存储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支持ISAPI、GB/T28181和开放型网络视频接口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支持GB35114安全加密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电源：DC：36 V/1.67 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IP67；6000 V防雷、防浪涌、防突波，符合GB/T17626.2/3/4/5/6四级标准</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4"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室外周戒AI相机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400万 1/1.8" CMOS 智能全彩筒型网络摄像机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智能侦测：采用深度学习硬件及算法，提供精准的人车分类侦测，支持越界侦测，区域入侵侦测，进入区域侦测和离开区域侦测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镜头光圈大小为F1.0，最低照度彩色：0.0002 lx，黑白:0.0001 lx。</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设备内置高效暖白光补光灯，保证夜间图像正常采集，暖白光补光距离: 最远可达30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设备具有耀光抑制功能，耀光区域≤1%。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最大图像尺寸: 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H.265/H.264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网络存储: 支持NAS（NFS，SMB/CIFS均支持），支持Micro SD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 1路输入（Line in），1路输出（Line out），1个内置麦克风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1路输入，1路输出（报警输入支持开关量，报警输出最大支持DC12 V，30 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在IE浏览器下，具有设备重启和布防动态报警数据感知与记录功能，布防动态报警数据包括异常掉线、历史布防、实时布防3种类型；可记录报警的开始时间、结束时间、布防类型、报警链路地址、端口、链路续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 1个RJ45 10 M/100 M自适应以太网口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供电方式: DC：12 V ± 35%，支持防反接保护；PoE：802.3af，Type 1 Class 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 IP67</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6"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出入口人脸识别摄像机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【全结构化双400万1/1.8" CMOS双暖光全局动点摄像机】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摄像机定焦镜头、变焦镜头靶面尺寸均不小于1/1.8英寸；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支持最低照度可达彩色0.0002Lux，黑白0.0001Lux；</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设备内置8个补光灯，其中全景4个补光灯，细节4个补光灯；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焦距: 【全景】定焦6 mm，【细节】变焦13~52 mm，4×光学变倍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设备细节画面支持快速聚焦，从聚焦开始到聚焦结束用时不超过0.01s。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支持水平、垂直旋转，水平手控速度不小于240°/s，定位准确度不大于0.1°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设备可对30米处的行人进行人脸抓拍，并可生成分辨率不小于110×120的人脸图片,图片中人脸两眼瞳距应≥40像素。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主码流帧率分辨率: 50 Hz：25 fps（2560 × 1440）；60 Hz：24 fps（2560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H.265，H.264，MJPEG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网络存储: NAS（NFS，SMB/CIFS）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自适应千兆RJ45网口，支持RS485接口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SD卡扩展: 内置MicroSD卡(即TF卡)插槽，最大支持256 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1路报警输入，1路报警输出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 1路音频输入，1路音频输出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供电方式: DC：36 V ± 25%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支持加热除雾，支持GB35114安全加密</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4"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400万高清红外摄像机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400万 星光级1/2.7" CMOS 抓拍筒型网络摄像机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支持对运动人脸进行检测、跟踪、抓拍、评分、筛选，输出最优的人脸，支持人脸去误报、快速或最佳抓拍人脸，最多同时检测30张人脸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最低照度: 彩色：0.005 Lux @（F1.2，AGC ON），0 Lux with Light；黑白：0.001 Lux @（F1.2，AGC ON），0 Lux with IR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补光距离: 红外：普通监控：50 m，人脸抓拍/识别：10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设备具有耀光抑制功能，耀光区域≤1%。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最大图像尺寸: 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H.265/H.264/MJPEG；支持Micro SD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1路输入，1路输出（报警输入支持开关量，报警输出最大支持DC12 V，30 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 1路输入（Line in），1路输出（Line out），1个内置麦克风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支持通过IE浏览器设置登录超时时间，当登录后无操作时长达到设置阈值后，设备自动退出并重新进入登录界面。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 1个RJ45 10 M/100 M自适应以太网口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供电方式: DC：12 V ± 20%，支持防反接保护；PoE：802.3af，Type 1 Class 3；支持复位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 IP67</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8"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高清网络半球摄像机 </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400万 星光级 1/1.8" CMOS 抓拍半球型网络摄像机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支持对运动人脸进行检测、抓拍、评分、筛选，输出最优的人脸抓图，最多同时检测30张人脸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最低照度: 彩色：0.002 Lux @（F1.2，AGC ON），0 Lux with Light；黑白：0.0002 Lux @（F1.2，AGC ON），0 Lux with IR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红外补光，补光距离: 普通监控：30 m，人脸抓拍/识别：5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设备具有耀光抑制功能，耀光区域≤1%。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最大图像尺寸: 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H.265/H.264/MJPEG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 1个RJ45 10 M/100 M自适应以太网口，内置Micro SD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支持通过IE浏览器设置登录超时时间，当登录后无操作时长达到设置阈值后，设备自动退出并重新进入登录界面。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 1路输入（Line in），1路输出（Line out），1个内置麦克风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1路输入，1路输出（报警输入支持开关量，报警输出最大支持DC12 V，30 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供电方式: DC：12 V ± 20%; PoE：802.3af，Type 1，Class 3；支持复位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 IP67</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94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6"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高清网络半球摄像机（会议室）</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400万 星光级 1/1.8" CMOS 抓拍半球型网络摄像机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支持对运动人脸进行检测、抓拍、评分、筛选，输出最优的人脸抓图，最多同时检测30张人脸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最低照度: 彩色：0.002 Lux @（F1.2，AGC ON），0 Lux with Light；黑白：0.0002 Lux @（F1.2，AGC ON），0 Lux with IR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红外补光，补光距离: 普通监控：30 m，人脸抓拍/识别：5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设备具有耀光抑制功能，耀光区域≤1%。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最大图像尺寸: 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H.265/H.264/MJPEG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 1个RJ45 10 M/100 M自适应以太网口，内置Micro SD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支持通过IE浏览器设置登录超时时间，当登录后无操作时长达到设置阈值后，设备自动退出并重新进入登录界面。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 1路输入（Line in），1路输出（Line out），1个内置麦克风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1路输入，1路输出（报警输入支持开关量，报警输出最大支持DC12 V，30 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供电方式: DC：12 V ± 20%; PoE：802.3af，Type 1，Class 3；支持复位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 IP67</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8"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梯控摄像机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400万 1/3" CMOS 防遮挡型电梯专用网络摄像机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支持声音报警功能，当TOF遮挡报警、电瓶车遗留侦测报警产生报警时，可在报警布防时间内触发联动声音警报，报警声音模式可设置为警戒音和提示音两种。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支持TOF遮挡防干扰功能，当视频画面中光线发生明暗变化时，不触发TOF遮挡报警。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最低照度: 彩色：0.005 Lux @（F1.2，AGC ON），0 Lux with IR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调节角度: 水平：-15°~15°，垂直：0°~75°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红外补光距离≥10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最大图像尺寸: 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主码流：H.265/H.264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网络存储: 支持NAS（NFS，SMB/CIFS均支持），支持MicroSD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 1个RJ45 10 M/100 M自适应以太网口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音频: 1个内置麦克风，1个内置扬声器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1路输入，1路输出；报警输出：继电器，最大支持DC60 V，2 A，输出支持常开（COM-NO）/常闭（COM-NC）接线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供电方式: DC：12 V ± 25%，支持防反接保护；PoE：802.3af，Class 3；支持复位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 IK08</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无线网桥</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2.4G电梯网桥，802.11n制式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成对包装，距离200米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2网口设计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成对包装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支持轻智能统一管理功能</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楼层显示器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同步显示楼层信息</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48盘位存储</w:t>
            </w:r>
          </w:p>
        </w:tc>
        <w:tc>
          <w:tcPr>
            <w:tcW w:w="9768"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1.机架式/8U48盘位/1024Mbps接入带宽/企业级SATA硬盘/64位多核处理器/4GB缓存（可扩展至64GB））/2个千兆数据网口（不支持扩展）/1个千兆管理网口/冗余电源/网络协议：RTSP/ONVIF/PSIA/（GB/T28181）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2.支持不低于1024MbpsMbps图片转发；支持不低于1024MbpsMbps图片并发输入，同时不低于1024MbpsMbps图片并发输出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3.设备可每5秒对视频流进行一次丢帧检测，当检测到丢帧时，可发出报警，并生成报警日志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4.可扩展支持将前端一路视频流同时存入两台存储；支持双机间编码器和录像同步，故障时可进行互相接管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应能接入并存储2048Mbps视频图像，同时转发2048Mbps的视频图像，同时下载2048Mbps的视频图像；同时回放600Mbps的视频图像；在转发模式下，可进行2048路2Mbps视频码流转发；在总带宽不变的情况下，接入、转发、回放间的性能值可自由调整。</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企业级8T硬盘</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3.5英寸 8TB 7200RPM 256M SATA3</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32盘位硬盘录像机（含硬盘）</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硬件规格：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2U标准机架式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2个HDMI，2个VGA,HDMI+VGA组内同源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8盘位，内置8块6T盘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2个千兆网口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2个USB2.0接口、1个USB3.0接口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1个eSATA接口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支持RAID0、1、5、10，支持全局热备盘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报警IO：16进4出（可选配8出）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软件性能：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输入带宽：320M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32路H.264、H.265混合接入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最大支持16×1080P解码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支持H.265、H.264解码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Smart 2.0/整机热备/ANR/智能检索/智能回放/车牌检索/人脸检索/热度图/客流量统计/分时段回放/超高倍速回放/双系统备份</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安防管理平台</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实现实时预览、云台控制、录像回放等视频监控功能。实现统一身份认证和权限控制、组织与角色管理维护、设备集中管理、任务计划执行和调度、报警规则与处理管理、、设备巡检和日志管理等功能</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管理电脑（含23.8显示器）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I5-10500 8G 1T 无光驱 集显 键鼠Win10H 23.8寸显示器</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三工位操作台</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板金部份全部采用优质冷轧钢板制作，主要承重部分厚板2.0mm，其余材料厚板1.2-1.5mm。配缝不大于1.0毫米，整体美观、整齐，其结构合理、坚固、耐用。每台设备下均配托板1块，每联下部配置托板1块，托板承重量大于60 kg。监控操作台每联安装完设备后总承重不超过200 kg，要求地面基础承重大于400kg/ 平方米。监控操作台表面处理经过脱脂、酸洗、防锈磷化、清洗、大型静电喷塑工艺流程；W*H*D=2700*750*700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8"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LCD拼接屏</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LCD液晶显示单元；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尺寸：55英寸；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分辨率：1920 × 1080@60 Hz（向下兼容）；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视角：178°(水平)/ 178°(垂直)；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响应时间：8 ms (G to 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对比度：1200:1；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亮度：500cd/㎡；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物理拼缝：3.5mm；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输入接口：HDMI × 1, DVI × 1, VGA × 1, CVBS × 1, USB × 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输出接口：HDMI × 1, VGA × 1, CVBS × 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控制接口：RS232 IN × 1, RS232 OUT × 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功耗：≤ 210 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电源要求：100～240 VAC, 50/60 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寿命：≥60000 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工作温度和湿度：0℃～40℃，10%～80% RH（无冷凝水）；</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6"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解码器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1.5U机箱+4路DVI输入（支持转VGA或HDMI）+12路HDMI输出+单主控板+单电源；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2.整机支持解码6路2400W@25fps、或12路1200W@25fps、或24路800W@25fps、或48路400W@25fps、或 96路200W@30fps，192路720P@30fps，或192路4CIF@30fps以下分辨率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3.投标产品支持1、2、4、6、8、9、12、16、32、36、48、64画面分割显示。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4.投标产品支持走廊模式显示功能。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5.投标产品的信号源采集后经过高速背板总线到输出显示所用平均时间应≤35ms；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6.投标产品的图像切换时间＜20ms。</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LCD屏框架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配合新型模块化底座使用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支架特点：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1、美观、地脚隐藏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2、性价比高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3、四周包边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4、支持扩容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支架均采用SPCC优质冷轧钢板保障质量的源头；表面采用静电喷塑工艺，喷塑固化温度180-210度，涂层厚度80-100微米，对高防腐要求产品还可选择阴极电泳底漆工艺，防腐耐锈。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默认参数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颜色：黑色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后拉杆长度：600-900mm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弧度：0°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开门及封板：底座前封板，含侧封板、顶盖板，无后门结构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表面处理：静电喷塑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底座高度：600/800/1000/1200mm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厚度：400mm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材料：SPCC高强度钢板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定制参数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颜色：71599、71721、81390、81548、81962及92079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开门及封板：前开门、后封板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后拉杆长度：不宜超过3m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LOGO：中性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底座高度：需求定制</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LCD屏底座</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支架均采用SPCC优质冷轧钢板保障质量的源头；表面采用静电喷塑工艺，喷塑固化温度180-210度，涂层厚度80-100微米，对高防腐要求产品还可选择阴极电泳底漆工艺，防腐耐锈。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默认参数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颜色：黑色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后拉杆长度：600-900mm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弧度：0°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开门及封板：底座前封板，含侧封板、顶盖板，无后门结构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表面处理：静电喷塑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底座高度：600/800/1000/1200mm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厚度：400mm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材料：SPCC高强度钢板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定制参数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颜色：71599、71721、81390、81548、81962及92079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开门及封板：前开门、后封板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后拉杆长度：不宜超过3m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LOGO：中性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底座高度：需求定制</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highlight w:val="none"/>
                <w:u w:val="none"/>
              </w:rPr>
            </w:pPr>
            <w:r>
              <w:rPr>
                <w:rFonts w:hint="eastAsia" w:ascii="微软雅黑" w:hAnsi="微软雅黑" w:eastAsia="微软雅黑" w:cs="微软雅黑"/>
                <w:i w:val="0"/>
                <w:iCs w:val="0"/>
                <w:color w:val="000000"/>
                <w:kern w:val="0"/>
                <w:sz w:val="16"/>
                <w:szCs w:val="16"/>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4"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24口接入交换机(设备网)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9"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24口千兆PoE接入交换机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交换容量:≥336Gbps，包转发率≥51Mpps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≥24个10/100/1000Base-T以太网端口,≥4个千兆SFP光口；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支持POE和POE+,同时可POE供电端口≥24个，POE最大输出功率≥370W；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3"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核心交换机（设备网）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交换容量≥19.8Tbps，整机包转发能力≥2880Mpps，若存在双指标，以较低值为准；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主控引擎模块≥2，业务插槽数≥3，电源槽位≥2；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主控引擎自带业务端口；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支持虚拟化技术，提高网络健壮性，实现设备统一管理；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支持融合 AC 功能：无需独立的 AC 业务板卡，即支持无线 AP 管理功能；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支持安全业务插卡FW、IPS、ACG、LB、SSL VPN，提供官网截图与链接；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单槽位能够同时提供千兆光口、千兆电口、万兆光口，且实际可用端口总数≥48，提高槽位利用率和业务可靠性；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支持Telemetry流量可视化功能；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支持BFD功能，能够实现BFD以3ms的发送间隔进行检测时与OSPF联动收敛性能为9.3ms。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支持ARP防攻击，支持SNMPv1/v2/v3，支持端口镜像/流镜像；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支持SDN，支持OpenFlow1.3标准；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支持RIPng、OSPFv3、BGP4+、IS-ISv6协议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支持内置图形化管理功能，能够实现通过图形化界面设备配置及命令一键下发和版本智能升级；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配置单主控，配置交流电源模块≥2,实配千兆光口≥24，千兆电口≥24，万兆光口≥4.</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堆叠光缆</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10G Base SFP+ 光纤线缆（包含两边的模块），3米</w:t>
            </w:r>
          </w:p>
        </w:tc>
        <w:tc>
          <w:tcPr>
            <w:tcW w:w="694" w:type="dxa"/>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千兆光模块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光模块-SFP-GE-单模模块-（1310nm,10km，LC）</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六类非屏蔽双绞线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12765</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RJ45网络跳线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主干电源线</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分支电源线</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RVV2*1.0</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PVC管</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JDG管</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φ25</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2875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12芯光纤</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12芯室外单模光纤</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网络机柜42U</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600*800 42U</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室外安防箱/室内9U墙柜</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尺寸定制，室外安防箱带防水雨帽</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24口网络配线架（监控网）</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 24口机架式180度模块化六类非屏蔽网络配线架 含标签条</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理线架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8口光纤配线盒</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8口光纤盒、带塑料透明标签条、前面板为塑料空板，可配置ST\SC\FC专用适配器、</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24口光纤配线架</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19寸机架式1U 24口光纤盒、带塑料透明标签条、前面板为塑料空板，可配置ST\SC\FC专用适配器、</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光纤配套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含光纤跳线、光纤尾纤、光纤熔接、会议室光纤面板等</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监控立杆</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包括室外立杆、立杆基础等</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包括管头、五金组件、水晶头、接地线、扎带、胶布等</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4.2 出入口系统</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（一）管理中心</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管理电脑（含23.8显示器）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I5-10500 8G 1T 无光驱 集显 键鼠Win10H 23.8寸显示器</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黑白激光多功能一体机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涵盖功能 打印/复印/扫描/传真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最大处理幅面A4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耗材类型 鼓粉一体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双面功能 手动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网络功能 支持无线/有线网络打印</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（二）闸机（2F门厅）</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9"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人员通道左边件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闸机通道应为摆闸箱体，外壳采用不锈钢，箱体尺寸：长≤1200mm，宽≤218mm，高≥1023mm，通道宽度尺寸支持550mm~1400mm配置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采用直流无刷电机，通过自研算法有效保障设备稳定可靠运行，最少支持500万次无故障通行；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集成门禁主控板，可扩展人脸识别组件、读卡器、二维码、指纹等多种认证方式；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支持分时间段（最多支持8个时间段）常开、常闭等模式灵活选择；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支持断电通行，断电时门翼自动打开，人员可自由通行，防止恐慌；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采用6对红外检测传感器，采用防尾随跟踪控制技术，授权人员才能通过，未经授权人员尾随闯入时会发出声光报警；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闸机通道应支持滞留报警、反向闯入报警、通行超时报警、误闯报警、防拆报警等功能，除了联动语音播报、指示灯等警示外，需同时上传对应的报警事件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采用LED指示通行方向，显示通行状态，指示灯亮度可自定义调节来适配环境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具备自检测、自诊断、自动报警及声光报警功能，含非法闯入报警，反向闯入报警，尾随报警，翻越报警；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门翼材质：不锈钢/亚克力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支持6万张普通卡、3千张来宾卡、18万条事件记录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物理接口：TCP/IP,I/O,RS232,RS485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IP54 室内外</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9"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人员通道中间件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闸机通道应为摆闸箱体，外壳采用不锈钢，箱体尺寸：长≤1200mm，宽≤218mm，高≥1023mm，通道宽度尺寸支持550mm~1400mm配置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采用直流无刷电机，通过自研算法有效保障设备稳定可靠运行，最少支持500万次无故障通行；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集成门禁主控板，可扩展人脸识别组件、读卡器、二维码、指纹等多种认证方式；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支持分时间段（最多支持8个时间段）常开、常闭等模式灵活选择；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支持断电通行，断电时门翼自动打开，人员可自由通行，防止恐慌；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采用6对红外检测传感器，采用防尾随跟踪控制技术，授权人员才能通过，未经授权人员尾随闯入时会发出声光报警；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闸机通道应支持滞留报警、反向闯入报警、通行超时报警、误闯报警、防拆报警等功能，除了联动语音播报、指示灯等警示外，需同时上传对应的报警事件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采用LED指示通行方向，显示通行状态，指示灯亮度可自定义调节来适配环境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具备自检测、自诊断、自动报警及声光报警功能，含非法闯入报警，反向闯入报警，尾随报警，翻越报警；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门翼材质：不锈钢/亚克力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支持6万张普通卡、3千张来宾卡、18万条事件记录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物理接口：TCP/IP,I/O,RS232,RS485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IP54 室内外</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9"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人员通道右边件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闸机通道应为摆闸箱体，外壳采用不锈钢，箱体尺寸：长≤1200mm，宽≤218mm，高≥1023mm，通道宽度尺寸支持550mm~1400mm配置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采用直流无刷电机，通过自研算法有效保障设备稳定可靠运行，最少支持500万次无故障通行；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集成门禁主控板，可扩展人脸识别组件、读卡器、二维码、指纹等多种认证方式；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支持分时间段（最多支持8个时间段）常开、常闭等模式灵活选择；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支持断电通行，断电时门翼自动打开，人员可自由通行，防止恐慌；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采用6对红外检测传感器，采用防尾随跟踪控制技术，授权人员才能通过，未经授权人员尾随闯入时会发出声光报警；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闸机通道应支持滞留报警、反向闯入报警、通行超时报警、误闯报警、防拆报警等功能，除了联动语音播报、指示灯等警示外，需同时上传对应的报警事件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采用LED指示通行方向，显示通行状态，指示灯亮度可自定义调节来适配环境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具备自检测、自诊断、自动报警及声光报警功能，含非法闯入报警，反向闯入报警，尾随报警，翻越报警；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门翼材质：不锈钢/亚克力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支持6万张普通卡、3千张来宾卡、18万条事件记录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物理接口：TCP/IP,I/O,RS232,RS485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IP54 室内外</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刷卡组件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支持Mifare卡;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支持485、Wiegand协议;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闸机内安装;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读卡频率 13.56MHz;</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4"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 </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8口接入交换机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交换容量:≥336Gbps，包转发率≥24Mpps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≥8个10/100/1000Base-T以太网端口,≥2个千兆SFP光口；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人脸识别、测温、健康码识别组件</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 英寸 LCD 触摸显示屏，2.5D钢化玻璃显示面板；屏幕支持多点触控操作，流明度不低于350cd/㎡；分辨率不小于600×1024，防破坏能力满足IK04 的要求；采用嵌入式Linux系统；双目宽动态相机，最大分辨率：1920×1080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测温功能：集成热成像测温模组，测温距离在0.5m-1.5m之间，测温范围30℃-45℃，精度±0.5℃（无黑体）；支持身份认证（刷脸、刷卡等）+测温模式、仅测温模式；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认证方式：支持人脸、密码、二维码（通过摄像头识别）认证方式，可通过 485 接口外接读卡器，也通过 USB 接口外接身份证，实现人证比对功能；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人脸识别：采用深度学习算法，支持照片、视频防假；1:N人脸识别速度≤0.2s，人脸验证准确率≥99%；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存储容量：本地支持50000张人脸、50000张卡（外接读卡器），100000条事件记录；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硬件接口：LAN*1、RS485*1、韦根*1（双向 26/34）、USB*1、电锁*1、门磁*1、报警输入*2、报警输出*1、开门按钮*1；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通信方式及网络协议：有线网络、WiFi；网络SDK/ISAPI//ISUP5.0；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工作电压： DC 12V/2A；</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（三）门禁点</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1"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人脸识别机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采用8英寸LCD触摸显示屏，屏幕应支持多点触控操作，屏幕流明度500cd/㎡，分辨率不小于800×1280，设备采用高清双目宽动态相机（可见光摄像头*1，红外摄像头*1），最大分辨率：1920×1080，屏幕防暴等级IK04，设备后壳防破坏能力满足IK07。</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认证方式：支持人脸、刷卡（Mifare卡/IC卡、手机NFC卡、CPU卡序列号、身份证卡序列号）、密码、二维码（通过摄像头识别）认证方式；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人脸识别：采用深度学习算法，支持照片、视频防假；1:N人脸识别速度≤0.2s，人脸验证准确率≥99%；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设备本地人脸库存储容量100000张，本地卡存储容量100000张，本地出入记录存储容量150000条。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硬件接口能力：LAN*1支持（10M/100M/1000M自适应）；RS485*1；韦根*1； USB *1；门锁I/O输出*1；开门按钮I/O*1；报警I/O*1；事件I/O*2；机械防拆开关*1。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通信方式及网络协议：有线网络；网络SDK//ISAPI//ISUP5.0；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工作电压：DC12V~24V/2A；</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人脸门禁电源</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输入电压：100-240VAC；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输出电压：12VDC；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输出电流：4.17A；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输出功率：50W；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支持蓄电池（0T7-12）接入（设备本身不含蓄电池）；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工作温度：-10℃-+70℃；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工作湿度：＜95%；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带机箱，机箱尺寸：237*285*85mm；</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开门按钮</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结构：塑料面板；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性能：最大耐电流1.25A，电压250V；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输出：常开；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类型：适合埋入式电器盒使用；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尺寸：86*86mm</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单门磁力锁</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锁体主体颜色为深灰色。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最大静态直线拉力：280kg ± 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断电开锁，满足消防要求；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具有电锁状态指示灯（红灯为开锁状态， 绿灯为上锁状态）；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支持锁状态侦测信号(门磁)输出：NO/NC/COM接点；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工作电压：12V/420mA 或 24V/210mA；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使用环境：室内（不防水）；</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双门磁力锁</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锁体主体颜色为深灰色。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最大静态直线拉力：280kg ± 15%  * 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断电开锁，满足消防要求；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具有电锁状态指示灯（红灯为开锁状态， 绿灯为上锁状态）；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支持锁状态侦测信号(门磁)输出：NO/NC/COM接点；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工作电压：12V/840mA 或 24V/420mA；</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移动门磁力锁</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配合装修移动门安装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最大静态直线拉力：280kg ± 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断电开锁，满足消防要求；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具有电锁状态指示灯（红灯为开锁状态， 绿灯为上锁状态）；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支持锁状态侦测信号(门磁)输出：NO/NC/COM接点；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工作电压：12V/420mA 或 24V/210mA；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使用环境：室内（不防水）；</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 </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与消防联动干结点</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五、网络基础保障</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5.1服务器</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5.2交换机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核心交换机1（政务外网）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交换容量≥76.8Tbps，包转发率≥8640Mpps；若存在双指标，以低值为准；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主控槽位与业务线卡槽位宽度相同，为全宽槽位，设备支持主控引擎≥2，业务槽位≥6个；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为考虑后续接口扩容需求，要求扩展插槽接口支持千兆电口，千兆光口，万兆光口、万兆电，25G端口、40G端口、100G端口；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支持原生无线 AC 功能：无需独立的AC板卡或带AC功能的接口板，即支持无线AP管理功能；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支持BFD，能够实现BFD与OSPF/VRRP联动。支持BFD 3ms最小探测间隔测试；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多虚一技术(N:1)，支持4框虚拟化技术，支持多虚一技术和一虚多技术的配合使用；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支持安全业务插卡FW、IPS、ACG、LB、SSL VPN。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支持静态路由、RIP、RIPng、OSPF、OSPFv3、BGP、BGP4+、ISIS、ISISv6，支持路由协议多实例，支持GR for OSPF/IS-IS/BGP；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支持IPv6过渡技术，IPv4/IPv6双栈、6over4隧道、4 over6隧道，支持IPv6 DHCP SERVER, IPv6 DHCP Relay, DHCP Snooping，支持IPv6 Souce Guard；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支持MACsec加密技术；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本次配置≥8个万兆光口,≥48个千兆光，≥24个千兆电口，冗余电源，冗余主控；</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核心交换机2（政务外网）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交换容量≥76.8Tbps，包转发率≥8640Mpps；若存在双指标，以低值为准；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主控槽位与业务线卡槽位宽度相同，为全宽槽位，设备支持主控引擎≥2，业务槽位≥6个；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为考虑后续接口扩容需求，要求扩展插槽接口支持千兆电口，千兆光口，万兆光口、万兆电，25G端口、40G端口、100G端口；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支持原生无线 AC 功能：无需独立的AC板卡或带AC功能的接口板，即支持无线AP管理功能；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支持BFD，能够实现BFD与OSPF/VRRP联动。支持BFD 3ms最小探测间隔测试；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多虚一技术(N:1)，支持4框虚拟化技术，支持多虚一技术和一虚多技术的配合使用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支持安全业务插卡FW、IPS、ACG、LB、SSL VPN。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支持静态路由、RIP、RIPng、OSPF、OSPFv3、BGP、BGP4+、ISIS、ISISv6，支持路由协议多实例，支持GR for OSPF/IS-IS/BGP；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支持IPv6过渡技术，IPv4/IPv6双栈、6over4隧道、4 over6隧道，支持IPv6 DHCP SERVER, IPv6 DHCP Relay, DHCP Snooping，支持IPv6 Souce Guard；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支持MACsec加密技术；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本次配置≥8个万兆光口,≥48个千兆光，≥24个千兆电口，冗余电源，冗余主控；</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防火墙</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多核AMP+架构，网络层吞吐量22G，并发连接≥400万，每秒新建连接数24万， 标准2U机箱，冗余电源，标准配置6个10/100/1000M自适应电口，另有2个接口板卡扩展插槽，1个Console口，支持液晶屏，含三年硬件维保服务</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6"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核心交换机（政务内网）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交换容量≥19.8Tbps，整机包转发能力≥2880Mpps，若存在双指标，以较低值为准；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主控引擎模块≥2，业务插槽数≥3，电源槽位≥2；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主控引擎自带业务端口；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支持虚拟化技术，提高网络健壮性，实现设备统一管理；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支持融合 AC 功能：无需独立的 AC 业务板卡，即支持无线 AP 管理功能；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支持安全业务插卡FW、IPS、ACG、LB、SSL VPN，提供官网截图与链接；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单槽位能够同时提供千兆光口、千兆电口、万兆光口，且实际可用端口总数≥48，提高槽位利用率和业务可靠性；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支持Telemetry流量可视化功能；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支持BFD功能，能够实现BFD以3ms的发送间隔进行检测时与OSPF联动收敛性能为9.3ms。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支持ARP防攻击，支持SNMPv1/v2/v3，支持端口镜像/流镜像；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支持SDN，支持OpenFlow1.3标准；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支持RIPng、OSPFv3、BGP4+、IS-ISv6协议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支持内置图形化管理功能，能够实现通过图形化界面设备配置及命令一键下发和版本智能升级；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配置单主控，配置交流电源模块≥2,实配千兆光口≥24，千兆电口≥24，万兆光口≥4.</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24口接入交换机(内网)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24口接入交换机（外网）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7"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8口接入交换机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交换容量:≥336Gbps，包转发率≥24Mpps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≥8个10/100/1000Base-T以太网端口,≥2个千兆SFP光口；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核心交换机（视频专网）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交换容量≥19.8Tbps，整机包转发能力≥2880Mpps，若存在双指标，以较低值为准；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主控引擎模块≥2，业务插槽数≥3，电源槽位≥2；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主控引擎自带业务端口；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支持虚拟化技术，提高网络健壮性，实现设备统一管理；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支持融合 AC 功能：无需独立的 AC 业务板卡，即支持无线 AP 管理功能；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支持安全业务插卡FW、IPS、ACG、LB、SSL VPN，提供官网截图与链接；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单槽位能够同时提供千兆光口、千兆电口、万兆光口，且实际可用端口总数≥48，提高槽位利用率和业务可靠性；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支持Telemetry流量可视化功能；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支持BFD功能，能够实现BFD以3ms的发送间隔进行检测时与OSPF联动收敛性能为9.3ms。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支持ARP防攻击，支持SNMPv1/v2/v3，支持端口镜像/流镜像；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支持SDN，支持OpenFlow1.3标准；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支持RIPng、OSPFv3、BGP4+、IS-ISv6协议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支持内置图形化管理功能，能够实现通过图形化界面设备配置及命令一键下发和版本智能升级；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配置单主控，配置交流电源模块≥2,实配千兆光口≥24，千兆电口≥24，万兆光口≥4.</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4"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24口接入交换机(视频专网)</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交换容量:≥336Gbps，包转发率≥108Mpps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≥24个10/100/1000Base-T以太网端口,≥4个万兆SFP+光口；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堆叠线缆</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SFP+电缆3m</w:t>
            </w:r>
          </w:p>
        </w:tc>
        <w:tc>
          <w:tcPr>
            <w:tcW w:w="694" w:type="dxa"/>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千兆光模块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光模块-SFP-GE-单模模块-（1310nm,10km，LC）</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万兆光模块</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SFP+万兆模块（1310nm，10km，LC）</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5.3无线WIFI覆盖系统</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2"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无线控制器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要求所投产品支持常规AP最大数量≥768；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要求所投产品集中转发性能≥20Gbps；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要求所投产品提供≥8个千兆GE端口，≥8个千兆SFP端口；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AP和AC之间支持L2/L3层网络拓扑，为提高网络安全，AP与控制器之间能够支持DTLS对CAPWAP隧道进行加密处理。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支持Private PSK方式的动态密码功能，可以为每终端分配独立秘钥；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支持MAC 地址认证、802.1x认证（EAP-PAP、EAP-MD5、EAP-PEAP、EAP-TLS、EAP-TTLS）、Portal认证、MAC+Portal混合认证；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支持雷达检测SSID逃生功能：AC、AP支持SSID自主逃生，当AP射频检测到雷达信号时，会将本射频的SSID迁移到其他射频，保障关键业务正常通信；</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授权</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授权</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放装ap</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2、整机协商速率≥2.975Gbps，其中5G射频速率≥2.4G，2.4G射频速率≥0.575G。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3、固化接口数≥2个，包括1个100/1000M/2.5G光口，1个10M/100M/1000M电口。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4、⽀持内置BLE5.1功能模块。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5、支持壁挂、吸顶和面板安装方式。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6、ATF(Airtime Fairness，发送时间公平性)技术通过转移部分慢速设备的服务时间给快速设备，优化等待时间，使高协议终端可以充分利用空口，降低了低协议终端对高协议终端的影响，提高了无线网络的整体传输速度和性能。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在网络拥塞情况下，通过对终端发送的报文进行识别，在多业务并行处理时，可以对关键业务（如视频会议、时延敏感类游戏等）优先处理从而实现应用加速，同时双WiFi功能对链路可靠性的提升，保证了用户使用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随着网络技术和多媒体技术的快速发展，应用种类日渐丰富且流量更加多样化；游戏、语音、视频、远程会议等应用成为日常主流。“边缘感知”功能可精细化识别各个应用，同时能对应用流量进行分析，并对识别出的应用优先调度，从而提高用户使用体验。</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放装ap（高密）</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1、采用三射频设计，可工作在802.11a/b/g/n/ac/ac wave2/ax模式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2、接口≥2个，其中1个固化100/1000M/2.5G电口，无需外置扩展，另有1个固化10M/100M/1000M电口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3、整机协商速率≥5.375Gbps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4、内置蓝牙5.1/RFID/Zigbee。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5、ATF(Airtime Fairness，发送时间公平性)技术通过转移部分慢速设备的服务时间给快速设备，优化等待时间，使高协议终端可以充分利用空口，降低了低协议终端对高协议终端的影响，提高了无线网络的整体传输速度和性能。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在网络拥塞情况下，通过对终端发送的报文进行识别，在多业务并行处理时，可以对关键业务（如视频会议、时延敏感类游戏等）优先处理从而实现应用加速，同时双WiFi功能对链路可靠性的提升，保证了用户使用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随着网络技术和多媒体技术的快速发展，应用种类日渐丰富且流量更加多样化；游戏、语音、视频、远程会议等应用成为日常主流。“边缘感知”功能可精细化识别各个应用，同时能对应用流量进行分析，并对识别出的应用优先调度，从而提高用户使用体验。</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3"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面板ap</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1、采用整机双频4流设计，可同时工作在802.11a/b/g/n/ac/ac wave2/ax模式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2、整机协商速率≥2.975Gbps，其中5G射频速率≥2.4Gbps，2.4G射频速率≥0.575Gbps。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3、接口≥1个10/100/1000Mbps上行接口；≥4个下行接口。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4、透传接口≥2个10/100/1000Mbps(GE)透传口。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5、为了安装方便，美观融入环境，要求设备尺寸为标准86mmx86mm尺寸；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6、支持壁挂、吸顶和面板安装方式。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7、⽀持内置BLE5.1功能模块。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8、ATF(Airtime Fairness，发送时间公平性)技术通过转移部分慢速设备的服务时间给快速设备，优化等待时间，使高协议终端可以充分利用空口，降低了低协议终端对高协议终端的影响，提高了无线网络的整体传输速度和性能。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在网络拥塞情况下，通过对终端发送的报文进行识别，在多业务并行处理时，可以对关键业务（如视频会议、时延敏感类游戏等）优先处理从而实现应用加速，同时双WiFi功能对链路可靠性的提升，保证了用户使用体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随着网络技术和多媒体技术的快速发展，应用种类日渐丰富且流量更加多样化；游戏、语音、视频、远程会议等应用成为日常主流。“边缘感知”功能可精细化识别各个应用，同时能对应用流量进行分析，并对识别出的应用优先调度，从而提高用户使用体验。</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1"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24口千兆PoE接入交换机</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交换容量:≥336Gbps，包转发率≥51Mpps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≥24个10/100/1000Base-T以太网端口,≥4个千兆SFP光口；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支持POE和POE+,同时可POE供电端口≥24个，POE最大输出功率≥370W；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IP路由：支持静态路由、RIP、RIPng、OSPF；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不需要额外软件网管，设备本身支持智能网关。可配合上端汇聚交换机设备实现整网拓扑可视，实现在网络设备上对整网交换机的统一管理，无需再额外配置网管平台。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支持RRPP（快速环网保护协议），环网故障恢复时间不超过50ms；支持Smartlink，收敛时间≤50ms；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支持IPv4和IPv6静态路由、RIP V1/V2、OSPF、RIPng、OSPF v3 ；</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RJ45网络跳线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2m</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六类非屏蔽双绞线</w:t>
            </w:r>
          </w:p>
        </w:tc>
        <w:tc>
          <w:tcPr>
            <w:tcW w:w="9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六类室内非屏蔽双绞线</w:t>
            </w:r>
          </w:p>
        </w:tc>
        <w:tc>
          <w:tcPr>
            <w:tcW w:w="694"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2500</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六、信息显示系统</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1"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98寸显示器</w:t>
            </w:r>
          </w:p>
        </w:tc>
        <w:tc>
          <w:tcPr>
            <w:tcW w:w="9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整机屏幕采用98英寸IPS超高清LED液晶屏，显示比例16:9，屏幕图像分辨率达3840*2160，色彩度10bit ,可视角度178°，全高清4K系统图标显示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支持无线传屏功能, 802.11 a/b/g/n/ac支持Wi-Fi双频2.4G/5G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缝隙发声，2.1声道2×10W+15W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RAM3G ROM32G 双核A73+双核A53+2核GPU高性能处理器,内置Android8.0系统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支持RS232扩展控制接口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接口：HDMI IN*3  USB2.0*6 RJ45*1 VGA IN*1 PC Audio IN*1 AUDIO OUT*1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待机状态下，HDMI通道信号输入智能唤醒</w:t>
            </w:r>
          </w:p>
        </w:tc>
        <w:tc>
          <w:tcPr>
            <w:tcW w:w="6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p>
        </w:tc>
        <w:tc>
          <w:tcPr>
            <w:tcW w:w="9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694"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rPr>
      </w:pPr>
      <w:r>
        <w:rPr>
          <w:rFonts w:hint="eastAsia" w:ascii="宋体" w:hAnsi="宋体" w:eastAsia="宋体"/>
          <w:b/>
          <w:sz w:val="28"/>
          <w:szCs w:val="28"/>
          <w:highlight w:val="none"/>
          <w:lang w:val="en-US" w:eastAsia="zh-CN"/>
        </w:rPr>
        <w:t xml:space="preserve"> </w:t>
      </w:r>
      <w:bookmarkStart w:id="55" w:name="_Toc8470"/>
      <w:r>
        <w:rPr>
          <w:rFonts w:hint="eastAsia" w:ascii="宋体" w:hAnsi="宋体" w:eastAsia="宋体"/>
          <w:b/>
          <w:sz w:val="28"/>
          <w:szCs w:val="28"/>
          <w:highlight w:val="none"/>
        </w:rPr>
        <w:t>配套机房及UPS工程</w:t>
      </w:r>
      <w:bookmarkEnd w:id="55"/>
    </w:p>
    <w:tbl>
      <w:tblPr>
        <w:tblStyle w:val="32"/>
        <w:tblW w:w="1362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707"/>
        <w:gridCol w:w="9768"/>
        <w:gridCol w:w="69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24" w:type="dxa"/>
            <w:gridSpan w:val="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配套机房工程清单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设备名称</w:t>
            </w:r>
          </w:p>
        </w:tc>
        <w:tc>
          <w:tcPr>
            <w:tcW w:w="976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788"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4" w:type="dxa"/>
            <w:gridSpan w:val="2"/>
            <w:noWrap/>
            <w:vAlign w:val="center"/>
          </w:tcPr>
          <w:p>
            <w:pPr>
              <w:jc w:val="left"/>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一、机房动环监控</w:t>
            </w:r>
          </w:p>
        </w:tc>
        <w:tc>
          <w:tcPr>
            <w:tcW w:w="9768" w:type="dxa"/>
            <w:noWrap w:val="0"/>
            <w:vAlign w:val="center"/>
          </w:tcPr>
          <w:p>
            <w:pPr>
              <w:jc w:val="left"/>
              <w:rPr>
                <w:rFonts w:hint="eastAsia" w:ascii="宋体" w:hAnsi="宋体" w:eastAsia="宋体" w:cs="宋体"/>
                <w:b/>
                <w:bCs/>
                <w:i w:val="0"/>
                <w:iCs w:val="0"/>
                <w:color w:val="000000"/>
                <w:sz w:val="22"/>
                <w:szCs w:val="22"/>
                <w:highlight w:val="none"/>
                <w:u w:val="none"/>
              </w:rPr>
            </w:pPr>
          </w:p>
        </w:tc>
        <w:tc>
          <w:tcPr>
            <w:tcW w:w="694" w:type="dxa"/>
            <w:noWrap w:val="0"/>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ign w:val="bottom"/>
          </w:tcPr>
          <w:p>
            <w:pP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配电监控（1台）</w:t>
            </w:r>
          </w:p>
        </w:tc>
        <w:tc>
          <w:tcPr>
            <w:tcW w:w="9768" w:type="dxa"/>
            <w:noWrap/>
            <w:vAlign w:val="center"/>
          </w:tcPr>
          <w:p>
            <w:pPr>
              <w:rPr>
                <w:rFonts w:hint="eastAsia" w:ascii="宋体" w:hAnsi="宋体" w:eastAsia="宋体" w:cs="宋体"/>
                <w:b/>
                <w:bCs/>
                <w:i w:val="0"/>
                <w:iCs w:val="0"/>
                <w:color w:val="000000"/>
                <w:sz w:val="22"/>
                <w:szCs w:val="22"/>
                <w:highlight w:val="none"/>
                <w:u w:val="none"/>
              </w:rPr>
            </w:pPr>
          </w:p>
        </w:tc>
        <w:tc>
          <w:tcPr>
            <w:tcW w:w="694" w:type="dxa"/>
            <w:noWrap w:val="0"/>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智能电量仪（LCD）</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测量各相相电压有效值、三相相电压有效值的平均值、电压有效值、三相线电压有效值的平均值、相位角、1～4回路各相电流有效值、有功功率、总有功功率，全回路总有功功率、各相无功功率、总无功功率、总视在功率、各相功率因数、总功率因数、各相有功电能、总有功电能，全回路总有功电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2、支持计量有功电能，掉电不丢失</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3、支持采用网口形态的RS485数字通讯接口采集所有数据，支持MODBUS规约；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4、电压支持：测量范围: 30~600V(线电压)；20~400V(相电压)，PT: 1~10000； 连续过载：800V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6、电流支持：配互感器 with CT 0~400A； 直入型0~6A；CT:1~10000； 连续过载：2倍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7、支持功率测量范围：单相功率：0~80000W/var总功率：0~240000W/var/VA(按实际输入  3×U×I)</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8、频率：测量范围：45~60Hz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9、精度：电流：闭环互感器≤0.5% ；开环互感器≤1.0%；电压：相电压≤0.5%；线电压≤1.0%；功率：闭环CT ≤1.0%；开环≤CT2.0%；功率因数：闭环CT ≤1.0%； 开环CT≤ 2.0%；频率：45~60Hz±0.1Hz；电能：闭环≤1.0%；开环≤2.0%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10、电压范围支持（范围内可选）：①AC85~265V or DC85~330V；②DC18~90V; ③DC20~60V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11、功耗≤2W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12、绝缘强度：输入/电源：2.0kV/ min·1mA；RS485/其它：1.0kV/ min·1mA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12、电磁兼容：1.2/50-8/20us浪涌：电源：4kV； I/O线 I/O Line：2kV 8/20us；快速脉冲串 ：电源P：4kV,2.5kHz I/O线I/O Line：2kV, 5kHz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13、支持被基础设施物理安全感知平台管理、配置、数据展示等；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14、配备电流互感器等配件；</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电量监控接口软件应用授权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UPS监控(2个)</w:t>
            </w:r>
          </w:p>
        </w:tc>
        <w:tc>
          <w:tcPr>
            <w:tcW w:w="9768" w:type="dxa"/>
            <w:noWrap/>
            <w:vAlign w:val="center"/>
          </w:tcPr>
          <w:p>
            <w:pPr>
              <w:rPr>
                <w:rFonts w:hint="eastAsia" w:ascii="宋体" w:hAnsi="宋体" w:eastAsia="宋体" w:cs="宋体"/>
                <w:b/>
                <w:bCs/>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智能通讯转换模块</w:t>
            </w:r>
          </w:p>
        </w:tc>
        <w:tc>
          <w:tcPr>
            <w:tcW w:w="9768" w:type="dxa"/>
            <w:noWrap w:val="0"/>
            <w:vAlign w:val="center"/>
          </w:tcPr>
          <w:p>
            <w:pPr>
              <w:keepNext w:val="0"/>
              <w:keepLines w:val="0"/>
              <w:widowControl/>
              <w:numPr>
                <w:ilvl w:val="0"/>
                <w:numId w:val="44"/>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PRS485接口≥1，DATA接口≥1；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2、PRS485、DATA接口均为RJ45形态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3、支持MODBUS 485、RS232两种接口形式的数据采集及对接；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4、RS485接口速率≥3Mbps，RS232接口速率≥250kbps；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5、支持通过软件自定义RS485、RS232接口线序，可实现RX、TX、GND的软件自定义。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6、可以被采集主机及基础设施物理安全感知平台统一管理，实现激活、上线、调试等操作。</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UPS监测接口软件应用授权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蓄电池</w:t>
            </w:r>
          </w:p>
        </w:tc>
        <w:tc>
          <w:tcPr>
            <w:tcW w:w="9768" w:type="dxa"/>
            <w:noWrap/>
            <w:vAlign w:val="center"/>
          </w:tcPr>
          <w:p>
            <w:pPr>
              <w:rPr>
                <w:rFonts w:hint="eastAsia" w:ascii="宋体" w:hAnsi="宋体" w:eastAsia="宋体" w:cs="宋体"/>
                <w:b/>
                <w:bCs/>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蓄电池巡检仪</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1、支持HDMI、VGA、485等通讯协议，支持多种接口。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2、网络接口≥1个百兆RJ45接口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3、支持DC12V 3A供电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4、支持监测最高单体序号、最高电梯电压值、最低单体序号、最低单体电压值、最高温度序号、最高温度值、最低温度序号、最低温度值、单体总数、最低单体剩余容量。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5、这次监测环境温度、总续航时间、电压告警、电流告警、容量、可充电电量、可放电电量、组端SOC、剩余容量、容量百分比、单体SOC；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6、支持与基础设施物理安全感知平台对接，实现告警、展示等功能联动。</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蓄电池监测接口软件应用授权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温湿度监控（6个）</w:t>
            </w:r>
          </w:p>
        </w:tc>
        <w:tc>
          <w:tcPr>
            <w:tcW w:w="9768" w:type="dxa"/>
            <w:noWrap/>
            <w:vAlign w:val="center"/>
          </w:tcPr>
          <w:p>
            <w:pPr>
              <w:rPr>
                <w:rFonts w:hint="eastAsia" w:ascii="宋体" w:hAnsi="宋体" w:eastAsia="宋体" w:cs="宋体"/>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智能温湿度传感器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1、支持温度、湿度数据采集与上报的机架式温湿度传感器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2、支持采集温度范围：-10℃～70℃；误差&lt;±0.3℃，在25℃时测试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3、支持采集湿度范围：5％～95％RH（无凝露）；误差&lt;±3%RH，在25℃时测试。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4、支持液晶显示：显示当前温度，湿度，网络连接状态。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5、支持RS485接口：通信协议：MODBUS-RTU 协议；波特率：默认9600；可选2400、4800、9600、19200bit/s；数据格式：N,8,1；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6、设备管理：支持平台统一集中管理，支持设备自定义命名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7、支持分组管理，要求不低于6级分组，包括地区、楼栋、楼层、部门、具体位置等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8、支持联动空调、加湿器、除湿器实现自动化控制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9、支持Web端、APP端远程查看温湿度传感器数据，以及远程调节温湿度阈值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10、采集当前环境温度数据，通过RS485方式进行数据回传，于平台上转化为可视化展示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11、采集当前环境湿度数据，通过RS485方式进行数据回传，于平台上转化为可视化展示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12、支持查询当天、本月、本年的温度、湿度变化趋势，通过数据分析可得出一定的规律，为人性化物联策略提供数据支撑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13、支持不同传感器间联动策略，如温度值与空调联动，湿度值与加湿器、除湿器联动，光照强度值与灯光联动，触发条件时则执行空调温度调节，加湿器、除湿器状态开关，灯光状态开关等动作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14、支持设置一个范围，可以是温度/湿度任意一种，每个周期时间内检测当前上传的数据是在设定区间，当超过设定区间时通知管理员，并联动视频监控系统抓拍图像，查看异常状态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15、支持物联平台设置一个范围，可以是温度/湿度任意一种，每个周期时间内检测当前上传的数据是在设定区间，当超过设定区间时联动声光、短信进行报警，通知管理员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16、在基础设施物理安全感知平台可统一管理全部温湿度传感器设备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17、基础设施物理安全感知平台可自动识别接入的设备并进行归类，无需人工手动区分接入设备类型。</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温湿度监测接口软件应用授权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门禁监控</w:t>
            </w:r>
          </w:p>
        </w:tc>
        <w:tc>
          <w:tcPr>
            <w:tcW w:w="9768" w:type="dxa"/>
            <w:noWrap/>
            <w:vAlign w:val="center"/>
          </w:tcPr>
          <w:p>
            <w:pPr>
              <w:rPr>
                <w:rFonts w:hint="eastAsia" w:ascii="宋体" w:hAnsi="宋体" w:eastAsia="宋体" w:cs="宋体"/>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门禁管理接口软件应用授权</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1、支持7英寸LCD触摸显示屏，屏幕比例16:9，屏幕分辨率1024*600，可显示软件界面及操作提示，设备实时检测最大人脸，具有人脸框提示设计，方便用户校准；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2、支持采用200万宽动态摄像头，最大视场角120°，面部识别距离＞2m，适应1.2m-2.0m身高范围，支持手机照片、视频防假，支持远程视频预览，支持识别二维码；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3、支持星光级图像传感器，无需白光补光灯，在暗光或无光环境下人脸识别效果不受影响；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4、设备采用深度学习算法，支持5000人脸库，人脸比对时间≤0.2s/人，人脸验证准确率≥99%，识别速度快，准确率高；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5、设备支持多种认证方式：刷卡、人脸、刷卡+人脸等认证方式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6、设备支持普通卡/残疾人卡/黑名单/巡更卡/来宾卡/胁迫卡/超级卡/解除卡等多种卡片类型。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7、设备支持多重卡开门功能、首卡开门功能、超级卡和超级密码开门、中心远程开门、多重卡认证+远程授权（N+1）开门功能、在线升级功能、单门反潜回功能；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8、设备支持门禁时段管控（计划模板），按需授权开门；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9、设备支持防拆报警、门被外力开起报警、胁迫卡和胁迫码报警、黑名单报警；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10、设备可存储用户数据(可通过本地注册、TCP/IP 传输或用U盘将用户数据导入到设备中)，支持在断网模式下单机运行；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11、设备可进行本地管理，支持本地注册人脸、查询、设置、管理设备参数等；可通过U盘导入用户数据、人脸及门禁参数，也可通过U盘导出联动抓拍照片（需通过客户端配置事件联动保存抓拍图片）；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12、设备支持数据网络上传功能，可将设备比对结果及联动抓拍照片实时上传给平台；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13、设备支持断网续传功能，设备离线状态下产生事件在与平台连接后会重新上传；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14、设备支持通过RS485外接1个读卡器（不支持指纹读卡器）或外接门禁主机，还可通过RS485接入门控安全模块，防止主机被恶意破坏的情况下，门锁不被打开；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15、设备支持远程视频预览功能，可以通过RTSP协议输出视频码流，编码格式H.264；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16、设备可输出认证结果固定语音提示；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17、设备支持看门狗守护机制，防拆设计，保障设备运行稳定性。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18、设备支持与动环系统对接，实现统一管理。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含磁力锁、开门按钮、电源等配件包1套</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闭路监控</w:t>
            </w:r>
          </w:p>
        </w:tc>
        <w:tc>
          <w:tcPr>
            <w:tcW w:w="9768" w:type="dxa"/>
            <w:noWrap/>
            <w:vAlign w:val="center"/>
          </w:tcPr>
          <w:p>
            <w:pPr>
              <w:rPr>
                <w:rFonts w:hint="eastAsia" w:ascii="宋体" w:hAnsi="宋体" w:eastAsia="宋体" w:cs="宋体"/>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视频监控接口软件应用授权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消防监测</w:t>
            </w:r>
          </w:p>
        </w:tc>
        <w:tc>
          <w:tcPr>
            <w:tcW w:w="9768" w:type="dxa"/>
            <w:noWrap/>
            <w:vAlign w:val="center"/>
          </w:tcPr>
          <w:p>
            <w:pPr>
              <w:rPr>
                <w:rFonts w:hint="eastAsia" w:ascii="宋体" w:hAnsi="宋体" w:eastAsia="宋体" w:cs="宋体"/>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8路数字量输入模块</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8路数字量输入模块</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消防监测接口软件应用授权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漏水监测</w:t>
            </w:r>
          </w:p>
        </w:tc>
        <w:tc>
          <w:tcPr>
            <w:tcW w:w="9768" w:type="dxa"/>
            <w:noWrap/>
            <w:vAlign w:val="center"/>
          </w:tcPr>
          <w:p>
            <w:pPr>
              <w:rPr>
                <w:rFonts w:hint="eastAsia" w:ascii="宋体" w:hAnsi="宋体" w:eastAsia="宋体" w:cs="宋体"/>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非定位式测漏控制器</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非定位式测漏控制器</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15米测漏感应线</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15米测漏感应线</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漏水控制器监测接口软件应用授权</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授权</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jc w:val="center"/>
              <w:rPr>
                <w:rFonts w:hint="eastAsia" w:ascii="宋体" w:hAnsi="宋体" w:eastAsia="宋体" w:cs="宋体"/>
                <w:i w:val="0"/>
                <w:iCs w:val="0"/>
                <w:color w:val="000000"/>
                <w:sz w:val="22"/>
                <w:szCs w:val="22"/>
                <w:highlight w:val="none"/>
                <w:u w:val="none"/>
              </w:rPr>
            </w:pPr>
          </w:p>
        </w:tc>
        <w:tc>
          <w:tcPr>
            <w:tcW w:w="170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其它</w:t>
            </w:r>
          </w:p>
        </w:tc>
        <w:tc>
          <w:tcPr>
            <w:tcW w:w="9768" w:type="dxa"/>
            <w:noWrap/>
            <w:vAlign w:val="center"/>
          </w:tcPr>
          <w:p>
            <w:pPr>
              <w:rPr>
                <w:rFonts w:hint="eastAsia" w:ascii="宋体" w:hAnsi="宋体" w:eastAsia="宋体" w:cs="宋体"/>
                <w:i w:val="0"/>
                <w:iCs w:val="0"/>
                <w:color w:val="000000"/>
                <w:sz w:val="22"/>
                <w:szCs w:val="22"/>
                <w:highlight w:val="none"/>
                <w:u w:val="none"/>
              </w:rPr>
            </w:pPr>
          </w:p>
        </w:tc>
        <w:tc>
          <w:tcPr>
            <w:tcW w:w="694" w:type="dxa"/>
            <w:noWrap/>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2"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集中信息采集单元</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1、千兆以太网口数≥4个；RJ-45 Console管理口≥1个；USB接口≥2; 最大支持256个终端接入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2、支持对接市电监测模块、三相电量仪、UPS、蓄电池、柴油发电机等动力系统，实现对机房动力系统物理安全状态的实时感知；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3、支持接入温湿传感器、精密空调、普通空调、漏水传感器等，实现对机房环境物理安全状态的实时感知；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4、支持接入门禁、门磁、烟雾传感器、视频等，实现对机房安防系统物理安全状态的实时感知；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5、支持接入智能PDU，实现对配电单元远程管理和控制；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6、支持基于数字孪生技术的大屏展示，向管理人员展示整体机房整体运行状态，包括UPS状态、精密空调状态、电力系统、温湿度情况、告警情况等信息，数据通过友好的大屏直观呈现展示，实现管理可视化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7、支持机柜级微环境监测，监测机柜内的温湿度，机柜门的闭合情况。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8、支持多种告警模式，包括电话告警、短信告警、声光告警、APP告警、WEB告警、阿里钉钉、微信告警、邮件等。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9、支持多种传感器设备联动策略配置，比如人体红外感应装置联动空调恒温器进行空调的开关，实现高效节能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10、平台和传感器设备之间需要安全保障机制，包括校验设备密码，防止被钓鱼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11、支持巡检策略设定，记录并存储巡检报告，比如平台定时对全部设备进行巡检，及时发现异常设备，消除隐患。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12、支持管理员分权分级，不同的管理员拥有不同的管辖权限，方便平台的维护管理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13、支持双机主备模式部署，支持多机组合式部署；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14、支持与视频监控对接，实现视频弹窗告警，联动抓拍；支持内置视频中心；支持实时录制告警发生的全过程，并内置视频中心随时查看，实现告警回溯。</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工业电源</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1、插座制式及数目≥6位国标10A、4位国标16A；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2、接口数量≥2*10/100Mb网络自适应；≥1个RS485接口；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3、支持控制每位输出通断，每位输出分断能力16A 250VAC；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4、支持顺序下电时间间隔0.5s，顺序上电时间间隔1~60s可设定，防止用电设备同时启动干扰设备、污染线路和线路总闸合不上；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5、支持PDU输入断电重启后每位输出开关状态维持原状态；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6、支持监测输入电压：分辨力:1V；准确度：±1%+1字；量程范围：90~350V；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7、支持监测总输入输出电流：分辨力:0.1A；准确度：±1%+1字；量程范围：0.1~40A；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8、支持监测每位输出电流：分辨力:0.1A；准确度：±1%+1字；量程范围：0.1~20A；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9、支持监测每位电能：分辨力:0.1KW·H；准确度：1级；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10、支持监测每位有功功率：分辨力：1W；准确度：±1%+1字；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11、支持监测总电能：分辨力:0.1KW·H；准确度：1级；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12、支持总电流、每位输出电流设限：自动识别设限合理性；电流超限告警：PS/PN本地告警方式：PDU报警现场排查、输出声光、干接点；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13、支持PN远程告警方式：邮件、短信、SNMP TRAP，WEB页面提示、TELNET/SSH提示；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14、支持LCD显示：显示电流电压、显示产品信息、告警信息；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15、支持查询显示产品信息、告警信息、电流等；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16、支持关闭/开启告警声音和干接点输出，干接点输出有常开、常闭两种选择，无源，触点可接2A 250VAC；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17、支持循环告警记录日志，可以查询、导出保存，删除；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18、支持自动识别输出制式、位数；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19、支持帮助管理人员控制产品接入数量或类型；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20、支持基础设施物理安全感知平台统一管理、配置、监测等功能，并联动系统继续风险告警；</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8"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一体化集中采集器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1、以太网口数≥3个；Console管理口≥1个；USB接口≥1; PDI接口≥4个，PRS485接口≥5个，DO接口≥1个；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2、支持门禁主机功能，具备专门的门禁接口，电源接口≥1;干接点开关接口≥1个；韦根接口≥1个；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3、内存≥8GB；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4、所有接口均支持RJ45形态，支持对外提供24V直流供电；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5、支持传感器类型智能识别，智能上线；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6、支持在多分支机房场景下，与总部网络中断时，本地机房关键数据可以在采集主机实现缓存，时间周期大于7天，网络恢复时，数据自动补传给总部平台，保障数据不因网络中断而丢失。</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7、支持直接接入声光告警模块和4G电话告警模块，在多分支机房场景下，与总部网络中断时，如果分支机房出现风险时，采集主机可以直接实现声光告警和电话短信告警。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8、支持断电、死机自动开启磁力锁，防止消防状态下人被关在里面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9、支持对对传感器接入是否正常进行监测， LED灯亮则接入正常</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告警模块</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1、12V 2A 电源供电，且内置一块电池供断电后应急使用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2、支持机房动环系统统一管理、配置、监测等功能；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3、支持电话、短信告警两种方式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4、支持接口类型为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5、支持联通、电信、移动全网通4G接入</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07"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配管、线材</w:t>
            </w:r>
          </w:p>
        </w:tc>
        <w:tc>
          <w:tcPr>
            <w:tcW w:w="9768"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含通信线、管、标签、螺丝等</w:t>
            </w:r>
          </w:p>
        </w:tc>
        <w:tc>
          <w:tcPr>
            <w:tcW w:w="69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机房、重要坐席UPS</w:t>
            </w:r>
          </w:p>
        </w:tc>
        <w:tc>
          <w:tcPr>
            <w:tcW w:w="9768" w:type="dxa"/>
            <w:noWrap w:val="0"/>
            <w:vAlign w:val="center"/>
          </w:tcPr>
          <w:p>
            <w:pPr>
              <w:jc w:val="left"/>
              <w:rPr>
                <w:rFonts w:hint="eastAsia" w:ascii="宋体" w:hAnsi="宋体" w:eastAsia="宋体" w:cs="宋体"/>
                <w:b/>
                <w:bCs/>
                <w:i w:val="0"/>
                <w:iCs w:val="0"/>
                <w:color w:val="000000"/>
                <w:sz w:val="22"/>
                <w:szCs w:val="22"/>
                <w:highlight w:val="none"/>
                <w:u w:val="none"/>
              </w:rPr>
            </w:pPr>
          </w:p>
        </w:tc>
        <w:tc>
          <w:tcPr>
            <w:tcW w:w="694" w:type="dxa"/>
            <w:noWrap w:val="0"/>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模块化不间断电源主机主控柜</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纯在线“0”转换模块化支持热插拔式UPS，杜绝塔式支持热插拔式UPS，现容量为200KVA/可实现4+1冗余工作方式采用4个功率模块每个功率模块≥40KVA；最大可扩容至200KVA，中文触摸液晶面板，显示输入输出参数电压、频率，并可直接在液晶面板上设置输入、输出参数，液晶面板上有直观的输入、输出曲线图，历史纪录、整流模块温度显示、逆变模块温度显示、系统温度显示、电池电池电压显示，输出电压、电流及功率，机器故障代码等；面板上嵌入EPO按键，在紧急情况下按下EPO按键就可紧急关机，并且具有远程紧急关机（REPO)功能；主机自带干接点RS232\RS485\SNMP通讯界面及2个Intelligent Slot(智能插槽）；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2.输入要求:输入电压范围380vac±25,降低电池使用频度，延长电池使用寿命,UPS输入频率范围40HZ～70HZ,能与任意发电机兼容；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3.监控电流调节要求：充电电流最大可设置180Amax,可直接进行集中监控，监控模块支持热插拔功能，拔出监控模块时，系统仍能正常运行,标配维修旁路，紧急情况下可在线维修；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4.功率模块：≥5个支持热插拔功率模块,可直接并机柜，无需增加任何附件，并机公用电池组，最大≥4套柜并机；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5.过载能力：在110%/125%/150% 过载时能维持≥60分钟/10分钟/1分钟；市电到电池转换时间0ms；集交流输入过、欠压保护，输出过载、短路保护，过流保护，过热保护、风扇故障保护、辅助电源故障保护、电池欠压预警保护和电池过充保护，具有自动旁路和维修旁路功能；                                                                                                                                                                                </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UPS功率模块</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与主控柜同品牌兼容 配置40KVA功率模块。</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电池组智能控制箱</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高功率免维护蓄电池</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1、6-FML-200/12V200AH长寿命型防火防爆蓄电池，每节电池内阻≤3.5mΩ杜绝贴牌产品参与投标，。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外观要求：蓄电池正负极要有明显标识，外观不能有变形、漏液及污迹，蓄电池的壳、盖应符合要求，蓄电池能承受≥45kpa正压或负压而不破裂、不开胶，压力释放后壳体不变形，蓄电池的安全阀有自动开启和关闭的功能，开阀压应是10～35kPa，闭阀压应是3～15kP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3、充放电要求:标称值为12V的蓄电池按规定试验，10h率的容量第1次循环不低于0.95C10, 第3次循环应达到C10; 3h和1h率的容量在第4次和第五次以前达到；蓄电池以30I10(A)放电30min,脊柱、内部汇流排不应融断，其外观不得出现异常，蓄电池在正常工作过程中,不应有酸雾逸出；在充电过程中遇有明火,内部应不引燃、不引爆，蓄电池在使用前一般应进行补充充电，蓄电池最大充电电流不大于2.5 I10(A),最大补充充电电压不大于2.35V/单体，均衡充电单体电压为2.30～2.35V(25℃)，浮充充电单体电压为2.20～2.27V(25℃)，蓄电池组进入浮充状态24小时后，各蓄电池之间的端电压差应不大于480mV(12V)，由单体蓄电池和组合蓄电池，各电池间的开路电压最高与最低差值应不大于100mV(12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4、浮充寿命≥10年</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32节电池架</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可安装12V200AH电池32只</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电池开关箱与主机连接线</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WDZA-BVR95mm²</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240.00 </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电池组与电池开关箱连接线</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WDZA-BVR95mm²</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120.00 </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电池间连接线缆</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WDZA-BVR95mm²</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64.00 </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铜排</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设备底座</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8#、5#角钢焊接制作</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四</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机房</w:t>
            </w:r>
          </w:p>
        </w:tc>
        <w:tc>
          <w:tcPr>
            <w:tcW w:w="9768" w:type="dxa"/>
            <w:noWrap w:val="0"/>
            <w:vAlign w:val="center"/>
          </w:tcPr>
          <w:p>
            <w:pPr>
              <w:jc w:val="left"/>
              <w:rPr>
                <w:rFonts w:hint="eastAsia" w:ascii="宋体" w:hAnsi="宋体" w:eastAsia="宋体" w:cs="宋体"/>
                <w:b/>
                <w:bCs/>
                <w:i w:val="0"/>
                <w:iCs w:val="0"/>
                <w:color w:val="000000"/>
                <w:sz w:val="22"/>
                <w:szCs w:val="22"/>
                <w:highlight w:val="none"/>
                <w:u w:val="none"/>
              </w:rPr>
            </w:pPr>
          </w:p>
        </w:tc>
        <w:tc>
          <w:tcPr>
            <w:tcW w:w="694" w:type="dxa"/>
            <w:noWrap w:val="0"/>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九折型材服务器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 *D *H）600 mm*1200 mm*2000 mm,持19英寸标准的服务器、存储及网络设备安装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用高强度9折或以上型材框架结构设计；金属件前处理均采用磷化处理，外表面涂层采用先进的静电喷粉烤漆工艺，涂层付着牢固，防氧化，耐酸碱，表面光洁、色泽均匀、无流挂、无露底，保证长期使用不锈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4.采用优质冷轧钢板，机柜框架部份采用1.5mm的优质冷轧钢板，其它部份采用1.0mm~1.5mm的优质冷轧钢板；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5.机柜采用前后网孔门设计，前门单开，后门双开，支持通孔率不小于75%；机柜门开启角度不小于150°，前后门均采用高级旋把锁；机柜所有面板可支持卡扣式安装，无需使用工具拆卸；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6.与列头柜、行级空调深度需一致并柜摆放形成一体化。</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机柜侧门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内嵌式</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机柜侧门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带开关及读卡器孔位</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机柜侧门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适用用IDM模块最外侧侧门，带显示屏和读卡器孔位，带通道照明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控制开关，配套21.5寸触摸屏使用，配套1200mm深拼装机柜使用</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机柜侧门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外挂式</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顶部线槽</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适用600宽机柜，单通道走线槽，强弱电分离则需要配置2个</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走线梯</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列与列走线梯，适用不同行、列机柜间走线</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机柜盲板</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1U无孔阻止冷气流旁通</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机柜层板</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承重50kg</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天窗</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1.配600宽机柜，转动顶板，含安装支架，尺寸600mm（W）*1200mm（L）*300mm（H）。300mm（H）为顶板离机柜顶板的最低距离。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2.活动天窗由无色透明覆膜钢化玻璃和铝框构成，其中铝框表面静电粉末喷涂，左右侧光玻璃为0.5无色透明覆膜钢化玻璃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3.冷通道可支持消防联动在发生火灾时，活动天窗自动打开方便气体对机柜进行覆盖，可根据不同消防分区联动，开窗上设备应急按钮可以日常维护及测试。</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天窗</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1.配600宽机柜，全钣金固定天窗，含安装支架，尺寸600mm（宽）*1200mm（长）*300mm（高）。可代替走线梯走线用。单排柜位数10个以内选用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2.活动天窗由无色透明覆膜钢化玻璃和铝框构成，其中铝框表面静电粉末喷涂，左右侧光玻璃为0.5无色透明覆膜钢化玻璃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3.冷通道可支持消防联动在发生火灾时，活动天窗自动打开方便气体对机柜进行覆盖，可根据不同消防分区联动，开窗上设备应急按钮可以日常维护及测试。</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冷池通道双开移门</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1.1200mm双开滑动门，电动开门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2.门头采用优质冷轧钢板，所承重组件材料厚度≥2.5MM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3.通道门为左右推拉开启式结构所有钢质冷部件及铝型材框架表面喷涂，表面喷塑厚度不小于70-130um，表面喷塑硬度不少于2h，附着力不低于0级国际标准，达到国际无毒害的喷塑标准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4.涂覆层表面光洁、色泽均匀、物流挂、无露底、金属件无锈 </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集中控制盒</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接收烟感信号和点动信号来控制翻转天窗</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触摸开关</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ABS阻燃塑料，使用电压DC12V</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PDU</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PDU-竖装-输入250V/32A-输出20*10A国标+4*16A国标-总指示灯-接线盒-防脱扣</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冷通道安装辅材</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含附件等</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电容触控屏（21.5寸）</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工业级电容触控屏，1、21.5英寸（16:9）显示屏，分辨率:1920*1080；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2、使用寿命：&gt; 50000小时；3、整机功耗：&lt;220W，待机功耗：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&lt;3W；4、抗光干扰，确保操作的准确性（强光直射照常使用）。</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列间空调40KW精密空调</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采用行级列间空调，总冷量≥40.4kW ，显冷量≥40.4KW，风量≥8080m3/h，加湿量≥5kg/h加热量≥6kw。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投标产品应高效节能，空调设计水平处于业内先进地位，投标精密空调产品显热比≥0.9，冷风比≤4.0，机组整机能效比≥3.0，须提供相关数据。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整机模块化设计：功能模块独立，隔离干扰；结构模块化，减少加工成本且易拆卸；部件模块化，备件最少维护成本低。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运行寿命要求：24小时365天不间断运行设计，设计寿命≥15年；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空调须满足电压适应范围380±15%，具备缺相保护、提示和告警功能。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空调须100%全正面维护；主要部件可拆卸维护，满足机房搬运通道要求，搬运、安装新空调和折除旧空调时不得对机房现有门窗、墙体结构进行改动和破坏性施工。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空调须采用高效后倾离心直联风机，具备风压调整范围宽的特点，且不需皮带传动，无需例行维护及更换皮带。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空调须采用可拆卸电极加湿器，易封装，封闭加湿，效率最高，自动冲洗且可拆卸维护，维护费用低。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 蒸发器表面须采用亲水膜涂层工艺，提高换热效率，减少绝热损失。</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 M型大面积蒸发器，换热面积最大，换热效率高。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 空调须采用G4级大面积贴附式过滤器，风阻最小，降低风机功率，过滤面积大，过滤效果最好。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 分布式冷凝水收集系统：冷凝水积水盘根据模块化结构分布收集冷凝水，确保冷凝水排水畅通无阻。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 空调需配备滤网压差开关和气流丢失压差开关，实时检测过滤网脏堵状况和风机运行状态。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 空调须配置7英寸彩色触摸显示屏，操作菜单专为中国市场用户设计，操作简单明了。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 空调标准配置RS485监控接口，支持Modbus和YD/T1363.3双通讯协议，可现场选择协议类型。</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空调安装辅材</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30米内铜管，保温等</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精密列头柜</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eastAsia="zh-CN"/>
              </w:rPr>
              <w:t>配套</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六</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气体消防（机房、UPS间）</w:t>
            </w:r>
          </w:p>
        </w:tc>
        <w:tc>
          <w:tcPr>
            <w:tcW w:w="9768" w:type="dxa"/>
            <w:noWrap w:val="0"/>
            <w:vAlign w:val="center"/>
          </w:tcPr>
          <w:p>
            <w:pPr>
              <w:jc w:val="left"/>
              <w:rPr>
                <w:rFonts w:hint="eastAsia" w:ascii="宋体" w:hAnsi="宋体" w:eastAsia="宋体" w:cs="宋体"/>
                <w:b/>
                <w:bCs/>
                <w:i w:val="0"/>
                <w:iCs w:val="0"/>
                <w:color w:val="000000"/>
                <w:sz w:val="22"/>
                <w:szCs w:val="22"/>
                <w:highlight w:val="none"/>
                <w:u w:val="none"/>
              </w:rPr>
            </w:pPr>
          </w:p>
        </w:tc>
        <w:tc>
          <w:tcPr>
            <w:tcW w:w="694" w:type="dxa"/>
            <w:noWrap w:val="0"/>
            <w:vAlign w:val="center"/>
          </w:tcPr>
          <w:p>
            <w:pPr>
              <w:jc w:val="center"/>
              <w:rPr>
                <w:rFonts w:hint="eastAsia" w:ascii="宋体" w:hAnsi="宋体" w:eastAsia="宋体" w:cs="宋体"/>
                <w:i w:val="0"/>
                <w:iCs w:val="0"/>
                <w:color w:val="000000"/>
                <w:sz w:val="22"/>
                <w:szCs w:val="22"/>
                <w:highlight w:val="none"/>
                <w:u w:val="none"/>
              </w:rPr>
            </w:pPr>
          </w:p>
        </w:tc>
        <w:tc>
          <w:tcPr>
            <w:tcW w:w="788" w:type="dxa"/>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七氟丙烷柜式装置(含安全隔离装置)</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1、柜式装置结构：由对应规格箱体、灭火剂贮存钢瓶、容器阀、压力讯号器、贮瓶箍、喷头、高压软管、启动阀、启动装置等组成；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七氟丙烷贮存在容器内，当发生火灾通过启动管路使容器阀上的启动阀动作，强制将容器阀开启，此时灭火剂从灭火剂贮存钢瓶→容器阀出口→气体管路→喷嘴释放到被保护区内进行灭火（同时压力讯号器将气体释放信号反馈气体控制器主机将气体释放灯点亮）。并具有自动、电气手动和机械手动三种启动方式；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3、贮存瓶组性能及参数：钢瓶型号HJL350，容积70L ；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4、采用固体原料作为启动装置、无储存压力，不存在泄漏而无法启动灭火气体气源现象，发生火灾时能确保正常启动。</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七氟丙烷药剂</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HFC-227ea</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266</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保护区标牌</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泄压装置</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(400mm×400mm)</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感烟点型探测器总线制</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1.使用环境温度：－10℃ ～ +50 ℃ ， 使用环境湿度：≤95% RH（不凝露）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电子编码，唯一ID；控制器在线编址或编码器设地址，自动登录，安装调试方便。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3.两发一收的立式双向散射技术，结合先进的相对光强比算法，实现了对不同颜色、粒径烟雾的均衡响应，可排除非火警因素造成的干扰，避免误报，方位响应性能优越。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4. 具有自测试功能，可对内部电路实时检测，保证探测器长期稳定运行。 </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感温点型探测器总线制</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1.使用环境温度：－10℃ ～ +50 ℃ ， 使用环境湿度：≤95% RH（不凝露）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电子编码，唯一ID；控制器在线编址或编码器设地址，自动登录，安装调试方便。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3.采用环氧树脂封装NTC热敏电阻，具有差温特性的A2类探测器。动作温度由火灾报警控制器设定，可根据现场环境单点或统一调整，测试精度可达到1℃。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4.可检测传感器故障（短路或断路），故障率低，使用寿命长。</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智能探测器底座</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1、嵌入式结构，小巧、美观，无色差</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紧急启停按钮</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1.工作电压：DC16~32V；适用温度：-10℃~50℃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2.打开透明保护盖。压下玻璃片，红灯亮，表示报警启动。打开下方小盖， 按下复位按钮，玻璃片复位，解除报警。</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气体释放显示灯</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工作电压：DC22~28V；  工作电流：＜280mA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2.由火灾报警控制器使其工作，表示气体喷洒状态，提醒人员不得进入气体灭火区域。</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声光报警警报装置</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1.使用环境温度：－10℃ ～ +50 ℃ ， 使用环境湿度：≤95% RH（不凝露）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非编码声光报警设备</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气体灭火控制器（1区）</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能以两总线制方式挂接感烟、感温火灾探测器、手动报警按钮，亦可通过中继模块挂接非编码感烟、感温火灾探测器，接收探测器的火警信号。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具有2个独立的灭火控制区，每个分区具有选择阀输出、声光输出、放气灯输出、放气阀输出，能根据各分区的火警信息和喷洒状态，自动启动声光报警器、选择阀、放气阀、放气灯等设备；每个区具有1个紧急启动按钮，可直接启动放气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2.具有火警、故障信号输出，具有故障报警功能，能自动检测总线及部件故障、放气阀断线短路故障及声光报警器连线的短路断路故障，能检测主电（交流电源）故障和备电（蓄电池）故障，具有故障声光指示。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3.具有历史记录存储功能，可自动保存火警、故障、联动、操作等信息， 具有联网功能，可通过EINet®连接集中报警控制器，实现局域联网通讯， 具有智能拼音输入备注功能。                                  </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输入输出模块</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1.使用环境温度：－10℃ ～ +50 ℃ ， 使用环境湿度：≤95% RH（不凝露）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电子编码，唯一ID；控制器在线编址或编码器设地址，自动登录，安装调试方便。</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控制模块</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1.用环境温度：10C  +50C；湿度：＜95RH（不凝露），总线工作电压：24V脉动电压；电源电压：DC20.4V  26.4V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2.CPU，电子编码，自动登录</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安装辅材</w:t>
            </w:r>
          </w:p>
        </w:tc>
        <w:tc>
          <w:tcPr>
            <w:tcW w:w="976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管线等</w:t>
            </w:r>
          </w:p>
        </w:tc>
        <w:tc>
          <w:tcPr>
            <w:tcW w:w="6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142" w:type="dxa"/>
            <w:gridSpan w:val="3"/>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说明：机房基础装修由装饰统一实施</w:t>
            </w:r>
          </w:p>
        </w:tc>
        <w:tc>
          <w:tcPr>
            <w:tcW w:w="694" w:type="dxa"/>
            <w:noWrap w:val="0"/>
            <w:vAlign w:val="center"/>
          </w:tcPr>
          <w:p>
            <w:pPr>
              <w:jc w:val="center"/>
              <w:rPr>
                <w:rFonts w:hint="eastAsia" w:ascii="宋体" w:hAnsi="宋体" w:eastAsia="宋体" w:cs="宋体"/>
                <w:i w:val="0"/>
                <w:iCs w:val="0"/>
                <w:color w:val="000000"/>
                <w:sz w:val="20"/>
                <w:szCs w:val="20"/>
                <w:highlight w:val="none"/>
                <w:u w:val="none"/>
              </w:rPr>
            </w:pPr>
          </w:p>
        </w:tc>
        <w:tc>
          <w:tcPr>
            <w:tcW w:w="788" w:type="dxa"/>
            <w:noWrap w:val="0"/>
            <w:vAlign w:val="center"/>
          </w:tcPr>
          <w:p>
            <w:pPr>
              <w:jc w:val="center"/>
              <w:rPr>
                <w:rFonts w:hint="eastAsia" w:ascii="宋体" w:hAnsi="宋体" w:eastAsia="宋体" w:cs="宋体"/>
                <w:i w:val="0"/>
                <w:iCs w:val="0"/>
                <w:color w:val="000000"/>
                <w:sz w:val="20"/>
                <w:szCs w:val="20"/>
                <w:highlight w:val="none"/>
                <w:u w:val="none"/>
              </w:rPr>
            </w:pP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lang w:val="en-US" w:eastAsia="zh-CN"/>
        </w:rPr>
      </w:pPr>
      <w:r>
        <w:rPr>
          <w:rFonts w:hint="eastAsia" w:ascii="宋体" w:hAnsi="宋体" w:eastAsia="宋体"/>
          <w:b/>
          <w:sz w:val="28"/>
          <w:szCs w:val="28"/>
          <w:highlight w:val="none"/>
          <w:lang w:val="en-US" w:eastAsia="zh-CN"/>
        </w:rPr>
        <w:t xml:space="preserve"> </w:t>
      </w:r>
      <w:bookmarkStart w:id="56" w:name="_Toc21632"/>
      <w:r>
        <w:rPr>
          <w:rFonts w:hint="eastAsia" w:ascii="宋体" w:hAnsi="宋体" w:eastAsia="宋体"/>
          <w:b/>
          <w:sz w:val="28"/>
          <w:szCs w:val="28"/>
          <w:highlight w:val="none"/>
          <w:lang w:val="en-US" w:eastAsia="zh-CN"/>
        </w:rPr>
        <w:t>1F-5F办公区会议室桌椅</w:t>
      </w:r>
      <w:bookmarkEnd w:id="56"/>
    </w:p>
    <w:tbl>
      <w:tblPr>
        <w:tblStyle w:val="32"/>
        <w:tblW w:w="13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1859"/>
        <w:gridCol w:w="9506"/>
        <w:gridCol w:w="675"/>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24"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等线" w:hAnsi="等线" w:eastAsia="等线" w:cs="等线"/>
                <w:b/>
                <w:bCs/>
                <w:i w:val="0"/>
                <w:iCs w:val="0"/>
                <w:color w:val="000000"/>
                <w:sz w:val="22"/>
                <w:szCs w:val="22"/>
                <w:highlight w:val="none"/>
                <w:u w:val="none"/>
              </w:rPr>
            </w:pPr>
            <w:r>
              <w:rPr>
                <w:rFonts w:hint="eastAsia"/>
                <w:highlight w:val="none"/>
              </w:rPr>
              <w:br w:type="page"/>
            </w:r>
            <w:r>
              <w:rPr>
                <w:rFonts w:hint="eastAsia" w:ascii="等线" w:hAnsi="等线" w:eastAsia="等线" w:cs="等线"/>
                <w:b/>
                <w:bCs/>
                <w:i w:val="0"/>
                <w:iCs w:val="0"/>
                <w:color w:val="000000"/>
                <w:kern w:val="0"/>
                <w:sz w:val="22"/>
                <w:szCs w:val="22"/>
                <w:highlight w:val="none"/>
                <w:u w:val="none"/>
                <w:lang w:val="en-US" w:eastAsia="zh-CN" w:bidi="ar"/>
              </w:rPr>
              <w:t>指挥中心1F-5F办公区会议室桌椅配置预算清单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一、1F疫情防控流调溯源办公专区及视频研判室桌椅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尺寸：6000*1800*750；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尺寸：1400*450*750；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研判办公桌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办公桌：1500*700,屏风1500*1500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1、面材：优质三聚氰胺纸贴面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2、基材：为采用E1级实木颗粒板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3、五金件:优质导轨，优质铰链，屏风厚度为30mm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办公椅：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1、面材：优质网布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3、配件：采用优质五星脚,优质气压泵</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二、2F领导会商室桌椅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研判条桌1</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尺寸：1600*800*750 需安装升降显示器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研判条桌2</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尺寸：3200*800*750 需安装升降显示器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尺寸：650*620*950；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尺寸：1600*600*750；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三、2F专家研判室桌椅 95㎡*3辅楼西侧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尺寸：8000*2000*750；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尺寸：1400*450*750；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四、2F专班会议室桌椅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1、81㎡会议室（1个） 主楼西北侧</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尺寸：7000*1800*750；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尺寸：1400*450*750；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2、85㎡会议室（2个）  主楼南侧</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尺寸：7200*1800*750；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尺寸：1400*450*750；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3、58㎡会议室（1个）  主楼北侧</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尺寸：4800*1600*750；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4.3.4</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4、54㎡会议室（1个）  主楼北侧</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尺寸：4800*1600*750；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5、73㎡会议室（1个）  主楼西南侧</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尺寸：6000*1800*750；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尺寸：1400*450*750；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6、76㎡会议室（2个）  辅楼南侧</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尺寸：6000*1800*750；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尺寸：1400*450*750；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五、4F办公区会议室桌椅(94㎡*1)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尺寸：7000*1800*750；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研判条桌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2、基材：E1级多层实木板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尺寸：1400*450*750；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六、5F办公区会议室桌椅(80㎡*1)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尺寸：7000*1800*750；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85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24" w:type="dxa"/>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七、2F指挥大厅南侧办公室（5间）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研判办公桌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尺寸：1600*800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1、面材：优质三聚氰胺纸贴面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2、基材：为采用E1级实木颗粒板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3、五金件:优质导轨，优质铰链，屏风厚度为30mm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人体工学椅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尺寸：600*550*900；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62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八、3F会议室桌椅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8.1</w:t>
            </w:r>
          </w:p>
        </w:tc>
        <w:tc>
          <w:tcPr>
            <w:tcW w:w="1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研判桌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尺寸：7000*1800*750；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8.2</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研判座椅（带扶手）</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尺寸：600*600*920；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1、橡木实木椅架，胡桃木色涂装，带扶手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8.3</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研判座椅（无扶手）</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尺寸：550*4500*900；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1、橡木实木椅架，胡桃木色涂装，无扶手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2、座面及靠背面材：选用优质超纤皮包面，厚度1.0-1.2mm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3、海绵：优质海绵，密度≥33kg/m3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4、涂料：优质水性涂料，不得使用PU及其他油性油漆，确保更环保。</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8.4</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天然胡桃木木皮贴面储物柜</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尺寸：900*450*800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8.5</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天然胡桃木木皮贴面机柜</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尺寸：1200*450*800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1、面材：天然胡桃木木皮贴面，木皮厚度为0.6mm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2、基材：E1级中纤板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3、涂料：优质水性涂料，不得使用PU及其他油性涂料，确保更环保。</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个</w:t>
            </w:r>
          </w:p>
        </w:tc>
      </w:tr>
    </w:tbl>
    <w:p>
      <w:pPr>
        <w:rPr>
          <w:rFonts w:hint="eastAsia"/>
          <w:highlight w:val="none"/>
        </w:rPr>
      </w:pP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lang w:val="en-US" w:eastAsia="zh-CN"/>
        </w:rPr>
      </w:pPr>
      <w:r>
        <w:rPr>
          <w:rFonts w:hint="eastAsia" w:ascii="宋体" w:hAnsi="宋体" w:eastAsia="宋体"/>
          <w:b/>
          <w:sz w:val="28"/>
          <w:szCs w:val="28"/>
          <w:highlight w:val="none"/>
          <w:lang w:val="en-US" w:eastAsia="zh-CN"/>
        </w:rPr>
        <w:t xml:space="preserve"> </w:t>
      </w:r>
      <w:bookmarkStart w:id="57" w:name="_Toc29879"/>
      <w:r>
        <w:rPr>
          <w:rFonts w:hint="eastAsia" w:ascii="宋体" w:hAnsi="宋体" w:eastAsia="宋体"/>
          <w:b/>
          <w:sz w:val="28"/>
          <w:szCs w:val="28"/>
          <w:highlight w:val="none"/>
          <w:lang w:val="en-US" w:eastAsia="zh-CN"/>
        </w:rPr>
        <w:t>24小时值班休息室</w:t>
      </w:r>
      <w:bookmarkEnd w:id="57"/>
    </w:p>
    <w:tbl>
      <w:tblPr>
        <w:tblStyle w:val="32"/>
        <w:tblW w:w="13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1857"/>
        <w:gridCol w:w="9506"/>
        <w:gridCol w:w="694"/>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64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24小时值班休息室配套设备设施预算清单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全白蜡木衣帽架</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尺寸：450*450*1790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材料：全白蜡木</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全胡桃木衣帽架</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尺寸：450*450*1790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材料：全胡桃木</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白蜡木全实木鞋柜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尺寸：960*380*1280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材料：主材白蜡木全实木，抽屉盒辅材橡胶木。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白蜡木全实木沙发</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1+3尺寸：单人位1380*990*900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三人位2430*990*900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材质：沙发背板、脚、底架框采用白蜡木全实木，底板条选用辅材橡胶木。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面料：紫罗兰棉麻。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填充物：坐垫选用高密度回弹海绵，靠背、腰枕选用优质羽绒填充；软体面料可拆洗。</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白蜡木全实木茶几</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尺寸：1350*700*450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材料：主材白蜡木全实木，抽屉盒辅材橡胶木。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白蜡木全实木角几</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尺寸：600*600*520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材料：白蜡木全实木。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胡桃木全实木电视机柜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尺寸：1500*450*450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材料：主材白蜡木全实木，抽屉盒辅材橡胶木。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43寸LED液晶显示器</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43寸智能液晶电视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屏幕比例 16:9；分辨率 1920x1080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颜色分类 黑色；能效等级 三级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电视类型  LED电视；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接口类型 网口，USB2.0，音视频输入，HDMI，有线/天线输入，HDMI接口数量 1个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接收制式 PAL NTSC；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视频显示格式 1080p；</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白蜡木全实木床</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外径尺寸：2110*1940*1010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床板尺寸：1800*2000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材料：床头、床架白蜡木全实木；床板松木。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白蜡木全实木床头柜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尺寸：480*400*480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主材白蜡木全实木，抽屉盒辅材橡胶木。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远红外中弹棉+释压棉组合床垫</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 180*200cm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主要填充∶远红外中弹棉+释压棉组合。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纺缝层：远红外中弹棉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厚 度∶24cm （±1cm）远红外中弹棉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 色∶ 白色、咖色围边针织面料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释压棉组合层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健康环保，无异味，透气排湿，防螨防虫，舒适散压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设计类别∶立体三边设计</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白蜡木全实木书桌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尺寸：1500*750*760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主材：白蜡木全实木，抽屉盒辅材橡胶木。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高密度海棉书椅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尺寸:505✘565✘825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材料:高密度海棉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主框 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软包部分:耐水解</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白蜡木全实木休闲椅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尺寸：760*760*840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材料：白蜡木全实木。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软体：面料采用紫罗兰棉麻布，坐垫选用高密度海绵，腰枕采用公仔棉。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60升带防电墙热水器</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60升带防电墙热水器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颜色分类 白 珠光白 白色新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能效等级 一级、电脑板显示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款式 横式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加热功率 2000W-2500W</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胡桃木全实木沙发</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单人位：890*1020*860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三人：890*2070*860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材质：沙发扶手、背板、脚、底架框采用胡桃木全实木，底板条选用辅材橡胶木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填充物：坐垫选用高密度回弹海绵，靠背、腰枕选用优质羽绒填充；软体面料可拆洗。</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胡桃木全实木茶几</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尺寸：1350*700*480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胡桃木全实木角几</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尺寸：680*680*520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胡桃木全实木茶桌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尺寸：1500*850*750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胡桃木全实木茶櫈</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尺寸：530*530*730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200升直冷式冰箱</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200升直冷式冰箱</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最大容积 200L 冷冻室容积 43L 冷藏室容积 122L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面板类型 金属；制冷方式 直冷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颜色分类 芭蕾白；箱门结构 三门式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制冷控制系统 机械温控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能效等级 三级；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噪声 38dB；耗电量 0.66Kwh/24h</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胡桃木全实木书桌</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尺寸：2200*750*760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主材胡桃木全实木，抽屉盒辅材橡胶木。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产品介绍：面板整体采用实木直拼工艺，面厚2.8厘米，抽屉板厚1.5厘米。</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白蜡木实木办公椅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尺寸：580*580*730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材料：耐水解pu 高密度海绵 白蜡木实木做烟熏色</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胡桃木全实木床</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尺寸：2160*1960*1100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材料：床头、床架胡桃木全实木；床板松木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油漆：开放漆，一底两面。</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胡桃木全实木床头柜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尺寸：500*400*480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胡桃木全实木电视机柜</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尺寸：2200*400*480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58寸LED液晶显示器</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58寸4K智能液晶电视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屏幕比例 16:9；分辨率 3840×2160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颜色分类 黑色；能效等级 四级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电视类型 LED电视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接口类型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有线/天线输入*1；USB2.0*2；音视频输入*1；HDMI2.0*2（一路支持ARC）；网口*1；数字音频输出（同轴）×1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HDMI接口数量 2个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接收制式 PAL NTSC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视频显示格式 2160p</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胡桃木全实木休闲椅</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尺寸：970*740*760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油漆：开放漆，一底两面。                      </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8kg洗衣机</w:t>
            </w:r>
          </w:p>
        </w:tc>
        <w:tc>
          <w:tcPr>
            <w:tcW w:w="9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洗涤公斤量 8kg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洗涤功率 400W；脱水功率 400W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洗衣程序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快洗 单甩 单排 标准洗 单脱水 浸泡洗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使用方式 全自动；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排水方式 下排水;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能效等级 一级；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产品类型 波轮洗衣机；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开合方式 顶开式;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箱体材质 镀锌钢板；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内桶材质 不锈钢;</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bl>
    <w:p>
      <w:pPr>
        <w:rPr>
          <w:rFonts w:hint="eastAsia"/>
          <w:highlight w:val="none"/>
        </w:rPr>
      </w:pPr>
      <w:r>
        <w:rPr>
          <w:rFonts w:hint="eastAsia"/>
          <w:highlight w:val="none"/>
        </w:rPr>
        <w:br w:type="page"/>
      </w:r>
    </w:p>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lang w:val="en-US" w:eastAsia="zh-CN"/>
        </w:rPr>
      </w:pPr>
      <w:r>
        <w:rPr>
          <w:rFonts w:hint="eastAsia" w:ascii="宋体" w:hAnsi="宋体" w:eastAsia="宋体"/>
          <w:b/>
          <w:sz w:val="28"/>
          <w:szCs w:val="28"/>
          <w:highlight w:val="none"/>
          <w:lang w:val="en-US" w:eastAsia="zh-CN"/>
        </w:rPr>
        <w:t xml:space="preserve"> </w:t>
      </w:r>
      <w:bookmarkStart w:id="58" w:name="_Toc9505"/>
      <w:r>
        <w:rPr>
          <w:rFonts w:hint="eastAsia" w:ascii="宋体" w:hAnsi="宋体" w:eastAsia="宋体"/>
          <w:b/>
          <w:sz w:val="28"/>
          <w:szCs w:val="28"/>
          <w:highlight w:val="none"/>
          <w:lang w:val="en-US" w:eastAsia="zh-CN"/>
        </w:rPr>
        <w:t>餐厅设施</w:t>
      </w:r>
      <w:bookmarkEnd w:id="58"/>
    </w:p>
    <w:tbl>
      <w:tblPr>
        <w:tblStyle w:val="32"/>
        <w:tblW w:w="13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
        <w:gridCol w:w="1857"/>
        <w:gridCol w:w="9487"/>
        <w:gridCol w:w="731"/>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659" w:type="dxa"/>
            <w:gridSpan w:val="5"/>
            <w:tcBorders>
              <w:top w:val="single" w:color="000000" w:sz="4" w:space="0"/>
              <w:left w:val="single" w:color="000000" w:sz="4" w:space="0"/>
              <w:bottom w:val="single" w:color="000000" w:sz="4" w:space="0"/>
              <w:right w:val="single" w:color="000000" w:sz="4" w:space="0"/>
            </w:tcBorders>
            <w:noWrap/>
            <w:vAlign w:val="center"/>
          </w:tcPr>
          <w:p>
            <w:pPr>
              <w:rPr>
                <w:rFonts w:ascii="等线" w:hAnsi="等线" w:eastAsia="等线" w:cs="等线"/>
                <w:b/>
                <w:bCs/>
                <w:i w:val="0"/>
                <w:iCs w:val="0"/>
                <w:color w:val="000000"/>
                <w:sz w:val="22"/>
                <w:szCs w:val="22"/>
                <w:highlight w:val="none"/>
                <w:u w:val="none"/>
              </w:rPr>
            </w:pPr>
            <w:r>
              <w:rPr>
                <w:rFonts w:hint="eastAsia"/>
                <w:highlight w:val="none"/>
              </w:rPr>
              <w:br w:type="page"/>
            </w:r>
            <w:r>
              <w:rPr>
                <w:rFonts w:hint="eastAsia" w:ascii="等线" w:hAnsi="等线" w:eastAsia="等线" w:cs="等线"/>
                <w:b/>
                <w:bCs/>
                <w:i w:val="0"/>
                <w:iCs w:val="0"/>
                <w:color w:val="000000"/>
                <w:kern w:val="0"/>
                <w:sz w:val="22"/>
                <w:szCs w:val="22"/>
                <w:highlight w:val="none"/>
                <w:u w:val="none"/>
                <w:lang w:val="en-US" w:eastAsia="zh-CN" w:bidi="ar"/>
              </w:rPr>
              <w:t>餐厅设施预算清单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胡桃木餐桌</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尺寸：φ3000*800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材料；桌面为胡桃木饰面，脚座为超纤皮硬包，电动转盘为鱼肚白人造石</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胡桃木餐桌</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尺寸：φ2200*800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材料；桌面为胡桃木饰面，脚座为超纤皮硬包，电动转盘为鱼肚白人造石</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胡桃木餐椅</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尺寸：530*560*850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材料；餐椅脚架为胡桃木实木，拉丝金色不锈钢脚套，其它为米色和橙色超纤皮软包，</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胡桃木茶桌</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尺寸：2200*900*750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材料：全胡桃木</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胡桃木茶櫈</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尺寸：530*440*750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材料：胡桃木全实木   </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胡桃木衣帽架</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尺寸：450*450*1790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材料：全胡桃木</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胡桃木小茶几</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尺寸：500*500*500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材料：胡桃木</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10升小厨宝</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10升小厨宝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出水类型 上出水；能效等级 二级;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厨宝类型 储水式；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最大容积 10L；加热功率 1500W;</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70寸智能液晶电视</w:t>
            </w:r>
          </w:p>
        </w:tc>
        <w:tc>
          <w:tcPr>
            <w:tcW w:w="9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70寸智能液晶电视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屏幕比例 16:9；分辨率 4K;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颜色分类 黑色；能效等级 三级;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接口类型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有线/天线输入*1；音视频输入*1；数字音频输出*1 HDMI LAN端子 USB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HDMI接口数量 2个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接收制式 PAL NTSC；视频显示格式 2160p</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bl>
    <w:p>
      <w:pPr>
        <w:pStyle w:val="95"/>
        <w:numPr>
          <w:ilvl w:val="2"/>
          <w:numId w:val="9"/>
        </w:numPr>
        <w:tabs>
          <w:tab w:val="left" w:pos="709"/>
        </w:tabs>
        <w:spacing w:before="156" w:beforeLines="50" w:after="156" w:afterLines="50" w:line="360" w:lineRule="auto"/>
        <w:ind w:left="0" w:leftChars="0" w:firstLine="0" w:firstLineChars="0"/>
        <w:outlineLvl w:val="2"/>
        <w:rPr>
          <w:rFonts w:hint="eastAsia" w:ascii="宋体" w:hAnsi="宋体" w:eastAsia="宋体"/>
          <w:b/>
          <w:sz w:val="28"/>
          <w:szCs w:val="28"/>
          <w:highlight w:val="none"/>
          <w:lang w:val="en-US" w:eastAsia="zh-CN"/>
        </w:rPr>
      </w:pPr>
      <w:r>
        <w:rPr>
          <w:rFonts w:hint="eastAsia" w:ascii="宋体" w:hAnsi="宋体" w:eastAsia="宋体"/>
          <w:b/>
          <w:sz w:val="28"/>
          <w:szCs w:val="28"/>
          <w:highlight w:val="none"/>
          <w:lang w:val="en-US" w:eastAsia="zh-CN"/>
        </w:rPr>
        <w:t xml:space="preserve"> </w:t>
      </w:r>
      <w:bookmarkStart w:id="59" w:name="_Toc24419"/>
      <w:r>
        <w:rPr>
          <w:rFonts w:hint="eastAsia" w:ascii="宋体" w:hAnsi="宋体" w:eastAsia="宋体"/>
          <w:b/>
          <w:sz w:val="28"/>
          <w:szCs w:val="28"/>
          <w:highlight w:val="none"/>
          <w:lang w:val="en-US" w:eastAsia="zh-CN"/>
        </w:rPr>
        <w:t>厨房设施</w:t>
      </w:r>
      <w:bookmarkEnd w:id="59"/>
    </w:p>
    <w:tbl>
      <w:tblPr>
        <w:tblStyle w:val="32"/>
        <w:tblW w:w="13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8"/>
        <w:gridCol w:w="1726"/>
        <w:gridCol w:w="9785"/>
        <w:gridCol w:w="712"/>
        <w:gridCol w:w="753"/>
        <w:gridCol w:w="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65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厨房设施配置预算清单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招标参数要求</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四层栅架</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规格：1000*500*1530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说明：采用优质SUS304-2B不锈钢板制作，每层板厚1.2mm，加强筋采用25*50mm不锈钢矩形管，立柱φ38*1.0mm不锈钢圆管，配置加厚型不锈钢封口盖和φ38全不锈钢可调活动子弹脚。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四门风冷冰箱</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规格：1220*810*1940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功率：220V/700kw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柜内304不锈钢制作，门把手，搁架，门封条全部在加工时加入了银离子系抗菌剂，有效防止细菌滋生，先进的环保环戊烷发泡剂作为保温层，冷媒采用R404A环保冷媒，智能温度控制器，无中柱设计，制冷方式：风冷，自动除霜，有效容积：910L，温度范围：-6℃-12℃，≤-18℃。</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封闭式残食台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规格：700*700*800/150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说明：采用优质SUS304-2B不锈钢制作，板厚1.2mm，全封闭落地式，分体可推入式回收车带φ50cm不锈钢桶，车身底部装有承重塑胶静音轮4只，两只带万向刹车。</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单星盆台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规格：800*700*800/150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说明：采用优质SUS304-2B不锈钢制作，面板厚1.2mm，水斗厚1.0mm，立柱采用φ38*1.0mm不锈钢圆管，拉档采用φ25*1.0mm不锈钢管，配全钢可调子弹脚，配优质不锈钢大号带孔接污斗落水器。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定制工作台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规格：800*700*800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说明：采用优质SUS304-2B不锈钢制作，面板厚1.2mm,下衬12mm防潮板减噪；下层格栅采用38*25不锈钢矩形管；脚通φ38*1.0mm不锈钢圆管，配φ38全不锈钢可调活动子弹脚。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大单星盆台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规格：1000*700*800/150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说明：采用优质SUS304-2B不锈钢制作，面板厚1.2mm，水斗厚1.0mm，立柱采用φ38*1.0mm不锈钢圆管，拉档采用φ25*1.0mm不锈钢管，配全钢可调子弹脚，配优质不锈钢大号带孔接污斗落水器。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油水分离器</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规格：600*400*300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说明：采用优质SUS304-2B不锈钢制作，厚度1.2mm，过滤网浮游物隔离，过滤拦截板深层过滤，装有滤渣栏、储油盒等结构，挡油板一道，阻流二道，三道过滤，有效分离油、水等杂质。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挂墙热水器</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规格：80L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圆形壁挂式全电脑、全感应安防系统，防超温、防干烧、防超压、防漏电，单旋纽调节，蓝钻内胆，IP*4级防水设计，全自动控制，自动补充冷水，自动加热超长低热负荷发热管。采用黄钻内胆,防腐、抗压、防爆,比普通市场内胆更经久耐用加强型防电墙,相当于普通电墙电阻的2倍,安全防护系统自动断电,防导电亚光面板,LED液晶显示,漩涡速热提高热效率80%,超长加热管定时预热加热节能模式:第三代塔式进水系统操作方式:轻触式按键+遥控器加热功率：5000W节能能效：一级</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热风循环高温消毒柜</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规格：1310*650*1980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说明：超大功率消毒，120摄氏度立体循环风高温杀菌、杀毒效果彻底、无死角，温度范围：20-125℃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消毒方式：热风循环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容积：720L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功率：220V/4.4kW</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封闭式刀具砧板消毒柜</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规格：900*600*1800功率：220v /3kW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说明：整体采用优质SUS304-2B不锈钢制作，板厚均δ=1.0mm，上层刀具消毒，下层，菜墩消毒，中间带抽屉，采用高温紫外线消毒，消毒灭菌彻底，充分消毒无死角。</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平冷风冷冰箱</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规格：1800*760*800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功率：0.3kW/220V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柜内304不锈钢制作，门把手，搁架，门封条全部在加工时加入了银离子系抗菌剂，有效防止细菌滋生，先进的环保环戊烷发泡剂作为保温层，冷媒采用R404A环保冷媒，智能温度控制器，无中柱设计，温度范围：-6℃～12℃，≤-10℃，制冷方式：风冷。</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双层工作台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规格：1800*800*800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说明：采用优质SUS304-2B不锈钢板制作，面板板厚1.0mm，下层板板厚0.8mm。加强筋全部采用板厚1.0mm不锈钢板制作，面板4根，下层板2根，立柱采用φ50*1.0mm不锈钢管材，配全钢可调子弹脚。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台上双层架</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规格：1500*600*700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说明：整体采用SUS304不锈钢制作，厚度1.2mm,支撑管采用φ38mm*1.0mm厚不锈钢圆管制作。</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单通工作台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规格：1800*800*800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说明：采用优质SUS304-2B不锈钢板制作内置一层板，台面板厚1.2mm，侧板、门面厚1.0mm；底板、层板、后背板厚0.8mm；配Φ50*150不锈钢重力脚；单面配有覆式双移门。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调料台</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规格：500*900*800/400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说明：说明：采用优质304-2B不锈钢板制作，面板板厚1.2mm，靠背与炉灶后背同高。立柱采用φ38*1.0mm不锈钢管材，拉档采用φ25*1.0mm不锈钢管，配全钢可调子弹脚。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电磁双头单尾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小炒灶</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规格：1750*900*80+400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1、规格：1750*1140*（800+400）mm；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2、额定电压、功率：380V~、15kW/头*2头；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3、采用电磁感应加热技术，电磁感应线圈感应发热面直径≧Φ310mm；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4、加热速度∶380V、15kW，常压下，29℃，15kg自来水，加热至99℃所需时间，≦6分钟；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5、加热效果：电磁灶感应加热面具有仿明火效果，即中心点无明显空白加热区（盲区），而且锅中心区域水花跳高现象效果明显强或高于沿锅壁往上的周边水花跳高效果；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6、锅具：2个，直径≧500mm，深≧160mm；锅具净重，≧2.35kg/个；容量，≧17L/个；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7、锅具材质：采用≧厚1.2mm的443#不锈钢板防腐蚀锅；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8、整机采用SUS304#不锈钢板材制作：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A、面板、框架：釆用≥1.2mm 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B、侧板、底板、门板：釆用≥1.0mm 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C、支架∶不锈钢方管厚度≥1.0mm，不锈钢圆管厚度≥1.0mm；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D、加强筋∶采用≥25mm×25mm×厚1.2mm或≥厚1.2mm不锈钢马仔，巩固炉面承重功能保证炉面不会因为承重而塌落变形；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E、后边梁采用闭合结构，前边梁内置25*25*厚1.2mm不锈钢方通加力，确保承受坚固有力;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F、进水系统∶上水管，Φ4分*厚3.0mm管件；出水管，Φ4分*250mm304#不锈钢豪华摇摆龙头；实现摇摆龙头稳固安装，不会因为龙头长期摇动导致龙头脱落；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G、排水系统∶设有宽 60×深30mm集水沟，及厚0.8~1.0mm网孔隔渣板，并采用厚Φ38*1.2mm排水，达成渣水分离，炉面排水顺畅不积水，易清洁；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H、脚管∶采用Φ51*厚1.2mm不锈钢圆管，采用直穿过底板通顶炉面板直接承重，确保灶具随意拖动也不会造成脚管变形；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I、脚顶∶采用Φ51mm全钢重力可调节不锈钢脚顶，调节范围10~40mm，利于吻合现场不平整地面安装;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J、炉面板采用一体冲压拉深成型工艺，保证炉面板不漏水，不藏污纳垢；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K、底板离地200mm，方便炉底地面清洁，保证环境干净卫生；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9、主机外壳采用采用304#不锈钢板材制作，并采用独立散热风道及380V静音散热风机设计，散热快、低噪音、避免油烟侵蚀电路；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电磁双头单尾50小炒灶配置的档位开关及显示屏能在（29±1）℃、（90%～100%）RH条件下经受≧28d黑曲霉菌污染后在放大50倍下没有发现明显长霉，符合GB/T2423.16-2008标准；并密封防尘达IP6X级别，符合GB/T 4208-2017标准的检测；在水深≧2m、浸泡≧60min防水级别达IPX8试验，符合GB 4706.1-2005标准的国标检测；报告须带有CMA、CNAS、ilac-MRA、中国认可国际互认检测标志；相关报告提供省级或省级以上质量监督机构出具的证明材料扫描件及网络查询链接、网络查询截图佐证。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电磁双头单尾炒灶整机须经过符合GB4806.1-2016、GB4806.9-2016、GB 31604.1-2015、GB31604.49-2016、GB 5009.156-2016标准的食品接触卫生检测；符合GB 4806.7-2016、GB 4806.9-2016、GB 4806.11-2016标准的食品接触安全检测；符GB4706.1-2005、GB4706.52-2008标准的安全型式检测；同时具有食品接触卫生、食品接触安全、产品认证相关认证标志检测报告和认证证书，且该型号产品名称与型号必须在相关报告和证书的附录清单中；提供CVC、CQC出具的相关报告和证书扫描件佐证，相关证书附录清单内容以“全国认证认可信息公共服务平台”查询核对为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柜式电磁四眼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煲仔炉</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1、规格：800*800* （800+150）mm；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2、额定电压、功率：220V~、3.5kW/头*4头；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3、锅具：4个，Φ200*h100mm；容量，3L/个；锅具净重，1.5kg/个；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4、锅具材质：443#防腐蚀不锈钢；厚度，≧1.0~2.0mm；工艺，一体冲压拉深成型；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5、微晶板：微晶板，4块，300*300*6mm/块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6、整机采用SUS304#不锈钢板材制作：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A、面板、框架：釆用≥1.2mm 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B、侧板、底板、门板：釆用≥1.0mm 板材；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C、支架∶不锈钢方管厚度≥1.0mm，不锈钢圆管厚度≥1.0mm；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D、加强筋∶采用≥25mm×25mm×厚1.2mm或≥厚1.2mm不锈钢马仔，巩固炉面承重功能保证炉面不会因为承重而塌落变形；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E、后边梁采用闭合结构，前边梁内置25*25*厚1.2mm不锈钢方通加力，确保承受坚固有力;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F、脚管∶采用Φ51*厚1.2mm不锈钢圆管，采用直穿过底板通顶炉面板直接承重，确保灶具随意拖动也不会造成脚管变形;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J、脚顶∶采用Φ51mm全钢重力可调节不锈钢脚顶，调节范围10~40mm，利于吻合现场不平整地面安装;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H、炉面板左右后边梁采用连折无焊接工艺，炉面锅圈采用一体冲压拉深成型工艺，保证炉面板不漏水，不藏污纳垢;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I、底板离地200mm，方便炉底地面清洁，保证环境干净卫生;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7、火力调节：触屏式火力调节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8、集成故障组合代码显示功能：发生故障时，数码屏上自动显示英文字母+阿拉伯数字组合式故障代码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电磁四眼煲仔炉整机所配的IGBT模块和整流桥需具有通过在225V下进行≧5次50滴溶液耐电痕化测试，符合GB/T 4207-2012标准；承受960℃灼热丝30S试验，符合GB/T5169.11-2017标准；能抵御≧12mm针焰30S灼烧无碍</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电热海鲜蒸柜</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规格：900*880*1850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规格：采用优质不锈钢制作，一体成型柜体设计，整体板材厚度1.2mm，外置排水开关，高水箱低水位设计，自锁防拉出层架轨道设计，双低水位保护与干烧保护配合，内腔无焊点处理，3mm超厚水箱内胆，液体膨胀式干烧保护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功率：380V/24KW</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不锈钢油烟净化一体机</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规格：5800*1200*660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功率：380V/2.2kW*2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选用SUS304优质不锈钢拉丝板制作，δ=1.0mm，特制的耐高温耐高湿的外转子电机,F级绝缘，耐温度155度，防护等级IP54不怕水汽，不怕粉尘，轴承NSK,高温润滑脂。电机耐久可靠。风机：多翼风机,双进风，电机直连传动，风量5000m3/h,全压700Pa。风机是全部钢板模具冲压成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净化器：烟罩一体油烟净化机是两级净化，第一级是滤油栅，油烟经过滤油栅时通过撞击、折转，大颗粒的油和灰粒等颗粒被截留，顺油道流入油盒。滤油栅净化效率60-80%。第二级净化采用滤筒式净化器，金属滤筒内装有高分子净化滤层，净化效率90%以上。滤筒净化是精细过滤，排出达标的气体。消声器:采用箱式消声器，风机置于消声箱内，隔断声音向室内传播。消声器内衬消声材料和消声穿孔板,消声量14dB(A)。</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烟管</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规格：按实际计算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说明：排烟烟管采用优质SUS304-2B厚度为1.0mm的不锈钢板制作，连接处为不锈钢法兰，采用不锈钢铆钉连接。</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一体机变频启动箱</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规格：与一体机配套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说明：排油烟风机变频控制，含过载保护器、空气开关漏电保护，前置净化机、后置净化机与风机联动控制，新风风机单独控制。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灭蝇灯</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说明：三维仿生光波，对蚊虫更诱惑；固化玻璃灯管，弧形聚光，诱蚊更强；低功率灯管，节能省点；360度大范围诱捕，易于清理无二次污染。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功率：220V/40w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具有有效期内产品保险。</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风幕机</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规格：1500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说明：纯铜电机，超长寿命，优化电机，持久耐用；优质风轮，呈自然风，稳定卓越，噪音小，风速快；金属防锈外壳，整体亮面喷漆，防锈并且坚固。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功率：220V/0.3kw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紫外线消毒灯</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电压:220V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功率:40W</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冷热水龙头</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规格：冷热水型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说明：优质不锈钢材质，陶瓷阀芯或全铜阀芯；冷热水型。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不锈钢地沟槽带盖板</w:t>
            </w: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规格：17200*W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说明：地沟槽采用优质340不锈钢制作，厚度1.2mm，数控折弯成型，焊接支架使其更加坚固耐用，地沟盖板采用不锈钢制作，厚度2.0mm，带防滑防鼠条，美观耐腐蚀。</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70" w:hRule="atLeast"/>
        </w:trPr>
        <w:tc>
          <w:tcPr>
            <w:tcW w:w="2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其他费用</w:t>
            </w:r>
          </w:p>
        </w:tc>
        <w:tc>
          <w:tcPr>
            <w:tcW w:w="97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7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85"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应急设备搬迁费用</w:t>
            </w:r>
          </w:p>
        </w:tc>
        <w:tc>
          <w:tcPr>
            <w:tcW w:w="9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包含应急局需搬迁设备的所有拆除，安装费用</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85"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项目运维人员</w:t>
            </w:r>
          </w:p>
        </w:tc>
        <w:tc>
          <w:tcPr>
            <w:tcW w:w="9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现场驻点运维人员3人</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285"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系统集成</w:t>
            </w:r>
          </w:p>
        </w:tc>
        <w:tc>
          <w:tcPr>
            <w:tcW w:w="9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本项目内所供设备设施系统集成，安装调试费用</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5" w:type="dxa"/>
          <w:trHeight w:val="371"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平台对接</w:t>
            </w:r>
          </w:p>
        </w:tc>
        <w:tc>
          <w:tcPr>
            <w:tcW w:w="9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FF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需与永康市智慧城市指挥调度各平台的信号对接。</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FF0000"/>
                <w:kern w:val="0"/>
                <w:sz w:val="20"/>
                <w:szCs w:val="20"/>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9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rPr>
          <w:rFonts w:hint="eastAsia"/>
          <w:highlight w:val="none"/>
        </w:rPr>
      </w:pPr>
    </w:p>
    <w:p>
      <w:pPr>
        <w:spacing w:line="360" w:lineRule="auto"/>
        <w:rPr>
          <w:rFonts w:hint="eastAsia" w:ascii="宋体" w:hAnsi="宋体" w:cs="宋体"/>
          <w:b/>
          <w:bCs/>
          <w:sz w:val="44"/>
          <w:szCs w:val="44"/>
          <w:highlight w:val="none"/>
        </w:rPr>
      </w:pPr>
    </w:p>
    <w:p>
      <w:pPr>
        <w:pStyle w:val="2"/>
        <w:rPr>
          <w:rFonts w:hint="eastAsia"/>
          <w:lang w:val="en-US" w:eastAsia="zh-CN"/>
        </w:rPr>
      </w:pPr>
    </w:p>
    <w:p>
      <w:pPr>
        <w:rPr>
          <w:rFonts w:hint="eastAsia" w:ascii="宋体" w:hAnsi="宋体" w:eastAsia="宋体"/>
          <w:b/>
          <w:bCs/>
          <w:color w:val="000000"/>
          <w:sz w:val="52"/>
          <w:szCs w:val="52"/>
        </w:rPr>
      </w:pPr>
      <w:r>
        <w:rPr>
          <w:rFonts w:hint="eastAsia" w:ascii="宋体" w:hAnsi="宋体" w:eastAsia="宋体"/>
          <w:b/>
          <w:bCs/>
          <w:color w:val="000000"/>
          <w:sz w:val="52"/>
          <w:szCs w:val="52"/>
          <w:lang w:eastAsia="zh-CN"/>
        </w:rPr>
        <w:t>二、</w:t>
      </w:r>
      <w:r>
        <w:rPr>
          <w:rFonts w:hint="eastAsia" w:ascii="宋体" w:hAnsi="宋体" w:eastAsia="宋体"/>
          <w:b/>
          <w:bCs/>
          <w:color w:val="000000"/>
          <w:sz w:val="52"/>
          <w:szCs w:val="52"/>
        </w:rPr>
        <w:t>商务要求</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1、安装和调试：</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中标人</w:t>
      </w:r>
      <w:r>
        <w:rPr>
          <w:rFonts w:hint="eastAsia" w:ascii="宋体" w:hAnsi="宋体" w:eastAsia="宋体" w:cs="宋体"/>
          <w:kern w:val="0"/>
          <w:sz w:val="24"/>
          <w:szCs w:val="24"/>
        </w:rPr>
        <w:t>负责全过程的施工、安装、调试、试运行工作。</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中标人</w:t>
      </w:r>
      <w:r>
        <w:rPr>
          <w:rFonts w:hint="eastAsia" w:ascii="宋体" w:hAnsi="宋体" w:eastAsia="宋体" w:cs="宋体"/>
          <w:kern w:val="0"/>
          <w:sz w:val="24"/>
          <w:szCs w:val="24"/>
        </w:rPr>
        <w:t>应提供安装计划给需方认可。安装时供方须派有工作经验的工程师负责安装。</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中标人所提供的货物必须是全新出厂原装合格产品（包括零部件），完全符合国家现行技术规格和质量标准，并须提供配套的标配附件、工具和使用说明书、合格证、维修维护指南或服务手册等技术资料文件。</w:t>
      </w:r>
    </w:p>
    <w:p>
      <w:pPr>
        <w:widowControl w:val="0"/>
        <w:snapToGrid w:val="0"/>
        <w:spacing w:line="500" w:lineRule="exac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（4）投标商需持有或承诺中标后提供所集成设备原生产厂家的授权或针对本项目的专项授权函作为技术和服务的资格证明。</w:t>
      </w:r>
    </w:p>
    <w:p>
      <w:pPr>
        <w:pStyle w:val="2"/>
        <w:rPr>
          <w:rFonts w:hint="eastAsia"/>
        </w:rPr>
      </w:pP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2、技术培训；供方须对需方的操作人员进行维修培训和运行培训。培训到用户满意为止。</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3、实施进度要求：</w:t>
      </w:r>
      <w:r>
        <w:rPr>
          <w:rFonts w:hint="eastAsia" w:ascii="宋体" w:hAnsi="宋体" w:eastAsia="宋体" w:cs="宋体"/>
          <w:b/>
          <w:bCs/>
          <w:kern w:val="0"/>
          <w:sz w:val="24"/>
          <w:szCs w:val="24"/>
          <w:lang w:val="en-US" w:eastAsia="zh-CN"/>
        </w:rPr>
        <w:t>本项目从签订合同之日后起4个月内，项目应完工并交付试运行。</w:t>
      </w:r>
      <w:r>
        <w:rPr>
          <w:rFonts w:hint="eastAsia" w:ascii="宋体" w:hAnsi="宋体" w:eastAsia="宋体" w:cs="宋体"/>
          <w:kern w:val="0"/>
          <w:sz w:val="24"/>
          <w:szCs w:val="24"/>
        </w:rPr>
        <w:t>供方进场施工要提供施工进度计划表，施工进度计划表需要需方确认。供方保证项目实施的技术力量必须按时完工。</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4、施工安全要求：供方在施工过程中，应严格遵守安全施工的相关规范，应按相应安全规程操作，如在施工过程中发生安全事故，责任由供方自负。</w:t>
      </w:r>
    </w:p>
    <w:p>
      <w:pPr>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验收</w:t>
      </w:r>
      <w:r>
        <w:rPr>
          <w:rFonts w:hint="eastAsia" w:ascii="宋体" w:hAnsi="宋体" w:eastAsia="宋体" w:cs="宋体"/>
          <w:color w:val="auto"/>
          <w:kern w:val="0"/>
          <w:sz w:val="24"/>
          <w:szCs w:val="24"/>
          <w:highlight w:val="none"/>
          <w:lang w:eastAsia="zh-CN"/>
        </w:rPr>
        <w:t>符合以下的</w:t>
      </w:r>
      <w:r>
        <w:rPr>
          <w:rFonts w:hint="eastAsia" w:ascii="宋体" w:hAnsi="宋体" w:eastAsia="宋体" w:cs="宋体"/>
          <w:color w:val="auto"/>
          <w:kern w:val="0"/>
          <w:sz w:val="24"/>
          <w:szCs w:val="24"/>
          <w:highlight w:val="none"/>
        </w:rPr>
        <w:t>技术规范和</w:t>
      </w:r>
      <w:r>
        <w:rPr>
          <w:rFonts w:hint="eastAsia" w:ascii="宋体" w:hAnsi="宋体" w:eastAsia="宋体" w:cs="宋体"/>
          <w:color w:val="auto"/>
          <w:kern w:val="0"/>
          <w:sz w:val="24"/>
          <w:szCs w:val="24"/>
          <w:highlight w:val="none"/>
          <w:lang w:eastAsia="zh-CN"/>
        </w:rPr>
        <w:t>标准</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bookmarkStart w:id="60" w:name="_Toc17199540"/>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rPr>
        <w:t>《智能建筑设计标准》GB/T50314-2015</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rPr>
        <w:t>《智能建筑工程施工规范》GB50606-2010</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《智能建筑工程质量验收规范》GB50339-2013</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rPr>
        <w:t>《建筑智能化系统设计规范》DBJ50/T-175-2014</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5.</w:t>
      </w:r>
      <w:r>
        <w:rPr>
          <w:rFonts w:hint="eastAsia" w:ascii="宋体" w:hAnsi="宋体" w:eastAsia="宋体" w:cs="宋体"/>
          <w:sz w:val="24"/>
          <w:szCs w:val="24"/>
          <w:shd w:val="clear" w:color="auto" w:fill="FFFFFF"/>
        </w:rPr>
        <w:t>《电子会议系统工程设计规范》GB50799-2012</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6.</w:t>
      </w:r>
      <w:r>
        <w:rPr>
          <w:rFonts w:hint="eastAsia" w:ascii="宋体" w:hAnsi="宋体" w:eastAsia="宋体" w:cs="宋体"/>
          <w:sz w:val="24"/>
          <w:szCs w:val="24"/>
          <w:shd w:val="clear" w:color="auto" w:fill="FFFFFF"/>
        </w:rPr>
        <w:t>《电子会议系统工程施工与质量验收规范》GB 51043-2014</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7.</w:t>
      </w:r>
      <w:r>
        <w:rPr>
          <w:rFonts w:hint="eastAsia" w:ascii="宋体" w:hAnsi="宋体" w:eastAsia="宋体" w:cs="宋体"/>
          <w:sz w:val="24"/>
          <w:szCs w:val="24"/>
          <w:shd w:val="clear" w:color="auto" w:fill="FFFFFF"/>
        </w:rPr>
        <w:t>《会议系统电及音频的性能要求》GBT 15381-1994</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8.</w:t>
      </w:r>
      <w:r>
        <w:rPr>
          <w:rFonts w:hint="eastAsia" w:ascii="宋体" w:hAnsi="宋体" w:eastAsia="宋体" w:cs="宋体"/>
          <w:sz w:val="24"/>
          <w:szCs w:val="24"/>
          <w:shd w:val="clear" w:color="auto" w:fill="FFFFFF"/>
        </w:rPr>
        <w:t>《会议电视系统工程设计规范》YD5032-2005</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9.</w:t>
      </w:r>
      <w:r>
        <w:rPr>
          <w:rFonts w:hint="eastAsia" w:ascii="宋体" w:hAnsi="宋体" w:eastAsia="宋体" w:cs="宋体"/>
          <w:sz w:val="24"/>
          <w:szCs w:val="24"/>
          <w:shd w:val="clear" w:color="auto" w:fill="FFFFFF"/>
        </w:rPr>
        <w:t>《会议电视会场系统工程设计规范》GB50635-2010</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10.</w:t>
      </w:r>
      <w:r>
        <w:rPr>
          <w:rFonts w:hint="eastAsia" w:ascii="宋体" w:hAnsi="宋体" w:eastAsia="宋体" w:cs="宋体"/>
          <w:sz w:val="24"/>
          <w:szCs w:val="24"/>
          <w:shd w:val="clear" w:color="auto" w:fill="FFFFFF"/>
        </w:rPr>
        <w:t>《红外线同声传译系统工程技术规范》GB 50524-2010</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11.</w:t>
      </w:r>
      <w:r>
        <w:rPr>
          <w:rFonts w:hint="eastAsia" w:ascii="宋体" w:hAnsi="宋体" w:eastAsia="宋体" w:cs="宋体"/>
          <w:sz w:val="24"/>
          <w:szCs w:val="24"/>
          <w:shd w:val="clear" w:color="auto" w:fill="FFFFFF"/>
        </w:rPr>
        <w:t>《厅堂扩声系统设计规范》 GB50371-2006</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12.</w:t>
      </w:r>
      <w:r>
        <w:rPr>
          <w:rFonts w:hint="eastAsia" w:ascii="宋体" w:hAnsi="宋体" w:eastAsia="宋体" w:cs="宋体"/>
          <w:sz w:val="24"/>
          <w:szCs w:val="24"/>
          <w:shd w:val="clear" w:color="auto" w:fill="FFFFFF"/>
        </w:rPr>
        <w:t>《厅堂、体育场馆扩声系统设计规范》GB/T 28049-2011</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13.</w:t>
      </w:r>
      <w:r>
        <w:rPr>
          <w:rFonts w:hint="eastAsia" w:ascii="宋体" w:hAnsi="宋体" w:eastAsia="宋体" w:cs="宋体"/>
          <w:sz w:val="24"/>
          <w:szCs w:val="24"/>
          <w:shd w:val="clear" w:color="auto" w:fill="FFFFFF"/>
        </w:rPr>
        <w:t>《厅堂扩声系统设备互联的优选电气配接法》 SS2112-82</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14.</w:t>
      </w:r>
      <w:r>
        <w:rPr>
          <w:rFonts w:hint="eastAsia" w:ascii="宋体" w:hAnsi="宋体" w:eastAsia="宋体" w:cs="宋体"/>
          <w:sz w:val="24"/>
          <w:szCs w:val="24"/>
          <w:shd w:val="clear" w:color="auto" w:fill="FFFFFF"/>
        </w:rPr>
        <w:t>《厅堂扩音系统的声学特性要求》JGGYJ125</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15.</w:t>
      </w:r>
      <w:r>
        <w:rPr>
          <w:rFonts w:hint="eastAsia" w:ascii="宋体" w:hAnsi="宋体" w:eastAsia="宋体" w:cs="宋体"/>
          <w:sz w:val="24"/>
          <w:szCs w:val="24"/>
          <w:shd w:val="clear" w:color="auto" w:fill="FFFFFF"/>
        </w:rPr>
        <w:t>《扩声系统的声学特性指标与测量方法》WH01-93</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16.</w:t>
      </w:r>
      <w:r>
        <w:rPr>
          <w:rFonts w:hint="eastAsia" w:ascii="宋体" w:hAnsi="宋体" w:eastAsia="宋体" w:cs="宋体"/>
          <w:sz w:val="24"/>
          <w:szCs w:val="24"/>
          <w:shd w:val="clear" w:color="auto" w:fill="FFFFFF"/>
        </w:rPr>
        <w:t>《厅堂扩声系统声学特性指标》GY125-86</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17.</w:t>
      </w:r>
      <w:r>
        <w:rPr>
          <w:rFonts w:hint="eastAsia" w:ascii="宋体" w:hAnsi="宋体" w:eastAsia="宋体" w:cs="宋体"/>
          <w:sz w:val="24"/>
          <w:szCs w:val="24"/>
          <w:shd w:val="clear" w:color="auto" w:fill="FFFFFF"/>
        </w:rPr>
        <w:t xml:space="preserve">《厅堂扩声特性测量方法》GB/T4959-2011 </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18.</w:t>
      </w:r>
      <w:r>
        <w:rPr>
          <w:rFonts w:hint="eastAsia" w:ascii="宋体" w:hAnsi="宋体" w:eastAsia="宋体" w:cs="宋体"/>
          <w:sz w:val="24"/>
          <w:szCs w:val="24"/>
          <w:shd w:val="clear" w:color="auto" w:fill="FFFFFF"/>
        </w:rPr>
        <w:t>《室内混响时间测量规范》GB/T 50076-2013</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19.</w:t>
      </w:r>
      <w:r>
        <w:rPr>
          <w:rFonts w:hint="eastAsia" w:ascii="宋体" w:hAnsi="宋体" w:eastAsia="宋体" w:cs="宋体"/>
          <w:sz w:val="24"/>
          <w:szCs w:val="24"/>
          <w:shd w:val="clear" w:color="auto" w:fill="FFFFFF"/>
        </w:rPr>
        <w:t>《扩声系统工程施工规范》GB 50949-2013</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20.</w:t>
      </w:r>
      <w:r>
        <w:rPr>
          <w:rFonts w:hint="eastAsia" w:ascii="宋体" w:hAnsi="宋体" w:eastAsia="宋体" w:cs="宋体"/>
          <w:sz w:val="24"/>
          <w:szCs w:val="24"/>
          <w:shd w:val="clear" w:color="auto" w:fill="FFFFFF"/>
        </w:rPr>
        <w:t>《声系统设备互联优选配接值》GB/T14197-93</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21.</w:t>
      </w:r>
      <w:r>
        <w:rPr>
          <w:rFonts w:hint="eastAsia" w:ascii="宋体" w:hAnsi="宋体" w:eastAsia="宋体" w:cs="宋体"/>
          <w:sz w:val="24"/>
          <w:szCs w:val="24"/>
          <w:shd w:val="clear" w:color="auto" w:fill="FFFFFF"/>
        </w:rPr>
        <w:t>《声系统设备互联用连接器应用》GB/T14947-94</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22.</w:t>
      </w:r>
      <w:r>
        <w:rPr>
          <w:rFonts w:hint="eastAsia" w:ascii="宋体" w:hAnsi="宋体" w:eastAsia="宋体" w:cs="宋体"/>
          <w:sz w:val="24"/>
          <w:szCs w:val="24"/>
          <w:shd w:val="clear" w:color="auto" w:fill="FFFFFF"/>
        </w:rPr>
        <w:t>《数据中心设计规范》GB50174-2017</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23.</w:t>
      </w:r>
      <w:r>
        <w:rPr>
          <w:rFonts w:hint="eastAsia" w:ascii="宋体" w:hAnsi="宋体" w:eastAsia="宋体" w:cs="宋体"/>
          <w:sz w:val="24"/>
          <w:szCs w:val="24"/>
          <w:shd w:val="clear" w:color="auto" w:fill="FFFFFF"/>
        </w:rPr>
        <w:t>《综合布线系统工程设计规范》GB50311—2016</w:t>
      </w:r>
    </w:p>
    <w:p>
      <w:pPr>
        <w:pStyle w:val="95"/>
        <w:numPr>
          <w:ilvl w:val="0"/>
          <w:numId w:val="0"/>
        </w:numPr>
        <w:spacing w:line="360" w:lineRule="auto"/>
        <w:ind w:left="420" w:leftChars="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24.</w:t>
      </w:r>
      <w:r>
        <w:rPr>
          <w:rFonts w:hint="eastAsia" w:ascii="宋体" w:hAnsi="宋体" w:eastAsia="宋体" w:cs="宋体"/>
          <w:sz w:val="24"/>
          <w:szCs w:val="24"/>
          <w:shd w:val="clear" w:color="auto" w:fill="FFFFFF"/>
        </w:rPr>
        <w:t>《综合布线系统工程验收规范》GB50312—2016</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2、验收方式</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中标单位应提交下列资料：</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rPr>
        <w:t>）成果资料索引及说明；</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b</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设施设备配置清单；</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竣工图纸</w:t>
      </w:r>
      <w:r>
        <w:rPr>
          <w:rFonts w:hint="eastAsia" w:ascii="宋体" w:hAnsi="宋体" w:eastAsia="宋体" w:cs="宋体"/>
          <w:color w:val="auto"/>
          <w:kern w:val="0"/>
          <w:sz w:val="24"/>
          <w:szCs w:val="24"/>
          <w:highlight w:val="none"/>
        </w:rPr>
        <w:t>；</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d</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设备调试运行报告</w:t>
      </w:r>
      <w:r>
        <w:rPr>
          <w:rFonts w:hint="eastAsia" w:ascii="宋体" w:hAnsi="宋体" w:eastAsia="宋体" w:cs="宋体"/>
          <w:color w:val="auto"/>
          <w:kern w:val="0"/>
          <w:sz w:val="24"/>
          <w:szCs w:val="24"/>
          <w:highlight w:val="none"/>
        </w:rPr>
        <w:t>；</w:t>
      </w:r>
    </w:p>
    <w:bookmarkEnd w:id="60"/>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乙方将所供商品运至交货地点，即开始安装、调试，</w:t>
      </w:r>
      <w:r>
        <w:rPr>
          <w:rFonts w:hint="eastAsia" w:ascii="宋体" w:hAnsi="宋体" w:eastAsia="宋体" w:cs="宋体"/>
          <w:color w:val="FF0000"/>
          <w:kern w:val="0"/>
          <w:sz w:val="24"/>
          <w:szCs w:val="24"/>
          <w:highlight w:val="none"/>
          <w:lang w:val="en-US" w:eastAsia="zh-CN"/>
        </w:rPr>
        <w:t>各系统平台信号对接完成</w:t>
      </w:r>
      <w:r>
        <w:rPr>
          <w:rFonts w:hint="eastAsia" w:ascii="宋体" w:hAnsi="宋体" w:eastAsia="宋体" w:cs="宋体"/>
          <w:color w:val="auto"/>
          <w:kern w:val="0"/>
          <w:sz w:val="24"/>
          <w:szCs w:val="24"/>
          <w:highlight w:val="none"/>
          <w:lang w:val="en-US" w:eastAsia="zh-CN"/>
        </w:rPr>
        <w:t>，系统整体交付使用并稳定运行后，</w:t>
      </w:r>
      <w:r>
        <w:rPr>
          <w:rFonts w:hint="eastAsia" w:ascii="宋体" w:hAnsi="宋体" w:eastAsia="宋体" w:cs="宋体"/>
          <w:color w:val="auto"/>
          <w:kern w:val="0"/>
          <w:sz w:val="24"/>
          <w:szCs w:val="24"/>
          <w:highlight w:val="none"/>
          <w:lang w:eastAsia="zh-CN"/>
        </w:rPr>
        <w:t>甲方将会同</w:t>
      </w:r>
      <w:r>
        <w:rPr>
          <w:rFonts w:hint="eastAsia" w:ascii="宋体" w:hAnsi="宋体" w:eastAsia="宋体" w:cs="宋体"/>
          <w:color w:val="auto"/>
          <w:kern w:val="0"/>
          <w:sz w:val="24"/>
          <w:szCs w:val="24"/>
          <w:highlight w:val="none"/>
          <w:lang w:val="en-US" w:eastAsia="zh-CN"/>
        </w:rPr>
        <w:t>第三方</w:t>
      </w:r>
      <w:r>
        <w:rPr>
          <w:rFonts w:hint="eastAsia" w:ascii="宋体" w:hAnsi="宋体" w:eastAsia="宋体" w:cs="宋体"/>
          <w:color w:val="auto"/>
          <w:kern w:val="0"/>
          <w:sz w:val="24"/>
          <w:szCs w:val="24"/>
          <w:highlight w:val="none"/>
          <w:lang w:eastAsia="zh-CN"/>
        </w:rPr>
        <w:t>有关部门以及聘请的技术顾问</w:t>
      </w:r>
      <w:r>
        <w:rPr>
          <w:rFonts w:hint="eastAsia" w:ascii="宋体" w:hAnsi="宋体" w:eastAsia="宋体" w:cs="宋体"/>
          <w:color w:val="auto"/>
          <w:kern w:val="0"/>
          <w:sz w:val="24"/>
          <w:szCs w:val="24"/>
          <w:highlight w:val="none"/>
          <w:lang w:val="en-US" w:eastAsia="zh-CN"/>
        </w:rPr>
        <w:t>进行验收。</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售后服务</w:t>
      </w:r>
    </w:p>
    <w:p>
      <w:pPr>
        <w:spacing w:line="360" w:lineRule="auto"/>
        <w:ind w:firstLine="480" w:firstLineChars="200"/>
        <w:rPr>
          <w:rFonts w:hint="eastAsia" w:ascii="宋体" w:cs="宋体"/>
          <w:color w:val="000000"/>
          <w:kern w:val="0"/>
          <w:sz w:val="24"/>
          <w:lang w:val="en-US" w:eastAsia="zh-CN"/>
        </w:rPr>
      </w:pPr>
      <w:r>
        <w:rPr>
          <w:rFonts w:hint="eastAsia" w:ascii="宋体" w:cs="宋体"/>
          <w:color w:val="000000"/>
          <w:kern w:val="0"/>
          <w:sz w:val="24"/>
          <w:lang w:val="en-US" w:eastAsia="zh-CN"/>
        </w:rPr>
        <w:t>1.质保期要求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本项目整体</w:t>
      </w:r>
      <w:r>
        <w:rPr>
          <w:rFonts w:hint="eastAsia" w:ascii="宋体" w:hAnsi="宋体" w:cs="宋体"/>
          <w:color w:val="000000"/>
          <w:sz w:val="24"/>
        </w:rPr>
        <w:t>质保</w:t>
      </w:r>
      <w:r>
        <w:rPr>
          <w:rFonts w:hint="eastAsia" w:ascii="宋体" w:cs="宋体"/>
          <w:color w:val="000000"/>
          <w:sz w:val="24"/>
          <w:lang w:val="en-US" w:eastAsia="zh-CN"/>
        </w:rPr>
        <w:t>服务</w:t>
      </w:r>
      <w:r>
        <w:rPr>
          <w:rFonts w:hint="eastAsia" w:ascii="宋体" w:hAnsi="宋体" w:cs="宋体"/>
          <w:color w:val="000000"/>
          <w:sz w:val="24"/>
        </w:rPr>
        <w:t>期要求不少于</w:t>
      </w:r>
      <w:r>
        <w:rPr>
          <w:rFonts w:ascii="宋体" w:hAnsi="宋体" w:cs="宋体"/>
          <w:color w:val="000000"/>
          <w:sz w:val="24"/>
        </w:rPr>
        <w:t>3</w:t>
      </w:r>
      <w:r>
        <w:rPr>
          <w:rFonts w:hint="eastAsia" w:ascii="宋体" w:hAnsi="宋体" w:cs="宋体"/>
          <w:color w:val="000000"/>
          <w:sz w:val="24"/>
        </w:rPr>
        <w:t>年（自验收合格之日起计算</w:t>
      </w:r>
      <w:r>
        <w:rPr>
          <w:rFonts w:hint="eastAsia" w:ascii="宋体" w:hAnsi="宋体" w:cs="宋体"/>
          <w:color w:val="000000"/>
          <w:kern w:val="0"/>
          <w:sz w:val="24"/>
        </w:rPr>
        <w:t>），</w:t>
      </w:r>
      <w:r>
        <w:rPr>
          <w:rFonts w:hint="eastAsia" w:ascii="宋体" w:cs="宋体"/>
          <w:color w:val="000000"/>
          <w:kern w:val="0"/>
          <w:sz w:val="24"/>
          <w:lang w:val="en-US" w:eastAsia="zh-CN"/>
        </w:rPr>
        <w:t>质保期内</w:t>
      </w:r>
      <w:r>
        <w:rPr>
          <w:rFonts w:hint="eastAsia" w:ascii="宋体" w:hAnsi="宋体" w:eastAsia="宋体" w:cs="宋体"/>
          <w:kern w:val="0"/>
          <w:sz w:val="24"/>
          <w:szCs w:val="24"/>
        </w:rPr>
        <w:t>故障配件免费更换</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质保期内每年不少于四次（含）巡检等服务</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在保修期内不收取任何额外费用</w:t>
      </w:r>
      <w:r>
        <w:rPr>
          <w:rFonts w:hint="eastAsia" w:ascii="宋体" w:hAnsi="宋体" w:eastAsia="宋体" w:cs="宋体"/>
          <w:kern w:val="0"/>
          <w:sz w:val="24"/>
          <w:szCs w:val="24"/>
          <w:lang w:eastAsia="zh-CN"/>
        </w:rPr>
        <w:t>，</w:t>
      </w:r>
      <w:r>
        <w:rPr>
          <w:rFonts w:hint="eastAsia" w:ascii="宋体" w:hAnsi="宋体" w:cs="宋体"/>
          <w:color w:val="000000"/>
          <w:kern w:val="0"/>
          <w:sz w:val="24"/>
        </w:rPr>
        <w:t>并</w:t>
      </w:r>
      <w:r>
        <w:rPr>
          <w:rFonts w:hint="eastAsia" w:ascii="宋体" w:hAnsi="宋体" w:cs="宋体"/>
          <w:color w:val="000000"/>
          <w:sz w:val="24"/>
        </w:rPr>
        <w:t>提供终身维修服务。</w:t>
      </w:r>
    </w:p>
    <w:p>
      <w:pPr>
        <w:widowControl w:val="0"/>
        <w:snapToGrid w:val="0"/>
        <w:spacing w:line="5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2.运维服务要求</w:t>
      </w:r>
    </w:p>
    <w:p>
      <w:pPr>
        <w:widowControl w:val="0"/>
        <w:snapToGri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提供</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人的驻场运维服务，</w:t>
      </w:r>
      <w:r>
        <w:rPr>
          <w:rFonts w:hint="eastAsia" w:ascii="宋体" w:hAnsi="宋体" w:eastAsia="宋体" w:cs="宋体"/>
          <w:kern w:val="0"/>
          <w:sz w:val="24"/>
          <w:szCs w:val="24"/>
          <w:lang w:val="en-US" w:eastAsia="zh-CN"/>
        </w:rPr>
        <w:t>时间1年。运维服务期间必须保证现场有技术运维人员提供7*24的运维服务，应充分保障节假日，突发事件及重大活动时现场运维能力。</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服务响应及维护</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)要求在24小时响应时间内提供保修、维护等技术服务。在出现设备故障的1小时内给予问题的解答，如需现场解决，在故障发生的12小时内，派技术人员到达现场解决，12小时内不能解决的提供备品备件。</w:t>
      </w:r>
    </w:p>
    <w:p>
      <w:pPr>
        <w:widowControl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)要求对投标产品应提供长期技术支持。如对产品有新的改进、增加新功能或者未适应最新标准所形成的最新版本，免费提供给采购单位。</w:t>
      </w:r>
    </w:p>
    <w:p>
      <w:pPr>
        <w:widowControl w:val="0"/>
        <w:snapToGrid w:val="0"/>
        <w:spacing w:line="500" w:lineRule="exact"/>
        <w:jc w:val="left"/>
        <w:rPr>
          <w:rFonts w:hint="default" w:ascii="宋体" w:hAnsi="宋体" w:eastAsia="宋体" w:cs="宋体"/>
          <w:b/>
          <w:bCs/>
          <w:color w:val="FF0000"/>
          <w:kern w:val="0"/>
          <w:sz w:val="24"/>
          <w:szCs w:val="24"/>
          <w:lang w:val="en-US"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、特别提示：如</w:t>
      </w:r>
      <w:r>
        <w:rPr>
          <w:rFonts w:hint="eastAsia" w:ascii="宋体" w:hAnsi="宋体" w:eastAsia="宋体" w:cs="宋体"/>
          <w:b/>
          <w:bCs/>
          <w:color w:val="FF0000"/>
          <w:kern w:val="0"/>
          <w:sz w:val="24"/>
          <w:szCs w:val="24"/>
        </w:rPr>
        <w:t>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pPr>
        <w:pStyle w:val="2"/>
        <w:ind w:left="0" w:leftChars="0" w:firstLine="0" w:firstLineChars="0"/>
        <w:rPr>
          <w:rFonts w:hint="default" w:eastAsia="宋体"/>
          <w:lang w:val="en-US" w:eastAsia="zh-CN"/>
        </w:rPr>
      </w:pPr>
      <w:r>
        <w:rPr>
          <w:rFonts w:hint="eastAsia" w:ascii="宋体" w:hAnsi="宋体" w:eastAsia="宋体" w:cs="宋体"/>
          <w:b/>
          <w:bCs/>
          <w:color w:val="FF0000"/>
          <w:kern w:val="0"/>
          <w:sz w:val="24"/>
          <w:szCs w:val="24"/>
          <w:lang w:val="en-US" w:eastAsia="zh-CN"/>
        </w:rPr>
        <w:t>9</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本项目中含9万元项目配套费，由投标人自行计算成本内。</w:t>
      </w:r>
    </w:p>
    <w:p>
      <w:pPr>
        <w:pStyle w:val="2"/>
        <w:rPr>
          <w:rFonts w:hint="eastAsia"/>
        </w:rPr>
      </w:pPr>
    </w:p>
    <w:p>
      <w:pPr>
        <w:spacing w:line="360" w:lineRule="auto"/>
        <w:rPr>
          <w:rFonts w:hint="eastAsia" w:ascii="宋体" w:hAnsi="宋体" w:cs="宋体"/>
          <w:b/>
          <w:bCs/>
          <w:color w:val="000000"/>
          <w:sz w:val="24"/>
        </w:rPr>
      </w:pPr>
      <w:r>
        <w:rPr>
          <w:rFonts w:hint="eastAsia" w:ascii="宋体" w:hAnsi="宋体" w:cs="宋体"/>
          <w:b/>
          <w:bCs/>
          <w:color w:val="000000"/>
          <w:sz w:val="24"/>
        </w:rPr>
        <w:t>须注意的其他事项:</w:t>
      </w:r>
    </w:p>
    <w:p>
      <w:pPr>
        <w:spacing w:line="360" w:lineRule="auto"/>
        <w:ind w:firstLine="480" w:firstLineChars="200"/>
        <w:rPr>
          <w:rFonts w:hint="eastAsia" w:ascii="宋体" w:hAnsi="宋体" w:cs="宋体"/>
          <w:bCs/>
          <w:color w:val="000000"/>
          <w:sz w:val="24"/>
        </w:rPr>
      </w:pPr>
      <w:r>
        <w:rPr>
          <w:rFonts w:hint="eastAsia" w:ascii="宋体" w:cs="宋体"/>
          <w:bCs/>
          <w:color w:val="000000"/>
          <w:sz w:val="24"/>
          <w:lang w:val="en-US" w:eastAsia="zh-CN"/>
        </w:rPr>
        <w:t>1</w:t>
      </w:r>
      <w:r>
        <w:rPr>
          <w:rFonts w:hint="eastAsia" w:ascii="宋体" w:hAnsi="宋体" w:cs="宋体"/>
          <w:bCs/>
          <w:color w:val="000000"/>
          <w:sz w:val="24"/>
        </w:rPr>
        <w:t>、安装和施工期间，中标人应妥善保管货物、产品、各种材料和器材，如有被盗和其它损失的，采购人不承担任何责任。</w:t>
      </w:r>
    </w:p>
    <w:p>
      <w:pPr>
        <w:spacing w:line="360" w:lineRule="auto"/>
        <w:ind w:firstLine="480" w:firstLineChars="200"/>
        <w:rPr>
          <w:rFonts w:hint="eastAsia" w:ascii="宋体" w:hAnsi="宋体" w:cs="宋体"/>
          <w:bCs/>
          <w:color w:val="000000"/>
          <w:sz w:val="24"/>
        </w:rPr>
      </w:pPr>
      <w:r>
        <w:rPr>
          <w:rFonts w:hint="eastAsia" w:ascii="宋体" w:cs="宋体"/>
          <w:bCs/>
          <w:color w:val="000000"/>
          <w:sz w:val="24"/>
          <w:lang w:val="en-US" w:eastAsia="zh-CN"/>
        </w:rPr>
        <w:t>2</w:t>
      </w:r>
      <w:r>
        <w:rPr>
          <w:rFonts w:hint="eastAsia" w:ascii="宋体" w:hAnsi="宋体" w:cs="宋体"/>
          <w:bCs/>
          <w:color w:val="000000"/>
          <w:sz w:val="24"/>
        </w:rPr>
        <w:t>、在项目安装和施工过程中如对采购人的建筑物和设施设备造成损坏的，中标人须负责赔偿或免费修复。</w:t>
      </w:r>
    </w:p>
    <w:p>
      <w:pPr>
        <w:spacing w:line="360" w:lineRule="auto"/>
        <w:ind w:firstLine="480" w:firstLineChars="200"/>
        <w:rPr>
          <w:rFonts w:hint="default" w:ascii="宋体" w:hAnsi="宋体" w:eastAsia="宋体" w:cs="宋体"/>
          <w:b/>
          <w:color w:val="FF0000"/>
          <w:sz w:val="28"/>
          <w:szCs w:val="28"/>
          <w:lang w:val="en-US" w:eastAsia="zh-CN"/>
        </w:rPr>
      </w:pPr>
      <w:r>
        <w:rPr>
          <w:rFonts w:hint="eastAsia" w:ascii="宋体" w:cs="宋体"/>
          <w:bCs/>
          <w:color w:val="FF0000"/>
          <w:sz w:val="24"/>
          <w:lang w:val="en-US" w:eastAsia="zh-CN"/>
        </w:rPr>
        <w:t>3</w:t>
      </w:r>
      <w:r>
        <w:rPr>
          <w:rFonts w:hint="eastAsia" w:ascii="宋体" w:hAnsi="宋体" w:cs="宋体"/>
          <w:bCs/>
          <w:color w:val="FF0000"/>
          <w:sz w:val="24"/>
        </w:rPr>
        <w:t>、</w:t>
      </w:r>
      <w:r>
        <w:rPr>
          <w:rFonts w:hint="eastAsia" w:ascii="宋体" w:hAnsi="宋体" w:cs="宋体"/>
          <w:bCs/>
          <w:color w:val="FF0000"/>
          <w:sz w:val="24"/>
          <w:lang w:val="en-US" w:eastAsia="zh-CN"/>
        </w:rPr>
        <w:t>中标方提供的会议桌椅</w:t>
      </w:r>
      <w:r>
        <w:rPr>
          <w:rFonts w:hint="eastAsia" w:ascii="宋体" w:hAnsi="宋体" w:cs="宋体"/>
          <w:bCs/>
          <w:color w:val="FF0000"/>
          <w:sz w:val="24"/>
        </w:rPr>
        <w:t>、</w:t>
      </w:r>
      <w:r>
        <w:rPr>
          <w:rFonts w:hint="eastAsia" w:ascii="宋体" w:hAnsi="宋体" w:cs="宋体"/>
          <w:bCs/>
          <w:color w:val="FF0000"/>
          <w:sz w:val="24"/>
          <w:lang w:val="en-US" w:eastAsia="zh-CN"/>
        </w:rPr>
        <w:t>厨房设施等设备要报采购方确认后供货。</w:t>
      </w:r>
    </w:p>
    <w:p>
      <w:pPr>
        <w:pStyle w:val="4"/>
        <w:jc w:val="both"/>
        <w:rPr>
          <w:rFonts w:hint="eastAsia"/>
        </w:rPr>
      </w:pPr>
    </w:p>
    <w:p>
      <w:pPr>
        <w:pStyle w:val="6"/>
        <w:rPr>
          <w:rFonts w:hint="eastAsia"/>
          <w:lang w:val="en-US" w:eastAsia="zh-CN"/>
        </w:rPr>
      </w:pPr>
    </w:p>
    <w:p>
      <w:pPr>
        <w:spacing w:line="360" w:lineRule="auto"/>
        <w:rPr>
          <w:rFonts w:hint="eastAsia" w:ascii="新宋体" w:hAnsi="新宋体" w:eastAsia="新宋体" w:cs="新宋体"/>
          <w:b/>
          <w:bCs w:val="0"/>
          <w:sz w:val="28"/>
          <w:szCs w:val="28"/>
          <w:highlight w:val="none"/>
        </w:rPr>
      </w:pPr>
      <w:r>
        <w:rPr>
          <w:rFonts w:hint="eastAsia" w:ascii="新宋体" w:hAnsi="新宋体" w:eastAsia="新宋体" w:cs="新宋体"/>
          <w:b/>
          <w:bCs w:val="0"/>
          <w:sz w:val="28"/>
          <w:szCs w:val="28"/>
          <w:highlight w:val="none"/>
        </w:rPr>
        <w:t>付款方式：</w:t>
      </w:r>
    </w:p>
    <w:p>
      <w:pPr>
        <w:spacing w:line="360" w:lineRule="auto"/>
        <w:ind w:firstLine="480" w:firstLineChars="200"/>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rPr>
        <w:t>1.签订合同后</w:t>
      </w:r>
      <w:r>
        <w:rPr>
          <w:rFonts w:hint="eastAsia" w:ascii="宋体" w:hAnsi="宋体" w:eastAsia="宋体" w:cs="宋体"/>
          <w:bCs/>
          <w:color w:val="000000"/>
          <w:sz w:val="24"/>
          <w:highlight w:val="none"/>
          <w:lang w:val="en-US" w:eastAsia="zh-CN"/>
        </w:rPr>
        <w:t>7</w:t>
      </w:r>
      <w:r>
        <w:rPr>
          <w:rFonts w:hint="eastAsia" w:ascii="宋体" w:hAnsi="宋体" w:eastAsia="宋体" w:cs="宋体"/>
          <w:bCs/>
          <w:color w:val="000000"/>
          <w:sz w:val="24"/>
          <w:highlight w:val="none"/>
        </w:rPr>
        <w:t>个工作日内，</w:t>
      </w:r>
      <w:r>
        <w:rPr>
          <w:rFonts w:hint="eastAsia" w:ascii="宋体" w:hAnsi="宋体" w:eastAsia="宋体" w:cs="宋体"/>
          <w:bCs/>
          <w:color w:val="000000"/>
          <w:sz w:val="24"/>
          <w:highlight w:val="none"/>
          <w:lang w:eastAsia="zh-CN"/>
        </w:rPr>
        <w:t>预</w:t>
      </w:r>
      <w:r>
        <w:rPr>
          <w:rFonts w:hint="eastAsia" w:ascii="宋体" w:hAnsi="宋体" w:eastAsia="宋体" w:cs="宋体"/>
          <w:bCs/>
          <w:color w:val="000000"/>
          <w:sz w:val="24"/>
          <w:highlight w:val="none"/>
        </w:rPr>
        <w:t>支付合同总额的</w:t>
      </w:r>
      <w:r>
        <w:rPr>
          <w:rFonts w:hint="eastAsia" w:ascii="宋体" w:hAnsi="宋体" w:eastAsia="宋体" w:cs="宋体"/>
          <w:bCs/>
          <w:color w:val="000000"/>
          <w:sz w:val="24"/>
          <w:highlight w:val="none"/>
          <w:lang w:val="en-US" w:eastAsia="zh-CN"/>
        </w:rPr>
        <w:t>4</w:t>
      </w:r>
      <w:r>
        <w:rPr>
          <w:rFonts w:hint="eastAsia" w:ascii="宋体" w:hAnsi="宋体" w:eastAsia="宋体" w:cs="宋体"/>
          <w:bCs/>
          <w:color w:val="000000"/>
          <w:sz w:val="24"/>
          <w:highlight w:val="none"/>
        </w:rPr>
        <w:t>0%</w:t>
      </w:r>
      <w:r>
        <w:rPr>
          <w:rFonts w:hint="eastAsia" w:ascii="宋体" w:hAnsi="宋体" w:eastAsia="宋体" w:cs="宋体"/>
          <w:bCs/>
          <w:color w:val="000000"/>
          <w:sz w:val="24"/>
          <w:highlight w:val="none"/>
          <w:lang w:eastAsia="zh-CN"/>
        </w:rPr>
        <w:t>；</w:t>
      </w:r>
    </w:p>
    <w:p>
      <w:pPr>
        <w:spacing w:line="360" w:lineRule="auto"/>
        <w:ind w:firstLine="480" w:firstLineChars="20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rPr>
        <w:t>2.</w:t>
      </w:r>
      <w:r>
        <w:rPr>
          <w:rFonts w:hint="eastAsia" w:ascii="宋体" w:hAnsi="宋体" w:eastAsia="宋体" w:cs="宋体"/>
          <w:bCs/>
          <w:color w:val="000000"/>
          <w:sz w:val="24"/>
          <w:highlight w:val="none"/>
          <w:lang w:val="en-US" w:eastAsia="zh-CN"/>
        </w:rPr>
        <w:t>系统验收合格后7个工作日内，支付合同总额的30%；</w:t>
      </w:r>
    </w:p>
    <w:p>
      <w:pPr>
        <w:spacing w:line="360" w:lineRule="auto"/>
        <w:ind w:firstLine="480" w:firstLineChars="20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3.服务期满一年后7个工作日内，支付合同总额的15%;</w:t>
      </w:r>
    </w:p>
    <w:p>
      <w:p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4.服务期满二年后7个工作日内，支付合同总额的10%；</w:t>
      </w:r>
    </w:p>
    <w:p>
      <w:pPr>
        <w:spacing w:line="360" w:lineRule="auto"/>
        <w:ind w:firstLine="480" w:firstLineChars="200"/>
        <w:rPr>
          <w:rFonts w:hint="eastAsia" w:ascii="新宋体" w:hAnsi="新宋体" w:eastAsia="新宋体" w:cs="新宋体"/>
          <w:b w:val="0"/>
          <w:bCs/>
          <w:color w:val="auto"/>
          <w:kern w:val="0"/>
          <w:sz w:val="24"/>
          <w:highlight w:val="none"/>
        </w:rPr>
      </w:pPr>
      <w:r>
        <w:rPr>
          <w:rFonts w:hint="eastAsia" w:ascii="宋体" w:hAnsi="宋体" w:eastAsia="宋体" w:cs="宋体"/>
          <w:bCs/>
          <w:color w:val="000000"/>
          <w:sz w:val="24"/>
          <w:highlight w:val="none"/>
          <w:lang w:val="en-US" w:eastAsia="zh-CN"/>
        </w:rPr>
        <w:t>5.服务期结束后7个工作日内，支付合同总额的5%。</w:t>
      </w:r>
    </w:p>
    <w:p>
      <w:pPr>
        <w:pStyle w:val="16"/>
        <w:rPr>
          <w:rFonts w:hint="eastAsia" w:ascii="宋体" w:hAnsi="宋体" w:eastAsia="新宋体" w:cs="宋体"/>
          <w:lang w:val="en-US" w:eastAsia="zh-CN"/>
        </w:rPr>
        <w:sectPr>
          <w:footerReference r:id="rId8" w:type="default"/>
          <w:pgSz w:w="16838" w:h="11906" w:orient="landscape"/>
          <w:pgMar w:top="1797" w:right="1474" w:bottom="1797" w:left="1247" w:header="851" w:footer="851" w:gutter="0"/>
          <w:cols w:space="720" w:num="1"/>
        </w:sectPr>
      </w:pPr>
      <w:r>
        <w:rPr>
          <w:rFonts w:hint="eastAsia" w:ascii="新宋体" w:hAnsi="新宋体" w:eastAsia="新宋体" w:cs="新宋体"/>
          <w:b w:val="0"/>
          <w:bCs/>
          <w:color w:val="auto"/>
          <w:kern w:val="0"/>
          <w:sz w:val="24"/>
          <w:highlight w:val="none"/>
        </w:rPr>
        <w:t>注：中标供应商须提供正式税务</w:t>
      </w:r>
      <w:r>
        <w:rPr>
          <w:rFonts w:hint="eastAsia" w:ascii="新宋体" w:hAnsi="新宋体" w:eastAsia="新宋体" w:cs="新宋体"/>
          <w:b w:val="0"/>
          <w:bCs/>
          <w:color w:val="auto"/>
          <w:kern w:val="0"/>
          <w:sz w:val="24"/>
          <w:highlight w:val="none"/>
          <w:lang w:val="en-US" w:eastAsia="zh-CN"/>
        </w:rPr>
        <w:t>专用发票</w:t>
      </w:r>
    </w:p>
    <w:p>
      <w:pPr>
        <w:pStyle w:val="2"/>
        <w:ind w:left="0" w:leftChars="0" w:firstLine="0" w:firstLineChars="0"/>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widowControl w:val="0"/>
        <w:spacing w:after="120"/>
        <w:rPr>
          <w:rFonts w:hint="eastAsia" w:ascii="宋体" w:cs="宋体"/>
        </w:rPr>
      </w:pPr>
    </w:p>
    <w:p>
      <w:pPr>
        <w:widowControl w:val="0"/>
        <w:spacing w:after="120"/>
        <w:jc w:val="center"/>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pStyle w:val="2"/>
        <w:ind w:left="0" w:leftChars="0" w:firstLine="0" w:firstLineChars="0"/>
        <w:rPr>
          <w:rFonts w:hint="eastAsia" w:ascii="宋体" w:cs="宋体"/>
        </w:rPr>
      </w:pPr>
    </w:p>
    <w:p>
      <w:pPr>
        <w:pStyle w:val="2"/>
        <w:rPr>
          <w:rFonts w:hint="eastAsia" w:ascii="宋体" w:cs="宋体"/>
        </w:rPr>
      </w:pPr>
    </w:p>
    <w:p>
      <w:pPr>
        <w:pStyle w:val="2"/>
        <w:rPr>
          <w:rFonts w:hint="eastAsia" w:ascii="宋体" w:cs="宋体"/>
        </w:rPr>
      </w:pPr>
    </w:p>
    <w:p>
      <w:pPr>
        <w:pStyle w:val="2"/>
        <w:rPr>
          <w:rFonts w:hint="eastAsia" w:ascii="宋体" w:cs="宋体"/>
        </w:rPr>
      </w:pPr>
    </w:p>
    <w:p>
      <w:pPr>
        <w:widowControl w:val="0"/>
        <w:tabs>
          <w:tab w:val="left" w:pos="0"/>
        </w:tabs>
        <w:snapToGrid w:val="0"/>
        <w:spacing w:line="360" w:lineRule="auto"/>
        <w:jc w:val="center"/>
        <w:rPr>
          <w:rFonts w:hint="eastAsia" w:ascii="宋体" w:cs="宋体"/>
          <w:b/>
          <w:bCs/>
          <w:color w:val="000000"/>
          <w:sz w:val="48"/>
          <w:szCs w:val="48"/>
        </w:rPr>
      </w:pPr>
      <w:r>
        <w:rPr>
          <w:rFonts w:hint="eastAsia" w:ascii="宋体" w:cs="宋体"/>
          <w:b/>
          <w:bCs/>
          <w:color w:val="000000"/>
          <w:sz w:val="48"/>
          <w:szCs w:val="48"/>
        </w:rPr>
        <w:t>第五章</w:t>
      </w:r>
    </w:p>
    <w:p>
      <w:pPr>
        <w:widowControl w:val="0"/>
        <w:tabs>
          <w:tab w:val="left" w:pos="0"/>
        </w:tabs>
        <w:snapToGrid w:val="0"/>
        <w:spacing w:line="360" w:lineRule="auto"/>
        <w:jc w:val="center"/>
        <w:rPr>
          <w:rFonts w:hint="eastAsia" w:ascii="宋体" w:cs="宋体"/>
          <w:b/>
          <w:bCs/>
          <w:color w:val="000000"/>
          <w:sz w:val="32"/>
          <w:szCs w:val="32"/>
        </w:rPr>
      </w:pPr>
      <w:r>
        <w:rPr>
          <w:rFonts w:hint="eastAsia" w:ascii="宋体" w:cs="宋体"/>
          <w:b/>
          <w:bCs/>
          <w:color w:val="000000"/>
          <w:sz w:val="48"/>
          <w:szCs w:val="48"/>
        </w:rPr>
        <w:t>附件—投标文件格式</w:t>
      </w:r>
    </w:p>
    <w:p>
      <w:pPr>
        <w:widowControl w:val="0"/>
        <w:tabs>
          <w:tab w:val="left" w:pos="0"/>
        </w:tabs>
        <w:snapToGrid w:val="0"/>
        <w:spacing w:line="360" w:lineRule="auto"/>
        <w:rPr>
          <w:rFonts w:hint="eastAsia" w:ascii="宋体" w:cs="宋体"/>
          <w:b/>
          <w:bCs/>
          <w:color w:val="000000"/>
          <w:sz w:val="32"/>
          <w:szCs w:val="32"/>
        </w:rPr>
      </w:pPr>
    </w:p>
    <w:p>
      <w:pPr>
        <w:widowControl w:val="0"/>
        <w:spacing w:line="480" w:lineRule="auto"/>
        <w:rPr>
          <w:rFonts w:hint="eastAsia" w:ascii="宋体" w:cs="宋体"/>
          <w:b/>
          <w:sz w:val="30"/>
          <w:szCs w:val="30"/>
        </w:rPr>
      </w:pPr>
      <w:r>
        <w:rPr>
          <w:rFonts w:hint="eastAsia" w:ascii="宋体" w:cs="宋体"/>
          <w:b/>
          <w:bCs/>
          <w:color w:val="000000"/>
          <w:sz w:val="32"/>
          <w:szCs w:val="32"/>
        </w:rPr>
        <w:br w:type="page"/>
      </w:r>
      <w:r>
        <w:rPr>
          <w:rFonts w:hint="eastAsia" w:ascii="宋体" w:cs="宋体"/>
          <w:sz w:val="30"/>
          <w:szCs w:val="30"/>
        </w:rPr>
        <w:t>附件1</w:t>
      </w:r>
      <w:r>
        <w:rPr>
          <w:rFonts w:hint="eastAsia" w:ascii="宋体" w:cs="宋体"/>
          <w:b/>
          <w:sz w:val="30"/>
          <w:szCs w:val="30"/>
        </w:rPr>
        <w:t xml:space="preserve">：                                          </w:t>
      </w:r>
    </w:p>
    <w:p>
      <w:pPr>
        <w:snapToGrid w:val="0"/>
        <w:spacing w:before="120" w:beforeLines="50" w:after="50"/>
        <w:ind w:right="150"/>
        <w:jc w:val="right"/>
        <w:rPr>
          <w:rFonts w:hint="eastAsia" w:ascii="宋体" w:cs="宋体"/>
          <w:bCs/>
          <w:sz w:val="30"/>
          <w:szCs w:val="30"/>
        </w:rPr>
      </w:pP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240" w:beforeLines="100" w:line="240" w:lineRule="atLeast"/>
        <w:jc w:val="center"/>
        <w:rPr>
          <w:rFonts w:hint="eastAsia" w:ascii="宋体" w:cs="宋体"/>
          <w:sz w:val="36"/>
          <w:szCs w:val="36"/>
        </w:rPr>
      </w:pPr>
      <w:r>
        <w:rPr>
          <w:rFonts w:hint="eastAsia" w:ascii="宋体" w:cs="宋体"/>
          <w:sz w:val="36"/>
          <w:szCs w:val="36"/>
        </w:rPr>
        <w:t>项目编号：</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资</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格</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文</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件</w:t>
      </w:r>
    </w:p>
    <w:p>
      <w:pPr>
        <w:spacing w:line="500" w:lineRule="exact"/>
        <w:ind w:right="532"/>
        <w:rPr>
          <w:rFonts w:hint="eastAsia" w:ascii="宋体" w:cs="宋体"/>
          <w:sz w:val="36"/>
          <w:szCs w:val="36"/>
        </w:rPr>
      </w:pPr>
    </w:p>
    <w:p>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pPr>
        <w:spacing w:line="600" w:lineRule="exact"/>
        <w:ind w:right="532" w:firstLine="720" w:firstLineChars="200"/>
        <w:rPr>
          <w:rFonts w:hint="eastAsia" w:ascii="宋体" w:cs="宋体"/>
          <w:sz w:val="36"/>
          <w:szCs w:val="36"/>
        </w:rPr>
      </w:pPr>
      <w:r>
        <w:rPr>
          <w:rFonts w:hint="eastAsia" w:ascii="宋体" w:cs="宋体"/>
          <w:sz w:val="36"/>
          <w:szCs w:val="36"/>
        </w:rPr>
        <w:t>地    址：</w:t>
      </w:r>
    </w:p>
    <w:p>
      <w:pPr>
        <w:spacing w:line="600" w:lineRule="exact"/>
        <w:ind w:right="532"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b/>
          <w:sz w:val="36"/>
          <w:szCs w:val="36"/>
        </w:rPr>
      </w:pPr>
      <w:r>
        <w:rPr>
          <w:rFonts w:hint="eastAsia" w:ascii="宋体" w:cs="宋体"/>
          <w:b/>
          <w:sz w:val="36"/>
          <w:szCs w:val="36"/>
        </w:rPr>
        <w:br w:type="page"/>
      </w:r>
    </w:p>
    <w:p>
      <w:pPr>
        <w:snapToGrid w:val="0"/>
        <w:spacing w:before="50" w:after="50"/>
        <w:rPr>
          <w:rFonts w:hint="eastAsia" w:ascii="宋体" w:cs="宋体"/>
          <w:b/>
          <w:bCs/>
          <w:sz w:val="36"/>
          <w:szCs w:val="36"/>
        </w:rPr>
      </w:pPr>
      <w:r>
        <w:rPr>
          <w:rFonts w:hint="eastAsia" w:ascii="宋体" w:cs="宋体"/>
          <w:b/>
          <w:bCs/>
          <w:sz w:val="36"/>
          <w:szCs w:val="36"/>
        </w:rPr>
        <w:t>资格文件目录</w:t>
      </w:r>
    </w:p>
    <w:p>
      <w:pPr>
        <w:snapToGrid w:val="0"/>
        <w:spacing w:before="50" w:after="50"/>
        <w:rPr>
          <w:rFonts w:hint="eastAsia" w:ascii="宋体" w:cs="宋体"/>
          <w:sz w:val="30"/>
          <w:szCs w:val="30"/>
        </w:rPr>
      </w:pPr>
    </w:p>
    <w:p>
      <w:pPr>
        <w:snapToGrid w:val="0"/>
        <w:spacing w:line="460" w:lineRule="exact"/>
        <w:ind w:firstLine="600" w:firstLineChars="200"/>
        <w:jc w:val="left"/>
        <w:rPr>
          <w:rFonts w:hint="eastAsia" w:ascii="宋体" w:cs="宋体"/>
        </w:rPr>
      </w:pPr>
      <w:r>
        <w:rPr>
          <w:rFonts w:hint="eastAsia" w:ascii="宋体" w:cs="宋体"/>
          <w:sz w:val="30"/>
          <w:szCs w:val="30"/>
        </w:rPr>
        <w:t>（1）投标声明书 (格式见附件，含重大违法记录声明)；</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（2）《投标承诺函》(格式见附件)；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（3）法定代表人授权委托书(格式见附件)；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（5）联合投标协议书（若需要）；</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（6）联合投标授权委托书（若需要）；</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（7）提供采购公告中符合投标人特定条件要求的有效的其他资质复印件并加盖公司公章及需要说明的资料。</w:t>
      </w:r>
    </w:p>
    <w:p>
      <w:pPr>
        <w:snapToGrid w:val="0"/>
        <w:spacing w:line="460" w:lineRule="exact"/>
        <w:ind w:firstLine="588" w:firstLineChars="196"/>
        <w:jc w:val="left"/>
        <w:rPr>
          <w:rFonts w:hint="eastAsia" w:ascii="宋体" w:cs="宋体"/>
          <w:sz w:val="30"/>
          <w:szCs w:val="30"/>
        </w:rPr>
      </w:pPr>
    </w:p>
    <w:p>
      <w:pPr>
        <w:snapToGrid w:val="0"/>
        <w:spacing w:line="460" w:lineRule="exact"/>
        <w:ind w:firstLine="588" w:firstLineChars="196"/>
        <w:jc w:val="left"/>
        <w:rPr>
          <w:rFonts w:hint="eastAsia" w:ascii="宋体" w:cs="宋体"/>
          <w:sz w:val="30"/>
          <w:szCs w:val="30"/>
        </w:rPr>
      </w:pPr>
    </w:p>
    <w:p>
      <w:pPr>
        <w:snapToGrid w:val="0"/>
        <w:spacing w:before="50" w:after="120" w:afterLines="50" w:line="460" w:lineRule="exact"/>
        <w:jc w:val="left"/>
        <w:rPr>
          <w:rFonts w:hint="eastAsia" w:ascii="宋体" w:cs="宋体"/>
          <w:sz w:val="30"/>
          <w:szCs w:val="30"/>
        </w:rPr>
      </w:pPr>
    </w:p>
    <w:p>
      <w:pPr>
        <w:pStyle w:val="21"/>
        <w:snapToGrid w:val="0"/>
        <w:spacing w:before="120" w:after="120"/>
        <w:rPr>
          <w:rFonts w:hint="eastAsia" w:hAnsi="宋体" w:cs="宋体"/>
          <w:sz w:val="30"/>
          <w:szCs w:val="30"/>
        </w:rPr>
      </w:pPr>
    </w:p>
    <w:p>
      <w:pPr>
        <w:pStyle w:val="21"/>
        <w:snapToGrid w:val="0"/>
        <w:spacing w:before="120" w:after="120"/>
        <w:rPr>
          <w:rFonts w:hint="eastAsia" w:hAnsi="宋体" w:cs="宋体"/>
          <w:sz w:val="30"/>
          <w:szCs w:val="30"/>
        </w:rPr>
      </w:pPr>
    </w:p>
    <w:p>
      <w:pPr>
        <w:pStyle w:val="21"/>
        <w:snapToGrid w:val="0"/>
        <w:spacing w:before="120" w:after="120"/>
        <w:rPr>
          <w:rFonts w:hint="eastAsia" w:hAnsi="宋体" w:cs="宋体"/>
          <w:sz w:val="30"/>
          <w:szCs w:val="30"/>
        </w:rPr>
      </w:pPr>
    </w:p>
    <w:p>
      <w:pPr>
        <w:pStyle w:val="21"/>
        <w:snapToGrid w:val="0"/>
        <w:spacing w:before="120" w:after="120"/>
        <w:rPr>
          <w:rFonts w:hint="eastAsia" w:hAnsi="宋体" w:cs="宋体"/>
          <w:sz w:val="30"/>
          <w:szCs w:val="30"/>
        </w:rPr>
      </w:pPr>
    </w:p>
    <w:p>
      <w:pPr>
        <w:pStyle w:val="21"/>
        <w:snapToGrid w:val="0"/>
        <w:spacing w:before="120" w:after="120"/>
        <w:rPr>
          <w:rFonts w:hint="eastAsia" w:hAnsi="宋体" w:cs="宋体"/>
          <w:sz w:val="30"/>
          <w:szCs w:val="30"/>
        </w:rPr>
      </w:pPr>
    </w:p>
    <w:p>
      <w:pPr>
        <w:snapToGrid w:val="0"/>
        <w:spacing w:before="50" w:after="120"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附件2：</w:t>
      </w:r>
    </w:p>
    <w:p>
      <w:pPr>
        <w:snapToGrid w:val="0"/>
        <w:spacing w:before="50" w:after="50"/>
        <w:jc w:val="center"/>
        <w:rPr>
          <w:rFonts w:hint="eastAsia" w:ascii="宋体" w:cs="宋体"/>
          <w:b/>
          <w:color w:val="FF0000"/>
          <w:sz w:val="36"/>
          <w:szCs w:val="36"/>
        </w:rPr>
      </w:pPr>
      <w:r>
        <w:rPr>
          <w:rFonts w:hint="eastAsia" w:ascii="宋体" w:cs="宋体"/>
          <w:b/>
          <w:color w:val="FF0000"/>
          <w:sz w:val="36"/>
          <w:szCs w:val="36"/>
        </w:rPr>
        <w:t>投 标 声 明 书</w:t>
      </w:r>
    </w:p>
    <w:p>
      <w:pPr>
        <w:snapToGrid w:val="0"/>
        <w:spacing w:before="120" w:beforeLines="50" w:after="50" w:line="460" w:lineRule="exact"/>
        <w:rPr>
          <w:rFonts w:hint="eastAsia" w:ascii="宋体" w:cs="宋体"/>
          <w:sz w:val="30"/>
          <w:szCs w:val="30"/>
        </w:rPr>
      </w:pPr>
      <w:r>
        <w:rPr>
          <w:rFonts w:hint="eastAsia" w:ascii="宋体" w:cs="宋体"/>
          <w:sz w:val="30"/>
          <w:szCs w:val="30"/>
        </w:rPr>
        <w:t>致金华市政府采购中心永康市分中心：</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2.我方向贵方提交的所有投标文件、资料都是准确的和真实的。</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3.若中标，我方将按招标文件规定履行合同责任和义务。</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5.投标文件自开标日起有效期为90天。</w:t>
      </w:r>
    </w:p>
    <w:p>
      <w:pPr>
        <w:snapToGrid w:val="0"/>
        <w:spacing w:line="460" w:lineRule="exact"/>
        <w:ind w:firstLine="590" w:firstLineChars="196"/>
        <w:jc w:val="left"/>
        <w:rPr>
          <w:rFonts w:hint="eastAsia" w:ascii="宋体" w:cs="宋体"/>
          <w:b/>
          <w:color w:val="FF0000"/>
          <w:sz w:val="30"/>
          <w:szCs w:val="30"/>
        </w:rPr>
      </w:pPr>
      <w:r>
        <w:rPr>
          <w:rFonts w:hint="eastAsia" w:ascii="宋体" w:cs="宋体"/>
          <w:b/>
          <w:color w:val="FF0000"/>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hint="eastAsia"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hint="eastAsia" w:ascii="宋体" w:cs="宋体"/>
          <w:sz w:val="30"/>
          <w:szCs w:val="30"/>
          <w:u w:val="single"/>
        </w:rPr>
      </w:pPr>
      <w:r>
        <w:rPr>
          <w:rFonts w:hint="eastAsia" w:ascii="宋体" w:cs="宋体"/>
          <w:sz w:val="30"/>
          <w:szCs w:val="30"/>
        </w:rPr>
        <w:t>法定代表人签名（或签名章）：  日 期：</w:t>
      </w:r>
    </w:p>
    <w:p>
      <w:pPr>
        <w:snapToGrid w:val="0"/>
        <w:spacing w:before="120" w:beforeLines="50" w:after="50" w:line="460" w:lineRule="exact"/>
        <w:ind w:firstLine="150" w:firstLineChars="50"/>
        <w:rPr>
          <w:rFonts w:hint="eastAsia" w:ascii="宋体" w:cs="宋体"/>
          <w:sz w:val="30"/>
          <w:szCs w:val="30"/>
        </w:rPr>
      </w:pPr>
      <w:r>
        <w:rPr>
          <w:rFonts w:hint="eastAsia" w:ascii="宋体" w:cs="宋体"/>
          <w:sz w:val="30"/>
          <w:szCs w:val="30"/>
        </w:rPr>
        <w:t>投标人全称（公章）：</w:t>
      </w:r>
    </w:p>
    <w:p>
      <w:pPr>
        <w:snapToGrid w:val="0"/>
        <w:spacing w:before="50" w:after="120" w:afterLines="50"/>
        <w:jc w:val="left"/>
        <w:rPr>
          <w:rFonts w:hint="eastAsia" w:ascii="宋体" w:cs="宋体"/>
          <w:sz w:val="30"/>
          <w:szCs w:val="30"/>
        </w:rPr>
      </w:pPr>
      <w:r>
        <w:rPr>
          <w:rFonts w:hint="eastAsia" w:ascii="宋体" w:cs="宋体"/>
        </w:rPr>
        <w:br w:type="page"/>
      </w:r>
      <w:r>
        <w:rPr>
          <w:rFonts w:hint="eastAsia" w:ascii="宋体" w:cs="宋体"/>
          <w:sz w:val="30"/>
          <w:szCs w:val="30"/>
        </w:rPr>
        <w:t xml:space="preserve"> 附件3：     </w:t>
      </w:r>
    </w:p>
    <w:p>
      <w:pPr>
        <w:snapToGrid w:val="0"/>
        <w:spacing w:before="50" w:after="120" w:afterLines="50"/>
        <w:jc w:val="center"/>
        <w:rPr>
          <w:rFonts w:hint="eastAsia" w:ascii="宋体" w:cs="宋体"/>
          <w:sz w:val="30"/>
          <w:szCs w:val="30"/>
        </w:rPr>
      </w:pPr>
      <w:r>
        <w:rPr>
          <w:rFonts w:hint="eastAsia" w:ascii="宋体" w:cs="宋体"/>
          <w:b/>
          <w:bCs/>
          <w:sz w:val="36"/>
          <w:szCs w:val="36"/>
        </w:rPr>
        <w:t>投标承诺函</w:t>
      </w:r>
    </w:p>
    <w:p>
      <w:pPr>
        <w:snapToGrid w:val="0"/>
        <w:spacing w:before="50" w:after="120" w:afterLines="50"/>
        <w:jc w:val="left"/>
        <w:rPr>
          <w:rFonts w:hint="eastAsia" w:ascii="宋体" w:cs="宋体"/>
          <w:sz w:val="30"/>
          <w:szCs w:val="30"/>
        </w:rPr>
      </w:pPr>
      <w:r>
        <w:rPr>
          <w:rFonts w:hint="eastAsia" w:ascii="宋体" w:cs="宋体"/>
          <w:sz w:val="30"/>
          <w:szCs w:val="30"/>
        </w:rPr>
        <w:t>致（采购人、采购代理机构）：</w:t>
      </w:r>
    </w:p>
    <w:p>
      <w:pPr>
        <w:snapToGrid w:val="0"/>
        <w:spacing w:before="50" w:after="120" w:afterLines="50"/>
        <w:jc w:val="left"/>
        <w:rPr>
          <w:rFonts w:hint="eastAsia"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pPr>
        <w:snapToGrid w:val="0"/>
        <w:spacing w:before="50" w:after="120" w:afterLines="50"/>
        <w:jc w:val="left"/>
        <w:rPr>
          <w:rFonts w:hint="eastAsia"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napToGrid w:val="0"/>
        <w:spacing w:before="50" w:after="120" w:afterLines="50"/>
        <w:jc w:val="left"/>
        <w:rPr>
          <w:rFonts w:hint="eastAsia" w:ascii="宋体" w:cs="宋体"/>
          <w:sz w:val="30"/>
          <w:szCs w:val="30"/>
        </w:rPr>
      </w:pPr>
      <w:r>
        <w:rPr>
          <w:rFonts w:hint="eastAsia" w:ascii="宋体" w:cs="宋体"/>
          <w:sz w:val="30"/>
          <w:szCs w:val="30"/>
        </w:rPr>
        <w:t>（1）在投标有效期90历天内撤回投标的；</w:t>
      </w:r>
    </w:p>
    <w:p>
      <w:pPr>
        <w:snapToGrid w:val="0"/>
        <w:spacing w:before="50" w:after="120" w:afterLines="50"/>
        <w:jc w:val="left"/>
        <w:rPr>
          <w:rFonts w:hint="eastAsia" w:ascii="宋体" w:cs="宋体"/>
          <w:sz w:val="30"/>
          <w:szCs w:val="30"/>
        </w:rPr>
      </w:pPr>
      <w:r>
        <w:rPr>
          <w:rFonts w:hint="eastAsia" w:ascii="宋体" w:cs="宋体"/>
          <w:sz w:val="30"/>
          <w:szCs w:val="30"/>
        </w:rPr>
        <w:t>（2）中标后拒签合同或拖延签订合同超过规定时间的；</w:t>
      </w:r>
    </w:p>
    <w:p>
      <w:pPr>
        <w:snapToGrid w:val="0"/>
        <w:spacing w:before="50" w:after="120" w:afterLines="50"/>
        <w:jc w:val="left"/>
        <w:rPr>
          <w:rFonts w:hint="eastAsia" w:ascii="宋体" w:cs="宋体"/>
          <w:sz w:val="30"/>
          <w:szCs w:val="30"/>
        </w:rPr>
      </w:pPr>
      <w:r>
        <w:rPr>
          <w:rFonts w:hint="eastAsia" w:ascii="宋体" w:cs="宋体"/>
          <w:sz w:val="30"/>
          <w:szCs w:val="30"/>
        </w:rPr>
        <w:t>（3）在投标过程中弄虚作假，提供虚假材料的；</w:t>
      </w:r>
    </w:p>
    <w:p>
      <w:pPr>
        <w:snapToGrid w:val="0"/>
        <w:spacing w:before="50" w:after="120" w:afterLines="50"/>
        <w:jc w:val="left"/>
        <w:rPr>
          <w:rFonts w:hint="eastAsia" w:ascii="宋体" w:cs="宋体"/>
          <w:sz w:val="30"/>
          <w:szCs w:val="30"/>
        </w:rPr>
      </w:pPr>
      <w:r>
        <w:rPr>
          <w:rFonts w:hint="eastAsia" w:ascii="宋体" w:cs="宋体"/>
          <w:sz w:val="30"/>
          <w:szCs w:val="30"/>
        </w:rPr>
        <w:t>（4）出现串通投标的；</w:t>
      </w:r>
    </w:p>
    <w:p>
      <w:pPr>
        <w:snapToGrid w:val="0"/>
        <w:spacing w:before="50" w:after="120" w:afterLines="50"/>
        <w:jc w:val="left"/>
        <w:rPr>
          <w:rFonts w:hint="eastAsia" w:ascii="宋体" w:cs="宋体"/>
          <w:sz w:val="30"/>
          <w:szCs w:val="30"/>
        </w:rPr>
      </w:pPr>
      <w:r>
        <w:rPr>
          <w:rFonts w:hint="eastAsia" w:ascii="宋体" w:cs="宋体"/>
          <w:sz w:val="30"/>
          <w:szCs w:val="30"/>
        </w:rPr>
        <w:t>（5）严重扰乱招投标程序的；</w:t>
      </w:r>
    </w:p>
    <w:p>
      <w:pPr>
        <w:snapToGrid w:val="0"/>
        <w:spacing w:before="50" w:after="120" w:afterLines="50"/>
        <w:jc w:val="left"/>
        <w:rPr>
          <w:rFonts w:hint="eastAsia" w:ascii="宋体" w:cs="宋体"/>
          <w:sz w:val="30"/>
          <w:szCs w:val="30"/>
        </w:rPr>
      </w:pPr>
      <w:r>
        <w:rPr>
          <w:rFonts w:hint="eastAsia" w:ascii="宋体" w:cs="宋体"/>
          <w:sz w:val="30"/>
          <w:szCs w:val="30"/>
        </w:rPr>
        <w:t>（6）其他违法违规导致被废除投标或中标资格的；</w:t>
      </w:r>
    </w:p>
    <w:p>
      <w:pPr>
        <w:snapToGrid w:val="0"/>
        <w:spacing w:before="50" w:after="120" w:afterLines="50"/>
        <w:jc w:val="left"/>
        <w:rPr>
          <w:rFonts w:hint="eastAsia" w:ascii="宋体" w:cs="宋体"/>
          <w:sz w:val="30"/>
          <w:szCs w:val="30"/>
        </w:rPr>
      </w:pPr>
    </w:p>
    <w:p>
      <w:pPr>
        <w:snapToGrid w:val="0"/>
        <w:spacing w:before="50" w:after="120" w:afterLines="50"/>
        <w:jc w:val="left"/>
        <w:rPr>
          <w:rFonts w:hint="eastAsia" w:ascii="宋体" w:cs="宋体"/>
          <w:sz w:val="30"/>
          <w:szCs w:val="30"/>
        </w:rPr>
      </w:pPr>
      <w:r>
        <w:rPr>
          <w:rFonts w:hint="eastAsia" w:ascii="宋体" w:cs="宋体"/>
          <w:sz w:val="30"/>
          <w:szCs w:val="30"/>
        </w:rPr>
        <w:t xml:space="preserve">授权代表签名：                      </w:t>
      </w:r>
    </w:p>
    <w:p>
      <w:pPr>
        <w:snapToGrid w:val="0"/>
        <w:spacing w:before="50" w:after="120" w:afterLines="50"/>
        <w:jc w:val="left"/>
        <w:rPr>
          <w:rFonts w:hint="eastAsia" w:ascii="宋体" w:cs="宋体"/>
          <w:sz w:val="30"/>
          <w:szCs w:val="30"/>
        </w:rPr>
      </w:pPr>
      <w:r>
        <w:rPr>
          <w:rFonts w:hint="eastAsia" w:ascii="宋体" w:cs="宋体"/>
          <w:sz w:val="30"/>
          <w:szCs w:val="30"/>
        </w:rPr>
        <w:t>投标单位名称（公章）：</w:t>
      </w:r>
    </w:p>
    <w:p>
      <w:pPr>
        <w:snapToGrid w:val="0"/>
        <w:spacing w:before="50" w:after="120" w:afterLines="50"/>
        <w:jc w:val="left"/>
        <w:rPr>
          <w:rFonts w:hint="eastAsia" w:ascii="宋体" w:cs="宋体"/>
          <w:sz w:val="30"/>
          <w:szCs w:val="30"/>
        </w:rPr>
      </w:pPr>
      <w:r>
        <w:rPr>
          <w:rFonts w:hint="eastAsia" w:ascii="宋体" w:cs="宋体"/>
          <w:sz w:val="30"/>
          <w:szCs w:val="30"/>
        </w:rPr>
        <w:t>日期：    年   月    日</w:t>
      </w:r>
    </w:p>
    <w:p>
      <w:pPr>
        <w:snapToGrid w:val="0"/>
        <w:spacing w:before="50" w:after="120" w:afterLines="50"/>
        <w:jc w:val="left"/>
        <w:rPr>
          <w:rFonts w:hint="eastAsia" w:ascii="宋体" w:cs="宋体"/>
          <w:sz w:val="28"/>
          <w:szCs w:val="28"/>
        </w:rPr>
      </w:pPr>
      <w:r>
        <w:rPr>
          <w:rFonts w:hint="eastAsia" w:ascii="宋体" w:cs="宋体"/>
          <w:sz w:val="28"/>
          <w:szCs w:val="28"/>
        </w:rPr>
        <w:t>备注：</w:t>
      </w:r>
    </w:p>
    <w:p>
      <w:pPr>
        <w:snapToGrid w:val="0"/>
        <w:spacing w:before="50" w:after="120" w:afterLines="50"/>
        <w:jc w:val="left"/>
        <w:rPr>
          <w:rFonts w:hint="eastAsia" w:ascii="宋体" w:cs="宋体"/>
          <w:sz w:val="28"/>
          <w:szCs w:val="28"/>
        </w:rPr>
      </w:pPr>
      <w:r>
        <w:rPr>
          <w:rFonts w:hint="eastAsia" w:ascii="宋体" w:cs="宋体"/>
          <w:sz w:val="28"/>
          <w:szCs w:val="28"/>
        </w:rPr>
        <w:t>1.本投标承诺函作为资格标资料之一，未提供的视为无法保证投标响应和履约服务能力，资格审查不予通过。</w:t>
      </w:r>
    </w:p>
    <w:p>
      <w:pPr>
        <w:snapToGrid w:val="0"/>
        <w:spacing w:before="50" w:after="120" w:afterLines="50"/>
        <w:jc w:val="left"/>
        <w:rPr>
          <w:rFonts w:hint="eastAsia" w:ascii="宋体" w:cs="宋体"/>
          <w:sz w:val="30"/>
          <w:szCs w:val="30"/>
        </w:rPr>
      </w:pPr>
      <w:r>
        <w:rPr>
          <w:rFonts w:hint="eastAsia" w:ascii="宋体" w:cs="宋体"/>
          <w:sz w:val="28"/>
          <w:szCs w:val="28"/>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rPr>
          <w:rFonts w:hint="eastAsia" w:ascii="宋体" w:hAnsi="宋体" w:cs="宋体"/>
        </w:rPr>
      </w:pPr>
    </w:p>
    <w:p>
      <w:pPr>
        <w:snapToGrid w:val="0"/>
        <w:spacing w:before="120" w:beforeLines="50" w:after="50" w:line="460" w:lineRule="exact"/>
        <w:rPr>
          <w:rFonts w:hint="eastAsia" w:ascii="宋体" w:cs="宋体"/>
          <w:sz w:val="30"/>
          <w:szCs w:val="30"/>
        </w:rPr>
      </w:pPr>
      <w:r>
        <w:rPr>
          <w:rFonts w:hint="eastAsia" w:ascii="宋体" w:cs="宋体"/>
          <w:sz w:val="30"/>
          <w:szCs w:val="30"/>
        </w:rPr>
        <w:t>附件4：</w:t>
      </w:r>
    </w:p>
    <w:p>
      <w:pPr>
        <w:snapToGrid w:val="0"/>
        <w:spacing w:before="50" w:after="50"/>
        <w:jc w:val="center"/>
        <w:rPr>
          <w:rFonts w:hint="eastAsia" w:ascii="宋体" w:cs="宋体"/>
          <w:b/>
          <w:sz w:val="36"/>
          <w:szCs w:val="36"/>
        </w:rPr>
      </w:pPr>
      <w:r>
        <w:rPr>
          <w:rFonts w:hint="eastAsia" w:ascii="宋体" w:cs="宋体"/>
          <w:b/>
          <w:sz w:val="36"/>
          <w:szCs w:val="36"/>
        </w:rPr>
        <w:t>法定代表人授权委托书</w:t>
      </w:r>
    </w:p>
    <w:p>
      <w:pPr>
        <w:snapToGrid w:val="0"/>
        <w:spacing w:before="120" w:beforeLines="50" w:after="50"/>
        <w:jc w:val="center"/>
        <w:rPr>
          <w:rFonts w:hint="eastAsia" w:ascii="宋体" w:cs="宋体"/>
          <w:b/>
          <w:sz w:val="30"/>
          <w:szCs w:val="30"/>
        </w:rPr>
      </w:pPr>
    </w:p>
    <w:p>
      <w:pPr>
        <w:snapToGrid w:val="0"/>
        <w:spacing w:before="120" w:beforeLines="50" w:after="50" w:line="460" w:lineRule="exact"/>
        <w:rPr>
          <w:rFonts w:hint="eastAsia" w:ascii="宋体" w:cs="宋体"/>
          <w:b/>
          <w:bCs/>
          <w:sz w:val="30"/>
          <w:szCs w:val="30"/>
        </w:rPr>
      </w:pPr>
      <w:r>
        <w:rPr>
          <w:rFonts w:hint="eastAsia" w:ascii="宋体" w:cs="宋体"/>
          <w:bCs/>
          <w:sz w:val="30"/>
          <w:szCs w:val="30"/>
        </w:rPr>
        <w:t>金华市政府采购中心永康市分中心：</w:t>
      </w:r>
    </w:p>
    <w:p>
      <w:pPr>
        <w:snapToGrid w:val="0"/>
        <w:spacing w:before="120" w:beforeLines="50" w:after="50" w:line="460" w:lineRule="exact"/>
        <w:ind w:firstLine="900" w:firstLineChars="300"/>
        <w:rPr>
          <w:rFonts w:hint="eastAsia"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hint="eastAsia"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hint="eastAsia" w:ascii="宋体" w:cs="宋体"/>
          <w:sz w:val="30"/>
          <w:szCs w:val="30"/>
        </w:rPr>
      </w:pPr>
      <w:r>
        <w:rPr>
          <w:rFonts w:hint="eastAsia" w:ascii="宋体" w:cs="宋体"/>
          <w:sz w:val="30"/>
          <w:szCs w:val="30"/>
        </w:rPr>
        <w:t>授权代表无转委托权，特此委托。</w:t>
      </w:r>
    </w:p>
    <w:p>
      <w:pPr>
        <w:snapToGrid w:val="0"/>
        <w:spacing w:before="120" w:beforeLines="50" w:after="50" w:line="460" w:lineRule="exact"/>
        <w:ind w:firstLine="480"/>
        <w:rPr>
          <w:rFonts w:hint="eastAsia" w:ascii="宋体" w:cs="宋体"/>
          <w:sz w:val="30"/>
          <w:szCs w:val="30"/>
        </w:rPr>
      </w:pPr>
    </w:p>
    <w:p>
      <w:pPr>
        <w:snapToGrid w:val="0"/>
        <w:spacing w:before="120" w:beforeLines="50" w:after="50" w:line="460" w:lineRule="exact"/>
        <w:rPr>
          <w:rFonts w:hint="eastAsia" w:ascii="宋体" w:cs="宋体"/>
          <w:sz w:val="30"/>
          <w:szCs w:val="30"/>
          <w:u w:val="single"/>
        </w:rPr>
      </w:pPr>
      <w:r>
        <w:rPr>
          <w:rFonts w:hint="eastAsia" w:ascii="宋体" w:cs="宋体"/>
          <w:sz w:val="30"/>
          <w:szCs w:val="30"/>
        </w:rPr>
        <w:t>授权代表签名： 职务：  联系方式：</w:t>
      </w:r>
    </w:p>
    <w:p>
      <w:pPr>
        <w:snapToGrid w:val="0"/>
        <w:spacing w:before="120" w:beforeLines="50" w:after="50" w:line="460" w:lineRule="exact"/>
        <w:rPr>
          <w:rFonts w:hint="eastAsia" w:ascii="宋体" w:cs="宋体"/>
          <w:sz w:val="30"/>
          <w:szCs w:val="30"/>
        </w:rPr>
      </w:pPr>
      <w:r>
        <w:rPr>
          <w:rFonts w:hint="eastAsia" w:ascii="宋体" w:cs="宋体"/>
          <w:sz w:val="30"/>
          <w:szCs w:val="30"/>
        </w:rPr>
        <w:t>邮箱： 传真：</w:t>
      </w:r>
    </w:p>
    <w:p>
      <w:pPr>
        <w:snapToGrid w:val="0"/>
        <w:spacing w:before="120" w:beforeLines="50" w:after="50" w:line="460" w:lineRule="exact"/>
        <w:rPr>
          <w:rFonts w:hint="eastAsia" w:ascii="宋体" w:cs="宋体"/>
          <w:sz w:val="30"/>
          <w:szCs w:val="30"/>
        </w:rPr>
      </w:pPr>
      <w:r>
        <w:rPr>
          <w:rFonts w:hint="eastAsia" w:ascii="宋体" w:cs="宋体"/>
          <w:sz w:val="30"/>
          <w:szCs w:val="30"/>
        </w:rPr>
        <w:t>授权代表身份证号码：</w:t>
      </w:r>
    </w:p>
    <w:p>
      <w:pPr>
        <w:snapToGrid w:val="0"/>
        <w:spacing w:before="120" w:beforeLines="50" w:after="50" w:line="460" w:lineRule="exact"/>
        <w:rPr>
          <w:rFonts w:hint="eastAsia" w:ascii="宋体" w:cs="宋体"/>
          <w:sz w:val="30"/>
          <w:szCs w:val="30"/>
          <w:u w:val="single"/>
        </w:rPr>
      </w:pPr>
      <w:r>
        <w:rPr>
          <w:rFonts w:hint="eastAsia" w:ascii="宋体" w:cs="宋体"/>
          <w:sz w:val="30"/>
          <w:szCs w:val="30"/>
        </w:rPr>
        <w:t>法定代表人签名（或签名章）：   职务：</w:t>
      </w:r>
    </w:p>
    <w:p>
      <w:pPr>
        <w:snapToGrid w:val="0"/>
        <w:spacing w:before="120" w:beforeLines="50" w:after="50" w:line="460" w:lineRule="exact"/>
        <w:rPr>
          <w:rFonts w:hint="eastAsia" w:ascii="宋体" w:cs="宋体"/>
          <w:sz w:val="30"/>
          <w:szCs w:val="30"/>
        </w:rPr>
      </w:pPr>
      <w:r>
        <w:rPr>
          <w:rFonts w:hint="eastAsia" w:ascii="宋体" w:cs="宋体"/>
          <w:sz w:val="30"/>
          <w:szCs w:val="30"/>
        </w:rPr>
        <w:t>联系方式：</w:t>
      </w:r>
    </w:p>
    <w:p>
      <w:pPr>
        <w:snapToGrid w:val="0"/>
        <w:spacing w:before="120" w:beforeLines="50" w:after="50" w:line="460" w:lineRule="exact"/>
        <w:rPr>
          <w:rFonts w:hint="eastAsia" w:ascii="宋体" w:cs="宋体"/>
          <w:sz w:val="30"/>
          <w:szCs w:val="30"/>
        </w:rPr>
      </w:pPr>
    </w:p>
    <w:p>
      <w:pPr>
        <w:snapToGrid w:val="0"/>
        <w:spacing w:before="120" w:beforeLines="50" w:after="50" w:line="460" w:lineRule="exact"/>
        <w:rPr>
          <w:rFonts w:hint="eastAsia" w:ascii="宋体" w:cs="宋体"/>
          <w:sz w:val="30"/>
          <w:szCs w:val="30"/>
        </w:rPr>
      </w:pPr>
    </w:p>
    <w:p>
      <w:pPr>
        <w:snapToGrid w:val="0"/>
        <w:spacing w:before="120" w:beforeLines="50" w:after="50" w:line="460" w:lineRule="exact"/>
        <w:ind w:firstLine="6150" w:firstLineChars="2050"/>
        <w:rPr>
          <w:rFonts w:hint="eastAsia" w:ascii="宋体" w:cs="宋体"/>
          <w:sz w:val="30"/>
          <w:szCs w:val="30"/>
        </w:rPr>
      </w:pPr>
    </w:p>
    <w:p>
      <w:pPr>
        <w:snapToGrid w:val="0"/>
        <w:spacing w:before="120" w:beforeLines="50" w:after="50" w:line="460" w:lineRule="exact"/>
        <w:rPr>
          <w:rFonts w:hint="eastAsia" w:ascii="宋体" w:cs="宋体"/>
          <w:sz w:val="30"/>
          <w:szCs w:val="30"/>
          <w:u w:val="single"/>
        </w:rPr>
      </w:pPr>
      <w:r>
        <w:rPr>
          <w:rFonts w:hint="eastAsia" w:ascii="宋体" w:cs="宋体"/>
          <w:sz w:val="30"/>
          <w:szCs w:val="30"/>
        </w:rPr>
        <w:t>投标人全称（公章）：         日  期：</w:t>
      </w:r>
    </w:p>
    <w:p>
      <w:pPr>
        <w:snapToGrid w:val="0"/>
        <w:spacing w:before="120" w:beforeLines="50" w:after="50" w:line="460" w:lineRule="exact"/>
        <w:rPr>
          <w:rFonts w:hint="eastAsia" w:ascii="宋体" w:cs="宋体"/>
          <w:sz w:val="30"/>
          <w:szCs w:val="30"/>
        </w:rPr>
      </w:pPr>
    </w:p>
    <w:p>
      <w:pPr>
        <w:snapToGrid w:val="0"/>
        <w:spacing w:before="120" w:beforeLines="50" w:after="50" w:line="460" w:lineRule="exact"/>
        <w:rPr>
          <w:rFonts w:hint="eastAsia" w:ascii="宋体" w:cs="宋体"/>
          <w:sz w:val="30"/>
          <w:szCs w:val="30"/>
        </w:rPr>
      </w:pPr>
    </w:p>
    <w:p>
      <w:pPr>
        <w:snapToGrid w:val="0"/>
        <w:spacing w:before="120" w:beforeLines="50" w:after="50" w:line="460" w:lineRule="exact"/>
        <w:rPr>
          <w:rFonts w:hint="eastAsia" w:ascii="宋体" w:cs="宋体"/>
          <w:sz w:val="30"/>
          <w:szCs w:val="30"/>
        </w:rPr>
      </w:pPr>
    </w:p>
    <w:p>
      <w:pPr>
        <w:tabs>
          <w:tab w:val="left" w:pos="606"/>
        </w:tabs>
        <w:rPr>
          <w:rFonts w:hint="eastAsia" w:ascii="宋体" w:cs="宋体"/>
          <w:spacing w:val="20"/>
          <w:sz w:val="30"/>
          <w:szCs w:val="30"/>
        </w:rPr>
      </w:pPr>
      <w:r>
        <w:rPr>
          <w:rFonts w:hint="eastAsia" w:ascii="宋体" w:cs="宋体"/>
          <w:sz w:val="30"/>
          <w:szCs w:val="30"/>
        </w:rPr>
        <w:t>附件5：</w:t>
      </w:r>
    </w:p>
    <w:p>
      <w:pPr>
        <w:pStyle w:val="11"/>
        <w:overflowPunct w:val="0"/>
        <w:spacing w:line="360" w:lineRule="auto"/>
        <w:ind w:firstLine="0"/>
        <w:jc w:val="center"/>
        <w:rPr>
          <w:rFonts w:hint="eastAsia" w:cs="宋体"/>
          <w:b/>
          <w:spacing w:val="40"/>
          <w:kern w:val="0"/>
          <w:sz w:val="30"/>
          <w:szCs w:val="30"/>
        </w:rPr>
      </w:pPr>
      <w:r>
        <w:rPr>
          <w:rFonts w:hint="eastAsia" w:cs="宋体"/>
          <w:b/>
          <w:spacing w:val="40"/>
          <w:kern w:val="0"/>
          <w:sz w:val="30"/>
          <w:szCs w:val="30"/>
        </w:rPr>
        <w:t>联合投标协议书</w:t>
      </w:r>
    </w:p>
    <w:p>
      <w:pPr>
        <w:pStyle w:val="11"/>
        <w:overflowPunct w:val="0"/>
        <w:spacing w:line="460" w:lineRule="exact"/>
        <w:ind w:firstLine="642" w:firstLineChars="214"/>
        <w:rPr>
          <w:rFonts w:hint="eastAsia" w:cs="宋体"/>
          <w:sz w:val="30"/>
          <w:szCs w:val="30"/>
        </w:rPr>
      </w:pPr>
      <w:r>
        <w:rPr>
          <w:rFonts w:hint="eastAsia" w:cs="宋体"/>
          <w:sz w:val="30"/>
          <w:szCs w:val="30"/>
        </w:rPr>
        <w:t>甲方：</w:t>
      </w:r>
    </w:p>
    <w:p>
      <w:pPr>
        <w:pStyle w:val="11"/>
        <w:overflowPunct w:val="0"/>
        <w:spacing w:line="460" w:lineRule="exact"/>
        <w:ind w:firstLine="642" w:firstLineChars="214"/>
        <w:rPr>
          <w:rFonts w:hint="eastAsia" w:cs="宋体"/>
          <w:sz w:val="30"/>
          <w:szCs w:val="30"/>
        </w:rPr>
      </w:pPr>
      <w:r>
        <w:rPr>
          <w:rFonts w:hint="eastAsia" w:cs="宋体"/>
          <w:sz w:val="30"/>
          <w:szCs w:val="30"/>
        </w:rPr>
        <w:t>乙方：</w:t>
      </w:r>
    </w:p>
    <w:p>
      <w:pPr>
        <w:pStyle w:val="11"/>
        <w:overflowPunct w:val="0"/>
        <w:spacing w:line="460" w:lineRule="exact"/>
        <w:ind w:firstLine="642" w:firstLineChars="214"/>
        <w:rPr>
          <w:rFonts w:hint="eastAsia" w:cs="宋体"/>
          <w:sz w:val="30"/>
          <w:szCs w:val="30"/>
        </w:rPr>
      </w:pPr>
      <w:r>
        <w:rPr>
          <w:rFonts w:hint="eastAsia" w:cs="宋体"/>
          <w:sz w:val="30"/>
          <w:szCs w:val="30"/>
        </w:rPr>
        <w:t>（如果有的话，可按甲、乙、丙、丁…序列增加）</w:t>
      </w:r>
    </w:p>
    <w:p>
      <w:pPr>
        <w:pStyle w:val="11"/>
        <w:overflowPunct w:val="0"/>
        <w:spacing w:line="460" w:lineRule="exact"/>
        <w:ind w:firstLine="642" w:firstLineChars="214"/>
        <w:rPr>
          <w:rFonts w:hint="eastAsia" w:cs="宋体"/>
          <w:sz w:val="30"/>
          <w:szCs w:val="30"/>
        </w:rPr>
      </w:pPr>
      <w:r>
        <w:rPr>
          <w:rFonts w:hint="eastAsia" w:cs="宋体"/>
          <w:sz w:val="30"/>
          <w:szCs w:val="30"/>
        </w:rPr>
        <w:t>各方经协商，就响应 组织实施的编号为号的招标活动联合进行投标之事宜，达成如下协议：</w:t>
      </w:r>
    </w:p>
    <w:p>
      <w:pPr>
        <w:pStyle w:val="11"/>
        <w:overflowPunct w:val="0"/>
        <w:spacing w:line="460" w:lineRule="exact"/>
        <w:ind w:firstLine="642" w:firstLineChars="214"/>
        <w:rPr>
          <w:rFonts w:hint="eastAsia" w:cs="宋体"/>
          <w:sz w:val="30"/>
          <w:szCs w:val="30"/>
        </w:rPr>
      </w:pPr>
      <w:r>
        <w:rPr>
          <w:rFonts w:hint="eastAsia" w:cs="宋体"/>
          <w:sz w:val="30"/>
          <w:szCs w:val="30"/>
        </w:rPr>
        <w:t>一、各方一致决定，以  为主办人进行投标，并按照招标文件的规定分别提交资格文件。</w:t>
      </w:r>
    </w:p>
    <w:p>
      <w:pPr>
        <w:pStyle w:val="11"/>
        <w:overflowPunct w:val="0"/>
        <w:spacing w:line="460" w:lineRule="exact"/>
        <w:ind w:firstLine="642" w:firstLineChars="214"/>
        <w:rPr>
          <w:rFonts w:hint="eastAsia" w:cs="宋体"/>
          <w:sz w:val="30"/>
          <w:szCs w:val="30"/>
        </w:rPr>
      </w:pPr>
      <w:r>
        <w:rPr>
          <w:rFonts w:hint="eastAsia" w:cs="宋体"/>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1"/>
        <w:overflowPunct w:val="0"/>
        <w:spacing w:line="460" w:lineRule="exact"/>
        <w:ind w:firstLine="642" w:firstLineChars="214"/>
        <w:rPr>
          <w:rFonts w:hint="eastAsia" w:cs="宋体"/>
          <w:sz w:val="30"/>
          <w:szCs w:val="30"/>
        </w:rPr>
      </w:pPr>
      <w:r>
        <w:rPr>
          <w:rFonts w:hint="eastAsia" w:cs="宋体"/>
          <w:sz w:val="30"/>
          <w:szCs w:val="30"/>
        </w:rPr>
        <w:t>三、联合投标其余各方保证对主办人为响应本次招标而提供的产品和服务提供全部质量保证及售后服务支持。</w:t>
      </w:r>
    </w:p>
    <w:p>
      <w:pPr>
        <w:pStyle w:val="11"/>
        <w:overflowPunct w:val="0"/>
        <w:spacing w:line="460" w:lineRule="exact"/>
        <w:ind w:firstLine="642" w:firstLineChars="214"/>
        <w:rPr>
          <w:rFonts w:hint="eastAsia" w:cs="宋体"/>
          <w:sz w:val="30"/>
          <w:szCs w:val="30"/>
        </w:rPr>
      </w:pPr>
      <w:r>
        <w:rPr>
          <w:rFonts w:hint="eastAsia" w:cs="宋体"/>
          <w:sz w:val="30"/>
          <w:szCs w:val="30"/>
        </w:rPr>
        <w:t>四、本次联合投标中，甲方承担的工作和义务为:</w:t>
      </w:r>
    </w:p>
    <w:p>
      <w:pPr>
        <w:pStyle w:val="11"/>
        <w:overflowPunct w:val="0"/>
        <w:spacing w:line="460" w:lineRule="exact"/>
        <w:ind w:firstLine="642" w:firstLineChars="214"/>
        <w:rPr>
          <w:rFonts w:hint="eastAsia" w:cs="宋体"/>
          <w:sz w:val="30"/>
          <w:szCs w:val="30"/>
          <w:u w:val="single"/>
        </w:rPr>
      </w:pPr>
    </w:p>
    <w:p>
      <w:pPr>
        <w:pStyle w:val="11"/>
        <w:overflowPunct w:val="0"/>
        <w:spacing w:line="460" w:lineRule="exact"/>
        <w:ind w:firstLine="642" w:firstLineChars="214"/>
        <w:rPr>
          <w:rFonts w:hint="eastAsia" w:cs="宋体"/>
          <w:sz w:val="30"/>
          <w:szCs w:val="30"/>
        </w:rPr>
      </w:pPr>
      <w:r>
        <w:rPr>
          <w:rFonts w:hint="eastAsia" w:cs="宋体"/>
          <w:sz w:val="30"/>
          <w:szCs w:val="30"/>
        </w:rPr>
        <w:t>乙方承担的工作和义务为：</w:t>
      </w:r>
    </w:p>
    <w:p>
      <w:pPr>
        <w:pStyle w:val="11"/>
        <w:overflowPunct w:val="0"/>
        <w:spacing w:line="460" w:lineRule="exact"/>
        <w:ind w:firstLine="642" w:firstLineChars="214"/>
        <w:rPr>
          <w:rFonts w:hint="eastAsia" w:cs="宋体"/>
          <w:sz w:val="30"/>
          <w:szCs w:val="30"/>
        </w:rPr>
      </w:pPr>
    </w:p>
    <w:p>
      <w:pPr>
        <w:pStyle w:val="11"/>
        <w:overflowPunct w:val="0"/>
        <w:spacing w:line="460" w:lineRule="exact"/>
        <w:ind w:firstLine="642" w:firstLineChars="214"/>
        <w:rPr>
          <w:rFonts w:hint="eastAsia" w:cs="宋体"/>
          <w:sz w:val="30"/>
          <w:szCs w:val="30"/>
        </w:rPr>
      </w:pPr>
      <w:r>
        <w:rPr>
          <w:rFonts w:hint="eastAsia" w:cs="宋体"/>
          <w:sz w:val="30"/>
          <w:szCs w:val="30"/>
        </w:rPr>
        <w:t>五、有关本次联合投标的其他事宜：</w:t>
      </w:r>
    </w:p>
    <w:p>
      <w:pPr>
        <w:pStyle w:val="11"/>
        <w:overflowPunct w:val="0"/>
        <w:spacing w:line="460" w:lineRule="exact"/>
        <w:ind w:firstLine="642" w:firstLineChars="214"/>
        <w:rPr>
          <w:rFonts w:hint="eastAsia" w:cs="宋体"/>
          <w:sz w:val="30"/>
          <w:szCs w:val="30"/>
        </w:rPr>
      </w:pPr>
      <w:r>
        <w:rPr>
          <w:rFonts w:hint="eastAsia" w:cs="宋体"/>
          <w:sz w:val="30"/>
          <w:szCs w:val="30"/>
        </w:rPr>
        <w:t>六、本协议提交招标方后，联合投标各方不得以任何形式对上述实质内容进行修改或撤销。</w:t>
      </w:r>
    </w:p>
    <w:p>
      <w:pPr>
        <w:pStyle w:val="11"/>
        <w:overflowPunct w:val="0"/>
        <w:spacing w:line="460" w:lineRule="exact"/>
        <w:ind w:firstLine="642" w:firstLineChars="214"/>
        <w:rPr>
          <w:rFonts w:hint="eastAsia" w:cs="宋体"/>
          <w:sz w:val="30"/>
          <w:szCs w:val="30"/>
        </w:rPr>
      </w:pPr>
      <w:r>
        <w:rPr>
          <w:rFonts w:hint="eastAsia" w:cs="宋体"/>
          <w:sz w:val="30"/>
          <w:szCs w:val="30"/>
        </w:rPr>
        <w:t>七、本协议签约各方各持一份，并作为投标文件的一部分。</w:t>
      </w:r>
    </w:p>
    <w:tbl>
      <w:tblPr>
        <w:tblStyle w:val="32"/>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1"/>
              <w:overflowPunct w:val="0"/>
              <w:spacing w:line="460" w:lineRule="exact"/>
              <w:ind w:firstLine="0"/>
              <w:rPr>
                <w:rFonts w:hint="eastAsia" w:cs="宋体"/>
                <w:sz w:val="30"/>
                <w:szCs w:val="30"/>
              </w:rPr>
            </w:pPr>
            <w:r>
              <w:rPr>
                <w:rFonts w:hint="eastAsia" w:cs="宋体"/>
                <w:sz w:val="30"/>
                <w:szCs w:val="30"/>
              </w:rPr>
              <w:t>甲方单位：       （公章）</w:t>
            </w:r>
          </w:p>
          <w:p>
            <w:pPr>
              <w:pStyle w:val="11"/>
              <w:overflowPunct w:val="0"/>
              <w:spacing w:line="460" w:lineRule="exact"/>
              <w:ind w:firstLine="0"/>
              <w:rPr>
                <w:rFonts w:hint="eastAsia" w:cs="宋体"/>
                <w:sz w:val="30"/>
                <w:szCs w:val="30"/>
              </w:rPr>
            </w:pPr>
            <w:r>
              <w:rPr>
                <w:rFonts w:hint="eastAsia" w:cs="宋体"/>
                <w:sz w:val="30"/>
                <w:szCs w:val="30"/>
              </w:rPr>
              <w:t>法定代表人：     （签章）</w:t>
            </w:r>
          </w:p>
          <w:p>
            <w:pPr>
              <w:pStyle w:val="11"/>
              <w:overflowPunct w:val="0"/>
              <w:spacing w:line="460" w:lineRule="exact"/>
              <w:ind w:firstLine="0"/>
              <w:rPr>
                <w:rFonts w:hint="eastAsia" w:cs="宋体"/>
                <w:sz w:val="30"/>
                <w:szCs w:val="30"/>
              </w:rPr>
            </w:pPr>
            <w:r>
              <w:rPr>
                <w:rFonts w:hint="eastAsia" w:cs="宋体"/>
                <w:sz w:val="30"/>
                <w:szCs w:val="30"/>
              </w:rPr>
              <w:t>日  期：  年  月   日</w:t>
            </w:r>
          </w:p>
        </w:tc>
        <w:tc>
          <w:tcPr>
            <w:tcW w:w="4264" w:type="dxa"/>
            <w:noWrap w:val="0"/>
            <w:vAlign w:val="top"/>
          </w:tcPr>
          <w:p>
            <w:pPr>
              <w:pStyle w:val="11"/>
              <w:overflowPunct w:val="0"/>
              <w:spacing w:line="460" w:lineRule="exact"/>
              <w:ind w:firstLine="0"/>
              <w:rPr>
                <w:rFonts w:hint="eastAsia" w:cs="宋体"/>
                <w:sz w:val="30"/>
                <w:szCs w:val="30"/>
              </w:rPr>
            </w:pPr>
            <w:r>
              <w:rPr>
                <w:rFonts w:hint="eastAsia" w:cs="宋体"/>
                <w:sz w:val="30"/>
                <w:szCs w:val="30"/>
              </w:rPr>
              <w:t>乙方单位：       （公章）</w:t>
            </w:r>
          </w:p>
          <w:p>
            <w:pPr>
              <w:pStyle w:val="11"/>
              <w:overflowPunct w:val="0"/>
              <w:spacing w:line="460" w:lineRule="exact"/>
              <w:ind w:firstLine="0"/>
              <w:rPr>
                <w:rFonts w:hint="eastAsia" w:cs="宋体"/>
                <w:sz w:val="30"/>
                <w:szCs w:val="30"/>
              </w:rPr>
            </w:pPr>
            <w:r>
              <w:rPr>
                <w:rFonts w:hint="eastAsia" w:cs="宋体"/>
                <w:sz w:val="30"/>
                <w:szCs w:val="30"/>
              </w:rPr>
              <w:t>法定代表人：     （签章）</w:t>
            </w:r>
          </w:p>
          <w:p>
            <w:pPr>
              <w:pStyle w:val="11"/>
              <w:overflowPunct w:val="0"/>
              <w:spacing w:line="460" w:lineRule="exact"/>
              <w:ind w:firstLine="0"/>
              <w:rPr>
                <w:rFonts w:hint="eastAsia" w:cs="宋体"/>
                <w:sz w:val="30"/>
                <w:szCs w:val="30"/>
              </w:rPr>
            </w:pPr>
            <w:r>
              <w:rPr>
                <w:rFonts w:hint="eastAsia" w:cs="宋体"/>
                <w:sz w:val="30"/>
                <w:szCs w:val="30"/>
              </w:rPr>
              <w:t>日  期：  年  月   日</w:t>
            </w:r>
          </w:p>
        </w:tc>
      </w:tr>
    </w:tbl>
    <w:p>
      <w:pPr>
        <w:pStyle w:val="11"/>
        <w:overflowPunct w:val="0"/>
        <w:spacing w:line="460" w:lineRule="exact"/>
        <w:ind w:firstLine="0"/>
        <w:rPr>
          <w:rFonts w:hint="eastAsia" w:cs="宋体"/>
          <w:sz w:val="30"/>
          <w:szCs w:val="30"/>
        </w:rPr>
      </w:pPr>
      <w:r>
        <w:rPr>
          <w:rFonts w:hint="eastAsia" w:cs="宋体"/>
          <w:sz w:val="30"/>
          <w:szCs w:val="30"/>
        </w:rPr>
        <w:br w:type="page"/>
      </w:r>
      <w:r>
        <w:rPr>
          <w:rFonts w:hint="eastAsia" w:cs="宋体"/>
          <w:sz w:val="30"/>
          <w:szCs w:val="30"/>
        </w:rPr>
        <w:t>附件6：</w:t>
      </w:r>
    </w:p>
    <w:p>
      <w:pPr>
        <w:pStyle w:val="11"/>
        <w:overflowPunct w:val="0"/>
        <w:spacing w:line="460" w:lineRule="exact"/>
        <w:jc w:val="center"/>
        <w:rPr>
          <w:rFonts w:hint="eastAsia" w:cs="宋体"/>
          <w:b/>
          <w:sz w:val="30"/>
          <w:szCs w:val="30"/>
        </w:rPr>
      </w:pPr>
      <w:r>
        <w:rPr>
          <w:rFonts w:hint="eastAsia" w:cs="宋体"/>
          <w:b/>
          <w:sz w:val="30"/>
          <w:szCs w:val="30"/>
        </w:rPr>
        <w:t>联合投标授权委托书</w:t>
      </w:r>
    </w:p>
    <w:p>
      <w:pPr>
        <w:pStyle w:val="11"/>
        <w:overflowPunct w:val="0"/>
        <w:spacing w:line="460" w:lineRule="exact"/>
        <w:rPr>
          <w:rFonts w:hint="eastAsia" w:cs="宋体"/>
          <w:sz w:val="30"/>
          <w:szCs w:val="30"/>
        </w:rPr>
      </w:pPr>
    </w:p>
    <w:p>
      <w:pPr>
        <w:pStyle w:val="11"/>
        <w:overflowPunct w:val="0"/>
        <w:spacing w:line="460" w:lineRule="exact"/>
        <w:rPr>
          <w:rFonts w:hint="eastAsia" w:cs="宋体"/>
          <w:sz w:val="30"/>
          <w:szCs w:val="30"/>
        </w:rPr>
      </w:pPr>
      <w:r>
        <w:rPr>
          <w:rFonts w:hint="eastAsia" w:cs="宋体"/>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1"/>
        <w:overflowPunct w:val="0"/>
        <w:spacing w:line="460" w:lineRule="exact"/>
        <w:rPr>
          <w:rFonts w:hint="eastAsia" w:cs="宋体"/>
          <w:sz w:val="30"/>
          <w:szCs w:val="30"/>
        </w:rPr>
      </w:pPr>
      <w:r>
        <w:rPr>
          <w:rFonts w:hint="eastAsia" w:cs="宋体"/>
          <w:sz w:val="30"/>
          <w:szCs w:val="30"/>
        </w:rPr>
        <w:t xml:space="preserve"> 特此委托。</w:t>
      </w:r>
    </w:p>
    <w:p>
      <w:pPr>
        <w:pStyle w:val="11"/>
        <w:overflowPunct w:val="0"/>
        <w:spacing w:line="460" w:lineRule="exact"/>
        <w:rPr>
          <w:rFonts w:hint="eastAsia" w:cs="宋体"/>
          <w:sz w:val="30"/>
          <w:szCs w:val="30"/>
        </w:rPr>
      </w:pPr>
    </w:p>
    <w:p>
      <w:pPr>
        <w:pStyle w:val="11"/>
        <w:overflowPunct w:val="0"/>
        <w:spacing w:line="460" w:lineRule="exact"/>
        <w:ind w:firstLine="600" w:firstLineChars="200"/>
        <w:rPr>
          <w:rFonts w:hint="eastAsia" w:cs="宋体"/>
          <w:sz w:val="30"/>
          <w:szCs w:val="30"/>
        </w:rPr>
      </w:pPr>
      <w:r>
        <w:rPr>
          <w:rFonts w:hint="eastAsia" w:cs="宋体"/>
          <w:sz w:val="30"/>
          <w:szCs w:val="30"/>
        </w:rPr>
        <w:t>授权人（签名）：</w:t>
      </w:r>
    </w:p>
    <w:p>
      <w:pPr>
        <w:pStyle w:val="11"/>
        <w:overflowPunct w:val="0"/>
        <w:spacing w:line="460" w:lineRule="exact"/>
        <w:ind w:firstLine="600" w:firstLineChars="200"/>
        <w:rPr>
          <w:rFonts w:hint="eastAsia" w:cs="宋体"/>
          <w:sz w:val="30"/>
          <w:szCs w:val="30"/>
        </w:rPr>
      </w:pPr>
    </w:p>
    <w:p>
      <w:pPr>
        <w:pStyle w:val="11"/>
        <w:overflowPunct w:val="0"/>
        <w:spacing w:line="460" w:lineRule="exact"/>
        <w:ind w:left="420" w:leftChars="200" w:firstLine="150" w:firstLineChars="50"/>
        <w:rPr>
          <w:rFonts w:hint="eastAsia" w:cs="宋体"/>
          <w:sz w:val="30"/>
          <w:szCs w:val="30"/>
        </w:rPr>
      </w:pPr>
      <w:r>
        <w:rPr>
          <w:rFonts w:hint="eastAsia" w:cs="宋体"/>
          <w:sz w:val="30"/>
          <w:szCs w:val="30"/>
        </w:rPr>
        <w:t>日期：    年  月  日</w:t>
      </w:r>
    </w:p>
    <w:p>
      <w:pPr>
        <w:pStyle w:val="11"/>
        <w:overflowPunct w:val="0"/>
        <w:spacing w:line="460" w:lineRule="exact"/>
        <w:rPr>
          <w:rFonts w:hint="eastAsia" w:cs="宋体"/>
          <w:sz w:val="30"/>
          <w:szCs w:val="30"/>
        </w:rPr>
      </w:pPr>
    </w:p>
    <w:p>
      <w:pPr>
        <w:pStyle w:val="11"/>
        <w:overflowPunct w:val="0"/>
        <w:spacing w:line="460" w:lineRule="exact"/>
        <w:ind w:firstLine="570" w:firstLineChars="190"/>
        <w:rPr>
          <w:rFonts w:hint="eastAsia" w:cs="宋体"/>
          <w:sz w:val="30"/>
          <w:szCs w:val="30"/>
        </w:rPr>
      </w:pPr>
      <w:r>
        <w:rPr>
          <w:rFonts w:hint="eastAsia" w:cs="宋体"/>
          <w:sz w:val="30"/>
          <w:szCs w:val="30"/>
        </w:rPr>
        <w:t>授权代表（签名）；</w:t>
      </w:r>
    </w:p>
    <w:p>
      <w:pPr>
        <w:pStyle w:val="11"/>
        <w:overflowPunct w:val="0"/>
        <w:spacing w:line="460" w:lineRule="exact"/>
        <w:ind w:firstLine="570" w:firstLineChars="190"/>
        <w:rPr>
          <w:rFonts w:hint="eastAsia" w:cs="宋体"/>
          <w:sz w:val="30"/>
          <w:szCs w:val="30"/>
        </w:rPr>
      </w:pPr>
    </w:p>
    <w:p>
      <w:pPr>
        <w:pStyle w:val="11"/>
        <w:overflowPunct w:val="0"/>
        <w:spacing w:line="460" w:lineRule="exact"/>
        <w:ind w:firstLine="570" w:firstLineChars="190"/>
        <w:rPr>
          <w:rFonts w:hint="eastAsia" w:cs="宋体"/>
          <w:sz w:val="30"/>
          <w:szCs w:val="30"/>
        </w:rPr>
      </w:pPr>
      <w:r>
        <w:rPr>
          <w:rFonts w:hint="eastAsia" w:cs="宋体"/>
          <w:sz w:val="30"/>
          <w:szCs w:val="30"/>
        </w:rPr>
        <w:t>日期：    年  月  日</w:t>
      </w:r>
    </w:p>
    <w:p>
      <w:pPr>
        <w:tabs>
          <w:tab w:val="left" w:pos="606"/>
        </w:tabs>
        <w:spacing w:line="460" w:lineRule="exact"/>
        <w:rPr>
          <w:rFonts w:hint="eastAsia" w:ascii="宋体" w:cs="宋体"/>
          <w:spacing w:val="20"/>
          <w:sz w:val="30"/>
          <w:szCs w:val="30"/>
        </w:rPr>
      </w:pPr>
    </w:p>
    <w:p>
      <w:pPr>
        <w:tabs>
          <w:tab w:val="left" w:pos="606"/>
        </w:tabs>
        <w:spacing w:line="460" w:lineRule="exact"/>
        <w:rPr>
          <w:rFonts w:hint="eastAsia" w:ascii="宋体" w:cs="宋体"/>
          <w:spacing w:val="20"/>
          <w:sz w:val="30"/>
          <w:szCs w:val="30"/>
        </w:rPr>
      </w:pPr>
    </w:p>
    <w:tbl>
      <w:tblPr>
        <w:tblStyle w:val="32"/>
        <w:tblW w:w="0" w:type="auto"/>
        <w:jc w:val="center"/>
        <w:tblLayout w:type="fixed"/>
        <w:tblCellMar>
          <w:top w:w="0" w:type="dxa"/>
          <w:left w:w="108" w:type="dxa"/>
          <w:bottom w:w="0" w:type="dxa"/>
          <w:right w:w="108" w:type="dxa"/>
        </w:tblCellMar>
      </w:tblPr>
      <w:tblGrid>
        <w:gridCol w:w="4264"/>
        <w:gridCol w:w="4264"/>
      </w:tblGrid>
      <w:tr>
        <w:trPr>
          <w:jc w:val="center"/>
        </w:trPr>
        <w:tc>
          <w:tcPr>
            <w:tcW w:w="4264" w:type="dxa"/>
            <w:noWrap w:val="0"/>
            <w:vAlign w:val="top"/>
          </w:tcPr>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r>
              <w:rPr>
                <w:rFonts w:hint="eastAsia" w:cs="宋体"/>
                <w:sz w:val="30"/>
                <w:szCs w:val="30"/>
              </w:rPr>
              <w:t>联合体甲方单位：   （公章）</w:t>
            </w: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r>
              <w:rPr>
                <w:rFonts w:hint="eastAsia" w:cs="宋体"/>
                <w:sz w:val="30"/>
                <w:szCs w:val="30"/>
              </w:rPr>
              <w:t>法定代表人：     （签章）</w:t>
            </w: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r>
              <w:rPr>
                <w:rFonts w:hint="eastAsia" w:cs="宋体"/>
                <w:sz w:val="30"/>
                <w:szCs w:val="30"/>
              </w:rPr>
              <w:t>日  期：  年  月   日</w:t>
            </w:r>
          </w:p>
        </w:tc>
        <w:tc>
          <w:tcPr>
            <w:tcW w:w="4264" w:type="dxa"/>
            <w:noWrap w:val="0"/>
            <w:vAlign w:val="top"/>
          </w:tcPr>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r>
              <w:rPr>
                <w:rFonts w:hint="eastAsia" w:cs="宋体"/>
                <w:sz w:val="30"/>
                <w:szCs w:val="30"/>
              </w:rPr>
              <w:t>联合体乙方单位：   （公章）</w:t>
            </w: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r>
              <w:rPr>
                <w:rFonts w:hint="eastAsia" w:cs="宋体"/>
                <w:sz w:val="30"/>
                <w:szCs w:val="30"/>
              </w:rPr>
              <w:t>法定代表人：     （签章）</w:t>
            </w: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p>
          <w:p>
            <w:pPr>
              <w:pStyle w:val="11"/>
              <w:overflowPunct w:val="0"/>
              <w:spacing w:line="460" w:lineRule="exact"/>
              <w:ind w:firstLine="0"/>
              <w:rPr>
                <w:rFonts w:hint="eastAsia" w:cs="宋体"/>
                <w:sz w:val="30"/>
                <w:szCs w:val="30"/>
              </w:rPr>
            </w:pPr>
            <w:r>
              <w:rPr>
                <w:rFonts w:hint="eastAsia" w:cs="宋体"/>
                <w:sz w:val="30"/>
                <w:szCs w:val="30"/>
              </w:rPr>
              <w:t>日  期：  年  月   日</w:t>
            </w:r>
          </w:p>
        </w:tc>
      </w:tr>
    </w:tbl>
    <w:p>
      <w:pPr>
        <w:snapToGrid w:val="0"/>
        <w:spacing w:before="120" w:beforeLines="50" w:after="50"/>
        <w:rPr>
          <w:rFonts w:hint="eastAsia" w:ascii="宋体" w:cs="宋体"/>
          <w:b/>
          <w:sz w:val="30"/>
          <w:szCs w:val="30"/>
        </w:rPr>
      </w:pPr>
      <w:r>
        <w:rPr>
          <w:rFonts w:hint="eastAsia" w:ascii="宋体" w:cs="宋体"/>
        </w:rPr>
        <w:br w:type="page"/>
      </w:r>
      <w:r>
        <w:rPr>
          <w:rFonts w:hint="eastAsia" w:ascii="宋体" w:cs="宋体"/>
          <w:sz w:val="30"/>
          <w:szCs w:val="30"/>
        </w:rPr>
        <w:t>附件7</w:t>
      </w:r>
      <w:r>
        <w:rPr>
          <w:rFonts w:hint="eastAsia" w:ascii="宋体" w:cs="宋体"/>
          <w:b/>
          <w:sz w:val="30"/>
          <w:szCs w:val="30"/>
        </w:rPr>
        <w:t xml:space="preserve">：                                     </w:t>
      </w: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240" w:beforeLines="100" w:line="240" w:lineRule="atLeast"/>
        <w:jc w:val="center"/>
        <w:rPr>
          <w:rFonts w:hint="eastAsia" w:ascii="宋体" w:cs="宋体"/>
          <w:sz w:val="36"/>
          <w:szCs w:val="36"/>
        </w:rPr>
      </w:pPr>
      <w:r>
        <w:rPr>
          <w:rFonts w:hint="eastAsia" w:ascii="宋体" w:cs="宋体"/>
          <w:sz w:val="36"/>
          <w:szCs w:val="36"/>
        </w:rPr>
        <w:t>项目编号：                   （标项  ）</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技</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术</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及</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商</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务</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文</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件</w:t>
      </w:r>
    </w:p>
    <w:p>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pPr>
        <w:spacing w:line="600" w:lineRule="exact"/>
        <w:ind w:right="-108" w:firstLine="720" w:firstLineChars="200"/>
        <w:rPr>
          <w:rFonts w:hint="eastAsia" w:ascii="宋体" w:cs="宋体"/>
          <w:sz w:val="36"/>
          <w:szCs w:val="36"/>
        </w:rPr>
      </w:pPr>
      <w:r>
        <w:rPr>
          <w:rFonts w:hint="eastAsia" w:ascii="宋体" w:cs="宋体"/>
          <w:sz w:val="36"/>
          <w:szCs w:val="36"/>
        </w:rPr>
        <w:t>地    址：</w:t>
      </w:r>
    </w:p>
    <w:p>
      <w:pPr>
        <w:spacing w:line="600" w:lineRule="exact"/>
        <w:ind w:right="-108"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sz w:val="30"/>
          <w:szCs w:val="30"/>
        </w:rPr>
      </w:pPr>
    </w:p>
    <w:p>
      <w:pPr>
        <w:snapToGrid w:val="0"/>
        <w:spacing w:before="50" w:after="50"/>
        <w:rPr>
          <w:rFonts w:hint="eastAsia" w:ascii="宋体" w:cs="宋体"/>
          <w:sz w:val="30"/>
          <w:szCs w:val="30"/>
        </w:rPr>
      </w:pPr>
    </w:p>
    <w:p>
      <w:pPr>
        <w:snapToGrid w:val="0"/>
        <w:spacing w:before="50" w:after="50"/>
        <w:rPr>
          <w:rFonts w:hint="eastAsia"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（1）评分对应表（格式见附件，主要用于评委对应评分内容）</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（2）投标项目明细清单（含货物、服务等）；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（3）技术响应表（格式见附件）；</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（6）列入政府采购节能环保清单的证明资料（若有）；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（7）商务响应表（格式见附件）；</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（9）技术培训计划（若有）；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（10）投标人履约能力（可包含且不限于技术力量情况、投标人各项能力证书）；</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（11）案例的业绩证明（投标人业绩情况一览表、合同复印件等）；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（12）投标人认为需要的其他文件资料。</w:t>
      </w:r>
    </w:p>
    <w:p>
      <w:pPr>
        <w:snapToGrid w:val="0"/>
        <w:spacing w:before="50" w:after="120" w:afterLines="50"/>
        <w:jc w:val="left"/>
        <w:rPr>
          <w:rFonts w:hint="eastAsia" w:ascii="宋体" w:cs="宋体"/>
          <w:sz w:val="30"/>
          <w:szCs w:val="30"/>
        </w:rPr>
      </w:pPr>
    </w:p>
    <w:p>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附件8：</w:t>
      </w:r>
    </w:p>
    <w:p>
      <w:pPr>
        <w:snapToGrid w:val="0"/>
        <w:spacing w:before="50" w:after="50"/>
        <w:jc w:val="center"/>
        <w:rPr>
          <w:rFonts w:hint="eastAsia" w:ascii="宋体" w:cs="宋体"/>
          <w:b/>
          <w:sz w:val="36"/>
          <w:szCs w:val="36"/>
        </w:rPr>
      </w:pPr>
      <w:r>
        <w:rPr>
          <w:rFonts w:hint="eastAsia" w:ascii="宋体" w:cs="宋体"/>
          <w:b/>
          <w:sz w:val="36"/>
          <w:szCs w:val="36"/>
        </w:rPr>
        <w:t>评分对应表</w:t>
      </w:r>
    </w:p>
    <w:p>
      <w:pPr>
        <w:snapToGrid w:val="0"/>
        <w:spacing w:before="50"/>
        <w:jc w:val="center"/>
        <w:rPr>
          <w:rFonts w:hint="eastAsia" w:ascii="宋体" w:cs="宋体"/>
          <w:b/>
          <w:sz w:val="32"/>
          <w:szCs w:val="32"/>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kern w:val="0"/>
                <w:sz w:val="30"/>
                <w:szCs w:val="30"/>
              </w:rPr>
            </w:pPr>
            <w:r>
              <w:rPr>
                <w:rFonts w:hint="eastAsia" w:ascii="宋体" w:cs="宋体"/>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bl>
    <w:p>
      <w:pPr>
        <w:snapToGrid w:val="0"/>
        <w:spacing w:before="120" w:beforeLines="50"/>
        <w:rPr>
          <w:rFonts w:hint="eastAsia" w:ascii="宋体" w:cs="宋体"/>
          <w:sz w:val="30"/>
          <w:szCs w:val="30"/>
          <w:u w:val="single"/>
        </w:rPr>
      </w:pPr>
      <w:r>
        <w:rPr>
          <w:rFonts w:hint="eastAsia" w:ascii="宋体" w:cs="宋体"/>
          <w:sz w:val="30"/>
          <w:szCs w:val="30"/>
        </w:rPr>
        <w:t>授权代表签名：               日期：</w:t>
      </w:r>
    </w:p>
    <w:p>
      <w:pPr>
        <w:snapToGrid w:val="0"/>
        <w:spacing w:before="50" w:after="120"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附件9：</w:t>
      </w:r>
    </w:p>
    <w:p>
      <w:pPr>
        <w:snapToGrid w:val="0"/>
        <w:spacing w:before="50" w:after="120" w:afterLines="50"/>
        <w:jc w:val="center"/>
        <w:rPr>
          <w:rFonts w:hint="eastAsia" w:ascii="宋体" w:cs="宋体"/>
          <w:b/>
          <w:spacing w:val="40"/>
          <w:kern w:val="0"/>
          <w:sz w:val="36"/>
          <w:szCs w:val="36"/>
        </w:rPr>
      </w:pPr>
      <w:r>
        <w:rPr>
          <w:rFonts w:hint="eastAsia" w:ascii="宋体" w:cs="宋体"/>
          <w:b/>
          <w:spacing w:val="40"/>
          <w:kern w:val="0"/>
          <w:sz w:val="36"/>
          <w:szCs w:val="36"/>
        </w:rPr>
        <w:t>投标项目明细清单</w:t>
      </w:r>
    </w:p>
    <w:p>
      <w:pPr>
        <w:snapToGrid w:val="0"/>
        <w:spacing w:before="50" w:after="120" w:afterLines="50"/>
        <w:rPr>
          <w:rFonts w:hint="eastAsia" w:ascii="宋体" w:cs="宋体"/>
          <w:b/>
          <w:spacing w:val="40"/>
          <w:kern w:val="0"/>
          <w:sz w:val="36"/>
          <w:szCs w:val="36"/>
        </w:rPr>
      </w:pPr>
    </w:p>
    <w:p>
      <w:pPr>
        <w:pStyle w:val="12"/>
        <w:snapToGrid w:val="0"/>
        <w:rPr>
          <w:rFonts w:hint="eastAsia" w:ascii="宋体" w:hAnsi="宋体" w:eastAsia="宋体" w:cs="宋体"/>
          <w:kern w:val="0"/>
          <w:sz w:val="30"/>
          <w:szCs w:val="30"/>
          <w:u w:val="single"/>
        </w:rPr>
      </w:pPr>
      <w:r>
        <w:rPr>
          <w:rFonts w:hint="eastAsia" w:ascii="宋体" w:hAnsi="宋体" w:eastAsia="宋体" w:cs="宋体"/>
          <w:sz w:val="30"/>
          <w:szCs w:val="30"/>
        </w:rPr>
        <w:t>投标人全称（公章）：                标项：</w:t>
      </w:r>
    </w:p>
    <w:p>
      <w:pPr>
        <w:pStyle w:val="12"/>
        <w:snapToGrid w:val="0"/>
        <w:rPr>
          <w:rFonts w:hint="eastAsia" w:ascii="宋体" w:hAnsi="宋体" w:eastAsia="宋体" w:cs="宋体"/>
          <w:sz w:val="30"/>
          <w:szCs w:val="30"/>
        </w:rPr>
      </w:pPr>
      <w:r>
        <w:rPr>
          <w:rFonts w:hint="eastAsia" w:ascii="宋体" w:hAnsi="宋体" w:eastAsia="宋体" w:cs="宋体"/>
          <w:sz w:val="30"/>
          <w:szCs w:val="30"/>
        </w:rPr>
        <w:t>货物类</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规格</w:t>
            </w:r>
          </w:p>
          <w:p>
            <w:pPr>
              <w:snapToGrid w:val="0"/>
              <w:spacing w:before="50" w:after="50"/>
              <w:jc w:val="center"/>
              <w:rPr>
                <w:rFonts w:hint="eastAsia"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单位及</w:t>
            </w:r>
          </w:p>
          <w:p>
            <w:pPr>
              <w:snapToGrid w:val="0"/>
              <w:spacing w:before="50" w:after="50"/>
              <w:jc w:val="center"/>
              <w:rPr>
                <w:rFonts w:hint="eastAsia"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r>
    </w:tbl>
    <w:p>
      <w:pPr>
        <w:snapToGrid w:val="0"/>
        <w:spacing w:before="120" w:beforeLines="50"/>
        <w:rPr>
          <w:rFonts w:hint="eastAsia" w:ascii="宋体" w:cs="宋体"/>
          <w:sz w:val="30"/>
          <w:szCs w:val="30"/>
        </w:rPr>
      </w:pPr>
      <w:r>
        <w:rPr>
          <w:rFonts w:hint="eastAsia" w:ascii="宋体" w:cs="宋体"/>
          <w:sz w:val="30"/>
          <w:szCs w:val="30"/>
        </w:rPr>
        <w:t>服务类</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r>
    </w:tbl>
    <w:p>
      <w:pPr>
        <w:snapToGrid w:val="0"/>
        <w:spacing w:before="120" w:beforeLines="50"/>
        <w:rPr>
          <w:rFonts w:hint="eastAsia"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pPr>
        <w:snapToGrid w:val="0"/>
        <w:spacing w:before="120" w:beforeLines="50"/>
        <w:rPr>
          <w:rFonts w:hint="eastAsia" w:ascii="宋体" w:cs="宋体"/>
          <w:sz w:val="30"/>
          <w:szCs w:val="30"/>
        </w:rPr>
      </w:pPr>
    </w:p>
    <w:p>
      <w:pPr>
        <w:snapToGrid w:val="0"/>
        <w:spacing w:before="120" w:beforeLines="50"/>
        <w:rPr>
          <w:rFonts w:hint="eastAsia" w:ascii="宋体" w:cs="宋体"/>
          <w:sz w:val="30"/>
          <w:szCs w:val="30"/>
          <w:u w:val="single"/>
        </w:rPr>
      </w:pPr>
      <w:r>
        <w:rPr>
          <w:rFonts w:hint="eastAsia" w:ascii="宋体" w:cs="宋体"/>
          <w:sz w:val="30"/>
          <w:szCs w:val="30"/>
        </w:rPr>
        <w:t>授权代表签名：               日期：</w:t>
      </w:r>
    </w:p>
    <w:p>
      <w:pPr>
        <w:snapToGrid w:val="0"/>
        <w:spacing w:before="50" w:after="50"/>
        <w:rPr>
          <w:rFonts w:hint="eastAsia" w:ascii="宋体" w:cs="宋体"/>
          <w:spacing w:val="20"/>
          <w:sz w:val="30"/>
          <w:szCs w:val="30"/>
        </w:rPr>
      </w:pPr>
    </w:p>
    <w:p>
      <w:pPr>
        <w:snapToGrid w:val="0"/>
        <w:spacing w:before="50" w:after="50"/>
        <w:rPr>
          <w:rFonts w:hint="eastAsia" w:ascii="宋体" w:cs="宋体"/>
          <w:sz w:val="30"/>
          <w:szCs w:val="30"/>
        </w:rPr>
      </w:pPr>
      <w:r>
        <w:rPr>
          <w:rFonts w:hint="eastAsia" w:ascii="宋体" w:cs="宋体"/>
          <w:spacing w:val="20"/>
          <w:sz w:val="30"/>
          <w:szCs w:val="30"/>
        </w:rPr>
        <w:br w:type="page"/>
      </w:r>
      <w:r>
        <w:rPr>
          <w:rFonts w:hint="eastAsia" w:ascii="宋体" w:cs="宋体"/>
          <w:sz w:val="30"/>
          <w:szCs w:val="30"/>
        </w:rPr>
        <w:t>附件10：</w:t>
      </w:r>
    </w:p>
    <w:p>
      <w:pPr>
        <w:snapToGrid w:val="0"/>
        <w:spacing w:before="50" w:after="120" w:afterLines="50"/>
        <w:jc w:val="center"/>
        <w:rPr>
          <w:rFonts w:hint="eastAsia" w:ascii="宋体" w:cs="宋体"/>
          <w:b/>
          <w:spacing w:val="40"/>
          <w:kern w:val="0"/>
          <w:sz w:val="36"/>
          <w:szCs w:val="36"/>
        </w:rPr>
      </w:pPr>
      <w:r>
        <w:rPr>
          <w:rFonts w:hint="eastAsia" w:ascii="宋体" w:cs="宋体"/>
          <w:b/>
          <w:spacing w:val="40"/>
          <w:kern w:val="0"/>
          <w:sz w:val="36"/>
          <w:szCs w:val="36"/>
        </w:rPr>
        <w:t>技 术 响 应 表</w:t>
      </w:r>
    </w:p>
    <w:p>
      <w:pPr>
        <w:snapToGrid w:val="0"/>
        <w:spacing w:before="50" w:after="120" w:afterLines="50"/>
        <w:rPr>
          <w:rFonts w:hint="eastAsia" w:ascii="宋体" w:cs="宋体"/>
          <w:b/>
          <w:sz w:val="32"/>
          <w:szCs w:val="32"/>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hint="eastAsia"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hint="eastAsia"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hint="eastAsia" w:ascii="宋体" w:cs="宋体"/>
                <w:kern w:val="0"/>
                <w:sz w:val="30"/>
                <w:szCs w:val="30"/>
              </w:rPr>
            </w:pPr>
            <w:r>
              <w:rPr>
                <w:rFonts w:hint="eastAsia" w:ascii="宋体" w:cs="宋体"/>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rPr>
                <w:rFonts w:hint="eastAsia"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rPr>
                <w:rFonts w:hint="eastAsia"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c>
          <w:tcPr>
            <w:tcW w:w="2423" w:type="dxa"/>
            <w:tcBorders>
              <w:top w:val="single" w:color="auto" w:sz="4" w:space="0"/>
              <w:left w:val="single" w:color="auto" w:sz="4" w:space="0"/>
              <w:bottom w:val="nil"/>
              <w:right w:val="single" w:color="auto" w:sz="4" w:space="0"/>
            </w:tcBorders>
            <w:noWrap w:val="0"/>
            <w:vAlign w:val="top"/>
          </w:tcPr>
          <w:p>
            <w:pPr>
              <w:pStyle w:val="21"/>
              <w:snapToGrid w:val="0"/>
              <w:spacing w:before="120" w:after="120"/>
              <w:outlineLvl w:val="0"/>
              <w:rPr>
                <w:rFonts w:hint="eastAsia"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20" w:after="120"/>
              <w:outlineLvl w:val="0"/>
              <w:rPr>
                <w:rFonts w:hint="eastAsia" w:hAnsi="宋体" w:cs="宋体"/>
                <w:sz w:val="30"/>
                <w:szCs w:val="30"/>
              </w:rPr>
            </w:pPr>
          </w:p>
        </w:tc>
      </w:tr>
    </w:tbl>
    <w:p>
      <w:pPr>
        <w:pStyle w:val="15"/>
        <w:rPr>
          <w:rFonts w:hint="eastAsia"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pPr>
        <w:snapToGrid w:val="0"/>
        <w:spacing w:before="50" w:after="50"/>
        <w:rPr>
          <w:rFonts w:hint="eastAsia" w:ascii="宋体" w:cs="宋体"/>
          <w:spacing w:val="20"/>
          <w:sz w:val="30"/>
          <w:szCs w:val="30"/>
        </w:rPr>
      </w:pPr>
    </w:p>
    <w:p>
      <w:pPr>
        <w:snapToGrid w:val="0"/>
        <w:spacing w:before="50" w:after="50"/>
        <w:rPr>
          <w:rFonts w:hint="eastAsia" w:ascii="宋体" w:cs="宋体"/>
          <w:sz w:val="30"/>
          <w:szCs w:val="30"/>
        </w:rPr>
      </w:pPr>
      <w:r>
        <w:rPr>
          <w:rFonts w:hint="eastAsia" w:ascii="宋体" w:cs="宋体"/>
          <w:spacing w:val="20"/>
          <w:sz w:val="30"/>
          <w:szCs w:val="30"/>
        </w:rPr>
        <w:t>授权代表签名：          日 期：</w:t>
      </w:r>
    </w:p>
    <w:p>
      <w:pPr>
        <w:snapToGrid w:val="0"/>
        <w:spacing w:before="50" w:after="120" w:afterLines="50"/>
        <w:jc w:val="left"/>
        <w:rPr>
          <w:rFonts w:hint="eastAsia" w:ascii="宋体" w:cs="宋体"/>
          <w:sz w:val="30"/>
          <w:szCs w:val="30"/>
        </w:rPr>
      </w:pPr>
    </w:p>
    <w:p>
      <w:pPr>
        <w:snapToGrid w:val="0"/>
        <w:spacing w:before="50" w:after="50"/>
        <w:rPr>
          <w:rFonts w:hint="eastAsia" w:ascii="宋体" w:cs="宋体"/>
          <w:sz w:val="30"/>
          <w:szCs w:val="30"/>
        </w:rPr>
      </w:pPr>
      <w:r>
        <w:rPr>
          <w:rFonts w:hint="eastAsia" w:ascii="宋体" w:cs="宋体"/>
          <w:sz w:val="30"/>
          <w:szCs w:val="30"/>
        </w:rPr>
        <w:br w:type="page"/>
      </w:r>
      <w:r>
        <w:rPr>
          <w:rFonts w:hint="eastAsia" w:ascii="宋体" w:cs="宋体"/>
          <w:sz w:val="30"/>
          <w:szCs w:val="30"/>
        </w:rPr>
        <w:t>附件11：</w:t>
      </w:r>
    </w:p>
    <w:p>
      <w:pPr>
        <w:snapToGrid w:val="0"/>
        <w:spacing w:before="50" w:after="120" w:afterLines="50"/>
        <w:jc w:val="center"/>
        <w:rPr>
          <w:rFonts w:hint="eastAsia" w:ascii="宋体" w:cs="宋体"/>
          <w:b/>
          <w:kern w:val="0"/>
          <w:sz w:val="36"/>
          <w:szCs w:val="36"/>
        </w:rPr>
      </w:pPr>
      <w:r>
        <w:rPr>
          <w:rFonts w:hint="eastAsia" w:ascii="宋体" w:cs="宋体"/>
          <w:b/>
          <w:kern w:val="0"/>
          <w:sz w:val="36"/>
          <w:szCs w:val="36"/>
        </w:rPr>
        <w:t>项目组人员清单</w:t>
      </w:r>
    </w:p>
    <w:p>
      <w:pPr>
        <w:snapToGrid w:val="0"/>
        <w:spacing w:before="120" w:beforeLines="50" w:after="50"/>
        <w:rPr>
          <w:rFonts w:hint="eastAsia" w:ascii="宋体" w:cs="宋体"/>
          <w:b/>
          <w:sz w:val="30"/>
          <w:szCs w:val="30"/>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cs="宋体"/>
                <w:kern w:val="0"/>
                <w:sz w:val="30"/>
                <w:szCs w:val="30"/>
              </w:rPr>
            </w:pPr>
            <w:r>
              <w:rPr>
                <w:rFonts w:hint="eastAsia" w:ascii="宋体" w:cs="宋体"/>
                <w:sz w:val="30"/>
                <w:szCs w:val="30"/>
              </w:rPr>
              <w:t>专业技</w:t>
            </w:r>
          </w:p>
          <w:p>
            <w:pPr>
              <w:snapToGrid w:val="0"/>
              <w:spacing w:before="120" w:beforeLines="50" w:after="50" w:line="460" w:lineRule="exact"/>
              <w:jc w:val="center"/>
              <w:rPr>
                <w:rFonts w:hint="eastAsia"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cs="宋体"/>
                <w:kern w:val="0"/>
                <w:sz w:val="30"/>
                <w:szCs w:val="30"/>
              </w:rPr>
            </w:pPr>
            <w:r>
              <w:rPr>
                <w:rFonts w:hint="eastAsia" w:ascii="宋体" w:cs="宋体"/>
                <w:sz w:val="30"/>
                <w:szCs w:val="30"/>
              </w:rPr>
              <w:t>证书</w:t>
            </w:r>
          </w:p>
          <w:p>
            <w:pPr>
              <w:snapToGrid w:val="0"/>
              <w:spacing w:before="120" w:beforeLines="50" w:after="50" w:line="460" w:lineRule="exact"/>
              <w:jc w:val="center"/>
              <w:rPr>
                <w:rFonts w:hint="eastAsia"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cs="宋体"/>
                <w:bCs/>
                <w:kern w:val="0"/>
                <w:sz w:val="30"/>
                <w:szCs w:val="30"/>
              </w:rPr>
            </w:pPr>
            <w:r>
              <w:rPr>
                <w:rFonts w:hint="eastAsia" w:ascii="宋体" w:cs="宋体"/>
                <w:bCs/>
                <w:sz w:val="30"/>
                <w:szCs w:val="30"/>
              </w:rPr>
              <w:t>劳动合</w:t>
            </w:r>
          </w:p>
          <w:p>
            <w:pPr>
              <w:snapToGrid w:val="0"/>
              <w:spacing w:before="120" w:beforeLines="50" w:after="50" w:line="460" w:lineRule="exact"/>
              <w:jc w:val="center"/>
              <w:rPr>
                <w:rFonts w:hint="eastAsia" w:ascii="宋体" w:cs="宋体"/>
                <w:bCs/>
                <w:kern w:val="0"/>
                <w:sz w:val="30"/>
                <w:szCs w:val="30"/>
              </w:rPr>
            </w:pPr>
            <w:r>
              <w:rPr>
                <w:rFonts w:hint="eastAsia" w:ascii="宋体" w:cs="宋体"/>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2"/>
              <w:snapToGrid w:val="0"/>
              <w:spacing w:before="120" w:beforeLines="50" w:after="50" w:line="460" w:lineRule="exact"/>
              <w:ind w:left="5250"/>
              <w:rPr>
                <w:rFonts w:hint="eastAsia"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cs="宋体"/>
                <w:b/>
                <w:bCs/>
                <w:kern w:val="0"/>
                <w:sz w:val="30"/>
                <w:szCs w:val="30"/>
              </w:rPr>
            </w:pPr>
          </w:p>
        </w:tc>
      </w:tr>
    </w:tbl>
    <w:p>
      <w:pPr>
        <w:snapToGrid w:val="0"/>
        <w:spacing w:before="50" w:after="120" w:afterLines="50" w:line="460" w:lineRule="exact"/>
        <w:jc w:val="left"/>
        <w:rPr>
          <w:rFonts w:hint="eastAsia" w:ascii="宋体" w:cs="宋体"/>
          <w:sz w:val="30"/>
          <w:szCs w:val="30"/>
        </w:rPr>
      </w:pPr>
      <w:r>
        <w:rPr>
          <w:rFonts w:hint="eastAsia" w:ascii="宋体" w:cs="宋体"/>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hint="eastAsia" w:ascii="宋体" w:cs="宋体"/>
          <w:sz w:val="30"/>
          <w:szCs w:val="30"/>
        </w:rPr>
      </w:pPr>
    </w:p>
    <w:p>
      <w:pPr>
        <w:snapToGrid w:val="0"/>
        <w:spacing w:before="50" w:after="50" w:line="460" w:lineRule="exact"/>
        <w:rPr>
          <w:rFonts w:hint="eastAsia" w:ascii="宋体" w:cs="宋体"/>
          <w:spacing w:val="20"/>
          <w:sz w:val="30"/>
          <w:szCs w:val="30"/>
          <w:u w:val="single"/>
        </w:rPr>
      </w:pPr>
      <w:r>
        <w:rPr>
          <w:rFonts w:hint="eastAsia" w:ascii="宋体" w:cs="宋体"/>
          <w:spacing w:val="20"/>
          <w:sz w:val="30"/>
          <w:szCs w:val="30"/>
        </w:rPr>
        <w:t>授权代表签名： 日  期：</w:t>
      </w:r>
    </w:p>
    <w:p>
      <w:pPr>
        <w:snapToGrid w:val="0"/>
        <w:spacing w:before="50" w:after="120" w:afterLines="50" w:line="460" w:lineRule="exact"/>
        <w:jc w:val="left"/>
        <w:rPr>
          <w:rFonts w:hint="eastAsia" w:ascii="宋体" w:cs="宋体"/>
          <w:sz w:val="30"/>
          <w:szCs w:val="30"/>
        </w:rPr>
      </w:pPr>
    </w:p>
    <w:p>
      <w:pPr>
        <w:pStyle w:val="21"/>
        <w:snapToGrid w:val="0"/>
        <w:spacing w:before="120" w:after="120" w:line="460" w:lineRule="exact"/>
        <w:rPr>
          <w:rFonts w:hint="eastAsia" w:hAnsi="宋体" w:cs="宋体"/>
          <w:sz w:val="30"/>
          <w:szCs w:val="30"/>
        </w:rPr>
      </w:pPr>
    </w:p>
    <w:p>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附件12：</w:t>
      </w:r>
    </w:p>
    <w:p>
      <w:pPr>
        <w:snapToGrid w:val="0"/>
        <w:spacing w:before="50" w:after="50"/>
        <w:jc w:val="center"/>
        <w:rPr>
          <w:rFonts w:hint="eastAsia" w:ascii="宋体" w:cs="宋体"/>
          <w:b/>
          <w:sz w:val="36"/>
          <w:szCs w:val="36"/>
        </w:rPr>
      </w:pPr>
      <w:r>
        <w:rPr>
          <w:rFonts w:hint="eastAsia" w:ascii="宋体" w:cs="宋体"/>
          <w:b/>
          <w:sz w:val="36"/>
          <w:szCs w:val="36"/>
        </w:rPr>
        <w:t>商务响应表</w:t>
      </w:r>
    </w:p>
    <w:p>
      <w:pPr>
        <w:snapToGrid w:val="0"/>
        <w:spacing w:before="50"/>
        <w:jc w:val="center"/>
        <w:rPr>
          <w:rFonts w:hint="eastAsia" w:ascii="宋体" w:cs="宋体"/>
          <w:b/>
          <w:sz w:val="32"/>
          <w:szCs w:val="32"/>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kern w:val="0"/>
                <w:sz w:val="30"/>
                <w:szCs w:val="30"/>
              </w:rPr>
            </w:pPr>
            <w:r>
              <w:rPr>
                <w:rFonts w:hint="eastAsia" w:ascii="宋体" w:cs="宋体"/>
                <w:sz w:val="30"/>
                <w:szCs w:val="30"/>
              </w:rPr>
              <w:t>是否</w:t>
            </w:r>
          </w:p>
          <w:p>
            <w:pPr>
              <w:snapToGrid w:val="0"/>
              <w:spacing w:before="120" w:beforeLines="50"/>
              <w:jc w:val="center"/>
              <w:rPr>
                <w:rFonts w:hint="eastAsia"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cs="宋体"/>
                <w:kern w:val="0"/>
                <w:sz w:val="30"/>
                <w:szCs w:val="30"/>
              </w:rPr>
            </w:pPr>
            <w:r>
              <w:rPr>
                <w:rFonts w:hint="eastAsia" w:ascii="宋体" w:cs="宋体"/>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cs="宋体"/>
                <w:b/>
                <w:bCs/>
                <w:sz w:val="30"/>
                <w:szCs w:val="30"/>
              </w:rPr>
            </w:pPr>
          </w:p>
        </w:tc>
      </w:tr>
    </w:tbl>
    <w:p>
      <w:pPr>
        <w:snapToGrid w:val="0"/>
        <w:spacing w:before="120" w:beforeLines="50"/>
        <w:rPr>
          <w:rFonts w:hint="eastAsia" w:ascii="宋体" w:cs="宋体"/>
          <w:sz w:val="30"/>
          <w:szCs w:val="30"/>
          <w:u w:val="single"/>
        </w:rPr>
      </w:pPr>
      <w:r>
        <w:rPr>
          <w:rFonts w:hint="eastAsia" w:ascii="宋体" w:cs="宋体"/>
          <w:sz w:val="30"/>
          <w:szCs w:val="30"/>
        </w:rPr>
        <w:t>授权代表签名：               日期：</w:t>
      </w:r>
    </w:p>
    <w:p>
      <w:pPr>
        <w:jc w:val="left"/>
        <w:rPr>
          <w:rFonts w:hint="eastAsia" w:ascii="宋体" w:cs="宋体"/>
          <w:sz w:val="30"/>
          <w:szCs w:val="30"/>
        </w:rPr>
        <w:sectPr>
          <w:pgSz w:w="11906" w:h="16838"/>
          <w:pgMar w:top="1474" w:right="1797" w:bottom="1247" w:left="1797" w:header="851" w:footer="851" w:gutter="0"/>
          <w:cols w:space="720" w:num="1"/>
        </w:sectPr>
      </w:pPr>
    </w:p>
    <w:p>
      <w:pPr>
        <w:snapToGrid w:val="0"/>
        <w:spacing w:before="50" w:after="120" w:afterLines="50"/>
        <w:jc w:val="left"/>
        <w:rPr>
          <w:rFonts w:hint="eastAsia" w:ascii="宋体" w:cs="宋体"/>
          <w:sz w:val="30"/>
          <w:szCs w:val="30"/>
        </w:rPr>
      </w:pPr>
      <w:r>
        <w:rPr>
          <w:rFonts w:hint="eastAsia" w:ascii="宋体" w:cs="宋体"/>
          <w:sz w:val="30"/>
          <w:szCs w:val="30"/>
        </w:rPr>
        <w:t>附件13：</w:t>
      </w:r>
    </w:p>
    <w:p>
      <w:pPr>
        <w:snapToGrid w:val="0"/>
        <w:spacing w:before="50" w:after="50"/>
        <w:jc w:val="center"/>
        <w:rPr>
          <w:rFonts w:hint="eastAsia" w:ascii="宋体" w:cs="宋体"/>
          <w:b/>
          <w:sz w:val="36"/>
          <w:szCs w:val="36"/>
        </w:rPr>
      </w:pPr>
      <w:r>
        <w:rPr>
          <w:rFonts w:hint="eastAsia" w:ascii="宋体" w:cs="宋体"/>
          <w:b/>
          <w:sz w:val="36"/>
          <w:szCs w:val="36"/>
        </w:rPr>
        <w:t>投标人业绩情况一览表</w:t>
      </w: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采购</w:t>
            </w:r>
          </w:p>
          <w:p>
            <w:pPr>
              <w:snapToGrid w:val="0"/>
              <w:jc w:val="center"/>
              <w:rPr>
                <w:rFonts w:hint="eastAsia"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合同</w:t>
            </w:r>
          </w:p>
          <w:p>
            <w:pPr>
              <w:snapToGrid w:val="0"/>
              <w:jc w:val="center"/>
              <w:rPr>
                <w:rFonts w:hint="eastAsia" w:ascii="宋体" w:cs="宋体"/>
                <w:sz w:val="30"/>
                <w:szCs w:val="30"/>
              </w:rPr>
            </w:pPr>
            <w:r>
              <w:rPr>
                <w:rFonts w:hint="eastAsia" w:ascii="宋体" w:cs="宋体"/>
                <w:sz w:val="30"/>
                <w:szCs w:val="30"/>
              </w:rPr>
              <w:t>金额</w:t>
            </w:r>
          </w:p>
          <w:p>
            <w:pPr>
              <w:snapToGrid w:val="0"/>
              <w:jc w:val="center"/>
              <w:rPr>
                <w:rFonts w:hint="eastAsia"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采购单位联系人及</w:t>
            </w:r>
          </w:p>
          <w:p>
            <w:pPr>
              <w:snapToGrid w:val="0"/>
              <w:jc w:val="center"/>
              <w:rPr>
                <w:rFonts w:hint="eastAsia" w:ascii="宋体" w:cs="宋体"/>
                <w:sz w:val="30"/>
                <w:szCs w:val="30"/>
              </w:rPr>
            </w:pPr>
            <w:r>
              <w:rPr>
                <w:rFonts w:hint="eastAsia" w:ascii="宋体" w:cs="宋体"/>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合</w:t>
            </w:r>
          </w:p>
          <w:p>
            <w:pPr>
              <w:snapToGrid w:val="0"/>
              <w:jc w:val="center"/>
              <w:rPr>
                <w:rFonts w:hint="eastAsia"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验收</w:t>
            </w:r>
          </w:p>
          <w:p>
            <w:pPr>
              <w:snapToGrid w:val="0"/>
              <w:jc w:val="center"/>
              <w:rPr>
                <w:rFonts w:hint="eastAsia"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hint="eastAsia"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cs="宋体"/>
                <w:sz w:val="30"/>
                <w:szCs w:val="30"/>
              </w:rPr>
            </w:pPr>
            <w:r>
              <w:rPr>
                <w:rFonts w:hint="eastAsia" w:ascii="宋体" w:cs="宋体"/>
                <w:sz w:val="32"/>
                <w:szCs w:val="32"/>
              </w:rPr>
              <w:t>提供投标人同类项目合同复印件、用户验收报告（如有）。</w:t>
            </w:r>
          </w:p>
        </w:tc>
      </w:tr>
    </w:tbl>
    <w:p>
      <w:pPr>
        <w:pStyle w:val="12"/>
        <w:snapToGrid w:val="0"/>
        <w:spacing w:before="240"/>
        <w:rPr>
          <w:rFonts w:hint="eastAsia"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pPr>
        <w:jc w:val="left"/>
        <w:rPr>
          <w:rFonts w:hint="eastAsia" w:ascii="宋体" w:cs="宋体"/>
          <w:sz w:val="30"/>
          <w:szCs w:val="30"/>
        </w:rPr>
        <w:sectPr>
          <w:pgSz w:w="16838" w:h="11906" w:orient="landscape"/>
          <w:pgMar w:top="1797" w:right="1474" w:bottom="1797" w:left="1247" w:header="851" w:footer="851" w:gutter="0"/>
          <w:cols w:space="720" w:num="1"/>
        </w:sectPr>
      </w:pPr>
    </w:p>
    <w:p>
      <w:pPr>
        <w:snapToGrid w:val="0"/>
        <w:spacing w:before="161" w:beforeLines="50" w:after="50"/>
        <w:rPr>
          <w:rFonts w:hint="eastAsia" w:ascii="宋体" w:cs="宋体"/>
          <w:b/>
          <w:sz w:val="30"/>
          <w:szCs w:val="30"/>
        </w:rPr>
      </w:pPr>
      <w:r>
        <w:rPr>
          <w:rFonts w:hint="eastAsia" w:ascii="宋体" w:cs="宋体"/>
          <w:sz w:val="30"/>
          <w:szCs w:val="30"/>
        </w:rPr>
        <w:t>附件14</w:t>
      </w:r>
      <w:r>
        <w:rPr>
          <w:rFonts w:hint="eastAsia" w:ascii="宋体" w:cs="宋体"/>
          <w:b/>
          <w:sz w:val="30"/>
          <w:szCs w:val="30"/>
        </w:rPr>
        <w:t xml:space="preserve">：                                    </w:t>
      </w: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322" w:beforeLines="100" w:line="240" w:lineRule="atLeast"/>
        <w:jc w:val="center"/>
        <w:rPr>
          <w:rFonts w:hint="eastAsia" w:ascii="宋体" w:cs="宋体"/>
          <w:sz w:val="36"/>
          <w:szCs w:val="36"/>
        </w:rPr>
      </w:pPr>
      <w:r>
        <w:rPr>
          <w:rFonts w:hint="eastAsia" w:ascii="宋体" w:cs="宋体"/>
          <w:sz w:val="36"/>
          <w:szCs w:val="36"/>
        </w:rPr>
        <w:t>项目编号：（标项  ）</w:t>
      </w:r>
    </w:p>
    <w:p>
      <w:pPr>
        <w:spacing w:after="100" w:afterAutospacing="1" w:line="800" w:lineRule="exact"/>
        <w:ind w:right="-108"/>
        <w:jc w:val="center"/>
        <w:rPr>
          <w:rFonts w:hint="eastAsia" w:ascii="宋体" w:cs="宋体"/>
          <w:b/>
          <w:spacing w:val="40"/>
          <w:sz w:val="84"/>
          <w:szCs w:val="84"/>
        </w:rPr>
      </w:pP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报</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价</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文</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件</w:t>
      </w:r>
    </w:p>
    <w:p>
      <w:pPr>
        <w:spacing w:line="500" w:lineRule="exact"/>
        <w:ind w:right="532"/>
        <w:jc w:val="center"/>
        <w:rPr>
          <w:rFonts w:hint="eastAsia" w:ascii="宋体" w:cs="宋体"/>
          <w:sz w:val="36"/>
          <w:szCs w:val="36"/>
        </w:rPr>
      </w:pPr>
    </w:p>
    <w:p>
      <w:pPr>
        <w:spacing w:line="500" w:lineRule="exact"/>
        <w:ind w:right="532" w:firstLine="720" w:firstLineChars="200"/>
        <w:rPr>
          <w:rFonts w:hint="eastAsia" w:ascii="宋体" w:cs="宋体"/>
          <w:sz w:val="36"/>
          <w:szCs w:val="36"/>
        </w:rPr>
      </w:pPr>
      <w:r>
        <w:rPr>
          <w:rFonts w:hint="eastAsia" w:ascii="宋体" w:cs="宋体"/>
          <w:sz w:val="36"/>
          <w:szCs w:val="36"/>
        </w:rPr>
        <w:t>投标人全称：</w:t>
      </w:r>
    </w:p>
    <w:p>
      <w:pPr>
        <w:wordWrap w:val="0"/>
        <w:spacing w:line="500" w:lineRule="exact"/>
        <w:ind w:right="-108" w:firstLine="720" w:firstLineChars="200"/>
        <w:rPr>
          <w:rFonts w:hint="eastAsia" w:ascii="宋体" w:cs="宋体"/>
          <w:sz w:val="36"/>
          <w:szCs w:val="36"/>
        </w:rPr>
      </w:pPr>
      <w:r>
        <w:rPr>
          <w:rFonts w:hint="eastAsia" w:ascii="宋体" w:cs="宋体"/>
          <w:sz w:val="36"/>
          <w:szCs w:val="36"/>
        </w:rPr>
        <w:t>地    址：</w:t>
      </w:r>
    </w:p>
    <w:p>
      <w:pPr>
        <w:wordWrap w:val="0"/>
        <w:spacing w:line="500" w:lineRule="exact"/>
        <w:ind w:right="-108"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sz w:val="30"/>
          <w:szCs w:val="30"/>
        </w:rPr>
      </w:pPr>
    </w:p>
    <w:p>
      <w:pPr>
        <w:pStyle w:val="22"/>
        <w:snapToGrid w:val="0"/>
        <w:ind w:left="0" w:leftChars="0"/>
        <w:rPr>
          <w:rFonts w:hint="eastAsia"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pPr>
        <w:rPr>
          <w:rFonts w:hint="eastAsia" w:ascii="宋体" w:cs="宋体"/>
        </w:rPr>
      </w:pPr>
    </w:p>
    <w:p>
      <w:pPr>
        <w:pStyle w:val="22"/>
        <w:snapToGrid w:val="0"/>
        <w:spacing w:line="460" w:lineRule="exact"/>
        <w:ind w:left="0" w:leftChars="0"/>
        <w:rPr>
          <w:rFonts w:hint="eastAsia" w:ascii="宋体" w:eastAsia="宋体" w:cs="宋体"/>
          <w:sz w:val="30"/>
          <w:szCs w:val="30"/>
        </w:rPr>
      </w:pPr>
      <w:r>
        <w:rPr>
          <w:rFonts w:hint="eastAsia" w:ascii="宋体" w:eastAsia="宋体" w:cs="宋体"/>
          <w:sz w:val="30"/>
          <w:szCs w:val="30"/>
        </w:rPr>
        <w:t>（1）投标报价明细表（见附件15）；</w:t>
      </w:r>
    </w:p>
    <w:p>
      <w:pPr>
        <w:pStyle w:val="22"/>
        <w:snapToGrid w:val="0"/>
        <w:spacing w:line="460" w:lineRule="exact"/>
        <w:ind w:left="0" w:leftChars="0"/>
        <w:rPr>
          <w:rFonts w:hint="eastAsia" w:ascii="宋体" w:eastAsia="宋体" w:cs="宋体"/>
          <w:sz w:val="30"/>
          <w:szCs w:val="30"/>
        </w:rPr>
      </w:pPr>
      <w:r>
        <w:rPr>
          <w:rFonts w:hint="eastAsia" w:ascii="宋体" w:eastAsia="宋体" w:cs="宋体"/>
          <w:sz w:val="30"/>
          <w:szCs w:val="30"/>
        </w:rPr>
        <w:t>（2）投标人针对报价需要说明的其他文件和说明（格式自拟）；</w:t>
      </w:r>
    </w:p>
    <w:p>
      <w:pPr>
        <w:pStyle w:val="22"/>
        <w:snapToGrid w:val="0"/>
        <w:spacing w:line="460" w:lineRule="exact"/>
        <w:ind w:left="0" w:leftChars="0"/>
        <w:rPr>
          <w:rFonts w:hint="eastAsia" w:ascii="宋体" w:eastAsia="宋体" w:cs="宋体"/>
        </w:rPr>
      </w:pPr>
      <w:r>
        <w:rPr>
          <w:rFonts w:hint="eastAsia" w:ascii="宋体" w:eastAsia="宋体" w:cs="宋体"/>
          <w:sz w:val="30"/>
          <w:szCs w:val="30"/>
        </w:rPr>
        <w:t>（3）中小企业声明函（见附件16）；</w:t>
      </w:r>
    </w:p>
    <w:p>
      <w:pPr>
        <w:pStyle w:val="27"/>
        <w:widowControl w:val="0"/>
        <w:spacing w:after="120" w:line="460" w:lineRule="exact"/>
        <w:rPr>
          <w:rFonts w:hint="eastAsia" w:hAnsi="宋体" w:cs="宋体"/>
          <w:color w:val="auto"/>
          <w:sz w:val="30"/>
          <w:szCs w:val="30"/>
        </w:rPr>
      </w:pPr>
      <w:r>
        <w:rPr>
          <w:rFonts w:hint="eastAsia" w:hAnsi="宋体" w:cs="宋体"/>
          <w:color w:val="auto"/>
          <w:sz w:val="30"/>
          <w:szCs w:val="30"/>
        </w:rPr>
        <w:t>（4）残疾人福利企业声明函（见附件17）；</w:t>
      </w:r>
    </w:p>
    <w:p>
      <w:pPr>
        <w:pStyle w:val="27"/>
        <w:widowControl w:val="0"/>
        <w:spacing w:after="120" w:line="460" w:lineRule="exact"/>
        <w:rPr>
          <w:rFonts w:hint="eastAsia" w:hAnsi="宋体" w:cs="宋体"/>
          <w:color w:val="auto"/>
          <w:sz w:val="30"/>
          <w:szCs w:val="30"/>
        </w:rPr>
      </w:pPr>
      <w:r>
        <w:rPr>
          <w:rFonts w:hint="eastAsia" w:hAnsi="宋体" w:cs="宋体"/>
          <w:color w:val="auto"/>
          <w:sz w:val="30"/>
          <w:szCs w:val="30"/>
        </w:rPr>
        <w:t>（5）监狱企业声明函（见附件18）。</w:t>
      </w:r>
    </w:p>
    <w:p>
      <w:pPr>
        <w:pStyle w:val="21"/>
        <w:snapToGrid w:val="0"/>
        <w:spacing w:before="120" w:after="120"/>
        <w:jc w:val="left"/>
        <w:rPr>
          <w:rFonts w:hint="eastAsia" w:hAnsi="宋体" w:cs="宋体"/>
          <w:b/>
          <w:sz w:val="36"/>
          <w:szCs w:val="36"/>
        </w:rPr>
      </w:pPr>
      <w:r>
        <w:rPr>
          <w:rFonts w:hint="eastAsia" w:hAnsi="宋体" w:cs="宋体"/>
          <w:kern w:val="0"/>
          <w:sz w:val="30"/>
          <w:szCs w:val="30"/>
        </w:rPr>
        <w:br w:type="page"/>
      </w:r>
      <w:r>
        <w:rPr>
          <w:rFonts w:hint="eastAsia" w:hAnsi="宋体" w:cs="宋体"/>
          <w:sz w:val="30"/>
          <w:szCs w:val="30"/>
        </w:rPr>
        <w:t>附件15：</w:t>
      </w:r>
    </w:p>
    <w:p>
      <w:pPr>
        <w:pStyle w:val="21"/>
        <w:snapToGrid w:val="0"/>
        <w:spacing w:before="120" w:after="120"/>
        <w:ind w:firstLine="1084" w:firstLineChars="300"/>
        <w:jc w:val="center"/>
        <w:rPr>
          <w:rFonts w:hint="eastAsia" w:hAnsi="宋体" w:cs="宋体"/>
          <w:b/>
          <w:sz w:val="36"/>
          <w:szCs w:val="36"/>
        </w:rPr>
      </w:pPr>
      <w:r>
        <w:rPr>
          <w:rFonts w:hint="eastAsia" w:hAnsi="宋体" w:cs="宋体"/>
          <w:b/>
          <w:sz w:val="36"/>
          <w:szCs w:val="36"/>
        </w:rPr>
        <w:t>投 标 报 价 明 细 表</w:t>
      </w:r>
    </w:p>
    <w:p>
      <w:pPr>
        <w:pStyle w:val="21"/>
        <w:snapToGrid w:val="0"/>
        <w:spacing w:before="120" w:after="120"/>
        <w:ind w:firstLine="1084" w:firstLineChars="300"/>
        <w:jc w:val="center"/>
        <w:rPr>
          <w:rFonts w:hint="eastAsia" w:hAnsi="宋体" w:cs="宋体"/>
          <w:b/>
          <w:sz w:val="36"/>
          <w:szCs w:val="36"/>
        </w:rPr>
      </w:pPr>
    </w:p>
    <w:p>
      <w:pPr>
        <w:snapToGrid w:val="0"/>
        <w:rPr>
          <w:rFonts w:hint="eastAsia" w:ascii="宋体" w:cs="宋体"/>
          <w:sz w:val="28"/>
          <w:szCs w:val="28"/>
        </w:rPr>
      </w:pPr>
      <w:r>
        <w:rPr>
          <w:rFonts w:hint="eastAsia" w:ascii="宋体" w:cs="宋体"/>
          <w:sz w:val="28"/>
          <w:szCs w:val="28"/>
        </w:rPr>
        <w:t>投标人全称（公章）：</w:t>
      </w:r>
    </w:p>
    <w:p>
      <w:pPr>
        <w:snapToGrid w:val="0"/>
        <w:rPr>
          <w:rFonts w:hint="eastAsia" w:ascii="宋体" w:cs="宋体"/>
          <w:sz w:val="28"/>
          <w:szCs w:val="28"/>
        </w:rPr>
      </w:pPr>
    </w:p>
    <w:p>
      <w:pPr>
        <w:snapToGrid w:val="0"/>
        <w:rPr>
          <w:rFonts w:hint="eastAsia" w:ascii="宋体" w:cs="宋体"/>
          <w:sz w:val="28"/>
          <w:szCs w:val="28"/>
        </w:rPr>
      </w:pPr>
      <w:r>
        <w:rPr>
          <w:rFonts w:hint="eastAsia" w:ascii="宋体" w:cs="宋体"/>
          <w:sz w:val="28"/>
          <w:szCs w:val="28"/>
        </w:rPr>
        <w:t>招标编号及标项：</w:t>
      </w:r>
    </w:p>
    <w:tbl>
      <w:tblPr>
        <w:tblStyle w:val="32"/>
        <w:tblpPr w:leftFromText="180" w:rightFromText="180" w:vertAnchor="text" w:horzAnchor="page" w:tblpX="1417" w:tblpY="464"/>
        <w:tblOverlap w:val="never"/>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975"/>
        <w:gridCol w:w="1417"/>
        <w:gridCol w:w="1548"/>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pPr>
              <w:spacing w:line="400" w:lineRule="exact"/>
              <w:jc w:val="center"/>
              <w:rPr>
                <w:rFonts w:hint="eastAsia" w:ascii="宋体" w:cs="宋体"/>
                <w:sz w:val="24"/>
              </w:rPr>
            </w:pPr>
            <w:r>
              <w:rPr>
                <w:rFonts w:hint="eastAsia" w:ascii="宋体" w:cs="宋体"/>
                <w:sz w:val="24"/>
              </w:rPr>
              <w:t>序号</w:t>
            </w:r>
          </w:p>
        </w:tc>
        <w:tc>
          <w:tcPr>
            <w:tcW w:w="2883" w:type="dxa"/>
            <w:noWrap/>
            <w:vAlign w:val="center"/>
          </w:tcPr>
          <w:p>
            <w:pPr>
              <w:spacing w:line="400" w:lineRule="exact"/>
              <w:jc w:val="center"/>
              <w:rPr>
                <w:rFonts w:hint="eastAsia" w:ascii="宋体" w:cs="宋体"/>
                <w:sz w:val="24"/>
              </w:rPr>
            </w:pPr>
            <w:r>
              <w:rPr>
                <w:rFonts w:hint="eastAsia" w:ascii="宋体" w:cs="宋体"/>
                <w:sz w:val="24"/>
              </w:rPr>
              <w:t>招标项目</w:t>
            </w:r>
          </w:p>
          <w:p>
            <w:pPr>
              <w:spacing w:line="400" w:lineRule="exact"/>
              <w:jc w:val="center"/>
              <w:rPr>
                <w:rFonts w:hint="eastAsia" w:ascii="宋体" w:cs="宋体"/>
                <w:sz w:val="24"/>
              </w:rPr>
            </w:pPr>
          </w:p>
        </w:tc>
        <w:tc>
          <w:tcPr>
            <w:tcW w:w="975" w:type="dxa"/>
            <w:noWrap/>
            <w:vAlign w:val="center"/>
          </w:tcPr>
          <w:p>
            <w:pPr>
              <w:spacing w:line="400" w:lineRule="exact"/>
              <w:jc w:val="center"/>
              <w:rPr>
                <w:rFonts w:hint="eastAsia" w:ascii="宋体" w:cs="宋体"/>
                <w:sz w:val="24"/>
              </w:rPr>
            </w:pPr>
            <w:r>
              <w:rPr>
                <w:rFonts w:hint="eastAsia" w:ascii="宋体" w:cs="宋体"/>
                <w:sz w:val="24"/>
              </w:rPr>
              <w:t>数量</w:t>
            </w:r>
          </w:p>
        </w:tc>
        <w:tc>
          <w:tcPr>
            <w:tcW w:w="1417" w:type="dxa"/>
            <w:noWrap/>
            <w:vAlign w:val="center"/>
          </w:tcPr>
          <w:p>
            <w:pPr>
              <w:jc w:val="center"/>
              <w:rPr>
                <w:rFonts w:hint="eastAsia" w:ascii="宋体" w:cs="宋体"/>
                <w:kern w:val="0"/>
                <w:sz w:val="24"/>
              </w:rPr>
            </w:pPr>
            <w:r>
              <w:rPr>
                <w:rFonts w:hint="eastAsia" w:ascii="宋体" w:cs="宋体"/>
                <w:sz w:val="24"/>
              </w:rPr>
              <w:t>总价</w:t>
            </w:r>
          </w:p>
        </w:tc>
        <w:tc>
          <w:tcPr>
            <w:tcW w:w="1548" w:type="dxa"/>
            <w:noWrap/>
            <w:vAlign w:val="center"/>
          </w:tcPr>
          <w:p>
            <w:pPr>
              <w:jc w:val="center"/>
              <w:rPr>
                <w:rFonts w:hint="default" w:ascii="宋体" w:eastAsia="宋体" w:cs="宋体"/>
                <w:sz w:val="24"/>
                <w:lang w:val="en-US" w:eastAsia="zh-CN"/>
              </w:rPr>
            </w:pPr>
            <w:r>
              <w:rPr>
                <w:rFonts w:hint="eastAsia" w:ascii="宋体" w:cs="宋体"/>
                <w:sz w:val="24"/>
                <w:lang w:val="en-US" w:eastAsia="zh-CN"/>
              </w:rPr>
              <w:t>是否中小企业</w:t>
            </w:r>
          </w:p>
        </w:tc>
        <w:tc>
          <w:tcPr>
            <w:tcW w:w="2100" w:type="dxa"/>
            <w:noWrap/>
            <w:vAlign w:val="center"/>
          </w:tcPr>
          <w:p>
            <w:pPr>
              <w:jc w:val="center"/>
              <w:rPr>
                <w:rFonts w:hint="eastAsia" w:ascii="宋体" w:cs="宋体"/>
                <w:kern w:val="0"/>
                <w:sz w:val="24"/>
              </w:rPr>
            </w:pPr>
            <w:r>
              <w:rPr>
                <w:rFonts w:hint="eastAsia" w:asci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pPr>
              <w:spacing w:before="161" w:beforeLines="50" w:after="161" w:afterLines="50"/>
              <w:jc w:val="center"/>
              <w:rPr>
                <w:rFonts w:hint="eastAsia" w:ascii="宋体" w:cs="宋体"/>
                <w:sz w:val="24"/>
              </w:rPr>
            </w:pPr>
            <w:r>
              <w:rPr>
                <w:rFonts w:hint="eastAsia" w:ascii="宋体" w:cs="宋体"/>
                <w:sz w:val="24"/>
              </w:rPr>
              <w:t>1</w:t>
            </w:r>
          </w:p>
        </w:tc>
        <w:tc>
          <w:tcPr>
            <w:tcW w:w="2883" w:type="dxa"/>
            <w:noWrap/>
            <w:vAlign w:val="center"/>
          </w:tcPr>
          <w:p>
            <w:pPr>
              <w:spacing w:before="161" w:beforeLines="50" w:after="161" w:afterLines="50"/>
              <w:jc w:val="center"/>
              <w:rPr>
                <w:rFonts w:hint="eastAsia" w:ascii="宋体" w:cs="宋体"/>
                <w:kern w:val="0"/>
                <w:sz w:val="24"/>
              </w:rPr>
            </w:pPr>
          </w:p>
        </w:tc>
        <w:tc>
          <w:tcPr>
            <w:tcW w:w="975" w:type="dxa"/>
            <w:noWrap/>
            <w:vAlign w:val="center"/>
          </w:tcPr>
          <w:p>
            <w:pPr>
              <w:spacing w:before="161" w:beforeLines="50" w:after="161" w:afterLines="50"/>
              <w:jc w:val="center"/>
              <w:rPr>
                <w:rFonts w:hint="eastAsia" w:ascii="宋体" w:cs="宋体"/>
                <w:kern w:val="0"/>
                <w:sz w:val="24"/>
              </w:rPr>
            </w:pPr>
            <w:r>
              <w:rPr>
                <w:rFonts w:hint="eastAsia" w:ascii="宋体" w:cs="宋体"/>
                <w:kern w:val="0"/>
                <w:sz w:val="24"/>
              </w:rPr>
              <w:t>1批</w:t>
            </w:r>
          </w:p>
        </w:tc>
        <w:tc>
          <w:tcPr>
            <w:tcW w:w="1417" w:type="dxa"/>
            <w:noWrap/>
            <w:vAlign w:val="center"/>
          </w:tcPr>
          <w:p>
            <w:pPr>
              <w:jc w:val="center"/>
              <w:rPr>
                <w:rFonts w:hint="eastAsia" w:ascii="宋体" w:cs="宋体"/>
              </w:rPr>
            </w:pPr>
          </w:p>
        </w:tc>
        <w:tc>
          <w:tcPr>
            <w:tcW w:w="1548" w:type="dxa"/>
            <w:noWrap/>
            <w:vAlign w:val="center"/>
          </w:tcPr>
          <w:p>
            <w:pPr>
              <w:jc w:val="center"/>
              <w:rPr>
                <w:rFonts w:hint="eastAsia" w:ascii="宋体" w:cs="宋体"/>
              </w:rPr>
            </w:pPr>
          </w:p>
        </w:tc>
        <w:tc>
          <w:tcPr>
            <w:tcW w:w="2100" w:type="dxa"/>
            <w:noWrap/>
            <w:vAlign w:val="center"/>
          </w:tcPr>
          <w:p>
            <w:pPr>
              <w:jc w:val="center"/>
              <w:rPr>
                <w:rFonts w:hint="eastAsia" w:ascii="宋体" w:cs="宋体"/>
                <w:b/>
                <w:kern w:val="0"/>
                <w:sz w:val="24"/>
              </w:rPr>
            </w:pPr>
            <w:r>
              <w:rPr>
                <w:rFonts w:hint="eastAsia" w:ascii="宋体" w:cs="宋体"/>
                <w:b/>
                <w:kern w:val="0"/>
                <w:sz w:val="24"/>
              </w:rPr>
              <w:t>须提供各分项设备报价清单（如有）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823" w:type="dxa"/>
            <w:gridSpan w:val="6"/>
            <w:noWrap/>
            <w:vAlign w:val="center"/>
          </w:tcPr>
          <w:p>
            <w:pPr>
              <w:spacing w:line="400" w:lineRule="exact"/>
              <w:rPr>
                <w:rFonts w:hint="eastAsia" w:ascii="宋体" w:cs="宋体"/>
                <w:sz w:val="24"/>
              </w:rPr>
            </w:pPr>
            <w:r>
              <w:rPr>
                <w:rFonts w:hint="eastAsia" w:ascii="宋体" w:cs="宋体"/>
                <w:sz w:val="24"/>
              </w:rPr>
              <w:t>投标总价合计金额大写：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823" w:type="dxa"/>
            <w:gridSpan w:val="6"/>
            <w:noWrap/>
            <w:vAlign w:val="center"/>
          </w:tcPr>
          <w:p>
            <w:pPr>
              <w:snapToGrid w:val="0"/>
              <w:jc w:val="left"/>
              <w:rPr>
                <w:rFonts w:hint="eastAsia"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pPr>
              <w:snapToGrid w:val="0"/>
              <w:rPr>
                <w:rFonts w:hint="eastAsia"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pPr>
              <w:snapToGrid w:val="0"/>
              <w:rPr>
                <w:rFonts w:hint="eastAsia"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pPr>
              <w:spacing w:line="400" w:lineRule="exact"/>
              <w:rPr>
                <w:rFonts w:hint="eastAsia" w:ascii="宋体" w:cs="宋体"/>
                <w:sz w:val="24"/>
              </w:rPr>
            </w:pPr>
          </w:p>
        </w:tc>
      </w:tr>
    </w:tbl>
    <w:p>
      <w:pPr>
        <w:spacing w:before="240"/>
        <w:rPr>
          <w:rFonts w:hint="eastAsia" w:ascii="宋体" w:cs="宋体"/>
          <w:sz w:val="24"/>
          <w:u w:val="single"/>
        </w:rPr>
      </w:pPr>
    </w:p>
    <w:p>
      <w:pPr>
        <w:snapToGrid w:val="0"/>
        <w:spacing w:line="360" w:lineRule="auto"/>
        <w:rPr>
          <w:rFonts w:hint="eastAsia" w:ascii="宋体" w:cs="宋体"/>
          <w:sz w:val="30"/>
          <w:szCs w:val="30"/>
        </w:rPr>
      </w:pPr>
    </w:p>
    <w:p>
      <w:pPr>
        <w:snapToGrid w:val="0"/>
        <w:spacing w:line="400" w:lineRule="exact"/>
        <w:jc w:val="left"/>
        <w:rPr>
          <w:rFonts w:hint="eastAsia" w:ascii="宋体" w:cs="宋体"/>
          <w:sz w:val="28"/>
          <w:szCs w:val="28"/>
        </w:rPr>
      </w:pPr>
      <w:r>
        <w:rPr>
          <w:rFonts w:hint="eastAsia" w:ascii="宋体" w:cs="宋体"/>
          <w:sz w:val="28"/>
          <w:szCs w:val="28"/>
        </w:rPr>
        <w:t xml:space="preserve">授权代表签名：                              日期： </w:t>
      </w:r>
    </w:p>
    <w:p>
      <w:pPr>
        <w:snapToGrid w:val="0"/>
        <w:spacing w:line="360" w:lineRule="auto"/>
        <w:rPr>
          <w:rFonts w:hint="eastAsia" w:ascii="宋体" w:cs="宋体"/>
          <w:sz w:val="30"/>
          <w:szCs w:val="30"/>
        </w:rPr>
      </w:pPr>
    </w:p>
    <w:p>
      <w:pPr>
        <w:snapToGrid w:val="0"/>
        <w:spacing w:line="360" w:lineRule="auto"/>
        <w:rPr>
          <w:rFonts w:hint="eastAsia" w:ascii="宋体" w:cs="宋体"/>
          <w:sz w:val="28"/>
          <w:szCs w:val="28"/>
        </w:rPr>
      </w:pPr>
      <w:r>
        <w:rPr>
          <w:rFonts w:hint="eastAsia" w:ascii="宋体" w:cs="宋体"/>
          <w:sz w:val="30"/>
          <w:szCs w:val="30"/>
        </w:rPr>
        <w:br w:type="page"/>
      </w:r>
      <w:r>
        <w:rPr>
          <w:rFonts w:hint="eastAsia" w:ascii="宋体" w:cs="宋体"/>
          <w:sz w:val="30"/>
          <w:szCs w:val="30"/>
        </w:rPr>
        <w:t>附件16：</w:t>
      </w:r>
    </w:p>
    <w:p>
      <w:pPr>
        <w:spacing w:line="460" w:lineRule="atLeast"/>
        <w:ind w:firstLine="723" w:firstLineChars="200"/>
        <w:jc w:val="center"/>
        <w:rPr>
          <w:rFonts w:hint="eastAsia" w:ascii="宋体" w:cs="宋体"/>
          <w:b/>
          <w:bCs/>
          <w:color w:val="000000"/>
          <w:sz w:val="36"/>
          <w:szCs w:val="36"/>
        </w:rPr>
      </w:pPr>
      <w:r>
        <w:rPr>
          <w:rFonts w:hint="eastAsia" w:ascii="宋体" w:cs="宋体"/>
          <w:b/>
          <w:bCs/>
          <w:color w:val="FF0000"/>
          <w:sz w:val="36"/>
          <w:szCs w:val="36"/>
        </w:rPr>
        <w:t>中小企业声明函（货物）</w:t>
      </w:r>
    </w:p>
    <w:p>
      <w:pPr>
        <w:pStyle w:val="2"/>
        <w:rPr>
          <w:rFonts w:hint="eastAsia" w:ascii="宋体" w:hAnsi="宋体" w:cs="宋体"/>
          <w:color w:val="000000"/>
        </w:rPr>
      </w:pPr>
    </w:p>
    <w:p>
      <w:pPr>
        <w:spacing w:line="360" w:lineRule="auto"/>
        <w:ind w:firstLine="480" w:firstLineChars="200"/>
        <w:rPr>
          <w:rFonts w:hint="eastAsia" w:ascii="宋体" w:cs="宋体"/>
          <w:color w:val="000000"/>
          <w:sz w:val="24"/>
          <w:szCs w:val="24"/>
        </w:rPr>
      </w:pPr>
      <w:r>
        <w:rPr>
          <w:rFonts w:hint="eastAsia" w:ascii="宋体" w:cs="宋体"/>
          <w:color w:val="000000"/>
          <w:sz w:val="24"/>
          <w:szCs w:val="24"/>
        </w:rPr>
        <w:t>本公司（联合体）郑重声明，根据《政府采购促进中小企业发展管理办法》（财库﹝2020﹞46 号）的规定，本公司（联合体）参加</w:t>
      </w:r>
      <w:r>
        <w:rPr>
          <w:rFonts w:hint="eastAsia" w:ascii="宋体" w:cs="宋体"/>
          <w:color w:val="000000"/>
          <w:sz w:val="24"/>
          <w:szCs w:val="24"/>
          <w:u w:val="single"/>
        </w:rPr>
        <w:t>（单位名称）</w:t>
      </w:r>
      <w:r>
        <w:rPr>
          <w:rFonts w:hint="eastAsia" w:ascii="宋体" w:cs="宋体"/>
          <w:color w:val="000000"/>
          <w:sz w:val="24"/>
          <w:szCs w:val="24"/>
        </w:rPr>
        <w:t>的</w:t>
      </w:r>
      <w:r>
        <w:rPr>
          <w:rFonts w:hint="eastAsia" w:ascii="宋体" w:cs="宋体"/>
          <w:color w:val="000000"/>
          <w:sz w:val="24"/>
          <w:szCs w:val="24"/>
          <w:u w:val="single"/>
        </w:rPr>
        <w:t>（项目名称）</w:t>
      </w:r>
      <w:r>
        <w:rPr>
          <w:rFonts w:hint="eastAsia" w:ascii="宋体" w:cs="宋体"/>
          <w:color w:val="000000"/>
          <w:sz w:val="24"/>
          <w:szCs w:val="24"/>
        </w:rPr>
        <w:t>采购活动，提供的货物全部由符合政策要求的中小企业制造。相关企业（含联合体中的中小企业、签订分包意向协议的中小企业）的具体情况如下：</w:t>
      </w:r>
    </w:p>
    <w:p>
      <w:pPr>
        <w:pStyle w:val="2"/>
        <w:spacing w:line="360" w:lineRule="auto"/>
        <w:ind w:left="0" w:leftChars="0" w:firstLine="0" w:firstLineChars="0"/>
        <w:rPr>
          <w:rFonts w:hint="eastAsia" w:ascii="宋体" w:hAnsi="宋体" w:cs="宋体"/>
          <w:color w:val="000000"/>
          <w:sz w:val="24"/>
          <w:szCs w:val="24"/>
        </w:rPr>
      </w:pPr>
      <w:r>
        <w:rPr>
          <w:rFonts w:hint="eastAsia" w:ascii="宋体" w:hAnsi="宋体" w:cs="宋体"/>
          <w:color w:val="000000"/>
          <w:sz w:val="24"/>
          <w:szCs w:val="24"/>
        </w:rPr>
        <w:t xml:space="preserve">    1.</w:t>
      </w:r>
      <w:r>
        <w:rPr>
          <w:rFonts w:hint="eastAsia" w:ascii="宋体" w:hAnsi="宋体" w:cs="宋体"/>
          <w:color w:val="000000"/>
          <w:sz w:val="24"/>
          <w:szCs w:val="24"/>
          <w:u w:val="single"/>
        </w:rPr>
        <w:t>（标的名称）</w:t>
      </w:r>
      <w:r>
        <w:rPr>
          <w:rFonts w:hint="eastAsia" w:ascii="宋体" w:hAnsi="宋体" w:cs="宋体"/>
          <w:color w:val="000000"/>
          <w:sz w:val="24"/>
          <w:szCs w:val="24"/>
        </w:rPr>
        <w:t xml:space="preserve"> ，属于</w:t>
      </w:r>
      <w:r>
        <w:rPr>
          <w:rFonts w:hint="eastAsia" w:ascii="宋体" w:hAnsi="宋体" w:cs="宋体"/>
          <w:color w:val="000000"/>
          <w:sz w:val="24"/>
          <w:szCs w:val="24"/>
          <w:u w:val="single"/>
        </w:rPr>
        <w:t>（采购文件中明确的所属行业）</w:t>
      </w:r>
      <w:r>
        <w:rPr>
          <w:rFonts w:hint="eastAsia" w:ascii="宋体" w:hAnsi="宋体" w:cs="宋体"/>
          <w:color w:val="000000"/>
          <w:sz w:val="24"/>
          <w:szCs w:val="24"/>
        </w:rPr>
        <w:t>行业；制造商为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w:t>
      </w:r>
      <w:r>
        <w:rPr>
          <w:rFonts w:hint="eastAsia" w:ascii="宋体" w:hAnsi="宋体" w:cs="宋体"/>
          <w:color w:val="000000"/>
          <w:sz w:val="24"/>
          <w:szCs w:val="24"/>
          <w:u w:val="single"/>
        </w:rPr>
        <w:t xml:space="preserve">   </w:t>
      </w:r>
      <w:r>
        <w:rPr>
          <w:rFonts w:hint="eastAsia" w:ascii="宋体" w:hAnsi="宋体" w:cs="宋体"/>
          <w:color w:val="000000"/>
          <w:sz w:val="24"/>
          <w:szCs w:val="24"/>
        </w:rPr>
        <w:t>人，营业收入为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w:t>
      </w:r>
      <w:r>
        <w:rPr>
          <w:rFonts w:hint="eastAsia" w:ascii="宋体" w:hAnsi="宋体" w:cs="宋体"/>
          <w:color w:val="000000"/>
          <w:sz w:val="24"/>
          <w:szCs w:val="24"/>
          <w:vertAlign w:val="superscript"/>
        </w:rPr>
        <w:t>1</w:t>
      </w:r>
      <w:r>
        <w:rPr>
          <w:rFonts w:hint="eastAsia" w:ascii="宋体" w:hAnsi="宋体" w:cs="宋体"/>
          <w:color w:val="000000"/>
          <w:sz w:val="24"/>
          <w:szCs w:val="24"/>
        </w:rPr>
        <w:t>，资产总额为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万元，属于</w:t>
      </w:r>
      <w:r>
        <w:rPr>
          <w:rFonts w:hint="eastAsia" w:ascii="宋体" w:hAnsi="宋体" w:cs="宋体"/>
          <w:color w:val="000000"/>
          <w:sz w:val="24"/>
          <w:szCs w:val="24"/>
          <w:u w:val="single"/>
        </w:rPr>
        <w:t>（中型企业、小型企业、微型企业）</w:t>
      </w:r>
      <w:r>
        <w:rPr>
          <w:rFonts w:hint="eastAsia" w:ascii="宋体" w:hAnsi="宋体" w:cs="宋体"/>
          <w:color w:val="000000"/>
          <w:sz w:val="24"/>
          <w:szCs w:val="24"/>
        </w:rPr>
        <w:t>；</w:t>
      </w:r>
    </w:p>
    <w:p>
      <w:pPr>
        <w:pStyle w:val="2"/>
        <w:spacing w:line="360" w:lineRule="auto"/>
        <w:ind w:left="0" w:leftChars="0" w:firstLine="480"/>
        <w:rPr>
          <w:rFonts w:hint="eastAsia" w:ascii="宋体" w:hAnsi="宋体" w:cs="宋体"/>
          <w:color w:val="000000"/>
          <w:sz w:val="24"/>
          <w:szCs w:val="24"/>
        </w:rPr>
      </w:pPr>
      <w:r>
        <w:rPr>
          <w:rFonts w:hint="eastAsia" w:ascii="宋体" w:hAnsi="宋体" w:cs="宋体"/>
          <w:color w:val="000000"/>
          <w:sz w:val="24"/>
          <w:szCs w:val="24"/>
          <w:u w:val="single"/>
        </w:rPr>
        <w:t>2.（标的名称）</w:t>
      </w:r>
      <w:r>
        <w:rPr>
          <w:rFonts w:hint="eastAsia" w:ascii="宋体" w:hAnsi="宋体" w:cs="宋体"/>
          <w:color w:val="000000"/>
          <w:sz w:val="24"/>
          <w:szCs w:val="24"/>
        </w:rPr>
        <w:t xml:space="preserve"> ，属于</w:t>
      </w:r>
      <w:r>
        <w:rPr>
          <w:rFonts w:hint="eastAsia" w:ascii="宋体" w:hAnsi="宋体" w:cs="宋体"/>
          <w:color w:val="000000"/>
          <w:sz w:val="24"/>
          <w:szCs w:val="24"/>
          <w:u w:val="single"/>
        </w:rPr>
        <w:t>（采购文件中明确的所属行业）</w:t>
      </w:r>
      <w:r>
        <w:rPr>
          <w:rFonts w:hint="eastAsia" w:ascii="宋体" w:hAnsi="宋体" w:cs="宋体"/>
          <w:color w:val="000000"/>
          <w:sz w:val="24"/>
          <w:szCs w:val="24"/>
        </w:rPr>
        <w:t>行业；制造商为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w:t>
      </w:r>
      <w:r>
        <w:rPr>
          <w:rFonts w:hint="eastAsia" w:ascii="宋体" w:hAnsi="宋体" w:cs="宋体"/>
          <w:color w:val="000000"/>
          <w:sz w:val="24"/>
          <w:szCs w:val="24"/>
          <w:u w:val="single"/>
        </w:rPr>
        <w:t xml:space="preserve">   </w:t>
      </w:r>
      <w:r>
        <w:rPr>
          <w:rFonts w:hint="eastAsia" w:ascii="宋体" w:hAnsi="宋体" w:cs="宋体"/>
          <w:color w:val="000000"/>
          <w:sz w:val="24"/>
          <w:szCs w:val="24"/>
        </w:rPr>
        <w:t>人，营业收入为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万元，资产总额为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万元，属于</w:t>
      </w:r>
      <w:r>
        <w:rPr>
          <w:rFonts w:hint="eastAsia" w:ascii="宋体" w:hAnsi="宋体" w:cs="宋体"/>
          <w:color w:val="000000"/>
          <w:sz w:val="24"/>
          <w:szCs w:val="24"/>
          <w:u w:val="single"/>
        </w:rPr>
        <w:t>（中型企业、小型企业、微型企业）</w:t>
      </w:r>
      <w:r>
        <w:rPr>
          <w:rFonts w:hint="eastAsia" w:ascii="宋体" w:hAnsi="宋体" w:cs="宋体"/>
          <w:color w:val="000000"/>
          <w:sz w:val="24"/>
          <w:szCs w:val="24"/>
        </w:rPr>
        <w:t>；</w:t>
      </w:r>
    </w:p>
    <w:p>
      <w:pPr>
        <w:pStyle w:val="2"/>
        <w:spacing w:line="360" w:lineRule="auto"/>
        <w:ind w:left="0" w:leftChars="0" w:firstLine="480"/>
        <w:rPr>
          <w:rFonts w:hint="eastAsia" w:ascii="宋体" w:hAnsi="宋体" w:cs="宋体"/>
          <w:color w:val="000000"/>
          <w:sz w:val="24"/>
          <w:szCs w:val="24"/>
        </w:rPr>
      </w:pPr>
      <w:r>
        <w:rPr>
          <w:rFonts w:hint="eastAsia" w:ascii="宋体" w:hAnsi="宋体" w:cs="宋体"/>
          <w:color w:val="000000"/>
          <w:sz w:val="24"/>
          <w:szCs w:val="24"/>
        </w:rPr>
        <w:t>……</w:t>
      </w:r>
    </w:p>
    <w:p>
      <w:pPr>
        <w:pStyle w:val="2"/>
        <w:spacing w:line="360" w:lineRule="auto"/>
        <w:ind w:left="0" w:leftChars="0" w:firstLine="480"/>
        <w:rPr>
          <w:rFonts w:hint="eastAsia" w:ascii="宋体" w:hAnsi="宋体" w:cs="宋体"/>
          <w:color w:val="000000"/>
          <w:sz w:val="24"/>
          <w:szCs w:val="24"/>
        </w:rPr>
      </w:pPr>
      <w:r>
        <w:rPr>
          <w:rFonts w:hint="eastAsia" w:ascii="宋体" w:hAnsi="宋体" w:cs="宋体"/>
          <w:color w:val="000000"/>
          <w:sz w:val="24"/>
          <w:szCs w:val="24"/>
        </w:rPr>
        <w:t>以上企业，不属于大企业的分支机构，不存在控股股东为大企业的情形，也不存在与大企业的负责人为同一人的情形。</w:t>
      </w:r>
    </w:p>
    <w:p>
      <w:pPr>
        <w:pStyle w:val="2"/>
        <w:spacing w:line="360" w:lineRule="auto"/>
        <w:ind w:left="0" w:leftChars="0" w:firstLine="480"/>
        <w:rPr>
          <w:rFonts w:hint="eastAsia" w:ascii="宋体" w:hAnsi="宋体" w:cs="宋体"/>
          <w:color w:val="000000"/>
          <w:sz w:val="24"/>
          <w:szCs w:val="24"/>
        </w:rPr>
      </w:pPr>
      <w:r>
        <w:rPr>
          <w:rFonts w:hint="eastAsia" w:ascii="宋体" w:hAnsi="宋体" w:cs="宋体"/>
          <w:color w:val="000000"/>
          <w:sz w:val="24"/>
          <w:szCs w:val="24"/>
        </w:rPr>
        <w:t>本企业对上述声明内容的真实性负责。如有虚假，将依法承担相应责任。</w:t>
      </w:r>
    </w:p>
    <w:p>
      <w:pPr>
        <w:spacing w:line="460" w:lineRule="atLeast"/>
        <w:ind w:firstLine="480" w:firstLineChars="200"/>
        <w:jc w:val="right"/>
        <w:rPr>
          <w:rFonts w:hint="eastAsia" w:ascii="宋体" w:cs="宋体"/>
          <w:color w:val="000000"/>
          <w:sz w:val="24"/>
          <w:szCs w:val="24"/>
        </w:rPr>
      </w:pPr>
      <w:r>
        <w:rPr>
          <w:rFonts w:hint="eastAsia" w:ascii="宋体" w:cs="宋体"/>
          <w:color w:val="000000"/>
          <w:sz w:val="24"/>
          <w:szCs w:val="24"/>
        </w:rPr>
        <w:t xml:space="preserve">    </w:t>
      </w:r>
    </w:p>
    <w:p>
      <w:pPr>
        <w:spacing w:line="460" w:lineRule="atLeast"/>
        <w:ind w:firstLine="6264" w:firstLineChars="2600"/>
        <w:rPr>
          <w:rFonts w:hint="eastAsia" w:ascii="宋体" w:cs="宋体"/>
          <w:b/>
          <w:bCs/>
          <w:color w:val="000000"/>
          <w:sz w:val="24"/>
          <w:szCs w:val="24"/>
        </w:rPr>
      </w:pPr>
      <w:r>
        <w:rPr>
          <w:rFonts w:hint="eastAsia" w:ascii="宋体" w:cs="宋体"/>
          <w:b/>
          <w:bCs/>
          <w:color w:val="000000"/>
          <w:sz w:val="24"/>
          <w:szCs w:val="24"/>
        </w:rPr>
        <w:t>企业名称（盖章）：</w:t>
      </w:r>
    </w:p>
    <w:p>
      <w:pPr>
        <w:spacing w:line="460" w:lineRule="atLeast"/>
        <w:ind w:firstLine="723" w:firstLineChars="300"/>
        <w:rPr>
          <w:rFonts w:hint="eastAsia" w:ascii="宋体" w:cs="宋体"/>
          <w:color w:val="000000"/>
          <w:sz w:val="24"/>
          <w:szCs w:val="24"/>
        </w:rPr>
      </w:pPr>
      <w:r>
        <w:rPr>
          <w:rFonts w:hint="eastAsia" w:ascii="宋体" w:cs="宋体"/>
          <w:b/>
          <w:bCs/>
          <w:color w:val="000000"/>
          <w:sz w:val="24"/>
          <w:szCs w:val="24"/>
        </w:rPr>
        <w:t xml:space="preserve">                                                日 期：</w:t>
      </w:r>
    </w:p>
    <w:p>
      <w:pPr>
        <w:pStyle w:val="2"/>
        <w:ind w:firstLine="440"/>
        <w:rPr>
          <w:rFonts w:hint="eastAsia" w:ascii="宋体" w:hAnsi="宋体" w:cs="宋体"/>
          <w:color w:val="000000"/>
          <w:sz w:val="22"/>
        </w:rPr>
      </w:pPr>
    </w:p>
    <w:p>
      <w:pPr>
        <w:pStyle w:val="2"/>
        <w:ind w:left="0" w:leftChars="0" w:firstLine="0" w:firstLineChars="0"/>
        <w:rPr>
          <w:rFonts w:hint="eastAsia" w:ascii="宋体" w:hAnsi="宋体" w:cs="宋体"/>
          <w:color w:val="000000"/>
          <w:sz w:val="22"/>
          <w:u w:val="single"/>
        </w:rPr>
      </w:pPr>
    </w:p>
    <w:p>
      <w:pPr>
        <w:rPr>
          <w:rFonts w:hint="eastAsia"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pPr>
        <w:rPr>
          <w:rFonts w:hint="eastAsia" w:ascii="宋体" w:cs="宋体"/>
          <w:sz w:val="18"/>
          <w:szCs w:val="18"/>
        </w:rPr>
      </w:pPr>
      <w:r>
        <w:rPr>
          <w:rFonts w:hint="eastAsia" w:ascii="宋体" w:cs="宋体"/>
          <w:sz w:val="18"/>
          <w:szCs w:val="18"/>
        </w:rPr>
        <w:t>2.从业人员、营业收入、资产总额填报上一年度数据，无上一年度数据的新成立企业可不填报。</w:t>
      </w:r>
    </w:p>
    <w:p>
      <w:pPr>
        <w:rPr>
          <w:rFonts w:hint="eastAsia" w:ascii="宋体" w:cs="宋体"/>
          <w:sz w:val="18"/>
          <w:szCs w:val="18"/>
        </w:rPr>
      </w:pPr>
      <w:r>
        <w:rPr>
          <w:rFonts w:hint="eastAsia" w:ascii="宋体" w:cs="宋体"/>
          <w:sz w:val="18"/>
          <w:szCs w:val="18"/>
        </w:rPr>
        <w:t>3.“中小企业声明函”填写不全的，视为未填报。如项目包含“多件”标的物的，需按标的物项数逐项填写。</w:t>
      </w:r>
    </w:p>
    <w:p>
      <w:pPr>
        <w:rPr>
          <w:rFonts w:hint="eastAsia" w:ascii="宋体" w:cs="宋体"/>
          <w:sz w:val="18"/>
          <w:szCs w:val="18"/>
        </w:rPr>
      </w:pPr>
      <w:bookmarkStart w:id="61"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61"/>
    </w:p>
    <w:p>
      <w:pPr>
        <w:rPr>
          <w:rFonts w:hint="eastAsia" w:ascii="宋体" w:cs="宋体"/>
          <w:sz w:val="18"/>
          <w:szCs w:val="18"/>
        </w:rPr>
      </w:pPr>
      <w:r>
        <w:rPr>
          <w:rFonts w:hint="eastAsia" w:ascii="宋体" w:cs="宋体"/>
          <w:sz w:val="18"/>
          <w:szCs w:val="18"/>
        </w:rPr>
        <w:t>5.本项目只以《中小企业声明函》作为评判供应商是否属于中小企业的唯一依据。</w:t>
      </w:r>
    </w:p>
    <w:p>
      <w:pPr>
        <w:snapToGrid w:val="0"/>
        <w:spacing w:line="312" w:lineRule="auto"/>
        <w:ind w:firstLine="4620" w:firstLineChars="1650"/>
        <w:rPr>
          <w:rFonts w:hint="eastAsia" w:ascii="宋体" w:cs="宋体"/>
          <w:sz w:val="28"/>
          <w:szCs w:val="28"/>
        </w:rPr>
      </w:pPr>
    </w:p>
    <w:p>
      <w:pPr>
        <w:jc w:val="left"/>
        <w:rPr>
          <w:rFonts w:hint="eastAsia" w:ascii="宋体" w:cs="宋体"/>
        </w:rPr>
      </w:pPr>
      <w:r>
        <w:rPr>
          <w:rFonts w:hint="eastAsia" w:ascii="宋体" w:cs="宋体"/>
          <w:sz w:val="30"/>
          <w:szCs w:val="30"/>
        </w:rPr>
        <w:t>附件17：</w:t>
      </w:r>
    </w:p>
    <w:p>
      <w:pPr>
        <w:rPr>
          <w:rFonts w:hint="eastAsia" w:ascii="宋体" w:cs="宋体"/>
        </w:rPr>
      </w:pPr>
    </w:p>
    <w:p>
      <w:pPr>
        <w:spacing w:line="588" w:lineRule="exact"/>
        <w:jc w:val="center"/>
        <w:rPr>
          <w:rFonts w:hint="eastAsia" w:ascii="宋体" w:cs="宋体"/>
          <w:b/>
          <w:spacing w:val="6"/>
          <w:sz w:val="32"/>
          <w:szCs w:val="32"/>
        </w:rPr>
      </w:pPr>
      <w:r>
        <w:rPr>
          <w:rFonts w:hint="eastAsia" w:ascii="宋体" w:cs="宋体"/>
          <w:b/>
          <w:spacing w:val="6"/>
          <w:sz w:val="32"/>
          <w:szCs w:val="32"/>
        </w:rPr>
        <w:t>残疾人福利性单位声明函</w:t>
      </w:r>
    </w:p>
    <w:p>
      <w:pPr>
        <w:pStyle w:val="7"/>
        <w:jc w:val="center"/>
        <w:rPr>
          <w:rFonts w:hint="eastAsia" w:ascii="宋体" w:eastAsia="宋体" w:cs="宋体"/>
          <w:b/>
          <w:spacing w:val="6"/>
          <w:sz w:val="30"/>
          <w:szCs w:val="30"/>
        </w:rPr>
      </w:pPr>
      <w:r>
        <w:rPr>
          <w:rFonts w:hint="eastAsia" w:ascii="宋体" w:eastAsia="宋体" w:cs="宋体"/>
          <w:b/>
          <w:spacing w:val="6"/>
          <w:sz w:val="30"/>
          <w:szCs w:val="30"/>
        </w:rPr>
        <w:t>【不属于</w:t>
      </w:r>
      <w:r>
        <w:rPr>
          <w:rFonts w:hint="eastAsia" w:ascii="宋体" w:eastAsia="宋体" w:cs="宋体"/>
          <w:b/>
          <w:spacing w:val="6"/>
          <w:sz w:val="32"/>
          <w:szCs w:val="32"/>
        </w:rPr>
        <w:t>残疾人福利性</w:t>
      </w:r>
      <w:r>
        <w:rPr>
          <w:rFonts w:hint="eastAsia" w:ascii="宋体" w:eastAsia="宋体" w:cs="宋体"/>
          <w:b/>
          <w:spacing w:val="6"/>
          <w:sz w:val="30"/>
          <w:szCs w:val="30"/>
        </w:rPr>
        <w:t>企业，不用提供此函】</w:t>
      </w:r>
    </w:p>
    <w:p>
      <w:pPr>
        <w:rPr>
          <w:rFonts w:hint="eastAsia" w:ascii="宋体" w:cs="宋体"/>
        </w:rPr>
      </w:pPr>
    </w:p>
    <w:p>
      <w:pPr>
        <w:snapToGrid w:val="0"/>
        <w:spacing w:line="360" w:lineRule="auto"/>
        <w:ind w:firstLine="840" w:firstLineChars="300"/>
        <w:rPr>
          <w:rFonts w:hint="eastAsia"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cs="宋体"/>
          <w:sz w:val="28"/>
          <w:szCs w:val="28"/>
        </w:rPr>
      </w:pPr>
      <w:r>
        <w:rPr>
          <w:rFonts w:hint="eastAsia" w:ascii="宋体" w:cs="宋体"/>
          <w:sz w:val="28"/>
          <w:szCs w:val="28"/>
        </w:rPr>
        <w:t>本单位对上述声明的真实性负责。如有虚假，将依法承担相应责任。</w:t>
      </w:r>
    </w:p>
    <w:p>
      <w:pPr>
        <w:snapToGrid w:val="0"/>
        <w:spacing w:line="360" w:lineRule="auto"/>
        <w:ind w:firstLine="560" w:firstLineChars="200"/>
        <w:rPr>
          <w:rFonts w:hint="eastAsia" w:ascii="宋体" w:cs="宋体"/>
          <w:sz w:val="28"/>
          <w:szCs w:val="28"/>
        </w:rPr>
      </w:pPr>
    </w:p>
    <w:p>
      <w:pPr>
        <w:spacing w:line="588" w:lineRule="exact"/>
        <w:ind w:firstLine="624" w:firstLineChars="200"/>
        <w:rPr>
          <w:rFonts w:hint="eastAsia" w:ascii="宋体" w:cs="宋体"/>
          <w:spacing w:val="6"/>
          <w:sz w:val="30"/>
          <w:szCs w:val="30"/>
        </w:rPr>
      </w:pPr>
    </w:p>
    <w:p>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投标人名称（盖章）：</w:t>
      </w:r>
    </w:p>
    <w:p>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日  期：</w:t>
      </w:r>
    </w:p>
    <w:p>
      <w:pPr>
        <w:rPr>
          <w:rFonts w:hint="eastAsia" w:ascii="宋体" w:cs="宋体"/>
        </w:rPr>
      </w:pPr>
    </w:p>
    <w:p>
      <w:pPr>
        <w:rPr>
          <w:rFonts w:hint="eastAsia" w:ascii="宋体" w:cs="宋体"/>
        </w:rPr>
      </w:pPr>
    </w:p>
    <w:p>
      <w:pPr>
        <w:jc w:val="left"/>
        <w:rPr>
          <w:rFonts w:hint="eastAsia" w:ascii="宋体" w:cs="宋体"/>
        </w:rPr>
      </w:pPr>
      <w:r>
        <w:rPr>
          <w:rFonts w:hint="eastAsia" w:ascii="宋体" w:cs="宋体"/>
          <w:b/>
          <w:bCs/>
          <w:color w:val="000000"/>
          <w:sz w:val="30"/>
          <w:szCs w:val="30"/>
        </w:rPr>
        <w:br w:type="page"/>
      </w:r>
      <w:r>
        <w:rPr>
          <w:rFonts w:hint="eastAsia" w:ascii="宋体" w:cs="宋体"/>
          <w:sz w:val="30"/>
          <w:szCs w:val="30"/>
        </w:rPr>
        <w:t>附件18：</w:t>
      </w:r>
    </w:p>
    <w:p>
      <w:pPr>
        <w:pStyle w:val="21"/>
        <w:adjustRightInd w:val="0"/>
        <w:snapToGrid w:val="0"/>
        <w:spacing w:line="360" w:lineRule="auto"/>
        <w:rPr>
          <w:rFonts w:hint="eastAsia" w:hAnsi="宋体" w:cs="宋体"/>
          <w:b/>
          <w:bCs/>
          <w:color w:val="000000"/>
          <w:sz w:val="30"/>
          <w:szCs w:val="30"/>
        </w:rPr>
      </w:pPr>
    </w:p>
    <w:p>
      <w:pPr>
        <w:pStyle w:val="21"/>
        <w:adjustRightInd w:val="0"/>
        <w:snapToGrid w:val="0"/>
        <w:spacing w:line="360" w:lineRule="auto"/>
        <w:jc w:val="center"/>
        <w:rPr>
          <w:rFonts w:hint="eastAsia" w:hAnsi="宋体" w:cs="宋体"/>
          <w:b/>
          <w:bCs/>
          <w:color w:val="000000"/>
          <w:sz w:val="30"/>
          <w:szCs w:val="30"/>
        </w:rPr>
      </w:pPr>
    </w:p>
    <w:p>
      <w:pPr>
        <w:pStyle w:val="21"/>
        <w:adjustRightInd w:val="0"/>
        <w:snapToGrid w:val="0"/>
        <w:spacing w:line="360" w:lineRule="auto"/>
        <w:jc w:val="center"/>
        <w:rPr>
          <w:rFonts w:hint="eastAsia" w:hAnsi="宋体" w:cs="宋体"/>
          <w:sz w:val="44"/>
          <w:szCs w:val="44"/>
        </w:rPr>
      </w:pPr>
      <w:r>
        <w:rPr>
          <w:rFonts w:hint="eastAsia" w:hAnsi="宋体" w:cs="宋体"/>
          <w:b/>
          <w:bCs/>
          <w:sz w:val="32"/>
          <w:szCs w:val="32"/>
        </w:rPr>
        <w:t>监狱企业声明函</w:t>
      </w:r>
    </w:p>
    <w:p>
      <w:pPr>
        <w:adjustRightInd w:val="0"/>
        <w:snapToGrid w:val="0"/>
        <w:spacing w:line="360" w:lineRule="auto"/>
        <w:jc w:val="center"/>
        <w:rPr>
          <w:rFonts w:hint="eastAsia" w:ascii="宋体" w:cs="宋体"/>
          <w:sz w:val="28"/>
          <w:szCs w:val="28"/>
        </w:rPr>
      </w:pPr>
      <w:r>
        <w:rPr>
          <w:rFonts w:hint="eastAsia" w:ascii="宋体" w:cs="宋体"/>
          <w:sz w:val="28"/>
          <w:szCs w:val="28"/>
        </w:rPr>
        <w:t>【不属于监狱企业，不用提供此函】</w:t>
      </w:r>
    </w:p>
    <w:p>
      <w:pPr>
        <w:adjustRightInd w:val="0"/>
        <w:snapToGrid w:val="0"/>
        <w:spacing w:line="360" w:lineRule="auto"/>
        <w:ind w:firstLine="560" w:firstLineChars="200"/>
        <w:rPr>
          <w:rFonts w:hint="eastAsia" w:ascii="宋体" w:cs="宋体"/>
          <w:sz w:val="28"/>
          <w:szCs w:val="28"/>
        </w:rPr>
      </w:pPr>
    </w:p>
    <w:p>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根据上述标准，我企业属于监狱企业的理由为：         。</w:t>
      </w:r>
    </w:p>
    <w:p>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本企业参加______单位的______项目采购活动提供本企业的产品。</w:t>
      </w:r>
    </w:p>
    <w:p>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本企业对上述声明的真实性负责。如有虚假，将依法承担相应责任。</w:t>
      </w:r>
    </w:p>
    <w:p>
      <w:pPr>
        <w:adjustRightInd w:val="0"/>
        <w:snapToGrid w:val="0"/>
        <w:spacing w:line="360" w:lineRule="auto"/>
        <w:ind w:firstLine="560" w:firstLineChars="200"/>
        <w:jc w:val="center"/>
        <w:rPr>
          <w:rFonts w:hint="eastAsia" w:ascii="宋体" w:cs="宋体"/>
          <w:sz w:val="28"/>
          <w:szCs w:val="28"/>
        </w:rPr>
      </w:pPr>
    </w:p>
    <w:p>
      <w:pPr>
        <w:pStyle w:val="21"/>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投标人全称：                      （盖单位公章）</w:t>
      </w:r>
    </w:p>
    <w:p>
      <w:pPr>
        <w:pStyle w:val="21"/>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日期：202 年  月  日</w:t>
      </w:r>
    </w:p>
    <w:p>
      <w:pPr>
        <w:snapToGrid w:val="0"/>
        <w:spacing w:line="360" w:lineRule="auto"/>
        <w:ind w:firstLine="560" w:firstLineChars="200"/>
        <w:rPr>
          <w:rFonts w:hint="eastAsia"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pPr>
        <w:snapToGrid w:val="0"/>
        <w:spacing w:line="360" w:lineRule="auto"/>
        <w:ind w:firstLine="560" w:firstLineChars="200"/>
        <w:rPr>
          <w:rFonts w:hint="eastAsia"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hint="eastAsia" w:ascii="宋体" w:cs="宋体"/>
          <w:sz w:val="28"/>
          <w:szCs w:val="28"/>
        </w:rPr>
      </w:pPr>
    </w:p>
    <w:p>
      <w:pPr>
        <w:widowControl w:val="0"/>
        <w:spacing w:before="240"/>
        <w:jc w:val="center"/>
        <w:rPr>
          <w:rFonts w:hint="eastAsia" w:ascii="宋体" w:cs="宋体"/>
          <w:sz w:val="28"/>
          <w:szCs w:val="28"/>
        </w:rPr>
      </w:pPr>
    </w:p>
    <w:p>
      <w:pPr>
        <w:widowControl w:val="0"/>
        <w:snapToGrid w:val="0"/>
        <w:spacing w:line="900" w:lineRule="exact"/>
        <w:jc w:val="center"/>
        <w:rPr>
          <w:rFonts w:hint="eastAsia" w:ascii="宋体" w:cs="宋体"/>
          <w:sz w:val="28"/>
          <w:szCs w:val="28"/>
        </w:rPr>
      </w:pPr>
    </w:p>
    <w:p>
      <w:pPr>
        <w:widowControl w:val="0"/>
        <w:snapToGrid w:val="0"/>
        <w:spacing w:line="900" w:lineRule="exact"/>
        <w:jc w:val="center"/>
        <w:rPr>
          <w:rFonts w:hint="eastAsia" w:ascii="宋体" w:cs="宋体"/>
          <w:color w:val="000000"/>
          <w:sz w:val="24"/>
          <w:szCs w:val="24"/>
        </w:rPr>
      </w:pPr>
    </w:p>
    <w:p>
      <w:pPr>
        <w:widowControl w:val="0"/>
        <w:snapToGrid w:val="0"/>
        <w:spacing w:line="900" w:lineRule="exact"/>
        <w:rPr>
          <w:rFonts w:hint="eastAsia" w:ascii="宋体" w:cs="宋体"/>
          <w:color w:val="000000"/>
          <w:sz w:val="24"/>
          <w:szCs w:val="24"/>
        </w:rPr>
      </w:pPr>
    </w:p>
    <w:p>
      <w:pPr>
        <w:widowControl w:val="0"/>
        <w:snapToGrid w:val="0"/>
        <w:spacing w:line="900" w:lineRule="exact"/>
        <w:jc w:val="center"/>
        <w:rPr>
          <w:rFonts w:hint="eastAsia" w:ascii="宋体" w:cs="宋体"/>
          <w:color w:val="000000"/>
          <w:sz w:val="24"/>
          <w:szCs w:val="24"/>
        </w:rPr>
      </w:pPr>
    </w:p>
    <w:p>
      <w:pPr>
        <w:widowControl w:val="0"/>
        <w:snapToGrid w:val="0"/>
        <w:spacing w:line="900" w:lineRule="exact"/>
        <w:jc w:val="center"/>
        <w:rPr>
          <w:rFonts w:hint="eastAsia" w:ascii="宋体" w:cs="宋体"/>
          <w:b/>
          <w:bCs/>
          <w:sz w:val="48"/>
          <w:szCs w:val="48"/>
        </w:rPr>
      </w:pPr>
      <w:r>
        <w:rPr>
          <w:rFonts w:hint="eastAsia" w:ascii="宋体" w:cs="宋体"/>
          <w:b/>
          <w:bCs/>
          <w:sz w:val="48"/>
          <w:szCs w:val="48"/>
        </w:rPr>
        <w:t>第六章</w:t>
      </w:r>
    </w:p>
    <w:p>
      <w:pPr>
        <w:widowControl w:val="0"/>
        <w:snapToGrid w:val="0"/>
        <w:spacing w:line="900" w:lineRule="exact"/>
        <w:jc w:val="center"/>
        <w:rPr>
          <w:rFonts w:hint="eastAsia" w:ascii="宋体" w:cs="宋体"/>
          <w:b/>
          <w:bCs/>
          <w:color w:val="000000"/>
          <w:sz w:val="48"/>
          <w:szCs w:val="48"/>
        </w:rPr>
      </w:pPr>
      <w:r>
        <w:rPr>
          <w:rFonts w:hint="eastAsia" w:ascii="宋体" w:cs="宋体"/>
          <w:b/>
          <w:bCs/>
          <w:color w:val="000000"/>
          <w:sz w:val="48"/>
          <w:szCs w:val="48"/>
        </w:rPr>
        <w:t>合同主要条款</w:t>
      </w:r>
    </w:p>
    <w:p>
      <w:pPr>
        <w:widowControl w:val="0"/>
        <w:adjustRightInd w:val="0"/>
        <w:rPr>
          <w:rFonts w:hint="eastAsia" w:ascii="宋体" w:cs="宋体"/>
          <w:sz w:val="24"/>
          <w:szCs w:val="24"/>
        </w:rPr>
      </w:pPr>
    </w:p>
    <w:p>
      <w:pPr>
        <w:widowControl w:val="0"/>
        <w:snapToGrid w:val="0"/>
        <w:spacing w:before="161" w:beforeLines="50" w:after="161" w:afterLines="50"/>
        <w:jc w:val="center"/>
        <w:rPr>
          <w:rFonts w:hint="eastAsia" w:ascii="宋体" w:cs="宋体"/>
          <w:b/>
          <w:bCs/>
          <w:sz w:val="36"/>
          <w:szCs w:val="36"/>
        </w:rPr>
      </w:pPr>
    </w:p>
    <w:p>
      <w:pPr>
        <w:keepNext w:val="0"/>
        <w:keepLines w:val="0"/>
        <w:pageBreakBefore w:val="0"/>
        <w:kinsoku/>
        <w:wordWrap/>
        <w:overflowPunct/>
        <w:topLinePunct w:val="0"/>
        <w:autoSpaceDE/>
        <w:autoSpaceDN/>
        <w:bidi w:val="0"/>
        <w:snapToGrid w:val="0"/>
        <w:spacing w:before="161" w:beforeLines="50" w:after="161" w:afterLines="50" w:line="300" w:lineRule="exact"/>
        <w:jc w:val="center"/>
        <w:textAlignment w:val="auto"/>
        <w:outlineLvl w:val="0"/>
        <w:rPr>
          <w:rFonts w:hint="eastAsia" w:ascii="宋体" w:cs="宋体"/>
          <w:bCs/>
        </w:rPr>
      </w:pPr>
      <w:r>
        <w:rPr>
          <w:rFonts w:hint="eastAsia" w:ascii="宋体" w:cs="宋体"/>
          <w:b/>
          <w:bCs/>
          <w:sz w:val="30"/>
          <w:szCs w:val="30"/>
        </w:rPr>
        <w:br w:type="page"/>
      </w:r>
      <w:r>
        <w:rPr>
          <w:rFonts w:hint="eastAsia" w:ascii="宋体" w:cs="宋体"/>
          <w:bCs/>
        </w:rPr>
        <w:t>（货物类可普遍适用，服务类普遍适用困难）</w:t>
      </w:r>
    </w:p>
    <w:p>
      <w:pPr>
        <w:snapToGrid w:val="0"/>
        <w:spacing w:beforeLines="50" w:afterLines="50"/>
        <w:jc w:val="both"/>
        <w:outlineLvl w:val="0"/>
        <w:rPr>
          <w:rFonts w:ascii="宋体" w:hAnsi="宋体"/>
          <w:bCs/>
          <w:szCs w:val="21"/>
        </w:rPr>
      </w:pPr>
    </w:p>
    <w:p>
      <w:pPr>
        <w:snapToGrid w:val="0"/>
        <w:spacing w:beforeLines="50" w:afterLines="50"/>
        <w:jc w:val="center"/>
        <w:outlineLvl w:val="0"/>
        <w:rPr>
          <w:rFonts w:ascii="宋体" w:hAnsi="宋体"/>
          <w:b/>
          <w:sz w:val="30"/>
        </w:rPr>
      </w:pPr>
      <w:r>
        <w:rPr>
          <w:rFonts w:hint="eastAsia" w:ascii="宋体" w:hAnsi="宋体"/>
          <w:b/>
          <w:sz w:val="30"/>
        </w:rPr>
        <w:t>永康市政府采购合同指引（参考）</w:t>
      </w:r>
    </w:p>
    <w:p>
      <w:pPr>
        <w:snapToGrid w:val="0"/>
        <w:spacing w:beforeLines="50" w:afterLines="50"/>
        <w:jc w:val="center"/>
        <w:outlineLvl w:val="0"/>
        <w:rPr>
          <w:rFonts w:ascii="宋体" w:hAnsi="宋体"/>
          <w:b/>
          <w:sz w:val="30"/>
        </w:rPr>
      </w:pPr>
    </w:p>
    <w:p>
      <w:pPr>
        <w:pStyle w:val="21"/>
        <w:snapToGrid w:val="0"/>
        <w:spacing w:before="120" w:after="120"/>
        <w:rPr>
          <w:rFonts w:hAnsi="宋体"/>
        </w:rPr>
      </w:pPr>
      <w:r>
        <w:rPr>
          <w:rFonts w:hAnsi="宋体"/>
        </w:rPr>
        <w:t>项目名称：                                       项目编号：</w:t>
      </w:r>
    </w:p>
    <w:p>
      <w:pPr>
        <w:pStyle w:val="21"/>
        <w:snapToGrid w:val="0"/>
        <w:spacing w:before="120" w:after="120"/>
        <w:rPr>
          <w:rFonts w:hAnsi="宋体"/>
        </w:rPr>
      </w:pPr>
      <w:r>
        <w:rPr>
          <w:rFonts w:hint="eastAsia" w:hAnsi="宋体"/>
        </w:rPr>
        <w:t>采购计划文号：                                   标段：</w:t>
      </w:r>
    </w:p>
    <w:p>
      <w:pPr>
        <w:pStyle w:val="21"/>
        <w:snapToGrid w:val="0"/>
        <w:spacing w:before="120" w:after="120"/>
        <w:rPr>
          <w:rFonts w:hAnsi="宋体"/>
        </w:rPr>
      </w:pPr>
      <w:r>
        <w:rPr>
          <w:rFonts w:hAnsi="宋体"/>
        </w:rPr>
        <w:t>甲方（买方）：</w:t>
      </w:r>
    </w:p>
    <w:p>
      <w:pPr>
        <w:pStyle w:val="21"/>
        <w:snapToGrid w:val="0"/>
        <w:spacing w:before="120" w:after="120"/>
        <w:rPr>
          <w:rFonts w:hAnsi="宋体"/>
        </w:rPr>
      </w:pPr>
      <w:r>
        <w:rPr>
          <w:rFonts w:hAnsi="宋体"/>
        </w:rPr>
        <w:t>乙方（卖方）：</w:t>
      </w:r>
    </w:p>
    <w:p>
      <w:pPr>
        <w:pStyle w:val="21"/>
        <w:snapToGrid w:val="0"/>
        <w:spacing w:before="120" w:after="120"/>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pPr>
        <w:pStyle w:val="21"/>
        <w:snapToGrid w:val="0"/>
        <w:spacing w:before="120" w:after="120"/>
        <w:rPr>
          <w:rFonts w:hAnsi="宋体"/>
          <w:b/>
        </w:rPr>
      </w:pPr>
      <w:r>
        <w:rPr>
          <w:rFonts w:hAnsi="宋体"/>
          <w:b/>
        </w:rPr>
        <w:t>一、货物内容</w:t>
      </w:r>
    </w:p>
    <w:tbl>
      <w:tblPr>
        <w:tblStyle w:val="32"/>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981"/>
        <w:gridCol w:w="2157"/>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line="330" w:lineRule="exact"/>
              <w:ind w:left="-108"/>
              <w:jc w:val="center"/>
              <w:rPr>
                <w:rFonts w:ascii="Times New Roman" w:hAnsi="Times New Roman"/>
                <w:sz w:val="24"/>
                <w:szCs w:val="24"/>
              </w:rPr>
            </w:pPr>
            <w:r>
              <w:rPr>
                <w:rFonts w:hAnsi="宋体"/>
              </w:rPr>
              <w:t>货物名称</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品牌</w:t>
            </w:r>
            <w:r>
              <w:rPr>
                <w:rFonts w:ascii="Times New Roman" w:hAnsi="Times New Roman"/>
                <w:sz w:val="24"/>
                <w:szCs w:val="24"/>
              </w:rPr>
              <w:t>/</w:t>
            </w:r>
            <w:r>
              <w:rPr>
                <w:rFonts w:hint="eastAsia" w:ascii="Times New Roman" w:hAnsi="Times New Roman"/>
                <w:sz w:val="24"/>
                <w:szCs w:val="24"/>
              </w:rPr>
              <w:t>型号</w:t>
            </w:r>
          </w:p>
        </w:tc>
        <w:tc>
          <w:tcPr>
            <w:tcW w:w="2157"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技术参数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数量</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单价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line="330" w:lineRule="exact"/>
              <w:ind w:left="-108"/>
              <w:jc w:val="center"/>
              <w:rPr>
                <w:rFonts w:ascii="Times New Roman" w:hAnsi="Times New Roman"/>
                <w:sz w:val="24"/>
                <w:szCs w:val="24"/>
              </w:rPr>
            </w:pPr>
            <w:r>
              <w:rPr>
                <w:rFonts w:hint="eastAsia" w:ascii="Times New Roman" w:hAnsi="Times New Roman"/>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26"/>
              <w:spacing w:line="330" w:lineRule="exact"/>
              <w:jc w:val="center"/>
              <w:rPr>
                <w:szCs w:val="24"/>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26"/>
              <w:spacing w:line="330" w:lineRule="exact"/>
              <w:jc w:val="center"/>
              <w:rPr>
                <w:szCs w:val="24"/>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126"/>
              <w:spacing w:line="33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26"/>
              <w:spacing w:line="330" w:lineRule="exact"/>
              <w:jc w:val="center"/>
              <w:rPr>
                <w:szCs w:val="24"/>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126"/>
              <w:spacing w:line="33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3"/>
            <w:tcBorders>
              <w:top w:val="single" w:color="auto" w:sz="4" w:space="0"/>
              <w:left w:val="single" w:color="auto" w:sz="4" w:space="0"/>
              <w:bottom w:val="single" w:color="auto" w:sz="4" w:space="0"/>
              <w:right w:val="single" w:color="auto" w:sz="4" w:space="0"/>
            </w:tcBorders>
            <w:noWrap w:val="0"/>
            <w:vAlign w:val="top"/>
          </w:tcPr>
          <w:p>
            <w:pPr>
              <w:pStyle w:val="21"/>
              <w:snapToGrid w:val="0"/>
              <w:spacing w:line="330" w:lineRule="exact"/>
              <w:jc w:val="center"/>
              <w:rPr>
                <w:rFonts w:ascii="Times New Roman" w:hAnsi="Times New Roman"/>
                <w:sz w:val="24"/>
                <w:szCs w:val="24"/>
              </w:rPr>
            </w:pPr>
            <w:r>
              <w:rPr>
                <w:rFonts w:hint="eastAsia" w:ascii="Times New Roman" w:hAnsi="Times New Roman"/>
                <w:sz w:val="24"/>
                <w:szCs w:val="24"/>
              </w:rPr>
              <w:t>合计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line="330" w:lineRule="exact"/>
              <w:jc w:val="center"/>
              <w:rPr>
                <w:rFonts w:ascii="Times New Roman" w:hAnsi="Times New Roman"/>
                <w:sz w:val="24"/>
                <w:szCs w:val="24"/>
              </w:rPr>
            </w:pPr>
          </w:p>
        </w:tc>
        <w:tc>
          <w:tcPr>
            <w:tcW w:w="2162" w:type="dxa"/>
            <w:gridSpan w:val="2"/>
            <w:tcBorders>
              <w:top w:val="single" w:color="auto" w:sz="4" w:space="0"/>
              <w:left w:val="single" w:color="auto" w:sz="4" w:space="0"/>
              <w:bottom w:val="single" w:color="auto" w:sz="4" w:space="0"/>
              <w:right w:val="single" w:color="auto" w:sz="4" w:space="0"/>
            </w:tcBorders>
            <w:noWrap w:val="0"/>
            <w:vAlign w:val="top"/>
          </w:tcPr>
          <w:p>
            <w:pPr>
              <w:pStyle w:val="126"/>
              <w:spacing w:line="330" w:lineRule="exact"/>
              <w:rPr>
                <w:rFonts w:ascii="Times New Roman"/>
                <w:szCs w:val="24"/>
              </w:rPr>
            </w:pPr>
          </w:p>
        </w:tc>
      </w:tr>
    </w:tbl>
    <w:p>
      <w:pPr>
        <w:pStyle w:val="21"/>
        <w:snapToGrid w:val="0"/>
        <w:spacing w:before="120" w:after="120"/>
        <w:rPr>
          <w:rFonts w:hAnsi="宋体"/>
          <w:b/>
        </w:rPr>
      </w:pPr>
      <w:r>
        <w:rPr>
          <w:rFonts w:hint="eastAsia"/>
        </w:rPr>
        <w:t>注：本表格不能详列的请另附清单</w:t>
      </w:r>
    </w:p>
    <w:p>
      <w:pPr>
        <w:pStyle w:val="21"/>
        <w:snapToGrid w:val="0"/>
        <w:spacing w:before="120" w:after="120"/>
        <w:rPr>
          <w:rFonts w:hAnsi="宋体"/>
          <w:b/>
        </w:rPr>
      </w:pPr>
      <w:r>
        <w:rPr>
          <w:rFonts w:hAnsi="宋体"/>
          <w:b/>
        </w:rPr>
        <w:t>二、合同金额</w:t>
      </w:r>
    </w:p>
    <w:p>
      <w:pPr>
        <w:pStyle w:val="21"/>
        <w:snapToGrid w:val="0"/>
        <w:spacing w:before="120" w:after="120"/>
        <w:ind w:left="359" w:hanging="359" w:hangingChars="171"/>
        <w:rPr>
          <w:rFonts w:hAnsi="宋体"/>
        </w:rPr>
      </w:pPr>
      <w:r>
        <w:rPr>
          <w:rFonts w:hAnsi="宋体"/>
        </w:rPr>
        <w:t xml:space="preserve"> 本合同金额为（大写）：___________________元（￥___________元）人民币。</w:t>
      </w:r>
    </w:p>
    <w:p>
      <w:pPr>
        <w:pStyle w:val="21"/>
        <w:snapToGrid w:val="0"/>
        <w:spacing w:before="120" w:after="120"/>
        <w:rPr>
          <w:rFonts w:hAnsi="宋体"/>
          <w:b/>
        </w:rPr>
      </w:pPr>
      <w:r>
        <w:rPr>
          <w:rFonts w:hAnsi="宋体"/>
          <w:b/>
        </w:rPr>
        <w:t>三、技术资料</w:t>
      </w:r>
    </w:p>
    <w:p>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乙方应按招标文件规定的时间向甲方提供使用货物的有关技术资料。</w:t>
      </w:r>
    </w:p>
    <w:p>
      <w:pPr>
        <w:pStyle w:val="21"/>
        <w:snapToGrid w:val="0"/>
        <w:spacing w:before="120" w:after="120" w:line="360" w:lineRule="auto"/>
        <w:ind w:left="359" w:hanging="359" w:hangingChars="171"/>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snapToGrid w:val="0"/>
        <w:spacing w:before="120" w:after="120"/>
        <w:ind w:left="360" w:hanging="361" w:hangingChars="171"/>
        <w:rPr>
          <w:rFonts w:hAnsi="宋体"/>
          <w:b/>
        </w:rPr>
      </w:pPr>
      <w:r>
        <w:rPr>
          <w:rFonts w:hAnsi="宋体"/>
          <w:b/>
        </w:rPr>
        <w:t>四、知识产权</w:t>
      </w:r>
    </w:p>
    <w:p>
      <w:pPr>
        <w:pStyle w:val="21"/>
        <w:snapToGrid w:val="0"/>
        <w:spacing w:before="120" w:after="120"/>
        <w:rPr>
          <w:rFonts w:hAnsi="宋体"/>
          <w:bCs/>
        </w:rPr>
      </w:pPr>
      <w:r>
        <w:rPr>
          <w:rFonts w:hAnsi="宋体"/>
        </w:rPr>
        <w:t>乙方应保证所提供的货物或其任何一部分均不会侵犯任何第三方的知识产权</w:t>
      </w:r>
      <w:r>
        <w:rPr>
          <w:rFonts w:hAnsi="宋体"/>
          <w:bCs/>
        </w:rPr>
        <w:t>。</w:t>
      </w:r>
    </w:p>
    <w:p>
      <w:pPr>
        <w:pStyle w:val="21"/>
        <w:snapToGrid w:val="0"/>
        <w:spacing w:before="120" w:after="120"/>
        <w:rPr>
          <w:rFonts w:hAnsi="宋体"/>
          <w:u w:val="single"/>
        </w:rPr>
      </w:pPr>
      <w:r>
        <w:rPr>
          <w:rFonts w:hAnsi="宋体"/>
          <w:b/>
        </w:rPr>
        <w:t>五、产权担保</w:t>
      </w:r>
    </w:p>
    <w:p>
      <w:pPr>
        <w:pStyle w:val="21"/>
        <w:snapToGrid w:val="0"/>
        <w:spacing w:before="120" w:after="120"/>
        <w:ind w:left="357" w:hanging="357" w:hangingChars="170"/>
        <w:rPr>
          <w:rFonts w:hAnsi="宋体"/>
          <w:u w:val="single"/>
        </w:rPr>
      </w:pPr>
      <w:r>
        <w:rPr>
          <w:rFonts w:hAnsi="宋体"/>
        </w:rPr>
        <w:t>乙方保证所交付的货物的所有权完全属于乙方</w:t>
      </w:r>
      <w:r>
        <w:rPr>
          <w:rFonts w:hint="eastAsia" w:hAnsi="宋体"/>
        </w:rPr>
        <w:t>所有，</w:t>
      </w:r>
      <w:r>
        <w:rPr>
          <w:rFonts w:hAnsi="宋体"/>
        </w:rPr>
        <w:t>且无任何抵押、查封等产权瑕疵。</w:t>
      </w:r>
    </w:p>
    <w:p>
      <w:pPr>
        <w:pStyle w:val="21"/>
        <w:snapToGrid w:val="0"/>
        <w:spacing w:before="120" w:after="120"/>
        <w:ind w:left="358" w:hanging="358" w:hangingChars="170"/>
        <w:rPr>
          <w:rFonts w:hAnsi="宋体"/>
          <w:b/>
        </w:rPr>
      </w:pPr>
      <w:r>
        <w:rPr>
          <w:rFonts w:hAnsi="宋体"/>
          <w:b/>
        </w:rPr>
        <w:t>六、履约保证金</w:t>
      </w:r>
    </w:p>
    <w:p>
      <w:pPr>
        <w:pStyle w:val="21"/>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pPr>
        <w:pStyle w:val="21"/>
        <w:snapToGrid w:val="0"/>
        <w:spacing w:before="120" w:after="120"/>
        <w:ind w:left="358" w:hanging="358" w:hangingChars="170"/>
        <w:rPr>
          <w:rFonts w:hAnsi="宋体"/>
          <w:b/>
        </w:rPr>
      </w:pPr>
      <w:r>
        <w:rPr>
          <w:rFonts w:hint="eastAsia" w:hAnsi="宋体"/>
          <w:b/>
        </w:rPr>
        <w:t>七、转包或分包</w:t>
      </w:r>
    </w:p>
    <w:p>
      <w:pPr>
        <w:snapToGrid w:val="0"/>
        <w:spacing w:beforeLines="50" w:afterLines="50"/>
        <w:rPr>
          <w:rFonts w:ascii="宋体" w:hAnsi="宋体"/>
          <w:szCs w:val="21"/>
        </w:rPr>
      </w:pPr>
      <w:r>
        <w:rPr>
          <w:rFonts w:ascii="宋体" w:hAnsi="宋体"/>
          <w:szCs w:val="21"/>
        </w:rPr>
        <w:t>1</w:t>
      </w:r>
      <w:r>
        <w:rPr>
          <w:rFonts w:hint="eastAsia" w:ascii="宋体" w:hAnsi="宋体"/>
          <w:szCs w:val="21"/>
        </w:rPr>
        <w:t>.乙方不得将本合同转包其他供应商履行。</w:t>
      </w:r>
    </w:p>
    <w:p>
      <w:pPr>
        <w:snapToGrid w:val="0"/>
        <w:spacing w:beforeLines="50" w:afterLines="50" w:line="360" w:lineRule="auto"/>
        <w:rPr>
          <w:rFonts w:ascii="宋体" w:hAnsi="宋体"/>
          <w:szCs w:val="21"/>
        </w:rPr>
      </w:pPr>
      <w:r>
        <w:rPr>
          <w:rFonts w:hint="eastAsia" w:ascii="宋体" w:hAnsi="宋体"/>
          <w:szCs w:val="21"/>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21"/>
        <w:snapToGrid w:val="0"/>
        <w:spacing w:before="120" w:after="120"/>
        <w:rPr>
          <w:rFonts w:hAnsi="宋体"/>
        </w:rPr>
      </w:pPr>
      <w:r>
        <w:rPr>
          <w:rFonts w:hAnsi="宋体"/>
          <w:b/>
        </w:rPr>
        <w:t>八、质保期</w:t>
      </w:r>
    </w:p>
    <w:p>
      <w:pPr>
        <w:pStyle w:val="21"/>
        <w:snapToGrid w:val="0"/>
        <w:spacing w:before="120" w:after="120"/>
        <w:ind w:left="359" w:hanging="359" w:hangingChars="171"/>
        <w:rPr>
          <w:rFonts w:hAnsi="宋体"/>
        </w:rPr>
      </w:pPr>
      <w:r>
        <w:rPr>
          <w:rFonts w:hAnsi="宋体"/>
        </w:rPr>
        <w:t>质保期年。（自交货验收合格之日起计）</w:t>
      </w:r>
    </w:p>
    <w:p>
      <w:pPr>
        <w:pStyle w:val="21"/>
        <w:snapToGrid w:val="0"/>
        <w:spacing w:before="120" w:after="120"/>
        <w:rPr>
          <w:rFonts w:hAnsi="宋体"/>
          <w:b/>
        </w:rPr>
      </w:pPr>
      <w:r>
        <w:rPr>
          <w:rFonts w:hAnsi="宋体"/>
          <w:b/>
        </w:rPr>
        <w:t>九、交货期、交货方式及交货地点</w:t>
      </w:r>
    </w:p>
    <w:p>
      <w:pPr>
        <w:pStyle w:val="21"/>
        <w:snapToGrid w:val="0"/>
        <w:spacing w:before="120" w:after="120"/>
        <w:rPr>
          <w:rFonts w:hAnsi="宋体"/>
          <w:bCs/>
          <w:color w:val="000000"/>
        </w:rPr>
      </w:pPr>
      <w:r>
        <w:rPr>
          <w:rFonts w:hAnsi="宋体"/>
          <w:bCs/>
        </w:rPr>
        <w:t>1</w:t>
      </w:r>
      <w:r>
        <w:rPr>
          <w:rFonts w:hint="eastAsia" w:hAnsi="宋体"/>
          <w:bCs/>
        </w:rPr>
        <w:t>.</w:t>
      </w:r>
      <w:r>
        <w:rPr>
          <w:rFonts w:hAnsi="宋体"/>
          <w:bCs/>
        </w:rPr>
        <w:t xml:space="preserve"> 交货期：</w:t>
      </w:r>
    </w:p>
    <w:p>
      <w:pPr>
        <w:pStyle w:val="21"/>
        <w:snapToGrid w:val="0"/>
        <w:spacing w:before="120" w:after="120"/>
        <w:rPr>
          <w:rFonts w:hAnsi="宋体"/>
          <w:bCs/>
          <w:color w:val="000000"/>
        </w:rPr>
      </w:pPr>
      <w:r>
        <w:rPr>
          <w:rFonts w:hAnsi="宋体"/>
          <w:bCs/>
          <w:color w:val="000000"/>
        </w:rPr>
        <w:t>2</w:t>
      </w:r>
      <w:r>
        <w:rPr>
          <w:rFonts w:hint="eastAsia" w:hAnsi="宋体"/>
          <w:bCs/>
          <w:color w:val="000000"/>
        </w:rPr>
        <w:t>.</w:t>
      </w:r>
      <w:r>
        <w:rPr>
          <w:rFonts w:hAnsi="宋体"/>
          <w:bCs/>
          <w:color w:val="000000"/>
        </w:rPr>
        <w:t xml:space="preserve"> 交货方式：</w:t>
      </w:r>
    </w:p>
    <w:p>
      <w:pPr>
        <w:pStyle w:val="21"/>
        <w:snapToGrid w:val="0"/>
        <w:spacing w:before="120" w:after="120"/>
        <w:rPr>
          <w:rFonts w:hAnsi="宋体"/>
          <w:b/>
          <w:color w:val="000000"/>
        </w:rPr>
      </w:pPr>
      <w:r>
        <w:rPr>
          <w:rFonts w:hAnsi="宋体"/>
          <w:bCs/>
          <w:color w:val="000000"/>
        </w:rPr>
        <w:t>3</w:t>
      </w:r>
      <w:r>
        <w:rPr>
          <w:rFonts w:hint="eastAsia" w:hAnsi="宋体"/>
          <w:bCs/>
          <w:color w:val="000000"/>
        </w:rPr>
        <w:t>.</w:t>
      </w:r>
      <w:r>
        <w:rPr>
          <w:rFonts w:hAnsi="宋体"/>
          <w:bCs/>
          <w:color w:val="000000"/>
        </w:rPr>
        <w:t xml:space="preserve"> 交货地点：</w:t>
      </w:r>
    </w:p>
    <w:p>
      <w:pPr>
        <w:pStyle w:val="21"/>
        <w:snapToGrid w:val="0"/>
        <w:spacing w:before="120" w:after="120"/>
        <w:rPr>
          <w:rFonts w:hAnsi="宋体"/>
          <w:b/>
          <w:color w:val="000000"/>
        </w:rPr>
      </w:pPr>
      <w:r>
        <w:rPr>
          <w:rFonts w:hAnsi="宋体"/>
          <w:b/>
          <w:color w:val="000000"/>
        </w:rPr>
        <w:t>十、货款支付</w:t>
      </w:r>
    </w:p>
    <w:p>
      <w:pPr>
        <w:pStyle w:val="21"/>
        <w:snapToGrid w:val="0"/>
        <w:spacing w:before="120" w:after="120"/>
        <w:rPr>
          <w:rFonts w:hAnsi="宋体"/>
          <w:bCs/>
        </w:rPr>
      </w:pPr>
      <w:r>
        <w:rPr>
          <w:rFonts w:hAnsi="宋体"/>
          <w:bCs/>
        </w:rPr>
        <w:t xml:space="preserve"> 付款方式：</w:t>
      </w:r>
    </w:p>
    <w:p>
      <w:pPr>
        <w:snapToGrid w:val="0"/>
        <w:spacing w:beforeLines="50" w:afterLines="50"/>
        <w:rPr>
          <w:rFonts w:ascii="宋体" w:hAnsi="宋体"/>
          <w:b/>
          <w:sz w:val="24"/>
          <w:szCs w:val="20"/>
        </w:rPr>
      </w:pPr>
      <w:r>
        <w:rPr>
          <w:rFonts w:hint="eastAsia" w:ascii="宋体" w:hAnsi="宋体"/>
          <w:b/>
          <w:sz w:val="24"/>
        </w:rPr>
        <w:t>十一、税费</w:t>
      </w:r>
    </w:p>
    <w:p>
      <w:pPr>
        <w:pStyle w:val="21"/>
        <w:snapToGrid w:val="0"/>
        <w:spacing w:before="120" w:after="120"/>
        <w:ind w:left="359" w:hanging="359" w:hangingChars="171"/>
        <w:rPr>
          <w:rFonts w:hAnsi="宋体"/>
        </w:rPr>
      </w:pPr>
      <w:r>
        <w:rPr>
          <w:rFonts w:hint="eastAsia" w:hAnsi="宋体"/>
        </w:rPr>
        <w:t>本合同执行中相关的一切税费均由</w:t>
      </w:r>
      <w:r>
        <w:rPr>
          <w:rFonts w:hAnsi="宋体"/>
        </w:rPr>
        <w:t>乙</w:t>
      </w:r>
      <w:r>
        <w:rPr>
          <w:rFonts w:hint="eastAsia" w:hAnsi="宋体"/>
        </w:rPr>
        <w:t>方负担。</w:t>
      </w:r>
    </w:p>
    <w:p>
      <w:pPr>
        <w:pStyle w:val="21"/>
        <w:snapToGrid w:val="0"/>
        <w:spacing w:before="120" w:after="120"/>
        <w:ind w:left="360" w:hanging="361" w:hangingChars="171"/>
        <w:rPr>
          <w:rFonts w:hAnsi="宋体"/>
        </w:rPr>
      </w:pPr>
      <w:r>
        <w:rPr>
          <w:rFonts w:hAnsi="宋体"/>
          <w:b/>
        </w:rPr>
        <w:t>十二、质量保证及售后服务</w:t>
      </w:r>
    </w:p>
    <w:p>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乙方应按招标文件规定的货物性能、技术要求、质量标准向甲方提供未经使用的全新产品。</w:t>
      </w:r>
    </w:p>
    <w:p>
      <w:pPr>
        <w:pStyle w:val="21"/>
        <w:snapToGrid w:val="0"/>
        <w:spacing w:before="120" w:after="120"/>
        <w:rPr>
          <w:rFonts w:hAnsi="宋体"/>
        </w:rPr>
      </w:pPr>
      <w:r>
        <w:rPr>
          <w:rFonts w:hint="eastAsia" w:hAnsi="宋体"/>
        </w:rPr>
        <w:t>2.</w:t>
      </w:r>
      <w:r>
        <w:rPr>
          <w:rFonts w:hAnsi="宋体"/>
        </w:rPr>
        <w:t xml:space="preserve"> 如在使用过程中发生质量问题，乙方在接到甲方通知后</w:t>
      </w:r>
      <w:r>
        <w:rPr>
          <w:rFonts w:hAnsi="宋体"/>
          <w:color w:val="000000"/>
        </w:rPr>
        <w:t>在</w:t>
      </w:r>
      <w:r>
        <w:rPr>
          <w:rFonts w:hAnsi="宋体"/>
        </w:rPr>
        <w:t>△</w:t>
      </w:r>
      <w:r>
        <w:rPr>
          <w:rFonts w:hAnsi="宋体"/>
          <w:color w:val="000000"/>
        </w:rPr>
        <w:t>小时</w:t>
      </w:r>
      <w:r>
        <w:rPr>
          <w:rFonts w:hAnsi="宋体"/>
        </w:rPr>
        <w:t>内到达甲方现场。</w:t>
      </w:r>
    </w:p>
    <w:p>
      <w:pPr>
        <w:pStyle w:val="21"/>
        <w:snapToGrid w:val="0"/>
        <w:spacing w:before="120" w:after="120"/>
        <w:rPr>
          <w:rFonts w:hAnsi="宋体"/>
        </w:rPr>
      </w:pPr>
      <w:r>
        <w:rPr>
          <w:rFonts w:hint="eastAsia" w:hAnsi="宋体"/>
        </w:rPr>
        <w:t>3.</w:t>
      </w:r>
      <w:r>
        <w:rPr>
          <w:rFonts w:hAnsi="宋体"/>
        </w:rPr>
        <w:t xml:space="preserve"> 在质保期内，乙方应对货物出现的质量及安全问题负责处理解决并承担一切费用。</w:t>
      </w:r>
    </w:p>
    <w:p>
      <w:pPr>
        <w:pStyle w:val="21"/>
        <w:snapToGrid w:val="0"/>
        <w:spacing w:before="120" w:after="120" w:line="360" w:lineRule="auto"/>
        <w:rPr>
          <w:rFonts w:hAnsi="宋体"/>
          <w:color w:val="000000"/>
        </w:rPr>
      </w:pPr>
      <w:r>
        <w:rPr>
          <w:rFonts w:hint="eastAsia" w:hAnsi="宋体"/>
        </w:rPr>
        <w:t>4.</w:t>
      </w:r>
      <w:r>
        <w:rPr>
          <w:rFonts w:hAnsi="宋体"/>
          <w:color w:val="000000"/>
        </w:rPr>
        <w:t>上述的</w:t>
      </w:r>
      <w:r>
        <w:rPr>
          <w:rFonts w:hAnsi="宋体"/>
        </w:rPr>
        <w:t>货物</w:t>
      </w:r>
      <w:r>
        <w:rPr>
          <w:rFonts w:hAnsi="宋体"/>
          <w:color w:val="000000"/>
        </w:rPr>
        <w:t>免费保修期为年，因人为因素出现的故障不在免费保修范围内。超过保修期的机器设备，终生维修，维修时只收部件成本费。</w:t>
      </w:r>
    </w:p>
    <w:p>
      <w:pPr>
        <w:pStyle w:val="21"/>
        <w:snapToGrid w:val="0"/>
        <w:spacing w:before="120" w:after="120"/>
        <w:rPr>
          <w:rFonts w:hAnsi="宋体"/>
          <w:b/>
        </w:rPr>
      </w:pPr>
      <w:r>
        <w:rPr>
          <w:rFonts w:hint="eastAsia" w:hAnsi="宋体"/>
          <w:b/>
        </w:rPr>
        <w:t>十三</w:t>
      </w:r>
      <w:r>
        <w:rPr>
          <w:rFonts w:hAnsi="宋体"/>
          <w:b/>
        </w:rPr>
        <w:t>、货物包装、发运及运输</w:t>
      </w:r>
    </w:p>
    <w:p>
      <w:pPr>
        <w:pStyle w:val="21"/>
        <w:snapToGrid w:val="0"/>
        <w:spacing w:before="120" w:after="120" w:line="360" w:lineRule="auto"/>
        <w:ind w:left="420" w:hanging="420" w:hangingChars="200"/>
        <w:rPr>
          <w:rFonts w:hAnsi="宋体"/>
        </w:rPr>
      </w:pPr>
      <w:r>
        <w:rPr>
          <w:rFonts w:hAnsi="宋体"/>
        </w:rPr>
        <w:t>1</w:t>
      </w:r>
      <w:r>
        <w:rPr>
          <w:rFonts w:hint="eastAsia" w:hAnsi="宋体"/>
        </w:rPr>
        <w:t>.</w:t>
      </w:r>
      <w:r>
        <w:rPr>
          <w:rFonts w:hAnsi="宋体"/>
        </w:rPr>
        <w:t xml:space="preserve"> 乙方应在货物发运前对其进行满足运输距离、防潮、防震、防锈和防破损装卸等要求包装，以保证货物安全运达甲方指定地点。</w:t>
      </w:r>
    </w:p>
    <w:p>
      <w:pPr>
        <w:pStyle w:val="21"/>
        <w:snapToGrid w:val="0"/>
        <w:spacing w:before="120" w:after="120"/>
        <w:ind w:left="420" w:hanging="420" w:hangingChars="200"/>
        <w:rPr>
          <w:rFonts w:hAnsi="宋体"/>
        </w:rPr>
      </w:pPr>
      <w:r>
        <w:rPr>
          <w:rFonts w:hAnsi="宋体"/>
        </w:rPr>
        <w:t>2</w:t>
      </w:r>
      <w:r>
        <w:rPr>
          <w:rFonts w:hint="eastAsia" w:hAnsi="宋体"/>
        </w:rPr>
        <w:t>.</w:t>
      </w:r>
      <w:r>
        <w:rPr>
          <w:rFonts w:hAnsi="宋体"/>
        </w:rPr>
        <w:t xml:space="preserve"> 使用说明书、质量检验证明书、随配附件和工具以及清单一并附于货物内。</w:t>
      </w:r>
    </w:p>
    <w:p>
      <w:pPr>
        <w:pStyle w:val="21"/>
        <w:snapToGrid w:val="0"/>
        <w:spacing w:before="120" w:after="120"/>
        <w:ind w:left="420" w:hanging="420" w:hangingChars="200"/>
        <w:rPr>
          <w:rFonts w:hAnsi="宋体"/>
        </w:rPr>
      </w:pPr>
      <w:r>
        <w:rPr>
          <w:rFonts w:hAnsi="宋体"/>
        </w:rPr>
        <w:t>3</w:t>
      </w:r>
      <w:r>
        <w:rPr>
          <w:rFonts w:hint="eastAsia" w:hAnsi="宋体"/>
        </w:rPr>
        <w:t>.</w:t>
      </w:r>
      <w:r>
        <w:rPr>
          <w:rFonts w:hAnsi="宋体"/>
        </w:rPr>
        <w:t xml:space="preserve"> 乙方在货物发运手续办理完毕后24小时内或货到甲方48小时前通知甲方，以准备接货。</w:t>
      </w:r>
    </w:p>
    <w:p>
      <w:pPr>
        <w:pStyle w:val="21"/>
        <w:snapToGrid w:val="0"/>
        <w:spacing w:before="120" w:after="120"/>
        <w:ind w:left="420" w:hanging="420" w:hangingChars="200"/>
        <w:rPr>
          <w:rFonts w:hAnsi="宋体"/>
        </w:rPr>
      </w:pPr>
      <w:r>
        <w:rPr>
          <w:rFonts w:hAnsi="宋体"/>
        </w:rPr>
        <w:t>4</w:t>
      </w:r>
      <w:r>
        <w:rPr>
          <w:rFonts w:hint="eastAsia" w:hAnsi="宋体"/>
        </w:rPr>
        <w:t>.</w:t>
      </w:r>
      <w:r>
        <w:rPr>
          <w:rFonts w:hAnsi="宋体"/>
        </w:rPr>
        <w:t xml:space="preserve"> 货物在交付甲方前发生的风险均由乙方负责。</w:t>
      </w:r>
    </w:p>
    <w:p>
      <w:pPr>
        <w:pStyle w:val="21"/>
        <w:snapToGrid w:val="0"/>
        <w:ind w:left="420" w:right="26" w:hanging="420" w:hangingChars="200"/>
        <w:rPr>
          <w:rFonts w:hAnsi="宋体"/>
        </w:rPr>
      </w:pPr>
      <w:r>
        <w:rPr>
          <w:rFonts w:hAnsi="宋体"/>
        </w:rPr>
        <w:t>5</w:t>
      </w:r>
      <w:r>
        <w:rPr>
          <w:rFonts w:hint="eastAsia" w:hAnsi="宋体"/>
        </w:rPr>
        <w:t>.</w:t>
      </w:r>
      <w:r>
        <w:rPr>
          <w:rFonts w:hAnsi="宋体"/>
        </w:rPr>
        <w:t xml:space="preserve"> 货物在规定的交付期限内由乙方送达甲方指定的地点视为交付，乙方同时需通知甲方货物已送达。</w:t>
      </w:r>
    </w:p>
    <w:p>
      <w:pPr>
        <w:pStyle w:val="21"/>
        <w:snapToGrid w:val="0"/>
        <w:spacing w:before="120" w:after="120"/>
        <w:rPr>
          <w:rFonts w:hAnsi="宋体"/>
          <w:b/>
        </w:rPr>
      </w:pPr>
      <w:r>
        <w:rPr>
          <w:rFonts w:hAnsi="宋体"/>
          <w:b/>
        </w:rPr>
        <w:t>十</w:t>
      </w:r>
      <w:r>
        <w:rPr>
          <w:rFonts w:hint="eastAsia" w:hAnsi="宋体"/>
          <w:b/>
        </w:rPr>
        <w:t>四</w:t>
      </w:r>
      <w:r>
        <w:rPr>
          <w:rFonts w:hAnsi="宋体"/>
          <w:b/>
        </w:rPr>
        <w:t>、违约责任</w:t>
      </w:r>
    </w:p>
    <w:p>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甲方无正当理由拒收货物的，甲方向乙方偿付拒收货款总值的百分之五违约金。</w:t>
      </w:r>
    </w:p>
    <w:p>
      <w:pPr>
        <w:pStyle w:val="21"/>
        <w:snapToGrid w:val="0"/>
        <w:spacing w:before="120" w:after="120"/>
        <w:ind w:left="359" w:hanging="359" w:hangingChars="171"/>
        <w:rPr>
          <w:rFonts w:hAnsi="宋体"/>
        </w:rPr>
      </w:pPr>
      <w:r>
        <w:rPr>
          <w:rFonts w:hAnsi="宋体"/>
        </w:rPr>
        <w:t>2</w:t>
      </w:r>
      <w:r>
        <w:rPr>
          <w:rFonts w:hint="eastAsia" w:hAnsi="宋体"/>
        </w:rPr>
        <w:t>.</w:t>
      </w:r>
      <w:r>
        <w:rPr>
          <w:rFonts w:hAnsi="宋体"/>
        </w:rPr>
        <w:t xml:space="preserve"> 甲方无故逾期验收和办理货款支付手续的,甲方应按逾期付款总额每日万分之五向乙方支付违约金。</w:t>
      </w:r>
    </w:p>
    <w:p>
      <w:pPr>
        <w:pStyle w:val="21"/>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1"/>
        <w:snapToGrid w:val="0"/>
        <w:spacing w:before="120" w:after="120" w:line="360" w:lineRule="auto"/>
        <w:ind w:left="359" w:hanging="359" w:hangingChars="171"/>
        <w:rPr>
          <w:rFonts w:hAnsi="宋体"/>
        </w:rPr>
      </w:pPr>
      <w:r>
        <w:rPr>
          <w:rFonts w:hAnsi="宋体"/>
        </w:rPr>
        <w:t>4</w:t>
      </w:r>
      <w:r>
        <w:rPr>
          <w:rFonts w:hint="eastAsia" w:hAnsi="宋体"/>
        </w:rPr>
        <w:t>.</w:t>
      </w:r>
      <w:r>
        <w:rPr>
          <w:rFonts w:hAnsi="宋体"/>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1"/>
        <w:snapToGrid w:val="0"/>
        <w:spacing w:before="120" w:after="120"/>
        <w:rPr>
          <w:rFonts w:hAnsi="宋体"/>
          <w:b/>
        </w:rPr>
      </w:pPr>
      <w:r>
        <w:rPr>
          <w:rFonts w:hAnsi="宋体"/>
          <w:b/>
        </w:rPr>
        <w:t>十</w:t>
      </w:r>
      <w:r>
        <w:rPr>
          <w:rFonts w:hint="eastAsia" w:hAnsi="宋体"/>
          <w:b/>
        </w:rPr>
        <w:t>五</w:t>
      </w:r>
      <w:r>
        <w:rPr>
          <w:rFonts w:hAnsi="宋体"/>
          <w:b/>
        </w:rPr>
        <w:t>、不可抗力事件处理</w:t>
      </w:r>
    </w:p>
    <w:p>
      <w:pPr>
        <w:pStyle w:val="21"/>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pPr>
        <w:pStyle w:val="21"/>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pPr>
        <w:pStyle w:val="21"/>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pPr>
        <w:pStyle w:val="21"/>
        <w:snapToGrid w:val="0"/>
        <w:spacing w:before="120" w:after="120"/>
        <w:rPr>
          <w:rFonts w:hAnsi="宋体"/>
          <w:b/>
        </w:rPr>
      </w:pPr>
      <w:r>
        <w:rPr>
          <w:rFonts w:hAnsi="宋体"/>
          <w:b/>
        </w:rPr>
        <w:t>十</w:t>
      </w:r>
      <w:r>
        <w:rPr>
          <w:rFonts w:hint="eastAsia" w:hAnsi="宋体"/>
          <w:b/>
        </w:rPr>
        <w:t>六</w:t>
      </w:r>
      <w:r>
        <w:rPr>
          <w:rFonts w:hAnsi="宋体"/>
          <w:b/>
        </w:rPr>
        <w:t>、诉讼</w:t>
      </w:r>
    </w:p>
    <w:p>
      <w:pPr>
        <w:pStyle w:val="21"/>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pPr>
        <w:pStyle w:val="21"/>
        <w:snapToGrid w:val="0"/>
        <w:spacing w:before="120" w:after="120"/>
        <w:rPr>
          <w:rFonts w:hAnsi="宋体"/>
          <w:b/>
        </w:rPr>
      </w:pPr>
      <w:r>
        <w:rPr>
          <w:rFonts w:hAnsi="宋体"/>
          <w:b/>
        </w:rPr>
        <w:t>十</w:t>
      </w:r>
      <w:r>
        <w:rPr>
          <w:rFonts w:hint="eastAsia" w:hAnsi="宋体"/>
          <w:b/>
        </w:rPr>
        <w:t>七</w:t>
      </w:r>
      <w:r>
        <w:rPr>
          <w:rFonts w:hAnsi="宋体"/>
          <w:b/>
        </w:rPr>
        <w:t>、合同生效及其它</w:t>
      </w:r>
    </w:p>
    <w:p>
      <w:pPr>
        <w:pStyle w:val="21"/>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pPr>
        <w:pStyle w:val="21"/>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《合同法》有关条文执行。</w:t>
      </w:r>
    </w:p>
    <w:p>
      <w:pPr>
        <w:pStyle w:val="21"/>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二</w:t>
      </w:r>
      <w:r>
        <w:rPr>
          <w:rFonts w:hAnsi="宋体"/>
        </w:rPr>
        <w:t>份，具有同等法律效力，甲乙双方各执一份；副本</w:t>
      </w:r>
      <w:r>
        <w:rPr>
          <w:rFonts w:hint="eastAsia" w:hAnsi="宋体"/>
          <w:lang w:val="en-US" w:eastAsia="zh-CN"/>
        </w:rPr>
        <w:t>一</w:t>
      </w:r>
      <w:r>
        <w:rPr>
          <w:rFonts w:hAnsi="宋体"/>
        </w:rPr>
        <w:t>份，</w:t>
      </w:r>
      <w:r>
        <w:rPr>
          <w:rFonts w:hint="eastAsia" w:hAnsi="宋体"/>
        </w:rPr>
        <w:t>交由金华市政府采购中心永康市分中心存档</w:t>
      </w:r>
      <w:r>
        <w:rPr>
          <w:rFonts w:hAnsi="宋体"/>
        </w:rPr>
        <w:t>。</w:t>
      </w:r>
    </w:p>
    <w:p>
      <w:pPr>
        <w:snapToGrid w:val="0"/>
        <w:spacing w:beforeLines="50" w:afterLines="50"/>
        <w:outlineLvl w:val="0"/>
      </w:pPr>
    </w:p>
    <w:p>
      <w:pPr>
        <w:snapToGrid w:val="0"/>
        <w:spacing w:beforeLines="50" w:afterLines="50"/>
        <w:ind w:firstLine="360" w:firstLineChars="150"/>
        <w:outlineLvl w:val="0"/>
        <w:rPr>
          <w:rFonts w:hAnsi="宋体"/>
        </w:rPr>
      </w:pPr>
      <w:r>
        <w:rPr>
          <w:rFonts w:hint="eastAsia"/>
          <w:color w:val="000000"/>
          <w:sz w:val="24"/>
        </w:rPr>
        <w:t>甲方（公章）：                     见证方（公章）：</w:t>
      </w:r>
    </w:p>
    <w:p>
      <w:pPr>
        <w:pStyle w:val="21"/>
        <w:snapToGrid w:val="0"/>
        <w:spacing w:line="330" w:lineRule="exact"/>
        <w:ind w:firstLine="360" w:firstLineChars="150"/>
        <w:rPr>
          <w:color w:val="000000"/>
          <w:sz w:val="24"/>
          <w:szCs w:val="24"/>
        </w:rPr>
      </w:pPr>
      <w:r>
        <w:rPr>
          <w:rFonts w:hint="eastAsia"/>
          <w:color w:val="000000"/>
          <w:sz w:val="24"/>
          <w:szCs w:val="24"/>
        </w:rPr>
        <w:t>法定代表人或受委托人              法定代表人或受委托人</w:t>
      </w:r>
    </w:p>
    <w:p>
      <w:pPr>
        <w:pStyle w:val="21"/>
        <w:snapToGrid w:val="0"/>
        <w:spacing w:line="330" w:lineRule="exact"/>
        <w:ind w:firstLine="600" w:firstLineChars="250"/>
        <w:rPr>
          <w:color w:val="000000"/>
          <w:sz w:val="24"/>
          <w:szCs w:val="24"/>
        </w:rPr>
      </w:pPr>
      <w:r>
        <w:rPr>
          <w:rFonts w:hint="eastAsia"/>
          <w:color w:val="000000"/>
          <w:sz w:val="24"/>
          <w:szCs w:val="24"/>
        </w:rPr>
        <w:t>（签字）                           （签字）</w:t>
      </w:r>
    </w:p>
    <w:p>
      <w:pPr>
        <w:pStyle w:val="21"/>
        <w:snapToGrid w:val="0"/>
        <w:spacing w:line="330" w:lineRule="exact"/>
        <w:ind w:firstLine="360" w:firstLineChars="150"/>
        <w:rPr>
          <w:color w:val="000000"/>
          <w:sz w:val="24"/>
          <w:szCs w:val="24"/>
        </w:rPr>
      </w:pPr>
      <w:r>
        <w:rPr>
          <w:rFonts w:hint="eastAsia"/>
          <w:color w:val="000000"/>
          <w:sz w:val="24"/>
          <w:szCs w:val="24"/>
        </w:rPr>
        <w:t xml:space="preserve">地址：                           </w:t>
      </w:r>
    </w:p>
    <w:p>
      <w:pPr>
        <w:pStyle w:val="21"/>
        <w:snapToGrid w:val="0"/>
        <w:spacing w:line="330" w:lineRule="exact"/>
        <w:ind w:firstLine="360" w:firstLineChars="150"/>
        <w:rPr>
          <w:color w:val="000000"/>
          <w:sz w:val="24"/>
          <w:szCs w:val="24"/>
        </w:rPr>
      </w:pPr>
      <w:r>
        <w:rPr>
          <w:rFonts w:hint="eastAsia"/>
          <w:color w:val="000000"/>
          <w:sz w:val="24"/>
          <w:szCs w:val="24"/>
        </w:rPr>
        <w:t xml:space="preserve">邮编：                            </w:t>
      </w:r>
    </w:p>
    <w:p>
      <w:pPr>
        <w:pStyle w:val="21"/>
        <w:snapToGrid w:val="0"/>
        <w:spacing w:line="330" w:lineRule="exact"/>
        <w:ind w:firstLine="360" w:firstLineChars="150"/>
        <w:rPr>
          <w:color w:val="000000"/>
          <w:sz w:val="24"/>
          <w:szCs w:val="24"/>
        </w:rPr>
      </w:pPr>
      <w:r>
        <w:rPr>
          <w:rFonts w:hint="eastAsia"/>
          <w:color w:val="000000"/>
          <w:sz w:val="24"/>
          <w:szCs w:val="24"/>
        </w:rPr>
        <w:t xml:space="preserve">电话：                         </w:t>
      </w:r>
    </w:p>
    <w:p>
      <w:pPr>
        <w:pStyle w:val="21"/>
        <w:snapToGrid w:val="0"/>
        <w:spacing w:line="330" w:lineRule="exact"/>
        <w:ind w:firstLine="360" w:firstLineChars="150"/>
        <w:rPr>
          <w:color w:val="000000"/>
          <w:sz w:val="24"/>
          <w:szCs w:val="24"/>
        </w:rPr>
      </w:pPr>
      <w:r>
        <w:rPr>
          <w:rFonts w:hint="eastAsia"/>
          <w:color w:val="000000"/>
          <w:sz w:val="24"/>
          <w:szCs w:val="24"/>
        </w:rPr>
        <w:t xml:space="preserve">传真：                            </w:t>
      </w:r>
    </w:p>
    <w:p>
      <w:pPr>
        <w:pStyle w:val="21"/>
        <w:snapToGrid w:val="0"/>
        <w:spacing w:line="330" w:lineRule="exact"/>
        <w:ind w:firstLine="360" w:firstLineChars="150"/>
        <w:rPr>
          <w:color w:val="000000"/>
          <w:sz w:val="24"/>
          <w:szCs w:val="24"/>
        </w:rPr>
      </w:pPr>
      <w:r>
        <w:rPr>
          <w:rFonts w:hint="eastAsia"/>
          <w:color w:val="000000"/>
          <w:sz w:val="24"/>
          <w:szCs w:val="24"/>
        </w:rPr>
        <w:t xml:space="preserve">开户银行：                        </w:t>
      </w:r>
    </w:p>
    <w:p>
      <w:pPr>
        <w:pStyle w:val="21"/>
        <w:snapToGrid w:val="0"/>
        <w:spacing w:line="330" w:lineRule="exact"/>
        <w:ind w:firstLine="360" w:firstLineChars="150"/>
        <w:rPr>
          <w:color w:val="000000"/>
          <w:sz w:val="24"/>
          <w:szCs w:val="24"/>
        </w:rPr>
      </w:pPr>
      <w:r>
        <w:rPr>
          <w:rFonts w:hint="eastAsia"/>
          <w:color w:val="000000"/>
          <w:sz w:val="24"/>
          <w:szCs w:val="24"/>
        </w:rPr>
        <w:t xml:space="preserve">帐号：                       </w:t>
      </w:r>
    </w:p>
    <w:p>
      <w:pPr>
        <w:pStyle w:val="21"/>
        <w:snapToGrid w:val="0"/>
        <w:spacing w:line="330" w:lineRule="exact"/>
        <w:rPr>
          <w:color w:val="000000"/>
          <w:sz w:val="24"/>
          <w:szCs w:val="24"/>
        </w:rPr>
      </w:pPr>
    </w:p>
    <w:p>
      <w:pPr>
        <w:pStyle w:val="21"/>
        <w:snapToGrid w:val="0"/>
        <w:spacing w:line="330" w:lineRule="exact"/>
        <w:ind w:firstLine="360" w:firstLineChars="150"/>
        <w:rPr>
          <w:color w:val="000000"/>
          <w:sz w:val="24"/>
          <w:szCs w:val="24"/>
        </w:rPr>
      </w:pPr>
      <w:r>
        <w:rPr>
          <w:rFonts w:hint="eastAsia"/>
          <w:color w:val="000000"/>
          <w:sz w:val="24"/>
          <w:szCs w:val="24"/>
        </w:rPr>
        <w:t xml:space="preserve">乙方（公章）：                 </w:t>
      </w:r>
    </w:p>
    <w:p>
      <w:pPr>
        <w:pStyle w:val="21"/>
        <w:snapToGrid w:val="0"/>
        <w:spacing w:line="330" w:lineRule="exact"/>
        <w:ind w:firstLine="360" w:firstLineChars="150"/>
        <w:rPr>
          <w:color w:val="000000"/>
          <w:sz w:val="24"/>
          <w:szCs w:val="24"/>
        </w:rPr>
      </w:pPr>
      <w:r>
        <w:rPr>
          <w:rFonts w:hint="eastAsia"/>
          <w:color w:val="000000"/>
          <w:sz w:val="24"/>
          <w:szCs w:val="24"/>
        </w:rPr>
        <w:t xml:space="preserve">法定代表人或受委托人             </w:t>
      </w:r>
    </w:p>
    <w:p>
      <w:pPr>
        <w:pStyle w:val="21"/>
        <w:snapToGrid w:val="0"/>
        <w:spacing w:line="330" w:lineRule="exact"/>
        <w:ind w:firstLine="360" w:firstLineChars="150"/>
        <w:rPr>
          <w:color w:val="000000"/>
          <w:sz w:val="24"/>
          <w:szCs w:val="24"/>
        </w:rPr>
      </w:pPr>
      <w:r>
        <w:rPr>
          <w:rFonts w:hint="eastAsia"/>
          <w:color w:val="000000"/>
          <w:sz w:val="24"/>
          <w:szCs w:val="24"/>
        </w:rPr>
        <w:t xml:space="preserve">（签字）                         </w:t>
      </w:r>
    </w:p>
    <w:p>
      <w:pPr>
        <w:pStyle w:val="21"/>
        <w:snapToGrid w:val="0"/>
        <w:spacing w:line="330" w:lineRule="exact"/>
        <w:ind w:firstLine="360" w:firstLineChars="150"/>
        <w:rPr>
          <w:color w:val="000000"/>
          <w:sz w:val="24"/>
          <w:szCs w:val="24"/>
        </w:rPr>
      </w:pPr>
      <w:r>
        <w:rPr>
          <w:rFonts w:hint="eastAsia"/>
          <w:color w:val="000000"/>
          <w:sz w:val="24"/>
          <w:szCs w:val="24"/>
        </w:rPr>
        <w:t xml:space="preserve">地址：                           </w:t>
      </w:r>
    </w:p>
    <w:p>
      <w:pPr>
        <w:pStyle w:val="21"/>
        <w:snapToGrid w:val="0"/>
        <w:spacing w:line="330" w:lineRule="exact"/>
        <w:ind w:firstLine="360" w:firstLineChars="150"/>
        <w:rPr>
          <w:color w:val="000000"/>
          <w:sz w:val="24"/>
          <w:szCs w:val="24"/>
        </w:rPr>
      </w:pPr>
      <w:r>
        <w:rPr>
          <w:rFonts w:hint="eastAsia"/>
          <w:color w:val="000000"/>
          <w:sz w:val="24"/>
          <w:szCs w:val="24"/>
        </w:rPr>
        <w:t xml:space="preserve">邮编：                         </w:t>
      </w:r>
    </w:p>
    <w:p>
      <w:pPr>
        <w:pStyle w:val="21"/>
        <w:snapToGrid w:val="0"/>
        <w:spacing w:line="330" w:lineRule="exact"/>
        <w:ind w:firstLine="360" w:firstLineChars="150"/>
        <w:rPr>
          <w:color w:val="000000"/>
          <w:sz w:val="24"/>
          <w:szCs w:val="24"/>
        </w:rPr>
      </w:pPr>
      <w:r>
        <w:rPr>
          <w:rFonts w:hint="eastAsia"/>
          <w:color w:val="000000"/>
          <w:sz w:val="24"/>
          <w:szCs w:val="24"/>
        </w:rPr>
        <w:t xml:space="preserve">电话：                         </w:t>
      </w:r>
    </w:p>
    <w:p>
      <w:pPr>
        <w:pStyle w:val="21"/>
        <w:snapToGrid w:val="0"/>
        <w:spacing w:line="330" w:lineRule="exact"/>
        <w:ind w:firstLine="360" w:firstLineChars="150"/>
        <w:rPr>
          <w:color w:val="000000"/>
          <w:sz w:val="24"/>
          <w:szCs w:val="24"/>
        </w:rPr>
      </w:pPr>
      <w:r>
        <w:rPr>
          <w:rFonts w:hint="eastAsia"/>
          <w:color w:val="000000"/>
          <w:sz w:val="24"/>
          <w:szCs w:val="24"/>
        </w:rPr>
        <w:t xml:space="preserve">传真：                         </w:t>
      </w:r>
    </w:p>
    <w:p>
      <w:pPr>
        <w:pStyle w:val="21"/>
        <w:snapToGrid w:val="0"/>
        <w:spacing w:line="330" w:lineRule="exact"/>
        <w:ind w:firstLine="360" w:firstLineChars="150"/>
        <w:rPr>
          <w:color w:val="000000"/>
          <w:sz w:val="24"/>
          <w:szCs w:val="24"/>
        </w:rPr>
      </w:pPr>
      <w:r>
        <w:rPr>
          <w:rFonts w:hint="eastAsia"/>
          <w:color w:val="000000"/>
          <w:sz w:val="24"/>
          <w:szCs w:val="24"/>
        </w:rPr>
        <w:t xml:space="preserve">开户银行：                   </w:t>
      </w:r>
    </w:p>
    <w:p>
      <w:pPr>
        <w:pStyle w:val="21"/>
        <w:snapToGrid w:val="0"/>
        <w:spacing w:line="330" w:lineRule="exact"/>
        <w:ind w:firstLine="360" w:firstLineChars="150"/>
        <w:rPr>
          <w:color w:val="000000"/>
          <w:sz w:val="24"/>
          <w:szCs w:val="24"/>
        </w:rPr>
      </w:pPr>
      <w:r>
        <w:rPr>
          <w:rFonts w:hint="eastAsia"/>
          <w:color w:val="000000"/>
          <w:sz w:val="24"/>
          <w:szCs w:val="24"/>
        </w:rPr>
        <w:t xml:space="preserve">帐号：   </w:t>
      </w:r>
    </w:p>
    <w:p>
      <w:pPr>
        <w:pStyle w:val="21"/>
        <w:snapToGrid w:val="0"/>
        <w:spacing w:line="330" w:lineRule="exact"/>
        <w:rPr>
          <w:color w:val="000000"/>
          <w:sz w:val="24"/>
          <w:szCs w:val="24"/>
        </w:rPr>
      </w:pPr>
    </w:p>
    <w:p>
      <w:pPr>
        <w:pStyle w:val="21"/>
        <w:snapToGrid w:val="0"/>
        <w:spacing w:line="330" w:lineRule="exact"/>
        <w:rPr>
          <w:color w:val="000000"/>
          <w:sz w:val="24"/>
          <w:szCs w:val="24"/>
        </w:rPr>
      </w:pPr>
    </w:p>
    <w:p>
      <w:pPr>
        <w:pStyle w:val="21"/>
        <w:snapToGrid w:val="0"/>
        <w:spacing w:line="330" w:lineRule="exact"/>
        <w:ind w:firstLine="4935" w:firstLineChars="2350"/>
      </w:pPr>
      <w:r>
        <w:rPr>
          <w:rFonts w:hint="eastAsia"/>
        </w:rPr>
        <w:t>签约时间：20</w:t>
      </w:r>
      <w:r>
        <w:rPr>
          <w:rFonts w:hint="eastAsia"/>
          <w:lang w:val="en-US" w:eastAsia="zh-CN"/>
        </w:rPr>
        <w:t>22</w:t>
      </w:r>
      <w:r>
        <w:rPr>
          <w:rFonts w:hint="eastAsia"/>
        </w:rPr>
        <w:t>年    月    日</w:t>
      </w:r>
    </w:p>
    <w:p>
      <w:pPr>
        <w:pStyle w:val="21"/>
        <w:keepNext w:val="0"/>
        <w:keepLines w:val="0"/>
        <w:pageBreakBefore w:val="0"/>
        <w:kinsoku/>
        <w:wordWrap/>
        <w:overflowPunct/>
        <w:topLinePunct w:val="0"/>
        <w:autoSpaceDE/>
        <w:autoSpaceDN/>
        <w:bidi w:val="0"/>
        <w:snapToGrid w:val="0"/>
        <w:spacing w:line="300" w:lineRule="exact"/>
        <w:textAlignment w:val="auto"/>
      </w:pPr>
    </w:p>
    <w:sectPr>
      <w:footerReference r:id="rId9" w:type="default"/>
      <w:pgSz w:w="11906" w:h="16838"/>
      <w:pgMar w:top="1134" w:right="1134" w:bottom="1134" w:left="1417" w:header="851" w:footer="992" w:gutter="0"/>
      <w:pgNumType w:start="1"/>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F7FFAFFF" w:usb1="E9DFFFFF" w:usb2="0000003F" w:usb3="00000000" w:csb0="003F01FF" w:csb1="00000000"/>
  </w:font>
  <w:font w:name="PMingLiU">
    <w:altName w:val="Microsoft JhengHei UI"/>
    <w:panose1 w:val="02010601000101010101"/>
    <w:charset w:val="88"/>
    <w:family w:val="auto"/>
    <w:pitch w:val="default"/>
    <w:sig w:usb0="00000001" w:usb1="08080000" w:usb2="00000010" w:usb3="00000000" w:csb0="00100000" w:csb1="00000000"/>
  </w:font>
  <w:font w:name="方正黑体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 AQAADwAAAGRycy9kb3ducmV2LnhtbE2PzU7DMBCE70i8g7VIXKrWTitFEOL0AOTGhVLEdRsvSUS8 TmP3B56eRRzgODOrmW/L9dkP6khT7ANbyBYGFHETXM+the1LPb8BFROywyEwWfikCOvq8qLEwoUT P9Nxk1olJRwLtNClNBZax6Yjj3ERRmLJ3sPkMYmcWu0mPEm5H/TSmFx77FkWOhzpvqPmY3PwFmL9 Svv6a9bMzNuqDbTcPzw9orXXV5m5A5XonP6O4Qdf0KESpl04sItqsCCPJAvzPAMl6e0qF2P3a+iq 1P/xq29QSwMEFAAAAAgAh07iQKpQ2j/pAQAAuAMAAA4AAABkcnMvZTJvRG9jLnhtbK1TS44TMRDd I3EHy3vSSSAjppXOLBINmwEizXAAx+1OW9guy+Wkk0twASR2sGLJfm7DcAzK7iTzYTMLemHZ9XlV 71X19GJnDduqgBpcxUeDIWfKSai1W1f8083lq7ecYRSuFgacqvheIb+YvXwx7XypxtCCqVVgBOKw 7HzF2xh9WRQoW2UFDsArR84GghWRnmFd1EF0hG5NMR4Oz4oOQu0DSIVI1kXv5AfE8BxAaBot1QLk xioXe9SgjIhECVvtkc9yt02jZPzYNKgiMxUnpjGfVITuq3QWs6ko10H4VstDC+I5LTzhZIV2VPQE tRBRsE3Q/0BZLQMgNHEgwRY9kawIsRgNn2hz3QqvMheSGv1JdPx/sPLDdhmYris+5swJSwO/+/rr 95fvf26/0Xn38wcbJZE6jyXFzt0yJJpy5679FcjPyBzMW+HWKjd7s/eEkDOKRynpgZ5Krbr3UFOM 2ETIiu2aYBMkacF2eTD702DULjJJxsn5m9dnQ5qZPPoKUR4TfcD4ToFl6VJxo13STJRie4WRWqfQ Y0gyO7jUxuS5G8e6ip9PxpOcgGB0nZwpDMN6NTeBbUXanPwlHQjsUViAjat7u3EpT+WlO1Q+su71 W0G9X4YUnOw00Ax3WL60MQ/fOer+h5v9B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A+cLM/TAAAA BgEAAA8AAAAAAAAAAQAgAAAAIgAAAGRycy9kb3ducmV2LnhtbFBLAQIUABQAAAAIAIdO4kCqUNo/ 6QEAALgDAAAOAAAAAAAAAAEAIAAAACIBAABkcnMvZTJvRG9jLnhtbFBLBQYAAAAABgAGAFkBAAB9 BQAAAAA= ">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caps/>
        <w:color w:val="00000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nIXBE6AgAAcQQAAA4AAABkcnMvZTJvRG9jLnhtbK1UzY7TMBC+I/EO lu80bdGuqqrpqmxVhFSxKy2Is+s4TST/yXablAeAN+DEhTvP1efYz07SRQuHPXBJx57xN/N9M9PF TaskOQrna6NzOhmNKRGam6LW+5x+/rR5M6PEB6YLJo0WOT0JT2+Wr18tGjsXU1MZWQhHAKL9vLE5 rUKw8yzzvBKK+ZGxQsNZGqdYwNHts8KxBuhKZtPx+DprjCusM1x4j9t156Q9onsJoCnLmou14Qcl dOhQnZAsgJKvauvpMlVbloKHu7L0IhCZUzAN6YsksHfxmy0XbL53zFY170tgLynhGSfFao2kF6g1 C4wcXP0XlKq5M96UYcSNyjoiSRGwmIyfafNQMSsSF0jt7UV0//9g+cfjvSN1kdOrKSWaKXT8/OP7 +efv869vBHcQqLF+jrgHi8jQvjMtxma497iMvNvSqfgLRgR+yHu6yCvaQHh8NJvOZmO4OHzDAfjZ 03PrfHgvjCLRyKlD/5Ks7Lj1oQsdQmI2bTa1lKmHUpMmp9dvr8bpwcUDcKljrEjT0MNESl3p0Qrt ru157kxxAk1nuknxlm9qlLJlPtwzh9FA+ViecIdPKQ1Smt6ipDLu67/uYzw6Bi8lDUYtpxqbRYn8 oNFJAIbBcIOxGwx9ULcGszvBUlqeTDxwQQ5m6Yz6go1axRxwMc2RKadhMG9DN+7YSC5WqxR0sK7e V90DzKFlYasfLI9polTerg4B0ibFo0CdKuhUPGASU8/6rYmj/uc5RT39Uywf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KMEAABbQ29udGVudF9U eXBlc10ueG1sUEsBAhQACgAAAAAAh07iQAAAAAAAAAAAAAAAAAYAAAAAAAAAAAAQAAAAhQMAAF9y ZWxzL1BLAQIUABQAAAAIAIdO4kCKFGY80QAAAJQBAAALAAAAAAAAAAEAIAAAAKkDAABfcmVscy8u cmVsc1BLAQIUAAoAAAAAAIdO4kAAAAAAAAAAAAAAAAAEAAAAAAAAAAAAEAAAAAAAAABkcnMvUEsB AhQAFAAAAAgAh07iQLNJWO7QAAAABQEAAA8AAAAAAAAAAQAgAAAAIgAAAGRycy9kb3ducmV2Lnht bFBLAQIUABQAAAAIAIdO4kDpyFwROgIAAHEEAAAOAAAAAAAAAAEAIAAAAB8BAABkcnMvZTJvRG9j LnhtbFBLBQYAAAAABgAGAFkBAADLBQAAAAA= ">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34</w:t>
    </w:r>
    <w:r>
      <w:rPr>
        <w:lang w:val="zh-CN"/>
      </w:rPr>
      <w:fldChar w:fldCharType="end"/>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ascii="Calibri" w:hAnsi="Calibri" w:cs="Times New Roman"/>
        <w:sz w:val="18"/>
        <w:szCs w:val="18"/>
      </w:rPr>
    </w:pPr>
    <w:r>
      <w:rPr>
        <w:rFonts w:ascii="Calibri" w:hAnsi="Calibri" w:cs="Calibri"/>
        <w:sz w:val="18"/>
        <w:szCs w:val="18"/>
      </w:rPr>
      <w:fldChar w:fldCharType="begin"/>
    </w:r>
    <w:r>
      <w:rPr>
        <w:rStyle w:val="36"/>
        <w:rFonts w:ascii="Calibri" w:hAnsi="Calibri" w:cs="Calibri"/>
        <w:sz w:val="18"/>
        <w:szCs w:val="18"/>
      </w:rPr>
      <w:instrText xml:space="preserve"> PAGE </w:instrText>
    </w:r>
    <w:r>
      <w:rPr>
        <w:rFonts w:ascii="Calibri" w:hAnsi="Calibri" w:cs="Calibri"/>
        <w:sz w:val="18"/>
        <w:szCs w:val="18"/>
      </w:rPr>
      <w:fldChar w:fldCharType="separate"/>
    </w:r>
    <w:r>
      <w:rPr>
        <w:rStyle w:val="36"/>
        <w:rFonts w:ascii="Calibri" w:hAnsi="Calibri" w:cs="Calibri"/>
        <w:sz w:val="18"/>
        <w:szCs w:val="18"/>
        <w:lang/>
      </w:rPr>
      <w:t>41</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cs="宋体"/>
        <w:color w:val="FF0000"/>
      </w:rPr>
      <w:t>永康市智慧城市指挥调度中心智能化设施设备项目采购招标文件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w:rPr>
        <w:rFonts w:hint="eastAsia"/>
      </w:rPr>
      <w:t>永康市智慧城市指挥调度中心建设项目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88E0D7EC"/>
    <w:multiLevelType w:val="singleLevel"/>
    <w:tmpl w:val="88E0D7EC"/>
    <w:lvl w:ilvl="0" w:tentative="0">
      <w:start w:val="1"/>
      <w:numFmt w:val="decimal"/>
      <w:lvlText w:val="%1."/>
      <w:lvlJc w:val="left"/>
      <w:pPr>
        <w:tabs>
          <w:tab w:val="left" w:pos="312"/>
        </w:tabs>
      </w:pPr>
    </w:lvl>
  </w:abstractNum>
  <w:abstractNum w:abstractNumId="1">
    <w:nsid w:val="8BEEE0DD"/>
    <w:multiLevelType w:val="singleLevel"/>
    <w:tmpl w:val="8BEEE0DD"/>
    <w:lvl w:ilvl="0" w:tentative="0">
      <w:start w:val="1"/>
      <w:numFmt w:val="decimal"/>
      <w:lvlText w:val="%1."/>
      <w:lvlJc w:val="left"/>
      <w:pPr>
        <w:tabs>
          <w:tab w:val="left" w:pos="312"/>
        </w:tabs>
      </w:pPr>
    </w:lvl>
  </w:abstractNum>
  <w:abstractNum w:abstractNumId="2">
    <w:nsid w:val="94B6D815"/>
    <w:multiLevelType w:val="singleLevel"/>
    <w:tmpl w:val="94B6D815"/>
    <w:lvl w:ilvl="0" w:tentative="0">
      <w:start w:val="1"/>
      <w:numFmt w:val="decimal"/>
      <w:lvlText w:val="%1."/>
      <w:lvlJc w:val="left"/>
      <w:pPr>
        <w:tabs>
          <w:tab w:val="left" w:pos="312"/>
        </w:tabs>
      </w:pPr>
    </w:lvl>
  </w:abstractNum>
  <w:abstractNum w:abstractNumId="3">
    <w:nsid w:val="9C2B08A8"/>
    <w:multiLevelType w:val="singleLevel"/>
    <w:tmpl w:val="9C2B08A8"/>
    <w:lvl w:ilvl="0" w:tentative="0">
      <w:start w:val="1"/>
      <w:numFmt w:val="decimal"/>
      <w:lvlText w:val="%1."/>
      <w:lvlJc w:val="left"/>
      <w:pPr>
        <w:tabs>
          <w:tab w:val="left" w:pos="312"/>
        </w:tabs>
      </w:pPr>
    </w:lvl>
  </w:abstractNum>
  <w:abstractNum w:abstractNumId="4">
    <w:nsid w:val="A177EC01"/>
    <w:multiLevelType w:val="singleLevel"/>
    <w:tmpl w:val="A177EC01"/>
    <w:lvl w:ilvl="0" w:tentative="0">
      <w:start w:val="1"/>
      <w:numFmt w:val="decimal"/>
      <w:lvlText w:val="%1."/>
      <w:lvlJc w:val="left"/>
      <w:pPr>
        <w:tabs>
          <w:tab w:val="left" w:pos="312"/>
        </w:tabs>
      </w:pPr>
    </w:lvl>
  </w:abstractNum>
  <w:abstractNum w:abstractNumId="5">
    <w:nsid w:val="A745AC90"/>
    <w:multiLevelType w:val="singleLevel"/>
    <w:tmpl w:val="A745AC90"/>
    <w:lvl w:ilvl="0" w:tentative="0">
      <w:start w:val="7"/>
      <w:numFmt w:val="chineseCounting"/>
      <w:suff w:val="nothing"/>
      <w:lvlText w:val="%1．"/>
      <w:lvlJc w:val="left"/>
      <w:rPr>
        <w:rFonts w:hint="eastAsia"/>
      </w:rPr>
    </w:lvl>
  </w:abstractNum>
  <w:abstractNum w:abstractNumId="6">
    <w:nsid w:val="A8D3BA3E"/>
    <w:multiLevelType w:val="singleLevel"/>
    <w:tmpl w:val="A8D3BA3E"/>
    <w:lvl w:ilvl="0" w:tentative="0">
      <w:start w:val="1"/>
      <w:numFmt w:val="decimal"/>
      <w:lvlText w:val="%1."/>
      <w:lvlJc w:val="left"/>
      <w:pPr>
        <w:tabs>
          <w:tab w:val="left" w:pos="312"/>
        </w:tabs>
      </w:pPr>
    </w:lvl>
  </w:abstractNum>
  <w:abstractNum w:abstractNumId="7">
    <w:nsid w:val="ACA9CF73"/>
    <w:multiLevelType w:val="singleLevel"/>
    <w:tmpl w:val="ACA9CF73"/>
    <w:lvl w:ilvl="0" w:tentative="0">
      <w:start w:val="1"/>
      <w:numFmt w:val="decimal"/>
      <w:lvlText w:val="%1."/>
      <w:lvlJc w:val="left"/>
      <w:pPr>
        <w:tabs>
          <w:tab w:val="left" w:pos="312"/>
        </w:tabs>
      </w:pPr>
    </w:lvl>
  </w:abstractNum>
  <w:abstractNum w:abstractNumId="8">
    <w:nsid w:val="AD9BBB6D"/>
    <w:multiLevelType w:val="singleLevel"/>
    <w:tmpl w:val="AD9BBB6D"/>
    <w:lvl w:ilvl="0" w:tentative="0">
      <w:start w:val="1"/>
      <w:numFmt w:val="decimal"/>
      <w:lvlText w:val="%1."/>
      <w:lvlJc w:val="left"/>
      <w:pPr>
        <w:tabs>
          <w:tab w:val="left" w:pos="312"/>
        </w:tabs>
      </w:pPr>
    </w:lvl>
  </w:abstractNum>
  <w:abstractNum w:abstractNumId="9">
    <w:nsid w:val="B6833D0B"/>
    <w:multiLevelType w:val="singleLevel"/>
    <w:tmpl w:val="B6833D0B"/>
    <w:lvl w:ilvl="0" w:tentative="0">
      <w:start w:val="1"/>
      <w:numFmt w:val="decimal"/>
      <w:lvlText w:val="%1."/>
      <w:lvlJc w:val="left"/>
      <w:pPr>
        <w:tabs>
          <w:tab w:val="left" w:pos="312"/>
        </w:tabs>
      </w:pPr>
    </w:lvl>
  </w:abstractNum>
  <w:abstractNum w:abstractNumId="10">
    <w:nsid w:val="BE8387CF"/>
    <w:multiLevelType w:val="singleLevel"/>
    <w:tmpl w:val="BE8387CF"/>
    <w:lvl w:ilvl="0" w:tentative="0">
      <w:start w:val="1"/>
      <w:numFmt w:val="decimal"/>
      <w:lvlText w:val="%1."/>
      <w:lvlJc w:val="left"/>
      <w:pPr>
        <w:tabs>
          <w:tab w:val="left" w:pos="312"/>
        </w:tabs>
      </w:pPr>
    </w:lvl>
  </w:abstractNum>
  <w:abstractNum w:abstractNumId="11">
    <w:nsid w:val="C05391C8"/>
    <w:multiLevelType w:val="singleLevel"/>
    <w:tmpl w:val="C05391C8"/>
    <w:lvl w:ilvl="0" w:tentative="0">
      <w:start w:val="1"/>
      <w:numFmt w:val="decimal"/>
      <w:lvlText w:val="%1."/>
      <w:lvlJc w:val="left"/>
      <w:pPr>
        <w:tabs>
          <w:tab w:val="left" w:pos="312"/>
        </w:tabs>
      </w:pPr>
    </w:lvl>
  </w:abstractNum>
  <w:abstractNum w:abstractNumId="12">
    <w:nsid w:val="D615B2F0"/>
    <w:multiLevelType w:val="singleLevel"/>
    <w:tmpl w:val="D615B2F0"/>
    <w:lvl w:ilvl="0" w:tentative="0">
      <w:start w:val="1"/>
      <w:numFmt w:val="decimal"/>
      <w:lvlText w:val="%1."/>
      <w:lvlJc w:val="left"/>
      <w:pPr>
        <w:tabs>
          <w:tab w:val="left" w:pos="312"/>
        </w:tabs>
      </w:pPr>
    </w:lvl>
  </w:abstractNum>
  <w:abstractNum w:abstractNumId="13">
    <w:nsid w:val="EBB585A6"/>
    <w:multiLevelType w:val="singleLevel"/>
    <w:tmpl w:val="EBB585A6"/>
    <w:lvl w:ilvl="0" w:tentative="0">
      <w:start w:val="1"/>
      <w:numFmt w:val="decimal"/>
      <w:lvlText w:val="%1."/>
      <w:lvlJc w:val="left"/>
      <w:pPr>
        <w:tabs>
          <w:tab w:val="left" w:pos="312"/>
        </w:tabs>
      </w:pPr>
    </w:lvl>
  </w:abstractNum>
  <w:abstractNum w:abstractNumId="14">
    <w:nsid w:val="EEDE3808"/>
    <w:multiLevelType w:val="singleLevel"/>
    <w:tmpl w:val="EEDE3808"/>
    <w:lvl w:ilvl="0" w:tentative="0">
      <w:start w:val="1"/>
      <w:numFmt w:val="decimal"/>
      <w:suff w:val="nothing"/>
      <w:lvlText w:val="（%1）"/>
      <w:lvlJc w:val="left"/>
    </w:lvl>
  </w:abstractNum>
  <w:abstractNum w:abstractNumId="15">
    <w:nsid w:val="F215DFAE"/>
    <w:multiLevelType w:val="singleLevel"/>
    <w:tmpl w:val="F215DFAE"/>
    <w:lvl w:ilvl="0" w:tentative="0">
      <w:start w:val="1"/>
      <w:numFmt w:val="decimal"/>
      <w:lvlText w:val="%1."/>
      <w:lvlJc w:val="left"/>
      <w:pPr>
        <w:tabs>
          <w:tab w:val="left" w:pos="312"/>
        </w:tabs>
      </w:pPr>
    </w:lvl>
  </w:abstractNum>
  <w:abstractNum w:abstractNumId="16">
    <w:nsid w:val="F24549ED"/>
    <w:multiLevelType w:val="singleLevel"/>
    <w:tmpl w:val="F24549ED"/>
    <w:lvl w:ilvl="0" w:tentative="0">
      <w:start w:val="1"/>
      <w:numFmt w:val="decimal"/>
      <w:lvlText w:val="%1."/>
      <w:lvlJc w:val="left"/>
      <w:pPr>
        <w:tabs>
          <w:tab w:val="left" w:pos="312"/>
        </w:tabs>
      </w:pPr>
    </w:lvl>
  </w:abstractNum>
  <w:abstractNum w:abstractNumId="17">
    <w:nsid w:val="F9CFF0E8"/>
    <w:multiLevelType w:val="singleLevel"/>
    <w:tmpl w:val="F9CFF0E8"/>
    <w:lvl w:ilvl="0" w:tentative="0">
      <w:start w:val="5"/>
      <w:numFmt w:val="decimal"/>
      <w:lvlText w:val="%1."/>
      <w:lvlJc w:val="left"/>
      <w:pPr>
        <w:tabs>
          <w:tab w:val="left" w:pos="312"/>
        </w:tabs>
      </w:pPr>
    </w:lvl>
  </w:abstractNum>
  <w:abstractNum w:abstractNumId="18">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9">
    <w:nsid w:val="05F7AFDB"/>
    <w:multiLevelType w:val="singleLevel"/>
    <w:tmpl w:val="05F7AFDB"/>
    <w:lvl w:ilvl="0" w:tentative="0">
      <w:start w:val="1"/>
      <w:numFmt w:val="decimal"/>
      <w:lvlText w:val="%1."/>
      <w:lvlJc w:val="left"/>
      <w:pPr>
        <w:tabs>
          <w:tab w:val="left" w:pos="312"/>
        </w:tabs>
      </w:pPr>
    </w:lvl>
  </w:abstractNum>
  <w:abstractNum w:abstractNumId="20">
    <w:nsid w:val="1D7C1FCF"/>
    <w:multiLevelType w:val="singleLevel"/>
    <w:tmpl w:val="1D7C1FCF"/>
    <w:lvl w:ilvl="0" w:tentative="0">
      <w:start w:val="1"/>
      <w:numFmt w:val="decimal"/>
      <w:lvlText w:val="%1."/>
      <w:lvlJc w:val="left"/>
      <w:pPr>
        <w:tabs>
          <w:tab w:val="left" w:pos="312"/>
        </w:tabs>
      </w:pPr>
    </w:lvl>
  </w:abstractNum>
  <w:abstractNum w:abstractNumId="21">
    <w:nsid w:val="205DDD48"/>
    <w:multiLevelType w:val="singleLevel"/>
    <w:tmpl w:val="205DDD48"/>
    <w:lvl w:ilvl="0" w:tentative="0">
      <w:start w:val="1"/>
      <w:numFmt w:val="decimal"/>
      <w:lvlText w:val="%1."/>
      <w:lvlJc w:val="left"/>
      <w:pPr>
        <w:tabs>
          <w:tab w:val="left" w:pos="312"/>
        </w:tabs>
      </w:pPr>
    </w:lvl>
  </w:abstractNum>
  <w:abstractNum w:abstractNumId="22">
    <w:nsid w:val="21FF5A5D"/>
    <w:multiLevelType w:val="multilevel"/>
    <w:tmpl w:val="21FF5A5D"/>
    <w:lvl w:ilvl="0" w:tentative="0">
      <w:start w:val="1"/>
      <w:numFmt w:val="bullet"/>
      <w:lvlText w:val=""/>
      <w:lvlPicBulletId w:val="0"/>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30EA033D"/>
    <w:multiLevelType w:val="singleLevel"/>
    <w:tmpl w:val="30EA033D"/>
    <w:lvl w:ilvl="0" w:tentative="0">
      <w:start w:val="1"/>
      <w:numFmt w:val="decimal"/>
      <w:lvlText w:val="%1."/>
      <w:lvlJc w:val="left"/>
      <w:pPr>
        <w:tabs>
          <w:tab w:val="left" w:pos="312"/>
        </w:tabs>
      </w:pPr>
    </w:lvl>
  </w:abstractNum>
  <w:abstractNum w:abstractNumId="24">
    <w:nsid w:val="3283D977"/>
    <w:multiLevelType w:val="singleLevel"/>
    <w:tmpl w:val="3283D977"/>
    <w:lvl w:ilvl="0" w:tentative="0">
      <w:start w:val="1"/>
      <w:numFmt w:val="decimal"/>
      <w:lvlText w:val="%1."/>
      <w:lvlJc w:val="left"/>
      <w:pPr>
        <w:tabs>
          <w:tab w:val="left" w:pos="312"/>
        </w:tabs>
      </w:pPr>
    </w:lvl>
  </w:abstractNum>
  <w:abstractNum w:abstractNumId="25">
    <w:nsid w:val="3584CA52"/>
    <w:multiLevelType w:val="singleLevel"/>
    <w:tmpl w:val="3584CA52"/>
    <w:lvl w:ilvl="0" w:tentative="0">
      <w:start w:val="5"/>
      <w:numFmt w:val="decimal"/>
      <w:lvlText w:val="%1."/>
      <w:lvlJc w:val="left"/>
      <w:pPr>
        <w:tabs>
          <w:tab w:val="left" w:pos="312"/>
        </w:tabs>
      </w:pPr>
    </w:lvl>
  </w:abstractNum>
  <w:abstractNum w:abstractNumId="26">
    <w:nsid w:val="38023788"/>
    <w:multiLevelType w:val="singleLevel"/>
    <w:tmpl w:val="38023788"/>
    <w:lvl w:ilvl="0" w:tentative="0">
      <w:start w:val="1"/>
      <w:numFmt w:val="decimal"/>
      <w:lvlText w:val="%1."/>
      <w:lvlJc w:val="left"/>
      <w:pPr>
        <w:tabs>
          <w:tab w:val="left" w:pos="312"/>
        </w:tabs>
      </w:pPr>
    </w:lvl>
  </w:abstractNum>
  <w:abstractNum w:abstractNumId="27">
    <w:nsid w:val="413D029A"/>
    <w:multiLevelType w:val="singleLevel"/>
    <w:tmpl w:val="413D029A"/>
    <w:lvl w:ilvl="0" w:tentative="0">
      <w:start w:val="1"/>
      <w:numFmt w:val="decimal"/>
      <w:lvlText w:val="%1."/>
      <w:lvlJc w:val="left"/>
      <w:pPr>
        <w:tabs>
          <w:tab w:val="left" w:pos="312"/>
        </w:tabs>
      </w:pPr>
    </w:lvl>
  </w:abstractNum>
  <w:abstractNum w:abstractNumId="28">
    <w:nsid w:val="42FD13D2"/>
    <w:multiLevelType w:val="multilevel"/>
    <w:tmpl w:val="42FD13D2"/>
    <w:lvl w:ilvl="0" w:tentative="0">
      <w:start w:val="1"/>
      <w:numFmt w:val="chineseCountingThousand"/>
      <w:lvlText w:val="第%1章"/>
      <w:lvlJc w:val="left"/>
      <w:pPr>
        <w:ind w:left="0" w:firstLine="0"/>
      </w:pPr>
      <w:rPr>
        <w:rFonts w:hint="eastAsia"/>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313" w:hanging="567"/>
      </w:pPr>
      <w:rPr>
        <w:rFonts w:hint="eastAsia"/>
      </w:rPr>
    </w:lvl>
    <w:lvl w:ilvl="3" w:tentative="0">
      <w:start w:val="1"/>
      <w:numFmt w:val="decimal"/>
      <w:isLgl/>
      <w:lvlText w:val="%1.%2.%3.%4"/>
      <w:lvlJc w:val="left"/>
      <w:pPr>
        <w:ind w:left="177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4468EEB1"/>
    <w:multiLevelType w:val="singleLevel"/>
    <w:tmpl w:val="4468EEB1"/>
    <w:lvl w:ilvl="0" w:tentative="0">
      <w:start w:val="1"/>
      <w:numFmt w:val="decimal"/>
      <w:lvlText w:val="%1."/>
      <w:lvlJc w:val="left"/>
      <w:pPr>
        <w:tabs>
          <w:tab w:val="left" w:pos="312"/>
        </w:tabs>
      </w:pPr>
    </w:lvl>
  </w:abstractNum>
  <w:abstractNum w:abstractNumId="30">
    <w:nsid w:val="44DBECCF"/>
    <w:multiLevelType w:val="singleLevel"/>
    <w:tmpl w:val="44DBECCF"/>
    <w:lvl w:ilvl="0" w:tentative="0">
      <w:start w:val="2"/>
      <w:numFmt w:val="decimal"/>
      <w:suff w:val="nothing"/>
      <w:lvlText w:val="%1、"/>
      <w:lvlJc w:val="left"/>
    </w:lvl>
  </w:abstractNum>
  <w:abstractNum w:abstractNumId="31">
    <w:nsid w:val="46AB01E9"/>
    <w:multiLevelType w:val="singleLevel"/>
    <w:tmpl w:val="46AB01E9"/>
    <w:lvl w:ilvl="0" w:tentative="0">
      <w:start w:val="1"/>
      <w:numFmt w:val="decimal"/>
      <w:lvlText w:val="%1."/>
      <w:lvlJc w:val="left"/>
      <w:pPr>
        <w:tabs>
          <w:tab w:val="left" w:pos="312"/>
        </w:tabs>
      </w:pPr>
    </w:lvl>
  </w:abstractNum>
  <w:abstractNum w:abstractNumId="32">
    <w:nsid w:val="4D52A210"/>
    <w:multiLevelType w:val="singleLevel"/>
    <w:tmpl w:val="4D52A210"/>
    <w:lvl w:ilvl="0" w:tentative="0">
      <w:start w:val="1"/>
      <w:numFmt w:val="decimal"/>
      <w:lvlText w:val="%1."/>
      <w:lvlJc w:val="left"/>
      <w:pPr>
        <w:tabs>
          <w:tab w:val="left" w:pos="312"/>
        </w:tabs>
      </w:pPr>
    </w:lvl>
  </w:abstractNum>
  <w:abstractNum w:abstractNumId="33">
    <w:nsid w:val="51C41D1C"/>
    <w:multiLevelType w:val="singleLevel"/>
    <w:tmpl w:val="51C41D1C"/>
    <w:lvl w:ilvl="0" w:tentative="0">
      <w:start w:val="5"/>
      <w:numFmt w:val="decimal"/>
      <w:lvlText w:val="%1."/>
      <w:lvlJc w:val="left"/>
      <w:pPr>
        <w:tabs>
          <w:tab w:val="left" w:pos="312"/>
        </w:tabs>
      </w:pPr>
    </w:lvl>
  </w:abstractNum>
  <w:abstractNum w:abstractNumId="34">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5">
    <w:nsid w:val="5979D301"/>
    <w:multiLevelType w:val="singleLevel"/>
    <w:tmpl w:val="5979D301"/>
    <w:lvl w:ilvl="0" w:tentative="0">
      <w:start w:val="1"/>
      <w:numFmt w:val="decimal"/>
      <w:lvlText w:val="%1."/>
      <w:lvlJc w:val="left"/>
      <w:pPr>
        <w:tabs>
          <w:tab w:val="left" w:pos="312"/>
        </w:tabs>
      </w:pPr>
    </w:lvl>
  </w:abstractNum>
  <w:abstractNum w:abstractNumId="36">
    <w:nsid w:val="64406E3B"/>
    <w:multiLevelType w:val="singleLevel"/>
    <w:tmpl w:val="64406E3B"/>
    <w:lvl w:ilvl="0" w:tentative="0">
      <w:start w:val="5"/>
      <w:numFmt w:val="decimal"/>
      <w:lvlText w:val="%1."/>
      <w:lvlJc w:val="left"/>
      <w:pPr>
        <w:tabs>
          <w:tab w:val="left" w:pos="312"/>
        </w:tabs>
      </w:pPr>
    </w:lvl>
  </w:abstractNum>
  <w:abstractNum w:abstractNumId="37">
    <w:nsid w:val="6957A1D8"/>
    <w:multiLevelType w:val="singleLevel"/>
    <w:tmpl w:val="6957A1D8"/>
    <w:lvl w:ilvl="0" w:tentative="0">
      <w:start w:val="1"/>
      <w:numFmt w:val="decimal"/>
      <w:lvlText w:val="%1."/>
      <w:lvlJc w:val="left"/>
      <w:pPr>
        <w:tabs>
          <w:tab w:val="left" w:pos="312"/>
        </w:tabs>
      </w:pPr>
    </w:lvl>
  </w:abstractNum>
  <w:abstractNum w:abstractNumId="38">
    <w:nsid w:val="6C0B36DF"/>
    <w:multiLevelType w:val="singleLevel"/>
    <w:tmpl w:val="6C0B36DF"/>
    <w:lvl w:ilvl="0" w:tentative="0">
      <w:start w:val="4"/>
      <w:numFmt w:val="decimal"/>
      <w:suff w:val="nothing"/>
      <w:lvlText w:val="%1、"/>
      <w:lvlJc w:val="left"/>
    </w:lvl>
  </w:abstractNum>
  <w:abstractNum w:abstractNumId="39">
    <w:nsid w:val="6DAF51D5"/>
    <w:multiLevelType w:val="singleLevel"/>
    <w:tmpl w:val="6DAF51D5"/>
    <w:lvl w:ilvl="0" w:tentative="0">
      <w:start w:val="1"/>
      <w:numFmt w:val="decimal"/>
      <w:lvlText w:val="%1."/>
      <w:lvlJc w:val="left"/>
      <w:pPr>
        <w:tabs>
          <w:tab w:val="left" w:pos="312"/>
        </w:tabs>
      </w:pPr>
    </w:lvl>
  </w:abstractNum>
  <w:abstractNum w:abstractNumId="40">
    <w:nsid w:val="7AB2BF2C"/>
    <w:multiLevelType w:val="singleLevel"/>
    <w:tmpl w:val="7AB2BF2C"/>
    <w:lvl w:ilvl="0" w:tentative="0">
      <w:start w:val="1"/>
      <w:numFmt w:val="decimal"/>
      <w:suff w:val="nothing"/>
      <w:lvlText w:val="%1、"/>
      <w:lvlJc w:val="left"/>
    </w:lvl>
  </w:abstractNum>
  <w:abstractNum w:abstractNumId="41">
    <w:nsid w:val="7AECA05C"/>
    <w:multiLevelType w:val="singleLevel"/>
    <w:tmpl w:val="7AECA05C"/>
    <w:lvl w:ilvl="0" w:tentative="0">
      <w:start w:val="1"/>
      <w:numFmt w:val="decimal"/>
      <w:suff w:val="nothing"/>
      <w:lvlText w:val="%1、"/>
      <w:lvlJc w:val="left"/>
    </w:lvl>
  </w:abstractNum>
  <w:abstractNum w:abstractNumId="42">
    <w:nsid w:val="7BA88369"/>
    <w:multiLevelType w:val="singleLevel"/>
    <w:tmpl w:val="7BA88369"/>
    <w:lvl w:ilvl="0" w:tentative="0">
      <w:start w:val="4"/>
      <w:numFmt w:val="decimal"/>
      <w:lvlText w:val="%1."/>
      <w:lvlJc w:val="left"/>
      <w:pPr>
        <w:tabs>
          <w:tab w:val="left" w:pos="312"/>
        </w:tabs>
      </w:pPr>
    </w:lvl>
  </w:abstractNum>
  <w:abstractNum w:abstractNumId="43">
    <w:nsid w:val="7DA20A97"/>
    <w:multiLevelType w:val="singleLevel"/>
    <w:tmpl w:val="7DA20A97"/>
    <w:lvl w:ilvl="0" w:tentative="0">
      <w:start w:val="1"/>
      <w:numFmt w:val="decimal"/>
      <w:lvlText w:val="%1."/>
      <w:lvlJc w:val="left"/>
      <w:pPr>
        <w:tabs>
          <w:tab w:val="left" w:pos="312"/>
        </w:tabs>
      </w:pPr>
    </w:lvl>
  </w:abstractNum>
  <w:num w:numId="1">
    <w:abstractNumId w:val="18"/>
  </w:num>
  <w:num w:numId="2">
    <w:abstractNumId w:val="30"/>
  </w:num>
  <w:num w:numId="3">
    <w:abstractNumId w:val="5"/>
  </w:num>
  <w:num w:numId="4">
    <w:abstractNumId w:val="38"/>
  </w:num>
  <w:num w:numId="5">
    <w:abstractNumId w:val="41"/>
  </w:num>
  <w:num w:numId="6">
    <w:abstractNumId w:val="34"/>
  </w:num>
  <w:num w:numId="7">
    <w:abstractNumId w:val="14"/>
  </w:num>
  <w:num w:numId="8">
    <w:abstractNumId w:val="21"/>
  </w:num>
  <w:num w:numId="9">
    <w:abstractNumId w:val="28"/>
  </w:num>
  <w:num w:numId="10">
    <w:abstractNumId w:val="22"/>
  </w:num>
  <w:num w:numId="11">
    <w:abstractNumId w:val="2"/>
  </w:num>
  <w:num w:numId="12">
    <w:abstractNumId w:val="8"/>
  </w:num>
  <w:num w:numId="13">
    <w:abstractNumId w:val="7"/>
  </w:num>
  <w:num w:numId="14">
    <w:abstractNumId w:val="24"/>
  </w:num>
  <w:num w:numId="15">
    <w:abstractNumId w:val="9"/>
  </w:num>
  <w:num w:numId="16">
    <w:abstractNumId w:val="15"/>
  </w:num>
  <w:num w:numId="17">
    <w:abstractNumId w:val="42"/>
  </w:num>
  <w:num w:numId="18">
    <w:abstractNumId w:val="37"/>
  </w:num>
  <w:num w:numId="19">
    <w:abstractNumId w:val="33"/>
  </w:num>
  <w:num w:numId="20">
    <w:abstractNumId w:val="12"/>
  </w:num>
  <w:num w:numId="21">
    <w:abstractNumId w:val="25"/>
  </w:num>
  <w:num w:numId="22">
    <w:abstractNumId w:val="6"/>
  </w:num>
  <w:num w:numId="23">
    <w:abstractNumId w:val="16"/>
  </w:num>
  <w:num w:numId="24">
    <w:abstractNumId w:val="17"/>
  </w:num>
  <w:num w:numId="25">
    <w:abstractNumId w:val="3"/>
  </w:num>
  <w:num w:numId="26">
    <w:abstractNumId w:val="32"/>
  </w:num>
  <w:num w:numId="27">
    <w:abstractNumId w:val="4"/>
  </w:num>
  <w:num w:numId="28">
    <w:abstractNumId w:val="26"/>
  </w:num>
  <w:num w:numId="29">
    <w:abstractNumId w:val="36"/>
  </w:num>
  <w:num w:numId="30">
    <w:abstractNumId w:val="10"/>
  </w:num>
  <w:num w:numId="31">
    <w:abstractNumId w:val="1"/>
  </w:num>
  <w:num w:numId="32">
    <w:abstractNumId w:val="27"/>
  </w:num>
  <w:num w:numId="33">
    <w:abstractNumId w:val="43"/>
  </w:num>
  <w:num w:numId="34">
    <w:abstractNumId w:val="23"/>
  </w:num>
  <w:num w:numId="35">
    <w:abstractNumId w:val="29"/>
  </w:num>
  <w:num w:numId="36">
    <w:abstractNumId w:val="13"/>
  </w:num>
  <w:num w:numId="37">
    <w:abstractNumId w:val="31"/>
  </w:num>
  <w:num w:numId="38">
    <w:abstractNumId w:val="20"/>
  </w:num>
  <w:num w:numId="39">
    <w:abstractNumId w:val="19"/>
  </w:num>
  <w:num w:numId="40">
    <w:abstractNumId w:val="39"/>
  </w:num>
  <w:num w:numId="41">
    <w:abstractNumId w:val="0"/>
  </w:num>
  <w:num w:numId="42">
    <w:abstractNumId w:val="11"/>
  </w:num>
  <w:num w:numId="43">
    <w:abstractNumId w:val="3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TgzYmU5OTQzMmE5NGJlMjc4N2M3NThmYTM4ZjIifQ=="/>
  </w:docVars>
  <w:rsids>
    <w:rsidRoot w:val="00ED1ED6"/>
    <w:rsid w:val="00011D92"/>
    <w:rsid w:val="0001316C"/>
    <w:rsid w:val="00026D88"/>
    <w:rsid w:val="000415C8"/>
    <w:rsid w:val="00042E8A"/>
    <w:rsid w:val="00044361"/>
    <w:rsid w:val="00072EED"/>
    <w:rsid w:val="000B603D"/>
    <w:rsid w:val="000B6219"/>
    <w:rsid w:val="000C3C06"/>
    <w:rsid w:val="000D0761"/>
    <w:rsid w:val="000E0318"/>
    <w:rsid w:val="000E1A5E"/>
    <w:rsid w:val="000E2295"/>
    <w:rsid w:val="000E3B68"/>
    <w:rsid w:val="000F016C"/>
    <w:rsid w:val="000F062D"/>
    <w:rsid w:val="000F07B7"/>
    <w:rsid w:val="000F24D1"/>
    <w:rsid w:val="000F29A4"/>
    <w:rsid w:val="000F3F12"/>
    <w:rsid w:val="000F4695"/>
    <w:rsid w:val="0010122C"/>
    <w:rsid w:val="0010172E"/>
    <w:rsid w:val="00101E07"/>
    <w:rsid w:val="00131FA1"/>
    <w:rsid w:val="001321FC"/>
    <w:rsid w:val="001331F1"/>
    <w:rsid w:val="00151AD7"/>
    <w:rsid w:val="001749BD"/>
    <w:rsid w:val="00183893"/>
    <w:rsid w:val="001858DA"/>
    <w:rsid w:val="001955F5"/>
    <w:rsid w:val="00196339"/>
    <w:rsid w:val="001B260D"/>
    <w:rsid w:val="001B36A1"/>
    <w:rsid w:val="001C01BA"/>
    <w:rsid w:val="001C5C4C"/>
    <w:rsid w:val="001C66D6"/>
    <w:rsid w:val="001D5661"/>
    <w:rsid w:val="001E4792"/>
    <w:rsid w:val="00212DEC"/>
    <w:rsid w:val="00213C28"/>
    <w:rsid w:val="00225C38"/>
    <w:rsid w:val="00235E40"/>
    <w:rsid w:val="00261D02"/>
    <w:rsid w:val="002620DF"/>
    <w:rsid w:val="0026702F"/>
    <w:rsid w:val="0027550B"/>
    <w:rsid w:val="002806D2"/>
    <w:rsid w:val="002A40C3"/>
    <w:rsid w:val="002B7F30"/>
    <w:rsid w:val="002C0D0C"/>
    <w:rsid w:val="002C2457"/>
    <w:rsid w:val="002D1C50"/>
    <w:rsid w:val="002E5080"/>
    <w:rsid w:val="002F7F92"/>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19AB"/>
    <w:rsid w:val="003D61FB"/>
    <w:rsid w:val="003E538E"/>
    <w:rsid w:val="003F1917"/>
    <w:rsid w:val="003F25AC"/>
    <w:rsid w:val="00412373"/>
    <w:rsid w:val="00427158"/>
    <w:rsid w:val="004425D6"/>
    <w:rsid w:val="004529D3"/>
    <w:rsid w:val="0047035F"/>
    <w:rsid w:val="0048242B"/>
    <w:rsid w:val="004848E9"/>
    <w:rsid w:val="00494B9C"/>
    <w:rsid w:val="00497ED9"/>
    <w:rsid w:val="004B3952"/>
    <w:rsid w:val="004C3380"/>
    <w:rsid w:val="004D02B4"/>
    <w:rsid w:val="004F21C2"/>
    <w:rsid w:val="0050113E"/>
    <w:rsid w:val="005037A9"/>
    <w:rsid w:val="00504FF8"/>
    <w:rsid w:val="005162BD"/>
    <w:rsid w:val="00520A97"/>
    <w:rsid w:val="005210F3"/>
    <w:rsid w:val="00526F14"/>
    <w:rsid w:val="0052733B"/>
    <w:rsid w:val="00532F8F"/>
    <w:rsid w:val="00533277"/>
    <w:rsid w:val="005403AE"/>
    <w:rsid w:val="00540D3A"/>
    <w:rsid w:val="005414DD"/>
    <w:rsid w:val="00551794"/>
    <w:rsid w:val="00554D38"/>
    <w:rsid w:val="005554FB"/>
    <w:rsid w:val="00557378"/>
    <w:rsid w:val="00593811"/>
    <w:rsid w:val="00594930"/>
    <w:rsid w:val="005953FD"/>
    <w:rsid w:val="00596B29"/>
    <w:rsid w:val="00596FB3"/>
    <w:rsid w:val="00597F75"/>
    <w:rsid w:val="005A0D31"/>
    <w:rsid w:val="005A4EC1"/>
    <w:rsid w:val="005B62E0"/>
    <w:rsid w:val="005B6F15"/>
    <w:rsid w:val="005D0A81"/>
    <w:rsid w:val="005E7C5B"/>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B4B0D"/>
    <w:rsid w:val="006C43A9"/>
    <w:rsid w:val="006E533D"/>
    <w:rsid w:val="006E70C3"/>
    <w:rsid w:val="00717F68"/>
    <w:rsid w:val="00720375"/>
    <w:rsid w:val="00723674"/>
    <w:rsid w:val="007271B7"/>
    <w:rsid w:val="00727E25"/>
    <w:rsid w:val="00741C06"/>
    <w:rsid w:val="00743CDC"/>
    <w:rsid w:val="0075761A"/>
    <w:rsid w:val="00775CBF"/>
    <w:rsid w:val="00786371"/>
    <w:rsid w:val="0078777D"/>
    <w:rsid w:val="00796304"/>
    <w:rsid w:val="007A0817"/>
    <w:rsid w:val="007B43B2"/>
    <w:rsid w:val="007C2EC8"/>
    <w:rsid w:val="007D02A5"/>
    <w:rsid w:val="007E60B9"/>
    <w:rsid w:val="007F2ED4"/>
    <w:rsid w:val="007F6228"/>
    <w:rsid w:val="00801B4E"/>
    <w:rsid w:val="00810B4B"/>
    <w:rsid w:val="00814BB6"/>
    <w:rsid w:val="00862D91"/>
    <w:rsid w:val="00865C66"/>
    <w:rsid w:val="00873006"/>
    <w:rsid w:val="008736A1"/>
    <w:rsid w:val="00875F8F"/>
    <w:rsid w:val="00881FF8"/>
    <w:rsid w:val="008825BB"/>
    <w:rsid w:val="008832D1"/>
    <w:rsid w:val="0089186D"/>
    <w:rsid w:val="00892E1E"/>
    <w:rsid w:val="0089514F"/>
    <w:rsid w:val="008A343C"/>
    <w:rsid w:val="008A4C7E"/>
    <w:rsid w:val="008B480F"/>
    <w:rsid w:val="008D71E8"/>
    <w:rsid w:val="008F0732"/>
    <w:rsid w:val="008F4C40"/>
    <w:rsid w:val="009016D8"/>
    <w:rsid w:val="00902040"/>
    <w:rsid w:val="00915DB5"/>
    <w:rsid w:val="0093355B"/>
    <w:rsid w:val="00940537"/>
    <w:rsid w:val="009410B0"/>
    <w:rsid w:val="00945A57"/>
    <w:rsid w:val="00946EE2"/>
    <w:rsid w:val="00952285"/>
    <w:rsid w:val="00952885"/>
    <w:rsid w:val="009576B3"/>
    <w:rsid w:val="0097099E"/>
    <w:rsid w:val="0097338A"/>
    <w:rsid w:val="00980379"/>
    <w:rsid w:val="009869DD"/>
    <w:rsid w:val="00987E74"/>
    <w:rsid w:val="0099737B"/>
    <w:rsid w:val="009D013D"/>
    <w:rsid w:val="009D07BC"/>
    <w:rsid w:val="009D1B21"/>
    <w:rsid w:val="009E5805"/>
    <w:rsid w:val="00A03C29"/>
    <w:rsid w:val="00A071B6"/>
    <w:rsid w:val="00A17B62"/>
    <w:rsid w:val="00A22298"/>
    <w:rsid w:val="00A320EC"/>
    <w:rsid w:val="00A3617D"/>
    <w:rsid w:val="00A42A61"/>
    <w:rsid w:val="00A65A99"/>
    <w:rsid w:val="00A6684D"/>
    <w:rsid w:val="00A852DB"/>
    <w:rsid w:val="00A8692F"/>
    <w:rsid w:val="00A9451C"/>
    <w:rsid w:val="00AA78F1"/>
    <w:rsid w:val="00AB2BB3"/>
    <w:rsid w:val="00AB5A5A"/>
    <w:rsid w:val="00AD289A"/>
    <w:rsid w:val="00AD79F1"/>
    <w:rsid w:val="00AF539B"/>
    <w:rsid w:val="00B0373D"/>
    <w:rsid w:val="00B121C0"/>
    <w:rsid w:val="00B1267B"/>
    <w:rsid w:val="00B12FB2"/>
    <w:rsid w:val="00B14DC0"/>
    <w:rsid w:val="00B217F2"/>
    <w:rsid w:val="00B43396"/>
    <w:rsid w:val="00B52278"/>
    <w:rsid w:val="00B674EC"/>
    <w:rsid w:val="00B732D1"/>
    <w:rsid w:val="00B77E0B"/>
    <w:rsid w:val="00B80063"/>
    <w:rsid w:val="00B871AC"/>
    <w:rsid w:val="00BA518A"/>
    <w:rsid w:val="00BB53C8"/>
    <w:rsid w:val="00BB7EB6"/>
    <w:rsid w:val="00BC088F"/>
    <w:rsid w:val="00BC11B3"/>
    <w:rsid w:val="00BE6C88"/>
    <w:rsid w:val="00BF01C6"/>
    <w:rsid w:val="00BF1597"/>
    <w:rsid w:val="00BF5E9E"/>
    <w:rsid w:val="00C105D5"/>
    <w:rsid w:val="00C11A8F"/>
    <w:rsid w:val="00C17C81"/>
    <w:rsid w:val="00C303E0"/>
    <w:rsid w:val="00C365A9"/>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AA1"/>
    <w:rsid w:val="00CC7C15"/>
    <w:rsid w:val="00CD419C"/>
    <w:rsid w:val="00CD6729"/>
    <w:rsid w:val="00CF491C"/>
    <w:rsid w:val="00CF4AE6"/>
    <w:rsid w:val="00D02A1E"/>
    <w:rsid w:val="00D03D35"/>
    <w:rsid w:val="00D15B96"/>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E3B20"/>
    <w:rsid w:val="00DE4A15"/>
    <w:rsid w:val="00DE4F79"/>
    <w:rsid w:val="00E13240"/>
    <w:rsid w:val="00E212C9"/>
    <w:rsid w:val="00E224D1"/>
    <w:rsid w:val="00E307BE"/>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800F1"/>
    <w:rsid w:val="00F81F59"/>
    <w:rsid w:val="00F971AC"/>
    <w:rsid w:val="00FA37AB"/>
    <w:rsid w:val="00FB57C3"/>
    <w:rsid w:val="00FC165C"/>
    <w:rsid w:val="00FC4245"/>
    <w:rsid w:val="00FC5E86"/>
    <w:rsid w:val="00FD2F4D"/>
    <w:rsid w:val="00FE09E1"/>
    <w:rsid w:val="00FF2293"/>
    <w:rsid w:val="01CF6CC2"/>
    <w:rsid w:val="01F04499"/>
    <w:rsid w:val="020F3A79"/>
    <w:rsid w:val="03A8118D"/>
    <w:rsid w:val="040B79FD"/>
    <w:rsid w:val="04344AA5"/>
    <w:rsid w:val="04D1736D"/>
    <w:rsid w:val="04D71EAF"/>
    <w:rsid w:val="050D7546"/>
    <w:rsid w:val="065357F9"/>
    <w:rsid w:val="07A12B96"/>
    <w:rsid w:val="082559D9"/>
    <w:rsid w:val="086D1DE0"/>
    <w:rsid w:val="08982B65"/>
    <w:rsid w:val="08C37066"/>
    <w:rsid w:val="09276052"/>
    <w:rsid w:val="092F26F9"/>
    <w:rsid w:val="0AC818A8"/>
    <w:rsid w:val="0BE11644"/>
    <w:rsid w:val="0BF5372E"/>
    <w:rsid w:val="0C813D3B"/>
    <w:rsid w:val="0D563F22"/>
    <w:rsid w:val="0E8C0579"/>
    <w:rsid w:val="0F1478D0"/>
    <w:rsid w:val="0FF04A9E"/>
    <w:rsid w:val="107812AC"/>
    <w:rsid w:val="114B6629"/>
    <w:rsid w:val="11F56CB9"/>
    <w:rsid w:val="125E044A"/>
    <w:rsid w:val="12D868FE"/>
    <w:rsid w:val="12F85BEF"/>
    <w:rsid w:val="132C3788"/>
    <w:rsid w:val="13AE7241"/>
    <w:rsid w:val="13C53535"/>
    <w:rsid w:val="13CA5118"/>
    <w:rsid w:val="13D43C49"/>
    <w:rsid w:val="140963AB"/>
    <w:rsid w:val="147F1921"/>
    <w:rsid w:val="1486575B"/>
    <w:rsid w:val="14FF668D"/>
    <w:rsid w:val="15A96067"/>
    <w:rsid w:val="162445F8"/>
    <w:rsid w:val="187C06CA"/>
    <w:rsid w:val="187D15C2"/>
    <w:rsid w:val="19131DEE"/>
    <w:rsid w:val="19456905"/>
    <w:rsid w:val="19FE3D32"/>
    <w:rsid w:val="1A8D68D7"/>
    <w:rsid w:val="1C062222"/>
    <w:rsid w:val="1C0C4A85"/>
    <w:rsid w:val="1C623C39"/>
    <w:rsid w:val="1CC52663"/>
    <w:rsid w:val="1D132BDB"/>
    <w:rsid w:val="1D312236"/>
    <w:rsid w:val="1D562E32"/>
    <w:rsid w:val="1DFA0A46"/>
    <w:rsid w:val="1E750DFB"/>
    <w:rsid w:val="1E845133"/>
    <w:rsid w:val="1EE948EA"/>
    <w:rsid w:val="1F4072EA"/>
    <w:rsid w:val="1F9C3E1C"/>
    <w:rsid w:val="1FE173D8"/>
    <w:rsid w:val="20CA1D45"/>
    <w:rsid w:val="20E051D4"/>
    <w:rsid w:val="21D41589"/>
    <w:rsid w:val="21D435EF"/>
    <w:rsid w:val="2236792C"/>
    <w:rsid w:val="22452E48"/>
    <w:rsid w:val="224C1EB9"/>
    <w:rsid w:val="22D05E59"/>
    <w:rsid w:val="23630548"/>
    <w:rsid w:val="237E22DE"/>
    <w:rsid w:val="238051E6"/>
    <w:rsid w:val="242C3F0B"/>
    <w:rsid w:val="243226E8"/>
    <w:rsid w:val="24452519"/>
    <w:rsid w:val="24612762"/>
    <w:rsid w:val="24C97368"/>
    <w:rsid w:val="25141DA3"/>
    <w:rsid w:val="25755806"/>
    <w:rsid w:val="268A4A57"/>
    <w:rsid w:val="26A94938"/>
    <w:rsid w:val="26AD6E50"/>
    <w:rsid w:val="26D76D2B"/>
    <w:rsid w:val="26F33BA3"/>
    <w:rsid w:val="278F5BB5"/>
    <w:rsid w:val="27BF40D9"/>
    <w:rsid w:val="28A21943"/>
    <w:rsid w:val="28A561C3"/>
    <w:rsid w:val="28B56309"/>
    <w:rsid w:val="28BF18B6"/>
    <w:rsid w:val="2967007A"/>
    <w:rsid w:val="297B3E73"/>
    <w:rsid w:val="29D91732"/>
    <w:rsid w:val="29F101DC"/>
    <w:rsid w:val="2A0D267D"/>
    <w:rsid w:val="2A5D31BD"/>
    <w:rsid w:val="2A7F3901"/>
    <w:rsid w:val="2ADD0215"/>
    <w:rsid w:val="2B014054"/>
    <w:rsid w:val="2B4412BE"/>
    <w:rsid w:val="2BF0289F"/>
    <w:rsid w:val="2BF735CD"/>
    <w:rsid w:val="2C140842"/>
    <w:rsid w:val="2C55349F"/>
    <w:rsid w:val="2E1E5DAE"/>
    <w:rsid w:val="2E53788E"/>
    <w:rsid w:val="2E6D0326"/>
    <w:rsid w:val="2EF7655F"/>
    <w:rsid w:val="309269AE"/>
    <w:rsid w:val="30AF1025"/>
    <w:rsid w:val="30F84323"/>
    <w:rsid w:val="31081A27"/>
    <w:rsid w:val="31997D9D"/>
    <w:rsid w:val="31A6515C"/>
    <w:rsid w:val="31FC5D17"/>
    <w:rsid w:val="3231670E"/>
    <w:rsid w:val="32871D5A"/>
    <w:rsid w:val="34540AF1"/>
    <w:rsid w:val="34C425AA"/>
    <w:rsid w:val="34DD43D8"/>
    <w:rsid w:val="34FD02CB"/>
    <w:rsid w:val="352E2600"/>
    <w:rsid w:val="35500B43"/>
    <w:rsid w:val="35987E32"/>
    <w:rsid w:val="35A07A01"/>
    <w:rsid w:val="366D71CF"/>
    <w:rsid w:val="37146C25"/>
    <w:rsid w:val="37236AE7"/>
    <w:rsid w:val="375B6BAC"/>
    <w:rsid w:val="38457373"/>
    <w:rsid w:val="39322095"/>
    <w:rsid w:val="393E407D"/>
    <w:rsid w:val="3A017404"/>
    <w:rsid w:val="3A154D7A"/>
    <w:rsid w:val="3BBF16F2"/>
    <w:rsid w:val="3C0D4421"/>
    <w:rsid w:val="3C717C5E"/>
    <w:rsid w:val="3C894DA9"/>
    <w:rsid w:val="3C9E715D"/>
    <w:rsid w:val="3D1607FC"/>
    <w:rsid w:val="3D657435"/>
    <w:rsid w:val="3E985CDA"/>
    <w:rsid w:val="3F4E6958"/>
    <w:rsid w:val="4204506C"/>
    <w:rsid w:val="421A1DE2"/>
    <w:rsid w:val="42956F74"/>
    <w:rsid w:val="42B62A37"/>
    <w:rsid w:val="43D045A8"/>
    <w:rsid w:val="45424C4A"/>
    <w:rsid w:val="45E143E0"/>
    <w:rsid w:val="466B524A"/>
    <w:rsid w:val="46823E12"/>
    <w:rsid w:val="46CF5C1F"/>
    <w:rsid w:val="47347ED4"/>
    <w:rsid w:val="47481675"/>
    <w:rsid w:val="47BC0C8B"/>
    <w:rsid w:val="48A944CA"/>
    <w:rsid w:val="49247CD9"/>
    <w:rsid w:val="492C6132"/>
    <w:rsid w:val="495B5395"/>
    <w:rsid w:val="496B2BA7"/>
    <w:rsid w:val="49991D7E"/>
    <w:rsid w:val="4A813F18"/>
    <w:rsid w:val="4A9F48D0"/>
    <w:rsid w:val="4AFE304E"/>
    <w:rsid w:val="4C1436CB"/>
    <w:rsid w:val="4D227A97"/>
    <w:rsid w:val="4E4D4F9C"/>
    <w:rsid w:val="4E8358E8"/>
    <w:rsid w:val="4F1F09CE"/>
    <w:rsid w:val="4FA611B3"/>
    <w:rsid w:val="519F5AA2"/>
    <w:rsid w:val="51B503F8"/>
    <w:rsid w:val="520B0905"/>
    <w:rsid w:val="526E1486"/>
    <w:rsid w:val="53052CD4"/>
    <w:rsid w:val="534F5FE2"/>
    <w:rsid w:val="53535896"/>
    <w:rsid w:val="53860519"/>
    <w:rsid w:val="53E333C6"/>
    <w:rsid w:val="54593C76"/>
    <w:rsid w:val="546F6FF7"/>
    <w:rsid w:val="553B3EF1"/>
    <w:rsid w:val="55930515"/>
    <w:rsid w:val="55941913"/>
    <w:rsid w:val="559C139F"/>
    <w:rsid w:val="55A244F7"/>
    <w:rsid w:val="55E446F6"/>
    <w:rsid w:val="561741C4"/>
    <w:rsid w:val="577469B9"/>
    <w:rsid w:val="581E7591"/>
    <w:rsid w:val="58F21E8F"/>
    <w:rsid w:val="58F61756"/>
    <w:rsid w:val="59006D75"/>
    <w:rsid w:val="5A8F05E2"/>
    <w:rsid w:val="5B176633"/>
    <w:rsid w:val="5B2C433D"/>
    <w:rsid w:val="5B55302F"/>
    <w:rsid w:val="5CA11C6F"/>
    <w:rsid w:val="5CC31DC4"/>
    <w:rsid w:val="5D8A58D0"/>
    <w:rsid w:val="5E1029D5"/>
    <w:rsid w:val="5E8149E3"/>
    <w:rsid w:val="5F283A27"/>
    <w:rsid w:val="604A2C27"/>
    <w:rsid w:val="607A2994"/>
    <w:rsid w:val="60E21587"/>
    <w:rsid w:val="61371DBF"/>
    <w:rsid w:val="62036F93"/>
    <w:rsid w:val="621253EA"/>
    <w:rsid w:val="62346E2A"/>
    <w:rsid w:val="63F525EF"/>
    <w:rsid w:val="64ED7DF6"/>
    <w:rsid w:val="656735AD"/>
    <w:rsid w:val="65680850"/>
    <w:rsid w:val="65705BA3"/>
    <w:rsid w:val="65B039E9"/>
    <w:rsid w:val="65BF02DA"/>
    <w:rsid w:val="66186F67"/>
    <w:rsid w:val="664C2042"/>
    <w:rsid w:val="67714FD1"/>
    <w:rsid w:val="67AA0AB5"/>
    <w:rsid w:val="67B46E9D"/>
    <w:rsid w:val="67FC3F60"/>
    <w:rsid w:val="684B64CB"/>
    <w:rsid w:val="6904153A"/>
    <w:rsid w:val="69420AF4"/>
    <w:rsid w:val="6A006ACE"/>
    <w:rsid w:val="6AC26010"/>
    <w:rsid w:val="6AF71ECE"/>
    <w:rsid w:val="6BA5059F"/>
    <w:rsid w:val="6BA70785"/>
    <w:rsid w:val="6BBD07E0"/>
    <w:rsid w:val="6C845956"/>
    <w:rsid w:val="6CF91E10"/>
    <w:rsid w:val="6D180E4D"/>
    <w:rsid w:val="6DA14C09"/>
    <w:rsid w:val="6E6F0540"/>
    <w:rsid w:val="6E6F4D5D"/>
    <w:rsid w:val="6F320C1C"/>
    <w:rsid w:val="6F8070C0"/>
    <w:rsid w:val="6F9422EA"/>
    <w:rsid w:val="6F9570EC"/>
    <w:rsid w:val="6FAA5C3A"/>
    <w:rsid w:val="70A14871"/>
    <w:rsid w:val="70C20CF6"/>
    <w:rsid w:val="71080904"/>
    <w:rsid w:val="71A80F21"/>
    <w:rsid w:val="7204367D"/>
    <w:rsid w:val="725526ED"/>
    <w:rsid w:val="73484244"/>
    <w:rsid w:val="757F3B75"/>
    <w:rsid w:val="75B14258"/>
    <w:rsid w:val="77337E64"/>
    <w:rsid w:val="7754162F"/>
    <w:rsid w:val="775D2CF5"/>
    <w:rsid w:val="795F767E"/>
    <w:rsid w:val="79832A45"/>
    <w:rsid w:val="79882D2F"/>
    <w:rsid w:val="79B407BA"/>
    <w:rsid w:val="79C675D2"/>
    <w:rsid w:val="7B4427BD"/>
    <w:rsid w:val="7B83218C"/>
    <w:rsid w:val="7BE31528"/>
    <w:rsid w:val="7C5511B9"/>
    <w:rsid w:val="7D3E31C9"/>
    <w:rsid w:val="7EE44F73"/>
    <w:rsid w:val="7FA57890"/>
    <w:rsid w:val="7FA76E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cs="等线"/>
      <w:kern w:val="2"/>
      <w:sz w:val="21"/>
      <w:szCs w:val="21"/>
      <w:lang w:val="en-US" w:eastAsia="zh-CN" w:bidi="ar-SA"/>
    </w:rPr>
  </w:style>
  <w:style w:type="paragraph" w:styleId="5">
    <w:name w:val="heading 1"/>
    <w:basedOn w:val="1"/>
    <w:next w:val="1"/>
    <w:link w:val="42"/>
    <w:qFormat/>
    <w:uiPriority w:val="99"/>
    <w:pPr>
      <w:keepNext/>
      <w:keepLines/>
      <w:spacing w:before="340" w:after="330" w:line="578" w:lineRule="auto"/>
      <w:outlineLvl w:val="0"/>
    </w:pPr>
    <w:rPr>
      <w:rFonts w:cs="Times New Roman"/>
      <w:b/>
      <w:bCs/>
      <w:kern w:val="44"/>
      <w:sz w:val="44"/>
      <w:szCs w:val="44"/>
    </w:rPr>
  </w:style>
  <w:style w:type="paragraph" w:styleId="6">
    <w:name w:val="heading 2"/>
    <w:basedOn w:val="1"/>
    <w:next w:val="1"/>
    <w:link w:val="43"/>
    <w:qFormat/>
    <w:uiPriority w:val="9"/>
    <w:pPr>
      <w:keepNext/>
      <w:keepLines/>
      <w:tabs>
        <w:tab w:val="left" w:pos="1080"/>
      </w:tabs>
      <w:spacing w:line="360" w:lineRule="auto"/>
      <w:outlineLvl w:val="1"/>
    </w:pPr>
    <w:rPr>
      <w:rFonts w:ascii="宋体" w:cs="Times New Roman"/>
      <w:kern w:val="24"/>
      <w:sz w:val="24"/>
      <w:szCs w:val="24"/>
    </w:rPr>
  </w:style>
  <w:style w:type="paragraph" w:styleId="7">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8">
    <w:name w:val="heading 4"/>
    <w:basedOn w:val="1"/>
    <w:next w:val="1"/>
    <w:link w:val="45"/>
    <w:qFormat/>
    <w:uiPriority w:val="9"/>
    <w:pPr>
      <w:keepNext/>
      <w:keepLines/>
      <w:spacing w:before="280" w:after="290" w:line="376" w:lineRule="auto"/>
      <w:outlineLvl w:val="3"/>
    </w:pPr>
    <w:rPr>
      <w:rFonts w:ascii="Cambria" w:hAnsi="Cambria" w:cs="Times New Roman"/>
      <w:b/>
      <w:bCs/>
      <w:sz w:val="28"/>
      <w:szCs w:val="28"/>
    </w:rPr>
  </w:style>
  <w:style w:type="paragraph" w:styleId="9">
    <w:name w:val="heading 5"/>
    <w:basedOn w:val="1"/>
    <w:next w:val="10"/>
    <w:link w:val="46"/>
    <w:qFormat/>
    <w:uiPriority w:val="99"/>
    <w:pPr>
      <w:widowControl w:val="0"/>
      <w:ind w:firstLine="454"/>
      <w:outlineLvl w:val="4"/>
    </w:pPr>
    <w:rPr>
      <w:rFonts w:ascii="Calibri" w:hAnsi="Calibri" w:cs="Times New Roman"/>
    </w:rPr>
  </w:style>
  <w:style w:type="paragraph" w:styleId="10">
    <w:name w:val="heading 6"/>
    <w:basedOn w:val="1"/>
    <w:next w:val="1"/>
    <w:link w:val="47"/>
    <w:qFormat/>
    <w:uiPriority w:val="99"/>
    <w:pPr>
      <w:widowControl w:val="0"/>
      <w:ind w:firstLine="680"/>
      <w:outlineLvl w:val="5"/>
    </w:pPr>
    <w:rPr>
      <w:rFonts w:ascii="Calibri" w:hAnsi="Calibri" w:cs="Times New Roman"/>
    </w:rPr>
  </w:style>
  <w:style w:type="character" w:default="1" w:styleId="34">
    <w:name w:val="Default Paragraph Font"/>
    <w:unhideWhenUsed/>
    <w:qFormat/>
    <w:uiPriority w:val="1"/>
  </w:style>
  <w:style w:type="table" w:default="1" w:styleId="32">
    <w:name w:val="Normal Table"/>
    <w:unhideWhenUsed/>
    <w:qFormat/>
    <w:uiPriority w:val="99"/>
    <w:tblPr>
      <w:tblStyle w:val="32"/>
      <w:tblCellMar>
        <w:top w:w="0" w:type="dxa"/>
        <w:left w:w="108" w:type="dxa"/>
        <w:bottom w:w="0" w:type="dxa"/>
        <w:right w:w="108" w:type="dxa"/>
      </w:tblCellMar>
    </w:tblPr>
  </w:style>
  <w:style w:type="paragraph" w:styleId="2">
    <w:name w:val="Body Text First Indent 2"/>
    <w:basedOn w:val="3"/>
    <w:next w:val="4"/>
    <w:link w:val="41"/>
    <w:qFormat/>
    <w:uiPriority w:val="99"/>
    <w:pPr>
      <w:ind w:firstLine="420" w:firstLineChars="200"/>
    </w:pPr>
  </w:style>
  <w:style w:type="paragraph" w:styleId="3">
    <w:name w:val="Body Text Indent"/>
    <w:basedOn w:val="1"/>
    <w:next w:val="2"/>
    <w:link w:val="40"/>
    <w:qFormat/>
    <w:uiPriority w:val="99"/>
    <w:pPr>
      <w:widowControl w:val="0"/>
      <w:spacing w:after="120"/>
      <w:ind w:left="420" w:leftChars="200"/>
    </w:pPr>
    <w:rPr>
      <w:rFonts w:ascii="Calibri" w:hAnsi="Calibri" w:cs="Times New Roman"/>
    </w:rPr>
  </w:style>
  <w:style w:type="paragraph" w:customStyle="1" w:styleId="4">
    <w:name w:val="xl53"/>
    <w:basedOn w:val="1"/>
    <w:next w:val="1"/>
    <w:qFormat/>
    <w:uiPriority w:val="0"/>
    <w:pPr>
      <w:spacing w:before="280" w:after="280" w:line="100" w:lineRule="exact"/>
      <w:jc w:val="center"/>
    </w:pPr>
    <w:rPr>
      <w:b/>
      <w:sz w:val="20"/>
    </w:rPr>
  </w:style>
  <w:style w:type="paragraph" w:styleId="11">
    <w:name w:val="Normal Indent"/>
    <w:basedOn w:val="1"/>
    <w:link w:val="48"/>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2">
    <w:name w:val="caption"/>
    <w:basedOn w:val="1"/>
    <w:next w:val="1"/>
    <w:qFormat/>
    <w:uiPriority w:val="35"/>
    <w:rPr>
      <w:rFonts w:ascii="Arial" w:hAnsi="Arial" w:eastAsia="黑体"/>
      <w:sz w:val="20"/>
    </w:rPr>
  </w:style>
  <w:style w:type="paragraph" w:styleId="13">
    <w:name w:val="Document Map"/>
    <w:basedOn w:val="1"/>
    <w:link w:val="49"/>
    <w:qFormat/>
    <w:uiPriority w:val="99"/>
    <w:pPr>
      <w:widowControl w:val="0"/>
    </w:pPr>
    <w:rPr>
      <w:rFonts w:ascii="宋体" w:hAnsi="Calibri" w:cs="Times New Roman"/>
      <w:sz w:val="18"/>
      <w:szCs w:val="18"/>
    </w:rPr>
  </w:style>
  <w:style w:type="paragraph" w:styleId="14">
    <w:name w:val="annotation text"/>
    <w:basedOn w:val="1"/>
    <w:link w:val="50"/>
    <w:qFormat/>
    <w:uiPriority w:val="99"/>
    <w:pPr>
      <w:widowControl w:val="0"/>
      <w:jc w:val="left"/>
    </w:pPr>
    <w:rPr>
      <w:rFonts w:ascii="Calibri" w:hAnsi="Calibri" w:cs="Times New Roman"/>
    </w:rPr>
  </w:style>
  <w:style w:type="paragraph" w:styleId="15">
    <w:name w:val="Body Text 3"/>
    <w:basedOn w:val="1"/>
    <w:qFormat/>
    <w:uiPriority w:val="0"/>
    <w:pPr>
      <w:snapToGrid w:val="0"/>
      <w:spacing w:before="50" w:after="50"/>
    </w:pPr>
    <w:rPr>
      <w:rFonts w:ascii="Times New Roman" w:hAnsi="宋体" w:eastAsia="仿宋_GB2312"/>
      <w:b/>
      <w:bCs/>
      <w:sz w:val="24"/>
      <w:szCs w:val="20"/>
    </w:rPr>
  </w:style>
  <w:style w:type="paragraph" w:styleId="16">
    <w:name w:val="Body Text"/>
    <w:basedOn w:val="1"/>
    <w:next w:val="17"/>
    <w:link w:val="51"/>
    <w:qFormat/>
    <w:uiPriority w:val="99"/>
    <w:pPr>
      <w:widowControl w:val="0"/>
      <w:spacing w:after="120"/>
    </w:pPr>
    <w:rPr>
      <w:rFonts w:ascii="Calibri" w:hAnsi="Calibri" w:cs="Times New Roman"/>
    </w:rPr>
  </w:style>
  <w:style w:type="paragraph" w:customStyle="1" w:styleId="17">
    <w:name w:val="样式 表格正文 + 两端对齐"/>
    <w:basedOn w:val="1"/>
    <w:next w:val="18"/>
    <w:qFormat/>
    <w:uiPriority w:val="99"/>
    <w:pPr>
      <w:spacing w:line="300" w:lineRule="auto"/>
    </w:pPr>
    <w:rPr>
      <w:sz w:val="24"/>
    </w:rPr>
  </w:style>
  <w:style w:type="paragraph" w:customStyle="1" w:styleId="18">
    <w:name w:val="正文1"/>
    <w:basedOn w:val="1"/>
    <w:next w:val="19"/>
    <w:qFormat/>
    <w:uiPriority w:val="0"/>
    <w:pPr>
      <w:tabs>
        <w:tab w:val="left" w:pos="1980"/>
        <w:tab w:val="left" w:pos="2160"/>
      </w:tabs>
      <w:spacing w:line="360" w:lineRule="auto"/>
      <w:ind w:left="2160"/>
    </w:pPr>
    <w:rPr>
      <w:rFonts w:ascii="宋体" w:hAnsi="宋体"/>
    </w:rPr>
  </w:style>
  <w:style w:type="paragraph" w:customStyle="1" w:styleId="19">
    <w:name w:val="自动更正"/>
    <w:qFormat/>
    <w:uiPriority w:val="99"/>
    <w:pPr>
      <w:widowControl w:val="0"/>
      <w:jc w:val="both"/>
    </w:pPr>
    <w:rPr>
      <w:rFonts w:ascii="黑体" w:hAnsi="黑体" w:eastAsia="微软雅黑" w:cs="黑体"/>
      <w:kern w:val="2"/>
      <w:sz w:val="21"/>
      <w:szCs w:val="21"/>
      <w:lang w:val="en-US" w:eastAsia="zh-CN" w:bidi="ar-SA"/>
    </w:rPr>
  </w:style>
  <w:style w:type="paragraph" w:styleId="20">
    <w:name w:val="toc 3"/>
    <w:basedOn w:val="1"/>
    <w:next w:val="1"/>
    <w:unhideWhenUsed/>
    <w:qFormat/>
    <w:uiPriority w:val="39"/>
    <w:pPr>
      <w:ind w:left="840" w:leftChars="400"/>
    </w:pPr>
  </w:style>
  <w:style w:type="paragraph" w:styleId="21">
    <w:name w:val="Plain Text"/>
    <w:basedOn w:val="1"/>
    <w:link w:val="52"/>
    <w:qFormat/>
    <w:uiPriority w:val="0"/>
    <w:pPr>
      <w:widowControl w:val="0"/>
    </w:pPr>
    <w:rPr>
      <w:rFonts w:ascii="宋体" w:hAnsi="Courier New" w:cs="Times New Roman"/>
    </w:rPr>
  </w:style>
  <w:style w:type="paragraph" w:styleId="22">
    <w:name w:val="Date"/>
    <w:basedOn w:val="1"/>
    <w:next w:val="1"/>
    <w:qFormat/>
    <w:uiPriority w:val="0"/>
    <w:pPr>
      <w:ind w:left="2500" w:leftChars="2500"/>
    </w:pPr>
    <w:rPr>
      <w:rFonts w:eastAsia="楷体_GB2312"/>
      <w:sz w:val="32"/>
      <w:szCs w:val="20"/>
    </w:rPr>
  </w:style>
  <w:style w:type="paragraph" w:styleId="23">
    <w:name w:val="Balloon Text"/>
    <w:basedOn w:val="1"/>
    <w:link w:val="53"/>
    <w:qFormat/>
    <w:uiPriority w:val="99"/>
    <w:pPr>
      <w:widowControl w:val="0"/>
    </w:pPr>
    <w:rPr>
      <w:rFonts w:ascii="Calibri" w:hAnsi="Calibri" w:cs="Times New Roman"/>
      <w:sz w:val="18"/>
      <w:szCs w:val="18"/>
    </w:rPr>
  </w:style>
  <w:style w:type="paragraph" w:styleId="24">
    <w:name w:val="footer"/>
    <w:basedOn w:val="1"/>
    <w:link w:val="54"/>
    <w:qFormat/>
    <w:uiPriority w:val="99"/>
    <w:pPr>
      <w:tabs>
        <w:tab w:val="center" w:pos="4153"/>
        <w:tab w:val="right" w:pos="8306"/>
      </w:tabs>
      <w:snapToGrid w:val="0"/>
      <w:jc w:val="left"/>
    </w:pPr>
    <w:rPr>
      <w:rFonts w:cs="Times New Roman"/>
      <w:sz w:val="18"/>
      <w:szCs w:val="18"/>
    </w:rPr>
  </w:style>
  <w:style w:type="paragraph" w:styleId="25">
    <w:name w:val="header"/>
    <w:basedOn w:val="1"/>
    <w:link w:val="55"/>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6">
    <w:name w:val="Body Text Indent 3"/>
    <w:basedOn w:val="1"/>
    <w:qFormat/>
    <w:uiPriority w:val="0"/>
    <w:pPr>
      <w:snapToGrid w:val="0"/>
      <w:ind w:firstLine="480" w:firstLineChars="200"/>
      <w:jc w:val="left"/>
    </w:pPr>
    <w:rPr>
      <w:rFonts w:ascii="仿宋_GB2312" w:hAnsi="宋体" w:eastAsia="仿宋_GB2312"/>
      <w:color w:val="000000"/>
      <w:sz w:val="24"/>
      <w:szCs w:val="24"/>
    </w:rPr>
  </w:style>
  <w:style w:type="paragraph" w:styleId="27">
    <w:name w:val="Body Text 2"/>
    <w:basedOn w:val="1"/>
    <w:qFormat/>
    <w:uiPriority w:val="0"/>
    <w:rPr>
      <w:rFonts w:ascii="宋体" w:hAnsi="Times New Roman" w:cs="Times New Roman"/>
      <w:color w:val="000000"/>
      <w:sz w:val="28"/>
    </w:rPr>
  </w:style>
  <w:style w:type="paragraph" w:styleId="28">
    <w:name w:val="HTML Preformatted"/>
    <w:basedOn w:val="1"/>
    <w:link w:val="56"/>
    <w:qFormat/>
    <w:uiPriority w:val="99"/>
    <w:pPr>
      <w:widowControl w:val="0"/>
    </w:pPr>
    <w:rPr>
      <w:rFonts w:ascii="Courier New" w:hAnsi="Courier New" w:cs="Times New Roman"/>
      <w:sz w:val="20"/>
      <w:szCs w:val="20"/>
    </w:rPr>
  </w:style>
  <w:style w:type="paragraph" w:styleId="29">
    <w:name w:val="Normal (Web)"/>
    <w:basedOn w:val="1"/>
    <w:qFormat/>
    <w:uiPriority w:val="0"/>
    <w:pPr>
      <w:widowControl w:val="0"/>
    </w:pPr>
    <w:rPr>
      <w:rFonts w:ascii="Calibri" w:hAnsi="Calibri" w:cs="Calibri"/>
      <w:sz w:val="24"/>
      <w:szCs w:val="24"/>
    </w:rPr>
  </w:style>
  <w:style w:type="paragraph" w:styleId="30">
    <w:name w:val="annotation subject"/>
    <w:basedOn w:val="14"/>
    <w:next w:val="14"/>
    <w:link w:val="57"/>
    <w:qFormat/>
    <w:uiPriority w:val="99"/>
    <w:rPr>
      <w:b/>
      <w:bCs/>
    </w:rPr>
  </w:style>
  <w:style w:type="paragraph" w:styleId="31">
    <w:name w:val="Body Text First Indent"/>
    <w:basedOn w:val="16"/>
    <w:unhideWhenUsed/>
    <w:uiPriority w:val="99"/>
    <w:pPr>
      <w:spacing w:after="120"/>
      <w:ind w:firstLine="420" w:firstLineChars="100"/>
    </w:pPr>
    <w:rPr>
      <w:rFonts w:ascii="Calibri" w:hAnsi="Calibri" w:eastAsia="宋体" w:cs="Times New Roman"/>
      <w:szCs w:val="22"/>
      <w:lang w:val="en-US" w:bidi="ar-SA"/>
    </w:rPr>
  </w:style>
  <w:style w:type="table" w:styleId="33">
    <w:name w:val="Table Grid"/>
    <w:basedOn w:val="32"/>
    <w:qFormat/>
    <w:uiPriority w:val="39"/>
    <w:rPr>
      <w:rFonts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99"/>
    <w:rPr>
      <w:b/>
      <w:bCs/>
    </w:rPr>
  </w:style>
  <w:style w:type="character" w:styleId="36">
    <w:name w:val="page number"/>
    <w:basedOn w:val="34"/>
    <w:qFormat/>
    <w:uiPriority w:val="99"/>
  </w:style>
  <w:style w:type="character" w:styleId="37">
    <w:name w:val="Emphasis"/>
    <w:qFormat/>
    <w:uiPriority w:val="20"/>
    <w:rPr>
      <w:rFonts w:eastAsia="黑体"/>
      <w:color w:val="auto"/>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正文文本缩进 Char"/>
    <w:link w:val="3"/>
    <w:qFormat/>
    <w:locked/>
    <w:uiPriority w:val="99"/>
    <w:rPr>
      <w:rFonts w:ascii="Calibri" w:hAnsi="Calibri" w:cs="Calibri"/>
      <w:kern w:val="2"/>
      <w:sz w:val="21"/>
      <w:szCs w:val="21"/>
    </w:rPr>
  </w:style>
  <w:style w:type="character" w:customStyle="1" w:styleId="41">
    <w:name w:val="正文首行缩进 2 Char"/>
    <w:link w:val="2"/>
    <w:qFormat/>
    <w:locked/>
    <w:uiPriority w:val="99"/>
    <w:rPr>
      <w:rFonts w:ascii="Calibri" w:hAnsi="Calibri" w:cs="Calibri"/>
      <w:kern w:val="2"/>
      <w:sz w:val="21"/>
      <w:szCs w:val="21"/>
    </w:rPr>
  </w:style>
  <w:style w:type="character" w:customStyle="1" w:styleId="42">
    <w:name w:val="标题 1 Char"/>
    <w:link w:val="5"/>
    <w:qFormat/>
    <w:locked/>
    <w:uiPriority w:val="99"/>
    <w:rPr>
      <w:rFonts w:ascii="等线" w:hAnsi="宋体" w:cs="等线"/>
      <w:b/>
      <w:bCs/>
      <w:kern w:val="44"/>
      <w:sz w:val="44"/>
      <w:szCs w:val="44"/>
    </w:rPr>
  </w:style>
  <w:style w:type="character" w:customStyle="1" w:styleId="43">
    <w:name w:val="标题 2 Char"/>
    <w:link w:val="6"/>
    <w:qFormat/>
    <w:locked/>
    <w:uiPriority w:val="9"/>
    <w:rPr>
      <w:rFonts w:ascii="宋体" w:hAnsi="宋体" w:cs="宋体"/>
      <w:kern w:val="24"/>
      <w:sz w:val="24"/>
      <w:szCs w:val="24"/>
    </w:rPr>
  </w:style>
  <w:style w:type="character" w:customStyle="1" w:styleId="44">
    <w:name w:val="标题 3 Char"/>
    <w:link w:val="7"/>
    <w:qFormat/>
    <w:locked/>
    <w:uiPriority w:val="9"/>
    <w:rPr>
      <w:rFonts w:ascii="黑体" w:hAnsi="宋体" w:eastAsia="黑体" w:cs="黑体"/>
      <w:color w:val="000000"/>
      <w:kern w:val="24"/>
      <w:sz w:val="24"/>
      <w:szCs w:val="24"/>
    </w:rPr>
  </w:style>
  <w:style w:type="character" w:customStyle="1" w:styleId="45">
    <w:name w:val="标题 4 Char"/>
    <w:link w:val="8"/>
    <w:qFormat/>
    <w:uiPriority w:val="9"/>
    <w:rPr>
      <w:rFonts w:ascii="Cambria" w:hAnsi="Cambria"/>
      <w:b/>
      <w:bCs/>
      <w:kern w:val="2"/>
      <w:sz w:val="28"/>
      <w:szCs w:val="28"/>
    </w:rPr>
  </w:style>
  <w:style w:type="character" w:customStyle="1" w:styleId="46">
    <w:name w:val="标题 5 Char"/>
    <w:link w:val="9"/>
    <w:qFormat/>
    <w:uiPriority w:val="99"/>
    <w:rPr>
      <w:rFonts w:ascii="Calibri" w:hAnsi="Calibri" w:cs="Calibri"/>
      <w:kern w:val="2"/>
      <w:sz w:val="21"/>
      <w:szCs w:val="21"/>
    </w:rPr>
  </w:style>
  <w:style w:type="character" w:customStyle="1" w:styleId="47">
    <w:name w:val="标题 6 Char"/>
    <w:link w:val="10"/>
    <w:qFormat/>
    <w:uiPriority w:val="99"/>
    <w:rPr>
      <w:rFonts w:ascii="Calibri" w:hAnsi="Calibri" w:cs="Calibri"/>
      <w:kern w:val="2"/>
      <w:sz w:val="21"/>
      <w:szCs w:val="21"/>
    </w:rPr>
  </w:style>
  <w:style w:type="character" w:customStyle="1" w:styleId="48">
    <w:name w:val="正文缩进 Char"/>
    <w:link w:val="11"/>
    <w:qFormat/>
    <w:uiPriority w:val="0"/>
    <w:rPr>
      <w:rFonts w:ascii="宋体" w:hAnsi="宋体"/>
      <w:snapToGrid w:val="0"/>
      <w:color w:val="000000"/>
      <w:kern w:val="28"/>
      <w:sz w:val="28"/>
    </w:rPr>
  </w:style>
  <w:style w:type="character" w:customStyle="1" w:styleId="49">
    <w:name w:val="文档结构图 Char"/>
    <w:link w:val="13"/>
    <w:qFormat/>
    <w:uiPriority w:val="99"/>
    <w:rPr>
      <w:rFonts w:ascii="宋体" w:hAnsi="Calibri" w:cs="宋体"/>
      <w:kern w:val="2"/>
      <w:sz w:val="18"/>
      <w:szCs w:val="18"/>
    </w:rPr>
  </w:style>
  <w:style w:type="character" w:customStyle="1" w:styleId="50">
    <w:name w:val="批注文字 Char"/>
    <w:link w:val="14"/>
    <w:qFormat/>
    <w:uiPriority w:val="99"/>
    <w:rPr>
      <w:rFonts w:ascii="Calibri" w:hAnsi="Calibri" w:cs="Calibri"/>
      <w:kern w:val="2"/>
      <w:sz w:val="21"/>
      <w:szCs w:val="21"/>
    </w:rPr>
  </w:style>
  <w:style w:type="character" w:customStyle="1" w:styleId="51">
    <w:name w:val="正文文本 Char"/>
    <w:link w:val="16"/>
    <w:qFormat/>
    <w:uiPriority w:val="99"/>
    <w:rPr>
      <w:rFonts w:ascii="Calibri" w:hAnsi="Calibri" w:cs="Calibri"/>
      <w:kern w:val="2"/>
      <w:sz w:val="21"/>
      <w:szCs w:val="21"/>
    </w:rPr>
  </w:style>
  <w:style w:type="character" w:customStyle="1" w:styleId="52">
    <w:name w:val="纯文本 Char"/>
    <w:link w:val="21"/>
    <w:qFormat/>
    <w:locked/>
    <w:uiPriority w:val="0"/>
    <w:rPr>
      <w:rFonts w:ascii="宋体" w:hAnsi="Courier New" w:cs="宋体"/>
      <w:kern w:val="2"/>
      <w:sz w:val="21"/>
      <w:szCs w:val="21"/>
    </w:rPr>
  </w:style>
  <w:style w:type="character" w:customStyle="1" w:styleId="53">
    <w:name w:val="批注框文本 Char"/>
    <w:link w:val="23"/>
    <w:qFormat/>
    <w:uiPriority w:val="99"/>
    <w:rPr>
      <w:rFonts w:ascii="Calibri" w:hAnsi="Calibri" w:cs="Calibri"/>
      <w:kern w:val="2"/>
      <w:sz w:val="18"/>
      <w:szCs w:val="18"/>
    </w:rPr>
  </w:style>
  <w:style w:type="character" w:customStyle="1" w:styleId="54">
    <w:name w:val="页脚 Char"/>
    <w:link w:val="24"/>
    <w:qFormat/>
    <w:uiPriority w:val="99"/>
    <w:rPr>
      <w:rFonts w:ascii="等线" w:hAnsi="宋体" w:cs="等线"/>
      <w:kern w:val="2"/>
      <w:sz w:val="18"/>
      <w:szCs w:val="18"/>
    </w:rPr>
  </w:style>
  <w:style w:type="character" w:customStyle="1" w:styleId="55">
    <w:name w:val="页眉 Char"/>
    <w:link w:val="25"/>
    <w:qFormat/>
    <w:locked/>
    <w:uiPriority w:val="99"/>
    <w:rPr>
      <w:rFonts w:ascii="Calibri" w:hAnsi="Calibri" w:cs="Calibri"/>
      <w:kern w:val="2"/>
      <w:sz w:val="18"/>
      <w:szCs w:val="18"/>
    </w:rPr>
  </w:style>
  <w:style w:type="character" w:customStyle="1" w:styleId="56">
    <w:name w:val="HTML 预设格式 Char"/>
    <w:link w:val="28"/>
    <w:qFormat/>
    <w:uiPriority w:val="99"/>
    <w:rPr>
      <w:rFonts w:ascii="Courier New" w:hAnsi="Courier New" w:cs="Courier New"/>
      <w:kern w:val="2"/>
    </w:rPr>
  </w:style>
  <w:style w:type="character" w:customStyle="1" w:styleId="57">
    <w:name w:val="批注主题 Char"/>
    <w:link w:val="30"/>
    <w:qFormat/>
    <w:uiPriority w:val="99"/>
    <w:rPr>
      <w:rFonts w:ascii="Calibri" w:hAnsi="Calibri" w:cs="Calibri"/>
      <w:b/>
      <w:bCs/>
      <w:kern w:val="2"/>
      <w:sz w:val="21"/>
      <w:szCs w:val="21"/>
    </w:rPr>
  </w:style>
  <w:style w:type="character" w:customStyle="1" w:styleId="58">
    <w:name w:val="font51"/>
    <w:qFormat/>
    <w:uiPriority w:val="99"/>
    <w:rPr>
      <w:rFonts w:ascii="宋体" w:hAnsi="宋体" w:eastAsia="宋体" w:cs="宋体"/>
      <w:color w:val="000000"/>
      <w:sz w:val="20"/>
      <w:szCs w:val="20"/>
      <w:u w:val="none"/>
    </w:rPr>
  </w:style>
  <w:style w:type="character" w:customStyle="1" w:styleId="59">
    <w:name w:val="font61"/>
    <w:qFormat/>
    <w:uiPriority w:val="99"/>
    <w:rPr>
      <w:rFonts w:ascii="宋体" w:hAnsi="宋体" w:eastAsia="宋体" w:cs="宋体"/>
      <w:color w:val="7030A0"/>
      <w:sz w:val="20"/>
      <w:szCs w:val="20"/>
      <w:u w:val="none"/>
    </w:rPr>
  </w:style>
  <w:style w:type="character" w:customStyle="1" w:styleId="60">
    <w:name w:val="large1"/>
    <w:qFormat/>
    <w:uiPriority w:val="99"/>
    <w:rPr>
      <w:rFonts w:ascii="宋体" w:hAnsi="宋体" w:eastAsia="宋体" w:cs="宋体"/>
      <w:sz w:val="21"/>
      <w:szCs w:val="21"/>
    </w:rPr>
  </w:style>
  <w:style w:type="character" w:customStyle="1" w:styleId="61">
    <w:name w:val="不明显强调1"/>
    <w:qFormat/>
    <w:uiPriority w:val="99"/>
    <w:rPr>
      <w:i/>
      <w:iCs/>
      <w:color w:val="auto"/>
    </w:rPr>
  </w:style>
  <w:style w:type="character" w:customStyle="1" w:styleId="62">
    <w:name w:val="font71"/>
    <w:qFormat/>
    <w:uiPriority w:val="99"/>
    <w:rPr>
      <w:rFonts w:ascii="宋体" w:hAnsi="宋体" w:eastAsia="宋体" w:cs="宋体"/>
      <w:color w:val="000000"/>
      <w:sz w:val="18"/>
      <w:szCs w:val="18"/>
      <w:u w:val="none"/>
    </w:rPr>
  </w:style>
  <w:style w:type="character" w:customStyle="1" w:styleId="63">
    <w:name w:val="font41"/>
    <w:qFormat/>
    <w:uiPriority w:val="99"/>
    <w:rPr>
      <w:rFonts w:ascii="Calibri" w:hAnsi="Calibri" w:cs="Calibri"/>
      <w:color w:val="000000"/>
      <w:sz w:val="18"/>
      <w:szCs w:val="18"/>
      <w:u w:val="none"/>
    </w:rPr>
  </w:style>
  <w:style w:type="character" w:customStyle="1" w:styleId="64">
    <w:name w:val="font11"/>
    <w:basedOn w:val="34"/>
    <w:qFormat/>
    <w:uiPriority w:val="99"/>
    <w:rPr>
      <w:rFonts w:ascii="宋体" w:hAnsi="宋体" w:eastAsia="宋体" w:cs="宋体"/>
      <w:color w:val="000000"/>
      <w:sz w:val="22"/>
      <w:szCs w:val="22"/>
      <w:u w:val="none"/>
    </w:rPr>
  </w:style>
  <w:style w:type="character" w:customStyle="1" w:styleId="65">
    <w:name w:val="font131"/>
    <w:qFormat/>
    <w:uiPriority w:val="99"/>
    <w:rPr>
      <w:rFonts w:ascii="等线" w:hAnsi="等线" w:eastAsia="等线" w:cs="等线"/>
      <w:color w:val="FF0000"/>
      <w:sz w:val="22"/>
      <w:szCs w:val="22"/>
      <w:u w:val="none"/>
    </w:rPr>
  </w:style>
  <w:style w:type="character" w:customStyle="1" w:styleId="66">
    <w:name w:val="font161"/>
    <w:qFormat/>
    <w:uiPriority w:val="99"/>
    <w:rPr>
      <w:rFonts w:ascii="宋体" w:hAnsi="宋体" w:eastAsia="宋体" w:cs="宋体"/>
      <w:color w:val="000000"/>
      <w:sz w:val="20"/>
      <w:szCs w:val="20"/>
      <w:u w:val="none"/>
    </w:rPr>
  </w:style>
  <w:style w:type="character" w:customStyle="1" w:styleId="67">
    <w:name w:val="！正文（四号字） Char"/>
    <w:link w:val="68"/>
    <w:qFormat/>
    <w:uiPriority w:val="0"/>
    <w:rPr>
      <w:sz w:val="24"/>
      <w:szCs w:val="28"/>
      <w:lang w:val="en-US" w:eastAsia="zh-CN" w:bidi="ar-SA"/>
    </w:rPr>
  </w:style>
  <w:style w:type="paragraph" w:customStyle="1" w:styleId="68">
    <w:name w:val="！正文（四号字）"/>
    <w:link w:val="67"/>
    <w:qFormat/>
    <w:locked/>
    <w:uiPriority w:val="0"/>
    <w:pPr>
      <w:snapToGrid w:val="0"/>
      <w:spacing w:line="360" w:lineRule="auto"/>
      <w:ind w:firstLine="200" w:firstLineChars="200"/>
      <w:jc w:val="both"/>
    </w:pPr>
    <w:rPr>
      <w:sz w:val="24"/>
      <w:szCs w:val="28"/>
      <w:lang w:val="en-US" w:eastAsia="zh-CN" w:bidi="ar-SA"/>
    </w:rPr>
  </w:style>
  <w:style w:type="character" w:customStyle="1" w:styleId="69">
    <w:name w:val="font141"/>
    <w:qFormat/>
    <w:uiPriority w:val="99"/>
    <w:rPr>
      <w:rFonts w:ascii="宋体" w:hAnsi="宋体" w:eastAsia="宋体" w:cs="宋体"/>
      <w:color w:val="000000"/>
      <w:sz w:val="20"/>
      <w:szCs w:val="20"/>
      <w:u w:val="none"/>
    </w:rPr>
  </w:style>
  <w:style w:type="character" w:customStyle="1" w:styleId="70">
    <w:name w:val="font171"/>
    <w:qFormat/>
    <w:uiPriority w:val="99"/>
    <w:rPr>
      <w:rFonts w:ascii="font-weight : 400" w:hAnsi="font-weight : 400" w:cs="font-weight : 400"/>
      <w:color w:val="000000"/>
      <w:sz w:val="20"/>
      <w:szCs w:val="20"/>
      <w:u w:val="none"/>
    </w:rPr>
  </w:style>
  <w:style w:type="character" w:customStyle="1" w:styleId="71">
    <w:name w:val="font01"/>
    <w:qFormat/>
    <w:uiPriority w:val="99"/>
    <w:rPr>
      <w:rFonts w:ascii="宋体" w:hAnsi="宋体" w:eastAsia="宋体" w:cs="宋体"/>
      <w:color w:val="000000"/>
      <w:sz w:val="20"/>
      <w:szCs w:val="20"/>
      <w:u w:val="none"/>
    </w:rPr>
  </w:style>
  <w:style w:type="character" w:customStyle="1" w:styleId="72">
    <w:name w:val="font151"/>
    <w:qFormat/>
    <w:uiPriority w:val="99"/>
    <w:rPr>
      <w:rFonts w:ascii="宋体" w:hAnsi="宋体" w:eastAsia="宋体" w:cs="宋体"/>
      <w:color w:val="000000"/>
      <w:sz w:val="20"/>
      <w:szCs w:val="20"/>
      <w:u w:val="none"/>
    </w:rPr>
  </w:style>
  <w:style w:type="character" w:customStyle="1" w:styleId="73">
    <w:name w:val="font21"/>
    <w:qFormat/>
    <w:uiPriority w:val="99"/>
    <w:rPr>
      <w:rFonts w:ascii="宋体" w:hAnsi="宋体" w:eastAsia="宋体" w:cs="宋体"/>
      <w:color w:val="000000"/>
      <w:sz w:val="22"/>
      <w:szCs w:val="22"/>
      <w:u w:val="none"/>
    </w:rPr>
  </w:style>
  <w:style w:type="character" w:customStyle="1" w:styleId="74">
    <w:name w:val="font31"/>
    <w:qFormat/>
    <w:uiPriority w:val="99"/>
    <w:rPr>
      <w:rFonts w:ascii="宋体" w:hAnsi="宋体" w:eastAsia="宋体" w:cs="宋体"/>
      <w:color w:val="000000"/>
      <w:sz w:val="24"/>
      <w:szCs w:val="24"/>
      <w:u w:val="none"/>
    </w:rPr>
  </w:style>
  <w:style w:type="paragraph" w:customStyle="1" w:styleId="75">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76">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77">
    <w:name w:val="bg正文"/>
    <w:basedOn w:val="1"/>
    <w:qFormat/>
    <w:uiPriority w:val="0"/>
    <w:pPr>
      <w:spacing w:line="360" w:lineRule="auto"/>
      <w:jc w:val="left"/>
    </w:pPr>
    <w:rPr>
      <w:rFonts w:ascii="仿宋" w:hAnsi="宋体" w:eastAsia="仿宋" w:cs="Times New Roman"/>
      <w:sz w:val="28"/>
      <w:szCs w:val="28"/>
    </w:rPr>
  </w:style>
  <w:style w:type="paragraph" w:customStyle="1" w:styleId="78">
    <w:name w:val="列出段落11"/>
    <w:basedOn w:val="1"/>
    <w:qFormat/>
    <w:uiPriority w:val="99"/>
    <w:pPr>
      <w:widowControl w:val="0"/>
      <w:ind w:firstLine="420" w:firstLineChars="200"/>
    </w:pPr>
    <w:rPr>
      <w:rFonts w:ascii="Calibri" w:hAnsi="Calibri" w:cs="Calibri"/>
    </w:rPr>
  </w:style>
  <w:style w:type="paragraph" w:customStyle="1" w:styleId="7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0">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1">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2">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84">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85">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86">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87">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88">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89">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0">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1">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2">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3">
    <w:name w:val="正文文字 Char"/>
    <w:basedOn w:val="1"/>
    <w:next w:val="2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94">
    <w:name w:val="_Style 131"/>
    <w:basedOn w:val="1"/>
    <w:next w:val="95"/>
    <w:qFormat/>
    <w:uiPriority w:val="34"/>
    <w:pPr>
      <w:ind w:firstLine="420" w:firstLineChars="200"/>
    </w:pPr>
    <w:rPr>
      <w:rFonts w:ascii="Calibri" w:hAnsi="Calibri" w:eastAsia="宋体" w:cs="Times New Roman"/>
    </w:rPr>
  </w:style>
  <w:style w:type="paragraph" w:styleId="95">
    <w:name w:val="List Paragraph"/>
    <w:basedOn w:val="1"/>
    <w:qFormat/>
    <w:uiPriority w:val="34"/>
    <w:pPr>
      <w:ind w:firstLine="420" w:firstLineChars="200"/>
    </w:pPr>
  </w:style>
  <w:style w:type="paragraph" w:customStyle="1" w:styleId="9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7">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98">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99">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0">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1">
    <w:name w:val="列出段落1"/>
    <w:basedOn w:val="1"/>
    <w:qFormat/>
    <w:uiPriority w:val="99"/>
    <w:pPr>
      <w:widowControl w:val="0"/>
      <w:ind w:firstLine="420" w:firstLineChars="200"/>
    </w:pPr>
    <w:rPr>
      <w:rFonts w:ascii="Calibri" w:hAnsi="Calibri" w:cs="Calibri"/>
    </w:rPr>
  </w:style>
  <w:style w:type="paragraph" w:customStyle="1" w:styleId="102">
    <w:name w:val="+正文"/>
    <w:basedOn w:val="1"/>
    <w:qFormat/>
    <w:uiPriority w:val="0"/>
    <w:pPr>
      <w:ind w:firstLine="200" w:firstLineChars="200"/>
    </w:pPr>
    <w:rPr>
      <w:rFonts w:cs="Times New Roman"/>
      <w:szCs w:val="24"/>
    </w:rPr>
  </w:style>
  <w:style w:type="paragraph" w:customStyle="1" w:styleId="103">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04">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5">
    <w:name w:val="xl95"/>
    <w:basedOn w:val="1"/>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6">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7">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0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09">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0">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_Style 49"/>
    <w:basedOn w:val="1"/>
    <w:next w:val="95"/>
    <w:qFormat/>
    <w:uiPriority w:val="34"/>
    <w:pPr>
      <w:ind w:firstLine="420" w:firstLineChars="200"/>
    </w:pPr>
    <w:rPr>
      <w:rFonts w:ascii="Calibri" w:hAnsi="Calibri" w:eastAsia="宋体" w:cs="Times New Roman"/>
    </w:rPr>
  </w:style>
  <w:style w:type="paragraph" w:customStyle="1" w:styleId="112">
    <w:name w:val="Table Paragraph"/>
    <w:basedOn w:val="1"/>
    <w:qFormat/>
    <w:uiPriority w:val="99"/>
    <w:pPr>
      <w:widowControl w:val="0"/>
    </w:pPr>
    <w:rPr>
      <w:rFonts w:ascii="PMingLiU" w:hAnsi="PMingLiU" w:eastAsia="PMingLiU" w:cs="PMingLiU"/>
      <w:lang w:val="zh-CN"/>
    </w:rPr>
  </w:style>
  <w:style w:type="paragraph" w:customStyle="1" w:styleId="113">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14">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5">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16">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7">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18">
    <w:name w:val="_Style 3"/>
    <w:qFormat/>
    <w:uiPriority w:val="99"/>
    <w:rPr>
      <w:rFonts w:ascii="Calibri" w:hAnsi="Calibri" w:cs="Calibri"/>
      <w:sz w:val="22"/>
      <w:szCs w:val="22"/>
      <w:lang w:val="en-US" w:eastAsia="zh-CN" w:bidi="ar-SA"/>
    </w:rPr>
  </w:style>
  <w:style w:type="paragraph" w:customStyle="1" w:styleId="119">
    <w:name w:val="列出段落2"/>
    <w:basedOn w:val="1"/>
    <w:qFormat/>
    <w:uiPriority w:val="0"/>
    <w:pPr>
      <w:ind w:firstLine="420" w:firstLineChars="200"/>
    </w:pPr>
  </w:style>
  <w:style w:type="paragraph" w:customStyle="1" w:styleId="120">
    <w:name w:val="_Style 2"/>
    <w:basedOn w:val="1"/>
    <w:qFormat/>
    <w:uiPriority w:val="99"/>
    <w:pPr>
      <w:widowControl w:val="0"/>
      <w:ind w:firstLine="420" w:firstLineChars="200"/>
    </w:pPr>
    <w:rPr>
      <w:rFonts w:ascii="Calibri" w:hAnsi="Calibri" w:cs="Calibri"/>
    </w:rPr>
  </w:style>
  <w:style w:type="paragraph" w:customStyle="1" w:styleId="12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2">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3">
    <w:name w:val="p0"/>
    <w:basedOn w:val="1"/>
    <w:qFormat/>
    <w:uiPriority w:val="0"/>
    <w:pPr>
      <w:ind w:left="108" w:right="108" w:firstLine="200"/>
    </w:pPr>
    <w:rPr>
      <w:rFonts w:ascii="Times New Roman" w:hAnsi="Times New Roman" w:eastAsia="微软雅黑" w:cs="Times New Roman"/>
      <w:kern w:val="0"/>
    </w:rPr>
  </w:style>
  <w:style w:type="paragraph" w:customStyle="1" w:styleId="124">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25">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6">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27">
    <w:name w:val="正文 New New New New"/>
    <w:qFormat/>
    <w:uiPriority w:val="99"/>
    <w:pPr>
      <w:widowControl w:val="0"/>
      <w:jc w:val="both"/>
    </w:pPr>
    <w:rPr>
      <w:rFonts w:ascii="Calibri" w:hAnsi="Calibri" w:cs="Calibri"/>
      <w:sz w:val="21"/>
      <w:szCs w:val="21"/>
      <w:lang w:val="en-US" w:eastAsia="zh-CN" w:bidi="ar-SA"/>
    </w:rPr>
  </w:style>
  <w:style w:type="paragraph" w:customStyle="1" w:styleId="128">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9">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0">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1">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2">
    <w:name w:val="Default"/>
    <w:qFormat/>
    <w:uiPriority w:val="99"/>
    <w:pPr>
      <w:widowControl w:val="0"/>
      <w:autoSpaceDE w:val="0"/>
      <w:autoSpaceDN w:val="0"/>
      <w:adjustRightInd w:val="0"/>
    </w:pPr>
    <w:rPr>
      <w:color w:val="000000"/>
      <w:sz w:val="24"/>
      <w:szCs w:val="24"/>
      <w:lang w:val="en-US" w:eastAsia="zh-CN" w:bidi="ar-SA"/>
    </w:rPr>
  </w:style>
  <w:style w:type="paragraph" w:customStyle="1" w:styleId="133">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4">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3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36">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37">
    <w:name w:val="普通(Web)1"/>
    <w:basedOn w:val="1"/>
    <w:next w:val="29"/>
    <w:qFormat/>
    <w:uiPriority w:val="99"/>
    <w:pPr>
      <w:spacing w:before="100" w:beforeAutospacing="1" w:after="100" w:afterAutospacing="1"/>
      <w:jc w:val="left"/>
    </w:pPr>
    <w:rPr>
      <w:rFonts w:ascii="宋体" w:cs="宋体"/>
      <w:color w:val="000000"/>
      <w:kern w:val="0"/>
      <w:sz w:val="24"/>
      <w:szCs w:val="24"/>
    </w:rPr>
  </w:style>
  <w:style w:type="paragraph" w:customStyle="1" w:styleId="138">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39">
    <w:name w:val="正文格式"/>
    <w:basedOn w:val="20"/>
    <w:qFormat/>
    <w:uiPriority w:val="0"/>
    <w:pPr>
      <w:tabs>
        <w:tab w:val="right" w:leader="dot" w:pos="8296"/>
      </w:tabs>
      <w:spacing w:line="360" w:lineRule="auto"/>
      <w:ind w:left="0" w:leftChars="0" w:firstLine="200" w:firstLineChars="200"/>
    </w:pPr>
    <w:rPr>
      <w:rFonts w:ascii="微软雅黑" w:hAnsi="微软雅黑" w:eastAsia="微软雅黑" w:cs="Times New Roman"/>
    </w:rPr>
  </w:style>
  <w:style w:type="character" w:customStyle="1" w:styleId="140">
    <w:name w:val="font12"/>
    <w:basedOn w:val="34"/>
    <w:qFormat/>
    <w:uiPriority w:val="0"/>
    <w:rPr>
      <w:rFonts w:hint="eastAsia" w:ascii="宋体" w:hAnsi="宋体" w:eastAsia="宋体" w:cs="宋体"/>
      <w:color w:val="000000"/>
      <w:sz w:val="22"/>
      <w:szCs w:val="22"/>
      <w:u w:val="none"/>
    </w:rPr>
  </w:style>
  <w:style w:type="character" w:customStyle="1" w:styleId="141">
    <w:name w:val="font122"/>
    <w:basedOn w:val="34"/>
    <w:qFormat/>
    <w:uiPriority w:val="0"/>
    <w:rPr>
      <w:rFonts w:ascii="微软雅黑" w:hAnsi="微软雅黑" w:eastAsia="微软雅黑" w:cs="微软雅黑"/>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wmf"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_rels/numbering.xml.rels><?xml version="1.0" encoding="UTF-8" standalone="yes"?><Relationships xmlns="http://schemas.openxmlformats.org/package/2006/relationships"><Relationship Id="rId1" Target="media/image2.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280</Pages>
  <Words>136342</Words>
  <Characters>167326</Characters>
  <Lines>168</Lines>
  <Paragraphs>47</Paragraphs>
  <TotalTime>4</TotalTime>
  <ScaleCrop>false</ScaleCrop>
  <LinksUpToDate>false</LinksUpToDate>
  <CharactersWithSpaces>182178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2021-05-11T08:34:00Z</dcterms:created>
  <dc:creator>2K-5</dc:creator>
  <cp:lastModifiedBy>WPS_1701756769</cp:lastModifiedBy>
  <cp:lastPrinted>2021-05-11T09:00:00Z</cp:lastPrinted>
  <dcterms:modified xsi:type="dcterms:W3CDTF">2024-02-22T06:23:30Z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0FC0C4D39CFF44E5A282F9AF645C7C2E_13</vt:lpwstr>
  </property>
</Properties>
</file>