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09C67">
      <w:pPr>
        <w:pStyle w:val="27"/>
        <w:jc w:val="center"/>
        <w:rPr>
          <w:rFonts w:hint="eastAsia" w:asciiTheme="minorEastAsia" w:hAnsiTheme="minorEastAsia" w:eastAsiaTheme="minorEastAsia" w:cstheme="minorEastAsia"/>
          <w:b/>
          <w:color w:val="auto"/>
          <w:sz w:val="48"/>
          <w:szCs w:val="48"/>
          <w:highlight w:val="none"/>
          <w:u w:val="none"/>
          <w:lang w:eastAsia="zh-CN"/>
        </w:rPr>
      </w:pPr>
    </w:p>
    <w:p w14:paraId="3EF4BF60">
      <w:pPr>
        <w:pStyle w:val="27"/>
        <w:jc w:val="center"/>
        <w:rPr>
          <w:color w:val="auto"/>
          <w:sz w:val="48"/>
          <w:szCs w:val="48"/>
          <w:highlight w:val="none"/>
          <w:u w:val="none"/>
        </w:rPr>
      </w:pPr>
      <w:r>
        <w:rPr>
          <w:rFonts w:hint="eastAsia" w:asciiTheme="minorEastAsia" w:hAnsiTheme="minorEastAsia" w:eastAsiaTheme="minorEastAsia" w:cstheme="minorEastAsia"/>
          <w:b/>
          <w:color w:val="auto"/>
          <w:sz w:val="48"/>
          <w:szCs w:val="48"/>
          <w:highlight w:val="none"/>
          <w:u w:val="none"/>
          <w:lang w:eastAsia="zh-CN"/>
        </w:rPr>
        <w:t>金华至臻工程咨询有限公司关于</w:t>
      </w:r>
      <w:r>
        <w:rPr>
          <w:rFonts w:hint="eastAsia" w:ascii="宋体" w:hAnsi="宋体"/>
          <w:b/>
          <w:bCs/>
          <w:color w:val="auto"/>
          <w:sz w:val="48"/>
          <w:szCs w:val="48"/>
          <w:highlight w:val="none"/>
          <w:u w:val="none"/>
          <w:lang w:val="en-US" w:eastAsia="zh-CN"/>
        </w:rPr>
        <w:t>南马镇中心小学校舍及道路改造项目</w:t>
      </w:r>
    </w:p>
    <w:p w14:paraId="6CA809A0">
      <w:pPr>
        <w:pStyle w:val="27"/>
        <w:rPr>
          <w:rFonts w:ascii="宋体" w:hAnsi="宋体" w:cs="宋体"/>
          <w:color w:val="auto"/>
          <w:sz w:val="40"/>
          <w:szCs w:val="40"/>
          <w:highlight w:val="none"/>
        </w:rPr>
      </w:pPr>
    </w:p>
    <w:p w14:paraId="3635E27C">
      <w:pPr>
        <w:pStyle w:val="27"/>
        <w:rPr>
          <w:rFonts w:ascii="宋体" w:hAnsi="宋体" w:cs="宋体"/>
          <w:color w:val="auto"/>
          <w:sz w:val="24"/>
          <w:szCs w:val="24"/>
          <w:highlight w:val="none"/>
        </w:rPr>
      </w:pPr>
    </w:p>
    <w:p w14:paraId="03C9F11B">
      <w:pPr>
        <w:pStyle w:val="33"/>
        <w:rPr>
          <w:color w:val="auto"/>
          <w:highlight w:val="none"/>
        </w:rPr>
      </w:pPr>
    </w:p>
    <w:p w14:paraId="38D42083">
      <w:pPr>
        <w:rPr>
          <w:color w:val="auto"/>
          <w:highlight w:val="none"/>
        </w:rPr>
      </w:pPr>
    </w:p>
    <w:p w14:paraId="04C847A5">
      <w:pPr>
        <w:pStyle w:val="33"/>
        <w:rPr>
          <w:color w:val="auto"/>
          <w:highlight w:val="none"/>
        </w:rPr>
      </w:pPr>
    </w:p>
    <w:p w14:paraId="351FB6CB">
      <w:pPr>
        <w:rPr>
          <w:rFonts w:ascii="宋体" w:hAnsi="宋体" w:cs="宋体"/>
          <w:color w:val="auto"/>
          <w:sz w:val="24"/>
          <w:highlight w:val="none"/>
        </w:rPr>
      </w:pPr>
    </w:p>
    <w:p w14:paraId="129C0476">
      <w:pPr>
        <w:pStyle w:val="17"/>
        <w:jc w:val="center"/>
        <w:rPr>
          <w:rFonts w:hint="eastAsia" w:ascii="宋体" w:hAnsi="宋体" w:cs="宋体"/>
          <w:b/>
          <w:bCs/>
          <w:color w:val="auto"/>
          <w:sz w:val="72"/>
          <w:szCs w:val="72"/>
          <w:highlight w:val="none"/>
          <w:lang w:val="en-US" w:eastAsia="zh-CN"/>
        </w:rPr>
      </w:pPr>
    </w:p>
    <w:p w14:paraId="704AD335">
      <w:pPr>
        <w:pStyle w:val="17"/>
        <w:jc w:val="center"/>
        <w:rPr>
          <w:color w:val="auto"/>
          <w:sz w:val="52"/>
          <w:szCs w:val="52"/>
          <w:highlight w:val="none"/>
        </w:rPr>
      </w:pPr>
      <w:r>
        <w:rPr>
          <w:rFonts w:hint="eastAsia" w:ascii="宋体" w:hAnsi="宋体" w:cs="宋体"/>
          <w:b/>
          <w:bCs/>
          <w:color w:val="auto"/>
          <w:sz w:val="52"/>
          <w:szCs w:val="52"/>
          <w:highlight w:val="none"/>
          <w:lang w:val="en-US" w:eastAsia="zh-CN"/>
        </w:rPr>
        <w:t>竞争性磋商文件</w:t>
      </w:r>
    </w:p>
    <w:p w14:paraId="5851EF39">
      <w:pPr>
        <w:rPr>
          <w:color w:val="auto"/>
          <w:highlight w:val="none"/>
        </w:rPr>
      </w:pPr>
    </w:p>
    <w:p w14:paraId="27719563">
      <w:pPr>
        <w:rPr>
          <w:rFonts w:ascii="宋体" w:hAnsi="宋体" w:cs="宋体"/>
          <w:color w:val="auto"/>
          <w:sz w:val="24"/>
          <w:highlight w:val="none"/>
        </w:rPr>
      </w:pPr>
    </w:p>
    <w:p w14:paraId="077C94BB">
      <w:pPr>
        <w:pStyle w:val="10"/>
        <w:rPr>
          <w:color w:val="auto"/>
          <w:highlight w:val="none"/>
        </w:rPr>
      </w:pPr>
    </w:p>
    <w:p w14:paraId="44D05132">
      <w:pPr>
        <w:pStyle w:val="11"/>
        <w:rPr>
          <w:color w:val="auto"/>
          <w:highlight w:val="none"/>
        </w:rPr>
      </w:pPr>
    </w:p>
    <w:p w14:paraId="7FD2E561">
      <w:pPr>
        <w:pStyle w:val="11"/>
        <w:rPr>
          <w:color w:val="auto"/>
          <w:highlight w:val="none"/>
        </w:rPr>
      </w:pPr>
    </w:p>
    <w:p w14:paraId="32592151">
      <w:pPr>
        <w:pStyle w:val="11"/>
        <w:rPr>
          <w:color w:val="auto"/>
          <w:highlight w:val="none"/>
        </w:rPr>
      </w:pPr>
    </w:p>
    <w:p w14:paraId="4D754176">
      <w:pPr>
        <w:pStyle w:val="11"/>
        <w:rPr>
          <w:color w:val="auto"/>
          <w:highlight w:val="none"/>
        </w:rPr>
      </w:pPr>
    </w:p>
    <w:p w14:paraId="147BD200">
      <w:pPr>
        <w:rPr>
          <w:rFonts w:ascii="宋体" w:hAnsi="宋体" w:cs="宋体"/>
          <w:color w:val="auto"/>
          <w:sz w:val="24"/>
          <w:highlight w:val="none"/>
        </w:rPr>
      </w:pPr>
    </w:p>
    <w:p w14:paraId="2DEE8236">
      <w:pPr>
        <w:spacing w:line="480" w:lineRule="auto"/>
        <w:ind w:firstLine="643" w:firstLineChars="200"/>
        <w:jc w:val="left"/>
        <w:rPr>
          <w:rFonts w:hint="default" w:ascii="宋体" w:hAnsi="宋体" w:eastAsia="宋体" w:cs="宋体"/>
          <w:b/>
          <w:bCs/>
          <w:color w:val="auto"/>
          <w:sz w:val="32"/>
          <w:szCs w:val="32"/>
          <w:highlight w:val="none"/>
          <w:lang w:val="en-US" w:eastAsia="zh-CN"/>
        </w:rPr>
      </w:pPr>
      <w:r>
        <w:rPr>
          <w:rFonts w:hint="eastAsia" w:ascii="宋体" w:hAnsi="宋体" w:cs="宋体"/>
          <w:b/>
          <w:bCs/>
          <w:color w:val="auto"/>
          <w:kern w:val="0"/>
          <w:sz w:val="32"/>
          <w:szCs w:val="32"/>
          <w:highlight w:val="none"/>
        </w:rPr>
        <w:t>磋商编号：</w:t>
      </w:r>
      <w:r>
        <w:rPr>
          <w:rFonts w:hint="eastAsia" w:ascii="宋体" w:hAnsi="宋体" w:cs="宋体"/>
          <w:b/>
          <w:bCs/>
          <w:color w:val="auto"/>
          <w:kern w:val="0"/>
          <w:sz w:val="32"/>
          <w:szCs w:val="32"/>
          <w:highlight w:val="none"/>
          <w:lang w:val="en-US" w:eastAsia="zh-CN"/>
        </w:rPr>
        <w:t>JHZZGC2025-002</w:t>
      </w:r>
    </w:p>
    <w:p w14:paraId="13C5818C">
      <w:pPr>
        <w:pStyle w:val="27"/>
        <w:ind w:firstLine="643" w:firstLineChars="200"/>
        <w:jc w:val="both"/>
        <w:rPr>
          <w:rFonts w:hint="eastAsia" w:ascii="宋体" w:hAnsi="宋体" w:eastAsia="宋体" w:cs="宋体"/>
          <w:b/>
          <w:bCs/>
          <w:color w:val="auto"/>
          <w:kern w:val="0"/>
          <w:sz w:val="32"/>
          <w:szCs w:val="32"/>
          <w:highlight w:val="none"/>
          <w:lang w:val="en-US" w:eastAsia="zh-CN" w:bidi="ar-SA"/>
        </w:rPr>
      </w:pPr>
      <w:r>
        <w:rPr>
          <w:rFonts w:hint="eastAsia" w:ascii="宋体" w:hAnsi="宋体" w:cs="宋体"/>
          <w:b/>
          <w:bCs/>
          <w:color w:val="auto"/>
          <w:kern w:val="0"/>
          <w:sz w:val="32"/>
          <w:szCs w:val="32"/>
          <w:highlight w:val="none"/>
        </w:rPr>
        <w:t>项目名称</w:t>
      </w:r>
      <w:r>
        <w:rPr>
          <w:rFonts w:hint="eastAsia" w:ascii="宋体" w:hAnsi="宋体" w:eastAsia="宋体" w:cs="宋体"/>
          <w:b/>
          <w:bCs/>
          <w:color w:val="auto"/>
          <w:kern w:val="0"/>
          <w:sz w:val="32"/>
          <w:szCs w:val="32"/>
          <w:highlight w:val="none"/>
          <w:lang w:val="en-US" w:eastAsia="zh-CN" w:bidi="ar-SA"/>
        </w:rPr>
        <w:t>：</w:t>
      </w:r>
      <w:r>
        <w:rPr>
          <w:rFonts w:hint="eastAsia" w:ascii="宋体" w:hAnsi="宋体" w:cs="宋体"/>
          <w:b/>
          <w:bCs/>
          <w:color w:val="auto"/>
          <w:kern w:val="0"/>
          <w:sz w:val="32"/>
          <w:szCs w:val="32"/>
          <w:highlight w:val="none"/>
          <w:lang w:val="en-US" w:eastAsia="zh-CN" w:bidi="ar-SA"/>
        </w:rPr>
        <w:t>南马镇中心小学校舍及道路改造项目</w:t>
      </w:r>
    </w:p>
    <w:p w14:paraId="53F79EAF">
      <w:pPr>
        <w:spacing w:line="480" w:lineRule="auto"/>
        <w:ind w:left="2244" w:leftChars="304" w:hanging="1606" w:hangingChars="500"/>
        <w:jc w:val="left"/>
        <w:rPr>
          <w:rFonts w:hint="eastAsia" w:ascii="宋体" w:hAnsi="宋体" w:cs="宋体"/>
          <w:b/>
          <w:bCs/>
          <w:color w:val="auto"/>
          <w:kern w:val="0"/>
          <w:sz w:val="32"/>
          <w:szCs w:val="32"/>
          <w:highlight w:val="none"/>
          <w:lang w:eastAsia="zh-CN"/>
        </w:rPr>
      </w:pPr>
    </w:p>
    <w:p w14:paraId="14B92785">
      <w:pPr>
        <w:spacing w:line="480" w:lineRule="auto"/>
        <w:ind w:firstLine="643" w:firstLineChars="200"/>
        <w:jc w:val="left"/>
        <w:rPr>
          <w:rFonts w:hint="eastAsia" w:ascii="宋体" w:hAnsi="宋体" w:eastAsia="宋体" w:cs="宋体"/>
          <w:b/>
          <w:bCs/>
          <w:color w:val="auto"/>
          <w:kern w:val="0"/>
          <w:sz w:val="32"/>
          <w:szCs w:val="32"/>
          <w:highlight w:val="none"/>
          <w:lang w:val="en-US" w:eastAsia="zh-CN" w:bidi="ar-SA"/>
        </w:rPr>
      </w:pPr>
      <w:r>
        <w:rPr>
          <w:rFonts w:hint="eastAsia" w:ascii="宋体" w:hAnsi="宋体" w:cs="宋体"/>
          <w:b/>
          <w:bCs/>
          <w:color w:val="auto"/>
          <w:kern w:val="0"/>
          <w:sz w:val="32"/>
          <w:szCs w:val="32"/>
          <w:highlight w:val="none"/>
        </w:rPr>
        <w:t>采购单位：</w:t>
      </w:r>
      <w:r>
        <w:rPr>
          <w:rFonts w:hint="eastAsia" w:ascii="宋体" w:hAnsi="宋体" w:cs="宋体"/>
          <w:b/>
          <w:bCs/>
          <w:color w:val="auto"/>
          <w:kern w:val="0"/>
          <w:sz w:val="32"/>
          <w:szCs w:val="32"/>
          <w:highlight w:val="none"/>
          <w:lang w:eastAsia="zh-CN"/>
        </w:rPr>
        <w:t>东阳市南马镇中心小学</w:t>
      </w:r>
      <w:r>
        <w:rPr>
          <w:rFonts w:hint="eastAsia" w:ascii="宋体" w:hAnsi="宋体" w:eastAsia="宋体" w:cs="宋体"/>
          <w:b/>
          <w:bCs/>
          <w:color w:val="auto"/>
          <w:kern w:val="0"/>
          <w:sz w:val="32"/>
          <w:szCs w:val="32"/>
          <w:highlight w:val="none"/>
          <w:lang w:val="en-US" w:eastAsia="zh-CN" w:bidi="ar-SA"/>
        </w:rPr>
        <w:t xml:space="preserve"> </w:t>
      </w:r>
    </w:p>
    <w:p w14:paraId="60CBB541">
      <w:pPr>
        <w:spacing w:line="480" w:lineRule="auto"/>
        <w:ind w:firstLine="643" w:firstLineChars="200"/>
        <w:jc w:val="left"/>
        <w:rPr>
          <w:rFonts w:hint="eastAsia" w:ascii="宋体" w:hAnsi="宋体" w:eastAsia="宋体" w:cs="宋体"/>
          <w:b/>
          <w:bCs/>
          <w:color w:val="auto"/>
          <w:kern w:val="0"/>
          <w:sz w:val="32"/>
          <w:szCs w:val="32"/>
          <w:highlight w:val="none"/>
          <w:lang w:eastAsia="zh-CN"/>
        </w:rPr>
      </w:pPr>
      <w:r>
        <w:rPr>
          <w:rFonts w:hint="eastAsia" w:ascii="宋体" w:hAnsi="宋体" w:cs="宋体"/>
          <w:b/>
          <w:bCs/>
          <w:color w:val="auto"/>
          <w:kern w:val="0"/>
          <w:sz w:val="32"/>
          <w:szCs w:val="32"/>
          <w:highlight w:val="none"/>
        </w:rPr>
        <w:t>招标机构：</w:t>
      </w:r>
      <w:r>
        <w:rPr>
          <w:rFonts w:hint="eastAsia" w:ascii="宋体" w:hAnsi="宋体" w:cs="宋体"/>
          <w:b/>
          <w:bCs/>
          <w:color w:val="auto"/>
          <w:kern w:val="0"/>
          <w:sz w:val="32"/>
          <w:szCs w:val="32"/>
          <w:highlight w:val="none"/>
          <w:lang w:eastAsia="zh-CN"/>
        </w:rPr>
        <w:t>金华至臻工程咨询有限公司</w:t>
      </w:r>
    </w:p>
    <w:p w14:paraId="617329C1">
      <w:pPr>
        <w:pStyle w:val="10"/>
        <w:rPr>
          <w:rFonts w:hint="eastAsia"/>
          <w:color w:val="auto"/>
          <w:highlight w:val="none"/>
        </w:rPr>
      </w:pPr>
    </w:p>
    <w:p w14:paraId="73DA1C32">
      <w:pPr>
        <w:pStyle w:val="22"/>
        <w:spacing w:line="480" w:lineRule="auto"/>
        <w:ind w:firstLine="859" w:firstLineChars="300"/>
        <w:jc w:val="both"/>
        <w:rPr>
          <w:rFonts w:ascii="宋体" w:hAnsi="宋体" w:cs="宋体"/>
          <w:b/>
          <w:color w:val="auto"/>
          <w:sz w:val="32"/>
          <w:szCs w:val="32"/>
          <w:highlight w:val="none"/>
        </w:rPr>
      </w:pPr>
      <w:r>
        <w:rPr>
          <w:rFonts w:hint="eastAsia" w:ascii="宋体" w:hAnsi="宋体" w:cs="宋体"/>
          <w:b/>
          <w:bCs/>
          <w:color w:val="auto"/>
          <w:w w:val="95"/>
          <w:sz w:val="30"/>
          <w:szCs w:val="30"/>
          <w:highlight w:val="none"/>
          <w:lang w:val="en-US" w:eastAsia="zh-CN"/>
        </w:rPr>
        <w:t xml:space="preserve">编制时间：二〇二五 </w:t>
      </w:r>
      <w:r>
        <w:rPr>
          <w:rFonts w:hint="eastAsia" w:ascii="宋体" w:hAnsi="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 xml:space="preserve"> 六 </w:t>
      </w:r>
      <w:r>
        <w:rPr>
          <w:rFonts w:hint="eastAsia" w:ascii="宋体" w:hAnsi="宋体" w:cs="宋体"/>
          <w:b/>
          <w:bCs/>
          <w:color w:val="auto"/>
          <w:w w:val="95"/>
          <w:sz w:val="30"/>
          <w:szCs w:val="30"/>
          <w:highlight w:val="none"/>
        </w:rPr>
        <w:t>月</w:t>
      </w:r>
    </w:p>
    <w:p w14:paraId="10A9C247">
      <w:pPr>
        <w:pStyle w:val="139"/>
        <w:widowControl w:val="0"/>
        <w:spacing w:beforeLines="125" w:afterLines="175" w:line="340" w:lineRule="exact"/>
        <w:ind w:firstLine="0" w:firstLineChars="0"/>
        <w:jc w:val="center"/>
        <w:rPr>
          <w:rFonts w:hint="eastAsia"/>
          <w:b/>
          <w:color w:val="auto"/>
          <w:sz w:val="48"/>
          <w:szCs w:val="48"/>
          <w:highlight w:val="none"/>
        </w:rPr>
      </w:pPr>
    </w:p>
    <w:p w14:paraId="3A9FE97C">
      <w:pPr>
        <w:pStyle w:val="139"/>
        <w:widowControl w:val="0"/>
        <w:spacing w:beforeLines="125" w:afterLines="175" w:line="340" w:lineRule="exact"/>
        <w:ind w:firstLine="0" w:firstLineChars="0"/>
        <w:jc w:val="both"/>
        <w:rPr>
          <w:rFonts w:hint="eastAsia"/>
          <w:b/>
          <w:color w:val="auto"/>
          <w:sz w:val="48"/>
          <w:szCs w:val="48"/>
          <w:highlight w:val="none"/>
        </w:rPr>
      </w:pPr>
    </w:p>
    <w:p w14:paraId="736CBE4E">
      <w:pPr>
        <w:pStyle w:val="139"/>
        <w:keepNext w:val="0"/>
        <w:keepLines w:val="0"/>
        <w:pageBreakBefore w:val="0"/>
        <w:widowControl w:val="0"/>
        <w:kinsoku/>
        <w:wordWrap/>
        <w:overflowPunct/>
        <w:topLinePunct w:val="0"/>
        <w:autoSpaceDE/>
        <w:autoSpaceDN/>
        <w:bidi w:val="0"/>
        <w:adjustRightInd/>
        <w:snapToGrid w:val="0"/>
        <w:spacing w:beforeLines="125" w:afterLines="175" w:line="360" w:lineRule="auto"/>
        <w:ind w:firstLine="0" w:firstLineChars="0"/>
        <w:jc w:val="center"/>
        <w:textAlignment w:val="auto"/>
        <w:rPr>
          <w:b/>
          <w:color w:val="auto"/>
          <w:sz w:val="48"/>
          <w:szCs w:val="48"/>
          <w:highlight w:val="none"/>
        </w:rPr>
      </w:pPr>
      <w:r>
        <w:rPr>
          <w:rFonts w:hint="eastAsia"/>
          <w:b/>
          <w:color w:val="auto"/>
          <w:sz w:val="48"/>
          <w:szCs w:val="48"/>
          <w:highlight w:val="none"/>
        </w:rPr>
        <w:t>目</w:t>
      </w:r>
      <w:r>
        <w:rPr>
          <w:rFonts w:hint="eastAsia"/>
          <w:b/>
          <w:color w:val="auto"/>
          <w:sz w:val="48"/>
          <w:szCs w:val="48"/>
          <w:highlight w:val="none"/>
          <w:lang w:val="en-US" w:eastAsia="zh-CN"/>
        </w:rPr>
        <w:t xml:space="preserve"> </w:t>
      </w:r>
      <w:r>
        <w:rPr>
          <w:rFonts w:hint="eastAsia"/>
          <w:b/>
          <w:color w:val="auto"/>
          <w:sz w:val="48"/>
          <w:szCs w:val="48"/>
          <w:highlight w:val="none"/>
        </w:rPr>
        <w:t>录</w:t>
      </w:r>
    </w:p>
    <w:sdt>
      <w:sdtPr>
        <w:rPr>
          <w:rFonts w:ascii="宋体" w:hAnsi="宋体"/>
          <w:color w:val="auto"/>
          <w:highlight w:val="none"/>
        </w:rPr>
        <w:id w:val="147476861"/>
        <w:docPartObj>
          <w:docPartGallery w:val="Table of Contents"/>
          <w:docPartUnique/>
        </w:docPartObj>
      </w:sdtPr>
      <w:sdtEndPr>
        <w:rPr>
          <w:rFonts w:ascii="Times New Roman" w:hAnsi="Times New Roman"/>
          <w:color w:val="auto"/>
          <w:highlight w:val="none"/>
        </w:rPr>
      </w:sdtEndPr>
      <w:sdtContent>
        <w:p w14:paraId="182B066A">
          <w:pPr>
            <w:jc w:val="center"/>
            <w:rPr>
              <w:color w:val="auto"/>
              <w:highlight w:val="none"/>
            </w:rPr>
          </w:pPr>
        </w:p>
        <w:p w14:paraId="350884FD">
          <w:pPr>
            <w:pStyle w:val="138"/>
            <w:tabs>
              <w:tab w:val="right" w:leader="dot" w:pos="9412"/>
            </w:tabs>
            <w:spacing w:line="360" w:lineRule="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TOC \o "1-1" \h \u </w:instrText>
          </w:r>
          <w:r>
            <w:rPr>
              <w:color w:val="auto"/>
              <w:sz w:val="30"/>
              <w:szCs w:val="30"/>
              <w:highlight w:val="none"/>
            </w:rPr>
            <w:fldChar w:fldCharType="separate"/>
          </w:r>
          <w:r>
            <w:rPr>
              <w:color w:val="auto"/>
              <w:highlight w:val="none"/>
            </w:rPr>
            <w:fldChar w:fldCharType="begin"/>
          </w:r>
          <w:r>
            <w:rPr>
              <w:color w:val="auto"/>
              <w:highlight w:val="none"/>
            </w:rPr>
            <w:instrText xml:space="preserve"> HYPERLINK \l "_Toc1215" </w:instrText>
          </w:r>
          <w:r>
            <w:rPr>
              <w:color w:val="auto"/>
              <w:highlight w:val="none"/>
            </w:rPr>
            <w:fldChar w:fldCharType="separate"/>
          </w:r>
          <w:r>
            <w:rPr>
              <w:rFonts w:hint="eastAsia"/>
              <w:color w:val="auto"/>
              <w:sz w:val="30"/>
              <w:szCs w:val="30"/>
              <w:highlight w:val="none"/>
            </w:rPr>
            <w:t>第一章  竞争性磋商公告</w:t>
          </w:r>
          <w:r>
            <w:rPr>
              <w:color w:val="auto"/>
              <w:sz w:val="30"/>
              <w:szCs w:val="30"/>
              <w:highlight w:val="none"/>
            </w:rPr>
            <w:fldChar w:fldCharType="end"/>
          </w:r>
        </w:p>
        <w:p w14:paraId="17E494BD">
          <w:pPr>
            <w:pStyle w:val="138"/>
            <w:tabs>
              <w:tab w:val="right" w:leader="dot" w:pos="9412"/>
            </w:tabs>
            <w:spacing w:line="360" w:lineRule="auto"/>
            <w:rPr>
              <w:color w:val="auto"/>
              <w:sz w:val="30"/>
              <w:szCs w:val="30"/>
              <w:highlight w:val="none"/>
            </w:rPr>
          </w:pPr>
          <w:r>
            <w:rPr>
              <w:color w:val="auto"/>
              <w:highlight w:val="none"/>
            </w:rPr>
            <w:fldChar w:fldCharType="begin"/>
          </w:r>
          <w:r>
            <w:rPr>
              <w:color w:val="auto"/>
              <w:highlight w:val="none"/>
            </w:rPr>
            <w:instrText xml:space="preserve"> HYPERLINK \l "_Toc6904" </w:instrText>
          </w:r>
          <w:r>
            <w:rPr>
              <w:color w:val="auto"/>
              <w:highlight w:val="none"/>
            </w:rPr>
            <w:fldChar w:fldCharType="separate"/>
          </w:r>
          <w:r>
            <w:rPr>
              <w:rFonts w:hint="eastAsia"/>
              <w:color w:val="auto"/>
              <w:sz w:val="30"/>
              <w:szCs w:val="30"/>
              <w:highlight w:val="none"/>
            </w:rPr>
            <w:t>第二章  采购需求</w:t>
          </w:r>
          <w:r>
            <w:rPr>
              <w:color w:val="auto"/>
              <w:sz w:val="30"/>
              <w:szCs w:val="30"/>
              <w:highlight w:val="none"/>
            </w:rPr>
            <w:fldChar w:fldCharType="end"/>
          </w:r>
        </w:p>
        <w:p w14:paraId="617445FC">
          <w:pPr>
            <w:pStyle w:val="138"/>
            <w:tabs>
              <w:tab w:val="right" w:leader="dot" w:pos="9412"/>
            </w:tabs>
            <w:spacing w:line="360" w:lineRule="auto"/>
            <w:rPr>
              <w:color w:val="auto"/>
              <w:sz w:val="30"/>
              <w:szCs w:val="30"/>
              <w:highlight w:val="none"/>
            </w:rPr>
          </w:pPr>
          <w:r>
            <w:rPr>
              <w:color w:val="auto"/>
              <w:highlight w:val="none"/>
            </w:rPr>
            <w:fldChar w:fldCharType="begin"/>
          </w:r>
          <w:r>
            <w:rPr>
              <w:color w:val="auto"/>
              <w:highlight w:val="none"/>
            </w:rPr>
            <w:instrText xml:space="preserve"> HYPERLINK \l "_Toc27500" </w:instrText>
          </w:r>
          <w:r>
            <w:rPr>
              <w:color w:val="auto"/>
              <w:highlight w:val="none"/>
            </w:rPr>
            <w:fldChar w:fldCharType="separate"/>
          </w:r>
          <w:r>
            <w:rPr>
              <w:rFonts w:hint="eastAsia"/>
              <w:color w:val="auto"/>
              <w:sz w:val="30"/>
              <w:szCs w:val="30"/>
              <w:highlight w:val="none"/>
            </w:rPr>
            <w:t>第三章  供应商须知</w:t>
          </w:r>
          <w:r>
            <w:rPr>
              <w:color w:val="auto"/>
              <w:sz w:val="30"/>
              <w:szCs w:val="30"/>
              <w:highlight w:val="none"/>
            </w:rPr>
            <w:fldChar w:fldCharType="end"/>
          </w:r>
        </w:p>
        <w:p w14:paraId="753EE8BE">
          <w:pPr>
            <w:pStyle w:val="138"/>
            <w:tabs>
              <w:tab w:val="right" w:leader="dot" w:pos="9412"/>
            </w:tabs>
            <w:spacing w:line="360" w:lineRule="auto"/>
            <w:rPr>
              <w:color w:val="auto"/>
              <w:sz w:val="30"/>
              <w:szCs w:val="30"/>
              <w:highlight w:val="none"/>
            </w:rPr>
          </w:pPr>
          <w:r>
            <w:rPr>
              <w:color w:val="auto"/>
              <w:highlight w:val="none"/>
            </w:rPr>
            <w:fldChar w:fldCharType="begin"/>
          </w:r>
          <w:r>
            <w:rPr>
              <w:color w:val="auto"/>
              <w:highlight w:val="none"/>
            </w:rPr>
            <w:instrText xml:space="preserve"> HYPERLINK \l "_Toc1829" </w:instrText>
          </w:r>
          <w:r>
            <w:rPr>
              <w:color w:val="auto"/>
              <w:highlight w:val="none"/>
            </w:rPr>
            <w:fldChar w:fldCharType="separate"/>
          </w:r>
          <w:r>
            <w:rPr>
              <w:rFonts w:hint="eastAsia"/>
              <w:color w:val="auto"/>
              <w:sz w:val="30"/>
              <w:szCs w:val="30"/>
              <w:highlight w:val="none"/>
            </w:rPr>
            <w:t>第四章  磋商评审办法及评分标准</w:t>
          </w:r>
          <w:r>
            <w:rPr>
              <w:color w:val="auto"/>
              <w:sz w:val="30"/>
              <w:szCs w:val="30"/>
              <w:highlight w:val="none"/>
            </w:rPr>
            <w:fldChar w:fldCharType="end"/>
          </w:r>
        </w:p>
        <w:p w14:paraId="090B1F24">
          <w:pPr>
            <w:pStyle w:val="138"/>
            <w:tabs>
              <w:tab w:val="right" w:leader="dot" w:pos="9412"/>
            </w:tabs>
            <w:spacing w:line="360" w:lineRule="auto"/>
            <w:rPr>
              <w:rFonts w:hint="default" w:eastAsia="宋体"/>
              <w:color w:val="auto"/>
              <w:sz w:val="30"/>
              <w:szCs w:val="30"/>
              <w:highlight w:val="none"/>
              <w:lang w:val="en-US" w:eastAsia="zh-CN"/>
            </w:rPr>
          </w:pPr>
          <w:r>
            <w:rPr>
              <w:color w:val="auto"/>
              <w:highlight w:val="none"/>
            </w:rPr>
            <w:fldChar w:fldCharType="begin"/>
          </w:r>
          <w:r>
            <w:rPr>
              <w:color w:val="auto"/>
              <w:highlight w:val="none"/>
            </w:rPr>
            <w:instrText xml:space="preserve"> HYPERLINK \l "_Toc31087" </w:instrText>
          </w:r>
          <w:r>
            <w:rPr>
              <w:color w:val="auto"/>
              <w:highlight w:val="none"/>
            </w:rPr>
            <w:fldChar w:fldCharType="separate"/>
          </w:r>
          <w:r>
            <w:rPr>
              <w:rFonts w:hint="eastAsia"/>
              <w:color w:val="auto"/>
              <w:sz w:val="30"/>
              <w:szCs w:val="30"/>
              <w:highlight w:val="none"/>
            </w:rPr>
            <w:t>第五章  合同</w:t>
          </w:r>
          <w:r>
            <w:rPr>
              <w:color w:val="auto"/>
              <w:sz w:val="30"/>
              <w:szCs w:val="30"/>
              <w:highlight w:val="none"/>
            </w:rPr>
            <w:fldChar w:fldCharType="end"/>
          </w:r>
          <w:r>
            <w:rPr>
              <w:rFonts w:hint="eastAsia"/>
              <w:color w:val="auto"/>
              <w:sz w:val="30"/>
              <w:szCs w:val="30"/>
              <w:highlight w:val="none"/>
              <w:lang w:val="en-US" w:eastAsia="zh-CN"/>
            </w:rPr>
            <w:t>主要条款</w:t>
          </w:r>
        </w:p>
        <w:p w14:paraId="10B53DB4">
          <w:pPr>
            <w:pStyle w:val="138"/>
            <w:tabs>
              <w:tab w:val="right" w:leader="dot" w:pos="9412"/>
            </w:tabs>
            <w:spacing w:line="360" w:lineRule="auto"/>
            <w:rPr>
              <w:color w:val="auto"/>
              <w:sz w:val="30"/>
              <w:szCs w:val="30"/>
              <w:highlight w:val="none"/>
            </w:rPr>
          </w:pPr>
          <w:r>
            <w:rPr>
              <w:color w:val="auto"/>
              <w:highlight w:val="none"/>
            </w:rPr>
            <w:fldChar w:fldCharType="begin"/>
          </w:r>
          <w:r>
            <w:rPr>
              <w:color w:val="auto"/>
              <w:highlight w:val="none"/>
            </w:rPr>
            <w:instrText xml:space="preserve"> HYPERLINK \l "_Toc19486" </w:instrText>
          </w:r>
          <w:r>
            <w:rPr>
              <w:color w:val="auto"/>
              <w:highlight w:val="none"/>
            </w:rPr>
            <w:fldChar w:fldCharType="separate"/>
          </w:r>
          <w:r>
            <w:rPr>
              <w:rFonts w:hint="eastAsia"/>
              <w:color w:val="auto"/>
              <w:sz w:val="30"/>
              <w:szCs w:val="30"/>
              <w:highlight w:val="none"/>
            </w:rPr>
            <w:t xml:space="preserve">第六章  </w:t>
          </w:r>
          <w:r>
            <w:rPr>
              <w:rFonts w:hint="eastAsia"/>
              <w:color w:val="auto"/>
              <w:sz w:val="30"/>
              <w:szCs w:val="30"/>
              <w:highlight w:val="none"/>
              <w:lang w:eastAsia="zh-CN"/>
            </w:rPr>
            <w:t>磋商</w:t>
          </w:r>
          <w:r>
            <w:rPr>
              <w:rFonts w:hint="eastAsia"/>
              <w:color w:val="auto"/>
              <w:sz w:val="30"/>
              <w:szCs w:val="30"/>
              <w:highlight w:val="none"/>
            </w:rPr>
            <w:t>响应文件</w:t>
          </w:r>
          <w:r>
            <w:rPr>
              <w:rFonts w:hint="eastAsia"/>
              <w:color w:val="auto"/>
              <w:sz w:val="30"/>
              <w:szCs w:val="30"/>
              <w:highlight w:val="none"/>
              <w:lang w:val="en-US" w:eastAsia="zh-CN"/>
            </w:rPr>
            <w:t>组成内容及</w:t>
          </w:r>
          <w:r>
            <w:rPr>
              <w:rFonts w:hint="eastAsia"/>
              <w:color w:val="auto"/>
              <w:sz w:val="30"/>
              <w:szCs w:val="30"/>
              <w:highlight w:val="none"/>
            </w:rPr>
            <w:t>格式</w:t>
          </w:r>
          <w:r>
            <w:rPr>
              <w:color w:val="auto"/>
              <w:sz w:val="30"/>
              <w:szCs w:val="30"/>
              <w:highlight w:val="none"/>
            </w:rPr>
            <w:fldChar w:fldCharType="end"/>
          </w:r>
        </w:p>
        <w:p w14:paraId="2BF2E862">
          <w:pPr>
            <w:spacing w:line="360" w:lineRule="auto"/>
            <w:rPr>
              <w:color w:val="auto"/>
              <w:highlight w:val="none"/>
            </w:rPr>
          </w:pPr>
          <w:r>
            <w:rPr>
              <w:color w:val="auto"/>
              <w:sz w:val="30"/>
              <w:szCs w:val="30"/>
              <w:highlight w:val="none"/>
            </w:rPr>
            <w:fldChar w:fldCharType="end"/>
          </w:r>
        </w:p>
      </w:sdtContent>
    </w:sdt>
    <w:p w14:paraId="49B1A2C3">
      <w:pPr>
        <w:pStyle w:val="33"/>
        <w:tabs>
          <w:tab w:val="right" w:leader="dot" w:pos="9127"/>
        </w:tabs>
        <w:rPr>
          <w:rFonts w:hint="default" w:eastAsia="宋体"/>
          <w:color w:val="auto"/>
          <w:highlight w:val="none"/>
          <w:lang w:val="en-US" w:eastAsia="zh-CN"/>
        </w:rPr>
      </w:pPr>
    </w:p>
    <w:p w14:paraId="0CD245B1">
      <w:pPr>
        <w:pStyle w:val="33"/>
        <w:tabs>
          <w:tab w:val="right" w:leader="dot" w:pos="9127"/>
        </w:tabs>
        <w:rPr>
          <w:rFonts w:hint="default" w:eastAsia="宋体"/>
          <w:color w:val="auto"/>
          <w:highlight w:val="none"/>
          <w:lang w:val="en-US" w:eastAsia="zh-CN"/>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_Toc21277 </w:instrText>
      </w:r>
      <w:r>
        <w:rPr>
          <w:rFonts w:hint="eastAsia" w:ascii="宋体" w:hAnsi="宋体" w:cs="宋体"/>
          <w:color w:val="auto"/>
          <w:highlight w:val="none"/>
        </w:rPr>
        <w:fldChar w:fldCharType="separate"/>
      </w:r>
    </w:p>
    <w:p w14:paraId="784F32C7">
      <w:pPr>
        <w:pStyle w:val="10"/>
        <w:ind w:left="0" w:leftChars="0" w:firstLine="0" w:firstLineChars="0"/>
        <w:rPr>
          <w:rFonts w:hint="default" w:ascii="宋体" w:hAnsi="宋体" w:eastAsia="宋体" w:cs="宋体"/>
          <w:color w:val="auto"/>
          <w:sz w:val="24"/>
          <w:highlight w:val="none"/>
          <w:lang w:val="en-US" w:eastAsia="zh-CN"/>
        </w:rPr>
      </w:pPr>
      <w:r>
        <w:rPr>
          <w:color w:val="auto"/>
          <w:highlight w:val="none"/>
        </w:rPr>
        <w:tab/>
      </w:r>
      <w:r>
        <w:rPr>
          <w:rFonts w:hint="eastAsia" w:ascii="宋体" w:hAnsi="宋体" w:cs="宋体"/>
          <w:color w:val="auto"/>
          <w:highlight w:val="none"/>
        </w:rPr>
        <w:fldChar w:fldCharType="end"/>
      </w:r>
      <w:r>
        <w:rPr>
          <w:color w:val="auto"/>
          <w:highlight w:val="none"/>
        </w:rPr>
        <w:tab/>
      </w:r>
    </w:p>
    <w:p w14:paraId="36D1830B">
      <w:pPr>
        <w:keepNext w:val="0"/>
        <w:keepLines w:val="0"/>
        <w:pageBreakBefore w:val="0"/>
        <w:widowControl w:val="0"/>
        <w:tabs>
          <w:tab w:val="right" w:leader="middleDot" w:pos="9127"/>
        </w:tabs>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p>
    <w:p w14:paraId="76C74432">
      <w:pPr>
        <w:pStyle w:val="29"/>
        <w:pageBreakBefore/>
        <w:tabs>
          <w:tab w:val="right" w:leader="dot" w:pos="9402"/>
        </w:tabs>
        <w:spacing w:line="460" w:lineRule="exact"/>
        <w:jc w:val="center"/>
        <w:outlineLvl w:val="0"/>
        <w:rPr>
          <w:rFonts w:ascii="宋体" w:hAnsi="宋体" w:cs="宋体"/>
          <w:b/>
          <w:color w:val="auto"/>
          <w:sz w:val="24"/>
          <w:highlight w:val="none"/>
        </w:rPr>
      </w:pPr>
      <w:bookmarkStart w:id="0" w:name="_Toc14996"/>
      <w:r>
        <w:rPr>
          <w:rFonts w:hint="eastAsia" w:ascii="宋体" w:hAnsi="宋体" w:cs="宋体"/>
          <w:b/>
          <w:color w:val="auto"/>
          <w:sz w:val="36"/>
          <w:szCs w:val="36"/>
          <w:highlight w:val="none"/>
        </w:rPr>
        <w:t>第一章  竞争性磋商公告</w:t>
      </w:r>
      <w:bookmarkEnd w:id="0"/>
      <w:r>
        <w:rPr>
          <w:rFonts w:hint="eastAsia" w:ascii="宋体" w:hAnsi="宋体" w:cs="宋体"/>
          <w:b/>
          <w:color w:val="auto"/>
          <w:sz w:val="24"/>
          <w:highlight w:val="none"/>
        </w:rPr>
        <w:t xml:space="preserve"> </w:t>
      </w:r>
    </w:p>
    <w:p w14:paraId="1183863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241" w:firstLineChars="100"/>
        <w:textAlignment w:val="auto"/>
        <w:rPr>
          <w:rFonts w:ascii="宋体" w:hAnsi="宋体" w:cs="宋体"/>
          <w:b/>
          <w:bCs/>
          <w:color w:val="auto"/>
          <w:sz w:val="24"/>
          <w:highlight w:val="none"/>
        </w:rPr>
      </w:pPr>
      <w:r>
        <w:rPr>
          <w:rFonts w:hint="eastAsia" w:ascii="宋体" w:hAnsi="宋体" w:cs="宋体"/>
          <w:b/>
          <w:bCs/>
          <w:color w:val="auto"/>
          <w:sz w:val="24"/>
          <w:highlight w:val="none"/>
        </w:rPr>
        <w:t>项目概况</w:t>
      </w:r>
    </w:p>
    <w:p w14:paraId="1201F91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南马镇中心小学校舍及道路改造项目</w:t>
      </w:r>
      <w:r>
        <w:rPr>
          <w:rFonts w:hint="eastAsia" w:ascii="宋体" w:hAnsi="宋体" w:cs="宋体"/>
          <w:b/>
          <w:bCs/>
          <w:color w:val="auto"/>
          <w:sz w:val="24"/>
          <w:highlight w:val="none"/>
          <w:u w:val="single"/>
          <w:lang w:val="en-US" w:eastAsia="zh-CN"/>
        </w:rPr>
        <w:t>(临</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eastAsia="zh-CN"/>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1518</w:t>
      </w:r>
      <w:r>
        <w:rPr>
          <w:rFonts w:hint="eastAsia" w:ascii="宋体" w:hAnsi="宋体" w:cs="宋体"/>
          <w:b/>
          <w:bCs/>
          <w:color w:val="auto"/>
          <w:sz w:val="24"/>
          <w:highlight w:val="none"/>
          <w:u w:val="single"/>
        </w:rPr>
        <w:t>号采购计划确认书批准</w:t>
      </w:r>
      <w:r>
        <w:rPr>
          <w:rFonts w:hint="eastAsia" w:ascii="宋体" w:hAnsi="宋体" w:cs="宋体"/>
          <w:b/>
          <w:bCs/>
          <w:color w:val="auto"/>
          <w:sz w:val="24"/>
          <w:highlight w:val="none"/>
          <w:u w:val="single"/>
          <w:lang w:val="en-US" w:eastAsia="zh-CN"/>
        </w:rPr>
        <w:t>)</w:t>
      </w:r>
      <w:r>
        <w:rPr>
          <w:rFonts w:hint="eastAsia" w:ascii="宋体" w:hAnsi="宋体" w:eastAsia="宋体" w:cs="宋体"/>
          <w:color w:val="auto"/>
          <w:kern w:val="2"/>
          <w:sz w:val="24"/>
          <w:szCs w:val="24"/>
          <w:highlight w:val="none"/>
          <w:lang w:val="en-US" w:eastAsia="zh-CN" w:bidi="ar-SA"/>
        </w:rPr>
        <w:t>的潜在供应商应在浙江政府采购网（http://zfcg.czt.zj.gov.cn/）；东阳市公共资源交易网(http://www.dongyang.gov.cn/ggzyjy/index.html)获取（下载）磋商文件，并于202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日</w:t>
      </w:r>
      <w:r>
        <w:rPr>
          <w:rFonts w:hint="eastAsia" w:ascii="宋体" w:hAnsi="宋体" w:cs="宋体"/>
          <w:color w:val="auto"/>
          <w:kern w:val="2"/>
          <w:sz w:val="24"/>
          <w:szCs w:val="24"/>
          <w:highlight w:val="none"/>
          <w:lang w:val="en-US" w:eastAsia="zh-CN" w:bidi="ar-SA"/>
        </w:rPr>
        <w:t xml:space="preserve">14 </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color w:val="auto"/>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分（北京时间）前递交（上传）电子磋商响应文件。</w:t>
      </w:r>
    </w:p>
    <w:p w14:paraId="5D04347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4"/>
          <w:szCs w:val="24"/>
          <w:highlight w:val="none"/>
          <w:lang w:val="en-US" w:eastAsia="zh-CN" w:bidi="ar-SA"/>
        </w:rPr>
      </w:pPr>
    </w:p>
    <w:p w14:paraId="43A145D1">
      <w:pPr>
        <w:keepNext w:val="0"/>
        <w:keepLines w:val="0"/>
        <w:pageBreakBefore w:val="0"/>
        <w:numPr>
          <w:ilvl w:val="0"/>
          <w:numId w:val="4"/>
        </w:numPr>
        <w:kinsoku/>
        <w:wordWrap/>
        <w:overflowPunct/>
        <w:topLinePunct w:val="0"/>
        <w:autoSpaceDE/>
        <w:autoSpaceDN/>
        <w:bidi w:val="0"/>
        <w:snapToGrid w:val="0"/>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项目基本情况</w:t>
      </w:r>
    </w:p>
    <w:p w14:paraId="40F0FD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项目编号</w:t>
      </w:r>
      <w:r>
        <w:rPr>
          <w:rFonts w:hint="eastAsia" w:ascii="宋体" w:hAnsi="宋体" w:cs="宋体"/>
          <w:b/>
          <w:bCs/>
          <w:color w:val="auto"/>
          <w:sz w:val="24"/>
          <w:highlight w:val="none"/>
          <w:lang w:val="en-US" w:eastAsia="zh-CN"/>
        </w:rPr>
        <w:t xml:space="preserve">: </w:t>
      </w:r>
      <w:r>
        <w:rPr>
          <w:rFonts w:hint="eastAsia" w:ascii="宋体" w:hAnsi="宋体" w:cs="宋体"/>
          <w:b w:val="0"/>
          <w:bCs w:val="0"/>
          <w:color w:val="auto"/>
          <w:sz w:val="24"/>
          <w:highlight w:val="none"/>
          <w:lang w:eastAsia="zh-CN"/>
        </w:rPr>
        <w:t>JHZZGC2025-002</w:t>
      </w:r>
    </w:p>
    <w:p w14:paraId="085184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项目名称：</w:t>
      </w:r>
      <w:r>
        <w:rPr>
          <w:rFonts w:hint="eastAsia" w:ascii="宋体" w:hAnsi="宋体" w:cs="宋体"/>
          <w:b w:val="0"/>
          <w:bCs w:val="0"/>
          <w:color w:val="auto"/>
          <w:sz w:val="24"/>
          <w:highlight w:val="none"/>
          <w:lang w:eastAsia="zh-CN"/>
        </w:rPr>
        <w:t>南马镇中心小学校舍及道路改造项目</w:t>
      </w:r>
    </w:p>
    <w:p w14:paraId="2896703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采购方式：</w:t>
      </w:r>
      <w:r>
        <w:rPr>
          <w:rFonts w:hint="eastAsia" w:ascii="宋体" w:hAnsi="宋体" w:cs="宋体"/>
          <w:b w:val="0"/>
          <w:bCs w:val="0"/>
          <w:color w:val="auto"/>
          <w:sz w:val="24"/>
          <w:highlight w:val="none"/>
        </w:rPr>
        <w:t>竞争性磋商</w:t>
      </w:r>
    </w:p>
    <w:p w14:paraId="03E0BB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预算金额（元）：</w:t>
      </w:r>
      <w:r>
        <w:rPr>
          <w:rFonts w:hint="eastAsia" w:ascii="宋体" w:hAnsi="宋体" w:cs="宋体"/>
          <w:b w:val="0"/>
          <w:bCs w:val="0"/>
          <w:color w:val="auto"/>
          <w:kern w:val="2"/>
          <w:sz w:val="24"/>
          <w:szCs w:val="24"/>
          <w:highlight w:val="none"/>
          <w:lang w:val="en-US" w:eastAsia="zh-CN" w:bidi="ar-SA"/>
        </w:rPr>
        <w:t>1350000元</w:t>
      </w:r>
    </w:p>
    <w:p w14:paraId="7AD00E8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最高限价（元）：</w:t>
      </w:r>
      <w:r>
        <w:rPr>
          <w:rFonts w:hint="eastAsia" w:ascii="宋体" w:hAnsi="宋体" w:cs="宋体"/>
          <w:b w:val="0"/>
          <w:bCs w:val="0"/>
          <w:color w:val="auto"/>
          <w:kern w:val="2"/>
          <w:sz w:val="24"/>
          <w:szCs w:val="24"/>
          <w:highlight w:val="none"/>
          <w:lang w:val="en-US" w:eastAsia="zh-CN" w:bidi="ar-SA"/>
        </w:rPr>
        <w:t>1347045元</w:t>
      </w:r>
    </w:p>
    <w:p w14:paraId="78D25F02">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采购需求：</w:t>
      </w:r>
    </w:p>
    <w:p w14:paraId="1DA65E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采购需求：</w:t>
      </w:r>
      <w:r>
        <w:rPr>
          <w:rFonts w:hint="eastAsia" w:ascii="宋体" w:hAnsi="宋体" w:cs="宋体"/>
          <w:color w:val="auto"/>
          <w:sz w:val="24"/>
          <w:highlight w:val="none"/>
          <w:lang w:eastAsia="zh-CN"/>
        </w:rPr>
        <w:t>该工程由东阳市南马镇中心小学负责建设。工程建设地点位于东阳市南马镇中心小学，主要建设内容为教学楼和办公楼路面改造及绿化工程、体艺楼三楼地面改造、综合楼外墙真石改造及宿舍走廊地面、内墙及顶棚改造、西大门改造、围墙墙面改造以及垃圾间拆除新建等。</w:t>
      </w:r>
    </w:p>
    <w:p w14:paraId="6E8ED2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b w:val="0"/>
          <w:bCs w:val="0"/>
          <w:color w:val="auto"/>
          <w:sz w:val="24"/>
          <w:highlight w:val="none"/>
          <w:lang w:eastAsia="zh-CN"/>
        </w:rPr>
        <w:t>南马镇中心小学校舍及道路改造项目</w:t>
      </w:r>
    </w:p>
    <w:p w14:paraId="5BE0202B">
      <w:pPr>
        <w:pStyle w:val="17"/>
        <w:keepNext w:val="0"/>
        <w:keepLines w:val="0"/>
        <w:pageBreakBefore w:val="0"/>
        <w:kinsoku/>
        <w:wordWrap/>
        <w:overflowPunct/>
        <w:topLinePunct w:val="0"/>
        <w:autoSpaceDE/>
        <w:autoSpaceDN/>
        <w:bidi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数量：1项</w:t>
      </w:r>
    </w:p>
    <w:p w14:paraId="52748FB2">
      <w:pPr>
        <w:pStyle w:val="17"/>
        <w:keepNext w:val="0"/>
        <w:keepLines w:val="0"/>
        <w:pageBreakBefore w:val="0"/>
        <w:kinsoku/>
        <w:wordWrap/>
        <w:overflowPunct/>
        <w:topLinePunct w:val="0"/>
        <w:autoSpaceDE/>
        <w:autoSpaceDN/>
        <w:bidi w:val="0"/>
        <w:spacing w:line="360" w:lineRule="auto"/>
        <w:ind w:firstLine="480"/>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color w:val="auto"/>
          <w:sz w:val="24"/>
          <w:highlight w:val="none"/>
        </w:rPr>
        <w:t>预算金额（元）：</w:t>
      </w:r>
      <w:r>
        <w:rPr>
          <w:rFonts w:hint="eastAsia" w:ascii="宋体" w:hAnsi="宋体" w:cs="宋体"/>
          <w:color w:val="auto"/>
          <w:sz w:val="24"/>
          <w:highlight w:val="none"/>
          <w:lang w:eastAsia="zh-CN"/>
        </w:rPr>
        <w:t>1</w:t>
      </w:r>
      <w:r>
        <w:rPr>
          <w:rFonts w:hint="eastAsia" w:ascii="宋体" w:hAnsi="宋体" w:cs="宋体"/>
          <w:color w:val="auto"/>
          <w:sz w:val="24"/>
          <w:highlight w:val="none"/>
          <w:lang w:val="en-US" w:eastAsia="zh-CN"/>
        </w:rPr>
        <w:t>350000</w:t>
      </w:r>
      <w:r>
        <w:rPr>
          <w:rFonts w:hint="eastAsia" w:ascii="宋体" w:hAnsi="宋体" w:cs="宋体"/>
          <w:color w:val="auto"/>
          <w:sz w:val="24"/>
          <w:highlight w:val="none"/>
          <w:lang w:eastAsia="zh-CN"/>
        </w:rPr>
        <w:t>元</w:t>
      </w:r>
    </w:p>
    <w:p w14:paraId="50354EC8">
      <w:pPr>
        <w:pStyle w:val="17"/>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章招标需求</w:t>
      </w:r>
    </w:p>
    <w:p w14:paraId="0439A224">
      <w:pPr>
        <w:pStyle w:val="17"/>
        <w:keepNext w:val="0"/>
        <w:keepLines w:val="0"/>
        <w:pageBreakBefore w:val="0"/>
        <w:kinsoku/>
        <w:wordWrap/>
        <w:overflowPunct/>
        <w:topLinePunct w:val="0"/>
        <w:autoSpaceDE/>
        <w:autoSpaceDN/>
        <w:bidi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备注：</w:t>
      </w:r>
    </w:p>
    <w:p w14:paraId="299F7D06">
      <w:pPr>
        <w:pStyle w:val="17"/>
        <w:keepNext w:val="0"/>
        <w:keepLines w:val="0"/>
        <w:pageBreakBefore w:val="0"/>
        <w:kinsoku/>
        <w:wordWrap/>
        <w:overflowPunct/>
        <w:topLinePunct w:val="0"/>
        <w:autoSpaceDE/>
        <w:autoSpaceDN/>
        <w:bidi w:val="0"/>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合同履约期限：合同签订后</w:t>
      </w:r>
      <w:r>
        <w:rPr>
          <w:rFonts w:hint="eastAsia" w:ascii="宋体" w:hAnsi="宋体" w:cs="宋体"/>
          <w:color w:val="auto"/>
          <w:sz w:val="24"/>
          <w:highlight w:val="none"/>
          <w:lang w:val="en-US" w:eastAsia="zh-CN"/>
        </w:rPr>
        <w:t>45日历</w:t>
      </w:r>
      <w:r>
        <w:rPr>
          <w:rFonts w:hint="eastAsia" w:ascii="宋体" w:hAnsi="宋体" w:cs="宋体"/>
          <w:color w:val="auto"/>
          <w:sz w:val="24"/>
          <w:highlight w:val="none"/>
        </w:rPr>
        <w:t>天内完工。</w:t>
      </w:r>
    </w:p>
    <w:p w14:paraId="50EA8D13">
      <w:pPr>
        <w:pStyle w:val="17"/>
        <w:keepNext w:val="0"/>
        <w:keepLines w:val="0"/>
        <w:pageBreakBefore w:val="0"/>
        <w:kinsoku/>
        <w:wordWrap/>
        <w:overflowPunct/>
        <w:topLinePunct w:val="0"/>
        <w:autoSpaceDE/>
        <w:autoSpaceDN/>
        <w:bidi w:val="0"/>
        <w:spacing w:line="360" w:lineRule="auto"/>
        <w:ind w:firstLine="480"/>
        <w:textAlignment w:val="auto"/>
        <w:rPr>
          <w:rFonts w:hint="eastAsia"/>
          <w:color w:val="auto"/>
          <w:highlight w:val="none"/>
        </w:rPr>
      </w:pPr>
      <w:r>
        <w:rPr>
          <w:rFonts w:hint="eastAsia" w:ascii="宋体" w:hAnsi="宋体" w:cs="宋体"/>
          <w:color w:val="auto"/>
          <w:sz w:val="24"/>
          <w:highlight w:val="none"/>
        </w:rPr>
        <w:t xml:space="preserve">本项目（是）接受联合体投标。  </w:t>
      </w:r>
    </w:p>
    <w:p w14:paraId="4FE712AD">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strike/>
          <w:color w:val="auto"/>
          <w:sz w:val="24"/>
          <w:highlight w:val="none"/>
        </w:rPr>
      </w:pPr>
      <w:r>
        <w:rPr>
          <w:rFonts w:hint="eastAsia" w:ascii="宋体" w:hAnsi="宋体" w:cs="宋体"/>
          <w:b/>
          <w:bCs/>
          <w:color w:val="auto"/>
          <w:sz w:val="24"/>
          <w:highlight w:val="none"/>
        </w:rPr>
        <w:t xml:space="preserve">▲二、申请人的资格要求： </w:t>
      </w:r>
    </w:p>
    <w:p w14:paraId="796024DC">
      <w:pPr>
        <w:pStyle w:val="17"/>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B8D4C21">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2、落实政府采购政策需满足的资格要求：根据《政府采购促进中小企业发展管理办法》有关规定，本项目仅面向中小型及以下企业响应磋商。</w:t>
      </w:r>
      <w:r>
        <w:rPr>
          <w:rFonts w:hint="eastAsia" w:ascii="宋体" w:hAnsi="宋体"/>
          <w:b/>
          <w:bCs/>
          <w:color w:val="auto"/>
          <w:sz w:val="24"/>
          <w:szCs w:val="24"/>
          <w:highlight w:val="none"/>
        </w:rPr>
        <w:t>供应商参加磋商时，响应文件中须提供中小企业声明函（格式见附件）</w:t>
      </w:r>
    </w:p>
    <w:p w14:paraId="79C68074">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3、本项目的特定资格要求：</w:t>
      </w:r>
    </w:p>
    <w:p w14:paraId="0A57E5E3">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3.1、供应商须具有有效的建筑工程施工总承包叁级及以上资质；</w:t>
      </w:r>
    </w:p>
    <w:p w14:paraId="669F6608">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3.2、供应商须具有有效的安全生产许可证；</w:t>
      </w:r>
    </w:p>
    <w:p w14:paraId="3FC0E8E0">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cs="宋体"/>
          <w:b w:val="0"/>
          <w:bCs w:val="0"/>
          <w:color w:val="auto"/>
          <w:sz w:val="24"/>
          <w:highlight w:val="none"/>
          <w:lang w:val="en-US" w:eastAsia="zh-CN"/>
        </w:rPr>
        <w:t>3.3、供应商须为浙江政府采购网注册的正式供应商或承诺中标后30天内注册为浙江政</w:t>
      </w:r>
      <w:r>
        <w:rPr>
          <w:rFonts w:hint="eastAsia" w:ascii="宋体" w:hAnsi="宋体" w:eastAsia="宋体" w:cs="宋体"/>
          <w:color w:val="auto"/>
          <w:sz w:val="24"/>
          <w:highlight w:val="none"/>
          <w:lang w:val="en-US" w:eastAsia="zh-CN"/>
        </w:rPr>
        <w:t>府采购网正式供应商。</w:t>
      </w:r>
    </w:p>
    <w:p w14:paraId="368FE57D">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▲三、获取磋商文件： </w:t>
      </w:r>
    </w:p>
    <w:p w14:paraId="7DF8E912">
      <w:pPr>
        <w:keepNext w:val="0"/>
        <w:keepLines w:val="0"/>
        <w:pageBreakBefore w:val="0"/>
        <w:kinsoku/>
        <w:wordWrap/>
        <w:overflowPunct/>
        <w:topLinePunct w:val="0"/>
        <w:autoSpaceDE/>
        <w:autoSpaceDN/>
        <w:bidi w:val="0"/>
        <w:spacing w:line="360"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时间：/至</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8</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14</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r>
        <w:rPr>
          <w:rFonts w:hint="eastAsia" w:ascii="宋体" w:hAnsi="宋体" w:cs="宋体"/>
          <w:color w:val="auto"/>
          <w:sz w:val="24"/>
          <w:highlight w:val="none"/>
        </w:rPr>
        <w:t>，每天上午00：00至12:00，下午12:00至23:59（北京时间，线上获取法定节假日均可，线下获取文件法定节假日除外）</w:t>
      </w:r>
    </w:p>
    <w:p w14:paraId="314DB4A4">
      <w:pPr>
        <w:keepNext w:val="0"/>
        <w:keepLines w:val="0"/>
        <w:pageBreakBefore w:val="0"/>
        <w:kinsoku/>
        <w:wordWrap/>
        <w:overflowPunct/>
        <w:topLinePunct w:val="0"/>
        <w:autoSpaceDE/>
        <w:autoSpaceDN/>
        <w:bidi w:val="0"/>
        <w:spacing w:line="360"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地点（网址）：浙江政府采购网（http://zfcg.czt.zj.gov.cn/）； 东阳市公共资源交易网(http://www.dongyang.gov.cn/ggzyjy/index.html)</w:t>
      </w:r>
    </w:p>
    <w:p w14:paraId="19FEF3B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方式：1、由供应商通过登录浙江省政府采购网(http://zfcg.czt.zj.gov.cn/)上的政采云系统进行获取（首次参加谈判的单位应先登录浙江省政府采购网(http://zfcg.czt.zj.gov.cn/)进行账户注册，注册完毕待审核成功后方可登录政采云系统获取；注册流程见网址</w:t>
      </w:r>
    </w:p>
    <w:p w14:paraId="623805E8">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14:paraId="25C8E750">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highlight w:val="none"/>
        </w:rPr>
      </w:pPr>
      <w:r>
        <w:rPr>
          <w:rFonts w:hint="eastAsia" w:ascii="宋体" w:hAnsi="宋体" w:cs="宋体"/>
          <w:color w:val="auto"/>
          <w:sz w:val="24"/>
          <w:highlight w:val="none"/>
        </w:rPr>
        <w:t>2、竞争性磋商文件获取流程：浙江政府采购网-政采云用户登录-用户中心-项目采购-获取采购文件管理。</w:t>
      </w:r>
    </w:p>
    <w:p w14:paraId="3F36A00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18FA1661">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四、响应文件提交</w:t>
      </w:r>
    </w:p>
    <w:p w14:paraId="010F3AD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14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r>
        <w:rPr>
          <w:rFonts w:hint="eastAsia" w:ascii="宋体" w:hAnsi="宋体" w:cs="宋体"/>
          <w:color w:val="auto"/>
          <w:sz w:val="24"/>
          <w:highlight w:val="none"/>
        </w:rPr>
        <w:t xml:space="preserve"> （北京时间）</w:t>
      </w:r>
    </w:p>
    <w:p w14:paraId="60DECFC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地点（网址）：政采云平台</w:t>
      </w:r>
    </w:p>
    <w:p w14:paraId="2400BC69">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五、响应文件开启</w:t>
      </w:r>
    </w:p>
    <w:p w14:paraId="41D07C47">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bCs/>
          <w:color w:val="auto"/>
          <w:sz w:val="24"/>
          <w:highlight w:val="none"/>
        </w:rPr>
        <w:t>开启时间：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 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r>
        <w:rPr>
          <w:rFonts w:hint="eastAsia" w:ascii="宋体" w:hAnsi="宋体" w:cs="宋体"/>
          <w:color w:val="auto"/>
          <w:sz w:val="24"/>
          <w:highlight w:val="none"/>
        </w:rPr>
        <w:t>（北京时间）</w:t>
      </w:r>
    </w:p>
    <w:p w14:paraId="7F676810">
      <w:pPr>
        <w:keepNext w:val="0"/>
        <w:keepLines w:val="0"/>
        <w:pageBreakBefore w:val="0"/>
        <w:kinsoku/>
        <w:wordWrap/>
        <w:overflowPunct/>
        <w:topLinePunct w:val="0"/>
        <w:autoSpaceDE/>
        <w:autoSpaceDN/>
        <w:bidi w:val="0"/>
        <w:snapToGrid w:val="0"/>
        <w:spacing w:line="240" w:lineRule="auto"/>
        <w:ind w:firstLine="481"/>
        <w:textAlignment w:val="auto"/>
        <w:rPr>
          <w:color w:val="auto"/>
          <w:highlight w:val="none"/>
        </w:rPr>
      </w:pPr>
      <w:r>
        <w:rPr>
          <w:rFonts w:hint="eastAsia" w:ascii="宋体" w:hAnsi="宋体" w:cs="宋体"/>
          <w:color w:val="auto"/>
          <w:sz w:val="24"/>
          <w:highlight w:val="none"/>
        </w:rPr>
        <w:t>地点（网址）：政采云平台</w:t>
      </w:r>
    </w:p>
    <w:p w14:paraId="02B93267">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、公告期限</w:t>
      </w:r>
      <w:r>
        <w:rPr>
          <w:rFonts w:hint="eastAsia" w:ascii="宋体" w:hAnsi="宋体" w:cs="宋体"/>
          <w:b/>
          <w:bCs/>
          <w:color w:val="auto"/>
          <w:sz w:val="24"/>
          <w:highlight w:val="none"/>
          <w:lang w:val="en-US" w:eastAsia="zh-CN"/>
        </w:rPr>
        <w:t xml:space="preserve">   </w:t>
      </w:r>
      <w:r>
        <w:rPr>
          <w:rFonts w:hint="eastAsia" w:ascii="宋体" w:hAnsi="宋体" w:cs="宋体"/>
          <w:color w:val="auto"/>
          <w:sz w:val="24"/>
          <w:highlight w:val="none"/>
        </w:rPr>
        <w:t>自本公告发布之日起3个工作日</w:t>
      </w:r>
    </w:p>
    <w:p w14:paraId="6166CB5E">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、其他补充事宜</w:t>
      </w:r>
    </w:p>
    <w:p w14:paraId="7C334DC9">
      <w:pPr>
        <w:pStyle w:val="35"/>
        <w:keepNext w:val="0"/>
        <w:keepLines w:val="0"/>
        <w:pageBreakBefore w:val="0"/>
        <w:kinsoku/>
        <w:wordWrap/>
        <w:overflowPunct/>
        <w:topLinePunct w:val="0"/>
        <w:autoSpaceDE/>
        <w:autoSpaceDN/>
        <w:bidi w:val="0"/>
        <w:adjustRightInd w:val="0"/>
        <w:snapToGrid w:val="0"/>
        <w:spacing w:line="360" w:lineRule="auto"/>
        <w:textAlignment w:val="auto"/>
        <w:rPr>
          <w:color w:val="auto"/>
          <w:kern w:val="2"/>
          <w:highlight w:val="none"/>
        </w:rPr>
      </w:pPr>
      <w:r>
        <w:rPr>
          <w:rFonts w:hint="eastAsia"/>
          <w:color w:val="auto"/>
          <w:highlight w:val="none"/>
        </w:rPr>
        <w:t xml:space="preserve">  </w:t>
      </w:r>
      <w:r>
        <w:rPr>
          <w:rFonts w:hint="eastAsia"/>
          <w:color w:val="auto"/>
          <w:kern w:val="2"/>
          <w:highlight w:val="none"/>
        </w:rPr>
        <w:t xml:space="preserve">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02E546">
      <w:pPr>
        <w:pStyle w:val="35"/>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auto"/>
          <w:kern w:val="2"/>
          <w:highlight w:val="none"/>
        </w:rPr>
      </w:pPr>
      <w:r>
        <w:rPr>
          <w:rFonts w:hint="eastAsia"/>
          <w:color w:val="auto"/>
          <w:kern w:val="2"/>
          <w:highlight w:val="none"/>
        </w:rPr>
        <w:t>2</w:t>
      </w:r>
      <w:r>
        <w:rPr>
          <w:rFonts w:hint="eastAsia"/>
          <w:color w:val="auto"/>
          <w:kern w:val="2"/>
          <w:highlight w:val="none"/>
          <w:lang w:val="en-US" w:eastAsia="zh-CN"/>
        </w:rPr>
        <w:t>.</w:t>
      </w:r>
      <w:r>
        <w:rPr>
          <w:rFonts w:hint="eastAsia"/>
          <w:color w:val="auto"/>
          <w:kern w:val="2"/>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ABFA770">
      <w:pPr>
        <w:pStyle w:val="35"/>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auto"/>
          <w:kern w:val="2"/>
          <w:highlight w:val="none"/>
        </w:rPr>
      </w:pPr>
      <w:r>
        <w:rPr>
          <w:rFonts w:hint="eastAsia"/>
          <w:color w:val="auto"/>
          <w:kern w:val="2"/>
          <w:highlight w:val="none"/>
          <w:lang w:val="en-US" w:eastAsia="zh-CN"/>
        </w:rPr>
        <w:t>3</w:t>
      </w:r>
      <w:r>
        <w:rPr>
          <w:rFonts w:hint="eastAsia"/>
          <w:color w:val="auto"/>
          <w:kern w:val="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32195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szCs w:val="22"/>
          <w:highlight w:val="none"/>
        </w:rPr>
        <w:t>需要落实的政府采购政策：包括节约资源、保护环境、支持创新、促进中小企业发展等。</w:t>
      </w:r>
    </w:p>
    <w:p w14:paraId="3CC3D063">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46F97F1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136C82C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本项目实行电子磋商，磋商响应文件应按照本项目竞争性磋商文件和政采云平台的要求编制、加密并递交。供应商在使用系统进行谈判的过程中遇到涉及平台使用的任何问题，可致电政采云平台技术支持热线咨询，联系方式：95763。</w:t>
      </w:r>
    </w:p>
    <w:p w14:paraId="1EEB994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.供应商应 在 开 标 前 完 成 CA 数 字 证 书 办 理 。 （ 办 理 流 程 详 见http://zfcg.czt.zj.gov.cn/bidClientTemplate/2019-05-27/12945.html）。完成 CA 数字证书办理预计一周左右，建议各供应商抓紧时间办理。</w:t>
      </w:r>
    </w:p>
    <w:p w14:paraId="2188149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.供应商通过政采云平台电子磋商工具制作磋商响应文件，电子磋商工具请供应商自行前往浙江省政府采购网下载并安装，（下载网址：http://zfcg.czt.zj.gov.cn/bidClientTemplate/2019-08-30/12975.html），</w:t>
      </w:r>
    </w:p>
    <w:p w14:paraId="1C001012">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电 子 投 标 相 关 学 习 网 址 ： </w:t>
      </w:r>
      <w:r>
        <w:rPr>
          <w:color w:val="auto"/>
          <w:highlight w:val="none"/>
        </w:rPr>
        <w:fldChar w:fldCharType="begin"/>
      </w:r>
      <w:r>
        <w:rPr>
          <w:color w:val="auto"/>
          <w:highlight w:val="none"/>
        </w:rPr>
        <w:instrText xml:space="preserve"> HYPERLINK "https://edu.zcygov.cn/luban/e-biding?utm=a0004.2ef5001f.0001.0109.2d44db10df9111e9b92b0f36d4889416。）" </w:instrText>
      </w:r>
      <w:r>
        <w:rPr>
          <w:color w:val="auto"/>
          <w:highlight w:val="none"/>
        </w:rPr>
        <w:fldChar w:fldCharType="separate"/>
      </w:r>
      <w:r>
        <w:rPr>
          <w:rStyle w:val="45"/>
          <w:rFonts w:hint="eastAsia" w:ascii="宋体" w:hAnsi="宋体" w:cs="宋体"/>
          <w:color w:val="auto"/>
          <w:sz w:val="24"/>
          <w:highlight w:val="none"/>
        </w:rPr>
        <w:t>https://edu.zcygov.cn/luban/e-biding?utm=a0004.2ef5001f.0001.0109.2d44db10df9111e9b92b0f36d4889416。）</w:t>
      </w:r>
      <w:r>
        <w:rPr>
          <w:rStyle w:val="45"/>
          <w:rFonts w:hint="eastAsia" w:ascii="宋体" w:hAnsi="宋体" w:cs="宋体"/>
          <w:color w:val="auto"/>
          <w:sz w:val="24"/>
          <w:highlight w:val="none"/>
        </w:rPr>
        <w:fldChar w:fldCharType="end"/>
      </w:r>
    </w:p>
    <w:p w14:paraId="0CD4EEF5">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 xml:space="preserve">.政府采购金融服务提示：为扩大政府采购金融服务面，除政采云网上金融服务合作银行外，东阳市范围内增加浙商银行金华分行东阳支行作为线下合作银行。   </w:t>
      </w:r>
    </w:p>
    <w:p w14:paraId="49A57EC6">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浙商银行金华东阳支行  联系人：许燕  联系电话：13967983441  0579-86222992</w:t>
      </w:r>
    </w:p>
    <w:p w14:paraId="5C05F9F1">
      <w:pPr>
        <w:snapToGrid w:val="0"/>
        <w:spacing w:line="440" w:lineRule="atLeas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694AE193">
      <w:pPr>
        <w:snapToGrid w:val="0"/>
        <w:spacing w:line="440" w:lineRule="atLeas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市扫黑办：0579-86655381               市公安局：110、0579-86096000</w:t>
      </w:r>
    </w:p>
    <w:p w14:paraId="5137ED10">
      <w:pPr>
        <w:snapToGrid w:val="0"/>
        <w:spacing w:line="440" w:lineRule="atLeas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市检察院: 0579-86642000               市 法 院：0579-86620148</w:t>
      </w:r>
    </w:p>
    <w:p w14:paraId="37626077">
      <w:pPr>
        <w:snapToGrid w:val="0"/>
        <w:spacing w:line="440" w:lineRule="atLeast"/>
        <w:ind w:firstLine="480" w:firstLineChars="200"/>
        <w:rPr>
          <w:color w:val="auto"/>
          <w:highlight w:val="none"/>
        </w:rPr>
      </w:pPr>
      <w:r>
        <w:rPr>
          <w:rFonts w:hint="eastAsia" w:ascii="宋体" w:hAnsi="宋体"/>
          <w:color w:val="auto"/>
          <w:sz w:val="24"/>
          <w:szCs w:val="24"/>
          <w:highlight w:val="none"/>
        </w:rPr>
        <w:t>市公共资源办:0579-86691835            市公共资源交易中心:0579-86691729</w:t>
      </w:r>
    </w:p>
    <w:p w14:paraId="6239297F">
      <w:pPr>
        <w:keepNext w:val="0"/>
        <w:keepLines w:val="0"/>
        <w:pageBreakBefore w:val="0"/>
        <w:kinsoku/>
        <w:wordWrap/>
        <w:overflowPunct/>
        <w:topLinePunct w:val="0"/>
        <w:autoSpaceDE/>
        <w:autoSpaceDN/>
        <w:bidi w:val="0"/>
        <w:spacing w:line="360" w:lineRule="auto"/>
        <w:textAlignment w:val="auto"/>
        <w:rPr>
          <w:rFonts w:ascii="宋体" w:hAnsi="宋体" w:cs="宋体"/>
          <w:b/>
          <w:color w:val="auto"/>
          <w:sz w:val="28"/>
          <w:szCs w:val="28"/>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14:paraId="76D0527E">
      <w:pPr>
        <w:keepNext w:val="0"/>
        <w:keepLines w:val="0"/>
        <w:pageBreakBefore w:val="0"/>
        <w:kinsoku/>
        <w:wordWrap/>
        <w:overflowPunct/>
        <w:topLinePunct w:val="0"/>
        <w:autoSpaceDE/>
        <w:autoSpaceDN/>
        <w:bidi w:val="0"/>
        <w:spacing w:line="360" w:lineRule="auto"/>
        <w:ind w:firstLine="723" w:firstLineChars="300"/>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1.采购人信息  </w:t>
      </w:r>
    </w:p>
    <w:p w14:paraId="033FD8D6">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 xml:space="preserve">东阳市南马镇中心小学 </w:t>
      </w:r>
      <w:r>
        <w:rPr>
          <w:rFonts w:hint="eastAsia" w:ascii="宋体" w:hAnsi="宋体" w:cs="宋体"/>
          <w:color w:val="auto"/>
          <w:sz w:val="24"/>
          <w:highlight w:val="none"/>
        </w:rPr>
        <w:t xml:space="preserve">             </w:t>
      </w:r>
    </w:p>
    <w:p w14:paraId="75BDA260">
      <w:pPr>
        <w:keepNext w:val="0"/>
        <w:keepLines w:val="0"/>
        <w:pageBreakBefore w:val="0"/>
        <w:kinsoku/>
        <w:wordWrap/>
        <w:overflowPunct/>
        <w:topLinePunct w:val="0"/>
        <w:autoSpaceDE/>
        <w:autoSpaceDN/>
        <w:bidi w:val="0"/>
        <w:spacing w:line="360"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 xml:space="preserve">东阳市南马镇中心小学 </w:t>
      </w:r>
    </w:p>
    <w:p w14:paraId="71AD9FD2">
      <w:pPr>
        <w:keepNext w:val="0"/>
        <w:keepLines w:val="0"/>
        <w:pageBreakBefore w:val="0"/>
        <w:kinsoku/>
        <w:wordWrap/>
        <w:overflowPunct/>
        <w:topLinePunct w:val="0"/>
        <w:autoSpaceDE/>
        <w:autoSpaceDN/>
        <w:bidi w:val="0"/>
        <w:spacing w:line="360" w:lineRule="auto"/>
        <w:ind w:left="718" w:leftChars="342" w:firstLine="0" w:firstLineChars="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蒋君</w:t>
      </w:r>
      <w:r>
        <w:rPr>
          <w:rFonts w:hint="eastAsia" w:ascii="宋体" w:hAnsi="宋体" w:cs="宋体"/>
          <w:color w:val="auto"/>
          <w:sz w:val="24"/>
          <w:highlight w:val="none"/>
        </w:rPr>
        <w:t xml:space="preserve">         联系方式：</w:t>
      </w:r>
      <w:r>
        <w:rPr>
          <w:rFonts w:hint="eastAsia" w:ascii="宋体" w:hAnsi="宋体" w:cs="宋体"/>
          <w:color w:val="auto"/>
          <w:sz w:val="24"/>
          <w:highlight w:val="none"/>
          <w:lang w:eastAsia="zh-CN"/>
        </w:rPr>
        <w:t>15067061130</w:t>
      </w:r>
    </w:p>
    <w:p w14:paraId="649CD1CE">
      <w:pPr>
        <w:keepNext w:val="0"/>
        <w:keepLines w:val="0"/>
        <w:pageBreakBefore w:val="0"/>
        <w:kinsoku/>
        <w:wordWrap/>
        <w:overflowPunct/>
        <w:topLinePunct w:val="0"/>
        <w:autoSpaceDE/>
        <w:autoSpaceDN/>
        <w:bidi w:val="0"/>
        <w:spacing w:line="360" w:lineRule="auto"/>
        <w:ind w:left="718" w:leftChars="342" w:firstLine="0" w:firstLineChars="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蒋君</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15067061130</w:t>
      </w:r>
    </w:p>
    <w:p w14:paraId="6D34D4B3">
      <w:pPr>
        <w:keepNext w:val="0"/>
        <w:keepLines w:val="0"/>
        <w:pageBreakBefore w:val="0"/>
        <w:kinsoku/>
        <w:wordWrap/>
        <w:overflowPunct/>
        <w:topLinePunct w:val="0"/>
        <w:autoSpaceDE/>
        <w:autoSpaceDN/>
        <w:bidi w:val="0"/>
        <w:spacing w:line="360" w:lineRule="auto"/>
        <w:ind w:firstLine="723" w:firstLineChars="300"/>
        <w:textAlignment w:val="auto"/>
        <w:rPr>
          <w:rFonts w:ascii="宋体" w:hAnsi="宋体" w:cs="宋体"/>
          <w:b/>
          <w:bCs/>
          <w:color w:val="auto"/>
          <w:sz w:val="24"/>
          <w:highlight w:val="none"/>
        </w:rPr>
      </w:pPr>
      <w:r>
        <w:rPr>
          <w:rFonts w:hint="eastAsia" w:ascii="宋体" w:hAnsi="宋体" w:cs="宋体"/>
          <w:b/>
          <w:bCs/>
          <w:color w:val="auto"/>
          <w:sz w:val="24"/>
          <w:highlight w:val="none"/>
        </w:rPr>
        <w:t>2.采购代理机构信息</w:t>
      </w:r>
    </w:p>
    <w:p w14:paraId="2DAAA158">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 xml:space="preserve"> </w:t>
      </w:r>
    </w:p>
    <w:p w14:paraId="5440A6DD">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东阳市学士南路306-30号</w:t>
      </w:r>
      <w:r>
        <w:rPr>
          <w:rFonts w:hint="eastAsia" w:ascii="宋体" w:hAnsi="宋体" w:cs="宋体"/>
          <w:color w:val="auto"/>
          <w:sz w:val="24"/>
          <w:highlight w:val="none"/>
        </w:rPr>
        <w:t xml:space="preserve">    </w:t>
      </w:r>
    </w:p>
    <w:p w14:paraId="4F215656">
      <w:pPr>
        <w:keepNext w:val="0"/>
        <w:keepLines w:val="0"/>
        <w:pageBreakBefore w:val="0"/>
        <w:kinsoku/>
        <w:wordWrap/>
        <w:overflowPunct/>
        <w:topLinePunct w:val="0"/>
        <w:autoSpaceDE/>
        <w:autoSpaceDN/>
        <w:bidi w:val="0"/>
        <w:spacing w:line="360"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bCs/>
          <w:color w:val="auto"/>
          <w:sz w:val="24"/>
          <w:highlight w:val="none"/>
          <w:lang w:val="en-US" w:eastAsia="zh-CN"/>
        </w:rPr>
        <w:t>郭向华</w:t>
      </w: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15257936527</w:t>
      </w:r>
    </w:p>
    <w:p w14:paraId="60169E22">
      <w:pPr>
        <w:keepNext w:val="0"/>
        <w:keepLines w:val="0"/>
        <w:pageBreakBefore w:val="0"/>
        <w:kinsoku/>
        <w:wordWrap/>
        <w:overflowPunct/>
        <w:topLinePunct w:val="0"/>
        <w:autoSpaceDE/>
        <w:autoSpaceDN/>
        <w:bidi w:val="0"/>
        <w:spacing w:line="360" w:lineRule="auto"/>
        <w:ind w:firstLine="720" w:firstLineChars="300"/>
        <w:textAlignment w:val="auto"/>
        <w:rPr>
          <w:rFonts w:hint="eastAsia" w:ascii="宋体" w:hAnsi="宋体" w:eastAsia="宋体" w:cs="宋体"/>
          <w:bCs/>
          <w:color w:val="auto"/>
          <w:sz w:val="24"/>
          <w:highlight w:val="none"/>
          <w:lang w:val="en-US" w:eastAsia="zh-CN"/>
        </w:rPr>
      </w:pPr>
      <w:r>
        <w:rPr>
          <w:rFonts w:hint="eastAsia" w:ascii="宋体" w:hAnsi="宋体" w:cs="宋体"/>
          <w:color w:val="auto"/>
          <w:sz w:val="24"/>
          <w:highlight w:val="none"/>
        </w:rPr>
        <w:t xml:space="preserve">质疑联系人： </w:t>
      </w:r>
      <w:r>
        <w:rPr>
          <w:rFonts w:hint="eastAsia" w:ascii="宋体" w:hAnsi="宋体" w:cs="宋体"/>
          <w:color w:val="auto"/>
          <w:sz w:val="24"/>
          <w:highlight w:val="none"/>
          <w:lang w:val="en-US" w:eastAsia="zh-CN"/>
        </w:rPr>
        <w:t>张晨玲</w:t>
      </w:r>
      <w:r>
        <w:rPr>
          <w:rFonts w:hint="eastAsia" w:ascii="宋体" w:hAnsi="宋体" w:cs="宋体"/>
          <w:color w:val="auto"/>
          <w:sz w:val="24"/>
          <w:highlight w:val="none"/>
        </w:rPr>
        <w:t xml:space="preserve">              质疑联系方式：</w:t>
      </w:r>
      <w:r>
        <w:rPr>
          <w:rFonts w:hint="eastAsia" w:ascii="宋体" w:hAnsi="宋体" w:cs="宋体"/>
          <w:bCs/>
          <w:color w:val="auto"/>
          <w:sz w:val="24"/>
          <w:highlight w:val="none"/>
          <w:lang w:val="en-US" w:eastAsia="zh-CN"/>
        </w:rPr>
        <w:t>15167937505</w:t>
      </w:r>
    </w:p>
    <w:p w14:paraId="51BC56CD">
      <w:pPr>
        <w:keepNext w:val="0"/>
        <w:keepLines w:val="0"/>
        <w:pageBreakBefore w:val="0"/>
        <w:kinsoku/>
        <w:wordWrap/>
        <w:overflowPunct/>
        <w:topLinePunct w:val="0"/>
        <w:autoSpaceDE/>
        <w:autoSpaceDN/>
        <w:bidi w:val="0"/>
        <w:spacing w:line="360" w:lineRule="auto"/>
        <w:ind w:firstLine="723" w:firstLineChars="300"/>
        <w:textAlignment w:val="auto"/>
        <w:rPr>
          <w:rFonts w:ascii="宋体" w:hAnsi="宋体" w:cs="宋体"/>
          <w:b/>
          <w:bCs/>
          <w:color w:val="auto"/>
          <w:sz w:val="24"/>
          <w:highlight w:val="none"/>
        </w:rPr>
      </w:pPr>
      <w:r>
        <w:rPr>
          <w:rFonts w:hint="eastAsia" w:ascii="宋体" w:hAnsi="宋体" w:cs="宋体"/>
          <w:b/>
          <w:bCs/>
          <w:color w:val="auto"/>
          <w:sz w:val="24"/>
          <w:highlight w:val="none"/>
        </w:rPr>
        <w:t>3.同级政府采购监督管理部门：</w:t>
      </w:r>
    </w:p>
    <w:p w14:paraId="6020EB65">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名称：东阳市财政局采监科             地址：东阳市人民路8号</w:t>
      </w:r>
    </w:p>
    <w:p w14:paraId="65BC15BF">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监督投诉电话：0579-86662677</w:t>
      </w:r>
    </w:p>
    <w:p w14:paraId="0B545D40">
      <w:pPr>
        <w:keepNext w:val="0"/>
        <w:keepLines w:val="0"/>
        <w:pageBreakBefore w:val="0"/>
        <w:kinsoku/>
        <w:wordWrap/>
        <w:overflowPunct/>
        <w:topLinePunct w:val="0"/>
        <w:autoSpaceDE/>
        <w:autoSpaceDN/>
        <w:bidi w:val="0"/>
        <w:snapToGrid w:val="0"/>
        <w:spacing w:line="360" w:lineRule="auto"/>
        <w:ind w:left="723" w:hanging="723" w:hangingChars="300"/>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附件：</w:t>
      </w:r>
      <w:r>
        <w:rPr>
          <w:rFonts w:hint="eastAsia" w:ascii="宋体" w:hAnsi="宋体" w:cs="宋体"/>
          <w:b/>
          <w:color w:val="auto"/>
          <w:sz w:val="24"/>
          <w:szCs w:val="20"/>
          <w:highlight w:val="none"/>
          <w:lang w:eastAsia="zh-CN"/>
        </w:rPr>
        <w:t>南马镇中心小学校舍及道路改造项目</w:t>
      </w:r>
      <w:r>
        <w:rPr>
          <w:rFonts w:hint="eastAsia" w:ascii="宋体" w:hAnsi="宋体" w:cs="宋体"/>
          <w:b/>
          <w:color w:val="auto"/>
          <w:sz w:val="24"/>
          <w:szCs w:val="20"/>
          <w:highlight w:val="none"/>
        </w:rPr>
        <w:t>磋商文件</w:t>
      </w:r>
      <w:r>
        <w:rPr>
          <w:rFonts w:hint="eastAsia" w:ascii="宋体" w:hAnsi="宋体" w:cs="宋体"/>
          <w:b/>
          <w:color w:val="auto"/>
          <w:sz w:val="24"/>
          <w:szCs w:val="20"/>
          <w:highlight w:val="none"/>
          <w:lang w:eastAsia="zh-CN"/>
        </w:rPr>
        <w:t>、</w:t>
      </w:r>
      <w:r>
        <w:rPr>
          <w:rFonts w:hint="eastAsia" w:ascii="宋体" w:hAnsi="宋体" w:cs="宋体"/>
          <w:b/>
          <w:color w:val="auto"/>
          <w:sz w:val="24"/>
          <w:szCs w:val="20"/>
          <w:highlight w:val="none"/>
          <w:lang w:val="en-US" w:eastAsia="zh-CN"/>
        </w:rPr>
        <w:t>预算</w:t>
      </w:r>
    </w:p>
    <w:p w14:paraId="2290D971">
      <w:pPr>
        <w:pStyle w:val="17"/>
        <w:keepNext w:val="0"/>
        <w:keepLines w:val="0"/>
        <w:pageBreakBefore w:val="0"/>
        <w:kinsoku/>
        <w:wordWrap/>
        <w:overflowPunct/>
        <w:topLinePunct w:val="0"/>
        <w:autoSpaceDE/>
        <w:autoSpaceDN/>
        <w:bidi w:val="0"/>
        <w:spacing w:line="360" w:lineRule="auto"/>
        <w:textAlignment w:val="auto"/>
        <w:rPr>
          <w:rFonts w:ascii="宋体" w:hAnsi="宋体" w:cs="宋体"/>
          <w:b/>
          <w:color w:val="auto"/>
          <w:sz w:val="24"/>
          <w:szCs w:val="20"/>
          <w:highlight w:val="none"/>
        </w:rPr>
      </w:pPr>
    </w:p>
    <w:p w14:paraId="71E7D84A">
      <w:pPr>
        <w:keepNext w:val="0"/>
        <w:keepLines w:val="0"/>
        <w:pageBreakBefore w:val="0"/>
        <w:kinsoku/>
        <w:wordWrap/>
        <w:overflowPunct/>
        <w:topLinePunct w:val="0"/>
        <w:autoSpaceDE/>
        <w:autoSpaceDN/>
        <w:bidi w:val="0"/>
        <w:snapToGrid w:val="0"/>
        <w:spacing w:line="360" w:lineRule="auto"/>
        <w:ind w:left="4819" w:right="198" w:hanging="4819" w:hangingChars="2000"/>
        <w:textAlignment w:val="auto"/>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 xml:space="preserve">东阳市南马镇中心小学 </w:t>
      </w:r>
      <w:r>
        <w:rPr>
          <w:rFonts w:hint="eastAsia" w:ascii="宋体" w:hAnsi="宋体" w:cs="宋体"/>
          <w:b/>
          <w:color w:val="auto"/>
          <w:sz w:val="24"/>
          <w:highlight w:val="none"/>
        </w:rPr>
        <w:t xml:space="preserve"> </w:t>
      </w:r>
    </w:p>
    <w:p w14:paraId="52BFCE94">
      <w:pPr>
        <w:keepNext w:val="0"/>
        <w:keepLines w:val="0"/>
        <w:pageBreakBefore w:val="0"/>
        <w:kinsoku/>
        <w:wordWrap/>
        <w:overflowPunct/>
        <w:topLinePunct w:val="0"/>
        <w:autoSpaceDE/>
        <w:autoSpaceDN/>
        <w:bidi w:val="0"/>
        <w:snapToGrid w:val="0"/>
        <w:spacing w:line="360" w:lineRule="auto"/>
        <w:ind w:right="198" w:firstLine="5783" w:firstLineChars="2400"/>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金华至臻工程咨询有限公司</w:t>
      </w:r>
    </w:p>
    <w:p w14:paraId="06521048">
      <w:pPr>
        <w:keepNext w:val="0"/>
        <w:keepLines w:val="0"/>
        <w:pageBreakBefore w:val="0"/>
        <w:kinsoku/>
        <w:wordWrap/>
        <w:overflowPunct/>
        <w:topLinePunct w:val="0"/>
        <w:autoSpaceDE/>
        <w:autoSpaceDN/>
        <w:bidi w:val="0"/>
        <w:snapToGrid w:val="0"/>
        <w:spacing w:line="360" w:lineRule="auto"/>
        <w:ind w:right="198" w:firstLine="6505" w:firstLineChars="2700"/>
        <w:textAlignment w:val="auto"/>
        <w:rPr>
          <w:rFonts w:ascii="宋体" w:hAnsi="宋体" w:cs="宋体"/>
          <w:b/>
          <w:color w:val="auto"/>
          <w:sz w:val="24"/>
          <w:highlight w:val="none"/>
        </w:rPr>
      </w:pPr>
      <w:r>
        <w:rPr>
          <w:rFonts w:hint="eastAsia" w:ascii="宋体" w:hAnsi="宋体" w:cs="宋体"/>
          <w:b/>
          <w:color w:val="auto"/>
          <w:sz w:val="24"/>
          <w:highlight w:val="none"/>
        </w:rPr>
        <w:t>202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年</w:t>
      </w:r>
      <w:r>
        <w:rPr>
          <w:rFonts w:hint="eastAsia" w:ascii="宋体" w:hAnsi="宋体" w:cs="宋体"/>
          <w:b/>
          <w:color w:val="auto"/>
          <w:sz w:val="24"/>
          <w:highlight w:val="none"/>
          <w:lang w:val="en-US" w:eastAsia="zh-CN"/>
        </w:rPr>
        <w:t xml:space="preserve">6 </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 xml:space="preserve">20 </w:t>
      </w:r>
      <w:r>
        <w:rPr>
          <w:rFonts w:hint="eastAsia" w:ascii="宋体" w:hAnsi="宋体" w:cs="宋体"/>
          <w:b/>
          <w:color w:val="auto"/>
          <w:sz w:val="24"/>
          <w:highlight w:val="none"/>
        </w:rPr>
        <w:t>日</w:t>
      </w:r>
    </w:p>
    <w:p w14:paraId="65A75198">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color w:val="auto"/>
          <w:kern w:val="0"/>
          <w:sz w:val="24"/>
          <w:highlight w:val="none"/>
        </w:rPr>
      </w:pPr>
    </w:p>
    <w:p w14:paraId="39343A84">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color w:val="auto"/>
          <w:sz w:val="20"/>
          <w:szCs w:val="22"/>
          <w:highlight w:val="none"/>
        </w:rPr>
      </w:pPr>
      <w:r>
        <w:rPr>
          <w:rFonts w:hint="eastAsia" w:ascii="宋体" w:hAnsi="宋体" w:cs="宋体"/>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w:t>
      </w:r>
    </w:p>
    <w:p w14:paraId="59B4D754">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cs="宋体"/>
          <w:color w:val="auto"/>
          <w:kern w:val="0"/>
          <w:sz w:val="22"/>
          <w:szCs w:val="22"/>
          <w:highlight w:val="none"/>
        </w:rPr>
        <w:sectPr>
          <w:headerReference r:id="rId4" w:type="first"/>
          <w:footerReference r:id="rId6" w:type="first"/>
          <w:headerReference r:id="rId3" w:type="default"/>
          <w:footerReference r:id="rId5" w:type="default"/>
          <w:pgSz w:w="11906" w:h="16838"/>
          <w:pgMar w:top="1276" w:right="1361" w:bottom="1247" w:left="1418" w:header="851" w:footer="992" w:gutter="0"/>
          <w:cols w:space="720" w:num="1"/>
          <w:docGrid w:linePitch="312" w:charSpace="0"/>
        </w:sectPr>
      </w:pPr>
      <w:r>
        <w:rPr>
          <w:rFonts w:hint="eastAsia" w:ascii="宋体" w:hAnsi="宋体" w:cs="宋体"/>
          <w:color w:val="auto"/>
          <w:kern w:val="0"/>
          <w:sz w:val="22"/>
          <w:szCs w:val="22"/>
          <w:highlight w:val="none"/>
        </w:rPr>
        <w:t>CA问题联系电话（人工）：汇信CA 400-888-4636；天谷CA 400-087-8198。</w:t>
      </w:r>
    </w:p>
    <w:p w14:paraId="7AB022F1">
      <w:pPr>
        <w:pStyle w:val="22"/>
        <w:pageBreakBefore/>
        <w:snapToGrid w:val="0"/>
        <w:spacing w:before="120" w:after="120" w:line="360" w:lineRule="auto"/>
        <w:jc w:val="center"/>
        <w:outlineLvl w:val="0"/>
        <w:rPr>
          <w:rFonts w:ascii="宋体" w:hAnsi="宋体" w:cs="宋体"/>
          <w:b/>
          <w:color w:val="auto"/>
          <w:sz w:val="36"/>
          <w:szCs w:val="36"/>
          <w:highlight w:val="none"/>
        </w:rPr>
      </w:pPr>
      <w:bookmarkStart w:id="1" w:name="_Toc10851"/>
      <w:r>
        <w:rPr>
          <w:rFonts w:hint="eastAsia" w:ascii="宋体" w:hAnsi="宋体" w:cs="宋体"/>
          <w:b/>
          <w:color w:val="auto"/>
          <w:sz w:val="36"/>
          <w:szCs w:val="36"/>
          <w:highlight w:val="none"/>
        </w:rPr>
        <w:t>第二章  招标需求</w:t>
      </w:r>
      <w:bookmarkEnd w:id="1"/>
    </w:p>
    <w:p w14:paraId="246564C2">
      <w:pPr>
        <w:numPr>
          <w:ilvl w:val="0"/>
          <w:numId w:val="5"/>
        </w:numPr>
        <w:spacing w:line="360" w:lineRule="auto"/>
        <w:rPr>
          <w:rFonts w:hint="eastAsia" w:ascii="宋体" w:hAnsi="宋体" w:cs="宋体"/>
          <w:color w:val="auto"/>
          <w:sz w:val="24"/>
          <w:highlight w:val="none"/>
          <w:lang w:eastAsia="zh-CN"/>
        </w:rPr>
      </w:pPr>
      <w:r>
        <w:rPr>
          <w:rFonts w:hint="eastAsia" w:ascii="宋体" w:hAnsi="宋体" w:cs="宋体"/>
          <w:b/>
          <w:bCs/>
          <w:color w:val="auto"/>
          <w:sz w:val="24"/>
          <w:highlight w:val="none"/>
        </w:rPr>
        <w:t>项目编号：</w:t>
      </w:r>
      <w:r>
        <w:rPr>
          <w:rFonts w:hint="eastAsia" w:ascii="宋体" w:hAnsi="宋体" w:cs="宋体"/>
          <w:color w:val="auto"/>
          <w:sz w:val="24"/>
          <w:highlight w:val="none"/>
          <w:lang w:eastAsia="zh-CN"/>
        </w:rPr>
        <w:t>JHZZGC2025-002</w:t>
      </w:r>
    </w:p>
    <w:p w14:paraId="707F7EDE">
      <w:pPr>
        <w:numPr>
          <w:ilvl w:val="0"/>
          <w:numId w:val="5"/>
        </w:numPr>
        <w:spacing w:line="360" w:lineRule="auto"/>
        <w:rPr>
          <w:rFonts w:ascii="宋体" w:hAnsi="宋体" w:cs="宋体"/>
          <w:b/>
          <w:color w:val="auto"/>
          <w:sz w:val="24"/>
          <w:highlight w:val="none"/>
        </w:rPr>
      </w:pPr>
      <w:r>
        <w:rPr>
          <w:rFonts w:hint="eastAsia" w:ascii="宋体" w:hAnsi="宋体" w:cs="宋体"/>
          <w:b/>
          <w:bCs/>
          <w:color w:val="auto"/>
          <w:sz w:val="24"/>
          <w:highlight w:val="none"/>
        </w:rPr>
        <w:t>采购项目名称：</w:t>
      </w:r>
      <w:bookmarkStart w:id="2" w:name="_Toc495926918"/>
      <w:r>
        <w:rPr>
          <w:rFonts w:hint="eastAsia" w:ascii="宋体" w:hAnsi="宋体" w:cs="宋体"/>
          <w:color w:val="auto"/>
          <w:sz w:val="24"/>
          <w:highlight w:val="none"/>
          <w:lang w:eastAsia="zh-CN"/>
        </w:rPr>
        <w:t xml:space="preserve">南马镇中心小学校舍及道路改造项目 </w:t>
      </w:r>
    </w:p>
    <w:tbl>
      <w:tblPr>
        <w:tblStyle w:val="38"/>
        <w:tblW w:w="11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645"/>
        <w:gridCol w:w="723"/>
        <w:gridCol w:w="1995"/>
        <w:gridCol w:w="1966"/>
        <w:gridCol w:w="1966"/>
      </w:tblGrid>
      <w:tr w14:paraId="6B2D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62" w:type="dxa"/>
            <w:vAlign w:val="center"/>
          </w:tcPr>
          <w:p w14:paraId="2F20EF7A">
            <w:pPr>
              <w:widowControl/>
              <w:overflowPunct w:val="0"/>
              <w:autoSpaceDE w:val="0"/>
              <w:autoSpaceDN w:val="0"/>
              <w:adjustRightInd w:val="0"/>
              <w:spacing w:line="360" w:lineRule="auto"/>
              <w:jc w:val="center"/>
              <w:textAlignment w:val="baseline"/>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标项</w:t>
            </w:r>
          </w:p>
        </w:tc>
        <w:tc>
          <w:tcPr>
            <w:tcW w:w="3645" w:type="dxa"/>
            <w:vAlign w:val="center"/>
          </w:tcPr>
          <w:p w14:paraId="6CF60353">
            <w:pPr>
              <w:widowControl/>
              <w:overflowPunct w:val="0"/>
              <w:autoSpaceDE w:val="0"/>
              <w:autoSpaceDN w:val="0"/>
              <w:adjustRightInd w:val="0"/>
              <w:spacing w:line="360" w:lineRule="auto"/>
              <w:jc w:val="center"/>
              <w:textAlignment w:val="baseline"/>
              <w:rPr>
                <w:rFonts w:ascii="宋体" w:hAnsi="宋体" w:cs="宋体"/>
                <w:b/>
                <w:color w:val="auto"/>
                <w:sz w:val="24"/>
                <w:highlight w:val="none"/>
              </w:rPr>
            </w:pPr>
            <w:r>
              <w:rPr>
                <w:rFonts w:hint="eastAsia" w:ascii="宋体" w:hAnsi="宋体"/>
                <w:b/>
                <w:bCs/>
                <w:color w:val="auto"/>
                <w:kern w:val="0"/>
                <w:sz w:val="24"/>
                <w:highlight w:val="none"/>
              </w:rPr>
              <w:t>采购内容</w:t>
            </w:r>
          </w:p>
        </w:tc>
        <w:tc>
          <w:tcPr>
            <w:tcW w:w="723" w:type="dxa"/>
            <w:vAlign w:val="center"/>
          </w:tcPr>
          <w:p w14:paraId="5516B06F">
            <w:pPr>
              <w:widowControl/>
              <w:overflowPunct w:val="0"/>
              <w:autoSpaceDE w:val="0"/>
              <w:autoSpaceDN w:val="0"/>
              <w:adjustRightInd w:val="0"/>
              <w:spacing w:line="360" w:lineRule="auto"/>
              <w:jc w:val="center"/>
              <w:textAlignment w:val="baseline"/>
              <w:rPr>
                <w:rFonts w:ascii="宋体" w:hAnsi="宋体" w:cs="宋体"/>
                <w:b/>
                <w:color w:val="auto"/>
                <w:sz w:val="24"/>
                <w:highlight w:val="none"/>
              </w:rPr>
            </w:pPr>
            <w:r>
              <w:rPr>
                <w:rFonts w:hint="eastAsia" w:ascii="宋体" w:hAnsi="宋体"/>
                <w:b/>
                <w:bCs/>
                <w:color w:val="auto"/>
                <w:kern w:val="0"/>
                <w:sz w:val="24"/>
                <w:highlight w:val="none"/>
              </w:rPr>
              <w:t>数量</w:t>
            </w:r>
          </w:p>
        </w:tc>
        <w:tc>
          <w:tcPr>
            <w:tcW w:w="1995" w:type="dxa"/>
            <w:vAlign w:val="center"/>
          </w:tcPr>
          <w:p w14:paraId="27B0AAE4">
            <w:pPr>
              <w:widowControl/>
              <w:overflowPunct w:val="0"/>
              <w:autoSpaceDE w:val="0"/>
              <w:autoSpaceDN w:val="0"/>
              <w:adjustRightInd w:val="0"/>
              <w:spacing w:line="360" w:lineRule="auto"/>
              <w:jc w:val="center"/>
              <w:textAlignment w:val="baseline"/>
              <w:rPr>
                <w:rFonts w:hint="eastAsia" w:ascii="宋体" w:hAnsi="宋体" w:eastAsia="宋体" w:cs="Times New Roman"/>
                <w:b/>
                <w:bCs/>
                <w:color w:val="auto"/>
                <w:kern w:val="0"/>
                <w:sz w:val="24"/>
                <w:highlight w:val="none"/>
                <w:lang w:eastAsia="zh-CN"/>
              </w:rPr>
            </w:pPr>
            <w:r>
              <w:rPr>
                <w:rFonts w:hint="eastAsia" w:ascii="宋体" w:hAnsi="宋体" w:eastAsia="宋体" w:cs="Times New Roman"/>
                <w:b/>
                <w:bCs/>
                <w:color w:val="auto"/>
                <w:kern w:val="0"/>
                <w:sz w:val="24"/>
                <w:highlight w:val="none"/>
              </w:rPr>
              <w:t>最高限价</w:t>
            </w:r>
          </w:p>
        </w:tc>
        <w:tc>
          <w:tcPr>
            <w:tcW w:w="1966" w:type="dxa"/>
            <w:vAlign w:val="center"/>
          </w:tcPr>
          <w:p w14:paraId="54B81905">
            <w:pPr>
              <w:widowControl/>
              <w:overflowPunct w:val="0"/>
              <w:autoSpaceDE w:val="0"/>
              <w:autoSpaceDN w:val="0"/>
              <w:adjustRightInd w:val="0"/>
              <w:spacing w:line="360" w:lineRule="auto"/>
              <w:jc w:val="center"/>
              <w:textAlignment w:val="baseline"/>
              <w:rPr>
                <w:rFonts w:hint="eastAsia"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rPr>
              <w:t>预算金额</w:t>
            </w:r>
          </w:p>
        </w:tc>
        <w:tc>
          <w:tcPr>
            <w:tcW w:w="1966" w:type="dxa"/>
            <w:vAlign w:val="center"/>
          </w:tcPr>
          <w:p w14:paraId="029811B0">
            <w:pPr>
              <w:widowControl/>
              <w:overflowPunct w:val="0"/>
              <w:autoSpaceDE w:val="0"/>
              <w:autoSpaceDN w:val="0"/>
              <w:adjustRightInd w:val="0"/>
              <w:spacing w:line="360" w:lineRule="auto"/>
              <w:jc w:val="center"/>
              <w:textAlignment w:val="baseline"/>
              <w:rPr>
                <w:rFonts w:hint="eastAsia" w:ascii="宋体" w:hAnsi="宋体" w:eastAsia="宋体" w:cs="Times New Roman"/>
                <w:b/>
                <w:bCs/>
                <w:color w:val="auto"/>
                <w:kern w:val="0"/>
                <w:sz w:val="24"/>
                <w:highlight w:val="none"/>
              </w:rPr>
            </w:pPr>
            <w:r>
              <w:rPr>
                <w:rFonts w:hint="eastAsia" w:ascii="宋体" w:hAnsi="宋体"/>
                <w:b/>
                <w:bCs/>
                <w:color w:val="auto"/>
                <w:kern w:val="0"/>
                <w:sz w:val="24"/>
                <w:highlight w:val="none"/>
                <w:lang w:val="en-US" w:eastAsia="zh-CN"/>
              </w:rPr>
              <w:t>备注</w:t>
            </w:r>
          </w:p>
        </w:tc>
      </w:tr>
      <w:tr w14:paraId="319D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62" w:type="dxa"/>
            <w:vAlign w:val="center"/>
          </w:tcPr>
          <w:p w14:paraId="2D84450F">
            <w:pPr>
              <w:widowControl/>
              <w:overflowPunct w:val="0"/>
              <w:autoSpaceDE w:val="0"/>
              <w:autoSpaceDN w:val="0"/>
              <w:adjustRightInd w:val="0"/>
              <w:spacing w:line="360" w:lineRule="auto"/>
              <w:jc w:val="center"/>
              <w:textAlignment w:val="baseline"/>
              <w:rPr>
                <w:rFonts w:hint="eastAsia" w:ascii="宋体" w:hAnsi="宋体" w:eastAsia="宋体" w:cs="宋体"/>
                <w:b/>
                <w:color w:val="auto"/>
                <w:kern w:val="2"/>
                <w:sz w:val="24"/>
                <w:szCs w:val="24"/>
                <w:highlight w:val="none"/>
                <w:lang w:val="en-US" w:eastAsia="zh-CN" w:bidi="ar-SA"/>
              </w:rPr>
            </w:pPr>
            <w:r>
              <w:rPr>
                <w:rFonts w:hint="eastAsia" w:ascii="宋体" w:hAnsi="宋体"/>
                <w:bCs/>
                <w:color w:val="auto"/>
                <w:kern w:val="0"/>
                <w:sz w:val="24"/>
                <w:highlight w:val="none"/>
                <w:lang w:val="en-US" w:eastAsia="zh-CN"/>
              </w:rPr>
              <w:t>一</w:t>
            </w:r>
          </w:p>
        </w:tc>
        <w:tc>
          <w:tcPr>
            <w:tcW w:w="3645" w:type="dxa"/>
            <w:vAlign w:val="center"/>
          </w:tcPr>
          <w:p w14:paraId="4BE4C2E1">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南马镇中心小学校舍及道路改造项目</w:t>
            </w:r>
          </w:p>
        </w:tc>
        <w:tc>
          <w:tcPr>
            <w:tcW w:w="723" w:type="dxa"/>
            <w:vAlign w:val="center"/>
          </w:tcPr>
          <w:p w14:paraId="65931401">
            <w:pPr>
              <w:widowControl/>
              <w:overflowPunct w:val="0"/>
              <w:autoSpaceDE w:val="0"/>
              <w:autoSpaceDN w:val="0"/>
              <w:adjustRightInd w:val="0"/>
              <w:spacing w:line="36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1项</w:t>
            </w:r>
          </w:p>
        </w:tc>
        <w:tc>
          <w:tcPr>
            <w:tcW w:w="1995" w:type="dxa"/>
            <w:vAlign w:val="center"/>
          </w:tcPr>
          <w:p w14:paraId="1B6AEBBB">
            <w:pPr>
              <w:widowControl/>
              <w:overflowPunct w:val="0"/>
              <w:autoSpaceDE w:val="0"/>
              <w:autoSpaceDN w:val="0"/>
              <w:adjustRightInd w:val="0"/>
              <w:spacing w:line="360" w:lineRule="auto"/>
              <w:jc w:val="center"/>
              <w:textAlignment w:val="baseline"/>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highlight w:val="none"/>
                <w:lang w:val="en-US" w:eastAsia="zh-CN"/>
              </w:rPr>
              <w:t>1347045元</w:t>
            </w:r>
          </w:p>
        </w:tc>
        <w:tc>
          <w:tcPr>
            <w:tcW w:w="1966" w:type="dxa"/>
            <w:vAlign w:val="center"/>
          </w:tcPr>
          <w:p w14:paraId="311EDF4F">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highlight w:val="none"/>
                <w:lang w:eastAsia="zh-CN"/>
              </w:rPr>
              <w:t>1</w:t>
            </w:r>
            <w:r>
              <w:rPr>
                <w:rFonts w:hint="eastAsia" w:ascii="宋体" w:hAnsi="宋体" w:cs="宋体"/>
                <w:color w:val="auto"/>
                <w:sz w:val="24"/>
                <w:highlight w:val="none"/>
                <w:lang w:val="en-US" w:eastAsia="zh-CN"/>
              </w:rPr>
              <w:t>350000</w:t>
            </w:r>
            <w:r>
              <w:rPr>
                <w:rFonts w:hint="eastAsia" w:ascii="宋体" w:hAnsi="宋体" w:cs="宋体"/>
                <w:color w:val="auto"/>
                <w:sz w:val="24"/>
                <w:highlight w:val="none"/>
                <w:lang w:eastAsia="zh-CN"/>
              </w:rPr>
              <w:t>元</w:t>
            </w:r>
          </w:p>
        </w:tc>
        <w:tc>
          <w:tcPr>
            <w:tcW w:w="1966" w:type="dxa"/>
            <w:vAlign w:val="center"/>
          </w:tcPr>
          <w:p w14:paraId="12469CF5">
            <w:pPr>
              <w:spacing w:line="360" w:lineRule="auto"/>
              <w:jc w:val="center"/>
              <w:rPr>
                <w:rFonts w:hint="eastAsia" w:ascii="宋体" w:hAnsi="宋体" w:cs="宋体"/>
                <w:color w:val="auto"/>
                <w:sz w:val="24"/>
                <w:highlight w:val="none"/>
                <w:lang w:eastAsia="zh-CN"/>
              </w:rPr>
            </w:pPr>
            <w:r>
              <w:rPr>
                <w:rFonts w:hint="eastAsia" w:ascii="宋体" w:hAnsi="宋体" w:cs="宋体"/>
                <w:b w:val="0"/>
                <w:bCs w:val="0"/>
                <w:color w:val="auto"/>
                <w:sz w:val="24"/>
                <w:highlight w:val="none"/>
                <w:lang w:val="en-US" w:eastAsia="zh-CN"/>
              </w:rPr>
              <w:t>本项目财政审定价为</w:t>
            </w:r>
            <w:r>
              <w:rPr>
                <w:rFonts w:hint="eastAsia" w:ascii="宋体" w:hAnsi="宋体" w:cs="宋体"/>
                <w:b w:val="0"/>
                <w:bCs w:val="0"/>
                <w:color w:val="auto"/>
                <w:kern w:val="2"/>
                <w:sz w:val="24"/>
                <w:szCs w:val="24"/>
                <w:highlight w:val="none"/>
                <w:lang w:val="en-US" w:eastAsia="zh-CN" w:bidi="ar-SA"/>
              </w:rPr>
              <w:t>1347045</w:t>
            </w:r>
            <w:r>
              <w:rPr>
                <w:rFonts w:hint="eastAsia" w:ascii="宋体" w:hAnsi="宋体" w:cs="宋体"/>
                <w:b w:val="0"/>
                <w:bCs w:val="0"/>
                <w:color w:val="auto"/>
                <w:sz w:val="24"/>
                <w:highlight w:val="none"/>
                <w:lang w:val="en-US" w:eastAsia="zh-CN"/>
              </w:rPr>
              <w:t>元，具体清单详见附件预算书。</w:t>
            </w:r>
          </w:p>
        </w:tc>
      </w:tr>
    </w:tbl>
    <w:p w14:paraId="6D2730E1">
      <w:pPr>
        <w:spacing w:line="324" w:lineRule="auto"/>
        <w:rPr>
          <w:rFonts w:ascii="宋体" w:hAnsi="宋体" w:cs="宋体"/>
          <w:b/>
          <w:color w:val="auto"/>
          <w:sz w:val="24"/>
          <w:szCs w:val="24"/>
          <w:highlight w:val="none"/>
        </w:rPr>
      </w:pPr>
      <w:r>
        <w:rPr>
          <w:rFonts w:hint="eastAsia" w:ascii="宋体" w:hAnsi="宋体" w:cs="宋体"/>
          <w:b/>
          <w:color w:val="auto"/>
          <w:sz w:val="24"/>
          <w:szCs w:val="24"/>
          <w:highlight w:val="none"/>
        </w:rPr>
        <w:t>注：具体清单详见附件预算书。</w:t>
      </w:r>
    </w:p>
    <w:p w14:paraId="46443629">
      <w:pPr>
        <w:numPr>
          <w:ilvl w:val="0"/>
          <w:numId w:val="0"/>
        </w:numPr>
        <w:spacing w:line="360" w:lineRule="auto"/>
        <w:ind w:leftChars="0"/>
        <w:rPr>
          <w:rFonts w:hint="eastAsia"/>
          <w:b/>
          <w:bCs/>
          <w:color w:val="auto"/>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项目</w:t>
      </w:r>
      <w:r>
        <w:rPr>
          <w:rFonts w:hint="eastAsia" w:ascii="宋体" w:hAnsi="宋体" w:cs="宋体"/>
          <w:b/>
          <w:color w:val="auto"/>
          <w:sz w:val="24"/>
          <w:highlight w:val="none"/>
        </w:rPr>
        <w:t xml:space="preserve">内容  </w:t>
      </w:r>
    </w:p>
    <w:p w14:paraId="666C82DE">
      <w:pPr>
        <w:pStyle w:val="35"/>
        <w:keepNext w:val="0"/>
        <w:keepLines w:val="0"/>
        <w:widowControl/>
        <w:suppressLineNumbers w:val="0"/>
        <w:spacing w:before="0" w:beforeAutospacing="0" w:after="0" w:afterAutospacing="0"/>
        <w:ind w:left="0" w:right="0" w:firstLine="0"/>
        <w:rPr>
          <w:rFonts w:hint="eastAsia" w:ascii="宋体" w:hAnsi="宋体" w:eastAsia="宋体" w:cs="新宋体"/>
          <w:color w:val="auto"/>
          <w:sz w:val="24"/>
          <w:highlight w:val="none"/>
          <w:lang w:eastAsia="zh-CN"/>
        </w:rPr>
      </w:pPr>
      <w:r>
        <w:rPr>
          <w:rFonts w:hint="eastAsia"/>
          <w:b/>
          <w:bCs/>
          <w:color w:val="auto"/>
          <w:highlight w:val="none"/>
        </w:rPr>
        <w:t>（</w:t>
      </w:r>
      <w:r>
        <w:rPr>
          <w:rFonts w:hint="eastAsia"/>
          <w:b/>
          <w:bCs/>
          <w:color w:val="auto"/>
          <w:highlight w:val="none"/>
          <w:lang w:val="en-US" w:eastAsia="zh-CN"/>
        </w:rPr>
        <w:t>一</w:t>
      </w:r>
      <w:r>
        <w:rPr>
          <w:rFonts w:hint="eastAsia"/>
          <w:b/>
          <w:bCs/>
          <w:color w:val="auto"/>
          <w:highlight w:val="none"/>
        </w:rPr>
        <w:t>）</w:t>
      </w:r>
      <w:r>
        <w:rPr>
          <w:rFonts w:hint="eastAsia" w:ascii="宋体" w:hAnsi="宋体" w:eastAsia="宋体" w:cs="宋体"/>
          <w:b/>
          <w:bCs/>
          <w:color w:val="auto"/>
          <w:highlight w:val="none"/>
        </w:rPr>
        <w:t>工程概况</w:t>
      </w:r>
      <w:r>
        <w:rPr>
          <w:rFonts w:hint="eastAsia" w:ascii="宋体" w:hAnsi="宋体" w:eastAsia="宋体" w:cs="宋体"/>
          <w:b/>
          <w:bCs/>
          <w:color w:val="auto"/>
          <w:highlight w:val="none"/>
          <w:lang w:eastAsia="zh-CN"/>
        </w:rPr>
        <w:t>：</w:t>
      </w:r>
    </w:p>
    <w:p w14:paraId="2ECF98AA">
      <w:pPr>
        <w:widowControl/>
        <w:spacing w:line="360" w:lineRule="auto"/>
        <w:ind w:firstLine="480" w:firstLineChars="200"/>
        <w:jc w:val="left"/>
        <w:rPr>
          <w:rFonts w:hint="eastAsia" w:ascii="宋体" w:hAnsi="宋体" w:cs="新宋体"/>
          <w:color w:val="auto"/>
          <w:sz w:val="24"/>
          <w:szCs w:val="24"/>
          <w:highlight w:val="none"/>
          <w:lang w:eastAsia="zh-CN"/>
        </w:rPr>
      </w:pPr>
      <w:r>
        <w:rPr>
          <w:rFonts w:hint="eastAsia" w:ascii="宋体" w:hAnsi="宋体" w:cs="新宋体"/>
          <w:color w:val="auto"/>
          <w:sz w:val="24"/>
          <w:szCs w:val="24"/>
          <w:highlight w:val="none"/>
        </w:rPr>
        <w:t>工程名称：</w:t>
      </w:r>
      <w:r>
        <w:rPr>
          <w:rFonts w:hint="eastAsia" w:ascii="宋体" w:hAnsi="宋体" w:cs="宋体"/>
          <w:color w:val="auto"/>
          <w:sz w:val="24"/>
          <w:highlight w:val="none"/>
          <w:lang w:eastAsia="zh-CN"/>
        </w:rPr>
        <w:t>南马镇中心小学校舍及道路改造项目</w:t>
      </w:r>
    </w:p>
    <w:p w14:paraId="388133A7">
      <w:pPr>
        <w:widowControl/>
        <w:spacing w:line="360" w:lineRule="auto"/>
        <w:ind w:firstLine="480" w:firstLineChars="200"/>
        <w:jc w:val="left"/>
        <w:rPr>
          <w:rFonts w:hint="eastAsia" w:ascii="宋体" w:hAnsi="宋体" w:cs="新宋体"/>
          <w:color w:val="auto"/>
          <w:sz w:val="24"/>
          <w:szCs w:val="24"/>
          <w:highlight w:val="none"/>
        </w:rPr>
      </w:pPr>
      <w:r>
        <w:rPr>
          <w:rFonts w:hint="eastAsia" w:ascii="宋体" w:hAnsi="宋体" w:cs="新宋体"/>
          <w:color w:val="auto"/>
          <w:sz w:val="24"/>
          <w:szCs w:val="24"/>
          <w:highlight w:val="none"/>
        </w:rPr>
        <w:t>建设单位：</w:t>
      </w:r>
      <w:r>
        <w:rPr>
          <w:rFonts w:hint="eastAsia" w:ascii="宋体" w:hAnsi="宋体" w:cs="宋体"/>
          <w:color w:val="auto"/>
          <w:sz w:val="24"/>
          <w:highlight w:val="none"/>
          <w:lang w:eastAsia="zh-CN"/>
        </w:rPr>
        <w:t>东阳市南马镇中心小学</w:t>
      </w:r>
    </w:p>
    <w:p w14:paraId="0F5C1C4F">
      <w:pPr>
        <w:widowControl/>
        <w:spacing w:line="360" w:lineRule="auto"/>
        <w:ind w:firstLine="480" w:firstLineChars="200"/>
        <w:jc w:val="left"/>
        <w:rPr>
          <w:rFonts w:hint="default" w:ascii="宋体" w:hAnsi="宋体" w:eastAsia="宋体" w:cs="新宋体"/>
          <w:color w:val="auto"/>
          <w:sz w:val="24"/>
          <w:szCs w:val="24"/>
          <w:highlight w:val="none"/>
          <w:lang w:val="en-US"/>
        </w:rPr>
      </w:pPr>
      <w:r>
        <w:rPr>
          <w:rFonts w:hint="eastAsia" w:ascii="宋体" w:hAnsi="宋体" w:cs="新宋体"/>
          <w:color w:val="auto"/>
          <w:sz w:val="24"/>
          <w:szCs w:val="24"/>
          <w:highlight w:val="none"/>
        </w:rPr>
        <w:t>建设地点：</w:t>
      </w:r>
      <w:r>
        <w:rPr>
          <w:rFonts w:hint="eastAsia" w:ascii="宋体" w:hAnsi="宋体" w:cs="宋体"/>
          <w:color w:val="auto"/>
          <w:sz w:val="24"/>
          <w:highlight w:val="none"/>
          <w:lang w:eastAsia="zh-CN"/>
        </w:rPr>
        <w:t>东阳市南马镇中心小学</w:t>
      </w:r>
    </w:p>
    <w:p w14:paraId="377A8E3E">
      <w:pPr>
        <w:spacing w:line="360" w:lineRule="auto"/>
        <w:ind w:firstLine="480" w:firstLineChars="200"/>
        <w:rPr>
          <w:rFonts w:hint="eastAsia" w:ascii="宋体" w:hAnsi="宋体" w:eastAsia="宋体" w:cs="新宋体"/>
          <w:color w:val="auto"/>
          <w:sz w:val="24"/>
          <w:szCs w:val="24"/>
          <w:highlight w:val="none"/>
        </w:rPr>
      </w:pPr>
      <w:r>
        <w:rPr>
          <w:rFonts w:hint="eastAsia" w:ascii="宋体" w:hAnsi="宋体" w:eastAsia="宋体" w:cs="新宋体"/>
          <w:color w:val="auto"/>
          <w:sz w:val="24"/>
          <w:szCs w:val="24"/>
          <w:highlight w:val="none"/>
        </w:rPr>
        <w:t>工程规模：</w:t>
      </w:r>
      <w:r>
        <w:rPr>
          <w:rFonts w:hint="eastAsia" w:ascii="宋体" w:hAnsi="宋体" w:cs="新宋体"/>
          <w:color w:val="auto"/>
          <w:sz w:val="24"/>
          <w:szCs w:val="24"/>
          <w:highlight w:val="none"/>
          <w:lang w:eastAsia="zh-CN"/>
        </w:rPr>
        <w:t>该工程由东阳市南马镇中心小学负责建设。工程建设地点位于东阳市南马镇中心小学，主要建设内容为教学楼和办公楼路面改造及绿化工程、体艺楼三楼地面改造、综合楼外墙真石改造及宿舍走廊地面、内墙及顶棚改造、西大门改造、围墙墙面改造以及垃圾间拆除新建等。</w:t>
      </w:r>
    </w:p>
    <w:p w14:paraId="356F714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服务</w:t>
      </w:r>
      <w:r>
        <w:rPr>
          <w:rFonts w:hint="eastAsia" w:ascii="宋体" w:hAnsi="宋体" w:eastAsia="宋体" w:cs="宋体"/>
          <w:b/>
          <w:bCs/>
          <w:color w:val="auto"/>
          <w:sz w:val="24"/>
          <w:highlight w:val="none"/>
        </w:rPr>
        <w:t>内容</w:t>
      </w:r>
      <w:r>
        <w:rPr>
          <w:rFonts w:hint="eastAsia" w:ascii="宋体" w:hAnsi="宋体" w:cs="宋体"/>
          <w:b/>
          <w:bCs/>
          <w:color w:val="auto"/>
          <w:sz w:val="24"/>
          <w:highlight w:val="none"/>
          <w:lang w:val="en-US" w:eastAsia="zh-CN"/>
        </w:rPr>
        <w:t>及要求</w:t>
      </w:r>
      <w:r>
        <w:rPr>
          <w:rFonts w:hint="eastAsia" w:ascii="宋体" w:hAnsi="宋体" w:eastAsia="宋体" w:cs="宋体"/>
          <w:b/>
          <w:bCs/>
          <w:color w:val="auto"/>
          <w:sz w:val="24"/>
          <w:highlight w:val="none"/>
        </w:rPr>
        <w:t>：</w:t>
      </w:r>
    </w:p>
    <w:bookmarkEnd w:id="2"/>
    <w:p w14:paraId="269F99FA">
      <w:pPr>
        <w:pStyle w:val="22"/>
        <w:spacing w:line="360" w:lineRule="auto"/>
        <w:rPr>
          <w:rFonts w:hint="eastAsia" w:ascii="宋体" w:hAnsi="宋体" w:cs="宋体"/>
          <w:b/>
          <w:bCs/>
          <w:color w:val="auto"/>
          <w:sz w:val="24"/>
          <w:highlight w:val="none"/>
          <w:lang w:val="en-US" w:eastAsia="zh-CN"/>
        </w:rPr>
      </w:pPr>
      <w:bookmarkStart w:id="3" w:name="_Toc13703"/>
      <w:r>
        <w:rPr>
          <w:rFonts w:hint="eastAsia" w:ascii="宋体" w:hAnsi="宋体" w:cs="宋体"/>
          <w:b/>
          <w:bCs/>
          <w:color w:val="auto"/>
          <w:sz w:val="24"/>
          <w:highlight w:val="none"/>
          <w:lang w:val="en-US" w:eastAsia="zh-CN"/>
        </w:rPr>
        <w:t>1、工作内容：</w:t>
      </w:r>
    </w:p>
    <w:p w14:paraId="43D3A8D3">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1.1按图纸设计内容进行施工（包括施工所需的所有工作）；</w:t>
      </w:r>
    </w:p>
    <w:p w14:paraId="535BA209">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1.2工程量：根据采购人提供的施工图纸、预算书等资料（详见附件）；</w:t>
      </w:r>
    </w:p>
    <w:p w14:paraId="06DAF8A7">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1.3工程造价包括一切与施工相关的材料、人工、检测、检验、税收等其它费用。</w:t>
      </w:r>
    </w:p>
    <w:p w14:paraId="0CBC0B1F">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▲2、项目质量及施工安全</w:t>
      </w:r>
    </w:p>
    <w:p w14:paraId="021B49D9">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2.1本项目所用材料应必须有合格证，工程质量以国家相关标准规范验收合格为准；</w:t>
      </w:r>
    </w:p>
    <w:p w14:paraId="05E5D046">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 xml:space="preserve">2.2本项目采购人推荐的建材品牌详见工程预算书，实际施工时供应商可以提供性能指标及档次同等或者优于采购人推荐品牌的产品参与投标，但价格不再调整。  </w:t>
      </w:r>
    </w:p>
    <w:p w14:paraId="4F63DF6B">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2.3项目施工材料应按相关规定进行检验，合格后方可使用。</w:t>
      </w:r>
    </w:p>
    <w:p w14:paraId="08162610">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2.4应按国家、行业现行规范进行施工。</w:t>
      </w:r>
    </w:p>
    <w:p w14:paraId="0972B05B">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2.5施工过程应做好相关资料记录。</w:t>
      </w:r>
    </w:p>
    <w:p w14:paraId="40996F30">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2.6必须按相关规定接受采购人委托单位的监督和检查，并提供相关资料。</w:t>
      </w:r>
    </w:p>
    <w:p w14:paraId="5DA24835">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2.7中标人在施工期间发生安全事故、人身安全和交通安全等大小事故，一切责任和经济补偿均由中标人负责,采购人不承担任何责任。</w:t>
      </w:r>
    </w:p>
    <w:p w14:paraId="4B9960ED">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2.8中标人不服从采购人施工管理、施工管理不规范、安全质量达不到要求、不能在规定工期内完成等情形；采购人有权暂停或取消其施工资格。</w:t>
      </w:r>
    </w:p>
    <w:p w14:paraId="3F664786">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2.9中标人应做好现场施工噪音、环境卫生、材料堆放、安全警示等工作，并负责施工期间与环保、交通城管等部门的沟通协调工作，做好现场秩序的维护，如因中标人原因受到处罚、赔款、纠纷或因此而引起采购人经济损失的，均由中标人承担责任。</w:t>
      </w:r>
    </w:p>
    <w:p w14:paraId="60D0C3FD">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2.10工程质量以国家相关标准规范验收合格为准，如达不到约定的质量标准，采购人可要求中标人返工，直至达到约定的质量标准，并由中标人承担返工的一切费用。</w:t>
      </w:r>
    </w:p>
    <w:p w14:paraId="039C05FF">
      <w:pPr>
        <w:widowControl w:val="0"/>
        <w:spacing w:line="360" w:lineRule="auto"/>
        <w:ind w:firstLine="482" w:firstLineChars="200"/>
        <w:jc w:val="both"/>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 xml:space="preserve">3、对拟派项目班子的要求  </w:t>
      </w:r>
    </w:p>
    <w:p w14:paraId="58FA96D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3.1</w:t>
      </w:r>
      <w:r>
        <w:rPr>
          <w:rFonts w:hint="eastAsia" w:ascii="宋体" w:hAnsi="宋体" w:eastAsia="宋体" w:cs="新宋体"/>
          <w:color w:val="auto"/>
          <w:sz w:val="24"/>
          <w:highlight w:val="none"/>
        </w:rPr>
        <w:t>项目组成员必须每天到岗到位，每缺勤一天罚款1000元/天。到岗率低于50%或连续无故不到岗时，采购人有权终止合同，并追究因此给采购人造成的损失。在施工期间，采购人认为中标人所选派的施工项目负责人、管理人员的现场管理能力、水平不能满足工程建设需要时，有权要求中标人选换施工项目负责人、管理人员。</w:t>
      </w:r>
    </w:p>
    <w:p w14:paraId="6C8EEB10">
      <w:pPr>
        <w:spacing w:line="44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除项目经理、技术负责人、安全员等无特殊情况不允许更换外，其余工程负责人如达不到业主要求的，须无条件更换，如施工单位自行需更换人员的，必须经采购人核准。</w:t>
      </w:r>
    </w:p>
    <w:p w14:paraId="10A4F9C6">
      <w:pPr>
        <w:spacing w:line="44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中标人应按投标文件的承诺组建工程项目管理班子，参照《金华市建筑施工现场主要管理人员考勤预警管理办法》执行。</w:t>
      </w:r>
    </w:p>
    <w:p w14:paraId="6CBA9161">
      <w:pPr>
        <w:pStyle w:val="33"/>
        <w:rPr>
          <w:rFonts w:hint="eastAsia"/>
          <w:color w:val="auto"/>
          <w:highlight w:val="none"/>
          <w:lang w:val="en-US" w:eastAsia="zh-CN"/>
        </w:rPr>
      </w:pPr>
    </w:p>
    <w:p w14:paraId="6253F66D">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三、商务条款及其他要求</w:t>
      </w:r>
    </w:p>
    <w:p w14:paraId="2F741E08">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▲1、报价要求</w:t>
      </w:r>
    </w:p>
    <w:p w14:paraId="6063589B">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1.1本合同为固定总价合同，其合同总价已包含采购人确认的施工图、磋商响应方报价所列内容及所涉及的各项风险费用，竣工结算时在完成本合同工程范围内不作调整。</w:t>
      </w:r>
    </w:p>
    <w:p w14:paraId="59859686">
      <w:pPr>
        <w:pStyle w:val="22"/>
        <w:spacing w:line="360" w:lineRule="auto"/>
        <w:ind w:firstLine="240" w:firstLineChars="1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计算公式为：合同价款＝最高限价×（1－让利下浮率）</w:t>
      </w:r>
    </w:p>
    <w:p w14:paraId="530A92DD">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磋商报价包括项目所需的人工费、材料费、交通费、机械费、装卸费、管理费、税金等与本项目相关的一切费用。供应商的磋商报价为供应商所能承受的整个项目的一次性最终最低报价，如有漏项，视同已包含在本项目磋商报价中。</w:t>
      </w:r>
    </w:p>
    <w:p w14:paraId="71CECBC8">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1.3供应商应自行勘察现场，工程风险由供应商自行承担，结合自身能力进行磋商报价。</w:t>
      </w:r>
    </w:p>
    <w:p w14:paraId="3053D3E1">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 xml:space="preserve">2、付款方式  </w:t>
      </w:r>
    </w:p>
    <w:p w14:paraId="72C467E8">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2.1</w:t>
      </w:r>
      <w:r>
        <w:rPr>
          <w:rFonts w:hint="eastAsia" w:ascii="宋体" w:hAnsi="宋体" w:cs="宋体"/>
          <w:b/>
          <w:bCs/>
          <w:color w:val="auto"/>
          <w:sz w:val="24"/>
          <w:szCs w:val="24"/>
          <w:highlight w:val="none"/>
        </w:rPr>
        <w:t>合同生效以及具备实施条件后7个工作日内支付合同价款</w:t>
      </w:r>
      <w:r>
        <w:rPr>
          <w:rFonts w:hint="eastAsia" w:ascii="宋体" w:hAnsi="宋体" w:cs="宋体"/>
          <w:b/>
          <w:bCs/>
          <w:color w:val="auto"/>
          <w:sz w:val="24"/>
          <w:szCs w:val="24"/>
          <w:highlight w:val="none"/>
          <w:lang w:eastAsia="zh-CN"/>
        </w:rPr>
        <w:t>总额</w:t>
      </w:r>
      <w:r>
        <w:rPr>
          <w:rFonts w:hint="eastAsia" w:ascii="宋体" w:hAnsi="宋体" w:cs="宋体"/>
          <w:b/>
          <w:bCs/>
          <w:color w:val="auto"/>
          <w:sz w:val="24"/>
          <w:szCs w:val="24"/>
          <w:highlight w:val="none"/>
        </w:rPr>
        <w:t>的</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0%作为预付款</w:t>
      </w:r>
      <w:r>
        <w:rPr>
          <w:rFonts w:hint="eastAsia" w:ascii="宋体" w:hAnsi="宋体" w:cs="宋体"/>
          <w:b/>
          <w:bCs/>
          <w:color w:val="auto"/>
          <w:sz w:val="24"/>
          <w:szCs w:val="24"/>
          <w:highlight w:val="none"/>
          <w:lang w:val="en-US" w:eastAsia="zh-CN"/>
        </w:rPr>
        <w:t>（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w:t>
      </w:r>
    </w:p>
    <w:p w14:paraId="47E2387C">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2.2完成初验后支付至85%</w:t>
      </w:r>
      <w:r>
        <w:rPr>
          <w:rFonts w:hint="eastAsia" w:ascii="宋体" w:hAnsi="宋体"/>
          <w:b/>
          <w:bCs/>
          <w:color w:val="auto"/>
          <w:sz w:val="24"/>
          <w:highlight w:val="none"/>
          <w:lang w:eastAsia="zh-CN"/>
        </w:rPr>
        <w:t>；</w:t>
      </w:r>
    </w:p>
    <w:p w14:paraId="422946D5">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2.3全部工程竣工验收合格及结算审核完成后7个工作日支付至100%。</w:t>
      </w:r>
    </w:p>
    <w:p w14:paraId="439F1DC8">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 3、项目工期及项目地点</w:t>
      </w:r>
    </w:p>
    <w:p w14:paraId="6D393FC5">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3.1项目工期：</w:t>
      </w:r>
      <w:r>
        <w:rPr>
          <w:rFonts w:hint="eastAsia" w:ascii="宋体" w:hAnsi="宋体" w:eastAsia="宋体" w:cs="宋体"/>
          <w:color w:val="auto"/>
          <w:sz w:val="24"/>
          <w:szCs w:val="24"/>
          <w:highlight w:val="none"/>
          <w:lang w:val="en-US" w:eastAsia="zh-CN"/>
        </w:rPr>
        <w:t>合同签订后</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en-US" w:eastAsia="zh-CN"/>
        </w:rPr>
        <w:t>日历天完成；</w:t>
      </w:r>
      <w:r>
        <w:rPr>
          <w:rFonts w:hint="eastAsia" w:ascii="宋体" w:hAnsi="宋体" w:cs="宋体"/>
          <w:b w:val="0"/>
          <w:bCs w:val="0"/>
          <w:color w:val="auto"/>
          <w:sz w:val="24"/>
          <w:highlight w:val="none"/>
          <w:lang w:val="en-US" w:eastAsia="zh-CN"/>
        </w:rPr>
        <w:t>每延迟一天罚1000元，限额为合同总价的 1 %。如果实际施工工期提前于合同工期，采购人不给予奖励。如因采购人原因造成工期延误，工期顺延。</w:t>
      </w:r>
    </w:p>
    <w:p w14:paraId="168508EC">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3.2项目地点：</w:t>
      </w:r>
      <w:r>
        <w:rPr>
          <w:rFonts w:hint="eastAsia" w:ascii="宋体" w:hAnsi="宋体" w:cs="宋体"/>
          <w:b w:val="0"/>
          <w:bCs w:val="0"/>
          <w:color w:val="auto"/>
          <w:sz w:val="24"/>
          <w:highlight w:val="none"/>
          <w:lang w:val="en-US" w:eastAsia="zh-CN"/>
        </w:rPr>
        <w:t>按采购人指定地点。</w:t>
      </w:r>
    </w:p>
    <w:p w14:paraId="46E81AA1">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▲4、施工质保期：二年，自验收合格之日起计算</w:t>
      </w:r>
      <w:r>
        <w:rPr>
          <w:rFonts w:hint="eastAsia" w:ascii="宋体" w:hAnsi="宋体" w:cs="宋体"/>
          <w:b w:val="0"/>
          <w:bCs w:val="0"/>
          <w:color w:val="auto"/>
          <w:sz w:val="24"/>
          <w:highlight w:val="none"/>
          <w:lang w:val="en-US" w:eastAsia="zh-CN"/>
        </w:rPr>
        <w:t>。</w:t>
      </w:r>
    </w:p>
    <w:p w14:paraId="05F8EA5A">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四、验收</w:t>
      </w:r>
    </w:p>
    <w:p w14:paraId="24585EB5">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5ED48E">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2、采购人可以邀请参加本项目的其他供应商或者第三方机构参与验收。参与验收的供应商或者第三方机构的意见作为验收书的参考资料一并存档。</w:t>
      </w:r>
    </w:p>
    <w:p w14:paraId="38A04CC7">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C64074">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4、采购人原则上应当在履约验收之日起2个工作日内，将履约验收结果在浙江政府采购网上公告。</w:t>
      </w:r>
    </w:p>
    <w:p w14:paraId="79BC1DF1">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5、验收合格的项目，采购人将根据采购合同的约定及时向供应商支付采购资金、退还履约保证金。</w:t>
      </w:r>
    </w:p>
    <w:p w14:paraId="26FB1BBD">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49011E5">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6、验收费用由中标单位支付。</w:t>
      </w:r>
    </w:p>
    <w:p w14:paraId="2C90A976">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五、合同的签订</w:t>
      </w:r>
    </w:p>
    <w:p w14:paraId="0C0AEC6A">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中标单位在收到《中标通知书》后20日内与东阳市南马镇中心小学签订合同。</w:t>
      </w:r>
    </w:p>
    <w:p w14:paraId="096D1290">
      <w:pPr>
        <w:adjustRightInd w:val="0"/>
        <w:spacing w:line="400" w:lineRule="exact"/>
        <w:jc w:val="left"/>
        <w:rPr>
          <w:rFonts w:hint="default" w:ascii="宋体" w:hAnsi="宋体" w:cs="Times New Roman"/>
          <w:b/>
          <w:bCs/>
          <w:color w:val="auto"/>
          <w:kern w:val="2"/>
          <w:sz w:val="24"/>
          <w:szCs w:val="24"/>
          <w:highlight w:val="none"/>
          <w:lang w:eastAsia="zh-CN" w:bidi="ar-SA"/>
        </w:rPr>
      </w:pPr>
      <w:r>
        <w:rPr>
          <w:rFonts w:hint="eastAsia" w:ascii="宋体" w:hAnsi="宋体" w:cs="Times New Roman"/>
          <w:b/>
          <w:bCs/>
          <w:color w:val="auto"/>
          <w:kern w:val="2"/>
          <w:sz w:val="24"/>
          <w:szCs w:val="24"/>
          <w:highlight w:val="none"/>
          <w:lang w:val="en-US" w:eastAsia="zh-CN" w:bidi="ar-SA"/>
        </w:rPr>
        <w:t>六、</w:t>
      </w:r>
      <w:r>
        <w:rPr>
          <w:rFonts w:hint="eastAsia" w:ascii="宋体" w:hAnsi="宋体" w:eastAsia="宋体" w:cs="Times New Roman"/>
          <w:b/>
          <w:bCs/>
          <w:color w:val="auto"/>
          <w:kern w:val="2"/>
          <w:sz w:val="24"/>
          <w:szCs w:val="24"/>
          <w:highlight w:val="none"/>
          <w:lang w:val="en-US" w:eastAsia="zh-CN" w:bidi="ar-SA"/>
        </w:rPr>
        <w:t>农</w:t>
      </w:r>
      <w:r>
        <w:rPr>
          <w:rFonts w:hint="default" w:ascii="宋体" w:hAnsi="宋体" w:eastAsia="宋体" w:cs="Times New Roman"/>
          <w:b/>
          <w:bCs/>
          <w:color w:val="auto"/>
          <w:kern w:val="2"/>
          <w:sz w:val="24"/>
          <w:szCs w:val="24"/>
          <w:highlight w:val="none"/>
          <w:lang w:val="en-US" w:eastAsia="zh-CN" w:bidi="ar-SA"/>
        </w:rPr>
        <w:t>民工工资相关</w:t>
      </w:r>
      <w:r>
        <w:rPr>
          <w:rFonts w:hint="default" w:ascii="宋体" w:hAnsi="宋体" w:cs="Times New Roman"/>
          <w:b/>
          <w:bCs/>
          <w:color w:val="auto"/>
          <w:kern w:val="2"/>
          <w:sz w:val="24"/>
          <w:szCs w:val="24"/>
          <w:highlight w:val="none"/>
          <w:lang w:eastAsia="zh-CN" w:bidi="ar-SA"/>
        </w:rPr>
        <w:t>要求：</w:t>
      </w:r>
    </w:p>
    <w:p w14:paraId="411B244E">
      <w:pPr>
        <w:adjustRightInd w:val="0"/>
        <w:spacing w:line="400" w:lineRule="exact"/>
        <w:ind w:firstLine="240" w:firstLineChars="1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农</w:t>
      </w:r>
      <w:r>
        <w:rPr>
          <w:rFonts w:hint="default" w:ascii="宋体" w:hAnsi="宋体" w:eastAsia="宋体" w:cs="Times New Roman"/>
          <w:color w:val="auto"/>
          <w:kern w:val="2"/>
          <w:sz w:val="24"/>
          <w:szCs w:val="24"/>
          <w:highlight w:val="none"/>
          <w:lang w:val="en-US" w:eastAsia="zh-CN" w:bidi="ar-SA"/>
        </w:rPr>
        <w:t>民工工资相关的管理、认定、支付等事项按按东阳市根治欠薪工作领导小组办公室《关于落实“两备案一承诺”制度的通知》文件执行。施工单位应按时支付农民工工资</w:t>
      </w:r>
      <w:r>
        <w:rPr>
          <w:rFonts w:hint="eastAsia" w:ascii="宋体" w:hAnsi="宋体" w:eastAsia="宋体" w:cs="Times New Roman"/>
          <w:color w:val="auto"/>
          <w:kern w:val="2"/>
          <w:sz w:val="24"/>
          <w:szCs w:val="24"/>
          <w:highlight w:val="none"/>
          <w:lang w:val="en-US" w:eastAsia="zh-CN" w:bidi="ar-SA"/>
        </w:rPr>
        <w:t>。</w:t>
      </w:r>
    </w:p>
    <w:p w14:paraId="176C3A60">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7D686CAB">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7DFF0632">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609314A9">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30416146">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0E32544F">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6F0B7AF2">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74744479">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5ABF08E2">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769F325E">
      <w:pPr>
        <w:adjustRightInd w:val="0"/>
        <w:spacing w:line="400" w:lineRule="exact"/>
        <w:jc w:val="left"/>
        <w:rPr>
          <w:rFonts w:hint="eastAsia" w:ascii="宋体" w:hAnsi="宋体" w:cs="宋体"/>
          <w:color w:val="auto"/>
          <w:sz w:val="24"/>
          <w:szCs w:val="24"/>
          <w:highlight w:val="none"/>
        </w:rPr>
      </w:pPr>
    </w:p>
    <w:p w14:paraId="7638D260">
      <w:pPr>
        <w:adjustRightInd w:val="0"/>
        <w:spacing w:line="400" w:lineRule="exact"/>
        <w:ind w:firstLine="3600" w:firstLineChars="1500"/>
        <w:jc w:val="left"/>
        <w:rPr>
          <w:rFonts w:hint="eastAsia" w:ascii="宋体" w:hAnsi="宋体" w:cs="宋体"/>
          <w:color w:val="auto"/>
          <w:sz w:val="24"/>
          <w:szCs w:val="24"/>
          <w:highlight w:val="none"/>
        </w:rPr>
      </w:pPr>
    </w:p>
    <w:p w14:paraId="3E87137A">
      <w:pPr>
        <w:pStyle w:val="17"/>
        <w:rPr>
          <w:rFonts w:hint="eastAsia" w:ascii="宋体" w:hAnsi="宋体" w:cs="宋体"/>
          <w:color w:val="auto"/>
          <w:sz w:val="24"/>
          <w:szCs w:val="24"/>
          <w:highlight w:val="none"/>
        </w:rPr>
      </w:pPr>
    </w:p>
    <w:p w14:paraId="6C914378">
      <w:pPr>
        <w:pStyle w:val="18"/>
        <w:rPr>
          <w:rFonts w:hint="eastAsia" w:ascii="宋体" w:hAnsi="宋体" w:cs="宋体"/>
          <w:color w:val="auto"/>
          <w:sz w:val="24"/>
          <w:szCs w:val="24"/>
          <w:highlight w:val="none"/>
        </w:rPr>
      </w:pPr>
    </w:p>
    <w:p w14:paraId="4083FFEB">
      <w:pPr>
        <w:pStyle w:val="18"/>
        <w:rPr>
          <w:rFonts w:hint="eastAsia" w:ascii="宋体" w:hAnsi="宋体" w:cs="宋体"/>
          <w:color w:val="auto"/>
          <w:sz w:val="24"/>
          <w:szCs w:val="24"/>
          <w:highlight w:val="none"/>
        </w:rPr>
      </w:pPr>
    </w:p>
    <w:p w14:paraId="7700605D">
      <w:pPr>
        <w:pStyle w:val="18"/>
        <w:rPr>
          <w:rFonts w:hint="eastAsia" w:ascii="宋体" w:hAnsi="宋体" w:cs="宋体"/>
          <w:color w:val="auto"/>
          <w:sz w:val="24"/>
          <w:szCs w:val="24"/>
          <w:highlight w:val="none"/>
        </w:rPr>
      </w:pPr>
    </w:p>
    <w:p w14:paraId="10D4037E">
      <w:pPr>
        <w:pStyle w:val="18"/>
        <w:rPr>
          <w:rFonts w:hint="eastAsia" w:ascii="宋体" w:hAnsi="宋体" w:cs="宋体"/>
          <w:color w:val="auto"/>
          <w:sz w:val="24"/>
          <w:szCs w:val="24"/>
          <w:highlight w:val="none"/>
        </w:rPr>
      </w:pPr>
    </w:p>
    <w:p w14:paraId="3E971562">
      <w:pPr>
        <w:pStyle w:val="18"/>
        <w:rPr>
          <w:rFonts w:hint="eastAsia" w:ascii="宋体" w:hAnsi="宋体" w:cs="宋体"/>
          <w:color w:val="auto"/>
          <w:sz w:val="24"/>
          <w:szCs w:val="24"/>
          <w:highlight w:val="none"/>
        </w:rPr>
      </w:pPr>
    </w:p>
    <w:p w14:paraId="443C309A">
      <w:pPr>
        <w:pStyle w:val="18"/>
        <w:rPr>
          <w:rFonts w:hint="eastAsia" w:ascii="宋体" w:hAnsi="宋体" w:cs="宋体"/>
          <w:color w:val="auto"/>
          <w:sz w:val="24"/>
          <w:szCs w:val="24"/>
          <w:highlight w:val="none"/>
        </w:rPr>
      </w:pPr>
    </w:p>
    <w:p w14:paraId="46CFC228">
      <w:pPr>
        <w:pStyle w:val="18"/>
        <w:rPr>
          <w:rFonts w:hint="eastAsia" w:ascii="宋体" w:hAnsi="宋体" w:cs="宋体"/>
          <w:color w:val="auto"/>
          <w:sz w:val="24"/>
          <w:szCs w:val="24"/>
          <w:highlight w:val="none"/>
        </w:rPr>
      </w:pPr>
    </w:p>
    <w:p w14:paraId="11E2B841">
      <w:pPr>
        <w:pStyle w:val="18"/>
        <w:rPr>
          <w:rFonts w:hint="eastAsia" w:ascii="宋体" w:hAnsi="宋体" w:cs="宋体"/>
          <w:color w:val="auto"/>
          <w:sz w:val="24"/>
          <w:szCs w:val="24"/>
          <w:highlight w:val="none"/>
        </w:rPr>
      </w:pPr>
    </w:p>
    <w:p w14:paraId="440C202E">
      <w:pPr>
        <w:pStyle w:val="18"/>
        <w:rPr>
          <w:rFonts w:hint="eastAsia" w:ascii="宋体" w:hAnsi="宋体" w:cs="宋体"/>
          <w:color w:val="auto"/>
          <w:sz w:val="24"/>
          <w:szCs w:val="24"/>
          <w:highlight w:val="none"/>
        </w:rPr>
      </w:pPr>
    </w:p>
    <w:p w14:paraId="10D2CF20">
      <w:pPr>
        <w:adjustRightInd w:val="0"/>
        <w:spacing w:line="400" w:lineRule="exact"/>
        <w:jc w:val="left"/>
        <w:rPr>
          <w:rFonts w:hint="eastAsia" w:ascii="宋体" w:hAnsi="宋体" w:cs="宋体"/>
          <w:color w:val="auto"/>
          <w:sz w:val="24"/>
          <w:szCs w:val="24"/>
          <w:highlight w:val="none"/>
        </w:rPr>
      </w:pPr>
    </w:p>
    <w:p w14:paraId="57C2A565">
      <w:pPr>
        <w:adjustRightInd w:val="0"/>
        <w:spacing w:line="400" w:lineRule="exact"/>
        <w:ind w:firstLine="2891" w:firstLineChars="800"/>
        <w:jc w:val="both"/>
        <w:rPr>
          <w:rFonts w:ascii="宋体" w:hAnsi="宋体" w:cs="宋体"/>
          <w:b/>
          <w:bCs/>
          <w:color w:val="auto"/>
          <w:kern w:val="0"/>
          <w:sz w:val="36"/>
          <w:szCs w:val="36"/>
          <w:highlight w:val="none"/>
        </w:rPr>
      </w:pPr>
      <w:r>
        <w:rPr>
          <w:rFonts w:hint="eastAsia" w:ascii="宋体" w:hAnsi="宋体" w:cs="宋体"/>
          <w:b/>
          <w:bCs/>
          <w:color w:val="auto"/>
          <w:sz w:val="36"/>
          <w:szCs w:val="36"/>
          <w:highlight w:val="none"/>
        </w:rPr>
        <w:t>第三章   供应商须知</w:t>
      </w:r>
      <w:bookmarkEnd w:id="3"/>
    </w:p>
    <w:p w14:paraId="03EA4E85">
      <w:pPr>
        <w:pStyle w:val="22"/>
        <w:snapToGrid w:val="0"/>
        <w:spacing w:before="120" w:after="120"/>
        <w:ind w:firstLine="4578" w:firstLineChars="1900"/>
        <w:jc w:val="both"/>
        <w:outlineLvl w:val="1"/>
        <w:rPr>
          <w:rFonts w:hint="eastAsia" w:ascii="宋体" w:hAnsi="宋体" w:cs="宋体"/>
          <w:b/>
          <w:color w:val="auto"/>
          <w:szCs w:val="24"/>
          <w:highlight w:val="none"/>
        </w:rPr>
      </w:pPr>
      <w:bookmarkStart w:id="4" w:name="_Toc24216"/>
      <w:r>
        <w:rPr>
          <w:rFonts w:hint="eastAsia" w:ascii="宋体" w:hAnsi="宋体" w:cs="宋体"/>
          <w:b/>
          <w:color w:val="auto"/>
          <w:szCs w:val="24"/>
          <w:highlight w:val="none"/>
        </w:rPr>
        <w:t>前附表</w:t>
      </w:r>
      <w:bookmarkEnd w:id="4"/>
    </w:p>
    <w:p w14:paraId="39E3F912">
      <w:pPr>
        <w:pStyle w:val="33"/>
        <w:rPr>
          <w:color w:val="auto"/>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743"/>
      </w:tblGrid>
      <w:tr w14:paraId="72422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BCD002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8743" w:type="dxa"/>
            <w:tcBorders>
              <w:top w:val="single" w:color="auto" w:sz="4" w:space="0"/>
              <w:left w:val="single" w:color="auto" w:sz="4" w:space="0"/>
              <w:bottom w:val="single" w:color="auto" w:sz="4" w:space="0"/>
              <w:right w:val="single" w:color="auto" w:sz="4" w:space="0"/>
            </w:tcBorders>
            <w:vAlign w:val="center"/>
          </w:tcPr>
          <w:p w14:paraId="1D4E94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14:paraId="02C18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1917990">
            <w:pPr>
              <w:snapToGrid w:val="0"/>
              <w:spacing w:line="42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p>
        </w:tc>
        <w:tc>
          <w:tcPr>
            <w:tcW w:w="8743" w:type="dxa"/>
            <w:tcBorders>
              <w:top w:val="single" w:color="auto" w:sz="4" w:space="0"/>
              <w:left w:val="single" w:color="auto" w:sz="4" w:space="0"/>
              <w:bottom w:val="single" w:color="auto" w:sz="4" w:space="0"/>
              <w:right w:val="single" w:color="auto" w:sz="4" w:space="0"/>
            </w:tcBorders>
            <w:vAlign w:val="center"/>
          </w:tcPr>
          <w:p w14:paraId="234221C4">
            <w:pPr>
              <w:snapToGrid w:val="0"/>
              <w:spacing w:line="420" w:lineRule="exact"/>
              <w:jc w:val="left"/>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南马镇中心小学校舍及道路改造项目</w:t>
            </w:r>
          </w:p>
        </w:tc>
      </w:tr>
      <w:tr w14:paraId="3FE6A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8122336">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743" w:type="dxa"/>
            <w:tcBorders>
              <w:top w:val="single" w:color="auto" w:sz="4" w:space="0"/>
              <w:left w:val="single" w:color="auto" w:sz="4" w:space="0"/>
              <w:bottom w:val="single" w:color="auto" w:sz="4" w:space="0"/>
              <w:right w:val="single" w:color="auto" w:sz="4" w:space="0"/>
            </w:tcBorders>
            <w:vAlign w:val="center"/>
          </w:tcPr>
          <w:p w14:paraId="70FB6FEB">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磋商报价及费用：1、本项目磋商应以</w:t>
            </w:r>
            <w:r>
              <w:rPr>
                <w:rFonts w:hint="eastAsia" w:ascii="宋体" w:hAnsi="宋体"/>
                <w:color w:val="auto"/>
                <w:sz w:val="24"/>
                <w:highlight w:val="none"/>
              </w:rPr>
              <w:t>人民币</w:t>
            </w:r>
            <w:r>
              <w:rPr>
                <w:rFonts w:hint="eastAsia" w:ascii="宋体" w:hAnsi="宋体" w:cs="宋体"/>
                <w:color w:val="auto"/>
                <w:sz w:val="24"/>
                <w:highlight w:val="none"/>
              </w:rPr>
              <w:t>报价；2、不论磋商结果如何，供应商均应自行承担所有与磋商有关的全部费用；3、磋商费用：</w:t>
            </w: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按照</w:t>
            </w:r>
            <w:r>
              <w:rPr>
                <w:rFonts w:hint="eastAsia" w:ascii="宋体" w:hAnsi="宋体" w:cs="宋体"/>
                <w:color w:val="auto"/>
                <w:sz w:val="24"/>
                <w:highlight w:val="none"/>
                <w:lang w:val="en-US" w:eastAsia="zh-CN"/>
              </w:rPr>
              <w:t>金华市网上中介超市成交公告</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收取中标服务费。</w:t>
            </w:r>
          </w:p>
        </w:tc>
      </w:tr>
      <w:tr w14:paraId="1EBFF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6BEDD0F">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743" w:type="dxa"/>
            <w:tcBorders>
              <w:top w:val="single" w:color="auto" w:sz="4" w:space="0"/>
              <w:left w:val="single" w:color="auto" w:sz="4" w:space="0"/>
              <w:bottom w:val="single" w:color="auto" w:sz="4" w:space="0"/>
              <w:right w:val="single" w:color="auto" w:sz="4" w:space="0"/>
            </w:tcBorders>
            <w:vAlign w:val="center"/>
          </w:tcPr>
          <w:p w14:paraId="0931198C">
            <w:pPr>
              <w:snapToGrid w:val="0"/>
              <w:spacing w:line="420" w:lineRule="exact"/>
              <w:rPr>
                <w:rFonts w:ascii="宋体" w:hAnsi="宋体" w:cs="宋体"/>
                <w:color w:val="auto"/>
                <w:sz w:val="24"/>
                <w:highlight w:val="none"/>
              </w:rPr>
            </w:pPr>
            <w:r>
              <w:rPr>
                <w:rFonts w:hint="eastAsia" w:ascii="宋体" w:hAnsi="宋体" w:cs="宋体"/>
                <w:b/>
                <w:bCs/>
                <w:color w:val="auto"/>
                <w:sz w:val="24"/>
                <w:highlight w:val="none"/>
              </w:rPr>
              <w:t>根据《政府采购促进中小企业管理办法》及《关于印发中小企业划型标准规定的通知工信部联企业》（〔2011〕300号）有关规定，本采购标的对应的所属行业为：</w:t>
            </w:r>
            <w:r>
              <w:rPr>
                <w:rFonts w:ascii="宋体" w:hAnsi="宋体" w:cs="宋体"/>
                <w:b/>
                <w:bCs/>
                <w:color w:val="auto"/>
                <w:sz w:val="24"/>
                <w:highlight w:val="none"/>
              </w:rPr>
              <w:t>建筑业</w:t>
            </w:r>
            <w:r>
              <w:rPr>
                <w:rFonts w:hint="eastAsia" w:ascii="宋体" w:hAnsi="宋体" w:cs="宋体"/>
                <w:b/>
                <w:bCs/>
                <w:color w:val="auto"/>
                <w:sz w:val="24"/>
                <w:highlight w:val="none"/>
                <w:lang w:eastAsia="zh-CN"/>
              </w:rPr>
              <w:t>；</w:t>
            </w:r>
          </w:p>
        </w:tc>
      </w:tr>
      <w:tr w14:paraId="5B74D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2AD5E07">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743" w:type="dxa"/>
            <w:tcBorders>
              <w:top w:val="single" w:color="auto" w:sz="4" w:space="0"/>
              <w:left w:val="single" w:color="auto" w:sz="4" w:space="0"/>
              <w:bottom w:val="single" w:color="auto" w:sz="4" w:space="0"/>
              <w:right w:val="single" w:color="auto" w:sz="4" w:space="0"/>
            </w:tcBorders>
            <w:vAlign w:val="center"/>
          </w:tcPr>
          <w:p w14:paraId="47832748">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780A5939">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14:paraId="73437C09">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1F767727">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7D0CDAC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408A6764">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4971C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5B01451">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743" w:type="dxa"/>
            <w:tcBorders>
              <w:top w:val="single" w:color="auto" w:sz="4" w:space="0"/>
              <w:left w:val="single" w:color="auto" w:sz="4" w:space="0"/>
              <w:bottom w:val="single" w:color="auto" w:sz="4" w:space="0"/>
              <w:right w:val="single" w:color="auto" w:sz="4" w:space="0"/>
            </w:tcBorders>
            <w:vAlign w:val="center"/>
          </w:tcPr>
          <w:p w14:paraId="2B498316">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答疑与澄清：供应商如认为磋商文件表述不清晰、存在歧视性、排他性或者其他违法内容的，应当按照磋商公告第三、八条规定以书面形式要求招标方作出书面解释、澄清或者向招标方提出书面质疑；</w:t>
            </w:r>
            <w:r>
              <w:rPr>
                <w:rFonts w:hint="eastAsia" w:ascii="宋体" w:hAnsi="宋体" w:cs="宋体"/>
                <w:b/>
                <w:color w:val="auto"/>
                <w:sz w:val="24"/>
                <w:highlight w:val="none"/>
              </w:rPr>
              <w:t>在质疑截止时间前，未对磋商文件提出质疑时，视供应商对磋商文件的默认；</w:t>
            </w:r>
            <w:r>
              <w:rPr>
                <w:rFonts w:hint="eastAsia" w:ascii="宋体" w:hAnsi="宋体" w:cs="宋体"/>
                <w:color w:val="auto"/>
                <w:sz w:val="24"/>
                <w:highlight w:val="none"/>
              </w:rPr>
              <w:t>招标采购单位对已发出的磋商文件进行必要澄清、答复、修改或者补充的，在财政部门指定的政府采购信息发布媒体上发布更正公告，并以书面形式通知所有已获取磋商文件的供应商；答疑内容是磋商文件的组成部分；澄清或者修改的内容可能影响磋商响应文件编制的，应当在磋商截止时间至少5日前，以书面形式通知所有获取磋商文件的潜在供应商；不足5日的，顺延提交磋商响应文件的截止时间。</w:t>
            </w:r>
          </w:p>
        </w:tc>
      </w:tr>
      <w:tr w14:paraId="4146C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8BABE39">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743" w:type="dxa"/>
            <w:tcBorders>
              <w:top w:val="single" w:color="auto" w:sz="4" w:space="0"/>
              <w:left w:val="single" w:color="auto" w:sz="4" w:space="0"/>
              <w:bottom w:val="single" w:color="auto" w:sz="4" w:space="0"/>
              <w:right w:val="single" w:color="auto" w:sz="4" w:space="0"/>
            </w:tcBorders>
            <w:vAlign w:val="center"/>
          </w:tcPr>
          <w:p w14:paraId="5667E337">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磋商响应文件的递交：</w:t>
            </w:r>
          </w:p>
          <w:p w14:paraId="5B2DBF49">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本项目磋商响应文件由资格审查文件、商务技术文件和报价文件三部分组成。供应商应按以下方式递交磋商响应文件：</w:t>
            </w:r>
          </w:p>
          <w:p w14:paraId="62AE18AD">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▲1、本项目实行“网上磋商、电子评标”，供应商应于磋商截止时间前在“政采云”（电子交易平台）上传输、递交电子版磋商响应文件（包括资格审查文件、商务技术文件和报价文件）；</w:t>
            </w:r>
          </w:p>
          <w:p w14:paraId="65616259">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磋商响应文件无法解密或解密失败，导致磋商无效的情况，供应商可以在磋商截止时间前将电子备份磋商响应文件（经政采云电子交易客户端和CA驱动制作出的后缀名为“bfbs”的加密电子备份磋商响应文件）发送至</w:t>
            </w: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邮箱：</w:t>
            </w:r>
            <w:r>
              <w:rPr>
                <w:rFonts w:hint="eastAsia" w:ascii="宋体" w:hAnsi="宋体" w:cs="宋体"/>
                <w:color w:val="auto"/>
                <w:sz w:val="24"/>
                <w:highlight w:val="none"/>
                <w:lang w:val="en-US" w:eastAsia="zh-CN"/>
              </w:rPr>
              <w:t>376459897</w:t>
            </w:r>
            <w:r>
              <w:rPr>
                <w:rFonts w:hint="eastAsia" w:ascii="宋体" w:hAnsi="宋体" w:cs="宋体"/>
                <w:color w:val="auto"/>
                <w:sz w:val="24"/>
                <w:highlight w:val="none"/>
                <w:lang w:eastAsia="zh-CN"/>
              </w:rPr>
              <w:t>@qq.com</w:t>
            </w:r>
            <w:r>
              <w:rPr>
                <w:rFonts w:hint="eastAsia" w:ascii="宋体" w:hAnsi="宋体" w:cs="宋体"/>
                <w:color w:val="auto"/>
                <w:sz w:val="24"/>
                <w:highlight w:val="none"/>
              </w:rPr>
              <w:t>，逾期发送或发错后缀名的备份磋商响应文件将被视为无效；</w:t>
            </w:r>
          </w:p>
          <w:p w14:paraId="669B2E76">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3、供应商仅提交电子备份磋商响应文件的，磋商无效；</w:t>
            </w:r>
          </w:p>
          <w:p w14:paraId="7F4B0D2C">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4、本项目不强制供应商提交电子备份磋商响应文件；如在开评标时出现电子磋商响应文件无法解密或解密失败等情况，因供应商未提供电子备份磋商响应文件而造成磋商无效等一切后果和风险由供应商自行承担。</w:t>
            </w:r>
          </w:p>
        </w:tc>
      </w:tr>
      <w:tr w14:paraId="24ED4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F99B234">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743" w:type="dxa"/>
            <w:tcBorders>
              <w:top w:val="single" w:color="auto" w:sz="4" w:space="0"/>
              <w:left w:val="single" w:color="auto" w:sz="4" w:space="0"/>
              <w:bottom w:val="single" w:color="auto" w:sz="4" w:space="0"/>
              <w:right w:val="single" w:color="auto" w:sz="4" w:space="0"/>
            </w:tcBorders>
            <w:vAlign w:val="center"/>
          </w:tcPr>
          <w:p w14:paraId="32845460">
            <w:pPr>
              <w:snapToGrid w:val="0"/>
              <w:spacing w:line="420" w:lineRule="exact"/>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磋商截止时间：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 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p>
          <w:p w14:paraId="1BE90A93">
            <w:pPr>
              <w:pStyle w:val="22"/>
              <w:spacing w:line="420" w:lineRule="exact"/>
              <w:rPr>
                <w:rFonts w:ascii="宋体" w:hAnsi="宋体" w:cs="宋体"/>
                <w:bCs/>
                <w:color w:val="auto"/>
                <w:szCs w:val="24"/>
                <w:highlight w:val="none"/>
              </w:rPr>
            </w:pPr>
            <w:r>
              <w:rPr>
                <w:rFonts w:hint="eastAsia" w:ascii="宋体" w:hAnsi="宋体" w:cs="宋体"/>
                <w:bCs/>
                <w:color w:val="auto"/>
                <w:szCs w:val="24"/>
                <w:highlight w:val="none"/>
              </w:rPr>
              <w:t>1、供应商应当在磋商截止时间前在“政采云”（电子交易平台）上自行上传加密的电子磋商响应文件。磋商截止时间前未完成传输的，视为撤回电子磋商响应文件。磋商截止时间后递交的电子磋商响应文件，将被政采云平台拒收。</w:t>
            </w:r>
          </w:p>
          <w:p w14:paraId="259DDB53">
            <w:pPr>
              <w:snapToGrid w:val="0"/>
              <w:spacing w:line="420" w:lineRule="exact"/>
              <w:rPr>
                <w:rFonts w:ascii="宋体" w:hAnsi="宋体" w:cs="宋体"/>
                <w:bCs/>
                <w:color w:val="auto"/>
                <w:sz w:val="24"/>
                <w:highlight w:val="none"/>
              </w:rPr>
            </w:pPr>
            <w:r>
              <w:rPr>
                <w:rFonts w:hint="eastAsia" w:ascii="宋体" w:hAnsi="宋体" w:cs="宋体"/>
                <w:bCs/>
                <w:color w:val="auto"/>
                <w:sz w:val="24"/>
                <w:highlight w:val="none"/>
              </w:rPr>
              <w:t>2、电子备份磋商响应文件的递交时间：供应商应当在磋商截止时间前，逾期未递交的视为自动放弃。</w:t>
            </w:r>
          </w:p>
          <w:p w14:paraId="71CE7DA7">
            <w:pPr>
              <w:pStyle w:val="22"/>
              <w:spacing w:line="420" w:lineRule="exact"/>
              <w:rPr>
                <w:rFonts w:ascii="宋体" w:hAnsi="宋体" w:cs="宋体"/>
                <w:color w:val="auto"/>
                <w:szCs w:val="24"/>
                <w:highlight w:val="none"/>
              </w:rPr>
            </w:pPr>
            <w:r>
              <w:rPr>
                <w:rFonts w:hint="eastAsia" w:ascii="宋体" w:hAnsi="宋体" w:cs="宋体"/>
                <w:bCs/>
                <w:color w:val="auto"/>
                <w:szCs w:val="24"/>
                <w:highlight w:val="none"/>
              </w:rPr>
              <w:t>3、供应商应当在磋商截止时间前完成磋商准备事宜（应具备上网的技术条件并保持网络及联系方式畅通）及电子磋商响应文件的传输递交，可以补充、修改或者撤回电子磋商响应文件。补充或者修改电子磋商响应文件的，应当先行撤回原文件，补充、修改后重新传输递交。</w:t>
            </w:r>
          </w:p>
        </w:tc>
      </w:tr>
      <w:tr w14:paraId="76E2E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2ACE68A">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743" w:type="dxa"/>
            <w:tcBorders>
              <w:top w:val="single" w:color="auto" w:sz="4" w:space="0"/>
              <w:left w:val="single" w:color="auto" w:sz="4" w:space="0"/>
              <w:bottom w:val="single" w:color="auto" w:sz="4" w:space="0"/>
              <w:right w:val="single" w:color="auto" w:sz="4" w:space="0"/>
            </w:tcBorders>
            <w:vAlign w:val="center"/>
          </w:tcPr>
          <w:p w14:paraId="3DB9EAB6">
            <w:pPr>
              <w:snapToGrid w:val="0"/>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磋商</w:t>
            </w:r>
            <w:r>
              <w:rPr>
                <w:rFonts w:hint="eastAsia" w:ascii="宋体" w:hAnsi="宋体" w:cs="宋体"/>
                <w:color w:val="auto"/>
                <w:sz w:val="24"/>
                <w:highlight w:val="none"/>
              </w:rPr>
              <w:t>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8</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p>
          <w:p w14:paraId="39912481">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本项目不要求供应商到开标现场开标，但供应商应派法定代表人或委托代理人准时在线出席电子开标会议，随时关注开标进度，如在开标过程中有电子询标，应在规定的时间内对电子询标函进行澄清回复。</w:t>
            </w:r>
          </w:p>
          <w:p w14:paraId="09173222">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磋商响应文件，供应商须在开标时间截止后30分钟内对上传政采云的磋商响应文件进行解密，所有供应商在规定的解密时限内解密完成或解密时限到后，采购代理机构开启磋商响应文件；供应商超过解密时限的，系统默认自动放弃。</w:t>
            </w:r>
          </w:p>
        </w:tc>
      </w:tr>
      <w:tr w14:paraId="75A93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495C1B3">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743" w:type="dxa"/>
            <w:tcBorders>
              <w:top w:val="single" w:color="auto" w:sz="4" w:space="0"/>
              <w:left w:val="single" w:color="auto" w:sz="4" w:space="0"/>
              <w:bottom w:val="single" w:color="auto" w:sz="4" w:space="0"/>
              <w:right w:val="single" w:color="auto" w:sz="4" w:space="0"/>
            </w:tcBorders>
            <w:vAlign w:val="center"/>
          </w:tcPr>
          <w:p w14:paraId="221FFD35">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b/>
                <w:bCs/>
                <w:color w:val="auto"/>
                <w:sz w:val="24"/>
                <w:highlight w:val="none"/>
              </w:rPr>
              <w:t>磋商办法：综合评分法（其中报价分为两轮）</w:t>
            </w:r>
          </w:p>
        </w:tc>
      </w:tr>
      <w:tr w14:paraId="6DB89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061D4FC">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743" w:type="dxa"/>
            <w:tcBorders>
              <w:top w:val="single" w:color="auto" w:sz="4" w:space="0"/>
              <w:left w:val="single" w:color="auto" w:sz="4" w:space="0"/>
              <w:bottom w:val="single" w:color="auto" w:sz="4" w:space="0"/>
              <w:right w:val="single" w:color="auto" w:sz="4" w:space="0"/>
            </w:tcBorders>
            <w:vAlign w:val="center"/>
          </w:tcPr>
          <w:p w14:paraId="69219BA5">
            <w:pPr>
              <w:autoSpaceDE w:val="0"/>
              <w:autoSpaceDN w:val="0"/>
              <w:snapToGrid w:val="0"/>
              <w:spacing w:line="420" w:lineRule="exact"/>
              <w:textAlignment w:val="bottom"/>
              <w:rPr>
                <w:rFonts w:ascii="宋体" w:hAnsi="宋体" w:cs="宋体"/>
                <w:color w:val="auto"/>
                <w:sz w:val="24"/>
                <w:highlight w:val="none"/>
              </w:rPr>
            </w:pPr>
            <w:bookmarkStart w:id="5" w:name="_Toc457480905"/>
            <w:r>
              <w:rPr>
                <w:rFonts w:hint="eastAsia" w:ascii="宋体" w:hAnsi="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5"/>
            <w:r>
              <w:rPr>
                <w:rFonts w:hint="eastAsia" w:ascii="宋体" w:hAnsi="宋体" w:cs="宋体"/>
                <w:color w:val="auto"/>
                <w:sz w:val="24"/>
                <w:highlight w:val="none"/>
              </w:rPr>
              <w:t>。</w:t>
            </w:r>
          </w:p>
        </w:tc>
      </w:tr>
      <w:tr w14:paraId="7AA05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5A7533B">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743" w:type="dxa"/>
            <w:tcBorders>
              <w:top w:val="single" w:color="auto" w:sz="4" w:space="0"/>
              <w:left w:val="single" w:color="auto" w:sz="4" w:space="0"/>
              <w:bottom w:val="single" w:color="auto" w:sz="4" w:space="0"/>
              <w:right w:val="single" w:color="auto" w:sz="4" w:space="0"/>
            </w:tcBorders>
            <w:vAlign w:val="center"/>
          </w:tcPr>
          <w:p w14:paraId="450C5B56">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5AF02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3829980">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743" w:type="dxa"/>
            <w:tcBorders>
              <w:top w:val="single" w:color="auto" w:sz="4" w:space="0"/>
              <w:left w:val="single" w:color="auto" w:sz="4" w:space="0"/>
              <w:bottom w:val="single" w:color="auto" w:sz="4" w:space="0"/>
              <w:right w:val="single" w:color="auto" w:sz="4" w:space="0"/>
            </w:tcBorders>
            <w:vAlign w:val="center"/>
          </w:tcPr>
          <w:p w14:paraId="2C95660A">
            <w:pPr>
              <w:autoSpaceDE w:val="0"/>
              <w:autoSpaceDN w:val="0"/>
              <w:snapToGrid w:val="0"/>
              <w:spacing w:line="42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履约保证金：</w:t>
            </w:r>
          </w:p>
          <w:p w14:paraId="5606597B">
            <w:pPr>
              <w:autoSpaceDE w:val="0"/>
              <w:autoSpaceDN w:val="0"/>
              <w:snapToGrid w:val="0"/>
              <w:spacing w:line="42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中标人在收到中标通知书后，需向采购人提供</w:t>
            </w:r>
            <w:r>
              <w:rPr>
                <w:rFonts w:hint="eastAsia" w:ascii="宋体" w:hAnsi="宋体" w:cs="宋体"/>
                <w:color w:val="auto"/>
                <w:sz w:val="24"/>
                <w:highlight w:val="none"/>
                <w:lang w:val="en-US" w:eastAsia="zh-CN"/>
              </w:rPr>
              <w:t>中标价的1</w:t>
            </w:r>
            <w:r>
              <w:rPr>
                <w:rFonts w:hint="eastAsia" w:ascii="宋体" w:hAnsi="宋体" w:cs="宋体"/>
                <w:color w:val="auto"/>
                <w:sz w:val="24"/>
                <w:highlight w:val="none"/>
              </w:rPr>
              <w:t>%的履约保证金，在中标人与采购人签订合同前递交，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需以支票、汇票、本票或者金融机构、保险公司、担保机构出具的保函（可在政采云平台购买，咨询热线4009039583）等非现金形式提交。履约保证金在项目验收合格后15个工作日内退还（不计息）</w:t>
            </w:r>
            <w:r>
              <w:rPr>
                <w:rFonts w:hint="eastAsia" w:ascii="宋体" w:hAnsi="宋体" w:cs="宋体"/>
                <w:color w:val="auto"/>
                <w:sz w:val="24"/>
                <w:highlight w:val="none"/>
                <w:lang w:eastAsia="zh-CN"/>
              </w:rPr>
              <w:t>。</w:t>
            </w:r>
          </w:p>
          <w:p w14:paraId="534DA550">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lang w:val="en-US" w:eastAsia="zh-CN"/>
              </w:rPr>
              <w:t>中标人也</w:t>
            </w:r>
            <w:r>
              <w:rPr>
                <w:rFonts w:hint="eastAsia" w:ascii="宋体" w:hAnsi="宋体" w:cs="宋体"/>
                <w:color w:val="auto"/>
                <w:sz w:val="24"/>
                <w:highlight w:val="none"/>
              </w:rPr>
              <w:t>可登录政采云平台-【金融服务】—【我的项目】—【已备案合同】以保函形式提供：</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在合同列表选择需要投保的合同，点击[保函推荐]。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在弹框里查看推荐的保函产品，</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自行选择保函产品，点击[立即申请]。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在弹框里填写保函申请信息。具体步骤：选择产品—填写供应商信息—选择中标项目—确认信息—等待保险/保函受理—确认保单—支付保费—成功出单。政采云金融专线400-903-9583。</w:t>
            </w:r>
          </w:p>
        </w:tc>
      </w:tr>
      <w:tr w14:paraId="71C50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E7606FD">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743" w:type="dxa"/>
            <w:tcBorders>
              <w:top w:val="single" w:color="auto" w:sz="4" w:space="0"/>
              <w:left w:val="single" w:color="auto" w:sz="4" w:space="0"/>
              <w:bottom w:val="single" w:color="auto" w:sz="4" w:space="0"/>
              <w:right w:val="single" w:color="auto" w:sz="4" w:space="0"/>
            </w:tcBorders>
            <w:vAlign w:val="center"/>
          </w:tcPr>
          <w:p w14:paraId="0170FB1E">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735D44A7">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 xml:space="preserve">2、政府采购金融服务提示：为扩大政府采购金融服务面，除政采云网上金融服务合作银行外，东阳市范围内增加浙商银行金华分行东阳支行作为线下合作银行。   </w:t>
            </w:r>
          </w:p>
          <w:p w14:paraId="4D6A51F3">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浙商银行金华东阳支行联系人：许燕  联系电话：13967983441  0579-86222992</w:t>
            </w:r>
          </w:p>
        </w:tc>
      </w:tr>
      <w:tr w14:paraId="318D6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5BE9899">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743" w:type="dxa"/>
            <w:tcBorders>
              <w:top w:val="single" w:color="auto" w:sz="4" w:space="0"/>
              <w:left w:val="single" w:color="auto" w:sz="4" w:space="0"/>
              <w:bottom w:val="single" w:color="auto" w:sz="4" w:space="0"/>
              <w:right w:val="single" w:color="auto" w:sz="4" w:space="0"/>
            </w:tcBorders>
            <w:vAlign w:val="center"/>
          </w:tcPr>
          <w:p w14:paraId="128CB8F5">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签订合同时间：发出《中标通知书》之日起20天内。</w:t>
            </w:r>
          </w:p>
        </w:tc>
      </w:tr>
      <w:tr w14:paraId="12AD4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8CB59D2">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743" w:type="dxa"/>
            <w:tcBorders>
              <w:top w:val="single" w:color="auto" w:sz="4" w:space="0"/>
              <w:left w:val="single" w:color="auto" w:sz="4" w:space="0"/>
              <w:bottom w:val="single" w:color="auto" w:sz="4" w:space="0"/>
              <w:right w:val="single" w:color="auto" w:sz="4" w:space="0"/>
            </w:tcBorders>
            <w:vAlign w:val="center"/>
          </w:tcPr>
          <w:p w14:paraId="2555B658">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中标人与</w:t>
            </w:r>
            <w:r>
              <w:rPr>
                <w:rFonts w:hint="eastAsia" w:ascii="宋体" w:hAnsi="宋体" w:cs="宋体"/>
                <w:color w:val="auto"/>
                <w:sz w:val="24"/>
                <w:highlight w:val="none"/>
                <w:lang w:eastAsia="zh-CN"/>
              </w:rPr>
              <w:t>东阳市南马镇中心小学</w:t>
            </w:r>
            <w:r>
              <w:rPr>
                <w:rFonts w:hint="eastAsia" w:ascii="宋体" w:hAnsi="宋体" w:cs="宋体"/>
                <w:color w:val="auto"/>
                <w:sz w:val="24"/>
                <w:highlight w:val="none"/>
              </w:rPr>
              <w:t>签订政府采购合同</w:t>
            </w:r>
            <w:r>
              <w:rPr>
                <w:rFonts w:hint="eastAsia" w:ascii="宋体" w:hAnsi="宋体" w:cs="宋体"/>
                <w:color w:val="auto"/>
                <w:sz w:val="24"/>
                <w:highlight w:val="none"/>
                <w:lang w:eastAsia="zh-CN"/>
              </w:rPr>
              <w:t>。</w:t>
            </w:r>
          </w:p>
        </w:tc>
      </w:tr>
      <w:tr w14:paraId="3CE78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A784538">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743" w:type="dxa"/>
            <w:tcBorders>
              <w:top w:val="single" w:color="auto" w:sz="4" w:space="0"/>
              <w:left w:val="single" w:color="auto" w:sz="4" w:space="0"/>
              <w:bottom w:val="single" w:color="auto" w:sz="4" w:space="0"/>
              <w:right w:val="single" w:color="auto" w:sz="4" w:space="0"/>
            </w:tcBorders>
            <w:vAlign w:val="center"/>
          </w:tcPr>
          <w:p w14:paraId="3ADC4825">
            <w:pPr>
              <w:numPr>
                <w:ilvl w:val="0"/>
                <w:numId w:val="0"/>
              </w:numPr>
              <w:spacing w:line="324" w:lineRule="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付款方式：</w:t>
            </w:r>
            <w:r>
              <w:rPr>
                <w:rFonts w:hint="eastAsia" w:ascii="宋体" w:hAnsi="宋体"/>
                <w:color w:val="auto"/>
                <w:sz w:val="24"/>
                <w:szCs w:val="24"/>
                <w:highlight w:val="none"/>
                <w:lang w:val="en-US" w:eastAsia="zh-CN"/>
              </w:rPr>
              <w:t>1.合同生效以及具备实施条件后7个工作日内支付合同价款的40%作为预付款（供应商明确表示无需预付款或主动降低预付款比例的，采购人可不适用前述规定；采购人根据项目特点、供应商诚信等因素，可以要求中标人提交预付款保函）；</w:t>
            </w:r>
          </w:p>
          <w:p w14:paraId="038821F9">
            <w:pPr>
              <w:numPr>
                <w:ilvl w:val="0"/>
                <w:numId w:val="0"/>
              </w:numPr>
              <w:spacing w:line="324" w:lineRule="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2.完成初验后支付至85%；</w:t>
            </w:r>
          </w:p>
          <w:p w14:paraId="4F3853A2">
            <w:pPr>
              <w:numPr>
                <w:ilvl w:val="0"/>
                <w:numId w:val="0"/>
              </w:numPr>
              <w:spacing w:line="324" w:lineRule="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3全部工程竣工验收合格及结算审核完成后7个工作日支付至100%；</w:t>
            </w:r>
          </w:p>
          <w:p w14:paraId="3CFAA7AB">
            <w:pPr>
              <w:pStyle w:val="22"/>
              <w:spacing w:line="360" w:lineRule="auto"/>
              <w:rPr>
                <w:rFonts w:hint="default" w:ascii="宋体" w:hAnsi="宋体" w:cs="宋体"/>
                <w:color w:val="auto"/>
                <w:sz w:val="24"/>
                <w:highlight w:val="none"/>
                <w:lang w:val="en-US"/>
              </w:rPr>
            </w:pPr>
            <w:r>
              <w:rPr>
                <w:rFonts w:hint="eastAsia" w:ascii="宋体" w:hAnsi="宋体"/>
                <w:b/>
                <w:bCs/>
                <w:color w:val="auto"/>
                <w:sz w:val="24"/>
                <w:szCs w:val="24"/>
                <w:highlight w:val="none"/>
                <w:lang w:val="en-US" w:eastAsia="zh-CN"/>
              </w:rPr>
              <w:t>注：农民工工资相关的管理、认定、支付等事项按东阳市根治欠薪工作领导小组办公室《关于落实“两备案一承诺”制度的通知》文件执行。</w:t>
            </w:r>
          </w:p>
        </w:tc>
      </w:tr>
      <w:tr w14:paraId="6287C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DD6B5DB">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8743" w:type="dxa"/>
            <w:tcBorders>
              <w:top w:val="single" w:color="auto" w:sz="4" w:space="0"/>
              <w:left w:val="single" w:color="auto" w:sz="4" w:space="0"/>
              <w:bottom w:val="single" w:color="auto" w:sz="4" w:space="0"/>
              <w:right w:val="single" w:color="auto" w:sz="4" w:space="0"/>
            </w:tcBorders>
            <w:vAlign w:val="center"/>
          </w:tcPr>
          <w:p w14:paraId="28597B8E">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服务地点：东阳市内，采购人指定的地点。</w:t>
            </w:r>
          </w:p>
          <w:p w14:paraId="07AE4CE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7599548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w:t>
            </w: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82E3B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4149B23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EB3D6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67D16866">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33EF1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B9F9973">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18</w:t>
            </w:r>
          </w:p>
        </w:tc>
        <w:tc>
          <w:tcPr>
            <w:tcW w:w="8743" w:type="dxa"/>
            <w:tcBorders>
              <w:top w:val="single" w:color="auto" w:sz="4" w:space="0"/>
              <w:left w:val="single" w:color="auto" w:sz="4" w:space="0"/>
              <w:bottom w:val="single" w:color="auto" w:sz="4" w:space="0"/>
              <w:right w:val="single" w:color="auto" w:sz="4" w:space="0"/>
            </w:tcBorders>
            <w:vAlign w:val="center"/>
          </w:tcPr>
          <w:p w14:paraId="475C1CD1">
            <w:pPr>
              <w:snapToGrid w:val="0"/>
              <w:spacing w:beforeLines="50" w:line="348" w:lineRule="auto"/>
              <w:outlineLvl w:val="2"/>
              <w:rPr>
                <w:rFonts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32183B6D">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1、提供虚假材料谋取中标、成交的； </w:t>
            </w:r>
          </w:p>
          <w:p w14:paraId="5F82B51B">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2、采取不正当手段诋毁、排挤其他供应商的； </w:t>
            </w:r>
          </w:p>
          <w:p w14:paraId="03985738">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3、与采购人、其他供应商或者采购代理机构恶意串通的； </w:t>
            </w:r>
          </w:p>
          <w:p w14:paraId="302B8798">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4、向采购人、采购代理机构行贿或者提供其他不正当利益的； </w:t>
            </w:r>
          </w:p>
          <w:p w14:paraId="3E1E0D53">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6BF4DA3F">
            <w:pPr>
              <w:snapToGrid w:val="0"/>
              <w:spacing w:line="348" w:lineRule="auto"/>
              <w:jc w:val="left"/>
              <w:rPr>
                <w:rFonts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4E8E11CA">
            <w:pPr>
              <w:snapToGrid w:val="0"/>
              <w:spacing w:line="348" w:lineRule="auto"/>
              <w:jc w:val="left"/>
              <w:rPr>
                <w:rFonts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1C9C642C">
            <w:pPr>
              <w:snapToGrid w:val="0"/>
              <w:spacing w:line="348" w:lineRule="auto"/>
              <w:jc w:val="left"/>
              <w:rPr>
                <w:rFonts w:ascii="宋体" w:hAnsi="宋体"/>
                <w:color w:val="auto"/>
                <w:sz w:val="24"/>
                <w:highlight w:val="none"/>
              </w:rPr>
            </w:pPr>
            <w:r>
              <w:rPr>
                <w:rFonts w:hint="eastAsia" w:ascii="宋体" w:hAnsi="宋体"/>
                <w:color w:val="auto"/>
                <w:sz w:val="24"/>
                <w:highlight w:val="none"/>
              </w:rPr>
              <w:t>8、未按照采购文件确定的事项签订政府采购合同；</w:t>
            </w:r>
          </w:p>
          <w:p w14:paraId="26407994">
            <w:pPr>
              <w:snapToGrid w:val="0"/>
              <w:spacing w:line="348" w:lineRule="auto"/>
              <w:jc w:val="left"/>
              <w:rPr>
                <w:rFonts w:ascii="宋体" w:hAnsi="宋体"/>
                <w:color w:val="auto"/>
                <w:sz w:val="24"/>
                <w:highlight w:val="none"/>
              </w:rPr>
            </w:pPr>
            <w:r>
              <w:rPr>
                <w:rFonts w:hint="eastAsia" w:ascii="宋体" w:hAnsi="宋体"/>
                <w:color w:val="auto"/>
                <w:sz w:val="24"/>
                <w:highlight w:val="none"/>
              </w:rPr>
              <w:t>9、将政府采购合同转包；</w:t>
            </w:r>
          </w:p>
          <w:p w14:paraId="29F2812A">
            <w:pPr>
              <w:snapToGrid w:val="0"/>
              <w:spacing w:line="348" w:lineRule="auto"/>
              <w:jc w:val="left"/>
              <w:rPr>
                <w:rFonts w:ascii="宋体" w:hAnsi="宋体"/>
                <w:color w:val="auto"/>
                <w:sz w:val="24"/>
                <w:highlight w:val="none"/>
              </w:rPr>
            </w:pPr>
            <w:r>
              <w:rPr>
                <w:rFonts w:hint="eastAsia" w:ascii="宋体" w:hAnsi="宋体"/>
                <w:color w:val="auto"/>
                <w:sz w:val="24"/>
                <w:highlight w:val="none"/>
              </w:rPr>
              <w:t>10、提供假冒伪劣产品；</w:t>
            </w:r>
          </w:p>
          <w:p w14:paraId="74EDEDE1">
            <w:pPr>
              <w:snapToGrid w:val="0"/>
              <w:spacing w:line="348" w:lineRule="auto"/>
              <w:jc w:val="left"/>
              <w:rPr>
                <w:rFonts w:ascii="宋体" w:hAnsi="宋体"/>
                <w:color w:val="auto"/>
                <w:sz w:val="24"/>
                <w:highlight w:val="none"/>
              </w:rPr>
            </w:pPr>
            <w:r>
              <w:rPr>
                <w:rFonts w:hint="eastAsia" w:ascii="宋体" w:hAnsi="宋体"/>
                <w:color w:val="auto"/>
                <w:sz w:val="24"/>
                <w:highlight w:val="none"/>
              </w:rPr>
              <w:t>11、擅自变更、中止或者终止政府采购合同。</w:t>
            </w:r>
          </w:p>
          <w:p w14:paraId="5DF98DC5">
            <w:pPr>
              <w:snapToGrid w:val="0"/>
              <w:spacing w:line="348" w:lineRule="auto"/>
              <w:rPr>
                <w:rFonts w:ascii="宋体" w:hAnsi="宋体" w:cs="宋体"/>
                <w:color w:val="auto"/>
                <w:sz w:val="24"/>
                <w:highlight w:val="none"/>
              </w:rPr>
            </w:pPr>
            <w:r>
              <w:rPr>
                <w:rFonts w:hint="eastAsia" w:ascii="宋体" w:hAnsi="宋体"/>
                <w:color w:val="auto"/>
                <w:sz w:val="24"/>
                <w:highlight w:val="none"/>
              </w:rPr>
              <w:t>12、其他严重扰乱招投标程序的。</w:t>
            </w:r>
          </w:p>
        </w:tc>
      </w:tr>
      <w:tr w14:paraId="00DB4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68A08FE">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8743" w:type="dxa"/>
            <w:tcBorders>
              <w:top w:val="single" w:color="auto" w:sz="4" w:space="0"/>
              <w:left w:val="single" w:color="auto" w:sz="4" w:space="0"/>
              <w:bottom w:val="single" w:color="auto" w:sz="4" w:space="0"/>
              <w:right w:val="single" w:color="auto" w:sz="4" w:space="0"/>
            </w:tcBorders>
            <w:vAlign w:val="center"/>
          </w:tcPr>
          <w:p w14:paraId="4D89E59E">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磋商响应文件有效期：</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0</w:t>
            </w:r>
            <w:r>
              <w:rPr>
                <w:rFonts w:hint="eastAsia" w:ascii="宋体" w:hAnsi="宋体" w:cs="宋体"/>
                <w:color w:val="auto"/>
                <w:sz w:val="24"/>
                <w:highlight w:val="none"/>
              </w:rPr>
              <w:t>天</w:t>
            </w:r>
          </w:p>
        </w:tc>
      </w:tr>
      <w:tr w14:paraId="53B93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49AFA78">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20</w:t>
            </w:r>
          </w:p>
        </w:tc>
        <w:tc>
          <w:tcPr>
            <w:tcW w:w="8743" w:type="dxa"/>
            <w:tcBorders>
              <w:top w:val="single" w:color="auto" w:sz="4" w:space="0"/>
              <w:left w:val="single" w:color="auto" w:sz="4" w:space="0"/>
              <w:bottom w:val="single" w:color="auto" w:sz="4" w:space="0"/>
              <w:right w:val="single" w:color="auto" w:sz="4" w:space="0"/>
            </w:tcBorders>
            <w:vAlign w:val="center"/>
          </w:tcPr>
          <w:p w14:paraId="3928DADD">
            <w:pPr>
              <w:snapToGrid w:val="0"/>
              <w:spacing w:line="420" w:lineRule="exact"/>
              <w:rPr>
                <w:rFonts w:ascii="宋体" w:hAnsi="宋体" w:cs="宋体"/>
                <w:b/>
                <w:color w:val="auto"/>
                <w:sz w:val="24"/>
                <w:highlight w:val="none"/>
              </w:rPr>
            </w:pPr>
            <w:r>
              <w:rPr>
                <w:rFonts w:hint="eastAsia" w:ascii="宋体" w:hAnsi="宋体" w:cs="宋体"/>
                <w:b/>
                <w:color w:val="auto"/>
                <w:sz w:val="24"/>
                <w:highlight w:val="none"/>
              </w:rPr>
              <w:t>招标方对供应商的落选不作出任何解释。</w:t>
            </w:r>
          </w:p>
        </w:tc>
      </w:tr>
      <w:tr w14:paraId="49DA9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066BC23">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21</w:t>
            </w:r>
          </w:p>
        </w:tc>
        <w:tc>
          <w:tcPr>
            <w:tcW w:w="8743" w:type="dxa"/>
            <w:tcBorders>
              <w:top w:val="single" w:color="auto" w:sz="4" w:space="0"/>
              <w:left w:val="single" w:color="auto" w:sz="4" w:space="0"/>
              <w:bottom w:val="single" w:color="auto" w:sz="4" w:space="0"/>
              <w:right w:val="single" w:color="auto" w:sz="4" w:space="0"/>
            </w:tcBorders>
            <w:vAlign w:val="center"/>
          </w:tcPr>
          <w:p w14:paraId="07C57D60">
            <w:pPr>
              <w:spacing w:line="420" w:lineRule="exact"/>
              <w:rPr>
                <w:rFonts w:ascii="宋体" w:hAnsi="宋体" w:cs="宋体"/>
                <w:b/>
                <w:color w:val="auto"/>
                <w:sz w:val="24"/>
                <w:highlight w:val="none"/>
              </w:rPr>
            </w:pPr>
            <w:r>
              <w:rPr>
                <w:rFonts w:hint="eastAsia" w:ascii="宋体" w:hAnsi="宋体" w:cs="宋体"/>
                <w:b w:val="0"/>
                <w:bCs/>
                <w:color w:val="auto"/>
                <w:kern w:val="0"/>
                <w:sz w:val="24"/>
                <w:highlight w:val="none"/>
              </w:rPr>
              <w:t>采购人和招标代理机构的任何工作人员对供应商所作的任何口头解释、介绍、答复，仅供供应商参考，不作为磋商依据，对采购人、招标代理机构和供应商无任何约束力，一切以网上公告及书面形式为准。</w:t>
            </w:r>
          </w:p>
        </w:tc>
      </w:tr>
      <w:tr w14:paraId="57B51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9FF5296">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22</w:t>
            </w:r>
          </w:p>
        </w:tc>
        <w:tc>
          <w:tcPr>
            <w:tcW w:w="8743" w:type="dxa"/>
            <w:tcBorders>
              <w:top w:val="single" w:color="auto" w:sz="4" w:space="0"/>
              <w:left w:val="single" w:color="auto" w:sz="4" w:space="0"/>
              <w:bottom w:val="single" w:color="auto" w:sz="4" w:space="0"/>
              <w:right w:val="single" w:color="auto" w:sz="4" w:space="0"/>
            </w:tcBorders>
            <w:vAlign w:val="center"/>
          </w:tcPr>
          <w:p w14:paraId="531D73FF">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解释：本磋商文件的解释权属于</w:t>
            </w: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w:t>
            </w:r>
          </w:p>
        </w:tc>
      </w:tr>
    </w:tbl>
    <w:p w14:paraId="27521D8B">
      <w:pPr>
        <w:pStyle w:val="22"/>
        <w:snapToGrid w:val="0"/>
        <w:spacing w:before="120" w:after="120" w:line="420" w:lineRule="exact"/>
        <w:rPr>
          <w:rFonts w:ascii="宋体" w:hAnsi="宋体" w:cs="宋体"/>
          <w:b/>
          <w:color w:val="auto"/>
          <w:szCs w:val="24"/>
          <w:highlight w:val="none"/>
        </w:rPr>
      </w:pPr>
      <w:r>
        <w:rPr>
          <w:rFonts w:hint="eastAsia" w:ascii="宋体" w:hAnsi="宋体" w:cs="宋体"/>
          <w:b/>
          <w:color w:val="auto"/>
          <w:szCs w:val="24"/>
          <w:highlight w:val="none"/>
        </w:rPr>
        <w:t>注：如本磋商文件后面的条款与本表有矛盾的以本表的内容为准。</w:t>
      </w:r>
    </w:p>
    <w:p w14:paraId="6A8D7E2F">
      <w:pPr>
        <w:pStyle w:val="22"/>
        <w:pageBreakBefore/>
        <w:numPr>
          <w:ilvl w:val="0"/>
          <w:numId w:val="6"/>
        </w:numPr>
        <w:snapToGrid w:val="0"/>
        <w:spacing w:line="360" w:lineRule="auto"/>
        <w:ind w:left="826" w:hanging="826" w:hangingChars="343"/>
        <w:jc w:val="center"/>
        <w:outlineLvl w:val="1"/>
        <w:rPr>
          <w:rFonts w:ascii="宋体" w:hAnsi="宋体" w:cs="宋体"/>
          <w:b/>
          <w:color w:val="auto"/>
          <w:szCs w:val="24"/>
          <w:highlight w:val="none"/>
        </w:rPr>
      </w:pPr>
      <w:bookmarkStart w:id="6" w:name="_Toc13658"/>
      <w:r>
        <w:rPr>
          <w:rFonts w:hint="eastAsia" w:ascii="宋体" w:hAnsi="宋体" w:cs="宋体"/>
          <w:b/>
          <w:color w:val="auto"/>
          <w:szCs w:val="24"/>
          <w:highlight w:val="none"/>
        </w:rPr>
        <w:t>总则</w:t>
      </w:r>
      <w:bookmarkEnd w:id="6"/>
    </w:p>
    <w:p w14:paraId="6052F58E">
      <w:pPr>
        <w:spacing w:line="440" w:lineRule="exact"/>
        <w:rPr>
          <w:rFonts w:ascii="宋体" w:hAnsi="宋体" w:cs="宋体"/>
          <w:b/>
          <w:color w:val="auto"/>
          <w:sz w:val="24"/>
          <w:highlight w:val="none"/>
        </w:rPr>
      </w:pPr>
      <w:bookmarkStart w:id="7" w:name="_Toc407182093"/>
      <w:r>
        <w:rPr>
          <w:rFonts w:hint="eastAsia" w:ascii="宋体" w:hAnsi="宋体" w:cs="宋体"/>
          <w:b/>
          <w:color w:val="auto"/>
          <w:sz w:val="24"/>
          <w:highlight w:val="none"/>
        </w:rPr>
        <w:t>（一） 适用范围</w:t>
      </w:r>
      <w:bookmarkEnd w:id="7"/>
    </w:p>
    <w:p w14:paraId="6B8C4979">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本磋商文件适用于</w:t>
      </w:r>
      <w:r>
        <w:rPr>
          <w:rFonts w:hint="eastAsia" w:ascii="宋体" w:hAnsi="宋体" w:cs="宋体"/>
          <w:color w:val="auto"/>
          <w:sz w:val="24"/>
          <w:highlight w:val="none"/>
          <w:lang w:eastAsia="zh-CN"/>
        </w:rPr>
        <w:t>南马镇中心小学校舍及道路改造项目</w:t>
      </w:r>
      <w:r>
        <w:rPr>
          <w:rFonts w:hint="eastAsia" w:ascii="宋体" w:hAnsi="宋体" w:cs="宋体"/>
          <w:color w:val="auto"/>
          <w:sz w:val="24"/>
          <w:highlight w:val="none"/>
        </w:rPr>
        <w:t>的招标、磋商、定标、验收、合同履约、付款等行为（法律、法规另有规定的，从其规定）。</w:t>
      </w:r>
    </w:p>
    <w:p w14:paraId="575A933D">
      <w:pPr>
        <w:spacing w:line="440" w:lineRule="exact"/>
        <w:rPr>
          <w:rFonts w:ascii="宋体" w:hAnsi="宋体" w:cs="宋体"/>
          <w:b/>
          <w:color w:val="auto"/>
          <w:sz w:val="24"/>
          <w:highlight w:val="none"/>
        </w:rPr>
      </w:pPr>
      <w:bookmarkStart w:id="8" w:name="_Toc407182094"/>
      <w:r>
        <w:rPr>
          <w:rFonts w:hint="eastAsia" w:ascii="宋体" w:hAnsi="宋体" w:cs="宋体"/>
          <w:b/>
          <w:color w:val="auto"/>
          <w:sz w:val="24"/>
          <w:highlight w:val="none"/>
        </w:rPr>
        <w:t>（二）定义</w:t>
      </w:r>
      <w:bookmarkEnd w:id="8"/>
    </w:p>
    <w:p w14:paraId="5A785499">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w:t>
      </w: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（“招标方”）和</w:t>
      </w:r>
      <w:r>
        <w:rPr>
          <w:rFonts w:hint="eastAsia" w:ascii="宋体" w:hAnsi="宋体" w:cs="宋体"/>
          <w:color w:val="auto"/>
          <w:sz w:val="24"/>
          <w:highlight w:val="none"/>
          <w:lang w:eastAsia="zh-CN"/>
        </w:rPr>
        <w:t xml:space="preserve">东阳市南马镇中心小学 </w:t>
      </w:r>
      <w:r>
        <w:rPr>
          <w:rFonts w:hint="eastAsia" w:ascii="宋体" w:hAnsi="宋体" w:cs="宋体"/>
          <w:color w:val="auto"/>
          <w:sz w:val="24"/>
          <w:highlight w:val="none"/>
        </w:rPr>
        <w:t>（“采购人”）。</w:t>
      </w:r>
    </w:p>
    <w:p w14:paraId="25EF30A4">
      <w:pPr>
        <w:spacing w:line="440" w:lineRule="exact"/>
        <w:rPr>
          <w:rFonts w:ascii="宋体" w:hAnsi="宋体" w:cs="宋体"/>
          <w:color w:val="auto"/>
          <w:sz w:val="24"/>
          <w:highlight w:val="none"/>
        </w:rPr>
      </w:pPr>
      <w:r>
        <w:rPr>
          <w:rFonts w:hint="eastAsia" w:ascii="宋体" w:hAnsi="宋体" w:cs="宋体"/>
          <w:color w:val="auto"/>
          <w:sz w:val="24"/>
          <w:highlight w:val="none"/>
        </w:rPr>
        <w:t>2.“供应商”系指向招标方提交磋商响应文件的单位或个人。</w:t>
      </w:r>
    </w:p>
    <w:p w14:paraId="358BD8C3">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3.“服务”系指磋商文件规定供应商须承担的本项目所衍生的一切服务义务。 </w:t>
      </w:r>
    </w:p>
    <w:p w14:paraId="50DC4AD5">
      <w:pPr>
        <w:spacing w:line="440" w:lineRule="exact"/>
        <w:rPr>
          <w:rFonts w:ascii="宋体" w:hAnsi="宋体" w:cs="宋体"/>
          <w:color w:val="auto"/>
          <w:sz w:val="24"/>
          <w:highlight w:val="none"/>
        </w:rPr>
      </w:pPr>
      <w:r>
        <w:rPr>
          <w:rFonts w:hint="eastAsia" w:ascii="宋体" w:hAnsi="宋体" w:cs="宋体"/>
          <w:color w:val="auto"/>
          <w:sz w:val="24"/>
          <w:highlight w:val="none"/>
        </w:rPr>
        <w:t>4.“项目”系指供应商按磋商文件规定向采购人提供的成果和项目服务。</w:t>
      </w:r>
    </w:p>
    <w:p w14:paraId="63D5CC64">
      <w:pPr>
        <w:spacing w:line="440" w:lineRule="exact"/>
        <w:rPr>
          <w:rFonts w:ascii="宋体" w:hAnsi="宋体" w:cs="宋体"/>
          <w:color w:val="auto"/>
          <w:sz w:val="24"/>
          <w:highlight w:val="none"/>
        </w:rPr>
      </w:pPr>
      <w:r>
        <w:rPr>
          <w:rFonts w:hint="eastAsia" w:ascii="宋体" w:hAnsi="宋体" w:cs="宋体"/>
          <w:color w:val="auto"/>
          <w:sz w:val="24"/>
          <w:highlight w:val="none"/>
        </w:rPr>
        <w:t>5.“书面形式”包括信函、传真、电报等。</w:t>
      </w:r>
    </w:p>
    <w:p w14:paraId="4359294E">
      <w:pPr>
        <w:spacing w:line="440" w:lineRule="exact"/>
        <w:rPr>
          <w:rFonts w:hint="eastAsia" w:ascii="宋体" w:hAnsi="宋体" w:cs="宋体"/>
          <w:color w:val="auto"/>
          <w:sz w:val="24"/>
          <w:highlight w:val="none"/>
        </w:rPr>
      </w:pPr>
      <w:r>
        <w:rPr>
          <w:rFonts w:hint="eastAsia" w:ascii="宋体" w:hAnsi="宋体" w:cs="宋体"/>
          <w:color w:val="auto"/>
          <w:sz w:val="24"/>
          <w:highlight w:val="none"/>
        </w:rPr>
        <w:t>6.“▲”系指实质性要求条款。</w:t>
      </w:r>
    </w:p>
    <w:p w14:paraId="50279806">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7. 采购项目需要落实的政府采购政策</w:t>
      </w:r>
    </w:p>
    <w:p w14:paraId="33762704">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3FE6BCB8">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7.2 支持绿色发展</w:t>
      </w:r>
    </w:p>
    <w:p w14:paraId="257C71A6">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6B0099CD">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58E3BE1">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7.3支持中小企业发展</w:t>
      </w:r>
    </w:p>
    <w:p w14:paraId="181E440A">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1A607FFA">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符合中小企业划分标准的个体工商户，在政府采购活动中视同中小企业。</w:t>
      </w:r>
    </w:p>
    <w:p w14:paraId="6EA9FD84">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7.3.2在政府采购活动中，供应商提供的货物、工程或者服务符合下列情形的，享受中小企业扶持政策：</w:t>
      </w:r>
    </w:p>
    <w:p w14:paraId="1A9B7D9A">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7.3.2.1在货物采购项目中，货物由中小企业制造，即货物由中小企业生产且使用该中小企业商号或者注册商标；</w:t>
      </w:r>
    </w:p>
    <w:p w14:paraId="4FA341DF">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7.3.2.2在工程采购项目中，工程由中小企业承建，即工程施工单位为中小企业；</w:t>
      </w:r>
    </w:p>
    <w:p w14:paraId="14AB4B01">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7.3.2.3在服务采购项目中，服务由中小企业承接，即提供服务的人员为中小企业依照《中华人民共和国劳动合同法》订立劳动合同的从业人员。</w:t>
      </w:r>
    </w:p>
    <w:p w14:paraId="0CD150AB">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在货物采购项目中，供应商提供的货物既有中小企业制造货物，也有大型企业制造货物的，不享受中小企业扶持政策。</w:t>
      </w:r>
    </w:p>
    <w:p w14:paraId="127E85AF">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以联合体形式参加政府采购活动，联合体各方均为中小企业的，联合体视同中小企业。其中，联合体各方均为小微企业的，联合体视同小微企业。</w:t>
      </w:r>
    </w:p>
    <w:p w14:paraId="5A6BEB02">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7.3.3符合《关于促进残疾人就业政府采购政策的通知》（财库〔2017〕141号）规定的条件并提供《残疾人福利性单位声明函》（附件1）的残疾人福利性单位视同小型、微型企业；</w:t>
      </w:r>
    </w:p>
    <w:p w14:paraId="77B96039">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7.3.4符合《关于政府采购支持监狱企业发展有关问题的通知》（财库[2014]68号）规定的监狱企业并提供由省级以上监狱管理局、戒毒管理局（含新疆生产建设兵团）出具的属于监狱企业证明文件的，视同为小型、微型企业。</w:t>
      </w:r>
    </w:p>
    <w:p w14:paraId="1655A7FE">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5652A90D">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7.3.6中小企业享受扶持政策获得政府采购合同的，小微企业不得将合同分包给大中型企业，中型企业不得将合同分包给大型企业。</w:t>
      </w:r>
    </w:p>
    <w:p w14:paraId="5B40984C">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7.4支持创新发展</w:t>
      </w:r>
    </w:p>
    <w:p w14:paraId="769DC0C3">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7.4.1 采购人优先采购被认定为首台套产品和“制造精品”的自主创新产品。</w:t>
      </w:r>
    </w:p>
    <w:p w14:paraId="560DCE9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7.4.2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692A58F">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olor w:val="auto"/>
          <w:sz w:val="24"/>
          <w:szCs w:val="24"/>
          <w:highlight w:val="none"/>
        </w:rPr>
        <w:t>7.5中小企业信用融资：为支持和促进中小企业发展，进一步发挥政府采购政策功能，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05DE13A9">
      <w:pPr>
        <w:spacing w:line="440" w:lineRule="exact"/>
        <w:rPr>
          <w:rFonts w:ascii="宋体" w:hAnsi="宋体" w:cs="宋体"/>
          <w:b/>
          <w:color w:val="auto"/>
          <w:sz w:val="24"/>
          <w:highlight w:val="none"/>
        </w:rPr>
      </w:pPr>
      <w:r>
        <w:rPr>
          <w:rFonts w:hint="eastAsia" w:ascii="宋体" w:hAnsi="宋体" w:cs="宋体"/>
          <w:b/>
          <w:color w:val="auto"/>
          <w:sz w:val="24"/>
          <w:highlight w:val="none"/>
        </w:rPr>
        <w:t>（三）磋商方式</w:t>
      </w:r>
    </w:p>
    <w:p w14:paraId="227420B7">
      <w:pPr>
        <w:spacing w:line="440" w:lineRule="exact"/>
        <w:ind w:firstLine="480" w:firstLineChars="200"/>
        <w:rPr>
          <w:rFonts w:ascii="宋体" w:hAnsi="宋体" w:cs="宋体"/>
          <w:color w:val="auto"/>
          <w:sz w:val="24"/>
          <w:highlight w:val="none"/>
        </w:rPr>
      </w:pPr>
      <w:r>
        <w:rPr>
          <w:rFonts w:hint="eastAsia" w:ascii="宋体" w:hAnsi="宋体"/>
          <w:color w:val="auto"/>
          <w:sz w:val="24"/>
          <w:szCs w:val="24"/>
          <w:highlight w:val="none"/>
        </w:rPr>
        <w:t>本次采用竞争性磋商方式进行</w:t>
      </w:r>
      <w:r>
        <w:rPr>
          <w:rFonts w:hint="eastAsia" w:ascii="宋体" w:hAnsi="宋体" w:cs="宋体"/>
          <w:color w:val="auto"/>
          <w:sz w:val="24"/>
          <w:highlight w:val="none"/>
        </w:rPr>
        <w:t>。</w:t>
      </w:r>
    </w:p>
    <w:p w14:paraId="4CB10983">
      <w:pPr>
        <w:spacing w:line="440" w:lineRule="exact"/>
        <w:rPr>
          <w:rFonts w:ascii="宋体" w:hAnsi="宋体" w:cs="宋体"/>
          <w:b/>
          <w:color w:val="auto"/>
          <w:sz w:val="24"/>
          <w:highlight w:val="none"/>
        </w:rPr>
      </w:pPr>
      <w:r>
        <w:rPr>
          <w:rFonts w:hint="eastAsia" w:ascii="宋体" w:hAnsi="宋体" w:cs="宋体"/>
          <w:b/>
          <w:color w:val="auto"/>
          <w:sz w:val="24"/>
          <w:highlight w:val="none"/>
        </w:rPr>
        <w:t>（四）磋商委托</w:t>
      </w:r>
    </w:p>
    <w:p w14:paraId="20345D6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如供应商代表不是法定代表人，须有法定代表人出具的授权委托书，委托代理人必须为供应商的在职正式职工（以供应商本单位缴纳社保花名册为准）。</w:t>
      </w:r>
    </w:p>
    <w:p w14:paraId="123F4F50">
      <w:pPr>
        <w:pStyle w:val="17"/>
        <w:rPr>
          <w:color w:val="auto"/>
          <w:highlight w:val="none"/>
        </w:rPr>
      </w:pPr>
    </w:p>
    <w:p w14:paraId="23D18053">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）联合体</w:t>
      </w:r>
      <w:r>
        <w:rPr>
          <w:rFonts w:hint="eastAsia" w:ascii="宋体" w:hAnsi="宋体" w:cs="宋体"/>
          <w:b/>
          <w:bCs/>
          <w:color w:val="auto"/>
          <w:sz w:val="24"/>
          <w:highlight w:val="none"/>
        </w:rPr>
        <w:t>投标</w:t>
      </w:r>
      <w:r>
        <w:rPr>
          <w:rFonts w:hint="eastAsia" w:ascii="宋体" w:hAnsi="宋体" w:cs="宋体"/>
          <w:b/>
          <w:color w:val="auto"/>
          <w:sz w:val="24"/>
          <w:highlight w:val="none"/>
        </w:rPr>
        <w:tab/>
      </w:r>
    </w:p>
    <w:p w14:paraId="1A78401A">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本项目接受联合体投标。</w:t>
      </w:r>
    </w:p>
    <w:p w14:paraId="3C1A0CD2">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b/>
          <w:color w:val="auto"/>
          <w:kern w:val="0"/>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r>
        <w:rPr>
          <w:rFonts w:hint="eastAsia" w:ascii="宋体" w:hAnsi="宋体" w:cs="宋体"/>
          <w:b/>
          <w:color w:val="auto"/>
          <w:kern w:val="0"/>
          <w:sz w:val="24"/>
          <w:highlight w:val="none"/>
        </w:rPr>
        <w:t>转包与分包</w:t>
      </w:r>
    </w:p>
    <w:p w14:paraId="5A761411">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1E3075A2">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2.本项目</w:t>
      </w:r>
      <w:r>
        <w:rPr>
          <w:rFonts w:hint="eastAsia" w:ascii="宋体" w:hAnsi="宋体" w:cs="宋体"/>
          <w:color w:val="auto"/>
          <w:kern w:val="0"/>
          <w:sz w:val="24"/>
          <w:highlight w:val="none"/>
          <w:lang w:val="en-US" w:eastAsia="zh-CN"/>
        </w:rPr>
        <w:t>分包按照浙采监【2022】3号文件执行</w:t>
      </w:r>
      <w:r>
        <w:rPr>
          <w:rFonts w:hint="eastAsia" w:ascii="宋体" w:hAnsi="宋体" w:cs="宋体"/>
          <w:color w:val="auto"/>
          <w:kern w:val="0"/>
          <w:sz w:val="24"/>
          <w:highlight w:val="none"/>
        </w:rPr>
        <w:t>。</w:t>
      </w:r>
    </w:p>
    <w:p w14:paraId="27B4D2D9">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）特别说明：</w:t>
      </w:r>
    </w:p>
    <w:p w14:paraId="5A65966B">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多个供应商参加磋商，如其中两家或两家以上供应商的法定代表人为同一人或相互之间存在投资关系且达到控股的，应当按一个供应商认定。</w:t>
      </w:r>
    </w:p>
    <w:p w14:paraId="5787C844">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2.供应商磋商所使用的资格、信誉、荣誉与企业认证必须为本法人所拥有。供应商磋商所使用的采购项目实施人员必须为本法人员工（或必须为本法人或控股公司正式员工）。</w:t>
      </w:r>
    </w:p>
    <w:p w14:paraId="251FFF01">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3.供应商应仔细阅读磋商文件的所有内容，按照磋商文件的要求提交磋商响应文件，并对所提供的全部资料的真实性承担法律责任。</w:t>
      </w:r>
    </w:p>
    <w:p w14:paraId="67840307">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4.供应商在磋商活动中提供任何虚假材料,其磋商无效，并报监管部门查处；中标后发现的,中标人须依照《中华人民共和国消费者权益保护法》第49条之规定双倍赔偿采购人，且民事赔偿并不免除违法供应商的行政与刑事责任。</w:t>
      </w:r>
    </w:p>
    <w:p w14:paraId="141AEF05">
      <w:pPr>
        <w:keepNext w:val="0"/>
        <w:keepLines w:val="0"/>
        <w:pageBreakBefore w:val="0"/>
        <w:widowControl w:val="0"/>
        <w:kinsoku/>
        <w:wordWrap/>
        <w:overflowPunct/>
        <w:topLinePunct w:val="0"/>
        <w:autoSpaceDE/>
        <w:autoSpaceDN/>
        <w:bidi w:val="0"/>
        <w:adjustRightInd/>
        <w:snapToGrid/>
        <w:spacing w:line="317" w:lineRule="auto"/>
        <w:textAlignment w:val="auto"/>
        <w:rPr>
          <w:color w:val="auto"/>
          <w:sz w:val="24"/>
          <w:highlight w:val="none"/>
        </w:rPr>
      </w:pPr>
      <w:r>
        <w:rPr>
          <w:rFonts w:hint="eastAsia" w:ascii="宋体" w:hAnsi="宋体" w:cs="宋体"/>
          <w:color w:val="auto"/>
          <w:sz w:val="24"/>
          <w:highlight w:val="none"/>
        </w:rPr>
        <w:t>5. 磋商小组认为预中标人的磋商报价明显低于其他通过符合性审查供应商的报价，有可能影响产品质量或者不能诚信履约的，应当要求其在磋商现场合理的时间内提供书面说明，必要时提交相关证明材料，预中标人不能证明其报价合理性的，磋商小组应当将其作为无效磋商响应处理。</w:t>
      </w:r>
    </w:p>
    <w:p w14:paraId="781BCE76">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xml:space="preserve"> 招标方不保证最低报价者为中标方。</w:t>
      </w:r>
    </w:p>
    <w:p w14:paraId="12A45163">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“政采云”平台运营机构，以及与该机构有直接控股或者管理关系可能影响采购公正性的任何单位和个人，不得在该平台进行的政府采购项目电子交易中磋商、响应政府采购项目。</w:t>
      </w:r>
    </w:p>
    <w:p w14:paraId="584C94DD">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）质疑和投诉</w:t>
      </w:r>
    </w:p>
    <w:p w14:paraId="5499F245">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color w:val="auto"/>
          <w:sz w:val="24"/>
          <w:highlight w:val="none"/>
        </w:rPr>
        <w:t>1.供应商认为磋商文件、招标过程或中标结果使自己的合法权益受到损害的，应当在知道或者应知其权益受到损害之日起七个工作日内，以书面形式向采购人、招标方提出质疑。供应商对招标方的质疑答复不满意或者招标方未在规定时间内作出答复的，可以在答复期满后十五个工作日内向同级采购监管部门投诉。</w:t>
      </w:r>
    </w:p>
    <w:p w14:paraId="51CDFD29">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color w:val="auto"/>
          <w:sz w:val="24"/>
          <w:highlight w:val="none"/>
        </w:rPr>
        <w:t>2.质疑、投诉应当采用书面形式，质疑书、投诉书均应明确阐述磋商文件、招标过程或中标结果中使自己合法权益受到损害的实质性内容，提供相关事实、依据和证据及其来源或线索，便于有关单位调查、答复和处理。</w:t>
      </w:r>
    </w:p>
    <w:p w14:paraId="2AA2916A">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color w:val="auto"/>
          <w:sz w:val="24"/>
          <w:highlight w:val="none"/>
        </w:rPr>
        <w:t>3. 采购人、招标方应当按照《浙江省政府采购供应商质疑处理办法》、中华人民共和国财政部第94号令《政府采购质疑和投诉办法》、《政府采购竞争性磋商采购方式管理暂行办法》进行受理与答复质疑。</w:t>
      </w:r>
    </w:p>
    <w:p w14:paraId="33CB24F2">
      <w:pPr>
        <w:pStyle w:val="3"/>
        <w:keepNext w:val="0"/>
        <w:keepLines w:val="0"/>
        <w:pageBreakBefore/>
        <w:widowControl w:val="0"/>
        <w:kinsoku/>
        <w:wordWrap/>
        <w:overflowPunct/>
        <w:topLinePunct w:val="0"/>
        <w:autoSpaceDE/>
        <w:autoSpaceDN/>
        <w:bidi w:val="0"/>
        <w:adjustRightInd/>
        <w:snapToGrid/>
        <w:spacing w:line="336" w:lineRule="auto"/>
        <w:jc w:val="center"/>
        <w:textAlignment w:val="auto"/>
        <w:rPr>
          <w:rFonts w:ascii="宋体" w:hAnsi="宋体" w:eastAsia="宋体" w:cs="宋体"/>
          <w:color w:val="auto"/>
          <w:sz w:val="24"/>
          <w:szCs w:val="24"/>
          <w:highlight w:val="none"/>
        </w:rPr>
      </w:pPr>
      <w:bookmarkStart w:id="9" w:name="_Toc454196066"/>
      <w:bookmarkStart w:id="10" w:name="_Toc458697268"/>
      <w:bookmarkStart w:id="11" w:name="_Toc26336"/>
      <w:r>
        <w:rPr>
          <w:rFonts w:hint="eastAsia" w:ascii="宋体" w:hAnsi="宋体" w:eastAsia="宋体" w:cs="宋体"/>
          <w:color w:val="auto"/>
          <w:sz w:val="24"/>
          <w:szCs w:val="24"/>
          <w:highlight w:val="none"/>
        </w:rPr>
        <w:t>二、</w:t>
      </w:r>
      <w:bookmarkEnd w:id="9"/>
      <w:bookmarkEnd w:id="10"/>
      <w:r>
        <w:rPr>
          <w:rFonts w:hint="eastAsia" w:ascii="宋体" w:hAnsi="宋体" w:eastAsia="宋体" w:cs="宋体"/>
          <w:color w:val="auto"/>
          <w:sz w:val="24"/>
          <w:szCs w:val="24"/>
          <w:highlight w:val="none"/>
        </w:rPr>
        <w:t>磋商文件</w:t>
      </w:r>
      <w:bookmarkEnd w:id="11"/>
    </w:p>
    <w:p w14:paraId="5C49DDB6">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（一）磋商文件的构成。本磋商文件由以下部分组成：</w:t>
      </w:r>
    </w:p>
    <w:p w14:paraId="559BDD9D">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1.磋商公告</w:t>
      </w:r>
    </w:p>
    <w:p w14:paraId="5BE159B2">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2.招标需求</w:t>
      </w:r>
    </w:p>
    <w:p w14:paraId="089D8B1A">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3.供应商须知</w:t>
      </w:r>
    </w:p>
    <w:p w14:paraId="3C158F2D">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4.磋商办法及标准</w:t>
      </w:r>
    </w:p>
    <w:p w14:paraId="28360AD2">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5.合同主要条款</w:t>
      </w:r>
    </w:p>
    <w:p w14:paraId="3DEA0349">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6.磋商响应文件格式</w:t>
      </w:r>
    </w:p>
    <w:p w14:paraId="56FF84CD">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7.本项目磋商文件的澄清、答复、修改、补充的内容</w:t>
      </w:r>
    </w:p>
    <w:p w14:paraId="64F5CD97">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（二）供应商的风险</w:t>
      </w:r>
    </w:p>
    <w:p w14:paraId="6F1CF9A9">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供应商没有按照磋商文件要求提供全部资料，或者供应商没有对磋商文件在各方面作出实质性响应是供应商的风险，并可能导致其磋商被拒绝。</w:t>
      </w:r>
    </w:p>
    <w:p w14:paraId="3CA55296">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（三）磋商文件的澄清与修改 </w:t>
      </w:r>
    </w:p>
    <w:p w14:paraId="6E92819E">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供应商应认真阅读本磋商文件，发现其中有误或有不合理要求的，供应商应当按照磋商公告第三、八条规定以书面形式要求招标方澄清</w:t>
      </w:r>
      <w:r>
        <w:rPr>
          <w:rFonts w:hint="eastAsia" w:ascii="宋体" w:hAnsi="宋体" w:cs="宋体"/>
          <w:color w:val="auto"/>
          <w:sz w:val="24"/>
          <w:highlight w:val="none"/>
        </w:rPr>
        <w:t>。招标方对已发出的磋商文件进行必要澄清、答复、修改或补充的，应当在磋商文件要求提交磋商响应文件截止时间5日前，在财政部门指定的政府采购信息发布媒体上发布更正公告，并以书面形式通知所有磋商文件收受人。</w:t>
      </w:r>
    </w:p>
    <w:p w14:paraId="541B82B2">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2.招标方必须以书面形式答复供应商要求澄清的问题，并将不包含问题来源的答复书面通知所有购买磋商文件的供应商；除书面答复以外的其他澄清方式及澄清内容均无效。</w:t>
      </w:r>
    </w:p>
    <w:p w14:paraId="5DAA107E">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3.磋商文件澄清、答复、修改、补充的内容为磋商文件的组成部分。当磋商文件与磋商文件的答复、澄清、修改、补充通知就同一内容的表述不一致时，以最后发出的书面文件为准。</w:t>
      </w:r>
    </w:p>
    <w:p w14:paraId="7B106BCC">
      <w:pPr>
        <w:keepNext w:val="0"/>
        <w:keepLines w:val="0"/>
        <w:widowControl w:val="0"/>
        <w:kinsoku/>
        <w:wordWrap/>
        <w:overflowPunct/>
        <w:topLinePunct w:val="0"/>
        <w:autoSpaceDE/>
        <w:autoSpaceDN/>
        <w:bidi w:val="0"/>
        <w:adjustRightInd/>
        <w:snapToGrid/>
        <w:spacing w:line="336"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4.磋商文件的澄清、答复、修改或补充都应该通过本招标机构以法定形式发布，采购人非通过本机构，不得擅自澄清、答复、修改或补充磋商文件。</w:t>
      </w:r>
    </w:p>
    <w:p w14:paraId="2D8B00E3">
      <w:pPr>
        <w:keepNext w:val="0"/>
        <w:keepLines w:val="0"/>
        <w:widowControl w:val="0"/>
        <w:kinsoku/>
        <w:wordWrap/>
        <w:overflowPunct/>
        <w:topLinePunct w:val="0"/>
        <w:autoSpaceDE/>
        <w:autoSpaceDN/>
        <w:bidi w:val="0"/>
        <w:adjustRightInd/>
        <w:snapToGrid/>
        <w:spacing w:line="336"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5、磋商过程中，实质性变动的内容，经采购人代表确认后，磋商小组可以根据磋商文件和磋商情况实质性变动采购需求中的技术、服务要求以及合同草案条款，但不得变动磋商文件中其他内容，否则磋商小组不得变动磋商文件中的实质性内容。供应商应当根据磋商变动情况和磋商小组的要求重新提交响应内容，响应内容应当通过电子交易平台交换数据电文的形式提交。</w:t>
      </w:r>
    </w:p>
    <w:p w14:paraId="54F62ADE">
      <w:pPr>
        <w:pStyle w:val="3"/>
        <w:keepNext w:val="0"/>
        <w:keepLines w:val="0"/>
        <w:pageBreakBefore/>
        <w:widowControl w:val="0"/>
        <w:kinsoku/>
        <w:wordWrap/>
        <w:overflowPunct/>
        <w:topLinePunct w:val="0"/>
        <w:autoSpaceDE/>
        <w:autoSpaceDN/>
        <w:bidi w:val="0"/>
        <w:adjustRightInd/>
        <w:spacing w:line="360" w:lineRule="auto"/>
        <w:jc w:val="center"/>
        <w:textAlignment w:val="auto"/>
        <w:rPr>
          <w:rFonts w:ascii="宋体" w:hAnsi="宋体" w:eastAsia="宋体" w:cs="宋体"/>
          <w:color w:val="auto"/>
          <w:sz w:val="24"/>
          <w:szCs w:val="24"/>
          <w:highlight w:val="none"/>
        </w:rPr>
      </w:pPr>
      <w:bookmarkStart w:id="12" w:name="_Toc454196067"/>
      <w:bookmarkStart w:id="13" w:name="_Toc458697269"/>
      <w:bookmarkStart w:id="14" w:name="_Toc28127"/>
      <w:r>
        <w:rPr>
          <w:rFonts w:hint="eastAsia" w:ascii="宋体" w:hAnsi="宋体" w:eastAsia="宋体" w:cs="宋体"/>
          <w:color w:val="auto"/>
          <w:sz w:val="24"/>
          <w:szCs w:val="24"/>
          <w:highlight w:val="none"/>
        </w:rPr>
        <w:t>三、磋商响应文件的编制</w:t>
      </w:r>
      <w:bookmarkEnd w:id="12"/>
      <w:bookmarkEnd w:id="13"/>
      <w:bookmarkEnd w:id="14"/>
    </w:p>
    <w:p w14:paraId="54C04E8D">
      <w:pPr>
        <w:keepNext w:val="0"/>
        <w:keepLines w:val="0"/>
        <w:widowControl w:val="0"/>
        <w:kinsoku/>
        <w:wordWrap/>
        <w:overflowPunct/>
        <w:topLinePunct w:val="0"/>
        <w:autoSpaceDE/>
        <w:autoSpaceDN/>
        <w:bidi w:val="0"/>
        <w:adjustRightIn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▲（一）磋商响应文件的组成</w:t>
      </w:r>
    </w:p>
    <w:p w14:paraId="15E75807">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磋商响应文件由资格审查文件、商务技术文件、报价文件三部分组成。</w:t>
      </w:r>
    </w:p>
    <w:p w14:paraId="5250FF2E">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1.资格审查文件：</w:t>
      </w:r>
    </w:p>
    <w:p w14:paraId="696F8F1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（1）有效的营业执照复印件；</w:t>
      </w:r>
    </w:p>
    <w:p w14:paraId="275FCE2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774C5EF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（3）符合参加政府采购活动应当具备的一般条件的承诺函(格式见附件) ；</w:t>
      </w:r>
    </w:p>
    <w:p w14:paraId="73E4B48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szCs w:val="24"/>
          <w:highlight w:val="none"/>
          <w:lang w:eastAsia="zh-CN"/>
        </w:rPr>
        <w:t>磋商</w:t>
      </w:r>
      <w:r>
        <w:rPr>
          <w:rFonts w:hint="eastAsia" w:ascii="宋体" w:hAnsi="宋体" w:cs="宋体"/>
          <w:bCs/>
          <w:color w:val="auto"/>
          <w:sz w:val="24"/>
          <w:szCs w:val="24"/>
          <w:highlight w:val="none"/>
        </w:rPr>
        <w:t>声明书</w:t>
      </w:r>
      <w:r>
        <w:rPr>
          <w:rFonts w:hint="eastAsia" w:ascii="宋体" w:hAnsi="宋体" w:cs="宋体"/>
          <w:color w:val="auto"/>
          <w:sz w:val="24"/>
          <w:highlight w:val="none"/>
        </w:rPr>
        <w:t xml:space="preserve"> (格式见附件) ；</w:t>
      </w:r>
    </w:p>
    <w:p w14:paraId="35E6531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（5）浙江政府采购网注册正式供应商的网络截图或承诺中标后30天内注册为浙江政府采购网正式供应商（须提供承诺书）；</w:t>
      </w:r>
    </w:p>
    <w:p w14:paraId="42E94B7C">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6）建筑工程施工总承包三级及以上资质和</w:t>
      </w:r>
      <w:r>
        <w:rPr>
          <w:rFonts w:hint="eastAsia" w:ascii="宋体" w:hAnsi="宋体" w:cs="宋体"/>
          <w:color w:val="auto"/>
          <w:sz w:val="24"/>
          <w:highlight w:val="none"/>
        </w:rPr>
        <w:t>安全生产许可证</w:t>
      </w:r>
      <w:r>
        <w:rPr>
          <w:rFonts w:hint="eastAsia" w:ascii="宋体" w:hAnsi="宋体" w:cs="宋体"/>
          <w:color w:val="auto"/>
          <w:sz w:val="24"/>
          <w:highlight w:val="none"/>
          <w:lang w:eastAsia="zh-CN"/>
        </w:rPr>
        <w:t>，</w:t>
      </w:r>
      <w:r>
        <w:rPr>
          <w:rFonts w:hint="eastAsia" w:ascii="宋体" w:hAnsi="宋体" w:cs="宋体"/>
          <w:color w:val="auto"/>
          <w:sz w:val="24"/>
          <w:highlight w:val="none"/>
        </w:rPr>
        <w:t>提供有效期内的证书复印件</w:t>
      </w:r>
      <w:r>
        <w:rPr>
          <w:rFonts w:hint="eastAsia" w:ascii="宋体" w:hAnsi="宋体" w:cs="宋体"/>
          <w:color w:val="auto"/>
          <w:sz w:val="24"/>
          <w:highlight w:val="none"/>
          <w:lang w:eastAsia="zh-CN"/>
        </w:rPr>
        <w:t>。</w:t>
      </w:r>
    </w:p>
    <w:p w14:paraId="53A183A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落实政府采购政策需满足的资格条件：供应商为中小企业/小微企业，提供《中小企业声明函》（格式见附件）</w:t>
      </w:r>
      <w:r>
        <w:rPr>
          <w:rFonts w:hint="eastAsia" w:ascii="宋体" w:hAnsi="宋体" w:cs="宋体"/>
          <w:color w:val="auto"/>
          <w:sz w:val="24"/>
          <w:highlight w:val="none"/>
          <w:lang w:eastAsia="zh-CN"/>
        </w:rPr>
        <w:t>。</w:t>
      </w:r>
    </w:p>
    <w:p w14:paraId="206248D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）联合体协议（如有，格式见附件）；</w:t>
      </w:r>
      <w:r>
        <w:rPr>
          <w:rFonts w:hint="eastAsia" w:ascii="宋体" w:hAnsi="宋体" w:eastAsia="宋体" w:cs="宋体"/>
          <w:color w:val="auto"/>
          <w:sz w:val="24"/>
          <w:szCs w:val="24"/>
          <w:highlight w:val="none"/>
          <w:lang w:eastAsia="zh-CN"/>
        </w:rPr>
        <w:t>分包意向协议（分包投标时适用，格式见附件）</w:t>
      </w:r>
    </w:p>
    <w:p w14:paraId="76B16D6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）政府采购代理机构社会评价表(格式见附件)。 </w:t>
      </w:r>
    </w:p>
    <w:p w14:paraId="3173729D">
      <w:pPr>
        <w:autoSpaceDE w:val="0"/>
        <w:spacing w:line="440" w:lineRule="atLeast"/>
        <w:ind w:firstLine="241" w:firstLineChars="100"/>
        <w:rPr>
          <w:rFonts w:hint="eastAsia" w:ascii="宋体" w:hAnsi="宋体"/>
          <w:b/>
          <w:bCs/>
          <w:color w:val="auto"/>
          <w:sz w:val="24"/>
          <w:szCs w:val="24"/>
          <w:highlight w:val="none"/>
        </w:rPr>
      </w:pPr>
      <w:r>
        <w:rPr>
          <w:rFonts w:hint="eastAsia" w:ascii="宋体" w:hAnsi="宋体"/>
          <w:b/>
          <w:bCs/>
          <w:color w:val="auto"/>
          <w:sz w:val="24"/>
          <w:szCs w:val="24"/>
          <w:highlight w:val="none"/>
        </w:rPr>
        <w:t>2.技术、商务资信文件</w:t>
      </w:r>
    </w:p>
    <w:p w14:paraId="0A05C6A8">
      <w:pPr>
        <w:numPr>
          <w:ilvl w:val="0"/>
          <w:numId w:val="7"/>
        </w:numPr>
        <w:autoSpaceDE w:val="0"/>
        <w:spacing w:line="440" w:lineRule="atLeast"/>
        <w:ind w:left="845" w:leftChars="0" w:hanging="425" w:firstLineChars="0"/>
        <w:rPr>
          <w:rFonts w:hint="eastAsia" w:ascii="宋体" w:hAnsi="宋体"/>
          <w:bCs/>
          <w:color w:val="auto"/>
          <w:sz w:val="24"/>
          <w:szCs w:val="24"/>
          <w:highlight w:val="none"/>
        </w:rPr>
      </w:pPr>
      <w:r>
        <w:rPr>
          <w:rFonts w:hint="eastAsia" w:ascii="宋体" w:hAnsi="宋体"/>
          <w:bCs/>
          <w:color w:val="auto"/>
          <w:sz w:val="24"/>
          <w:szCs w:val="24"/>
          <w:highlight w:val="none"/>
        </w:rPr>
        <w:t>投标人</w:t>
      </w:r>
      <w:r>
        <w:rPr>
          <w:rFonts w:hint="eastAsia" w:ascii="宋体" w:hAnsi="宋体"/>
          <w:color w:val="auto"/>
          <w:sz w:val="24"/>
          <w:szCs w:val="24"/>
          <w:highlight w:val="none"/>
        </w:rPr>
        <w:t>技术、商务资信</w:t>
      </w:r>
      <w:r>
        <w:rPr>
          <w:rFonts w:hint="eastAsia" w:ascii="宋体" w:hAnsi="宋体"/>
          <w:bCs/>
          <w:color w:val="auto"/>
          <w:sz w:val="24"/>
          <w:szCs w:val="24"/>
          <w:highlight w:val="none"/>
        </w:rPr>
        <w:t>自评得分表（格式见附件）；</w:t>
      </w:r>
    </w:p>
    <w:p w14:paraId="3E64C3B4">
      <w:pPr>
        <w:numPr>
          <w:ilvl w:val="0"/>
          <w:numId w:val="7"/>
        </w:numPr>
        <w:autoSpaceDE w:val="0"/>
        <w:spacing w:line="440" w:lineRule="atLeast"/>
        <w:ind w:left="845" w:leftChars="0" w:hanging="425" w:firstLineChars="0"/>
        <w:rPr>
          <w:rFonts w:hint="eastAsia" w:ascii="宋体" w:hAnsi="宋体"/>
          <w:bCs/>
          <w:color w:val="auto"/>
          <w:sz w:val="24"/>
          <w:szCs w:val="24"/>
          <w:highlight w:val="none"/>
        </w:rPr>
      </w:pPr>
      <w:r>
        <w:rPr>
          <w:rFonts w:hint="eastAsia" w:ascii="宋体" w:hAnsi="宋体"/>
          <w:bCs/>
          <w:color w:val="auto"/>
          <w:sz w:val="24"/>
          <w:szCs w:val="24"/>
          <w:highlight w:val="none"/>
        </w:rPr>
        <w:t xml:space="preserve">磋商声明书 (格式见附件) ； </w:t>
      </w:r>
    </w:p>
    <w:p w14:paraId="59CB9335">
      <w:pPr>
        <w:numPr>
          <w:ilvl w:val="0"/>
          <w:numId w:val="7"/>
        </w:numPr>
        <w:autoSpaceDE w:val="0"/>
        <w:spacing w:line="440" w:lineRule="atLeast"/>
        <w:ind w:left="845" w:leftChars="0" w:hanging="425" w:firstLineChars="0"/>
        <w:rPr>
          <w:rFonts w:hint="eastAsia" w:ascii="宋体" w:hAnsi="宋体"/>
          <w:bCs/>
          <w:color w:val="auto"/>
          <w:sz w:val="24"/>
          <w:szCs w:val="24"/>
          <w:highlight w:val="none"/>
        </w:rPr>
      </w:pPr>
      <w:r>
        <w:rPr>
          <w:rFonts w:hint="eastAsia" w:ascii="宋体" w:hAnsi="宋体"/>
          <w:bCs/>
          <w:color w:val="auto"/>
          <w:sz w:val="24"/>
          <w:szCs w:val="24"/>
          <w:highlight w:val="none"/>
        </w:rPr>
        <w:t>投标单位情况表（格式见附件）；</w:t>
      </w:r>
    </w:p>
    <w:p w14:paraId="2FDB65E7">
      <w:pPr>
        <w:numPr>
          <w:ilvl w:val="0"/>
          <w:numId w:val="7"/>
        </w:numPr>
        <w:autoSpaceDE w:val="0"/>
        <w:spacing w:line="440" w:lineRule="atLeast"/>
        <w:ind w:left="845" w:leftChars="0" w:hanging="425" w:firstLineChars="0"/>
        <w:rPr>
          <w:rFonts w:hint="eastAsia" w:ascii="宋体" w:hAnsi="宋体"/>
          <w:bCs/>
          <w:color w:val="auto"/>
          <w:sz w:val="24"/>
          <w:szCs w:val="24"/>
          <w:highlight w:val="none"/>
        </w:rPr>
      </w:pPr>
      <w:r>
        <w:rPr>
          <w:rFonts w:hint="eastAsia" w:ascii="宋体" w:hAnsi="宋体"/>
          <w:bCs/>
          <w:color w:val="auto"/>
          <w:sz w:val="24"/>
          <w:szCs w:val="24"/>
          <w:highlight w:val="none"/>
        </w:rPr>
        <w:t>商务响应表（格式见附件）；</w:t>
      </w:r>
    </w:p>
    <w:p w14:paraId="7F6035B7">
      <w:pPr>
        <w:numPr>
          <w:ilvl w:val="0"/>
          <w:numId w:val="7"/>
        </w:numPr>
        <w:autoSpaceDE w:val="0"/>
        <w:spacing w:line="440" w:lineRule="atLeast"/>
        <w:ind w:left="845" w:leftChars="0" w:hanging="425" w:firstLineChars="0"/>
        <w:rPr>
          <w:rFonts w:hint="eastAsia" w:ascii="宋体" w:hAnsi="宋体"/>
          <w:bCs/>
          <w:color w:val="auto"/>
          <w:sz w:val="24"/>
          <w:szCs w:val="24"/>
          <w:highlight w:val="none"/>
        </w:rPr>
      </w:pPr>
      <w:r>
        <w:rPr>
          <w:rFonts w:hint="eastAsia" w:ascii="宋体" w:hAnsi="宋体"/>
          <w:bCs/>
          <w:color w:val="auto"/>
          <w:sz w:val="24"/>
          <w:szCs w:val="24"/>
          <w:highlight w:val="none"/>
        </w:rPr>
        <w:t>技术响应表（格式见附件）；</w:t>
      </w:r>
    </w:p>
    <w:p w14:paraId="34251EF2">
      <w:pPr>
        <w:numPr>
          <w:ilvl w:val="0"/>
          <w:numId w:val="7"/>
        </w:numPr>
        <w:autoSpaceDE w:val="0"/>
        <w:spacing w:line="440" w:lineRule="atLeast"/>
        <w:ind w:left="84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项目理解情况；</w:t>
      </w:r>
    </w:p>
    <w:p w14:paraId="149E276F">
      <w:pPr>
        <w:numPr>
          <w:ilvl w:val="0"/>
          <w:numId w:val="7"/>
        </w:numPr>
        <w:autoSpaceDE w:val="0"/>
        <w:spacing w:line="440" w:lineRule="atLeast"/>
        <w:ind w:left="84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施工方案；</w:t>
      </w:r>
    </w:p>
    <w:p w14:paraId="52B59522">
      <w:pPr>
        <w:numPr>
          <w:ilvl w:val="0"/>
          <w:numId w:val="7"/>
        </w:numPr>
        <w:autoSpaceDE w:val="0"/>
        <w:spacing w:line="440" w:lineRule="atLeast"/>
        <w:ind w:left="84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施工技术；</w:t>
      </w:r>
    </w:p>
    <w:p w14:paraId="788C40D4">
      <w:pPr>
        <w:numPr>
          <w:ilvl w:val="0"/>
          <w:numId w:val="7"/>
        </w:numPr>
        <w:autoSpaceDE w:val="0"/>
        <w:spacing w:line="440" w:lineRule="atLeast"/>
        <w:ind w:left="84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施工进度；</w:t>
      </w:r>
    </w:p>
    <w:p w14:paraId="31E9EC51">
      <w:pPr>
        <w:numPr>
          <w:ilvl w:val="0"/>
          <w:numId w:val="7"/>
        </w:numPr>
        <w:autoSpaceDE w:val="0"/>
        <w:spacing w:line="440" w:lineRule="atLeast"/>
        <w:ind w:left="845" w:leftChars="0" w:hanging="425" w:firstLineChars="0"/>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安全生产应急预案；</w:t>
      </w:r>
    </w:p>
    <w:p w14:paraId="05FDD0A2">
      <w:pPr>
        <w:numPr>
          <w:ilvl w:val="0"/>
          <w:numId w:val="7"/>
        </w:numPr>
        <w:autoSpaceDE w:val="0"/>
        <w:spacing w:line="440" w:lineRule="atLeast"/>
        <w:ind w:left="84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质量保障；</w:t>
      </w:r>
    </w:p>
    <w:p w14:paraId="476960B2">
      <w:pPr>
        <w:numPr>
          <w:ilvl w:val="0"/>
          <w:numId w:val="7"/>
        </w:numPr>
        <w:autoSpaceDE w:val="0"/>
        <w:spacing w:line="440" w:lineRule="atLeast"/>
        <w:ind w:left="84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安全、文明施工等的保证措施；</w:t>
      </w:r>
    </w:p>
    <w:p w14:paraId="7F334C8A">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施工机具设备；</w:t>
      </w:r>
    </w:p>
    <w:p w14:paraId="07AC19BF">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材料设备进场计划；</w:t>
      </w:r>
    </w:p>
    <w:p w14:paraId="50D4BDE7">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布置情况；</w:t>
      </w:r>
    </w:p>
    <w:p w14:paraId="7C510B84">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关键工序、复杂环节的相应技术措施；</w:t>
      </w:r>
    </w:p>
    <w:p w14:paraId="145E7AE1">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施工重点难点分析；</w:t>
      </w:r>
    </w:p>
    <w:p w14:paraId="53A72EC5">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成品保护的保证措施；</w:t>
      </w:r>
    </w:p>
    <w:p w14:paraId="05F0D5BA">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管理协调；</w:t>
      </w:r>
    </w:p>
    <w:p w14:paraId="007D2DEC">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安全承诺</w:t>
      </w:r>
      <w:r>
        <w:rPr>
          <w:rFonts w:hint="eastAsia" w:ascii="宋体" w:hAnsi="宋体" w:eastAsia="宋体" w:cs="宋体"/>
          <w:color w:val="auto"/>
          <w:sz w:val="24"/>
          <w:szCs w:val="24"/>
          <w:highlight w:val="none"/>
        </w:rPr>
        <w:t>；</w:t>
      </w:r>
    </w:p>
    <w:p w14:paraId="3C766340">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w:t>
      </w:r>
    </w:p>
    <w:p w14:paraId="66FE193E">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体系认证</w:t>
      </w:r>
    </w:p>
    <w:p w14:paraId="74521C52">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项目业绩（格式见附件）；</w:t>
      </w:r>
    </w:p>
    <w:p w14:paraId="7A2BC011">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售后保障；</w:t>
      </w:r>
    </w:p>
    <w:p w14:paraId="1F0CEE39">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安全生产及其他承诺函（格式见附件）；</w:t>
      </w:r>
    </w:p>
    <w:p w14:paraId="03B6E943">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政府采购供应商诚信承诺书（格式见附件）；</w:t>
      </w:r>
    </w:p>
    <w:p w14:paraId="679E5699">
      <w:pPr>
        <w:keepNext w:val="0"/>
        <w:keepLines w:val="0"/>
        <w:pageBreakBefore w:val="0"/>
        <w:widowControl w:val="0"/>
        <w:numPr>
          <w:ilvl w:val="0"/>
          <w:numId w:val="7"/>
        </w:numPr>
        <w:kinsoku/>
        <w:wordWrap/>
        <w:overflowPunct/>
        <w:topLinePunct w:val="0"/>
        <w:autoSpaceDE w:val="0"/>
        <w:bidi w:val="0"/>
        <w:snapToGrid/>
        <w:spacing w:line="440" w:lineRule="atLeast"/>
        <w:ind w:left="845" w:leftChars="0" w:hanging="425" w:firstLineChars="0"/>
        <w:textAlignment w:val="auto"/>
        <w:rPr>
          <w:rFonts w:hint="eastAsia" w:ascii="宋体" w:hAnsi="宋体"/>
          <w:bCs/>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bCs/>
          <w:color w:val="auto"/>
          <w:sz w:val="24"/>
          <w:szCs w:val="24"/>
          <w:highlight w:val="none"/>
        </w:rPr>
        <w:t>需要说明的其他文件和说明。</w:t>
      </w:r>
    </w:p>
    <w:p w14:paraId="29459F85">
      <w:pPr>
        <w:autoSpaceDE w:val="0"/>
        <w:spacing w:line="440" w:lineRule="atLeas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3.报价文件</w:t>
      </w:r>
    </w:p>
    <w:p w14:paraId="4BC41535">
      <w:pPr>
        <w:autoSpaceDE w:val="0"/>
        <w:spacing w:line="440" w:lineRule="atLeast"/>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 xml:space="preserve">（1）磋商响应函（格式见附件）； </w:t>
      </w:r>
    </w:p>
    <w:p w14:paraId="0709E604">
      <w:pPr>
        <w:autoSpaceDE w:val="0"/>
        <w:spacing w:line="440" w:lineRule="atLeast"/>
        <w:ind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初次报价表</w:t>
      </w:r>
      <w:r>
        <w:rPr>
          <w:rFonts w:hint="eastAsia" w:ascii="宋体" w:hAnsi="宋体"/>
          <w:color w:val="auto"/>
          <w:sz w:val="24"/>
          <w:szCs w:val="24"/>
          <w:highlight w:val="none"/>
        </w:rPr>
        <w:t xml:space="preserve">（格式见附件）； </w:t>
      </w:r>
    </w:p>
    <w:p w14:paraId="593543CA">
      <w:pPr>
        <w:autoSpaceDE w:val="0"/>
        <w:spacing w:line="440" w:lineRule="atLeast"/>
        <w:ind w:firstLine="240" w:firstLineChars="100"/>
        <w:rPr>
          <w:rFonts w:hint="eastAsia" w:ascii="宋体" w:hAnsi="宋体"/>
          <w:b/>
          <w:bCs/>
          <w:color w:val="auto"/>
          <w:sz w:val="24"/>
          <w:szCs w:val="24"/>
          <w:highlight w:val="none"/>
        </w:rPr>
      </w:pPr>
      <w:r>
        <w:rPr>
          <w:rFonts w:hint="eastAsia" w:ascii="宋体" w:hAnsi="宋体"/>
          <w:color w:val="auto"/>
          <w:sz w:val="24"/>
          <w:szCs w:val="24"/>
          <w:highlight w:val="none"/>
        </w:rPr>
        <w:t>（3）供应商针对报价需要说明的其他文件和说明（格式自拟）。</w:t>
      </w:r>
    </w:p>
    <w:p w14:paraId="0875AB7D">
      <w:pPr>
        <w:spacing w:line="430" w:lineRule="exact"/>
        <w:rPr>
          <w:rFonts w:ascii="宋体" w:hAnsi="宋体" w:cs="宋体"/>
          <w:b/>
          <w:color w:val="auto"/>
          <w:sz w:val="24"/>
          <w:highlight w:val="none"/>
        </w:rPr>
      </w:pPr>
      <w:r>
        <w:rPr>
          <w:rFonts w:hint="eastAsia" w:ascii="宋体" w:hAnsi="宋体" w:cs="宋体"/>
          <w:b/>
          <w:color w:val="auto"/>
          <w:sz w:val="24"/>
          <w:highlight w:val="none"/>
        </w:rPr>
        <w:t>▲（二）磋商响应文件的语言及计量</w:t>
      </w:r>
    </w:p>
    <w:p w14:paraId="2D715911">
      <w:pPr>
        <w:spacing w:line="430" w:lineRule="exact"/>
        <w:rPr>
          <w:rFonts w:ascii="宋体" w:hAnsi="宋体" w:cs="宋体"/>
          <w:color w:val="auto"/>
          <w:sz w:val="24"/>
          <w:highlight w:val="none"/>
        </w:rPr>
      </w:pPr>
      <w:r>
        <w:rPr>
          <w:rFonts w:hint="eastAsia" w:ascii="宋体" w:hAnsi="宋体" w:cs="宋体"/>
          <w:color w:val="auto"/>
          <w:sz w:val="24"/>
          <w:highlight w:val="none"/>
        </w:rPr>
        <w:t>1．磋商响应文件以及供应商与招标方就有关磋商事宜的所有来往函电，均应以中文汉语书写。除签名、盖章、专用名称等特殊情形外，以中文汉语以外的文字表述的磋商响应文件视同未提供。</w:t>
      </w:r>
    </w:p>
    <w:p w14:paraId="5A0D2219">
      <w:pPr>
        <w:spacing w:line="430" w:lineRule="exact"/>
        <w:rPr>
          <w:rFonts w:ascii="宋体" w:hAnsi="宋体" w:cs="宋体"/>
          <w:color w:val="auto"/>
          <w:sz w:val="24"/>
          <w:highlight w:val="none"/>
        </w:rPr>
      </w:pPr>
      <w:r>
        <w:rPr>
          <w:rFonts w:hint="eastAsia" w:ascii="宋体" w:hAnsi="宋体" w:cs="宋体"/>
          <w:color w:val="auto"/>
          <w:sz w:val="24"/>
          <w:highlight w:val="none"/>
        </w:rPr>
        <w:t>2.磋商计量单位，应采用中华人民共和国法定计量单位（货币单位：人民币元），否则视同未响应。</w:t>
      </w:r>
    </w:p>
    <w:p w14:paraId="7018D245">
      <w:pPr>
        <w:spacing w:line="430" w:lineRule="exact"/>
        <w:rPr>
          <w:rFonts w:ascii="宋体" w:hAnsi="宋体" w:cs="宋体"/>
          <w:b/>
          <w:bCs/>
          <w:color w:val="auto"/>
          <w:sz w:val="24"/>
          <w:highlight w:val="none"/>
        </w:rPr>
      </w:pPr>
      <w:r>
        <w:rPr>
          <w:rFonts w:hint="eastAsia" w:ascii="宋体" w:hAnsi="宋体" w:cs="宋体"/>
          <w:b/>
          <w:bCs/>
          <w:color w:val="auto"/>
          <w:sz w:val="24"/>
          <w:highlight w:val="none"/>
        </w:rPr>
        <w:t>▲（三）磋商报价</w:t>
      </w:r>
    </w:p>
    <w:p w14:paraId="43E5A111">
      <w:pPr>
        <w:spacing w:line="430" w:lineRule="exact"/>
        <w:rPr>
          <w:rFonts w:ascii="宋体" w:hAnsi="宋体" w:cs="宋体"/>
          <w:color w:val="auto"/>
          <w:sz w:val="24"/>
          <w:highlight w:val="none"/>
        </w:rPr>
      </w:pPr>
      <w:r>
        <w:rPr>
          <w:rFonts w:hint="eastAsia" w:ascii="宋体" w:hAnsi="宋体" w:cs="宋体"/>
          <w:color w:val="auto"/>
          <w:sz w:val="24"/>
          <w:highlight w:val="none"/>
        </w:rPr>
        <w:t>1.磋商报价应按磋商文件中相关附表格式填写。</w:t>
      </w:r>
    </w:p>
    <w:p w14:paraId="192895A3">
      <w:pPr>
        <w:pStyle w:val="18"/>
        <w:spacing w:line="430" w:lineRule="exact"/>
        <w:ind w:firstLine="0" w:firstLineChars="0"/>
        <w:rPr>
          <w:rFonts w:ascii="宋体" w:hAnsi="宋体" w:eastAsia="宋体" w:cs="仿宋_GB2312"/>
          <w:bCs w:val="0"/>
          <w:color w:val="auto"/>
          <w:sz w:val="24"/>
          <w:highlight w:val="none"/>
        </w:rPr>
      </w:pPr>
      <w:r>
        <w:rPr>
          <w:rFonts w:hint="eastAsia" w:ascii="宋体" w:hAnsi="宋体" w:eastAsia="宋体" w:cs="仿宋_GB2312"/>
          <w:bCs w:val="0"/>
          <w:color w:val="auto"/>
          <w:sz w:val="24"/>
          <w:highlight w:val="none"/>
        </w:rPr>
        <w:t>2.磋商报价包括施工所需的施工费、材料费、供货、运输、装卸、安装调试、机械费、人工费、服务费、安全措施费等实施本项目相关的一切费用及税金。</w:t>
      </w:r>
    </w:p>
    <w:p w14:paraId="42D4F81F">
      <w:pPr>
        <w:spacing w:line="430" w:lineRule="exact"/>
        <w:rPr>
          <w:rFonts w:ascii="宋体" w:hAnsi="宋体" w:cs="宋体"/>
          <w:b/>
          <w:bCs/>
          <w:color w:val="auto"/>
          <w:sz w:val="24"/>
          <w:highlight w:val="none"/>
        </w:rPr>
      </w:pPr>
      <w:r>
        <w:rPr>
          <w:rFonts w:hint="eastAsia" w:ascii="宋体" w:hAnsi="宋体" w:cs="宋体"/>
          <w:b/>
          <w:bCs/>
          <w:color w:val="auto"/>
          <w:sz w:val="24"/>
          <w:highlight w:val="none"/>
        </w:rPr>
        <w:t>（四）磋商响应文件的有效期</w:t>
      </w:r>
    </w:p>
    <w:p w14:paraId="6B4FD02A">
      <w:pPr>
        <w:spacing w:line="430" w:lineRule="exact"/>
        <w:rPr>
          <w:rFonts w:ascii="宋体" w:hAnsi="宋体" w:cs="宋体"/>
          <w:color w:val="auto"/>
          <w:sz w:val="24"/>
          <w:highlight w:val="none"/>
        </w:rPr>
      </w:pPr>
      <w:bookmarkStart w:id="15" w:name="_Toc450548873"/>
      <w:bookmarkStart w:id="16" w:name="_Toc405368930"/>
      <w:r>
        <w:rPr>
          <w:rFonts w:hint="eastAsia" w:ascii="宋体" w:hAnsi="宋体" w:cs="宋体"/>
          <w:color w:val="auto"/>
          <w:sz w:val="24"/>
          <w:highlight w:val="none"/>
        </w:rPr>
        <w:t>▲1.自磋商截止日起</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rPr>
        <w:t>天磋商响应文件应保持有效。有效期不足的磋商响应文件将被拒绝。</w:t>
      </w:r>
    </w:p>
    <w:p w14:paraId="1EADC985">
      <w:pPr>
        <w:spacing w:line="430" w:lineRule="exact"/>
        <w:rPr>
          <w:rFonts w:ascii="宋体" w:hAnsi="宋体" w:cs="宋体"/>
          <w:color w:val="auto"/>
          <w:sz w:val="24"/>
          <w:highlight w:val="none"/>
        </w:rPr>
      </w:pPr>
      <w:r>
        <w:rPr>
          <w:rFonts w:hint="eastAsia" w:ascii="宋体" w:hAnsi="宋体" w:cs="宋体"/>
          <w:color w:val="auto"/>
          <w:sz w:val="24"/>
          <w:highlight w:val="none"/>
        </w:rPr>
        <w:t>2.在特殊情况下，招标人可与供应商协商延长磋商响应文件的有效期，这种要求和答复均以书面形式进行。</w:t>
      </w:r>
    </w:p>
    <w:p w14:paraId="4998B37F">
      <w:pPr>
        <w:spacing w:line="430" w:lineRule="exact"/>
        <w:rPr>
          <w:rFonts w:ascii="宋体" w:hAnsi="宋体" w:cs="宋体"/>
          <w:color w:val="auto"/>
          <w:sz w:val="24"/>
          <w:highlight w:val="none"/>
        </w:rPr>
      </w:pPr>
      <w:bookmarkStart w:id="17" w:name="_Toc407182105"/>
      <w:r>
        <w:rPr>
          <w:rFonts w:hint="eastAsia" w:ascii="宋体" w:hAnsi="宋体" w:cs="宋体"/>
          <w:color w:val="auto"/>
          <w:sz w:val="24"/>
          <w:highlight w:val="none"/>
        </w:rPr>
        <w:t>3.供应商可拒绝接受延期要求，若同意延长有效期的供应商，则不能修改磋商响应文件。</w:t>
      </w:r>
      <w:bookmarkEnd w:id="17"/>
      <w:r>
        <w:rPr>
          <w:rFonts w:hint="eastAsia" w:ascii="宋体" w:hAnsi="宋体" w:cs="宋体"/>
          <w:color w:val="auto"/>
          <w:sz w:val="24"/>
          <w:highlight w:val="none"/>
        </w:rPr>
        <w:t xml:space="preserve"> </w:t>
      </w:r>
    </w:p>
    <w:p w14:paraId="54A8EEAC">
      <w:pPr>
        <w:spacing w:line="430" w:lineRule="exact"/>
        <w:rPr>
          <w:rFonts w:ascii="宋体" w:hAnsi="宋体" w:cs="宋体"/>
          <w:color w:val="auto"/>
          <w:sz w:val="24"/>
          <w:highlight w:val="none"/>
        </w:rPr>
      </w:pPr>
      <w:r>
        <w:rPr>
          <w:rFonts w:hint="eastAsia" w:ascii="宋体" w:hAnsi="宋体" w:cs="宋体"/>
          <w:color w:val="auto"/>
          <w:sz w:val="24"/>
          <w:highlight w:val="none"/>
        </w:rPr>
        <w:t>4.中标人的磋商响应文件自开标之日起至合同履行完毕止均应保持有效。</w:t>
      </w:r>
    </w:p>
    <w:bookmarkEnd w:id="15"/>
    <w:bookmarkEnd w:id="16"/>
    <w:p w14:paraId="57CC5073">
      <w:pPr>
        <w:spacing w:line="360" w:lineRule="auto"/>
        <w:rPr>
          <w:rFonts w:ascii="宋体" w:hAnsi="宋体" w:cs="宋体"/>
          <w:b/>
          <w:color w:val="auto"/>
          <w:sz w:val="24"/>
          <w:highlight w:val="none"/>
        </w:rPr>
      </w:pPr>
      <w:r>
        <w:rPr>
          <w:rFonts w:hint="eastAsia" w:ascii="宋体" w:hAnsi="宋体" w:cs="宋体"/>
          <w:b/>
          <w:color w:val="auto"/>
          <w:sz w:val="24"/>
          <w:highlight w:val="none"/>
        </w:rPr>
        <w:t>▲（五）履约保证金</w:t>
      </w:r>
    </w:p>
    <w:p w14:paraId="396708E7">
      <w:pPr>
        <w:spacing w:line="430" w:lineRule="exact"/>
        <w:rPr>
          <w:rFonts w:hint="eastAsia" w:ascii="宋体" w:hAnsi="宋体" w:cs="宋体"/>
          <w:b w:val="0"/>
          <w:bCs/>
          <w:color w:val="auto"/>
          <w:sz w:val="24"/>
          <w:highlight w:val="none"/>
        </w:rPr>
      </w:pPr>
      <w:r>
        <w:rPr>
          <w:rFonts w:hint="eastAsia" w:ascii="宋体" w:hAnsi="宋体" w:cs="宋体"/>
          <w:b w:val="0"/>
          <w:bCs/>
          <w:color w:val="auto"/>
          <w:sz w:val="24"/>
          <w:highlight w:val="none"/>
        </w:rPr>
        <w:t>1.保证金形式：</w:t>
      </w:r>
      <w:r>
        <w:rPr>
          <w:rFonts w:hint="eastAsia" w:ascii="宋体" w:hAnsi="宋体" w:cs="宋体"/>
          <w:b w:val="0"/>
          <w:bCs/>
          <w:color w:val="auto"/>
          <w:sz w:val="24"/>
          <w:highlight w:val="none"/>
          <w:lang w:val="en-US" w:eastAsia="zh-CN"/>
        </w:rPr>
        <w:t>支票</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汇票</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本票</w:t>
      </w:r>
      <w:r>
        <w:rPr>
          <w:rFonts w:hint="eastAsia" w:ascii="宋体" w:hAnsi="宋体" w:cs="宋体"/>
          <w:b w:val="0"/>
          <w:bCs/>
          <w:color w:val="auto"/>
          <w:sz w:val="24"/>
          <w:highlight w:val="none"/>
        </w:rPr>
        <w:t xml:space="preserve">、保函   </w:t>
      </w:r>
    </w:p>
    <w:p w14:paraId="57CBEAF6">
      <w:pPr>
        <w:spacing w:line="430" w:lineRule="exact"/>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rPr>
        <w:t>2.中标人在收到中标通知书后，需向采购人提供</w:t>
      </w:r>
      <w:r>
        <w:rPr>
          <w:rFonts w:hint="eastAsia" w:ascii="宋体" w:hAnsi="宋体" w:cs="宋体"/>
          <w:b w:val="0"/>
          <w:bCs/>
          <w:color w:val="auto"/>
          <w:sz w:val="24"/>
          <w:highlight w:val="none"/>
          <w:lang w:val="en-US" w:eastAsia="zh-CN"/>
        </w:rPr>
        <w:t>中标价的1</w:t>
      </w:r>
      <w:r>
        <w:rPr>
          <w:rFonts w:hint="eastAsia" w:ascii="宋体" w:hAnsi="宋体" w:cs="宋体"/>
          <w:b w:val="0"/>
          <w:bCs/>
          <w:color w:val="auto"/>
          <w:sz w:val="24"/>
          <w:highlight w:val="none"/>
        </w:rPr>
        <w:t>%的履约保证金，在中标人与采购人签订合同前递交，</w:t>
      </w:r>
      <w:r>
        <w:rPr>
          <w:rFonts w:hint="eastAsia" w:ascii="宋体" w:hAnsi="宋体" w:cs="宋体"/>
          <w:b w:val="0"/>
          <w:bCs/>
          <w:color w:val="auto"/>
          <w:sz w:val="24"/>
          <w:highlight w:val="none"/>
          <w:lang w:val="en-US" w:eastAsia="zh-CN"/>
        </w:rPr>
        <w:t>中标人</w:t>
      </w:r>
      <w:r>
        <w:rPr>
          <w:rFonts w:hint="eastAsia" w:ascii="宋体" w:hAnsi="宋体" w:cs="宋体"/>
          <w:b w:val="0"/>
          <w:bCs/>
          <w:color w:val="auto"/>
          <w:sz w:val="24"/>
          <w:highlight w:val="none"/>
        </w:rPr>
        <w:t>需以支票、汇票、本票或者金融机构、保险公司、担保机构出具的</w:t>
      </w:r>
      <w:r>
        <w:rPr>
          <w:rFonts w:hint="eastAsia" w:ascii="宋体" w:hAnsi="宋体" w:cs="宋体"/>
          <w:b w:val="0"/>
          <w:bCs/>
          <w:color w:val="auto"/>
          <w:sz w:val="24"/>
          <w:highlight w:val="none"/>
          <w:lang w:val="en-US" w:eastAsia="zh-CN"/>
        </w:rPr>
        <w:t>保函/保险（可在政采云平台购买，咨询热线4009039583）等非现金形式提交（保函期限应大于履约期限2个月）</w:t>
      </w:r>
      <w:r>
        <w:rPr>
          <w:rFonts w:hint="eastAsia" w:ascii="宋体" w:hAnsi="宋体" w:cs="宋体"/>
          <w:b w:val="0"/>
          <w:bCs/>
          <w:color w:val="auto"/>
          <w:sz w:val="24"/>
          <w:highlight w:val="none"/>
        </w:rPr>
        <w:t>。</w:t>
      </w:r>
    </w:p>
    <w:p w14:paraId="05D24DFF">
      <w:pPr>
        <w:spacing w:line="430" w:lineRule="exact"/>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2F2EC78C">
      <w:pPr>
        <w:spacing w:line="430" w:lineRule="exact"/>
        <w:rPr>
          <w:rFonts w:ascii="宋体" w:hAnsi="宋体" w:cs="宋体"/>
          <w:b/>
          <w:color w:val="auto"/>
          <w:sz w:val="24"/>
          <w:highlight w:val="none"/>
        </w:rPr>
      </w:pPr>
      <w:r>
        <w:rPr>
          <w:rFonts w:hint="eastAsia" w:ascii="宋体" w:hAnsi="宋体" w:cs="宋体"/>
          <w:b/>
          <w:color w:val="auto"/>
          <w:sz w:val="24"/>
          <w:highlight w:val="none"/>
        </w:rPr>
        <w:t>（六）磋商响应文件的签署</w:t>
      </w:r>
    </w:p>
    <w:p w14:paraId="725B3B10">
      <w:pPr>
        <w:numPr>
          <w:ilvl w:val="0"/>
          <w:numId w:val="8"/>
        </w:numPr>
        <w:spacing w:line="430" w:lineRule="exact"/>
        <w:rPr>
          <w:rFonts w:ascii="宋体" w:hAnsi="宋体" w:cs="宋体"/>
          <w:color w:val="auto"/>
          <w:sz w:val="24"/>
          <w:highlight w:val="none"/>
        </w:rPr>
      </w:pPr>
      <w:r>
        <w:rPr>
          <w:rFonts w:hint="eastAsia" w:ascii="宋体" w:hAnsi="宋体" w:cs="宋体"/>
          <w:color w:val="auto"/>
          <w:sz w:val="24"/>
          <w:highlight w:val="none"/>
        </w:rPr>
        <w:t>供应商应按本磋商文件规定的格式和顺序编制磋商响应文件并标注页码，因磋商响应文件内容不完整、编排混乱、放弃关联点或关联点错误等原因导致磋商响应文件被误读、漏读或者查找不到相关内容等风险由供应商自行承担。</w:t>
      </w:r>
    </w:p>
    <w:p w14:paraId="43424507">
      <w:pPr>
        <w:spacing w:line="430" w:lineRule="exact"/>
        <w:rPr>
          <w:rFonts w:ascii="宋体" w:hAnsi="宋体" w:cs="宋体"/>
          <w:b/>
          <w:color w:val="auto"/>
          <w:sz w:val="24"/>
          <w:highlight w:val="none"/>
        </w:rPr>
      </w:pPr>
      <w:r>
        <w:rPr>
          <w:rFonts w:hint="eastAsia" w:ascii="宋体" w:hAnsi="宋体" w:cs="宋体"/>
          <w:b/>
          <w:color w:val="auto"/>
          <w:sz w:val="24"/>
          <w:highlight w:val="none"/>
        </w:rPr>
        <w:t>2. 磋商响应文件需盖章签字的地方必须由供应商法定代表人或法定代表人的授权委托人签署并加盖单位公章，供应商应写全称。</w:t>
      </w:r>
    </w:p>
    <w:p w14:paraId="0F328E2A">
      <w:pPr>
        <w:spacing w:line="430" w:lineRule="exact"/>
        <w:rPr>
          <w:rFonts w:ascii="宋体" w:hAnsi="宋体" w:cs="宋体"/>
          <w:color w:val="auto"/>
          <w:sz w:val="24"/>
          <w:highlight w:val="none"/>
        </w:rPr>
      </w:pPr>
      <w:r>
        <w:rPr>
          <w:rFonts w:hint="eastAsia" w:ascii="宋体" w:hAnsi="宋体" w:cs="宋体"/>
          <w:color w:val="auto"/>
          <w:sz w:val="24"/>
          <w:highlight w:val="none"/>
        </w:rPr>
        <w:t>3.磋商响应文件不得涂改，若有修改错漏处，须加盖单位公章和由法定代表人或授权委托人签字或盖章。磋商响应文件因字迹潦草或表达不清所引起的后果由供应商负责。</w:t>
      </w:r>
    </w:p>
    <w:p w14:paraId="0A7F5582">
      <w:pPr>
        <w:spacing w:line="430" w:lineRule="exact"/>
        <w:rPr>
          <w:rFonts w:ascii="宋体" w:hAnsi="宋体" w:cs="宋体"/>
          <w:b/>
          <w:color w:val="auto"/>
          <w:sz w:val="24"/>
          <w:highlight w:val="none"/>
        </w:rPr>
      </w:pPr>
      <w:r>
        <w:rPr>
          <w:rFonts w:hint="eastAsia" w:ascii="宋体" w:hAnsi="宋体" w:cs="宋体"/>
          <w:b/>
          <w:color w:val="auto"/>
          <w:sz w:val="24"/>
          <w:highlight w:val="none"/>
        </w:rPr>
        <w:t>▲（七）磋商响应文件的上传、递交、修改和撤回</w:t>
      </w:r>
    </w:p>
    <w:p w14:paraId="7A28A7C6">
      <w:pPr>
        <w:spacing w:line="430" w:lineRule="exact"/>
        <w:ind w:firstLine="495"/>
        <w:rPr>
          <w:rFonts w:ascii="宋体" w:hAnsi="宋体" w:cs="宋体"/>
          <w:color w:val="auto"/>
          <w:sz w:val="24"/>
          <w:highlight w:val="none"/>
        </w:rPr>
      </w:pPr>
      <w:r>
        <w:rPr>
          <w:rFonts w:hint="eastAsia" w:ascii="宋体" w:hAnsi="宋体" w:cs="宋体"/>
          <w:color w:val="auto"/>
          <w:sz w:val="24"/>
          <w:highlight w:val="none"/>
        </w:rPr>
        <w:t>1. 供应商应当在磋商截止时间前在“政采云”（电子交易平台）上自行上传加密的电子磋商响应文件。</w:t>
      </w:r>
    </w:p>
    <w:p w14:paraId="3CFD6FD6">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2.未按规定上传的磋商响应文件将被拒绝，由此造成磋商响应文件解密失败或被误投的风险由供应商承担。</w:t>
      </w:r>
    </w:p>
    <w:p w14:paraId="03231DCC">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 供应商未在“政采云”（电子交易平台）上自行上传加密的电子磋商响应文件，仅提交电子备份磋商响应文件的，磋商无效。</w:t>
      </w:r>
    </w:p>
    <w:p w14:paraId="367E5138">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 供应商应当在磋商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磋商、响应截止时间后上传的磋商响应文件，将被政采云平台拒收。</w:t>
      </w:r>
    </w:p>
    <w:p w14:paraId="33E2A26A">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在磋商截止时间之前，可以对已提交的电子备份磋商响应文件进行修改或撤回，并书面通知招标采购单位；修改后重新递交的电子备份磋商响应文件应当按本磋商文件的要求签署、盖章。磋商截止时间后，供应商不得撤回、修改电子备份磋商响应文件。</w:t>
      </w:r>
    </w:p>
    <w:p w14:paraId="3572A2F9">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磋商响应文件，供应商须在开标时间截止后30分钟内对上传政采云的磋商响应文件进行解密，所有供应商在规定的解密时限内解密完成或解密时限到后，采购代理机构开启磋商响应文件；供应商超过解密时限的，系统默认自动放弃。</w:t>
      </w:r>
    </w:p>
    <w:p w14:paraId="3874B4B2">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 电子磋商响应文件无法解密或解密失败时，供应商提供了电子备份磋商响应文件的，以电子备份磋商响应文件作为评审依据，否则视为磋商响应文件撤回。磋商响应文件已按时解密的，电子备份磋商响应文件自动失效。</w:t>
      </w:r>
    </w:p>
    <w:p w14:paraId="0C426E23">
      <w:pPr>
        <w:spacing w:line="430" w:lineRule="exact"/>
        <w:rPr>
          <w:rFonts w:ascii="宋体" w:hAnsi="宋体" w:cs="宋体"/>
          <w:b/>
          <w:color w:val="auto"/>
          <w:sz w:val="24"/>
          <w:highlight w:val="none"/>
        </w:rPr>
      </w:pPr>
      <w:r>
        <w:rPr>
          <w:rFonts w:hint="eastAsia" w:ascii="宋体" w:hAnsi="宋体" w:cs="宋体"/>
          <w:b/>
          <w:color w:val="auto"/>
          <w:sz w:val="24"/>
          <w:highlight w:val="none"/>
        </w:rPr>
        <w:t>（八）磋商无效的情形</w:t>
      </w:r>
    </w:p>
    <w:p w14:paraId="7A587E4B">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磋商文件要求的磋商将被视为无效磋商。供应商不得通过修正或撤消不合要求的偏离或保留从而使其磋商成为实质上响应的磋商，但经磋商小组认定属于供应商疏忽、笔误所造成的差错，应当允许其在磋商结束之前进行修改或者补正。限期内不补正或经补正后仍不符合磋商文件要求的，应认定其磋商无效。供应商修改、补正磋商响应文件后，不影响磋商小组对其磋商响应文件所作的评价和评分结果。</w:t>
      </w:r>
    </w:p>
    <w:p w14:paraId="1971A841">
      <w:pPr>
        <w:spacing w:line="430" w:lineRule="exact"/>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1.在符合性审查和商务评审时，如发现下列情形之一的，磋商响应文件将被视为无效：</w:t>
      </w:r>
    </w:p>
    <w:p w14:paraId="78CF1C81">
      <w:pPr>
        <w:spacing w:line="430" w:lineRule="exact"/>
        <w:rPr>
          <w:rFonts w:ascii="宋体" w:hAnsi="宋体" w:cs="宋体"/>
          <w:color w:val="auto"/>
          <w:sz w:val="24"/>
          <w:highlight w:val="none"/>
        </w:rPr>
      </w:pPr>
      <w:r>
        <w:rPr>
          <w:rFonts w:hint="eastAsia" w:ascii="宋体" w:hAnsi="宋体" w:cs="宋体"/>
          <w:color w:val="auto"/>
          <w:sz w:val="24"/>
          <w:highlight w:val="none"/>
        </w:rPr>
        <w:t>（1）供应商仅提交电子备份磋商响应文件的；</w:t>
      </w:r>
    </w:p>
    <w:p w14:paraId="77350607">
      <w:pPr>
        <w:spacing w:line="43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(2) 在开磋商时出现电子磋商响应文件无法解密或解密失败等情况，供应商未提供电子备份磋商响应文件，无法对供应商继续进行评审的；</w:t>
      </w:r>
    </w:p>
    <w:p w14:paraId="09A9B5B1">
      <w:pPr>
        <w:spacing w:line="430" w:lineRule="exact"/>
        <w:rPr>
          <w:rFonts w:ascii="宋体" w:hAnsi="宋体" w:cs="宋体"/>
          <w:color w:val="auto"/>
          <w:sz w:val="24"/>
          <w:highlight w:val="none"/>
        </w:rPr>
      </w:pPr>
      <w:r>
        <w:rPr>
          <w:rFonts w:hint="eastAsia" w:ascii="宋体" w:hAnsi="宋体" w:cs="宋体"/>
          <w:color w:val="auto"/>
          <w:sz w:val="24"/>
          <w:highlight w:val="none"/>
        </w:rPr>
        <w:t>（3）供应商未在规定的时间内对电子询标函进行澄清回复、拒绝澄清回复或澄清回复的内容改变了磋商响应文件的实质性内容的；</w:t>
      </w:r>
    </w:p>
    <w:p w14:paraId="17CFA930">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09D9CC14">
      <w:pPr>
        <w:spacing w:line="430" w:lineRule="exact"/>
        <w:rPr>
          <w:rFonts w:ascii="宋体" w:hAnsi="宋体" w:cs="宋体"/>
          <w:color w:val="auto"/>
          <w:sz w:val="24"/>
          <w:highlight w:val="none"/>
        </w:rPr>
      </w:pPr>
      <w:r>
        <w:rPr>
          <w:rFonts w:hint="eastAsia" w:ascii="宋体" w:hAnsi="宋体" w:cs="宋体"/>
          <w:color w:val="auto"/>
          <w:sz w:val="24"/>
          <w:highlight w:val="none"/>
        </w:rPr>
        <w:t>（5）资格证明文件不全的，或者不符合磋商文件标明的资格要求的，及未提供磋商文件中标有“ ▲”等特殊符号的证明文件的；</w:t>
      </w:r>
    </w:p>
    <w:p w14:paraId="7DA00A25">
      <w:pPr>
        <w:spacing w:line="430" w:lineRule="exact"/>
        <w:rPr>
          <w:rFonts w:ascii="宋体" w:hAnsi="宋体" w:cs="宋体"/>
          <w:color w:val="auto"/>
          <w:sz w:val="24"/>
          <w:highlight w:val="none"/>
        </w:rPr>
      </w:pPr>
      <w:r>
        <w:rPr>
          <w:rFonts w:hint="eastAsia" w:ascii="宋体" w:hAnsi="宋体" w:cs="宋体"/>
          <w:color w:val="auto"/>
          <w:sz w:val="24"/>
          <w:highlight w:val="none"/>
        </w:rPr>
        <w:t>（6）本项目投标截止之日前三年内，在“信用中国”网站、中国政府采购网有失信行为或被列入受惩黑名单。</w:t>
      </w:r>
    </w:p>
    <w:p w14:paraId="22904585">
      <w:pPr>
        <w:spacing w:line="430" w:lineRule="exact"/>
        <w:rPr>
          <w:rFonts w:ascii="宋体" w:hAnsi="宋体" w:cs="宋体"/>
          <w:color w:val="auto"/>
          <w:sz w:val="24"/>
          <w:highlight w:val="none"/>
        </w:rPr>
      </w:pPr>
      <w:r>
        <w:rPr>
          <w:rFonts w:hint="eastAsia" w:ascii="宋体" w:hAnsi="宋体" w:cs="宋体"/>
          <w:color w:val="auto"/>
          <w:sz w:val="24"/>
          <w:highlight w:val="none"/>
        </w:rPr>
        <w:t>（7）磋商响应文件无法定代表人签字,或未提供法定代表人授权委托书、磋商声明书或者填写项目不齐全的；</w:t>
      </w:r>
    </w:p>
    <w:p w14:paraId="6C4C7242">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（8）磋商代表人未能出具身份证明或与法定代表人授权委托人身份不符的； </w:t>
      </w:r>
    </w:p>
    <w:p w14:paraId="194C8BB1">
      <w:pPr>
        <w:spacing w:line="430" w:lineRule="exact"/>
        <w:rPr>
          <w:rFonts w:ascii="宋体" w:hAnsi="宋体" w:cs="宋体"/>
          <w:color w:val="auto"/>
          <w:sz w:val="24"/>
          <w:highlight w:val="none"/>
        </w:rPr>
      </w:pPr>
      <w:r>
        <w:rPr>
          <w:rFonts w:hint="eastAsia" w:ascii="宋体" w:hAnsi="宋体" w:cs="宋体"/>
          <w:color w:val="auto"/>
          <w:sz w:val="24"/>
          <w:highlight w:val="none"/>
        </w:rPr>
        <w:t>（9）磋商响应文件格式未按磋商文件附件规定的格式、未按磋商文件规定的内容编制磋商响应文件的或者内容虚假的、未按规定签字或盖章的；</w:t>
      </w:r>
    </w:p>
    <w:p w14:paraId="05AB1307">
      <w:pPr>
        <w:spacing w:line="430" w:lineRule="exact"/>
        <w:rPr>
          <w:rFonts w:ascii="宋体" w:hAnsi="宋体" w:cs="宋体"/>
          <w:color w:val="auto"/>
          <w:sz w:val="24"/>
          <w:highlight w:val="none"/>
        </w:rPr>
      </w:pPr>
      <w:r>
        <w:rPr>
          <w:rFonts w:hint="eastAsia" w:ascii="宋体" w:hAnsi="宋体" w:cs="宋体"/>
          <w:color w:val="auto"/>
          <w:sz w:val="24"/>
          <w:highlight w:val="none"/>
        </w:rPr>
        <w:t>（10）磋商响应文件的实质性内容未使用中文表述的或意思表述不明确、前后矛盾的或者使用计量单位不符合磋商文件要求的（经磋商小组认定并允许其当场更正的笔误除外）；</w:t>
      </w:r>
    </w:p>
    <w:p w14:paraId="035AA58E">
      <w:pPr>
        <w:spacing w:line="430" w:lineRule="exact"/>
        <w:rPr>
          <w:rFonts w:ascii="宋体" w:hAnsi="宋体" w:cs="宋体"/>
          <w:color w:val="auto"/>
          <w:sz w:val="24"/>
          <w:highlight w:val="none"/>
        </w:rPr>
      </w:pPr>
      <w:r>
        <w:rPr>
          <w:rFonts w:hint="eastAsia" w:ascii="宋体" w:hAnsi="宋体" w:cs="宋体"/>
          <w:color w:val="auto"/>
          <w:sz w:val="24"/>
          <w:highlight w:val="none"/>
        </w:rPr>
        <w:t>（11）磋商有效期、服务期（交货期）、质保期、付款方式等商务条款不能满足磋商文件要求的；</w:t>
      </w:r>
    </w:p>
    <w:p w14:paraId="35DD578F">
      <w:pPr>
        <w:spacing w:line="430" w:lineRule="exact"/>
        <w:rPr>
          <w:rFonts w:ascii="宋体" w:hAnsi="宋体" w:cs="宋体"/>
          <w:color w:val="auto"/>
          <w:sz w:val="24"/>
          <w:highlight w:val="none"/>
        </w:rPr>
      </w:pPr>
      <w:r>
        <w:rPr>
          <w:rFonts w:hint="eastAsia" w:ascii="宋体" w:hAnsi="宋体" w:cs="宋体"/>
          <w:color w:val="auto"/>
          <w:sz w:val="24"/>
          <w:highlight w:val="none"/>
        </w:rPr>
        <w:t>（12）未实质性响应磋商文件要求或者磋商响应文件有招标方不能接受的附加条件的；</w:t>
      </w:r>
    </w:p>
    <w:p w14:paraId="2D18C6CF">
      <w:pPr>
        <w:spacing w:line="430" w:lineRule="exact"/>
        <w:rPr>
          <w:rFonts w:ascii="宋体" w:hAnsi="宋体" w:cs="宋体"/>
          <w:color w:val="auto"/>
          <w:sz w:val="24"/>
          <w:highlight w:val="none"/>
        </w:rPr>
      </w:pPr>
      <w:r>
        <w:rPr>
          <w:rFonts w:hint="eastAsia" w:ascii="宋体" w:hAnsi="宋体" w:cs="宋体"/>
          <w:color w:val="auto"/>
          <w:sz w:val="24"/>
          <w:highlight w:val="none"/>
        </w:rPr>
        <w:t>（13）磋商文件规定的其它磋商无效的情况；</w:t>
      </w:r>
    </w:p>
    <w:p w14:paraId="790981CF">
      <w:pPr>
        <w:tabs>
          <w:tab w:val="left" w:pos="401"/>
        </w:tabs>
        <w:spacing w:line="430" w:lineRule="exact"/>
        <w:rPr>
          <w:rFonts w:ascii="宋体" w:hAnsi="宋体" w:cs="宋体"/>
          <w:color w:val="auto"/>
          <w:sz w:val="24"/>
          <w:highlight w:val="none"/>
        </w:rPr>
      </w:pPr>
      <w:r>
        <w:rPr>
          <w:rFonts w:hint="eastAsia" w:ascii="宋体" w:hAnsi="宋体" w:cs="宋体"/>
          <w:color w:val="auto"/>
          <w:sz w:val="24"/>
          <w:highlight w:val="none"/>
        </w:rPr>
        <w:t>（14）法律、法规规定的其它磋商无效情况。</w:t>
      </w:r>
    </w:p>
    <w:p w14:paraId="45FD2A80">
      <w:pPr>
        <w:spacing w:line="430" w:lineRule="exact"/>
        <w:rPr>
          <w:rFonts w:ascii="宋体" w:hAnsi="宋体" w:cs="宋体"/>
          <w:b/>
          <w:color w:val="auto"/>
          <w:sz w:val="24"/>
          <w:highlight w:val="none"/>
        </w:rPr>
      </w:pPr>
      <w:r>
        <w:rPr>
          <w:rFonts w:hint="eastAsia" w:ascii="宋体" w:hAnsi="宋体" w:cs="宋体"/>
          <w:b/>
          <w:color w:val="auto"/>
          <w:sz w:val="24"/>
          <w:highlight w:val="none"/>
        </w:rPr>
        <w:t>2.在技术资信评审时，如发现下列情形之一的，磋商响应文件将被视为无效：</w:t>
      </w:r>
    </w:p>
    <w:p w14:paraId="4EEE9A27">
      <w:pPr>
        <w:spacing w:line="430" w:lineRule="exact"/>
        <w:rPr>
          <w:rFonts w:ascii="宋体" w:hAnsi="宋体" w:cs="宋体"/>
          <w:b/>
          <w:color w:val="auto"/>
          <w:sz w:val="24"/>
          <w:highlight w:val="none"/>
        </w:rPr>
      </w:pPr>
      <w:r>
        <w:rPr>
          <w:rFonts w:hint="eastAsia" w:ascii="宋体" w:hAnsi="宋体" w:cs="宋体"/>
          <w:color w:val="auto"/>
          <w:sz w:val="24"/>
          <w:highlight w:val="none"/>
        </w:rPr>
        <w:t>（1）供应商未在规定的时间内对电子询标函进行澄清回复、拒绝澄清回复或澄清回复的内容改变了磋商响应文件的实质性内容的；</w:t>
      </w:r>
    </w:p>
    <w:p w14:paraId="69EAEE3C">
      <w:pPr>
        <w:spacing w:line="430" w:lineRule="exact"/>
        <w:rPr>
          <w:rFonts w:ascii="宋体" w:hAnsi="宋体" w:cs="宋体"/>
          <w:color w:val="auto"/>
          <w:sz w:val="24"/>
          <w:highlight w:val="none"/>
        </w:rPr>
      </w:pPr>
      <w:r>
        <w:rPr>
          <w:rFonts w:hint="eastAsia" w:ascii="宋体" w:hAnsi="宋体" w:cs="宋体"/>
          <w:color w:val="auto"/>
          <w:sz w:val="24"/>
          <w:highlight w:val="none"/>
        </w:rPr>
        <w:t>（2）磋商响应文件标明的响应或偏离与事实不符的或虚假响应的；</w:t>
      </w:r>
    </w:p>
    <w:p w14:paraId="5A4431E2">
      <w:pPr>
        <w:spacing w:line="430" w:lineRule="exact"/>
        <w:rPr>
          <w:rFonts w:ascii="宋体" w:hAnsi="宋体" w:cs="宋体"/>
          <w:color w:val="auto"/>
          <w:sz w:val="24"/>
          <w:highlight w:val="none"/>
        </w:rPr>
      </w:pPr>
      <w:r>
        <w:rPr>
          <w:rFonts w:hint="eastAsia" w:ascii="宋体" w:hAnsi="宋体" w:cs="宋体"/>
          <w:color w:val="auto"/>
          <w:sz w:val="24"/>
          <w:highlight w:val="none"/>
        </w:rPr>
        <w:t>（3）明显不符合磋商文件质量标准的，或者与磋商文件中标有“ ▲”等特殊符号的技术指标、主要功能项目发生实质性偏离的；</w:t>
      </w:r>
    </w:p>
    <w:p w14:paraId="41BD906E">
      <w:pPr>
        <w:spacing w:line="430" w:lineRule="exact"/>
        <w:rPr>
          <w:rFonts w:ascii="宋体" w:hAnsi="宋体" w:cs="宋体"/>
          <w:color w:val="auto"/>
          <w:sz w:val="24"/>
          <w:highlight w:val="none"/>
        </w:rPr>
      </w:pPr>
      <w:r>
        <w:rPr>
          <w:rFonts w:hint="eastAsia" w:ascii="宋体" w:hAnsi="宋体" w:cs="宋体"/>
          <w:color w:val="auto"/>
          <w:sz w:val="24"/>
          <w:highlight w:val="none"/>
        </w:rPr>
        <w:t>（4）磋商文件中允许偏离的技术、性能指标或者辅助功能发生较大负偏离的，经磋商小组认定对项目实际使用造成影响的；</w:t>
      </w:r>
    </w:p>
    <w:p w14:paraId="51721065">
      <w:pPr>
        <w:spacing w:line="430" w:lineRule="exact"/>
        <w:rPr>
          <w:rFonts w:ascii="宋体" w:hAnsi="宋体" w:cs="宋体"/>
          <w:color w:val="auto"/>
          <w:sz w:val="24"/>
          <w:highlight w:val="none"/>
        </w:rPr>
      </w:pPr>
      <w:r>
        <w:rPr>
          <w:rFonts w:hint="eastAsia" w:ascii="宋体" w:hAnsi="宋体" w:cs="宋体"/>
          <w:color w:val="auto"/>
          <w:sz w:val="24"/>
          <w:highlight w:val="none"/>
        </w:rPr>
        <w:t>（5）磋商响应文件技术方案不明确，存在一个或一个以上备选（替代）磋商响应方案的；</w:t>
      </w:r>
    </w:p>
    <w:p w14:paraId="320FF48A">
      <w:pPr>
        <w:spacing w:line="430" w:lineRule="exact"/>
        <w:rPr>
          <w:rFonts w:ascii="宋体" w:hAnsi="宋体" w:cs="宋体"/>
          <w:color w:val="auto"/>
          <w:sz w:val="24"/>
          <w:highlight w:val="none"/>
        </w:rPr>
      </w:pPr>
      <w:r>
        <w:rPr>
          <w:rFonts w:hint="eastAsia" w:ascii="宋体" w:hAnsi="宋体" w:cs="宋体"/>
          <w:color w:val="auto"/>
          <w:sz w:val="24"/>
          <w:highlight w:val="none"/>
        </w:rPr>
        <w:t>（6）与其他参加本次磋商供应商的磋商响应文件的文字表述内容相同连续20行以上或者差错相同2处以上的；</w:t>
      </w:r>
    </w:p>
    <w:p w14:paraId="2B4F871B">
      <w:pPr>
        <w:spacing w:line="430" w:lineRule="exact"/>
        <w:rPr>
          <w:rFonts w:ascii="宋体" w:hAnsi="宋体" w:cs="宋体"/>
          <w:color w:val="auto"/>
          <w:sz w:val="24"/>
          <w:highlight w:val="none"/>
        </w:rPr>
      </w:pPr>
      <w:r>
        <w:rPr>
          <w:rFonts w:hint="eastAsia" w:ascii="宋体" w:hAnsi="宋体" w:cs="宋体"/>
          <w:color w:val="auto"/>
          <w:sz w:val="24"/>
          <w:highlight w:val="none"/>
        </w:rPr>
        <w:t>（7）在资信及商务标、技术标内出现商务报价；</w:t>
      </w:r>
    </w:p>
    <w:p w14:paraId="64F7363A">
      <w:pPr>
        <w:spacing w:line="430" w:lineRule="exact"/>
        <w:rPr>
          <w:rFonts w:ascii="宋体" w:hAnsi="宋体" w:cs="宋体"/>
          <w:color w:val="auto"/>
          <w:sz w:val="24"/>
          <w:highlight w:val="none"/>
        </w:rPr>
      </w:pPr>
      <w:r>
        <w:rPr>
          <w:rFonts w:hint="eastAsia" w:ascii="宋体" w:hAnsi="宋体" w:cs="宋体"/>
          <w:color w:val="auto"/>
          <w:sz w:val="24"/>
          <w:highlight w:val="none"/>
        </w:rPr>
        <w:t>（8）磋商文件规定的其它磋商无效的情况；</w:t>
      </w:r>
    </w:p>
    <w:p w14:paraId="51268454">
      <w:pPr>
        <w:spacing w:line="430" w:lineRule="exact"/>
        <w:rPr>
          <w:rFonts w:ascii="宋体" w:hAnsi="宋体" w:cs="宋体"/>
          <w:color w:val="auto"/>
          <w:sz w:val="24"/>
          <w:highlight w:val="none"/>
        </w:rPr>
      </w:pPr>
      <w:r>
        <w:rPr>
          <w:rFonts w:hint="eastAsia" w:ascii="宋体" w:hAnsi="宋体" w:cs="宋体"/>
          <w:color w:val="auto"/>
          <w:sz w:val="24"/>
          <w:highlight w:val="none"/>
        </w:rPr>
        <w:t>（9）法律、法规规定的其它磋商无效情况。</w:t>
      </w:r>
    </w:p>
    <w:p w14:paraId="55D0C7C3">
      <w:pPr>
        <w:spacing w:line="430" w:lineRule="exact"/>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3.在报价评审时，如发现下列情形之一的，磋商响应文件将被视为无效：</w:t>
      </w:r>
    </w:p>
    <w:p w14:paraId="65D95FB9">
      <w:pPr>
        <w:spacing w:line="430" w:lineRule="exact"/>
        <w:rPr>
          <w:rFonts w:ascii="宋体" w:hAnsi="宋体" w:cs="宋体"/>
          <w:color w:val="auto"/>
          <w:sz w:val="24"/>
          <w:highlight w:val="none"/>
        </w:rPr>
      </w:pPr>
      <w:r>
        <w:rPr>
          <w:rFonts w:hint="eastAsia" w:ascii="宋体" w:hAnsi="宋体" w:cs="宋体"/>
          <w:color w:val="auto"/>
          <w:sz w:val="24"/>
          <w:highlight w:val="none"/>
        </w:rPr>
        <w:t>（1）供应商未在规定的时间内对电子询标函进行澄清回复、拒绝澄清回复或者澄清回复的内容改变了磋商响应文件的实质性内容的；</w:t>
      </w:r>
    </w:p>
    <w:p w14:paraId="18B61795">
      <w:pPr>
        <w:spacing w:line="430" w:lineRule="exact"/>
        <w:rPr>
          <w:rFonts w:ascii="宋体" w:hAnsi="宋体" w:cs="宋体"/>
          <w:color w:val="auto"/>
          <w:sz w:val="24"/>
          <w:highlight w:val="none"/>
        </w:rPr>
      </w:pPr>
      <w:r>
        <w:rPr>
          <w:rFonts w:hint="eastAsia" w:ascii="宋体" w:hAnsi="宋体" w:cs="宋体"/>
          <w:color w:val="auto"/>
          <w:sz w:val="24"/>
          <w:highlight w:val="none"/>
        </w:rPr>
        <w:t>（2）未采用人民币报价或者未按照磋商文件标明的币种报价的；</w:t>
      </w:r>
    </w:p>
    <w:p w14:paraId="2FAF8D16">
      <w:pPr>
        <w:spacing w:line="430" w:lineRule="exact"/>
        <w:rPr>
          <w:rFonts w:ascii="宋体" w:hAnsi="宋体" w:cs="宋体"/>
          <w:color w:val="auto"/>
          <w:sz w:val="24"/>
          <w:highlight w:val="none"/>
        </w:rPr>
      </w:pPr>
      <w:r>
        <w:rPr>
          <w:rFonts w:hint="eastAsia" w:ascii="宋体" w:hAnsi="宋体" w:cs="宋体"/>
          <w:color w:val="auto"/>
          <w:sz w:val="24"/>
          <w:highlight w:val="none"/>
        </w:rPr>
        <w:t>（3）磋商报价具有选择性的，或者开标价格与磋商响应文件承诺的优惠（折扣）价格不一致的；</w:t>
      </w:r>
    </w:p>
    <w:p w14:paraId="05CD7DA2">
      <w:pPr>
        <w:spacing w:line="430" w:lineRule="exact"/>
        <w:rPr>
          <w:rFonts w:ascii="宋体" w:hAnsi="宋体" w:cs="宋体"/>
          <w:color w:val="auto"/>
          <w:sz w:val="24"/>
          <w:highlight w:val="none"/>
        </w:rPr>
      </w:pPr>
      <w:r>
        <w:rPr>
          <w:rFonts w:hint="eastAsia" w:ascii="宋体" w:hAnsi="宋体" w:cs="宋体"/>
          <w:color w:val="auto"/>
          <w:sz w:val="24"/>
          <w:highlight w:val="none"/>
        </w:rPr>
        <w:t>（4）报价超出用户设定的最高限价或预算金额的；</w:t>
      </w:r>
    </w:p>
    <w:p w14:paraId="7FCCA80B">
      <w:pPr>
        <w:spacing w:line="430" w:lineRule="exact"/>
        <w:rPr>
          <w:rFonts w:ascii="宋体" w:hAnsi="宋体" w:cs="宋体"/>
          <w:color w:val="auto"/>
          <w:sz w:val="24"/>
          <w:highlight w:val="none"/>
        </w:rPr>
      </w:pPr>
      <w:r>
        <w:rPr>
          <w:rFonts w:hint="eastAsia" w:ascii="宋体" w:hAnsi="宋体" w:cs="宋体"/>
          <w:color w:val="auto"/>
          <w:sz w:val="24"/>
          <w:highlight w:val="none"/>
        </w:rPr>
        <w:t>（5）磋商文件规定的其它磋商无效的情况；</w:t>
      </w:r>
    </w:p>
    <w:p w14:paraId="2B0D240F">
      <w:pPr>
        <w:spacing w:line="430" w:lineRule="exact"/>
        <w:rPr>
          <w:rFonts w:ascii="宋体" w:hAnsi="宋体" w:cs="宋体"/>
          <w:color w:val="auto"/>
          <w:sz w:val="24"/>
          <w:highlight w:val="none"/>
        </w:rPr>
      </w:pPr>
      <w:r>
        <w:rPr>
          <w:rFonts w:hint="eastAsia" w:ascii="宋体" w:hAnsi="宋体" w:cs="宋体"/>
          <w:color w:val="auto"/>
          <w:sz w:val="24"/>
          <w:highlight w:val="none"/>
        </w:rPr>
        <w:t>（6）法律、法规规定的其它磋商无效情况。</w:t>
      </w:r>
    </w:p>
    <w:p w14:paraId="39D714B4">
      <w:pPr>
        <w:spacing w:line="430" w:lineRule="exact"/>
        <w:rPr>
          <w:rFonts w:hint="eastAsia" w:ascii="宋体" w:hAnsi="宋体" w:eastAsia="宋体" w:cs="宋体"/>
          <w:b/>
          <w:color w:val="auto"/>
          <w:sz w:val="24"/>
          <w:highlight w:val="none"/>
        </w:rPr>
      </w:pPr>
      <w:bookmarkStart w:id="18" w:name="_Toc458697270"/>
      <w:bookmarkStart w:id="19" w:name="_Toc3935"/>
      <w:r>
        <w:rPr>
          <w:rFonts w:hint="eastAsia" w:ascii="宋体" w:hAnsi="宋体" w:eastAsia="宋体" w:cs="宋体"/>
          <w:b/>
          <w:color w:val="auto"/>
          <w:sz w:val="24"/>
          <w:highlight w:val="none"/>
        </w:rPr>
        <w:t>4.</w:t>
      </w:r>
      <w:r>
        <w:rPr>
          <w:rFonts w:hint="eastAsia" w:ascii="宋体" w:hAnsi="宋体" w:cs="宋体"/>
          <w:b/>
          <w:color w:val="auto"/>
          <w:sz w:val="24"/>
          <w:highlight w:val="none"/>
        </w:rPr>
        <w:t>被拒绝的磋商响应文件为无效</w:t>
      </w:r>
    </w:p>
    <w:p w14:paraId="5FA087EF">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根据有关法律、法规规定为无效、废标的，按法律、法规规定执行。</w:t>
      </w:r>
    </w:p>
    <w:p w14:paraId="53912E75">
      <w:pPr>
        <w:pStyle w:val="3"/>
        <w:keepNext w:val="0"/>
        <w:keepLines w:val="0"/>
        <w:pageBreakBefore/>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w:t>
      </w:r>
      <w:bookmarkEnd w:id="18"/>
      <w:bookmarkEnd w:id="19"/>
    </w:p>
    <w:p w14:paraId="0588A0C4">
      <w:pPr>
        <w:spacing w:line="360" w:lineRule="auto"/>
        <w:rPr>
          <w:rFonts w:ascii="宋体" w:hAnsi="宋体" w:cs="宋体"/>
          <w:b/>
          <w:color w:val="auto"/>
          <w:sz w:val="24"/>
          <w:highlight w:val="none"/>
        </w:rPr>
      </w:pPr>
      <w:bookmarkStart w:id="20" w:name="_Toc458697271"/>
      <w:r>
        <w:rPr>
          <w:rFonts w:hint="eastAsia" w:ascii="宋体" w:hAnsi="宋体" w:cs="宋体"/>
          <w:b/>
          <w:color w:val="auto"/>
          <w:sz w:val="24"/>
          <w:highlight w:val="none"/>
        </w:rPr>
        <w:t xml:space="preserve">（一）开标准备   </w:t>
      </w:r>
    </w:p>
    <w:p w14:paraId="3F0ACD7C">
      <w:pPr>
        <w:spacing w:line="360" w:lineRule="auto"/>
        <w:ind w:firstLine="600" w:firstLineChars="250"/>
        <w:rPr>
          <w:rFonts w:hint="eastAsia" w:ascii="宋体" w:hAnsi="宋体" w:cs="宋体"/>
          <w:bCs/>
          <w:color w:val="auto"/>
          <w:sz w:val="24"/>
          <w:szCs w:val="24"/>
          <w:highlight w:val="none"/>
        </w:rPr>
      </w:pPr>
      <w:r>
        <w:rPr>
          <w:rFonts w:hint="eastAsia" w:ascii="宋体" w:hAnsi="宋体" w:cs="宋体"/>
          <w:bCs/>
          <w:color w:val="auto"/>
          <w:sz w:val="24"/>
          <w:highlight w:val="none"/>
        </w:rPr>
        <w:t>采购代理机构将在规定的时间和地点进行电子开标，供应商的法定代表人或其委托代理人【委托代理人应当是供应商的在职正式职工（以供应商本单位缴纳社保花名册为准）】应做好磋商准备，准时在线参加电子开标会议，随时关注磋商进度。</w:t>
      </w:r>
      <w:r>
        <w:rPr>
          <w:rFonts w:hint="eastAsia" w:ascii="宋体" w:hAnsi="宋体" w:cs="宋体"/>
          <w:bCs/>
          <w:color w:val="auto"/>
          <w:sz w:val="24"/>
          <w:szCs w:val="24"/>
          <w:highlight w:val="none"/>
        </w:rPr>
        <w:t>如在开标过程中有电子询标，应在规定的时间内对电子询标函进行澄清、答复。超过规定时间的询标函将不予接受，评标为委员会可以作出不利于被询标人的决定。评标委员会只对响应文件内容进行询问，以响应文件的内容作为评审依据，不接受外部补充证据，评标委员会认为供应商不符合磋商文件实质性要求明确时，可不经过询标而直接予以无效标认定，但代理机构应将无效标原因当场告知供应商。</w:t>
      </w:r>
    </w:p>
    <w:p w14:paraId="5B4720BE">
      <w:pPr>
        <w:spacing w:line="360" w:lineRule="auto"/>
        <w:ind w:firstLine="600" w:firstLineChars="25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供应商未按采购文件要求派代表参加电子开标会议的，视同认可开标结果，不得对开标过程及开标结果提出质疑。</w:t>
      </w:r>
    </w:p>
    <w:p w14:paraId="2425D9FD">
      <w:pPr>
        <w:spacing w:line="360" w:lineRule="auto"/>
        <w:rPr>
          <w:rFonts w:ascii="宋体" w:hAnsi="宋体" w:cs="宋体"/>
          <w:b/>
          <w:color w:val="auto"/>
          <w:sz w:val="24"/>
          <w:highlight w:val="none"/>
        </w:rPr>
      </w:pPr>
      <w:r>
        <w:rPr>
          <w:rFonts w:hint="eastAsia" w:ascii="宋体" w:hAnsi="宋体" w:cs="宋体"/>
          <w:b/>
          <w:color w:val="auto"/>
          <w:sz w:val="24"/>
          <w:highlight w:val="none"/>
        </w:rPr>
        <w:t>（二）电子磋商开标程序</w:t>
      </w:r>
    </w:p>
    <w:p w14:paraId="3F50933E">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193A7950">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2.主持人宣布会议纪律及磋商期间的有关事项；告知应当回避的情形,提请有关人员回避；</w:t>
      </w:r>
    </w:p>
    <w:p w14:paraId="37C2778A">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1EAECBE2">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3.1在开标时间截止后30分钟内由各供应商自行对磋商响应文件进行解密；</w:t>
      </w:r>
    </w:p>
    <w:p w14:paraId="22D37A3E">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w:t>
      </w:r>
    </w:p>
    <w:p w14:paraId="19D52F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通过资格审查的供应商进行在线磋商；</w:t>
      </w:r>
    </w:p>
    <w:p w14:paraId="4CAE8F69">
      <w:pPr>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供应商提交最终报价；</w:t>
      </w:r>
    </w:p>
    <w:p w14:paraId="58077401">
      <w:pPr>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5专家对</w:t>
      </w:r>
      <w:r>
        <w:rPr>
          <w:rFonts w:hint="eastAsia" w:ascii="宋体" w:hAnsi="宋体" w:cs="宋体"/>
          <w:color w:val="auto"/>
          <w:sz w:val="24"/>
          <w:highlight w:val="none"/>
        </w:rPr>
        <w:t>商务技术响应文件进行评审</w:t>
      </w:r>
      <w:r>
        <w:rPr>
          <w:rFonts w:hint="eastAsia" w:ascii="宋体" w:hAnsi="宋体" w:cs="宋体"/>
          <w:color w:val="auto"/>
          <w:sz w:val="24"/>
          <w:highlight w:val="none"/>
          <w:lang w:eastAsia="zh-CN"/>
        </w:rPr>
        <w:t>，</w:t>
      </w:r>
      <w:r>
        <w:rPr>
          <w:rFonts w:hint="eastAsia" w:ascii="宋体" w:hAnsi="宋体" w:cs="宋体"/>
          <w:color w:val="auto"/>
          <w:sz w:val="24"/>
          <w:highlight w:val="none"/>
        </w:rPr>
        <w:t>系统对各供应商的商务技术进行汇总；</w:t>
      </w:r>
    </w:p>
    <w:p w14:paraId="1807BA24">
      <w:pPr>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在系统上公布评审结果。</w:t>
      </w:r>
    </w:p>
    <w:p w14:paraId="010FB553">
      <w:pPr>
        <w:spacing w:line="360" w:lineRule="auto"/>
        <w:ind w:firstLine="600" w:firstLineChars="250"/>
        <w:rPr>
          <w:rFonts w:hint="eastAsia" w:ascii="宋体" w:hAnsi="宋体" w:cs="宋体"/>
          <w:bCs/>
          <w:strike/>
          <w:dstrike w:val="0"/>
          <w:color w:val="auto"/>
          <w:sz w:val="24"/>
          <w:szCs w:val="24"/>
          <w:highlight w:val="none"/>
        </w:rPr>
      </w:pPr>
      <w:r>
        <w:rPr>
          <w:rFonts w:hint="eastAsia" w:ascii="宋体" w:hAnsi="宋体" w:cs="宋体"/>
          <w:bCs/>
          <w:color w:val="auto"/>
          <w:sz w:val="24"/>
          <w:szCs w:val="24"/>
          <w:highlight w:val="none"/>
        </w:rPr>
        <w:t>特别说明：政采云公司如对电子化开标及评审程序有调整的，按调整后的程序操作。</w:t>
      </w:r>
    </w:p>
    <w:p w14:paraId="30BCDC82">
      <w:pPr>
        <w:spacing w:line="360" w:lineRule="auto"/>
        <w:rPr>
          <w:rFonts w:ascii="宋体" w:hAnsi="宋体" w:cs="宋体"/>
          <w:color w:val="auto"/>
          <w:sz w:val="24"/>
          <w:highlight w:val="none"/>
        </w:rPr>
      </w:pPr>
      <w:r>
        <w:rPr>
          <w:rFonts w:hint="eastAsia" w:ascii="宋体" w:hAnsi="宋体" w:cs="宋体"/>
          <w:color w:val="auto"/>
          <w:sz w:val="24"/>
          <w:highlight w:val="none"/>
        </w:rPr>
        <w:t>4、本项目采用政采云电子磋商开标及评审程序，磋商时出现电子磋商响应文件无法解密或解密失败等情况时，采购代理机构可上传供应商的电子备份磋商响应文件继续评审。</w:t>
      </w:r>
    </w:p>
    <w:p w14:paraId="52CE056F">
      <w:pPr>
        <w:pStyle w:val="3"/>
        <w:keepNext w:val="0"/>
        <w:keepLines w:val="0"/>
        <w:pageBreakBefore/>
        <w:spacing w:line="360" w:lineRule="auto"/>
        <w:jc w:val="center"/>
        <w:rPr>
          <w:rFonts w:ascii="宋体" w:hAnsi="宋体" w:eastAsia="宋体" w:cs="宋体"/>
          <w:color w:val="auto"/>
          <w:sz w:val="24"/>
          <w:szCs w:val="24"/>
          <w:highlight w:val="none"/>
        </w:rPr>
      </w:pPr>
      <w:bookmarkStart w:id="21" w:name="_Toc11220"/>
      <w:r>
        <w:rPr>
          <w:rFonts w:hint="eastAsia" w:ascii="宋体" w:hAnsi="宋体" w:eastAsia="宋体" w:cs="宋体"/>
          <w:color w:val="auto"/>
          <w:sz w:val="24"/>
          <w:szCs w:val="24"/>
          <w:highlight w:val="none"/>
        </w:rPr>
        <w:t>五、</w:t>
      </w:r>
      <w:bookmarkEnd w:id="20"/>
      <w:r>
        <w:rPr>
          <w:rFonts w:hint="eastAsia" w:ascii="宋体" w:hAnsi="宋体" w:eastAsia="宋体" w:cs="宋体"/>
          <w:color w:val="auto"/>
          <w:sz w:val="24"/>
          <w:szCs w:val="24"/>
          <w:highlight w:val="none"/>
        </w:rPr>
        <w:t>磋商</w:t>
      </w:r>
      <w:bookmarkEnd w:id="21"/>
    </w:p>
    <w:p w14:paraId="50CF6EEE">
      <w:pPr>
        <w:spacing w:line="360" w:lineRule="auto"/>
        <w:rPr>
          <w:rFonts w:ascii="宋体" w:hAnsi="宋体" w:cs="宋体"/>
          <w:b/>
          <w:color w:val="auto"/>
          <w:sz w:val="24"/>
          <w:highlight w:val="none"/>
        </w:rPr>
      </w:pPr>
      <w:r>
        <w:rPr>
          <w:rFonts w:hint="eastAsia" w:ascii="宋体" w:hAnsi="宋体" w:cs="宋体"/>
          <w:b/>
          <w:color w:val="auto"/>
          <w:sz w:val="24"/>
          <w:highlight w:val="none"/>
        </w:rPr>
        <w:t>（一）组建磋商小组</w:t>
      </w:r>
    </w:p>
    <w:p w14:paraId="4DEF1D6E">
      <w:pPr>
        <w:spacing w:line="360" w:lineRule="auto"/>
        <w:rPr>
          <w:rFonts w:ascii="宋体" w:hAnsi="宋体" w:cs="宋体"/>
          <w:color w:val="auto"/>
          <w:sz w:val="24"/>
          <w:highlight w:val="none"/>
        </w:rPr>
      </w:pPr>
      <w:r>
        <w:rPr>
          <w:rFonts w:hint="eastAsia" w:ascii="宋体" w:hAnsi="宋体" w:cs="宋体"/>
          <w:color w:val="auto"/>
          <w:sz w:val="24"/>
          <w:highlight w:val="none"/>
        </w:rPr>
        <w:t>本项目磋商小组由政府采购评审专家</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人和采购人代表</w:t>
      </w:r>
      <w:r>
        <w:rPr>
          <w:rFonts w:hint="eastAsia" w:ascii="宋体" w:hAnsi="宋体" w:cs="宋体"/>
          <w:color w:val="auto"/>
          <w:sz w:val="24"/>
          <w:highlight w:val="none"/>
          <w:u w:val="none"/>
          <w:lang w:val="en-US" w:eastAsia="zh-CN"/>
        </w:rPr>
        <w:t>1</w:t>
      </w:r>
      <w:r>
        <w:rPr>
          <w:rFonts w:hint="eastAsia" w:ascii="宋体" w:hAnsi="宋体" w:cs="宋体"/>
          <w:color w:val="auto"/>
          <w:sz w:val="24"/>
          <w:highlight w:val="none"/>
        </w:rPr>
        <w:t>人,共</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rPr>
        <w:t>人组成。（允许采购人不推荐采购人代表参加，如采购人不推荐采购人代表参加评审时，磋商小组（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人）都从评标专家库中抽取）。</w:t>
      </w:r>
    </w:p>
    <w:p w14:paraId="39D2191D">
      <w:pPr>
        <w:spacing w:line="360" w:lineRule="auto"/>
        <w:rPr>
          <w:rFonts w:ascii="宋体" w:hAnsi="宋体" w:cs="宋体"/>
          <w:b/>
          <w:color w:val="auto"/>
          <w:sz w:val="24"/>
          <w:highlight w:val="none"/>
        </w:rPr>
      </w:pPr>
      <w:r>
        <w:rPr>
          <w:rFonts w:hint="eastAsia" w:ascii="宋体" w:hAnsi="宋体" w:cs="宋体"/>
          <w:b/>
          <w:color w:val="auto"/>
          <w:sz w:val="24"/>
          <w:highlight w:val="none"/>
        </w:rPr>
        <w:t>（二）磋商的方式</w:t>
      </w:r>
    </w:p>
    <w:p w14:paraId="4495D65F">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本项目采用不公开方式磋商，磋商的依据为磋商文件和磋商响应文件。</w:t>
      </w:r>
    </w:p>
    <w:p w14:paraId="57767262">
      <w:pPr>
        <w:spacing w:line="360" w:lineRule="auto"/>
        <w:rPr>
          <w:rFonts w:ascii="宋体" w:hAnsi="宋体" w:cs="宋体"/>
          <w:b/>
          <w:color w:val="auto"/>
          <w:sz w:val="24"/>
          <w:highlight w:val="none"/>
        </w:rPr>
      </w:pPr>
      <w:r>
        <w:rPr>
          <w:rFonts w:hint="eastAsia" w:ascii="宋体" w:hAnsi="宋体" w:cs="宋体"/>
          <w:b/>
          <w:color w:val="auto"/>
          <w:sz w:val="24"/>
          <w:highlight w:val="none"/>
        </w:rPr>
        <w:t>（三）磋商程序</w:t>
      </w:r>
    </w:p>
    <w:p w14:paraId="4A99126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593F3A7E">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招标方工作人员协助磋商小组对供应商的商务技术文件、报价文件的完整性、合法性等进行审查。</w:t>
      </w:r>
    </w:p>
    <w:p w14:paraId="0926143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683AD7B2">
      <w:pPr>
        <w:spacing w:line="360" w:lineRule="auto"/>
        <w:rPr>
          <w:rFonts w:ascii="宋体" w:hAnsi="宋体" w:cs="宋体"/>
          <w:color w:val="auto"/>
          <w:sz w:val="24"/>
          <w:highlight w:val="none"/>
        </w:rPr>
      </w:pPr>
      <w:r>
        <w:rPr>
          <w:rFonts w:hint="eastAsia" w:ascii="宋体" w:hAnsi="宋体" w:cs="宋体"/>
          <w:color w:val="auto"/>
          <w:sz w:val="24"/>
          <w:highlight w:val="none"/>
        </w:rPr>
        <w:t>（1）磋商小组审查磋商响应文件的实质性内容是否符合磋商文件的实质性要求。</w:t>
      </w:r>
    </w:p>
    <w:p w14:paraId="795006A2">
      <w:pPr>
        <w:spacing w:line="360" w:lineRule="auto"/>
        <w:rPr>
          <w:rFonts w:ascii="宋体" w:hAnsi="宋体" w:cs="宋体"/>
          <w:color w:val="auto"/>
          <w:sz w:val="24"/>
          <w:highlight w:val="none"/>
        </w:rPr>
      </w:pPr>
      <w:r>
        <w:rPr>
          <w:rFonts w:hint="eastAsia" w:ascii="宋体" w:hAnsi="宋体" w:cs="宋体"/>
          <w:color w:val="auto"/>
          <w:sz w:val="24"/>
          <w:highlight w:val="none"/>
        </w:rPr>
        <w:t>（2）磋商小组将对供应商的磋商响应文件进行审查、核对,如有疑问,将对供应商进行电子询标,供应商须在规定的时间内向磋商小组澄清有关问题,并在政采云上进行询标答复。</w:t>
      </w:r>
    </w:p>
    <w:p w14:paraId="3969D4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供应商代表未在规定的时间内进行澄清、拒绝澄清或者澄清的内容改变了磋商响应文件的实质性内容的，磋商小组有权对该磋商响应文件作出不利于供应商的评判。</w:t>
      </w:r>
    </w:p>
    <w:p w14:paraId="796B3C01">
      <w:pPr>
        <w:spacing w:line="360" w:lineRule="auto"/>
        <w:rPr>
          <w:rFonts w:ascii="宋体" w:hAnsi="宋体" w:cs="宋体"/>
          <w:color w:val="auto"/>
          <w:sz w:val="24"/>
          <w:highlight w:val="none"/>
        </w:rPr>
      </w:pPr>
      <w:r>
        <w:rPr>
          <w:rFonts w:hint="eastAsia" w:ascii="宋体" w:hAnsi="宋体" w:cs="宋体"/>
          <w:color w:val="auto"/>
          <w:sz w:val="24"/>
          <w:highlight w:val="none"/>
        </w:rPr>
        <w:t>（3）各供应商的技术得分为所有评委的有效评分的算术平均数，由指定专人进行计算复核。</w:t>
      </w:r>
    </w:p>
    <w:p w14:paraId="0A17BC16">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（4）招标方工作人员协助磋商小组审核商务报价有无计算错误，并根据本项目的评分标准计算各供应商的商务报价得分。</w:t>
      </w:r>
    </w:p>
    <w:p w14:paraId="234F5CC3">
      <w:pPr>
        <w:spacing w:line="360" w:lineRule="auto"/>
        <w:rPr>
          <w:rFonts w:ascii="宋体" w:hAnsi="宋体" w:cs="宋体"/>
          <w:color w:val="auto"/>
          <w:sz w:val="24"/>
          <w:highlight w:val="none"/>
        </w:rPr>
      </w:pPr>
      <w:r>
        <w:rPr>
          <w:rFonts w:hint="eastAsia" w:ascii="宋体" w:hAnsi="宋体" w:cs="宋体"/>
          <w:color w:val="auto"/>
          <w:sz w:val="24"/>
          <w:highlight w:val="none"/>
        </w:rPr>
        <w:t>（5）磋商小组完成磋商后,招标方工作人员对系统中的得分汇总进行复核,计算出本项目最终得分，磋商小组按磋商原则推荐中标候选人并起草磋商报告。</w:t>
      </w:r>
    </w:p>
    <w:p w14:paraId="59489D37">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60194993">
      <w:pPr>
        <w:spacing w:line="360" w:lineRule="auto"/>
        <w:rPr>
          <w:rFonts w:ascii="宋体" w:hAnsi="宋体" w:cs="宋体"/>
          <w:color w:val="auto"/>
          <w:sz w:val="24"/>
          <w:highlight w:val="none"/>
        </w:rPr>
      </w:pPr>
      <w:r>
        <w:rPr>
          <w:rFonts w:hint="eastAsia" w:ascii="宋体" w:hAnsi="宋体" w:cs="宋体"/>
          <w:color w:val="auto"/>
          <w:sz w:val="24"/>
          <w:highlight w:val="none"/>
        </w:rPr>
        <w:t>对磋商响应文件中含义不明确、同类问题表述不一致或者有明显文字和计算错误的内容，磋商小组可要求供应商作出必要的澄清、说明或者纠正，供应商应在询标规定时间内进行澄清或说明（需盖CA电子签章或实体公章），并不得超出磋商响应文件的范围或者改变磋商响应文件的实质性内容。</w:t>
      </w:r>
    </w:p>
    <w:p w14:paraId="69C89E5A">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294FFE7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磋商响应文件如果出现计算或表达上的错误，修正错误的原则如下：</w:t>
      </w:r>
    </w:p>
    <w:p w14:paraId="23C0E52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 磋商响应文件中开标一览表（报价表）内容与与磋商响应文件中相应内容不一致的，以开标一览表（报价表）为准；</w:t>
      </w:r>
    </w:p>
    <w:p w14:paraId="4F33DF7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6946C206">
      <w:pPr>
        <w:spacing w:line="360" w:lineRule="auto"/>
        <w:ind w:left="359" w:leftChars="171"/>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3.单价金额小数点或者百分比有明显错位的，以开标一览表的总价为准，并修改单价；4.总价金额与按单价汇总金额不一致的，以单价金额计算结果为准；</w:t>
      </w:r>
    </w:p>
    <w:p w14:paraId="00E49EF7">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5.政采云系统磋商报价与磋商响应文件中开标一览表（报价表）相应内容不一致的，以开标一览表（报价表）为准。</w:t>
      </w:r>
    </w:p>
    <w:p w14:paraId="217E8F9A">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6.对不同文字文本磋商响应文件的解释发生异议的，以中文文本为准。</w:t>
      </w:r>
    </w:p>
    <w:p w14:paraId="7A8A329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供应商的澄清、说明或者补正应当采用书面形式，并加盖公章，或者由法定代表人或其授权的代表签字。供应商的澄清、说明或者补正不得超出磋商响应文件的范围或者改变磋商响应文件的实质性内容的规定经供应商确认后产生约束力，供应商不确认的，其磋商无效。</w:t>
      </w:r>
    </w:p>
    <w:p w14:paraId="03D8E1DE">
      <w:pPr>
        <w:spacing w:line="360" w:lineRule="auto"/>
        <w:rPr>
          <w:rFonts w:ascii="宋体" w:hAnsi="宋体" w:cs="宋体"/>
          <w:b/>
          <w:bCs/>
          <w:color w:val="auto"/>
          <w:sz w:val="24"/>
          <w:highlight w:val="none"/>
        </w:rPr>
      </w:pPr>
      <w:r>
        <w:rPr>
          <w:rFonts w:hint="eastAsia" w:ascii="宋体" w:hAnsi="宋体" w:cs="宋体"/>
          <w:b/>
          <w:color w:val="auto"/>
          <w:sz w:val="24"/>
          <w:highlight w:val="none"/>
        </w:rPr>
        <w:t>（六）磋商原则和磋商办法</w:t>
      </w:r>
    </w:p>
    <w:p w14:paraId="2C18D45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1.磋商小组必须公平、公正评审，遵纪守法，客观、廉洁地履行职责。</w:t>
      </w:r>
    </w:p>
    <w:p w14:paraId="4B21BB9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2.磋商小组在评审开始前，应关闭并上交随身携带的各种通信工具。</w:t>
      </w:r>
    </w:p>
    <w:p w14:paraId="7125956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3.磋商小组在评审过程中，未经许可不得中途离开评审现场，不得迟到早退。</w:t>
      </w:r>
    </w:p>
    <w:p w14:paraId="2861C5F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4.磋商小组和工作人员不得透露评审过程中的讨论情况和评审结果。</w:t>
      </w:r>
    </w:p>
    <w:p w14:paraId="7A7F7EE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评审时，磋商小组须按竞争性磋商文件规定的程序、条件和标准，对供应商投标文件的合规性、完整性和有效性进行审查、比较和评估，其中对供应商的资格条件、主要技术参数、商务报价和其他评审要素等，磋商小组应逐项进行审查、比较，不得漏评少评。如发现与竞争性磋商文件要求相偏离的，应对其偏离情形进行必要的核实，并在工作底稿中予以说明；如属于实质性偏离或符合无效投标文件的，可询问供应商，并允许供应商进行陈述申辩，但不允许其对偏离条款进行补充、修正或撤回。</w:t>
      </w:r>
    </w:p>
    <w:p w14:paraId="22E0DED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6.采购人、采购代理机构不得向评审委员会的磋商小组作倾向性、误导性的解释或者说明。</w:t>
      </w:r>
    </w:p>
    <w:p w14:paraId="0729F3F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采购代理机构应当为磋商小组提供必要的评审条件和相应的评审工作底稿，并严格按规定程序组织磋商小组有步骤地进行项目评审，对各磋商小组的评审情况和评审意见进行合理性和合规性审查，对明显畸高、畸低的重大差异评审情况（其总评分偏离平均分30%以上），提醒相关磋商小组进行复核或书面说明理由。</w:t>
      </w:r>
    </w:p>
    <w:p w14:paraId="60241B3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8.磋商小组在评审过程中不得将自己的观点强加给其他磋商小组，磋商小组应自主发表见解，对评审意见承担个人责任。</w:t>
      </w:r>
    </w:p>
    <w:p w14:paraId="2DD7B13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竞争性磋商文件的评审办法和细则的规定推荐中标候选人，说明推荐理由，并重点对中标候选人的技术、服务和价格等情况进行评价和比较。如排名第一的供应商报价为最高报价的，评审报告中须对其报价的合理性等进行分析和特别说明。</w:t>
      </w:r>
    </w:p>
    <w:p w14:paraId="738CCEE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10.磋商小组应当独立、客观、公正地提出评审意见，不得带有倾向性，不得影响其他磋商小组评审，并在评审报告上签字；如对评审报告有异议的，可在报告上签署不同意见，并说明理由，否则将视为同意。</w:t>
      </w:r>
    </w:p>
    <w:p w14:paraId="08BA4EB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11.磋商小组应当遵守评审工作纪律，不得泄露评审文件、评审情况和评审中获悉的商业秘密。</w:t>
      </w:r>
    </w:p>
    <w:p w14:paraId="75A4D9D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评审委员会在评审过程中发现供应商有行贿、提供虚假材料或者串通等违法行为的，应当及时向财政部门报告。</w:t>
      </w:r>
    </w:p>
    <w:p w14:paraId="50FF70D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12.竞争性磋商文件内容违反国家有关强制性规定的，评审委员会应当停止评审并向采购代理机构说明情况。</w:t>
      </w:r>
    </w:p>
    <w:p w14:paraId="66DA518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13.磋商小组应当配合采购代理机构答复供应商提出的质疑。</w:t>
      </w:r>
    </w:p>
    <w:p w14:paraId="576243D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14.磋商小组应当配合财政部门的投诉处理工作。</w:t>
      </w:r>
    </w:p>
    <w:p w14:paraId="77C779A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15.磋商小组有如下行为之一的，责令改正，给予警告，可以并处一千元以下的罚款：</w:t>
      </w:r>
    </w:p>
    <w:p w14:paraId="20D034E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05CC8E1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②在得知自己为磋商小组身份后至评审结束前时段内私下接触供应商的；</w:t>
      </w:r>
    </w:p>
    <w:p w14:paraId="0D48D38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323390F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3D6B78A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⑤未按竞争性磋商文件规定的评审方法和标准进行评审的。</w:t>
      </w:r>
    </w:p>
    <w:p w14:paraId="2AD8A1B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422DC7C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16.政府采购磋商小组未按照竞争性磋商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37ADD1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政府采购磋商小组与供应商存在利害关系未回避的，处2万元以上5万元以下的罚款，禁止其参加政府采购评审活动。</w:t>
      </w:r>
    </w:p>
    <w:p w14:paraId="6B9187B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政府采购磋商小组收受采购人、采购代理机构、供应商贿赂或者获取其他不正当利益，构成犯罪的，依法追究刑事责任；尚不构成犯罪的，处2万元以上5万元以下的罚款，禁止其参加政府采购评审活动。</w:t>
      </w:r>
    </w:p>
    <w:p w14:paraId="763A0E5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政府采购磋商小组有上述违法行为的，其评审意见无效，不得获取评审费；有违法所得的，没收违法所得；给他人造成损失的，依法承担民事责任。</w:t>
      </w:r>
    </w:p>
    <w:p w14:paraId="11531487">
      <w:pPr>
        <w:spacing w:line="360" w:lineRule="auto"/>
        <w:rPr>
          <w:rFonts w:ascii="宋体" w:hAnsi="宋体" w:cs="宋体"/>
          <w:color w:val="auto"/>
          <w:sz w:val="24"/>
          <w:highlight w:val="none"/>
        </w:rPr>
      </w:pPr>
      <w:r>
        <w:rPr>
          <w:rFonts w:hint="eastAsia" w:ascii="宋体" w:hAnsi="宋体" w:cs="宋体"/>
          <w:color w:val="auto"/>
          <w:sz w:val="24"/>
          <w:highlight w:val="none"/>
        </w:rPr>
        <w:t>17.磋商办法。本项目磋商办法是：综合评分法（其中报价分为两轮），具体磋商内容及评分标准等详见《第四章：磋商办法及评分标准》。</w:t>
      </w:r>
    </w:p>
    <w:p w14:paraId="77FAFD60">
      <w:pPr>
        <w:spacing w:line="360" w:lineRule="auto"/>
        <w:rPr>
          <w:rFonts w:ascii="宋体" w:hAnsi="宋体" w:cs="宋体"/>
          <w:b/>
          <w:color w:val="auto"/>
          <w:sz w:val="24"/>
          <w:highlight w:val="none"/>
        </w:rPr>
      </w:pPr>
      <w:r>
        <w:rPr>
          <w:rFonts w:hint="eastAsia" w:ascii="宋体" w:hAnsi="宋体" w:cs="宋体"/>
          <w:b/>
          <w:color w:val="auto"/>
          <w:sz w:val="24"/>
          <w:highlight w:val="none"/>
        </w:rPr>
        <w:t>（七）</w:t>
      </w:r>
      <w:r>
        <w:rPr>
          <w:rFonts w:hint="eastAsia" w:ascii="宋体" w:hAnsi="宋体" w:cs="宋体"/>
          <w:b/>
          <w:bCs/>
          <w:color w:val="auto"/>
          <w:sz w:val="24"/>
          <w:highlight w:val="none"/>
        </w:rPr>
        <w:t>磋商</w:t>
      </w:r>
      <w:r>
        <w:rPr>
          <w:rFonts w:hint="eastAsia" w:ascii="宋体" w:hAnsi="宋体" w:cs="宋体"/>
          <w:b/>
          <w:color w:val="auto"/>
          <w:sz w:val="24"/>
          <w:highlight w:val="none"/>
        </w:rPr>
        <w:t>过程的监控</w:t>
      </w:r>
    </w:p>
    <w:p w14:paraId="331ECBFD">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本项目磋商过程实行全程录音、录像监控，供应商在磋商过程中所进行的试图影响磋商结果的不公正活动，可能导致其磋商被拒绝。</w:t>
      </w:r>
    </w:p>
    <w:p w14:paraId="59A8ABF8">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0A13BC4A">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20EF0381">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11EDC514">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341AA085">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6C89C3CD">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545E9C87">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59F794E3">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1F75A786">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6、投标截止时间后及评审过程中，有效供应商不足</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家的项目，则予以废标。</w:t>
      </w:r>
    </w:p>
    <w:p w14:paraId="64CFA8CA">
      <w:pPr>
        <w:pStyle w:val="3"/>
        <w:keepNext w:val="0"/>
        <w:keepLines w:val="0"/>
        <w:pageBreakBefore/>
        <w:spacing w:line="360" w:lineRule="auto"/>
        <w:jc w:val="center"/>
        <w:rPr>
          <w:rFonts w:ascii="宋体" w:hAnsi="宋体" w:eastAsia="宋体" w:cs="宋体"/>
          <w:color w:val="auto"/>
          <w:sz w:val="24"/>
          <w:szCs w:val="24"/>
          <w:highlight w:val="none"/>
        </w:rPr>
      </w:pPr>
      <w:bookmarkStart w:id="22" w:name="_Toc9799"/>
      <w:bookmarkStart w:id="23" w:name="_Toc458697272"/>
      <w:r>
        <w:rPr>
          <w:rFonts w:hint="eastAsia" w:ascii="宋体" w:hAnsi="宋体" w:eastAsia="宋体" w:cs="宋体"/>
          <w:color w:val="auto"/>
          <w:sz w:val="24"/>
          <w:szCs w:val="24"/>
          <w:highlight w:val="none"/>
        </w:rPr>
        <w:t>六、定标</w:t>
      </w:r>
      <w:bookmarkEnd w:id="22"/>
      <w:bookmarkEnd w:id="23"/>
    </w:p>
    <w:p w14:paraId="704DCF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（一）确定中标人 </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本项目由采购人授权磋商小组确定中标人。</w:t>
      </w:r>
    </w:p>
    <w:p w14:paraId="53B001AB">
      <w:pPr>
        <w:spacing w:line="360" w:lineRule="auto"/>
        <w:rPr>
          <w:rFonts w:ascii="宋体" w:hAnsi="宋体" w:cs="宋体"/>
          <w:color w:val="auto"/>
          <w:sz w:val="24"/>
          <w:highlight w:val="none"/>
        </w:rPr>
      </w:pPr>
      <w:r>
        <w:rPr>
          <w:rFonts w:hint="eastAsia" w:ascii="宋体" w:hAnsi="宋体" w:cs="宋体"/>
          <w:color w:val="auto"/>
          <w:sz w:val="24"/>
          <w:highlight w:val="none"/>
        </w:rPr>
        <w:t>1.招标方在磋商结束后2个工作日内将磋商报告交采购人确认。</w:t>
      </w:r>
    </w:p>
    <w:p w14:paraId="25A349BF">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2.采购人应在收到磋商报告后5个工作日内对磋商结果进行确认。如有供应商对磋商结果提出质疑的，采购人可在质疑处理完毕后确定中标人。</w:t>
      </w:r>
    </w:p>
    <w:p w14:paraId="33679493">
      <w:pPr>
        <w:spacing w:line="360" w:lineRule="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7CBA3752">
      <w:pPr>
        <w:spacing w:line="360" w:lineRule="auto"/>
        <w:rPr>
          <w:rFonts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确定中标人后，中标人应在三个工作日内，向招标方领取《中标通知书》，否则按放弃中标资格处理，并因违反诚信原则，提交财政部门列入政府采购黑名单。</w:t>
      </w:r>
    </w:p>
    <w:p w14:paraId="055701DC">
      <w:pPr>
        <w:pStyle w:val="3"/>
        <w:keepNext w:val="0"/>
        <w:keepLines w:val="0"/>
        <w:pageBreakBefore/>
        <w:spacing w:line="360" w:lineRule="auto"/>
        <w:jc w:val="center"/>
        <w:rPr>
          <w:rFonts w:ascii="宋体" w:hAnsi="宋体" w:eastAsia="宋体" w:cs="宋体"/>
          <w:color w:val="auto"/>
          <w:sz w:val="24"/>
          <w:szCs w:val="24"/>
          <w:highlight w:val="none"/>
        </w:rPr>
      </w:pPr>
      <w:bookmarkStart w:id="24" w:name="_Toc3947"/>
      <w:bookmarkStart w:id="25" w:name="_Toc458697273"/>
      <w:r>
        <w:rPr>
          <w:rFonts w:hint="eastAsia" w:ascii="宋体" w:hAnsi="宋体" w:eastAsia="宋体" w:cs="宋体"/>
          <w:color w:val="auto"/>
          <w:sz w:val="24"/>
          <w:szCs w:val="24"/>
          <w:highlight w:val="none"/>
        </w:rPr>
        <w:t>七、合同授予</w:t>
      </w:r>
      <w:bookmarkEnd w:id="24"/>
      <w:bookmarkEnd w:id="25"/>
    </w:p>
    <w:p w14:paraId="2739FA0E">
      <w:pPr>
        <w:spacing w:line="360" w:lineRule="auto"/>
        <w:rPr>
          <w:rFonts w:ascii="宋体" w:hAnsi="宋体" w:cs="宋体"/>
          <w:b/>
          <w:color w:val="auto"/>
          <w:sz w:val="24"/>
          <w:highlight w:val="none"/>
        </w:rPr>
      </w:pPr>
      <w:r>
        <w:rPr>
          <w:rFonts w:hint="eastAsia" w:ascii="宋体" w:hAnsi="宋体" w:cs="宋体"/>
          <w:b/>
          <w:color w:val="auto"/>
          <w:sz w:val="24"/>
          <w:highlight w:val="none"/>
        </w:rPr>
        <w:t>（一）签订合同</w:t>
      </w:r>
    </w:p>
    <w:p w14:paraId="6650277B">
      <w:pPr>
        <w:spacing w:line="360" w:lineRule="auto"/>
        <w:rPr>
          <w:rFonts w:ascii="宋体" w:hAnsi="宋体" w:cs="宋体"/>
          <w:color w:val="auto"/>
          <w:sz w:val="24"/>
          <w:highlight w:val="none"/>
        </w:rPr>
      </w:pPr>
      <w:r>
        <w:rPr>
          <w:rFonts w:hint="eastAsia" w:ascii="宋体" w:hAnsi="宋体" w:cs="宋体"/>
          <w:color w:val="auto"/>
          <w:sz w:val="24"/>
          <w:highlight w:val="none"/>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36EBC40A">
      <w:pPr>
        <w:spacing w:line="360" w:lineRule="auto"/>
        <w:rPr>
          <w:rFonts w:ascii="宋体" w:hAnsi="宋体" w:cs="宋体"/>
          <w:color w:val="auto"/>
          <w:sz w:val="24"/>
          <w:highlight w:val="none"/>
        </w:rPr>
      </w:pPr>
      <w:r>
        <w:rPr>
          <w:rFonts w:hint="eastAsia" w:ascii="宋体" w:hAnsi="宋体" w:cs="宋体"/>
          <w:color w:val="auto"/>
          <w:sz w:val="24"/>
          <w:highlight w:val="none"/>
        </w:rPr>
        <w:t>2.成交人按规定的日期、时间、地点，由法定代表人或其授权代表与采购人代表签订合同。如成交人为联合体的，由联合体成员各方法定代表人或其授权代表与采购人代表签订合同。</w:t>
      </w:r>
    </w:p>
    <w:p w14:paraId="0474BBAB">
      <w:pPr>
        <w:spacing w:line="360" w:lineRule="auto"/>
        <w:rPr>
          <w:rFonts w:ascii="宋体" w:hAnsi="宋体" w:cs="宋体"/>
          <w:color w:val="auto"/>
          <w:sz w:val="24"/>
          <w:highlight w:val="none"/>
        </w:rPr>
      </w:pPr>
      <w:r>
        <w:rPr>
          <w:rFonts w:hint="eastAsia" w:ascii="宋体" w:hAnsi="宋体" w:cs="宋体"/>
          <w:color w:val="auto"/>
          <w:sz w:val="24"/>
          <w:highlight w:val="none"/>
        </w:rPr>
        <w:t>3.如签订合同并生效后，供应商无故拒绝或延期，除按照合同条款处理外，列入不良行为记录一次，并给予通报。</w:t>
      </w:r>
    </w:p>
    <w:p w14:paraId="72B6F60B">
      <w:pPr>
        <w:spacing w:line="360" w:lineRule="auto"/>
        <w:rPr>
          <w:rFonts w:ascii="宋体" w:hAnsi="宋体" w:cs="宋体"/>
          <w:color w:val="auto"/>
          <w:sz w:val="24"/>
          <w:highlight w:val="none"/>
        </w:rPr>
      </w:pPr>
      <w:r>
        <w:rPr>
          <w:rFonts w:hint="eastAsia" w:ascii="宋体" w:hAnsi="宋体" w:cs="宋体"/>
          <w:color w:val="auto"/>
          <w:sz w:val="24"/>
          <w:highlight w:val="none"/>
        </w:rPr>
        <w:t>4.成交人拒绝与采购人签订合同的，采购人可以按照评审报告推荐的中标或者成交候选人名单排序，确定下一候选人为成交人，也可以重新开展政府采购活动。</w:t>
      </w:r>
    </w:p>
    <w:p w14:paraId="52A03DCE">
      <w:pPr>
        <w:spacing w:line="360" w:lineRule="auto"/>
        <w:rPr>
          <w:rFonts w:ascii="宋体" w:hAnsi="宋体" w:cs="宋体"/>
          <w:color w:val="auto"/>
          <w:sz w:val="24"/>
          <w:highlight w:val="none"/>
        </w:rPr>
      </w:pPr>
      <w:r>
        <w:rPr>
          <w:rFonts w:hint="eastAsia" w:ascii="宋体" w:hAnsi="宋体" w:cs="宋体"/>
          <w:color w:val="auto"/>
          <w:sz w:val="24"/>
          <w:highlight w:val="none"/>
        </w:rPr>
        <w:t>5.采购人与成交人根据采购文件、磋商响应文件等内容签订政府采购合同，合同签订后送东阳市财政局采监科备案。</w:t>
      </w:r>
    </w:p>
    <w:p w14:paraId="677EC19E">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6.政府采购货物和服务项目不得收取质量保证金。政府采购工程以及与工程建设有关的货物、服务，采用招标方式采购的，按国家和省有关规定执行。</w:t>
      </w:r>
    </w:p>
    <w:p w14:paraId="397C80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（二）履约保证金</w:t>
      </w:r>
    </w:p>
    <w:p w14:paraId="48BF533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中标人在收到中标通知书后，需向采购人提供</w:t>
      </w:r>
      <w:r>
        <w:rPr>
          <w:rFonts w:hint="eastAsia" w:ascii="宋体" w:hAnsi="宋体" w:cs="宋体"/>
          <w:color w:val="auto"/>
          <w:sz w:val="24"/>
          <w:highlight w:val="none"/>
          <w:lang w:val="en-US" w:eastAsia="zh-CN"/>
        </w:rPr>
        <w:t>中标价的1</w:t>
      </w:r>
      <w:r>
        <w:rPr>
          <w:rFonts w:hint="eastAsia" w:ascii="宋体" w:hAnsi="宋体" w:eastAsia="宋体" w:cs="宋体"/>
          <w:color w:val="auto"/>
          <w:sz w:val="24"/>
          <w:highlight w:val="none"/>
        </w:rPr>
        <w:t>%</w:t>
      </w:r>
      <w:r>
        <w:rPr>
          <w:rFonts w:hint="eastAsia" w:ascii="宋体" w:hAnsi="宋体" w:cs="宋体"/>
          <w:color w:val="auto"/>
          <w:sz w:val="24"/>
          <w:highlight w:val="none"/>
        </w:rPr>
        <w:t>的履约保证金，在中标人与采购人签订合同前递交，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需以支票、汇票、本票或者金融机构、保险公司、担保机构出具的保函/保险（可在政采云平台购买，咨询热线4009039583）等非现金形式提交（保函期限应大于履约期限2个月）</w:t>
      </w:r>
      <w:r>
        <w:rPr>
          <w:rFonts w:hint="eastAsia" w:ascii="宋体" w:hAnsi="宋体" w:cs="宋体"/>
          <w:color w:val="auto"/>
          <w:sz w:val="24"/>
          <w:highlight w:val="none"/>
          <w:lang w:eastAsia="zh-CN"/>
        </w:rPr>
        <w:t>。</w:t>
      </w:r>
    </w:p>
    <w:p w14:paraId="70A1F40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highlight w:val="none"/>
          <w:lang w:eastAsia="zh-CN"/>
        </w:rPr>
      </w:pPr>
      <w:r>
        <w:rPr>
          <w:rFonts w:hint="eastAsia" w:ascii="宋体" w:hAnsi="宋体" w:cs="宋体"/>
          <w:color w:val="auto"/>
          <w:sz w:val="24"/>
          <w:highlight w:val="none"/>
          <w:lang w:val="en-US" w:eastAsia="zh-CN"/>
        </w:rPr>
        <w:t>中标人也</w:t>
      </w:r>
      <w:r>
        <w:rPr>
          <w:rFonts w:hint="eastAsia" w:ascii="宋体" w:hAnsi="宋体" w:cs="宋体"/>
          <w:color w:val="auto"/>
          <w:sz w:val="24"/>
          <w:highlight w:val="none"/>
        </w:rPr>
        <w:t>可登录政采云平台-【金融服务】—【我的项目】—【已备案合同】以保函形式提供：</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在合同列表选择需要投保的合同，点击[保函推荐]。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在弹框里查看推荐的保函产品，</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自行选择保函产品，点击[立即申请]。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在弹框里填写保函申请信息。具体步骤：选择产品—填写供应商信息—选择中标项目—确认信息—等待保险/保函受理—确认保单—支付保费—成功出单。政采云金融专线400-903-9583。</w:t>
      </w:r>
    </w:p>
    <w:p w14:paraId="1BCFADBE">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ascii="宋体" w:hAnsi="宋体" w:eastAsia="宋体" w:cs="宋体"/>
          <w:color w:val="auto"/>
          <w:sz w:val="24"/>
          <w:highlight w:val="none"/>
        </w:rPr>
        <w:t>2.签订合同后，如中标人不按双方合同约定履约，则没收其全部履约保证金，履约保证金不足以赔偿损失的，按实际损失赔偿。</w:t>
      </w:r>
    </w:p>
    <w:p w14:paraId="59CA7A3C">
      <w:pPr>
        <w:pStyle w:val="17"/>
        <w:rPr>
          <w:rFonts w:hint="eastAsia"/>
          <w:highlight w:val="none"/>
        </w:rPr>
      </w:pPr>
    </w:p>
    <w:p w14:paraId="503F9867">
      <w:pPr>
        <w:pStyle w:val="22"/>
        <w:pageBreakBefore/>
        <w:snapToGrid w:val="0"/>
        <w:spacing w:before="120" w:after="120" w:line="360" w:lineRule="auto"/>
        <w:jc w:val="center"/>
        <w:outlineLvl w:val="0"/>
        <w:rPr>
          <w:rFonts w:ascii="宋体" w:hAnsi="宋体" w:cs="宋体"/>
          <w:b/>
          <w:color w:val="auto"/>
          <w:szCs w:val="24"/>
          <w:highlight w:val="none"/>
        </w:rPr>
      </w:pPr>
      <w:bookmarkStart w:id="26" w:name="_Toc12984"/>
      <w:r>
        <w:rPr>
          <w:rFonts w:hint="eastAsia" w:ascii="宋体" w:hAnsi="宋体" w:cs="宋体"/>
          <w:b/>
          <w:color w:val="auto"/>
          <w:szCs w:val="24"/>
          <w:highlight w:val="none"/>
        </w:rPr>
        <w:t>第四章  磋商办法及评分标准</w:t>
      </w:r>
      <w:bookmarkEnd w:id="26"/>
    </w:p>
    <w:p w14:paraId="54736B94">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1DB2D58E">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南马镇中心小学校舍及道路改造项目</w:t>
      </w:r>
      <w:r>
        <w:rPr>
          <w:rFonts w:hint="eastAsia" w:ascii="宋体" w:hAnsi="宋体" w:cs="宋体"/>
          <w:color w:val="auto"/>
          <w:sz w:val="24"/>
          <w:highlight w:val="none"/>
        </w:rPr>
        <w:t>的磋商。</w:t>
      </w:r>
    </w:p>
    <w:p w14:paraId="5301CF99">
      <w:pPr>
        <w:spacing w:line="540" w:lineRule="exact"/>
        <w:rPr>
          <w:rFonts w:ascii="宋体" w:hAnsi="宋体" w:cs="宋体"/>
          <w:b/>
          <w:color w:val="auto"/>
          <w:sz w:val="24"/>
          <w:highlight w:val="none"/>
        </w:rPr>
      </w:pPr>
      <w:bookmarkStart w:id="27" w:name="_Toc12525"/>
      <w:bookmarkStart w:id="28" w:name="_Toc452728219"/>
      <w:bookmarkStart w:id="29" w:name="_Toc31315"/>
      <w:bookmarkStart w:id="30" w:name="_Toc26574"/>
      <w:r>
        <w:rPr>
          <w:rFonts w:hint="eastAsia" w:ascii="宋体" w:hAnsi="宋体" w:cs="宋体"/>
          <w:b/>
          <w:color w:val="auto"/>
          <w:sz w:val="24"/>
          <w:highlight w:val="none"/>
        </w:rPr>
        <w:t>一、总则</w:t>
      </w:r>
      <w:bookmarkEnd w:id="27"/>
      <w:bookmarkEnd w:id="28"/>
      <w:bookmarkEnd w:id="29"/>
      <w:bookmarkEnd w:id="30"/>
    </w:p>
    <w:p w14:paraId="5931A6B5">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磋商采用综合评分法，总分为100分，其中价格分30分，技术、商务、资信及其他分70分；合格供应商的磋商得分为各项目汇总得分，中标候选资格按磋商综合得分由高到低顺序排列，得分相同的，按最终轮磋商报价由低到高顺序排列；得分且最终轮磋商报价相同的，按技术得分由高到低顺序排列。有效投标人为 3家时推荐2名中标候选人，有效</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大于 3 家时，推荐 3名中标候选人</w:t>
      </w:r>
      <w:r>
        <w:rPr>
          <w:rFonts w:hint="eastAsia" w:ascii="宋体" w:hAnsi="宋体" w:eastAsia="宋体" w:cs="宋体"/>
          <w:color w:val="auto"/>
          <w:sz w:val="24"/>
          <w:highlight w:val="none"/>
        </w:rPr>
        <w:t>（排名第一的中标候选人为中标人，排名第二的中标候选人为替补中标人）</w:t>
      </w:r>
      <w:r>
        <w:rPr>
          <w:rFonts w:hint="eastAsia" w:ascii="宋体" w:hAnsi="宋体" w:cs="宋体"/>
          <w:color w:val="auto"/>
          <w:sz w:val="24"/>
          <w:highlight w:val="none"/>
        </w:rPr>
        <w:t>……其他供应商中标候选资格依此类推。评分过程中采用四舍五入法，并保留小数2位。</w:t>
      </w:r>
    </w:p>
    <w:p w14:paraId="1972AE90">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供应商磋商综合得分=价格分+(技术分+商务分+资信及其他分)</w:t>
      </w:r>
    </w:p>
    <w:p w14:paraId="2944A59D">
      <w:pPr>
        <w:numPr>
          <w:ilvl w:val="0"/>
          <w:numId w:val="6"/>
        </w:numPr>
        <w:spacing w:line="540" w:lineRule="exact"/>
        <w:rPr>
          <w:rFonts w:ascii="宋体" w:hAnsi="宋体" w:cs="宋体"/>
          <w:b/>
          <w:color w:val="auto"/>
          <w:sz w:val="24"/>
          <w:highlight w:val="none"/>
        </w:rPr>
      </w:pPr>
      <w:bookmarkStart w:id="31" w:name="_Toc16785"/>
      <w:bookmarkStart w:id="32" w:name="_Toc6122"/>
      <w:bookmarkStart w:id="33" w:name="_Toc12387"/>
      <w:bookmarkStart w:id="34" w:name="_Toc452728220"/>
      <w:r>
        <w:rPr>
          <w:rFonts w:hint="eastAsia" w:ascii="宋体" w:hAnsi="宋体" w:cs="宋体"/>
          <w:b/>
          <w:color w:val="auto"/>
          <w:sz w:val="24"/>
          <w:highlight w:val="none"/>
        </w:rPr>
        <w:t>磋商内容及标准</w:t>
      </w:r>
      <w:bookmarkEnd w:id="31"/>
      <w:bookmarkEnd w:id="32"/>
      <w:bookmarkEnd w:id="33"/>
      <w:bookmarkEnd w:id="34"/>
      <w:bookmarkStart w:id="35" w:name="_Toc502652282"/>
      <w:bookmarkStart w:id="36" w:name="_Hlt452359757"/>
      <w:bookmarkStart w:id="37" w:name="_Hlt452359758"/>
    </w:p>
    <w:p w14:paraId="5A8D2413">
      <w:pPr>
        <w:pStyle w:val="22"/>
        <w:spacing w:before="120" w:after="120" w:line="540" w:lineRule="exact"/>
        <w:rPr>
          <w:rFonts w:hint="default" w:ascii="宋体" w:hAnsi="宋体" w:eastAsia="宋体"/>
          <w:b/>
          <w:bCs/>
          <w:color w:val="auto"/>
          <w:szCs w:val="24"/>
          <w:highlight w:val="none"/>
          <w:lang w:val="en-US" w:eastAsia="zh-CN"/>
        </w:rPr>
      </w:pPr>
      <w:r>
        <w:rPr>
          <w:rFonts w:hint="eastAsia" w:ascii="宋体" w:hAnsi="宋体"/>
          <w:b/>
          <w:bCs/>
          <w:color w:val="auto"/>
          <w:szCs w:val="24"/>
          <w:highlight w:val="none"/>
        </w:rPr>
        <w:t>（一）技术、商务、资信及其他分（70分）</w:t>
      </w:r>
    </w:p>
    <w:p w14:paraId="7983B2B4">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技术、商务资信及其他分响应标书要求的磋商单位全部进入商务报价评审。</w:t>
      </w:r>
    </w:p>
    <w:p w14:paraId="6B7449CD">
      <w:pPr>
        <w:pStyle w:val="11"/>
        <w:spacing w:line="540" w:lineRule="exact"/>
        <w:ind w:left="0" w:leftChars="0"/>
        <w:rPr>
          <w:rFonts w:ascii="宋体" w:hAnsi="宋体"/>
          <w:b/>
          <w:bCs/>
          <w:color w:val="auto"/>
          <w:sz w:val="24"/>
          <w:highlight w:val="none"/>
        </w:rPr>
      </w:pPr>
      <w:r>
        <w:rPr>
          <w:rFonts w:hint="eastAsia" w:ascii="宋体" w:hAnsi="宋体"/>
          <w:b/>
          <w:color w:val="auto"/>
          <w:sz w:val="24"/>
          <w:highlight w:val="none"/>
        </w:rPr>
        <w:t>（二）</w:t>
      </w:r>
      <w:r>
        <w:rPr>
          <w:rFonts w:hint="eastAsia" w:ascii="宋体" w:hAnsi="宋体"/>
          <w:b/>
          <w:bCs/>
          <w:color w:val="auto"/>
          <w:sz w:val="24"/>
          <w:highlight w:val="none"/>
        </w:rPr>
        <w:t xml:space="preserve">价格分（30分） </w:t>
      </w:r>
    </w:p>
    <w:p w14:paraId="2D807090">
      <w:pPr>
        <w:spacing w:beforeLines="50" w:afterLines="50" w:line="540" w:lineRule="exact"/>
        <w:ind w:firstLine="464" w:firstLineChars="200"/>
        <w:rPr>
          <w:rFonts w:hAnsi="宋体"/>
          <w:bCs/>
          <w:color w:val="auto"/>
          <w:sz w:val="24"/>
          <w:highlight w:val="none"/>
        </w:rPr>
      </w:pPr>
      <w:r>
        <w:rPr>
          <w:rFonts w:hint="eastAsia" w:ascii="宋体" w:hAnsi="宋体"/>
          <w:bCs/>
          <w:color w:val="auto"/>
          <w:spacing w:val="-4"/>
          <w:sz w:val="24"/>
          <w:szCs w:val="20"/>
          <w:highlight w:val="none"/>
        </w:rPr>
        <w:t>（1）</w:t>
      </w:r>
      <w:r>
        <w:rPr>
          <w:rFonts w:hint="eastAsia" w:hAnsi="宋体"/>
          <w:bCs/>
          <w:color w:val="auto"/>
          <w:sz w:val="24"/>
          <w:highlight w:val="none"/>
        </w:rPr>
        <w:t>价格分采用低价优先法计算，取所有技术、资信商务得分入围供应商中，</w:t>
      </w:r>
      <w:r>
        <w:rPr>
          <w:rFonts w:hint="eastAsia" w:ascii="宋体" w:hAnsi="宋体" w:cs="宋体"/>
          <w:b/>
          <w:bCs/>
          <w:color w:val="auto"/>
          <w:sz w:val="24"/>
          <w:highlight w:val="none"/>
        </w:rPr>
        <w:t>最终轮磋商报价以</w:t>
      </w:r>
      <w:r>
        <w:rPr>
          <w:rFonts w:hint="eastAsia" w:hAnsi="宋体"/>
          <w:b/>
          <w:bCs/>
          <w:color w:val="auto"/>
          <w:sz w:val="24"/>
          <w:highlight w:val="none"/>
        </w:rPr>
        <w:t>最低的磋商报价</w:t>
      </w:r>
      <w:r>
        <w:rPr>
          <w:rFonts w:hint="eastAsia" w:hAnsi="宋体"/>
          <w:bCs/>
          <w:color w:val="auto"/>
          <w:sz w:val="24"/>
          <w:highlight w:val="none"/>
        </w:rPr>
        <w:t>为基准价，其他供应商的价格分按照下列公式计算：</w:t>
      </w:r>
    </w:p>
    <w:p w14:paraId="3B5839FC">
      <w:pPr>
        <w:spacing w:beforeLines="50" w:afterLines="50" w:line="54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lang w:val="en-US" w:eastAsia="zh-CN"/>
        </w:rPr>
        <w:t>磋商报价得</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基准价/最终轮磋商报价</w:t>
      </w:r>
      <w:r>
        <w:rPr>
          <w:rFonts w:hint="eastAsia" w:ascii="宋体" w:hAnsi="宋体" w:cs="宋体"/>
          <w:color w:val="auto"/>
          <w:sz w:val="24"/>
          <w:highlight w:val="none"/>
          <w:lang w:eastAsia="zh-CN"/>
        </w:rPr>
        <w:t>）</w:t>
      </w:r>
      <w:r>
        <w:rPr>
          <w:rFonts w:hint="eastAsia" w:ascii="宋体" w:hAnsi="宋体" w:cs="宋体"/>
          <w:color w:val="auto"/>
          <w:sz w:val="24"/>
          <w:highlight w:val="none"/>
        </w:rPr>
        <w:t>×30（最终保留2位小数）</w:t>
      </w:r>
    </w:p>
    <w:p w14:paraId="79F92788">
      <w:pPr>
        <w:spacing w:line="540" w:lineRule="exact"/>
        <w:rPr>
          <w:rFonts w:ascii="宋体" w:hAnsi="宋体"/>
          <w:b/>
          <w:bCs/>
          <w:color w:val="auto"/>
          <w:sz w:val="24"/>
          <w:highlight w:val="none"/>
        </w:rPr>
      </w:pPr>
      <w:r>
        <w:rPr>
          <w:rFonts w:hint="eastAsia" w:ascii="宋体" w:hAnsi="宋体"/>
          <w:b/>
          <w:bCs/>
          <w:color w:val="auto"/>
          <w:sz w:val="24"/>
          <w:highlight w:val="none"/>
        </w:rPr>
        <w:t>（三）技术、商务、资信及其他分的计算</w:t>
      </w:r>
    </w:p>
    <w:p w14:paraId="5AC925B1">
      <w:pPr>
        <w:spacing w:beforeLines="50" w:afterLines="50" w:line="540" w:lineRule="exact"/>
        <w:ind w:firstLine="480" w:firstLineChars="200"/>
        <w:rPr>
          <w:rFonts w:ascii="宋体" w:hAnsi="宋体"/>
          <w:color w:val="auto"/>
          <w:sz w:val="24"/>
          <w:highlight w:val="none"/>
        </w:rPr>
      </w:pPr>
      <w:r>
        <w:rPr>
          <w:rFonts w:hint="eastAsia" w:ascii="宋体" w:hAnsi="宋体"/>
          <w:color w:val="auto"/>
          <w:sz w:val="24"/>
          <w:highlight w:val="none"/>
        </w:rPr>
        <w:t>技术、商务、资信及其他分按照磋商小组成员的独立评分结果的算术平均分计算，计算公式为：</w:t>
      </w:r>
    </w:p>
    <w:p w14:paraId="2B0A5CA5">
      <w:pPr>
        <w:spacing w:beforeLines="50" w:afterLines="50" w:line="540" w:lineRule="exact"/>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技术商务资信及其他分=磋商小组所有成员有效评分合计数/</w:t>
      </w:r>
      <w:r>
        <w:rPr>
          <w:rFonts w:hint="eastAsia" w:ascii="宋体" w:hAnsi="宋体"/>
          <w:color w:val="auto"/>
          <w:sz w:val="24"/>
          <w:highlight w:val="none"/>
          <w:lang w:val="en-US" w:eastAsia="zh-CN"/>
        </w:rPr>
        <w:t>3</w:t>
      </w:r>
    </w:p>
    <w:p w14:paraId="4DA8A888">
      <w:pPr>
        <w:spacing w:beforeLines="50" w:afterLines="50" w:line="5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技术分、商务分、资信及其他分评分标准，共70分</w:t>
      </w:r>
    </w:p>
    <w:tbl>
      <w:tblPr>
        <w:tblStyle w:val="38"/>
        <w:tblW w:w="100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0"/>
        <w:gridCol w:w="481"/>
        <w:gridCol w:w="1367"/>
        <w:gridCol w:w="6681"/>
        <w:gridCol w:w="810"/>
      </w:tblGrid>
      <w:tr w14:paraId="2E22A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66F673F">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48" w:type="dxa"/>
            <w:gridSpan w:val="2"/>
            <w:tcBorders>
              <w:top w:val="single" w:color="auto" w:sz="4" w:space="0"/>
              <w:left w:val="single" w:color="auto" w:sz="4" w:space="0"/>
              <w:bottom w:val="single" w:color="auto" w:sz="4" w:space="0"/>
              <w:right w:val="single" w:color="auto" w:sz="4" w:space="0"/>
            </w:tcBorders>
            <w:noWrap w:val="0"/>
            <w:vAlign w:val="center"/>
          </w:tcPr>
          <w:p w14:paraId="0F622BA9">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0B2EAA81">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251E0FD">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2201C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E485F33">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8529" w:type="dxa"/>
            <w:gridSpan w:val="3"/>
            <w:tcBorders>
              <w:top w:val="single" w:color="auto" w:sz="4" w:space="0"/>
              <w:left w:val="single" w:color="auto" w:sz="4" w:space="0"/>
              <w:bottom w:val="single" w:color="auto" w:sz="4" w:space="0"/>
              <w:right w:val="single" w:color="auto" w:sz="4" w:space="0"/>
            </w:tcBorders>
            <w:noWrap w:val="0"/>
            <w:vAlign w:val="center"/>
          </w:tcPr>
          <w:p w14:paraId="0E44C050">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49CFAE3">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60</w:t>
            </w:r>
            <w:r>
              <w:rPr>
                <w:rFonts w:hint="eastAsia" w:ascii="宋体" w:hAnsi="宋体" w:eastAsia="宋体" w:cs="宋体"/>
                <w:b/>
                <w:bCs/>
                <w:color w:val="auto"/>
                <w:sz w:val="24"/>
                <w:szCs w:val="24"/>
                <w:highlight w:val="none"/>
              </w:rPr>
              <w:t>分</w:t>
            </w:r>
          </w:p>
        </w:tc>
      </w:tr>
      <w:tr w14:paraId="0F302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89CD075">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1" w:type="dxa"/>
            <w:vMerge w:val="restart"/>
            <w:tcBorders>
              <w:top w:val="nil"/>
              <w:left w:val="single" w:color="auto" w:sz="4" w:space="0"/>
              <w:right w:val="single" w:color="auto" w:sz="4" w:space="0"/>
            </w:tcBorders>
            <w:noWrap w:val="0"/>
            <w:vAlign w:val="center"/>
          </w:tcPr>
          <w:p w14:paraId="76414B53">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技术服务水平</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66B108E1">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项目理解</w:t>
            </w:r>
          </w:p>
          <w:p w14:paraId="310E23AA">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情况</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22FE6FA7">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对项目实施思路（0-1分）、技术要求（0-1分）、项目特点（0-1分）的理解情况，根据其科学性、合理性进行打分。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37B9E9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r w14:paraId="48E1A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5C8B256">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81" w:type="dxa"/>
            <w:vMerge w:val="continue"/>
            <w:tcBorders>
              <w:left w:val="single" w:color="auto" w:sz="4" w:space="0"/>
              <w:right w:val="single" w:color="auto" w:sz="4" w:space="0"/>
            </w:tcBorders>
            <w:noWrap w:val="0"/>
            <w:vAlign w:val="center"/>
          </w:tcPr>
          <w:p w14:paraId="1FD61740">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624EA9C3">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6C3B0BB4">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施工方案内容齐全、结构完整、表述准确、条理清晰程度，与需求的吻合程度（0-3分），是否涵盖本次工程实施有关的内容（0-3分），包括方案的先进性、可行性和扩展性，进行打分。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7352B4C">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7C520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594649C">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81" w:type="dxa"/>
            <w:vMerge w:val="continue"/>
            <w:tcBorders>
              <w:left w:val="single" w:color="auto" w:sz="4" w:space="0"/>
              <w:right w:val="single" w:color="auto" w:sz="4" w:space="0"/>
            </w:tcBorders>
            <w:noWrap w:val="0"/>
            <w:vAlign w:val="center"/>
          </w:tcPr>
          <w:p w14:paraId="51884136">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783DC507">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施工技术</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33378DF5">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针对本项目施工环境需要采取的专门的施工技术内容是否科学合理且针对性强等进行打分。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781DE12">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r w14:paraId="68A74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0AE6D69">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81" w:type="dxa"/>
            <w:vMerge w:val="continue"/>
            <w:tcBorders>
              <w:left w:val="single" w:color="auto" w:sz="4" w:space="0"/>
              <w:right w:val="single" w:color="auto" w:sz="4" w:space="0"/>
            </w:tcBorders>
            <w:noWrap w:val="0"/>
            <w:vAlign w:val="center"/>
          </w:tcPr>
          <w:p w14:paraId="28C133A2">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95D7317">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2F876EF4">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根据项目工期要求，施工进度安排合理、准确（0-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分），关键节点的控制措施（0-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09267DD">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24356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1AF8EC4">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81" w:type="dxa"/>
            <w:vMerge w:val="continue"/>
            <w:tcBorders>
              <w:left w:val="single" w:color="auto" w:sz="4" w:space="0"/>
              <w:right w:val="single" w:color="auto" w:sz="4" w:space="0"/>
            </w:tcBorders>
            <w:noWrap w:val="0"/>
            <w:vAlign w:val="center"/>
          </w:tcPr>
          <w:p w14:paraId="281E3545">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40B32046">
            <w:pPr>
              <w:widowControl/>
              <w:spacing w:line="24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安全生产应急预案</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47C3332B">
            <w:pPr>
              <w:widowControl/>
              <w:spacing w:line="240" w:lineRule="auto"/>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根据磋商响应方的应急预案措施全面性、合理性及可行性等内容进行打分。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AFB643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14:paraId="53E97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F16B848">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81" w:type="dxa"/>
            <w:vMerge w:val="continue"/>
            <w:tcBorders>
              <w:left w:val="single" w:color="auto" w:sz="4" w:space="0"/>
              <w:right w:val="single" w:color="auto" w:sz="4" w:space="0"/>
            </w:tcBorders>
            <w:noWrap w:val="0"/>
            <w:vAlign w:val="center"/>
          </w:tcPr>
          <w:p w14:paraId="3482A6CE">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0A6AFE15">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质量保障</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07FB7894">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施工质量目标明确（0-2分），质量控制措施（0-2分）科学、合理、有技术支撑进行打分。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B910566">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18366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40" w:type="dxa"/>
            <w:vMerge w:val="restart"/>
            <w:tcBorders>
              <w:top w:val="single" w:color="auto" w:sz="4" w:space="0"/>
              <w:left w:val="single" w:color="auto" w:sz="4" w:space="0"/>
              <w:right w:val="single" w:color="auto" w:sz="4" w:space="0"/>
            </w:tcBorders>
            <w:noWrap w:val="0"/>
            <w:vAlign w:val="center"/>
          </w:tcPr>
          <w:p w14:paraId="364E594D">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81" w:type="dxa"/>
            <w:vMerge w:val="continue"/>
            <w:tcBorders>
              <w:left w:val="single" w:color="auto" w:sz="4" w:space="0"/>
              <w:right w:val="single" w:color="auto" w:sz="4" w:space="0"/>
            </w:tcBorders>
            <w:noWrap w:val="0"/>
            <w:vAlign w:val="center"/>
          </w:tcPr>
          <w:p w14:paraId="460F7C25">
            <w:pPr>
              <w:spacing w:line="360" w:lineRule="auto"/>
              <w:rPr>
                <w:rFonts w:ascii="宋体" w:hAnsi="宋体" w:eastAsia="宋体" w:cs="宋体"/>
                <w:color w:val="auto"/>
                <w:sz w:val="24"/>
                <w:szCs w:val="24"/>
                <w:highlight w:val="none"/>
              </w:rPr>
            </w:pPr>
          </w:p>
        </w:tc>
        <w:tc>
          <w:tcPr>
            <w:tcW w:w="1367" w:type="dxa"/>
            <w:vMerge w:val="restart"/>
            <w:tcBorders>
              <w:top w:val="single" w:color="auto" w:sz="4" w:space="0"/>
              <w:left w:val="single" w:color="auto" w:sz="4" w:space="0"/>
              <w:right w:val="single" w:color="auto" w:sz="4" w:space="0"/>
            </w:tcBorders>
            <w:noWrap w:val="0"/>
            <w:vAlign w:val="center"/>
          </w:tcPr>
          <w:p w14:paraId="25A30A3E">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安全、文明施工等的保证措施</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66110E7D">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根据安全、文明施工及市政、市容、环保、消防的保证措施，并具有详细可行的实施内容，进行打分。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BDD0092">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0D15C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740" w:type="dxa"/>
            <w:vMerge w:val="continue"/>
            <w:tcBorders>
              <w:left w:val="single" w:color="auto" w:sz="4" w:space="0"/>
              <w:bottom w:val="single" w:color="auto" w:sz="4" w:space="0"/>
              <w:right w:val="single" w:color="auto" w:sz="4" w:space="0"/>
            </w:tcBorders>
            <w:noWrap w:val="0"/>
            <w:vAlign w:val="center"/>
          </w:tcPr>
          <w:p w14:paraId="079B8CAE">
            <w:pPr>
              <w:spacing w:line="360" w:lineRule="auto"/>
              <w:jc w:val="center"/>
              <w:rPr>
                <w:rFonts w:ascii="宋体" w:hAnsi="宋体" w:eastAsia="宋体" w:cs="宋体"/>
                <w:color w:val="auto"/>
                <w:sz w:val="24"/>
                <w:szCs w:val="24"/>
                <w:highlight w:val="none"/>
              </w:rPr>
            </w:pPr>
          </w:p>
        </w:tc>
        <w:tc>
          <w:tcPr>
            <w:tcW w:w="481" w:type="dxa"/>
            <w:vMerge w:val="continue"/>
            <w:tcBorders>
              <w:left w:val="single" w:color="auto" w:sz="4" w:space="0"/>
              <w:right w:val="single" w:color="auto" w:sz="4" w:space="0"/>
            </w:tcBorders>
            <w:noWrap w:val="0"/>
            <w:vAlign w:val="center"/>
          </w:tcPr>
          <w:p w14:paraId="4CBF16CA">
            <w:pPr>
              <w:spacing w:line="360" w:lineRule="auto"/>
              <w:rPr>
                <w:rFonts w:ascii="宋体" w:hAnsi="宋体" w:eastAsia="宋体" w:cs="宋体"/>
                <w:color w:val="auto"/>
                <w:sz w:val="24"/>
                <w:szCs w:val="24"/>
                <w:highlight w:val="none"/>
              </w:rPr>
            </w:pPr>
          </w:p>
        </w:tc>
        <w:tc>
          <w:tcPr>
            <w:tcW w:w="1367" w:type="dxa"/>
            <w:vMerge w:val="continue"/>
            <w:tcBorders>
              <w:left w:val="single" w:color="auto" w:sz="4" w:space="0"/>
              <w:bottom w:val="single" w:color="auto" w:sz="4" w:space="0"/>
              <w:right w:val="single" w:color="auto" w:sz="4" w:space="0"/>
            </w:tcBorders>
            <w:noWrap w:val="0"/>
            <w:vAlign w:val="center"/>
          </w:tcPr>
          <w:p w14:paraId="12BF611E">
            <w:pPr>
              <w:spacing w:line="240" w:lineRule="auto"/>
              <w:jc w:val="center"/>
              <w:rPr>
                <w:rFonts w:ascii="宋体" w:hAnsi="宋体" w:eastAsia="宋体" w:cs="宋体"/>
                <w:color w:val="auto"/>
                <w:sz w:val="24"/>
                <w:szCs w:val="24"/>
                <w:highlight w:val="none"/>
              </w:rPr>
            </w:pPr>
          </w:p>
        </w:tc>
        <w:tc>
          <w:tcPr>
            <w:tcW w:w="6681" w:type="dxa"/>
            <w:tcBorders>
              <w:top w:val="single" w:color="auto" w:sz="4" w:space="0"/>
              <w:left w:val="single" w:color="auto" w:sz="4" w:space="0"/>
              <w:bottom w:val="single" w:color="auto" w:sz="4" w:space="0"/>
              <w:right w:val="single" w:color="auto" w:sz="4" w:space="0"/>
            </w:tcBorders>
            <w:noWrap w:val="0"/>
            <w:vAlign w:val="center"/>
          </w:tcPr>
          <w:p w14:paraId="1B4249C1">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根据施工场地周边情况对扬尘治理、垃圾清运、人员管理、降噪等措施进行打分。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1A5B891">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519D0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68B4DD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81" w:type="dxa"/>
            <w:vMerge w:val="continue"/>
            <w:tcBorders>
              <w:left w:val="single" w:color="auto" w:sz="4" w:space="0"/>
              <w:right w:val="single" w:color="auto" w:sz="4" w:space="0"/>
            </w:tcBorders>
            <w:noWrap w:val="0"/>
            <w:vAlign w:val="center"/>
          </w:tcPr>
          <w:p w14:paraId="25B7516E">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70D5D2C3">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施工机具</w:t>
            </w:r>
          </w:p>
          <w:p w14:paraId="02EFEA69">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设备</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2CB6AD21">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施工机具设备的投入能够优于工程实施的需要，且与项目相适应，根据其针对性、合理性进行打分。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FF7F672">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43BAD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78FF3E0">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481" w:type="dxa"/>
            <w:vMerge w:val="continue"/>
            <w:tcBorders>
              <w:left w:val="single" w:color="auto" w:sz="4" w:space="0"/>
              <w:right w:val="single" w:color="auto" w:sz="4" w:space="0"/>
            </w:tcBorders>
            <w:noWrap w:val="0"/>
            <w:vAlign w:val="center"/>
          </w:tcPr>
          <w:p w14:paraId="1A2B62E5">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23CB7B13">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材料设备进场计划</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25629D6A">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材料设备进场计划及施工计划情况：是否具有详细的材料设备进场计划、时间安排合理（0-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分）、材料数量清点情况（0-1分）、材料质量控制情况（0-1分）进行打分。 </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F56243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3A846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2076142">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481" w:type="dxa"/>
            <w:vMerge w:val="continue"/>
            <w:tcBorders>
              <w:left w:val="single" w:color="auto" w:sz="4" w:space="0"/>
              <w:right w:val="single" w:color="auto" w:sz="4" w:space="0"/>
            </w:tcBorders>
            <w:noWrap w:val="0"/>
            <w:vAlign w:val="center"/>
          </w:tcPr>
          <w:p w14:paraId="29BB8026">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72B3B833">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布置情况</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7585AA13">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根据磋商响应方提供的材料堆场、施工通道的安排计划是否符合施工现场实际情况，安排是否科学、合理进行打分。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EDFEA5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14:paraId="6780B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32C47DF">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481" w:type="dxa"/>
            <w:vMerge w:val="continue"/>
            <w:tcBorders>
              <w:left w:val="single" w:color="auto" w:sz="4" w:space="0"/>
              <w:right w:val="single" w:color="auto" w:sz="4" w:space="0"/>
            </w:tcBorders>
            <w:noWrap w:val="0"/>
            <w:vAlign w:val="center"/>
          </w:tcPr>
          <w:p w14:paraId="57F068EB">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52674123">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关键工序、复杂环节的相应技术措施</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786BF80B">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关键工序（0-2分）、复杂环节（0-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分）的相应技术措施内容，根据其是否科学合理，针对性强进行打分。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BE57645">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r w14:paraId="36E97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1AFCC16">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481" w:type="dxa"/>
            <w:vMerge w:val="continue"/>
            <w:tcBorders>
              <w:left w:val="single" w:color="auto" w:sz="4" w:space="0"/>
              <w:right w:val="single" w:color="auto" w:sz="4" w:space="0"/>
            </w:tcBorders>
            <w:noWrap w:val="0"/>
            <w:vAlign w:val="center"/>
          </w:tcPr>
          <w:p w14:paraId="688C3F6B">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0B22D8D3">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施工重点难点分析</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5F94BD80">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针对本项目施工重点、难点分析（0-2分），以及提出的重点、难点的相应解决方案（0-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分），根据其分析的全面性，解决方案的针对性，进行打分。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6B7DBC87">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r w14:paraId="25568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BF2FABF">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481" w:type="dxa"/>
            <w:vMerge w:val="continue"/>
            <w:tcBorders>
              <w:left w:val="single" w:color="auto" w:sz="4" w:space="0"/>
              <w:right w:val="single" w:color="auto" w:sz="4" w:space="0"/>
            </w:tcBorders>
            <w:noWrap w:val="0"/>
            <w:vAlign w:val="center"/>
          </w:tcPr>
          <w:p w14:paraId="23EEE844">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218E752D">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成品保护的保证措施</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5CB2E012">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磋商响应方对成品保护的保证措施，是否合理、科学，具有可操作性，进行打分。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98A13DD">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1DC67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E158D1E">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481" w:type="dxa"/>
            <w:vMerge w:val="continue"/>
            <w:tcBorders>
              <w:left w:val="single" w:color="auto" w:sz="4" w:space="0"/>
              <w:right w:val="single" w:color="auto" w:sz="4" w:space="0"/>
            </w:tcBorders>
            <w:noWrap w:val="0"/>
            <w:vAlign w:val="center"/>
          </w:tcPr>
          <w:p w14:paraId="43CEB108">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72AA1FAE">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管理协调</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6288E425">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与其他部门或人员的管理和协调具体措施进行打分。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87C00AC">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27D24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82AF4B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481" w:type="dxa"/>
            <w:vMerge w:val="continue"/>
            <w:tcBorders>
              <w:left w:val="single" w:color="auto" w:sz="4" w:space="0"/>
              <w:right w:val="single" w:color="auto" w:sz="4" w:space="0"/>
            </w:tcBorders>
            <w:noWrap w:val="0"/>
            <w:vAlign w:val="center"/>
          </w:tcPr>
          <w:p w14:paraId="5D14FCCD">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68EA4DCC">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安全承诺</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579015CA">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磋商响应方承诺对拟投入本项目现场的相关人员投保相关人身意外伤害等险种</w:t>
            </w:r>
            <w:r>
              <w:rPr>
                <w:rFonts w:hint="eastAsia"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分。</w:t>
            </w:r>
          </w:p>
          <w:p w14:paraId="6AC7F6E4">
            <w:pPr>
              <w:spacing w:line="240" w:lineRule="auto"/>
              <w:rPr>
                <w:rFonts w:hint="default" w:ascii="Times New Roman" w:hAnsi="Times New Roman" w:eastAsia="宋体" w:cs="Times New Roman"/>
                <w:color w:val="auto"/>
                <w:highlight w:val="none"/>
                <w:lang w:val="en-US" w:eastAsia="zh-CN"/>
              </w:rPr>
            </w:pPr>
            <w:r>
              <w:rPr>
                <w:rFonts w:hint="eastAsia" w:ascii="宋体" w:hAnsi="宋体" w:eastAsia="宋体" w:cs="宋体"/>
                <w:color w:val="auto"/>
                <w:sz w:val="24"/>
                <w:szCs w:val="24"/>
                <w:highlight w:val="none"/>
                <w:lang w:val="en-US" w:eastAsia="zh-CN"/>
              </w:rPr>
              <w:t>注：需提供承诺书，未提供不得分。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CC950D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0CE44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CF93FF8">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16</w:t>
            </w:r>
          </w:p>
        </w:tc>
        <w:tc>
          <w:tcPr>
            <w:tcW w:w="481" w:type="dxa"/>
            <w:vMerge w:val="continue"/>
            <w:tcBorders>
              <w:left w:val="single" w:color="auto" w:sz="4" w:space="0"/>
              <w:bottom w:val="single" w:color="auto" w:sz="4" w:space="0"/>
              <w:right w:val="single" w:color="auto" w:sz="4" w:space="0"/>
            </w:tcBorders>
            <w:noWrap w:val="0"/>
            <w:vAlign w:val="center"/>
          </w:tcPr>
          <w:p w14:paraId="48FE1BF3">
            <w:pPr>
              <w:spacing w:line="360" w:lineRule="auto"/>
              <w:rPr>
                <w:rFonts w:ascii="宋体" w:hAnsi="宋体" w:eastAsia="宋体" w:cs="宋体"/>
                <w:color w:val="auto"/>
                <w:kern w:val="2"/>
                <w:sz w:val="24"/>
                <w:szCs w:val="24"/>
                <w:highlight w:val="none"/>
                <w:lang w:val="en-US" w:eastAsia="zh-CN" w:bidi="ar-SA"/>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73F7B6A5">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合理化建议</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73365FC3">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根据磋商响应方提供的针对本项目合理化建议，是否具有可操作性、针对性，进行打分。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8A324B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14:paraId="7D7E1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BB317DA">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p>
        </w:tc>
        <w:tc>
          <w:tcPr>
            <w:tcW w:w="8529" w:type="dxa"/>
            <w:gridSpan w:val="3"/>
            <w:tcBorders>
              <w:left w:val="single" w:color="auto" w:sz="4" w:space="0"/>
              <w:bottom w:val="single" w:color="auto" w:sz="4" w:space="0"/>
              <w:right w:val="single" w:color="auto" w:sz="4" w:space="0"/>
            </w:tcBorders>
            <w:noWrap w:val="0"/>
            <w:vAlign w:val="center"/>
          </w:tcPr>
          <w:p w14:paraId="00495686">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商务、资信及其他分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CD7B389">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w:t>
            </w:r>
          </w:p>
        </w:tc>
      </w:tr>
      <w:tr w14:paraId="28D3E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6E6004B">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17</w:t>
            </w:r>
          </w:p>
        </w:tc>
        <w:tc>
          <w:tcPr>
            <w:tcW w:w="481" w:type="dxa"/>
            <w:vMerge w:val="restart"/>
            <w:tcBorders>
              <w:top w:val="single" w:color="auto" w:sz="4" w:space="0"/>
              <w:left w:val="single" w:color="auto" w:sz="4" w:space="0"/>
              <w:bottom w:val="single" w:color="auto" w:sz="4" w:space="0"/>
              <w:right w:val="single" w:color="auto" w:sz="4" w:space="0"/>
            </w:tcBorders>
            <w:noWrap w:val="0"/>
            <w:vAlign w:val="center"/>
          </w:tcPr>
          <w:p w14:paraId="00099525">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02A3865E">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体系认证</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7176A82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磋商响应方具有质量管理体系认证证书、环境管理体系认证证书、职业健康安全管理认证证书，且在有效期内，每个证书得1分，最</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得3分。</w:t>
            </w:r>
          </w:p>
          <w:p w14:paraId="3CA03B6F">
            <w:pPr>
              <w:spacing w:line="24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注：提供有效的证书复印件</w:t>
            </w:r>
            <w:r>
              <w:rPr>
                <w:rFonts w:hint="eastAsia" w:ascii="宋体" w:hAnsi="宋体" w:eastAsia="宋体" w:cs="宋体"/>
                <w:b/>
                <w:bCs/>
                <w:color w:val="auto"/>
                <w:sz w:val="24"/>
                <w:szCs w:val="24"/>
                <w:highlight w:val="none"/>
                <w:lang w:eastAsia="zh-CN"/>
              </w:rPr>
              <w:t>及</w:t>
            </w:r>
            <w:r>
              <w:rPr>
                <w:rFonts w:hint="eastAsia" w:ascii="宋体" w:hAnsi="宋体" w:eastAsia="宋体" w:cs="宋体"/>
                <w:b/>
                <w:bCs/>
                <w:color w:val="auto"/>
                <w:sz w:val="24"/>
                <w:szCs w:val="24"/>
                <w:highlight w:val="none"/>
              </w:rPr>
              <w:t>该证书在国家市场监督管理总局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全国认证认可信息公共服务平台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http://cx.cnca.cn</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上状态为“有效”的查询结果截图，以上两者材料缺一不得分</w:t>
            </w:r>
            <w:r>
              <w:rPr>
                <w:rFonts w:hint="eastAsia" w:ascii="宋体" w:hAnsi="宋体" w:eastAsia="宋体" w:cs="宋体"/>
                <w:color w:val="auto"/>
                <w:sz w:val="24"/>
                <w:szCs w:val="24"/>
                <w:highlight w:val="none"/>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B8FFF79">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05A1E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20B0DD5">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18</w:t>
            </w:r>
          </w:p>
        </w:tc>
        <w:tc>
          <w:tcPr>
            <w:tcW w:w="481" w:type="dxa"/>
            <w:vMerge w:val="continue"/>
            <w:tcBorders>
              <w:top w:val="single" w:color="auto" w:sz="4" w:space="0"/>
              <w:left w:val="single" w:color="auto" w:sz="4" w:space="0"/>
              <w:right w:val="single" w:color="auto" w:sz="4" w:space="0"/>
            </w:tcBorders>
            <w:noWrap w:val="0"/>
            <w:vAlign w:val="center"/>
          </w:tcPr>
          <w:p w14:paraId="4481995B">
            <w:pPr>
              <w:spacing w:line="360" w:lineRule="auto"/>
              <w:rPr>
                <w:rFonts w:ascii="宋体" w:hAnsi="宋体" w:eastAsia="宋体" w:cs="宋体"/>
                <w:color w:val="auto"/>
                <w:sz w:val="24"/>
                <w:szCs w:val="24"/>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7749C504">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项目业绩</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0BB25D5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磋商响应方自202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年1月以来有同类项目业绩的，每个业绩得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6CAF9E8F">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提供中标通知书或合同复印件</w:t>
            </w:r>
            <w:r>
              <w:rPr>
                <w:rFonts w:hint="eastAsia" w:ascii="宋体" w:hAnsi="宋体" w:eastAsia="宋体" w:cs="宋体"/>
                <w:b/>
                <w:bCs/>
                <w:color w:val="auto"/>
                <w:sz w:val="24"/>
                <w:szCs w:val="24"/>
                <w:highlight w:val="none"/>
                <w:lang w:eastAsia="zh-CN"/>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7055ECC">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r>
      <w:tr w14:paraId="09ACE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jc w:val="center"/>
        </w:trPr>
        <w:tc>
          <w:tcPr>
            <w:tcW w:w="740" w:type="dxa"/>
            <w:vMerge w:val="restart"/>
            <w:tcBorders>
              <w:top w:val="single" w:color="auto" w:sz="4" w:space="0"/>
              <w:left w:val="single" w:color="auto" w:sz="4" w:space="0"/>
              <w:right w:val="single" w:color="auto" w:sz="4" w:space="0"/>
            </w:tcBorders>
            <w:noWrap w:val="0"/>
            <w:vAlign w:val="center"/>
          </w:tcPr>
          <w:p w14:paraId="0679EB2A">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19</w:t>
            </w:r>
          </w:p>
        </w:tc>
        <w:tc>
          <w:tcPr>
            <w:tcW w:w="481" w:type="dxa"/>
            <w:vMerge w:val="continue"/>
            <w:tcBorders>
              <w:left w:val="single" w:color="auto" w:sz="4" w:space="0"/>
              <w:right w:val="single" w:color="auto" w:sz="4" w:space="0"/>
            </w:tcBorders>
            <w:noWrap w:val="0"/>
            <w:vAlign w:val="center"/>
          </w:tcPr>
          <w:p w14:paraId="08C65F28">
            <w:pPr>
              <w:spacing w:line="360" w:lineRule="auto"/>
              <w:rPr>
                <w:rFonts w:ascii="宋体" w:hAnsi="宋体" w:eastAsia="宋体" w:cs="宋体"/>
                <w:color w:val="auto"/>
                <w:sz w:val="24"/>
                <w:szCs w:val="24"/>
                <w:highlight w:val="none"/>
              </w:rPr>
            </w:pPr>
          </w:p>
        </w:tc>
        <w:tc>
          <w:tcPr>
            <w:tcW w:w="1367" w:type="dxa"/>
            <w:vMerge w:val="restart"/>
            <w:tcBorders>
              <w:top w:val="single" w:color="auto" w:sz="4" w:space="0"/>
              <w:left w:val="single" w:color="auto" w:sz="4" w:space="0"/>
              <w:bottom w:val="single" w:color="auto" w:sz="4" w:space="0"/>
              <w:right w:val="single" w:color="auto" w:sz="4" w:space="0"/>
            </w:tcBorders>
            <w:noWrap w:val="0"/>
            <w:vAlign w:val="center"/>
          </w:tcPr>
          <w:p w14:paraId="3B60B7B4">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售后保障</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61D4821D">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根据磋商响应方提供的售后服务方案、售后服务承诺的可行性、完整性进行打分。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ACA9251">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25E85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740" w:type="dxa"/>
            <w:vMerge w:val="continue"/>
            <w:tcBorders>
              <w:left w:val="single" w:color="auto" w:sz="4" w:space="0"/>
              <w:bottom w:val="single" w:color="auto" w:sz="4" w:space="0"/>
              <w:right w:val="single" w:color="auto" w:sz="4" w:space="0"/>
            </w:tcBorders>
            <w:noWrap w:val="0"/>
            <w:vAlign w:val="center"/>
          </w:tcPr>
          <w:p w14:paraId="44EE2CF2">
            <w:pPr>
              <w:spacing w:line="360" w:lineRule="auto"/>
              <w:jc w:val="center"/>
              <w:rPr>
                <w:rFonts w:hint="default" w:ascii="宋体" w:hAnsi="宋体" w:eastAsia="宋体" w:cs="宋体"/>
                <w:color w:val="auto"/>
                <w:kern w:val="2"/>
                <w:sz w:val="24"/>
                <w:szCs w:val="24"/>
                <w:highlight w:val="none"/>
                <w:lang w:val="en-US" w:eastAsia="zh-CN" w:bidi="ar-SA"/>
              </w:rPr>
            </w:pPr>
          </w:p>
        </w:tc>
        <w:tc>
          <w:tcPr>
            <w:tcW w:w="481" w:type="dxa"/>
            <w:vMerge w:val="continue"/>
            <w:tcBorders>
              <w:left w:val="single" w:color="auto" w:sz="4" w:space="0"/>
              <w:right w:val="single" w:color="auto" w:sz="4" w:space="0"/>
            </w:tcBorders>
            <w:noWrap w:val="0"/>
            <w:vAlign w:val="center"/>
          </w:tcPr>
          <w:p w14:paraId="56B8DB64">
            <w:pPr>
              <w:spacing w:line="360" w:lineRule="auto"/>
              <w:rPr>
                <w:rFonts w:ascii="宋体" w:hAnsi="宋体" w:eastAsia="宋体" w:cs="宋体"/>
                <w:color w:val="auto"/>
                <w:sz w:val="24"/>
                <w:szCs w:val="24"/>
                <w:highlight w:val="none"/>
              </w:rPr>
            </w:pPr>
          </w:p>
        </w:tc>
        <w:tc>
          <w:tcPr>
            <w:tcW w:w="1367" w:type="dxa"/>
            <w:vMerge w:val="continue"/>
            <w:tcBorders>
              <w:top w:val="single" w:color="auto" w:sz="4" w:space="0"/>
              <w:left w:val="single" w:color="auto" w:sz="4" w:space="0"/>
              <w:bottom w:val="single" w:color="auto" w:sz="4" w:space="0"/>
              <w:right w:val="single" w:color="auto" w:sz="4" w:space="0"/>
            </w:tcBorders>
            <w:noWrap w:val="0"/>
            <w:vAlign w:val="center"/>
          </w:tcPr>
          <w:p w14:paraId="1B2F3DD6">
            <w:pPr>
              <w:spacing w:line="240" w:lineRule="auto"/>
              <w:jc w:val="center"/>
              <w:rPr>
                <w:rFonts w:ascii="宋体" w:hAnsi="宋体" w:eastAsia="宋体" w:cs="宋体"/>
                <w:color w:val="auto"/>
                <w:sz w:val="24"/>
                <w:szCs w:val="24"/>
                <w:highlight w:val="none"/>
              </w:rPr>
            </w:pPr>
          </w:p>
        </w:tc>
        <w:tc>
          <w:tcPr>
            <w:tcW w:w="6681" w:type="dxa"/>
            <w:tcBorders>
              <w:top w:val="single" w:color="auto" w:sz="4" w:space="0"/>
              <w:left w:val="single" w:color="auto" w:sz="4" w:space="0"/>
              <w:bottom w:val="single" w:color="auto" w:sz="4" w:space="0"/>
              <w:right w:val="single" w:color="auto" w:sz="4" w:space="0"/>
            </w:tcBorders>
            <w:noWrap w:val="0"/>
            <w:vAlign w:val="center"/>
          </w:tcPr>
          <w:p w14:paraId="57BB0532">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根据磋商响应方提供售后服务的便捷性、售后服务响应时间的及时性进行打分。</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4F9223B">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r>
    </w:tbl>
    <w:p w14:paraId="0B4AF365">
      <w:pPr>
        <w:spacing w:beforeLines="50" w:afterLines="50" w:line="360" w:lineRule="auto"/>
        <w:rPr>
          <w:rFonts w:hint="eastAsia" w:ascii="宋体" w:hAnsi="宋体"/>
          <w:color w:val="auto"/>
          <w:sz w:val="24"/>
          <w:highlight w:val="none"/>
        </w:rPr>
      </w:pPr>
    </w:p>
    <w:p w14:paraId="1CCF2AB2">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1.1开启参加磋商的供应商的第一次报价。</w:t>
      </w:r>
    </w:p>
    <w:p w14:paraId="3D1618B6">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1.2磋商小组会对上述供应商的报价文件进行评审。</w:t>
      </w:r>
    </w:p>
    <w:p w14:paraId="1A4D1CBF">
      <w:pPr>
        <w:spacing w:beforeLines="50" w:afterLines="50" w:line="24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1.3第一次报价评审有效的供应商在规定时间在线进行最终报价（如果出现异常，无法通过在线提交的，供应商应及时联系采购代理机构，通过指定的电子邮箱提供（最终报价表格式见附件，指定邮箱：</w:t>
      </w:r>
      <w:r>
        <w:rPr>
          <w:rFonts w:hint="eastAsia" w:ascii="宋体" w:hAnsi="宋体" w:eastAsia="宋体" w:cs="Times New Roman"/>
          <w:color w:val="auto"/>
          <w:sz w:val="24"/>
          <w:highlight w:val="none"/>
          <w:lang w:val="en-US" w:eastAsia="zh-CN"/>
        </w:rPr>
        <w:t>376459897</w:t>
      </w:r>
      <w:r>
        <w:rPr>
          <w:rFonts w:hint="eastAsia" w:ascii="宋体" w:hAnsi="宋体" w:eastAsia="宋体" w:cs="Times New Roman"/>
          <w:color w:val="auto"/>
          <w:sz w:val="24"/>
          <w:highlight w:val="none"/>
          <w:lang w:eastAsia="zh-CN"/>
        </w:rPr>
        <w:t>@qq.com</w:t>
      </w:r>
      <w:r>
        <w:rPr>
          <w:rFonts w:hint="eastAsia" w:ascii="宋体" w:hAnsi="宋体" w:eastAsia="宋体" w:cs="Times New Roman"/>
          <w:color w:val="auto"/>
          <w:sz w:val="24"/>
          <w:highlight w:val="none"/>
        </w:rPr>
        <w:t>）。</w:t>
      </w:r>
    </w:p>
    <w:p w14:paraId="08E55FD3">
      <w:pPr>
        <w:spacing w:beforeLines="50" w:afterLines="50" w:line="24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1.4磋商小组对供应商的最终报价进行评审，磋商小组认为供应商的报价明显低于其他通过符合性审查供应商的报价，有可能影响服务质量或者不能诚信履约的，要求其在评审系统合理的时间内提供书面说明，必要时提交相关证明材料；供应商不能证明其报价合理性的，磋商小组应当将其作为无效磋商响应处理。</w:t>
      </w:r>
    </w:p>
    <w:p w14:paraId="41CF2B78">
      <w:pPr>
        <w:spacing w:beforeLines="50" w:afterLines="50" w:line="24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1.5磋商小组对最终报价审核有效的供应商，采用综合评分法进行综合评分（详见评分细则）。</w:t>
      </w:r>
    </w:p>
    <w:p w14:paraId="3676F529">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1.6磋商小组根据评审相关情况作出评审报告。</w:t>
      </w:r>
    </w:p>
    <w:p w14:paraId="658624EA">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1.7磋商结束后，在线公布最终的评审结果和成交供应商。</w:t>
      </w:r>
    </w:p>
    <w:p w14:paraId="2F64A3CC">
      <w:pPr>
        <w:spacing w:beforeLines="50" w:afterLines="50" w:line="240" w:lineRule="auto"/>
        <w:ind w:firstLine="482" w:firstLineChars="200"/>
        <w:rPr>
          <w:rFonts w:ascii="宋体" w:hAnsi="宋体"/>
          <w:b/>
          <w:bCs/>
          <w:color w:val="auto"/>
          <w:sz w:val="24"/>
          <w:highlight w:val="none"/>
        </w:rPr>
      </w:pPr>
      <w:r>
        <w:rPr>
          <w:rFonts w:hint="eastAsia" w:ascii="宋体" w:hAnsi="宋体"/>
          <w:b/>
          <w:bCs/>
          <w:color w:val="auto"/>
          <w:sz w:val="24"/>
          <w:highlight w:val="none"/>
        </w:rPr>
        <w:t>特别说明：“政采云”如对电子化磋商程序有调整的，按调整后的程序操作。</w:t>
      </w:r>
    </w:p>
    <w:bookmarkEnd w:id="35"/>
    <w:p w14:paraId="48A04A07">
      <w:pPr>
        <w:pStyle w:val="2"/>
        <w:keepNext w:val="0"/>
        <w:keepLines w:val="0"/>
        <w:pageBreakBefore/>
        <w:numPr>
          <w:ilvl w:val="0"/>
          <w:numId w:val="9"/>
        </w:numPr>
        <w:spacing w:line="240" w:lineRule="auto"/>
        <w:jc w:val="center"/>
        <w:rPr>
          <w:rFonts w:ascii="宋体" w:hAnsi="宋体" w:cs="宋体"/>
          <w:bCs w:val="0"/>
          <w:color w:val="auto"/>
          <w:sz w:val="32"/>
          <w:szCs w:val="32"/>
          <w:highlight w:val="none"/>
        </w:rPr>
      </w:pPr>
      <w:bookmarkStart w:id="38" w:name="_Toc13329"/>
      <w:r>
        <w:rPr>
          <w:rFonts w:hint="eastAsia" w:ascii="宋体" w:hAnsi="宋体" w:cs="宋体"/>
          <w:bCs w:val="0"/>
          <w:color w:val="auto"/>
          <w:sz w:val="32"/>
          <w:szCs w:val="32"/>
          <w:highlight w:val="none"/>
        </w:rPr>
        <w:t>合同主要条款</w:t>
      </w:r>
      <w:bookmarkEnd w:id="38"/>
    </w:p>
    <w:p w14:paraId="2CB12A04">
      <w:pPr>
        <w:pStyle w:val="10"/>
        <w:ind w:left="0" w:leftChars="0" w:firstLine="0" w:firstLineChars="0"/>
        <w:jc w:val="center"/>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南马镇中心小学校舍及道路改造项目</w:t>
      </w:r>
    </w:p>
    <w:p w14:paraId="070942E5">
      <w:pPr>
        <w:pStyle w:val="10"/>
        <w:ind w:left="0" w:leftChars="0" w:firstLine="0" w:firstLineChars="0"/>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44"/>
          <w:szCs w:val="44"/>
          <w:highlight w:val="none"/>
          <w:lang w:val="en-US" w:eastAsia="zh-CN"/>
        </w:rPr>
        <w:t>（磋商编号：</w:t>
      </w:r>
      <w:r>
        <w:rPr>
          <w:rFonts w:hint="eastAsia" w:ascii="宋体" w:hAnsi="宋体" w:cs="宋体"/>
          <w:b/>
          <w:bCs/>
          <w:color w:val="auto"/>
          <w:kern w:val="0"/>
          <w:sz w:val="32"/>
          <w:szCs w:val="32"/>
          <w:highlight w:val="none"/>
          <w:lang w:val="en-US" w:eastAsia="zh-CN"/>
        </w:rPr>
        <w:t>JHZZGC2025-002</w:t>
      </w:r>
      <w:r>
        <w:rPr>
          <w:rFonts w:hint="eastAsia" w:ascii="仿宋" w:hAnsi="仿宋" w:eastAsia="仿宋" w:cs="仿宋"/>
          <w:b/>
          <w:color w:val="auto"/>
          <w:sz w:val="44"/>
          <w:szCs w:val="44"/>
          <w:highlight w:val="none"/>
          <w:lang w:val="en-US" w:eastAsia="zh-CN"/>
        </w:rPr>
        <w:t>）</w:t>
      </w:r>
    </w:p>
    <w:p w14:paraId="68050C7D">
      <w:pPr>
        <w:tabs>
          <w:tab w:val="left" w:pos="0"/>
        </w:tabs>
        <w:adjustRightInd w:val="0"/>
        <w:snapToGrid w:val="0"/>
        <w:spacing w:line="360" w:lineRule="auto"/>
        <w:jc w:val="center"/>
        <w:rPr>
          <w:rFonts w:hint="eastAsia" w:ascii="仿宋" w:hAnsi="仿宋" w:eastAsia="仿宋" w:cs="仿宋"/>
          <w:b/>
          <w:color w:val="auto"/>
          <w:sz w:val="72"/>
          <w:szCs w:val="72"/>
          <w:highlight w:val="none"/>
          <w:lang w:val="en-US" w:eastAsia="zh-CN"/>
        </w:rPr>
      </w:pPr>
    </w:p>
    <w:p w14:paraId="6E1F34A4">
      <w:pPr>
        <w:tabs>
          <w:tab w:val="left" w:pos="0"/>
        </w:tabs>
        <w:adjustRightInd w:val="0"/>
        <w:snapToGrid w:val="0"/>
        <w:spacing w:line="360" w:lineRule="auto"/>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施</w:t>
      </w:r>
    </w:p>
    <w:p w14:paraId="7863B6A3">
      <w:pPr>
        <w:tabs>
          <w:tab w:val="left" w:pos="0"/>
        </w:tabs>
        <w:adjustRightInd w:val="0"/>
        <w:snapToGrid w:val="0"/>
        <w:spacing w:line="360" w:lineRule="auto"/>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工</w:t>
      </w:r>
    </w:p>
    <w:p w14:paraId="7ED5E749">
      <w:pPr>
        <w:tabs>
          <w:tab w:val="left" w:pos="0"/>
        </w:tabs>
        <w:adjustRightInd w:val="0"/>
        <w:snapToGrid w:val="0"/>
        <w:spacing w:line="360" w:lineRule="auto"/>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合</w:t>
      </w:r>
    </w:p>
    <w:p w14:paraId="696469E7">
      <w:pPr>
        <w:tabs>
          <w:tab w:val="left" w:pos="0"/>
        </w:tabs>
        <w:adjustRightInd w:val="0"/>
        <w:snapToGrid w:val="0"/>
        <w:spacing w:line="360" w:lineRule="auto"/>
        <w:jc w:val="center"/>
        <w:rPr>
          <w:rFonts w:hint="eastAsia" w:ascii="宋体" w:hAnsi="宋体" w:eastAsia="宋体" w:cs="Times New Roman"/>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同</w:t>
      </w:r>
    </w:p>
    <w:p w14:paraId="1ED35661">
      <w:pPr>
        <w:autoSpaceDE w:val="0"/>
        <w:snapToGrid w:val="0"/>
        <w:spacing w:line="440" w:lineRule="exact"/>
        <w:ind w:firstLine="1440" w:firstLineChars="200"/>
        <w:rPr>
          <w:rFonts w:hint="eastAsia" w:ascii="宋体" w:hAnsi="宋体" w:eastAsia="宋体" w:cs="Times New Roman"/>
          <w:color w:val="auto"/>
          <w:sz w:val="72"/>
          <w:szCs w:val="72"/>
          <w:highlight w:val="none"/>
        </w:rPr>
      </w:pPr>
    </w:p>
    <w:p w14:paraId="5DC3D832">
      <w:pPr>
        <w:autoSpaceDE w:val="0"/>
        <w:snapToGrid w:val="0"/>
        <w:spacing w:line="440" w:lineRule="exact"/>
        <w:ind w:firstLine="482" w:firstLineChars="200"/>
        <w:rPr>
          <w:rFonts w:hint="eastAsia" w:ascii="宋体" w:hAnsi="宋体" w:eastAsia="宋体" w:cs="Times New Roman"/>
          <w:b/>
          <w:color w:val="auto"/>
          <w:sz w:val="24"/>
          <w:szCs w:val="24"/>
          <w:highlight w:val="none"/>
        </w:rPr>
      </w:pPr>
    </w:p>
    <w:p w14:paraId="5212BEAD">
      <w:pPr>
        <w:autoSpaceDE w:val="0"/>
        <w:snapToGrid w:val="0"/>
        <w:spacing w:line="440" w:lineRule="exact"/>
        <w:ind w:firstLine="482" w:firstLineChars="200"/>
        <w:rPr>
          <w:rFonts w:hint="eastAsia" w:ascii="宋体" w:hAnsi="宋体" w:eastAsia="宋体" w:cs="Times New Roman"/>
          <w:b/>
          <w:color w:val="auto"/>
          <w:sz w:val="24"/>
          <w:szCs w:val="24"/>
          <w:highlight w:val="none"/>
        </w:rPr>
      </w:pPr>
    </w:p>
    <w:p w14:paraId="56E8B024">
      <w:pPr>
        <w:adjustRightInd w:val="0"/>
        <w:snapToGrid w:val="0"/>
        <w:spacing w:line="360" w:lineRule="auto"/>
        <w:ind w:firstLine="1084" w:firstLineChars="3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004E0F91">
      <w:pPr>
        <w:adjustRightInd w:val="0"/>
        <w:snapToGrid w:val="0"/>
        <w:spacing w:line="360" w:lineRule="auto"/>
        <w:ind w:firstLine="1084" w:firstLineChars="3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甲方</w:t>
      </w:r>
      <w:r>
        <w:rPr>
          <w:rFonts w:hint="eastAsia" w:ascii="仿宋" w:hAnsi="仿宋" w:eastAsia="仿宋" w:cs="仿宋"/>
          <w:b/>
          <w:color w:val="auto"/>
          <w:sz w:val="36"/>
          <w:szCs w:val="36"/>
          <w:highlight w:val="none"/>
        </w:rPr>
        <w:t>：</w:t>
      </w:r>
    </w:p>
    <w:p w14:paraId="757751A4">
      <w:pPr>
        <w:adjustRightInd w:val="0"/>
        <w:snapToGrid w:val="0"/>
        <w:spacing w:line="360" w:lineRule="auto"/>
        <w:ind w:firstLine="1084" w:firstLineChars="3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乙方</w:t>
      </w:r>
      <w:r>
        <w:rPr>
          <w:rFonts w:hint="eastAsia" w:ascii="仿宋" w:hAnsi="仿宋" w:eastAsia="仿宋" w:cs="仿宋"/>
          <w:b/>
          <w:color w:val="auto"/>
          <w:sz w:val="36"/>
          <w:szCs w:val="36"/>
          <w:highlight w:val="none"/>
        </w:rPr>
        <w:t>：</w:t>
      </w:r>
    </w:p>
    <w:p w14:paraId="627EB268">
      <w:pPr>
        <w:adjustRightInd w:val="0"/>
        <w:snapToGrid w:val="0"/>
        <w:spacing w:line="360" w:lineRule="auto"/>
        <w:ind w:firstLine="1084" w:firstLineChars="3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日  期： 年  月  日</w:t>
      </w:r>
    </w:p>
    <w:p w14:paraId="57624B82">
      <w:pPr>
        <w:pStyle w:val="22"/>
        <w:snapToGrid w:val="0"/>
        <w:spacing w:before="120" w:after="120" w:line="336" w:lineRule="auto"/>
        <w:rPr>
          <w:rFonts w:hAnsi="宋体"/>
          <w:color w:val="auto"/>
          <w:highlight w:val="none"/>
        </w:rPr>
      </w:pPr>
      <w:r>
        <w:rPr>
          <w:rFonts w:hAnsi="宋体"/>
          <w:color w:val="auto"/>
          <w:highlight w:val="none"/>
        </w:rPr>
        <w:t xml:space="preserve">                   </w:t>
      </w:r>
    </w:p>
    <w:p w14:paraId="5CE87EAF">
      <w:pPr>
        <w:spacing w:line="360" w:lineRule="auto"/>
        <w:ind w:firstLine="482" w:firstLineChars="200"/>
        <w:rPr>
          <w:rFonts w:hint="default" w:ascii="宋体" w:hAnsi="宋体" w:eastAsia="宋体" w:cs="Times New Roman"/>
          <w:b/>
          <w:color w:val="auto"/>
          <w:sz w:val="24"/>
          <w:szCs w:val="24"/>
          <w:highlight w:val="none"/>
          <w:u w:val="single"/>
          <w:lang w:val="en-US" w:eastAsia="zh-CN"/>
        </w:rPr>
      </w:pPr>
      <w:bookmarkStart w:id="39" w:name="_Toc351203481"/>
      <w:r>
        <w:rPr>
          <w:rFonts w:hint="eastAsia" w:ascii="宋体" w:hAnsi="宋体" w:eastAsia="宋体" w:cs="Times New Roman"/>
          <w:b/>
          <w:color w:val="auto"/>
          <w:sz w:val="24"/>
          <w:szCs w:val="24"/>
          <w:highlight w:val="none"/>
          <w:lang w:val="en-US" w:eastAsia="zh-CN"/>
        </w:rPr>
        <w:t>甲方</w:t>
      </w:r>
      <w:r>
        <w:rPr>
          <w:rFonts w:ascii="宋体" w:hAnsi="宋体" w:eastAsia="宋体" w:cs="Times New Roman"/>
          <w:b/>
          <w:color w:val="auto"/>
          <w:sz w:val="24"/>
          <w:szCs w:val="24"/>
          <w:highlight w:val="none"/>
        </w:rPr>
        <w:t>（全称）：</w:t>
      </w:r>
      <w:r>
        <w:rPr>
          <w:rFonts w:hint="eastAsia" w:ascii="宋体" w:hAnsi="宋体" w:eastAsia="宋体" w:cs="Times New Roman"/>
          <w:b/>
          <w:color w:val="auto"/>
          <w:sz w:val="24"/>
          <w:szCs w:val="24"/>
          <w:highlight w:val="none"/>
          <w:u w:val="single"/>
          <w:lang w:val="en-US" w:eastAsia="zh-CN"/>
        </w:rPr>
        <w:t xml:space="preserve">                        </w:t>
      </w:r>
    </w:p>
    <w:p w14:paraId="4B4197CF">
      <w:pPr>
        <w:spacing w:line="360" w:lineRule="auto"/>
        <w:ind w:firstLine="482" w:firstLineChars="200"/>
        <w:rPr>
          <w:rFonts w:hint="eastAsia" w:ascii="宋体" w:hAnsi="宋体" w:eastAsia="宋体" w:cs="Times New Roman"/>
          <w:b/>
          <w:color w:val="auto"/>
          <w:sz w:val="24"/>
          <w:szCs w:val="24"/>
          <w:highlight w:val="none"/>
          <w:u w:val="single"/>
          <w:lang w:eastAsia="zh-CN"/>
        </w:rPr>
      </w:pPr>
      <w:r>
        <w:rPr>
          <w:rFonts w:hint="eastAsia" w:ascii="宋体" w:hAnsi="宋体" w:eastAsia="宋体" w:cs="Times New Roman"/>
          <w:b/>
          <w:color w:val="auto"/>
          <w:sz w:val="24"/>
          <w:szCs w:val="24"/>
          <w:highlight w:val="none"/>
          <w:lang w:val="en-US" w:eastAsia="zh-CN"/>
        </w:rPr>
        <w:t>乙方</w:t>
      </w:r>
      <w:r>
        <w:rPr>
          <w:rFonts w:ascii="宋体" w:hAnsi="宋体" w:eastAsia="宋体" w:cs="Times New Roman"/>
          <w:b/>
          <w:color w:val="auto"/>
          <w:sz w:val="24"/>
          <w:szCs w:val="24"/>
          <w:highlight w:val="none"/>
        </w:rPr>
        <w:t>（全称）：</w:t>
      </w:r>
      <w:r>
        <w:rPr>
          <w:rFonts w:hint="eastAsia" w:ascii="宋体" w:hAnsi="宋体" w:eastAsia="宋体" w:cs="Times New Roman"/>
          <w:b/>
          <w:color w:val="auto"/>
          <w:sz w:val="24"/>
          <w:szCs w:val="24"/>
          <w:highlight w:val="none"/>
          <w:u w:val="single"/>
          <w:lang w:val="en-US" w:eastAsia="zh-CN"/>
        </w:rPr>
        <w:t xml:space="preserve">                        </w:t>
      </w:r>
      <w:r>
        <w:rPr>
          <w:rFonts w:hint="eastAsia" w:ascii="宋体" w:hAnsi="宋体" w:eastAsia="宋体" w:cs="Times New Roman"/>
          <w:b/>
          <w:color w:val="auto"/>
          <w:sz w:val="24"/>
          <w:szCs w:val="24"/>
          <w:highlight w:val="none"/>
          <w:u w:val="single"/>
          <w:lang w:eastAsia="zh-CN"/>
        </w:rPr>
        <w:t xml:space="preserve"> </w:t>
      </w:r>
    </w:p>
    <w:p w14:paraId="0512E896">
      <w:pPr>
        <w:spacing w:line="44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根据《中华人民共和国</w:t>
      </w:r>
      <w:r>
        <w:rPr>
          <w:rFonts w:hint="eastAsia" w:ascii="宋体" w:hAnsi="宋体" w:eastAsia="宋体" w:cs="Times New Roman"/>
          <w:color w:val="auto"/>
          <w:sz w:val="24"/>
          <w:szCs w:val="24"/>
          <w:highlight w:val="none"/>
          <w:lang w:val="en-US" w:eastAsia="zh-CN"/>
        </w:rPr>
        <w:t>民法典</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《中华人民共和国政府采购法》、</w:t>
      </w:r>
      <w:r>
        <w:rPr>
          <w:rFonts w:ascii="宋体" w:hAnsi="宋体" w:eastAsia="宋体" w:cs="Times New Roman"/>
          <w:color w:val="auto"/>
          <w:sz w:val="24"/>
          <w:szCs w:val="24"/>
          <w:highlight w:val="none"/>
        </w:rPr>
        <w:t>《中华人民共和国建筑法》及有关法律</w:t>
      </w:r>
      <w:r>
        <w:rPr>
          <w:rFonts w:ascii="宋体" w:hAnsi="宋体" w:eastAsia="宋体" w:cs="Times New Roman"/>
          <w:color w:val="auto"/>
          <w:sz w:val="24"/>
          <w:szCs w:val="24"/>
          <w:highlight w:val="none"/>
          <w:u w:val="none"/>
        </w:rPr>
        <w:t>规定，遵循平等、自愿、公平和诚实信用的原则，双方就</w:t>
      </w:r>
      <w:r>
        <w:rPr>
          <w:rFonts w:hint="eastAsia" w:ascii="宋体" w:hAnsi="宋体" w:eastAsia="宋体" w:cs="Times New Roman"/>
          <w:color w:val="auto"/>
          <w:sz w:val="24"/>
          <w:szCs w:val="24"/>
          <w:highlight w:val="none"/>
          <w:u w:val="single"/>
          <w:lang w:val="en-US" w:eastAsia="zh-CN"/>
        </w:rPr>
        <w:t>南马镇中心小学校舍及道路改造项目</w:t>
      </w:r>
      <w:r>
        <w:rPr>
          <w:rFonts w:ascii="宋体" w:hAnsi="宋体" w:eastAsia="宋体" w:cs="Times New Roman"/>
          <w:color w:val="auto"/>
          <w:sz w:val="24"/>
          <w:szCs w:val="24"/>
          <w:highlight w:val="none"/>
          <w:u w:val="none"/>
        </w:rPr>
        <w:t>施工</w:t>
      </w:r>
      <w:r>
        <w:rPr>
          <w:rFonts w:ascii="宋体" w:hAnsi="宋体" w:eastAsia="宋体" w:cs="Times New Roman"/>
          <w:color w:val="auto"/>
          <w:sz w:val="24"/>
          <w:szCs w:val="24"/>
          <w:highlight w:val="none"/>
        </w:rPr>
        <w:t>及有关事项协商一致</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共同达成如下协议：</w:t>
      </w:r>
    </w:p>
    <w:p w14:paraId="305FD311">
      <w:pPr>
        <w:pStyle w:val="5"/>
        <w:numPr>
          <w:ilvl w:val="0"/>
          <w:numId w:val="0"/>
        </w:numPr>
        <w:spacing w:before="120" w:after="120" w:line="440" w:lineRule="exact"/>
        <w:jc w:val="both"/>
        <w:rPr>
          <w:rFonts w:hint="default" w:ascii="宋体" w:hAnsi="宋体" w:eastAsia="宋体" w:cs="宋体"/>
          <w:b/>
          <w:color w:val="auto"/>
          <w:sz w:val="24"/>
          <w:szCs w:val="28"/>
          <w:highlight w:val="none"/>
          <w:lang w:val="en-US" w:eastAsia="zh-CN"/>
        </w:rPr>
      </w:pPr>
      <w:r>
        <w:rPr>
          <w:rFonts w:hint="eastAsia" w:ascii="宋体" w:hAnsi="宋体" w:eastAsia="宋体" w:cs="宋体"/>
          <w:b/>
          <w:color w:val="auto"/>
          <w:sz w:val="24"/>
          <w:szCs w:val="28"/>
          <w:highlight w:val="none"/>
          <w:lang w:val="en-US" w:eastAsia="zh-CN"/>
        </w:rPr>
        <w:t>一、合同文件</w:t>
      </w:r>
    </w:p>
    <w:p w14:paraId="3F722E9D">
      <w:pPr>
        <w:pStyle w:val="5"/>
        <w:spacing w:before="120" w:after="120" w:line="440" w:lineRule="exact"/>
        <w:ind w:firstLine="480" w:firstLineChars="200"/>
        <w:rPr>
          <w:rFonts w:ascii="宋体" w:hAnsi="宋体" w:eastAsia="宋体" w:cs="Times New Roman"/>
          <w:b w:val="0"/>
          <w:color w:val="auto"/>
          <w:kern w:val="2"/>
          <w:sz w:val="24"/>
          <w:szCs w:val="24"/>
          <w:highlight w:val="none"/>
          <w:lang w:val="en-US" w:eastAsia="zh-CN" w:bidi="ar-SA"/>
        </w:rPr>
      </w:pPr>
      <w:r>
        <w:rPr>
          <w:rFonts w:hint="eastAsia" w:ascii="宋体" w:hAnsi="宋体" w:eastAsia="宋体" w:cs="Times New Roman"/>
          <w:b w:val="0"/>
          <w:color w:val="auto"/>
          <w:kern w:val="2"/>
          <w:sz w:val="24"/>
          <w:szCs w:val="24"/>
          <w:highlight w:val="none"/>
          <w:lang w:val="en-US" w:eastAsia="zh-CN" w:bidi="ar-SA"/>
        </w:rPr>
        <w:t>磋商文件、磋商响应文件、技术澄清及询标答复的所有内容是构成合同不可分割的部分，与本合同具有同等法律效力，当文件之间、文件与本合同之间有相互矛盾之处，以有利于甲方之解释为准。</w:t>
      </w:r>
    </w:p>
    <w:p w14:paraId="4C80FA8F">
      <w:pPr>
        <w:pStyle w:val="5"/>
        <w:numPr>
          <w:ilvl w:val="0"/>
          <w:numId w:val="0"/>
        </w:numPr>
        <w:spacing w:before="120" w:after="120" w:line="440" w:lineRule="exact"/>
        <w:jc w:val="both"/>
        <w:rPr>
          <w:rFonts w:hint="eastAsia" w:ascii="宋体" w:hAnsi="宋体" w:eastAsia="宋体" w:cs="宋体"/>
          <w:b/>
          <w:color w:val="auto"/>
          <w:sz w:val="24"/>
          <w:szCs w:val="28"/>
          <w:highlight w:val="none"/>
          <w:lang w:val="en-US" w:eastAsia="zh-CN"/>
        </w:rPr>
      </w:pPr>
      <w:r>
        <w:rPr>
          <w:rFonts w:hint="eastAsia" w:ascii="宋体" w:hAnsi="宋体" w:eastAsia="宋体" w:cs="宋体"/>
          <w:b/>
          <w:color w:val="auto"/>
          <w:sz w:val="24"/>
          <w:szCs w:val="28"/>
          <w:highlight w:val="none"/>
          <w:lang w:val="en-US" w:eastAsia="zh-CN"/>
        </w:rPr>
        <w:t>二、工程概况</w:t>
      </w:r>
      <w:bookmarkEnd w:id="39"/>
    </w:p>
    <w:p w14:paraId="5B2BD07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新宋体"/>
          <w:color w:val="auto"/>
          <w:sz w:val="24"/>
          <w:highlight w:val="none"/>
          <w:lang w:eastAsia="zh-CN"/>
        </w:rPr>
      </w:pPr>
      <w:r>
        <w:rPr>
          <w:rFonts w:hint="eastAsia" w:ascii="宋体" w:hAnsi="宋体" w:cs="新宋体"/>
          <w:color w:val="auto"/>
          <w:sz w:val="24"/>
          <w:highlight w:val="none"/>
        </w:rPr>
        <w:t>建设单位：</w:t>
      </w:r>
      <w:r>
        <w:rPr>
          <w:rFonts w:hint="eastAsia" w:ascii="宋体" w:hAnsi="宋体" w:cs="新宋体"/>
          <w:color w:val="auto"/>
          <w:sz w:val="24"/>
          <w:highlight w:val="none"/>
          <w:lang w:eastAsia="zh-CN"/>
        </w:rPr>
        <w:t>东阳市南马镇中心小学</w:t>
      </w:r>
    </w:p>
    <w:p w14:paraId="0113029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新宋体"/>
          <w:color w:val="auto"/>
          <w:sz w:val="24"/>
          <w:highlight w:val="none"/>
          <w:lang w:val="en-US"/>
        </w:rPr>
      </w:pPr>
      <w:r>
        <w:rPr>
          <w:rFonts w:hint="eastAsia" w:ascii="宋体" w:hAnsi="宋体" w:cs="新宋体"/>
          <w:color w:val="auto"/>
          <w:sz w:val="24"/>
          <w:highlight w:val="none"/>
        </w:rPr>
        <w:t>建设地点：</w:t>
      </w:r>
      <w:r>
        <w:rPr>
          <w:rFonts w:hint="eastAsia" w:ascii="宋体" w:hAnsi="宋体" w:cs="新宋体"/>
          <w:color w:val="auto"/>
          <w:sz w:val="24"/>
          <w:highlight w:val="none"/>
          <w:lang w:eastAsia="zh-CN"/>
        </w:rPr>
        <w:t>东阳市南马镇中心小学</w:t>
      </w:r>
    </w:p>
    <w:p w14:paraId="2A12DA0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新宋体"/>
          <w:color w:val="auto"/>
          <w:sz w:val="24"/>
          <w:highlight w:val="none"/>
        </w:rPr>
      </w:pPr>
      <w:r>
        <w:rPr>
          <w:rFonts w:hint="eastAsia" w:ascii="宋体" w:hAnsi="宋体" w:cs="新宋体"/>
          <w:color w:val="auto"/>
          <w:sz w:val="24"/>
          <w:highlight w:val="none"/>
        </w:rPr>
        <w:t>工程规模：</w:t>
      </w:r>
      <w:r>
        <w:rPr>
          <w:rFonts w:hint="eastAsia" w:ascii="宋体" w:hAnsi="宋体" w:cs="宋体"/>
          <w:color w:val="auto"/>
          <w:sz w:val="24"/>
          <w:highlight w:val="none"/>
          <w:lang w:eastAsia="zh-CN"/>
        </w:rPr>
        <w:t>该工程由东阳市南马镇中心小学负责建设。工程建设地点位于东阳市南马镇中心小学，主要建设内容为教学楼和办公楼路面改造及绿化工程、体艺楼三楼地面改造、综合楼外墙真石改造及宿舍走廊地面、内墙及顶棚改造、西大门改造、围墙墙面改造以及垃圾间拆除新建等。</w:t>
      </w:r>
    </w:p>
    <w:p w14:paraId="56665F67">
      <w:pPr>
        <w:pStyle w:val="5"/>
        <w:numPr>
          <w:ilvl w:val="0"/>
          <w:numId w:val="0"/>
        </w:numPr>
        <w:spacing w:before="120" w:after="120" w:line="440" w:lineRule="exact"/>
        <w:jc w:val="both"/>
        <w:rPr>
          <w:rFonts w:hint="eastAsia" w:ascii="宋体" w:hAnsi="宋体" w:eastAsia="宋体" w:cs="宋体"/>
          <w:b/>
          <w:color w:val="auto"/>
          <w:sz w:val="24"/>
          <w:szCs w:val="28"/>
          <w:highlight w:val="none"/>
          <w:lang w:val="en-US" w:eastAsia="zh-CN"/>
        </w:rPr>
      </w:pPr>
      <w:r>
        <w:rPr>
          <w:rFonts w:hint="eastAsia" w:ascii="宋体" w:hAnsi="宋体" w:eastAsia="宋体" w:cs="宋体"/>
          <w:b/>
          <w:color w:val="auto"/>
          <w:sz w:val="24"/>
          <w:szCs w:val="28"/>
          <w:highlight w:val="none"/>
          <w:lang w:val="en-US" w:eastAsia="zh-CN"/>
        </w:rPr>
        <w:t xml:space="preserve"> </w:t>
      </w:r>
      <w:bookmarkStart w:id="40" w:name="_Toc351203482"/>
      <w:r>
        <w:rPr>
          <w:rFonts w:hint="eastAsia" w:ascii="宋体" w:hAnsi="宋体" w:eastAsia="宋体" w:cs="宋体"/>
          <w:b/>
          <w:color w:val="auto"/>
          <w:sz w:val="24"/>
          <w:szCs w:val="28"/>
          <w:highlight w:val="none"/>
          <w:lang w:val="en-US" w:eastAsia="zh-CN"/>
        </w:rPr>
        <w:t>三、合同工期</w:t>
      </w:r>
      <w:bookmarkEnd w:id="40"/>
    </w:p>
    <w:p w14:paraId="1C795B79">
      <w:pPr>
        <w:adjustRightInd w:val="0"/>
        <w:spacing w:line="360" w:lineRule="auto"/>
        <w:ind w:firstLine="420"/>
        <w:rPr>
          <w:rFonts w:hint="eastAsia" w:ascii="宋体" w:hAnsi="宋体" w:eastAsia="宋体"/>
          <w:b w:val="0"/>
          <w:bCs w:val="0"/>
          <w:color w:val="auto"/>
          <w:sz w:val="24"/>
          <w:szCs w:val="24"/>
          <w:highlight w:val="none"/>
          <w:u w:val="single"/>
          <w:lang w:eastAsia="zh-CN"/>
        </w:rPr>
      </w:pPr>
      <w:r>
        <w:rPr>
          <w:rFonts w:hint="eastAsia" w:ascii="宋体" w:hAnsi="宋体" w:eastAsia="宋体" w:cs="Times New Roman"/>
          <w:b w:val="0"/>
          <w:bCs w:val="0"/>
          <w:color w:val="auto"/>
          <w:sz w:val="24"/>
          <w:szCs w:val="24"/>
          <w:highlight w:val="none"/>
          <w:lang w:val="en-US" w:eastAsia="zh-CN"/>
        </w:rPr>
        <w:t>项目</w:t>
      </w:r>
      <w:r>
        <w:rPr>
          <w:rFonts w:ascii="宋体" w:hAnsi="宋体" w:eastAsia="宋体" w:cs="Times New Roman"/>
          <w:b w:val="0"/>
          <w:bCs w:val="0"/>
          <w:color w:val="auto"/>
          <w:sz w:val="24"/>
          <w:szCs w:val="24"/>
          <w:highlight w:val="none"/>
        </w:rPr>
        <w:t>工期：</w:t>
      </w:r>
      <w:bookmarkStart w:id="41" w:name="_Toc351203483"/>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45日历</w:t>
      </w:r>
      <w:r>
        <w:rPr>
          <w:rFonts w:hint="eastAsia" w:ascii="宋体" w:hAnsi="宋体" w:cs="宋体"/>
          <w:color w:val="auto"/>
          <w:sz w:val="24"/>
          <w:highlight w:val="none"/>
        </w:rPr>
        <w:t>天内完工</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每延迟一天罚</w:t>
      </w:r>
      <w:r>
        <w:rPr>
          <w:rFonts w:hint="eastAsia" w:ascii="宋体" w:hAnsi="宋体" w:cs="宋体"/>
          <w:color w:val="auto"/>
          <w:sz w:val="24"/>
          <w:highlight w:val="none"/>
          <w:u w:val="single"/>
          <w:lang w:val="en-US" w:eastAsia="zh-CN"/>
        </w:rPr>
        <w:t>1000元</w:t>
      </w:r>
      <w:r>
        <w:rPr>
          <w:rFonts w:hint="eastAsia" w:ascii="宋体" w:hAnsi="宋体" w:cs="宋体"/>
          <w:color w:val="auto"/>
          <w:sz w:val="24"/>
          <w:highlight w:val="none"/>
          <w:lang w:val="en-US" w:eastAsia="zh-CN"/>
        </w:rPr>
        <w:t>，限额为合同总价的 1 %。如果实际施工工期提前于合同工期，采购人不给予奖励。如因采购人原因造成工期延误，工期顺延。</w:t>
      </w:r>
    </w:p>
    <w:p w14:paraId="131FB30A">
      <w:pPr>
        <w:pStyle w:val="5"/>
        <w:numPr>
          <w:ilvl w:val="0"/>
          <w:numId w:val="0"/>
        </w:numPr>
        <w:spacing w:before="120" w:after="120" w:line="440" w:lineRule="exact"/>
        <w:jc w:val="both"/>
        <w:rPr>
          <w:rFonts w:hint="eastAsia" w:ascii="宋体" w:hAnsi="宋体" w:eastAsia="宋体" w:cs="宋体"/>
          <w:b/>
          <w:color w:val="auto"/>
          <w:sz w:val="24"/>
          <w:szCs w:val="28"/>
          <w:highlight w:val="none"/>
          <w:lang w:val="en-US" w:eastAsia="zh-CN"/>
        </w:rPr>
      </w:pPr>
      <w:r>
        <w:rPr>
          <w:rFonts w:hint="eastAsia" w:ascii="宋体" w:hAnsi="宋体" w:eastAsia="宋体" w:cs="宋体"/>
          <w:b/>
          <w:color w:val="auto"/>
          <w:sz w:val="24"/>
          <w:szCs w:val="28"/>
          <w:highlight w:val="none"/>
          <w:lang w:val="en-US" w:eastAsia="zh-CN"/>
        </w:rPr>
        <w:t>三、质量标准</w:t>
      </w:r>
      <w:bookmarkEnd w:id="41"/>
    </w:p>
    <w:p w14:paraId="1EB6AE60">
      <w:pPr>
        <w:spacing w:line="440" w:lineRule="exact"/>
        <w:ind w:firstLine="459"/>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工程质量</w:t>
      </w:r>
      <w:r>
        <w:rPr>
          <w:rFonts w:hint="eastAsia" w:ascii="宋体" w:hAnsi="宋体" w:eastAsia="宋体" w:cs="Times New Roman"/>
          <w:color w:val="auto"/>
          <w:sz w:val="24"/>
          <w:szCs w:val="24"/>
          <w:highlight w:val="none"/>
          <w:u w:val="single"/>
        </w:rPr>
        <w:t>符合国家相关验收合格</w:t>
      </w:r>
      <w:r>
        <w:rPr>
          <w:rFonts w:ascii="宋体" w:hAnsi="宋体" w:eastAsia="宋体" w:cs="Times New Roman"/>
          <w:color w:val="auto"/>
          <w:sz w:val="24"/>
          <w:szCs w:val="24"/>
          <w:highlight w:val="none"/>
        </w:rPr>
        <w:t>标准。</w:t>
      </w:r>
    </w:p>
    <w:p w14:paraId="0CEA6EF6">
      <w:pPr>
        <w:pStyle w:val="5"/>
        <w:numPr>
          <w:ilvl w:val="0"/>
          <w:numId w:val="0"/>
        </w:numPr>
        <w:spacing w:before="120" w:after="120" w:line="440" w:lineRule="exact"/>
        <w:jc w:val="both"/>
        <w:rPr>
          <w:rFonts w:hint="eastAsia" w:ascii="宋体" w:hAnsi="宋体" w:eastAsia="宋体" w:cs="宋体"/>
          <w:b/>
          <w:color w:val="auto"/>
          <w:sz w:val="24"/>
          <w:szCs w:val="28"/>
          <w:highlight w:val="none"/>
          <w:lang w:val="en-US" w:eastAsia="zh-CN"/>
        </w:rPr>
      </w:pPr>
      <w:bookmarkStart w:id="42" w:name="_Toc351203484"/>
      <w:r>
        <w:rPr>
          <w:rFonts w:hint="eastAsia" w:ascii="宋体" w:hAnsi="宋体" w:eastAsia="宋体" w:cs="宋体"/>
          <w:b/>
          <w:color w:val="auto"/>
          <w:sz w:val="24"/>
          <w:szCs w:val="28"/>
          <w:highlight w:val="none"/>
          <w:lang w:val="en-US" w:eastAsia="zh-CN"/>
        </w:rPr>
        <w:t>四、</w:t>
      </w:r>
      <w:bookmarkEnd w:id="42"/>
      <w:r>
        <w:rPr>
          <w:rFonts w:hint="eastAsia" w:ascii="宋体" w:hAnsi="宋体" w:eastAsia="宋体" w:cs="宋体"/>
          <w:b/>
          <w:color w:val="auto"/>
          <w:sz w:val="24"/>
          <w:szCs w:val="28"/>
          <w:highlight w:val="none"/>
          <w:lang w:val="en-US" w:eastAsia="zh-CN"/>
        </w:rPr>
        <w:t>合同金额</w:t>
      </w:r>
      <w:r>
        <w:rPr>
          <w:rFonts w:hint="eastAsia" w:ascii="宋体" w:hAnsi="宋体" w:eastAsia="宋体" w:cs="宋体"/>
          <w:b/>
          <w:color w:val="auto"/>
          <w:sz w:val="24"/>
          <w:szCs w:val="28"/>
          <w:highlight w:val="none"/>
          <w:lang w:val="en-US" w:eastAsia="zh-CN"/>
        </w:rPr>
        <w:tab/>
      </w:r>
    </w:p>
    <w:p w14:paraId="194F402A">
      <w:pPr>
        <w:pStyle w:val="22"/>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中标</w:t>
      </w:r>
      <w:r>
        <w:rPr>
          <w:rFonts w:hint="eastAsia" w:ascii="宋体" w:hAnsi="宋体" w:cs="宋体"/>
          <w:b/>
          <w:bCs/>
          <w:color w:val="auto"/>
          <w:sz w:val="24"/>
          <w:szCs w:val="24"/>
          <w:highlight w:val="none"/>
          <w:lang w:val="en-US" w:eastAsia="zh-CN"/>
        </w:rPr>
        <w:t>下浮</w:t>
      </w:r>
      <w:r>
        <w:rPr>
          <w:rFonts w:hint="eastAsia" w:ascii="宋体" w:hAnsi="宋体" w:eastAsia="宋体" w:cs="宋体"/>
          <w:b/>
          <w:bCs/>
          <w:color w:val="auto"/>
          <w:sz w:val="24"/>
          <w:szCs w:val="24"/>
          <w:highlight w:val="none"/>
          <w:lang w:eastAsia="zh-CN"/>
        </w:rPr>
        <w:t>率为</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lang w:val="en-US" w:eastAsia="zh-CN"/>
        </w:rPr>
        <w:t>。</w:t>
      </w:r>
      <w:r>
        <w:rPr>
          <w:rFonts w:hint="eastAsia" w:hAnsi="宋体" w:cs="宋体"/>
          <w:b/>
          <w:bCs/>
          <w:color w:val="auto"/>
          <w:sz w:val="24"/>
          <w:szCs w:val="24"/>
          <w:highlight w:val="none"/>
          <w:lang w:val="en-US" w:eastAsia="zh-CN"/>
        </w:rPr>
        <w:t>合同</w:t>
      </w:r>
      <w:r>
        <w:rPr>
          <w:rFonts w:hint="eastAsia" w:ascii="宋体" w:hAnsi="宋体" w:eastAsia="宋体" w:cs="宋体"/>
          <w:b/>
          <w:bCs/>
          <w:color w:val="auto"/>
          <w:sz w:val="24"/>
          <w:szCs w:val="24"/>
          <w:highlight w:val="none"/>
        </w:rPr>
        <w:t>金额(大写)：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(人民币) 小写：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元</w:t>
      </w:r>
      <w:r>
        <w:rPr>
          <w:rFonts w:hint="eastAsia" w:ascii="宋体" w:hAnsi="宋体" w:eastAsia="宋体" w:cs="宋体"/>
          <w:b/>
          <w:bCs/>
          <w:color w:val="auto"/>
          <w:sz w:val="24"/>
          <w:szCs w:val="24"/>
          <w:highlight w:val="none"/>
          <w:u w:val="none"/>
          <w:lang w:eastAsia="zh-CN"/>
        </w:rPr>
        <w:t>。</w:t>
      </w:r>
    </w:p>
    <w:p w14:paraId="25675F57">
      <w:pPr>
        <w:pStyle w:val="5"/>
        <w:numPr>
          <w:ilvl w:val="0"/>
          <w:numId w:val="0"/>
        </w:numPr>
        <w:spacing w:before="120" w:after="120" w:line="440" w:lineRule="exact"/>
        <w:jc w:val="both"/>
        <w:rPr>
          <w:rFonts w:hint="eastAsia" w:ascii="宋体" w:hAnsi="宋体" w:eastAsia="宋体" w:cs="宋体"/>
          <w:b/>
          <w:color w:val="auto"/>
          <w:sz w:val="24"/>
          <w:szCs w:val="28"/>
          <w:highlight w:val="none"/>
          <w:lang w:val="en-US" w:eastAsia="zh-CN"/>
        </w:rPr>
      </w:pPr>
      <w:bookmarkStart w:id="43" w:name="_Toc351203485"/>
      <w:r>
        <w:rPr>
          <w:rFonts w:hint="eastAsia" w:ascii="宋体" w:hAnsi="宋体" w:eastAsia="宋体" w:cs="宋体"/>
          <w:b/>
          <w:color w:val="auto"/>
          <w:sz w:val="24"/>
          <w:szCs w:val="28"/>
          <w:highlight w:val="none"/>
          <w:lang w:val="en-US" w:eastAsia="zh-CN"/>
        </w:rPr>
        <w:t>五、</w:t>
      </w:r>
      <w:bookmarkEnd w:id="43"/>
      <w:r>
        <w:rPr>
          <w:rFonts w:hint="eastAsia" w:ascii="宋体" w:hAnsi="宋体" w:eastAsia="宋体" w:cs="宋体"/>
          <w:b/>
          <w:color w:val="auto"/>
          <w:sz w:val="24"/>
          <w:szCs w:val="28"/>
          <w:highlight w:val="none"/>
          <w:lang w:val="en-US" w:eastAsia="zh-CN"/>
        </w:rPr>
        <w:t>项目经理</w:t>
      </w:r>
    </w:p>
    <w:p w14:paraId="53F43869">
      <w:pPr>
        <w:spacing w:line="440" w:lineRule="exact"/>
        <w:ind w:firstLine="480" w:firstLineChars="200"/>
        <w:rPr>
          <w:rFonts w:hint="eastAsia" w:ascii="宋体" w:hAnsi="宋体" w:eastAsia="宋体" w:cs="Times New Roman"/>
          <w:color w:val="auto"/>
          <w:sz w:val="24"/>
          <w:szCs w:val="24"/>
          <w:highlight w:val="none"/>
          <w:u w:val="none"/>
          <w:lang w:eastAsia="zh-CN"/>
        </w:rPr>
      </w:pPr>
      <w:r>
        <w:rPr>
          <w:rFonts w:ascii="宋体" w:hAnsi="宋体" w:eastAsia="宋体" w:cs="Times New Roman"/>
          <w:color w:val="auto"/>
          <w:sz w:val="24"/>
          <w:szCs w:val="24"/>
          <w:highlight w:val="none"/>
        </w:rPr>
        <w:t>项目</w:t>
      </w:r>
      <w:r>
        <w:rPr>
          <w:rFonts w:hint="eastAsia" w:ascii="宋体" w:hAnsi="宋体" w:eastAsia="宋体" w:cs="Times New Roman"/>
          <w:color w:val="auto"/>
          <w:sz w:val="24"/>
          <w:szCs w:val="24"/>
          <w:highlight w:val="none"/>
          <w:lang w:val="en-US" w:eastAsia="zh-CN"/>
        </w:rPr>
        <w:t>负责人</w:t>
      </w:r>
      <w:r>
        <w:rPr>
          <w:rFonts w:ascii="宋体" w:hAnsi="宋体" w:eastAsia="宋体" w:cs="Times New Roman"/>
          <w:color w:val="auto"/>
          <w:sz w:val="24"/>
          <w:szCs w:val="24"/>
          <w:highlight w:val="none"/>
        </w:rPr>
        <w:t>：</w:t>
      </w:r>
      <w:r>
        <w:rPr>
          <w:rFonts w:hint="eastAsia" w:ascii="_x000B__x000C_" w:hAnsi="_x000B__x000C_" w:eastAsia="宋体" w:cs="Times New Roman"/>
          <w:b/>
          <w:color w:val="auto"/>
          <w:sz w:val="24"/>
          <w:szCs w:val="28"/>
          <w:highlight w:val="none"/>
          <w:u w:val="single"/>
          <w:lang w:val="en-US" w:eastAsia="zh-CN"/>
        </w:rPr>
        <w:t xml:space="preserve">         </w:t>
      </w:r>
      <w:r>
        <w:rPr>
          <w:rFonts w:ascii="宋体" w:hAnsi="宋体" w:eastAsia="宋体" w:cs="Times New Roman"/>
          <w:color w:val="auto"/>
          <w:sz w:val="24"/>
          <w:szCs w:val="24"/>
          <w:highlight w:val="none"/>
        </w:rPr>
        <w:t>。</w:t>
      </w:r>
      <w:r>
        <w:rPr>
          <w:rFonts w:hint="eastAsia" w:ascii="宋体" w:hAnsi="宋体" w:cs="Times New Roman"/>
          <w:color w:val="auto"/>
          <w:sz w:val="24"/>
          <w:szCs w:val="24"/>
          <w:highlight w:val="none"/>
          <w:lang w:eastAsia="zh-CN"/>
        </w:rPr>
        <w:t>项目班子成员：</w:t>
      </w:r>
      <w:r>
        <w:rPr>
          <w:rFonts w:hint="eastAsia" w:ascii="_x000B__x000C_" w:hAnsi="_x000B__x000C_" w:eastAsia="宋体" w:cs="Times New Roman"/>
          <w:b/>
          <w:color w:val="auto"/>
          <w:sz w:val="24"/>
          <w:szCs w:val="28"/>
          <w:highlight w:val="none"/>
          <w:u w:val="single"/>
          <w:lang w:val="en-US" w:eastAsia="zh-CN"/>
        </w:rPr>
        <w:t xml:space="preserve">         </w:t>
      </w:r>
      <w:r>
        <w:rPr>
          <w:rFonts w:ascii="宋体" w:hAnsi="宋体" w:eastAsia="宋体" w:cs="Times New Roman"/>
          <w:color w:val="auto"/>
          <w:sz w:val="24"/>
          <w:szCs w:val="24"/>
          <w:highlight w:val="none"/>
        </w:rPr>
        <w:t>。</w:t>
      </w:r>
    </w:p>
    <w:p w14:paraId="099429D4">
      <w:pPr>
        <w:pStyle w:val="5"/>
        <w:numPr>
          <w:ilvl w:val="0"/>
          <w:numId w:val="0"/>
        </w:numPr>
        <w:spacing w:before="120" w:after="120" w:line="440" w:lineRule="exact"/>
        <w:jc w:val="both"/>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lang w:val="en-US" w:eastAsia="zh-CN"/>
        </w:rPr>
        <w:t>六、</w:t>
      </w:r>
      <w:r>
        <w:rPr>
          <w:rFonts w:hint="eastAsia" w:ascii="宋体" w:hAnsi="宋体" w:eastAsia="宋体" w:cs="宋体"/>
          <w:b/>
          <w:color w:val="auto"/>
          <w:sz w:val="24"/>
          <w:szCs w:val="28"/>
          <w:highlight w:val="none"/>
        </w:rPr>
        <w:t>合同价款</w:t>
      </w:r>
      <w:r>
        <w:rPr>
          <w:rFonts w:hint="eastAsia" w:ascii="宋体" w:hAnsi="宋体" w:eastAsia="宋体" w:cs="宋体"/>
          <w:b/>
          <w:color w:val="auto"/>
          <w:sz w:val="24"/>
          <w:szCs w:val="28"/>
          <w:highlight w:val="none"/>
          <w:lang w:eastAsia="zh-CN"/>
        </w:rPr>
        <w:t>的</w:t>
      </w:r>
      <w:r>
        <w:rPr>
          <w:rFonts w:hint="eastAsia" w:ascii="宋体" w:hAnsi="宋体" w:eastAsia="宋体" w:cs="宋体"/>
          <w:b/>
          <w:color w:val="auto"/>
          <w:sz w:val="24"/>
          <w:szCs w:val="28"/>
          <w:highlight w:val="none"/>
        </w:rPr>
        <w:t>支付</w:t>
      </w:r>
    </w:p>
    <w:p w14:paraId="799EE0E8">
      <w:pPr>
        <w:pStyle w:val="22"/>
        <w:spacing w:line="360" w:lineRule="auto"/>
        <w:rPr>
          <w:rFonts w:hint="eastAsia" w:ascii="宋体" w:hAnsi="宋体" w:eastAsia="宋体" w:cs="宋体"/>
          <w:b/>
          <w:bCs/>
          <w:color w:val="auto"/>
          <w:sz w:val="24"/>
          <w:highlight w:val="none"/>
          <w:lang w:val="en-US" w:eastAsia="zh-CN"/>
        </w:rPr>
      </w:pPr>
      <w:bookmarkStart w:id="44" w:name="_Toc351203487"/>
      <w:r>
        <w:rPr>
          <w:rFonts w:hint="eastAsia" w:ascii="宋体" w:hAnsi="宋体" w:cs="宋体"/>
          <w:b/>
          <w:bCs/>
          <w:color w:val="auto"/>
          <w:sz w:val="24"/>
          <w:highlight w:val="none"/>
          <w:lang w:val="en-US" w:eastAsia="zh-CN"/>
        </w:rPr>
        <w:t>（1）</w:t>
      </w:r>
      <w:r>
        <w:rPr>
          <w:rFonts w:hint="eastAsia" w:ascii="宋体" w:hAnsi="宋体" w:cs="宋体"/>
          <w:b/>
          <w:bCs/>
          <w:color w:val="auto"/>
          <w:sz w:val="24"/>
          <w:szCs w:val="24"/>
          <w:highlight w:val="none"/>
        </w:rPr>
        <w:t>合同生效以及具备实施条件后7个工作日内支付合同价款</w:t>
      </w:r>
      <w:r>
        <w:rPr>
          <w:rFonts w:hint="eastAsia" w:ascii="宋体" w:hAnsi="宋体" w:cs="宋体"/>
          <w:b/>
          <w:bCs/>
          <w:color w:val="auto"/>
          <w:sz w:val="24"/>
          <w:szCs w:val="24"/>
          <w:highlight w:val="none"/>
          <w:lang w:eastAsia="zh-CN"/>
        </w:rPr>
        <w:t>总额</w:t>
      </w:r>
      <w:r>
        <w:rPr>
          <w:rFonts w:hint="eastAsia" w:ascii="宋体" w:hAnsi="宋体" w:cs="宋体"/>
          <w:b/>
          <w:bCs/>
          <w:color w:val="auto"/>
          <w:sz w:val="24"/>
          <w:szCs w:val="24"/>
          <w:highlight w:val="none"/>
        </w:rPr>
        <w:t>的</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0%作为预付款</w:t>
      </w:r>
      <w:r>
        <w:rPr>
          <w:rFonts w:hint="eastAsia" w:ascii="宋体" w:hAnsi="宋体" w:cs="宋体"/>
          <w:b/>
          <w:bCs/>
          <w:color w:val="auto"/>
          <w:sz w:val="24"/>
          <w:szCs w:val="24"/>
          <w:highlight w:val="none"/>
          <w:lang w:val="en-US" w:eastAsia="zh-CN"/>
        </w:rPr>
        <w:t>（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w:t>
      </w:r>
      <w:r>
        <w:rPr>
          <w:rFonts w:hint="eastAsia" w:ascii="宋体" w:hAnsi="宋体" w:cs="宋体"/>
          <w:b/>
          <w:bCs/>
          <w:color w:val="auto"/>
          <w:sz w:val="24"/>
          <w:szCs w:val="24"/>
          <w:highlight w:val="none"/>
          <w:lang w:eastAsia="zh-CN"/>
        </w:rPr>
        <w:t>；</w:t>
      </w:r>
    </w:p>
    <w:p w14:paraId="7CC74BCD">
      <w:pPr>
        <w:pStyle w:val="5"/>
        <w:numPr>
          <w:ilvl w:val="0"/>
          <w:numId w:val="0"/>
        </w:numPr>
        <w:spacing w:before="120" w:after="120" w:line="440" w:lineRule="exact"/>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（2）完成初验后支付至85%；</w:t>
      </w:r>
    </w:p>
    <w:p w14:paraId="4C6927AF">
      <w:pPr>
        <w:pStyle w:val="5"/>
        <w:numPr>
          <w:ilvl w:val="0"/>
          <w:numId w:val="0"/>
        </w:numPr>
        <w:spacing w:before="120" w:after="120" w:line="440" w:lineRule="exact"/>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（3）全部工程竣工验收合格及结算审核完成后7个工作日支付至100%。</w:t>
      </w:r>
    </w:p>
    <w:p w14:paraId="6BF8E16A">
      <w:pPr>
        <w:pStyle w:val="5"/>
        <w:numPr>
          <w:ilvl w:val="0"/>
          <w:numId w:val="0"/>
        </w:numPr>
        <w:spacing w:before="120" w:after="120" w:line="440" w:lineRule="exact"/>
        <w:jc w:val="both"/>
        <w:rPr>
          <w:rFonts w:hint="eastAsia" w:ascii="宋体" w:hAnsi="宋体" w:eastAsia="宋体" w:cs="宋体"/>
          <w:b/>
          <w:color w:val="auto"/>
          <w:sz w:val="24"/>
          <w:szCs w:val="28"/>
          <w:highlight w:val="none"/>
          <w:lang w:val="en-US" w:eastAsia="zh-CN"/>
        </w:rPr>
      </w:pPr>
      <w:r>
        <w:rPr>
          <w:rFonts w:hint="eastAsia" w:ascii="宋体" w:hAnsi="宋体" w:eastAsia="宋体" w:cs="宋体"/>
          <w:b/>
          <w:color w:val="auto"/>
          <w:sz w:val="24"/>
          <w:szCs w:val="28"/>
          <w:highlight w:val="none"/>
          <w:lang w:val="en-US" w:eastAsia="zh-CN"/>
        </w:rPr>
        <w:t>七、履约保证金</w:t>
      </w:r>
    </w:p>
    <w:p w14:paraId="0D3347BA">
      <w:pPr>
        <w:pStyle w:val="5"/>
        <w:numPr>
          <w:ilvl w:val="0"/>
          <w:numId w:val="0"/>
        </w:numPr>
        <w:spacing w:before="120" w:after="120" w:line="440" w:lineRule="exact"/>
        <w:ind w:firstLine="480" w:firstLineChars="200"/>
        <w:jc w:val="both"/>
        <w:rPr>
          <w:rFonts w:hint="default"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履约保证金为合同金额的1%，共计人民币</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ascii="宋体" w:hAnsi="宋体" w:eastAsia="宋体" w:cs="宋体"/>
          <w:b w:val="0"/>
          <w:color w:val="auto"/>
          <w:kern w:val="0"/>
          <w:sz w:val="24"/>
          <w:szCs w:val="24"/>
          <w:highlight w:val="none"/>
          <w:lang w:val="en-US" w:eastAsia="zh-CN" w:bidi="ar-SA"/>
        </w:rPr>
        <w:t>元。履约保证金在项目验收合格后15个工作日内退还（不计息）。</w:t>
      </w:r>
    </w:p>
    <w:p w14:paraId="1551ACE7">
      <w:pPr>
        <w:pStyle w:val="5"/>
        <w:numPr>
          <w:ilvl w:val="0"/>
          <w:numId w:val="0"/>
        </w:numPr>
        <w:spacing w:before="120" w:after="120" w:line="440" w:lineRule="exact"/>
        <w:jc w:val="both"/>
        <w:rPr>
          <w:rFonts w:hint="default" w:ascii="宋体" w:hAnsi="宋体" w:eastAsia="宋体" w:cs="宋体"/>
          <w:b/>
          <w:color w:val="auto"/>
          <w:sz w:val="24"/>
          <w:szCs w:val="28"/>
          <w:highlight w:val="none"/>
          <w:lang w:val="en-US" w:eastAsia="zh-CN"/>
        </w:rPr>
      </w:pPr>
      <w:r>
        <w:rPr>
          <w:rFonts w:hint="eastAsia" w:ascii="宋体" w:hAnsi="宋体" w:eastAsia="宋体" w:cs="宋体"/>
          <w:b/>
          <w:color w:val="auto"/>
          <w:sz w:val="24"/>
          <w:szCs w:val="28"/>
          <w:highlight w:val="none"/>
          <w:lang w:val="en-US" w:eastAsia="zh-CN"/>
        </w:rPr>
        <w:t>八、甲乙双方约定</w:t>
      </w:r>
    </w:p>
    <w:p w14:paraId="51AD62EB">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甲方应在开工前,向乙方提供经确认的施工图纸或做法说明,并向乙方进行现场交底。向乙方提供施工所需的水、电等</w:t>
      </w:r>
      <w:r>
        <w:rPr>
          <w:rFonts w:hint="eastAsia" w:ascii="宋体" w:hAnsi="宋体" w:cs="宋体"/>
          <w:color w:val="auto"/>
          <w:kern w:val="0"/>
          <w:sz w:val="24"/>
          <w:highlight w:val="none"/>
          <w:lang w:val="en-US" w:eastAsia="zh-CN"/>
        </w:rPr>
        <w:t>,费用由乙方自行承担</w:t>
      </w:r>
      <w:r>
        <w:rPr>
          <w:rFonts w:hint="eastAsia" w:ascii="宋体" w:hAnsi="宋体" w:cs="宋体"/>
          <w:color w:val="auto"/>
          <w:kern w:val="0"/>
          <w:sz w:val="24"/>
          <w:highlight w:val="none"/>
        </w:rPr>
        <w:t>,并说明使用注意事项。办理施工所涉及的各种申请、审批等手续。</w:t>
      </w:r>
    </w:p>
    <w:p w14:paraId="526126DD">
      <w:pPr>
        <w:widowControl/>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乙方应严格执行施工规范、安全操作规程、防火安全规定、环境保护规定。严格按照图纸或做法说明进行施工,做好各项质量检查记录。</w:t>
      </w:r>
      <w:r>
        <w:rPr>
          <w:rFonts w:hint="eastAsia" w:ascii="宋体" w:hAnsi="宋体"/>
          <w:color w:val="auto"/>
          <w:sz w:val="24"/>
          <w:highlight w:val="none"/>
        </w:rPr>
        <w:t>施工期间,</w:t>
      </w:r>
      <w:r>
        <w:rPr>
          <w:rFonts w:hint="eastAsia" w:ascii="宋体" w:hAnsi="宋体" w:cs="宋体"/>
          <w:color w:val="auto"/>
          <w:kern w:val="0"/>
          <w:sz w:val="24"/>
          <w:highlight w:val="none"/>
        </w:rPr>
        <w:t xml:space="preserve"> 乙方</w:t>
      </w:r>
      <w:r>
        <w:rPr>
          <w:rFonts w:hint="eastAsia" w:ascii="宋体" w:hAnsi="宋体"/>
          <w:color w:val="auto"/>
          <w:sz w:val="24"/>
          <w:highlight w:val="none"/>
        </w:rPr>
        <w:t>发生人身安全和交通安全等大小事故，一切责任和经济补偿均由</w:t>
      </w:r>
      <w:r>
        <w:rPr>
          <w:rFonts w:hint="eastAsia" w:ascii="宋体" w:hAnsi="宋体" w:cs="宋体"/>
          <w:color w:val="auto"/>
          <w:kern w:val="0"/>
          <w:sz w:val="24"/>
          <w:highlight w:val="none"/>
        </w:rPr>
        <w:t>乙方</w:t>
      </w:r>
      <w:r>
        <w:rPr>
          <w:rFonts w:hint="eastAsia" w:ascii="宋体" w:hAnsi="宋体"/>
          <w:color w:val="auto"/>
          <w:sz w:val="24"/>
          <w:highlight w:val="none"/>
        </w:rPr>
        <w:t>负责。</w:t>
      </w:r>
    </w:p>
    <w:p w14:paraId="4CBF1184">
      <w:pPr>
        <w:widowControl/>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乙方应遵守国家或地方政府及有关部门对施工现场管理的规定,妥善保护好施工现场周围建筑物、设备管线不受损坏。做好施工现场保卫和垃圾</w:t>
      </w:r>
      <w:r>
        <w:rPr>
          <w:rFonts w:hint="eastAsia" w:ascii="宋体" w:hAnsi="宋体" w:cs="宋体"/>
          <w:color w:val="auto"/>
          <w:kern w:val="0"/>
          <w:sz w:val="24"/>
          <w:highlight w:val="none"/>
          <w:lang w:eastAsia="zh-CN"/>
        </w:rPr>
        <w:t>消纳</w:t>
      </w:r>
      <w:r>
        <w:rPr>
          <w:rFonts w:hint="eastAsia" w:ascii="宋体" w:hAnsi="宋体" w:cs="宋体"/>
          <w:color w:val="auto"/>
          <w:kern w:val="0"/>
          <w:sz w:val="24"/>
          <w:highlight w:val="none"/>
        </w:rPr>
        <w:t>等工作。</w:t>
      </w:r>
    </w:p>
    <w:p w14:paraId="263DA110">
      <w:pPr>
        <w:widowControl/>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本工程工期为</w:t>
      </w: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45日历</w:t>
      </w:r>
      <w:r>
        <w:rPr>
          <w:rFonts w:hint="eastAsia" w:ascii="宋体" w:hAnsi="宋体" w:cs="宋体"/>
          <w:color w:val="auto"/>
          <w:sz w:val="24"/>
          <w:highlight w:val="none"/>
        </w:rPr>
        <w:t>天内完工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每延迟一天罚</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00元，限额为合同总价的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%。如果实际施工工期提前于合同工期，甲方不给予奖励。如因甲方原因造成工期延误，工期顺延。</w:t>
      </w:r>
      <w:r>
        <w:rPr>
          <w:rFonts w:hint="eastAsia" w:ascii="宋体" w:hAnsi="宋体" w:eastAsia="宋体" w:cs="宋体"/>
          <w:color w:val="auto"/>
          <w:kern w:val="0"/>
          <w:sz w:val="24"/>
          <w:szCs w:val="24"/>
          <w:highlight w:val="none"/>
        </w:rPr>
        <w:t>乙方应按约定完成施工任务。</w:t>
      </w:r>
    </w:p>
    <w:p w14:paraId="1C600D78">
      <w:pPr>
        <w:spacing w:line="360" w:lineRule="auto"/>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sz w:val="24"/>
          <w:szCs w:val="24"/>
          <w:highlight w:val="none"/>
        </w:rPr>
        <w:t>双方约定工期顺延的其他情况：对以下原因造成竣工日期推迟的，经甲方确认后，工期延长由双方协商解决：</w:t>
      </w:r>
    </w:p>
    <w:p w14:paraId="34AB78E4">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（1）由甲方原因造成的工期延误；（2）不可抗力原因造成的工期延误；（3）其它原因造成的工期延误由承包方负责；（4）工期延误除双方协商工期签证外，所产生的任何费用不计。</w:t>
      </w:r>
    </w:p>
    <w:p w14:paraId="1C3A26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本工程质量应达到国家质量评定合格标准。</w:t>
      </w:r>
      <w:r>
        <w:rPr>
          <w:rFonts w:hint="eastAsia" w:ascii="宋体" w:hAnsi="宋体" w:eastAsia="宋体" w:cs="宋体"/>
          <w:color w:val="auto"/>
          <w:sz w:val="24"/>
          <w:szCs w:val="24"/>
          <w:highlight w:val="none"/>
        </w:rPr>
        <w:t>如达不到约定的质量标准，甲方可要求乙方返工，直至达到约定的质量标准，并由乙方承担返工的一切费用，返工后仍达不到约定的质量标准，由乙方承担违约责任，并按合同总价格</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%支付赔偿金。</w:t>
      </w:r>
    </w:p>
    <w:p w14:paraId="6627E5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sz w:val="24"/>
          <w:szCs w:val="24"/>
          <w:highlight w:val="none"/>
        </w:rPr>
        <w:t>因甲方原因达不到约定的质量标准时，由甲方承担返工的经济支出，工期相应顺延。</w:t>
      </w:r>
    </w:p>
    <w:p w14:paraId="5E61A8D9">
      <w:pPr>
        <w:adjustRightInd w:val="0"/>
        <w:spacing w:line="400" w:lineRule="exact"/>
        <w:jc w:val="left"/>
        <w:rPr>
          <w:rFonts w:hint="default" w:ascii="宋体" w:hAnsi="宋体" w:cs="Times New Roman"/>
          <w:b/>
          <w:bCs/>
          <w:color w:val="auto"/>
          <w:kern w:val="2"/>
          <w:sz w:val="24"/>
          <w:szCs w:val="24"/>
          <w:highlight w:val="none"/>
          <w:lang w:eastAsia="zh-CN" w:bidi="ar-SA"/>
        </w:rPr>
      </w:pPr>
      <w:r>
        <w:rPr>
          <w:rFonts w:hint="eastAsia" w:ascii="宋体" w:hAnsi="宋体" w:cs="Times New Roman"/>
          <w:b/>
          <w:bCs/>
          <w:color w:val="auto"/>
          <w:kern w:val="2"/>
          <w:sz w:val="24"/>
          <w:szCs w:val="24"/>
          <w:highlight w:val="none"/>
          <w:lang w:val="en-US" w:eastAsia="zh-CN" w:bidi="ar-SA"/>
        </w:rPr>
        <w:t>九、</w:t>
      </w:r>
      <w:r>
        <w:rPr>
          <w:rFonts w:hint="eastAsia" w:ascii="宋体" w:hAnsi="宋体" w:eastAsia="宋体" w:cs="Times New Roman"/>
          <w:b/>
          <w:bCs/>
          <w:color w:val="auto"/>
          <w:kern w:val="2"/>
          <w:sz w:val="24"/>
          <w:szCs w:val="24"/>
          <w:highlight w:val="none"/>
          <w:lang w:val="en-US" w:eastAsia="zh-CN" w:bidi="ar-SA"/>
        </w:rPr>
        <w:t>农</w:t>
      </w:r>
      <w:r>
        <w:rPr>
          <w:rFonts w:hint="default" w:ascii="宋体" w:hAnsi="宋体" w:eastAsia="宋体" w:cs="Times New Roman"/>
          <w:b/>
          <w:bCs/>
          <w:color w:val="auto"/>
          <w:kern w:val="2"/>
          <w:sz w:val="24"/>
          <w:szCs w:val="24"/>
          <w:highlight w:val="none"/>
          <w:lang w:val="en-US" w:eastAsia="zh-CN" w:bidi="ar-SA"/>
        </w:rPr>
        <w:t>民工工资相关</w:t>
      </w:r>
      <w:r>
        <w:rPr>
          <w:rFonts w:hint="default" w:ascii="宋体" w:hAnsi="宋体" w:cs="Times New Roman"/>
          <w:b/>
          <w:bCs/>
          <w:color w:val="auto"/>
          <w:kern w:val="2"/>
          <w:sz w:val="24"/>
          <w:szCs w:val="24"/>
          <w:highlight w:val="none"/>
          <w:lang w:eastAsia="zh-CN" w:bidi="ar-SA"/>
        </w:rPr>
        <w:t>要求：</w:t>
      </w:r>
    </w:p>
    <w:p w14:paraId="701D594C">
      <w:pPr>
        <w:adjustRightInd w:val="0"/>
        <w:spacing w:line="400" w:lineRule="exact"/>
        <w:ind w:firstLine="240" w:firstLineChars="100"/>
        <w:jc w:val="left"/>
        <w:rPr>
          <w:color w:val="auto"/>
          <w:highlight w:val="none"/>
        </w:rPr>
      </w:pPr>
      <w:r>
        <w:rPr>
          <w:rFonts w:hint="eastAsia" w:ascii="宋体" w:hAnsi="宋体" w:eastAsia="宋体" w:cs="Times New Roman"/>
          <w:color w:val="auto"/>
          <w:kern w:val="2"/>
          <w:sz w:val="24"/>
          <w:szCs w:val="24"/>
          <w:highlight w:val="none"/>
          <w:lang w:val="en-US" w:eastAsia="zh-CN" w:bidi="ar-SA"/>
        </w:rPr>
        <w:t>农</w:t>
      </w:r>
      <w:r>
        <w:rPr>
          <w:rFonts w:hint="default" w:ascii="宋体" w:hAnsi="宋体" w:eastAsia="宋体" w:cs="Times New Roman"/>
          <w:color w:val="auto"/>
          <w:kern w:val="2"/>
          <w:sz w:val="24"/>
          <w:szCs w:val="24"/>
          <w:highlight w:val="none"/>
          <w:lang w:val="en-US" w:eastAsia="zh-CN" w:bidi="ar-SA"/>
        </w:rPr>
        <w:t>民工工资相关的管理、认定、支付等事项按按东阳市根治欠薪工作领导小组办公室《关于落实“两备案一承诺”制度的通知》文件执行。施工单位应按时支付农民工工资</w:t>
      </w:r>
      <w:r>
        <w:rPr>
          <w:rFonts w:hint="eastAsia" w:ascii="宋体" w:hAnsi="宋体" w:eastAsia="宋体" w:cs="Times New Roman"/>
          <w:color w:val="auto"/>
          <w:kern w:val="2"/>
          <w:sz w:val="24"/>
          <w:szCs w:val="24"/>
          <w:highlight w:val="none"/>
          <w:lang w:val="en-US" w:eastAsia="zh-CN" w:bidi="ar-SA"/>
        </w:rPr>
        <w:t>。</w:t>
      </w:r>
    </w:p>
    <w:p w14:paraId="318588CA">
      <w:pPr>
        <w:pStyle w:val="5"/>
        <w:numPr>
          <w:ilvl w:val="0"/>
          <w:numId w:val="0"/>
        </w:numPr>
        <w:spacing w:before="120" w:after="120" w:line="440" w:lineRule="exact"/>
        <w:jc w:val="both"/>
        <w:rPr>
          <w:rFonts w:hint="default" w:ascii="宋体" w:hAnsi="宋体" w:eastAsia="宋体" w:cs="宋体"/>
          <w:b/>
          <w:color w:val="auto"/>
          <w:sz w:val="24"/>
          <w:szCs w:val="28"/>
          <w:highlight w:val="none"/>
          <w:lang w:val="en-US" w:eastAsia="zh-CN"/>
        </w:rPr>
      </w:pPr>
      <w:r>
        <w:rPr>
          <w:rFonts w:hint="eastAsia" w:ascii="宋体" w:hAnsi="宋体" w:eastAsia="宋体" w:cs="宋体"/>
          <w:b/>
          <w:color w:val="auto"/>
          <w:sz w:val="24"/>
          <w:szCs w:val="28"/>
          <w:highlight w:val="none"/>
          <w:lang w:val="en-US" w:eastAsia="zh-CN"/>
        </w:rPr>
        <w:t>十、</w:t>
      </w:r>
      <w:bookmarkEnd w:id="44"/>
      <w:r>
        <w:rPr>
          <w:rFonts w:hint="eastAsia" w:ascii="宋体" w:hAnsi="宋体" w:eastAsia="宋体" w:cs="宋体"/>
          <w:b/>
          <w:color w:val="auto"/>
          <w:sz w:val="24"/>
          <w:szCs w:val="28"/>
          <w:highlight w:val="none"/>
          <w:lang w:val="en-US" w:eastAsia="zh-CN"/>
        </w:rPr>
        <w:t>其他相关要求</w:t>
      </w:r>
    </w:p>
    <w:p w14:paraId="1CC7AB95">
      <w:pPr>
        <w:widowControl/>
        <w:spacing w:line="360" w:lineRule="auto"/>
        <w:ind w:firstLine="480" w:firstLineChars="200"/>
        <w:rPr>
          <w:rFonts w:hint="eastAsia" w:ascii="宋体" w:hAnsi="宋体"/>
          <w:color w:val="auto"/>
          <w:sz w:val="24"/>
          <w:highlight w:val="none"/>
        </w:rPr>
      </w:pPr>
      <w:bookmarkStart w:id="45" w:name="_Toc351203488"/>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用于</w:t>
      </w:r>
      <w:r>
        <w:rPr>
          <w:rFonts w:hint="eastAsia" w:ascii="宋体" w:hAnsi="宋体"/>
          <w:color w:val="auto"/>
          <w:sz w:val="24"/>
          <w:highlight w:val="none"/>
        </w:rPr>
        <w:t>本工程所用材料品质必须是正品，质量必须合格</w:t>
      </w:r>
      <w:r>
        <w:rPr>
          <w:rFonts w:hint="eastAsia" w:ascii="宋体" w:hAnsi="宋体"/>
          <w:color w:val="auto"/>
          <w:szCs w:val="21"/>
          <w:highlight w:val="none"/>
        </w:rPr>
        <w:t>，</w:t>
      </w:r>
      <w:r>
        <w:rPr>
          <w:rFonts w:hint="eastAsia" w:ascii="宋体" w:hAnsi="宋体"/>
          <w:color w:val="auto"/>
          <w:sz w:val="24"/>
          <w:highlight w:val="none"/>
        </w:rPr>
        <w:t>并应符合施工和验收规范要求，进场后应按规定验收和试验、鉴定合格后方可使用于工程。</w:t>
      </w:r>
    </w:p>
    <w:p w14:paraId="396F7A66">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施工单位对防治扬尘污染的管理按《东阳市建设工程扬尘污染防治管理办法》（东政发（2015）45号）文件执行。</w:t>
      </w:r>
    </w:p>
    <w:p w14:paraId="5003C5D5">
      <w:pPr>
        <w:spacing w:line="440" w:lineRule="exact"/>
        <w:rPr>
          <w:rFonts w:hint="eastAsia" w:ascii="宋体" w:hAnsi="宋体" w:eastAsia="宋体" w:cs="宋体"/>
          <w:b/>
          <w:bCs/>
          <w:color w:val="auto"/>
          <w:sz w:val="24"/>
          <w:szCs w:val="28"/>
          <w:highlight w:val="none"/>
        </w:rPr>
      </w:pPr>
      <w:r>
        <w:rPr>
          <w:rFonts w:hint="eastAsia" w:ascii="宋体" w:hAnsi="宋体" w:eastAsia="宋体" w:cs="Times New Roman"/>
          <w:b/>
          <w:color w:val="auto"/>
          <w:sz w:val="24"/>
          <w:szCs w:val="24"/>
          <w:highlight w:val="none"/>
          <w:lang w:val="en-US" w:eastAsia="zh-CN"/>
        </w:rPr>
        <w:t>十</w:t>
      </w:r>
      <w:r>
        <w:rPr>
          <w:rFonts w:hint="eastAsia" w:ascii="宋体" w:hAnsi="宋体" w:cs="Times New Roman"/>
          <w:b/>
          <w:color w:val="auto"/>
          <w:sz w:val="24"/>
          <w:szCs w:val="24"/>
          <w:highlight w:val="none"/>
          <w:lang w:val="en-US" w:eastAsia="zh-CN"/>
        </w:rPr>
        <w:t>一</w:t>
      </w:r>
      <w:r>
        <w:rPr>
          <w:rFonts w:hint="eastAsia" w:ascii="宋体" w:hAnsi="宋体" w:eastAsia="宋体" w:cs="宋体"/>
          <w:b/>
          <w:bCs/>
          <w:color w:val="auto"/>
          <w:sz w:val="24"/>
          <w:szCs w:val="28"/>
          <w:highlight w:val="none"/>
          <w:lang w:val="en-US" w:eastAsia="zh-CN"/>
        </w:rPr>
        <w:t>、</w:t>
      </w:r>
      <w:r>
        <w:rPr>
          <w:rFonts w:hint="eastAsia" w:ascii="宋体" w:hAnsi="宋体" w:eastAsia="宋体" w:cs="宋体"/>
          <w:b/>
          <w:bCs/>
          <w:color w:val="auto"/>
          <w:sz w:val="24"/>
          <w:szCs w:val="28"/>
          <w:highlight w:val="none"/>
        </w:rPr>
        <w:t>工程</w:t>
      </w:r>
      <w:r>
        <w:rPr>
          <w:rFonts w:hint="eastAsia" w:ascii="宋体" w:hAnsi="宋体" w:eastAsia="宋体" w:cs="宋体"/>
          <w:b/>
          <w:bCs/>
          <w:color w:val="auto"/>
          <w:sz w:val="24"/>
          <w:szCs w:val="28"/>
          <w:highlight w:val="none"/>
          <w:lang w:val="en-US" w:eastAsia="zh-CN"/>
        </w:rPr>
        <w:t>质保期及</w:t>
      </w:r>
      <w:r>
        <w:rPr>
          <w:rFonts w:hint="eastAsia" w:ascii="宋体" w:hAnsi="宋体" w:eastAsia="宋体" w:cs="宋体"/>
          <w:b/>
          <w:bCs/>
          <w:color w:val="auto"/>
          <w:sz w:val="24"/>
          <w:szCs w:val="28"/>
          <w:highlight w:val="none"/>
        </w:rPr>
        <w:t>保修：</w:t>
      </w:r>
    </w:p>
    <w:p w14:paraId="5D570294">
      <w:pPr>
        <w:spacing w:line="440" w:lineRule="exact"/>
        <w:ind w:firstLine="480" w:firstLineChars="200"/>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1.施工质保期</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u w:val="none"/>
          <w:lang w:val="en-US" w:eastAsia="zh-CN"/>
        </w:rPr>
        <w:t>年</w:t>
      </w:r>
      <w:r>
        <w:rPr>
          <w:rFonts w:hint="eastAsia" w:ascii="宋体" w:hAnsi="宋体" w:eastAsia="宋体" w:cs="宋体"/>
          <w:color w:val="auto"/>
          <w:sz w:val="24"/>
          <w:szCs w:val="28"/>
          <w:highlight w:val="none"/>
          <w:lang w:val="en-US" w:eastAsia="zh-CN"/>
        </w:rPr>
        <w:t>，自验收合格之日起计算。</w:t>
      </w:r>
    </w:p>
    <w:p w14:paraId="26BCAC7B">
      <w:pPr>
        <w:spacing w:line="44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2.</w:t>
      </w:r>
      <w:r>
        <w:rPr>
          <w:rFonts w:hint="eastAsia" w:ascii="宋体" w:hAnsi="宋体" w:eastAsia="宋体" w:cs="宋体"/>
          <w:color w:val="auto"/>
          <w:sz w:val="24"/>
          <w:szCs w:val="28"/>
          <w:highlight w:val="none"/>
        </w:rPr>
        <w:t>全部合同工程竣工后，仍由</w:t>
      </w:r>
      <w:r>
        <w:rPr>
          <w:rFonts w:hint="eastAsia" w:ascii="宋体" w:hAnsi="宋体" w:eastAsia="宋体" w:cs="宋体"/>
          <w:color w:val="auto"/>
          <w:sz w:val="24"/>
          <w:szCs w:val="28"/>
          <w:highlight w:val="none"/>
          <w:lang w:val="en-US" w:eastAsia="zh-CN"/>
        </w:rPr>
        <w:t>乙</w:t>
      </w:r>
      <w:r>
        <w:rPr>
          <w:rFonts w:hint="eastAsia" w:ascii="宋体" w:hAnsi="宋体" w:eastAsia="宋体" w:cs="宋体"/>
          <w:color w:val="auto"/>
          <w:sz w:val="24"/>
          <w:szCs w:val="28"/>
          <w:highlight w:val="none"/>
        </w:rPr>
        <w:t>方对工程质量实施保修，保修责任和办法按建设部《建设工程质量管理条例》执行。</w:t>
      </w:r>
    </w:p>
    <w:bookmarkEnd w:id="45"/>
    <w:p w14:paraId="0C7A0F7F">
      <w:pPr>
        <w:spacing w:line="440" w:lineRule="exact"/>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十</w:t>
      </w:r>
      <w:r>
        <w:rPr>
          <w:rFonts w:hint="eastAsia" w:ascii="宋体" w:hAnsi="宋体" w:cs="宋体"/>
          <w:b/>
          <w:bCs w:val="0"/>
          <w:color w:val="auto"/>
          <w:sz w:val="24"/>
          <w:szCs w:val="28"/>
          <w:highlight w:val="none"/>
          <w:lang w:val="en-US" w:eastAsia="zh-CN"/>
        </w:rPr>
        <w:t>二</w:t>
      </w:r>
      <w:r>
        <w:rPr>
          <w:rFonts w:hint="eastAsia" w:ascii="宋体" w:hAnsi="宋体" w:eastAsia="宋体" w:cs="Times New Roman"/>
          <w:b/>
          <w:color w:val="auto"/>
          <w:sz w:val="24"/>
          <w:szCs w:val="24"/>
          <w:highlight w:val="none"/>
        </w:rPr>
        <w:t>、转包或分包</w:t>
      </w:r>
    </w:p>
    <w:p w14:paraId="2068AE64">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2EEBB471">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hint="eastAsia"/>
          <w:color w:val="auto"/>
          <w:highlight w:val="none"/>
        </w:rPr>
      </w:pPr>
      <w:r>
        <w:rPr>
          <w:rFonts w:hint="eastAsia" w:ascii="宋体" w:hAnsi="宋体" w:cs="宋体"/>
          <w:color w:val="auto"/>
          <w:kern w:val="0"/>
          <w:sz w:val="24"/>
          <w:highlight w:val="none"/>
        </w:rPr>
        <w:t>2.本项目</w:t>
      </w:r>
      <w:r>
        <w:rPr>
          <w:rFonts w:hint="eastAsia" w:ascii="宋体" w:hAnsi="宋体" w:cs="宋体"/>
          <w:color w:val="auto"/>
          <w:kern w:val="0"/>
          <w:sz w:val="24"/>
          <w:highlight w:val="none"/>
          <w:lang w:val="en-US" w:eastAsia="zh-CN"/>
        </w:rPr>
        <w:t>分包按照浙采监【2022】3号文件执行</w:t>
      </w:r>
      <w:r>
        <w:rPr>
          <w:rFonts w:hint="eastAsia" w:ascii="宋体" w:hAnsi="宋体" w:cs="宋体"/>
          <w:color w:val="auto"/>
          <w:kern w:val="0"/>
          <w:sz w:val="24"/>
          <w:highlight w:val="none"/>
        </w:rPr>
        <w:t>。</w:t>
      </w:r>
    </w:p>
    <w:p w14:paraId="1D6489C4">
      <w:pPr>
        <w:spacing w:line="440" w:lineRule="exact"/>
        <w:rPr>
          <w:rFonts w:hint="eastAsia" w:ascii="宋体" w:hAnsi="宋体" w:eastAsia="宋体" w:cs="宋体"/>
          <w:b/>
          <w:bCs w:val="0"/>
          <w:color w:val="auto"/>
          <w:sz w:val="24"/>
          <w:szCs w:val="28"/>
          <w:highlight w:val="none"/>
        </w:rPr>
      </w:pPr>
      <w:r>
        <w:rPr>
          <w:rFonts w:hint="eastAsia" w:ascii="宋体" w:hAnsi="宋体" w:eastAsia="宋体" w:cs="宋体"/>
          <w:b/>
          <w:bCs w:val="0"/>
          <w:color w:val="auto"/>
          <w:sz w:val="24"/>
          <w:szCs w:val="28"/>
          <w:highlight w:val="none"/>
        </w:rPr>
        <w:t>十</w:t>
      </w:r>
      <w:r>
        <w:rPr>
          <w:rFonts w:hint="eastAsia" w:ascii="宋体" w:hAnsi="宋体" w:cs="宋体"/>
          <w:b/>
          <w:bCs w:val="0"/>
          <w:color w:val="auto"/>
          <w:sz w:val="24"/>
          <w:szCs w:val="28"/>
          <w:highlight w:val="none"/>
          <w:lang w:val="en-US" w:eastAsia="zh-CN"/>
        </w:rPr>
        <w:t>三</w:t>
      </w:r>
      <w:r>
        <w:rPr>
          <w:rFonts w:hint="eastAsia" w:ascii="宋体" w:hAnsi="宋体" w:eastAsia="宋体" w:cs="宋体"/>
          <w:b/>
          <w:bCs w:val="0"/>
          <w:color w:val="auto"/>
          <w:sz w:val="24"/>
          <w:szCs w:val="28"/>
          <w:highlight w:val="none"/>
        </w:rPr>
        <w:t>、不可抗力事件处理</w:t>
      </w:r>
    </w:p>
    <w:p w14:paraId="6BB216B6">
      <w:pPr>
        <w:spacing w:line="44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1.</w:t>
      </w:r>
      <w:r>
        <w:rPr>
          <w:rFonts w:hint="eastAsia" w:ascii="宋体" w:hAnsi="宋体" w:eastAsia="宋体" w:cs="宋体"/>
          <w:color w:val="auto"/>
          <w:sz w:val="24"/>
          <w:szCs w:val="28"/>
          <w:highlight w:val="none"/>
        </w:rPr>
        <w:t>在合同有效期内，任何一方因不可抗力事件导致不能履行合同，则合同履行期可延长，其延长期与不可抗力影</w:t>
      </w:r>
      <w:r>
        <w:rPr>
          <w:rFonts w:hint="eastAsia" w:ascii="宋体" w:hAnsi="宋体" w:eastAsia="宋体" w:cs="宋体"/>
          <w:bCs w:val="0"/>
          <w:color w:val="auto"/>
          <w:kern w:val="2"/>
          <w:sz w:val="24"/>
          <w:szCs w:val="28"/>
          <w:highlight w:val="none"/>
          <w:lang w:val="en-US" w:eastAsia="zh-CN" w:bidi="ar-SA"/>
        </w:rPr>
        <w:t>响期相</w:t>
      </w:r>
      <w:r>
        <w:rPr>
          <w:rFonts w:hint="eastAsia" w:ascii="宋体" w:hAnsi="宋体" w:eastAsia="宋体" w:cs="宋体"/>
          <w:color w:val="auto"/>
          <w:sz w:val="24"/>
          <w:szCs w:val="28"/>
          <w:highlight w:val="none"/>
        </w:rPr>
        <w:t>同。</w:t>
      </w:r>
    </w:p>
    <w:p w14:paraId="15C154C2">
      <w:pPr>
        <w:spacing w:line="44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28"/>
          <w:highlight w:val="none"/>
        </w:rPr>
        <w:t>不可抗力事件发生后，应立即通知对方，并寄送有关权威机构出具的证明。</w:t>
      </w:r>
    </w:p>
    <w:p w14:paraId="5FA11401">
      <w:pPr>
        <w:spacing w:line="44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28"/>
          <w:highlight w:val="none"/>
        </w:rPr>
        <w:t>不可抗力事件延续120天以上，双方应通过友好协商，确定是否继续履行合同。</w:t>
      </w:r>
    </w:p>
    <w:p w14:paraId="0724A1AE">
      <w:pPr>
        <w:pStyle w:val="17"/>
        <w:rPr>
          <w:rFonts w:hint="eastAsia" w:ascii="宋体" w:hAnsi="宋体" w:eastAsia="宋体" w:cs="宋体"/>
          <w:b/>
          <w:bCs w:val="0"/>
          <w:color w:val="auto"/>
          <w:kern w:val="2"/>
          <w:sz w:val="24"/>
          <w:szCs w:val="28"/>
          <w:highlight w:val="none"/>
          <w:lang w:val="en-US" w:eastAsia="zh-CN" w:bidi="ar-SA"/>
        </w:rPr>
      </w:pPr>
      <w:r>
        <w:rPr>
          <w:rFonts w:hint="eastAsia" w:ascii="宋体" w:hAnsi="宋体" w:eastAsia="宋体" w:cs="宋体"/>
          <w:b/>
          <w:bCs w:val="0"/>
          <w:color w:val="auto"/>
          <w:kern w:val="2"/>
          <w:sz w:val="24"/>
          <w:szCs w:val="28"/>
          <w:highlight w:val="none"/>
          <w:lang w:val="en-US" w:eastAsia="zh-CN" w:bidi="ar-SA"/>
        </w:rPr>
        <w:t>十</w:t>
      </w:r>
      <w:r>
        <w:rPr>
          <w:rFonts w:hint="eastAsia" w:ascii="宋体" w:hAnsi="宋体" w:cs="宋体"/>
          <w:b/>
          <w:bCs w:val="0"/>
          <w:color w:val="auto"/>
          <w:kern w:val="2"/>
          <w:sz w:val="24"/>
          <w:szCs w:val="28"/>
          <w:highlight w:val="none"/>
          <w:lang w:val="en-US" w:eastAsia="zh-CN" w:bidi="ar-SA"/>
        </w:rPr>
        <w:t>四</w:t>
      </w:r>
      <w:r>
        <w:rPr>
          <w:rFonts w:hint="eastAsia" w:ascii="宋体" w:hAnsi="宋体" w:eastAsia="宋体" w:cs="宋体"/>
          <w:b/>
          <w:bCs w:val="0"/>
          <w:color w:val="auto"/>
          <w:kern w:val="2"/>
          <w:sz w:val="24"/>
          <w:szCs w:val="28"/>
          <w:highlight w:val="none"/>
          <w:lang w:val="en-US" w:eastAsia="zh-CN" w:bidi="ar-SA"/>
        </w:rPr>
        <w:t>、双方约定，本合同在履行期间，双方发生争议时：</w:t>
      </w:r>
    </w:p>
    <w:p w14:paraId="6D9EB39B">
      <w:pPr>
        <w:pStyle w:val="18"/>
        <w:rPr>
          <w:rFonts w:hint="eastAsia" w:ascii="宋体" w:hAnsi="宋体" w:eastAsia="宋体" w:cs="宋体"/>
          <w:b w:val="0"/>
          <w:bCs/>
          <w:color w:val="auto"/>
          <w:kern w:val="2"/>
          <w:sz w:val="24"/>
          <w:szCs w:val="28"/>
          <w:highlight w:val="none"/>
          <w:lang w:val="en-US" w:eastAsia="zh-CN" w:bidi="ar-SA"/>
        </w:rPr>
      </w:pPr>
      <w:r>
        <w:rPr>
          <w:rFonts w:hint="eastAsia" w:ascii="宋体" w:hAnsi="宋体" w:eastAsia="宋体" w:cs="宋体"/>
          <w:b w:val="0"/>
          <w:bCs/>
          <w:color w:val="auto"/>
          <w:kern w:val="2"/>
          <w:sz w:val="24"/>
          <w:szCs w:val="28"/>
          <w:highlight w:val="none"/>
          <w:lang w:val="en-US" w:eastAsia="zh-CN" w:bidi="ar-SA"/>
        </w:rPr>
        <w:t>（1）</w:t>
      </w:r>
      <w:r>
        <w:rPr>
          <w:rFonts w:hint="eastAsia" w:ascii="宋体" w:hAnsi="宋体" w:eastAsia="宋体" w:cs="宋体"/>
          <w:bCs w:val="0"/>
          <w:color w:val="auto"/>
          <w:kern w:val="2"/>
          <w:sz w:val="24"/>
          <w:szCs w:val="28"/>
          <w:highlight w:val="none"/>
          <w:lang w:val="en-US" w:eastAsia="zh-CN" w:bidi="ar-SA"/>
        </w:rPr>
        <w:t xml:space="preserve">请 </w:t>
      </w:r>
      <w:r>
        <w:rPr>
          <w:rFonts w:hint="eastAsia" w:ascii="宋体" w:hAnsi="宋体" w:eastAsia="宋体" w:cs="宋体"/>
          <w:bCs w:val="0"/>
          <w:color w:val="auto"/>
          <w:kern w:val="2"/>
          <w:sz w:val="24"/>
          <w:szCs w:val="28"/>
          <w:highlight w:val="none"/>
          <w:u w:val="single"/>
          <w:lang w:val="en-US" w:eastAsia="zh-CN" w:bidi="ar-SA"/>
        </w:rPr>
        <w:t xml:space="preserve">行业主管部门 </w:t>
      </w:r>
      <w:r>
        <w:rPr>
          <w:rFonts w:hint="eastAsia" w:ascii="宋体" w:hAnsi="宋体" w:eastAsia="宋体" w:cs="宋体"/>
          <w:bCs w:val="0"/>
          <w:color w:val="auto"/>
          <w:kern w:val="2"/>
          <w:sz w:val="24"/>
          <w:szCs w:val="28"/>
          <w:highlight w:val="none"/>
          <w:lang w:val="en-US" w:eastAsia="zh-CN" w:bidi="ar-SA"/>
        </w:rPr>
        <w:t>调解；</w:t>
      </w:r>
    </w:p>
    <w:p w14:paraId="755DC69E">
      <w:pPr>
        <w:pStyle w:val="18"/>
        <w:rPr>
          <w:rFonts w:hint="eastAsia" w:ascii="宋体" w:hAnsi="宋体" w:eastAsia="宋体" w:cs="宋体"/>
          <w:b w:val="0"/>
          <w:bCs/>
          <w:color w:val="auto"/>
          <w:kern w:val="2"/>
          <w:sz w:val="24"/>
          <w:szCs w:val="28"/>
          <w:highlight w:val="none"/>
          <w:lang w:val="en-US" w:eastAsia="zh-CN" w:bidi="ar-SA"/>
        </w:rPr>
      </w:pPr>
      <w:r>
        <w:rPr>
          <w:rFonts w:hint="eastAsia" w:ascii="宋体" w:hAnsi="宋体" w:eastAsia="宋体" w:cs="宋体"/>
          <w:b w:val="0"/>
          <w:bCs/>
          <w:color w:val="auto"/>
          <w:kern w:val="2"/>
          <w:sz w:val="24"/>
          <w:szCs w:val="28"/>
          <w:highlight w:val="none"/>
          <w:lang w:val="en-US" w:eastAsia="zh-CN" w:bidi="ar-SA"/>
        </w:rPr>
        <w:t>（2）</w:t>
      </w:r>
      <w:r>
        <w:rPr>
          <w:rFonts w:hint="eastAsia" w:ascii="宋体" w:hAnsi="宋体" w:eastAsia="宋体" w:cs="宋体"/>
          <w:bCs w:val="0"/>
          <w:color w:val="auto"/>
          <w:kern w:val="2"/>
          <w:sz w:val="24"/>
          <w:szCs w:val="28"/>
          <w:highlight w:val="none"/>
          <w:lang w:val="en-US" w:eastAsia="zh-CN" w:bidi="ar-SA"/>
        </w:rPr>
        <w:t>采取第</w:t>
      </w:r>
      <w:r>
        <w:rPr>
          <w:rFonts w:hint="eastAsia" w:ascii="宋体" w:hAnsi="宋体" w:eastAsia="宋体" w:cs="宋体"/>
          <w:bCs w:val="0"/>
          <w:color w:val="auto"/>
          <w:kern w:val="2"/>
          <w:sz w:val="24"/>
          <w:szCs w:val="28"/>
          <w:highlight w:val="none"/>
          <w:u w:val="single"/>
          <w:lang w:val="en-US" w:eastAsia="zh-CN" w:bidi="ar-SA"/>
        </w:rPr>
        <w:t xml:space="preserve"> 二 </w:t>
      </w:r>
      <w:r>
        <w:rPr>
          <w:rFonts w:hint="eastAsia" w:ascii="宋体" w:hAnsi="宋体" w:eastAsia="宋体" w:cs="宋体"/>
          <w:bCs w:val="0"/>
          <w:color w:val="auto"/>
          <w:kern w:val="2"/>
          <w:sz w:val="24"/>
          <w:szCs w:val="28"/>
          <w:highlight w:val="none"/>
          <w:lang w:val="en-US" w:eastAsia="zh-CN" w:bidi="ar-SA"/>
        </w:rPr>
        <w:t>种方式解决；</w:t>
      </w:r>
    </w:p>
    <w:p w14:paraId="034EBB38">
      <w:pPr>
        <w:pStyle w:val="18"/>
        <w:rPr>
          <w:rFonts w:hint="eastAsia" w:ascii="宋体" w:hAnsi="宋体" w:eastAsia="宋体" w:cs="宋体"/>
          <w:b w:val="0"/>
          <w:bCs/>
          <w:color w:val="auto"/>
          <w:kern w:val="2"/>
          <w:sz w:val="24"/>
          <w:szCs w:val="28"/>
          <w:highlight w:val="none"/>
          <w:lang w:val="en-US" w:eastAsia="zh-CN" w:bidi="ar-SA"/>
        </w:rPr>
      </w:pPr>
      <w:r>
        <w:rPr>
          <w:rFonts w:hint="eastAsia" w:ascii="宋体" w:hAnsi="宋体" w:eastAsia="宋体" w:cs="宋体"/>
          <w:b w:val="0"/>
          <w:bCs/>
          <w:color w:val="auto"/>
          <w:kern w:val="2"/>
          <w:sz w:val="24"/>
          <w:szCs w:val="28"/>
          <w:highlight w:val="none"/>
          <w:lang w:val="en-US" w:eastAsia="zh-CN" w:bidi="ar-SA"/>
        </w:rPr>
        <w:t>1、</w:t>
      </w:r>
      <w:r>
        <w:rPr>
          <w:rFonts w:hint="eastAsia" w:ascii="宋体" w:hAnsi="宋体" w:eastAsia="宋体" w:cs="宋体"/>
          <w:bCs w:val="0"/>
          <w:color w:val="auto"/>
          <w:kern w:val="2"/>
          <w:sz w:val="24"/>
          <w:szCs w:val="28"/>
          <w:highlight w:val="none"/>
          <w:lang w:val="en-US" w:eastAsia="zh-CN" w:bidi="ar-SA"/>
        </w:rPr>
        <w:t>向</w:t>
      </w:r>
      <w:r>
        <w:rPr>
          <w:rFonts w:hint="eastAsia" w:ascii="宋体" w:hAnsi="宋体" w:eastAsia="宋体" w:cs="宋体"/>
          <w:bCs w:val="0"/>
          <w:color w:val="auto"/>
          <w:kern w:val="2"/>
          <w:sz w:val="24"/>
          <w:szCs w:val="28"/>
          <w:highlight w:val="none"/>
          <w:u w:val="single"/>
          <w:lang w:val="en-US" w:eastAsia="zh-CN" w:bidi="ar-SA"/>
        </w:rPr>
        <w:t>金华仲裁委员会</w:t>
      </w:r>
      <w:r>
        <w:rPr>
          <w:rFonts w:hint="eastAsia" w:ascii="宋体" w:hAnsi="宋体" w:eastAsia="宋体" w:cs="宋体"/>
          <w:bCs w:val="0"/>
          <w:color w:val="auto"/>
          <w:kern w:val="2"/>
          <w:sz w:val="24"/>
          <w:szCs w:val="28"/>
          <w:highlight w:val="none"/>
          <w:lang w:val="en-US" w:eastAsia="zh-CN" w:bidi="ar-SA"/>
        </w:rPr>
        <w:t>提请仲裁；</w:t>
      </w:r>
    </w:p>
    <w:p w14:paraId="59F6F777">
      <w:pPr>
        <w:pStyle w:val="18"/>
        <w:rPr>
          <w:rFonts w:hint="default" w:ascii="宋体" w:hAnsi="宋体" w:eastAsia="宋体" w:cs="宋体"/>
          <w:bCs w:val="0"/>
          <w:color w:val="auto"/>
          <w:kern w:val="2"/>
          <w:sz w:val="24"/>
          <w:szCs w:val="28"/>
          <w:highlight w:val="none"/>
          <w:lang w:val="en-US" w:eastAsia="zh-CN" w:bidi="ar-SA"/>
        </w:rPr>
      </w:pPr>
      <w:r>
        <w:rPr>
          <w:rFonts w:hint="eastAsia" w:ascii="宋体" w:hAnsi="宋体" w:eastAsia="宋体" w:cs="宋体"/>
          <w:bCs w:val="0"/>
          <w:color w:val="auto"/>
          <w:kern w:val="2"/>
          <w:sz w:val="24"/>
          <w:szCs w:val="28"/>
          <w:highlight w:val="none"/>
          <w:lang w:val="en-US" w:eastAsia="zh-CN" w:bidi="ar-SA"/>
        </w:rPr>
        <w:t>2、向</w:t>
      </w:r>
      <w:r>
        <w:rPr>
          <w:rFonts w:hint="eastAsia" w:ascii="宋体" w:hAnsi="宋体" w:eastAsia="宋体" w:cs="宋体"/>
          <w:bCs w:val="0"/>
          <w:color w:val="auto"/>
          <w:kern w:val="2"/>
          <w:sz w:val="24"/>
          <w:szCs w:val="28"/>
          <w:highlight w:val="none"/>
          <w:u w:val="single"/>
          <w:lang w:val="en-US" w:eastAsia="zh-CN" w:bidi="ar-SA"/>
        </w:rPr>
        <w:t>东阳市人民法院</w:t>
      </w:r>
      <w:r>
        <w:rPr>
          <w:rFonts w:hint="eastAsia" w:ascii="宋体" w:hAnsi="宋体" w:eastAsia="宋体" w:cs="宋体"/>
          <w:bCs w:val="0"/>
          <w:color w:val="auto"/>
          <w:kern w:val="2"/>
          <w:sz w:val="24"/>
          <w:szCs w:val="28"/>
          <w:highlight w:val="none"/>
          <w:lang w:val="en-US" w:eastAsia="zh-CN" w:bidi="ar-SA"/>
        </w:rPr>
        <w:t>提起诉讼。</w:t>
      </w:r>
    </w:p>
    <w:p w14:paraId="35E09DC5">
      <w:pPr>
        <w:autoSpaceDE w:val="0"/>
        <w:snapToGrid w:val="0"/>
        <w:spacing w:line="440" w:lineRule="exact"/>
        <w:ind w:firstLine="241" w:firstLineChars="100"/>
        <w:jc w:val="left"/>
        <w:rPr>
          <w:rFonts w:hint="eastAsia" w:ascii="宋体" w:hAnsi="宋体" w:eastAsia="宋体" w:cs="Times New Roman"/>
          <w:b/>
          <w:bCs w:val="0"/>
          <w:color w:val="auto"/>
          <w:sz w:val="24"/>
          <w:szCs w:val="24"/>
          <w:highlight w:val="none"/>
        </w:rPr>
      </w:pPr>
      <w:r>
        <w:rPr>
          <w:rFonts w:hint="eastAsia" w:ascii="宋体" w:hAnsi="宋体" w:eastAsia="宋体" w:cs="Times New Roman"/>
          <w:b/>
          <w:bCs w:val="0"/>
          <w:color w:val="auto"/>
          <w:sz w:val="24"/>
          <w:szCs w:val="24"/>
          <w:highlight w:val="none"/>
        </w:rPr>
        <w:t>十</w:t>
      </w:r>
      <w:r>
        <w:rPr>
          <w:rFonts w:hint="eastAsia" w:ascii="宋体" w:hAnsi="宋体" w:cs="Times New Roman"/>
          <w:b/>
          <w:bCs w:val="0"/>
          <w:color w:val="auto"/>
          <w:sz w:val="24"/>
          <w:szCs w:val="24"/>
          <w:highlight w:val="none"/>
          <w:lang w:val="en-US" w:eastAsia="zh-CN"/>
        </w:rPr>
        <w:t>五</w:t>
      </w:r>
      <w:r>
        <w:rPr>
          <w:rFonts w:hint="eastAsia" w:ascii="宋体" w:hAnsi="宋体" w:eastAsia="宋体" w:cs="Times New Roman"/>
          <w:b/>
          <w:bCs w:val="0"/>
          <w:color w:val="auto"/>
          <w:sz w:val="24"/>
          <w:szCs w:val="24"/>
          <w:highlight w:val="none"/>
        </w:rPr>
        <w:t>、合同生效及其它</w:t>
      </w:r>
    </w:p>
    <w:p w14:paraId="61CAEC08">
      <w:pPr>
        <w:spacing w:line="440" w:lineRule="exact"/>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1.合同经双方法定代表人或授权代表签字并加盖单位公章，</w:t>
      </w:r>
      <w:r>
        <w:rPr>
          <w:rFonts w:hint="eastAsia" w:ascii="宋体" w:hAnsi="宋体"/>
          <w:color w:val="auto"/>
          <w:sz w:val="24"/>
          <w:highlight w:val="none"/>
        </w:rPr>
        <w:t>报东阳市财政局采购办备案</w:t>
      </w:r>
      <w:r>
        <w:rPr>
          <w:rFonts w:hint="eastAsia" w:ascii="宋体" w:hAnsi="宋体"/>
          <w:color w:val="auto"/>
          <w:sz w:val="24"/>
          <w:highlight w:val="none"/>
          <w:lang w:val="en-US" w:eastAsia="zh-CN"/>
        </w:rPr>
        <w:t>后</w:t>
      </w:r>
      <w:r>
        <w:rPr>
          <w:rFonts w:hint="eastAsia" w:ascii="宋体" w:hAnsi="宋体" w:cs="Times New Roman"/>
          <w:bCs/>
          <w:color w:val="auto"/>
          <w:sz w:val="24"/>
          <w:szCs w:val="24"/>
          <w:highlight w:val="none"/>
          <w:lang w:val="en-US" w:eastAsia="zh-CN"/>
        </w:rPr>
        <w:t>生效</w:t>
      </w:r>
      <w:r>
        <w:rPr>
          <w:rFonts w:hint="eastAsia" w:ascii="宋体" w:hAnsi="宋体" w:eastAsia="宋体" w:cs="Times New Roman"/>
          <w:bCs/>
          <w:color w:val="auto"/>
          <w:sz w:val="24"/>
          <w:szCs w:val="24"/>
          <w:highlight w:val="none"/>
        </w:rPr>
        <w:t>。</w:t>
      </w:r>
    </w:p>
    <w:p w14:paraId="777EC83A">
      <w:pPr>
        <w:spacing w:line="440" w:lineRule="exact"/>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14:paraId="3FEC37C3">
      <w:pPr>
        <w:spacing w:line="440" w:lineRule="exact"/>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3.本合同未尽事宜，遵照《中华人民共和国民法典》有关条文执行。</w:t>
      </w:r>
    </w:p>
    <w:p w14:paraId="493A2123">
      <w:pPr>
        <w:spacing w:line="440" w:lineRule="exact"/>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4.本合同正本一式五份，甲方两份，</w:t>
      </w:r>
      <w:r>
        <w:rPr>
          <w:rFonts w:hint="eastAsia" w:ascii="宋体" w:hAnsi="宋体"/>
          <w:color w:val="auto"/>
          <w:sz w:val="24"/>
          <w:highlight w:val="none"/>
        </w:rPr>
        <w:t>招标代理机构</w:t>
      </w:r>
      <w:r>
        <w:rPr>
          <w:rFonts w:hint="eastAsia" w:ascii="宋体" w:hAnsi="宋体" w:eastAsia="宋体" w:cs="Times New Roman"/>
          <w:bCs/>
          <w:color w:val="auto"/>
          <w:sz w:val="24"/>
          <w:szCs w:val="24"/>
          <w:highlight w:val="none"/>
        </w:rPr>
        <w:t>、乙方、东阳市财政局采购办各执一份，具有同等法律效力。</w:t>
      </w:r>
    </w:p>
    <w:p w14:paraId="5062FD2A">
      <w:pPr>
        <w:spacing w:line="440" w:lineRule="exact"/>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5、声明：本合同样本仅供参考，甲乙双方可就</w:t>
      </w:r>
      <w:r>
        <w:rPr>
          <w:rFonts w:hint="eastAsia" w:ascii="宋体" w:hAnsi="宋体" w:eastAsia="宋体" w:cs="Times New Roman"/>
          <w:bCs/>
          <w:color w:val="auto"/>
          <w:sz w:val="24"/>
          <w:szCs w:val="24"/>
          <w:highlight w:val="none"/>
          <w:lang w:eastAsia="zh-CN"/>
        </w:rPr>
        <w:t>竞争性磋商</w:t>
      </w:r>
      <w:r>
        <w:rPr>
          <w:rFonts w:hint="eastAsia" w:ascii="宋体" w:hAnsi="宋体" w:eastAsia="宋体" w:cs="Times New Roman"/>
          <w:bCs/>
          <w:color w:val="auto"/>
          <w:sz w:val="24"/>
          <w:szCs w:val="24"/>
          <w:highlight w:val="none"/>
        </w:rPr>
        <w:t>文件的非实质性条款进行修改，但不能修改项目的工期、单价、付款方式、品牌型号、质保期等实质性条款，甲乙双方对合同的真实性负责，鉴证方只负责鉴证项目招标的真实性。</w:t>
      </w:r>
    </w:p>
    <w:p w14:paraId="06DF94C8">
      <w:pPr>
        <w:pStyle w:val="17"/>
        <w:rPr>
          <w:rFonts w:hint="eastAsia"/>
          <w:color w:val="auto"/>
          <w:highlight w:val="none"/>
        </w:rPr>
      </w:pPr>
    </w:p>
    <w:p w14:paraId="4481E5A2">
      <w:pPr>
        <w:snapToGrid w:val="0"/>
        <w:spacing w:line="360" w:lineRule="auto"/>
        <w:rPr>
          <w:rFonts w:ascii="宋体"/>
          <w:color w:val="auto"/>
          <w:sz w:val="24"/>
          <w:highlight w:val="none"/>
        </w:rPr>
      </w:pPr>
      <w:r>
        <w:rPr>
          <w:rFonts w:hint="eastAsia" w:ascii="宋体" w:hAnsi="宋体"/>
          <w:b/>
          <w:color w:val="auto"/>
          <w:sz w:val="24"/>
          <w:highlight w:val="none"/>
        </w:rPr>
        <w:t>甲方（公章）：</w:t>
      </w:r>
      <w:r>
        <w:rPr>
          <w:rFonts w:ascii="宋体" w:hAnsi="宋体"/>
          <w:b/>
          <w:color w:val="auto"/>
          <w:sz w:val="24"/>
          <w:highlight w:val="none"/>
        </w:rPr>
        <w:t xml:space="preserve">        </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乙方（公章）：</w:t>
      </w:r>
    </w:p>
    <w:p w14:paraId="566CDC95">
      <w:pPr>
        <w:snapToGrid w:val="0"/>
        <w:spacing w:line="360" w:lineRule="auto"/>
        <w:rPr>
          <w:rFonts w:ascii="宋体"/>
          <w:color w:val="auto"/>
          <w:sz w:val="24"/>
          <w:highlight w:val="none"/>
        </w:rPr>
      </w:pPr>
      <w:r>
        <w:rPr>
          <w:rFonts w:hint="eastAsia" w:ascii="宋体" w:hAnsi="宋体"/>
          <w:color w:val="auto"/>
          <w:sz w:val="24"/>
          <w:highlight w:val="none"/>
        </w:rPr>
        <w:t>法定代表人或受委托人</w:t>
      </w:r>
      <w:r>
        <w:rPr>
          <w:rFonts w:ascii="宋体" w:hAnsi="宋体"/>
          <w:color w:val="auto"/>
          <w:sz w:val="24"/>
          <w:highlight w:val="none"/>
        </w:rPr>
        <w:t xml:space="preserve">               </w:t>
      </w:r>
      <w:r>
        <w:rPr>
          <w:rFonts w:hint="eastAsia" w:ascii="宋体" w:hAnsi="宋体"/>
          <w:color w:val="auto"/>
          <w:sz w:val="24"/>
          <w:highlight w:val="none"/>
        </w:rPr>
        <w:t>法定代表人或受委托人</w:t>
      </w:r>
    </w:p>
    <w:p w14:paraId="75FF5F29">
      <w:pPr>
        <w:snapToGrid w:val="0"/>
        <w:spacing w:line="360" w:lineRule="auto"/>
        <w:rPr>
          <w:rFonts w:ascii="宋体"/>
          <w:color w:val="auto"/>
          <w:sz w:val="24"/>
          <w:highlight w:val="none"/>
        </w:rPr>
      </w:pPr>
      <w:r>
        <w:rPr>
          <w:rFonts w:hint="eastAsia" w:ascii="宋体" w:hAnsi="宋体"/>
          <w:color w:val="auto"/>
          <w:sz w:val="24"/>
          <w:highlight w:val="none"/>
        </w:rPr>
        <w:t>（签字）</w:t>
      </w:r>
      <w:r>
        <w:rPr>
          <w:rFonts w:ascii="宋体" w:hAnsi="宋体"/>
          <w:color w:val="auto"/>
          <w:sz w:val="24"/>
          <w:highlight w:val="none"/>
        </w:rPr>
        <w:t xml:space="preserve">                            </w:t>
      </w:r>
      <w:r>
        <w:rPr>
          <w:rFonts w:hint="eastAsia" w:ascii="宋体" w:hAnsi="宋体"/>
          <w:color w:val="auto"/>
          <w:sz w:val="24"/>
          <w:highlight w:val="none"/>
        </w:rPr>
        <w:t>（签字）</w:t>
      </w:r>
    </w:p>
    <w:p w14:paraId="4FF23181">
      <w:pPr>
        <w:snapToGrid w:val="0"/>
        <w:spacing w:line="360" w:lineRule="auto"/>
        <w:rPr>
          <w:rFonts w:ascii="宋体"/>
          <w:color w:val="auto"/>
          <w:sz w:val="24"/>
          <w:highlight w:val="none"/>
        </w:rPr>
      </w:pPr>
      <w:r>
        <w:rPr>
          <w:rFonts w:hint="eastAsia" w:ascii="宋体" w:hAnsi="宋体"/>
          <w:color w:val="auto"/>
          <w:sz w:val="24"/>
          <w:highlight w:val="none"/>
        </w:rPr>
        <w:t>地址：</w:t>
      </w:r>
      <w:r>
        <w:rPr>
          <w:rFonts w:ascii="宋体" w:hAnsi="宋体"/>
          <w:color w:val="auto"/>
          <w:sz w:val="24"/>
          <w:highlight w:val="none"/>
        </w:rPr>
        <w:t xml:space="preserve">                             </w:t>
      </w:r>
      <w:r>
        <w:rPr>
          <w:rFonts w:hint="eastAsia" w:ascii="宋体" w:hAnsi="宋体"/>
          <w:color w:val="auto"/>
          <w:sz w:val="24"/>
          <w:highlight w:val="none"/>
        </w:rPr>
        <w:t>地址：</w:t>
      </w:r>
    </w:p>
    <w:p w14:paraId="3973F4C9">
      <w:pPr>
        <w:snapToGrid w:val="0"/>
        <w:spacing w:line="360" w:lineRule="auto"/>
        <w:rPr>
          <w:rFonts w:ascii="宋体"/>
          <w:color w:val="auto"/>
          <w:sz w:val="24"/>
          <w:highlight w:val="none"/>
        </w:rPr>
      </w:pPr>
      <w:r>
        <w:rPr>
          <w:rFonts w:hint="eastAsia" w:ascii="宋体" w:hAnsi="宋体"/>
          <w:color w:val="auto"/>
          <w:sz w:val="24"/>
          <w:highlight w:val="none"/>
        </w:rPr>
        <w:t>邮编：</w:t>
      </w:r>
      <w:r>
        <w:rPr>
          <w:rFonts w:ascii="宋体" w:hAnsi="宋体"/>
          <w:color w:val="auto"/>
          <w:sz w:val="24"/>
          <w:highlight w:val="none"/>
        </w:rPr>
        <w:t xml:space="preserve">                             </w:t>
      </w:r>
      <w:r>
        <w:rPr>
          <w:rFonts w:hint="eastAsia" w:ascii="宋体" w:hAnsi="宋体"/>
          <w:color w:val="auto"/>
          <w:sz w:val="24"/>
          <w:highlight w:val="none"/>
        </w:rPr>
        <w:t>邮编：</w:t>
      </w:r>
    </w:p>
    <w:p w14:paraId="31CFD6B2">
      <w:pPr>
        <w:snapToGrid w:val="0"/>
        <w:spacing w:line="360" w:lineRule="auto"/>
        <w:rPr>
          <w:rFonts w:asci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w:t>
      </w:r>
      <w:r>
        <w:rPr>
          <w:rFonts w:hint="eastAsia" w:ascii="宋体" w:hAnsi="宋体"/>
          <w:color w:val="auto"/>
          <w:sz w:val="24"/>
          <w:highlight w:val="none"/>
        </w:rPr>
        <w:t>电话：</w:t>
      </w:r>
    </w:p>
    <w:p w14:paraId="4D306B7D">
      <w:pPr>
        <w:snapToGrid w:val="0"/>
        <w:spacing w:line="360" w:lineRule="auto"/>
        <w:rPr>
          <w:rFonts w:ascii="宋体"/>
          <w:color w:val="auto"/>
          <w:sz w:val="24"/>
          <w:highlight w:val="none"/>
        </w:rPr>
      </w:pPr>
      <w:r>
        <w:rPr>
          <w:rFonts w:hint="eastAsia" w:ascii="宋体" w:hAnsi="宋体"/>
          <w:color w:val="auto"/>
          <w:sz w:val="24"/>
          <w:highlight w:val="none"/>
        </w:rPr>
        <w:t>传真：</w:t>
      </w:r>
      <w:r>
        <w:rPr>
          <w:rFonts w:ascii="宋体" w:hAnsi="宋体"/>
          <w:color w:val="auto"/>
          <w:sz w:val="24"/>
          <w:highlight w:val="none"/>
        </w:rPr>
        <w:t xml:space="preserve">                             </w:t>
      </w:r>
      <w:r>
        <w:rPr>
          <w:rFonts w:hint="eastAsia" w:ascii="宋体" w:hAnsi="宋体"/>
          <w:color w:val="auto"/>
          <w:sz w:val="24"/>
          <w:highlight w:val="none"/>
        </w:rPr>
        <w:t>传真：</w:t>
      </w:r>
    </w:p>
    <w:p w14:paraId="52547E08">
      <w:pPr>
        <w:snapToGrid w:val="0"/>
        <w:spacing w:line="360" w:lineRule="auto"/>
        <w:rPr>
          <w:rFonts w:ascii="宋体"/>
          <w:b/>
          <w:bCs/>
          <w:color w:val="auto"/>
          <w:szCs w:val="21"/>
          <w:highlight w:val="none"/>
        </w:rPr>
      </w:pPr>
      <w:r>
        <w:rPr>
          <w:rFonts w:hint="eastAsia" w:ascii="宋体" w:hAnsi="宋体"/>
          <w:color w:val="auto"/>
          <w:sz w:val="24"/>
          <w:highlight w:val="none"/>
        </w:rPr>
        <w:t>户名：</w:t>
      </w:r>
      <w:r>
        <w:rPr>
          <w:rFonts w:ascii="宋体" w:hAnsi="宋体"/>
          <w:color w:val="auto"/>
          <w:sz w:val="24"/>
          <w:highlight w:val="none"/>
        </w:rPr>
        <w:t xml:space="preserve">                             </w:t>
      </w:r>
      <w:r>
        <w:rPr>
          <w:rFonts w:hint="eastAsia" w:ascii="宋体" w:hAnsi="宋体"/>
          <w:color w:val="auto"/>
          <w:sz w:val="24"/>
          <w:highlight w:val="none"/>
        </w:rPr>
        <w:t>户名：</w:t>
      </w:r>
    </w:p>
    <w:p w14:paraId="6CEE06BB">
      <w:pPr>
        <w:snapToGrid w:val="0"/>
        <w:spacing w:line="360" w:lineRule="auto"/>
        <w:rPr>
          <w:rFonts w:asci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w:t>
      </w:r>
      <w:r>
        <w:rPr>
          <w:rFonts w:hint="eastAsia" w:ascii="宋体" w:hAnsi="宋体"/>
          <w:color w:val="auto"/>
          <w:sz w:val="24"/>
          <w:highlight w:val="none"/>
        </w:rPr>
        <w:t>开户银行：</w:t>
      </w:r>
    </w:p>
    <w:p w14:paraId="40AFAB1C">
      <w:pPr>
        <w:snapToGrid w:val="0"/>
        <w:spacing w:line="360" w:lineRule="auto"/>
        <w:rPr>
          <w:rFonts w:hAnsi="宋体" w:cs="宋体"/>
          <w:color w:val="auto"/>
          <w:highlight w:val="none"/>
        </w:rPr>
      </w:pPr>
      <w:r>
        <w:rPr>
          <w:rFonts w:hint="eastAsia" w:ascii="宋体" w:hAnsi="宋体"/>
          <w:color w:val="auto"/>
          <w:sz w:val="24"/>
          <w:highlight w:val="none"/>
        </w:rPr>
        <w:t>帐号：</w:t>
      </w:r>
      <w:r>
        <w:rPr>
          <w:rFonts w:ascii="宋体" w:hAnsi="宋体"/>
          <w:color w:val="auto"/>
          <w:sz w:val="24"/>
          <w:highlight w:val="none"/>
        </w:rPr>
        <w:t xml:space="preserve">                             </w:t>
      </w:r>
      <w:r>
        <w:rPr>
          <w:rFonts w:hint="eastAsia" w:ascii="宋体" w:hAnsi="宋体"/>
          <w:color w:val="auto"/>
          <w:sz w:val="24"/>
          <w:highlight w:val="none"/>
        </w:rPr>
        <w:t>帐号：</w:t>
      </w:r>
    </w:p>
    <w:p w14:paraId="41738BE5">
      <w:pPr>
        <w:snapToGrid w:val="0"/>
        <w:spacing w:line="276" w:lineRule="auto"/>
        <w:rPr>
          <w:rFonts w:ascii="宋体"/>
          <w:color w:val="auto"/>
          <w:sz w:val="24"/>
          <w:highlight w:val="none"/>
        </w:rPr>
      </w:pPr>
    </w:p>
    <w:p w14:paraId="4E894330">
      <w:pPr>
        <w:snapToGrid w:val="0"/>
        <w:spacing w:line="276" w:lineRule="auto"/>
        <w:rPr>
          <w:rFonts w:hint="eastAsia" w:ascii="黑体" w:hAnsi="宋体" w:eastAsia="黑体"/>
          <w:color w:val="auto"/>
          <w:sz w:val="32"/>
          <w:szCs w:val="32"/>
          <w:highlight w:val="none"/>
        </w:rPr>
      </w:pPr>
      <w:r>
        <w:rPr>
          <w:rFonts w:hint="eastAsia" w:ascii="宋体" w:hAnsi="宋体"/>
          <w:color w:val="auto"/>
          <w:sz w:val="24"/>
          <w:highlight w:val="none"/>
        </w:rPr>
        <w:t>签约地点：</w:t>
      </w:r>
      <w:r>
        <w:rPr>
          <w:rFonts w:ascii="宋体" w:hAnsi="宋体"/>
          <w:color w:val="auto"/>
          <w:sz w:val="24"/>
          <w:highlight w:val="none"/>
        </w:rPr>
        <w:t xml:space="preserve">                          </w:t>
      </w:r>
      <w:r>
        <w:rPr>
          <w:rFonts w:hint="eastAsia" w:ascii="宋体" w:hAnsi="宋体"/>
          <w:color w:val="auto"/>
          <w:sz w:val="24"/>
          <w:highlight w:val="none"/>
        </w:rPr>
        <w:t>签约时间：</w:t>
      </w:r>
    </w:p>
    <w:p w14:paraId="3C640555">
      <w:pPr>
        <w:rPr>
          <w:rFonts w:hAnsi="宋体"/>
          <w:color w:val="auto"/>
          <w:highlight w:val="none"/>
        </w:rPr>
      </w:pPr>
    </w:p>
    <w:p w14:paraId="00FE1630">
      <w:pPr>
        <w:spacing w:line="360" w:lineRule="auto"/>
        <w:rPr>
          <w:rFonts w:hint="eastAsia" w:ascii="宋体" w:hAnsi="宋体"/>
          <w:color w:val="auto"/>
          <w:sz w:val="24"/>
          <w:highlight w:val="none"/>
        </w:rPr>
      </w:pPr>
    </w:p>
    <w:p w14:paraId="15D83FDD">
      <w:pPr>
        <w:spacing w:line="360" w:lineRule="auto"/>
        <w:rPr>
          <w:rFonts w:hint="eastAsia" w:ascii="宋体" w:hAnsi="宋体"/>
          <w:color w:val="auto"/>
          <w:sz w:val="24"/>
          <w:highlight w:val="none"/>
        </w:rPr>
      </w:pPr>
      <w:r>
        <w:rPr>
          <w:rFonts w:hint="eastAsia" w:ascii="宋体" w:hAnsi="宋体"/>
          <w:color w:val="auto"/>
          <w:sz w:val="24"/>
          <w:highlight w:val="none"/>
        </w:rPr>
        <w:t>鉴证方:</w:t>
      </w:r>
    </w:p>
    <w:p w14:paraId="60A0988F">
      <w:pPr>
        <w:spacing w:line="360" w:lineRule="auto"/>
        <w:rPr>
          <w:rFonts w:hint="eastAsia" w:ascii="宋体" w:hAnsi="宋体"/>
          <w:color w:val="auto"/>
          <w:sz w:val="24"/>
          <w:highlight w:val="none"/>
        </w:rPr>
      </w:pPr>
      <w:r>
        <w:rPr>
          <w:rFonts w:hint="eastAsia" w:ascii="宋体" w:hAnsi="宋体"/>
          <w:color w:val="auto"/>
          <w:sz w:val="24"/>
          <w:highlight w:val="none"/>
        </w:rPr>
        <w:t>法定代表人或主要负责人:</w:t>
      </w:r>
    </w:p>
    <w:p w14:paraId="5B941F0D">
      <w:pPr>
        <w:adjustRightInd w:val="0"/>
        <w:spacing w:line="400" w:lineRule="exact"/>
        <w:ind w:firstLine="420"/>
        <w:jc w:val="both"/>
        <w:rPr>
          <w:rFonts w:hint="eastAsia" w:ascii="宋体" w:hAnsi="宋体" w:eastAsia="宋体" w:cs="Times New Roman"/>
          <w:b/>
          <w:color w:val="auto"/>
          <w:sz w:val="32"/>
          <w:szCs w:val="32"/>
          <w:highlight w:val="none"/>
        </w:rPr>
      </w:pPr>
      <w:r>
        <w:rPr>
          <w:rFonts w:hint="eastAsia" w:ascii="宋体" w:hAnsi="宋体"/>
          <w:color w:val="auto"/>
          <w:sz w:val="24"/>
          <w:highlight w:val="none"/>
        </w:rPr>
        <w:br w:type="page"/>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Times New Roman"/>
          <w:b/>
          <w:color w:val="auto"/>
          <w:sz w:val="32"/>
          <w:szCs w:val="32"/>
          <w:highlight w:val="none"/>
        </w:rPr>
        <w:t>工程质量保修书</w:t>
      </w:r>
    </w:p>
    <w:p w14:paraId="18F2BCC4">
      <w:pPr>
        <w:spacing w:line="360" w:lineRule="exact"/>
        <w:jc w:val="cente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 xml:space="preserve"> </w:t>
      </w:r>
    </w:p>
    <w:p w14:paraId="5DF525F1">
      <w:pPr>
        <w:pStyle w:val="22"/>
        <w:spacing w:line="48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甲方</w:t>
      </w:r>
      <w:r>
        <w:rPr>
          <w:rFonts w:ascii="Times New Roman" w:hAnsi="Times New Roman" w:eastAsia="宋体" w:cs="Times New Roman"/>
          <w:color w:val="auto"/>
          <w:sz w:val="24"/>
          <w:szCs w:val="24"/>
          <w:highlight w:val="none"/>
        </w:rPr>
        <w:t>（全称）：</w:t>
      </w:r>
      <w:r>
        <w:rPr>
          <w:rFonts w:hint="eastAsia" w:ascii="Times New Roman" w:hAnsi="Times New Roman" w:eastAsia="宋体" w:cs="Times New Roman"/>
          <w:color w:val="auto"/>
          <w:sz w:val="24"/>
          <w:szCs w:val="24"/>
          <w:highlight w:val="none"/>
          <w:u w:val="single"/>
          <w:lang w:val="en-US" w:eastAsia="zh-CN"/>
        </w:rPr>
        <w:t xml:space="preserve">                </w:t>
      </w:r>
    </w:p>
    <w:p w14:paraId="06D9884B">
      <w:pPr>
        <w:spacing w:line="400" w:lineRule="exact"/>
        <w:ind w:firstLine="480" w:firstLineChars="200"/>
        <w:rPr>
          <w:rFonts w:hint="eastAsia" w:ascii="宋体" w:hAnsi="宋体" w:eastAsia="宋体" w:cs="Times New Roman"/>
          <w:color w:val="auto"/>
          <w:sz w:val="24"/>
          <w:highlight w:val="none"/>
          <w:u w:val="single"/>
          <w:lang w:eastAsia="zh-CN"/>
        </w:rPr>
      </w:pPr>
      <w:r>
        <w:rPr>
          <w:rFonts w:hint="eastAsia" w:ascii="宋体" w:hAnsi="宋体" w:eastAsia="宋体" w:cs="Times New Roman"/>
          <w:color w:val="auto"/>
          <w:sz w:val="24"/>
          <w:highlight w:val="none"/>
          <w:lang w:val="en-US" w:eastAsia="zh-CN"/>
        </w:rPr>
        <w:t>乙方</w:t>
      </w:r>
      <w:r>
        <w:rPr>
          <w:rFonts w:hint="eastAsia" w:ascii="宋体" w:hAnsi="宋体" w:eastAsia="宋体" w:cs="Times New Roman"/>
          <w:color w:val="auto"/>
          <w:sz w:val="24"/>
          <w:highlight w:val="none"/>
        </w:rPr>
        <w:t>（全称）：</w:t>
      </w:r>
      <w:r>
        <w:rPr>
          <w:rFonts w:hint="eastAsia" w:ascii="宋体" w:hAnsi="宋体" w:eastAsia="宋体" w:cs="Times New Roman"/>
          <w:color w:val="auto"/>
          <w:sz w:val="24"/>
          <w:highlight w:val="none"/>
          <w:u w:val="single"/>
          <w:lang w:val="en-US" w:eastAsia="zh-CN"/>
        </w:rPr>
        <w:t xml:space="preserve">               </w:t>
      </w:r>
      <w:r>
        <w:rPr>
          <w:rFonts w:hint="eastAsia" w:ascii="宋体" w:hAnsi="Courier New" w:eastAsia="宋体" w:cs="宋体"/>
          <w:color w:val="auto"/>
          <w:kern w:val="2"/>
          <w:sz w:val="24"/>
          <w:szCs w:val="24"/>
          <w:highlight w:val="none"/>
          <w:u w:val="single"/>
          <w:lang w:val="en-US" w:eastAsia="zh-CN" w:bidi="ar-SA"/>
        </w:rPr>
        <w:t xml:space="preserve"> </w:t>
      </w:r>
    </w:p>
    <w:p w14:paraId="6DA45521">
      <w:pPr>
        <w:spacing w:line="400" w:lineRule="exact"/>
        <w:ind w:firstLine="480" w:firstLineChars="200"/>
        <w:rPr>
          <w:rFonts w:ascii="宋体" w:hAnsi="宋体" w:eastAsia="宋体" w:cs="Times New Roman"/>
          <w:b/>
          <w:color w:val="auto"/>
          <w:sz w:val="24"/>
          <w:highlight w:val="none"/>
        </w:rPr>
      </w:pPr>
      <w:r>
        <w:rPr>
          <w:rFonts w:hint="eastAsia" w:ascii="宋体" w:hAnsi="宋体" w:eastAsia="宋体" w:cs="Times New Roman"/>
          <w:color w:val="auto"/>
          <w:sz w:val="24"/>
          <w:highlight w:val="none"/>
          <w:lang w:val="en-US" w:eastAsia="zh-CN"/>
        </w:rPr>
        <w:t>甲方</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乙方</w:t>
      </w:r>
      <w:r>
        <w:rPr>
          <w:rFonts w:hint="eastAsia" w:ascii="宋体" w:hAnsi="宋体" w:eastAsia="宋体" w:cs="Times New Roman"/>
          <w:color w:val="auto"/>
          <w:sz w:val="24"/>
          <w:highlight w:val="none"/>
        </w:rPr>
        <w:t>根据《中华人民共和国建筑法》、《建设工程质量管理条例》和《房屋建筑工程质量保修办法》，经协商一致，对</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rPr>
        <w:t>签订工程质量保修书。</w:t>
      </w:r>
    </w:p>
    <w:p w14:paraId="5F840F87">
      <w:pPr>
        <w:spacing w:line="400" w:lineRule="exact"/>
        <w:ind w:firstLine="573"/>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一、工程质量保修范围和内容</w:t>
      </w:r>
    </w:p>
    <w:p w14:paraId="1D0D4E15">
      <w:pPr>
        <w:pStyle w:val="24"/>
        <w:spacing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乙方</w:t>
      </w:r>
      <w:r>
        <w:rPr>
          <w:rFonts w:hint="eastAsia" w:ascii="宋体" w:hAnsi="宋体" w:eastAsia="宋体" w:cs="Times New Roman"/>
          <w:color w:val="auto"/>
          <w:sz w:val="24"/>
          <w:highlight w:val="none"/>
        </w:rPr>
        <w:t>在质量保修期内，按照有关法律、法规、规章规定和双方约定，承担本工程质量保修责任。</w:t>
      </w:r>
    </w:p>
    <w:p w14:paraId="7A28F168">
      <w:pPr>
        <w:spacing w:line="360" w:lineRule="auto"/>
        <w:ind w:left="0" w:leftChars="0" w:firstLine="420" w:firstLineChars="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质量保修范围</w:t>
      </w:r>
      <w:r>
        <w:rPr>
          <w:rFonts w:hint="eastAsia" w:ascii="宋体" w:hAnsi="宋体" w:eastAsia="宋体" w:cs="Times New Roman"/>
          <w:color w:val="auto"/>
          <w:sz w:val="24"/>
          <w:highlight w:val="none"/>
          <w:lang w:eastAsia="zh-CN"/>
        </w:rPr>
        <w:t>（本工程图纸设计及预算书范围内）</w:t>
      </w:r>
      <w:r>
        <w:rPr>
          <w:rFonts w:hint="eastAsia" w:ascii="宋体" w:hAnsi="宋体" w:eastAsia="宋体" w:cs="Times New Roman"/>
          <w:color w:val="auto"/>
          <w:sz w:val="24"/>
          <w:highlight w:val="none"/>
        </w:rPr>
        <w:t>包含</w:t>
      </w:r>
      <w:r>
        <w:rPr>
          <w:rFonts w:hint="eastAsia" w:ascii="宋体" w:hAnsi="宋体" w:eastAsia="宋体" w:cs="Times New Roman"/>
          <w:color w:val="auto"/>
          <w:kern w:val="2"/>
          <w:sz w:val="24"/>
          <w:szCs w:val="20"/>
          <w:highlight w:val="none"/>
          <w:u w:val="single"/>
          <w:lang w:val="en-US" w:eastAsia="zh-CN" w:bidi="ar-SA"/>
        </w:rPr>
        <w:t xml:space="preserve">      </w:t>
      </w:r>
      <w:r>
        <w:rPr>
          <w:rFonts w:hint="eastAsia" w:ascii="Times New Roman" w:hAnsi="Times New Roman" w:eastAsia="宋体" w:cs="Times New Roman"/>
          <w:color w:val="auto"/>
          <w:sz w:val="24"/>
          <w:highlight w:val="none"/>
          <w:u w:val="single"/>
          <w:lang w:eastAsia="zh-CN"/>
        </w:rPr>
        <w:t>等</w:t>
      </w:r>
      <w:r>
        <w:rPr>
          <w:rFonts w:hint="eastAsia" w:ascii="宋体" w:hAnsi="宋体" w:eastAsia="宋体" w:cs="Times New Roman"/>
          <w:color w:val="auto"/>
          <w:sz w:val="24"/>
          <w:highlight w:val="none"/>
          <w:u w:val="none"/>
          <w:lang w:val="zh-CN"/>
        </w:rPr>
        <w:t>，</w:t>
      </w:r>
      <w:r>
        <w:rPr>
          <w:rFonts w:hint="eastAsia" w:ascii="宋体" w:hAnsi="宋体" w:eastAsia="宋体" w:cs="Times New Roman"/>
          <w:color w:val="auto"/>
          <w:sz w:val="24"/>
          <w:highlight w:val="none"/>
        </w:rPr>
        <w:t>以及双方约定的其他项目。具体保修的内容，双方约定如下：</w:t>
      </w:r>
    </w:p>
    <w:p w14:paraId="1372A9AF">
      <w:pPr>
        <w:pStyle w:val="11"/>
        <w:spacing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u w:val="single"/>
        </w:rPr>
        <w:t>按国家及省市现行有关条例执行。</w:t>
      </w:r>
    </w:p>
    <w:p w14:paraId="498ABA78">
      <w:pPr>
        <w:spacing w:line="400" w:lineRule="exact"/>
        <w:ind w:firstLine="573"/>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二、质量保修期</w:t>
      </w:r>
    </w:p>
    <w:p w14:paraId="2F1CF9F9">
      <w:pPr>
        <w:spacing w:line="400" w:lineRule="exact"/>
        <w:ind w:firstLine="573"/>
        <w:rPr>
          <w:rFonts w:ascii="宋体" w:hAnsi="宋体" w:eastAsia="宋体" w:cs="Times New Roman"/>
          <w:color w:val="auto"/>
          <w:sz w:val="24"/>
          <w:highlight w:val="none"/>
        </w:rPr>
      </w:pPr>
      <w:r>
        <w:rPr>
          <w:rFonts w:hint="eastAsia" w:ascii="宋体" w:hAnsi="宋体" w:eastAsia="宋体" w:cs="Times New Roman"/>
          <w:color w:val="auto"/>
          <w:sz w:val="24"/>
          <w:highlight w:val="none"/>
        </w:rPr>
        <w:t>双方根据《建设工程质量管理条例》及有关规定，约定本工程的质量保修期如下：</w:t>
      </w:r>
    </w:p>
    <w:p w14:paraId="06902E7D">
      <w:pPr>
        <w:spacing w:line="400" w:lineRule="exact"/>
        <w:ind w:firstLine="573"/>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1、</w:t>
      </w:r>
      <w:r>
        <w:rPr>
          <w:rFonts w:hint="eastAsia" w:ascii="宋体" w:hAnsi="宋体" w:eastAsia="宋体" w:cs="Times New Roman"/>
          <w:color w:val="auto"/>
          <w:sz w:val="24"/>
          <w:highlight w:val="none"/>
          <w:lang w:val="en-US" w:eastAsia="zh-CN"/>
        </w:rPr>
        <w:t>本工程为</w:t>
      </w:r>
      <w:r>
        <w:rPr>
          <w:rFonts w:hint="eastAsia" w:ascii="宋体" w:hAnsi="宋体" w:eastAsia="宋体" w:cs="Times New Roman"/>
          <w:color w:val="auto"/>
          <w:sz w:val="24"/>
          <w:highlight w:val="none"/>
          <w:u w:val="single"/>
          <w:lang w:val="en-US" w:eastAsia="zh-CN"/>
        </w:rPr>
        <w:t xml:space="preserve">  </w:t>
      </w:r>
      <w:r>
        <w:rPr>
          <w:rFonts w:hint="eastAsia" w:ascii="宋体" w:hAnsi="宋体" w:cs="Times New Roman"/>
          <w:color w:val="auto"/>
          <w:sz w:val="24"/>
          <w:highlight w:val="none"/>
          <w:u w:val="single"/>
          <w:lang w:val="en-US" w:eastAsia="zh-CN"/>
        </w:rPr>
        <w:t>贰</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年；</w:t>
      </w:r>
    </w:p>
    <w:p w14:paraId="05F03310">
      <w:pPr>
        <w:spacing w:line="400" w:lineRule="exact"/>
        <w:ind w:firstLine="573"/>
        <w:rPr>
          <w:rFonts w:ascii="宋体" w:hAnsi="宋体" w:eastAsia="宋体" w:cs="Times New Roman"/>
          <w:color w:val="auto"/>
          <w:sz w:val="24"/>
          <w:highlight w:val="none"/>
          <w:u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、其他项目保修期限约定如下：</w:t>
      </w:r>
      <w:r>
        <w:rPr>
          <w:rFonts w:hint="eastAsia" w:ascii="宋体" w:hAnsi="宋体" w:eastAsia="宋体" w:cs="Times New Roman"/>
          <w:color w:val="auto"/>
          <w:sz w:val="24"/>
          <w:highlight w:val="none"/>
          <w:u w:val="none"/>
        </w:rPr>
        <w:t>按国家及省市现有条例执行。</w:t>
      </w:r>
    </w:p>
    <w:p w14:paraId="6BA70E6A">
      <w:pPr>
        <w:spacing w:line="400" w:lineRule="exact"/>
        <w:ind w:firstLine="573"/>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三、质量保修责任</w:t>
      </w:r>
    </w:p>
    <w:p w14:paraId="11DF1FBB">
      <w:pPr>
        <w:spacing w:line="400" w:lineRule="exact"/>
        <w:ind w:firstLine="573"/>
        <w:rPr>
          <w:rFonts w:ascii="宋体" w:hAnsi="宋体" w:eastAsia="宋体" w:cs="Times New Roman"/>
          <w:color w:val="auto"/>
          <w:sz w:val="24"/>
          <w:highlight w:val="none"/>
        </w:rPr>
      </w:pPr>
      <w:r>
        <w:rPr>
          <w:rFonts w:hint="eastAsia" w:ascii="宋体" w:hAnsi="宋体" w:eastAsia="宋体" w:cs="Times New Roman"/>
          <w:color w:val="auto"/>
          <w:sz w:val="24"/>
          <w:highlight w:val="none"/>
        </w:rPr>
        <w:t>1、属于保修范围、内容的项目，承包人应当在接到保修通知之日起7天内派人保修。承包人不在约定期限内派人保修的，发包人可以委托他人修理。</w:t>
      </w:r>
    </w:p>
    <w:p w14:paraId="5D8757B8">
      <w:pPr>
        <w:spacing w:line="400" w:lineRule="exact"/>
        <w:ind w:firstLine="573"/>
        <w:rPr>
          <w:rFonts w:ascii="宋体" w:hAnsi="宋体" w:eastAsia="宋体" w:cs="Times New Roman"/>
          <w:color w:val="auto"/>
          <w:sz w:val="24"/>
          <w:highlight w:val="none"/>
        </w:rPr>
      </w:pPr>
      <w:r>
        <w:rPr>
          <w:rFonts w:hint="eastAsia" w:ascii="宋体" w:hAnsi="宋体" w:eastAsia="宋体" w:cs="Times New Roman"/>
          <w:color w:val="auto"/>
          <w:sz w:val="24"/>
          <w:highlight w:val="none"/>
        </w:rPr>
        <w:t>2、发生紧急抢修事故的，承包人在接到事故通知后，应当立即到达事故现场抢修。</w:t>
      </w:r>
    </w:p>
    <w:p w14:paraId="4350BD29">
      <w:pPr>
        <w:spacing w:line="400" w:lineRule="exact"/>
        <w:ind w:firstLine="573"/>
        <w:rPr>
          <w:rFonts w:ascii="宋体" w:hAnsi="宋体" w:eastAsia="宋体" w:cs="Times New Roman"/>
          <w:color w:val="auto"/>
          <w:sz w:val="24"/>
          <w:highlight w:val="none"/>
        </w:rPr>
      </w:pPr>
      <w:r>
        <w:rPr>
          <w:rFonts w:hint="eastAsia" w:ascii="宋体" w:hAnsi="宋体" w:eastAsia="宋体" w:cs="Times New Roman"/>
          <w:color w:val="auto"/>
          <w:sz w:val="24"/>
          <w:highlight w:val="none"/>
        </w:rPr>
        <w:t>3、对于涉及结构安全的质量问题，应当按照《建设工程质量管理条例》的规定，立即向当地建设行政主管部门报告，采取安全防范措施；由原设计单位或者具有相应资质等级的设计单位提出保修方案，承包人实施保修。</w:t>
      </w:r>
    </w:p>
    <w:p w14:paraId="095E03BA">
      <w:pPr>
        <w:spacing w:line="400" w:lineRule="exact"/>
        <w:ind w:firstLine="573"/>
        <w:rPr>
          <w:rFonts w:ascii="宋体" w:hAnsi="宋体" w:eastAsia="宋体" w:cs="Times New Roman"/>
          <w:color w:val="auto"/>
          <w:sz w:val="24"/>
          <w:highlight w:val="none"/>
        </w:rPr>
      </w:pPr>
      <w:r>
        <w:rPr>
          <w:rFonts w:hint="eastAsia" w:ascii="宋体" w:hAnsi="宋体" w:eastAsia="宋体" w:cs="Times New Roman"/>
          <w:color w:val="auto"/>
          <w:sz w:val="24"/>
          <w:highlight w:val="none"/>
        </w:rPr>
        <w:t>4、质量保修完成后，由发包人组织验收。</w:t>
      </w:r>
    </w:p>
    <w:p w14:paraId="25AAE527">
      <w:pPr>
        <w:spacing w:line="400" w:lineRule="exact"/>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四、保修费用</w:t>
      </w:r>
    </w:p>
    <w:p w14:paraId="1B68F1D7">
      <w:pPr>
        <w:spacing w:line="400" w:lineRule="exact"/>
        <w:ind w:firstLine="573"/>
        <w:rPr>
          <w:rFonts w:ascii="宋体" w:hAnsi="宋体" w:eastAsia="宋体" w:cs="Times New Roman"/>
          <w:color w:val="auto"/>
          <w:sz w:val="24"/>
          <w:highlight w:val="none"/>
        </w:rPr>
      </w:pPr>
      <w:r>
        <w:rPr>
          <w:rFonts w:hint="eastAsia" w:ascii="宋体" w:hAnsi="宋体" w:eastAsia="宋体" w:cs="Times New Roman"/>
          <w:color w:val="auto"/>
          <w:sz w:val="24"/>
          <w:highlight w:val="none"/>
        </w:rPr>
        <w:t>保修费用由造成质量缺陷的责任方承担。</w:t>
      </w:r>
    </w:p>
    <w:p w14:paraId="790911EA">
      <w:pPr>
        <w:spacing w:line="400" w:lineRule="exact"/>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五、其他</w:t>
      </w:r>
    </w:p>
    <w:p w14:paraId="7F8161EB">
      <w:pPr>
        <w:spacing w:line="400" w:lineRule="exact"/>
        <w:ind w:firstLine="573"/>
        <w:rPr>
          <w:rFonts w:hint="default" w:ascii="宋体" w:hAnsi="宋体" w:eastAsia="宋体" w:cs="Times New Roman"/>
          <w:b/>
          <w:bCs/>
          <w:color w:val="auto"/>
          <w:sz w:val="24"/>
          <w:highlight w:val="none"/>
          <w:u w:val="single"/>
          <w:lang w:val="en-US" w:eastAsia="zh-CN"/>
        </w:rPr>
      </w:pPr>
      <w:r>
        <w:rPr>
          <w:rFonts w:hint="eastAsia" w:ascii="宋体" w:hAnsi="宋体" w:eastAsia="宋体" w:cs="Times New Roman"/>
          <w:color w:val="auto"/>
          <w:sz w:val="24"/>
          <w:highlight w:val="none"/>
        </w:rPr>
        <w:t>双方约定的其他工程质量保修事项：</w:t>
      </w:r>
      <w:r>
        <w:rPr>
          <w:rFonts w:hint="eastAsia" w:ascii="宋体" w:hAnsi="宋体" w:eastAsia="宋体" w:cs="Times New Roman"/>
          <w:b/>
          <w:color w:val="auto"/>
          <w:sz w:val="24"/>
          <w:highlight w:val="none"/>
          <w:u w:val="single"/>
          <w:lang w:val="en-US" w:eastAsia="zh-CN"/>
        </w:rPr>
        <w:t xml:space="preserve"> </w:t>
      </w:r>
      <w:r>
        <w:rPr>
          <w:rFonts w:hint="eastAsia" w:ascii="宋体" w:hAnsi="宋体" w:eastAsia="宋体" w:cs="Times New Roman"/>
          <w:b w:val="0"/>
          <w:bCs/>
          <w:color w:val="auto"/>
          <w:sz w:val="24"/>
          <w:highlight w:val="none"/>
          <w:u w:val="single"/>
          <w:lang w:val="en-US" w:eastAsia="zh-CN"/>
        </w:rPr>
        <w:t>/</w:t>
      </w:r>
      <w:r>
        <w:rPr>
          <w:rFonts w:hint="eastAsia" w:ascii="宋体" w:hAnsi="宋体" w:cs="Times New Roman"/>
          <w:b w:val="0"/>
          <w:bCs/>
          <w:color w:val="auto"/>
          <w:sz w:val="24"/>
          <w:highlight w:val="none"/>
          <w:u w:val="single"/>
          <w:lang w:val="en-US" w:eastAsia="zh-CN"/>
        </w:rPr>
        <w:t xml:space="preserve"> </w:t>
      </w:r>
    </w:p>
    <w:p w14:paraId="0D48EDCD">
      <w:pPr>
        <w:spacing w:line="400" w:lineRule="exact"/>
        <w:ind w:firstLine="600" w:firstLineChars="250"/>
        <w:rPr>
          <w:rFonts w:ascii="宋体" w:hAnsi="宋体" w:eastAsia="宋体" w:cs="Times New Roman"/>
          <w:color w:val="auto"/>
          <w:sz w:val="24"/>
          <w:highlight w:val="none"/>
        </w:rPr>
      </w:pPr>
      <w:r>
        <w:rPr>
          <w:rFonts w:hint="eastAsia" w:ascii="宋体" w:hAnsi="宋体" w:eastAsia="宋体" w:cs="Times New Roman"/>
          <w:color w:val="auto"/>
          <w:sz w:val="24"/>
          <w:highlight w:val="none"/>
        </w:rPr>
        <w:t>本工程质量保修书，由施工合同双方在竣工验收前共同签署，作为施工合同附件，其有效期限至保修期满。</w:t>
      </w:r>
    </w:p>
    <w:p w14:paraId="21B76A91">
      <w:pPr>
        <w:spacing w:line="40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6BA66C56">
      <w:pPr>
        <w:spacing w:line="400" w:lineRule="exact"/>
        <w:rPr>
          <w:rFonts w:ascii="宋体" w:hAnsi="宋体" w:eastAsia="宋体" w:cs="Times New Roman"/>
          <w:color w:val="auto"/>
          <w:sz w:val="24"/>
          <w:highlight w:val="none"/>
        </w:rPr>
      </w:pPr>
    </w:p>
    <w:p w14:paraId="75CDA5B4">
      <w:pPr>
        <w:spacing w:line="400" w:lineRule="exact"/>
        <w:rPr>
          <w:rFonts w:ascii="宋体" w:hAnsi="宋体" w:eastAsia="宋体" w:cs="Times New Roman"/>
          <w:color w:val="auto"/>
          <w:sz w:val="24"/>
          <w:highlight w:val="none"/>
        </w:rPr>
      </w:pPr>
    </w:p>
    <w:p w14:paraId="6BE352CB">
      <w:pPr>
        <w:spacing w:line="400" w:lineRule="exact"/>
        <w:ind w:firstLine="360" w:firstLineChars="15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甲方</w:t>
      </w:r>
      <w:r>
        <w:rPr>
          <w:rFonts w:ascii="宋体" w:hAnsi="宋体" w:eastAsia="宋体" w:cs="Times New Roman"/>
          <w:color w:val="auto"/>
          <w:sz w:val="24"/>
          <w:highlight w:val="none"/>
        </w:rPr>
        <w:t>：（公章）　</w:t>
      </w:r>
      <w:r>
        <w:rPr>
          <w:rFonts w:hint="eastAsia" w:ascii="宋体" w:hAnsi="宋体" w:eastAsia="宋体" w:cs="Times New Roman"/>
          <w:color w:val="auto"/>
          <w:sz w:val="24"/>
          <w:highlight w:val="none"/>
        </w:rPr>
        <w:t xml:space="preserve"> </w:t>
      </w:r>
      <w:r>
        <w:rPr>
          <w:rFonts w:ascii="宋体" w:hAnsi="宋体" w:eastAsia="宋体" w:cs="Times New Roman"/>
          <w:color w:val="auto"/>
          <w:sz w:val="24"/>
          <w:highlight w:val="none"/>
        </w:rPr>
        <w:t>　</w:t>
      </w:r>
      <w:r>
        <w:rPr>
          <w:rFonts w:hint="eastAsia" w:ascii="宋体" w:hAnsi="宋体" w:eastAsia="宋体" w:cs="Times New Roman"/>
          <w:color w:val="auto"/>
          <w:sz w:val="24"/>
          <w:highlight w:val="none"/>
        </w:rPr>
        <w:t xml:space="preserve">     </w:t>
      </w:r>
      <w:r>
        <w:rPr>
          <w:rFonts w:ascii="宋体" w:hAnsi="宋体" w:eastAsia="宋体" w:cs="Times New Roman"/>
          <w:color w:val="auto"/>
          <w:sz w:val="24"/>
          <w:highlight w:val="none"/>
        </w:rPr>
        <w:t>　</w:t>
      </w: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lang w:val="en-US" w:eastAsia="zh-CN"/>
        </w:rPr>
        <w:t>乙方</w:t>
      </w:r>
      <w:r>
        <w:rPr>
          <w:rFonts w:ascii="宋体" w:hAnsi="宋体" w:eastAsia="宋体" w:cs="Times New Roman"/>
          <w:color w:val="auto"/>
          <w:sz w:val="24"/>
          <w:highlight w:val="none"/>
        </w:rPr>
        <w:t>：（公章）</w:t>
      </w:r>
      <w:r>
        <w:rPr>
          <w:rFonts w:hint="eastAsia" w:ascii="宋体" w:hAnsi="宋体" w:eastAsia="宋体" w:cs="Times New Roman"/>
          <w:color w:val="auto"/>
          <w:sz w:val="24"/>
          <w:highlight w:val="none"/>
        </w:rPr>
        <w:t xml:space="preserve">        </w:t>
      </w:r>
    </w:p>
    <w:p w14:paraId="180D5790">
      <w:pPr>
        <w:spacing w:line="400" w:lineRule="exact"/>
        <w:ind w:left="6239" w:leftChars="171" w:hanging="5880" w:hangingChars="2450"/>
        <w:rPr>
          <w:rFonts w:ascii="宋体" w:hAnsi="宋体" w:eastAsia="宋体" w:cs="Times New Roman"/>
          <w:color w:val="auto"/>
          <w:sz w:val="24"/>
          <w:highlight w:val="none"/>
        </w:rPr>
      </w:pPr>
      <w:r>
        <w:rPr>
          <w:rFonts w:ascii="宋体" w:hAnsi="宋体" w:eastAsia="宋体" w:cs="Times New Roman"/>
          <w:color w:val="auto"/>
          <w:sz w:val="24"/>
          <w:highlight w:val="none"/>
        </w:rPr>
        <w:t>住</w:t>
      </w:r>
      <w:r>
        <w:rPr>
          <w:rFonts w:hint="eastAsia" w:ascii="宋体" w:hAnsi="宋体" w:eastAsia="宋体" w:cs="Times New Roman"/>
          <w:color w:val="auto"/>
          <w:sz w:val="24"/>
          <w:highlight w:val="none"/>
        </w:rPr>
        <w:t xml:space="preserve">  </w:t>
      </w:r>
      <w:r>
        <w:rPr>
          <w:rFonts w:ascii="宋体" w:hAnsi="宋体" w:eastAsia="宋体" w:cs="Times New Roman"/>
          <w:color w:val="auto"/>
          <w:sz w:val="24"/>
          <w:highlight w:val="none"/>
        </w:rPr>
        <w:t>所：</w:t>
      </w:r>
      <w:r>
        <w:rPr>
          <w:rFonts w:hint="eastAsia" w:ascii="宋体" w:hAnsi="宋体" w:eastAsia="宋体" w:cs="Times New Roman"/>
          <w:color w:val="auto"/>
          <w:sz w:val="24"/>
          <w:highlight w:val="none"/>
        </w:rPr>
        <w:t xml:space="preserve">                                住  所：</w:t>
      </w:r>
    </w:p>
    <w:p w14:paraId="7094FE69">
      <w:pPr>
        <w:spacing w:line="400" w:lineRule="exact"/>
        <w:ind w:firstLine="360" w:firstLineChars="150"/>
        <w:rPr>
          <w:rFonts w:ascii="宋体" w:hAnsi="宋体" w:eastAsia="宋体" w:cs="Times New Roman"/>
          <w:color w:val="auto"/>
          <w:sz w:val="24"/>
          <w:highlight w:val="none"/>
        </w:rPr>
      </w:pPr>
      <w:r>
        <w:rPr>
          <w:rFonts w:ascii="宋体" w:hAnsi="宋体" w:eastAsia="宋体" w:cs="Times New Roman"/>
          <w:color w:val="auto"/>
          <w:sz w:val="24"/>
          <w:highlight w:val="none"/>
        </w:rPr>
        <w:t>法定代表人：　　　　</w:t>
      </w:r>
      <w:r>
        <w:rPr>
          <w:rFonts w:hint="eastAsia" w:ascii="宋体" w:hAnsi="宋体" w:eastAsia="宋体" w:cs="Times New Roman"/>
          <w:color w:val="auto"/>
          <w:sz w:val="24"/>
          <w:highlight w:val="none"/>
        </w:rPr>
        <w:t xml:space="preserve">                    法定代表人：</w:t>
      </w:r>
    </w:p>
    <w:p w14:paraId="6C10CF31">
      <w:pPr>
        <w:spacing w:line="400" w:lineRule="exact"/>
        <w:ind w:firstLine="360" w:firstLineChars="150"/>
        <w:rPr>
          <w:rFonts w:ascii="宋体" w:hAnsi="宋体" w:eastAsia="宋体" w:cs="Times New Roman"/>
          <w:color w:val="auto"/>
          <w:sz w:val="24"/>
          <w:highlight w:val="none"/>
        </w:rPr>
      </w:pPr>
      <w:r>
        <w:rPr>
          <w:rFonts w:ascii="宋体" w:hAnsi="宋体" w:eastAsia="宋体" w:cs="Times New Roman"/>
          <w:color w:val="auto"/>
          <w:sz w:val="24"/>
          <w:highlight w:val="none"/>
        </w:rPr>
        <w:t>委托代</w:t>
      </w:r>
      <w:r>
        <w:rPr>
          <w:rFonts w:hint="eastAsia" w:ascii="宋体" w:hAnsi="宋体" w:eastAsia="宋体" w:cs="Times New Roman"/>
          <w:color w:val="auto"/>
          <w:sz w:val="24"/>
          <w:highlight w:val="none"/>
        </w:rPr>
        <w:t>理</w:t>
      </w:r>
      <w:r>
        <w:rPr>
          <w:rFonts w:ascii="宋体" w:hAnsi="宋体" w:eastAsia="宋体" w:cs="Times New Roman"/>
          <w:color w:val="auto"/>
          <w:sz w:val="24"/>
          <w:highlight w:val="none"/>
        </w:rPr>
        <w:t>人：　　　　</w:t>
      </w:r>
      <w:r>
        <w:rPr>
          <w:rFonts w:hint="eastAsia" w:ascii="宋体" w:hAnsi="宋体" w:eastAsia="宋体" w:cs="Times New Roman"/>
          <w:color w:val="auto"/>
          <w:sz w:val="24"/>
          <w:highlight w:val="none"/>
        </w:rPr>
        <w:t xml:space="preserve">                    委托代理人：</w:t>
      </w:r>
    </w:p>
    <w:p w14:paraId="74263C8F">
      <w:pPr>
        <w:spacing w:line="400" w:lineRule="exact"/>
        <w:ind w:firstLine="360" w:firstLineChars="150"/>
        <w:rPr>
          <w:rFonts w:ascii="宋体" w:hAnsi="宋体" w:eastAsia="宋体" w:cs="Times New Roman"/>
          <w:color w:val="auto"/>
          <w:sz w:val="24"/>
          <w:highlight w:val="none"/>
        </w:rPr>
      </w:pPr>
      <w:r>
        <w:rPr>
          <w:rFonts w:ascii="宋体" w:hAnsi="宋体" w:eastAsia="宋体" w:cs="Times New Roman"/>
          <w:color w:val="auto"/>
          <w:sz w:val="24"/>
          <w:highlight w:val="none"/>
        </w:rPr>
        <w:t>电</w:t>
      </w:r>
      <w:r>
        <w:rPr>
          <w:rFonts w:hint="eastAsia" w:ascii="宋体" w:hAnsi="宋体" w:eastAsia="宋体" w:cs="Times New Roman"/>
          <w:color w:val="auto"/>
          <w:sz w:val="24"/>
          <w:highlight w:val="none"/>
        </w:rPr>
        <w:t xml:space="preserve">  </w:t>
      </w:r>
      <w:r>
        <w:rPr>
          <w:rFonts w:ascii="宋体" w:hAnsi="宋体" w:eastAsia="宋体" w:cs="Times New Roman"/>
          <w:color w:val="auto"/>
          <w:sz w:val="24"/>
          <w:highlight w:val="none"/>
        </w:rPr>
        <w:t>话：　　　</w:t>
      </w:r>
      <w:r>
        <w:rPr>
          <w:rFonts w:hint="eastAsia" w:ascii="宋体" w:hAnsi="宋体" w:eastAsia="宋体" w:cs="Times New Roman"/>
          <w:color w:val="auto"/>
          <w:sz w:val="24"/>
          <w:highlight w:val="none"/>
        </w:rPr>
        <w:t xml:space="preserve">                          电   话：  </w:t>
      </w:r>
    </w:p>
    <w:p w14:paraId="4C13B808">
      <w:pPr>
        <w:spacing w:line="400" w:lineRule="exact"/>
        <w:ind w:firstLine="360" w:firstLineChars="150"/>
        <w:rPr>
          <w:rFonts w:ascii="宋体" w:hAnsi="宋体" w:eastAsia="宋体" w:cs="Times New Roman"/>
          <w:color w:val="auto"/>
          <w:sz w:val="24"/>
          <w:highlight w:val="none"/>
        </w:rPr>
      </w:pPr>
      <w:r>
        <w:rPr>
          <w:rFonts w:ascii="宋体" w:hAnsi="宋体" w:eastAsia="宋体" w:cs="Times New Roman"/>
          <w:color w:val="auto"/>
          <w:sz w:val="24"/>
          <w:highlight w:val="none"/>
        </w:rPr>
        <w:t>传</w:t>
      </w:r>
      <w:r>
        <w:rPr>
          <w:rFonts w:hint="eastAsia" w:ascii="宋体" w:hAnsi="宋体" w:eastAsia="宋体" w:cs="Times New Roman"/>
          <w:color w:val="auto"/>
          <w:sz w:val="24"/>
          <w:highlight w:val="none"/>
        </w:rPr>
        <w:t xml:space="preserve">  </w:t>
      </w:r>
      <w:r>
        <w:rPr>
          <w:rFonts w:ascii="宋体" w:hAnsi="宋体" w:eastAsia="宋体" w:cs="Times New Roman"/>
          <w:color w:val="auto"/>
          <w:sz w:val="24"/>
          <w:highlight w:val="none"/>
        </w:rPr>
        <w:t>真：　　</w:t>
      </w:r>
      <w:r>
        <w:rPr>
          <w:rFonts w:hint="eastAsia" w:ascii="宋体" w:hAnsi="宋体" w:eastAsia="宋体" w:cs="Times New Roman"/>
          <w:color w:val="auto"/>
          <w:sz w:val="24"/>
          <w:highlight w:val="none"/>
        </w:rPr>
        <w:t xml:space="preserve">                            传   真：</w:t>
      </w:r>
    </w:p>
    <w:p w14:paraId="2990794C">
      <w:pPr>
        <w:spacing w:line="400" w:lineRule="exact"/>
        <w:ind w:firstLine="320" w:firstLineChars="100"/>
        <w:rPr>
          <w:rFonts w:ascii="宋体" w:hAnsi="宋体" w:eastAsia="宋体" w:cs="Times New Roman"/>
          <w:color w:val="auto"/>
          <w:sz w:val="24"/>
          <w:highlight w:val="none"/>
        </w:rPr>
      </w:pPr>
      <w:r>
        <w:rPr>
          <w:rFonts w:ascii="宋体" w:hAnsi="宋体" w:eastAsia="宋体" w:cs="Times New Roman"/>
          <w:color w:val="auto"/>
          <w:spacing w:val="40"/>
          <w:sz w:val="24"/>
          <w:highlight w:val="none"/>
        </w:rPr>
        <w:t>开户银行</w:t>
      </w:r>
      <w:r>
        <w:rPr>
          <w:rFonts w:ascii="宋体" w:hAnsi="宋体" w:eastAsia="宋体" w:cs="Times New Roman"/>
          <w:color w:val="auto"/>
          <w:sz w:val="24"/>
          <w:highlight w:val="none"/>
        </w:rPr>
        <w:t>：　　　</w:t>
      </w:r>
      <w:r>
        <w:rPr>
          <w:rFonts w:hint="eastAsia" w:ascii="宋体" w:hAnsi="宋体" w:eastAsia="宋体" w:cs="Times New Roman"/>
          <w:color w:val="auto"/>
          <w:sz w:val="24"/>
          <w:highlight w:val="none"/>
        </w:rPr>
        <w:t xml:space="preserve">                      开户银行：</w:t>
      </w:r>
    </w:p>
    <w:p w14:paraId="223090FE">
      <w:pPr>
        <w:spacing w:line="400" w:lineRule="exact"/>
        <w:ind w:firstLine="360" w:firstLineChars="150"/>
        <w:rPr>
          <w:rFonts w:ascii="宋体" w:hAnsi="宋体" w:eastAsia="宋体" w:cs="Times New Roman"/>
          <w:color w:val="auto"/>
          <w:sz w:val="24"/>
          <w:highlight w:val="none"/>
        </w:rPr>
      </w:pPr>
      <w:r>
        <w:rPr>
          <w:rFonts w:ascii="宋体" w:hAnsi="宋体" w:eastAsia="宋体" w:cs="Times New Roman"/>
          <w:color w:val="auto"/>
          <w:sz w:val="24"/>
          <w:highlight w:val="none"/>
        </w:rPr>
        <w:t>账</w:t>
      </w:r>
      <w:r>
        <w:rPr>
          <w:rFonts w:hint="eastAsia" w:ascii="宋体" w:hAnsi="宋体" w:eastAsia="宋体" w:cs="Times New Roman"/>
          <w:color w:val="auto"/>
          <w:sz w:val="24"/>
          <w:highlight w:val="none"/>
        </w:rPr>
        <w:t xml:space="preserve">  </w:t>
      </w:r>
      <w:r>
        <w:rPr>
          <w:rFonts w:ascii="宋体" w:hAnsi="宋体" w:eastAsia="宋体" w:cs="Times New Roman"/>
          <w:color w:val="auto"/>
          <w:sz w:val="24"/>
          <w:highlight w:val="none"/>
        </w:rPr>
        <w:t>号：</w:t>
      </w:r>
      <w:r>
        <w:rPr>
          <w:rFonts w:hint="eastAsia" w:ascii="宋体" w:hAnsi="宋体" w:eastAsia="宋体" w:cs="Times New Roman"/>
          <w:color w:val="auto"/>
          <w:sz w:val="24"/>
          <w:highlight w:val="none"/>
        </w:rPr>
        <w:t xml:space="preserve">   </w:t>
      </w:r>
      <w:r>
        <w:rPr>
          <w:rFonts w:ascii="宋体" w:hAnsi="宋体" w:eastAsia="宋体" w:cs="Times New Roman"/>
          <w:color w:val="auto"/>
          <w:sz w:val="24"/>
          <w:highlight w:val="none"/>
        </w:rPr>
        <w:t>　</w:t>
      </w:r>
      <w:r>
        <w:rPr>
          <w:rFonts w:hint="eastAsia" w:ascii="宋体" w:hAnsi="宋体" w:eastAsia="宋体" w:cs="Times New Roman"/>
          <w:color w:val="auto"/>
          <w:sz w:val="24"/>
          <w:highlight w:val="none"/>
        </w:rPr>
        <w:t xml:space="preserve">                           账  号：</w:t>
      </w:r>
    </w:p>
    <w:p w14:paraId="727DC88D">
      <w:pPr>
        <w:spacing w:line="400" w:lineRule="exact"/>
        <w:ind w:firstLine="320" w:firstLineChars="100"/>
        <w:rPr>
          <w:rFonts w:ascii="宋体" w:hAnsi="宋体" w:eastAsia="宋体" w:cs="Times New Roman"/>
          <w:color w:val="auto"/>
          <w:sz w:val="24"/>
          <w:highlight w:val="none"/>
        </w:rPr>
      </w:pPr>
      <w:r>
        <w:rPr>
          <w:rFonts w:ascii="宋体" w:hAnsi="宋体" w:eastAsia="宋体" w:cs="Times New Roman"/>
          <w:color w:val="auto"/>
          <w:spacing w:val="40"/>
          <w:sz w:val="24"/>
          <w:highlight w:val="none"/>
        </w:rPr>
        <w:t>邮政编码</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 xml:space="preserve">     </w:t>
      </w:r>
      <w:r>
        <w:rPr>
          <w:rFonts w:ascii="宋体" w:hAnsi="宋体" w:eastAsia="宋体" w:cs="Times New Roman"/>
          <w:color w:val="auto"/>
          <w:sz w:val="24"/>
          <w:highlight w:val="none"/>
        </w:rPr>
        <w:t>　</w:t>
      </w:r>
      <w:r>
        <w:rPr>
          <w:rFonts w:hint="eastAsia" w:ascii="宋体" w:hAnsi="宋体" w:eastAsia="宋体" w:cs="Times New Roman"/>
          <w:color w:val="auto"/>
          <w:sz w:val="24"/>
          <w:highlight w:val="none"/>
        </w:rPr>
        <w:t xml:space="preserve">                     邮政编码：</w:t>
      </w:r>
    </w:p>
    <w:p w14:paraId="43CBDAB3">
      <w:pPr>
        <w:spacing w:line="400" w:lineRule="exact"/>
        <w:ind w:firstLine="240" w:firstLineChars="100"/>
        <w:rPr>
          <w:rFonts w:ascii="宋体" w:hAnsi="宋体" w:eastAsia="宋体" w:cs="Times New Roman"/>
          <w:color w:val="auto"/>
          <w:sz w:val="24"/>
          <w:highlight w:val="none"/>
        </w:rPr>
      </w:pPr>
    </w:p>
    <w:p w14:paraId="651D3348">
      <w:pPr>
        <w:ind w:firstLine="240" w:firstLineChars="100"/>
        <w:rPr>
          <w:rFonts w:hint="eastAsia" w:ascii="宋体" w:hAnsi="Courier New" w:eastAsia="宋体" w:cs="Times New Roman"/>
          <w:b/>
          <w:bCs/>
          <w:color w:val="auto"/>
          <w:sz w:val="24"/>
          <w:szCs w:val="24"/>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日                    </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706C6D3B">
      <w:pPr>
        <w:pStyle w:val="2"/>
        <w:jc w:val="center"/>
        <w:rPr>
          <w:rFonts w:hint="eastAsia" w:ascii="宋体" w:hAnsi="宋体" w:cs="宋体"/>
          <w:color w:val="auto"/>
          <w:sz w:val="24"/>
          <w:szCs w:val="24"/>
          <w:highlight w:val="none"/>
        </w:rPr>
      </w:pPr>
      <w:bookmarkStart w:id="46" w:name="_Toc30548"/>
    </w:p>
    <w:p w14:paraId="76F83AE7">
      <w:pPr>
        <w:pStyle w:val="2"/>
        <w:jc w:val="center"/>
        <w:rPr>
          <w:rFonts w:hint="eastAsia" w:ascii="宋体" w:hAnsi="宋体" w:cs="宋体"/>
          <w:color w:val="auto"/>
          <w:sz w:val="24"/>
          <w:szCs w:val="24"/>
          <w:highlight w:val="none"/>
        </w:rPr>
      </w:pPr>
    </w:p>
    <w:p w14:paraId="6BA916C7">
      <w:pPr>
        <w:pStyle w:val="2"/>
        <w:jc w:val="both"/>
        <w:rPr>
          <w:rFonts w:hint="eastAsia" w:ascii="宋体" w:hAnsi="宋体" w:cs="宋体"/>
          <w:color w:val="auto"/>
          <w:sz w:val="24"/>
          <w:szCs w:val="24"/>
          <w:highlight w:val="none"/>
        </w:rPr>
      </w:pPr>
    </w:p>
    <w:p w14:paraId="1A6EB934">
      <w:pPr>
        <w:rPr>
          <w:rFonts w:hint="eastAsia" w:ascii="宋体" w:hAnsi="宋体" w:cs="宋体"/>
          <w:color w:val="auto"/>
          <w:sz w:val="24"/>
          <w:szCs w:val="24"/>
          <w:highlight w:val="none"/>
        </w:rPr>
      </w:pPr>
    </w:p>
    <w:p w14:paraId="11D522F1">
      <w:pPr>
        <w:pStyle w:val="12"/>
        <w:rPr>
          <w:rFonts w:hint="eastAsia"/>
          <w:color w:val="auto"/>
          <w:highlight w:val="none"/>
        </w:rPr>
      </w:pPr>
    </w:p>
    <w:p w14:paraId="01805FC1">
      <w:pPr>
        <w:pStyle w:val="2"/>
        <w:jc w:val="both"/>
        <w:rPr>
          <w:rFonts w:hint="eastAsia" w:ascii="宋体" w:hAnsi="宋体" w:cs="宋体"/>
          <w:color w:val="auto"/>
          <w:sz w:val="24"/>
          <w:szCs w:val="24"/>
          <w:highlight w:val="none"/>
        </w:rPr>
      </w:pPr>
    </w:p>
    <w:p w14:paraId="0B45C0AD">
      <w:pPr>
        <w:pStyle w:val="2"/>
        <w:jc w:val="both"/>
        <w:rPr>
          <w:rFonts w:hint="eastAsia" w:ascii="宋体" w:hAnsi="宋体" w:eastAsia="宋体" w:cs="宋体"/>
          <w:b w:val="0"/>
          <w:bCs w:val="0"/>
          <w:color w:val="auto"/>
          <w:kern w:val="2"/>
          <w:sz w:val="24"/>
          <w:szCs w:val="24"/>
          <w:highlight w:val="none"/>
          <w:lang w:val="en-US" w:eastAsia="zh-CN" w:bidi="ar-SA"/>
        </w:rPr>
      </w:pPr>
    </w:p>
    <w:p w14:paraId="73FC42BB">
      <w:pPr>
        <w:rPr>
          <w:rFonts w:hint="eastAsia" w:ascii="宋体" w:hAnsi="宋体" w:eastAsia="宋体" w:cs="宋体"/>
          <w:b w:val="0"/>
          <w:bCs w:val="0"/>
          <w:color w:val="auto"/>
          <w:kern w:val="2"/>
          <w:sz w:val="24"/>
          <w:szCs w:val="24"/>
          <w:highlight w:val="none"/>
          <w:lang w:val="en-US" w:eastAsia="zh-CN" w:bidi="ar-SA"/>
        </w:rPr>
      </w:pPr>
    </w:p>
    <w:p w14:paraId="0E15AF93">
      <w:pPr>
        <w:pStyle w:val="12"/>
        <w:rPr>
          <w:rFonts w:hint="eastAsia" w:ascii="宋体" w:hAnsi="宋体" w:eastAsia="宋体" w:cs="宋体"/>
          <w:b w:val="0"/>
          <w:bCs w:val="0"/>
          <w:color w:val="auto"/>
          <w:kern w:val="2"/>
          <w:sz w:val="24"/>
          <w:szCs w:val="24"/>
          <w:highlight w:val="none"/>
          <w:lang w:val="en-US" w:eastAsia="zh-CN" w:bidi="ar-SA"/>
        </w:rPr>
      </w:pPr>
    </w:p>
    <w:p w14:paraId="05BBDD5A">
      <w:pPr>
        <w:rPr>
          <w:rFonts w:hint="default"/>
          <w:color w:val="auto"/>
          <w:highlight w:val="none"/>
          <w:lang w:val="en-US" w:eastAsia="zh-CN"/>
        </w:rPr>
      </w:pPr>
      <w:r>
        <w:rPr>
          <w:rFonts w:hint="eastAsia" w:ascii="宋体" w:hAnsi="宋体" w:cs="宋体"/>
          <w:b w:val="0"/>
          <w:bCs w:val="0"/>
          <w:color w:val="auto"/>
          <w:kern w:val="2"/>
          <w:sz w:val="24"/>
          <w:szCs w:val="24"/>
          <w:highlight w:val="none"/>
          <w:lang w:val="en-US" w:eastAsia="zh-CN" w:bidi="ar-SA"/>
        </w:rPr>
        <w:t xml:space="preserve">  </w:t>
      </w:r>
    </w:p>
    <w:p w14:paraId="6D736CBD">
      <w:pPr>
        <w:pStyle w:val="2"/>
        <w:jc w:val="both"/>
        <w:rPr>
          <w:rFonts w:hint="eastAsia" w:ascii="宋体" w:hAnsi="宋体" w:cs="宋体"/>
          <w:color w:val="auto"/>
          <w:sz w:val="24"/>
          <w:szCs w:val="24"/>
          <w:highlight w:val="none"/>
        </w:rPr>
      </w:pPr>
    </w:p>
    <w:p w14:paraId="64CC79D6">
      <w:pPr>
        <w:pStyle w:val="2"/>
        <w:ind w:firstLine="361" w:firstLineChars="100"/>
        <w:jc w:val="center"/>
        <w:rPr>
          <w:rFonts w:ascii="宋体" w:hAnsi="宋体" w:cs="宋体"/>
          <w:color w:val="auto"/>
          <w:sz w:val="24"/>
          <w:szCs w:val="24"/>
          <w:highlight w:val="none"/>
        </w:rPr>
      </w:pPr>
      <w:r>
        <w:rPr>
          <w:rFonts w:hint="eastAsia" w:ascii="宋体" w:hAnsi="宋体" w:eastAsia="宋体" w:cs="宋体"/>
          <w:b/>
          <w:bCs/>
          <w:color w:val="auto"/>
          <w:kern w:val="2"/>
          <w:sz w:val="36"/>
          <w:szCs w:val="36"/>
          <w:highlight w:val="none"/>
          <w:lang w:val="en-US" w:eastAsia="zh-CN" w:bidi="ar-SA"/>
        </w:rPr>
        <w:t>第六章</w:t>
      </w:r>
      <w:r>
        <w:rPr>
          <w:rFonts w:hint="eastAsia" w:ascii="宋体" w:hAnsi="宋体" w:cs="宋体"/>
          <w:color w:val="auto"/>
          <w:sz w:val="24"/>
          <w:szCs w:val="24"/>
          <w:highlight w:val="none"/>
        </w:rPr>
        <w:t>　</w:t>
      </w:r>
      <w:r>
        <w:rPr>
          <w:rFonts w:hint="eastAsia" w:ascii="宋体" w:hAnsi="宋体" w:eastAsia="宋体" w:cs="宋体"/>
          <w:b/>
          <w:bCs/>
          <w:color w:val="auto"/>
          <w:kern w:val="2"/>
          <w:sz w:val="36"/>
          <w:szCs w:val="36"/>
          <w:highlight w:val="none"/>
          <w:lang w:val="en-US" w:eastAsia="zh-CN" w:bidi="ar-SA"/>
        </w:rPr>
        <w:t>磋商响应文件组成内容及格式</w:t>
      </w:r>
      <w:bookmarkEnd w:id="46"/>
    </w:p>
    <w:bookmarkEnd w:id="36"/>
    <w:bookmarkEnd w:id="37"/>
    <w:p w14:paraId="39DC9FA3">
      <w:pPr>
        <w:pStyle w:val="22"/>
        <w:spacing w:before="120" w:after="120" w:line="360" w:lineRule="auto"/>
        <w:outlineLvl w:val="9"/>
        <w:rPr>
          <w:rFonts w:ascii="宋体" w:hAnsi="宋体" w:cs="宋体"/>
          <w:color w:val="auto"/>
          <w:szCs w:val="24"/>
          <w:highlight w:val="none"/>
          <w:u w:val="single"/>
        </w:rPr>
      </w:pPr>
    </w:p>
    <w:p w14:paraId="27C7A41B">
      <w:pPr>
        <w:jc w:val="center"/>
        <w:outlineLvl w:val="9"/>
        <w:rPr>
          <w:rFonts w:ascii="宋体" w:hAnsi="宋体" w:eastAsia="宋体" w:cs="宋体"/>
          <w:b w:val="0"/>
          <w:color w:val="auto"/>
          <w:sz w:val="24"/>
          <w:szCs w:val="24"/>
          <w:highlight w:val="none"/>
        </w:rPr>
      </w:pPr>
      <w:bookmarkStart w:id="47" w:name="_Toc405368940"/>
      <w:r>
        <w:rPr>
          <w:rFonts w:hint="eastAsia" w:ascii="宋体" w:hAnsi="宋体" w:eastAsia="宋体" w:cs="宋体"/>
          <w:b w:val="0"/>
          <w:color w:val="auto"/>
          <w:sz w:val="24"/>
          <w:szCs w:val="24"/>
          <w:highlight w:val="none"/>
        </w:rPr>
        <w:t>一、磋商响应文件封面格式</w:t>
      </w:r>
      <w:bookmarkEnd w:id="47"/>
    </w:p>
    <w:p w14:paraId="1021349A">
      <w:pPr>
        <w:outlineLvl w:val="9"/>
        <w:rPr>
          <w:rFonts w:ascii="宋体" w:hAnsi="宋体" w:cs="宋体"/>
          <w:color w:val="auto"/>
          <w:sz w:val="24"/>
          <w:highlight w:val="none"/>
        </w:rPr>
      </w:pPr>
    </w:p>
    <w:p w14:paraId="2FE13F4D">
      <w:pPr>
        <w:outlineLvl w:val="9"/>
        <w:rPr>
          <w:rFonts w:ascii="宋体" w:hAnsi="宋体" w:cs="宋体"/>
          <w:color w:val="auto"/>
          <w:sz w:val="24"/>
          <w:highlight w:val="none"/>
        </w:rPr>
      </w:pPr>
    </w:p>
    <w:p w14:paraId="1598A86B">
      <w:pPr>
        <w:outlineLvl w:val="9"/>
        <w:rPr>
          <w:rFonts w:ascii="宋体" w:hAnsi="宋体" w:cs="宋体"/>
          <w:color w:val="auto"/>
          <w:sz w:val="24"/>
          <w:highlight w:val="none"/>
        </w:rPr>
      </w:pPr>
    </w:p>
    <w:p w14:paraId="5B4A50F8">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1.磋商响应文件封面格式： </w:t>
      </w:r>
    </w:p>
    <w:p w14:paraId="41524306">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348D3C75">
      <w:pPr>
        <w:spacing w:line="360" w:lineRule="auto"/>
        <w:outlineLvl w:val="9"/>
        <w:rPr>
          <w:rFonts w:ascii="宋体" w:hAnsi="宋体" w:cs="宋体"/>
          <w:color w:val="auto"/>
          <w:sz w:val="24"/>
          <w:highlight w:val="none"/>
        </w:rPr>
      </w:pPr>
    </w:p>
    <w:p w14:paraId="7B671CAD">
      <w:pPr>
        <w:spacing w:line="360" w:lineRule="auto"/>
        <w:outlineLvl w:val="9"/>
        <w:rPr>
          <w:rFonts w:ascii="宋体" w:hAnsi="宋体" w:cs="宋体"/>
          <w:color w:val="auto"/>
          <w:sz w:val="24"/>
          <w:highlight w:val="none"/>
        </w:rPr>
      </w:pPr>
    </w:p>
    <w:p w14:paraId="04ACC228">
      <w:pPr>
        <w:spacing w:line="360" w:lineRule="auto"/>
        <w:outlineLvl w:val="9"/>
        <w:rPr>
          <w:rFonts w:ascii="宋体" w:hAnsi="宋体" w:cs="宋体"/>
          <w:color w:val="auto"/>
          <w:sz w:val="24"/>
          <w:highlight w:val="none"/>
        </w:rPr>
      </w:pPr>
    </w:p>
    <w:p w14:paraId="0D0FDE50">
      <w:pPr>
        <w:spacing w:line="360" w:lineRule="auto"/>
        <w:outlineLvl w:val="9"/>
        <w:rPr>
          <w:rFonts w:ascii="宋体" w:hAnsi="宋体" w:cs="宋体"/>
          <w:color w:val="auto"/>
          <w:sz w:val="24"/>
          <w:highlight w:val="none"/>
        </w:rPr>
      </w:pPr>
    </w:p>
    <w:p w14:paraId="2E370DD2">
      <w:pPr>
        <w:spacing w:line="480" w:lineRule="auto"/>
        <w:rPr>
          <w:rFonts w:ascii="宋体" w:hAnsi="宋体" w:cs="宋体"/>
          <w:color w:val="auto"/>
          <w:sz w:val="24"/>
          <w:highlight w:val="none"/>
        </w:rPr>
      </w:pPr>
      <w:r>
        <w:rPr>
          <w:rFonts w:hint="eastAsia" w:ascii="宋体" w:hAnsi="宋体" w:cs="宋体"/>
          <w:color w:val="auto"/>
          <w:sz w:val="24"/>
          <w:highlight w:val="none"/>
        </w:rPr>
        <w:t>资格审查文件、商务技术文件、报价文件（相应选择一个磋商响应文件封面名称）</w:t>
      </w:r>
    </w:p>
    <w:p w14:paraId="2CC84BF6">
      <w:pPr>
        <w:spacing w:line="480" w:lineRule="auto"/>
        <w:rPr>
          <w:rFonts w:hint="eastAsia" w:ascii="宋体" w:hAnsi="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南马镇中心小学校舍及道路改造项目</w:t>
      </w:r>
    </w:p>
    <w:p w14:paraId="2E7C9AC3">
      <w:pPr>
        <w:spacing w:line="48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w:t>
      </w:r>
      <w:r>
        <w:rPr>
          <w:rFonts w:hint="eastAsia" w:ascii="宋体" w:hAnsi="宋体" w:cs="宋体"/>
          <w:color w:val="auto"/>
          <w:sz w:val="24"/>
          <w:highlight w:val="none"/>
          <w:lang w:val="en-US" w:eastAsia="zh-CN"/>
        </w:rPr>
        <w:t>HZZGC</w:t>
      </w:r>
      <w:r>
        <w:rPr>
          <w:rFonts w:hint="eastAsia" w:ascii="宋体" w:hAnsi="宋体" w:cs="宋体"/>
          <w:color w:val="auto"/>
          <w:sz w:val="24"/>
          <w:highlight w:val="none"/>
          <w:lang w:eastAsia="zh-CN"/>
        </w:rPr>
        <w:t>2025-00</w:t>
      </w:r>
      <w:r>
        <w:rPr>
          <w:rFonts w:hint="eastAsia" w:ascii="宋体" w:hAnsi="宋体" w:cs="宋体"/>
          <w:color w:val="auto"/>
          <w:sz w:val="24"/>
          <w:highlight w:val="none"/>
          <w:lang w:val="en-US" w:eastAsia="zh-CN"/>
        </w:rPr>
        <w:t>2</w:t>
      </w:r>
    </w:p>
    <w:p w14:paraId="10A17BD9">
      <w:pPr>
        <w:spacing w:line="480" w:lineRule="auto"/>
        <w:rPr>
          <w:rFonts w:ascii="宋体" w:hAnsi="宋体" w:cs="宋体"/>
          <w:color w:val="auto"/>
          <w:sz w:val="24"/>
          <w:highlight w:val="none"/>
        </w:rPr>
      </w:pPr>
      <w:r>
        <w:rPr>
          <w:rFonts w:hint="eastAsia" w:ascii="宋体" w:hAnsi="宋体" w:cs="宋体"/>
          <w:color w:val="auto"/>
          <w:sz w:val="24"/>
          <w:highlight w:val="none"/>
        </w:rPr>
        <w:t>标项：</w:t>
      </w:r>
    </w:p>
    <w:p w14:paraId="2B139FA8">
      <w:pPr>
        <w:spacing w:line="480" w:lineRule="auto"/>
        <w:rPr>
          <w:rFonts w:ascii="宋体" w:hAnsi="宋体" w:cs="宋体"/>
          <w:color w:val="auto"/>
          <w:sz w:val="24"/>
          <w:highlight w:val="none"/>
        </w:rPr>
      </w:pPr>
      <w:r>
        <w:rPr>
          <w:rFonts w:hint="eastAsia" w:ascii="宋体" w:hAnsi="宋体" w:cs="宋体"/>
          <w:color w:val="auto"/>
          <w:sz w:val="24"/>
          <w:highlight w:val="none"/>
        </w:rPr>
        <w:t>供应商名称：</w:t>
      </w:r>
    </w:p>
    <w:p w14:paraId="66888EA7">
      <w:pPr>
        <w:spacing w:line="480" w:lineRule="auto"/>
        <w:rPr>
          <w:rFonts w:ascii="宋体" w:hAnsi="宋体" w:cs="宋体"/>
          <w:color w:val="auto"/>
          <w:sz w:val="24"/>
          <w:highlight w:val="none"/>
        </w:rPr>
      </w:pPr>
      <w:r>
        <w:rPr>
          <w:rFonts w:hint="eastAsia" w:ascii="宋体" w:hAnsi="宋体" w:cs="宋体"/>
          <w:color w:val="auto"/>
          <w:sz w:val="24"/>
          <w:highlight w:val="none"/>
        </w:rPr>
        <w:t>供应商地址：</w:t>
      </w:r>
    </w:p>
    <w:p w14:paraId="70D164E6">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2E9EF8B">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1508F869">
      <w:pPr>
        <w:spacing w:line="360" w:lineRule="auto"/>
        <w:rPr>
          <w:rFonts w:ascii="宋体" w:hAnsi="宋体" w:cs="宋体"/>
          <w:color w:val="auto"/>
          <w:sz w:val="24"/>
          <w:highlight w:val="none"/>
        </w:rPr>
      </w:pPr>
    </w:p>
    <w:p w14:paraId="27EB3525">
      <w:pPr>
        <w:rPr>
          <w:rFonts w:ascii="宋体" w:hAnsi="宋体" w:cs="宋体"/>
          <w:color w:val="auto"/>
          <w:sz w:val="24"/>
          <w:highlight w:val="none"/>
        </w:rPr>
      </w:pPr>
    </w:p>
    <w:p w14:paraId="6BE1379D">
      <w:pPr>
        <w:rPr>
          <w:rFonts w:ascii="宋体" w:hAnsi="宋体" w:cs="宋体"/>
          <w:color w:val="auto"/>
          <w:sz w:val="24"/>
          <w:highlight w:val="none"/>
        </w:rPr>
      </w:pPr>
    </w:p>
    <w:p w14:paraId="62D0BC4F">
      <w:pPr>
        <w:spacing w:line="360" w:lineRule="auto"/>
        <w:rPr>
          <w:rFonts w:ascii="宋体" w:hAnsi="宋体" w:cs="宋体"/>
          <w:b/>
          <w:color w:val="auto"/>
          <w:sz w:val="24"/>
          <w:highlight w:val="none"/>
        </w:rPr>
      </w:pPr>
    </w:p>
    <w:p w14:paraId="4D55DF68">
      <w:pPr>
        <w:rPr>
          <w:color w:val="auto"/>
          <w:highlight w:val="none"/>
        </w:rPr>
      </w:pPr>
    </w:p>
    <w:p w14:paraId="5B348B28">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.资格审查文件：</w:t>
      </w:r>
    </w:p>
    <w:p w14:paraId="54438F9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bookmarkStart w:id="48" w:name="_Toc12090"/>
      <w:r>
        <w:rPr>
          <w:rFonts w:hint="eastAsia" w:ascii="宋体" w:hAnsi="宋体" w:cs="宋体"/>
          <w:color w:val="auto"/>
          <w:sz w:val="24"/>
          <w:highlight w:val="none"/>
        </w:rPr>
        <w:t>（1）有效的营业执照复印件；</w:t>
      </w:r>
    </w:p>
    <w:p w14:paraId="195FB95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2CE1AFA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（3）符合参加政府采购活动应当具备的一般条件的承诺函(格式见附件) ；</w:t>
      </w:r>
    </w:p>
    <w:p w14:paraId="2189FE9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（4）政府采购活动现场确认声明书</w:t>
      </w:r>
      <w:r>
        <w:rPr>
          <w:rFonts w:hint="eastAsia" w:ascii="宋体" w:hAnsi="宋体" w:cs="宋体"/>
          <w:color w:val="auto"/>
          <w:sz w:val="24"/>
          <w:highlight w:val="none"/>
          <w:lang w:eastAsia="zh-CN"/>
        </w:rPr>
        <w:t xml:space="preserve">(格式见附件) </w:t>
      </w:r>
      <w:r>
        <w:rPr>
          <w:rFonts w:hint="eastAsia" w:ascii="宋体" w:hAnsi="宋体" w:cs="宋体"/>
          <w:color w:val="auto"/>
          <w:sz w:val="24"/>
          <w:highlight w:val="none"/>
        </w:rPr>
        <w:t>；</w:t>
      </w:r>
    </w:p>
    <w:p w14:paraId="36B59EF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（5）浙江政府采购网注册正式供应商的网络截图或承诺中标后30天内注册为浙江政府采购网正式供应商（须提供承诺书）；</w:t>
      </w:r>
    </w:p>
    <w:p w14:paraId="71CA441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6）建筑工程施工总承包三级及以上资质和</w:t>
      </w:r>
      <w:r>
        <w:rPr>
          <w:rFonts w:hint="eastAsia" w:ascii="宋体" w:hAnsi="宋体" w:cs="宋体"/>
          <w:color w:val="auto"/>
          <w:sz w:val="24"/>
          <w:highlight w:val="none"/>
        </w:rPr>
        <w:t>安全生产许可证</w:t>
      </w:r>
      <w:r>
        <w:rPr>
          <w:rFonts w:hint="eastAsia" w:ascii="宋体" w:hAnsi="宋体" w:cs="宋体"/>
          <w:color w:val="auto"/>
          <w:sz w:val="24"/>
          <w:highlight w:val="none"/>
          <w:lang w:eastAsia="zh-CN"/>
        </w:rPr>
        <w:t>，</w:t>
      </w:r>
      <w:r>
        <w:rPr>
          <w:rFonts w:hint="eastAsia" w:ascii="宋体" w:hAnsi="宋体" w:cs="宋体"/>
          <w:color w:val="auto"/>
          <w:sz w:val="24"/>
          <w:highlight w:val="none"/>
        </w:rPr>
        <w:t>提供有效期内的证书复印件</w:t>
      </w:r>
      <w:r>
        <w:rPr>
          <w:rFonts w:hint="eastAsia" w:ascii="宋体" w:hAnsi="宋体" w:cs="宋体"/>
          <w:color w:val="auto"/>
          <w:sz w:val="24"/>
          <w:highlight w:val="none"/>
          <w:lang w:eastAsia="zh-CN"/>
        </w:rPr>
        <w:t>。</w:t>
      </w:r>
    </w:p>
    <w:p w14:paraId="350EAC1E">
      <w:pPr>
        <w:pStyle w:val="17"/>
        <w:rPr>
          <w:rFonts w:hint="eastAsia"/>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7）信用记录网络查询页面截图（信用中国与中国政府采购网）；</w:t>
      </w:r>
    </w:p>
    <w:p w14:paraId="47EC4DF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落实政府采购政策需满足的资格条件：供应商为中小企业/小微企业，提供《中小企业声明函》（格式见附件）</w:t>
      </w:r>
      <w:r>
        <w:rPr>
          <w:rFonts w:hint="eastAsia" w:ascii="宋体" w:hAnsi="宋体" w:cs="宋体"/>
          <w:color w:val="auto"/>
          <w:sz w:val="24"/>
          <w:highlight w:val="none"/>
          <w:lang w:eastAsia="zh-CN"/>
        </w:rPr>
        <w:t>。</w:t>
      </w:r>
    </w:p>
    <w:p w14:paraId="6F7EF42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）联合体协议（如有，格式见附件）；</w:t>
      </w:r>
      <w:r>
        <w:rPr>
          <w:rFonts w:hint="eastAsia" w:ascii="宋体" w:hAnsi="宋体" w:eastAsia="宋体" w:cs="宋体"/>
          <w:sz w:val="24"/>
          <w:szCs w:val="24"/>
          <w:highlight w:val="none"/>
          <w:lang w:eastAsia="zh-CN"/>
        </w:rPr>
        <w:t>分包意向协议（分包投标时适用，格式见附件）</w:t>
      </w:r>
    </w:p>
    <w:p w14:paraId="7BF32A30">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 xml:space="preserve">）政府采购代理机构社会评价表(格式见附件)。 </w:t>
      </w:r>
    </w:p>
    <w:bookmarkEnd w:id="48"/>
    <w:p w14:paraId="7148079A">
      <w:pPr>
        <w:spacing w:line="360" w:lineRule="auto"/>
        <w:rPr>
          <w:rFonts w:ascii="宋体" w:hAnsi="宋体" w:cs="宋体"/>
          <w:b/>
          <w:bCs/>
          <w:color w:val="auto"/>
          <w:sz w:val="24"/>
          <w:highlight w:val="none"/>
        </w:rPr>
      </w:pPr>
      <w:bookmarkStart w:id="49" w:name="_Toc22660"/>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.技术、商务资信文件</w:t>
      </w:r>
    </w:p>
    <w:p w14:paraId="207F28FF">
      <w:pPr>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供应商</w:t>
      </w:r>
      <w:r>
        <w:rPr>
          <w:rFonts w:hint="eastAsia" w:ascii="宋体" w:hAnsi="宋体"/>
          <w:color w:val="auto"/>
          <w:sz w:val="24"/>
          <w:highlight w:val="none"/>
        </w:rPr>
        <w:t>技术、商务资信自评得分表</w:t>
      </w:r>
      <w:r>
        <w:rPr>
          <w:rFonts w:hint="eastAsia" w:ascii="宋体" w:hAnsi="宋体"/>
          <w:bCs/>
          <w:sz w:val="24"/>
          <w:szCs w:val="24"/>
          <w:highlight w:val="none"/>
        </w:rPr>
        <w:t>（格式见附件）</w:t>
      </w:r>
      <w:r>
        <w:rPr>
          <w:rFonts w:hint="eastAsia" w:ascii="宋体" w:hAnsi="宋体"/>
          <w:color w:val="auto"/>
          <w:sz w:val="24"/>
          <w:highlight w:val="none"/>
        </w:rPr>
        <w:t>；</w:t>
      </w:r>
    </w:p>
    <w:p w14:paraId="511240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）磋商声明书 (格式见附件) ；</w:t>
      </w:r>
    </w:p>
    <w:p w14:paraId="1C2DE91F">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供应商单位</w:t>
      </w:r>
      <w:r>
        <w:rPr>
          <w:rFonts w:hint="eastAsia" w:ascii="宋体" w:hAnsi="宋体" w:cs="宋体"/>
          <w:color w:val="auto"/>
          <w:sz w:val="24"/>
          <w:highlight w:val="none"/>
        </w:rPr>
        <w:t>情况表（格式见附件）；</w:t>
      </w:r>
    </w:p>
    <w:p w14:paraId="47D58BD2">
      <w:pPr>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（4）商务响应表（格式见附件）；</w:t>
      </w:r>
    </w:p>
    <w:p w14:paraId="611856BD">
      <w:pPr>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（5）技术响应表（格式见附件）；</w:t>
      </w:r>
    </w:p>
    <w:p w14:paraId="4955DE33">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bCs/>
          <w:sz w:val="24"/>
          <w:szCs w:val="24"/>
          <w:highlight w:val="none"/>
          <w:lang w:val="en-US" w:eastAsia="zh-CN"/>
        </w:rPr>
        <w:t>现状分析</w:t>
      </w:r>
      <w:r>
        <w:rPr>
          <w:rFonts w:hint="eastAsia" w:ascii="宋体" w:hAnsi="宋体" w:cs="宋体"/>
          <w:color w:val="auto"/>
          <w:sz w:val="24"/>
          <w:highlight w:val="none"/>
        </w:rPr>
        <w:t>；</w:t>
      </w:r>
    </w:p>
    <w:p w14:paraId="3C9B1633">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）施工方案；</w:t>
      </w:r>
    </w:p>
    <w:p w14:paraId="184CC87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）施工进度；</w:t>
      </w:r>
    </w:p>
    <w:p w14:paraId="5C9A3B2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9）安全生产应急预案；</w:t>
      </w:r>
    </w:p>
    <w:p w14:paraId="1385E540">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 xml:space="preserve">）质量保障； </w:t>
      </w:r>
    </w:p>
    <w:p w14:paraId="61461E39">
      <w:pPr>
        <w:keepNext w:val="0"/>
        <w:keepLines w:val="0"/>
        <w:pageBreakBefore w:val="0"/>
        <w:widowControl w:val="0"/>
        <w:kinsoku/>
        <w:wordWrap/>
        <w:overflowPunct/>
        <w:topLinePunct w:val="0"/>
        <w:autoSpaceDE/>
        <w:autoSpaceDN/>
        <w:bidi w:val="0"/>
        <w:adjustRightInd/>
        <w:snapToGrid/>
        <w:spacing w:line="324"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）安全、文明施工等的保证措施；</w:t>
      </w:r>
    </w:p>
    <w:p w14:paraId="1F525E55">
      <w:pPr>
        <w:keepNext w:val="0"/>
        <w:keepLines w:val="0"/>
        <w:pageBreakBefore w:val="0"/>
        <w:widowControl w:val="0"/>
        <w:kinsoku/>
        <w:wordWrap/>
        <w:overflowPunct/>
        <w:topLinePunct w:val="0"/>
        <w:autoSpaceDE/>
        <w:autoSpaceDN/>
        <w:bidi w:val="0"/>
        <w:adjustRightInd/>
        <w:snapToGrid/>
        <w:spacing w:line="324"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）施工机具设备；</w:t>
      </w:r>
    </w:p>
    <w:p w14:paraId="697DE78F">
      <w:pPr>
        <w:keepNext w:val="0"/>
        <w:keepLines w:val="0"/>
        <w:pageBreakBefore w:val="0"/>
        <w:widowControl w:val="0"/>
        <w:kinsoku/>
        <w:wordWrap/>
        <w:overflowPunct/>
        <w:topLinePunct w:val="0"/>
        <w:autoSpaceDE/>
        <w:autoSpaceDN/>
        <w:bidi w:val="0"/>
        <w:adjustRightInd/>
        <w:snapToGrid/>
        <w:spacing w:line="324"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）材料设备进场计划；</w:t>
      </w:r>
    </w:p>
    <w:p w14:paraId="47EE0E16">
      <w:pPr>
        <w:keepNext w:val="0"/>
        <w:keepLines w:val="0"/>
        <w:pageBreakBefore w:val="0"/>
        <w:widowControl w:val="0"/>
        <w:kinsoku/>
        <w:wordWrap/>
        <w:overflowPunct/>
        <w:topLinePunct w:val="0"/>
        <w:autoSpaceDE/>
        <w:autoSpaceDN/>
        <w:bidi w:val="0"/>
        <w:adjustRightInd/>
        <w:snapToGrid/>
        <w:spacing w:line="324"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）拟投入本项目人员一览表</w:t>
      </w:r>
      <w:r>
        <w:rPr>
          <w:rFonts w:hint="eastAsia" w:ascii="宋体" w:hAnsi="宋体"/>
          <w:sz w:val="24"/>
          <w:szCs w:val="24"/>
          <w:highlight w:val="none"/>
        </w:rPr>
        <w:t>（格式见附件）</w:t>
      </w:r>
      <w:r>
        <w:rPr>
          <w:rFonts w:hint="eastAsia" w:ascii="宋体" w:hAnsi="宋体" w:cs="宋体"/>
          <w:color w:val="auto"/>
          <w:sz w:val="24"/>
          <w:highlight w:val="none"/>
        </w:rPr>
        <w:t>；</w:t>
      </w:r>
    </w:p>
    <w:p w14:paraId="70D52488">
      <w:pPr>
        <w:spacing w:line="430" w:lineRule="exac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）布置情况；</w:t>
      </w:r>
    </w:p>
    <w:p w14:paraId="6F5A0D70">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）关键工序、复杂环节的相应技术措施；</w:t>
      </w:r>
    </w:p>
    <w:p w14:paraId="28F7B16F">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 xml:space="preserve">）施工重点难点分析； </w:t>
      </w:r>
    </w:p>
    <w:p w14:paraId="3A0430D1">
      <w:pPr>
        <w:spacing w:line="430" w:lineRule="exac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）成品保护的保证措施；</w:t>
      </w:r>
    </w:p>
    <w:p w14:paraId="15380706">
      <w:pPr>
        <w:spacing w:line="430" w:lineRule="exac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）管理协调；</w:t>
      </w:r>
    </w:p>
    <w:p w14:paraId="438E69F6">
      <w:pPr>
        <w:spacing w:line="430" w:lineRule="exact"/>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20）安全承诺（格式见附件）；</w:t>
      </w:r>
    </w:p>
    <w:p w14:paraId="66533776">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）认证证书；</w:t>
      </w:r>
    </w:p>
    <w:p w14:paraId="67DBFDDE">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）同类项目业绩（格式见附件）；</w:t>
      </w:r>
    </w:p>
    <w:p w14:paraId="29D25FDA">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）售后保障；</w:t>
      </w:r>
    </w:p>
    <w:p w14:paraId="3096B408">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）合理化建议；</w:t>
      </w:r>
    </w:p>
    <w:p w14:paraId="64DEECDB">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）安全生产及其他承诺函（格式见附件）；</w:t>
      </w:r>
    </w:p>
    <w:p w14:paraId="1E656D9F">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）政府采购供应商诚信承诺书（格式见附件）；</w:t>
      </w:r>
    </w:p>
    <w:p w14:paraId="5A0F867C">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）供应商需要说明的其他文件和说明。</w:t>
      </w:r>
    </w:p>
    <w:p w14:paraId="67A8D29D">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.报价文件</w:t>
      </w:r>
    </w:p>
    <w:p w14:paraId="4EBA5130">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（1）磋商响应函（格式见附件）； </w:t>
      </w:r>
    </w:p>
    <w:p w14:paraId="737B7526">
      <w:pPr>
        <w:spacing w:line="43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）初次报价表（格式见附件）； </w:t>
      </w:r>
    </w:p>
    <w:p w14:paraId="7A10F2BE">
      <w:pPr>
        <w:spacing w:line="430" w:lineRule="exact"/>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供应商</w:t>
      </w:r>
      <w:r>
        <w:rPr>
          <w:rFonts w:hint="eastAsia" w:ascii="宋体" w:hAnsi="宋体" w:cs="宋体"/>
          <w:color w:val="auto"/>
          <w:sz w:val="24"/>
          <w:highlight w:val="none"/>
        </w:rPr>
        <w:t>针对报价需要说明的其他文件和说明（格式自拟）；</w:t>
      </w:r>
    </w:p>
    <w:p w14:paraId="64E3808F">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r>
        <w:rPr>
          <w:rFonts w:hint="eastAsia" w:ascii="宋体" w:hAnsi="宋体"/>
          <w:bCs/>
          <w:color w:val="auto"/>
          <w:sz w:val="24"/>
          <w:highlight w:val="none"/>
        </w:rPr>
        <w:t>附件</w:t>
      </w:r>
      <w:r>
        <w:rPr>
          <w:rFonts w:hint="eastAsia" w:ascii="宋体" w:hAnsi="宋体"/>
          <w:bCs/>
          <w:color w:val="auto"/>
          <w:sz w:val="24"/>
          <w:highlight w:val="none"/>
          <w:lang w:val="en-US" w:eastAsia="zh-CN"/>
        </w:rPr>
        <w:t>一</w:t>
      </w:r>
      <w:r>
        <w:rPr>
          <w:rFonts w:hint="eastAsia" w:ascii="宋体" w:hAnsi="宋体"/>
          <w:bCs/>
          <w:color w:val="auto"/>
          <w:sz w:val="24"/>
          <w:highlight w:val="none"/>
        </w:rPr>
        <w:t>：法定代表人授权委托书</w:t>
      </w:r>
      <w:bookmarkEnd w:id="49"/>
    </w:p>
    <w:p w14:paraId="780C5803">
      <w:pPr>
        <w:snapToGrid w:val="0"/>
        <w:spacing w:beforeLines="50" w:after="50" w:line="276" w:lineRule="auto"/>
        <w:jc w:val="center"/>
        <w:rPr>
          <w:rFonts w:ascii="宋体" w:hAnsi="宋体" w:cs="宋体"/>
          <w:b/>
          <w:color w:val="auto"/>
          <w:sz w:val="24"/>
          <w:highlight w:val="none"/>
        </w:rPr>
      </w:pPr>
      <w:r>
        <w:rPr>
          <w:rFonts w:hint="eastAsia" w:ascii="宋体" w:hAnsi="宋体" w:cs="宋体"/>
          <w:b/>
          <w:color w:val="auto"/>
          <w:sz w:val="24"/>
          <w:highlight w:val="none"/>
        </w:rPr>
        <w:t>法定代表人授权委托书</w:t>
      </w:r>
    </w:p>
    <w:p w14:paraId="5EEB598B">
      <w:pPr>
        <w:snapToGrid w:val="0"/>
        <w:spacing w:beforeLines="50" w:after="50" w:line="276"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1A92A917">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（供应商名称）的法定代表人，现授权委托本单位在职职工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eastAsia="zh-CN"/>
        </w:rPr>
        <w:t xml:space="preserve">南马镇中心小学校舍及道路改造项目 </w:t>
      </w:r>
      <w:r>
        <w:rPr>
          <w:rFonts w:hint="eastAsia" w:ascii="宋体" w:hAnsi="宋体" w:cs="宋体"/>
          <w:color w:val="auto"/>
          <w:sz w:val="24"/>
          <w:highlight w:val="none"/>
        </w:rPr>
        <w:t>的磋商活动，并代表我方全权办理针对上述项目的磋商、开标、签约等具体事务和签署相关文件。</w:t>
      </w:r>
    </w:p>
    <w:p w14:paraId="402B2334">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我方对委托代理人的签名事项负全部责任。</w:t>
      </w:r>
    </w:p>
    <w:p w14:paraId="67D6118F">
      <w:pPr>
        <w:snapToGrid w:val="0"/>
        <w:spacing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委托代理人在授权书有效期内签署的所有文件不因授权的撤销而失效。</w:t>
      </w:r>
    </w:p>
    <w:p w14:paraId="4B70EC8E">
      <w:pPr>
        <w:snapToGrid w:val="0"/>
        <w:spacing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68EFE589">
      <w:pPr>
        <w:snapToGrid w:val="0"/>
        <w:spacing w:beforeLines="50" w:after="50" w:line="276" w:lineRule="auto"/>
        <w:rPr>
          <w:rFonts w:ascii="宋体" w:hAnsi="宋体" w:cs="宋体"/>
          <w:color w:val="auto"/>
          <w:sz w:val="24"/>
          <w:highlight w:val="none"/>
          <w:u w:val="single"/>
        </w:rPr>
      </w:pPr>
      <w:r>
        <w:rPr>
          <w:rFonts w:hint="eastAsia" w:ascii="宋体" w:hAnsi="宋体" w:cs="宋体"/>
          <w:color w:val="auto"/>
          <w:sz w:val="24"/>
          <w:highlight w:val="none"/>
        </w:rPr>
        <w:t>委托代理人签名：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法定代表人签名：</w:t>
      </w:r>
      <w:r>
        <w:rPr>
          <w:rFonts w:hint="eastAsia" w:ascii="宋体" w:hAnsi="宋体" w:cs="宋体"/>
          <w:color w:val="auto"/>
          <w:sz w:val="24"/>
          <w:highlight w:val="none"/>
          <w:u w:val="single"/>
        </w:rPr>
        <w:t xml:space="preserve">          </w:t>
      </w:r>
    </w:p>
    <w:p w14:paraId="6054FBAB">
      <w:pPr>
        <w:snapToGrid w:val="0"/>
        <w:spacing w:beforeLines="50" w:after="50" w:line="276"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0D20B211">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38"/>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72F304D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noWrap w:val="0"/>
            <w:vAlign w:val="top"/>
          </w:tcPr>
          <w:p w14:paraId="2122C26C">
            <w:pPr>
              <w:snapToGrid w:val="0"/>
              <w:spacing w:beforeLines="50" w:after="50" w:line="276" w:lineRule="auto"/>
              <w:rPr>
                <w:rFonts w:ascii="宋体" w:hAnsi="宋体" w:cs="宋体"/>
                <w:color w:val="auto"/>
                <w:sz w:val="24"/>
                <w:highlight w:val="none"/>
              </w:rPr>
            </w:pPr>
          </w:p>
          <w:p w14:paraId="44055EB0">
            <w:pPr>
              <w:snapToGrid w:val="0"/>
              <w:spacing w:beforeLines="50" w:after="50" w:line="276" w:lineRule="auto"/>
              <w:rPr>
                <w:rFonts w:ascii="宋体" w:hAnsi="宋体" w:cs="宋体"/>
                <w:color w:val="auto"/>
                <w:sz w:val="24"/>
                <w:highlight w:val="none"/>
              </w:rPr>
            </w:pPr>
          </w:p>
          <w:p w14:paraId="2986351F">
            <w:pPr>
              <w:snapToGrid w:val="0"/>
              <w:spacing w:beforeLines="50" w:after="50" w:line="276" w:lineRule="auto"/>
              <w:rPr>
                <w:rFonts w:ascii="宋体" w:hAnsi="宋体" w:cs="宋体"/>
                <w:color w:val="auto"/>
                <w:sz w:val="24"/>
                <w:highlight w:val="none"/>
              </w:rPr>
            </w:pPr>
          </w:p>
          <w:p w14:paraId="2CBA9C18">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粘</w:t>
            </w:r>
          </w:p>
          <w:p w14:paraId="68C7A194">
            <w:pPr>
              <w:snapToGrid w:val="0"/>
              <w:spacing w:beforeLines="50" w:after="50" w:line="276" w:lineRule="auto"/>
              <w:jc w:val="center"/>
              <w:rPr>
                <w:rFonts w:ascii="宋体" w:hAnsi="宋体" w:cs="宋体"/>
                <w:color w:val="auto"/>
                <w:sz w:val="24"/>
                <w:highlight w:val="none"/>
              </w:rPr>
            </w:pPr>
          </w:p>
          <w:p w14:paraId="77A7E170">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贴</w:t>
            </w:r>
          </w:p>
          <w:p w14:paraId="339C34A8">
            <w:pPr>
              <w:snapToGrid w:val="0"/>
              <w:spacing w:beforeLines="50" w:after="50" w:line="276" w:lineRule="auto"/>
              <w:jc w:val="center"/>
              <w:rPr>
                <w:rFonts w:ascii="宋体" w:hAnsi="宋体" w:cs="宋体"/>
                <w:color w:val="auto"/>
                <w:sz w:val="24"/>
                <w:highlight w:val="none"/>
              </w:rPr>
            </w:pPr>
          </w:p>
          <w:p w14:paraId="367F0BAA">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处</w:t>
            </w:r>
          </w:p>
        </w:tc>
      </w:tr>
    </w:tbl>
    <w:p w14:paraId="76D2B096">
      <w:pPr>
        <w:snapToGrid w:val="0"/>
        <w:spacing w:beforeLines="50" w:after="50" w:line="276" w:lineRule="auto"/>
        <w:rPr>
          <w:rFonts w:ascii="宋体" w:hAnsi="宋体" w:cs="宋体"/>
          <w:color w:val="auto"/>
          <w:sz w:val="24"/>
          <w:highlight w:val="none"/>
        </w:rPr>
      </w:pPr>
    </w:p>
    <w:p w14:paraId="1EE31FD7">
      <w:pPr>
        <w:snapToGrid w:val="0"/>
        <w:spacing w:beforeLines="50" w:after="50" w:line="276" w:lineRule="auto"/>
        <w:rPr>
          <w:rFonts w:ascii="宋体" w:hAnsi="宋体" w:cs="宋体"/>
          <w:color w:val="auto"/>
          <w:sz w:val="24"/>
          <w:highlight w:val="none"/>
        </w:rPr>
      </w:pPr>
    </w:p>
    <w:p w14:paraId="00E20069">
      <w:pPr>
        <w:snapToGrid w:val="0"/>
        <w:spacing w:beforeLines="50" w:after="50" w:line="276" w:lineRule="auto"/>
        <w:rPr>
          <w:rFonts w:ascii="宋体" w:hAnsi="宋体" w:cs="宋体"/>
          <w:color w:val="auto"/>
          <w:sz w:val="24"/>
          <w:highlight w:val="none"/>
        </w:rPr>
      </w:pPr>
    </w:p>
    <w:p w14:paraId="6E81BBD0">
      <w:pPr>
        <w:snapToGrid w:val="0"/>
        <w:spacing w:beforeLines="50" w:after="50" w:line="276" w:lineRule="auto"/>
        <w:rPr>
          <w:rFonts w:ascii="宋体" w:hAnsi="宋体" w:cs="宋体"/>
          <w:color w:val="auto"/>
          <w:sz w:val="24"/>
          <w:highlight w:val="none"/>
        </w:rPr>
      </w:pPr>
    </w:p>
    <w:p w14:paraId="453CCDE0">
      <w:pPr>
        <w:snapToGrid w:val="0"/>
        <w:spacing w:beforeLines="50" w:after="50" w:line="276" w:lineRule="auto"/>
        <w:rPr>
          <w:rFonts w:ascii="宋体" w:hAnsi="宋体" w:cs="宋体"/>
          <w:color w:val="auto"/>
          <w:sz w:val="24"/>
          <w:highlight w:val="none"/>
        </w:rPr>
      </w:pPr>
    </w:p>
    <w:p w14:paraId="0D94B70E">
      <w:pPr>
        <w:snapToGrid w:val="0"/>
        <w:spacing w:beforeLines="50" w:after="50" w:line="276" w:lineRule="auto"/>
        <w:rPr>
          <w:rFonts w:ascii="宋体" w:hAnsi="宋体" w:cs="宋体"/>
          <w:color w:val="auto"/>
          <w:sz w:val="24"/>
          <w:highlight w:val="none"/>
        </w:rPr>
      </w:pPr>
    </w:p>
    <w:p w14:paraId="28A45BDB">
      <w:pPr>
        <w:snapToGrid w:val="0"/>
        <w:spacing w:beforeLines="50" w:after="50" w:line="276" w:lineRule="auto"/>
        <w:rPr>
          <w:rFonts w:ascii="宋体" w:hAnsi="宋体" w:cs="宋体"/>
          <w:color w:val="auto"/>
          <w:sz w:val="24"/>
          <w:highlight w:val="none"/>
        </w:rPr>
      </w:pPr>
    </w:p>
    <w:p w14:paraId="012B43A9">
      <w:pPr>
        <w:snapToGrid w:val="0"/>
        <w:spacing w:beforeLines="50" w:after="50" w:line="276" w:lineRule="auto"/>
        <w:rPr>
          <w:rFonts w:ascii="宋体" w:hAnsi="宋体" w:cs="宋体"/>
          <w:color w:val="auto"/>
          <w:sz w:val="24"/>
          <w:highlight w:val="none"/>
        </w:rPr>
      </w:pPr>
    </w:p>
    <w:p w14:paraId="7E21CE8E">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08376A5">
      <w:pPr>
        <w:snapToGrid w:val="0"/>
        <w:spacing w:beforeLines="50" w:after="50" w:line="276" w:lineRule="auto"/>
        <w:rPr>
          <w:rFonts w:ascii="宋体" w:hAnsi="宋体" w:cs="宋体"/>
          <w:color w:val="auto"/>
          <w:sz w:val="24"/>
          <w:highlight w:val="none"/>
        </w:rPr>
      </w:pPr>
    </w:p>
    <w:p w14:paraId="53CE9460">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0534BE48">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1899FB21">
      <w:pPr>
        <w:snapToGrid w:val="0"/>
        <w:spacing w:beforeLines="50" w:after="50" w:line="276" w:lineRule="auto"/>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注；此表格格式不得修改。</w:t>
      </w:r>
    </w:p>
    <w:p w14:paraId="706ED968">
      <w:pPr>
        <w:spacing w:line="360" w:lineRule="auto"/>
        <w:rPr>
          <w:rFonts w:hint="eastAsia" w:ascii="宋体" w:hAnsi="宋体" w:cs="宋体"/>
          <w:b/>
          <w:bCs/>
          <w:color w:val="auto"/>
          <w:sz w:val="24"/>
          <w:highlight w:val="none"/>
          <w:lang w:val="en-US" w:eastAsia="zh-CN"/>
        </w:rPr>
      </w:pPr>
    </w:p>
    <w:p w14:paraId="6D7D9D7D">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bookmarkStart w:id="50" w:name="_Toc30843"/>
      <w:bookmarkStart w:id="51" w:name="_Toc24340"/>
      <w:bookmarkStart w:id="52" w:name="_Toc728"/>
      <w:bookmarkStart w:id="53" w:name="_Toc23315"/>
      <w:bookmarkStart w:id="54" w:name="_Toc3669"/>
      <w:r>
        <w:rPr>
          <w:rFonts w:hint="eastAsia" w:ascii="宋体" w:hAnsi="宋体"/>
          <w:bCs/>
          <w:color w:val="auto"/>
          <w:sz w:val="24"/>
          <w:highlight w:val="none"/>
        </w:rPr>
        <w:t>附件</w:t>
      </w:r>
      <w:r>
        <w:rPr>
          <w:rFonts w:hint="eastAsia" w:ascii="宋体" w:hAnsi="宋体"/>
          <w:bCs/>
          <w:color w:val="auto"/>
          <w:sz w:val="24"/>
          <w:highlight w:val="none"/>
          <w:lang w:val="en-US" w:eastAsia="zh-CN"/>
        </w:rPr>
        <w:t>二</w:t>
      </w:r>
      <w:r>
        <w:rPr>
          <w:rFonts w:hint="eastAsia" w:ascii="宋体" w:hAnsi="宋体"/>
          <w:bCs/>
          <w:color w:val="auto"/>
          <w:sz w:val="24"/>
          <w:highlight w:val="none"/>
        </w:rPr>
        <w:t>：</w:t>
      </w:r>
      <w:bookmarkEnd w:id="50"/>
      <w:bookmarkEnd w:id="51"/>
      <w:r>
        <w:rPr>
          <w:rFonts w:hint="eastAsia" w:ascii="宋体" w:hAnsi="宋体"/>
          <w:bCs/>
          <w:color w:val="auto"/>
          <w:sz w:val="24"/>
          <w:highlight w:val="none"/>
        </w:rPr>
        <w:t>符合参加政府采购活动应当具备的一般条件的承诺函</w:t>
      </w:r>
      <w:bookmarkEnd w:id="52"/>
      <w:bookmarkEnd w:id="53"/>
      <w:bookmarkEnd w:id="54"/>
    </w:p>
    <w:p w14:paraId="3CC06CCC">
      <w:pPr>
        <w:pStyle w:val="35"/>
        <w:spacing w:before="100" w:after="100" w:line="360" w:lineRule="auto"/>
        <w:jc w:val="center"/>
        <w:rPr>
          <w:color w:val="auto"/>
          <w:highlight w:val="none"/>
        </w:rPr>
      </w:pPr>
      <w:r>
        <w:rPr>
          <w:rFonts w:hint="eastAsia"/>
          <w:b/>
          <w:bCs/>
          <w:color w:val="auto"/>
          <w:sz w:val="27"/>
          <w:szCs w:val="27"/>
          <w:highlight w:val="none"/>
        </w:rPr>
        <w:t>符合参加政府采购活动应当具备的一般条件的承诺函</w:t>
      </w:r>
    </w:p>
    <w:p w14:paraId="05397E2D">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6FF02210">
      <w:pPr>
        <w:pStyle w:val="35"/>
        <w:spacing w:before="0" w:after="0" w:line="360" w:lineRule="auto"/>
        <w:ind w:left="480"/>
        <w:jc w:val="both"/>
        <w:rPr>
          <w:color w:val="auto"/>
          <w:kern w:val="2"/>
          <w:highlight w:val="none"/>
        </w:rPr>
      </w:pPr>
      <w:r>
        <w:rPr>
          <w:rFonts w:hint="eastAsia"/>
          <w:color w:val="auto"/>
          <w:kern w:val="2"/>
          <w:highlight w:val="none"/>
        </w:rPr>
        <w:t>我方参与</w:t>
      </w:r>
      <w:r>
        <w:rPr>
          <w:rFonts w:hint="eastAsia"/>
          <w:color w:val="auto"/>
          <w:highlight w:val="none"/>
          <w:u w:val="single"/>
        </w:rPr>
        <w:t xml:space="preserve">              </w:t>
      </w:r>
      <w:r>
        <w:rPr>
          <w:rFonts w:hint="eastAsia"/>
          <w:color w:val="auto"/>
          <w:kern w:val="2"/>
          <w:highlight w:val="none"/>
        </w:rPr>
        <w:t>项目【项目编号：</w:t>
      </w:r>
      <w:r>
        <w:rPr>
          <w:rFonts w:hint="eastAsia"/>
          <w:color w:val="auto"/>
          <w:highlight w:val="none"/>
          <w:u w:val="single"/>
        </w:rPr>
        <w:t xml:space="preserve">             </w:t>
      </w:r>
      <w:r>
        <w:rPr>
          <w:rFonts w:hint="eastAsia"/>
          <w:color w:val="auto"/>
          <w:kern w:val="2"/>
          <w:highlight w:val="none"/>
        </w:rPr>
        <w:t>】政府采购活动，郑重承诺：</w:t>
      </w:r>
    </w:p>
    <w:p w14:paraId="63C509AF">
      <w:pPr>
        <w:pStyle w:val="35"/>
        <w:spacing w:before="0" w:after="0" w:line="360" w:lineRule="auto"/>
        <w:ind w:left="480"/>
        <w:jc w:val="both"/>
        <w:rPr>
          <w:color w:val="auto"/>
          <w:kern w:val="2"/>
          <w:highlight w:val="none"/>
        </w:rPr>
      </w:pPr>
      <w:r>
        <w:rPr>
          <w:rFonts w:hint="eastAsia"/>
          <w:color w:val="auto"/>
          <w:kern w:val="2"/>
          <w:highlight w:val="none"/>
        </w:rPr>
        <w:t>（一）具备《中华人民共和国政府采购法》第二十二条第一款规定的条件：</w:t>
      </w:r>
    </w:p>
    <w:p w14:paraId="58C672A4">
      <w:pPr>
        <w:pStyle w:val="35"/>
        <w:spacing w:before="0" w:after="0" w:line="360" w:lineRule="auto"/>
        <w:ind w:left="480"/>
        <w:jc w:val="both"/>
        <w:rPr>
          <w:color w:val="auto"/>
          <w:kern w:val="2"/>
          <w:highlight w:val="none"/>
        </w:rPr>
      </w:pPr>
      <w:r>
        <w:rPr>
          <w:rFonts w:hint="eastAsia"/>
          <w:color w:val="auto"/>
          <w:kern w:val="2"/>
          <w:highlight w:val="none"/>
        </w:rPr>
        <w:t>1、具有独立承担民事责任的能力；</w:t>
      </w:r>
    </w:p>
    <w:p w14:paraId="0E8F4103">
      <w:pPr>
        <w:pStyle w:val="35"/>
        <w:spacing w:before="0" w:after="0" w:line="360" w:lineRule="auto"/>
        <w:ind w:left="480"/>
        <w:jc w:val="both"/>
        <w:rPr>
          <w:color w:val="auto"/>
          <w:kern w:val="2"/>
          <w:highlight w:val="none"/>
        </w:rPr>
      </w:pPr>
      <w:r>
        <w:rPr>
          <w:rFonts w:hint="eastAsia"/>
          <w:color w:val="auto"/>
          <w:kern w:val="2"/>
          <w:highlight w:val="none"/>
        </w:rPr>
        <w:t xml:space="preserve">2、具有良好的商业信誉和健全的财务会计制度； </w:t>
      </w:r>
    </w:p>
    <w:p w14:paraId="6FBE6960">
      <w:pPr>
        <w:pStyle w:val="35"/>
        <w:spacing w:before="0" w:after="0" w:line="360" w:lineRule="auto"/>
        <w:ind w:left="480"/>
        <w:jc w:val="both"/>
        <w:rPr>
          <w:color w:val="auto"/>
          <w:kern w:val="2"/>
          <w:highlight w:val="none"/>
        </w:rPr>
      </w:pPr>
      <w:r>
        <w:rPr>
          <w:rFonts w:hint="eastAsia"/>
          <w:color w:val="auto"/>
          <w:kern w:val="2"/>
          <w:highlight w:val="none"/>
        </w:rPr>
        <w:t>3、具有履行合同所必需的设备和专业技术能力；</w:t>
      </w:r>
    </w:p>
    <w:p w14:paraId="26B7F3F5">
      <w:pPr>
        <w:pStyle w:val="35"/>
        <w:spacing w:before="0" w:after="0" w:line="360" w:lineRule="auto"/>
        <w:ind w:left="480"/>
        <w:jc w:val="both"/>
        <w:rPr>
          <w:color w:val="auto"/>
          <w:kern w:val="2"/>
          <w:highlight w:val="none"/>
        </w:rPr>
      </w:pPr>
      <w:r>
        <w:rPr>
          <w:rFonts w:hint="eastAsia"/>
          <w:color w:val="auto"/>
          <w:kern w:val="2"/>
          <w:highlight w:val="none"/>
        </w:rPr>
        <w:t>4、有依法缴纳税收和社会保障资金的良好记录；</w:t>
      </w:r>
    </w:p>
    <w:p w14:paraId="65E277BA">
      <w:pPr>
        <w:pStyle w:val="35"/>
        <w:spacing w:before="0" w:after="0" w:line="360" w:lineRule="auto"/>
        <w:ind w:left="480"/>
        <w:jc w:val="both"/>
        <w:rPr>
          <w:color w:val="auto"/>
          <w:kern w:val="2"/>
          <w:highlight w:val="none"/>
        </w:rPr>
      </w:pPr>
      <w:r>
        <w:rPr>
          <w:rFonts w:hint="eastAsia"/>
          <w:color w:val="auto"/>
          <w:kern w:val="2"/>
          <w:highlight w:val="none"/>
        </w:rPr>
        <w:t>5、参加政府采购活动前三年内，在经营活动中没有重大违法记录；</w:t>
      </w:r>
    </w:p>
    <w:p w14:paraId="625D41B2">
      <w:pPr>
        <w:pStyle w:val="35"/>
        <w:spacing w:before="0" w:after="0" w:line="360" w:lineRule="auto"/>
        <w:ind w:left="480"/>
        <w:jc w:val="both"/>
        <w:rPr>
          <w:color w:val="auto"/>
          <w:kern w:val="2"/>
          <w:highlight w:val="none"/>
        </w:rPr>
      </w:pPr>
      <w:r>
        <w:rPr>
          <w:rFonts w:hint="eastAsia"/>
          <w:color w:val="auto"/>
          <w:kern w:val="2"/>
          <w:highlight w:val="none"/>
        </w:rPr>
        <w:t>6、具有法律、行政法规规定的其他条件。</w:t>
      </w:r>
    </w:p>
    <w:p w14:paraId="0340C57D">
      <w:pPr>
        <w:pStyle w:val="35"/>
        <w:spacing w:before="0" w:after="0" w:line="360" w:lineRule="auto"/>
        <w:ind w:left="480"/>
        <w:jc w:val="both"/>
        <w:rPr>
          <w:color w:val="auto"/>
          <w:kern w:val="2"/>
          <w:highlight w:val="none"/>
        </w:rPr>
      </w:pPr>
      <w:r>
        <w:rPr>
          <w:rFonts w:hint="eastAsia"/>
          <w:color w:val="auto"/>
          <w:kern w:val="2"/>
          <w:highlight w:val="none"/>
        </w:rPr>
        <w:t>（二）未被信用中国（www.creditchina.gov.cn)、中国政府采购网（www.ccgp.gov.cn）列入失信被执行人、重大税收违法案件当事人名单、政府采购严重违法失信行为记录名单。</w:t>
      </w:r>
    </w:p>
    <w:p w14:paraId="4A4218A9">
      <w:pPr>
        <w:pStyle w:val="35"/>
        <w:spacing w:before="0" w:after="0" w:line="360" w:lineRule="auto"/>
        <w:ind w:left="480"/>
        <w:jc w:val="both"/>
        <w:rPr>
          <w:color w:val="auto"/>
          <w:kern w:val="2"/>
          <w:highlight w:val="none"/>
        </w:rPr>
      </w:pPr>
      <w:r>
        <w:rPr>
          <w:rFonts w:hint="eastAsia"/>
          <w:color w:val="auto"/>
          <w:kern w:val="2"/>
          <w:highlight w:val="none"/>
        </w:rPr>
        <w:t>（三）不存在以下情况：</w:t>
      </w:r>
    </w:p>
    <w:p w14:paraId="0051E80D">
      <w:pPr>
        <w:pStyle w:val="35"/>
        <w:spacing w:before="0" w:after="0" w:line="360" w:lineRule="auto"/>
        <w:ind w:left="480"/>
        <w:jc w:val="both"/>
        <w:rPr>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05900C28">
      <w:pPr>
        <w:pStyle w:val="35"/>
        <w:spacing w:before="0" w:after="0" w:line="360" w:lineRule="auto"/>
        <w:ind w:left="480"/>
        <w:jc w:val="both"/>
        <w:rPr>
          <w:color w:val="auto"/>
          <w:kern w:val="2"/>
          <w:highlight w:val="none"/>
        </w:rPr>
      </w:pPr>
      <w:r>
        <w:rPr>
          <w:rFonts w:hint="eastAsia"/>
          <w:color w:val="auto"/>
          <w:kern w:val="2"/>
          <w:highlight w:val="none"/>
        </w:rPr>
        <w:t>2、为采购项目提供整体设计、规范编制或者项目管理、监理、检测等服务后再参加该采购项目的其他采购活动的。</w:t>
      </w:r>
    </w:p>
    <w:p w14:paraId="7303F86C">
      <w:pPr>
        <w:pStyle w:val="35"/>
        <w:spacing w:before="0" w:after="0" w:line="360" w:lineRule="auto"/>
        <w:ind w:left="480"/>
        <w:jc w:val="both"/>
        <w:rPr>
          <w:color w:val="auto"/>
          <w:kern w:val="2"/>
          <w:highlight w:val="none"/>
        </w:rPr>
      </w:pPr>
    </w:p>
    <w:p w14:paraId="317CFDC5">
      <w:pPr>
        <w:pStyle w:val="35"/>
        <w:spacing w:before="0" w:after="0" w:line="360" w:lineRule="auto"/>
        <w:ind w:left="480"/>
        <w:jc w:val="both"/>
        <w:rPr>
          <w:color w:val="auto"/>
          <w:kern w:val="2"/>
          <w:highlight w:val="none"/>
        </w:rPr>
      </w:pPr>
    </w:p>
    <w:p w14:paraId="63925688">
      <w:pPr>
        <w:pStyle w:val="35"/>
        <w:spacing w:before="0" w:after="0" w:line="360" w:lineRule="auto"/>
        <w:ind w:left="480"/>
        <w:jc w:val="both"/>
        <w:rPr>
          <w:color w:val="auto"/>
          <w:kern w:val="2"/>
          <w:highlight w:val="none"/>
        </w:rPr>
      </w:pPr>
    </w:p>
    <w:p w14:paraId="66C7C53A">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1371E33C">
      <w:pPr>
        <w:snapToGrid w:val="0"/>
        <w:spacing w:beforeLines="50"/>
        <w:rPr>
          <w:rFonts w:ascii="宋体" w:hAnsi="宋体" w:cs="宋体"/>
          <w:color w:val="auto"/>
          <w:sz w:val="24"/>
          <w:highlight w:val="none"/>
        </w:rPr>
      </w:pPr>
      <w:r>
        <w:rPr>
          <w:rFonts w:hint="eastAsia" w:ascii="宋体" w:hAnsi="宋体" w:cs="宋体"/>
          <w:color w:val="auto"/>
          <w:spacing w:val="20"/>
          <w:sz w:val="24"/>
          <w:highlight w:val="none"/>
        </w:rPr>
        <w:t>供应商盖章：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2E368E53">
      <w:pPr>
        <w:rPr>
          <w:rFonts w:ascii="宋体" w:hAnsi="宋体" w:cs="宋体"/>
          <w:color w:val="auto"/>
          <w:sz w:val="24"/>
          <w:highlight w:val="none"/>
        </w:rPr>
      </w:pPr>
    </w:p>
    <w:p w14:paraId="5FB32E59">
      <w:pPr>
        <w:spacing w:line="360" w:lineRule="auto"/>
        <w:rPr>
          <w:rFonts w:hint="eastAsia" w:ascii="宋体" w:hAnsi="宋体" w:cs="宋体"/>
          <w:b/>
          <w:bCs/>
          <w:color w:val="auto"/>
          <w:sz w:val="24"/>
          <w:highlight w:val="none"/>
          <w:lang w:val="en-US" w:eastAsia="zh-CN"/>
        </w:rPr>
      </w:pPr>
    </w:p>
    <w:p w14:paraId="644369E4">
      <w:pPr>
        <w:spacing w:line="360" w:lineRule="auto"/>
        <w:rPr>
          <w:rFonts w:hint="eastAsia" w:ascii="宋体" w:hAnsi="宋体" w:cs="宋体"/>
          <w:b/>
          <w:bCs/>
          <w:color w:val="auto"/>
          <w:sz w:val="24"/>
          <w:highlight w:val="none"/>
          <w:lang w:val="en-US" w:eastAsia="zh-CN"/>
        </w:rPr>
      </w:pPr>
    </w:p>
    <w:p w14:paraId="2D0A0A94">
      <w:pPr>
        <w:spacing w:line="360" w:lineRule="auto"/>
        <w:rPr>
          <w:rFonts w:hint="eastAsia" w:ascii="宋体" w:hAnsi="宋体" w:cs="宋体"/>
          <w:b/>
          <w:bCs/>
          <w:color w:val="auto"/>
          <w:sz w:val="24"/>
          <w:highlight w:val="none"/>
          <w:lang w:val="en-US" w:eastAsia="zh-CN"/>
        </w:rPr>
      </w:pPr>
    </w:p>
    <w:p w14:paraId="0DE84EDF">
      <w:pPr>
        <w:spacing w:line="360" w:lineRule="auto"/>
        <w:rPr>
          <w:rFonts w:hint="eastAsia" w:ascii="宋体" w:hAnsi="宋体" w:cs="宋体"/>
          <w:b/>
          <w:bCs/>
          <w:color w:val="auto"/>
          <w:sz w:val="24"/>
          <w:highlight w:val="none"/>
          <w:lang w:val="en-US" w:eastAsia="zh-CN"/>
        </w:rPr>
      </w:pPr>
    </w:p>
    <w:p w14:paraId="01A97B11">
      <w:pPr>
        <w:spacing w:line="360" w:lineRule="auto"/>
        <w:rPr>
          <w:rFonts w:hint="eastAsia" w:ascii="宋体" w:hAnsi="宋体" w:cs="宋体"/>
          <w:b/>
          <w:bCs/>
          <w:color w:val="auto"/>
          <w:sz w:val="24"/>
          <w:highlight w:val="none"/>
          <w:lang w:val="en-US" w:eastAsia="zh-CN"/>
        </w:rPr>
      </w:pPr>
    </w:p>
    <w:p w14:paraId="21B398C8">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bookmarkStart w:id="55" w:name="_Toc29142"/>
      <w:r>
        <w:rPr>
          <w:rFonts w:hint="eastAsia" w:ascii="宋体" w:hAnsi="宋体"/>
          <w:bCs/>
          <w:color w:val="auto"/>
          <w:sz w:val="24"/>
          <w:highlight w:val="none"/>
        </w:rPr>
        <w:t>附件</w:t>
      </w:r>
      <w:r>
        <w:rPr>
          <w:rFonts w:hint="eastAsia" w:ascii="宋体" w:hAnsi="宋体"/>
          <w:bCs/>
          <w:color w:val="auto"/>
          <w:sz w:val="24"/>
          <w:highlight w:val="none"/>
          <w:lang w:val="en-US" w:eastAsia="zh-CN"/>
        </w:rPr>
        <w:t>三</w:t>
      </w:r>
      <w:r>
        <w:rPr>
          <w:rFonts w:hint="eastAsia" w:ascii="宋体" w:hAnsi="宋体"/>
          <w:bCs/>
          <w:color w:val="auto"/>
          <w:sz w:val="24"/>
          <w:highlight w:val="none"/>
        </w:rPr>
        <w:t>：政府采购活动现场确认声明书</w:t>
      </w:r>
      <w:bookmarkEnd w:id="55"/>
    </w:p>
    <w:p w14:paraId="786F19BB">
      <w:pPr>
        <w:snapToGrid w:val="0"/>
        <w:spacing w:beforeLines="50" w:after="50" w:line="480" w:lineRule="auto"/>
        <w:jc w:val="center"/>
        <w:rPr>
          <w:rFonts w:ascii="宋体" w:hAnsi="宋体" w:cs="宋体"/>
          <w:b/>
          <w:color w:val="auto"/>
          <w:sz w:val="24"/>
          <w:highlight w:val="none"/>
        </w:rPr>
      </w:pPr>
      <w:r>
        <w:rPr>
          <w:rFonts w:hint="eastAsia" w:ascii="宋体" w:hAnsi="宋体" w:cs="宋体"/>
          <w:b/>
          <w:color w:val="auto"/>
          <w:sz w:val="24"/>
          <w:highlight w:val="none"/>
        </w:rPr>
        <w:t>政府采购活动现场确认声明书</w:t>
      </w:r>
    </w:p>
    <w:p w14:paraId="1DB5BD02">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lang w:eastAsia="zh-CN"/>
        </w:rPr>
        <w:t>金华至臻工程咨询有限公司</w:t>
      </w:r>
      <w:r>
        <w:rPr>
          <w:rFonts w:hint="eastAsia" w:ascii="宋体" w:hAnsi="宋体" w:cs="宋体"/>
          <w:color w:val="auto"/>
          <w:sz w:val="24"/>
          <w:highlight w:val="none"/>
        </w:rPr>
        <w:t xml:space="preserve"> :</w:t>
      </w:r>
    </w:p>
    <w:p w14:paraId="2F27F72C">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（授权代表姓名），经由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w:t>
      </w:r>
    </w:p>
    <w:p w14:paraId="5C405337">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（法定代表人姓名）合法授权参加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）政府采购活动．经与本单位法人代表（负责人）联系确认，现就有关公平竞争事项郑重声明如下:</w:t>
      </w:r>
    </w:p>
    <w:p w14:paraId="4C2D7836">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一、本单位与采购人之间口不存在利害关系口存在下列利害关系:</w:t>
      </w:r>
    </w:p>
    <w:p w14:paraId="04DCFC4C">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A．投资关系</w:t>
      </w:r>
      <w:r>
        <w:rPr>
          <w:rFonts w:hint="eastAsia" w:ascii="宋体" w:hAnsi="宋体" w:cs="宋体"/>
          <w:color w:val="auto"/>
          <w:sz w:val="24"/>
          <w:highlight w:val="none"/>
        </w:rPr>
        <w:tab/>
      </w:r>
      <w:r>
        <w:rPr>
          <w:rFonts w:hint="eastAsia" w:ascii="宋体" w:hAnsi="宋体" w:cs="宋体"/>
          <w:color w:val="auto"/>
          <w:sz w:val="24"/>
          <w:highlight w:val="none"/>
        </w:rPr>
        <w:t>B．行政隶属关系</w:t>
      </w:r>
      <w:r>
        <w:rPr>
          <w:rFonts w:hint="eastAsia" w:ascii="宋体" w:hAnsi="宋体" w:cs="宋体"/>
          <w:color w:val="auto"/>
          <w:sz w:val="24"/>
          <w:highlight w:val="none"/>
        </w:rPr>
        <w:tab/>
      </w:r>
      <w:r>
        <w:rPr>
          <w:rFonts w:hint="eastAsia" w:ascii="宋体" w:hAnsi="宋体" w:cs="宋体"/>
          <w:color w:val="auto"/>
          <w:sz w:val="24"/>
          <w:highlight w:val="none"/>
        </w:rPr>
        <w:t>C．业务指导关系  D．其他可能影响采购公正的利害关系（如有，请如实说明）。</w:t>
      </w:r>
    </w:p>
    <w:p w14:paraId="0D741471">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color w:val="auto"/>
          <w:sz w:val="24"/>
          <w:highlight w:val="none"/>
          <w:lang w:eastAsia="zh-CN"/>
        </w:rPr>
        <w:t>现</w:t>
      </w:r>
      <w:r>
        <w:rPr>
          <w:rFonts w:hint="eastAsia" w:ascii="宋体" w:hAnsi="宋体" w:cs="宋体"/>
          <w:color w:val="auto"/>
          <w:sz w:val="24"/>
          <w:highlight w:val="none"/>
          <w:lang w:val="en-US" w:eastAsia="zh-CN"/>
        </w:rPr>
        <w:t>已</w:t>
      </w:r>
      <w:r>
        <w:rPr>
          <w:rFonts w:hint="eastAsia" w:ascii="宋体" w:hAnsi="宋体" w:cs="宋体"/>
          <w:color w:val="auto"/>
          <w:sz w:val="24"/>
          <w:highlight w:val="none"/>
        </w:rPr>
        <w:t xml:space="preserve">清楚知道参加本项目采购活动的其他所有供应商名称，本单位 口与其他所有供应商之间均不存在利害关系 口与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p>
    <w:p w14:paraId="07E489D5">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A．法定代表人或负责人或实际控制人是同一人B．法定代表人或负责人或实际控制人是夫妻关系</w:t>
      </w:r>
    </w:p>
    <w:p w14:paraId="234EE0BE">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53BAB3A4">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4196D869">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11906CC3">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75EB2ADD">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65E00D88">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w:t>
      </w:r>
      <w:r>
        <w:rPr>
          <w:rFonts w:hint="eastAsia" w:ascii="宋体" w:hAnsi="宋体" w:cs="宋体"/>
          <w:color w:val="auto"/>
          <w:sz w:val="24"/>
          <w:highlight w:val="none"/>
          <w:lang w:eastAsia="zh-CN"/>
        </w:rPr>
        <w:t>主营业务收入</w:t>
      </w:r>
      <w:r>
        <w:rPr>
          <w:rFonts w:hint="eastAsia" w:ascii="宋体" w:hAnsi="宋体" w:cs="宋体"/>
          <w:color w:val="auto"/>
          <w:sz w:val="24"/>
          <w:highlight w:val="none"/>
        </w:rPr>
        <w:t xml:space="preserve"> 50 ％以上）或重要财务往来关系（如融资）等其他实质性控制关系</w:t>
      </w:r>
    </w:p>
    <w:p w14:paraId="4774DE6D">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0A96BECC">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三、现</w:t>
      </w:r>
      <w:r>
        <w:rPr>
          <w:rFonts w:hint="eastAsia" w:ascii="宋体" w:hAnsi="宋体" w:cs="宋体"/>
          <w:color w:val="auto"/>
          <w:sz w:val="24"/>
          <w:highlight w:val="none"/>
          <w:lang w:eastAsia="zh-CN"/>
        </w:rPr>
        <w:t>已清楚</w:t>
      </w:r>
      <w:r>
        <w:rPr>
          <w:rFonts w:hint="eastAsia" w:ascii="宋体" w:hAnsi="宋体" w:cs="宋体"/>
          <w:color w:val="auto"/>
          <w:sz w:val="24"/>
          <w:highlight w:val="none"/>
        </w:rPr>
        <w:t>知道并严格遵守政府采购法律法规和现场纪律。</w:t>
      </w:r>
    </w:p>
    <w:p w14:paraId="4423DDA0">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3F9526BB">
      <w:pPr>
        <w:snapToGrid w:val="0"/>
        <w:spacing w:beforeLines="50" w:after="50" w:line="276" w:lineRule="auto"/>
        <w:rPr>
          <w:rFonts w:ascii="宋体" w:hAnsi="宋体" w:cs="宋体"/>
          <w:color w:val="auto"/>
          <w:sz w:val="24"/>
          <w:highlight w:val="none"/>
        </w:rPr>
      </w:pPr>
    </w:p>
    <w:p w14:paraId="1325F893">
      <w:pPr>
        <w:pStyle w:val="17"/>
        <w:rPr>
          <w:color w:val="auto"/>
          <w:highlight w:val="none"/>
        </w:rPr>
      </w:pPr>
    </w:p>
    <w:p w14:paraId="0483385C">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（供应商代表签名）: </w:t>
      </w:r>
    </w:p>
    <w:p w14:paraId="7585719B">
      <w:pPr>
        <w:snapToGrid w:val="0"/>
        <w:spacing w:beforeLines="50" w:after="50" w:line="276" w:lineRule="auto"/>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70E65112">
      <w:pPr>
        <w:spacing w:line="360" w:lineRule="auto"/>
        <w:rPr>
          <w:rFonts w:hint="eastAsia" w:ascii="宋体" w:hAnsi="宋体" w:cs="宋体"/>
          <w:b/>
          <w:bCs/>
          <w:color w:val="auto"/>
          <w:sz w:val="24"/>
          <w:highlight w:val="none"/>
          <w:lang w:val="en-US" w:eastAsia="zh-CN"/>
        </w:rPr>
      </w:pPr>
    </w:p>
    <w:p w14:paraId="12B5450C">
      <w:pPr>
        <w:spacing w:line="360" w:lineRule="auto"/>
        <w:rPr>
          <w:rFonts w:hint="eastAsia" w:ascii="宋体" w:hAnsi="宋体" w:cs="宋体"/>
          <w:b/>
          <w:bCs/>
          <w:color w:val="auto"/>
          <w:sz w:val="24"/>
          <w:highlight w:val="none"/>
          <w:lang w:val="en-US" w:eastAsia="zh-CN"/>
        </w:rPr>
      </w:pPr>
    </w:p>
    <w:p w14:paraId="60CE7A21">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bookmarkStart w:id="56" w:name="_Toc25980"/>
      <w:bookmarkStart w:id="57" w:name="_Toc26112"/>
      <w:r>
        <w:rPr>
          <w:rFonts w:hint="eastAsia" w:ascii="宋体" w:hAnsi="宋体"/>
          <w:bCs/>
          <w:color w:val="auto"/>
          <w:sz w:val="24"/>
          <w:highlight w:val="none"/>
        </w:rPr>
        <w:t>附件</w:t>
      </w:r>
      <w:r>
        <w:rPr>
          <w:rFonts w:hint="eastAsia" w:ascii="宋体" w:hAnsi="宋体"/>
          <w:bCs/>
          <w:color w:val="auto"/>
          <w:sz w:val="24"/>
          <w:highlight w:val="none"/>
          <w:lang w:val="en-US" w:eastAsia="zh-CN"/>
        </w:rPr>
        <w:t>四</w:t>
      </w:r>
      <w:r>
        <w:rPr>
          <w:rFonts w:hint="eastAsia" w:ascii="宋体" w:hAnsi="宋体"/>
          <w:bCs/>
          <w:color w:val="auto"/>
          <w:sz w:val="24"/>
          <w:highlight w:val="none"/>
        </w:rPr>
        <w:t>：中小企业声明函（工程、服务）</w:t>
      </w:r>
      <w:bookmarkEnd w:id="56"/>
      <w:bookmarkEnd w:id="57"/>
    </w:p>
    <w:p w14:paraId="671152B0">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中小企业声明函（工程、服务）</w:t>
      </w:r>
    </w:p>
    <w:p w14:paraId="7834E7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49A2BF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建筑业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726689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建筑业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506301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A5BFF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DDEF7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058C57B">
      <w:pPr>
        <w:spacing w:line="360" w:lineRule="auto"/>
        <w:rPr>
          <w:rFonts w:hint="eastAsia" w:ascii="宋体" w:hAnsi="宋体" w:eastAsia="宋体" w:cs="宋体"/>
          <w:color w:val="auto"/>
          <w:sz w:val="24"/>
          <w:highlight w:val="none"/>
        </w:rPr>
      </w:pPr>
    </w:p>
    <w:p w14:paraId="240F2763">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14:paraId="2DEAD079">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53FC5C59">
      <w:pPr>
        <w:spacing w:line="360" w:lineRule="auto"/>
        <w:rPr>
          <w:rFonts w:hint="eastAsia" w:ascii="宋体" w:hAnsi="宋体" w:eastAsia="宋体" w:cs="宋体"/>
          <w:color w:val="auto"/>
          <w:sz w:val="24"/>
          <w:highlight w:val="none"/>
        </w:rPr>
      </w:pPr>
    </w:p>
    <w:p w14:paraId="701AF5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0" distR="0" simplePos="0" relativeHeight="251661312" behindDoc="1" locked="0" layoutInCell="1" allowOverlap="1">
                <wp:simplePos x="0" y="0"/>
                <wp:positionH relativeFrom="page">
                  <wp:posOffset>1143000</wp:posOffset>
                </wp:positionH>
                <wp:positionV relativeFrom="paragraph">
                  <wp:posOffset>111125</wp:posOffset>
                </wp:positionV>
                <wp:extent cx="1828800" cy="0"/>
                <wp:effectExtent l="0" t="4445" r="0" b="5080"/>
                <wp:wrapTopAndBottom/>
                <wp:docPr id="10" name="直线 6"/>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0" cmpd="sng">
                          <a:solidFill>
                            <a:srgbClr val="000000"/>
                          </a:solidFill>
                          <a:round/>
                        </a:ln>
                        <a:effectLst/>
                      </wps:spPr>
                      <wps:bodyPr/>
                    </wps:wsp>
                  </a:graphicData>
                </a:graphic>
              </wp:anchor>
            </w:drawing>
          </mc:Choice>
          <mc:Fallback>
            <w:pict>
              <v:line id="直线 6" o:spid="_x0000_s1026" o:spt="20" style="position:absolute;left:0pt;margin-left:90pt;margin-top:8.75pt;height:0pt;width:144pt;mso-position-horizontal-relative:page;mso-wrap-distance-bottom:0pt;mso-wrap-distance-top:0pt;z-index:-251655168;mso-width-relative:page;mso-height-relative:page;" filled="f" stroked="t" coordsize="21600,21600" o:gfxdata="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2yG49UAAAAJAQAADwAAAAAA&#10;AAABACAAAAAiAAAAZHJzL2Rvd25yZXYueG1sUEsBAhQAFAAAAAgAh07iQOXGIxrdAQAAuAMAAA4A&#10;AAAAAAAAAQAgAAAAJAEAAGRycy9lMm9Eb2MueG1sUEsFBgAAAAAGAAYAWQEAAHMFAAAAAA==&#10;">
                <v:fill on="f" focussize="0,0"/>
                <v:stroke weight="0pt" color="#000000" joinstyle="round"/>
                <v:imagedata o:title=""/>
                <o:lock v:ext="edit" aspectratio="f"/>
                <w10:wrap type="topAndBottom"/>
              </v:line>
            </w:pict>
          </mc:Fallback>
        </mc:AlternateContent>
      </w:r>
    </w:p>
    <w:p w14:paraId="62125399">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p w14:paraId="62E7276F">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、从业人员、营业收入、资产总额填报上一年度数据，无上一年度数据的新成立企业可不填报。</w:t>
      </w:r>
    </w:p>
    <w:p w14:paraId="29570F55">
      <w:pPr>
        <w:pStyle w:val="17"/>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、如中标人声明为小微企业，本声明函将随中标结果同时公告，接受社会监督。</w:t>
      </w:r>
    </w:p>
    <w:p w14:paraId="72B809C0">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bookmarkStart w:id="58" w:name="_Toc5557"/>
      <w:bookmarkStart w:id="59" w:name="_Toc24672"/>
      <w:bookmarkStart w:id="60" w:name="_Toc11961"/>
      <w:r>
        <w:rPr>
          <w:rFonts w:hint="eastAsia" w:ascii="宋体" w:hAnsi="宋体"/>
          <w:bCs/>
          <w:color w:val="auto"/>
          <w:sz w:val="24"/>
          <w:highlight w:val="none"/>
        </w:rPr>
        <w:t>附件</w:t>
      </w:r>
      <w:r>
        <w:rPr>
          <w:rFonts w:hint="eastAsia" w:ascii="宋体" w:hAnsi="宋体"/>
          <w:bCs/>
          <w:color w:val="auto"/>
          <w:sz w:val="24"/>
          <w:highlight w:val="none"/>
          <w:lang w:val="en-US" w:eastAsia="zh-CN"/>
        </w:rPr>
        <w:t>五</w:t>
      </w:r>
      <w:r>
        <w:rPr>
          <w:rFonts w:hint="eastAsia" w:ascii="宋体" w:hAnsi="宋体"/>
          <w:bCs/>
          <w:color w:val="auto"/>
          <w:sz w:val="24"/>
          <w:highlight w:val="none"/>
        </w:rPr>
        <w:t>：残疾人福利性单位声明函</w:t>
      </w:r>
      <w:bookmarkEnd w:id="58"/>
      <w:bookmarkEnd w:id="59"/>
      <w:bookmarkEnd w:id="60"/>
    </w:p>
    <w:p w14:paraId="46EF0CFA">
      <w:pPr>
        <w:spacing w:after="120"/>
        <w:ind w:right="960" w:firstLine="2533" w:firstLineChars="701"/>
        <w:jc w:val="left"/>
        <w:rPr>
          <w:rFonts w:hint="eastAsia" w:ascii="宋体" w:hAnsi="宋体" w:cs="宋体"/>
          <w:b/>
          <w:color w:val="auto"/>
          <w:sz w:val="36"/>
          <w:highlight w:val="none"/>
        </w:rPr>
      </w:pPr>
      <w:r>
        <w:rPr>
          <w:rFonts w:hint="eastAsia" w:ascii="宋体" w:hAnsi="宋体" w:cs="宋体"/>
          <w:b/>
          <w:color w:val="auto"/>
          <w:sz w:val="36"/>
          <w:highlight w:val="none"/>
        </w:rPr>
        <w:t>残疾人福利性单位声明函</w:t>
      </w:r>
    </w:p>
    <w:p w14:paraId="0D22C651">
      <w:pPr>
        <w:spacing w:after="120" w:line="360" w:lineRule="auto"/>
        <w:ind w:right="960" w:firstLine="548" w:firstLineChars="196"/>
        <w:jc w:val="left"/>
        <w:rPr>
          <w:rFonts w:hint="eastAsia" w:ascii="宋体" w:hAnsi="宋体" w:cs="宋体"/>
          <w:color w:val="auto"/>
          <w:sz w:val="28"/>
          <w:highlight w:val="none"/>
        </w:rPr>
      </w:pPr>
    </w:p>
    <w:p w14:paraId="05F14F3B">
      <w:pPr>
        <w:spacing w:after="120" w:line="360" w:lineRule="auto"/>
        <w:ind w:right="960" w:firstLine="548" w:firstLineChars="196"/>
        <w:jc w:val="left"/>
        <w:rPr>
          <w:rFonts w:hint="eastAsia" w:ascii="宋体" w:hAnsi="宋体" w:cs="宋体"/>
          <w:color w:val="auto"/>
          <w:sz w:val="28"/>
          <w:highlight w:val="none"/>
        </w:rPr>
      </w:pPr>
      <w:r>
        <w:rPr>
          <w:rFonts w:hint="eastAsia" w:ascii="宋体" w:hAnsi="宋体" w:cs="宋体"/>
          <w:color w:val="auto"/>
          <w:sz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单位的</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项目采购活动提供本单位制造的货物（由本单位承担工程/服务），或者提供其他残疾人福利性单位制造的货物（不包括使用非残疾人福利性单位注册商标的货物）。</w:t>
      </w:r>
    </w:p>
    <w:p w14:paraId="418C5B6B">
      <w:pPr>
        <w:spacing w:after="120" w:line="360" w:lineRule="auto"/>
        <w:ind w:right="960" w:firstLine="548" w:firstLineChars="196"/>
        <w:jc w:val="left"/>
        <w:rPr>
          <w:rFonts w:hint="eastAsia" w:ascii="宋体" w:hAnsi="宋体" w:cs="宋体"/>
          <w:color w:val="auto"/>
          <w:sz w:val="28"/>
          <w:highlight w:val="none"/>
        </w:rPr>
      </w:pPr>
      <w:r>
        <w:rPr>
          <w:rFonts w:hint="eastAsia" w:ascii="宋体" w:hAnsi="宋体" w:cs="宋体"/>
          <w:color w:val="auto"/>
          <w:sz w:val="28"/>
          <w:highlight w:val="none"/>
        </w:rPr>
        <w:t>本单位对上述声明的真实性负责。如有虚假，将依法承担相应责任。</w:t>
      </w:r>
    </w:p>
    <w:p w14:paraId="7F36E3BE">
      <w:pPr>
        <w:spacing w:after="120" w:line="360" w:lineRule="auto"/>
        <w:ind w:right="960" w:firstLine="4200" w:firstLineChars="1500"/>
        <w:jc w:val="left"/>
        <w:rPr>
          <w:rFonts w:hint="eastAsia" w:ascii="宋体" w:hAnsi="宋体" w:cs="宋体"/>
          <w:color w:val="auto"/>
          <w:sz w:val="28"/>
          <w:highlight w:val="none"/>
        </w:rPr>
      </w:pPr>
    </w:p>
    <w:p w14:paraId="736EC81F">
      <w:pPr>
        <w:spacing w:after="120" w:line="360" w:lineRule="auto"/>
        <w:ind w:right="960" w:firstLine="4200" w:firstLineChars="1500"/>
        <w:jc w:val="left"/>
        <w:rPr>
          <w:rFonts w:hint="eastAsia" w:ascii="宋体" w:hAnsi="宋体" w:cs="宋体"/>
          <w:color w:val="auto"/>
          <w:sz w:val="28"/>
          <w:highlight w:val="none"/>
        </w:rPr>
      </w:pPr>
    </w:p>
    <w:p w14:paraId="2A252CCF">
      <w:pPr>
        <w:spacing w:after="120" w:line="360" w:lineRule="auto"/>
        <w:ind w:right="960" w:firstLine="4200" w:firstLineChars="1500"/>
        <w:jc w:val="left"/>
        <w:rPr>
          <w:rFonts w:hint="eastAsia" w:ascii="宋体" w:hAnsi="宋体" w:cs="宋体"/>
          <w:color w:val="auto"/>
          <w:sz w:val="28"/>
          <w:highlight w:val="none"/>
        </w:rPr>
      </w:pPr>
      <w:r>
        <w:rPr>
          <w:rFonts w:hint="eastAsia" w:ascii="宋体" w:hAnsi="宋体" w:cs="宋体"/>
          <w:color w:val="auto"/>
          <w:sz w:val="28"/>
          <w:highlight w:val="none"/>
        </w:rPr>
        <w:t>单位名称（盖章）:</w:t>
      </w:r>
    </w:p>
    <w:p w14:paraId="6744C7EA">
      <w:pPr>
        <w:spacing w:after="120" w:line="360" w:lineRule="auto"/>
        <w:ind w:right="960" w:firstLine="4200" w:firstLineChars="1500"/>
        <w:jc w:val="left"/>
        <w:rPr>
          <w:rFonts w:hint="eastAsia" w:ascii="宋体" w:hAnsi="宋体" w:cs="宋体"/>
          <w:color w:val="auto"/>
          <w:sz w:val="28"/>
          <w:highlight w:val="none"/>
        </w:rPr>
      </w:pPr>
      <w:r>
        <w:rPr>
          <w:rFonts w:hint="eastAsia" w:ascii="宋体" w:hAnsi="宋体" w:cs="宋体"/>
          <w:color w:val="auto"/>
          <w:sz w:val="28"/>
          <w:highlight w:val="none"/>
        </w:rPr>
        <w:t xml:space="preserve">日期：        </w:t>
      </w:r>
    </w:p>
    <w:p w14:paraId="133B4414">
      <w:pPr>
        <w:spacing w:after="120"/>
        <w:jc w:val="center"/>
        <w:rPr>
          <w:rFonts w:hint="eastAsia" w:ascii="宋体" w:hAnsi="宋体" w:cs="宋体"/>
          <w:b/>
          <w:color w:val="auto"/>
          <w:sz w:val="36"/>
          <w:szCs w:val="36"/>
          <w:highlight w:val="none"/>
        </w:rPr>
      </w:pPr>
    </w:p>
    <w:p w14:paraId="6277A7E1">
      <w:pPr>
        <w:numPr>
          <w:ilvl w:val="0"/>
          <w:numId w:val="10"/>
        </w:numPr>
        <w:tabs>
          <w:tab w:val="left" w:pos="420"/>
          <w:tab w:val="clear" w:pos="1244"/>
        </w:tabs>
        <w:spacing w:before="100" w:beforeAutospacing="1" w:after="100" w:afterAutospacing="1" w:line="432" w:lineRule="auto"/>
        <w:ind w:hanging="124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残疾人福利性单位视同小型、微型企业，享受</w:t>
      </w:r>
      <w:r>
        <w:rPr>
          <w:rFonts w:hint="eastAsia" w:ascii="宋体" w:hAnsi="宋体" w:cs="Times New Roman"/>
          <w:b/>
          <w:color w:val="auto"/>
          <w:szCs w:val="21"/>
          <w:highlight w:val="none"/>
          <w:lang w:val="en-US" w:eastAsia="zh-CN"/>
        </w:rPr>
        <w:t>政策扶持</w:t>
      </w:r>
      <w:r>
        <w:rPr>
          <w:rFonts w:hint="eastAsia" w:ascii="宋体" w:hAnsi="宋体" w:eastAsia="宋体" w:cs="Times New Roman"/>
          <w:b/>
          <w:color w:val="auto"/>
          <w:szCs w:val="21"/>
          <w:highlight w:val="none"/>
        </w:rPr>
        <w:t>。</w:t>
      </w:r>
    </w:p>
    <w:p w14:paraId="193FF7AE">
      <w:pPr>
        <w:numPr>
          <w:ilvl w:val="0"/>
          <w:numId w:val="10"/>
        </w:numPr>
        <w:tabs>
          <w:tab w:val="left" w:pos="420"/>
          <w:tab w:val="clear" w:pos="1244"/>
        </w:tabs>
        <w:spacing w:before="100" w:beforeAutospacing="1" w:after="100" w:afterAutospacing="1" w:line="432" w:lineRule="auto"/>
        <w:ind w:hanging="1244"/>
        <w:rPr>
          <w:rFonts w:hint="eastAsia" w:ascii="宋体" w:hAnsi="宋体" w:eastAsia="宋体" w:cs="宋体"/>
          <w:bCs/>
          <w:color w:val="auto"/>
          <w:sz w:val="24"/>
          <w:highlight w:val="none"/>
        </w:rPr>
      </w:pPr>
      <w:r>
        <w:rPr>
          <w:rFonts w:hint="eastAsia" w:ascii="宋体" w:hAnsi="宋体"/>
          <w:b/>
          <w:color w:val="auto"/>
          <w:szCs w:val="21"/>
          <w:highlight w:val="none"/>
        </w:rPr>
        <w:t>如中标人声明为残疾人福利性单位，本声明函将随中标结果同时公告，接受社会监督。</w:t>
      </w:r>
    </w:p>
    <w:p w14:paraId="173E9387">
      <w:pPr>
        <w:spacing w:line="360" w:lineRule="auto"/>
        <w:rPr>
          <w:rFonts w:hint="eastAsia" w:ascii="宋体" w:hAnsi="宋体" w:cs="宋体"/>
          <w:b/>
          <w:bCs/>
          <w:color w:val="auto"/>
          <w:sz w:val="24"/>
          <w:highlight w:val="none"/>
          <w:lang w:val="en-US" w:eastAsia="zh-CN"/>
        </w:rPr>
      </w:pPr>
    </w:p>
    <w:p w14:paraId="03EAFF55">
      <w:pPr>
        <w:spacing w:line="360" w:lineRule="auto"/>
        <w:rPr>
          <w:rFonts w:hint="eastAsia" w:ascii="宋体" w:hAnsi="宋体" w:cs="宋体"/>
          <w:b/>
          <w:bCs/>
          <w:color w:val="auto"/>
          <w:sz w:val="24"/>
          <w:highlight w:val="none"/>
          <w:lang w:val="en-US" w:eastAsia="zh-CN"/>
        </w:rPr>
      </w:pPr>
    </w:p>
    <w:p w14:paraId="5A8688A9">
      <w:pPr>
        <w:spacing w:line="360" w:lineRule="auto"/>
        <w:rPr>
          <w:rFonts w:hint="eastAsia" w:ascii="宋体" w:hAnsi="宋体" w:cs="宋体"/>
          <w:b/>
          <w:bCs/>
          <w:color w:val="auto"/>
          <w:sz w:val="24"/>
          <w:highlight w:val="none"/>
          <w:lang w:val="en-US" w:eastAsia="zh-CN"/>
        </w:rPr>
      </w:pPr>
    </w:p>
    <w:p w14:paraId="73AA568B">
      <w:pPr>
        <w:spacing w:line="360" w:lineRule="auto"/>
        <w:rPr>
          <w:rFonts w:hint="eastAsia" w:ascii="宋体" w:hAnsi="宋体" w:cs="宋体"/>
          <w:b/>
          <w:bCs/>
          <w:color w:val="auto"/>
          <w:sz w:val="24"/>
          <w:highlight w:val="none"/>
          <w:lang w:val="en-US" w:eastAsia="zh-CN"/>
        </w:rPr>
      </w:pPr>
    </w:p>
    <w:p w14:paraId="0C8BA33F">
      <w:pPr>
        <w:spacing w:line="360" w:lineRule="auto"/>
        <w:rPr>
          <w:rFonts w:hint="eastAsia" w:ascii="宋体" w:hAnsi="宋体" w:cs="宋体"/>
          <w:b/>
          <w:bCs/>
          <w:color w:val="auto"/>
          <w:sz w:val="24"/>
          <w:highlight w:val="none"/>
          <w:lang w:val="en-US" w:eastAsia="zh-CN"/>
        </w:rPr>
      </w:pPr>
    </w:p>
    <w:p w14:paraId="7DA6CF75">
      <w:pPr>
        <w:spacing w:line="360" w:lineRule="auto"/>
        <w:rPr>
          <w:rFonts w:hint="eastAsia" w:ascii="宋体" w:hAnsi="宋体" w:cs="宋体"/>
          <w:b/>
          <w:bCs/>
          <w:color w:val="auto"/>
          <w:sz w:val="24"/>
          <w:highlight w:val="none"/>
          <w:lang w:val="en-US" w:eastAsia="zh-CN"/>
        </w:rPr>
      </w:pPr>
    </w:p>
    <w:p w14:paraId="29D6575F">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bookmarkStart w:id="61" w:name="_Toc22508"/>
      <w:bookmarkStart w:id="62" w:name="_Toc18330"/>
      <w:bookmarkStart w:id="63" w:name="_Toc25167"/>
      <w:bookmarkStart w:id="64" w:name="_Toc9714"/>
      <w:bookmarkStart w:id="65" w:name="_Toc26637"/>
      <w:bookmarkStart w:id="66" w:name="_Toc10320"/>
      <w:r>
        <w:rPr>
          <w:rFonts w:hint="eastAsia" w:ascii="宋体" w:hAnsi="宋体"/>
          <w:bCs/>
          <w:color w:val="auto"/>
          <w:sz w:val="24"/>
          <w:highlight w:val="none"/>
        </w:rPr>
        <w:t>附件</w:t>
      </w:r>
      <w:r>
        <w:rPr>
          <w:rFonts w:hint="eastAsia" w:ascii="宋体" w:hAnsi="宋体"/>
          <w:bCs/>
          <w:color w:val="auto"/>
          <w:sz w:val="24"/>
          <w:highlight w:val="none"/>
          <w:lang w:val="en-US" w:eastAsia="zh-CN"/>
        </w:rPr>
        <w:t>六</w:t>
      </w:r>
      <w:r>
        <w:rPr>
          <w:rFonts w:hint="eastAsia" w:ascii="宋体" w:hAnsi="宋体"/>
          <w:bCs/>
          <w:color w:val="auto"/>
          <w:sz w:val="24"/>
          <w:highlight w:val="none"/>
        </w:rPr>
        <w:t>：联合协议</w:t>
      </w:r>
      <w:bookmarkEnd w:id="61"/>
      <w:bookmarkEnd w:id="62"/>
      <w:bookmarkEnd w:id="63"/>
    </w:p>
    <w:p w14:paraId="2C5ADCEF">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联合协议</w:t>
      </w:r>
    </w:p>
    <w:p w14:paraId="29914DEE">
      <w:pPr>
        <w:snapToGrid w:val="0"/>
        <w:spacing w:line="360" w:lineRule="auto"/>
        <w:ind w:firstLine="576"/>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（以联合体形式投标的，提供联合协议；本项目不接受联合体投标或者供应商不以联合体形式投标的，则不需要提供）</w:t>
      </w:r>
    </w:p>
    <w:p w14:paraId="43A84E2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5D6B3CB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562C8BD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授权代表根据竞争性磋商文件规定及投标内容而对采购人、采购机构所作的任何合法承诺，包括书面澄清及</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等均对联合投标各方产生约束力。</w:t>
      </w:r>
    </w:p>
    <w:p w14:paraId="0CBB253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9CDBCE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提供的全部货物/服务由小微企业制造/服务，其合同份额占到合同总金额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p>
    <w:p w14:paraId="0D957BD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E74B8E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06364F3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1F8AD47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056658D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573AC194">
      <w:pPr>
        <w:snapToGrid w:val="0"/>
        <w:spacing w:line="360" w:lineRule="auto"/>
        <w:ind w:firstLine="5040" w:firstLineChars="21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联合体成员名称(公章)：</w:t>
      </w:r>
    </w:p>
    <w:p w14:paraId="1D67839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841D0E8">
      <w:pPr>
        <w:snapToGrid w:val="0"/>
        <w:spacing w:line="360" w:lineRule="auto"/>
        <w:ind w:right="480"/>
        <w:rPr>
          <w:rFonts w:hint="eastAsia" w:ascii="宋体" w:hAnsi="宋体" w:eastAsia="宋体" w:cs="宋体"/>
          <w:b/>
          <w:color w:val="auto"/>
          <w:kern w:val="0"/>
          <w:sz w:val="32"/>
          <w:szCs w:val="32"/>
          <w:highlight w:val="none"/>
          <w:lang w:val="zh-CN"/>
        </w:rPr>
        <w:sectPr>
          <w:footerReference r:id="rId7" w:type="default"/>
          <w:pgSz w:w="11906" w:h="16838"/>
          <w:pgMar w:top="1440" w:right="1083" w:bottom="1440" w:left="1083" w:header="567" w:footer="567" w:gutter="0"/>
          <w:pgBorders>
            <w:top w:val="none" w:sz="0" w:space="0"/>
            <w:left w:val="none" w:sz="0" w:space="0"/>
            <w:bottom w:val="none" w:sz="0" w:space="0"/>
            <w:right w:val="none" w:sz="0" w:space="0"/>
          </w:pgBorders>
          <w:pgNumType w:fmt="decimal" w:start="1"/>
          <w:cols w:space="0" w:num="1"/>
          <w:rtlGutter w:val="0"/>
          <w:docGrid w:linePitch="312" w:charSpace="0"/>
        </w:sectPr>
      </w:pPr>
    </w:p>
    <w:p w14:paraId="6568E1B6">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r>
        <w:rPr>
          <w:rFonts w:hint="eastAsia" w:ascii="宋体" w:hAnsi="宋体"/>
          <w:bCs/>
          <w:color w:val="auto"/>
          <w:sz w:val="24"/>
          <w:highlight w:val="none"/>
        </w:rPr>
        <w:t>附件</w:t>
      </w:r>
      <w:r>
        <w:rPr>
          <w:rFonts w:hint="eastAsia" w:ascii="宋体" w:hAnsi="宋体"/>
          <w:bCs/>
          <w:color w:val="auto"/>
          <w:sz w:val="24"/>
          <w:highlight w:val="none"/>
          <w:lang w:val="en-US" w:eastAsia="zh-CN"/>
        </w:rPr>
        <w:t>七</w:t>
      </w:r>
      <w:r>
        <w:rPr>
          <w:rFonts w:hint="eastAsia" w:ascii="宋体" w:hAnsi="宋体"/>
          <w:bCs/>
          <w:color w:val="auto"/>
          <w:sz w:val="24"/>
          <w:highlight w:val="none"/>
        </w:rPr>
        <w:t>：分包意向协议</w:t>
      </w:r>
    </w:p>
    <w:p w14:paraId="37087E38">
      <w:pPr>
        <w:snapToGrid w:val="0"/>
        <w:spacing w:line="360" w:lineRule="auto"/>
        <w:ind w:firstLine="4176" w:firstLineChars="1300"/>
        <w:rPr>
          <w:rFonts w:hint="eastAsia" w:ascii="宋体" w:hAnsi="宋体"/>
          <w:b/>
          <w:kern w:val="0"/>
          <w:sz w:val="32"/>
          <w:szCs w:val="32"/>
          <w:highlight w:val="none"/>
        </w:rPr>
      </w:pPr>
      <w:r>
        <w:rPr>
          <w:rFonts w:hint="eastAsia" w:ascii="宋体" w:hAnsi="宋体"/>
          <w:b/>
          <w:kern w:val="0"/>
          <w:sz w:val="32"/>
          <w:szCs w:val="32"/>
          <w:highlight w:val="none"/>
        </w:rPr>
        <w:t>分包意向协议</w:t>
      </w:r>
    </w:p>
    <w:p w14:paraId="610229EF">
      <w:pPr>
        <w:widowControl/>
        <w:spacing w:line="360" w:lineRule="auto"/>
        <w:ind w:firstLine="120" w:firstLineChars="50"/>
        <w:jc w:val="left"/>
        <w:rPr>
          <w:rFonts w:hint="eastAsia"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中标后以分包方式履行合同的，提供分包意向协议；采购人不同意分包或者供应商中标后不以分包方式履行合同的，则不需要提供。</w:t>
      </w:r>
      <w:r>
        <w:rPr>
          <w:rFonts w:hint="eastAsia" w:ascii="宋体" w:hAnsi="宋体"/>
          <w:sz w:val="24"/>
          <w:szCs w:val="24"/>
          <w:highlight w:val="none"/>
        </w:rPr>
        <w:t>）</w:t>
      </w:r>
    </w:p>
    <w:p w14:paraId="56A15B9A">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u w:val="single"/>
        </w:rPr>
        <w:t>（供应商名称）</w:t>
      </w:r>
      <w:r>
        <w:rPr>
          <w:rFonts w:hint="eastAsia" w:ascii="宋体" w:hAnsi="宋体"/>
          <w:kern w:val="0"/>
          <w:sz w:val="24"/>
          <w:szCs w:val="24"/>
          <w:highlight w:val="none"/>
        </w:rPr>
        <w:t>若成为</w:t>
      </w:r>
      <w:r>
        <w:rPr>
          <w:rFonts w:hint="eastAsia" w:ascii="宋体" w:hAnsi="宋体"/>
          <w:sz w:val="24"/>
          <w:szCs w:val="24"/>
          <w:highlight w:val="none"/>
        </w:rPr>
        <w:t>（项目名称）【招标编号：（采购编号）】</w:t>
      </w:r>
      <w:r>
        <w:rPr>
          <w:rFonts w:hint="eastAsia" w:ascii="宋体" w:hAnsi="宋体"/>
          <w:kern w:val="0"/>
          <w:sz w:val="24"/>
          <w:szCs w:val="24"/>
          <w:highlight w:val="none"/>
        </w:rPr>
        <w:t>的中标供应商，将依法采取分包方式履行合同。</w:t>
      </w:r>
      <w:r>
        <w:rPr>
          <w:rFonts w:hint="eastAsia" w:ascii="宋体" w:hAnsi="宋体"/>
          <w:kern w:val="0"/>
          <w:sz w:val="24"/>
          <w:szCs w:val="24"/>
          <w:highlight w:val="none"/>
          <w:u w:val="single"/>
        </w:rPr>
        <w:t>（供应商名称）</w:t>
      </w:r>
      <w:r>
        <w:rPr>
          <w:rFonts w:hint="eastAsia" w:ascii="宋体" w:hAnsi="宋体"/>
          <w:kern w:val="0"/>
          <w:sz w:val="24"/>
          <w:szCs w:val="24"/>
          <w:highlight w:val="none"/>
        </w:rPr>
        <w:t>与</w:t>
      </w:r>
      <w:r>
        <w:rPr>
          <w:rFonts w:hint="eastAsia" w:ascii="宋体" w:hAnsi="宋体"/>
          <w:kern w:val="0"/>
          <w:sz w:val="24"/>
          <w:szCs w:val="24"/>
          <w:highlight w:val="none"/>
          <w:u w:val="single"/>
        </w:rPr>
        <w:t>（所有分包供应商名称）</w:t>
      </w:r>
      <w:r>
        <w:rPr>
          <w:rFonts w:hint="eastAsia" w:ascii="宋体" w:hAnsi="宋体"/>
          <w:kern w:val="0"/>
          <w:sz w:val="24"/>
          <w:szCs w:val="24"/>
          <w:highlight w:val="none"/>
        </w:rPr>
        <w:t xml:space="preserve">达成分包意向协议。 </w:t>
      </w:r>
    </w:p>
    <w:p w14:paraId="3632E087">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rPr>
        <w:t>一、分包标的及数量</w:t>
      </w:r>
    </w:p>
    <w:p w14:paraId="23ABA46B">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u w:val="single"/>
        </w:rPr>
        <w:t>（供应商名称）</w:t>
      </w:r>
      <w:r>
        <w:rPr>
          <w:rFonts w:hint="eastAsia" w:ascii="宋体" w:hAnsi="宋体"/>
          <w:kern w:val="0"/>
          <w:sz w:val="24"/>
          <w:szCs w:val="24"/>
          <w:highlight w:val="none"/>
        </w:rPr>
        <w:t>将</w:t>
      </w:r>
      <w:r>
        <w:rPr>
          <w:rFonts w:hint="eastAsia" w:ascii="宋体" w:hAnsi="宋体"/>
          <w:sz w:val="24"/>
          <w:szCs w:val="24"/>
          <w:highlight w:val="none"/>
          <w:u w:val="single"/>
        </w:rPr>
        <w:t xml:space="preserve">   XX工作内容   </w:t>
      </w:r>
      <w:r>
        <w:rPr>
          <w:rFonts w:hint="eastAsia" w:ascii="宋体" w:hAnsi="宋体"/>
          <w:sz w:val="24"/>
          <w:szCs w:val="24"/>
          <w:highlight w:val="none"/>
        </w:rPr>
        <w:t>分包给</w:t>
      </w:r>
      <w:r>
        <w:rPr>
          <w:rFonts w:hint="eastAsia" w:ascii="宋体" w:hAnsi="宋体"/>
          <w:kern w:val="0"/>
          <w:sz w:val="24"/>
          <w:szCs w:val="24"/>
          <w:highlight w:val="none"/>
          <w:u w:val="single"/>
        </w:rPr>
        <w:t>（某分包供应商名称）</w:t>
      </w:r>
      <w:r>
        <w:rPr>
          <w:rFonts w:hint="eastAsia" w:ascii="宋体" w:hAnsi="宋体"/>
          <w:kern w:val="0"/>
          <w:sz w:val="24"/>
          <w:szCs w:val="24"/>
          <w:highlight w:val="none"/>
        </w:rPr>
        <w:t>，</w:t>
      </w:r>
      <w:r>
        <w:rPr>
          <w:rFonts w:hint="eastAsia" w:ascii="宋体" w:hAnsi="宋体"/>
          <w:kern w:val="0"/>
          <w:sz w:val="24"/>
          <w:szCs w:val="24"/>
          <w:highlight w:val="none"/>
          <w:u w:val="single"/>
        </w:rPr>
        <w:t>（某分包供应商名称），</w:t>
      </w:r>
      <w:r>
        <w:rPr>
          <w:rFonts w:hint="eastAsia" w:ascii="宋体" w:hAnsi="宋体"/>
          <w:kern w:val="0"/>
          <w:sz w:val="24"/>
          <w:szCs w:val="24"/>
          <w:highlight w:val="none"/>
        </w:rPr>
        <w:t>具备承担</w:t>
      </w:r>
      <w:r>
        <w:rPr>
          <w:rFonts w:hint="eastAsia" w:ascii="宋体" w:hAnsi="宋体"/>
          <w:kern w:val="0"/>
          <w:sz w:val="24"/>
          <w:szCs w:val="24"/>
          <w:highlight w:val="none"/>
          <w:u w:val="single"/>
        </w:rPr>
        <w:t>XX工作内容</w:t>
      </w:r>
      <w:r>
        <w:rPr>
          <w:rFonts w:hint="eastAsia" w:ascii="宋体" w:hAnsi="宋体"/>
          <w:kern w:val="0"/>
          <w:sz w:val="24"/>
          <w:szCs w:val="24"/>
          <w:highlight w:val="none"/>
        </w:rPr>
        <w:t>相应资质条件且不得再次分包；</w:t>
      </w:r>
    </w:p>
    <w:p w14:paraId="4DBDF193">
      <w:pPr>
        <w:snapToGrid w:val="0"/>
        <w:spacing w:line="360" w:lineRule="auto"/>
        <w:ind w:firstLine="576"/>
        <w:rPr>
          <w:rFonts w:hint="eastAsia" w:ascii="宋体" w:hAnsi="宋体"/>
          <w:kern w:val="0"/>
          <w:sz w:val="24"/>
          <w:szCs w:val="24"/>
          <w:highlight w:val="none"/>
          <w:u w:val="single"/>
        </w:rPr>
      </w:pPr>
      <w:r>
        <w:rPr>
          <w:rFonts w:hint="eastAsia" w:ascii="宋体" w:hAnsi="宋体"/>
          <w:kern w:val="0"/>
          <w:sz w:val="24"/>
          <w:szCs w:val="24"/>
          <w:highlight w:val="none"/>
          <w:u w:val="single"/>
        </w:rPr>
        <w:t>……</w:t>
      </w:r>
    </w:p>
    <w:p w14:paraId="78A30A12">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rPr>
        <w:t>二、分包工作履行期限、地点、方式</w:t>
      </w:r>
    </w:p>
    <w:p w14:paraId="222A5877">
      <w:pPr>
        <w:snapToGrid w:val="0"/>
        <w:spacing w:line="360" w:lineRule="auto"/>
        <w:ind w:firstLine="576"/>
        <w:rPr>
          <w:rFonts w:hint="eastAsia" w:ascii="宋体" w:hAnsi="宋体"/>
          <w:sz w:val="24"/>
          <w:szCs w:val="24"/>
          <w:highlight w:val="none"/>
          <w:u w:val="single"/>
        </w:rPr>
      </w:pPr>
      <w:r>
        <w:rPr>
          <w:rFonts w:hint="eastAsia" w:ascii="宋体" w:hAnsi="宋体"/>
          <w:sz w:val="24"/>
          <w:szCs w:val="24"/>
          <w:highlight w:val="none"/>
          <w:u w:val="single"/>
        </w:rPr>
        <w:t xml:space="preserve">                                                                                  </w:t>
      </w:r>
    </w:p>
    <w:p w14:paraId="77B025C3">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rPr>
        <w:t>三、质量</w:t>
      </w:r>
    </w:p>
    <w:p w14:paraId="456F116A">
      <w:pPr>
        <w:snapToGrid w:val="0"/>
        <w:spacing w:line="360" w:lineRule="auto"/>
        <w:ind w:firstLine="576"/>
        <w:rPr>
          <w:rFonts w:hint="eastAsia" w:ascii="宋体" w:hAnsi="宋体"/>
          <w:kern w:val="0"/>
          <w:sz w:val="24"/>
          <w:szCs w:val="24"/>
          <w:highlight w:val="none"/>
        </w:rPr>
      </w:pPr>
      <w:r>
        <w:rPr>
          <w:rFonts w:hint="eastAsia" w:ascii="宋体" w:hAnsi="宋体"/>
          <w:sz w:val="24"/>
          <w:szCs w:val="24"/>
          <w:highlight w:val="none"/>
          <w:u w:val="single"/>
        </w:rPr>
        <w:t xml:space="preserve">                                                                                       </w:t>
      </w:r>
    </w:p>
    <w:p w14:paraId="7D8292CC">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rPr>
        <w:t>四、价款或者报酬</w:t>
      </w:r>
    </w:p>
    <w:p w14:paraId="3BF2906E">
      <w:pPr>
        <w:snapToGrid w:val="0"/>
        <w:spacing w:line="360" w:lineRule="auto"/>
        <w:ind w:left="573" w:leftChars="273"/>
        <w:rPr>
          <w:rFonts w:hint="eastAsia" w:ascii="宋体" w:hAnsi="宋体"/>
          <w:kern w:val="0"/>
          <w:sz w:val="24"/>
          <w:szCs w:val="24"/>
          <w:highlight w:val="none"/>
        </w:rPr>
      </w:pPr>
      <w:r>
        <w:rPr>
          <w:rFonts w:hint="eastAsia" w:ascii="宋体" w:hAnsi="宋体"/>
          <w:sz w:val="24"/>
          <w:szCs w:val="24"/>
          <w:highlight w:val="none"/>
          <w:u w:val="single"/>
        </w:rPr>
        <w:t xml:space="preserve">                                                                                     </w:t>
      </w:r>
    </w:p>
    <w:p w14:paraId="35CB59F3">
      <w:pPr>
        <w:snapToGrid w:val="0"/>
        <w:spacing w:line="360" w:lineRule="auto"/>
        <w:ind w:left="573" w:leftChars="273"/>
        <w:rPr>
          <w:rFonts w:hint="eastAsia" w:ascii="宋体" w:hAnsi="宋体"/>
          <w:kern w:val="0"/>
          <w:sz w:val="24"/>
          <w:szCs w:val="24"/>
          <w:highlight w:val="none"/>
        </w:rPr>
      </w:pPr>
      <w:r>
        <w:rPr>
          <w:rFonts w:hint="eastAsia" w:ascii="宋体" w:hAnsi="宋体"/>
          <w:kern w:val="0"/>
          <w:sz w:val="24"/>
          <w:szCs w:val="24"/>
          <w:highlight w:val="none"/>
        </w:rPr>
        <w:t>五、违约责任</w:t>
      </w:r>
    </w:p>
    <w:p w14:paraId="11323280">
      <w:pPr>
        <w:snapToGrid w:val="0"/>
        <w:spacing w:line="360" w:lineRule="auto"/>
        <w:ind w:firstLine="576"/>
        <w:rPr>
          <w:rFonts w:hint="eastAsia" w:ascii="宋体" w:hAnsi="宋体"/>
          <w:kern w:val="0"/>
          <w:sz w:val="24"/>
          <w:szCs w:val="24"/>
          <w:highlight w:val="none"/>
        </w:rPr>
      </w:pPr>
      <w:r>
        <w:rPr>
          <w:rFonts w:hint="eastAsia" w:ascii="宋体" w:hAnsi="宋体"/>
          <w:sz w:val="24"/>
          <w:szCs w:val="24"/>
          <w:highlight w:val="none"/>
          <w:u w:val="single"/>
        </w:rPr>
        <w:t xml:space="preserve">                                                                                     </w:t>
      </w:r>
    </w:p>
    <w:p w14:paraId="5B6E00F1">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rPr>
        <w:t>六、争议解决的办法</w:t>
      </w:r>
    </w:p>
    <w:p w14:paraId="0ECAD289">
      <w:pPr>
        <w:snapToGrid w:val="0"/>
        <w:spacing w:line="360" w:lineRule="auto"/>
        <w:ind w:firstLine="576"/>
        <w:rPr>
          <w:rFonts w:hint="eastAsia" w:ascii="宋体" w:hAnsi="宋体"/>
          <w:kern w:val="0"/>
          <w:sz w:val="24"/>
          <w:szCs w:val="24"/>
          <w:highlight w:val="none"/>
        </w:rPr>
      </w:pPr>
      <w:r>
        <w:rPr>
          <w:rFonts w:hint="eastAsia" w:ascii="宋体" w:hAnsi="宋体"/>
          <w:sz w:val="24"/>
          <w:szCs w:val="24"/>
          <w:highlight w:val="none"/>
          <w:u w:val="single"/>
        </w:rPr>
        <w:t xml:space="preserve">                                                                                  </w:t>
      </w:r>
    </w:p>
    <w:p w14:paraId="54F9A2E5">
      <w:pPr>
        <w:snapToGrid w:val="0"/>
        <w:spacing w:line="360" w:lineRule="auto"/>
        <w:ind w:firstLine="576"/>
        <w:rPr>
          <w:rFonts w:hint="eastAsia" w:ascii="宋体" w:hAnsi="宋体"/>
          <w:kern w:val="0"/>
          <w:sz w:val="24"/>
          <w:szCs w:val="24"/>
          <w:highlight w:val="none"/>
        </w:rPr>
      </w:pPr>
      <w:r>
        <w:rPr>
          <w:rFonts w:hint="eastAsia" w:ascii="宋体" w:hAnsi="宋体"/>
          <w:kern w:val="0"/>
          <w:sz w:val="24"/>
          <w:szCs w:val="24"/>
          <w:highlight w:val="none"/>
        </w:rPr>
        <w:t>七、其他</w:t>
      </w:r>
    </w:p>
    <w:p w14:paraId="71A24E2A">
      <w:pPr>
        <w:snapToGrid w:val="0"/>
        <w:spacing w:line="360" w:lineRule="auto"/>
        <w:ind w:firstLine="576"/>
        <w:rPr>
          <w:rFonts w:hint="eastAsia" w:ascii="宋体" w:hAnsi="宋体"/>
          <w:b/>
          <w:kern w:val="0"/>
          <w:sz w:val="24"/>
          <w:szCs w:val="24"/>
          <w:highlight w:val="none"/>
        </w:rPr>
      </w:pPr>
      <w:r>
        <w:rPr>
          <w:rFonts w:hint="eastAsia" w:ascii="宋体" w:hAnsi="宋体"/>
          <w:kern w:val="0"/>
          <w:sz w:val="24"/>
          <w:szCs w:val="24"/>
          <w:highlight w:val="none"/>
          <w:u w:val="single"/>
        </w:rPr>
        <w:t>（分包供应商名称）提供的货物/服务全部由小微企业制造/服务，</w:t>
      </w:r>
      <w:r>
        <w:rPr>
          <w:rFonts w:hint="eastAsia" w:ascii="宋体" w:hAnsi="宋体"/>
          <w:kern w:val="0"/>
          <w:sz w:val="24"/>
          <w:szCs w:val="24"/>
          <w:highlight w:val="none"/>
        </w:rPr>
        <w:t>其合同份额占到合同总金额</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%以上</w:t>
      </w:r>
      <w:r>
        <w:rPr>
          <w:rFonts w:hint="eastAsia" w:ascii="宋体" w:hAnsi="宋体"/>
          <w:sz w:val="24"/>
          <w:szCs w:val="24"/>
          <w:highlight w:val="none"/>
        </w:rPr>
        <w:t>。</w:t>
      </w:r>
    </w:p>
    <w:p w14:paraId="4BC02AE4">
      <w:pPr>
        <w:snapToGrid w:val="0"/>
        <w:spacing w:line="360" w:lineRule="auto"/>
        <w:rPr>
          <w:rFonts w:hint="eastAsia" w:ascii="宋体" w:hAnsi="宋体"/>
          <w:kern w:val="0"/>
          <w:sz w:val="24"/>
          <w:szCs w:val="24"/>
          <w:highlight w:val="none"/>
        </w:rPr>
      </w:pPr>
      <w:r>
        <w:rPr>
          <w:rFonts w:hint="eastAsia" w:ascii="宋体" w:hAnsi="宋体"/>
          <w:kern w:val="0"/>
          <w:sz w:val="24"/>
          <w:szCs w:val="24"/>
          <w:highlight w:val="none"/>
        </w:rPr>
        <w:t xml:space="preserve">                                               供应商名称(盖章)：</w:t>
      </w:r>
    </w:p>
    <w:p w14:paraId="7F204B46">
      <w:pPr>
        <w:snapToGrid w:val="0"/>
        <w:spacing w:line="360" w:lineRule="auto"/>
        <w:ind w:firstLine="5640" w:firstLineChars="2350"/>
        <w:rPr>
          <w:rFonts w:hint="eastAsia" w:ascii="宋体" w:hAnsi="宋体"/>
          <w:kern w:val="0"/>
          <w:sz w:val="24"/>
          <w:szCs w:val="24"/>
          <w:highlight w:val="none"/>
        </w:rPr>
      </w:pPr>
      <w:r>
        <w:rPr>
          <w:rFonts w:hint="eastAsia" w:ascii="宋体" w:hAnsi="宋体"/>
          <w:kern w:val="0"/>
          <w:sz w:val="24"/>
          <w:szCs w:val="24"/>
          <w:highlight w:val="none"/>
        </w:rPr>
        <w:t>分包供应商名称：</w:t>
      </w:r>
    </w:p>
    <w:p w14:paraId="7DA19640">
      <w:pPr>
        <w:snapToGrid w:val="0"/>
        <w:spacing w:line="360" w:lineRule="auto"/>
        <w:ind w:firstLine="5760" w:firstLineChars="2400"/>
        <w:rPr>
          <w:rFonts w:hint="eastAsia" w:ascii="宋体" w:hAnsi="宋体"/>
          <w:sz w:val="24"/>
          <w:szCs w:val="24"/>
          <w:highlight w:val="none"/>
        </w:rPr>
      </w:pPr>
      <w:r>
        <w:rPr>
          <w:rFonts w:hint="eastAsia" w:ascii="宋体" w:hAnsi="宋体"/>
          <w:kern w:val="0"/>
          <w:sz w:val="24"/>
          <w:szCs w:val="24"/>
          <w:highlight w:val="none"/>
        </w:rPr>
        <w:t>……</w:t>
      </w:r>
    </w:p>
    <w:p w14:paraId="1D881DAA">
      <w:pPr>
        <w:spacing w:line="450" w:lineRule="exact"/>
        <w:rPr>
          <w:rFonts w:hint="eastAsia" w:ascii="宋体" w:hAnsi="宋体"/>
          <w:kern w:val="0"/>
          <w:sz w:val="24"/>
          <w:szCs w:val="24"/>
          <w:highlight w:val="none"/>
        </w:rPr>
      </w:pPr>
      <w:r>
        <w:rPr>
          <w:rFonts w:hint="eastAsia" w:ascii="宋体" w:hAnsi="宋体"/>
          <w:kern w:val="0"/>
          <w:sz w:val="24"/>
          <w:szCs w:val="24"/>
          <w:highlight w:val="none"/>
        </w:rPr>
        <w:t xml:space="preserve">                                               日期：  年  月   日</w:t>
      </w:r>
    </w:p>
    <w:p w14:paraId="21AF72DA">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r>
        <w:rPr>
          <w:rFonts w:hint="eastAsia" w:ascii="宋体" w:hAnsi="宋体"/>
          <w:bCs/>
          <w:color w:val="auto"/>
          <w:sz w:val="24"/>
          <w:highlight w:val="none"/>
        </w:rPr>
        <w:t>附件</w:t>
      </w:r>
      <w:r>
        <w:rPr>
          <w:rFonts w:hint="eastAsia" w:ascii="宋体" w:hAnsi="宋体"/>
          <w:bCs/>
          <w:color w:val="auto"/>
          <w:sz w:val="24"/>
          <w:highlight w:val="none"/>
          <w:lang w:val="en-US" w:eastAsia="zh-CN"/>
        </w:rPr>
        <w:t>八</w:t>
      </w:r>
      <w:r>
        <w:rPr>
          <w:rFonts w:hint="eastAsia" w:ascii="宋体" w:hAnsi="宋体"/>
          <w:bCs/>
          <w:color w:val="auto"/>
          <w:sz w:val="24"/>
          <w:highlight w:val="none"/>
        </w:rPr>
        <w:t>：</w:t>
      </w:r>
      <w:r>
        <w:rPr>
          <w:rFonts w:hint="eastAsia" w:ascii="宋体" w:hAnsi="宋体"/>
          <w:bCs/>
          <w:color w:val="auto"/>
          <w:sz w:val="24"/>
          <w:highlight w:val="none"/>
          <w:lang w:val="en-US" w:eastAsia="zh-CN"/>
        </w:rPr>
        <w:t>东阳市</w:t>
      </w:r>
      <w:r>
        <w:rPr>
          <w:rFonts w:hint="eastAsia" w:ascii="宋体" w:hAnsi="宋体"/>
          <w:bCs/>
          <w:color w:val="auto"/>
          <w:sz w:val="24"/>
          <w:highlight w:val="none"/>
        </w:rPr>
        <w:t>政府采购代理机构社会评价表</w:t>
      </w:r>
      <w:bookmarkEnd w:id="64"/>
      <w:bookmarkEnd w:id="65"/>
    </w:p>
    <w:p w14:paraId="7D5A6872">
      <w:pPr>
        <w:jc w:val="center"/>
        <w:rPr>
          <w:rFonts w:hint="eastAsia" w:ascii="宋体" w:hAnsi="宋体" w:eastAsia="宋体" w:cs="宋体"/>
          <w:color w:val="auto"/>
          <w:sz w:val="44"/>
          <w:szCs w:val="44"/>
          <w:highlight w:val="none"/>
        </w:rPr>
      </w:pPr>
      <w:r>
        <w:rPr>
          <w:rFonts w:hint="eastAsia" w:ascii="宋体" w:hAnsi="宋体" w:cs="宋体"/>
          <w:color w:val="auto"/>
          <w:sz w:val="44"/>
          <w:szCs w:val="44"/>
          <w:highlight w:val="none"/>
          <w:lang w:val="en-US" w:eastAsia="zh-CN"/>
        </w:rPr>
        <w:t>东阳市</w:t>
      </w:r>
      <w:r>
        <w:rPr>
          <w:rFonts w:hint="eastAsia" w:ascii="宋体" w:hAnsi="宋体" w:eastAsia="宋体" w:cs="宋体"/>
          <w:color w:val="auto"/>
          <w:sz w:val="44"/>
          <w:szCs w:val="44"/>
          <w:highlight w:val="none"/>
        </w:rPr>
        <w:t>政府采购代理机构社会评价表</w:t>
      </w:r>
    </w:p>
    <w:p w14:paraId="112A808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代理机构名称：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552"/>
        <w:gridCol w:w="735"/>
        <w:gridCol w:w="1128"/>
        <w:gridCol w:w="1089"/>
        <w:gridCol w:w="836"/>
        <w:gridCol w:w="3047"/>
      </w:tblGrid>
      <w:tr w14:paraId="14C2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14:paraId="3F5B91E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填表人类别</w:t>
            </w:r>
          </w:p>
        </w:tc>
        <w:tc>
          <w:tcPr>
            <w:tcW w:w="8387" w:type="dxa"/>
            <w:gridSpan w:val="6"/>
            <w:tcBorders>
              <w:top w:val="single" w:color="auto" w:sz="4" w:space="0"/>
              <w:left w:val="nil"/>
              <w:bottom w:val="single" w:color="auto" w:sz="4" w:space="0"/>
              <w:right w:val="single" w:color="auto" w:sz="4" w:space="0"/>
            </w:tcBorders>
            <w:noWrap w:val="0"/>
            <w:vAlign w:val="center"/>
          </w:tcPr>
          <w:p w14:paraId="26922E94">
            <w:pPr>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□采购单位      □供应商      □专家     </w:t>
            </w:r>
          </w:p>
        </w:tc>
      </w:tr>
      <w:tr w14:paraId="7C71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14:paraId="2DAB967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填表人名称或姓名</w:t>
            </w:r>
          </w:p>
        </w:tc>
        <w:tc>
          <w:tcPr>
            <w:tcW w:w="4504" w:type="dxa"/>
            <w:gridSpan w:val="4"/>
            <w:tcBorders>
              <w:top w:val="single" w:color="auto" w:sz="4" w:space="0"/>
              <w:left w:val="nil"/>
              <w:bottom w:val="single" w:color="auto" w:sz="4" w:space="0"/>
              <w:right w:val="single" w:color="auto" w:sz="4" w:space="0"/>
            </w:tcBorders>
            <w:noWrap w:val="0"/>
            <w:vAlign w:val="center"/>
          </w:tcPr>
          <w:p w14:paraId="15AB183E">
            <w:pPr>
              <w:jc w:val="center"/>
              <w:rPr>
                <w:rFonts w:hint="eastAsia" w:ascii="宋体" w:hAnsi="宋体" w:eastAsia="宋体" w:cs="宋体"/>
                <w:color w:val="auto"/>
                <w:sz w:val="24"/>
                <w:highlight w:val="none"/>
              </w:rPr>
            </w:pPr>
          </w:p>
        </w:tc>
        <w:tc>
          <w:tcPr>
            <w:tcW w:w="836" w:type="dxa"/>
            <w:tcBorders>
              <w:top w:val="single" w:color="auto" w:sz="4" w:space="0"/>
              <w:left w:val="nil"/>
              <w:bottom w:val="single" w:color="auto" w:sz="4" w:space="0"/>
              <w:right w:val="single" w:color="auto" w:sz="4" w:space="0"/>
            </w:tcBorders>
            <w:noWrap w:val="0"/>
            <w:vAlign w:val="center"/>
          </w:tcPr>
          <w:p w14:paraId="6E0DE57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3047" w:type="dxa"/>
            <w:tcBorders>
              <w:top w:val="single" w:color="auto" w:sz="4" w:space="0"/>
              <w:left w:val="single" w:color="auto" w:sz="4" w:space="0"/>
              <w:bottom w:val="single" w:color="auto" w:sz="4" w:space="0"/>
              <w:right w:val="single" w:color="auto" w:sz="4" w:space="0"/>
            </w:tcBorders>
            <w:noWrap w:val="0"/>
            <w:vAlign w:val="center"/>
          </w:tcPr>
          <w:p w14:paraId="00F948A0">
            <w:pPr>
              <w:jc w:val="center"/>
              <w:rPr>
                <w:rFonts w:hint="eastAsia" w:ascii="宋体" w:hAnsi="宋体" w:eastAsia="宋体" w:cs="宋体"/>
                <w:color w:val="auto"/>
                <w:sz w:val="24"/>
                <w:highlight w:val="none"/>
              </w:rPr>
            </w:pPr>
          </w:p>
        </w:tc>
      </w:tr>
      <w:tr w14:paraId="6C84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14:paraId="2E79E0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1552" w:type="dxa"/>
            <w:tcBorders>
              <w:top w:val="single" w:color="auto" w:sz="4" w:space="0"/>
              <w:left w:val="nil"/>
              <w:bottom w:val="single" w:color="auto" w:sz="4" w:space="0"/>
              <w:right w:val="single" w:color="auto" w:sz="4" w:space="0"/>
            </w:tcBorders>
            <w:noWrap w:val="0"/>
            <w:vAlign w:val="center"/>
          </w:tcPr>
          <w:p w14:paraId="0A483422">
            <w:pPr>
              <w:jc w:val="center"/>
              <w:rPr>
                <w:rFonts w:hint="eastAsia" w:ascii="宋体" w:hAnsi="宋体" w:eastAsia="宋体" w:cs="宋体"/>
                <w:color w:val="auto"/>
                <w:sz w:val="24"/>
                <w:highlight w:val="none"/>
              </w:rPr>
            </w:pPr>
          </w:p>
        </w:tc>
        <w:tc>
          <w:tcPr>
            <w:tcW w:w="735" w:type="dxa"/>
            <w:tcBorders>
              <w:top w:val="single" w:color="auto" w:sz="4" w:space="0"/>
              <w:left w:val="nil"/>
              <w:bottom w:val="single" w:color="auto" w:sz="4" w:space="0"/>
              <w:right w:val="single" w:color="auto" w:sz="4" w:space="0"/>
            </w:tcBorders>
            <w:noWrap w:val="0"/>
            <w:vAlign w:val="center"/>
          </w:tcPr>
          <w:p w14:paraId="22D7DF4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217" w:type="dxa"/>
            <w:gridSpan w:val="2"/>
            <w:tcBorders>
              <w:top w:val="single" w:color="auto" w:sz="4" w:space="0"/>
              <w:left w:val="nil"/>
              <w:bottom w:val="single" w:color="auto" w:sz="4" w:space="0"/>
              <w:right w:val="single" w:color="auto" w:sz="4" w:space="0"/>
            </w:tcBorders>
            <w:noWrap w:val="0"/>
            <w:vAlign w:val="center"/>
          </w:tcPr>
          <w:p w14:paraId="4013A370">
            <w:pPr>
              <w:jc w:val="center"/>
              <w:rPr>
                <w:rFonts w:hint="eastAsia" w:ascii="宋体" w:hAnsi="宋体" w:eastAsia="宋体" w:cs="宋体"/>
                <w:color w:val="auto"/>
                <w:sz w:val="24"/>
                <w:highlight w:val="none"/>
              </w:rPr>
            </w:pPr>
          </w:p>
        </w:tc>
        <w:tc>
          <w:tcPr>
            <w:tcW w:w="836" w:type="dxa"/>
            <w:tcBorders>
              <w:top w:val="single" w:color="auto" w:sz="4" w:space="0"/>
              <w:left w:val="nil"/>
              <w:bottom w:val="single" w:color="auto" w:sz="4" w:space="0"/>
              <w:right w:val="single" w:color="auto" w:sz="4" w:space="0"/>
            </w:tcBorders>
            <w:noWrap w:val="0"/>
            <w:vAlign w:val="center"/>
          </w:tcPr>
          <w:p w14:paraId="0E5EC03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3047" w:type="dxa"/>
            <w:tcBorders>
              <w:top w:val="single" w:color="auto" w:sz="4" w:space="0"/>
              <w:left w:val="single" w:color="auto" w:sz="4" w:space="0"/>
              <w:bottom w:val="single" w:color="auto" w:sz="4" w:space="0"/>
              <w:right w:val="single" w:color="auto" w:sz="4" w:space="0"/>
            </w:tcBorders>
            <w:noWrap w:val="0"/>
            <w:vAlign w:val="center"/>
          </w:tcPr>
          <w:p w14:paraId="64FA81F7">
            <w:pPr>
              <w:jc w:val="center"/>
              <w:rPr>
                <w:rFonts w:hint="eastAsia" w:ascii="宋体" w:hAnsi="宋体" w:eastAsia="宋体" w:cs="宋体"/>
                <w:color w:val="auto"/>
                <w:sz w:val="24"/>
                <w:highlight w:val="none"/>
              </w:rPr>
            </w:pPr>
          </w:p>
        </w:tc>
      </w:tr>
      <w:tr w14:paraId="21B2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12" w:type="dxa"/>
            <w:vMerge w:val="restart"/>
            <w:tcBorders>
              <w:top w:val="nil"/>
              <w:left w:val="single" w:color="auto" w:sz="4" w:space="0"/>
              <w:bottom w:val="single" w:color="auto" w:sz="4" w:space="0"/>
              <w:right w:val="single" w:color="auto" w:sz="4" w:space="0"/>
            </w:tcBorders>
            <w:noWrap w:val="0"/>
            <w:vAlign w:val="center"/>
          </w:tcPr>
          <w:p w14:paraId="5079CA8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对代理机构的评价</w:t>
            </w:r>
          </w:p>
        </w:tc>
        <w:tc>
          <w:tcPr>
            <w:tcW w:w="3415" w:type="dxa"/>
            <w:gridSpan w:val="3"/>
            <w:tcBorders>
              <w:top w:val="single" w:color="auto" w:sz="4" w:space="0"/>
              <w:left w:val="nil"/>
              <w:bottom w:val="single" w:color="auto" w:sz="4" w:space="0"/>
              <w:right w:val="single" w:color="auto" w:sz="4" w:space="0"/>
            </w:tcBorders>
            <w:noWrap w:val="0"/>
            <w:vAlign w:val="center"/>
          </w:tcPr>
          <w:p w14:paraId="2B1236EB">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4972" w:type="dxa"/>
            <w:gridSpan w:val="3"/>
            <w:tcBorders>
              <w:top w:val="single" w:color="auto" w:sz="4" w:space="0"/>
              <w:left w:val="nil"/>
              <w:bottom w:val="single" w:color="auto" w:sz="4" w:space="0"/>
              <w:right w:val="single" w:color="auto" w:sz="4" w:space="0"/>
            </w:tcBorders>
            <w:noWrap w:val="0"/>
            <w:vAlign w:val="center"/>
          </w:tcPr>
          <w:p w14:paraId="4EBB9FEC">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评价（请在分值范围内进行打分）</w:t>
            </w:r>
          </w:p>
        </w:tc>
      </w:tr>
      <w:tr w14:paraId="3112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12" w:type="dxa"/>
            <w:vMerge w:val="continue"/>
            <w:tcBorders>
              <w:top w:val="nil"/>
              <w:left w:val="single" w:color="auto" w:sz="4" w:space="0"/>
              <w:bottom w:val="single" w:color="auto" w:sz="4" w:space="0"/>
              <w:right w:val="single" w:color="auto" w:sz="4" w:space="0"/>
            </w:tcBorders>
            <w:noWrap w:val="0"/>
            <w:vAlign w:val="center"/>
          </w:tcPr>
          <w:p w14:paraId="7FB94376">
            <w:pPr>
              <w:widowControl/>
              <w:jc w:val="left"/>
              <w:rPr>
                <w:rFonts w:hint="eastAsia" w:ascii="宋体" w:hAnsi="宋体" w:eastAsia="宋体" w:cs="宋体"/>
                <w:color w:val="auto"/>
                <w:sz w:val="24"/>
                <w:highlight w:val="none"/>
              </w:rPr>
            </w:pPr>
          </w:p>
        </w:tc>
        <w:tc>
          <w:tcPr>
            <w:tcW w:w="3415" w:type="dxa"/>
            <w:gridSpan w:val="3"/>
            <w:tcBorders>
              <w:top w:val="single" w:color="auto" w:sz="4" w:space="0"/>
              <w:left w:val="nil"/>
              <w:bottom w:val="single" w:color="auto" w:sz="4" w:space="0"/>
              <w:right w:val="single" w:color="auto" w:sz="4" w:space="0"/>
            </w:tcBorders>
            <w:noWrap w:val="0"/>
            <w:vAlign w:val="center"/>
          </w:tcPr>
          <w:p w14:paraId="5BB8E38F">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是否严格执行政府采购纪律、法规和规章制度等（2分）。</w:t>
            </w:r>
          </w:p>
        </w:tc>
        <w:tc>
          <w:tcPr>
            <w:tcW w:w="4972" w:type="dxa"/>
            <w:gridSpan w:val="3"/>
            <w:tcBorders>
              <w:top w:val="single" w:color="auto" w:sz="4" w:space="0"/>
              <w:left w:val="nil"/>
              <w:bottom w:val="single" w:color="auto" w:sz="4" w:space="0"/>
              <w:right w:val="single" w:color="auto" w:sz="4" w:space="0"/>
            </w:tcBorders>
            <w:noWrap w:val="0"/>
            <w:vAlign w:val="center"/>
          </w:tcPr>
          <w:p w14:paraId="77C1209B">
            <w:pPr>
              <w:spacing w:line="500" w:lineRule="exact"/>
              <w:jc w:val="center"/>
              <w:rPr>
                <w:rFonts w:hint="eastAsia" w:ascii="宋体" w:hAnsi="宋体" w:eastAsia="宋体" w:cs="宋体"/>
                <w:color w:val="auto"/>
                <w:sz w:val="24"/>
                <w:highlight w:val="none"/>
              </w:rPr>
            </w:pPr>
          </w:p>
        </w:tc>
      </w:tr>
      <w:tr w14:paraId="6145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312" w:type="dxa"/>
            <w:vMerge w:val="continue"/>
            <w:tcBorders>
              <w:top w:val="nil"/>
              <w:left w:val="single" w:color="auto" w:sz="4" w:space="0"/>
              <w:bottom w:val="single" w:color="auto" w:sz="4" w:space="0"/>
              <w:right w:val="single" w:color="auto" w:sz="4" w:space="0"/>
            </w:tcBorders>
            <w:noWrap w:val="0"/>
            <w:vAlign w:val="center"/>
          </w:tcPr>
          <w:p w14:paraId="7E45066B">
            <w:pPr>
              <w:widowControl/>
              <w:jc w:val="left"/>
              <w:rPr>
                <w:rFonts w:hint="eastAsia" w:ascii="宋体" w:hAnsi="宋体" w:eastAsia="宋体" w:cs="宋体"/>
                <w:color w:val="auto"/>
                <w:sz w:val="24"/>
                <w:highlight w:val="none"/>
              </w:rPr>
            </w:pPr>
          </w:p>
        </w:tc>
        <w:tc>
          <w:tcPr>
            <w:tcW w:w="3415" w:type="dxa"/>
            <w:gridSpan w:val="3"/>
            <w:tcBorders>
              <w:top w:val="single" w:color="auto" w:sz="4" w:space="0"/>
              <w:left w:val="nil"/>
              <w:bottom w:val="single" w:color="auto" w:sz="4" w:space="0"/>
              <w:right w:val="single" w:color="auto" w:sz="4" w:space="0"/>
            </w:tcBorders>
            <w:noWrap w:val="0"/>
            <w:vAlign w:val="center"/>
          </w:tcPr>
          <w:p w14:paraId="036003F2">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操作程序是否规范，采购行为、过程、结果是否公开、公平、公正，采购组织管理是否规范严谨（2分）</w:t>
            </w:r>
            <w:r>
              <w:rPr>
                <w:rFonts w:hint="eastAsia" w:ascii="宋体" w:hAnsi="宋体" w:eastAsia="宋体" w:cs="宋体"/>
                <w:color w:val="auto"/>
                <w:kern w:val="0"/>
                <w:sz w:val="24"/>
                <w:highlight w:val="none"/>
              </w:rPr>
              <w:t>。</w:t>
            </w:r>
          </w:p>
        </w:tc>
        <w:tc>
          <w:tcPr>
            <w:tcW w:w="4972" w:type="dxa"/>
            <w:gridSpan w:val="3"/>
            <w:tcBorders>
              <w:top w:val="single" w:color="auto" w:sz="4" w:space="0"/>
              <w:left w:val="nil"/>
              <w:bottom w:val="single" w:color="auto" w:sz="4" w:space="0"/>
              <w:right w:val="single" w:color="auto" w:sz="4" w:space="0"/>
            </w:tcBorders>
            <w:noWrap w:val="0"/>
            <w:vAlign w:val="center"/>
          </w:tcPr>
          <w:p w14:paraId="060E8202">
            <w:pPr>
              <w:spacing w:line="500" w:lineRule="exact"/>
              <w:jc w:val="center"/>
              <w:rPr>
                <w:rFonts w:hint="eastAsia" w:ascii="宋体" w:hAnsi="宋体" w:eastAsia="宋体" w:cs="宋体"/>
                <w:color w:val="auto"/>
                <w:sz w:val="24"/>
                <w:highlight w:val="none"/>
              </w:rPr>
            </w:pPr>
          </w:p>
        </w:tc>
      </w:tr>
      <w:tr w14:paraId="45AD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312" w:type="dxa"/>
            <w:vMerge w:val="continue"/>
            <w:tcBorders>
              <w:top w:val="nil"/>
              <w:left w:val="single" w:color="auto" w:sz="4" w:space="0"/>
              <w:bottom w:val="single" w:color="auto" w:sz="4" w:space="0"/>
              <w:right w:val="single" w:color="auto" w:sz="4" w:space="0"/>
            </w:tcBorders>
            <w:noWrap w:val="0"/>
            <w:vAlign w:val="center"/>
          </w:tcPr>
          <w:p w14:paraId="0941268D">
            <w:pPr>
              <w:widowControl/>
              <w:jc w:val="left"/>
              <w:rPr>
                <w:rFonts w:hint="eastAsia" w:ascii="宋体" w:hAnsi="宋体" w:eastAsia="宋体" w:cs="宋体"/>
                <w:color w:val="auto"/>
                <w:sz w:val="24"/>
                <w:highlight w:val="none"/>
              </w:rPr>
            </w:pPr>
          </w:p>
        </w:tc>
        <w:tc>
          <w:tcPr>
            <w:tcW w:w="3415" w:type="dxa"/>
            <w:gridSpan w:val="3"/>
            <w:tcBorders>
              <w:top w:val="single" w:color="auto" w:sz="4" w:space="0"/>
              <w:left w:val="nil"/>
              <w:bottom w:val="single" w:color="auto" w:sz="4" w:space="0"/>
              <w:right w:val="single" w:color="auto" w:sz="4" w:space="0"/>
            </w:tcBorders>
            <w:noWrap w:val="0"/>
            <w:vAlign w:val="center"/>
          </w:tcPr>
          <w:p w14:paraId="5BDE2565">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是否及时组织采购，是否有承诺办事时间并能限时办结（2分）</w:t>
            </w:r>
            <w:r>
              <w:rPr>
                <w:rFonts w:hint="eastAsia" w:ascii="宋体" w:hAnsi="宋体" w:eastAsia="宋体" w:cs="宋体"/>
                <w:color w:val="auto"/>
                <w:kern w:val="0"/>
                <w:sz w:val="24"/>
                <w:highlight w:val="none"/>
              </w:rPr>
              <w:t>。</w:t>
            </w:r>
          </w:p>
        </w:tc>
        <w:tc>
          <w:tcPr>
            <w:tcW w:w="4972" w:type="dxa"/>
            <w:gridSpan w:val="3"/>
            <w:tcBorders>
              <w:top w:val="single" w:color="auto" w:sz="4" w:space="0"/>
              <w:left w:val="nil"/>
              <w:bottom w:val="single" w:color="auto" w:sz="4" w:space="0"/>
              <w:right w:val="single" w:color="auto" w:sz="4" w:space="0"/>
            </w:tcBorders>
            <w:noWrap w:val="0"/>
            <w:vAlign w:val="center"/>
          </w:tcPr>
          <w:p w14:paraId="505AF873">
            <w:pPr>
              <w:spacing w:line="500" w:lineRule="exact"/>
              <w:jc w:val="center"/>
              <w:rPr>
                <w:rFonts w:hint="eastAsia" w:ascii="宋体" w:hAnsi="宋体" w:eastAsia="宋体" w:cs="宋体"/>
                <w:color w:val="auto"/>
                <w:sz w:val="24"/>
                <w:highlight w:val="none"/>
              </w:rPr>
            </w:pPr>
          </w:p>
        </w:tc>
      </w:tr>
      <w:tr w14:paraId="7D13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312" w:type="dxa"/>
            <w:vMerge w:val="continue"/>
            <w:tcBorders>
              <w:top w:val="nil"/>
              <w:left w:val="single" w:color="auto" w:sz="4" w:space="0"/>
              <w:bottom w:val="single" w:color="auto" w:sz="4" w:space="0"/>
              <w:right w:val="single" w:color="auto" w:sz="4" w:space="0"/>
            </w:tcBorders>
            <w:noWrap w:val="0"/>
            <w:vAlign w:val="center"/>
          </w:tcPr>
          <w:p w14:paraId="1A2120A0">
            <w:pPr>
              <w:widowControl/>
              <w:jc w:val="left"/>
              <w:rPr>
                <w:rFonts w:hint="eastAsia" w:ascii="宋体" w:hAnsi="宋体" w:eastAsia="宋体" w:cs="宋体"/>
                <w:color w:val="auto"/>
                <w:sz w:val="24"/>
                <w:highlight w:val="none"/>
              </w:rPr>
            </w:pPr>
          </w:p>
        </w:tc>
        <w:tc>
          <w:tcPr>
            <w:tcW w:w="3415" w:type="dxa"/>
            <w:gridSpan w:val="3"/>
            <w:tcBorders>
              <w:top w:val="single" w:color="auto" w:sz="4" w:space="0"/>
              <w:left w:val="nil"/>
              <w:bottom w:val="single" w:color="auto" w:sz="4" w:space="0"/>
              <w:right w:val="single" w:color="auto" w:sz="4" w:space="0"/>
            </w:tcBorders>
            <w:noWrap w:val="0"/>
            <w:vAlign w:val="center"/>
          </w:tcPr>
          <w:p w14:paraId="76AB569C">
            <w:pP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是否能积极</w:t>
            </w:r>
            <w:r>
              <w:rPr>
                <w:rFonts w:hint="eastAsia" w:ascii="宋体" w:hAnsi="宋体" w:eastAsia="宋体" w:cs="宋体"/>
                <w:color w:val="auto"/>
                <w:kern w:val="0"/>
                <w:sz w:val="24"/>
                <w:highlight w:val="none"/>
              </w:rPr>
              <w:t>主动</w:t>
            </w:r>
            <w:r>
              <w:rPr>
                <w:rFonts w:hint="eastAsia" w:ascii="宋体" w:hAnsi="宋体" w:eastAsia="宋体" w:cs="宋体"/>
                <w:color w:val="auto"/>
                <w:sz w:val="24"/>
                <w:highlight w:val="none"/>
              </w:rPr>
              <w:t>与当事人沟通</w:t>
            </w:r>
            <w:r>
              <w:rPr>
                <w:rFonts w:hint="eastAsia" w:ascii="宋体" w:hAnsi="宋体" w:eastAsia="宋体" w:cs="宋体"/>
                <w:color w:val="auto"/>
                <w:kern w:val="0"/>
                <w:sz w:val="24"/>
                <w:highlight w:val="none"/>
              </w:rPr>
              <w:t>对接；对采购政策进行详细解读；</w:t>
            </w:r>
            <w:r>
              <w:rPr>
                <w:rFonts w:hint="eastAsia" w:ascii="宋体" w:hAnsi="宋体" w:eastAsia="宋体" w:cs="宋体"/>
                <w:color w:val="auto"/>
                <w:sz w:val="24"/>
                <w:highlight w:val="none"/>
              </w:rPr>
              <w:t>咨询答复是否热情周到、耐心细致（2分）</w:t>
            </w:r>
            <w:r>
              <w:rPr>
                <w:rFonts w:hint="eastAsia" w:ascii="宋体" w:hAnsi="宋体" w:eastAsia="宋体" w:cs="宋体"/>
                <w:color w:val="auto"/>
                <w:kern w:val="0"/>
                <w:sz w:val="24"/>
                <w:highlight w:val="none"/>
              </w:rPr>
              <w:t>。</w:t>
            </w:r>
          </w:p>
        </w:tc>
        <w:tc>
          <w:tcPr>
            <w:tcW w:w="4972" w:type="dxa"/>
            <w:gridSpan w:val="3"/>
            <w:tcBorders>
              <w:top w:val="single" w:color="auto" w:sz="4" w:space="0"/>
              <w:left w:val="nil"/>
              <w:bottom w:val="single" w:color="auto" w:sz="4" w:space="0"/>
              <w:right w:val="single" w:color="auto" w:sz="4" w:space="0"/>
            </w:tcBorders>
            <w:noWrap w:val="0"/>
            <w:vAlign w:val="center"/>
          </w:tcPr>
          <w:p w14:paraId="53F99579">
            <w:pPr>
              <w:spacing w:line="500" w:lineRule="exact"/>
              <w:jc w:val="center"/>
              <w:rPr>
                <w:rFonts w:hint="eastAsia" w:ascii="宋体" w:hAnsi="宋体" w:eastAsia="宋体" w:cs="宋体"/>
                <w:color w:val="auto"/>
                <w:sz w:val="24"/>
                <w:highlight w:val="none"/>
              </w:rPr>
            </w:pPr>
          </w:p>
        </w:tc>
      </w:tr>
      <w:tr w14:paraId="020B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12" w:type="dxa"/>
            <w:vMerge w:val="continue"/>
            <w:tcBorders>
              <w:top w:val="nil"/>
              <w:left w:val="single" w:color="auto" w:sz="4" w:space="0"/>
              <w:bottom w:val="single" w:color="auto" w:sz="4" w:space="0"/>
              <w:right w:val="single" w:color="auto" w:sz="4" w:space="0"/>
            </w:tcBorders>
            <w:noWrap w:val="0"/>
            <w:vAlign w:val="center"/>
          </w:tcPr>
          <w:p w14:paraId="5CE0E604">
            <w:pPr>
              <w:widowControl/>
              <w:jc w:val="left"/>
              <w:rPr>
                <w:rFonts w:hint="eastAsia" w:ascii="宋体" w:hAnsi="宋体" w:eastAsia="宋体" w:cs="宋体"/>
                <w:color w:val="auto"/>
                <w:sz w:val="24"/>
                <w:highlight w:val="none"/>
              </w:rPr>
            </w:pPr>
          </w:p>
        </w:tc>
        <w:tc>
          <w:tcPr>
            <w:tcW w:w="3415" w:type="dxa"/>
            <w:gridSpan w:val="3"/>
            <w:tcBorders>
              <w:top w:val="single" w:color="auto" w:sz="4" w:space="0"/>
              <w:left w:val="nil"/>
              <w:bottom w:val="single" w:color="auto" w:sz="4" w:space="0"/>
              <w:right w:val="single" w:color="auto" w:sz="4" w:space="0"/>
            </w:tcBorders>
            <w:noWrap w:val="0"/>
            <w:vAlign w:val="center"/>
          </w:tcPr>
          <w:p w14:paraId="587710DD">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采购的质量、服务是否满意（2分）。</w:t>
            </w:r>
          </w:p>
        </w:tc>
        <w:tc>
          <w:tcPr>
            <w:tcW w:w="4972" w:type="dxa"/>
            <w:gridSpan w:val="3"/>
            <w:tcBorders>
              <w:top w:val="single" w:color="auto" w:sz="4" w:space="0"/>
              <w:left w:val="nil"/>
              <w:bottom w:val="single" w:color="auto" w:sz="4" w:space="0"/>
              <w:right w:val="single" w:color="auto" w:sz="4" w:space="0"/>
            </w:tcBorders>
            <w:noWrap w:val="0"/>
            <w:vAlign w:val="center"/>
          </w:tcPr>
          <w:p w14:paraId="4C24368F">
            <w:pPr>
              <w:spacing w:line="500" w:lineRule="exact"/>
              <w:jc w:val="center"/>
              <w:rPr>
                <w:rFonts w:hint="eastAsia" w:ascii="宋体" w:hAnsi="宋体" w:eastAsia="宋体" w:cs="宋体"/>
                <w:color w:val="auto"/>
                <w:sz w:val="24"/>
                <w:highlight w:val="none"/>
              </w:rPr>
            </w:pPr>
          </w:p>
        </w:tc>
      </w:tr>
      <w:tr w14:paraId="5226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12" w:type="dxa"/>
            <w:vMerge w:val="continue"/>
            <w:tcBorders>
              <w:top w:val="nil"/>
              <w:left w:val="single" w:color="auto" w:sz="4" w:space="0"/>
              <w:bottom w:val="single" w:color="auto" w:sz="4" w:space="0"/>
              <w:right w:val="single" w:color="auto" w:sz="4" w:space="0"/>
            </w:tcBorders>
            <w:noWrap w:val="0"/>
            <w:vAlign w:val="center"/>
          </w:tcPr>
          <w:p w14:paraId="6363A32E">
            <w:pPr>
              <w:widowControl/>
              <w:jc w:val="left"/>
              <w:rPr>
                <w:rFonts w:hint="eastAsia" w:ascii="宋体" w:hAnsi="宋体" w:eastAsia="宋体" w:cs="宋体"/>
                <w:color w:val="auto"/>
                <w:sz w:val="24"/>
                <w:highlight w:val="none"/>
              </w:rPr>
            </w:pPr>
          </w:p>
        </w:tc>
        <w:tc>
          <w:tcPr>
            <w:tcW w:w="3415" w:type="dxa"/>
            <w:gridSpan w:val="3"/>
            <w:tcBorders>
              <w:top w:val="single" w:color="auto" w:sz="4" w:space="0"/>
              <w:left w:val="nil"/>
              <w:bottom w:val="single" w:color="auto" w:sz="4" w:space="0"/>
              <w:right w:val="single" w:color="auto" w:sz="4" w:space="0"/>
            </w:tcBorders>
            <w:noWrap w:val="0"/>
            <w:vAlign w:val="center"/>
          </w:tcPr>
          <w:p w14:paraId="7D70D1C4">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4972" w:type="dxa"/>
            <w:gridSpan w:val="3"/>
            <w:tcBorders>
              <w:top w:val="single" w:color="auto" w:sz="4" w:space="0"/>
              <w:left w:val="nil"/>
              <w:bottom w:val="single" w:color="auto" w:sz="4" w:space="0"/>
              <w:right w:val="single" w:color="auto" w:sz="4" w:space="0"/>
            </w:tcBorders>
            <w:noWrap w:val="0"/>
            <w:vAlign w:val="center"/>
          </w:tcPr>
          <w:p w14:paraId="05DD895A">
            <w:pPr>
              <w:spacing w:line="500" w:lineRule="exact"/>
              <w:jc w:val="center"/>
              <w:rPr>
                <w:rFonts w:hint="eastAsia" w:ascii="宋体" w:hAnsi="宋体" w:eastAsia="宋体" w:cs="宋体"/>
                <w:color w:val="auto"/>
                <w:sz w:val="24"/>
                <w:highlight w:val="none"/>
              </w:rPr>
            </w:pPr>
          </w:p>
        </w:tc>
      </w:tr>
      <w:tr w14:paraId="21C1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14:paraId="5B6020C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对代理机构的意见和建议</w:t>
            </w:r>
          </w:p>
        </w:tc>
        <w:tc>
          <w:tcPr>
            <w:tcW w:w="8387" w:type="dxa"/>
            <w:gridSpan w:val="6"/>
            <w:tcBorders>
              <w:top w:val="single" w:color="auto" w:sz="4" w:space="0"/>
              <w:left w:val="nil"/>
              <w:bottom w:val="single" w:color="auto" w:sz="4" w:space="0"/>
              <w:right w:val="single" w:color="auto" w:sz="4" w:space="0"/>
            </w:tcBorders>
            <w:noWrap w:val="0"/>
            <w:vAlign w:val="center"/>
          </w:tcPr>
          <w:p w14:paraId="253328F2">
            <w:pPr>
              <w:jc w:val="center"/>
              <w:rPr>
                <w:rFonts w:hint="eastAsia" w:ascii="宋体" w:hAnsi="宋体" w:eastAsia="宋体" w:cs="宋体"/>
                <w:color w:val="auto"/>
                <w:sz w:val="24"/>
                <w:highlight w:val="none"/>
              </w:rPr>
            </w:pPr>
          </w:p>
        </w:tc>
      </w:tr>
      <w:tr w14:paraId="5B73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312" w:type="dxa"/>
            <w:tcBorders>
              <w:top w:val="single" w:color="auto" w:sz="4" w:space="0"/>
              <w:left w:val="single" w:color="auto" w:sz="4" w:space="0"/>
              <w:bottom w:val="single" w:color="auto" w:sz="4" w:space="0"/>
              <w:right w:val="single" w:color="auto" w:sz="4" w:space="0"/>
            </w:tcBorders>
            <w:noWrap w:val="0"/>
            <w:vAlign w:val="center"/>
          </w:tcPr>
          <w:p w14:paraId="50DA77F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387" w:type="dxa"/>
            <w:gridSpan w:val="6"/>
            <w:tcBorders>
              <w:top w:val="single" w:color="auto" w:sz="4" w:space="0"/>
              <w:left w:val="nil"/>
              <w:bottom w:val="single" w:color="auto" w:sz="4" w:space="0"/>
              <w:right w:val="single" w:color="auto" w:sz="4" w:space="0"/>
            </w:tcBorders>
            <w:noWrap w:val="0"/>
            <w:vAlign w:val="center"/>
          </w:tcPr>
          <w:p w14:paraId="36B9DD0C">
            <w:pPr>
              <w:jc w:val="center"/>
              <w:rPr>
                <w:rFonts w:hint="eastAsia" w:ascii="宋体" w:hAnsi="宋体" w:eastAsia="宋体" w:cs="宋体"/>
                <w:color w:val="auto"/>
                <w:sz w:val="24"/>
                <w:highlight w:val="none"/>
              </w:rPr>
            </w:pPr>
          </w:p>
        </w:tc>
      </w:tr>
    </w:tbl>
    <w:p w14:paraId="71FD1509">
      <w:pPr>
        <w:spacing w:after="120"/>
        <w:ind w:right="1240"/>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填表人签字盖章：                    日期</w:t>
      </w:r>
    </w:p>
    <w:p w14:paraId="5090667D">
      <w:pPr>
        <w:spacing w:after="120"/>
        <w:ind w:right="-154"/>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注：投标单位须加盖单位红章。</w:t>
      </w:r>
    </w:p>
    <w:bookmarkEnd w:id="66"/>
    <w:p w14:paraId="5BF0F3B1">
      <w:pPr>
        <w:spacing w:line="360" w:lineRule="auto"/>
        <w:rPr>
          <w:rFonts w:hint="eastAsia" w:ascii="宋体" w:hAnsi="宋体" w:cs="宋体"/>
          <w:b/>
          <w:bCs/>
          <w:color w:val="auto"/>
          <w:sz w:val="24"/>
          <w:highlight w:val="none"/>
          <w:lang w:val="en-US" w:eastAsia="zh-CN"/>
        </w:rPr>
      </w:pPr>
    </w:p>
    <w:p w14:paraId="6B79AA85">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bookmarkStart w:id="67" w:name="_Toc13506"/>
      <w:r>
        <w:rPr>
          <w:rFonts w:hint="eastAsia" w:ascii="宋体" w:hAnsi="宋体"/>
          <w:bCs/>
          <w:color w:val="auto"/>
          <w:sz w:val="24"/>
          <w:highlight w:val="none"/>
        </w:rPr>
        <w:t>附件</w:t>
      </w:r>
      <w:r>
        <w:rPr>
          <w:rFonts w:hint="eastAsia" w:ascii="宋体" w:hAnsi="宋体"/>
          <w:bCs/>
          <w:color w:val="auto"/>
          <w:sz w:val="24"/>
          <w:highlight w:val="none"/>
          <w:lang w:val="en-US" w:eastAsia="zh-CN"/>
        </w:rPr>
        <w:t>九</w:t>
      </w:r>
      <w:r>
        <w:rPr>
          <w:rFonts w:hint="eastAsia" w:ascii="宋体" w:hAnsi="宋体"/>
          <w:bCs/>
          <w:color w:val="auto"/>
          <w:sz w:val="24"/>
          <w:highlight w:val="none"/>
        </w:rPr>
        <w:t>：</w:t>
      </w:r>
      <w:bookmarkEnd w:id="67"/>
      <w:r>
        <w:rPr>
          <w:rFonts w:hint="eastAsia" w:ascii="宋体" w:hAnsi="宋体"/>
          <w:bCs/>
          <w:color w:val="auto"/>
          <w:sz w:val="24"/>
          <w:highlight w:val="none"/>
          <w:lang w:eastAsia="zh-CN"/>
        </w:rPr>
        <w:t>供应商</w:t>
      </w:r>
      <w:r>
        <w:rPr>
          <w:rFonts w:hint="eastAsia" w:ascii="宋体" w:hAnsi="宋体"/>
          <w:bCs/>
          <w:color w:val="auto"/>
          <w:sz w:val="24"/>
          <w:highlight w:val="none"/>
        </w:rPr>
        <w:t>技术、商务资信自评得分表</w:t>
      </w:r>
    </w:p>
    <w:p w14:paraId="1E6E5E10">
      <w:pPr>
        <w:snapToGrid w:val="0"/>
        <w:spacing w:before="50" w:after="50"/>
        <w:jc w:val="center"/>
        <w:rPr>
          <w:rFonts w:hint="eastAsia" w:ascii="宋体"/>
          <w:b/>
          <w:color w:val="auto"/>
          <w:sz w:val="36"/>
          <w:szCs w:val="36"/>
          <w:highlight w:val="none"/>
        </w:rPr>
      </w:pPr>
      <w:r>
        <w:rPr>
          <w:rFonts w:hint="eastAsia" w:ascii="宋体"/>
          <w:b/>
          <w:color w:val="auto"/>
          <w:sz w:val="36"/>
          <w:szCs w:val="36"/>
          <w:highlight w:val="none"/>
        </w:rPr>
        <w:t>▲</w:t>
      </w:r>
      <w:r>
        <w:rPr>
          <w:rFonts w:hint="eastAsia" w:ascii="宋体"/>
          <w:b/>
          <w:color w:val="auto"/>
          <w:sz w:val="36"/>
          <w:szCs w:val="36"/>
          <w:highlight w:val="none"/>
          <w:lang w:eastAsia="zh-CN"/>
        </w:rPr>
        <w:t>供应商</w:t>
      </w:r>
      <w:r>
        <w:rPr>
          <w:rFonts w:hint="eastAsia" w:ascii="宋体"/>
          <w:b/>
          <w:color w:val="auto"/>
          <w:sz w:val="36"/>
          <w:szCs w:val="36"/>
          <w:highlight w:val="none"/>
        </w:rPr>
        <w:t>技术、商务资信自评得分表</w:t>
      </w:r>
    </w:p>
    <w:p w14:paraId="013A915A">
      <w:pPr>
        <w:snapToGrid w:val="0"/>
        <w:spacing w:before="50" w:after="50" w:line="360" w:lineRule="auto"/>
        <w:rPr>
          <w:rFonts w:ascii="宋体"/>
          <w:b/>
          <w:color w:val="auto"/>
          <w:sz w:val="24"/>
          <w:highlight w:val="none"/>
          <w:u w:val="single"/>
        </w:rPr>
      </w:pPr>
      <w:r>
        <w:rPr>
          <w:rFonts w:hint="eastAsia" w:ascii="宋体"/>
          <w:b/>
          <w:color w:val="auto"/>
          <w:sz w:val="24"/>
          <w:highlight w:val="none"/>
        </w:rPr>
        <w:t>投标单位名称：                                    标项：</w:t>
      </w: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1"/>
        <w:gridCol w:w="1610"/>
        <w:gridCol w:w="1610"/>
        <w:gridCol w:w="1358"/>
        <w:gridCol w:w="1084"/>
        <w:gridCol w:w="3034"/>
      </w:tblGrid>
      <w:tr w14:paraId="76D71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06E4CF25">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序号</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52C864E6">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评审内容</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FD81BA5">
            <w:pPr>
              <w:pStyle w:val="32"/>
              <w:ind w:firstLine="0" w:firstLineChars="0"/>
              <w:rPr>
                <w:rFonts w:hint="eastAsia" w:ascii="宋体" w:eastAsia="宋体"/>
                <w:b/>
                <w:bCs/>
                <w:color w:val="auto"/>
                <w:highlight w:val="none"/>
              </w:rPr>
            </w:pPr>
            <w:r>
              <w:rPr>
                <w:rFonts w:hint="eastAsia" w:ascii="宋体" w:eastAsia="宋体"/>
                <w:b/>
                <w:bCs/>
                <w:color w:val="auto"/>
                <w:highlight w:val="none"/>
              </w:rPr>
              <w:t>评分标准</w:t>
            </w:r>
          </w:p>
        </w:tc>
        <w:tc>
          <w:tcPr>
            <w:tcW w:w="1358" w:type="dxa"/>
            <w:tcBorders>
              <w:top w:val="single" w:color="auto" w:sz="4" w:space="0"/>
              <w:left w:val="single" w:color="auto" w:sz="4" w:space="0"/>
              <w:bottom w:val="single" w:color="auto" w:sz="4" w:space="0"/>
              <w:right w:val="single" w:color="auto" w:sz="4" w:space="0"/>
            </w:tcBorders>
            <w:noWrap w:val="0"/>
            <w:vAlign w:val="center"/>
          </w:tcPr>
          <w:p w14:paraId="26521C87">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评分标准分值</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749F3DB3">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自评得分</w:t>
            </w:r>
          </w:p>
        </w:tc>
        <w:tc>
          <w:tcPr>
            <w:tcW w:w="3034" w:type="dxa"/>
            <w:tcBorders>
              <w:top w:val="single" w:color="auto" w:sz="4" w:space="0"/>
              <w:left w:val="single" w:color="auto" w:sz="4" w:space="0"/>
              <w:bottom w:val="single" w:color="auto" w:sz="4" w:space="0"/>
              <w:right w:val="single" w:color="auto" w:sz="4" w:space="0"/>
            </w:tcBorders>
            <w:noWrap w:val="0"/>
            <w:vAlign w:val="center"/>
          </w:tcPr>
          <w:p w14:paraId="65CA63F0">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页码</w:t>
            </w:r>
          </w:p>
        </w:tc>
      </w:tr>
      <w:tr w14:paraId="26034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4B03365C">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一</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1C91585F">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技术分</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6306912B">
            <w:pPr>
              <w:pStyle w:val="32"/>
              <w:ind w:firstLine="482"/>
              <w:jc w:val="center"/>
              <w:rPr>
                <w:rFonts w:hint="eastAsia" w:ascii="宋体" w:eastAsia="宋体"/>
                <w:b/>
                <w:bCs/>
                <w:color w:val="auto"/>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58BE2E3A">
            <w:pPr>
              <w:pStyle w:val="32"/>
              <w:ind w:firstLine="0" w:firstLineChars="0"/>
              <w:jc w:val="center"/>
              <w:rPr>
                <w:rFonts w:hint="eastAsia" w:ascii="宋体" w:eastAsia="宋体"/>
                <w:b/>
                <w:bCs/>
                <w:color w:val="auto"/>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08E4BD51">
            <w:pPr>
              <w:pStyle w:val="32"/>
              <w:ind w:firstLine="0" w:firstLineChars="0"/>
              <w:jc w:val="center"/>
              <w:rPr>
                <w:rFonts w:hint="eastAsia" w:ascii="宋体" w:eastAsia="宋体"/>
                <w:b/>
                <w:bCs/>
                <w:color w:val="auto"/>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4984B785">
            <w:pPr>
              <w:pStyle w:val="32"/>
              <w:ind w:firstLine="0" w:firstLineChars="0"/>
              <w:jc w:val="center"/>
              <w:rPr>
                <w:rFonts w:hint="eastAsia" w:ascii="宋体" w:eastAsia="宋体"/>
                <w:b/>
                <w:bCs/>
                <w:color w:val="auto"/>
                <w:highlight w:val="none"/>
              </w:rPr>
            </w:pPr>
          </w:p>
        </w:tc>
      </w:tr>
      <w:tr w14:paraId="04D02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37E2D270">
            <w:pPr>
              <w:widowControl/>
              <w:rPr>
                <w:rFonts w:hint="eastAsia" w:ascii="宋体"/>
                <w:color w:val="auto"/>
                <w:sz w:val="24"/>
                <w:highlight w:val="none"/>
              </w:rPr>
            </w:pPr>
            <w:r>
              <w:rPr>
                <w:rFonts w:hint="eastAsia" w:ascii="宋体"/>
                <w:color w:val="auto"/>
                <w:sz w:val="24"/>
                <w:highlight w:val="none"/>
              </w:rPr>
              <w:t>1</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03136D31">
            <w:pPr>
              <w:rPr>
                <w:rFonts w:hint="eastAsia" w:ascii="宋体"/>
                <w:color w:val="auto"/>
                <w:sz w:val="24"/>
                <w:highlight w:val="none"/>
              </w:rPr>
            </w:pPr>
          </w:p>
        </w:tc>
        <w:tc>
          <w:tcPr>
            <w:tcW w:w="1610" w:type="dxa"/>
            <w:tcBorders>
              <w:top w:val="single" w:color="auto" w:sz="4" w:space="0"/>
              <w:left w:val="single" w:color="auto" w:sz="4" w:space="0"/>
              <w:right w:val="single" w:color="auto" w:sz="4" w:space="0"/>
            </w:tcBorders>
            <w:noWrap w:val="0"/>
            <w:vAlign w:val="center"/>
          </w:tcPr>
          <w:p w14:paraId="20E6E5FE">
            <w:pPr>
              <w:rPr>
                <w:rFonts w:hint="eastAsia" w:ascii="宋体"/>
                <w:color w:val="auto"/>
                <w:sz w:val="24"/>
                <w:highlight w:val="none"/>
              </w:rPr>
            </w:pPr>
          </w:p>
        </w:tc>
        <w:tc>
          <w:tcPr>
            <w:tcW w:w="1358" w:type="dxa"/>
            <w:tcBorders>
              <w:top w:val="single" w:color="auto" w:sz="4" w:space="0"/>
              <w:left w:val="single" w:color="auto" w:sz="4" w:space="0"/>
              <w:right w:val="single" w:color="auto" w:sz="4" w:space="0"/>
            </w:tcBorders>
            <w:noWrap w:val="0"/>
            <w:vAlign w:val="center"/>
          </w:tcPr>
          <w:p w14:paraId="52559943">
            <w:pPr>
              <w:jc w:val="center"/>
              <w:rPr>
                <w:rFonts w:hint="eastAsia" w:ascii="宋体"/>
                <w:bCs/>
                <w:color w:val="auto"/>
                <w:sz w:val="24"/>
                <w:highlight w:val="none"/>
              </w:rPr>
            </w:pPr>
          </w:p>
        </w:tc>
        <w:tc>
          <w:tcPr>
            <w:tcW w:w="1084" w:type="dxa"/>
            <w:tcBorders>
              <w:top w:val="single" w:color="auto" w:sz="4" w:space="0"/>
              <w:left w:val="single" w:color="auto" w:sz="4" w:space="0"/>
              <w:right w:val="single" w:color="auto" w:sz="4" w:space="0"/>
            </w:tcBorders>
            <w:noWrap w:val="0"/>
            <w:vAlign w:val="center"/>
          </w:tcPr>
          <w:p w14:paraId="335C2DD9">
            <w:pPr>
              <w:jc w:val="center"/>
              <w:rPr>
                <w:rFonts w:hint="eastAsia" w:ascii="宋体"/>
                <w:bCs/>
                <w:color w:val="auto"/>
                <w:sz w:val="24"/>
                <w:highlight w:val="none"/>
              </w:rPr>
            </w:pPr>
          </w:p>
        </w:tc>
        <w:tc>
          <w:tcPr>
            <w:tcW w:w="3034" w:type="dxa"/>
            <w:tcBorders>
              <w:top w:val="single" w:color="auto" w:sz="4" w:space="0"/>
              <w:left w:val="single" w:color="auto" w:sz="4" w:space="0"/>
              <w:right w:val="single" w:color="auto" w:sz="4" w:space="0"/>
            </w:tcBorders>
            <w:noWrap w:val="0"/>
            <w:vAlign w:val="center"/>
          </w:tcPr>
          <w:p w14:paraId="0ABC6226">
            <w:pPr>
              <w:jc w:val="center"/>
              <w:rPr>
                <w:rFonts w:hint="eastAsia" w:ascii="宋体"/>
                <w:bCs/>
                <w:color w:val="auto"/>
                <w:sz w:val="24"/>
                <w:highlight w:val="none"/>
              </w:rPr>
            </w:pPr>
            <w:r>
              <w:rPr>
                <w:rFonts w:hint="eastAsia" w:ascii="宋体"/>
                <w:bCs/>
                <w:color w:val="auto"/>
                <w:sz w:val="24"/>
                <w:highlight w:val="none"/>
              </w:rPr>
              <w:t>详见</w:t>
            </w:r>
            <w:r>
              <w:rPr>
                <w:rFonts w:hint="eastAsia" w:ascii="宋体"/>
                <w:b/>
                <w:bCs/>
                <w:color w:val="auto"/>
                <w:sz w:val="24"/>
                <w:highlight w:val="none"/>
              </w:rPr>
              <w:t>商务技术响应文件</w:t>
            </w:r>
            <w:r>
              <w:rPr>
                <w:rFonts w:hint="eastAsia" w:ascii="宋体"/>
                <w:bCs/>
                <w:color w:val="auto"/>
                <w:sz w:val="24"/>
                <w:highlight w:val="none"/>
              </w:rPr>
              <w:t>第几页</w:t>
            </w:r>
          </w:p>
        </w:tc>
      </w:tr>
      <w:tr w14:paraId="77E2F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9"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72CF85FF">
            <w:pPr>
              <w:widowControl/>
              <w:rPr>
                <w:rFonts w:hint="eastAsia" w:ascii="宋体"/>
                <w:color w:val="auto"/>
                <w:sz w:val="24"/>
                <w:highlight w:val="none"/>
              </w:rPr>
            </w:pPr>
            <w:r>
              <w:rPr>
                <w:rFonts w:hint="eastAsia" w:ascii="宋体"/>
                <w:color w:val="auto"/>
                <w:sz w:val="24"/>
                <w:highlight w:val="none"/>
              </w:rPr>
              <w:t>2</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2D8DA066">
            <w:pPr>
              <w:spacing w:line="320" w:lineRule="exact"/>
              <w:rPr>
                <w:rFonts w:hint="eastAsia" w:ascii="宋体"/>
                <w:color w:val="auto"/>
                <w:sz w:val="24"/>
                <w:highlight w:val="none"/>
              </w:rPr>
            </w:pPr>
          </w:p>
        </w:tc>
        <w:tc>
          <w:tcPr>
            <w:tcW w:w="1610" w:type="dxa"/>
            <w:tcBorders>
              <w:top w:val="single" w:color="auto" w:sz="4" w:space="0"/>
              <w:left w:val="single" w:color="auto" w:sz="4" w:space="0"/>
              <w:right w:val="single" w:color="auto" w:sz="4" w:space="0"/>
            </w:tcBorders>
            <w:noWrap w:val="0"/>
            <w:vAlign w:val="center"/>
          </w:tcPr>
          <w:p w14:paraId="6F453B12">
            <w:pPr>
              <w:widowControl/>
              <w:rPr>
                <w:rFonts w:hint="eastAsia" w:ascii="宋体" w:cs="宋体"/>
                <w:color w:val="auto"/>
                <w:kern w:val="0"/>
                <w:sz w:val="24"/>
                <w:highlight w:val="none"/>
              </w:rPr>
            </w:pPr>
          </w:p>
        </w:tc>
        <w:tc>
          <w:tcPr>
            <w:tcW w:w="1358" w:type="dxa"/>
            <w:tcBorders>
              <w:top w:val="single" w:color="auto" w:sz="4" w:space="0"/>
              <w:left w:val="single" w:color="auto" w:sz="4" w:space="0"/>
              <w:right w:val="single" w:color="auto" w:sz="4" w:space="0"/>
            </w:tcBorders>
            <w:noWrap w:val="0"/>
            <w:vAlign w:val="center"/>
          </w:tcPr>
          <w:p w14:paraId="1537EB50">
            <w:pPr>
              <w:spacing w:line="320" w:lineRule="exact"/>
              <w:jc w:val="center"/>
              <w:rPr>
                <w:rFonts w:hint="eastAsia" w:ascii="宋体"/>
                <w:bCs/>
                <w:color w:val="auto"/>
                <w:sz w:val="24"/>
                <w:highlight w:val="none"/>
              </w:rPr>
            </w:pPr>
          </w:p>
        </w:tc>
        <w:tc>
          <w:tcPr>
            <w:tcW w:w="1084" w:type="dxa"/>
            <w:tcBorders>
              <w:top w:val="single" w:color="auto" w:sz="4" w:space="0"/>
              <w:left w:val="single" w:color="auto" w:sz="4" w:space="0"/>
              <w:right w:val="single" w:color="auto" w:sz="4" w:space="0"/>
            </w:tcBorders>
            <w:noWrap w:val="0"/>
            <w:vAlign w:val="center"/>
          </w:tcPr>
          <w:p w14:paraId="2AAD5F21">
            <w:pPr>
              <w:spacing w:line="320" w:lineRule="exact"/>
              <w:jc w:val="center"/>
              <w:rPr>
                <w:rFonts w:hint="eastAsia" w:ascii="宋体"/>
                <w:bCs/>
                <w:color w:val="auto"/>
                <w:sz w:val="24"/>
                <w:highlight w:val="none"/>
              </w:rPr>
            </w:pPr>
          </w:p>
        </w:tc>
        <w:tc>
          <w:tcPr>
            <w:tcW w:w="3034" w:type="dxa"/>
            <w:tcBorders>
              <w:top w:val="single" w:color="auto" w:sz="4" w:space="0"/>
              <w:left w:val="single" w:color="auto" w:sz="4" w:space="0"/>
              <w:right w:val="single" w:color="auto" w:sz="4" w:space="0"/>
            </w:tcBorders>
            <w:noWrap w:val="0"/>
            <w:vAlign w:val="center"/>
          </w:tcPr>
          <w:p w14:paraId="6132A67F">
            <w:pPr>
              <w:jc w:val="center"/>
              <w:rPr>
                <w:rFonts w:hint="eastAsia" w:ascii="宋体"/>
                <w:bCs/>
                <w:color w:val="auto"/>
                <w:sz w:val="24"/>
                <w:highlight w:val="none"/>
              </w:rPr>
            </w:pPr>
            <w:r>
              <w:rPr>
                <w:rFonts w:hint="eastAsia" w:ascii="宋体"/>
                <w:bCs/>
                <w:color w:val="auto"/>
                <w:sz w:val="24"/>
                <w:highlight w:val="none"/>
              </w:rPr>
              <w:t>……</w:t>
            </w:r>
          </w:p>
        </w:tc>
      </w:tr>
      <w:tr w14:paraId="55961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961" w:type="dxa"/>
            <w:tcBorders>
              <w:left w:val="single" w:color="auto" w:sz="4" w:space="0"/>
              <w:bottom w:val="single" w:color="auto" w:sz="4" w:space="0"/>
              <w:right w:val="single" w:color="auto" w:sz="4" w:space="0"/>
            </w:tcBorders>
            <w:noWrap w:val="0"/>
            <w:vAlign w:val="center"/>
          </w:tcPr>
          <w:p w14:paraId="4E8C43B9">
            <w:pPr>
              <w:widowControl/>
              <w:rPr>
                <w:rFonts w:hint="eastAsia" w:ascii="宋体"/>
                <w:color w:val="auto"/>
                <w:sz w:val="24"/>
                <w:highlight w:val="none"/>
              </w:rPr>
            </w:pPr>
            <w:r>
              <w:rPr>
                <w:rFonts w:hint="eastAsia" w:ascii="宋体"/>
                <w:color w:val="auto"/>
                <w:sz w:val="24"/>
                <w:highlight w:val="none"/>
              </w:rPr>
              <w:t>……</w:t>
            </w:r>
          </w:p>
        </w:tc>
        <w:tc>
          <w:tcPr>
            <w:tcW w:w="1610" w:type="dxa"/>
            <w:tcBorders>
              <w:left w:val="single" w:color="auto" w:sz="4" w:space="0"/>
              <w:bottom w:val="single" w:color="auto" w:sz="4" w:space="0"/>
              <w:right w:val="single" w:color="auto" w:sz="4" w:space="0"/>
            </w:tcBorders>
            <w:noWrap w:val="0"/>
            <w:vAlign w:val="center"/>
          </w:tcPr>
          <w:p w14:paraId="5D52EC87">
            <w:pPr>
              <w:widowControl/>
              <w:rPr>
                <w:rFonts w:hint="eastAsia" w:ascii="宋体" w:cs="宋体"/>
                <w:color w:val="auto"/>
                <w:kern w:val="0"/>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5096CF1C">
            <w:pPr>
              <w:ind w:left="55" w:leftChars="26"/>
              <w:rPr>
                <w:rFonts w:hint="eastAsia" w:ascii="宋体" w:cs="宋体"/>
                <w:color w:val="auto"/>
                <w:kern w:val="0"/>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02D0D981">
            <w:pPr>
              <w:spacing w:line="320" w:lineRule="exact"/>
              <w:jc w:val="center"/>
              <w:rPr>
                <w:rFonts w:hint="eastAsia" w:ascii="宋体"/>
                <w:bCs/>
                <w:color w:val="auto"/>
                <w:sz w:val="24"/>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196EBCB6">
            <w:pPr>
              <w:spacing w:line="320" w:lineRule="exact"/>
              <w:jc w:val="center"/>
              <w:rPr>
                <w:rFonts w:hint="eastAsia" w:ascii="宋体"/>
                <w:bCs/>
                <w:color w:val="auto"/>
                <w:sz w:val="24"/>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7479C42B">
            <w:pPr>
              <w:jc w:val="center"/>
              <w:rPr>
                <w:rFonts w:hint="eastAsia" w:ascii="宋体"/>
                <w:bCs/>
                <w:color w:val="auto"/>
                <w:sz w:val="24"/>
                <w:highlight w:val="none"/>
              </w:rPr>
            </w:pPr>
          </w:p>
        </w:tc>
      </w:tr>
      <w:tr w14:paraId="42868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5"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32ED9EE5">
            <w:pPr>
              <w:widowControl/>
              <w:rPr>
                <w:rFonts w:hint="eastAsia" w:ascii="宋体"/>
                <w:b/>
                <w:color w:val="auto"/>
                <w:sz w:val="24"/>
                <w:highlight w:val="none"/>
              </w:rPr>
            </w:pPr>
            <w:r>
              <w:rPr>
                <w:rFonts w:hint="eastAsia" w:ascii="宋体"/>
                <w:b/>
                <w:color w:val="auto"/>
                <w:sz w:val="24"/>
                <w:highlight w:val="none"/>
              </w:rPr>
              <w:t>二</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5F3536AC">
            <w:pPr>
              <w:widowControl/>
              <w:rPr>
                <w:rFonts w:hint="eastAsia" w:ascii="宋体"/>
                <w:b/>
                <w:color w:val="auto"/>
                <w:sz w:val="24"/>
                <w:highlight w:val="none"/>
              </w:rPr>
            </w:pPr>
            <w:r>
              <w:rPr>
                <w:rFonts w:hint="eastAsia" w:ascii="宋体"/>
                <w:b/>
                <w:color w:val="auto"/>
                <w:sz w:val="24"/>
                <w:highlight w:val="none"/>
              </w:rPr>
              <w:t>商务资信及其他分分</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562BB79D">
            <w:pPr>
              <w:pStyle w:val="32"/>
              <w:ind w:firstLine="0" w:firstLineChars="0"/>
              <w:jc w:val="both"/>
              <w:rPr>
                <w:rFonts w:hint="eastAsia" w:ascii="宋体" w:eastAsia="宋体"/>
                <w:b/>
                <w:color w:val="auto"/>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1C3A536A">
            <w:pPr>
              <w:pStyle w:val="32"/>
              <w:ind w:firstLine="0" w:firstLineChars="0"/>
              <w:jc w:val="center"/>
              <w:rPr>
                <w:rFonts w:hint="eastAsia" w:ascii="宋体" w:eastAsia="宋体"/>
                <w:b/>
                <w:color w:val="auto"/>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66271799">
            <w:pPr>
              <w:pStyle w:val="32"/>
              <w:ind w:firstLine="0" w:firstLineChars="0"/>
              <w:jc w:val="center"/>
              <w:rPr>
                <w:rFonts w:hint="eastAsia" w:ascii="宋体" w:eastAsia="宋体"/>
                <w:b/>
                <w:color w:val="auto"/>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7EF60140">
            <w:pPr>
              <w:pStyle w:val="32"/>
              <w:ind w:firstLine="0" w:firstLineChars="0"/>
              <w:jc w:val="center"/>
              <w:rPr>
                <w:rFonts w:hint="eastAsia" w:ascii="宋体" w:eastAsia="宋体"/>
                <w:b/>
                <w:color w:val="auto"/>
                <w:highlight w:val="none"/>
              </w:rPr>
            </w:pPr>
          </w:p>
        </w:tc>
      </w:tr>
      <w:tr w14:paraId="06E59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5"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180F98CC">
            <w:pPr>
              <w:widowControl/>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2E4E15B">
            <w:pPr>
              <w:spacing w:line="320" w:lineRule="exact"/>
              <w:rPr>
                <w:rFonts w:hint="eastAsia" w:ascii="宋体"/>
                <w:color w:val="auto"/>
                <w:kern w:val="0"/>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7B4EC000">
            <w:pPr>
              <w:spacing w:line="320" w:lineRule="exact"/>
              <w:rPr>
                <w:rFonts w:hint="eastAsia" w:ascii="宋体"/>
                <w:color w:val="auto"/>
                <w:kern w:val="0"/>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2472AFB0">
            <w:pPr>
              <w:pStyle w:val="32"/>
              <w:ind w:firstLine="0" w:firstLineChars="0"/>
              <w:jc w:val="center"/>
              <w:rPr>
                <w:rFonts w:hint="eastAsia" w:ascii="宋体" w:eastAsia="宋体"/>
                <w:color w:val="auto"/>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588AFABC">
            <w:pPr>
              <w:pStyle w:val="32"/>
              <w:ind w:firstLine="0" w:firstLineChars="0"/>
              <w:jc w:val="center"/>
              <w:rPr>
                <w:rFonts w:hint="eastAsia" w:ascii="宋体" w:eastAsia="宋体"/>
                <w:color w:val="auto"/>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1A93E37B">
            <w:pPr>
              <w:jc w:val="center"/>
              <w:rPr>
                <w:rFonts w:hint="eastAsia" w:ascii="宋体"/>
                <w:bCs/>
                <w:color w:val="auto"/>
                <w:sz w:val="24"/>
                <w:highlight w:val="none"/>
              </w:rPr>
            </w:pPr>
            <w:r>
              <w:rPr>
                <w:rFonts w:hint="eastAsia" w:ascii="宋体"/>
                <w:bCs/>
                <w:color w:val="auto"/>
                <w:sz w:val="24"/>
                <w:highlight w:val="none"/>
              </w:rPr>
              <w:t>详见</w:t>
            </w:r>
            <w:r>
              <w:rPr>
                <w:rFonts w:hint="eastAsia" w:ascii="宋体"/>
                <w:b/>
                <w:bCs/>
                <w:color w:val="auto"/>
                <w:sz w:val="24"/>
                <w:highlight w:val="none"/>
              </w:rPr>
              <w:t>商务技术响应文件</w:t>
            </w:r>
          </w:p>
          <w:p w14:paraId="20221910">
            <w:pPr>
              <w:jc w:val="center"/>
              <w:rPr>
                <w:rFonts w:hint="eastAsia" w:ascii="宋体"/>
                <w:bCs/>
                <w:color w:val="auto"/>
                <w:sz w:val="24"/>
                <w:highlight w:val="none"/>
              </w:rPr>
            </w:pPr>
            <w:r>
              <w:rPr>
                <w:rFonts w:hint="eastAsia" w:ascii="宋体"/>
                <w:bCs/>
                <w:color w:val="auto"/>
                <w:sz w:val="24"/>
                <w:highlight w:val="none"/>
              </w:rPr>
              <w:t>第几页</w:t>
            </w:r>
          </w:p>
        </w:tc>
      </w:tr>
      <w:tr w14:paraId="1ADF6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7541D48B">
            <w:pPr>
              <w:widowControl/>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4A20850A">
            <w:pPr>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19D19B76">
            <w:pPr>
              <w:rPr>
                <w:rFonts w:hint="eastAsia" w:ascii="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387978B0">
            <w:pPr>
              <w:pStyle w:val="32"/>
              <w:ind w:firstLine="0" w:firstLineChars="0"/>
              <w:jc w:val="center"/>
              <w:rPr>
                <w:rFonts w:hint="eastAsia" w:ascii="宋体" w:eastAsia="宋体"/>
                <w:color w:val="auto"/>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2ADA0FBF">
            <w:pPr>
              <w:pStyle w:val="32"/>
              <w:ind w:firstLine="0" w:firstLineChars="0"/>
              <w:jc w:val="center"/>
              <w:rPr>
                <w:rFonts w:hint="eastAsia" w:ascii="宋体" w:eastAsia="宋体"/>
                <w:color w:val="auto"/>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3E144F3E">
            <w:pPr>
              <w:pStyle w:val="32"/>
              <w:ind w:firstLine="0" w:firstLineChars="0"/>
              <w:jc w:val="center"/>
              <w:rPr>
                <w:rFonts w:hint="eastAsia" w:ascii="宋体" w:eastAsia="宋体"/>
                <w:color w:val="auto"/>
                <w:highlight w:val="none"/>
              </w:rPr>
            </w:pPr>
            <w:r>
              <w:rPr>
                <w:rFonts w:hint="eastAsia" w:ascii="宋体" w:eastAsia="宋体"/>
                <w:color w:val="auto"/>
                <w:highlight w:val="none"/>
              </w:rPr>
              <w:t>……</w:t>
            </w:r>
          </w:p>
        </w:tc>
      </w:tr>
      <w:tr w14:paraId="190CB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466FB696">
            <w:pPr>
              <w:widowControl/>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2A44659">
            <w:pPr>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74751D0B">
            <w:pPr>
              <w:rPr>
                <w:rFonts w:hint="eastAsia" w:ascii="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69C8E7E4">
            <w:pPr>
              <w:pStyle w:val="32"/>
              <w:ind w:firstLine="0" w:firstLineChars="0"/>
              <w:jc w:val="center"/>
              <w:rPr>
                <w:rFonts w:hint="eastAsia" w:ascii="宋体" w:eastAsia="宋体"/>
                <w:color w:val="auto"/>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6239D9B0">
            <w:pPr>
              <w:pStyle w:val="32"/>
              <w:ind w:firstLine="0" w:firstLineChars="0"/>
              <w:jc w:val="center"/>
              <w:rPr>
                <w:rFonts w:hint="eastAsia" w:ascii="宋体" w:eastAsia="宋体"/>
                <w:color w:val="auto"/>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60F9AD01">
            <w:pPr>
              <w:pStyle w:val="32"/>
              <w:ind w:firstLine="0" w:firstLineChars="0"/>
              <w:jc w:val="center"/>
              <w:rPr>
                <w:rFonts w:hint="eastAsia" w:ascii="宋体" w:eastAsia="宋体"/>
                <w:color w:val="auto"/>
                <w:highlight w:val="none"/>
              </w:rPr>
            </w:pPr>
          </w:p>
        </w:tc>
      </w:tr>
      <w:tr w14:paraId="21A83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09ACFF4B">
            <w:pPr>
              <w:widowControl/>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27BBA44D">
            <w:pPr>
              <w:spacing w:line="320" w:lineRule="exact"/>
              <w:rPr>
                <w:rFonts w:hint="eastAsia" w:ascii="宋体"/>
                <w:bCs/>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7669F85E">
            <w:pPr>
              <w:rPr>
                <w:rFonts w:hint="eastAsia" w:ascii="宋体"/>
                <w:bCs/>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4091B4DA">
            <w:pPr>
              <w:spacing w:line="320" w:lineRule="exact"/>
              <w:jc w:val="center"/>
              <w:rPr>
                <w:rFonts w:hint="eastAsia" w:ascii="宋体"/>
                <w:bCs/>
                <w:color w:val="auto"/>
                <w:sz w:val="24"/>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5120324F">
            <w:pPr>
              <w:spacing w:line="320" w:lineRule="exact"/>
              <w:jc w:val="center"/>
              <w:rPr>
                <w:rFonts w:hint="eastAsia" w:ascii="宋体"/>
                <w:bCs/>
                <w:color w:val="auto"/>
                <w:sz w:val="24"/>
                <w:highlight w:val="none"/>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14:paraId="45D5B766">
            <w:pPr>
              <w:jc w:val="center"/>
              <w:rPr>
                <w:rFonts w:hint="eastAsia" w:ascii="宋体"/>
                <w:bCs/>
                <w:color w:val="auto"/>
                <w:sz w:val="24"/>
                <w:highlight w:val="none"/>
              </w:rPr>
            </w:pPr>
            <w:r>
              <w:rPr>
                <w:rFonts w:hint="eastAsia" w:ascii="宋体"/>
                <w:bCs/>
                <w:color w:val="auto"/>
                <w:sz w:val="24"/>
                <w:highlight w:val="none"/>
              </w:rPr>
              <w:t>……</w:t>
            </w:r>
          </w:p>
        </w:tc>
      </w:tr>
      <w:tr w14:paraId="76F0F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1204EEFE">
            <w:pPr>
              <w:widowControl/>
              <w:rPr>
                <w:rFonts w:hint="eastAsia" w:ascii="宋体"/>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6134FC14">
            <w:pPr>
              <w:spacing w:line="320" w:lineRule="exact"/>
              <w:rPr>
                <w:rFonts w:hint="eastAsia" w:ascii="宋体"/>
                <w:bCs/>
                <w:color w:val="auto"/>
                <w:sz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26F7054">
            <w:pPr>
              <w:rPr>
                <w:rFonts w:hint="eastAsia" w:ascii="宋体"/>
                <w:bCs/>
                <w:color w:val="auto"/>
                <w:sz w:val="24"/>
                <w:highlight w:val="none"/>
              </w:rPr>
            </w:pPr>
          </w:p>
        </w:tc>
        <w:tc>
          <w:tcPr>
            <w:tcW w:w="1358" w:type="dxa"/>
            <w:tcBorders>
              <w:top w:val="single" w:color="auto" w:sz="4" w:space="0"/>
              <w:left w:val="single" w:color="auto" w:sz="4" w:space="0"/>
              <w:right w:val="single" w:color="auto" w:sz="4" w:space="0"/>
            </w:tcBorders>
            <w:noWrap w:val="0"/>
            <w:vAlign w:val="center"/>
          </w:tcPr>
          <w:p w14:paraId="104C1789">
            <w:pPr>
              <w:spacing w:line="320" w:lineRule="exact"/>
              <w:jc w:val="center"/>
              <w:rPr>
                <w:rFonts w:hint="eastAsia" w:ascii="宋体"/>
                <w:bCs/>
                <w:color w:val="auto"/>
                <w:sz w:val="24"/>
                <w:highlight w:val="none"/>
              </w:rPr>
            </w:pPr>
          </w:p>
        </w:tc>
        <w:tc>
          <w:tcPr>
            <w:tcW w:w="1084" w:type="dxa"/>
            <w:tcBorders>
              <w:top w:val="single" w:color="auto" w:sz="4" w:space="0"/>
              <w:left w:val="single" w:color="auto" w:sz="4" w:space="0"/>
              <w:right w:val="single" w:color="auto" w:sz="4" w:space="0"/>
            </w:tcBorders>
            <w:noWrap w:val="0"/>
            <w:vAlign w:val="center"/>
          </w:tcPr>
          <w:p w14:paraId="11DB135A">
            <w:pPr>
              <w:spacing w:line="320" w:lineRule="exact"/>
              <w:jc w:val="center"/>
              <w:rPr>
                <w:rFonts w:hint="eastAsia" w:ascii="宋体"/>
                <w:bCs/>
                <w:color w:val="auto"/>
                <w:sz w:val="24"/>
                <w:highlight w:val="none"/>
              </w:rPr>
            </w:pPr>
          </w:p>
        </w:tc>
        <w:tc>
          <w:tcPr>
            <w:tcW w:w="3034" w:type="dxa"/>
            <w:tcBorders>
              <w:top w:val="single" w:color="auto" w:sz="4" w:space="0"/>
              <w:left w:val="single" w:color="auto" w:sz="4" w:space="0"/>
              <w:right w:val="single" w:color="auto" w:sz="4" w:space="0"/>
            </w:tcBorders>
            <w:noWrap w:val="0"/>
            <w:vAlign w:val="center"/>
          </w:tcPr>
          <w:p w14:paraId="28C700FD">
            <w:pPr>
              <w:jc w:val="center"/>
              <w:rPr>
                <w:rFonts w:hint="eastAsia" w:ascii="宋体"/>
                <w:bCs/>
                <w:color w:val="auto"/>
                <w:sz w:val="24"/>
                <w:highlight w:val="none"/>
              </w:rPr>
            </w:pPr>
          </w:p>
        </w:tc>
      </w:tr>
    </w:tbl>
    <w:p w14:paraId="34418334">
      <w:pPr>
        <w:snapToGrid w:val="0"/>
        <w:spacing w:before="50" w:after="50"/>
        <w:rPr>
          <w:rFonts w:hint="eastAsia" w:ascii="宋体"/>
          <w:color w:val="auto"/>
          <w:sz w:val="24"/>
          <w:highlight w:val="none"/>
        </w:rPr>
      </w:pPr>
    </w:p>
    <w:p w14:paraId="4243186C">
      <w:pPr>
        <w:snapToGrid w:val="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注：1、投标单位根据所投标项的评分表内容，按此格式提供评分响应表置于商务技术响应文件第1页。</w:t>
      </w:r>
    </w:p>
    <w:p w14:paraId="14118145">
      <w:pPr>
        <w:snapToGrid w:val="0"/>
        <w:rPr>
          <w:rFonts w:hint="eastAsia" w:ascii="宋体" w:hAnsi="Times New Roman" w:eastAsia="宋体" w:cs="Times New Roman"/>
          <w:color w:val="auto"/>
          <w:sz w:val="24"/>
          <w:highlight w:val="none"/>
          <w:lang w:eastAsia="zh-CN"/>
        </w:rPr>
      </w:pPr>
      <w:r>
        <w:rPr>
          <w:rFonts w:hint="eastAsia" w:ascii="宋体" w:cs="Times New Roman"/>
          <w:color w:val="auto"/>
          <w:sz w:val="24"/>
          <w:highlight w:val="none"/>
          <w:lang w:val="en-US" w:eastAsia="zh-CN"/>
        </w:rPr>
        <w:t>2</w:t>
      </w:r>
      <w:r>
        <w:rPr>
          <w:rFonts w:hint="eastAsia" w:ascii="宋体" w:hAnsi="Times New Roman" w:eastAsia="宋体" w:cs="Times New Roman"/>
          <w:color w:val="auto"/>
          <w:sz w:val="24"/>
          <w:highlight w:val="none"/>
        </w:rPr>
        <w:t>、上表中客观分得分分值须认真填写</w:t>
      </w:r>
      <w:r>
        <w:rPr>
          <w:rFonts w:hint="eastAsia" w:ascii="宋体" w:cs="Times New Roman"/>
          <w:color w:val="auto"/>
          <w:sz w:val="24"/>
          <w:highlight w:val="none"/>
          <w:lang w:eastAsia="zh-CN"/>
        </w:rPr>
        <w:t>。</w:t>
      </w:r>
    </w:p>
    <w:p w14:paraId="36DB6A87">
      <w:pPr>
        <w:spacing w:line="430" w:lineRule="exact"/>
        <w:rPr>
          <w:rFonts w:hint="eastAsia" w:ascii="宋体" w:hAnsi="宋体" w:cs="宋体"/>
          <w:b/>
          <w:color w:val="auto"/>
          <w:sz w:val="24"/>
          <w:highlight w:val="none"/>
          <w:lang w:val="en-US" w:eastAsia="zh-CN"/>
        </w:rPr>
      </w:pPr>
    </w:p>
    <w:p w14:paraId="54B87FC1">
      <w:pPr>
        <w:spacing w:line="430" w:lineRule="exact"/>
        <w:rPr>
          <w:rFonts w:hint="eastAsia" w:ascii="宋体" w:hAnsi="宋体" w:cs="宋体"/>
          <w:b/>
          <w:color w:val="auto"/>
          <w:sz w:val="24"/>
          <w:highlight w:val="none"/>
          <w:lang w:val="en-US" w:eastAsia="zh-CN"/>
        </w:rPr>
      </w:pPr>
    </w:p>
    <w:p w14:paraId="48FBADD8">
      <w:pPr>
        <w:spacing w:line="430" w:lineRule="exact"/>
        <w:rPr>
          <w:rFonts w:hint="eastAsia" w:ascii="宋体" w:hAnsi="宋体" w:cs="宋体"/>
          <w:b/>
          <w:color w:val="auto"/>
          <w:sz w:val="24"/>
          <w:highlight w:val="none"/>
          <w:lang w:val="en-US" w:eastAsia="zh-CN"/>
        </w:rPr>
      </w:pPr>
    </w:p>
    <w:p w14:paraId="5841E523">
      <w:pPr>
        <w:spacing w:line="430" w:lineRule="exact"/>
        <w:rPr>
          <w:rFonts w:hint="eastAsia" w:ascii="宋体" w:hAnsi="宋体" w:cs="宋体"/>
          <w:b/>
          <w:color w:val="auto"/>
          <w:sz w:val="24"/>
          <w:highlight w:val="none"/>
          <w:lang w:val="en-US" w:eastAsia="zh-CN"/>
        </w:rPr>
      </w:pPr>
    </w:p>
    <w:p w14:paraId="0CCC8534">
      <w:pPr>
        <w:spacing w:line="430" w:lineRule="exact"/>
        <w:rPr>
          <w:rFonts w:hint="eastAsia" w:ascii="宋体" w:hAnsi="宋体" w:cs="宋体"/>
          <w:b/>
          <w:color w:val="auto"/>
          <w:sz w:val="24"/>
          <w:highlight w:val="none"/>
          <w:lang w:val="en-US" w:eastAsia="zh-CN"/>
        </w:rPr>
      </w:pPr>
    </w:p>
    <w:p w14:paraId="2F960176">
      <w:pPr>
        <w:spacing w:line="430" w:lineRule="exact"/>
        <w:rPr>
          <w:rFonts w:hint="eastAsia" w:ascii="宋体" w:hAnsi="宋体" w:cs="宋体"/>
          <w:b/>
          <w:color w:val="auto"/>
          <w:sz w:val="24"/>
          <w:highlight w:val="none"/>
          <w:lang w:val="en-US" w:eastAsia="zh-CN"/>
        </w:rPr>
      </w:pPr>
    </w:p>
    <w:p w14:paraId="3D955E92">
      <w:pPr>
        <w:spacing w:line="430" w:lineRule="exact"/>
        <w:rPr>
          <w:rFonts w:hint="eastAsia" w:ascii="宋体" w:hAnsi="宋体" w:cs="宋体"/>
          <w:b/>
          <w:color w:val="auto"/>
          <w:sz w:val="24"/>
          <w:highlight w:val="none"/>
          <w:lang w:val="en-US" w:eastAsia="zh-CN"/>
        </w:rPr>
      </w:pPr>
    </w:p>
    <w:p w14:paraId="195CF66B">
      <w:pPr>
        <w:spacing w:line="430" w:lineRule="exact"/>
        <w:rPr>
          <w:rFonts w:hint="eastAsia" w:ascii="宋体" w:hAnsi="宋体" w:cs="宋体"/>
          <w:b/>
          <w:color w:val="auto"/>
          <w:sz w:val="24"/>
          <w:highlight w:val="none"/>
          <w:lang w:val="en-US" w:eastAsia="zh-CN"/>
        </w:rPr>
      </w:pPr>
    </w:p>
    <w:p w14:paraId="30374BC3">
      <w:pPr>
        <w:spacing w:line="430" w:lineRule="exact"/>
        <w:rPr>
          <w:rFonts w:hint="eastAsia" w:ascii="宋体" w:hAnsi="宋体" w:cs="宋体"/>
          <w:b/>
          <w:color w:val="auto"/>
          <w:sz w:val="24"/>
          <w:highlight w:val="none"/>
          <w:lang w:val="en-US" w:eastAsia="zh-CN"/>
        </w:rPr>
      </w:pPr>
    </w:p>
    <w:p w14:paraId="52F500A8">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rPr>
      </w:pPr>
      <w:r>
        <w:rPr>
          <w:rFonts w:hint="eastAsia" w:ascii="宋体" w:hAnsi="宋体"/>
          <w:bCs/>
          <w:color w:val="auto"/>
          <w:sz w:val="24"/>
          <w:highlight w:val="none"/>
          <w:lang w:val="en-US" w:eastAsia="zh-CN"/>
        </w:rPr>
        <w:t>附件十：磋商声明</w:t>
      </w:r>
      <w:r>
        <w:rPr>
          <w:rFonts w:hint="eastAsia" w:ascii="宋体" w:hAnsi="宋体"/>
          <w:bCs/>
          <w:color w:val="auto"/>
          <w:sz w:val="24"/>
          <w:highlight w:val="none"/>
        </w:rPr>
        <w:t>书</w:t>
      </w:r>
    </w:p>
    <w:p w14:paraId="5A8DFE14">
      <w:pPr>
        <w:snapToGrid w:val="0"/>
        <w:spacing w:beforeLines="50" w:after="50" w:line="276" w:lineRule="auto"/>
        <w:jc w:val="center"/>
        <w:rPr>
          <w:rFonts w:ascii="宋体" w:hAnsi="宋体" w:cs="宋体"/>
          <w:b/>
          <w:color w:val="auto"/>
          <w:sz w:val="24"/>
          <w:highlight w:val="none"/>
        </w:rPr>
      </w:pPr>
      <w:r>
        <w:rPr>
          <w:rFonts w:hint="eastAsia" w:ascii="宋体" w:hAnsi="宋体" w:cs="宋体"/>
          <w:b/>
          <w:color w:val="auto"/>
          <w:sz w:val="24"/>
          <w:highlight w:val="none"/>
        </w:rPr>
        <w:t>磋商声明书</w:t>
      </w:r>
    </w:p>
    <w:p w14:paraId="5603E309">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0B67B8A9">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BFB84B">
      <w:pPr>
        <w:snapToGrid w:val="0"/>
        <w:spacing w:beforeLines="50" w:after="50" w:line="276" w:lineRule="auto"/>
        <w:ind w:firstLine="645"/>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（供应商名称）的法定代表人，我方愿意参加贵方组织的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项目的磋商，为便于贵方公正、择优地确定中标人及其磋商服务，我方就本次磋商有关事项郑重声明如下：</w:t>
      </w:r>
    </w:p>
    <w:p w14:paraId="51D0B5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1.我方向贵方提交的所有磋商响应文件、资料都是准确的和真实的。若有违背，我公司愿为由此而产生的一切后果负责。</w:t>
      </w:r>
    </w:p>
    <w:p w14:paraId="23A48878">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43B6CBB1">
      <w:pPr>
        <w:snapToGrid w:val="0"/>
        <w:spacing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我方诚意提请贵方关注：近期有</w:t>
      </w:r>
      <w:r>
        <w:rPr>
          <w:rFonts w:hint="eastAsia" w:ascii="宋体" w:hAnsi="宋体" w:cs="宋体"/>
          <w:color w:val="auto"/>
          <w:sz w:val="24"/>
          <w:highlight w:val="none"/>
          <w:u w:val="single"/>
        </w:rPr>
        <w:t xml:space="preserve">                   （采购内容）</w:t>
      </w:r>
      <w:r>
        <w:rPr>
          <w:rFonts w:hint="eastAsia" w:ascii="宋体" w:hAnsi="宋体" w:cs="宋体"/>
          <w:color w:val="auto"/>
          <w:sz w:val="24"/>
          <w:highlight w:val="none"/>
        </w:rPr>
        <w:t>等方面的重大决策和事项有：</w:t>
      </w:r>
    </w:p>
    <w:p w14:paraId="5F88B006">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2BC22416">
      <w:pPr>
        <w:snapToGrid w:val="0"/>
        <w:spacing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p>
    <w:p w14:paraId="752AF7CD">
      <w:pPr>
        <w:pStyle w:val="11"/>
        <w:snapToGrid w:val="0"/>
        <w:spacing w:line="276" w:lineRule="auto"/>
        <w:rPr>
          <w:rFonts w:ascii="宋体" w:hAnsi="宋体" w:cs="宋体"/>
          <w:color w:val="auto"/>
          <w:sz w:val="24"/>
          <w:highlight w:val="none"/>
        </w:rPr>
      </w:pPr>
      <w:r>
        <w:rPr>
          <w:rFonts w:hint="eastAsia" w:ascii="宋体" w:hAnsi="宋体" w:cs="宋体"/>
          <w:color w:val="auto"/>
          <w:sz w:val="24"/>
          <w:highlight w:val="none"/>
        </w:rPr>
        <w:t>4.我方及由本人担任法定代表人的其他机构最近三年内被通报或者被处罚的违法行为有：</w:t>
      </w:r>
    </w:p>
    <w:p w14:paraId="0E73B771">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25B752C9">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4BA0687D">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3A941E33">
      <w:pPr>
        <w:pStyle w:val="19"/>
        <w:tabs>
          <w:tab w:val="left" w:pos="939"/>
        </w:tabs>
        <w:snapToGrid w:val="0"/>
        <w:spacing w:line="276" w:lineRule="auto"/>
        <w:ind w:left="773" w:leftChars="150" w:hanging="458" w:hangingChars="191"/>
        <w:rPr>
          <w:rFonts w:ascii="宋体" w:hAnsi="宋体" w:cs="宋体"/>
          <w:color w:val="auto"/>
          <w:sz w:val="24"/>
          <w:highlight w:val="none"/>
        </w:rPr>
      </w:pPr>
    </w:p>
    <w:p w14:paraId="1AFD6354">
      <w:pPr>
        <w:pStyle w:val="119"/>
        <w:snapToGrid w:val="0"/>
        <w:spacing w:beforeLines="50" w:line="276" w:lineRule="auto"/>
        <w:ind w:firstLine="200"/>
        <w:rPr>
          <w:rFonts w:ascii="宋体" w:hAnsi="宋体" w:cs="宋体"/>
          <w:color w:val="auto"/>
          <w:szCs w:val="24"/>
          <w:highlight w:val="none"/>
        </w:rPr>
      </w:pPr>
    </w:p>
    <w:p w14:paraId="3521E467">
      <w:pPr>
        <w:snapToGrid w:val="0"/>
        <w:spacing w:beforeLines="50" w:line="276" w:lineRule="auto"/>
        <w:ind w:firstLine="319" w:firstLineChars="133"/>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14:paraId="0F1AE637">
      <w:pPr>
        <w:snapToGrid w:val="0"/>
        <w:spacing w:beforeLines="50" w:after="50" w:line="27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供应商公章：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644058E">
      <w:pPr>
        <w:snapToGrid w:val="0"/>
        <w:spacing w:beforeLines="50" w:after="50" w:line="276"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年    月    日</w:t>
      </w:r>
    </w:p>
    <w:p w14:paraId="5829FD11">
      <w:pPr>
        <w:spacing w:line="430" w:lineRule="exact"/>
        <w:rPr>
          <w:rFonts w:hint="eastAsia" w:ascii="宋体" w:hAnsi="宋体" w:cs="宋体"/>
          <w:b/>
          <w:color w:val="auto"/>
          <w:sz w:val="24"/>
          <w:highlight w:val="none"/>
          <w:lang w:val="en-US" w:eastAsia="zh-CN"/>
        </w:rPr>
      </w:pPr>
    </w:p>
    <w:p w14:paraId="0F48784D">
      <w:pPr>
        <w:spacing w:line="430" w:lineRule="exact"/>
        <w:rPr>
          <w:rFonts w:hint="eastAsia" w:ascii="宋体" w:hAnsi="宋体" w:cs="宋体"/>
          <w:b/>
          <w:color w:val="auto"/>
          <w:sz w:val="24"/>
          <w:highlight w:val="none"/>
          <w:lang w:val="en-US" w:eastAsia="zh-CN"/>
        </w:rPr>
      </w:pPr>
    </w:p>
    <w:p w14:paraId="118C34E9">
      <w:pPr>
        <w:spacing w:line="430" w:lineRule="exact"/>
        <w:rPr>
          <w:rFonts w:hint="eastAsia" w:ascii="宋体" w:hAnsi="宋体" w:cs="宋体"/>
          <w:b/>
          <w:color w:val="auto"/>
          <w:sz w:val="24"/>
          <w:highlight w:val="none"/>
          <w:lang w:val="en-US" w:eastAsia="zh-CN"/>
        </w:rPr>
      </w:pPr>
    </w:p>
    <w:p w14:paraId="74C2D036">
      <w:pPr>
        <w:spacing w:line="430" w:lineRule="exact"/>
        <w:rPr>
          <w:rFonts w:hint="eastAsia" w:ascii="宋体" w:hAnsi="宋体" w:cs="宋体"/>
          <w:b/>
          <w:color w:val="auto"/>
          <w:sz w:val="24"/>
          <w:highlight w:val="none"/>
          <w:lang w:val="en-US" w:eastAsia="zh-CN"/>
        </w:rPr>
      </w:pPr>
    </w:p>
    <w:p w14:paraId="38E6AE22">
      <w:pPr>
        <w:spacing w:line="430" w:lineRule="exact"/>
        <w:rPr>
          <w:rFonts w:hint="eastAsia" w:ascii="宋体" w:hAnsi="宋体" w:cs="宋体"/>
          <w:b/>
          <w:color w:val="auto"/>
          <w:sz w:val="24"/>
          <w:highlight w:val="none"/>
          <w:lang w:val="en-US" w:eastAsia="zh-CN"/>
        </w:rPr>
      </w:pPr>
    </w:p>
    <w:p w14:paraId="60EED70C">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附件十一：供应商单位情况表：</w:t>
      </w:r>
    </w:p>
    <w:p w14:paraId="21BE7092">
      <w:pPr>
        <w:snapToGrid w:val="0"/>
        <w:spacing w:before="156" w:beforeLines="50" w:after="50"/>
        <w:jc w:val="center"/>
        <w:rPr>
          <w:rFonts w:hint="eastAsia" w:ascii="宋体" w:hAnsi="宋体"/>
          <w:b/>
          <w:sz w:val="28"/>
          <w:szCs w:val="28"/>
          <w:highlight w:val="none"/>
        </w:rPr>
      </w:pPr>
      <w:r>
        <w:rPr>
          <w:rFonts w:hint="eastAsia" w:ascii="宋体" w:hAnsi="宋体"/>
          <w:b/>
          <w:sz w:val="28"/>
          <w:szCs w:val="28"/>
          <w:highlight w:val="none"/>
          <w:lang w:val="en-US" w:eastAsia="zh-CN"/>
        </w:rPr>
        <w:t>供应商单位</w:t>
      </w:r>
      <w:r>
        <w:rPr>
          <w:rFonts w:hint="eastAsia" w:ascii="宋体" w:hAnsi="宋体"/>
          <w:b/>
          <w:sz w:val="28"/>
          <w:szCs w:val="28"/>
          <w:highlight w:val="none"/>
        </w:rPr>
        <w:t>情况表</w:t>
      </w:r>
    </w:p>
    <w:p w14:paraId="4684547B">
      <w:pPr>
        <w:spacing w:before="120" w:after="120"/>
        <w:ind w:firstLine="630" w:firstLineChars="300"/>
        <w:rPr>
          <w:rFonts w:hint="eastAsia" w:ascii="宋体" w:hAnsi="宋体"/>
          <w:highlight w:val="none"/>
        </w:rPr>
      </w:pPr>
      <w:r>
        <w:rPr>
          <w:rFonts w:hint="eastAsia" w:ascii="宋体" w:hAnsi="宋体"/>
          <w:highlight w:val="none"/>
          <w:lang w:val="en-US" w:eastAsia="zh-CN"/>
        </w:rPr>
        <w:t>供应商</w:t>
      </w:r>
      <w:r>
        <w:rPr>
          <w:rFonts w:hint="eastAsia" w:ascii="宋体" w:hAnsi="宋体"/>
          <w:highlight w:val="none"/>
        </w:rPr>
        <w:t>：                                        填表日期：</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263"/>
        <w:gridCol w:w="1222"/>
        <w:gridCol w:w="166"/>
        <w:gridCol w:w="2534"/>
      </w:tblGrid>
      <w:tr w14:paraId="0EF7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F21BEE4">
            <w:pPr>
              <w:spacing w:before="120" w:after="120"/>
              <w:rPr>
                <w:rFonts w:ascii="宋体" w:hAnsi="宋体"/>
                <w:highlight w:val="none"/>
              </w:rPr>
            </w:pPr>
            <w:r>
              <w:rPr>
                <w:rFonts w:hint="eastAsia" w:ascii="宋体" w:hAnsi="宋体"/>
                <w:highlight w:val="none"/>
              </w:rPr>
              <w:t>单位名称</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7EB923D4">
            <w:pPr>
              <w:widowControl/>
              <w:jc w:val="center"/>
              <w:rPr>
                <w:rFonts w:ascii="宋体" w:hAnsi="宋体"/>
                <w:sz w:val="24"/>
                <w:szCs w:val="24"/>
                <w:highlight w:val="none"/>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0DCD0720">
            <w:pPr>
              <w:spacing w:before="120" w:after="120"/>
              <w:rPr>
                <w:rFonts w:ascii="宋体" w:hAnsi="宋体"/>
                <w:highlight w:val="none"/>
              </w:rPr>
            </w:pPr>
            <w:r>
              <w:rPr>
                <w:rFonts w:hint="eastAsia" w:ascii="宋体" w:hAnsi="宋体"/>
                <w:highlight w:val="none"/>
              </w:rPr>
              <w:t>电话</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1332B972">
            <w:pPr>
              <w:spacing w:before="120" w:after="120"/>
              <w:jc w:val="center"/>
              <w:rPr>
                <w:rFonts w:ascii="宋体" w:hAnsi="宋体"/>
                <w:highlight w:val="none"/>
              </w:rPr>
            </w:pPr>
          </w:p>
        </w:tc>
      </w:tr>
      <w:tr w14:paraId="632C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06056A73">
            <w:pPr>
              <w:spacing w:before="120" w:after="120"/>
              <w:rPr>
                <w:rFonts w:ascii="宋体" w:hAnsi="宋体"/>
                <w:highlight w:val="none"/>
              </w:rPr>
            </w:pPr>
            <w:r>
              <w:rPr>
                <w:rFonts w:hint="eastAsia" w:ascii="宋体" w:hAnsi="宋体"/>
                <w:highlight w:val="none"/>
              </w:rPr>
              <w:t>地址</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1EBFE3A3">
            <w:pPr>
              <w:spacing w:before="120" w:after="120"/>
              <w:jc w:val="center"/>
              <w:rPr>
                <w:rFonts w:ascii="宋体" w:hAnsi="宋体"/>
                <w:highlight w:val="none"/>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769C78AB">
            <w:pPr>
              <w:spacing w:before="120" w:after="120"/>
              <w:rPr>
                <w:rFonts w:ascii="宋体" w:hAnsi="宋体"/>
                <w:highlight w:val="none"/>
              </w:rPr>
            </w:pPr>
            <w:r>
              <w:rPr>
                <w:rFonts w:hint="eastAsia" w:ascii="宋体" w:hAnsi="宋体"/>
                <w:highlight w:val="none"/>
              </w:rPr>
              <w:t>传真</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0F4BAB64">
            <w:pPr>
              <w:spacing w:before="120" w:after="120"/>
              <w:jc w:val="center"/>
              <w:rPr>
                <w:rFonts w:ascii="宋体" w:hAnsi="宋体"/>
                <w:highlight w:val="none"/>
              </w:rPr>
            </w:pPr>
          </w:p>
        </w:tc>
      </w:tr>
      <w:tr w14:paraId="43BB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26193A36">
            <w:pPr>
              <w:spacing w:before="120" w:after="120"/>
              <w:rPr>
                <w:rFonts w:ascii="宋体" w:hAnsi="宋体"/>
                <w:highlight w:val="none"/>
              </w:rPr>
            </w:pPr>
            <w:r>
              <w:rPr>
                <w:rFonts w:hint="eastAsia" w:ascii="宋体" w:hAnsi="宋体"/>
                <w:highlight w:val="none"/>
              </w:rPr>
              <w:t>主管部门</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61007623">
            <w:pPr>
              <w:spacing w:before="120" w:after="120"/>
              <w:jc w:val="center"/>
              <w:rPr>
                <w:rFonts w:ascii="宋体" w:hAnsi="宋体"/>
                <w:highlight w:val="none"/>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41FF7127">
            <w:pPr>
              <w:spacing w:before="120" w:after="120"/>
              <w:rPr>
                <w:rFonts w:ascii="宋体" w:hAnsi="宋体"/>
                <w:highlight w:val="none"/>
              </w:rPr>
            </w:pPr>
            <w:r>
              <w:rPr>
                <w:rFonts w:hint="eastAsia" w:ascii="宋体" w:hAnsi="宋体"/>
                <w:highlight w:val="none"/>
              </w:rPr>
              <w:t>企业性质</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7E9C8BCE">
            <w:pPr>
              <w:spacing w:before="120" w:after="120"/>
              <w:jc w:val="center"/>
              <w:rPr>
                <w:rFonts w:ascii="宋体" w:hAnsi="宋体"/>
                <w:highlight w:val="none"/>
              </w:rPr>
            </w:pPr>
          </w:p>
        </w:tc>
      </w:tr>
      <w:tr w14:paraId="3718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C3A2D95">
            <w:pPr>
              <w:spacing w:before="120" w:after="120"/>
              <w:rPr>
                <w:rFonts w:ascii="宋体" w:hAnsi="宋体"/>
                <w:highlight w:val="none"/>
              </w:rPr>
            </w:pPr>
            <w:r>
              <w:rPr>
                <w:rFonts w:hint="eastAsia" w:ascii="宋体" w:hAnsi="宋体"/>
                <w:highlight w:val="none"/>
              </w:rPr>
              <w:t>企业法人</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1737835C">
            <w:pPr>
              <w:spacing w:before="120" w:after="120"/>
              <w:jc w:val="center"/>
              <w:rPr>
                <w:rFonts w:ascii="宋体" w:hAnsi="宋体"/>
                <w:highlight w:val="none"/>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680E2C19">
            <w:pPr>
              <w:spacing w:before="120" w:after="120"/>
              <w:rPr>
                <w:rFonts w:ascii="宋体" w:hAnsi="宋体"/>
                <w:highlight w:val="none"/>
              </w:rPr>
            </w:pPr>
            <w:r>
              <w:rPr>
                <w:rFonts w:hint="eastAsia" w:ascii="宋体" w:hAnsi="宋体"/>
                <w:highlight w:val="none"/>
              </w:rPr>
              <w:t>资质等级</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14D938DE">
            <w:pPr>
              <w:spacing w:before="120" w:after="120"/>
              <w:jc w:val="center"/>
              <w:rPr>
                <w:rFonts w:ascii="宋体" w:hAnsi="宋体"/>
                <w:highlight w:val="none"/>
              </w:rPr>
            </w:pPr>
          </w:p>
        </w:tc>
      </w:tr>
      <w:tr w14:paraId="072D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5BA9610">
            <w:pPr>
              <w:spacing w:before="120" w:after="120"/>
              <w:rPr>
                <w:rFonts w:ascii="宋体" w:hAnsi="宋体"/>
                <w:highlight w:val="none"/>
              </w:rPr>
            </w:pPr>
            <w:r>
              <w:rPr>
                <w:rFonts w:hint="eastAsia" w:ascii="宋体" w:hAnsi="宋体"/>
                <w:highlight w:val="none"/>
              </w:rPr>
              <w:t>授权代表</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7A705962">
            <w:pPr>
              <w:spacing w:before="120" w:after="120"/>
              <w:jc w:val="center"/>
              <w:rPr>
                <w:rFonts w:ascii="宋体" w:hAnsi="宋体"/>
                <w:highlight w:val="none"/>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14:paraId="5D9609CF">
            <w:pPr>
              <w:spacing w:before="120" w:after="120"/>
              <w:rPr>
                <w:rFonts w:ascii="宋体" w:hAnsi="宋体"/>
                <w:highlight w:val="none"/>
              </w:rPr>
            </w:pPr>
            <w:r>
              <w:rPr>
                <w:rFonts w:hint="eastAsia" w:ascii="宋体" w:hAnsi="宋体"/>
                <w:highlight w:val="none"/>
              </w:rPr>
              <w:t>职务</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76A65CDE">
            <w:pPr>
              <w:spacing w:before="120" w:after="120"/>
              <w:jc w:val="center"/>
              <w:rPr>
                <w:rFonts w:ascii="宋体" w:hAnsi="宋体"/>
                <w:highlight w:val="none"/>
              </w:rPr>
            </w:pPr>
          </w:p>
        </w:tc>
      </w:tr>
      <w:tr w14:paraId="157C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68" w:type="dxa"/>
            <w:vMerge w:val="restart"/>
            <w:tcBorders>
              <w:top w:val="nil"/>
              <w:left w:val="single" w:color="auto" w:sz="4" w:space="0"/>
              <w:bottom w:val="single" w:color="auto" w:sz="4" w:space="0"/>
              <w:right w:val="single" w:color="auto" w:sz="4" w:space="0"/>
            </w:tcBorders>
            <w:noWrap w:val="0"/>
            <w:vAlign w:val="center"/>
          </w:tcPr>
          <w:p w14:paraId="0B6ABB25">
            <w:pPr>
              <w:spacing w:before="120" w:after="120"/>
              <w:ind w:firstLine="630" w:firstLineChars="300"/>
              <w:jc w:val="center"/>
              <w:rPr>
                <w:rFonts w:ascii="宋体" w:hAnsi="宋体"/>
                <w:highlight w:val="none"/>
              </w:rPr>
            </w:pPr>
          </w:p>
          <w:p w14:paraId="30147A8D">
            <w:pPr>
              <w:spacing w:before="120" w:after="120"/>
              <w:jc w:val="center"/>
              <w:rPr>
                <w:rFonts w:hint="eastAsia" w:ascii="宋体" w:hAnsi="宋体"/>
                <w:highlight w:val="none"/>
              </w:rPr>
            </w:pPr>
            <w:r>
              <w:rPr>
                <w:rFonts w:hint="eastAsia" w:ascii="宋体" w:hAnsi="宋体"/>
                <w:highlight w:val="none"/>
              </w:rPr>
              <w:t>单位概况</w:t>
            </w:r>
          </w:p>
          <w:p w14:paraId="72F0BB61">
            <w:pPr>
              <w:spacing w:before="120" w:after="120"/>
              <w:ind w:firstLine="630" w:firstLineChars="300"/>
              <w:jc w:val="center"/>
              <w:rPr>
                <w:rFonts w:hint="eastAsia" w:ascii="宋体" w:hAnsi="宋体"/>
                <w:highlight w:val="none"/>
              </w:rPr>
            </w:pPr>
          </w:p>
          <w:p w14:paraId="4DBE70CA">
            <w:pPr>
              <w:spacing w:before="120" w:after="120"/>
              <w:ind w:firstLine="630" w:firstLineChars="300"/>
              <w:jc w:val="center"/>
              <w:rPr>
                <w:rFonts w:hint="eastAsia" w:ascii="宋体" w:hAnsi="宋体"/>
                <w:highlight w:val="none"/>
              </w:rPr>
            </w:pPr>
          </w:p>
          <w:p w14:paraId="6EB31F23">
            <w:pPr>
              <w:spacing w:before="120" w:after="120"/>
              <w:ind w:firstLine="630" w:firstLineChars="300"/>
              <w:jc w:val="center"/>
              <w:rPr>
                <w:rFonts w:hint="eastAsia" w:ascii="宋体" w:hAnsi="宋体"/>
                <w:highlight w:val="none"/>
              </w:rPr>
            </w:pPr>
          </w:p>
          <w:p w14:paraId="26A182E8">
            <w:pPr>
              <w:spacing w:before="120" w:after="120"/>
              <w:ind w:firstLine="630" w:firstLineChars="300"/>
              <w:jc w:val="center"/>
              <w:rPr>
                <w:rFonts w:ascii="宋体" w:hAnsi="宋体"/>
                <w:highlight w:val="none"/>
              </w:rPr>
            </w:pPr>
          </w:p>
        </w:tc>
        <w:tc>
          <w:tcPr>
            <w:tcW w:w="1260" w:type="dxa"/>
            <w:vMerge w:val="restart"/>
            <w:tcBorders>
              <w:top w:val="nil"/>
              <w:left w:val="single" w:color="auto" w:sz="4" w:space="0"/>
              <w:bottom w:val="single" w:color="auto" w:sz="4" w:space="0"/>
              <w:right w:val="single" w:color="auto" w:sz="4" w:space="0"/>
            </w:tcBorders>
            <w:noWrap w:val="0"/>
            <w:vAlign w:val="center"/>
          </w:tcPr>
          <w:p w14:paraId="2171BE24">
            <w:pPr>
              <w:jc w:val="center"/>
              <w:rPr>
                <w:rFonts w:ascii="宋体" w:hAnsi="宋体"/>
                <w:sz w:val="24"/>
                <w:szCs w:val="24"/>
                <w:highlight w:val="none"/>
              </w:rPr>
            </w:pPr>
            <w:r>
              <w:rPr>
                <w:rFonts w:hint="eastAsia" w:ascii="宋体" w:hAnsi="宋体"/>
                <w:highlight w:val="none"/>
              </w:rPr>
              <w:t>职工总数</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6EDA4324">
            <w:pPr>
              <w:spacing w:before="120" w:after="120"/>
              <w:rPr>
                <w:rFonts w:ascii="宋体" w:hAnsi="宋体"/>
                <w:highlight w:val="none"/>
              </w:rPr>
            </w:pPr>
            <w:r>
              <w:rPr>
                <w:rFonts w:hint="eastAsia" w:ascii="宋体" w:hAnsi="宋体"/>
                <w:highlight w:val="none"/>
              </w:rPr>
              <w:t>员工（包括技术工人、高级技师、工程师）：</w:t>
            </w:r>
            <w:r>
              <w:rPr>
                <w:highlight w:val="none"/>
              </w:rPr>
              <w:t xml:space="preserve">   </w:t>
            </w:r>
            <w:r>
              <w:rPr>
                <w:rFonts w:hint="eastAsia" w:ascii="宋体" w:hAnsi="宋体"/>
                <w:highlight w:val="none"/>
              </w:rPr>
              <w:t>人</w:t>
            </w:r>
          </w:p>
        </w:tc>
        <w:tc>
          <w:tcPr>
            <w:tcW w:w="3922" w:type="dxa"/>
            <w:gridSpan w:val="3"/>
            <w:tcBorders>
              <w:top w:val="single" w:color="auto" w:sz="4" w:space="0"/>
              <w:left w:val="single" w:color="auto" w:sz="4" w:space="0"/>
              <w:bottom w:val="single" w:color="auto" w:sz="4" w:space="0"/>
              <w:right w:val="single" w:color="auto" w:sz="4" w:space="0"/>
            </w:tcBorders>
            <w:noWrap w:val="0"/>
            <w:vAlign w:val="center"/>
          </w:tcPr>
          <w:p w14:paraId="42E027B3">
            <w:pPr>
              <w:spacing w:before="120" w:after="120"/>
              <w:rPr>
                <w:rFonts w:ascii="宋体" w:hAnsi="宋体"/>
                <w:highlight w:val="none"/>
              </w:rPr>
            </w:pPr>
            <w:r>
              <w:rPr>
                <w:rFonts w:hint="eastAsia" w:ascii="宋体" w:hAnsi="宋体"/>
                <w:highlight w:val="none"/>
              </w:rPr>
              <w:t>其中技术工人：          人</w:t>
            </w:r>
          </w:p>
        </w:tc>
      </w:tr>
      <w:tr w14:paraId="1B97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468" w:type="dxa"/>
            <w:vMerge w:val="continue"/>
            <w:tcBorders>
              <w:top w:val="nil"/>
              <w:left w:val="single" w:color="auto" w:sz="4" w:space="0"/>
              <w:bottom w:val="single" w:color="auto" w:sz="4" w:space="0"/>
              <w:right w:val="single" w:color="auto" w:sz="4" w:space="0"/>
            </w:tcBorders>
            <w:noWrap w:val="0"/>
            <w:vAlign w:val="center"/>
          </w:tcPr>
          <w:p w14:paraId="683159FC">
            <w:pPr>
              <w:widowControl/>
              <w:jc w:val="left"/>
              <w:rPr>
                <w:rFonts w:ascii="宋体" w:hAnsi="宋体"/>
                <w:highlight w:val="none"/>
              </w:rPr>
            </w:pPr>
          </w:p>
        </w:tc>
        <w:tc>
          <w:tcPr>
            <w:tcW w:w="1260" w:type="dxa"/>
            <w:vMerge w:val="continue"/>
            <w:tcBorders>
              <w:top w:val="nil"/>
              <w:left w:val="single" w:color="auto" w:sz="4" w:space="0"/>
              <w:bottom w:val="single" w:color="auto" w:sz="4" w:space="0"/>
              <w:right w:val="single" w:color="auto" w:sz="4" w:space="0"/>
            </w:tcBorders>
            <w:noWrap w:val="0"/>
            <w:vAlign w:val="center"/>
          </w:tcPr>
          <w:p w14:paraId="771D0D3E">
            <w:pPr>
              <w:widowControl/>
              <w:jc w:val="left"/>
              <w:rPr>
                <w:rFonts w:ascii="宋体" w:hAnsi="宋体"/>
                <w:sz w:val="24"/>
                <w:szCs w:val="24"/>
                <w:highlight w:val="none"/>
              </w:rPr>
            </w:pPr>
          </w:p>
        </w:tc>
        <w:tc>
          <w:tcPr>
            <w:tcW w:w="3263" w:type="dxa"/>
            <w:tcBorders>
              <w:top w:val="single" w:color="auto" w:sz="4" w:space="0"/>
              <w:left w:val="single" w:color="auto" w:sz="4" w:space="0"/>
              <w:bottom w:val="single" w:color="auto" w:sz="4" w:space="0"/>
              <w:right w:val="single" w:color="auto" w:sz="4" w:space="0"/>
            </w:tcBorders>
            <w:noWrap w:val="0"/>
            <w:vAlign w:val="center"/>
          </w:tcPr>
          <w:p w14:paraId="4F43DF6C">
            <w:pPr>
              <w:spacing w:before="120" w:after="120"/>
              <w:rPr>
                <w:rFonts w:ascii="宋体" w:hAnsi="宋体"/>
                <w:highlight w:val="none"/>
              </w:rPr>
            </w:pPr>
            <w:r>
              <w:rPr>
                <w:rFonts w:hint="eastAsia" w:ascii="宋体" w:hAnsi="宋体"/>
                <w:highlight w:val="none"/>
              </w:rPr>
              <w:t>高级技师：       人</w:t>
            </w:r>
          </w:p>
        </w:tc>
        <w:tc>
          <w:tcPr>
            <w:tcW w:w="3922" w:type="dxa"/>
            <w:gridSpan w:val="3"/>
            <w:tcBorders>
              <w:top w:val="single" w:color="auto" w:sz="4" w:space="0"/>
              <w:left w:val="single" w:color="auto" w:sz="4" w:space="0"/>
              <w:bottom w:val="single" w:color="auto" w:sz="4" w:space="0"/>
              <w:right w:val="single" w:color="auto" w:sz="4" w:space="0"/>
            </w:tcBorders>
            <w:noWrap w:val="0"/>
            <w:vAlign w:val="center"/>
          </w:tcPr>
          <w:p w14:paraId="6FDB59EE">
            <w:pPr>
              <w:spacing w:before="120" w:after="120"/>
              <w:rPr>
                <w:rFonts w:ascii="宋体" w:hAnsi="宋体"/>
                <w:highlight w:val="none"/>
              </w:rPr>
            </w:pPr>
            <w:r>
              <w:rPr>
                <w:rFonts w:hint="eastAsia" w:ascii="宋体" w:hAnsi="宋体"/>
                <w:highlight w:val="none"/>
              </w:rPr>
              <w:t>工程师：            人</w:t>
            </w:r>
          </w:p>
        </w:tc>
      </w:tr>
      <w:tr w14:paraId="0FA8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468" w:type="dxa"/>
            <w:vMerge w:val="continue"/>
            <w:tcBorders>
              <w:top w:val="nil"/>
              <w:left w:val="single" w:color="auto" w:sz="4" w:space="0"/>
              <w:bottom w:val="single" w:color="auto" w:sz="4" w:space="0"/>
              <w:right w:val="single" w:color="auto" w:sz="4" w:space="0"/>
            </w:tcBorders>
            <w:noWrap w:val="0"/>
            <w:vAlign w:val="center"/>
          </w:tcPr>
          <w:p w14:paraId="4AF4A25C">
            <w:pPr>
              <w:widowControl/>
              <w:jc w:val="left"/>
              <w:rPr>
                <w:rFonts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04671F">
            <w:pPr>
              <w:spacing w:before="120" w:after="120"/>
              <w:jc w:val="center"/>
              <w:rPr>
                <w:rFonts w:ascii="宋体" w:hAnsi="宋体"/>
                <w:highlight w:val="none"/>
              </w:rPr>
            </w:pPr>
            <w:r>
              <w:rPr>
                <w:rFonts w:hint="eastAsia" w:ascii="宋体" w:hAnsi="宋体"/>
                <w:highlight w:val="none"/>
              </w:rPr>
              <w:t>流动资金</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724A3B7C">
            <w:pPr>
              <w:spacing w:before="120" w:after="120"/>
              <w:jc w:val="center"/>
              <w:rPr>
                <w:rFonts w:ascii="宋体" w:hAnsi="宋体"/>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70146682">
            <w:pPr>
              <w:spacing w:before="120" w:after="120"/>
              <w:jc w:val="center"/>
              <w:rPr>
                <w:rFonts w:ascii="宋体" w:hAnsi="宋体"/>
                <w:highlight w:val="none"/>
              </w:rPr>
            </w:pPr>
            <w:r>
              <w:rPr>
                <w:rFonts w:hint="eastAsia" w:ascii="宋体" w:hAnsi="宋体"/>
                <w:highlight w:val="none"/>
              </w:rPr>
              <w:t>营业面积</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28EBC9C9">
            <w:pPr>
              <w:spacing w:before="120" w:after="120"/>
              <w:jc w:val="center"/>
              <w:rPr>
                <w:rFonts w:ascii="宋体" w:hAnsi="宋体"/>
                <w:highlight w:val="none"/>
              </w:rPr>
            </w:pPr>
          </w:p>
        </w:tc>
      </w:tr>
      <w:tr w14:paraId="42F8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468" w:type="dxa"/>
            <w:vMerge w:val="continue"/>
            <w:tcBorders>
              <w:top w:val="nil"/>
              <w:left w:val="single" w:color="auto" w:sz="4" w:space="0"/>
              <w:bottom w:val="single" w:color="auto" w:sz="4" w:space="0"/>
              <w:right w:val="single" w:color="auto" w:sz="4" w:space="0"/>
            </w:tcBorders>
            <w:noWrap w:val="0"/>
            <w:vAlign w:val="center"/>
          </w:tcPr>
          <w:p w14:paraId="0B6D99E5">
            <w:pPr>
              <w:widowControl/>
              <w:jc w:val="left"/>
              <w:rPr>
                <w:rFonts w:ascii="宋体" w:hAnsi="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2C92C6">
            <w:pPr>
              <w:spacing w:before="120" w:after="120"/>
              <w:jc w:val="center"/>
              <w:rPr>
                <w:rFonts w:ascii="宋体" w:hAnsi="宋体"/>
                <w:highlight w:val="none"/>
              </w:rPr>
            </w:pPr>
            <w:r>
              <w:rPr>
                <w:rFonts w:hint="eastAsia" w:ascii="宋体" w:hAnsi="宋体"/>
                <w:highlight w:val="none"/>
              </w:rPr>
              <w:t>固定资金</w:t>
            </w:r>
          </w:p>
        </w:tc>
        <w:tc>
          <w:tcPr>
            <w:tcW w:w="3263" w:type="dxa"/>
            <w:tcBorders>
              <w:top w:val="single" w:color="auto" w:sz="4" w:space="0"/>
              <w:left w:val="single" w:color="auto" w:sz="4" w:space="0"/>
              <w:bottom w:val="single" w:color="auto" w:sz="4" w:space="0"/>
              <w:right w:val="single" w:color="auto" w:sz="4" w:space="0"/>
            </w:tcBorders>
            <w:noWrap w:val="0"/>
            <w:vAlign w:val="center"/>
          </w:tcPr>
          <w:p w14:paraId="05B506FA">
            <w:pPr>
              <w:widowControl/>
              <w:jc w:val="center"/>
              <w:rPr>
                <w:rFonts w:ascii="宋体" w:hAnsi="宋体"/>
                <w:sz w:val="24"/>
                <w:szCs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32CD3DE5">
            <w:pPr>
              <w:spacing w:before="120" w:after="120"/>
              <w:jc w:val="center"/>
              <w:rPr>
                <w:rFonts w:ascii="宋体" w:hAnsi="宋体"/>
                <w:highlight w:val="none"/>
              </w:rPr>
            </w:pP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3097FB1B">
            <w:pPr>
              <w:widowControl/>
              <w:jc w:val="center"/>
              <w:rPr>
                <w:rFonts w:ascii="宋体" w:hAnsi="宋体"/>
                <w:sz w:val="24"/>
                <w:szCs w:val="24"/>
                <w:highlight w:val="none"/>
              </w:rPr>
            </w:pPr>
          </w:p>
        </w:tc>
      </w:tr>
      <w:tr w14:paraId="1915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3D5329A2">
            <w:pPr>
              <w:spacing w:before="120" w:after="120"/>
              <w:jc w:val="center"/>
              <w:rPr>
                <w:rFonts w:ascii="宋体" w:hAnsi="宋体"/>
                <w:highlight w:val="none"/>
              </w:rPr>
            </w:pPr>
            <w:r>
              <w:rPr>
                <w:rFonts w:hint="eastAsia" w:ascii="宋体" w:hAnsi="宋体"/>
                <w:highlight w:val="none"/>
              </w:rPr>
              <w:t>单位简历</w:t>
            </w:r>
          </w:p>
        </w:tc>
        <w:tc>
          <w:tcPr>
            <w:tcW w:w="8445" w:type="dxa"/>
            <w:gridSpan w:val="5"/>
            <w:tcBorders>
              <w:top w:val="single" w:color="auto" w:sz="4" w:space="0"/>
              <w:left w:val="single" w:color="auto" w:sz="4" w:space="0"/>
              <w:bottom w:val="single" w:color="auto" w:sz="4" w:space="0"/>
              <w:right w:val="single" w:color="auto" w:sz="4" w:space="0"/>
            </w:tcBorders>
            <w:noWrap w:val="0"/>
            <w:vAlign w:val="top"/>
          </w:tcPr>
          <w:p w14:paraId="4357D351">
            <w:pPr>
              <w:jc w:val="left"/>
              <w:rPr>
                <w:rFonts w:ascii="宋体" w:hAnsi="宋体"/>
                <w:sz w:val="24"/>
                <w:szCs w:val="24"/>
                <w:highlight w:val="none"/>
              </w:rPr>
            </w:pPr>
          </w:p>
        </w:tc>
      </w:tr>
      <w:tr w14:paraId="7251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6DAAF094">
            <w:pPr>
              <w:spacing w:before="120" w:after="120"/>
              <w:jc w:val="center"/>
              <w:rPr>
                <w:rFonts w:ascii="宋体" w:hAnsi="宋体"/>
                <w:highlight w:val="none"/>
              </w:rPr>
            </w:pPr>
            <w:r>
              <w:rPr>
                <w:rFonts w:hint="eastAsia" w:ascii="宋体" w:hAnsi="宋体"/>
                <w:highlight w:val="none"/>
              </w:rPr>
              <w:t>优势及特长</w:t>
            </w:r>
          </w:p>
        </w:tc>
        <w:tc>
          <w:tcPr>
            <w:tcW w:w="8445" w:type="dxa"/>
            <w:gridSpan w:val="5"/>
            <w:tcBorders>
              <w:top w:val="single" w:color="auto" w:sz="4" w:space="0"/>
              <w:left w:val="single" w:color="auto" w:sz="4" w:space="0"/>
              <w:bottom w:val="single" w:color="auto" w:sz="4" w:space="0"/>
              <w:right w:val="single" w:color="auto" w:sz="4" w:space="0"/>
            </w:tcBorders>
            <w:noWrap w:val="0"/>
            <w:vAlign w:val="top"/>
          </w:tcPr>
          <w:p w14:paraId="17AE3234">
            <w:pPr>
              <w:jc w:val="left"/>
              <w:rPr>
                <w:rFonts w:ascii="宋体" w:hAnsi="宋体"/>
                <w:sz w:val="24"/>
                <w:szCs w:val="24"/>
                <w:highlight w:val="none"/>
              </w:rPr>
            </w:pPr>
          </w:p>
        </w:tc>
      </w:tr>
    </w:tbl>
    <w:p w14:paraId="7C87721F">
      <w:pPr>
        <w:ind w:firstLine="480" w:firstLineChars="200"/>
        <w:rPr>
          <w:rFonts w:hint="eastAsia" w:ascii="宋体" w:hAnsi="宋体"/>
          <w:sz w:val="24"/>
          <w:szCs w:val="24"/>
          <w:highlight w:val="none"/>
        </w:rPr>
      </w:pPr>
      <w:r>
        <w:rPr>
          <w:rFonts w:hint="eastAsia" w:ascii="宋体" w:hAnsi="宋体"/>
          <w:sz w:val="24"/>
          <w:szCs w:val="24"/>
          <w:highlight w:val="none"/>
        </w:rPr>
        <w:t>注：附营业执照、资质证书复印件等相关资料。</w:t>
      </w:r>
    </w:p>
    <w:p w14:paraId="327A22A7">
      <w:pPr>
        <w:rPr>
          <w:rFonts w:hint="eastAsia" w:ascii="宋体" w:hAnsi="宋体"/>
          <w:sz w:val="24"/>
          <w:szCs w:val="24"/>
          <w:highlight w:val="none"/>
        </w:rPr>
      </w:pPr>
      <w:r>
        <w:rPr>
          <w:rFonts w:hint="eastAsia" w:ascii="宋体" w:hAnsi="宋体"/>
          <w:sz w:val="24"/>
          <w:szCs w:val="24"/>
          <w:highlight w:val="none"/>
        </w:rPr>
        <w:t xml:space="preserve"> </w:t>
      </w:r>
    </w:p>
    <w:p w14:paraId="0D851B99">
      <w:pPr>
        <w:snapToGrid w:val="0"/>
        <w:spacing w:line="360" w:lineRule="auto"/>
        <w:ind w:firstLine="560" w:firstLineChars="200"/>
        <w:jc w:val="left"/>
        <w:rPr>
          <w:rFonts w:hint="eastAsia" w:ascii="宋体" w:hAnsi="宋体"/>
          <w:spacing w:val="20"/>
          <w:sz w:val="24"/>
          <w:szCs w:val="24"/>
          <w:highlight w:val="none"/>
        </w:rPr>
      </w:pPr>
      <w:r>
        <w:rPr>
          <w:rFonts w:hint="eastAsia" w:ascii="宋体" w:hAnsi="宋体"/>
          <w:spacing w:val="20"/>
          <w:sz w:val="24"/>
          <w:szCs w:val="24"/>
          <w:highlight w:val="none"/>
          <w:lang w:val="en-US" w:eastAsia="zh-CN"/>
        </w:rPr>
        <w:t>供应商</w:t>
      </w:r>
      <w:r>
        <w:rPr>
          <w:rFonts w:hint="eastAsia" w:ascii="宋体" w:hAnsi="宋体"/>
          <w:spacing w:val="20"/>
          <w:sz w:val="24"/>
          <w:szCs w:val="24"/>
          <w:highlight w:val="none"/>
        </w:rPr>
        <w:t>全称</w:t>
      </w:r>
      <w:r>
        <w:rPr>
          <w:rFonts w:hint="eastAsia" w:ascii="宋体" w:hAnsi="宋体"/>
          <w:sz w:val="24"/>
          <w:szCs w:val="24"/>
          <w:highlight w:val="none"/>
        </w:rPr>
        <w:t>（盖章）</w:t>
      </w:r>
      <w:r>
        <w:rPr>
          <w:rFonts w:hint="eastAsia" w:ascii="宋体" w:hAnsi="宋体"/>
          <w:spacing w:val="20"/>
          <w:sz w:val="24"/>
          <w:szCs w:val="24"/>
          <w:highlight w:val="none"/>
        </w:rPr>
        <w:t>：</w:t>
      </w:r>
    </w:p>
    <w:p w14:paraId="5308B931">
      <w:pPr>
        <w:snapToGrid w:val="0"/>
        <w:spacing w:line="360" w:lineRule="auto"/>
        <w:ind w:firstLine="560" w:firstLineChars="200"/>
        <w:jc w:val="left"/>
        <w:rPr>
          <w:rFonts w:hint="eastAsia" w:ascii="宋体" w:hAnsi="宋体"/>
          <w:b/>
          <w:bCs/>
          <w:sz w:val="24"/>
          <w:szCs w:val="24"/>
          <w:highlight w:val="none"/>
        </w:rPr>
      </w:pPr>
      <w:r>
        <w:rPr>
          <w:rFonts w:hint="eastAsia" w:ascii="宋体" w:hAnsi="宋体"/>
          <w:spacing w:val="20"/>
          <w:sz w:val="24"/>
          <w:szCs w:val="24"/>
          <w:highlight w:val="none"/>
        </w:rPr>
        <w:t>日期：</w:t>
      </w:r>
    </w:p>
    <w:p w14:paraId="698DF767">
      <w:pPr>
        <w:spacing w:line="430" w:lineRule="exact"/>
        <w:rPr>
          <w:rFonts w:hint="eastAsia" w:ascii="宋体" w:hAnsi="宋体" w:cs="宋体"/>
          <w:b/>
          <w:color w:val="auto"/>
          <w:sz w:val="24"/>
          <w:highlight w:val="none"/>
          <w:lang w:val="en-US" w:eastAsia="zh-CN"/>
        </w:rPr>
      </w:pPr>
    </w:p>
    <w:p w14:paraId="672F73E1">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附件十二：商务响应表</w:t>
      </w:r>
    </w:p>
    <w:p w14:paraId="348BD36A">
      <w:pPr>
        <w:snapToGrid w:val="0"/>
        <w:spacing w:before="50" w:after="156" w:afterLines="50"/>
        <w:jc w:val="center"/>
        <w:rPr>
          <w:rFonts w:hint="eastAsia" w:ascii="宋体" w:hAnsi="宋体"/>
          <w:sz w:val="24"/>
          <w:szCs w:val="24"/>
          <w:highlight w:val="none"/>
          <w:u w:val="single"/>
        </w:rPr>
      </w:pPr>
      <w:bookmarkStart w:id="68" w:name="_Toc496598991"/>
      <w:bookmarkEnd w:id="68"/>
      <w:r>
        <w:rPr>
          <w:rFonts w:hint="eastAsia" w:ascii="宋体" w:hAnsi="宋体"/>
          <w:b/>
          <w:sz w:val="24"/>
          <w:szCs w:val="24"/>
          <w:highlight w:val="none"/>
        </w:rPr>
        <w:t>商务响应表</w:t>
      </w:r>
    </w:p>
    <w:tbl>
      <w:tblPr>
        <w:tblStyle w:val="3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2D555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6F39835B">
            <w:pPr>
              <w:jc w:val="center"/>
              <w:rPr>
                <w:rFonts w:ascii="宋体" w:hAnsi="宋体"/>
                <w:sz w:val="24"/>
                <w:szCs w:val="24"/>
                <w:highlight w:val="none"/>
              </w:rPr>
            </w:pPr>
            <w:r>
              <w:rPr>
                <w:rFonts w:hint="eastAsia" w:ascii="宋体" w:hAnsi="宋体"/>
                <w:sz w:val="24"/>
                <w:szCs w:val="24"/>
                <w:highlight w:val="none"/>
              </w:rPr>
              <w:t>项目</w:t>
            </w:r>
          </w:p>
        </w:tc>
        <w:tc>
          <w:tcPr>
            <w:tcW w:w="2969" w:type="dxa"/>
            <w:tcBorders>
              <w:top w:val="single" w:color="auto" w:sz="4" w:space="0"/>
              <w:left w:val="nil"/>
              <w:bottom w:val="single" w:color="auto" w:sz="4" w:space="0"/>
              <w:right w:val="single" w:color="auto" w:sz="4" w:space="0"/>
            </w:tcBorders>
            <w:noWrap w:val="0"/>
            <w:vAlign w:val="center"/>
          </w:tcPr>
          <w:p w14:paraId="77CF1118">
            <w:pPr>
              <w:jc w:val="center"/>
              <w:rPr>
                <w:rFonts w:ascii="宋体" w:hAnsi="宋体"/>
                <w:sz w:val="24"/>
                <w:szCs w:val="24"/>
                <w:highlight w:val="none"/>
              </w:rPr>
            </w:pPr>
            <w:r>
              <w:rPr>
                <w:rFonts w:hint="eastAsia" w:ascii="宋体" w:hAnsi="宋体"/>
                <w:sz w:val="24"/>
                <w:szCs w:val="24"/>
                <w:highlight w:val="none"/>
              </w:rPr>
              <w:t>磋商文件要求</w:t>
            </w:r>
          </w:p>
        </w:tc>
        <w:tc>
          <w:tcPr>
            <w:tcW w:w="1386" w:type="dxa"/>
            <w:tcBorders>
              <w:top w:val="single" w:color="auto" w:sz="4" w:space="0"/>
              <w:left w:val="nil"/>
              <w:bottom w:val="single" w:color="auto" w:sz="4" w:space="0"/>
              <w:right w:val="single" w:color="auto" w:sz="4" w:space="0"/>
            </w:tcBorders>
            <w:noWrap w:val="0"/>
            <w:vAlign w:val="center"/>
          </w:tcPr>
          <w:p w14:paraId="6D28C96A">
            <w:pPr>
              <w:jc w:val="center"/>
              <w:rPr>
                <w:rFonts w:ascii="宋体" w:hAnsi="宋体"/>
                <w:sz w:val="24"/>
                <w:szCs w:val="24"/>
                <w:highlight w:val="none"/>
              </w:rPr>
            </w:pPr>
            <w:r>
              <w:rPr>
                <w:rFonts w:hint="eastAsia" w:ascii="宋体" w:hAnsi="宋体"/>
                <w:sz w:val="24"/>
                <w:szCs w:val="24"/>
                <w:highlight w:val="none"/>
              </w:rPr>
              <w:t>响应及偏离情况</w:t>
            </w:r>
          </w:p>
        </w:tc>
        <w:tc>
          <w:tcPr>
            <w:tcW w:w="3321" w:type="dxa"/>
            <w:tcBorders>
              <w:top w:val="single" w:color="auto" w:sz="4" w:space="0"/>
              <w:left w:val="nil"/>
              <w:bottom w:val="single" w:color="auto" w:sz="4" w:space="0"/>
              <w:right w:val="single" w:color="auto" w:sz="4" w:space="0"/>
            </w:tcBorders>
            <w:noWrap w:val="0"/>
            <w:vAlign w:val="center"/>
          </w:tcPr>
          <w:p w14:paraId="6D34E2AF">
            <w:pPr>
              <w:jc w:val="center"/>
              <w:rPr>
                <w:rFonts w:ascii="宋体" w:hAnsi="宋体"/>
                <w:sz w:val="24"/>
                <w:szCs w:val="24"/>
                <w:highlight w:val="none"/>
              </w:rPr>
            </w:pPr>
            <w:r>
              <w:rPr>
                <w:rFonts w:hint="eastAsia" w:ascii="宋体" w:hAnsi="宋体"/>
                <w:sz w:val="24"/>
                <w:szCs w:val="24"/>
                <w:highlight w:val="none"/>
              </w:rPr>
              <w:t>供应商的承诺或说明</w:t>
            </w:r>
          </w:p>
        </w:tc>
      </w:tr>
      <w:tr w14:paraId="66DA8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0A4326A0">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6DB153D6">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389A4EFA">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0F4C78C1">
            <w:pPr>
              <w:rPr>
                <w:rFonts w:ascii="宋体" w:hAnsi="宋体"/>
                <w:sz w:val="24"/>
                <w:szCs w:val="24"/>
                <w:highlight w:val="none"/>
              </w:rPr>
            </w:pPr>
          </w:p>
        </w:tc>
      </w:tr>
      <w:tr w14:paraId="3B242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485C711B">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53A0E4DC">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584651DB">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06FF6DE7">
            <w:pPr>
              <w:rPr>
                <w:rFonts w:ascii="宋体" w:hAnsi="宋体"/>
                <w:sz w:val="24"/>
                <w:szCs w:val="24"/>
                <w:highlight w:val="none"/>
              </w:rPr>
            </w:pPr>
          </w:p>
        </w:tc>
      </w:tr>
      <w:tr w14:paraId="2572E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4F404418">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61CC89B8">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31472C3A">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3279C1A1">
            <w:pPr>
              <w:rPr>
                <w:rFonts w:ascii="宋体" w:hAnsi="宋体"/>
                <w:sz w:val="24"/>
                <w:szCs w:val="24"/>
                <w:highlight w:val="none"/>
              </w:rPr>
            </w:pPr>
          </w:p>
        </w:tc>
      </w:tr>
      <w:tr w14:paraId="34622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5B3E33FE">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20BDD0D3">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48981527">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0830705F">
            <w:pPr>
              <w:rPr>
                <w:rFonts w:ascii="宋体" w:hAnsi="宋体"/>
                <w:sz w:val="24"/>
                <w:szCs w:val="24"/>
                <w:highlight w:val="none"/>
              </w:rPr>
            </w:pPr>
          </w:p>
        </w:tc>
      </w:tr>
      <w:tr w14:paraId="26C49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51F1AB3D">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4C363DF9">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023B750B">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27B28255">
            <w:pPr>
              <w:rPr>
                <w:rFonts w:ascii="宋体" w:hAnsi="宋体"/>
                <w:sz w:val="24"/>
                <w:szCs w:val="24"/>
                <w:highlight w:val="none"/>
              </w:rPr>
            </w:pPr>
          </w:p>
        </w:tc>
      </w:tr>
      <w:tr w14:paraId="12A96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6850CDE5">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486E8B92">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7B412EAB">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12679693">
            <w:pPr>
              <w:rPr>
                <w:rFonts w:ascii="宋体" w:hAnsi="宋体"/>
                <w:sz w:val="24"/>
                <w:szCs w:val="24"/>
                <w:highlight w:val="none"/>
              </w:rPr>
            </w:pPr>
          </w:p>
        </w:tc>
      </w:tr>
      <w:tr w14:paraId="2D6FF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510C164A">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5D857D53">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045CE1EA">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1F766852">
            <w:pPr>
              <w:rPr>
                <w:rFonts w:ascii="宋体" w:hAnsi="宋体"/>
                <w:sz w:val="24"/>
                <w:szCs w:val="24"/>
                <w:highlight w:val="none"/>
              </w:rPr>
            </w:pPr>
          </w:p>
        </w:tc>
      </w:tr>
      <w:tr w14:paraId="6B9F0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03FDC994">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6978F5D3">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4E07031E">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4F3CEE3A">
            <w:pPr>
              <w:rPr>
                <w:rFonts w:ascii="宋体" w:hAnsi="宋体"/>
                <w:sz w:val="24"/>
                <w:szCs w:val="24"/>
                <w:highlight w:val="none"/>
              </w:rPr>
            </w:pPr>
          </w:p>
        </w:tc>
      </w:tr>
      <w:tr w14:paraId="21BF7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58559140">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4AB56E6B">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10D93042">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5EA46603">
            <w:pPr>
              <w:rPr>
                <w:rFonts w:ascii="宋体" w:hAnsi="宋体"/>
                <w:sz w:val="24"/>
                <w:szCs w:val="24"/>
                <w:highlight w:val="none"/>
              </w:rPr>
            </w:pPr>
          </w:p>
        </w:tc>
      </w:tr>
      <w:tr w14:paraId="248B4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14:paraId="35B46138">
            <w:pPr>
              <w:rPr>
                <w:rFonts w:ascii="宋体" w:hAnsi="宋体"/>
                <w:sz w:val="24"/>
                <w:szCs w:val="24"/>
                <w:highlight w:val="none"/>
              </w:rPr>
            </w:pPr>
          </w:p>
        </w:tc>
        <w:tc>
          <w:tcPr>
            <w:tcW w:w="2969" w:type="dxa"/>
            <w:tcBorders>
              <w:top w:val="single" w:color="auto" w:sz="4" w:space="0"/>
              <w:left w:val="nil"/>
              <w:bottom w:val="single" w:color="auto" w:sz="4" w:space="0"/>
              <w:right w:val="single" w:color="auto" w:sz="4" w:space="0"/>
            </w:tcBorders>
            <w:noWrap w:val="0"/>
            <w:vAlign w:val="top"/>
          </w:tcPr>
          <w:p w14:paraId="1F00548F">
            <w:pPr>
              <w:rPr>
                <w:rFonts w:ascii="宋体" w:hAnsi="宋体"/>
                <w:sz w:val="24"/>
                <w:szCs w:val="24"/>
                <w:highlight w:val="none"/>
              </w:rPr>
            </w:pPr>
          </w:p>
        </w:tc>
        <w:tc>
          <w:tcPr>
            <w:tcW w:w="1386" w:type="dxa"/>
            <w:tcBorders>
              <w:top w:val="single" w:color="auto" w:sz="4" w:space="0"/>
              <w:left w:val="nil"/>
              <w:bottom w:val="single" w:color="auto" w:sz="4" w:space="0"/>
              <w:right w:val="single" w:color="auto" w:sz="4" w:space="0"/>
            </w:tcBorders>
            <w:noWrap w:val="0"/>
            <w:vAlign w:val="top"/>
          </w:tcPr>
          <w:p w14:paraId="7637ABEB">
            <w:pPr>
              <w:rPr>
                <w:rFonts w:ascii="宋体" w:hAnsi="宋体"/>
                <w:sz w:val="24"/>
                <w:szCs w:val="24"/>
                <w:highlight w:val="none"/>
              </w:rPr>
            </w:pPr>
          </w:p>
        </w:tc>
        <w:tc>
          <w:tcPr>
            <w:tcW w:w="3321" w:type="dxa"/>
            <w:tcBorders>
              <w:top w:val="single" w:color="auto" w:sz="4" w:space="0"/>
              <w:left w:val="nil"/>
              <w:bottom w:val="single" w:color="auto" w:sz="4" w:space="0"/>
              <w:right w:val="single" w:color="auto" w:sz="4" w:space="0"/>
            </w:tcBorders>
            <w:noWrap w:val="0"/>
            <w:vAlign w:val="top"/>
          </w:tcPr>
          <w:p w14:paraId="6B645E21">
            <w:pPr>
              <w:rPr>
                <w:rFonts w:ascii="宋体" w:hAnsi="宋体"/>
                <w:sz w:val="24"/>
                <w:szCs w:val="24"/>
                <w:highlight w:val="none"/>
              </w:rPr>
            </w:pPr>
          </w:p>
        </w:tc>
      </w:tr>
    </w:tbl>
    <w:p w14:paraId="03763C57">
      <w:pPr>
        <w:snapToGrid w:val="0"/>
        <w:spacing w:before="156" w:beforeLines="50"/>
        <w:rPr>
          <w:rFonts w:hint="eastAsia" w:ascii="宋体" w:hAnsi="宋体"/>
          <w:sz w:val="24"/>
          <w:szCs w:val="24"/>
          <w:highlight w:val="none"/>
        </w:rPr>
      </w:pPr>
      <w:r>
        <w:rPr>
          <w:rFonts w:hint="eastAsia" w:ascii="宋体" w:hAnsi="宋体"/>
          <w:sz w:val="24"/>
          <w:szCs w:val="24"/>
          <w:highlight w:val="none"/>
        </w:rPr>
        <w:t xml:space="preserve"> </w:t>
      </w:r>
    </w:p>
    <w:p w14:paraId="7BA8780B">
      <w:pPr>
        <w:snapToGrid w:val="0"/>
        <w:spacing w:before="50" w:after="50"/>
        <w:rPr>
          <w:rFonts w:hint="eastAsia" w:ascii="宋体" w:hAnsi="宋体"/>
          <w:spacing w:val="20"/>
          <w:sz w:val="24"/>
          <w:szCs w:val="24"/>
          <w:highlight w:val="none"/>
          <w:u w:val="single"/>
        </w:rPr>
      </w:pPr>
      <w:r>
        <w:rPr>
          <w:rFonts w:hint="eastAsia" w:ascii="宋体" w:hAnsi="宋体"/>
          <w:sz w:val="24"/>
          <w:szCs w:val="24"/>
          <w:highlight w:val="none"/>
        </w:rPr>
        <w:t>法定代表人或委托代理人（签字或签名章）：</w:t>
      </w:r>
      <w:r>
        <w:rPr>
          <w:rFonts w:hint="eastAsia" w:ascii="宋体" w:hAnsi="宋体"/>
          <w:spacing w:val="20"/>
          <w:sz w:val="24"/>
          <w:szCs w:val="24"/>
          <w:highlight w:val="none"/>
          <w:u w:val="single"/>
        </w:rPr>
        <w:t xml:space="preserve">        </w:t>
      </w:r>
    </w:p>
    <w:p w14:paraId="678D5614">
      <w:pPr>
        <w:snapToGrid w:val="0"/>
        <w:spacing w:before="156" w:beforeLines="50"/>
        <w:rPr>
          <w:rFonts w:hint="eastAsia" w:ascii="宋体" w:hAnsi="宋体"/>
          <w:sz w:val="24"/>
          <w:szCs w:val="24"/>
          <w:highlight w:val="none"/>
        </w:rPr>
      </w:pPr>
      <w:r>
        <w:rPr>
          <w:rFonts w:hint="eastAsia" w:ascii="宋体" w:hAnsi="宋体"/>
          <w:spacing w:val="20"/>
          <w:sz w:val="24"/>
          <w:szCs w:val="24"/>
          <w:highlight w:val="none"/>
        </w:rPr>
        <w:t>供应商</w:t>
      </w:r>
      <w:r>
        <w:rPr>
          <w:rFonts w:hint="eastAsia" w:ascii="宋体" w:hAnsi="宋体"/>
          <w:spacing w:val="20"/>
          <w:sz w:val="24"/>
          <w:szCs w:val="24"/>
          <w:highlight w:val="none"/>
          <w:lang w:eastAsia="zh-CN"/>
        </w:rPr>
        <w:t>（</w:t>
      </w:r>
      <w:r>
        <w:rPr>
          <w:rFonts w:hint="eastAsia" w:ascii="宋体" w:hAnsi="宋体"/>
          <w:spacing w:val="20"/>
          <w:sz w:val="24"/>
          <w:szCs w:val="24"/>
          <w:highlight w:val="none"/>
        </w:rPr>
        <w:t>盖章</w:t>
      </w:r>
      <w:r>
        <w:rPr>
          <w:rFonts w:hint="eastAsia" w:ascii="宋体" w:hAnsi="宋体"/>
          <w:spacing w:val="20"/>
          <w:sz w:val="24"/>
          <w:szCs w:val="24"/>
          <w:highlight w:val="none"/>
          <w:lang w:eastAsia="zh-CN"/>
        </w:rPr>
        <w:t>）</w:t>
      </w:r>
      <w:r>
        <w:rPr>
          <w:rFonts w:hint="eastAsia" w:ascii="宋体" w:hAnsi="宋体"/>
          <w:spacing w:val="20"/>
          <w:sz w:val="24"/>
          <w:szCs w:val="24"/>
          <w:highlight w:val="none"/>
        </w:rPr>
        <w:t>：</w:t>
      </w:r>
      <w:r>
        <w:rPr>
          <w:rFonts w:hint="eastAsia" w:ascii="宋体" w:hAnsi="宋体"/>
          <w:spacing w:val="20"/>
          <w:sz w:val="24"/>
          <w:szCs w:val="24"/>
          <w:highlight w:val="none"/>
          <w:u w:val="single"/>
        </w:rPr>
        <w:t xml:space="preserve">            </w:t>
      </w:r>
      <w:r>
        <w:rPr>
          <w:rFonts w:hint="eastAsia" w:ascii="宋体" w:hAnsi="宋体"/>
          <w:spacing w:val="20"/>
          <w:sz w:val="24"/>
          <w:szCs w:val="24"/>
          <w:highlight w:val="none"/>
        </w:rPr>
        <w:t xml:space="preserve">              日 期：</w:t>
      </w:r>
      <w:r>
        <w:rPr>
          <w:rFonts w:hint="eastAsia" w:ascii="宋体" w:hAnsi="宋体"/>
          <w:spacing w:val="20"/>
          <w:sz w:val="24"/>
          <w:szCs w:val="24"/>
          <w:highlight w:val="none"/>
          <w:u w:val="single"/>
        </w:rPr>
        <w:t xml:space="preserve">            </w:t>
      </w:r>
    </w:p>
    <w:p w14:paraId="0AE911FF">
      <w:pPr>
        <w:rPr>
          <w:rFonts w:hint="eastAsia" w:ascii="宋体" w:hAnsi="宋体"/>
          <w:sz w:val="24"/>
          <w:szCs w:val="24"/>
          <w:highlight w:val="none"/>
        </w:rPr>
      </w:pPr>
      <w:r>
        <w:rPr>
          <w:rFonts w:hint="eastAsia" w:ascii="宋体" w:hAnsi="宋体"/>
          <w:sz w:val="24"/>
          <w:szCs w:val="24"/>
          <w:highlight w:val="none"/>
        </w:rPr>
        <w:t xml:space="preserve"> </w:t>
      </w:r>
      <w:bookmarkStart w:id="69" w:name="_Toc7232"/>
      <w:bookmarkEnd w:id="69"/>
      <w:bookmarkStart w:id="70" w:name="_Toc5104"/>
      <w:bookmarkEnd w:id="70"/>
      <w:bookmarkStart w:id="71" w:name="_Toc5014"/>
      <w:bookmarkEnd w:id="71"/>
      <w:bookmarkStart w:id="72" w:name="_Toc12725"/>
    </w:p>
    <w:p w14:paraId="43F1C4D8">
      <w:pPr>
        <w:rPr>
          <w:rFonts w:hint="eastAsia" w:ascii="宋体" w:hAnsi="宋体"/>
          <w:sz w:val="24"/>
          <w:szCs w:val="24"/>
          <w:highlight w:val="none"/>
        </w:rPr>
      </w:pPr>
    </w:p>
    <w:p w14:paraId="0881D49A">
      <w:pPr>
        <w:rPr>
          <w:rFonts w:hint="eastAsia" w:ascii="宋体" w:hAnsi="宋体"/>
          <w:sz w:val="24"/>
          <w:szCs w:val="24"/>
          <w:highlight w:val="none"/>
        </w:rPr>
      </w:pPr>
    </w:p>
    <w:p w14:paraId="35DE24A8">
      <w:pPr>
        <w:rPr>
          <w:rFonts w:hint="eastAsia" w:ascii="宋体" w:hAnsi="宋体"/>
          <w:sz w:val="24"/>
          <w:szCs w:val="24"/>
          <w:highlight w:val="none"/>
        </w:rPr>
      </w:pPr>
    </w:p>
    <w:p w14:paraId="3739404A">
      <w:pPr>
        <w:rPr>
          <w:rFonts w:hint="eastAsia" w:ascii="宋体" w:hAnsi="宋体"/>
          <w:sz w:val="24"/>
          <w:szCs w:val="24"/>
          <w:highlight w:val="none"/>
        </w:rPr>
      </w:pPr>
    </w:p>
    <w:p w14:paraId="2657571B">
      <w:pPr>
        <w:rPr>
          <w:rFonts w:hint="eastAsia" w:ascii="宋体" w:hAnsi="宋体"/>
          <w:sz w:val="24"/>
          <w:szCs w:val="24"/>
          <w:highlight w:val="none"/>
        </w:rPr>
      </w:pPr>
    </w:p>
    <w:p w14:paraId="0BB42EDA">
      <w:pPr>
        <w:rPr>
          <w:rFonts w:hint="eastAsia" w:ascii="宋体" w:hAnsi="宋体"/>
          <w:sz w:val="24"/>
          <w:szCs w:val="24"/>
          <w:highlight w:val="none"/>
        </w:rPr>
      </w:pPr>
    </w:p>
    <w:p w14:paraId="371B3531">
      <w:pPr>
        <w:rPr>
          <w:rFonts w:hint="eastAsia" w:ascii="宋体" w:hAnsi="宋体"/>
          <w:sz w:val="24"/>
          <w:szCs w:val="24"/>
          <w:highlight w:val="none"/>
        </w:rPr>
      </w:pPr>
    </w:p>
    <w:p w14:paraId="5E819326">
      <w:pPr>
        <w:rPr>
          <w:rFonts w:hint="eastAsia" w:ascii="宋体" w:hAnsi="宋体"/>
          <w:sz w:val="24"/>
          <w:szCs w:val="24"/>
          <w:highlight w:val="none"/>
        </w:rPr>
      </w:pPr>
    </w:p>
    <w:p w14:paraId="425AE908">
      <w:pPr>
        <w:rPr>
          <w:rFonts w:hint="eastAsia" w:ascii="宋体" w:hAnsi="宋体"/>
          <w:sz w:val="24"/>
          <w:szCs w:val="24"/>
          <w:highlight w:val="none"/>
        </w:rPr>
      </w:pPr>
    </w:p>
    <w:p w14:paraId="1D38E0AD">
      <w:pPr>
        <w:rPr>
          <w:rFonts w:hint="eastAsia" w:ascii="宋体" w:hAnsi="宋体"/>
          <w:sz w:val="24"/>
          <w:szCs w:val="24"/>
          <w:highlight w:val="none"/>
        </w:rPr>
      </w:pPr>
    </w:p>
    <w:p w14:paraId="1BB6A602">
      <w:pPr>
        <w:rPr>
          <w:rFonts w:hint="eastAsia" w:ascii="宋体" w:hAnsi="宋体"/>
          <w:sz w:val="24"/>
          <w:szCs w:val="24"/>
          <w:highlight w:val="none"/>
        </w:rPr>
      </w:pPr>
    </w:p>
    <w:p w14:paraId="1D8B0AA5">
      <w:pPr>
        <w:rPr>
          <w:rFonts w:hint="eastAsia" w:ascii="宋体" w:hAnsi="宋体"/>
          <w:sz w:val="24"/>
          <w:szCs w:val="24"/>
          <w:highlight w:val="none"/>
        </w:rPr>
      </w:pPr>
    </w:p>
    <w:p w14:paraId="761EBA1F">
      <w:pPr>
        <w:rPr>
          <w:rFonts w:hint="eastAsia" w:ascii="宋体" w:hAnsi="宋体"/>
          <w:sz w:val="24"/>
          <w:szCs w:val="24"/>
          <w:highlight w:val="none"/>
        </w:rPr>
      </w:pPr>
    </w:p>
    <w:p w14:paraId="4E0F94EB">
      <w:pPr>
        <w:rPr>
          <w:rFonts w:hint="eastAsia" w:ascii="宋体" w:hAnsi="宋体"/>
          <w:b/>
          <w:bCs/>
          <w:sz w:val="24"/>
          <w:szCs w:val="24"/>
          <w:highlight w:val="none"/>
        </w:rPr>
      </w:pPr>
    </w:p>
    <w:p w14:paraId="6DC1731A">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w:t>
      </w:r>
      <w:bookmarkEnd w:id="72"/>
      <w:r>
        <w:rPr>
          <w:rFonts w:hint="eastAsia" w:ascii="宋体" w:hAnsi="宋体"/>
          <w:bCs/>
          <w:color w:val="auto"/>
          <w:sz w:val="24"/>
          <w:highlight w:val="none"/>
          <w:lang w:val="en-US" w:eastAsia="zh-CN"/>
        </w:rPr>
        <w:t>十三：技术响应表</w:t>
      </w:r>
    </w:p>
    <w:p w14:paraId="1F44AC38">
      <w:pPr>
        <w:snapToGrid w:val="0"/>
        <w:spacing w:before="50" w:after="156" w:afterLines="50"/>
        <w:jc w:val="center"/>
        <w:rPr>
          <w:rFonts w:hint="eastAsia" w:ascii="宋体" w:hAnsi="宋体"/>
          <w:b/>
          <w:sz w:val="24"/>
          <w:szCs w:val="24"/>
          <w:highlight w:val="none"/>
        </w:rPr>
      </w:pPr>
      <w:r>
        <w:rPr>
          <w:rFonts w:hint="eastAsia" w:ascii="宋体" w:hAnsi="宋体"/>
          <w:b/>
          <w:sz w:val="24"/>
          <w:szCs w:val="24"/>
          <w:highlight w:val="none"/>
        </w:rPr>
        <w:t>技术响应表</w:t>
      </w:r>
    </w:p>
    <w:p w14:paraId="0AD88BE2">
      <w:pPr>
        <w:snapToGrid w:val="0"/>
        <w:spacing w:before="50" w:after="156" w:afterLines="50"/>
        <w:jc w:val="left"/>
        <w:rPr>
          <w:rFonts w:hint="eastAsia" w:ascii="宋体" w:hAnsi="宋体"/>
          <w:sz w:val="24"/>
          <w:szCs w:val="24"/>
          <w:highlight w:val="none"/>
        </w:rPr>
      </w:pPr>
      <w:r>
        <w:rPr>
          <w:rFonts w:hint="eastAsia" w:ascii="宋体" w:hAnsi="宋体"/>
          <w:sz w:val="24"/>
          <w:szCs w:val="24"/>
          <w:highlight w:val="none"/>
        </w:rPr>
        <w:t>招标编号：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0F0F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center"/>
          </w:tcPr>
          <w:p w14:paraId="08505135">
            <w:pPr>
              <w:jc w:val="center"/>
              <w:rPr>
                <w:rFonts w:ascii="宋体" w:hAnsi="宋体"/>
                <w:sz w:val="24"/>
                <w:szCs w:val="24"/>
                <w:highlight w:val="none"/>
              </w:rPr>
            </w:pPr>
            <w:r>
              <w:rPr>
                <w:rFonts w:hint="eastAsia" w:ascii="宋体" w:hAnsi="宋体"/>
                <w:sz w:val="24"/>
                <w:szCs w:val="24"/>
                <w:highlight w:val="none"/>
              </w:rPr>
              <w:t>序号</w:t>
            </w:r>
          </w:p>
        </w:tc>
        <w:tc>
          <w:tcPr>
            <w:tcW w:w="2004" w:type="dxa"/>
            <w:tcBorders>
              <w:top w:val="single" w:color="auto" w:sz="4" w:space="0"/>
              <w:left w:val="nil"/>
              <w:bottom w:val="single" w:color="auto" w:sz="4" w:space="0"/>
              <w:right w:val="single" w:color="auto" w:sz="4" w:space="0"/>
            </w:tcBorders>
            <w:noWrap w:val="0"/>
            <w:vAlign w:val="center"/>
          </w:tcPr>
          <w:p w14:paraId="37B0CA9C">
            <w:pPr>
              <w:jc w:val="center"/>
              <w:rPr>
                <w:rFonts w:ascii="宋体" w:hAnsi="宋体"/>
                <w:sz w:val="24"/>
                <w:szCs w:val="24"/>
                <w:highlight w:val="none"/>
              </w:rPr>
            </w:pPr>
            <w:r>
              <w:rPr>
                <w:rFonts w:hint="eastAsia" w:ascii="宋体" w:hAnsi="宋体"/>
                <w:sz w:val="24"/>
                <w:szCs w:val="24"/>
                <w:highlight w:val="none"/>
              </w:rPr>
              <w:t>内  容</w:t>
            </w:r>
          </w:p>
        </w:tc>
        <w:tc>
          <w:tcPr>
            <w:tcW w:w="2113" w:type="dxa"/>
            <w:tcBorders>
              <w:top w:val="single" w:color="auto" w:sz="4" w:space="0"/>
              <w:left w:val="nil"/>
              <w:bottom w:val="single" w:color="auto" w:sz="4" w:space="0"/>
              <w:right w:val="single" w:color="auto" w:sz="4" w:space="0"/>
            </w:tcBorders>
            <w:noWrap w:val="0"/>
            <w:vAlign w:val="center"/>
          </w:tcPr>
          <w:p w14:paraId="5929CE28">
            <w:pPr>
              <w:jc w:val="center"/>
              <w:rPr>
                <w:rFonts w:ascii="宋体" w:hAnsi="宋体"/>
                <w:sz w:val="24"/>
                <w:szCs w:val="24"/>
                <w:highlight w:val="none"/>
              </w:rPr>
            </w:pPr>
            <w:r>
              <w:rPr>
                <w:rFonts w:hint="eastAsia" w:ascii="宋体" w:hAnsi="宋体"/>
                <w:sz w:val="24"/>
                <w:szCs w:val="24"/>
                <w:highlight w:val="none"/>
              </w:rPr>
              <w:t>磋商文件</w:t>
            </w:r>
          </w:p>
          <w:p w14:paraId="46FB3C25">
            <w:pPr>
              <w:jc w:val="center"/>
              <w:rPr>
                <w:rFonts w:ascii="宋体" w:hAnsi="宋体"/>
                <w:sz w:val="24"/>
                <w:szCs w:val="24"/>
                <w:highlight w:val="none"/>
              </w:rPr>
            </w:pPr>
            <w:r>
              <w:rPr>
                <w:rFonts w:hint="eastAsia" w:ascii="宋体" w:hAnsi="宋体"/>
                <w:sz w:val="24"/>
                <w:szCs w:val="24"/>
                <w:highlight w:val="none"/>
              </w:rPr>
              <w:t>规范要求</w:t>
            </w:r>
          </w:p>
        </w:tc>
        <w:tc>
          <w:tcPr>
            <w:tcW w:w="1750" w:type="dxa"/>
            <w:tcBorders>
              <w:top w:val="single" w:color="auto" w:sz="4" w:space="0"/>
              <w:left w:val="nil"/>
              <w:bottom w:val="single" w:color="auto" w:sz="4" w:space="0"/>
              <w:right w:val="single" w:color="auto" w:sz="4" w:space="0"/>
            </w:tcBorders>
            <w:noWrap w:val="0"/>
            <w:vAlign w:val="center"/>
          </w:tcPr>
          <w:p w14:paraId="619B4BB3">
            <w:pPr>
              <w:jc w:val="center"/>
              <w:rPr>
                <w:rFonts w:ascii="宋体" w:hAnsi="宋体"/>
                <w:sz w:val="24"/>
                <w:szCs w:val="24"/>
                <w:highlight w:val="none"/>
              </w:rPr>
            </w:pPr>
            <w:r>
              <w:rPr>
                <w:rFonts w:hint="eastAsia" w:ascii="宋体" w:hAnsi="宋体"/>
                <w:sz w:val="24"/>
                <w:szCs w:val="24"/>
                <w:highlight w:val="none"/>
              </w:rPr>
              <w:t>磋商响应文件</w:t>
            </w:r>
          </w:p>
          <w:p w14:paraId="7670541E">
            <w:pPr>
              <w:jc w:val="center"/>
              <w:rPr>
                <w:rFonts w:ascii="宋体" w:hAnsi="宋体"/>
                <w:sz w:val="24"/>
                <w:szCs w:val="24"/>
                <w:highlight w:val="none"/>
              </w:rPr>
            </w:pPr>
            <w:r>
              <w:rPr>
                <w:rFonts w:hint="eastAsia" w:ascii="宋体" w:hAnsi="宋体"/>
                <w:sz w:val="24"/>
                <w:szCs w:val="24"/>
                <w:highlight w:val="none"/>
              </w:rPr>
              <w:t>对应规范</w:t>
            </w:r>
          </w:p>
        </w:tc>
        <w:tc>
          <w:tcPr>
            <w:tcW w:w="2514" w:type="dxa"/>
            <w:tcBorders>
              <w:top w:val="single" w:color="auto" w:sz="4" w:space="0"/>
              <w:left w:val="nil"/>
              <w:bottom w:val="single" w:color="auto" w:sz="4" w:space="0"/>
              <w:right w:val="single" w:color="auto" w:sz="4" w:space="0"/>
            </w:tcBorders>
            <w:noWrap w:val="0"/>
            <w:vAlign w:val="center"/>
          </w:tcPr>
          <w:p w14:paraId="7723F130">
            <w:pPr>
              <w:jc w:val="center"/>
              <w:rPr>
                <w:rFonts w:ascii="宋体" w:hAnsi="宋体"/>
                <w:sz w:val="24"/>
                <w:szCs w:val="24"/>
                <w:highlight w:val="none"/>
              </w:rPr>
            </w:pPr>
            <w:r>
              <w:rPr>
                <w:rFonts w:hint="eastAsia" w:ascii="宋体" w:hAnsi="宋体"/>
                <w:sz w:val="24"/>
                <w:szCs w:val="24"/>
                <w:highlight w:val="none"/>
              </w:rPr>
              <w:t>偏离情况</w:t>
            </w:r>
          </w:p>
          <w:p w14:paraId="50E691D8">
            <w:pPr>
              <w:jc w:val="center"/>
              <w:rPr>
                <w:rFonts w:ascii="宋体" w:hAnsi="宋体"/>
                <w:sz w:val="24"/>
                <w:szCs w:val="24"/>
                <w:highlight w:val="none"/>
              </w:rPr>
            </w:pPr>
            <w:r>
              <w:rPr>
                <w:rFonts w:hint="eastAsia" w:ascii="宋体" w:hAnsi="宋体"/>
                <w:sz w:val="24"/>
                <w:szCs w:val="24"/>
                <w:highlight w:val="none"/>
              </w:rPr>
              <w:t>（注明正偏离、负偏离或无偏离）</w:t>
            </w:r>
          </w:p>
        </w:tc>
      </w:tr>
      <w:tr w14:paraId="2D80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69B9CB4C">
            <w:pPr>
              <w:jc w:val="cente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3ED40DBE">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4EC87314">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20570FB9">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4C16C75F">
            <w:pPr>
              <w:rPr>
                <w:rFonts w:ascii="宋体" w:hAnsi="宋体"/>
                <w:sz w:val="24"/>
                <w:szCs w:val="24"/>
                <w:highlight w:val="none"/>
              </w:rPr>
            </w:pPr>
          </w:p>
        </w:tc>
      </w:tr>
      <w:tr w14:paraId="11E8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682D96FB">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18F03088">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22F5554C">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0B8E8E38">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2A5BE9F5">
            <w:pPr>
              <w:rPr>
                <w:rFonts w:ascii="宋体" w:hAnsi="宋体"/>
                <w:sz w:val="24"/>
                <w:szCs w:val="24"/>
                <w:highlight w:val="none"/>
              </w:rPr>
            </w:pPr>
          </w:p>
        </w:tc>
      </w:tr>
      <w:tr w14:paraId="2542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697C2491">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5D748E55">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0FB551AB">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2E94B304">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6312FB6B">
            <w:pPr>
              <w:rPr>
                <w:rFonts w:ascii="宋体" w:hAnsi="宋体"/>
                <w:sz w:val="24"/>
                <w:szCs w:val="24"/>
                <w:highlight w:val="none"/>
              </w:rPr>
            </w:pPr>
          </w:p>
        </w:tc>
      </w:tr>
      <w:tr w14:paraId="1679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617BF8FD">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10A1F5DF">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78570A5D">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422CA381">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5309634D">
            <w:pPr>
              <w:rPr>
                <w:rFonts w:ascii="宋体" w:hAnsi="宋体"/>
                <w:sz w:val="24"/>
                <w:szCs w:val="24"/>
                <w:highlight w:val="none"/>
              </w:rPr>
            </w:pPr>
          </w:p>
        </w:tc>
      </w:tr>
      <w:tr w14:paraId="2863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27502CC5">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6386F4FB">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066B9042">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0A5DAABC">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57C87CC9">
            <w:pPr>
              <w:rPr>
                <w:rFonts w:ascii="宋体" w:hAnsi="宋体"/>
                <w:sz w:val="24"/>
                <w:szCs w:val="24"/>
                <w:highlight w:val="none"/>
              </w:rPr>
            </w:pPr>
          </w:p>
        </w:tc>
      </w:tr>
      <w:tr w14:paraId="689F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47AC308D">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5CE79D06">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4E9B292F">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77C9971E">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38D08EA7">
            <w:pPr>
              <w:rPr>
                <w:rFonts w:ascii="宋体" w:hAnsi="宋体"/>
                <w:sz w:val="24"/>
                <w:szCs w:val="24"/>
                <w:highlight w:val="none"/>
              </w:rPr>
            </w:pPr>
          </w:p>
        </w:tc>
      </w:tr>
      <w:tr w14:paraId="358E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5BDBC254">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1CA538FB">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6BFCF5CB">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568FC173">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06C44141">
            <w:pPr>
              <w:rPr>
                <w:rFonts w:ascii="宋体" w:hAnsi="宋体"/>
                <w:sz w:val="24"/>
                <w:szCs w:val="24"/>
                <w:highlight w:val="none"/>
              </w:rPr>
            </w:pPr>
          </w:p>
        </w:tc>
      </w:tr>
      <w:tr w14:paraId="2FE6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0298EA28">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1E6990E4">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6B225BE3">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40D49146">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034D9069">
            <w:pPr>
              <w:rPr>
                <w:rFonts w:ascii="宋体" w:hAnsi="宋体"/>
                <w:sz w:val="24"/>
                <w:szCs w:val="24"/>
                <w:highlight w:val="none"/>
              </w:rPr>
            </w:pPr>
          </w:p>
        </w:tc>
      </w:tr>
      <w:tr w14:paraId="4918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73B64AF8">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188D5FEC">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5B9424B2">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2081B094">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407B2917">
            <w:pPr>
              <w:rPr>
                <w:rFonts w:ascii="宋体" w:hAnsi="宋体"/>
                <w:sz w:val="24"/>
                <w:szCs w:val="24"/>
                <w:highlight w:val="none"/>
              </w:rPr>
            </w:pPr>
          </w:p>
        </w:tc>
      </w:tr>
      <w:tr w14:paraId="24A3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0F21A789">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182DF69B">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3D5475CE">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49330E79">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22F1DCC7">
            <w:pPr>
              <w:rPr>
                <w:rFonts w:ascii="宋体" w:hAnsi="宋体"/>
                <w:sz w:val="24"/>
                <w:szCs w:val="24"/>
                <w:highlight w:val="none"/>
              </w:rPr>
            </w:pPr>
          </w:p>
        </w:tc>
      </w:tr>
      <w:tr w14:paraId="18F1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5372AFB4">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7DC12184">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469B2720">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656DC196">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64A71D2A">
            <w:pPr>
              <w:rPr>
                <w:rFonts w:ascii="宋体" w:hAnsi="宋体"/>
                <w:sz w:val="24"/>
                <w:szCs w:val="24"/>
                <w:highlight w:val="none"/>
              </w:rPr>
            </w:pPr>
          </w:p>
        </w:tc>
      </w:tr>
      <w:tr w14:paraId="7178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14:paraId="4C4A7884">
            <w:pPr>
              <w:rPr>
                <w:rFonts w:ascii="宋体" w:hAnsi="宋体"/>
                <w:sz w:val="24"/>
                <w:szCs w:val="24"/>
                <w:highlight w:val="none"/>
              </w:rPr>
            </w:pPr>
          </w:p>
        </w:tc>
        <w:tc>
          <w:tcPr>
            <w:tcW w:w="2004" w:type="dxa"/>
            <w:tcBorders>
              <w:top w:val="single" w:color="auto" w:sz="4" w:space="0"/>
              <w:left w:val="nil"/>
              <w:bottom w:val="single" w:color="auto" w:sz="4" w:space="0"/>
              <w:right w:val="single" w:color="auto" w:sz="4" w:space="0"/>
            </w:tcBorders>
            <w:noWrap w:val="0"/>
            <w:vAlign w:val="top"/>
          </w:tcPr>
          <w:p w14:paraId="321C6500">
            <w:pPr>
              <w:rPr>
                <w:rFonts w:ascii="宋体" w:hAnsi="宋体"/>
                <w:sz w:val="24"/>
                <w:szCs w:val="24"/>
                <w:highlight w:val="none"/>
              </w:rPr>
            </w:pPr>
          </w:p>
        </w:tc>
        <w:tc>
          <w:tcPr>
            <w:tcW w:w="2113" w:type="dxa"/>
            <w:tcBorders>
              <w:top w:val="single" w:color="auto" w:sz="4" w:space="0"/>
              <w:left w:val="nil"/>
              <w:bottom w:val="single" w:color="auto" w:sz="4" w:space="0"/>
              <w:right w:val="single" w:color="auto" w:sz="4" w:space="0"/>
            </w:tcBorders>
            <w:noWrap w:val="0"/>
            <w:vAlign w:val="top"/>
          </w:tcPr>
          <w:p w14:paraId="76407829">
            <w:pPr>
              <w:rPr>
                <w:rFonts w:ascii="宋体" w:hAnsi="宋体"/>
                <w:sz w:val="24"/>
                <w:szCs w:val="24"/>
                <w:highlight w:val="none"/>
              </w:rPr>
            </w:pPr>
          </w:p>
        </w:tc>
        <w:tc>
          <w:tcPr>
            <w:tcW w:w="1750" w:type="dxa"/>
            <w:tcBorders>
              <w:top w:val="single" w:color="auto" w:sz="4" w:space="0"/>
              <w:left w:val="nil"/>
              <w:bottom w:val="single" w:color="auto" w:sz="4" w:space="0"/>
              <w:right w:val="single" w:color="auto" w:sz="4" w:space="0"/>
            </w:tcBorders>
            <w:noWrap w:val="0"/>
            <w:vAlign w:val="top"/>
          </w:tcPr>
          <w:p w14:paraId="0340F072">
            <w:pPr>
              <w:rPr>
                <w:rFonts w:ascii="宋体" w:hAnsi="宋体"/>
                <w:sz w:val="24"/>
                <w:szCs w:val="24"/>
                <w:highlight w:val="none"/>
              </w:rPr>
            </w:pPr>
          </w:p>
        </w:tc>
        <w:tc>
          <w:tcPr>
            <w:tcW w:w="2514" w:type="dxa"/>
            <w:tcBorders>
              <w:top w:val="single" w:color="auto" w:sz="4" w:space="0"/>
              <w:left w:val="nil"/>
              <w:bottom w:val="single" w:color="auto" w:sz="4" w:space="0"/>
              <w:right w:val="single" w:color="auto" w:sz="4" w:space="0"/>
            </w:tcBorders>
            <w:noWrap w:val="0"/>
            <w:vAlign w:val="top"/>
          </w:tcPr>
          <w:p w14:paraId="3457C989">
            <w:pPr>
              <w:rPr>
                <w:rFonts w:ascii="宋体" w:hAnsi="宋体"/>
                <w:sz w:val="24"/>
                <w:szCs w:val="24"/>
                <w:highlight w:val="none"/>
              </w:rPr>
            </w:pPr>
          </w:p>
        </w:tc>
      </w:tr>
    </w:tbl>
    <w:p w14:paraId="6EE09376">
      <w:pPr>
        <w:snapToGrid w:val="0"/>
        <w:spacing w:before="50" w:after="50"/>
        <w:rPr>
          <w:rFonts w:hint="eastAsia" w:ascii="宋体" w:hAnsi="宋体"/>
          <w:b/>
          <w:bCs/>
          <w:sz w:val="24"/>
          <w:szCs w:val="24"/>
          <w:highlight w:val="none"/>
        </w:rPr>
      </w:pPr>
      <w:r>
        <w:rPr>
          <w:rFonts w:hint="eastAsia" w:ascii="宋体" w:hAnsi="宋体"/>
          <w:b/>
          <w:bCs/>
          <w:sz w:val="24"/>
          <w:szCs w:val="24"/>
          <w:highlight w:val="none"/>
        </w:rPr>
        <w:t xml:space="preserve"> </w:t>
      </w:r>
    </w:p>
    <w:p w14:paraId="16DC2FF0">
      <w:pPr>
        <w:snapToGrid w:val="0"/>
        <w:spacing w:before="50" w:after="50"/>
        <w:rPr>
          <w:rFonts w:hint="eastAsia" w:ascii="宋体" w:hAnsi="宋体"/>
          <w:b/>
          <w:bCs/>
          <w:spacing w:val="20"/>
          <w:sz w:val="24"/>
          <w:szCs w:val="24"/>
          <w:highlight w:val="none"/>
        </w:rPr>
      </w:pPr>
      <w:r>
        <w:rPr>
          <w:rFonts w:hint="eastAsia" w:ascii="宋体" w:hAnsi="宋体"/>
          <w:b/>
          <w:bCs/>
          <w:sz w:val="24"/>
          <w:szCs w:val="24"/>
          <w:highlight w:val="none"/>
        </w:rPr>
        <w:t>注：供应商应根据磋商文件的指标、对照磋商文件要求在“偏离情况”栏注明“正偏离”、“负偏离”或“无偏离”。</w:t>
      </w:r>
    </w:p>
    <w:p w14:paraId="40CC974C">
      <w:pPr>
        <w:snapToGrid w:val="0"/>
        <w:spacing w:before="50" w:after="50"/>
        <w:rPr>
          <w:rFonts w:hint="eastAsia" w:ascii="宋体" w:hAnsi="宋体"/>
          <w:spacing w:val="20"/>
          <w:sz w:val="24"/>
          <w:szCs w:val="24"/>
          <w:highlight w:val="none"/>
        </w:rPr>
      </w:pPr>
      <w:r>
        <w:rPr>
          <w:rFonts w:hint="eastAsia" w:ascii="宋体" w:hAnsi="宋体"/>
          <w:spacing w:val="20"/>
          <w:sz w:val="24"/>
          <w:szCs w:val="24"/>
          <w:highlight w:val="none"/>
        </w:rPr>
        <w:t xml:space="preserve"> </w:t>
      </w:r>
    </w:p>
    <w:p w14:paraId="2694DD7C">
      <w:pPr>
        <w:snapToGrid w:val="0"/>
        <w:spacing w:before="50" w:after="50"/>
        <w:rPr>
          <w:rFonts w:hint="eastAsia" w:ascii="宋体" w:hAnsi="宋体"/>
          <w:spacing w:val="20"/>
          <w:sz w:val="24"/>
          <w:szCs w:val="24"/>
          <w:highlight w:val="none"/>
          <w:u w:val="single"/>
        </w:rPr>
      </w:pPr>
      <w:r>
        <w:rPr>
          <w:rFonts w:hint="eastAsia" w:ascii="宋体" w:hAnsi="宋体"/>
          <w:sz w:val="24"/>
          <w:szCs w:val="24"/>
          <w:highlight w:val="none"/>
        </w:rPr>
        <w:t>法定代表人或委托代理人（签字或签名章）</w:t>
      </w:r>
      <w:r>
        <w:rPr>
          <w:rFonts w:hint="eastAsia" w:ascii="宋体" w:hAnsi="宋体"/>
          <w:spacing w:val="20"/>
          <w:sz w:val="24"/>
          <w:szCs w:val="24"/>
          <w:highlight w:val="none"/>
        </w:rPr>
        <w:t>：</w:t>
      </w:r>
      <w:r>
        <w:rPr>
          <w:rFonts w:hint="eastAsia" w:ascii="宋体" w:hAnsi="宋体"/>
          <w:spacing w:val="20"/>
          <w:sz w:val="24"/>
          <w:szCs w:val="24"/>
          <w:highlight w:val="none"/>
          <w:u w:val="single"/>
        </w:rPr>
        <w:t xml:space="preserve">        </w:t>
      </w:r>
    </w:p>
    <w:p w14:paraId="0F8A6302">
      <w:pPr>
        <w:snapToGrid w:val="0"/>
        <w:spacing w:before="50" w:after="50"/>
        <w:rPr>
          <w:rFonts w:hint="eastAsia" w:ascii="宋体" w:hAnsi="宋体"/>
          <w:sz w:val="24"/>
          <w:szCs w:val="24"/>
          <w:highlight w:val="none"/>
        </w:rPr>
      </w:pPr>
      <w:r>
        <w:rPr>
          <w:rFonts w:hint="eastAsia" w:ascii="宋体" w:hAnsi="宋体"/>
          <w:spacing w:val="20"/>
          <w:sz w:val="24"/>
          <w:szCs w:val="24"/>
          <w:highlight w:val="none"/>
        </w:rPr>
        <w:t>供应商</w:t>
      </w:r>
      <w:r>
        <w:rPr>
          <w:rFonts w:hint="eastAsia" w:ascii="宋体" w:hAnsi="宋体"/>
          <w:spacing w:val="20"/>
          <w:sz w:val="24"/>
          <w:szCs w:val="24"/>
          <w:highlight w:val="none"/>
          <w:lang w:eastAsia="zh-CN"/>
        </w:rPr>
        <w:t>（</w:t>
      </w:r>
      <w:r>
        <w:rPr>
          <w:rFonts w:hint="eastAsia" w:ascii="宋体" w:hAnsi="宋体"/>
          <w:spacing w:val="20"/>
          <w:sz w:val="24"/>
          <w:szCs w:val="24"/>
          <w:highlight w:val="none"/>
        </w:rPr>
        <w:t>盖章</w:t>
      </w:r>
      <w:r>
        <w:rPr>
          <w:rFonts w:hint="eastAsia" w:ascii="宋体" w:hAnsi="宋体"/>
          <w:spacing w:val="20"/>
          <w:sz w:val="24"/>
          <w:szCs w:val="24"/>
          <w:highlight w:val="none"/>
          <w:lang w:eastAsia="zh-CN"/>
        </w:rPr>
        <w:t>）</w:t>
      </w:r>
      <w:r>
        <w:rPr>
          <w:rFonts w:hint="eastAsia" w:ascii="宋体" w:hAnsi="宋体"/>
          <w:spacing w:val="20"/>
          <w:sz w:val="24"/>
          <w:szCs w:val="24"/>
          <w:highlight w:val="none"/>
        </w:rPr>
        <w:t>：</w:t>
      </w:r>
      <w:r>
        <w:rPr>
          <w:rFonts w:hint="eastAsia" w:ascii="宋体" w:hAnsi="宋体"/>
          <w:spacing w:val="20"/>
          <w:sz w:val="24"/>
          <w:szCs w:val="24"/>
          <w:highlight w:val="none"/>
          <w:u w:val="single"/>
        </w:rPr>
        <w:t xml:space="preserve">            </w:t>
      </w:r>
      <w:r>
        <w:rPr>
          <w:rFonts w:hint="eastAsia" w:ascii="宋体" w:hAnsi="宋体"/>
          <w:spacing w:val="20"/>
          <w:sz w:val="24"/>
          <w:szCs w:val="24"/>
          <w:highlight w:val="none"/>
        </w:rPr>
        <w:t xml:space="preserve">              日 期：</w:t>
      </w:r>
      <w:r>
        <w:rPr>
          <w:rFonts w:hint="eastAsia" w:ascii="宋体" w:hAnsi="宋体"/>
          <w:spacing w:val="20"/>
          <w:sz w:val="24"/>
          <w:szCs w:val="24"/>
          <w:highlight w:val="none"/>
          <w:u w:val="single"/>
        </w:rPr>
        <w:t xml:space="preserve">            </w:t>
      </w:r>
    </w:p>
    <w:p w14:paraId="73E7C12D">
      <w:pPr>
        <w:spacing w:line="430" w:lineRule="exact"/>
        <w:rPr>
          <w:rFonts w:hint="eastAsia" w:ascii="宋体" w:hAnsi="宋体" w:cs="宋体"/>
          <w:b/>
          <w:color w:val="auto"/>
          <w:sz w:val="24"/>
          <w:highlight w:val="none"/>
          <w:lang w:val="en-US" w:eastAsia="zh-CN"/>
        </w:rPr>
      </w:pPr>
    </w:p>
    <w:p w14:paraId="0E5E221C">
      <w:pPr>
        <w:spacing w:line="430" w:lineRule="exact"/>
        <w:rPr>
          <w:rFonts w:hint="eastAsia" w:ascii="宋体" w:hAnsi="宋体" w:cs="宋体"/>
          <w:b/>
          <w:color w:val="auto"/>
          <w:sz w:val="24"/>
          <w:highlight w:val="none"/>
          <w:lang w:val="en-US" w:eastAsia="zh-CN"/>
        </w:rPr>
      </w:pPr>
    </w:p>
    <w:p w14:paraId="0CC57344">
      <w:pPr>
        <w:spacing w:line="430" w:lineRule="exact"/>
        <w:rPr>
          <w:rFonts w:hint="eastAsia" w:ascii="宋体" w:hAnsi="宋体" w:cs="宋体"/>
          <w:b/>
          <w:color w:val="auto"/>
          <w:sz w:val="24"/>
          <w:highlight w:val="none"/>
          <w:lang w:val="en-US" w:eastAsia="zh-CN"/>
        </w:rPr>
      </w:pPr>
    </w:p>
    <w:p w14:paraId="25D618EC">
      <w:pPr>
        <w:spacing w:line="430" w:lineRule="exact"/>
        <w:rPr>
          <w:rFonts w:hint="eastAsia" w:ascii="宋体" w:hAnsi="宋体" w:cs="宋体"/>
          <w:b/>
          <w:color w:val="auto"/>
          <w:sz w:val="24"/>
          <w:highlight w:val="none"/>
          <w:lang w:val="en-US" w:eastAsia="zh-CN"/>
        </w:rPr>
      </w:pPr>
    </w:p>
    <w:p w14:paraId="0EA9130C">
      <w:pPr>
        <w:spacing w:line="430" w:lineRule="exact"/>
        <w:rPr>
          <w:rFonts w:hint="eastAsia" w:ascii="宋体" w:hAnsi="宋体" w:cs="宋体"/>
          <w:b/>
          <w:color w:val="auto"/>
          <w:sz w:val="24"/>
          <w:highlight w:val="none"/>
          <w:lang w:val="en-US" w:eastAsia="zh-CN"/>
        </w:rPr>
      </w:pPr>
    </w:p>
    <w:p w14:paraId="35EFC294">
      <w:pPr>
        <w:spacing w:line="430" w:lineRule="exact"/>
        <w:rPr>
          <w:rFonts w:hint="eastAsia" w:ascii="宋体" w:hAnsi="宋体" w:cs="宋体"/>
          <w:b/>
          <w:color w:val="auto"/>
          <w:sz w:val="24"/>
          <w:highlight w:val="none"/>
          <w:lang w:val="en-US" w:eastAsia="zh-CN"/>
        </w:rPr>
      </w:pPr>
    </w:p>
    <w:p w14:paraId="6C082E38">
      <w:pPr>
        <w:spacing w:line="430" w:lineRule="exact"/>
        <w:rPr>
          <w:rFonts w:hint="eastAsia" w:ascii="宋体" w:hAnsi="宋体" w:cs="宋体"/>
          <w:b/>
          <w:color w:val="auto"/>
          <w:sz w:val="24"/>
          <w:highlight w:val="none"/>
          <w:lang w:val="en-US" w:eastAsia="zh-CN"/>
        </w:rPr>
      </w:pPr>
    </w:p>
    <w:p w14:paraId="5D39FDD7">
      <w:pPr>
        <w:spacing w:line="430" w:lineRule="exact"/>
        <w:rPr>
          <w:rFonts w:hint="eastAsia" w:ascii="宋体" w:hAnsi="宋体" w:cs="宋体"/>
          <w:b/>
          <w:color w:val="auto"/>
          <w:sz w:val="24"/>
          <w:highlight w:val="none"/>
          <w:lang w:val="en-US" w:eastAsia="zh-CN"/>
        </w:rPr>
      </w:pPr>
    </w:p>
    <w:p w14:paraId="7191002A">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bookmarkStart w:id="73" w:name="_Toc143"/>
      <w:r>
        <w:rPr>
          <w:rFonts w:hint="eastAsia" w:ascii="宋体" w:hAnsi="宋体"/>
          <w:bCs/>
          <w:color w:val="auto"/>
          <w:sz w:val="24"/>
          <w:highlight w:val="none"/>
          <w:lang w:val="en-US" w:eastAsia="zh-CN"/>
        </w:rPr>
        <w:t>附件十四：</w:t>
      </w:r>
      <w:bookmarkStart w:id="74" w:name="_Toc20267"/>
      <w:bookmarkStart w:id="75" w:name="_Toc31096"/>
      <w:r>
        <w:rPr>
          <w:rFonts w:hint="eastAsia" w:ascii="宋体" w:hAnsi="宋体"/>
          <w:bCs/>
          <w:color w:val="auto"/>
          <w:sz w:val="24"/>
          <w:highlight w:val="none"/>
          <w:lang w:val="en-US" w:eastAsia="zh-CN"/>
        </w:rPr>
        <w:t>拟投入本项目</w:t>
      </w:r>
      <w:bookmarkEnd w:id="74"/>
      <w:r>
        <w:rPr>
          <w:rFonts w:hint="eastAsia" w:ascii="宋体" w:hAnsi="宋体"/>
          <w:bCs/>
          <w:color w:val="auto"/>
          <w:sz w:val="24"/>
          <w:highlight w:val="none"/>
          <w:lang w:val="en-US" w:eastAsia="zh-CN"/>
        </w:rPr>
        <w:t>人员一览表</w:t>
      </w:r>
      <w:bookmarkEnd w:id="73"/>
      <w:bookmarkEnd w:id="75"/>
    </w:p>
    <w:p w14:paraId="0E5A927E">
      <w:pPr>
        <w:jc w:val="center"/>
        <w:rPr>
          <w:rFonts w:ascii="宋体" w:hAnsi="宋体"/>
          <w:b/>
          <w:color w:val="auto"/>
          <w:sz w:val="28"/>
          <w:szCs w:val="28"/>
          <w:highlight w:val="none"/>
        </w:rPr>
      </w:pPr>
      <w:r>
        <w:rPr>
          <w:rFonts w:ascii="宋体" w:hAnsi="宋体"/>
          <w:b/>
          <w:color w:val="auto"/>
          <w:sz w:val="28"/>
          <w:szCs w:val="28"/>
          <w:highlight w:val="none"/>
        </w:rPr>
        <w:t>拟投入本项目人员一览表</w:t>
      </w:r>
    </w:p>
    <w:p w14:paraId="69504292">
      <w:pPr>
        <w:rPr>
          <w:rFonts w:ascii="宋体" w:hAnsi="宋体"/>
          <w:b/>
          <w:color w:val="auto"/>
          <w:sz w:val="28"/>
          <w:szCs w:val="28"/>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磋商</w:t>
      </w:r>
      <w:r>
        <w:rPr>
          <w:rFonts w:hint="eastAsia" w:ascii="宋体" w:hAnsi="宋体"/>
          <w:color w:val="auto"/>
          <w:sz w:val="24"/>
          <w:highlight w:val="none"/>
        </w:rPr>
        <w:t>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1080"/>
        <w:gridCol w:w="1440"/>
        <w:gridCol w:w="1620"/>
        <w:gridCol w:w="1458"/>
        <w:gridCol w:w="1505"/>
      </w:tblGrid>
      <w:tr w14:paraId="6FEF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Merge w:val="restart"/>
            <w:noWrap w:val="0"/>
            <w:vAlign w:val="center"/>
          </w:tcPr>
          <w:p w14:paraId="30FF5E49">
            <w:pPr>
              <w:jc w:val="center"/>
              <w:rPr>
                <w:rFonts w:ascii="宋体" w:hAnsi="宋体"/>
                <w:color w:val="auto"/>
                <w:szCs w:val="21"/>
                <w:highlight w:val="none"/>
              </w:rPr>
            </w:pPr>
            <w:r>
              <w:rPr>
                <w:rFonts w:hint="eastAsia" w:ascii="宋体" w:hAnsi="宋体"/>
                <w:color w:val="auto"/>
                <w:szCs w:val="21"/>
                <w:highlight w:val="none"/>
              </w:rPr>
              <w:t>在本项目任职岗位</w:t>
            </w:r>
          </w:p>
        </w:tc>
        <w:tc>
          <w:tcPr>
            <w:tcW w:w="1080" w:type="dxa"/>
            <w:vMerge w:val="restart"/>
            <w:noWrap w:val="0"/>
            <w:vAlign w:val="center"/>
          </w:tcPr>
          <w:p w14:paraId="43BD7C6A">
            <w:pPr>
              <w:jc w:val="center"/>
              <w:rPr>
                <w:rFonts w:ascii="宋体" w:hAnsi="宋体"/>
                <w:color w:val="auto"/>
                <w:szCs w:val="21"/>
                <w:highlight w:val="none"/>
              </w:rPr>
            </w:pPr>
            <w:r>
              <w:rPr>
                <w:rFonts w:hint="eastAsia" w:ascii="宋体" w:hAnsi="宋体"/>
                <w:color w:val="auto"/>
                <w:szCs w:val="21"/>
                <w:highlight w:val="none"/>
              </w:rPr>
              <w:t>姓名</w:t>
            </w:r>
          </w:p>
        </w:tc>
        <w:tc>
          <w:tcPr>
            <w:tcW w:w="1080" w:type="dxa"/>
            <w:vMerge w:val="restart"/>
            <w:noWrap w:val="0"/>
            <w:vAlign w:val="center"/>
          </w:tcPr>
          <w:p w14:paraId="2192EE8B">
            <w:pPr>
              <w:jc w:val="center"/>
              <w:rPr>
                <w:rFonts w:ascii="宋体" w:hAnsi="宋体"/>
                <w:color w:val="auto"/>
                <w:szCs w:val="21"/>
                <w:highlight w:val="none"/>
              </w:rPr>
            </w:pPr>
            <w:r>
              <w:rPr>
                <w:rFonts w:hint="eastAsia" w:ascii="宋体" w:hAnsi="宋体"/>
                <w:color w:val="auto"/>
                <w:szCs w:val="21"/>
                <w:highlight w:val="none"/>
              </w:rPr>
              <w:t>职称</w:t>
            </w:r>
          </w:p>
        </w:tc>
        <w:tc>
          <w:tcPr>
            <w:tcW w:w="4518" w:type="dxa"/>
            <w:gridSpan w:val="3"/>
            <w:noWrap w:val="0"/>
            <w:vAlign w:val="center"/>
          </w:tcPr>
          <w:p w14:paraId="5A58ACD3">
            <w:pPr>
              <w:jc w:val="center"/>
              <w:rPr>
                <w:rFonts w:ascii="宋体" w:hAnsi="宋体"/>
                <w:color w:val="auto"/>
                <w:szCs w:val="21"/>
                <w:highlight w:val="none"/>
              </w:rPr>
            </w:pPr>
            <w:r>
              <w:rPr>
                <w:rFonts w:hint="eastAsia" w:ascii="宋体" w:hAnsi="宋体"/>
                <w:color w:val="auto"/>
                <w:szCs w:val="21"/>
                <w:highlight w:val="none"/>
              </w:rPr>
              <w:t>执业或职业资格证明</w:t>
            </w:r>
          </w:p>
        </w:tc>
        <w:tc>
          <w:tcPr>
            <w:tcW w:w="1505" w:type="dxa"/>
            <w:vMerge w:val="restart"/>
            <w:noWrap w:val="0"/>
            <w:vAlign w:val="center"/>
          </w:tcPr>
          <w:p w14:paraId="7E3FBC3F">
            <w:pPr>
              <w:jc w:val="center"/>
              <w:rPr>
                <w:rFonts w:ascii="宋体" w:hAnsi="宋体"/>
                <w:color w:val="auto"/>
                <w:szCs w:val="21"/>
                <w:highlight w:val="none"/>
              </w:rPr>
            </w:pPr>
            <w:r>
              <w:rPr>
                <w:rFonts w:hint="eastAsia" w:ascii="宋体" w:hAnsi="宋体"/>
                <w:color w:val="auto"/>
                <w:szCs w:val="21"/>
                <w:highlight w:val="none"/>
              </w:rPr>
              <w:t>备注</w:t>
            </w:r>
          </w:p>
        </w:tc>
      </w:tr>
      <w:tr w14:paraId="31F5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60" w:type="dxa"/>
            <w:vMerge w:val="continue"/>
            <w:noWrap w:val="0"/>
            <w:vAlign w:val="top"/>
          </w:tcPr>
          <w:p w14:paraId="38EA1431">
            <w:pPr>
              <w:rPr>
                <w:rFonts w:ascii="宋体" w:hAnsi="宋体"/>
                <w:color w:val="auto"/>
                <w:szCs w:val="21"/>
                <w:highlight w:val="none"/>
              </w:rPr>
            </w:pPr>
          </w:p>
        </w:tc>
        <w:tc>
          <w:tcPr>
            <w:tcW w:w="1080" w:type="dxa"/>
            <w:vMerge w:val="continue"/>
            <w:noWrap w:val="0"/>
            <w:vAlign w:val="top"/>
          </w:tcPr>
          <w:p w14:paraId="02B91054">
            <w:pPr>
              <w:rPr>
                <w:rFonts w:ascii="宋体" w:hAnsi="宋体"/>
                <w:color w:val="auto"/>
                <w:szCs w:val="21"/>
                <w:highlight w:val="none"/>
              </w:rPr>
            </w:pPr>
          </w:p>
        </w:tc>
        <w:tc>
          <w:tcPr>
            <w:tcW w:w="1080" w:type="dxa"/>
            <w:vMerge w:val="continue"/>
            <w:noWrap w:val="0"/>
            <w:vAlign w:val="top"/>
          </w:tcPr>
          <w:p w14:paraId="3425082C">
            <w:pPr>
              <w:rPr>
                <w:rFonts w:ascii="宋体" w:hAnsi="宋体"/>
                <w:color w:val="auto"/>
                <w:szCs w:val="21"/>
                <w:highlight w:val="none"/>
              </w:rPr>
            </w:pPr>
          </w:p>
        </w:tc>
        <w:tc>
          <w:tcPr>
            <w:tcW w:w="1440" w:type="dxa"/>
            <w:noWrap w:val="0"/>
            <w:vAlign w:val="center"/>
          </w:tcPr>
          <w:p w14:paraId="134BEA63">
            <w:pPr>
              <w:jc w:val="center"/>
              <w:rPr>
                <w:rFonts w:ascii="宋体" w:hAnsi="宋体"/>
                <w:color w:val="auto"/>
                <w:szCs w:val="21"/>
                <w:highlight w:val="none"/>
              </w:rPr>
            </w:pPr>
            <w:r>
              <w:rPr>
                <w:rFonts w:hint="eastAsia" w:ascii="宋体" w:hAnsi="宋体"/>
                <w:color w:val="auto"/>
                <w:szCs w:val="21"/>
                <w:highlight w:val="none"/>
              </w:rPr>
              <w:t>证书名称</w:t>
            </w:r>
          </w:p>
        </w:tc>
        <w:tc>
          <w:tcPr>
            <w:tcW w:w="1620" w:type="dxa"/>
            <w:noWrap w:val="0"/>
            <w:vAlign w:val="center"/>
          </w:tcPr>
          <w:p w14:paraId="60B69DFF">
            <w:pPr>
              <w:jc w:val="center"/>
              <w:rPr>
                <w:rFonts w:ascii="宋体" w:hAnsi="宋体"/>
                <w:color w:val="auto"/>
                <w:szCs w:val="21"/>
                <w:highlight w:val="none"/>
              </w:rPr>
            </w:pPr>
            <w:r>
              <w:rPr>
                <w:rFonts w:hint="eastAsia" w:ascii="宋体" w:hAnsi="宋体"/>
                <w:color w:val="auto"/>
                <w:szCs w:val="21"/>
                <w:highlight w:val="none"/>
              </w:rPr>
              <w:t>级别</w:t>
            </w:r>
          </w:p>
        </w:tc>
        <w:tc>
          <w:tcPr>
            <w:tcW w:w="1458" w:type="dxa"/>
            <w:noWrap w:val="0"/>
            <w:vAlign w:val="center"/>
          </w:tcPr>
          <w:p w14:paraId="2C33BBB6">
            <w:pPr>
              <w:jc w:val="center"/>
              <w:rPr>
                <w:rFonts w:ascii="宋体" w:hAnsi="宋体"/>
                <w:color w:val="auto"/>
                <w:szCs w:val="21"/>
                <w:highlight w:val="none"/>
              </w:rPr>
            </w:pPr>
            <w:r>
              <w:rPr>
                <w:rFonts w:hint="eastAsia" w:ascii="宋体" w:hAnsi="宋体"/>
                <w:color w:val="auto"/>
                <w:szCs w:val="21"/>
                <w:highlight w:val="none"/>
              </w:rPr>
              <w:t>证号</w:t>
            </w:r>
          </w:p>
        </w:tc>
        <w:tc>
          <w:tcPr>
            <w:tcW w:w="1505" w:type="dxa"/>
            <w:vMerge w:val="continue"/>
            <w:noWrap w:val="0"/>
            <w:vAlign w:val="top"/>
          </w:tcPr>
          <w:p w14:paraId="6BB028A2">
            <w:pPr>
              <w:rPr>
                <w:rFonts w:ascii="宋体" w:hAnsi="宋体"/>
                <w:color w:val="auto"/>
                <w:szCs w:val="21"/>
                <w:highlight w:val="none"/>
              </w:rPr>
            </w:pPr>
          </w:p>
        </w:tc>
      </w:tr>
      <w:tr w14:paraId="1676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14:paraId="6CA77444">
            <w:pPr>
              <w:rPr>
                <w:rFonts w:ascii="宋体" w:hAnsi="宋体"/>
                <w:color w:val="auto"/>
                <w:szCs w:val="21"/>
                <w:highlight w:val="none"/>
              </w:rPr>
            </w:pPr>
          </w:p>
        </w:tc>
        <w:tc>
          <w:tcPr>
            <w:tcW w:w="1080" w:type="dxa"/>
            <w:noWrap w:val="0"/>
            <w:vAlign w:val="top"/>
          </w:tcPr>
          <w:p w14:paraId="10E33D03">
            <w:pPr>
              <w:rPr>
                <w:rFonts w:ascii="宋体" w:hAnsi="宋体"/>
                <w:color w:val="auto"/>
                <w:szCs w:val="21"/>
                <w:highlight w:val="none"/>
              </w:rPr>
            </w:pPr>
          </w:p>
        </w:tc>
        <w:tc>
          <w:tcPr>
            <w:tcW w:w="1080" w:type="dxa"/>
            <w:noWrap w:val="0"/>
            <w:vAlign w:val="top"/>
          </w:tcPr>
          <w:p w14:paraId="6AB1635D">
            <w:pPr>
              <w:rPr>
                <w:rFonts w:ascii="宋体" w:hAnsi="宋体"/>
                <w:color w:val="auto"/>
                <w:szCs w:val="21"/>
                <w:highlight w:val="none"/>
              </w:rPr>
            </w:pPr>
          </w:p>
        </w:tc>
        <w:tc>
          <w:tcPr>
            <w:tcW w:w="1440" w:type="dxa"/>
            <w:noWrap w:val="0"/>
            <w:vAlign w:val="top"/>
          </w:tcPr>
          <w:p w14:paraId="02AAD8F0">
            <w:pPr>
              <w:rPr>
                <w:rFonts w:ascii="宋体" w:hAnsi="宋体"/>
                <w:color w:val="auto"/>
                <w:szCs w:val="21"/>
                <w:highlight w:val="none"/>
              </w:rPr>
            </w:pPr>
          </w:p>
        </w:tc>
        <w:tc>
          <w:tcPr>
            <w:tcW w:w="1620" w:type="dxa"/>
            <w:noWrap w:val="0"/>
            <w:vAlign w:val="top"/>
          </w:tcPr>
          <w:p w14:paraId="40D44284">
            <w:pPr>
              <w:rPr>
                <w:rFonts w:ascii="宋体" w:hAnsi="宋体"/>
                <w:color w:val="auto"/>
                <w:szCs w:val="21"/>
                <w:highlight w:val="none"/>
              </w:rPr>
            </w:pPr>
          </w:p>
        </w:tc>
        <w:tc>
          <w:tcPr>
            <w:tcW w:w="1458" w:type="dxa"/>
            <w:noWrap w:val="0"/>
            <w:vAlign w:val="top"/>
          </w:tcPr>
          <w:p w14:paraId="0402B16E">
            <w:pPr>
              <w:rPr>
                <w:rFonts w:ascii="宋体" w:hAnsi="宋体"/>
                <w:color w:val="auto"/>
                <w:szCs w:val="21"/>
                <w:highlight w:val="none"/>
              </w:rPr>
            </w:pPr>
          </w:p>
        </w:tc>
        <w:tc>
          <w:tcPr>
            <w:tcW w:w="1505" w:type="dxa"/>
            <w:noWrap w:val="0"/>
            <w:vAlign w:val="top"/>
          </w:tcPr>
          <w:p w14:paraId="0AA78879">
            <w:pPr>
              <w:rPr>
                <w:rFonts w:ascii="宋体" w:hAnsi="宋体"/>
                <w:color w:val="auto"/>
                <w:szCs w:val="21"/>
                <w:highlight w:val="none"/>
              </w:rPr>
            </w:pPr>
          </w:p>
        </w:tc>
      </w:tr>
      <w:tr w14:paraId="6C56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1993DA8E">
            <w:pPr>
              <w:rPr>
                <w:rFonts w:ascii="宋体" w:hAnsi="宋体"/>
                <w:color w:val="auto"/>
                <w:szCs w:val="21"/>
                <w:highlight w:val="none"/>
              </w:rPr>
            </w:pPr>
          </w:p>
        </w:tc>
        <w:tc>
          <w:tcPr>
            <w:tcW w:w="1080" w:type="dxa"/>
            <w:noWrap w:val="0"/>
            <w:vAlign w:val="top"/>
          </w:tcPr>
          <w:p w14:paraId="23B257F7">
            <w:pPr>
              <w:rPr>
                <w:rFonts w:ascii="宋体" w:hAnsi="宋体"/>
                <w:color w:val="auto"/>
                <w:szCs w:val="21"/>
                <w:highlight w:val="none"/>
              </w:rPr>
            </w:pPr>
          </w:p>
        </w:tc>
        <w:tc>
          <w:tcPr>
            <w:tcW w:w="1080" w:type="dxa"/>
            <w:noWrap w:val="0"/>
            <w:vAlign w:val="top"/>
          </w:tcPr>
          <w:p w14:paraId="467DA2C5">
            <w:pPr>
              <w:rPr>
                <w:rFonts w:ascii="宋体" w:hAnsi="宋体"/>
                <w:color w:val="auto"/>
                <w:szCs w:val="21"/>
                <w:highlight w:val="none"/>
              </w:rPr>
            </w:pPr>
          </w:p>
        </w:tc>
        <w:tc>
          <w:tcPr>
            <w:tcW w:w="1440" w:type="dxa"/>
            <w:noWrap w:val="0"/>
            <w:vAlign w:val="top"/>
          </w:tcPr>
          <w:p w14:paraId="19767744">
            <w:pPr>
              <w:rPr>
                <w:rFonts w:ascii="宋体" w:hAnsi="宋体"/>
                <w:color w:val="auto"/>
                <w:szCs w:val="21"/>
                <w:highlight w:val="none"/>
              </w:rPr>
            </w:pPr>
          </w:p>
        </w:tc>
        <w:tc>
          <w:tcPr>
            <w:tcW w:w="1620" w:type="dxa"/>
            <w:noWrap w:val="0"/>
            <w:vAlign w:val="top"/>
          </w:tcPr>
          <w:p w14:paraId="266D561E">
            <w:pPr>
              <w:rPr>
                <w:rFonts w:ascii="宋体" w:hAnsi="宋体"/>
                <w:color w:val="auto"/>
                <w:szCs w:val="21"/>
                <w:highlight w:val="none"/>
              </w:rPr>
            </w:pPr>
          </w:p>
        </w:tc>
        <w:tc>
          <w:tcPr>
            <w:tcW w:w="1458" w:type="dxa"/>
            <w:noWrap w:val="0"/>
            <w:vAlign w:val="top"/>
          </w:tcPr>
          <w:p w14:paraId="74A3C424">
            <w:pPr>
              <w:rPr>
                <w:rFonts w:ascii="宋体" w:hAnsi="宋体"/>
                <w:color w:val="auto"/>
                <w:szCs w:val="21"/>
                <w:highlight w:val="none"/>
              </w:rPr>
            </w:pPr>
          </w:p>
        </w:tc>
        <w:tc>
          <w:tcPr>
            <w:tcW w:w="1505" w:type="dxa"/>
            <w:noWrap w:val="0"/>
            <w:vAlign w:val="top"/>
          </w:tcPr>
          <w:p w14:paraId="347D4466">
            <w:pPr>
              <w:rPr>
                <w:rFonts w:ascii="宋体" w:hAnsi="宋体"/>
                <w:color w:val="auto"/>
                <w:szCs w:val="21"/>
                <w:highlight w:val="none"/>
              </w:rPr>
            </w:pPr>
          </w:p>
        </w:tc>
      </w:tr>
      <w:tr w14:paraId="744B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0774869F">
            <w:pPr>
              <w:rPr>
                <w:rFonts w:ascii="宋体" w:hAnsi="宋体"/>
                <w:color w:val="auto"/>
                <w:szCs w:val="21"/>
                <w:highlight w:val="none"/>
              </w:rPr>
            </w:pPr>
          </w:p>
        </w:tc>
        <w:tc>
          <w:tcPr>
            <w:tcW w:w="1080" w:type="dxa"/>
            <w:noWrap w:val="0"/>
            <w:vAlign w:val="top"/>
          </w:tcPr>
          <w:p w14:paraId="7D9F2ABF">
            <w:pPr>
              <w:rPr>
                <w:rFonts w:ascii="宋体" w:hAnsi="宋体"/>
                <w:color w:val="auto"/>
                <w:szCs w:val="21"/>
                <w:highlight w:val="none"/>
              </w:rPr>
            </w:pPr>
          </w:p>
        </w:tc>
        <w:tc>
          <w:tcPr>
            <w:tcW w:w="1080" w:type="dxa"/>
            <w:noWrap w:val="0"/>
            <w:vAlign w:val="top"/>
          </w:tcPr>
          <w:p w14:paraId="3F8F2204">
            <w:pPr>
              <w:rPr>
                <w:rFonts w:ascii="宋体" w:hAnsi="宋体"/>
                <w:color w:val="auto"/>
                <w:szCs w:val="21"/>
                <w:highlight w:val="none"/>
              </w:rPr>
            </w:pPr>
          </w:p>
        </w:tc>
        <w:tc>
          <w:tcPr>
            <w:tcW w:w="1440" w:type="dxa"/>
            <w:noWrap w:val="0"/>
            <w:vAlign w:val="top"/>
          </w:tcPr>
          <w:p w14:paraId="225E7942">
            <w:pPr>
              <w:rPr>
                <w:rFonts w:ascii="宋体" w:hAnsi="宋体"/>
                <w:color w:val="auto"/>
                <w:szCs w:val="21"/>
                <w:highlight w:val="none"/>
              </w:rPr>
            </w:pPr>
          </w:p>
        </w:tc>
        <w:tc>
          <w:tcPr>
            <w:tcW w:w="1620" w:type="dxa"/>
            <w:noWrap w:val="0"/>
            <w:vAlign w:val="top"/>
          </w:tcPr>
          <w:p w14:paraId="15CCA225">
            <w:pPr>
              <w:rPr>
                <w:rFonts w:ascii="宋体" w:hAnsi="宋体"/>
                <w:color w:val="auto"/>
                <w:szCs w:val="21"/>
                <w:highlight w:val="none"/>
              </w:rPr>
            </w:pPr>
          </w:p>
        </w:tc>
        <w:tc>
          <w:tcPr>
            <w:tcW w:w="1458" w:type="dxa"/>
            <w:noWrap w:val="0"/>
            <w:vAlign w:val="top"/>
          </w:tcPr>
          <w:p w14:paraId="6E055233">
            <w:pPr>
              <w:rPr>
                <w:rFonts w:ascii="宋体" w:hAnsi="宋体"/>
                <w:color w:val="auto"/>
                <w:szCs w:val="21"/>
                <w:highlight w:val="none"/>
              </w:rPr>
            </w:pPr>
          </w:p>
        </w:tc>
        <w:tc>
          <w:tcPr>
            <w:tcW w:w="1505" w:type="dxa"/>
            <w:noWrap w:val="0"/>
            <w:vAlign w:val="top"/>
          </w:tcPr>
          <w:p w14:paraId="20B74212">
            <w:pPr>
              <w:rPr>
                <w:rFonts w:ascii="宋体" w:hAnsi="宋体"/>
                <w:color w:val="auto"/>
                <w:szCs w:val="21"/>
                <w:highlight w:val="none"/>
              </w:rPr>
            </w:pPr>
          </w:p>
        </w:tc>
      </w:tr>
      <w:tr w14:paraId="39AF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14:paraId="074A09E3">
            <w:pPr>
              <w:rPr>
                <w:rFonts w:ascii="宋体" w:hAnsi="宋体"/>
                <w:color w:val="auto"/>
                <w:szCs w:val="21"/>
                <w:highlight w:val="none"/>
              </w:rPr>
            </w:pPr>
          </w:p>
        </w:tc>
        <w:tc>
          <w:tcPr>
            <w:tcW w:w="1080" w:type="dxa"/>
            <w:noWrap w:val="0"/>
            <w:vAlign w:val="top"/>
          </w:tcPr>
          <w:p w14:paraId="466474D6">
            <w:pPr>
              <w:rPr>
                <w:rFonts w:ascii="宋体" w:hAnsi="宋体"/>
                <w:color w:val="auto"/>
                <w:szCs w:val="21"/>
                <w:highlight w:val="none"/>
              </w:rPr>
            </w:pPr>
          </w:p>
        </w:tc>
        <w:tc>
          <w:tcPr>
            <w:tcW w:w="1080" w:type="dxa"/>
            <w:noWrap w:val="0"/>
            <w:vAlign w:val="top"/>
          </w:tcPr>
          <w:p w14:paraId="715F51E3">
            <w:pPr>
              <w:rPr>
                <w:rFonts w:ascii="宋体" w:hAnsi="宋体"/>
                <w:color w:val="auto"/>
                <w:szCs w:val="21"/>
                <w:highlight w:val="none"/>
              </w:rPr>
            </w:pPr>
          </w:p>
        </w:tc>
        <w:tc>
          <w:tcPr>
            <w:tcW w:w="1440" w:type="dxa"/>
            <w:noWrap w:val="0"/>
            <w:vAlign w:val="top"/>
          </w:tcPr>
          <w:p w14:paraId="67932FFF">
            <w:pPr>
              <w:rPr>
                <w:rFonts w:ascii="宋体" w:hAnsi="宋体"/>
                <w:color w:val="auto"/>
                <w:szCs w:val="21"/>
                <w:highlight w:val="none"/>
              </w:rPr>
            </w:pPr>
          </w:p>
        </w:tc>
        <w:tc>
          <w:tcPr>
            <w:tcW w:w="1620" w:type="dxa"/>
            <w:noWrap w:val="0"/>
            <w:vAlign w:val="top"/>
          </w:tcPr>
          <w:p w14:paraId="6416E1C2">
            <w:pPr>
              <w:rPr>
                <w:rFonts w:ascii="宋体" w:hAnsi="宋体"/>
                <w:color w:val="auto"/>
                <w:szCs w:val="21"/>
                <w:highlight w:val="none"/>
              </w:rPr>
            </w:pPr>
          </w:p>
        </w:tc>
        <w:tc>
          <w:tcPr>
            <w:tcW w:w="1458" w:type="dxa"/>
            <w:noWrap w:val="0"/>
            <w:vAlign w:val="top"/>
          </w:tcPr>
          <w:p w14:paraId="19081B7D">
            <w:pPr>
              <w:rPr>
                <w:rFonts w:ascii="宋体" w:hAnsi="宋体"/>
                <w:color w:val="auto"/>
                <w:szCs w:val="21"/>
                <w:highlight w:val="none"/>
              </w:rPr>
            </w:pPr>
          </w:p>
        </w:tc>
        <w:tc>
          <w:tcPr>
            <w:tcW w:w="1505" w:type="dxa"/>
            <w:noWrap w:val="0"/>
            <w:vAlign w:val="top"/>
          </w:tcPr>
          <w:p w14:paraId="7B2E2F64">
            <w:pPr>
              <w:rPr>
                <w:rFonts w:ascii="宋体" w:hAnsi="宋体"/>
                <w:color w:val="auto"/>
                <w:szCs w:val="21"/>
                <w:highlight w:val="none"/>
              </w:rPr>
            </w:pPr>
          </w:p>
        </w:tc>
      </w:tr>
      <w:tr w14:paraId="7035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14:paraId="597FEBD9">
            <w:pPr>
              <w:rPr>
                <w:rFonts w:ascii="宋体" w:hAnsi="宋体"/>
                <w:color w:val="auto"/>
                <w:szCs w:val="21"/>
                <w:highlight w:val="none"/>
              </w:rPr>
            </w:pPr>
          </w:p>
        </w:tc>
        <w:tc>
          <w:tcPr>
            <w:tcW w:w="1080" w:type="dxa"/>
            <w:noWrap w:val="0"/>
            <w:vAlign w:val="top"/>
          </w:tcPr>
          <w:p w14:paraId="2DD20A5E">
            <w:pPr>
              <w:rPr>
                <w:rFonts w:ascii="宋体" w:hAnsi="宋体"/>
                <w:color w:val="auto"/>
                <w:szCs w:val="21"/>
                <w:highlight w:val="none"/>
              </w:rPr>
            </w:pPr>
          </w:p>
        </w:tc>
        <w:tc>
          <w:tcPr>
            <w:tcW w:w="1080" w:type="dxa"/>
            <w:noWrap w:val="0"/>
            <w:vAlign w:val="top"/>
          </w:tcPr>
          <w:p w14:paraId="33511F52">
            <w:pPr>
              <w:rPr>
                <w:rFonts w:ascii="宋体" w:hAnsi="宋体"/>
                <w:color w:val="auto"/>
                <w:szCs w:val="21"/>
                <w:highlight w:val="none"/>
              </w:rPr>
            </w:pPr>
          </w:p>
        </w:tc>
        <w:tc>
          <w:tcPr>
            <w:tcW w:w="1440" w:type="dxa"/>
            <w:noWrap w:val="0"/>
            <w:vAlign w:val="top"/>
          </w:tcPr>
          <w:p w14:paraId="7E03994D">
            <w:pPr>
              <w:rPr>
                <w:rFonts w:ascii="宋体" w:hAnsi="宋体"/>
                <w:color w:val="auto"/>
                <w:szCs w:val="21"/>
                <w:highlight w:val="none"/>
              </w:rPr>
            </w:pPr>
          </w:p>
        </w:tc>
        <w:tc>
          <w:tcPr>
            <w:tcW w:w="1620" w:type="dxa"/>
            <w:noWrap w:val="0"/>
            <w:vAlign w:val="top"/>
          </w:tcPr>
          <w:p w14:paraId="162E1484">
            <w:pPr>
              <w:rPr>
                <w:rFonts w:ascii="宋体" w:hAnsi="宋体"/>
                <w:color w:val="auto"/>
                <w:szCs w:val="21"/>
                <w:highlight w:val="none"/>
              </w:rPr>
            </w:pPr>
          </w:p>
        </w:tc>
        <w:tc>
          <w:tcPr>
            <w:tcW w:w="1458" w:type="dxa"/>
            <w:noWrap w:val="0"/>
            <w:vAlign w:val="top"/>
          </w:tcPr>
          <w:p w14:paraId="09D7000F">
            <w:pPr>
              <w:rPr>
                <w:rFonts w:ascii="宋体" w:hAnsi="宋体"/>
                <w:color w:val="auto"/>
                <w:szCs w:val="21"/>
                <w:highlight w:val="none"/>
              </w:rPr>
            </w:pPr>
          </w:p>
        </w:tc>
        <w:tc>
          <w:tcPr>
            <w:tcW w:w="1505" w:type="dxa"/>
            <w:noWrap w:val="0"/>
            <w:vAlign w:val="top"/>
          </w:tcPr>
          <w:p w14:paraId="74D92426">
            <w:pPr>
              <w:rPr>
                <w:rFonts w:ascii="宋体" w:hAnsi="宋体"/>
                <w:color w:val="auto"/>
                <w:szCs w:val="21"/>
                <w:highlight w:val="none"/>
              </w:rPr>
            </w:pPr>
          </w:p>
        </w:tc>
      </w:tr>
      <w:tr w14:paraId="18BF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1532561A">
            <w:pPr>
              <w:rPr>
                <w:rFonts w:ascii="宋体" w:hAnsi="宋体"/>
                <w:color w:val="auto"/>
                <w:szCs w:val="21"/>
                <w:highlight w:val="none"/>
              </w:rPr>
            </w:pPr>
          </w:p>
        </w:tc>
        <w:tc>
          <w:tcPr>
            <w:tcW w:w="1080" w:type="dxa"/>
            <w:noWrap w:val="0"/>
            <w:vAlign w:val="top"/>
          </w:tcPr>
          <w:p w14:paraId="7ED821F7">
            <w:pPr>
              <w:rPr>
                <w:rFonts w:ascii="宋体" w:hAnsi="宋体"/>
                <w:color w:val="auto"/>
                <w:szCs w:val="21"/>
                <w:highlight w:val="none"/>
              </w:rPr>
            </w:pPr>
          </w:p>
        </w:tc>
        <w:tc>
          <w:tcPr>
            <w:tcW w:w="1080" w:type="dxa"/>
            <w:noWrap w:val="0"/>
            <w:vAlign w:val="top"/>
          </w:tcPr>
          <w:p w14:paraId="073018E7">
            <w:pPr>
              <w:rPr>
                <w:rFonts w:ascii="宋体" w:hAnsi="宋体"/>
                <w:color w:val="auto"/>
                <w:szCs w:val="21"/>
                <w:highlight w:val="none"/>
              </w:rPr>
            </w:pPr>
          </w:p>
        </w:tc>
        <w:tc>
          <w:tcPr>
            <w:tcW w:w="1440" w:type="dxa"/>
            <w:noWrap w:val="0"/>
            <w:vAlign w:val="top"/>
          </w:tcPr>
          <w:p w14:paraId="2B19627A">
            <w:pPr>
              <w:rPr>
                <w:rFonts w:ascii="宋体" w:hAnsi="宋体"/>
                <w:color w:val="auto"/>
                <w:szCs w:val="21"/>
                <w:highlight w:val="none"/>
              </w:rPr>
            </w:pPr>
          </w:p>
        </w:tc>
        <w:tc>
          <w:tcPr>
            <w:tcW w:w="1620" w:type="dxa"/>
            <w:noWrap w:val="0"/>
            <w:vAlign w:val="top"/>
          </w:tcPr>
          <w:p w14:paraId="0925B8B9">
            <w:pPr>
              <w:rPr>
                <w:rFonts w:ascii="宋体" w:hAnsi="宋体"/>
                <w:color w:val="auto"/>
                <w:szCs w:val="21"/>
                <w:highlight w:val="none"/>
              </w:rPr>
            </w:pPr>
          </w:p>
        </w:tc>
        <w:tc>
          <w:tcPr>
            <w:tcW w:w="1458" w:type="dxa"/>
            <w:noWrap w:val="0"/>
            <w:vAlign w:val="top"/>
          </w:tcPr>
          <w:p w14:paraId="6D2F2C85">
            <w:pPr>
              <w:rPr>
                <w:rFonts w:ascii="宋体" w:hAnsi="宋体"/>
                <w:color w:val="auto"/>
                <w:szCs w:val="21"/>
                <w:highlight w:val="none"/>
              </w:rPr>
            </w:pPr>
          </w:p>
        </w:tc>
        <w:tc>
          <w:tcPr>
            <w:tcW w:w="1505" w:type="dxa"/>
            <w:noWrap w:val="0"/>
            <w:vAlign w:val="top"/>
          </w:tcPr>
          <w:p w14:paraId="26594B51">
            <w:pPr>
              <w:rPr>
                <w:rFonts w:ascii="宋体" w:hAnsi="宋体"/>
                <w:color w:val="auto"/>
                <w:szCs w:val="21"/>
                <w:highlight w:val="none"/>
              </w:rPr>
            </w:pPr>
          </w:p>
        </w:tc>
      </w:tr>
      <w:tr w14:paraId="5148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12BA9A98">
            <w:pPr>
              <w:rPr>
                <w:rFonts w:ascii="宋体" w:hAnsi="宋体"/>
                <w:color w:val="auto"/>
                <w:szCs w:val="21"/>
                <w:highlight w:val="none"/>
              </w:rPr>
            </w:pPr>
          </w:p>
        </w:tc>
        <w:tc>
          <w:tcPr>
            <w:tcW w:w="1080" w:type="dxa"/>
            <w:noWrap w:val="0"/>
            <w:vAlign w:val="top"/>
          </w:tcPr>
          <w:p w14:paraId="01689964">
            <w:pPr>
              <w:rPr>
                <w:rFonts w:ascii="宋体" w:hAnsi="宋体"/>
                <w:color w:val="auto"/>
                <w:szCs w:val="21"/>
                <w:highlight w:val="none"/>
              </w:rPr>
            </w:pPr>
          </w:p>
        </w:tc>
        <w:tc>
          <w:tcPr>
            <w:tcW w:w="1080" w:type="dxa"/>
            <w:noWrap w:val="0"/>
            <w:vAlign w:val="top"/>
          </w:tcPr>
          <w:p w14:paraId="1CDF0FEB">
            <w:pPr>
              <w:rPr>
                <w:rFonts w:ascii="宋体" w:hAnsi="宋体"/>
                <w:color w:val="auto"/>
                <w:szCs w:val="21"/>
                <w:highlight w:val="none"/>
              </w:rPr>
            </w:pPr>
          </w:p>
        </w:tc>
        <w:tc>
          <w:tcPr>
            <w:tcW w:w="1440" w:type="dxa"/>
            <w:noWrap w:val="0"/>
            <w:vAlign w:val="top"/>
          </w:tcPr>
          <w:p w14:paraId="78E644EE">
            <w:pPr>
              <w:rPr>
                <w:rFonts w:ascii="宋体" w:hAnsi="宋体"/>
                <w:color w:val="auto"/>
                <w:szCs w:val="21"/>
                <w:highlight w:val="none"/>
              </w:rPr>
            </w:pPr>
          </w:p>
        </w:tc>
        <w:tc>
          <w:tcPr>
            <w:tcW w:w="1620" w:type="dxa"/>
            <w:noWrap w:val="0"/>
            <w:vAlign w:val="top"/>
          </w:tcPr>
          <w:p w14:paraId="1F609610">
            <w:pPr>
              <w:rPr>
                <w:rFonts w:ascii="宋体" w:hAnsi="宋体"/>
                <w:color w:val="auto"/>
                <w:szCs w:val="21"/>
                <w:highlight w:val="none"/>
              </w:rPr>
            </w:pPr>
          </w:p>
        </w:tc>
        <w:tc>
          <w:tcPr>
            <w:tcW w:w="1458" w:type="dxa"/>
            <w:noWrap w:val="0"/>
            <w:vAlign w:val="top"/>
          </w:tcPr>
          <w:p w14:paraId="0F036308">
            <w:pPr>
              <w:rPr>
                <w:rFonts w:ascii="宋体" w:hAnsi="宋体"/>
                <w:color w:val="auto"/>
                <w:szCs w:val="21"/>
                <w:highlight w:val="none"/>
              </w:rPr>
            </w:pPr>
          </w:p>
        </w:tc>
        <w:tc>
          <w:tcPr>
            <w:tcW w:w="1505" w:type="dxa"/>
            <w:noWrap w:val="0"/>
            <w:vAlign w:val="top"/>
          </w:tcPr>
          <w:p w14:paraId="7FBA473E">
            <w:pPr>
              <w:rPr>
                <w:rFonts w:ascii="宋体" w:hAnsi="宋体"/>
                <w:color w:val="auto"/>
                <w:szCs w:val="21"/>
                <w:highlight w:val="none"/>
              </w:rPr>
            </w:pPr>
          </w:p>
        </w:tc>
      </w:tr>
      <w:tr w14:paraId="17BC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14:paraId="15794957">
            <w:pPr>
              <w:rPr>
                <w:rFonts w:ascii="宋体" w:hAnsi="宋体"/>
                <w:color w:val="auto"/>
                <w:szCs w:val="21"/>
                <w:highlight w:val="none"/>
              </w:rPr>
            </w:pPr>
          </w:p>
        </w:tc>
        <w:tc>
          <w:tcPr>
            <w:tcW w:w="1080" w:type="dxa"/>
            <w:noWrap w:val="0"/>
            <w:vAlign w:val="top"/>
          </w:tcPr>
          <w:p w14:paraId="76F07B30">
            <w:pPr>
              <w:rPr>
                <w:rFonts w:ascii="宋体" w:hAnsi="宋体"/>
                <w:color w:val="auto"/>
                <w:szCs w:val="21"/>
                <w:highlight w:val="none"/>
              </w:rPr>
            </w:pPr>
          </w:p>
        </w:tc>
        <w:tc>
          <w:tcPr>
            <w:tcW w:w="1080" w:type="dxa"/>
            <w:noWrap w:val="0"/>
            <w:vAlign w:val="top"/>
          </w:tcPr>
          <w:p w14:paraId="6AF24AB4">
            <w:pPr>
              <w:rPr>
                <w:rFonts w:ascii="宋体" w:hAnsi="宋体"/>
                <w:color w:val="auto"/>
                <w:szCs w:val="21"/>
                <w:highlight w:val="none"/>
              </w:rPr>
            </w:pPr>
          </w:p>
        </w:tc>
        <w:tc>
          <w:tcPr>
            <w:tcW w:w="1440" w:type="dxa"/>
            <w:noWrap w:val="0"/>
            <w:vAlign w:val="top"/>
          </w:tcPr>
          <w:p w14:paraId="5F0CB03D">
            <w:pPr>
              <w:rPr>
                <w:rFonts w:ascii="宋体" w:hAnsi="宋体"/>
                <w:color w:val="auto"/>
                <w:szCs w:val="21"/>
                <w:highlight w:val="none"/>
              </w:rPr>
            </w:pPr>
          </w:p>
        </w:tc>
        <w:tc>
          <w:tcPr>
            <w:tcW w:w="1620" w:type="dxa"/>
            <w:noWrap w:val="0"/>
            <w:vAlign w:val="top"/>
          </w:tcPr>
          <w:p w14:paraId="73963658">
            <w:pPr>
              <w:rPr>
                <w:rFonts w:ascii="宋体" w:hAnsi="宋体"/>
                <w:color w:val="auto"/>
                <w:szCs w:val="21"/>
                <w:highlight w:val="none"/>
              </w:rPr>
            </w:pPr>
          </w:p>
        </w:tc>
        <w:tc>
          <w:tcPr>
            <w:tcW w:w="1458" w:type="dxa"/>
            <w:noWrap w:val="0"/>
            <w:vAlign w:val="top"/>
          </w:tcPr>
          <w:p w14:paraId="194BFBDF">
            <w:pPr>
              <w:rPr>
                <w:rFonts w:ascii="宋体" w:hAnsi="宋体"/>
                <w:color w:val="auto"/>
                <w:szCs w:val="21"/>
                <w:highlight w:val="none"/>
              </w:rPr>
            </w:pPr>
          </w:p>
        </w:tc>
        <w:tc>
          <w:tcPr>
            <w:tcW w:w="1505" w:type="dxa"/>
            <w:noWrap w:val="0"/>
            <w:vAlign w:val="top"/>
          </w:tcPr>
          <w:p w14:paraId="506B1A3F">
            <w:pPr>
              <w:rPr>
                <w:rFonts w:ascii="宋体" w:hAnsi="宋体"/>
                <w:color w:val="auto"/>
                <w:szCs w:val="21"/>
                <w:highlight w:val="none"/>
              </w:rPr>
            </w:pPr>
          </w:p>
        </w:tc>
      </w:tr>
      <w:tr w14:paraId="7A9E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39959D5D">
            <w:pPr>
              <w:rPr>
                <w:rFonts w:ascii="宋体" w:hAnsi="宋体"/>
                <w:color w:val="auto"/>
                <w:szCs w:val="21"/>
                <w:highlight w:val="none"/>
              </w:rPr>
            </w:pPr>
          </w:p>
        </w:tc>
        <w:tc>
          <w:tcPr>
            <w:tcW w:w="1080" w:type="dxa"/>
            <w:noWrap w:val="0"/>
            <w:vAlign w:val="top"/>
          </w:tcPr>
          <w:p w14:paraId="76ACB337">
            <w:pPr>
              <w:rPr>
                <w:rFonts w:ascii="宋体" w:hAnsi="宋体"/>
                <w:color w:val="auto"/>
                <w:szCs w:val="21"/>
                <w:highlight w:val="none"/>
              </w:rPr>
            </w:pPr>
          </w:p>
        </w:tc>
        <w:tc>
          <w:tcPr>
            <w:tcW w:w="1080" w:type="dxa"/>
            <w:noWrap w:val="0"/>
            <w:vAlign w:val="top"/>
          </w:tcPr>
          <w:p w14:paraId="4A931AEE">
            <w:pPr>
              <w:rPr>
                <w:rFonts w:ascii="宋体" w:hAnsi="宋体"/>
                <w:color w:val="auto"/>
                <w:szCs w:val="21"/>
                <w:highlight w:val="none"/>
              </w:rPr>
            </w:pPr>
          </w:p>
        </w:tc>
        <w:tc>
          <w:tcPr>
            <w:tcW w:w="1440" w:type="dxa"/>
            <w:noWrap w:val="0"/>
            <w:vAlign w:val="top"/>
          </w:tcPr>
          <w:p w14:paraId="188723B4">
            <w:pPr>
              <w:rPr>
                <w:rFonts w:ascii="宋体" w:hAnsi="宋体"/>
                <w:color w:val="auto"/>
                <w:szCs w:val="21"/>
                <w:highlight w:val="none"/>
              </w:rPr>
            </w:pPr>
          </w:p>
        </w:tc>
        <w:tc>
          <w:tcPr>
            <w:tcW w:w="1620" w:type="dxa"/>
            <w:noWrap w:val="0"/>
            <w:vAlign w:val="top"/>
          </w:tcPr>
          <w:p w14:paraId="4590EA3E">
            <w:pPr>
              <w:rPr>
                <w:rFonts w:ascii="宋体" w:hAnsi="宋体"/>
                <w:color w:val="auto"/>
                <w:szCs w:val="21"/>
                <w:highlight w:val="none"/>
              </w:rPr>
            </w:pPr>
          </w:p>
        </w:tc>
        <w:tc>
          <w:tcPr>
            <w:tcW w:w="1458" w:type="dxa"/>
            <w:noWrap w:val="0"/>
            <w:vAlign w:val="top"/>
          </w:tcPr>
          <w:p w14:paraId="46AB5006">
            <w:pPr>
              <w:rPr>
                <w:rFonts w:ascii="宋体" w:hAnsi="宋体"/>
                <w:color w:val="auto"/>
                <w:szCs w:val="21"/>
                <w:highlight w:val="none"/>
              </w:rPr>
            </w:pPr>
          </w:p>
        </w:tc>
        <w:tc>
          <w:tcPr>
            <w:tcW w:w="1505" w:type="dxa"/>
            <w:noWrap w:val="0"/>
            <w:vAlign w:val="top"/>
          </w:tcPr>
          <w:p w14:paraId="33614E0A">
            <w:pPr>
              <w:rPr>
                <w:rFonts w:ascii="宋体" w:hAnsi="宋体"/>
                <w:color w:val="auto"/>
                <w:szCs w:val="21"/>
                <w:highlight w:val="none"/>
              </w:rPr>
            </w:pPr>
          </w:p>
        </w:tc>
      </w:tr>
      <w:tr w14:paraId="157A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55DAA1A6">
            <w:pPr>
              <w:rPr>
                <w:rFonts w:ascii="宋体" w:hAnsi="宋体"/>
                <w:color w:val="auto"/>
                <w:szCs w:val="21"/>
                <w:highlight w:val="none"/>
              </w:rPr>
            </w:pPr>
          </w:p>
        </w:tc>
        <w:tc>
          <w:tcPr>
            <w:tcW w:w="1080" w:type="dxa"/>
            <w:noWrap w:val="0"/>
            <w:vAlign w:val="top"/>
          </w:tcPr>
          <w:p w14:paraId="35FC86BD">
            <w:pPr>
              <w:rPr>
                <w:rFonts w:ascii="宋体" w:hAnsi="宋体"/>
                <w:color w:val="auto"/>
                <w:szCs w:val="21"/>
                <w:highlight w:val="none"/>
              </w:rPr>
            </w:pPr>
          </w:p>
        </w:tc>
        <w:tc>
          <w:tcPr>
            <w:tcW w:w="1080" w:type="dxa"/>
            <w:noWrap w:val="0"/>
            <w:vAlign w:val="top"/>
          </w:tcPr>
          <w:p w14:paraId="61A9BD1D">
            <w:pPr>
              <w:rPr>
                <w:rFonts w:ascii="宋体" w:hAnsi="宋体"/>
                <w:color w:val="auto"/>
                <w:szCs w:val="21"/>
                <w:highlight w:val="none"/>
              </w:rPr>
            </w:pPr>
          </w:p>
        </w:tc>
        <w:tc>
          <w:tcPr>
            <w:tcW w:w="1440" w:type="dxa"/>
            <w:noWrap w:val="0"/>
            <w:vAlign w:val="top"/>
          </w:tcPr>
          <w:p w14:paraId="5B6938C7">
            <w:pPr>
              <w:rPr>
                <w:rFonts w:ascii="宋体" w:hAnsi="宋体"/>
                <w:color w:val="auto"/>
                <w:szCs w:val="21"/>
                <w:highlight w:val="none"/>
              </w:rPr>
            </w:pPr>
          </w:p>
        </w:tc>
        <w:tc>
          <w:tcPr>
            <w:tcW w:w="1620" w:type="dxa"/>
            <w:noWrap w:val="0"/>
            <w:vAlign w:val="top"/>
          </w:tcPr>
          <w:p w14:paraId="0A880101">
            <w:pPr>
              <w:rPr>
                <w:rFonts w:ascii="宋体" w:hAnsi="宋体"/>
                <w:color w:val="auto"/>
                <w:szCs w:val="21"/>
                <w:highlight w:val="none"/>
              </w:rPr>
            </w:pPr>
          </w:p>
        </w:tc>
        <w:tc>
          <w:tcPr>
            <w:tcW w:w="1458" w:type="dxa"/>
            <w:noWrap w:val="0"/>
            <w:vAlign w:val="top"/>
          </w:tcPr>
          <w:p w14:paraId="152EB179">
            <w:pPr>
              <w:rPr>
                <w:rFonts w:ascii="宋体" w:hAnsi="宋体"/>
                <w:color w:val="auto"/>
                <w:szCs w:val="21"/>
                <w:highlight w:val="none"/>
              </w:rPr>
            </w:pPr>
          </w:p>
        </w:tc>
        <w:tc>
          <w:tcPr>
            <w:tcW w:w="1505" w:type="dxa"/>
            <w:noWrap w:val="0"/>
            <w:vAlign w:val="top"/>
          </w:tcPr>
          <w:p w14:paraId="7CB70232">
            <w:pPr>
              <w:rPr>
                <w:rFonts w:ascii="宋体" w:hAnsi="宋体"/>
                <w:color w:val="auto"/>
                <w:szCs w:val="21"/>
                <w:highlight w:val="none"/>
              </w:rPr>
            </w:pPr>
          </w:p>
        </w:tc>
      </w:tr>
      <w:tr w14:paraId="655A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04C7973D">
            <w:pPr>
              <w:rPr>
                <w:rFonts w:ascii="宋体" w:hAnsi="宋体"/>
                <w:color w:val="auto"/>
                <w:szCs w:val="21"/>
                <w:highlight w:val="none"/>
              </w:rPr>
            </w:pPr>
          </w:p>
        </w:tc>
        <w:tc>
          <w:tcPr>
            <w:tcW w:w="1080" w:type="dxa"/>
            <w:noWrap w:val="0"/>
            <w:vAlign w:val="top"/>
          </w:tcPr>
          <w:p w14:paraId="6011CBEE">
            <w:pPr>
              <w:rPr>
                <w:rFonts w:ascii="宋体" w:hAnsi="宋体"/>
                <w:color w:val="auto"/>
                <w:szCs w:val="21"/>
                <w:highlight w:val="none"/>
              </w:rPr>
            </w:pPr>
          </w:p>
        </w:tc>
        <w:tc>
          <w:tcPr>
            <w:tcW w:w="1080" w:type="dxa"/>
            <w:noWrap w:val="0"/>
            <w:vAlign w:val="top"/>
          </w:tcPr>
          <w:p w14:paraId="0256909F">
            <w:pPr>
              <w:rPr>
                <w:rFonts w:ascii="宋体" w:hAnsi="宋体"/>
                <w:color w:val="auto"/>
                <w:szCs w:val="21"/>
                <w:highlight w:val="none"/>
              </w:rPr>
            </w:pPr>
          </w:p>
        </w:tc>
        <w:tc>
          <w:tcPr>
            <w:tcW w:w="1440" w:type="dxa"/>
            <w:noWrap w:val="0"/>
            <w:vAlign w:val="top"/>
          </w:tcPr>
          <w:p w14:paraId="01206E43">
            <w:pPr>
              <w:rPr>
                <w:rFonts w:ascii="宋体" w:hAnsi="宋体"/>
                <w:color w:val="auto"/>
                <w:szCs w:val="21"/>
                <w:highlight w:val="none"/>
              </w:rPr>
            </w:pPr>
          </w:p>
        </w:tc>
        <w:tc>
          <w:tcPr>
            <w:tcW w:w="1620" w:type="dxa"/>
            <w:noWrap w:val="0"/>
            <w:vAlign w:val="top"/>
          </w:tcPr>
          <w:p w14:paraId="6F2AF18A">
            <w:pPr>
              <w:rPr>
                <w:rFonts w:ascii="宋体" w:hAnsi="宋体"/>
                <w:color w:val="auto"/>
                <w:szCs w:val="21"/>
                <w:highlight w:val="none"/>
              </w:rPr>
            </w:pPr>
          </w:p>
        </w:tc>
        <w:tc>
          <w:tcPr>
            <w:tcW w:w="1458" w:type="dxa"/>
            <w:noWrap w:val="0"/>
            <w:vAlign w:val="top"/>
          </w:tcPr>
          <w:p w14:paraId="4D851595">
            <w:pPr>
              <w:rPr>
                <w:rFonts w:ascii="宋体" w:hAnsi="宋体"/>
                <w:color w:val="auto"/>
                <w:szCs w:val="21"/>
                <w:highlight w:val="none"/>
              </w:rPr>
            </w:pPr>
          </w:p>
        </w:tc>
        <w:tc>
          <w:tcPr>
            <w:tcW w:w="1505" w:type="dxa"/>
            <w:noWrap w:val="0"/>
            <w:vAlign w:val="top"/>
          </w:tcPr>
          <w:p w14:paraId="520F46C1">
            <w:pPr>
              <w:rPr>
                <w:rFonts w:ascii="宋体" w:hAnsi="宋体"/>
                <w:color w:val="auto"/>
                <w:szCs w:val="21"/>
                <w:highlight w:val="none"/>
              </w:rPr>
            </w:pPr>
          </w:p>
        </w:tc>
      </w:tr>
      <w:tr w14:paraId="6355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noWrap w:val="0"/>
            <w:vAlign w:val="top"/>
          </w:tcPr>
          <w:p w14:paraId="5F1A693E">
            <w:pPr>
              <w:rPr>
                <w:rFonts w:ascii="宋体" w:hAnsi="宋体"/>
                <w:color w:val="auto"/>
                <w:szCs w:val="21"/>
                <w:highlight w:val="none"/>
              </w:rPr>
            </w:pPr>
          </w:p>
        </w:tc>
        <w:tc>
          <w:tcPr>
            <w:tcW w:w="1080" w:type="dxa"/>
            <w:noWrap w:val="0"/>
            <w:vAlign w:val="top"/>
          </w:tcPr>
          <w:p w14:paraId="3F006125">
            <w:pPr>
              <w:rPr>
                <w:rFonts w:ascii="宋体" w:hAnsi="宋体"/>
                <w:color w:val="auto"/>
                <w:szCs w:val="21"/>
                <w:highlight w:val="none"/>
              </w:rPr>
            </w:pPr>
          </w:p>
        </w:tc>
        <w:tc>
          <w:tcPr>
            <w:tcW w:w="1080" w:type="dxa"/>
            <w:noWrap w:val="0"/>
            <w:vAlign w:val="top"/>
          </w:tcPr>
          <w:p w14:paraId="1BA5E173">
            <w:pPr>
              <w:rPr>
                <w:rFonts w:ascii="宋体" w:hAnsi="宋体"/>
                <w:color w:val="auto"/>
                <w:szCs w:val="21"/>
                <w:highlight w:val="none"/>
              </w:rPr>
            </w:pPr>
          </w:p>
        </w:tc>
        <w:tc>
          <w:tcPr>
            <w:tcW w:w="1440" w:type="dxa"/>
            <w:noWrap w:val="0"/>
            <w:vAlign w:val="top"/>
          </w:tcPr>
          <w:p w14:paraId="52815E96">
            <w:pPr>
              <w:rPr>
                <w:rFonts w:ascii="宋体" w:hAnsi="宋体"/>
                <w:color w:val="auto"/>
                <w:szCs w:val="21"/>
                <w:highlight w:val="none"/>
              </w:rPr>
            </w:pPr>
          </w:p>
        </w:tc>
        <w:tc>
          <w:tcPr>
            <w:tcW w:w="1620" w:type="dxa"/>
            <w:noWrap w:val="0"/>
            <w:vAlign w:val="top"/>
          </w:tcPr>
          <w:p w14:paraId="2758899C">
            <w:pPr>
              <w:rPr>
                <w:rFonts w:ascii="宋体" w:hAnsi="宋体"/>
                <w:color w:val="auto"/>
                <w:szCs w:val="21"/>
                <w:highlight w:val="none"/>
              </w:rPr>
            </w:pPr>
          </w:p>
        </w:tc>
        <w:tc>
          <w:tcPr>
            <w:tcW w:w="1458" w:type="dxa"/>
            <w:noWrap w:val="0"/>
            <w:vAlign w:val="top"/>
          </w:tcPr>
          <w:p w14:paraId="46647813">
            <w:pPr>
              <w:rPr>
                <w:rFonts w:ascii="宋体" w:hAnsi="宋体"/>
                <w:color w:val="auto"/>
                <w:szCs w:val="21"/>
                <w:highlight w:val="none"/>
              </w:rPr>
            </w:pPr>
          </w:p>
        </w:tc>
        <w:tc>
          <w:tcPr>
            <w:tcW w:w="1505" w:type="dxa"/>
            <w:noWrap w:val="0"/>
            <w:vAlign w:val="top"/>
          </w:tcPr>
          <w:p w14:paraId="5C76685A">
            <w:pPr>
              <w:rPr>
                <w:rFonts w:ascii="宋体" w:hAnsi="宋体"/>
                <w:color w:val="auto"/>
                <w:szCs w:val="21"/>
                <w:highlight w:val="none"/>
              </w:rPr>
            </w:pPr>
          </w:p>
        </w:tc>
      </w:tr>
    </w:tbl>
    <w:p w14:paraId="524A010C">
      <w:pPr>
        <w:rPr>
          <w:rFonts w:ascii="宋体" w:hAnsi="宋体"/>
          <w:color w:val="auto"/>
          <w:sz w:val="24"/>
          <w:szCs w:val="20"/>
          <w:highlight w:val="none"/>
        </w:rPr>
      </w:pPr>
      <w:r>
        <w:rPr>
          <w:rFonts w:hint="eastAsia" w:ascii="宋体" w:hAnsi="宋体"/>
          <w:color w:val="auto"/>
          <w:szCs w:val="21"/>
          <w:highlight w:val="none"/>
        </w:rPr>
        <w:t>注：本表后附各人员</w:t>
      </w:r>
      <w:r>
        <w:rPr>
          <w:rFonts w:hint="eastAsia"/>
          <w:color w:val="auto"/>
          <w:szCs w:val="21"/>
          <w:highlight w:val="none"/>
        </w:rPr>
        <w:t>相关资料</w:t>
      </w:r>
      <w:r>
        <w:rPr>
          <w:rFonts w:hint="eastAsia" w:ascii="宋体" w:hAnsi="宋体"/>
          <w:color w:val="auto"/>
          <w:szCs w:val="21"/>
          <w:highlight w:val="none"/>
        </w:rPr>
        <w:t>复印件。</w:t>
      </w:r>
    </w:p>
    <w:p w14:paraId="66F3C803">
      <w:pPr>
        <w:snapToGrid w:val="0"/>
        <w:spacing w:line="360" w:lineRule="auto"/>
        <w:ind w:firstLine="480"/>
        <w:rPr>
          <w:rFonts w:ascii="宋体" w:hAnsi="宋体"/>
          <w:color w:val="auto"/>
          <w:sz w:val="24"/>
          <w:highlight w:val="none"/>
        </w:rPr>
      </w:pPr>
    </w:p>
    <w:p w14:paraId="206C9059">
      <w:pPr>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法定代表人或授权委托人签名：</w:t>
      </w:r>
      <w:r>
        <w:rPr>
          <w:rFonts w:hint="eastAsia" w:ascii="宋体" w:hAnsi="宋体"/>
          <w:color w:val="auto"/>
          <w:spacing w:val="20"/>
          <w:sz w:val="24"/>
          <w:highlight w:val="none"/>
          <w:u w:val="single"/>
        </w:rPr>
        <w:t xml:space="preserve">            </w:t>
      </w:r>
    </w:p>
    <w:p w14:paraId="0697334F">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供应商全称（盖章）：</w:t>
      </w:r>
      <w:r>
        <w:rPr>
          <w:rFonts w:hint="eastAsia" w:ascii="宋体" w:hAnsi="宋体"/>
          <w:color w:val="auto"/>
          <w:spacing w:val="20"/>
          <w:sz w:val="24"/>
          <w:highlight w:val="none"/>
          <w:u w:val="single"/>
        </w:rPr>
        <w:t xml:space="preserve">                    </w:t>
      </w:r>
    </w:p>
    <w:p w14:paraId="56389C3D">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4F17F801">
      <w:pPr>
        <w:snapToGrid w:val="0"/>
        <w:ind w:firstLine="470" w:firstLineChars="196"/>
        <w:jc w:val="left"/>
        <w:rPr>
          <w:rFonts w:ascii="宋体" w:hAnsi="宋体"/>
          <w:color w:val="auto"/>
          <w:sz w:val="24"/>
          <w:highlight w:val="none"/>
        </w:rPr>
      </w:pPr>
    </w:p>
    <w:p w14:paraId="41A1407B">
      <w:pPr>
        <w:spacing w:line="430" w:lineRule="exact"/>
        <w:rPr>
          <w:rFonts w:hint="eastAsia" w:ascii="宋体" w:hAnsi="宋体" w:cs="宋体"/>
          <w:b/>
          <w:color w:val="auto"/>
          <w:sz w:val="24"/>
          <w:highlight w:val="none"/>
          <w:lang w:val="en-US" w:eastAsia="zh-CN"/>
        </w:rPr>
      </w:pPr>
    </w:p>
    <w:p w14:paraId="4BF9C479">
      <w:pPr>
        <w:spacing w:line="430" w:lineRule="exact"/>
        <w:rPr>
          <w:rFonts w:hint="eastAsia" w:ascii="宋体" w:hAnsi="宋体" w:cs="宋体"/>
          <w:b/>
          <w:color w:val="auto"/>
          <w:sz w:val="24"/>
          <w:highlight w:val="none"/>
          <w:lang w:val="en-US" w:eastAsia="zh-CN"/>
        </w:rPr>
      </w:pPr>
    </w:p>
    <w:p w14:paraId="5738EA82">
      <w:pPr>
        <w:spacing w:line="430" w:lineRule="exact"/>
        <w:rPr>
          <w:rFonts w:hint="eastAsia" w:ascii="宋体" w:hAnsi="宋体" w:cs="宋体"/>
          <w:b/>
          <w:color w:val="auto"/>
          <w:sz w:val="24"/>
          <w:highlight w:val="none"/>
          <w:lang w:val="en-US" w:eastAsia="zh-CN"/>
        </w:rPr>
      </w:pPr>
    </w:p>
    <w:p w14:paraId="2FD1DFDC">
      <w:pPr>
        <w:spacing w:line="430" w:lineRule="exact"/>
        <w:rPr>
          <w:rFonts w:hint="eastAsia" w:ascii="宋体" w:hAnsi="宋体" w:cs="宋体"/>
          <w:b/>
          <w:color w:val="auto"/>
          <w:sz w:val="24"/>
          <w:highlight w:val="none"/>
          <w:lang w:val="en-US" w:eastAsia="zh-CN"/>
        </w:rPr>
      </w:pPr>
    </w:p>
    <w:p w14:paraId="6F5DD68B">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bookmarkStart w:id="76" w:name="_Toc15951"/>
      <w:bookmarkStart w:id="77" w:name="_Toc10587"/>
      <w:r>
        <w:rPr>
          <w:rFonts w:hint="eastAsia" w:ascii="宋体" w:hAnsi="宋体"/>
          <w:bCs/>
          <w:color w:val="auto"/>
          <w:sz w:val="24"/>
          <w:highlight w:val="none"/>
          <w:lang w:val="en-US" w:eastAsia="zh-CN"/>
        </w:rPr>
        <w:t>附件十五：安全</w:t>
      </w:r>
      <w:r>
        <w:rPr>
          <w:rFonts w:hint="default" w:ascii="宋体" w:hAnsi="宋体"/>
          <w:bCs/>
          <w:color w:val="auto"/>
          <w:sz w:val="24"/>
          <w:highlight w:val="none"/>
          <w:lang w:val="en-US" w:eastAsia="zh-CN"/>
        </w:rPr>
        <w:t>承诺</w:t>
      </w:r>
    </w:p>
    <w:p w14:paraId="334F4590">
      <w:pPr>
        <w:snapToGrid w:val="0"/>
        <w:spacing w:before="50" w:after="156" w:afterLines="50"/>
        <w:jc w:val="left"/>
        <w:rPr>
          <w:b/>
          <w:bCs/>
          <w:sz w:val="24"/>
          <w:highlight w:val="none"/>
        </w:rPr>
      </w:pPr>
    </w:p>
    <w:p w14:paraId="627715C1">
      <w:pPr>
        <w:widowControl/>
        <w:snapToGrid/>
        <w:spacing w:before="100" w:beforeAutospacing="1" w:after="190" w:afterLines="0"/>
        <w:jc w:val="center"/>
        <w:rPr>
          <w:rFonts w:hint="default" w:ascii="Arial" w:hAnsi="Arial" w:eastAsia="宋体" w:cs="Arial"/>
          <w:b/>
          <w:bCs/>
          <w:color w:val="auto"/>
          <w:kern w:val="0"/>
          <w:sz w:val="30"/>
          <w:szCs w:val="30"/>
          <w:highlight w:val="none"/>
          <w:lang w:val="en-US"/>
        </w:rPr>
      </w:pPr>
      <w:r>
        <w:rPr>
          <w:rFonts w:hint="eastAsia" w:ascii="Arial" w:hAnsi="Arial" w:cs="Arial"/>
          <w:b/>
          <w:bCs/>
          <w:color w:val="auto"/>
          <w:kern w:val="0"/>
          <w:sz w:val="30"/>
          <w:szCs w:val="30"/>
          <w:highlight w:val="none"/>
          <w:lang w:val="en-US" w:eastAsia="zh-CN"/>
        </w:rPr>
        <w:t>安全</w:t>
      </w:r>
      <w:r>
        <w:rPr>
          <w:rFonts w:hint="default" w:ascii="Arial" w:hAnsi="Arial" w:eastAsia="宋体" w:cs="Arial"/>
          <w:b/>
          <w:bCs/>
          <w:color w:val="auto"/>
          <w:kern w:val="0"/>
          <w:sz w:val="30"/>
          <w:szCs w:val="30"/>
          <w:highlight w:val="none"/>
          <w:lang w:val="en-US" w:eastAsia="zh-CN"/>
        </w:rPr>
        <w:t>承诺</w:t>
      </w:r>
      <w:r>
        <w:rPr>
          <w:rFonts w:hint="eastAsia" w:ascii="Arial" w:hAnsi="Arial" w:cs="Arial"/>
          <w:b/>
          <w:bCs/>
          <w:color w:val="auto"/>
          <w:kern w:val="0"/>
          <w:sz w:val="30"/>
          <w:szCs w:val="30"/>
          <w:highlight w:val="none"/>
          <w:lang w:val="en-US" w:eastAsia="zh-CN"/>
        </w:rPr>
        <w:t>书</w:t>
      </w:r>
    </w:p>
    <w:p w14:paraId="1BF3B31F">
      <w:pPr>
        <w:widowControl/>
        <w:spacing w:before="100" w:beforeAutospacing="1" w:after="190" w:line="480" w:lineRule="auto"/>
        <w:jc w:val="left"/>
        <w:rPr>
          <w:rFonts w:ascii="Arial" w:hAnsi="Arial" w:cs="Arial"/>
          <w:b/>
          <w:kern w:val="0"/>
          <w:sz w:val="24"/>
          <w:highlight w:val="none"/>
        </w:rPr>
      </w:pPr>
      <w:r>
        <w:rPr>
          <w:rFonts w:hint="eastAsia" w:ascii="Arial" w:hAnsi="Arial" w:cs="Arial"/>
          <w:b/>
          <w:kern w:val="0"/>
          <w:sz w:val="24"/>
          <w:highlight w:val="none"/>
          <w:u w:val="single"/>
          <w:lang w:eastAsia="zh-CN"/>
        </w:rPr>
        <w:t>东阳市南马镇中心小学</w:t>
      </w:r>
      <w:r>
        <w:rPr>
          <w:rFonts w:ascii="Arial" w:hAnsi="Arial" w:cs="Arial"/>
          <w:b/>
          <w:kern w:val="0"/>
          <w:sz w:val="24"/>
          <w:highlight w:val="none"/>
        </w:rPr>
        <w:t>：</w:t>
      </w:r>
    </w:p>
    <w:p w14:paraId="6549D4BB">
      <w:pPr>
        <w:spacing w:line="480" w:lineRule="auto"/>
        <w:ind w:firstLine="480" w:firstLineChars="200"/>
        <w:rPr>
          <w:sz w:val="24"/>
          <w:highlight w:val="none"/>
        </w:rPr>
      </w:pPr>
      <w:r>
        <w:rPr>
          <w:kern w:val="0"/>
          <w:sz w:val="24"/>
          <w:highlight w:val="none"/>
        </w:rPr>
        <w:t>我公司自愿参与贵</w:t>
      </w:r>
      <w:r>
        <w:rPr>
          <w:rFonts w:hint="eastAsia"/>
          <w:kern w:val="0"/>
          <w:sz w:val="24"/>
          <w:highlight w:val="none"/>
          <w:lang w:val="en-US" w:eastAsia="zh-CN"/>
        </w:rPr>
        <w:t>单位</w:t>
      </w:r>
      <w:r>
        <w:rPr>
          <w:kern w:val="0"/>
          <w:sz w:val="24"/>
          <w:highlight w:val="none"/>
        </w:rPr>
        <w:t>的</w:t>
      </w:r>
      <w:r>
        <w:rPr>
          <w:rFonts w:hint="eastAsia"/>
          <w:b/>
          <w:bCs/>
          <w:kern w:val="0"/>
          <w:sz w:val="24"/>
          <w:highlight w:val="none"/>
          <w:u w:val="single"/>
        </w:rPr>
        <w:t xml:space="preserve"> </w:t>
      </w:r>
      <w:r>
        <w:rPr>
          <w:rFonts w:hint="eastAsia"/>
          <w:b/>
          <w:bCs/>
          <w:kern w:val="0"/>
          <w:sz w:val="24"/>
          <w:highlight w:val="none"/>
          <w:u w:val="single"/>
          <w:lang w:val="en-US" w:eastAsia="zh-CN"/>
        </w:rPr>
        <w:t>南马镇中心小学校舍及道路改造项目</w:t>
      </w:r>
      <w:r>
        <w:rPr>
          <w:rFonts w:hint="eastAsia"/>
          <w:b/>
          <w:kern w:val="0"/>
          <w:sz w:val="24"/>
          <w:highlight w:val="none"/>
          <w:u w:val="single"/>
        </w:rPr>
        <w:t>（招标编号：</w:t>
      </w:r>
      <w:r>
        <w:rPr>
          <w:rFonts w:hint="eastAsia"/>
          <w:b/>
          <w:kern w:val="0"/>
          <w:sz w:val="24"/>
          <w:highlight w:val="none"/>
          <w:u w:val="single"/>
          <w:lang w:val="en-US" w:eastAsia="zh-CN"/>
        </w:rPr>
        <w:t>JHZZGC2025-002</w:t>
      </w:r>
      <w:r>
        <w:rPr>
          <w:rFonts w:hint="eastAsia"/>
          <w:b/>
          <w:kern w:val="0"/>
          <w:sz w:val="24"/>
          <w:highlight w:val="none"/>
          <w:u w:val="single"/>
        </w:rPr>
        <w:t>）</w:t>
      </w:r>
      <w:r>
        <w:rPr>
          <w:kern w:val="0"/>
          <w:sz w:val="24"/>
          <w:highlight w:val="none"/>
        </w:rPr>
        <w:t>采购活动</w:t>
      </w:r>
      <w:r>
        <w:rPr>
          <w:rFonts w:hint="eastAsia"/>
          <w:kern w:val="0"/>
          <w:sz w:val="24"/>
          <w:highlight w:val="none"/>
          <w:lang w:eastAsia="zh-CN"/>
        </w:rPr>
        <w:t>，</w:t>
      </w:r>
      <w:r>
        <w:rPr>
          <w:sz w:val="24"/>
          <w:highlight w:val="none"/>
        </w:rPr>
        <w:t>郑重承诺：如</w:t>
      </w:r>
      <w:r>
        <w:rPr>
          <w:rFonts w:hint="eastAsia"/>
          <w:sz w:val="24"/>
          <w:highlight w:val="none"/>
          <w:lang w:val="en-US" w:eastAsia="zh-CN"/>
        </w:rPr>
        <w:t>我公司有幸中标</w:t>
      </w:r>
      <w:r>
        <w:rPr>
          <w:sz w:val="24"/>
          <w:highlight w:val="none"/>
        </w:rPr>
        <w:t>，</w:t>
      </w:r>
      <w:r>
        <w:rPr>
          <w:rFonts w:hint="eastAsia"/>
          <w:sz w:val="24"/>
          <w:highlight w:val="none"/>
          <w:lang w:val="en-US" w:eastAsia="zh-CN"/>
        </w:rPr>
        <w:t>一定按招标文件要求</w:t>
      </w:r>
      <w:r>
        <w:rPr>
          <w:rFonts w:hint="eastAsia" w:ascii="宋体" w:hAnsi="宋体" w:eastAsia="宋体" w:cs="宋体"/>
          <w:b/>
          <w:bCs/>
          <w:spacing w:val="0"/>
          <w:sz w:val="24"/>
          <w:szCs w:val="24"/>
          <w:highlight w:val="none"/>
          <w:lang w:eastAsia="zh-CN"/>
        </w:rPr>
        <w:t>组织有相当</w:t>
      </w:r>
      <w:r>
        <w:rPr>
          <w:rFonts w:hint="eastAsia" w:ascii="宋体" w:hAnsi="宋体" w:eastAsia="宋体" w:cs="宋体"/>
          <w:b/>
          <w:bCs/>
          <w:spacing w:val="0"/>
          <w:sz w:val="24"/>
          <w:szCs w:val="24"/>
          <w:highlight w:val="none"/>
          <w:lang w:val="en-US" w:eastAsia="zh-CN"/>
        </w:rPr>
        <w:t>改造</w:t>
      </w:r>
      <w:r>
        <w:rPr>
          <w:rFonts w:hint="eastAsia" w:ascii="宋体" w:hAnsi="宋体" w:eastAsia="宋体" w:cs="宋体"/>
          <w:b/>
          <w:bCs/>
          <w:spacing w:val="0"/>
          <w:sz w:val="24"/>
          <w:szCs w:val="24"/>
          <w:highlight w:val="none"/>
          <w:lang w:eastAsia="zh-CN"/>
        </w:rPr>
        <w:t>技能的服务人员</w:t>
      </w:r>
      <w:r>
        <w:rPr>
          <w:rFonts w:hint="eastAsia" w:ascii="宋体" w:hAnsi="宋体" w:eastAsia="宋体" w:cs="宋体"/>
          <w:b/>
          <w:bCs/>
          <w:spacing w:val="0"/>
          <w:sz w:val="24"/>
          <w:szCs w:val="24"/>
          <w:highlight w:val="none"/>
        </w:rPr>
        <w:t>，且</w:t>
      </w:r>
      <w:r>
        <w:rPr>
          <w:rFonts w:hint="eastAsia" w:ascii="宋体" w:hAnsi="宋体" w:eastAsia="宋体" w:cs="宋体"/>
          <w:b/>
          <w:bCs/>
          <w:spacing w:val="0"/>
          <w:sz w:val="24"/>
          <w:szCs w:val="24"/>
          <w:highlight w:val="none"/>
          <w:lang w:val="en-US" w:eastAsia="zh-CN"/>
        </w:rPr>
        <w:t>承诺对投入项目现场的相关人员投保相关人身意外伤害等险种</w:t>
      </w:r>
      <w:r>
        <w:rPr>
          <w:rFonts w:hint="eastAsia" w:ascii="宋体" w:hAnsi="宋体" w:eastAsia="宋体" w:cs="宋体"/>
          <w:b/>
          <w:bCs/>
          <w:spacing w:val="0"/>
          <w:sz w:val="24"/>
          <w:szCs w:val="24"/>
          <w:highlight w:val="none"/>
        </w:rPr>
        <w:t>，保额不低于</w:t>
      </w:r>
      <w:r>
        <w:rPr>
          <w:rFonts w:hint="eastAsia" w:ascii="宋体" w:hAnsi="宋体" w:cs="宋体"/>
          <w:b/>
          <w:bCs/>
          <w:spacing w:val="0"/>
          <w:sz w:val="24"/>
          <w:szCs w:val="24"/>
          <w:highlight w:val="none"/>
          <w:lang w:val="en-US" w:eastAsia="zh-CN"/>
        </w:rPr>
        <w:t>100</w:t>
      </w:r>
      <w:r>
        <w:rPr>
          <w:rFonts w:hint="eastAsia" w:ascii="宋体" w:hAnsi="宋体" w:eastAsia="宋体" w:cs="宋体"/>
          <w:b/>
          <w:bCs/>
          <w:spacing w:val="0"/>
          <w:sz w:val="24"/>
          <w:szCs w:val="24"/>
          <w:highlight w:val="none"/>
        </w:rPr>
        <w:t>万</w:t>
      </w:r>
      <w:r>
        <w:rPr>
          <w:rFonts w:hint="eastAsia" w:ascii="宋体" w:hAnsi="宋体" w:eastAsia="宋体" w:cs="宋体"/>
          <w:b/>
          <w:bCs/>
          <w:color w:val="auto"/>
          <w:spacing w:val="0"/>
          <w:sz w:val="24"/>
          <w:szCs w:val="24"/>
          <w:highlight w:val="none"/>
        </w:rPr>
        <w:t>元</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lang w:val="en-US" w:eastAsia="zh-CN"/>
        </w:rPr>
        <w:t>在接受单个整</w:t>
      </w:r>
      <w:r>
        <w:rPr>
          <w:rFonts w:hint="eastAsia" w:ascii="宋体" w:hAnsi="宋体" w:cs="宋体"/>
          <w:b/>
          <w:bCs/>
          <w:color w:val="auto"/>
          <w:spacing w:val="0"/>
          <w:sz w:val="24"/>
          <w:szCs w:val="24"/>
          <w:highlight w:val="none"/>
          <w:lang w:val="en-US" w:eastAsia="zh-CN"/>
        </w:rPr>
        <w:t>改</w:t>
      </w:r>
      <w:r>
        <w:rPr>
          <w:rFonts w:hint="eastAsia" w:ascii="宋体" w:hAnsi="宋体" w:eastAsia="宋体" w:cs="宋体"/>
          <w:b/>
          <w:bCs/>
          <w:color w:val="auto"/>
          <w:spacing w:val="0"/>
          <w:sz w:val="24"/>
          <w:szCs w:val="24"/>
          <w:highlight w:val="none"/>
          <w:lang w:val="en-US" w:eastAsia="zh-CN"/>
        </w:rPr>
        <w:t>项目前将相关人员的投保保单复印件（加盖本公司公章）交到贵单位。若违反此项承诺，我公司</w:t>
      </w:r>
      <w:r>
        <w:rPr>
          <w:sz w:val="24"/>
          <w:highlight w:val="none"/>
        </w:rPr>
        <w:t>愿接受</w:t>
      </w:r>
      <w:r>
        <w:rPr>
          <w:rFonts w:hint="eastAsia"/>
          <w:sz w:val="24"/>
          <w:highlight w:val="none"/>
          <w:lang w:val="en-US" w:eastAsia="zh-CN"/>
        </w:rPr>
        <w:t>采购人及</w:t>
      </w:r>
      <w:r>
        <w:rPr>
          <w:sz w:val="24"/>
          <w:highlight w:val="none"/>
        </w:rPr>
        <w:t>政府采购监管等部门给予相关处罚并承担法律责任。</w:t>
      </w:r>
    </w:p>
    <w:p w14:paraId="20BB0EAB">
      <w:pPr>
        <w:snapToGrid w:val="0"/>
        <w:spacing w:before="50" w:after="156" w:afterLines="50" w:line="480" w:lineRule="auto"/>
        <w:jc w:val="left"/>
        <w:rPr>
          <w:b/>
          <w:sz w:val="24"/>
          <w:highlight w:val="none"/>
        </w:rPr>
      </w:pPr>
    </w:p>
    <w:p w14:paraId="0FFB35F8">
      <w:pPr>
        <w:spacing w:line="480" w:lineRule="auto"/>
        <w:ind w:firstLine="5760" w:firstLineChars="2400"/>
        <w:rPr>
          <w:sz w:val="24"/>
          <w:highlight w:val="none"/>
        </w:rPr>
      </w:pPr>
      <w:r>
        <w:rPr>
          <w:rFonts w:hint="eastAsia"/>
          <w:sz w:val="24"/>
          <w:highlight w:val="none"/>
          <w:lang w:val="en-US" w:eastAsia="zh-CN"/>
        </w:rPr>
        <w:t>承诺人</w:t>
      </w:r>
      <w:r>
        <w:rPr>
          <w:rFonts w:hint="eastAsia"/>
          <w:sz w:val="24"/>
          <w:highlight w:val="none"/>
        </w:rPr>
        <w:t>：</w:t>
      </w:r>
      <w:r>
        <w:rPr>
          <w:rFonts w:hint="eastAsia"/>
          <w:sz w:val="24"/>
          <w:highlight w:val="none"/>
          <w:lang w:val="en-US" w:eastAsia="zh-CN"/>
        </w:rPr>
        <w:t xml:space="preserve">   </w:t>
      </w:r>
      <w:r>
        <w:rPr>
          <w:sz w:val="24"/>
          <w:highlight w:val="none"/>
        </w:rPr>
        <w:t>（公司名称</w:t>
      </w:r>
      <w:r>
        <w:rPr>
          <w:rFonts w:hint="eastAsia"/>
          <w:sz w:val="24"/>
          <w:highlight w:val="none"/>
          <w:lang w:val="en-US" w:eastAsia="zh-CN"/>
        </w:rPr>
        <w:t>并</w:t>
      </w:r>
      <w:r>
        <w:rPr>
          <w:sz w:val="24"/>
          <w:highlight w:val="none"/>
        </w:rPr>
        <w:t>盖章）</w:t>
      </w:r>
    </w:p>
    <w:p w14:paraId="168253C7">
      <w:pPr>
        <w:spacing w:line="480" w:lineRule="auto"/>
        <w:ind w:firstLine="5760" w:firstLineChars="2400"/>
        <w:rPr>
          <w:rFonts w:ascii="宋体" w:hAnsi="宋体"/>
          <w:b/>
          <w:sz w:val="24"/>
          <w:highlight w:val="none"/>
        </w:rPr>
      </w:pPr>
      <w:r>
        <w:rPr>
          <w:sz w:val="24"/>
          <w:highlight w:val="none"/>
        </w:rPr>
        <w:t>年</w:t>
      </w:r>
      <w:r>
        <w:rPr>
          <w:rFonts w:hint="eastAsia"/>
          <w:sz w:val="24"/>
          <w:highlight w:val="none"/>
          <w:lang w:val="en-US" w:eastAsia="zh-CN"/>
        </w:rPr>
        <w:t xml:space="preserve">  </w:t>
      </w:r>
      <w:r>
        <w:rPr>
          <w:sz w:val="24"/>
          <w:highlight w:val="none"/>
        </w:rPr>
        <w:t xml:space="preserve"> 月 日</w:t>
      </w:r>
    </w:p>
    <w:p w14:paraId="0F5072AC">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附件十六：同类项目业绩</w:t>
      </w:r>
      <w:bookmarkEnd w:id="76"/>
      <w:bookmarkEnd w:id="77"/>
    </w:p>
    <w:p w14:paraId="649B6CE2">
      <w:pPr>
        <w:widowControl/>
        <w:jc w:val="left"/>
        <w:rPr>
          <w:rFonts w:ascii="宋体" w:hAnsi="宋体" w:cs="宋体"/>
          <w:color w:val="auto"/>
          <w:kern w:val="0"/>
          <w:sz w:val="24"/>
          <w:szCs w:val="20"/>
          <w:highlight w:val="none"/>
        </w:rPr>
      </w:pPr>
    </w:p>
    <w:p w14:paraId="4EF575B3">
      <w:pPr>
        <w:widowControl/>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同类项目业绩</w:t>
      </w:r>
    </w:p>
    <w:p w14:paraId="2B7F97B5">
      <w:pPr>
        <w:outlineLvl w:val="9"/>
        <w:rPr>
          <w:color w:val="auto"/>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11B4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noWrap w:val="0"/>
            <w:vAlign w:val="center"/>
          </w:tcPr>
          <w:p w14:paraId="1EFCC077">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312" w:type="dxa"/>
            <w:noWrap w:val="0"/>
            <w:vAlign w:val="center"/>
          </w:tcPr>
          <w:p w14:paraId="739B1BA3">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4D9C2A5A">
            <w:pPr>
              <w:jc w:val="center"/>
              <w:rPr>
                <w:rFonts w:ascii="宋体" w:hAnsi="宋体" w:cs="宋体"/>
                <w:color w:val="auto"/>
                <w:sz w:val="24"/>
                <w:highlight w:val="none"/>
                <w:lang w:val="zh-CN"/>
              </w:rPr>
            </w:pPr>
            <w:r>
              <w:rPr>
                <w:rFonts w:hint="eastAsia" w:ascii="宋体" w:hAnsi="宋体" w:cs="宋体"/>
                <w:color w:val="auto"/>
                <w:sz w:val="24"/>
                <w:highlight w:val="none"/>
                <w:lang w:val="zh-CN"/>
              </w:rPr>
              <w:t>类型</w:t>
            </w:r>
          </w:p>
        </w:tc>
        <w:tc>
          <w:tcPr>
            <w:tcW w:w="1312" w:type="dxa"/>
            <w:noWrap w:val="0"/>
            <w:vAlign w:val="center"/>
          </w:tcPr>
          <w:p w14:paraId="1B23D36C">
            <w:pPr>
              <w:jc w:val="center"/>
              <w:rPr>
                <w:rFonts w:ascii="宋体" w:hAnsi="宋体" w:cs="宋体"/>
                <w:color w:val="auto"/>
                <w:sz w:val="24"/>
                <w:highlight w:val="none"/>
                <w:lang w:val="zh-CN"/>
              </w:rPr>
            </w:pPr>
            <w:r>
              <w:rPr>
                <w:rFonts w:hint="eastAsia" w:ascii="宋体" w:hAnsi="宋体" w:cs="宋体"/>
                <w:color w:val="auto"/>
                <w:sz w:val="24"/>
                <w:highlight w:val="none"/>
                <w:lang w:val="zh-CN"/>
              </w:rPr>
              <w:t>简要描述</w:t>
            </w:r>
          </w:p>
        </w:tc>
        <w:tc>
          <w:tcPr>
            <w:tcW w:w="1312" w:type="dxa"/>
            <w:noWrap w:val="0"/>
            <w:vAlign w:val="center"/>
          </w:tcPr>
          <w:p w14:paraId="56B99938">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1876FB9D">
            <w:pPr>
              <w:jc w:val="center"/>
              <w:rPr>
                <w:rFonts w:ascii="宋体" w:hAnsi="宋体" w:cs="宋体"/>
                <w:color w:val="auto"/>
                <w:sz w:val="24"/>
                <w:highlight w:val="none"/>
                <w:lang w:val="zh-CN"/>
              </w:rPr>
            </w:pPr>
            <w:r>
              <w:rPr>
                <w:rFonts w:hint="eastAsia" w:ascii="宋体" w:hAnsi="宋体" w:cs="宋体"/>
                <w:color w:val="auto"/>
                <w:sz w:val="24"/>
                <w:highlight w:val="none"/>
                <w:lang w:val="zh-CN"/>
              </w:rPr>
              <w:t>金额</w:t>
            </w:r>
          </w:p>
          <w:p w14:paraId="7272F37C">
            <w:pPr>
              <w:jc w:val="center"/>
              <w:rPr>
                <w:rFonts w:ascii="宋体" w:hAnsi="宋体" w:cs="宋体"/>
                <w:color w:val="auto"/>
                <w:sz w:val="24"/>
                <w:highlight w:val="none"/>
                <w:lang w:val="zh-CN"/>
              </w:rPr>
            </w:pPr>
            <w:r>
              <w:rPr>
                <w:rFonts w:hint="eastAsia" w:ascii="宋体" w:hAnsi="宋体" w:cs="宋体"/>
                <w:color w:val="auto"/>
                <w:sz w:val="24"/>
                <w:highlight w:val="none"/>
                <w:lang w:val="zh-CN"/>
              </w:rPr>
              <w:t>（万元）</w:t>
            </w:r>
          </w:p>
        </w:tc>
        <w:tc>
          <w:tcPr>
            <w:tcW w:w="1312" w:type="dxa"/>
            <w:noWrap w:val="0"/>
            <w:vAlign w:val="center"/>
          </w:tcPr>
          <w:p w14:paraId="209A0575">
            <w:pPr>
              <w:jc w:val="center"/>
              <w:rPr>
                <w:rFonts w:ascii="宋体" w:hAnsi="宋体" w:cs="宋体"/>
                <w:color w:val="auto"/>
                <w:sz w:val="24"/>
                <w:highlight w:val="none"/>
                <w:lang w:val="zh-CN"/>
              </w:rPr>
            </w:pPr>
            <w:r>
              <w:rPr>
                <w:rFonts w:hint="eastAsia" w:ascii="宋体" w:hAnsi="宋体" w:cs="宋体"/>
                <w:color w:val="auto"/>
                <w:sz w:val="24"/>
                <w:highlight w:val="none"/>
                <w:lang w:val="zh-CN"/>
              </w:rPr>
              <w:t>实施时间</w:t>
            </w:r>
          </w:p>
        </w:tc>
        <w:tc>
          <w:tcPr>
            <w:tcW w:w="1312" w:type="dxa"/>
            <w:noWrap w:val="0"/>
            <w:vAlign w:val="center"/>
          </w:tcPr>
          <w:p w14:paraId="2F2E8FD2">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项目单位、联系人及电话</w:t>
            </w:r>
          </w:p>
        </w:tc>
        <w:tc>
          <w:tcPr>
            <w:tcW w:w="1313" w:type="dxa"/>
            <w:noWrap w:val="0"/>
            <w:vAlign w:val="center"/>
          </w:tcPr>
          <w:p w14:paraId="5E800F5A">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项目完成情况</w:t>
            </w:r>
          </w:p>
        </w:tc>
      </w:tr>
      <w:tr w14:paraId="7531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noWrap w:val="0"/>
            <w:vAlign w:val="center"/>
          </w:tcPr>
          <w:p w14:paraId="7E2F224A">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6D69597B">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9F9FBE2">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D7D9582">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F6F77FD">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36686429">
            <w:pPr>
              <w:autoSpaceDE w:val="0"/>
              <w:autoSpaceDN w:val="0"/>
              <w:adjustRightInd w:val="0"/>
              <w:spacing w:line="360" w:lineRule="auto"/>
              <w:jc w:val="center"/>
              <w:rPr>
                <w:rFonts w:ascii="宋体" w:hAnsi="宋体" w:cs="宋体"/>
                <w:color w:val="auto"/>
                <w:sz w:val="24"/>
                <w:highlight w:val="none"/>
                <w:lang w:val="zh-CN"/>
              </w:rPr>
            </w:pPr>
          </w:p>
        </w:tc>
        <w:tc>
          <w:tcPr>
            <w:tcW w:w="1313" w:type="dxa"/>
            <w:noWrap w:val="0"/>
            <w:vAlign w:val="center"/>
          </w:tcPr>
          <w:p w14:paraId="422260CF">
            <w:pPr>
              <w:autoSpaceDE w:val="0"/>
              <w:autoSpaceDN w:val="0"/>
              <w:adjustRightInd w:val="0"/>
              <w:spacing w:line="360" w:lineRule="auto"/>
              <w:jc w:val="center"/>
              <w:rPr>
                <w:rFonts w:ascii="宋体" w:hAnsi="宋体" w:cs="宋体"/>
                <w:color w:val="auto"/>
                <w:sz w:val="24"/>
                <w:highlight w:val="none"/>
                <w:lang w:val="zh-CN"/>
              </w:rPr>
            </w:pPr>
          </w:p>
        </w:tc>
      </w:tr>
      <w:tr w14:paraId="6743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noWrap w:val="0"/>
            <w:vAlign w:val="center"/>
          </w:tcPr>
          <w:p w14:paraId="4A6E2E85">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66C6C99">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0F6485F">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1FD90BB3">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35516F07">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0273B25C">
            <w:pPr>
              <w:autoSpaceDE w:val="0"/>
              <w:autoSpaceDN w:val="0"/>
              <w:adjustRightInd w:val="0"/>
              <w:spacing w:line="360" w:lineRule="auto"/>
              <w:jc w:val="center"/>
              <w:rPr>
                <w:rFonts w:ascii="宋体" w:hAnsi="宋体" w:cs="宋体"/>
                <w:color w:val="auto"/>
                <w:sz w:val="24"/>
                <w:highlight w:val="none"/>
                <w:lang w:val="zh-CN"/>
              </w:rPr>
            </w:pPr>
          </w:p>
        </w:tc>
        <w:tc>
          <w:tcPr>
            <w:tcW w:w="1313" w:type="dxa"/>
            <w:noWrap w:val="0"/>
            <w:vAlign w:val="center"/>
          </w:tcPr>
          <w:p w14:paraId="139CDC42">
            <w:pPr>
              <w:autoSpaceDE w:val="0"/>
              <w:autoSpaceDN w:val="0"/>
              <w:adjustRightInd w:val="0"/>
              <w:spacing w:line="360" w:lineRule="auto"/>
              <w:jc w:val="center"/>
              <w:rPr>
                <w:rFonts w:ascii="宋体" w:hAnsi="宋体" w:cs="宋体"/>
                <w:color w:val="auto"/>
                <w:sz w:val="24"/>
                <w:highlight w:val="none"/>
                <w:lang w:val="zh-CN"/>
              </w:rPr>
            </w:pPr>
          </w:p>
        </w:tc>
      </w:tr>
      <w:tr w14:paraId="300D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noWrap w:val="0"/>
            <w:vAlign w:val="center"/>
          </w:tcPr>
          <w:p w14:paraId="73051618">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7A8646ED">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79AFAB3A">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52619A5B">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7CF8D49D">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74C2800B">
            <w:pPr>
              <w:autoSpaceDE w:val="0"/>
              <w:autoSpaceDN w:val="0"/>
              <w:adjustRightInd w:val="0"/>
              <w:spacing w:line="360" w:lineRule="auto"/>
              <w:jc w:val="center"/>
              <w:rPr>
                <w:rFonts w:ascii="宋体" w:hAnsi="宋体" w:cs="宋体"/>
                <w:color w:val="auto"/>
                <w:sz w:val="24"/>
                <w:highlight w:val="none"/>
                <w:lang w:val="zh-CN"/>
              </w:rPr>
            </w:pPr>
          </w:p>
        </w:tc>
        <w:tc>
          <w:tcPr>
            <w:tcW w:w="1313" w:type="dxa"/>
            <w:noWrap w:val="0"/>
            <w:vAlign w:val="center"/>
          </w:tcPr>
          <w:p w14:paraId="5D0DE3FB">
            <w:pPr>
              <w:autoSpaceDE w:val="0"/>
              <w:autoSpaceDN w:val="0"/>
              <w:adjustRightInd w:val="0"/>
              <w:spacing w:line="360" w:lineRule="auto"/>
              <w:jc w:val="center"/>
              <w:rPr>
                <w:rFonts w:ascii="宋体" w:hAnsi="宋体" w:cs="宋体"/>
                <w:color w:val="auto"/>
                <w:sz w:val="24"/>
                <w:highlight w:val="none"/>
                <w:lang w:val="zh-CN"/>
              </w:rPr>
            </w:pPr>
          </w:p>
        </w:tc>
      </w:tr>
      <w:tr w14:paraId="41F0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noWrap w:val="0"/>
            <w:vAlign w:val="center"/>
          </w:tcPr>
          <w:p w14:paraId="1FF7A558">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33FB4DA3">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CAC247A">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5D7D84D9">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5184E1DD">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07A6EAF5">
            <w:pPr>
              <w:autoSpaceDE w:val="0"/>
              <w:autoSpaceDN w:val="0"/>
              <w:adjustRightInd w:val="0"/>
              <w:spacing w:line="360" w:lineRule="auto"/>
              <w:jc w:val="center"/>
              <w:rPr>
                <w:rFonts w:ascii="宋体" w:hAnsi="宋体" w:cs="宋体"/>
                <w:color w:val="auto"/>
                <w:sz w:val="24"/>
                <w:highlight w:val="none"/>
                <w:lang w:val="zh-CN"/>
              </w:rPr>
            </w:pPr>
          </w:p>
        </w:tc>
        <w:tc>
          <w:tcPr>
            <w:tcW w:w="1313" w:type="dxa"/>
            <w:noWrap w:val="0"/>
            <w:vAlign w:val="center"/>
          </w:tcPr>
          <w:p w14:paraId="000C1941">
            <w:pPr>
              <w:autoSpaceDE w:val="0"/>
              <w:autoSpaceDN w:val="0"/>
              <w:adjustRightInd w:val="0"/>
              <w:spacing w:line="360" w:lineRule="auto"/>
              <w:jc w:val="center"/>
              <w:rPr>
                <w:rFonts w:ascii="宋体" w:hAnsi="宋体" w:cs="宋体"/>
                <w:color w:val="auto"/>
                <w:sz w:val="24"/>
                <w:highlight w:val="none"/>
                <w:lang w:val="zh-CN"/>
              </w:rPr>
            </w:pPr>
          </w:p>
        </w:tc>
      </w:tr>
      <w:tr w14:paraId="76DF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noWrap w:val="0"/>
            <w:vAlign w:val="center"/>
          </w:tcPr>
          <w:p w14:paraId="6172FF45">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612597FB">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063E0598">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549EA3AE">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70842402">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5EC89533">
            <w:pPr>
              <w:autoSpaceDE w:val="0"/>
              <w:autoSpaceDN w:val="0"/>
              <w:adjustRightInd w:val="0"/>
              <w:spacing w:line="360" w:lineRule="auto"/>
              <w:jc w:val="center"/>
              <w:rPr>
                <w:rFonts w:ascii="宋体" w:hAnsi="宋体" w:cs="宋体"/>
                <w:color w:val="auto"/>
                <w:sz w:val="24"/>
                <w:highlight w:val="none"/>
                <w:lang w:val="zh-CN"/>
              </w:rPr>
            </w:pPr>
          </w:p>
        </w:tc>
        <w:tc>
          <w:tcPr>
            <w:tcW w:w="1313" w:type="dxa"/>
            <w:noWrap w:val="0"/>
            <w:vAlign w:val="center"/>
          </w:tcPr>
          <w:p w14:paraId="4A07FB41">
            <w:pPr>
              <w:autoSpaceDE w:val="0"/>
              <w:autoSpaceDN w:val="0"/>
              <w:adjustRightInd w:val="0"/>
              <w:spacing w:line="360" w:lineRule="auto"/>
              <w:jc w:val="center"/>
              <w:rPr>
                <w:rFonts w:ascii="宋体" w:hAnsi="宋体" w:cs="宋体"/>
                <w:color w:val="auto"/>
                <w:sz w:val="24"/>
                <w:highlight w:val="none"/>
                <w:lang w:val="zh-CN"/>
              </w:rPr>
            </w:pPr>
          </w:p>
        </w:tc>
      </w:tr>
      <w:tr w14:paraId="4DB1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noWrap w:val="0"/>
            <w:vAlign w:val="center"/>
          </w:tcPr>
          <w:p w14:paraId="43906D43">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7A4BFB71">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0597EB4">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5952C63D">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2437E4AA">
            <w:pPr>
              <w:autoSpaceDE w:val="0"/>
              <w:autoSpaceDN w:val="0"/>
              <w:adjustRightInd w:val="0"/>
              <w:spacing w:line="360" w:lineRule="auto"/>
              <w:jc w:val="center"/>
              <w:rPr>
                <w:rFonts w:ascii="宋体" w:hAnsi="宋体" w:cs="宋体"/>
                <w:color w:val="auto"/>
                <w:sz w:val="24"/>
                <w:highlight w:val="none"/>
                <w:lang w:val="zh-CN"/>
              </w:rPr>
            </w:pPr>
          </w:p>
        </w:tc>
        <w:tc>
          <w:tcPr>
            <w:tcW w:w="1312" w:type="dxa"/>
            <w:noWrap w:val="0"/>
            <w:vAlign w:val="center"/>
          </w:tcPr>
          <w:p w14:paraId="1B43BC35">
            <w:pPr>
              <w:autoSpaceDE w:val="0"/>
              <w:autoSpaceDN w:val="0"/>
              <w:adjustRightInd w:val="0"/>
              <w:spacing w:line="360" w:lineRule="auto"/>
              <w:jc w:val="center"/>
              <w:rPr>
                <w:rFonts w:ascii="宋体" w:hAnsi="宋体" w:cs="宋体"/>
                <w:color w:val="auto"/>
                <w:sz w:val="24"/>
                <w:highlight w:val="none"/>
                <w:lang w:val="zh-CN"/>
              </w:rPr>
            </w:pPr>
          </w:p>
        </w:tc>
        <w:tc>
          <w:tcPr>
            <w:tcW w:w="1313" w:type="dxa"/>
            <w:noWrap w:val="0"/>
            <w:vAlign w:val="center"/>
          </w:tcPr>
          <w:p w14:paraId="35E498F6">
            <w:pPr>
              <w:autoSpaceDE w:val="0"/>
              <w:autoSpaceDN w:val="0"/>
              <w:adjustRightInd w:val="0"/>
              <w:spacing w:line="360" w:lineRule="auto"/>
              <w:jc w:val="center"/>
              <w:rPr>
                <w:rFonts w:ascii="宋体" w:hAnsi="宋体" w:cs="宋体"/>
                <w:color w:val="auto"/>
                <w:sz w:val="24"/>
                <w:highlight w:val="none"/>
                <w:lang w:val="zh-CN"/>
              </w:rPr>
            </w:pPr>
          </w:p>
        </w:tc>
      </w:tr>
    </w:tbl>
    <w:p w14:paraId="09C7C086">
      <w:pPr>
        <w:snapToGrid w:val="0"/>
        <w:spacing w:line="360" w:lineRule="auto"/>
        <w:rPr>
          <w:rFonts w:ascii="宋体" w:hAnsi="宋体" w:cs="宋体"/>
          <w:b/>
          <w:color w:val="auto"/>
          <w:szCs w:val="21"/>
          <w:highlight w:val="none"/>
        </w:rPr>
      </w:pPr>
    </w:p>
    <w:p w14:paraId="2D040EDC">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注：1、各供应商可以根据各自业绩量准备充分的表格，此页后须附证明材料。</w:t>
      </w:r>
    </w:p>
    <w:p w14:paraId="25FFDB16">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2、供应商须真实仔细地填写本表格。</w:t>
      </w:r>
    </w:p>
    <w:p w14:paraId="56BD711B">
      <w:pPr>
        <w:widowControl/>
        <w:jc w:val="left"/>
        <w:rPr>
          <w:rFonts w:ascii="宋体" w:hAnsi="宋体" w:cs="宋体"/>
          <w:color w:val="auto"/>
          <w:kern w:val="0"/>
          <w:sz w:val="24"/>
          <w:szCs w:val="20"/>
          <w:highlight w:val="none"/>
        </w:rPr>
      </w:pPr>
    </w:p>
    <w:p w14:paraId="186BAD9B">
      <w:pPr>
        <w:widowControl/>
        <w:jc w:val="left"/>
        <w:rPr>
          <w:rFonts w:ascii="宋体" w:hAnsi="宋体" w:cs="宋体"/>
          <w:color w:val="auto"/>
          <w:kern w:val="0"/>
          <w:sz w:val="24"/>
          <w:szCs w:val="20"/>
          <w:highlight w:val="none"/>
        </w:rPr>
      </w:pPr>
    </w:p>
    <w:p w14:paraId="2DF0F6F0">
      <w:pPr>
        <w:widowControl/>
        <w:jc w:val="left"/>
        <w:rPr>
          <w:rFonts w:ascii="宋体" w:hAnsi="宋体" w:cs="宋体"/>
          <w:color w:val="auto"/>
          <w:kern w:val="0"/>
          <w:sz w:val="24"/>
          <w:szCs w:val="20"/>
          <w:highlight w:val="none"/>
        </w:rPr>
      </w:pPr>
    </w:p>
    <w:p w14:paraId="61A0671D">
      <w:pPr>
        <w:pStyle w:val="10"/>
        <w:overflowPunct w:val="0"/>
        <w:spacing w:line="360" w:lineRule="auto"/>
        <w:ind w:right="420" w:firstLine="3300" w:firstLineChars="1375"/>
        <w:rPr>
          <w:rFonts w:ascii="宋体" w:hAnsi="宋体" w:cs="宋体"/>
          <w:color w:val="auto"/>
          <w:sz w:val="24"/>
          <w:szCs w:val="24"/>
          <w:highlight w:val="none"/>
        </w:rPr>
      </w:pPr>
      <w:r>
        <w:rPr>
          <w:rFonts w:hint="eastAsia" w:ascii="宋体" w:hAnsi="宋体" w:cs="宋体"/>
          <w:color w:val="auto"/>
          <w:sz w:val="24"/>
          <w:szCs w:val="24"/>
          <w:highlight w:val="none"/>
        </w:rPr>
        <w:t>供应商（单位盖章）：</w:t>
      </w:r>
    </w:p>
    <w:p w14:paraId="59C66468">
      <w:pPr>
        <w:pStyle w:val="10"/>
        <w:overflowPunct w:val="0"/>
        <w:spacing w:line="360" w:lineRule="auto"/>
        <w:ind w:right="420"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法定代表人或委托代理人（签字或盖章）：                         </w:t>
      </w:r>
    </w:p>
    <w:p w14:paraId="1D4606D8">
      <w:pPr>
        <w:spacing w:beforeLines="50" w:line="360" w:lineRule="auto"/>
        <w:ind w:right="-21" w:rightChars="-1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587571B5">
      <w:pPr>
        <w:widowControl/>
        <w:jc w:val="left"/>
        <w:rPr>
          <w:rFonts w:ascii="宋体" w:hAnsi="宋体" w:cs="宋体"/>
          <w:color w:val="auto"/>
          <w:kern w:val="0"/>
          <w:sz w:val="24"/>
          <w:szCs w:val="20"/>
          <w:highlight w:val="none"/>
        </w:rPr>
      </w:pPr>
    </w:p>
    <w:p w14:paraId="124D3058">
      <w:pPr>
        <w:spacing w:line="430" w:lineRule="exact"/>
        <w:rPr>
          <w:rFonts w:hint="eastAsia" w:ascii="宋体" w:hAnsi="宋体" w:cs="宋体"/>
          <w:b/>
          <w:color w:val="auto"/>
          <w:sz w:val="24"/>
          <w:highlight w:val="none"/>
          <w:lang w:val="en-US" w:eastAsia="zh-CN"/>
        </w:rPr>
      </w:pPr>
    </w:p>
    <w:p w14:paraId="0A8F5365">
      <w:pPr>
        <w:spacing w:line="430" w:lineRule="exact"/>
        <w:rPr>
          <w:rFonts w:hint="eastAsia" w:ascii="宋体" w:hAnsi="宋体" w:cs="宋体"/>
          <w:b/>
          <w:color w:val="auto"/>
          <w:sz w:val="24"/>
          <w:highlight w:val="none"/>
          <w:lang w:val="en-US" w:eastAsia="zh-CN"/>
        </w:rPr>
      </w:pPr>
    </w:p>
    <w:p w14:paraId="19EED0FD">
      <w:pPr>
        <w:spacing w:line="430" w:lineRule="exact"/>
        <w:rPr>
          <w:rFonts w:hint="eastAsia" w:ascii="宋体" w:hAnsi="宋体" w:cs="宋体"/>
          <w:b/>
          <w:color w:val="auto"/>
          <w:sz w:val="24"/>
          <w:highlight w:val="none"/>
          <w:lang w:val="en-US" w:eastAsia="zh-CN"/>
        </w:rPr>
      </w:pPr>
    </w:p>
    <w:p w14:paraId="5A609545">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bookmarkStart w:id="78" w:name="_Toc16028"/>
      <w:bookmarkStart w:id="79" w:name="_Toc834"/>
      <w:bookmarkStart w:id="80" w:name="_Toc26142"/>
      <w:bookmarkStart w:id="81" w:name="_Toc10463"/>
      <w:r>
        <w:rPr>
          <w:rFonts w:hint="eastAsia" w:ascii="宋体" w:hAnsi="宋体"/>
          <w:bCs/>
          <w:color w:val="auto"/>
          <w:sz w:val="24"/>
          <w:highlight w:val="none"/>
          <w:lang w:val="en-US" w:eastAsia="zh-CN"/>
        </w:rPr>
        <w:t>附件十七：安全生产及其他承诺函</w:t>
      </w:r>
      <w:bookmarkEnd w:id="78"/>
      <w:bookmarkEnd w:id="79"/>
      <w:bookmarkEnd w:id="80"/>
      <w:bookmarkEnd w:id="81"/>
    </w:p>
    <w:p w14:paraId="369991A9">
      <w:pPr>
        <w:snapToGrid w:val="0"/>
        <w:spacing w:before="50" w:afterLines="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安全生产及其他承诺函</w:t>
      </w:r>
    </w:p>
    <w:p w14:paraId="08221AF7">
      <w:pPr>
        <w:snapToGrid w:val="0"/>
        <w:spacing w:before="50" w:afterLines="50"/>
        <w:jc w:val="left"/>
        <w:rPr>
          <w:rFonts w:hint="eastAsia" w:ascii="宋体" w:hAnsi="宋体" w:cs="宋体"/>
          <w:b/>
          <w:color w:val="auto"/>
          <w:sz w:val="24"/>
          <w:highlight w:val="none"/>
        </w:rPr>
      </w:pPr>
    </w:p>
    <w:p w14:paraId="352F6DD6">
      <w:pPr>
        <w:spacing w:line="360" w:lineRule="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致：</w:t>
      </w:r>
      <w:r>
        <w:rPr>
          <w:rFonts w:hint="eastAsia" w:ascii="宋体" w:hAnsi="宋体" w:cs="宋体"/>
          <w:color w:val="auto"/>
          <w:sz w:val="28"/>
          <w:szCs w:val="28"/>
          <w:highlight w:val="none"/>
          <w:u w:val="single"/>
          <w:lang w:val="en-US" w:eastAsia="zh-CN"/>
        </w:rPr>
        <w:t xml:space="preserve">                </w:t>
      </w:r>
      <w:r>
        <w:rPr>
          <w:rFonts w:hint="eastAsia" w:ascii="宋体" w:hAnsi="宋体"/>
          <w:color w:val="auto"/>
          <w:sz w:val="22"/>
          <w:szCs w:val="22"/>
          <w:highlight w:val="none"/>
        </w:rPr>
        <w:t>（</w:t>
      </w:r>
      <w:r>
        <w:rPr>
          <w:rFonts w:hint="eastAsia" w:ascii="宋体" w:hAnsi="宋体"/>
          <w:color w:val="auto"/>
          <w:sz w:val="24"/>
          <w:szCs w:val="24"/>
          <w:highlight w:val="none"/>
        </w:rPr>
        <w:t>招标采</w:t>
      </w:r>
      <w:r>
        <w:rPr>
          <w:rFonts w:hint="eastAsia" w:ascii="宋体" w:hAnsi="宋体"/>
          <w:sz w:val="24"/>
          <w:szCs w:val="24"/>
          <w:highlight w:val="none"/>
        </w:rPr>
        <w:t>购单位名称）</w:t>
      </w:r>
      <w:r>
        <w:rPr>
          <w:rFonts w:hint="eastAsia" w:ascii="宋体" w:hAnsi="宋体"/>
          <w:sz w:val="24"/>
          <w:szCs w:val="24"/>
          <w:highlight w:val="none"/>
          <w:lang w:eastAsia="zh-CN"/>
        </w:rPr>
        <w:t>：</w:t>
      </w:r>
    </w:p>
    <w:p w14:paraId="39C345CA">
      <w:pPr>
        <w:spacing w:line="360" w:lineRule="auto"/>
        <w:ind w:firstLine="560" w:firstLineChars="200"/>
        <w:rPr>
          <w:rFonts w:hint="eastAsia" w:ascii="宋体" w:hAnsi="宋体" w:cs="宋体"/>
          <w:color w:val="auto"/>
          <w:sz w:val="28"/>
          <w:szCs w:val="28"/>
          <w:highlight w:val="none"/>
        </w:rPr>
      </w:pPr>
      <w:r>
        <w:rPr>
          <w:rFonts w:hint="eastAsia" w:ascii="宋体" w:hAnsi="宋体"/>
          <w:color w:val="auto"/>
          <w:sz w:val="28"/>
          <w:szCs w:val="28"/>
          <w:highlight w:val="none"/>
        </w:rPr>
        <w:t>根据贵方</w:t>
      </w:r>
      <w:r>
        <w:rPr>
          <w:rFonts w:hint="eastAsia" w:ascii="宋体" w:hAnsi="宋体"/>
          <w:color w:val="auto"/>
          <w:sz w:val="28"/>
          <w:szCs w:val="28"/>
          <w:highlight w:val="none"/>
          <w:u w:val="single"/>
        </w:rPr>
        <w:t xml:space="preserve">                        项目</w:t>
      </w:r>
      <w:r>
        <w:rPr>
          <w:rFonts w:hint="eastAsia" w:ascii="宋体" w:hAnsi="宋体"/>
          <w:color w:val="auto"/>
          <w:sz w:val="28"/>
          <w:szCs w:val="28"/>
          <w:highlight w:val="none"/>
          <w:lang w:val="en-US" w:eastAsia="zh-CN"/>
        </w:rPr>
        <w:t>磋商</w:t>
      </w:r>
      <w:r>
        <w:rPr>
          <w:rFonts w:hint="eastAsia" w:ascii="宋体" w:hAnsi="宋体"/>
          <w:color w:val="auto"/>
          <w:sz w:val="28"/>
          <w:szCs w:val="28"/>
          <w:highlight w:val="none"/>
        </w:rPr>
        <w:t>公告（项目编号：</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），签字代表</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（全名）经正式授权并代表</w:t>
      </w:r>
      <w:r>
        <w:rPr>
          <w:rFonts w:hint="eastAsia" w:ascii="宋体" w:hAnsi="宋体"/>
          <w:color w:val="auto"/>
          <w:sz w:val="28"/>
          <w:szCs w:val="28"/>
          <w:highlight w:val="none"/>
          <w:lang w:val="en-US" w:eastAsia="zh-CN"/>
        </w:rPr>
        <w:t>供应商</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供应商</w:t>
      </w:r>
      <w:r>
        <w:rPr>
          <w:rFonts w:hint="eastAsia" w:ascii="宋体" w:hAnsi="宋体"/>
          <w:color w:val="auto"/>
          <w:sz w:val="28"/>
          <w:szCs w:val="28"/>
          <w:highlight w:val="none"/>
        </w:rPr>
        <w:t>名称）作出如下承诺：</w:t>
      </w:r>
    </w:p>
    <w:p w14:paraId="31862843">
      <w:pPr>
        <w:spacing w:line="360" w:lineRule="auto"/>
        <w:ind w:firstLine="560" w:firstLineChars="200"/>
        <w:rPr>
          <w:rFonts w:hint="eastAsia" w:ascii="宋体" w:hAnsi="宋体"/>
          <w:color w:val="auto"/>
          <w:sz w:val="28"/>
          <w:szCs w:val="28"/>
          <w:highlight w:val="none"/>
        </w:rPr>
      </w:pPr>
    </w:p>
    <w:p w14:paraId="0E2BD29B">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（1）我方承诺本项目在验收合格前所发生的一切经济、安全及其他责任事故以及验收合格后因</w:t>
      </w:r>
      <w:r>
        <w:rPr>
          <w:rFonts w:hint="eastAsia" w:ascii="宋体" w:hAnsi="宋体"/>
          <w:color w:val="auto"/>
          <w:sz w:val="28"/>
          <w:szCs w:val="28"/>
          <w:highlight w:val="none"/>
          <w:lang w:val="en-US" w:eastAsia="zh-CN"/>
        </w:rPr>
        <w:t>中标人</w:t>
      </w:r>
      <w:r>
        <w:rPr>
          <w:rFonts w:hint="eastAsia" w:ascii="宋体" w:hAnsi="宋体"/>
          <w:color w:val="auto"/>
          <w:sz w:val="28"/>
          <w:szCs w:val="28"/>
          <w:highlight w:val="none"/>
        </w:rPr>
        <w:t>原因导致的一切事故及损失均由我公司承担，与采购人无关。</w:t>
      </w:r>
    </w:p>
    <w:p w14:paraId="36A5FE43">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（2）工期按</w:t>
      </w:r>
      <w:r>
        <w:rPr>
          <w:rFonts w:hint="eastAsia" w:ascii="宋体" w:hAnsi="宋体"/>
          <w:color w:val="auto"/>
          <w:sz w:val="28"/>
          <w:szCs w:val="28"/>
          <w:highlight w:val="none"/>
          <w:lang w:val="en-US" w:eastAsia="zh-CN"/>
        </w:rPr>
        <w:t>招标</w:t>
      </w:r>
      <w:r>
        <w:rPr>
          <w:rFonts w:hint="eastAsia" w:ascii="宋体" w:hAnsi="宋体"/>
          <w:color w:val="auto"/>
          <w:sz w:val="28"/>
          <w:szCs w:val="28"/>
          <w:highlight w:val="none"/>
        </w:rPr>
        <w:t>文件规定实行，如工期延误的，由我公司承担全部损失。</w:t>
      </w:r>
    </w:p>
    <w:p w14:paraId="1C83FDB8">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（3）在施工过程中产生的垃圾，由我公司清运、处置。</w:t>
      </w:r>
    </w:p>
    <w:p w14:paraId="5BB5470E">
      <w:pPr>
        <w:rPr>
          <w:rFonts w:hint="eastAsia" w:ascii="宋体" w:hAnsi="宋体" w:cs="宋体"/>
          <w:color w:val="auto"/>
          <w:sz w:val="28"/>
          <w:szCs w:val="28"/>
          <w:highlight w:val="none"/>
        </w:rPr>
      </w:pPr>
    </w:p>
    <w:p w14:paraId="5AEF75B8">
      <w:pPr>
        <w:spacing w:line="360" w:lineRule="auto"/>
        <w:rPr>
          <w:rFonts w:hint="eastAsia" w:ascii="宋体" w:hAnsi="宋体" w:cs="宋体"/>
          <w:color w:val="auto"/>
          <w:sz w:val="28"/>
          <w:szCs w:val="28"/>
          <w:highlight w:val="none"/>
        </w:rPr>
      </w:pPr>
    </w:p>
    <w:p w14:paraId="61A0CFB2">
      <w:pPr>
        <w:spacing w:line="360" w:lineRule="auto"/>
        <w:ind w:firstLine="560" w:firstLineChars="200"/>
        <w:rPr>
          <w:rFonts w:hint="eastAsia" w:ascii="宋体" w:hAnsi="宋体"/>
          <w:color w:val="auto"/>
          <w:sz w:val="28"/>
          <w:szCs w:val="28"/>
          <w:highlight w:val="none"/>
        </w:rPr>
      </w:pPr>
    </w:p>
    <w:p w14:paraId="26509838">
      <w:pPr>
        <w:spacing w:line="360" w:lineRule="auto"/>
        <w:ind w:firstLine="3920" w:firstLineChars="1400"/>
        <w:rPr>
          <w:rFonts w:hint="eastAsia" w:ascii="宋体" w:hAnsi="宋体"/>
          <w:color w:val="auto"/>
          <w:sz w:val="28"/>
          <w:szCs w:val="28"/>
          <w:highlight w:val="none"/>
        </w:rPr>
      </w:pPr>
      <w:r>
        <w:rPr>
          <w:rFonts w:hint="eastAsia" w:ascii="宋体" w:hAnsi="宋体"/>
          <w:color w:val="auto"/>
          <w:sz w:val="28"/>
          <w:szCs w:val="28"/>
          <w:highlight w:val="none"/>
          <w:lang w:val="en-US" w:eastAsia="zh-CN"/>
        </w:rPr>
        <w:t>供应商</w:t>
      </w:r>
      <w:r>
        <w:rPr>
          <w:rFonts w:hint="eastAsia" w:ascii="宋体" w:hAnsi="宋体"/>
          <w:color w:val="auto"/>
          <w:sz w:val="28"/>
          <w:szCs w:val="28"/>
          <w:highlight w:val="none"/>
        </w:rPr>
        <w:t>（单位盖章）：</w:t>
      </w:r>
    </w:p>
    <w:p w14:paraId="6CB1529F">
      <w:pPr>
        <w:spacing w:line="360" w:lineRule="auto"/>
        <w:ind w:firstLine="3920" w:firstLineChars="1400"/>
        <w:rPr>
          <w:rFonts w:hint="eastAsia" w:ascii="宋体" w:hAnsi="宋体" w:cs="宋体"/>
          <w:color w:val="auto"/>
          <w:sz w:val="24"/>
          <w:szCs w:val="24"/>
          <w:highlight w:val="none"/>
        </w:rPr>
      </w:pPr>
      <w:r>
        <w:rPr>
          <w:rFonts w:hint="eastAsia" w:ascii="宋体" w:hAnsi="宋体"/>
          <w:color w:val="auto"/>
          <w:sz w:val="28"/>
          <w:szCs w:val="28"/>
          <w:highlight w:val="none"/>
        </w:rPr>
        <w:t xml:space="preserve">法定代表人或委托代理人（签字或盖章）：   </w:t>
      </w:r>
      <w:r>
        <w:rPr>
          <w:rFonts w:hint="eastAsia" w:ascii="宋体" w:hAnsi="宋体" w:cs="宋体"/>
          <w:color w:val="auto"/>
          <w:sz w:val="24"/>
          <w:szCs w:val="24"/>
          <w:highlight w:val="none"/>
        </w:rPr>
        <w:t xml:space="preserve">                      </w:t>
      </w:r>
    </w:p>
    <w:p w14:paraId="3391F12C">
      <w:pPr>
        <w:spacing w:line="360" w:lineRule="auto"/>
        <w:ind w:firstLine="4480" w:firstLineChars="16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年  月  日</w:t>
      </w:r>
    </w:p>
    <w:p w14:paraId="500BFE21">
      <w:pPr>
        <w:rPr>
          <w:rFonts w:ascii="宋体" w:hAnsi="宋体" w:cs="宋体"/>
          <w:b/>
          <w:bCs/>
          <w:color w:val="auto"/>
          <w:sz w:val="24"/>
          <w:szCs w:val="32"/>
          <w:highlight w:val="none"/>
        </w:rPr>
      </w:pPr>
    </w:p>
    <w:p w14:paraId="0A317175">
      <w:pPr>
        <w:widowControl/>
        <w:spacing w:line="560" w:lineRule="exact"/>
        <w:ind w:firstLine="4080" w:firstLineChars="1700"/>
        <w:rPr>
          <w:rFonts w:ascii="宋体" w:hAnsi="宋体"/>
          <w:color w:val="auto"/>
          <w:sz w:val="24"/>
          <w:highlight w:val="none"/>
        </w:rPr>
      </w:pPr>
    </w:p>
    <w:p w14:paraId="3BF22C75">
      <w:pPr>
        <w:spacing w:line="430" w:lineRule="exact"/>
        <w:rPr>
          <w:rFonts w:hint="eastAsia" w:ascii="宋体" w:hAnsi="宋体" w:cs="宋体"/>
          <w:b/>
          <w:color w:val="auto"/>
          <w:sz w:val="24"/>
          <w:highlight w:val="none"/>
          <w:lang w:val="en-US" w:eastAsia="zh-CN"/>
        </w:rPr>
      </w:pPr>
    </w:p>
    <w:p w14:paraId="487AA9DE">
      <w:pPr>
        <w:spacing w:line="430" w:lineRule="exact"/>
        <w:rPr>
          <w:rFonts w:hint="eastAsia" w:ascii="宋体" w:hAnsi="宋体" w:cs="宋体"/>
          <w:b/>
          <w:color w:val="auto"/>
          <w:sz w:val="24"/>
          <w:highlight w:val="none"/>
          <w:lang w:val="en-US" w:eastAsia="zh-CN"/>
        </w:rPr>
      </w:pPr>
    </w:p>
    <w:p w14:paraId="60D34142">
      <w:pPr>
        <w:spacing w:line="430" w:lineRule="exact"/>
        <w:rPr>
          <w:rFonts w:hint="eastAsia" w:ascii="宋体" w:hAnsi="宋体" w:cs="宋体"/>
          <w:b/>
          <w:color w:val="auto"/>
          <w:sz w:val="24"/>
          <w:highlight w:val="none"/>
          <w:lang w:val="en-US" w:eastAsia="zh-CN"/>
        </w:rPr>
      </w:pPr>
    </w:p>
    <w:p w14:paraId="08512F0F">
      <w:pPr>
        <w:spacing w:line="430" w:lineRule="exact"/>
        <w:rPr>
          <w:rFonts w:hint="eastAsia" w:ascii="宋体" w:hAnsi="宋体" w:cs="宋体"/>
          <w:b/>
          <w:color w:val="auto"/>
          <w:sz w:val="24"/>
          <w:highlight w:val="none"/>
          <w:lang w:val="en-US" w:eastAsia="zh-CN"/>
        </w:rPr>
      </w:pPr>
    </w:p>
    <w:p w14:paraId="7EC5DB12">
      <w:pPr>
        <w:spacing w:line="430" w:lineRule="exact"/>
        <w:rPr>
          <w:rFonts w:hint="eastAsia" w:ascii="宋体" w:hAnsi="宋体" w:cs="宋体"/>
          <w:b/>
          <w:color w:val="auto"/>
          <w:sz w:val="24"/>
          <w:highlight w:val="none"/>
          <w:lang w:val="en-US" w:eastAsia="zh-CN"/>
        </w:rPr>
      </w:pPr>
    </w:p>
    <w:p w14:paraId="22739B94">
      <w:pPr>
        <w:spacing w:line="430" w:lineRule="exact"/>
        <w:rPr>
          <w:rFonts w:hint="eastAsia" w:ascii="宋体" w:hAnsi="宋体" w:cs="宋体"/>
          <w:b/>
          <w:color w:val="auto"/>
          <w:sz w:val="24"/>
          <w:highlight w:val="none"/>
          <w:lang w:val="en-US" w:eastAsia="zh-CN"/>
        </w:rPr>
      </w:pPr>
    </w:p>
    <w:p w14:paraId="15242D3C">
      <w:pPr>
        <w:spacing w:line="430" w:lineRule="exact"/>
        <w:rPr>
          <w:rFonts w:hint="eastAsia" w:ascii="宋体" w:hAnsi="宋体" w:cs="宋体"/>
          <w:b/>
          <w:color w:val="auto"/>
          <w:sz w:val="24"/>
          <w:highlight w:val="none"/>
          <w:lang w:val="en-US" w:eastAsia="zh-CN"/>
        </w:rPr>
      </w:pPr>
    </w:p>
    <w:p w14:paraId="24DF63B6">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附件十八：政府采购供应商诚信承诺书：</w:t>
      </w:r>
    </w:p>
    <w:p w14:paraId="732F6620">
      <w:pPr>
        <w:widowControl/>
        <w:spacing w:before="100" w:beforeAutospacing="1" w:after="190"/>
        <w:ind w:firstLine="3542" w:firstLineChars="1176"/>
        <w:rPr>
          <w:rFonts w:hint="eastAsia" w:ascii="宋体" w:hAnsi="宋体"/>
          <w:kern w:val="0"/>
          <w:sz w:val="30"/>
          <w:szCs w:val="30"/>
          <w:highlight w:val="none"/>
        </w:rPr>
      </w:pPr>
      <w:r>
        <w:rPr>
          <w:rFonts w:hint="eastAsia" w:ascii="宋体" w:hAnsi="宋体"/>
          <w:b/>
          <w:bCs/>
          <w:kern w:val="0"/>
          <w:sz w:val="30"/>
          <w:szCs w:val="30"/>
          <w:highlight w:val="none"/>
          <w:lang w:val="en-US" w:eastAsia="zh-CN"/>
        </w:rPr>
        <w:t>政府</w:t>
      </w:r>
      <w:r>
        <w:rPr>
          <w:rFonts w:hint="eastAsia" w:ascii="宋体" w:hAnsi="宋体"/>
          <w:b/>
          <w:bCs/>
          <w:kern w:val="0"/>
          <w:sz w:val="30"/>
          <w:szCs w:val="30"/>
          <w:highlight w:val="none"/>
        </w:rPr>
        <w:t>采购供应商诚信承诺书</w:t>
      </w:r>
    </w:p>
    <w:p w14:paraId="46B9A69D">
      <w:pPr>
        <w:widowControl/>
        <w:spacing w:before="100" w:beforeAutospacing="1" w:after="190"/>
        <w:jc w:val="left"/>
        <w:rPr>
          <w:rFonts w:hint="eastAsia" w:ascii="宋体" w:hAnsi="宋体"/>
          <w:b/>
          <w:kern w:val="0"/>
          <w:sz w:val="24"/>
          <w:szCs w:val="24"/>
          <w:highlight w:val="none"/>
          <w:u w:val="single"/>
        </w:rPr>
      </w:pPr>
      <w:r>
        <w:rPr>
          <w:rFonts w:hint="eastAsia" w:ascii="宋体" w:hAnsi="宋体"/>
          <w:b/>
          <w:kern w:val="0"/>
          <w:sz w:val="24"/>
          <w:szCs w:val="24"/>
          <w:highlight w:val="none"/>
          <w:u w:val="single"/>
          <w:lang w:val="en-US" w:eastAsia="zh-CN"/>
        </w:rPr>
        <w:t>金华至臻工程咨询有限公司</w:t>
      </w:r>
      <w:r>
        <w:rPr>
          <w:rFonts w:hint="eastAsia" w:ascii="宋体" w:hAnsi="宋体"/>
          <w:b/>
          <w:kern w:val="0"/>
          <w:sz w:val="24"/>
          <w:szCs w:val="24"/>
          <w:highlight w:val="none"/>
          <w:u w:val="single"/>
        </w:rPr>
        <w:t>：</w:t>
      </w:r>
    </w:p>
    <w:p w14:paraId="323B742F">
      <w:pPr>
        <w:spacing w:line="340" w:lineRule="exact"/>
        <w:ind w:firstLine="480" w:firstLineChars="200"/>
        <w:rPr>
          <w:rFonts w:hint="eastAsia" w:ascii="宋体" w:hAnsi="宋体"/>
          <w:sz w:val="24"/>
          <w:szCs w:val="24"/>
          <w:highlight w:val="none"/>
        </w:rPr>
      </w:pPr>
      <w:r>
        <w:rPr>
          <w:rFonts w:hint="eastAsia" w:ascii="宋体" w:hAnsi="宋体"/>
          <w:kern w:val="0"/>
          <w:sz w:val="24"/>
          <w:szCs w:val="24"/>
          <w:highlight w:val="none"/>
        </w:rPr>
        <w:t>我公司自愿参与贵单位组织的</w:t>
      </w:r>
      <w:r>
        <w:rPr>
          <w:rFonts w:hint="eastAsia" w:ascii="宋体" w:hAnsi="宋体"/>
          <w:b/>
          <w:kern w:val="0"/>
          <w:sz w:val="24"/>
          <w:szCs w:val="24"/>
          <w:highlight w:val="none"/>
          <w:u w:val="single"/>
        </w:rPr>
        <w:t xml:space="preserve">                   项目（项目编号：     ）</w:t>
      </w:r>
      <w:r>
        <w:rPr>
          <w:rFonts w:hint="eastAsia" w:ascii="宋体" w:hAnsi="宋体"/>
          <w:kern w:val="0"/>
          <w:sz w:val="24"/>
          <w:szCs w:val="24"/>
          <w:highlight w:val="none"/>
        </w:rPr>
        <w:t>采购活动，严格遵守《中华人民共和国</w:t>
      </w:r>
      <w:r>
        <w:rPr>
          <w:rFonts w:hint="eastAsia" w:ascii="宋体" w:hAnsi="宋体"/>
          <w:sz w:val="24"/>
          <w:szCs w:val="24"/>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1A4A5103">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（一）提供虚假材料谋取中标的；</w:t>
      </w:r>
    </w:p>
    <w:p w14:paraId="303AF598">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（二）采取不正当手段诋毁、排挤</w:t>
      </w:r>
      <w:r>
        <w:rPr>
          <w:highlight w:val="none"/>
        </w:rPr>
        <w:fldChar w:fldCharType="begin"/>
      </w:r>
      <w:r>
        <w:rPr>
          <w:highlight w:val="none"/>
        </w:rPr>
        <w:instrText xml:space="preserve"> HYPERLINK "http://www.oh100.com/qita/" </w:instrText>
      </w:r>
      <w:r>
        <w:rPr>
          <w:highlight w:val="none"/>
        </w:rPr>
        <w:fldChar w:fldCharType="separate"/>
      </w:r>
      <w:r>
        <w:rPr>
          <w:rStyle w:val="142"/>
          <w:rFonts w:hint="eastAsia" w:ascii="宋体" w:hAnsi="宋体"/>
          <w:color w:val="auto"/>
          <w:sz w:val="24"/>
          <w:szCs w:val="24"/>
          <w:highlight w:val="none"/>
        </w:rPr>
        <w:t>其他</w:t>
      </w:r>
      <w:r>
        <w:rPr>
          <w:highlight w:val="none"/>
        </w:rPr>
        <w:fldChar w:fldCharType="end"/>
      </w:r>
      <w:r>
        <w:rPr>
          <w:rFonts w:hint="eastAsia" w:ascii="宋体" w:hAnsi="宋体"/>
          <w:sz w:val="24"/>
          <w:szCs w:val="24"/>
          <w:highlight w:val="none"/>
        </w:rPr>
        <w:t>供应商的；</w:t>
      </w:r>
    </w:p>
    <w:p w14:paraId="6354E49F">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（三）与招标采购单位、其他投标人恶意串通的；</w:t>
      </w:r>
    </w:p>
    <w:p w14:paraId="4DED5706">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（四）向招标采购单位行贿或提供其他不正当利益的；</w:t>
      </w:r>
    </w:p>
    <w:p w14:paraId="4B5CBACD">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（五）在招标过程中与招标采购单位进行协商谈判、不按照招标文件和投标文件订立合同，或者与采购人另立背离合同实质性内容协议的；</w:t>
      </w:r>
    </w:p>
    <w:p w14:paraId="4442D36D">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（六）开标后擅自撤销投标，影响招标继续进行的或领取招标文件后不投标导致废标的；</w:t>
      </w:r>
    </w:p>
    <w:p w14:paraId="2DF9DFBA">
      <w:pPr>
        <w:spacing w:line="340" w:lineRule="exact"/>
        <w:ind w:firstLine="600" w:firstLineChars="250"/>
        <w:rPr>
          <w:rFonts w:hint="eastAsia" w:ascii="宋体" w:hAnsi="宋体"/>
          <w:sz w:val="24"/>
          <w:szCs w:val="24"/>
          <w:highlight w:val="none"/>
        </w:rPr>
      </w:pPr>
      <w:r>
        <w:rPr>
          <w:rFonts w:hint="eastAsia" w:ascii="宋体" w:hAnsi="宋体"/>
          <w:sz w:val="24"/>
          <w:szCs w:val="24"/>
          <w:highlight w:val="none"/>
        </w:rPr>
        <w:t>（七）中标后无正当理由，在规定时间内不与采购单位签订合同的；</w:t>
      </w:r>
    </w:p>
    <w:p w14:paraId="57DBAF37">
      <w:pPr>
        <w:spacing w:line="340" w:lineRule="exact"/>
        <w:ind w:firstLine="600" w:firstLineChars="250"/>
        <w:rPr>
          <w:rFonts w:hint="eastAsia" w:ascii="宋体" w:hAnsi="宋体"/>
          <w:sz w:val="24"/>
          <w:szCs w:val="24"/>
          <w:highlight w:val="none"/>
        </w:rPr>
      </w:pPr>
      <w:r>
        <w:rPr>
          <w:rFonts w:hint="eastAsia" w:ascii="宋体" w:hAnsi="宋体"/>
          <w:sz w:val="24"/>
          <w:szCs w:val="24"/>
          <w:highlight w:val="none"/>
        </w:rPr>
        <w:t>（八）将中标项目转让给他人或非法分包他人的；</w:t>
      </w:r>
    </w:p>
    <w:p w14:paraId="47D83295">
      <w:pPr>
        <w:spacing w:line="340" w:lineRule="exact"/>
        <w:ind w:firstLine="600" w:firstLineChars="250"/>
        <w:rPr>
          <w:rFonts w:hint="eastAsia" w:ascii="宋体" w:hAnsi="宋体"/>
          <w:sz w:val="24"/>
          <w:szCs w:val="24"/>
          <w:highlight w:val="none"/>
        </w:rPr>
      </w:pPr>
      <w:r>
        <w:rPr>
          <w:rFonts w:hint="eastAsia" w:ascii="宋体" w:hAnsi="宋体"/>
          <w:sz w:val="24"/>
          <w:szCs w:val="24"/>
          <w:highlight w:val="none"/>
        </w:rPr>
        <w:t>（九）无正当理由，拒绝履行合同义务的；</w:t>
      </w:r>
    </w:p>
    <w:p w14:paraId="5CBD0451">
      <w:pPr>
        <w:spacing w:line="340" w:lineRule="exact"/>
        <w:ind w:firstLine="600" w:firstLineChars="250"/>
        <w:rPr>
          <w:rFonts w:hint="eastAsia" w:ascii="宋体" w:hAnsi="宋体"/>
          <w:sz w:val="24"/>
          <w:szCs w:val="24"/>
          <w:highlight w:val="none"/>
        </w:rPr>
      </w:pPr>
      <w:r>
        <w:rPr>
          <w:rFonts w:hint="eastAsia" w:ascii="宋体" w:hAnsi="宋体"/>
          <w:sz w:val="24"/>
          <w:szCs w:val="24"/>
          <w:highlight w:val="none"/>
        </w:rPr>
        <w:t>（十）无正当理由放弃中标（成交）项目的；</w:t>
      </w:r>
    </w:p>
    <w:p w14:paraId="4D65CC75">
      <w:pPr>
        <w:spacing w:line="340" w:lineRule="exact"/>
        <w:ind w:firstLine="600" w:firstLineChars="250"/>
        <w:rPr>
          <w:rFonts w:hint="eastAsia" w:ascii="宋体" w:hAnsi="宋体"/>
          <w:sz w:val="24"/>
          <w:szCs w:val="24"/>
          <w:highlight w:val="none"/>
        </w:rPr>
      </w:pPr>
      <w:r>
        <w:rPr>
          <w:rFonts w:hint="eastAsia" w:ascii="宋体" w:hAnsi="宋体"/>
          <w:sz w:val="24"/>
          <w:szCs w:val="24"/>
          <w:highlight w:val="none"/>
        </w:rPr>
        <w:t>（十一）擅自或与采购人串通或接受采购人要求，在履约合同中通过减少货物数量，更换品牌、降低配置、技术要求、质量和服务标准等，却仍按原合同进行虚假验收或终止政府采购合同的；</w:t>
      </w:r>
    </w:p>
    <w:p w14:paraId="18C5F923">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（十二）与采购人串通，对尚未履约完毕的采购项目出具虚假验收报告的；</w:t>
      </w:r>
    </w:p>
    <w:p w14:paraId="557C7E41">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（十三）无不可抗力因素，拒绝提供售后服务、售后服务态度恶劣、故意提高维修配件价格（高于市场平均价）的；</w:t>
      </w:r>
    </w:p>
    <w:p w14:paraId="1171224F">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（十四）开标后对招标文件的相关内容再进行质疑的；</w:t>
      </w:r>
    </w:p>
    <w:p w14:paraId="6BEAB0A1">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（十五）恶意投诉的行为：投诉经查无实据的、捏造事实或者提供虚假投诉材料的；</w:t>
      </w:r>
    </w:p>
    <w:p w14:paraId="0D3B2693">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（十六）拒绝有关部门监督检查或者提供虚假情况的；</w:t>
      </w:r>
    </w:p>
    <w:p w14:paraId="28D01AB1">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（十七）财政、监察部门认定的其他不诚信行为。</w:t>
      </w:r>
    </w:p>
    <w:p w14:paraId="20725DB7">
      <w:pPr>
        <w:spacing w:line="340" w:lineRule="exact"/>
        <w:ind w:firstLine="480" w:firstLineChars="200"/>
        <w:rPr>
          <w:rFonts w:hint="eastAsia" w:ascii="宋体" w:hAnsi="宋体"/>
          <w:sz w:val="24"/>
          <w:szCs w:val="24"/>
          <w:highlight w:val="none"/>
        </w:rPr>
      </w:pPr>
      <w:r>
        <w:rPr>
          <w:rFonts w:hint="eastAsia" w:ascii="宋体" w:hAnsi="宋体"/>
          <w:sz w:val="24"/>
          <w:szCs w:val="24"/>
          <w:highlight w:val="none"/>
        </w:rPr>
        <w:t>（十八）招标文件规定的其他不诚信行为。</w:t>
      </w:r>
    </w:p>
    <w:p w14:paraId="43CF257D">
      <w:pPr>
        <w:spacing w:line="340" w:lineRule="exact"/>
        <w:ind w:firstLine="5760" w:firstLineChars="2400"/>
        <w:rPr>
          <w:rFonts w:hint="eastAsia" w:ascii="宋体" w:hAnsi="宋体"/>
          <w:sz w:val="24"/>
          <w:szCs w:val="24"/>
          <w:highlight w:val="none"/>
        </w:rPr>
      </w:pPr>
      <w:r>
        <w:rPr>
          <w:rFonts w:hint="eastAsia" w:ascii="宋体" w:hAnsi="宋体"/>
          <w:sz w:val="24"/>
          <w:szCs w:val="24"/>
          <w:highlight w:val="none"/>
        </w:rPr>
        <w:t xml:space="preserve"> </w:t>
      </w:r>
    </w:p>
    <w:p w14:paraId="573BCC30">
      <w:pPr>
        <w:snapToGrid w:val="0"/>
        <w:spacing w:line="360" w:lineRule="auto"/>
        <w:ind w:firstLine="280" w:firstLineChars="100"/>
        <w:jc w:val="left"/>
        <w:rPr>
          <w:rFonts w:hint="eastAsia" w:ascii="宋体" w:hAnsi="宋体"/>
          <w:spacing w:val="20"/>
          <w:sz w:val="24"/>
          <w:szCs w:val="24"/>
          <w:highlight w:val="none"/>
        </w:rPr>
      </w:pPr>
      <w:r>
        <w:rPr>
          <w:rFonts w:hint="eastAsia" w:ascii="宋体" w:hAnsi="宋体"/>
          <w:spacing w:val="20"/>
          <w:sz w:val="24"/>
          <w:szCs w:val="24"/>
          <w:highlight w:val="none"/>
          <w:lang w:val="en-US" w:eastAsia="zh-CN"/>
        </w:rPr>
        <w:t>供应商</w:t>
      </w:r>
      <w:r>
        <w:rPr>
          <w:rFonts w:hint="eastAsia" w:ascii="宋体" w:hAnsi="宋体"/>
          <w:spacing w:val="20"/>
          <w:sz w:val="24"/>
          <w:szCs w:val="24"/>
          <w:highlight w:val="none"/>
        </w:rPr>
        <w:t>全称</w:t>
      </w:r>
      <w:r>
        <w:rPr>
          <w:rFonts w:hint="eastAsia" w:ascii="宋体" w:hAnsi="宋体"/>
          <w:sz w:val="24"/>
          <w:szCs w:val="24"/>
          <w:highlight w:val="none"/>
        </w:rPr>
        <w:t>（盖章）</w:t>
      </w:r>
      <w:r>
        <w:rPr>
          <w:rFonts w:hint="eastAsia" w:ascii="宋体" w:hAnsi="宋体"/>
          <w:spacing w:val="20"/>
          <w:sz w:val="24"/>
          <w:szCs w:val="24"/>
          <w:highlight w:val="none"/>
        </w:rPr>
        <w:t>：</w:t>
      </w:r>
    </w:p>
    <w:p w14:paraId="57610448">
      <w:pPr>
        <w:snapToGrid w:val="0"/>
        <w:spacing w:line="360" w:lineRule="auto"/>
        <w:ind w:firstLine="280" w:firstLineChars="100"/>
        <w:jc w:val="left"/>
        <w:rPr>
          <w:rFonts w:hint="eastAsia" w:ascii="宋体" w:hAnsi="宋体"/>
          <w:b/>
          <w:bCs/>
          <w:sz w:val="24"/>
          <w:szCs w:val="24"/>
          <w:highlight w:val="none"/>
        </w:rPr>
      </w:pPr>
      <w:r>
        <w:rPr>
          <w:rFonts w:hint="eastAsia" w:ascii="宋体" w:hAnsi="宋体"/>
          <w:spacing w:val="20"/>
          <w:sz w:val="24"/>
          <w:szCs w:val="24"/>
          <w:highlight w:val="none"/>
        </w:rPr>
        <w:t>日期：</w:t>
      </w:r>
    </w:p>
    <w:p w14:paraId="457142CF">
      <w:pPr>
        <w:spacing w:line="430" w:lineRule="exact"/>
        <w:rPr>
          <w:rFonts w:hint="eastAsia" w:ascii="宋体" w:hAnsi="宋体" w:cs="宋体"/>
          <w:b/>
          <w:color w:val="auto"/>
          <w:sz w:val="24"/>
          <w:highlight w:val="none"/>
          <w:lang w:val="en-US" w:eastAsia="zh-CN"/>
        </w:rPr>
      </w:pPr>
    </w:p>
    <w:p w14:paraId="590B0BDD">
      <w:pPr>
        <w:spacing w:line="430" w:lineRule="exact"/>
        <w:rPr>
          <w:rFonts w:hint="eastAsia" w:ascii="宋体" w:hAnsi="宋体" w:cs="宋体"/>
          <w:b/>
          <w:color w:val="auto"/>
          <w:sz w:val="24"/>
          <w:highlight w:val="none"/>
          <w:lang w:val="en-US" w:eastAsia="zh-CN"/>
        </w:rPr>
      </w:pPr>
    </w:p>
    <w:p w14:paraId="3519E12F">
      <w:pPr>
        <w:spacing w:line="430" w:lineRule="exact"/>
        <w:rPr>
          <w:rFonts w:hint="eastAsia" w:ascii="宋体" w:hAnsi="宋体" w:cs="宋体"/>
          <w:b/>
          <w:color w:val="auto"/>
          <w:sz w:val="24"/>
          <w:highlight w:val="none"/>
          <w:lang w:val="en-US" w:eastAsia="zh-CN"/>
        </w:rPr>
      </w:pPr>
    </w:p>
    <w:p w14:paraId="132215FE">
      <w:pPr>
        <w:spacing w:line="430" w:lineRule="exact"/>
        <w:rPr>
          <w:rFonts w:hint="eastAsia" w:ascii="宋体" w:hAnsi="宋体" w:cs="宋体"/>
          <w:b/>
          <w:color w:val="auto"/>
          <w:sz w:val="24"/>
          <w:highlight w:val="none"/>
          <w:lang w:val="en-US" w:eastAsia="zh-CN"/>
        </w:rPr>
      </w:pPr>
    </w:p>
    <w:p w14:paraId="623594B2">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bookmarkStart w:id="82" w:name="_Toc496598995"/>
      <w:bookmarkStart w:id="83" w:name="_Toc3061"/>
      <w:r>
        <w:rPr>
          <w:rFonts w:hint="eastAsia" w:ascii="宋体" w:hAnsi="宋体"/>
          <w:bCs/>
          <w:color w:val="auto"/>
          <w:sz w:val="24"/>
          <w:highlight w:val="none"/>
          <w:lang w:val="en-US" w:eastAsia="zh-CN"/>
        </w:rPr>
        <w:t>附件十九:</w:t>
      </w:r>
      <w:bookmarkEnd w:id="82"/>
      <w:r>
        <w:rPr>
          <w:rFonts w:hint="eastAsia" w:ascii="宋体" w:hAnsi="宋体"/>
          <w:bCs/>
          <w:color w:val="auto"/>
          <w:sz w:val="24"/>
          <w:highlight w:val="none"/>
          <w:lang w:val="en-US" w:eastAsia="zh-CN"/>
        </w:rPr>
        <w:t>磋商函</w:t>
      </w:r>
      <w:bookmarkEnd w:id="83"/>
    </w:p>
    <w:p w14:paraId="43FBFF9E">
      <w:pPr>
        <w:snapToGrid w:val="0"/>
        <w:spacing w:beforeLines="50" w:after="50" w:line="480" w:lineRule="auto"/>
        <w:jc w:val="center"/>
        <w:rPr>
          <w:rFonts w:ascii="宋体" w:hAnsi="宋体" w:cs="宋体"/>
          <w:b/>
          <w:color w:val="auto"/>
          <w:sz w:val="40"/>
          <w:szCs w:val="40"/>
          <w:highlight w:val="none"/>
        </w:rPr>
      </w:pPr>
      <w:r>
        <w:rPr>
          <w:rFonts w:hint="eastAsia" w:ascii="宋体" w:hAnsi="宋体" w:cs="宋体"/>
          <w:b/>
          <w:color w:val="auto"/>
          <w:sz w:val="40"/>
          <w:szCs w:val="40"/>
          <w:highlight w:val="none"/>
        </w:rPr>
        <w:t>磋 商 函</w:t>
      </w:r>
    </w:p>
    <w:p w14:paraId="60EDF3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46D18242">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贵方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项目的磋商公告/磋商邀请书</w:t>
      </w:r>
    </w:p>
    <w:p w14:paraId="3371AB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（供应商名称）提交电子磋商响应文件。</w:t>
      </w:r>
    </w:p>
    <w:p w14:paraId="250C1B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344423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5E1B81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2.供应商在磋商之前已经与贵方进行了充分的沟通，完全理解并接受磋商文件的各项规定和要求，对磋商文件的合理性、合法性不再有异议。</w:t>
      </w:r>
    </w:p>
    <w:p w14:paraId="4C9D73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3.本磋商响应文件有效期自开标日起 ______天。</w:t>
      </w:r>
    </w:p>
    <w:p w14:paraId="386246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4.如中标，本磋商响应文件至本项目合同履行完毕止均保持有效，本供应商将按“磋商文件”及政府采购法律、法规的规定履行合同责任和义务。</w:t>
      </w:r>
    </w:p>
    <w:p w14:paraId="39851D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5.供应商同意按照贵方要求提供与磋商有关的一切数据或资料。</w:t>
      </w:r>
    </w:p>
    <w:p w14:paraId="503734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6.与本磋商有关的一切正式往来信函请寄：</w:t>
      </w:r>
    </w:p>
    <w:p w14:paraId="1E1BCA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地址：______________邮编：__________   电话：______________</w:t>
      </w:r>
    </w:p>
    <w:p w14:paraId="3EAA47B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传真：______________供应商代表姓名 ___________  职务：___________</w:t>
      </w:r>
    </w:p>
    <w:p w14:paraId="3BEDF499">
      <w:pPr>
        <w:snapToGrid w:val="0"/>
        <w:spacing w:line="360" w:lineRule="auto"/>
        <w:rPr>
          <w:rFonts w:ascii="宋体" w:hAnsi="宋体" w:cs="宋体"/>
          <w:color w:val="auto"/>
          <w:sz w:val="24"/>
          <w:highlight w:val="none"/>
        </w:rPr>
      </w:pPr>
    </w:p>
    <w:p w14:paraId="28ECB34C">
      <w:pPr>
        <w:snapToGrid w:val="0"/>
        <w:spacing w:line="360" w:lineRule="auto"/>
        <w:rPr>
          <w:rFonts w:ascii="宋体" w:hAnsi="宋体" w:cs="宋体"/>
          <w:color w:val="auto"/>
          <w:sz w:val="24"/>
          <w:highlight w:val="none"/>
        </w:rPr>
      </w:pPr>
    </w:p>
    <w:p w14:paraId="672CED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供应商名称(公章):___________________</w:t>
      </w:r>
    </w:p>
    <w:p w14:paraId="6BCBED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委托代理人签字:___________ </w:t>
      </w:r>
    </w:p>
    <w:p w14:paraId="1624F1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日期:_____年___月___日</w:t>
      </w:r>
    </w:p>
    <w:p w14:paraId="4370AB50">
      <w:pPr>
        <w:snapToGrid w:val="0"/>
        <w:spacing w:before="156" w:after="156" w:line="360" w:lineRule="auto"/>
        <w:rPr>
          <w:rFonts w:ascii="宋体" w:hAnsi="宋体" w:cs="宋体"/>
          <w:color w:val="auto"/>
          <w:sz w:val="24"/>
          <w:highlight w:val="none"/>
        </w:rPr>
      </w:pPr>
    </w:p>
    <w:p w14:paraId="19054040">
      <w:pPr>
        <w:snapToGrid w:val="0"/>
        <w:spacing w:before="50" w:afterLines="50"/>
        <w:jc w:val="left"/>
        <w:rPr>
          <w:rFonts w:ascii="宋体" w:hAnsi="宋体" w:cs="宋体"/>
          <w:b/>
          <w:color w:val="auto"/>
          <w:sz w:val="24"/>
          <w:highlight w:val="none"/>
        </w:rPr>
      </w:pPr>
    </w:p>
    <w:p w14:paraId="6544AE37">
      <w:pPr>
        <w:snapToGrid w:val="0"/>
        <w:spacing w:before="50" w:afterLines="50"/>
        <w:jc w:val="left"/>
        <w:rPr>
          <w:rFonts w:ascii="宋体" w:hAnsi="宋体" w:cs="宋体"/>
          <w:b/>
          <w:color w:val="auto"/>
          <w:sz w:val="24"/>
          <w:highlight w:val="none"/>
        </w:rPr>
      </w:pPr>
    </w:p>
    <w:p w14:paraId="39A8D9A7">
      <w:pPr>
        <w:snapToGrid w:val="0"/>
        <w:spacing w:before="50" w:afterLines="50"/>
        <w:jc w:val="left"/>
        <w:rPr>
          <w:rFonts w:ascii="宋体" w:hAnsi="宋体" w:cs="宋体"/>
          <w:b/>
          <w:color w:val="auto"/>
          <w:sz w:val="24"/>
          <w:highlight w:val="none"/>
        </w:rPr>
      </w:pPr>
    </w:p>
    <w:p w14:paraId="61FCF4A8">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bookmarkStart w:id="84" w:name="_Toc26482"/>
      <w:bookmarkStart w:id="85" w:name="_Toc12413"/>
      <w:bookmarkStart w:id="86" w:name="_Toc14942623"/>
      <w:bookmarkStart w:id="87" w:name="_Toc6466"/>
      <w:bookmarkStart w:id="88" w:name="_Toc1663"/>
      <w:bookmarkStart w:id="89" w:name="_Toc496598998"/>
      <w:bookmarkStart w:id="90" w:name="_Toc2590"/>
      <w:r>
        <w:rPr>
          <w:rFonts w:hint="eastAsia" w:ascii="宋体" w:hAnsi="宋体"/>
          <w:bCs/>
          <w:color w:val="auto"/>
          <w:sz w:val="24"/>
          <w:highlight w:val="none"/>
          <w:lang w:val="en-US" w:eastAsia="zh-CN"/>
        </w:rPr>
        <w:t>附件二十：</w:t>
      </w:r>
      <w:bookmarkEnd w:id="84"/>
      <w:bookmarkEnd w:id="85"/>
      <w:bookmarkEnd w:id="86"/>
      <w:r>
        <w:rPr>
          <w:rFonts w:hint="eastAsia" w:ascii="宋体" w:hAnsi="宋体"/>
          <w:bCs/>
          <w:color w:val="auto"/>
          <w:sz w:val="24"/>
          <w:highlight w:val="none"/>
          <w:lang w:val="en-US" w:eastAsia="zh-CN"/>
        </w:rPr>
        <w:t>初次报价表</w:t>
      </w:r>
      <w:bookmarkEnd w:id="87"/>
    </w:p>
    <w:p w14:paraId="7F5335E9">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初次报价表</w:t>
      </w:r>
    </w:p>
    <w:p w14:paraId="0F15BA66">
      <w:pPr>
        <w:spacing w:line="360" w:lineRule="auto"/>
        <w:rPr>
          <w:rFonts w:ascii="宋体" w:hAnsi="宋体"/>
          <w:b/>
          <w:color w:val="auto"/>
          <w:sz w:val="24"/>
          <w:highlight w:val="none"/>
        </w:rPr>
      </w:pPr>
      <w:r>
        <w:rPr>
          <w:rFonts w:hint="eastAsia" w:ascii="宋体" w:hAnsi="宋体"/>
          <w:b/>
          <w:color w:val="auto"/>
          <w:sz w:val="24"/>
          <w:highlight w:val="none"/>
        </w:rPr>
        <w:t xml:space="preserve">招标编号：                             </w:t>
      </w:r>
    </w:p>
    <w:p w14:paraId="51F94C69">
      <w:pPr>
        <w:spacing w:line="360" w:lineRule="auto"/>
        <w:rPr>
          <w:rFonts w:ascii="宋体" w:hAnsi="宋体"/>
          <w:b/>
          <w:color w:val="auto"/>
          <w:sz w:val="24"/>
          <w:highlight w:val="none"/>
        </w:rPr>
      </w:pPr>
      <w:r>
        <w:rPr>
          <w:rFonts w:hint="eastAsia" w:ascii="宋体" w:hAnsi="宋体"/>
          <w:b/>
          <w:color w:val="auto"/>
          <w:sz w:val="24"/>
          <w:highlight w:val="none"/>
        </w:rPr>
        <w:t>供应商名称：                                          单位：元</w:t>
      </w:r>
    </w:p>
    <w:tbl>
      <w:tblPr>
        <w:tblStyle w:val="38"/>
        <w:tblW w:w="9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6"/>
        <w:gridCol w:w="4668"/>
        <w:gridCol w:w="2152"/>
        <w:gridCol w:w="1863"/>
      </w:tblGrid>
      <w:tr w14:paraId="08FE2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5CB95B08">
            <w:pPr>
              <w:snapToGrid w:val="0"/>
              <w:spacing w:before="50" w:after="5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序号</w:t>
            </w:r>
          </w:p>
        </w:tc>
        <w:tc>
          <w:tcPr>
            <w:tcW w:w="4668" w:type="dxa"/>
            <w:tcBorders>
              <w:top w:val="single" w:color="auto" w:sz="4" w:space="0"/>
              <w:left w:val="single" w:color="auto" w:sz="4" w:space="0"/>
              <w:bottom w:val="single" w:color="auto" w:sz="4" w:space="0"/>
              <w:right w:val="single" w:color="auto" w:sz="4" w:space="0"/>
            </w:tcBorders>
            <w:vAlign w:val="center"/>
          </w:tcPr>
          <w:p w14:paraId="2FA35552">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采购内容</w:t>
            </w:r>
          </w:p>
        </w:tc>
        <w:tc>
          <w:tcPr>
            <w:tcW w:w="2152" w:type="dxa"/>
            <w:tcBorders>
              <w:top w:val="single" w:color="auto" w:sz="4" w:space="0"/>
              <w:left w:val="single" w:color="auto" w:sz="4" w:space="0"/>
              <w:bottom w:val="single" w:color="auto" w:sz="4" w:space="0"/>
              <w:right w:val="single" w:color="auto" w:sz="4" w:space="0"/>
            </w:tcBorders>
            <w:vAlign w:val="center"/>
          </w:tcPr>
          <w:p w14:paraId="2AE4F94E">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让利</w:t>
            </w:r>
            <w:r>
              <w:rPr>
                <w:rFonts w:ascii="宋体" w:hAnsi="宋体" w:cs="宋体"/>
                <w:b/>
                <w:color w:val="auto"/>
                <w:sz w:val="24"/>
                <w:highlight w:val="none"/>
              </w:rPr>
              <w:t>下浮率（%）</w:t>
            </w:r>
          </w:p>
        </w:tc>
        <w:tc>
          <w:tcPr>
            <w:tcW w:w="1863" w:type="dxa"/>
            <w:tcBorders>
              <w:top w:val="single" w:color="auto" w:sz="4" w:space="0"/>
              <w:left w:val="single" w:color="auto" w:sz="4" w:space="0"/>
              <w:bottom w:val="single" w:color="auto" w:sz="4" w:space="0"/>
              <w:right w:val="single" w:color="auto" w:sz="4" w:space="0"/>
            </w:tcBorders>
            <w:vAlign w:val="center"/>
          </w:tcPr>
          <w:p w14:paraId="12D4512A">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磋商报价（元）</w:t>
            </w:r>
          </w:p>
        </w:tc>
      </w:tr>
      <w:tr w14:paraId="5BD56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6CD4859A">
            <w:pP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4668" w:type="dxa"/>
            <w:tcBorders>
              <w:top w:val="single" w:color="auto" w:sz="4" w:space="0"/>
              <w:left w:val="single" w:color="auto" w:sz="4" w:space="0"/>
              <w:bottom w:val="single" w:color="auto" w:sz="4" w:space="0"/>
              <w:right w:val="single" w:color="auto" w:sz="4" w:space="0"/>
            </w:tcBorders>
            <w:vAlign w:val="center"/>
          </w:tcPr>
          <w:p w14:paraId="263F9106">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eastAsia="zh-CN"/>
              </w:rPr>
              <w:t>南马镇中心小学校舍及道路改造项目</w:t>
            </w:r>
          </w:p>
        </w:tc>
        <w:tc>
          <w:tcPr>
            <w:tcW w:w="2152" w:type="dxa"/>
            <w:tcBorders>
              <w:top w:val="single" w:color="auto" w:sz="4" w:space="0"/>
              <w:left w:val="single" w:color="auto" w:sz="4" w:space="0"/>
              <w:bottom w:val="single" w:color="auto" w:sz="4" w:space="0"/>
              <w:right w:val="single" w:color="auto" w:sz="4" w:space="0"/>
            </w:tcBorders>
            <w:vAlign w:val="center"/>
          </w:tcPr>
          <w:p w14:paraId="78C6FB56">
            <w:pPr>
              <w:snapToGrid w:val="0"/>
              <w:spacing w:before="50" w:after="50"/>
              <w:jc w:val="center"/>
              <w:rPr>
                <w:rFonts w:ascii="宋体" w:hAnsi="宋体" w:cs="宋体"/>
                <w:b/>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5061CFD9">
            <w:pPr>
              <w:snapToGrid w:val="0"/>
              <w:spacing w:before="50" w:after="50"/>
              <w:jc w:val="center"/>
              <w:rPr>
                <w:rFonts w:ascii="宋体" w:hAnsi="宋体" w:cs="宋体"/>
                <w:color w:val="auto"/>
                <w:sz w:val="24"/>
                <w:highlight w:val="none"/>
              </w:rPr>
            </w:pPr>
          </w:p>
        </w:tc>
      </w:tr>
      <w:tr w14:paraId="36248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9839" w:type="dxa"/>
            <w:gridSpan w:val="4"/>
            <w:tcBorders>
              <w:top w:val="single" w:color="auto" w:sz="4" w:space="0"/>
              <w:left w:val="single" w:color="auto" w:sz="4" w:space="0"/>
              <w:bottom w:val="single" w:color="auto" w:sz="4" w:space="0"/>
              <w:right w:val="single" w:color="auto" w:sz="4" w:space="0"/>
            </w:tcBorders>
            <w:vAlign w:val="center"/>
          </w:tcPr>
          <w:p w14:paraId="1DDB984E">
            <w:pPr>
              <w:snapToGrid w:val="0"/>
              <w:spacing w:before="50" w:after="50"/>
              <w:rPr>
                <w:rFonts w:ascii="宋体" w:hAnsi="宋体" w:cs="宋体"/>
                <w:color w:val="auto"/>
                <w:sz w:val="24"/>
                <w:highlight w:val="none"/>
              </w:rPr>
            </w:pPr>
            <w:r>
              <w:rPr>
                <w:rFonts w:hint="eastAsia" w:ascii="宋体" w:hAnsi="宋体" w:cs="宋体"/>
                <w:color w:val="auto"/>
                <w:sz w:val="24"/>
                <w:highlight w:val="none"/>
              </w:rPr>
              <w:t>磋商报价大写（人民币）：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rPr>
              <w:t xml:space="preserve">                     </w:t>
            </w:r>
          </w:p>
        </w:tc>
      </w:tr>
    </w:tbl>
    <w:p w14:paraId="5A98EF65">
      <w:pPr>
        <w:spacing w:line="360" w:lineRule="auto"/>
        <w:jc w:val="left"/>
        <w:rPr>
          <w:rFonts w:ascii="宋体" w:hAnsi="宋体"/>
          <w:color w:val="auto"/>
          <w:sz w:val="24"/>
          <w:highlight w:val="none"/>
        </w:rPr>
      </w:pPr>
    </w:p>
    <w:p w14:paraId="0CACE855">
      <w:pPr>
        <w:spacing w:line="360" w:lineRule="auto"/>
        <w:jc w:val="left"/>
        <w:rPr>
          <w:rFonts w:ascii="宋体" w:hAnsi="宋体"/>
          <w:color w:val="auto"/>
          <w:sz w:val="24"/>
          <w:highlight w:val="none"/>
        </w:rPr>
      </w:pPr>
      <w:r>
        <w:rPr>
          <w:rFonts w:ascii="宋体" w:hAnsi="宋体"/>
          <w:color w:val="auto"/>
          <w:sz w:val="24"/>
          <w:highlight w:val="none"/>
        </w:rPr>
        <w:t>注：</w:t>
      </w:r>
      <w:r>
        <w:rPr>
          <w:rFonts w:hint="eastAsia" w:ascii="宋体" w:hAnsi="宋体"/>
          <w:color w:val="auto"/>
          <w:sz w:val="24"/>
          <w:highlight w:val="none"/>
        </w:rPr>
        <w:t>▲1、磋商报价一栏必须填写，否则其磋商作无效标处理。</w:t>
      </w:r>
    </w:p>
    <w:p w14:paraId="00C65F38">
      <w:pPr>
        <w:spacing w:line="360" w:lineRule="auto"/>
        <w:ind w:firstLine="480" w:firstLineChars="200"/>
        <w:jc w:val="left"/>
        <w:rPr>
          <w:rFonts w:hint="eastAsia" w:ascii="宋体" w:hAnsi="宋体" w:cs="Arial"/>
          <w:bCs/>
          <w:color w:val="auto"/>
          <w:sz w:val="24"/>
          <w:highlight w:val="none"/>
        </w:rPr>
      </w:pPr>
      <w:r>
        <w:rPr>
          <w:rFonts w:hint="eastAsia" w:ascii="宋体" w:hAnsi="宋体"/>
          <w:color w:val="auto"/>
          <w:sz w:val="24"/>
          <w:highlight w:val="none"/>
        </w:rPr>
        <w:t>▲2、磋商报价一经涂改，应在涂改处加盖单位公章或者由法定代表人或授权委托人签字或盖章，否则其磋商作无效标处理</w:t>
      </w:r>
      <w:r>
        <w:rPr>
          <w:rFonts w:hint="eastAsia" w:ascii="宋体" w:hAnsi="宋体" w:cs="Arial"/>
          <w:bCs/>
          <w:color w:val="auto"/>
          <w:sz w:val="24"/>
          <w:highlight w:val="none"/>
        </w:rPr>
        <w:t>；</w:t>
      </w:r>
    </w:p>
    <w:p w14:paraId="02E959B1">
      <w:pPr>
        <w:spacing w:line="360" w:lineRule="auto"/>
        <w:ind w:firstLine="482"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b/>
          <w:bCs/>
          <w:sz w:val="24"/>
          <w:szCs w:val="24"/>
          <w:highlight w:val="none"/>
          <w:lang w:val="en-US" w:eastAsia="zh-CN"/>
        </w:rPr>
        <w:t>3、磋商报价=</w:t>
      </w:r>
      <w:r>
        <w:rPr>
          <w:rFonts w:hint="eastAsia" w:ascii="宋体" w:hAnsi="宋体" w:cs="Times New Roman"/>
          <w:b/>
          <w:bCs/>
          <w:sz w:val="24"/>
          <w:szCs w:val="24"/>
          <w:highlight w:val="none"/>
          <w:lang w:val="en-US" w:eastAsia="zh-CN"/>
        </w:rPr>
        <w:t>最高限价</w:t>
      </w:r>
      <w:r>
        <w:rPr>
          <w:rFonts w:hint="eastAsia" w:ascii="宋体" w:hAnsi="宋体" w:eastAsia="宋体" w:cs="Times New Roman"/>
          <w:b/>
          <w:bCs/>
          <w:sz w:val="24"/>
          <w:szCs w:val="24"/>
          <w:highlight w:val="none"/>
          <w:lang w:val="en-US" w:eastAsia="zh-CN"/>
        </w:rPr>
        <w:t>×（1-</w:t>
      </w:r>
      <w:r>
        <w:rPr>
          <w:rFonts w:hint="eastAsia" w:ascii="宋体" w:hAnsi="宋体" w:cs="Times New Roman"/>
          <w:b/>
          <w:bCs/>
          <w:sz w:val="24"/>
          <w:szCs w:val="24"/>
          <w:highlight w:val="none"/>
          <w:lang w:val="en-US" w:eastAsia="zh-CN"/>
        </w:rPr>
        <w:t>让利</w:t>
      </w:r>
      <w:r>
        <w:rPr>
          <w:rFonts w:hint="eastAsia" w:ascii="宋体" w:hAnsi="宋体" w:eastAsia="宋体" w:cs="Times New Roman"/>
          <w:b/>
          <w:bCs/>
          <w:sz w:val="24"/>
          <w:szCs w:val="24"/>
          <w:highlight w:val="none"/>
          <w:lang w:val="en-US" w:eastAsia="zh-CN"/>
        </w:rPr>
        <w:t>下浮率），报价保留2位小数；</w:t>
      </w:r>
    </w:p>
    <w:p w14:paraId="7BE119E7">
      <w:pPr>
        <w:spacing w:line="360" w:lineRule="auto"/>
        <w:ind w:firstLine="480" w:firstLineChars="200"/>
        <w:jc w:val="left"/>
        <w:rPr>
          <w:rFonts w:ascii="宋体" w:hAnsi="宋体"/>
          <w:color w:val="auto"/>
          <w:sz w:val="24"/>
          <w:highlight w:val="none"/>
        </w:rPr>
      </w:pPr>
      <w:r>
        <w:rPr>
          <w:rFonts w:hint="eastAsia" w:ascii="宋体" w:hAnsi="宋体" w:cs="Times New Roman"/>
          <w:color w:val="auto"/>
          <w:sz w:val="24"/>
          <w:highlight w:val="none"/>
          <w:lang w:val="en-US" w:eastAsia="zh-CN"/>
        </w:rPr>
        <w:t>4、磋商报价包括项目所需的人工费、材料费、交通费、机械费、装卸费、管理费等与本项目相关的一切费用和税金</w:t>
      </w:r>
      <w:r>
        <w:rPr>
          <w:rFonts w:hint="eastAsia" w:ascii="宋体" w:hAnsi="宋体"/>
          <w:color w:val="auto"/>
          <w:sz w:val="24"/>
          <w:highlight w:val="none"/>
        </w:rPr>
        <w:t>。</w:t>
      </w:r>
    </w:p>
    <w:p w14:paraId="0C271E49">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、本表格式不允许修改，否则作无效标处理。</w:t>
      </w:r>
    </w:p>
    <w:p w14:paraId="5054AE81">
      <w:pPr>
        <w:snapToGrid w:val="0"/>
        <w:spacing w:line="360" w:lineRule="auto"/>
        <w:ind w:firstLine="480" w:firstLineChars="200"/>
        <w:jc w:val="left"/>
        <w:rPr>
          <w:rFonts w:ascii="宋体" w:hAnsi="宋体"/>
          <w:color w:val="auto"/>
          <w:sz w:val="24"/>
          <w:highlight w:val="none"/>
        </w:rPr>
      </w:pPr>
    </w:p>
    <w:p w14:paraId="05E7F50C">
      <w:pPr>
        <w:snapToGrid w:val="0"/>
        <w:spacing w:line="360" w:lineRule="auto"/>
        <w:ind w:firstLine="480" w:firstLineChars="200"/>
        <w:jc w:val="left"/>
        <w:rPr>
          <w:rFonts w:ascii="宋体" w:hAnsi="宋体"/>
          <w:color w:val="auto"/>
          <w:sz w:val="24"/>
          <w:highlight w:val="none"/>
        </w:rPr>
      </w:pPr>
    </w:p>
    <w:p w14:paraId="291808E1">
      <w:pPr>
        <w:snapToGrid w:val="0"/>
        <w:spacing w:before="50" w:after="50"/>
        <w:ind w:left="-2" w:leftChars="-1" w:right="-817" w:rightChars="-389" w:firstLine="360" w:firstLineChars="150"/>
        <w:rPr>
          <w:rFonts w:ascii="宋体" w:hAnsi="宋体"/>
          <w:color w:val="auto"/>
          <w:sz w:val="24"/>
          <w:highlight w:val="none"/>
        </w:rPr>
      </w:pPr>
      <w:r>
        <w:rPr>
          <w:rFonts w:hint="eastAsia" w:ascii="宋体" w:hAnsi="宋体"/>
          <w:color w:val="auto"/>
          <w:sz w:val="24"/>
          <w:highlight w:val="none"/>
        </w:rPr>
        <w:t>法定代表人或委托代理人（签字或盖章）：</w:t>
      </w:r>
    </w:p>
    <w:p w14:paraId="30604854">
      <w:pPr>
        <w:snapToGrid w:val="0"/>
        <w:spacing w:before="50" w:after="50"/>
        <w:ind w:left="-2" w:leftChars="-1" w:right="-817" w:rightChars="-389" w:firstLine="360" w:firstLineChars="150"/>
        <w:rPr>
          <w:rFonts w:ascii="宋体" w:hAnsi="宋体"/>
          <w:color w:val="auto"/>
          <w:sz w:val="24"/>
          <w:highlight w:val="none"/>
        </w:rPr>
      </w:pPr>
    </w:p>
    <w:p w14:paraId="53E2A24F">
      <w:pPr>
        <w:snapToGrid w:val="0"/>
        <w:spacing w:before="50" w:after="50"/>
        <w:ind w:right="-817" w:rightChars="-389" w:firstLine="360" w:firstLineChars="150"/>
        <w:rPr>
          <w:rFonts w:ascii="宋体" w:hAnsi="宋体"/>
          <w:color w:val="auto"/>
          <w:sz w:val="24"/>
          <w:highlight w:val="none"/>
        </w:rPr>
      </w:pPr>
      <w:r>
        <w:rPr>
          <w:rFonts w:hint="eastAsia" w:ascii="宋体" w:hAnsi="宋体"/>
          <w:color w:val="auto"/>
          <w:sz w:val="24"/>
          <w:highlight w:val="none"/>
        </w:rPr>
        <w:t xml:space="preserve">供应商名称（盖章）：                                         </w:t>
      </w:r>
    </w:p>
    <w:p w14:paraId="59FFCEA9">
      <w:pPr>
        <w:snapToGrid w:val="0"/>
        <w:spacing w:before="50" w:after="50"/>
        <w:ind w:right="-817" w:rightChars="-389"/>
        <w:rPr>
          <w:rFonts w:ascii="宋体" w:hAnsi="宋体"/>
          <w:color w:val="auto"/>
          <w:sz w:val="24"/>
          <w:highlight w:val="none"/>
        </w:rPr>
      </w:pPr>
    </w:p>
    <w:p w14:paraId="159703A8">
      <w:pPr>
        <w:spacing w:line="380" w:lineRule="exact"/>
        <w:ind w:firstLine="6240" w:firstLineChars="2600"/>
        <w:rPr>
          <w:rFonts w:ascii="宋体" w:hAnsi="宋体"/>
          <w:b/>
          <w:color w:val="auto"/>
          <w:sz w:val="24"/>
          <w:highlight w:val="none"/>
        </w:rPr>
      </w:pPr>
      <w:r>
        <w:rPr>
          <w:rFonts w:hint="eastAsia" w:ascii="宋体" w:hAnsi="宋体"/>
          <w:color w:val="auto"/>
          <w:sz w:val="24"/>
          <w:highlight w:val="none"/>
        </w:rPr>
        <w:t>日期：    年   月   日</w:t>
      </w:r>
    </w:p>
    <w:p w14:paraId="2BBBA15C">
      <w:pPr>
        <w:outlineLvl w:val="9"/>
        <w:rPr>
          <w:color w:val="auto"/>
          <w:sz w:val="24"/>
          <w:szCs w:val="24"/>
          <w:highlight w:val="none"/>
        </w:rPr>
      </w:pPr>
    </w:p>
    <w:p w14:paraId="69AEEE76">
      <w:pPr>
        <w:outlineLvl w:val="9"/>
        <w:rPr>
          <w:color w:val="auto"/>
          <w:highlight w:val="none"/>
        </w:rPr>
      </w:pPr>
    </w:p>
    <w:bookmarkEnd w:id="88"/>
    <w:bookmarkEnd w:id="89"/>
    <w:bookmarkEnd w:id="90"/>
    <w:p w14:paraId="082D1F43">
      <w:pPr>
        <w:spacing w:before="260" w:after="260" w:line="360" w:lineRule="auto"/>
        <w:outlineLvl w:val="9"/>
        <w:rPr>
          <w:rFonts w:ascii="宋体" w:hAnsi="宋体"/>
          <w:bCs/>
          <w:color w:val="auto"/>
          <w:sz w:val="24"/>
          <w:highlight w:val="none"/>
        </w:rPr>
      </w:pPr>
      <w:bookmarkStart w:id="91" w:name="_Toc496599000"/>
    </w:p>
    <w:p w14:paraId="19D16604">
      <w:pPr>
        <w:pStyle w:val="12"/>
        <w:rPr>
          <w:rFonts w:ascii="宋体" w:hAnsi="宋体"/>
          <w:bCs/>
          <w:color w:val="auto"/>
          <w:sz w:val="24"/>
          <w:highlight w:val="none"/>
        </w:rPr>
      </w:pPr>
    </w:p>
    <w:p w14:paraId="235F1710">
      <w:pPr>
        <w:pStyle w:val="12"/>
        <w:rPr>
          <w:rFonts w:ascii="宋体" w:hAnsi="宋体"/>
          <w:bCs/>
          <w:color w:val="auto"/>
          <w:sz w:val="24"/>
          <w:highlight w:val="none"/>
        </w:rPr>
      </w:pPr>
    </w:p>
    <w:p w14:paraId="09EAC61C">
      <w:pPr>
        <w:pStyle w:val="12"/>
        <w:rPr>
          <w:rFonts w:ascii="宋体" w:hAnsi="宋体"/>
          <w:bCs/>
          <w:color w:val="auto"/>
          <w:sz w:val="24"/>
          <w:highlight w:val="none"/>
        </w:rPr>
      </w:pPr>
    </w:p>
    <w:p w14:paraId="5671B2C0">
      <w:pPr>
        <w:pStyle w:val="12"/>
        <w:rPr>
          <w:rFonts w:ascii="宋体" w:hAnsi="宋体"/>
          <w:bCs/>
          <w:color w:val="auto"/>
          <w:sz w:val="24"/>
          <w:highlight w:val="none"/>
        </w:rPr>
      </w:pPr>
    </w:p>
    <w:p w14:paraId="6E51C3D3">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附件二十一：最终报价表</w:t>
      </w:r>
    </w:p>
    <w:p w14:paraId="7123716D">
      <w:pPr>
        <w:spacing w:line="360" w:lineRule="auto"/>
        <w:jc w:val="center"/>
        <w:rPr>
          <w:rFonts w:hint="eastAsia" w:ascii="宋体" w:hAnsi="宋体"/>
          <w:b/>
          <w:sz w:val="28"/>
          <w:szCs w:val="28"/>
          <w:highlight w:val="none"/>
        </w:rPr>
      </w:pPr>
      <w:r>
        <w:rPr>
          <w:rFonts w:hint="eastAsia" w:ascii="宋体" w:hAnsi="宋体"/>
          <w:b/>
          <w:sz w:val="28"/>
          <w:szCs w:val="28"/>
          <w:highlight w:val="none"/>
        </w:rPr>
        <w:t>最终报价表</w:t>
      </w:r>
    </w:p>
    <w:p w14:paraId="4EA11ED7">
      <w:pPr>
        <w:spacing w:line="360" w:lineRule="auto"/>
        <w:rPr>
          <w:rFonts w:hint="eastAsia" w:ascii="宋体" w:hAnsi="宋体"/>
          <w:b/>
          <w:sz w:val="24"/>
          <w:szCs w:val="24"/>
          <w:highlight w:val="none"/>
        </w:rPr>
      </w:pPr>
      <w:r>
        <w:rPr>
          <w:rFonts w:hint="eastAsia" w:ascii="宋体" w:hAnsi="宋体"/>
          <w:b/>
          <w:sz w:val="24"/>
          <w:szCs w:val="24"/>
          <w:highlight w:val="none"/>
        </w:rPr>
        <w:t xml:space="preserve">项目编号：                             </w:t>
      </w:r>
    </w:p>
    <w:p w14:paraId="5B857359">
      <w:pPr>
        <w:spacing w:line="360" w:lineRule="auto"/>
        <w:rPr>
          <w:rFonts w:hint="eastAsia" w:ascii="宋体" w:hAnsi="宋体"/>
          <w:b/>
          <w:sz w:val="24"/>
          <w:szCs w:val="24"/>
          <w:highlight w:val="none"/>
        </w:rPr>
      </w:pPr>
      <w:r>
        <w:rPr>
          <w:rFonts w:hint="eastAsia" w:ascii="宋体" w:hAnsi="宋体"/>
          <w:b/>
          <w:sz w:val="24"/>
          <w:szCs w:val="24"/>
          <w:highlight w:val="none"/>
        </w:rPr>
        <w:t>供应商名称：                                          单位：元</w:t>
      </w:r>
    </w:p>
    <w:tbl>
      <w:tblPr>
        <w:tblStyle w:val="38"/>
        <w:tblW w:w="9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6"/>
        <w:gridCol w:w="4668"/>
        <w:gridCol w:w="2152"/>
        <w:gridCol w:w="1863"/>
      </w:tblGrid>
      <w:tr w14:paraId="5AAFD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1"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74E94D45">
            <w:pPr>
              <w:snapToGrid w:val="0"/>
              <w:spacing w:before="50" w:after="5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序号</w:t>
            </w:r>
          </w:p>
        </w:tc>
        <w:tc>
          <w:tcPr>
            <w:tcW w:w="4668" w:type="dxa"/>
            <w:tcBorders>
              <w:top w:val="single" w:color="auto" w:sz="4" w:space="0"/>
              <w:left w:val="single" w:color="auto" w:sz="4" w:space="0"/>
              <w:bottom w:val="single" w:color="auto" w:sz="4" w:space="0"/>
              <w:right w:val="single" w:color="auto" w:sz="4" w:space="0"/>
            </w:tcBorders>
            <w:vAlign w:val="center"/>
          </w:tcPr>
          <w:p w14:paraId="0F52FD2B">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采购内容</w:t>
            </w:r>
          </w:p>
        </w:tc>
        <w:tc>
          <w:tcPr>
            <w:tcW w:w="2152" w:type="dxa"/>
            <w:tcBorders>
              <w:top w:val="single" w:color="auto" w:sz="4" w:space="0"/>
              <w:left w:val="single" w:color="auto" w:sz="4" w:space="0"/>
              <w:bottom w:val="single" w:color="auto" w:sz="4" w:space="0"/>
              <w:right w:val="single" w:color="auto" w:sz="4" w:space="0"/>
            </w:tcBorders>
            <w:vAlign w:val="center"/>
          </w:tcPr>
          <w:p w14:paraId="56AA00FB">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让利</w:t>
            </w:r>
            <w:r>
              <w:rPr>
                <w:rFonts w:ascii="宋体" w:hAnsi="宋体" w:cs="宋体"/>
                <w:b/>
                <w:color w:val="auto"/>
                <w:sz w:val="24"/>
                <w:highlight w:val="none"/>
              </w:rPr>
              <w:t>下浮率（%）</w:t>
            </w:r>
          </w:p>
        </w:tc>
        <w:tc>
          <w:tcPr>
            <w:tcW w:w="1863" w:type="dxa"/>
            <w:tcBorders>
              <w:top w:val="single" w:color="auto" w:sz="4" w:space="0"/>
              <w:left w:val="single" w:color="auto" w:sz="4" w:space="0"/>
              <w:bottom w:val="single" w:color="auto" w:sz="4" w:space="0"/>
              <w:right w:val="single" w:color="auto" w:sz="4" w:space="0"/>
            </w:tcBorders>
            <w:vAlign w:val="center"/>
          </w:tcPr>
          <w:p w14:paraId="01659730">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磋商报价（元）</w:t>
            </w:r>
          </w:p>
        </w:tc>
      </w:tr>
      <w:tr w14:paraId="00619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7672B05F">
            <w:pP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4668" w:type="dxa"/>
            <w:tcBorders>
              <w:top w:val="single" w:color="auto" w:sz="4" w:space="0"/>
              <w:left w:val="single" w:color="auto" w:sz="4" w:space="0"/>
              <w:bottom w:val="single" w:color="auto" w:sz="4" w:space="0"/>
              <w:right w:val="single" w:color="auto" w:sz="4" w:space="0"/>
            </w:tcBorders>
            <w:vAlign w:val="center"/>
          </w:tcPr>
          <w:p w14:paraId="2D0B01B2">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eastAsia="zh-CN"/>
              </w:rPr>
              <w:t>南马镇中心小学校舍及道路改造项目</w:t>
            </w:r>
          </w:p>
        </w:tc>
        <w:tc>
          <w:tcPr>
            <w:tcW w:w="2152" w:type="dxa"/>
            <w:tcBorders>
              <w:top w:val="single" w:color="auto" w:sz="4" w:space="0"/>
              <w:left w:val="single" w:color="auto" w:sz="4" w:space="0"/>
              <w:bottom w:val="single" w:color="auto" w:sz="4" w:space="0"/>
              <w:right w:val="single" w:color="auto" w:sz="4" w:space="0"/>
            </w:tcBorders>
            <w:vAlign w:val="center"/>
          </w:tcPr>
          <w:p w14:paraId="2A32015C">
            <w:pPr>
              <w:snapToGrid w:val="0"/>
              <w:spacing w:before="50" w:after="50"/>
              <w:jc w:val="center"/>
              <w:rPr>
                <w:rFonts w:ascii="宋体" w:hAnsi="宋体" w:cs="宋体"/>
                <w:b/>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75F7F67F">
            <w:pPr>
              <w:snapToGrid w:val="0"/>
              <w:spacing w:before="50" w:after="50"/>
              <w:jc w:val="center"/>
              <w:rPr>
                <w:rFonts w:ascii="宋体" w:hAnsi="宋体" w:cs="宋体"/>
                <w:color w:val="auto"/>
                <w:sz w:val="24"/>
                <w:highlight w:val="none"/>
              </w:rPr>
            </w:pPr>
          </w:p>
        </w:tc>
      </w:tr>
      <w:tr w14:paraId="16CE2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9839" w:type="dxa"/>
            <w:gridSpan w:val="4"/>
            <w:tcBorders>
              <w:top w:val="single" w:color="auto" w:sz="4" w:space="0"/>
              <w:left w:val="single" w:color="auto" w:sz="4" w:space="0"/>
              <w:bottom w:val="single" w:color="auto" w:sz="4" w:space="0"/>
              <w:right w:val="single" w:color="auto" w:sz="4" w:space="0"/>
            </w:tcBorders>
            <w:vAlign w:val="center"/>
          </w:tcPr>
          <w:p w14:paraId="6132318E">
            <w:pPr>
              <w:snapToGrid w:val="0"/>
              <w:spacing w:before="50" w:after="50"/>
              <w:rPr>
                <w:rFonts w:ascii="宋体" w:hAnsi="宋体" w:cs="宋体"/>
                <w:color w:val="auto"/>
                <w:sz w:val="24"/>
                <w:highlight w:val="none"/>
              </w:rPr>
            </w:pPr>
            <w:r>
              <w:rPr>
                <w:rFonts w:hint="eastAsia" w:ascii="宋体" w:hAnsi="宋体" w:cs="宋体"/>
                <w:color w:val="auto"/>
                <w:sz w:val="24"/>
                <w:highlight w:val="none"/>
              </w:rPr>
              <w:t>磋商报价大写（人民币）：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rPr>
              <w:t xml:space="preserve">                     </w:t>
            </w:r>
          </w:p>
        </w:tc>
      </w:tr>
    </w:tbl>
    <w:p w14:paraId="79F71E14">
      <w:pPr>
        <w:spacing w:line="360" w:lineRule="auto"/>
        <w:jc w:val="left"/>
        <w:rPr>
          <w:rFonts w:hint="eastAsia" w:ascii="宋体" w:hAnsi="宋体"/>
          <w:sz w:val="24"/>
          <w:szCs w:val="24"/>
          <w:highlight w:val="none"/>
        </w:rPr>
      </w:pPr>
      <w:r>
        <w:rPr>
          <w:rFonts w:hint="eastAsia" w:ascii="宋体" w:hAnsi="宋体"/>
          <w:sz w:val="24"/>
          <w:szCs w:val="24"/>
          <w:highlight w:val="none"/>
        </w:rPr>
        <w:t>注：1、磋商报价一栏必须填写，否则其磋商作无效标处理。</w:t>
      </w:r>
    </w:p>
    <w:p w14:paraId="627CFFEA">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2、磋商报价一经涂改，应在涂改处加盖单位公章或者由法定代表人或授权委托人签字或盖章，否则其磋商作无效标处理</w:t>
      </w:r>
      <w:r>
        <w:rPr>
          <w:rFonts w:hint="eastAsia" w:ascii="宋体" w:hAnsi="宋体" w:cs="Arial"/>
          <w:bCs/>
          <w:sz w:val="24"/>
          <w:szCs w:val="24"/>
          <w:highlight w:val="none"/>
        </w:rPr>
        <w:t>；</w:t>
      </w:r>
    </w:p>
    <w:p w14:paraId="67726C15">
      <w:pPr>
        <w:spacing w:line="360" w:lineRule="auto"/>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3、磋商报价=</w:t>
      </w:r>
      <w:r>
        <w:rPr>
          <w:rFonts w:hint="eastAsia" w:ascii="宋体" w:hAnsi="宋体" w:cs="Times New Roman"/>
          <w:b/>
          <w:bCs/>
          <w:sz w:val="24"/>
          <w:szCs w:val="24"/>
          <w:highlight w:val="none"/>
          <w:lang w:val="en-US" w:eastAsia="zh-CN"/>
        </w:rPr>
        <w:t>最高限价</w:t>
      </w:r>
      <w:r>
        <w:rPr>
          <w:rFonts w:hint="eastAsia" w:ascii="宋体" w:hAnsi="宋体"/>
          <w:b/>
          <w:bCs/>
          <w:sz w:val="24"/>
          <w:szCs w:val="24"/>
          <w:highlight w:val="none"/>
        </w:rPr>
        <w:t>×（1-</w:t>
      </w:r>
      <w:r>
        <w:rPr>
          <w:rFonts w:hint="eastAsia" w:ascii="宋体" w:hAnsi="宋体"/>
          <w:b/>
          <w:bCs/>
          <w:sz w:val="24"/>
          <w:szCs w:val="24"/>
          <w:highlight w:val="none"/>
          <w:lang w:val="en-US" w:eastAsia="zh-CN"/>
        </w:rPr>
        <w:t>让利</w:t>
      </w:r>
      <w:r>
        <w:rPr>
          <w:rFonts w:hint="eastAsia" w:ascii="宋体" w:hAnsi="宋体"/>
          <w:b/>
          <w:bCs/>
          <w:sz w:val="24"/>
          <w:szCs w:val="24"/>
          <w:highlight w:val="none"/>
        </w:rPr>
        <w:t>下浮率），报价保留2位小数。</w:t>
      </w:r>
    </w:p>
    <w:p w14:paraId="10532BCF">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4、磋商报价包括项目所需的</w:t>
      </w:r>
      <w:r>
        <w:rPr>
          <w:rFonts w:hint="eastAsia" w:ascii="宋体" w:hAnsi="宋体"/>
          <w:sz w:val="24"/>
          <w:szCs w:val="24"/>
          <w:highlight w:val="none"/>
          <w:lang w:val="en-US" w:eastAsia="zh-CN"/>
        </w:rPr>
        <w:t>人工费、材料费、交通费、机械费、装卸费、管理费等与本项目相关的一切费用和税金</w:t>
      </w:r>
      <w:r>
        <w:rPr>
          <w:rFonts w:hint="eastAsia" w:ascii="宋体" w:hAnsi="宋体"/>
          <w:sz w:val="24"/>
          <w:szCs w:val="24"/>
          <w:highlight w:val="none"/>
        </w:rPr>
        <w:t>。</w:t>
      </w:r>
    </w:p>
    <w:p w14:paraId="40E7CB49">
      <w:pPr>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5、本表格式不允许修改，否则作无效标处理。</w:t>
      </w:r>
    </w:p>
    <w:p w14:paraId="631A348C">
      <w:pPr>
        <w:snapToGrid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 xml:space="preserve"> </w:t>
      </w:r>
    </w:p>
    <w:p w14:paraId="2F67915B">
      <w:pPr>
        <w:snapToGrid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 xml:space="preserve"> </w:t>
      </w:r>
    </w:p>
    <w:p w14:paraId="3918BC43">
      <w:pPr>
        <w:snapToGrid w:val="0"/>
        <w:spacing w:before="50" w:after="50"/>
        <w:ind w:left="-2" w:leftChars="-1" w:right="-817" w:rightChars="-389" w:firstLine="360" w:firstLineChars="150"/>
        <w:rPr>
          <w:rFonts w:hint="eastAsia" w:ascii="宋体" w:hAnsi="宋体"/>
          <w:sz w:val="24"/>
          <w:szCs w:val="24"/>
          <w:highlight w:val="none"/>
        </w:rPr>
      </w:pPr>
      <w:r>
        <w:rPr>
          <w:rFonts w:hint="eastAsia" w:ascii="宋体" w:hAnsi="宋体"/>
          <w:sz w:val="24"/>
          <w:szCs w:val="24"/>
          <w:highlight w:val="none"/>
        </w:rPr>
        <w:t>法定代表人或委托代理人（签字或签名章）：</w:t>
      </w:r>
    </w:p>
    <w:p w14:paraId="7EF2E844">
      <w:pPr>
        <w:snapToGrid w:val="0"/>
        <w:spacing w:before="50" w:after="50"/>
        <w:ind w:left="-2" w:leftChars="-1" w:right="-817" w:rightChars="-389" w:firstLine="360" w:firstLineChars="150"/>
        <w:rPr>
          <w:rFonts w:hint="eastAsia" w:ascii="宋体" w:hAnsi="宋体"/>
          <w:sz w:val="24"/>
          <w:szCs w:val="24"/>
          <w:highlight w:val="none"/>
        </w:rPr>
      </w:pPr>
      <w:r>
        <w:rPr>
          <w:rFonts w:hint="eastAsia" w:ascii="宋体" w:hAnsi="宋体"/>
          <w:sz w:val="24"/>
          <w:szCs w:val="24"/>
          <w:highlight w:val="none"/>
        </w:rPr>
        <w:t xml:space="preserve"> </w:t>
      </w:r>
    </w:p>
    <w:p w14:paraId="1A2FAF28">
      <w:pPr>
        <w:snapToGrid w:val="0"/>
        <w:spacing w:before="50" w:after="50"/>
        <w:ind w:right="-817" w:rightChars="-389" w:firstLine="360" w:firstLineChars="150"/>
        <w:rPr>
          <w:rFonts w:hint="eastAsia" w:ascii="宋体" w:hAnsi="宋体"/>
          <w:sz w:val="24"/>
          <w:szCs w:val="24"/>
          <w:highlight w:val="none"/>
        </w:rPr>
      </w:pPr>
      <w:r>
        <w:rPr>
          <w:rFonts w:hint="eastAsia" w:ascii="宋体" w:hAnsi="宋体"/>
          <w:sz w:val="24"/>
          <w:szCs w:val="24"/>
          <w:highlight w:val="none"/>
        </w:rPr>
        <w:t xml:space="preserve">供应商名称（盖章）：                                         </w:t>
      </w:r>
    </w:p>
    <w:p w14:paraId="6C0D4320">
      <w:pPr>
        <w:snapToGrid w:val="0"/>
        <w:spacing w:before="50" w:after="50"/>
        <w:ind w:right="-817" w:rightChars="-389"/>
        <w:rPr>
          <w:rFonts w:hint="eastAsia" w:ascii="宋体" w:hAnsi="宋体"/>
          <w:sz w:val="24"/>
          <w:szCs w:val="24"/>
          <w:highlight w:val="none"/>
        </w:rPr>
      </w:pPr>
      <w:r>
        <w:rPr>
          <w:rFonts w:hint="eastAsia" w:ascii="宋体" w:hAnsi="宋体"/>
          <w:sz w:val="24"/>
          <w:szCs w:val="24"/>
          <w:highlight w:val="none"/>
        </w:rPr>
        <w:t xml:space="preserve"> </w:t>
      </w:r>
    </w:p>
    <w:p w14:paraId="4F40D7AF">
      <w:pPr>
        <w:spacing w:line="380" w:lineRule="exact"/>
        <w:ind w:firstLine="6240" w:firstLineChars="2600"/>
        <w:rPr>
          <w:rFonts w:hint="eastAsia" w:ascii="宋体" w:hAnsi="宋体"/>
          <w:b/>
          <w:sz w:val="24"/>
          <w:szCs w:val="24"/>
          <w:highlight w:val="none"/>
        </w:rPr>
      </w:pPr>
      <w:r>
        <w:rPr>
          <w:rFonts w:hint="eastAsia" w:ascii="宋体" w:hAnsi="宋体"/>
          <w:sz w:val="24"/>
          <w:szCs w:val="24"/>
          <w:highlight w:val="none"/>
        </w:rPr>
        <w:t>日期：    年   月   日</w:t>
      </w:r>
    </w:p>
    <w:p w14:paraId="6135C25F">
      <w:pPr>
        <w:pStyle w:val="3"/>
        <w:rPr>
          <w:rFonts w:hint="eastAsia"/>
          <w:sz w:val="24"/>
          <w:szCs w:val="24"/>
          <w:highlight w:val="none"/>
        </w:rPr>
      </w:pPr>
      <w:r>
        <w:rPr>
          <w:sz w:val="24"/>
          <w:szCs w:val="24"/>
          <w:highlight w:val="none"/>
        </w:rPr>
        <w:t xml:space="preserve"> </w:t>
      </w:r>
    </w:p>
    <w:p w14:paraId="2A40FF10">
      <w:pPr>
        <w:rPr>
          <w:rFonts w:hint="eastAsia" w:ascii="宋体"/>
          <w:highlight w:val="none"/>
        </w:rPr>
      </w:pPr>
      <w:bookmarkStart w:id="92" w:name="_Toc15842"/>
      <w:bookmarkEnd w:id="92"/>
      <w:bookmarkStart w:id="93" w:name="_Toc20543"/>
      <w:bookmarkEnd w:id="93"/>
      <w:bookmarkStart w:id="94" w:name="_Toc13405"/>
      <w:bookmarkEnd w:id="94"/>
      <w:r>
        <w:rPr>
          <w:rFonts w:hint="eastAsia" w:ascii="宋体"/>
          <w:highlight w:val="none"/>
        </w:rPr>
        <w:t xml:space="preserve"> </w:t>
      </w:r>
    </w:p>
    <w:p w14:paraId="18C3527E">
      <w:pPr>
        <w:rPr>
          <w:rFonts w:hint="eastAsia" w:ascii="宋体"/>
          <w:highlight w:val="none"/>
        </w:rPr>
      </w:pPr>
      <w:r>
        <w:rPr>
          <w:rFonts w:hint="eastAsia" w:ascii="宋体"/>
          <w:highlight w:val="none"/>
        </w:rPr>
        <w:t xml:space="preserve"> </w:t>
      </w:r>
    </w:p>
    <w:p w14:paraId="78EEC730">
      <w:pPr>
        <w:rPr>
          <w:rFonts w:hint="eastAsia" w:ascii="宋体"/>
          <w:highlight w:val="none"/>
        </w:rPr>
      </w:pPr>
      <w:r>
        <w:rPr>
          <w:rFonts w:hint="eastAsia" w:ascii="宋体"/>
          <w:highlight w:val="none"/>
        </w:rPr>
        <w:t xml:space="preserve"> </w:t>
      </w:r>
    </w:p>
    <w:p w14:paraId="15ED1B43">
      <w:pPr>
        <w:spacing w:after="120"/>
        <w:jc w:val="center"/>
        <w:rPr>
          <w:rFonts w:hint="eastAsia" w:ascii="宋体"/>
          <w:b/>
          <w:sz w:val="36"/>
          <w:szCs w:val="36"/>
          <w:highlight w:val="none"/>
        </w:rPr>
      </w:pPr>
      <w:r>
        <w:rPr>
          <w:rFonts w:hint="eastAsia" w:ascii="宋体"/>
          <w:b/>
          <w:sz w:val="36"/>
          <w:szCs w:val="36"/>
          <w:highlight w:val="none"/>
        </w:rPr>
        <w:t xml:space="preserve"> </w:t>
      </w:r>
    </w:p>
    <w:p w14:paraId="1CB5FCE1">
      <w:pPr>
        <w:snapToGrid w:val="0"/>
        <w:rPr>
          <w:rFonts w:hint="eastAsia" w:ascii="宋体"/>
          <w:highlight w:val="none"/>
        </w:rPr>
      </w:pPr>
      <w:r>
        <w:rPr>
          <w:rFonts w:hint="eastAsia" w:ascii="宋体"/>
          <w:highlight w:val="none"/>
        </w:rPr>
        <w:t xml:space="preserve"> </w:t>
      </w:r>
    </w:p>
    <w:p w14:paraId="6C96FA0B">
      <w:pPr>
        <w:snapToGrid w:val="0"/>
        <w:rPr>
          <w:rFonts w:hint="eastAsia" w:ascii="宋体"/>
          <w:highlight w:val="none"/>
        </w:rPr>
      </w:pPr>
      <w:r>
        <w:rPr>
          <w:rFonts w:hint="eastAsia" w:ascii="宋体"/>
          <w:highlight w:val="none"/>
        </w:rPr>
        <w:t xml:space="preserve"> </w:t>
      </w:r>
    </w:p>
    <w:p w14:paraId="7FE9AE0C">
      <w:pPr>
        <w:snapToGrid w:val="0"/>
        <w:rPr>
          <w:rFonts w:hint="eastAsia" w:ascii="宋体"/>
          <w:highlight w:val="none"/>
        </w:rPr>
      </w:pPr>
      <w:r>
        <w:rPr>
          <w:rFonts w:hint="eastAsia" w:ascii="宋体"/>
          <w:highlight w:val="none"/>
        </w:rPr>
        <w:t xml:space="preserve"> </w:t>
      </w:r>
    </w:p>
    <w:p w14:paraId="7997483B">
      <w:pPr>
        <w:snapToGrid w:val="0"/>
        <w:rPr>
          <w:rFonts w:hint="eastAsia" w:ascii="宋体"/>
          <w:highlight w:val="none"/>
        </w:rPr>
      </w:pPr>
      <w:r>
        <w:rPr>
          <w:rFonts w:hint="eastAsia" w:ascii="宋体"/>
          <w:highlight w:val="none"/>
        </w:rPr>
        <w:t xml:space="preserve"> </w:t>
      </w:r>
    </w:p>
    <w:p w14:paraId="46F29F20">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 </w:t>
      </w:r>
      <w:bookmarkEnd w:id="91"/>
      <w:bookmarkStart w:id="95" w:name="_Toc2489"/>
      <w:bookmarkStart w:id="96" w:name="_Toc7478"/>
      <w:bookmarkStart w:id="97" w:name="_Toc24160"/>
      <w:r>
        <w:rPr>
          <w:rFonts w:hint="eastAsia" w:ascii="宋体" w:hAnsi="宋体"/>
          <w:bCs/>
          <w:color w:val="auto"/>
          <w:sz w:val="24"/>
          <w:highlight w:val="none"/>
          <w:lang w:val="en-US" w:eastAsia="zh-CN"/>
        </w:rPr>
        <w:t>附件二十二：质疑函范本</w:t>
      </w:r>
      <w:bookmarkEnd w:id="95"/>
      <w:bookmarkEnd w:id="96"/>
      <w:bookmarkEnd w:id="97"/>
    </w:p>
    <w:p w14:paraId="1AF159C5">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14:paraId="7E93B5F8">
      <w:pPr>
        <w:adjustRightInd w:val="0"/>
        <w:snapToGrid w:val="0"/>
        <w:spacing w:beforeLines="100"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14:paraId="5CA36646">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r>
        <w:rPr>
          <w:rFonts w:hint="eastAsia" w:ascii="宋体" w:hAnsi="宋体" w:eastAsia="宋体" w:cs="宋体"/>
          <w:color w:val="auto"/>
          <w:sz w:val="28"/>
          <w:szCs w:val="28"/>
          <w:highlight w:val="none"/>
          <w:u w:val="dotted"/>
        </w:rPr>
        <w:t xml:space="preserve">                                        </w:t>
      </w:r>
    </w:p>
    <w:p w14:paraId="63FC23B7">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00B28ABD">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0D538D14">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p>
    <w:p w14:paraId="4C4156AB">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5566140D">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00197236">
      <w:pPr>
        <w:adjustRightInd w:val="0"/>
        <w:snapToGrid w:val="0"/>
        <w:spacing w:line="360" w:lineRule="auto"/>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1644D595">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r>
        <w:rPr>
          <w:rFonts w:hint="eastAsia" w:ascii="宋体" w:hAnsi="宋体" w:eastAsia="宋体" w:cs="宋体"/>
          <w:color w:val="auto"/>
          <w:sz w:val="28"/>
          <w:szCs w:val="28"/>
          <w:highlight w:val="none"/>
          <w:u w:val="dotted"/>
        </w:rPr>
        <w:t xml:space="preserve">                                      </w:t>
      </w:r>
    </w:p>
    <w:p w14:paraId="18444505">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3ADC4775">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p>
    <w:p w14:paraId="0DF4B05E">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r>
        <w:rPr>
          <w:rFonts w:hint="eastAsia" w:ascii="宋体" w:hAnsi="宋体" w:eastAsia="宋体" w:cs="宋体"/>
          <w:color w:val="auto"/>
          <w:sz w:val="28"/>
          <w:szCs w:val="28"/>
          <w:highlight w:val="none"/>
          <w:u w:val="dotted"/>
        </w:rPr>
        <w:t xml:space="preserve">                                           </w:t>
      </w:r>
    </w:p>
    <w:p w14:paraId="45DAED91">
      <w:pPr>
        <w:adjustRightInd w:val="0"/>
        <w:snapToGrid w:val="0"/>
        <w:spacing w:line="360" w:lineRule="auto"/>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68CA08D1">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r>
        <w:rPr>
          <w:rFonts w:hint="eastAsia" w:ascii="宋体" w:hAnsi="宋体" w:eastAsia="宋体" w:cs="宋体"/>
          <w:color w:val="auto"/>
          <w:sz w:val="28"/>
          <w:szCs w:val="28"/>
          <w:highlight w:val="none"/>
          <w:u w:val="dotted"/>
        </w:rPr>
        <w:t xml:space="preserve">                                         </w:t>
      </w:r>
    </w:p>
    <w:p w14:paraId="75CE59E4">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3B7A7CE5">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 xml:space="preserve">                                                       </w:t>
      </w:r>
    </w:p>
    <w:p w14:paraId="60B8FC6A">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686B814C">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34531DC2">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24E01C49">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3734983D">
      <w:pPr>
        <w:adjustRightInd w:val="0"/>
        <w:snapToGrid w:val="0"/>
        <w:spacing w:line="360" w:lineRule="auto"/>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6D85B4CD">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p>
    <w:p w14:paraId="6294670A">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285E8713">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1158969B">
      <w:pPr>
        <w:rPr>
          <w:rFonts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708A553">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49537B64">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0B50A42">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A0E6373">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1B4FB3B">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5F49674">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0A5A33">
      <w:pPr>
        <w:widowControl/>
        <w:ind w:firstLine="480" w:firstLineChars="200"/>
        <w:jc w:val="left"/>
        <w:rPr>
          <w:rFonts w:ascii="宋体" w:hAnsi="宋体" w:eastAsia="宋体" w:cs="宋体"/>
          <w:color w:val="auto"/>
          <w:sz w:val="24"/>
          <w:highlight w:val="none"/>
        </w:rPr>
      </w:pPr>
    </w:p>
    <w:p w14:paraId="1058EC77">
      <w:pPr>
        <w:outlineLvl w:val="9"/>
        <w:rPr>
          <w:rFonts w:ascii="宋体" w:hAnsi="宋体" w:eastAsia="宋体" w:cs="宋体"/>
          <w:color w:val="auto"/>
          <w:sz w:val="20"/>
          <w:szCs w:val="22"/>
          <w:highlight w:val="none"/>
        </w:rPr>
      </w:pPr>
    </w:p>
    <w:p w14:paraId="0D229248">
      <w:pPr>
        <w:outlineLvl w:val="9"/>
        <w:rPr>
          <w:rFonts w:ascii="宋体" w:hAnsi="宋体" w:eastAsia="宋体" w:cs="宋体"/>
          <w:color w:val="auto"/>
          <w:sz w:val="28"/>
          <w:szCs w:val="28"/>
          <w:highlight w:val="none"/>
        </w:rPr>
      </w:pPr>
    </w:p>
    <w:p w14:paraId="68947ED5">
      <w:pPr>
        <w:outlineLvl w:val="9"/>
        <w:rPr>
          <w:rFonts w:ascii="宋体" w:hAnsi="宋体" w:eastAsia="宋体" w:cs="宋体"/>
          <w:color w:val="auto"/>
          <w:sz w:val="20"/>
          <w:szCs w:val="22"/>
          <w:highlight w:val="none"/>
        </w:rPr>
      </w:pPr>
    </w:p>
    <w:p w14:paraId="4594600B">
      <w:pPr>
        <w:outlineLvl w:val="9"/>
        <w:rPr>
          <w:rFonts w:ascii="宋体" w:hAnsi="宋体" w:eastAsia="宋体" w:cs="宋体"/>
          <w:color w:val="auto"/>
          <w:sz w:val="28"/>
          <w:szCs w:val="28"/>
          <w:highlight w:val="none"/>
        </w:rPr>
      </w:pPr>
    </w:p>
    <w:p w14:paraId="582FEE8F">
      <w:pPr>
        <w:outlineLvl w:val="9"/>
        <w:rPr>
          <w:rFonts w:ascii="宋体" w:hAnsi="宋体" w:eastAsia="宋体" w:cs="宋体"/>
          <w:color w:val="auto"/>
          <w:sz w:val="20"/>
          <w:szCs w:val="22"/>
          <w:highlight w:val="none"/>
        </w:rPr>
      </w:pPr>
    </w:p>
    <w:p w14:paraId="62BE58E7">
      <w:pPr>
        <w:pStyle w:val="18"/>
        <w:ind w:firstLine="560"/>
        <w:outlineLvl w:val="9"/>
        <w:rPr>
          <w:rFonts w:ascii="宋体" w:hAnsi="宋体" w:eastAsia="宋体" w:cs="宋体"/>
          <w:color w:val="auto"/>
          <w:sz w:val="28"/>
          <w:szCs w:val="22"/>
          <w:highlight w:val="none"/>
        </w:rPr>
      </w:pPr>
    </w:p>
    <w:p w14:paraId="62E476A2">
      <w:pPr>
        <w:pStyle w:val="31"/>
        <w:outlineLvl w:val="9"/>
        <w:rPr>
          <w:rFonts w:ascii="宋体" w:hAnsi="宋体" w:eastAsia="宋体" w:cs="宋体"/>
          <w:color w:val="auto"/>
          <w:sz w:val="20"/>
          <w:szCs w:val="22"/>
          <w:highlight w:val="none"/>
        </w:rPr>
      </w:pPr>
    </w:p>
    <w:p w14:paraId="310A5056">
      <w:pPr>
        <w:outlineLvl w:val="9"/>
        <w:rPr>
          <w:rFonts w:ascii="宋体" w:hAnsi="宋体" w:eastAsia="宋体" w:cs="宋体"/>
          <w:color w:val="auto"/>
          <w:sz w:val="20"/>
          <w:szCs w:val="22"/>
          <w:highlight w:val="none"/>
        </w:rPr>
      </w:pPr>
    </w:p>
    <w:p w14:paraId="1E9457EE">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bookmarkStart w:id="98" w:name="_Toc32533"/>
      <w:bookmarkStart w:id="99" w:name="_Toc24711"/>
      <w:bookmarkStart w:id="100" w:name="_Toc28792"/>
      <w:r>
        <w:rPr>
          <w:rFonts w:hint="eastAsia" w:ascii="宋体" w:hAnsi="宋体"/>
          <w:bCs/>
          <w:color w:val="auto"/>
          <w:sz w:val="24"/>
          <w:highlight w:val="none"/>
          <w:lang w:val="en-US" w:eastAsia="zh-CN"/>
        </w:rPr>
        <w:t>附件二十三：投诉书范本</w:t>
      </w:r>
      <w:bookmarkEnd w:id="98"/>
      <w:bookmarkEnd w:id="99"/>
      <w:bookmarkEnd w:id="100"/>
    </w:p>
    <w:p w14:paraId="2519A750">
      <w:pPr>
        <w:jc w:val="center"/>
        <w:rPr>
          <w:rFonts w:ascii="宋体" w:hAnsi="宋体" w:eastAsia="宋体" w:cs="宋体"/>
          <w:b/>
          <w:color w:val="auto"/>
          <w:sz w:val="40"/>
          <w:szCs w:val="40"/>
          <w:highlight w:val="none"/>
        </w:rPr>
      </w:pPr>
      <w:r>
        <w:rPr>
          <w:rFonts w:hint="eastAsia" w:ascii="宋体" w:hAnsi="宋体" w:eastAsia="宋体" w:cs="宋体"/>
          <w:b/>
          <w:color w:val="auto"/>
          <w:sz w:val="40"/>
          <w:szCs w:val="40"/>
          <w:highlight w:val="none"/>
        </w:rPr>
        <w:t>投诉书范本</w:t>
      </w:r>
    </w:p>
    <w:p w14:paraId="23DA5022">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一、投诉相关主体基本情况</w:t>
      </w:r>
    </w:p>
    <w:p w14:paraId="43A12EA9">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w:t>
      </w:r>
      <w:r>
        <w:rPr>
          <w:rFonts w:hint="eastAsia" w:ascii="宋体" w:hAnsi="宋体" w:eastAsia="宋体" w:cs="宋体"/>
          <w:color w:val="auto"/>
          <w:sz w:val="28"/>
          <w:szCs w:val="28"/>
          <w:highlight w:val="none"/>
          <w:u w:val="dotted"/>
        </w:rPr>
        <w:t xml:space="preserve">                                               </w:t>
      </w:r>
    </w:p>
    <w:p w14:paraId="115454CB">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33D51DC2">
      <w:pPr>
        <w:tabs>
          <w:tab w:val="left" w:pos="6510"/>
        </w:tabs>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法定代表人/主要负责人：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0C27EA3B">
      <w:pPr>
        <w:tabs>
          <w:tab w:val="left" w:pos="6510"/>
        </w:tabs>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0C21E2BB">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75A20FE9">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dotted"/>
        </w:rPr>
        <w:t xml:space="preserve">                   </w:t>
      </w:r>
    </w:p>
    <w:p w14:paraId="65F3A610">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被投诉人1：</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28652D69">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7FA2EF9A">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5D939A67">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被投诉人2</w:t>
      </w:r>
    </w:p>
    <w:p w14:paraId="38EC9378">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0F04AFA3">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相关供应商：</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1A624BD4">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3E53F704">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35FA0908">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二、投诉项目基本情况</w:t>
      </w:r>
    </w:p>
    <w:p w14:paraId="6704F9D8">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采购项目名称：</w:t>
      </w:r>
      <w:r>
        <w:rPr>
          <w:rFonts w:hint="eastAsia" w:ascii="宋体" w:hAnsi="宋体" w:eastAsia="宋体" w:cs="宋体"/>
          <w:color w:val="auto"/>
          <w:sz w:val="28"/>
          <w:szCs w:val="28"/>
          <w:highlight w:val="none"/>
          <w:u w:val="dotted"/>
        </w:rPr>
        <w:t xml:space="preserve">                                        </w:t>
      </w:r>
    </w:p>
    <w:p w14:paraId="50110DE1">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采购项目编号：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08C6BD85">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0D441AFA">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代理机构名称：</w:t>
      </w:r>
      <w:r>
        <w:rPr>
          <w:rFonts w:hint="eastAsia" w:ascii="宋体" w:hAnsi="宋体" w:eastAsia="宋体" w:cs="宋体"/>
          <w:color w:val="auto"/>
          <w:sz w:val="28"/>
          <w:szCs w:val="28"/>
          <w:highlight w:val="none"/>
          <w:u w:val="dotted"/>
        </w:rPr>
        <w:t xml:space="preserve">                                         </w:t>
      </w:r>
    </w:p>
    <w:p w14:paraId="72F3D9A2">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采购文件公告: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5B08875C">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采购结果公告: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2224D979">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三、质疑基本情况</w:t>
      </w:r>
    </w:p>
    <w:p w14:paraId="68C1BB46">
      <w:pPr>
        <w:ind w:firstLine="560" w:firstLineChars="200"/>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日,向</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提出质疑，质疑事项为：</w:t>
      </w:r>
      <w:r>
        <w:rPr>
          <w:rFonts w:hint="eastAsia" w:ascii="宋体" w:hAnsi="宋体" w:eastAsia="宋体" w:cs="宋体"/>
          <w:color w:val="auto"/>
          <w:sz w:val="28"/>
          <w:szCs w:val="28"/>
          <w:highlight w:val="none"/>
          <w:u w:val="dotted"/>
        </w:rPr>
        <w:t xml:space="preserve">                                </w:t>
      </w:r>
    </w:p>
    <w:p w14:paraId="70563BBE">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5E160C1A">
      <w:pPr>
        <w:ind w:firstLine="420" w:firstLineChars="1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采购人/代理机构</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日,就质疑事项作出了答复/没有在法定期限内作出答复。</w:t>
      </w:r>
    </w:p>
    <w:p w14:paraId="411C5C27">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四、投诉事项具体内容</w:t>
      </w:r>
    </w:p>
    <w:p w14:paraId="3F9A4A31">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投诉事项 1：</w:t>
      </w:r>
      <w:r>
        <w:rPr>
          <w:rFonts w:hint="eastAsia" w:ascii="宋体" w:hAnsi="宋体" w:eastAsia="宋体" w:cs="宋体"/>
          <w:color w:val="auto"/>
          <w:sz w:val="28"/>
          <w:szCs w:val="28"/>
          <w:highlight w:val="none"/>
          <w:u w:val="dotted"/>
        </w:rPr>
        <w:t xml:space="preserve">                                       </w:t>
      </w:r>
    </w:p>
    <w:p w14:paraId="1C440FD2">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11C8C4B5">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1ECD74D3">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6FB35C34">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6328961A">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投诉事项2</w:t>
      </w:r>
    </w:p>
    <w:p w14:paraId="035AEDC2">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641EB19A">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五、与投诉事项相关的投诉请求</w:t>
      </w:r>
    </w:p>
    <w:p w14:paraId="7CAAC5CE">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29D59F62">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69C47305">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6DE3A69A">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6C5412E5">
      <w:pPr>
        <w:rPr>
          <w:rFonts w:ascii="宋体" w:hAnsi="宋体" w:eastAsia="宋体" w:cs="宋体"/>
          <w:b/>
          <w:color w:val="auto"/>
          <w:sz w:val="28"/>
          <w:szCs w:val="28"/>
          <w:highlight w:val="none"/>
        </w:rPr>
      </w:pPr>
    </w:p>
    <w:p w14:paraId="24A87E2F">
      <w:pPr>
        <w:rPr>
          <w:rFonts w:ascii="宋体" w:hAnsi="宋体" w:eastAsia="宋体" w:cs="宋体"/>
          <w:b/>
          <w:color w:val="auto"/>
          <w:sz w:val="28"/>
          <w:szCs w:val="28"/>
          <w:highlight w:val="none"/>
        </w:rPr>
      </w:pPr>
    </w:p>
    <w:p w14:paraId="3BB609B5">
      <w:pPr>
        <w:rPr>
          <w:rFonts w:ascii="宋体" w:hAnsi="宋体" w:eastAsia="宋体" w:cs="宋体"/>
          <w:b/>
          <w:color w:val="auto"/>
          <w:sz w:val="28"/>
          <w:szCs w:val="28"/>
          <w:highlight w:val="none"/>
        </w:rPr>
      </w:pPr>
    </w:p>
    <w:p w14:paraId="42DF4F47">
      <w:pPr>
        <w:rPr>
          <w:rFonts w:ascii="宋体" w:hAnsi="宋体" w:eastAsia="宋体" w:cs="宋体"/>
          <w:b/>
          <w:color w:val="auto"/>
          <w:sz w:val="28"/>
          <w:szCs w:val="28"/>
          <w:highlight w:val="none"/>
        </w:rPr>
      </w:pPr>
    </w:p>
    <w:p w14:paraId="266E7770">
      <w:pPr>
        <w:rPr>
          <w:rFonts w:ascii="宋体" w:hAnsi="宋体" w:eastAsia="宋体" w:cs="宋体"/>
          <w:b/>
          <w:color w:val="auto"/>
          <w:sz w:val="28"/>
          <w:szCs w:val="28"/>
          <w:highlight w:val="none"/>
        </w:rPr>
      </w:pPr>
    </w:p>
    <w:p w14:paraId="5BE5BCFB">
      <w:pPr>
        <w:rPr>
          <w:rFonts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EB31DD2">
      <w:pPr>
        <w:widowControl/>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E1DF6F5">
      <w:pPr>
        <w:widowControl/>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A2CE5F5">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D8DC3D5">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F7C8378">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53140D0A">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A84D855">
      <w:pPr>
        <w:widowControl/>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0D376BE">
      <w:pPr>
        <w:jc w:val="left"/>
        <w:rPr>
          <w:rFonts w:hint="eastAsia" w:ascii="宋体" w:hAnsi="宋体" w:eastAsia="宋体" w:cs="宋体"/>
          <w:b/>
          <w:color w:val="auto"/>
          <w:sz w:val="28"/>
          <w:szCs w:val="28"/>
          <w:highlight w:val="none"/>
        </w:rPr>
        <w:sectPr>
          <w:headerReference r:id="rId9" w:type="first"/>
          <w:footerReference r:id="rId11" w:type="first"/>
          <w:headerReference r:id="rId8" w:type="default"/>
          <w:footerReference r:id="rId10" w:type="default"/>
          <w:pgSz w:w="11906" w:h="16838"/>
          <w:pgMar w:top="851" w:right="1247" w:bottom="1021" w:left="1247" w:header="851" w:footer="907" w:gutter="0"/>
          <w:pgBorders>
            <w:top w:val="none" w:sz="0" w:space="0"/>
            <w:left w:val="none" w:sz="0" w:space="0"/>
            <w:bottom w:val="none" w:sz="0" w:space="0"/>
            <w:right w:val="none" w:sz="0" w:space="0"/>
          </w:pgBorders>
          <w:pgNumType w:fmt="decimal"/>
          <w:cols w:space="720" w:num="1"/>
          <w:titlePg/>
          <w:rtlGutter w:val="0"/>
          <w:docGrid w:linePitch="312" w:charSpace="0"/>
        </w:sectPr>
      </w:pPr>
      <w:r>
        <w:rPr>
          <w:rFonts w:hint="eastAsia" w:ascii="宋体" w:hAnsi="宋体" w:eastAsia="宋体" w:cs="宋体"/>
          <w:color w:val="auto"/>
          <w:sz w:val="28"/>
          <w:szCs w:val="28"/>
          <w:highlight w:val="none"/>
        </w:rPr>
        <w:t xml:space="preserve">        </w:t>
      </w:r>
    </w:p>
    <w:p w14:paraId="3C5F130A">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附件二十四：预算审核编制说明及工程量清单</w:t>
      </w:r>
    </w:p>
    <w:p w14:paraId="6226741A">
      <w:pPr>
        <w:spacing w:line="360" w:lineRule="auto"/>
        <w:ind w:left="136"/>
        <w:jc w:val="center"/>
        <w:rPr>
          <w:rFonts w:hint="eastAsia" w:ascii="宋体" w:hAnsi="宋体"/>
          <w:b/>
          <w:bCs/>
          <w:sz w:val="32"/>
          <w:szCs w:val="32"/>
          <w:highlight w:val="none"/>
          <w:lang w:val="en-US" w:eastAsia="zh-CN"/>
        </w:rPr>
      </w:pPr>
      <w:r>
        <w:rPr>
          <w:rFonts w:hint="eastAsia" w:ascii="宋体" w:hAnsi="宋体"/>
          <w:b/>
          <w:bCs/>
          <w:sz w:val="32"/>
          <w:szCs w:val="32"/>
          <w:highlight w:val="none"/>
          <w:lang w:val="en-US" w:eastAsia="zh-CN"/>
        </w:rPr>
        <w:t>南马镇中心小学校舍及道路改造项目</w:t>
      </w:r>
    </w:p>
    <w:p w14:paraId="49DFC732">
      <w:pPr>
        <w:spacing w:line="360" w:lineRule="auto"/>
        <w:ind w:left="136"/>
        <w:jc w:val="center"/>
        <w:rPr>
          <w:rFonts w:hint="eastAsia" w:ascii="宋体" w:hAnsi="宋体"/>
          <w:b/>
          <w:bCs/>
          <w:sz w:val="32"/>
          <w:szCs w:val="32"/>
          <w:highlight w:val="none"/>
        </w:rPr>
      </w:pPr>
      <w:r>
        <w:rPr>
          <w:rFonts w:hint="eastAsia" w:ascii="宋体" w:hAnsi="宋体"/>
          <w:b/>
          <w:bCs/>
          <w:sz w:val="32"/>
          <w:szCs w:val="32"/>
          <w:highlight w:val="none"/>
          <w:lang w:val="en-US" w:eastAsia="zh-CN"/>
        </w:rPr>
        <w:t>预算审核</w:t>
      </w:r>
      <w:r>
        <w:rPr>
          <w:rFonts w:hint="eastAsia" w:ascii="宋体" w:hAnsi="宋体"/>
          <w:b/>
          <w:bCs/>
          <w:sz w:val="32"/>
          <w:szCs w:val="32"/>
          <w:highlight w:val="none"/>
        </w:rPr>
        <w:t>说明</w:t>
      </w:r>
    </w:p>
    <w:p w14:paraId="3A108A8A">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20" w:leftChars="200" w:firstLine="480" w:firstLineChars="200"/>
        <w:textAlignment w:val="auto"/>
        <w:rPr>
          <w:rFonts w:hint="eastAsia" w:eastAsia="宋体"/>
          <w:sz w:val="24"/>
          <w:highlight w:val="none"/>
          <w:lang w:eastAsia="zh-CN"/>
        </w:rPr>
      </w:pPr>
      <w:r>
        <w:rPr>
          <w:rFonts w:hint="eastAsia"/>
          <w:sz w:val="24"/>
          <w:highlight w:val="none"/>
        </w:rPr>
        <w:t>工程概况</w:t>
      </w:r>
      <w:r>
        <w:rPr>
          <w:rFonts w:hint="eastAsia"/>
          <w:sz w:val="24"/>
          <w:highlight w:val="none"/>
          <w:lang w:eastAsia="zh-CN"/>
        </w:rPr>
        <w:t>：该工程由</w:t>
      </w:r>
      <w:r>
        <w:rPr>
          <w:rFonts w:hint="eastAsia" w:ascii="宋体" w:hAnsi="宋体" w:eastAsia="宋体" w:cs="宋体"/>
          <w:sz w:val="24"/>
          <w:highlight w:val="none"/>
        </w:rPr>
        <w:t>东阳市南马镇中心小学</w:t>
      </w:r>
      <w:r>
        <w:rPr>
          <w:rFonts w:hint="eastAsia"/>
          <w:sz w:val="24"/>
          <w:highlight w:val="none"/>
          <w:lang w:eastAsia="zh-CN"/>
        </w:rPr>
        <w:t>负责建设。</w:t>
      </w:r>
      <w:r>
        <w:rPr>
          <w:rFonts w:hint="eastAsia" w:ascii="宋体" w:hAnsi="宋体" w:eastAsia="宋体" w:cs="宋体"/>
          <w:sz w:val="24"/>
          <w:highlight w:val="none"/>
        </w:rPr>
        <w:t>工程建设地点位于东阳市南马镇中心小学</w:t>
      </w:r>
      <w:r>
        <w:rPr>
          <w:rFonts w:hint="eastAsia" w:ascii="宋体" w:hAnsi="宋体" w:eastAsia="宋体" w:cs="宋体"/>
          <w:sz w:val="24"/>
          <w:highlight w:val="none"/>
          <w:lang w:eastAsia="zh-CN"/>
        </w:rPr>
        <w:t>，</w:t>
      </w:r>
      <w:r>
        <w:rPr>
          <w:rFonts w:hint="eastAsia" w:ascii="宋体" w:hAnsi="宋体" w:eastAsia="宋体" w:cs="宋体"/>
          <w:sz w:val="24"/>
          <w:highlight w:val="none"/>
        </w:rPr>
        <w:t>主要</w:t>
      </w:r>
      <w:r>
        <w:rPr>
          <w:rFonts w:hint="eastAsia" w:ascii="宋体" w:hAnsi="宋体" w:eastAsia="宋体" w:cs="宋体"/>
          <w:sz w:val="24"/>
          <w:highlight w:val="none"/>
          <w:lang w:val="en-US" w:eastAsia="zh-CN"/>
        </w:rPr>
        <w:t>建设内容</w:t>
      </w:r>
      <w:r>
        <w:rPr>
          <w:rFonts w:hint="eastAsia" w:ascii="宋体" w:hAnsi="宋体" w:eastAsia="宋体" w:cs="宋体"/>
          <w:sz w:val="24"/>
          <w:highlight w:val="none"/>
        </w:rPr>
        <w:t>为</w:t>
      </w:r>
      <w:r>
        <w:rPr>
          <w:rFonts w:hint="eastAsia" w:ascii="宋体" w:hAnsi="宋体" w:eastAsia="宋体" w:cs="宋体"/>
          <w:sz w:val="24"/>
          <w:szCs w:val="24"/>
          <w:highlight w:val="none"/>
          <w:lang w:val="en-US" w:eastAsia="zh-CN"/>
        </w:rPr>
        <w:t>教学楼和办公楼路面改造及绿化工程、体艺楼三楼地面改造、综合楼外墙真石改造及宿舍走廊地面、内墙及顶棚改造、西大门改造、围墙墙面改造以及垃圾间拆除新建</w:t>
      </w:r>
      <w:r>
        <w:rPr>
          <w:rFonts w:hint="eastAsia" w:ascii="宋体" w:hAnsi="宋体" w:eastAsia="宋体" w:cs="宋体"/>
          <w:sz w:val="24"/>
          <w:highlight w:val="none"/>
          <w:lang w:val="en-US" w:eastAsia="zh-CN"/>
        </w:rPr>
        <w:t>等。</w:t>
      </w:r>
    </w:p>
    <w:p w14:paraId="27885A9E">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20" w:leftChars="200" w:firstLine="480" w:firstLineChars="200"/>
        <w:textAlignment w:val="auto"/>
        <w:rPr>
          <w:rFonts w:hint="eastAsia" w:eastAsia="宋体"/>
          <w:sz w:val="24"/>
          <w:highlight w:val="none"/>
          <w:lang w:eastAsia="zh-CN"/>
        </w:rPr>
      </w:pPr>
      <w:r>
        <w:rPr>
          <w:rFonts w:hint="eastAsia"/>
          <w:sz w:val="24"/>
          <w:highlight w:val="none"/>
          <w:lang w:val="en-US" w:eastAsia="zh-CN"/>
        </w:rPr>
        <w:t>审核</w:t>
      </w:r>
      <w:r>
        <w:rPr>
          <w:rFonts w:hint="eastAsia"/>
          <w:sz w:val="24"/>
          <w:highlight w:val="none"/>
        </w:rPr>
        <w:t>范围</w:t>
      </w:r>
      <w:r>
        <w:rPr>
          <w:rFonts w:hint="eastAsia"/>
          <w:sz w:val="24"/>
          <w:highlight w:val="none"/>
          <w:lang w:eastAsia="zh-CN"/>
        </w:rPr>
        <w:t>：</w:t>
      </w:r>
      <w:r>
        <w:rPr>
          <w:rFonts w:hint="eastAsia"/>
          <w:sz w:val="24"/>
          <w:highlight w:val="none"/>
          <w:lang w:val="en-US" w:eastAsia="zh-CN"/>
        </w:rPr>
        <w:t>设计图纸范围内的土建、安装、市政、园林绿化</w:t>
      </w:r>
      <w:r>
        <w:rPr>
          <w:rFonts w:hint="eastAsia" w:ascii="宋体" w:hAnsi="宋体" w:eastAsia="宋体" w:cs="宋体"/>
          <w:sz w:val="24"/>
          <w:highlight w:val="none"/>
          <w:lang w:val="en-US" w:eastAsia="zh-CN"/>
        </w:rPr>
        <w:t>工程等</w:t>
      </w:r>
      <w:r>
        <w:rPr>
          <w:rFonts w:hint="eastAsia" w:ascii="宋体" w:hAnsi="宋体" w:eastAsia="宋体" w:cs="宋体"/>
          <w:sz w:val="24"/>
          <w:highlight w:val="none"/>
        </w:rPr>
        <w:t>。</w:t>
      </w:r>
    </w:p>
    <w:p w14:paraId="0A18FC57">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sz w:val="24"/>
          <w:highlight w:val="none"/>
        </w:rPr>
      </w:pPr>
      <w:r>
        <w:rPr>
          <w:rFonts w:hint="eastAsia"/>
          <w:sz w:val="24"/>
          <w:highlight w:val="none"/>
        </w:rPr>
        <w:t>三、</w:t>
      </w:r>
      <w:r>
        <w:rPr>
          <w:rFonts w:hint="eastAsia"/>
          <w:sz w:val="24"/>
          <w:highlight w:val="none"/>
          <w:lang w:val="en-US" w:eastAsia="zh-CN"/>
        </w:rPr>
        <w:t>审核</w:t>
      </w:r>
      <w:r>
        <w:rPr>
          <w:rFonts w:hint="eastAsia"/>
          <w:sz w:val="24"/>
          <w:highlight w:val="none"/>
        </w:rPr>
        <w:t>依据</w:t>
      </w:r>
    </w:p>
    <w:p w14:paraId="6ED4C2BE">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由</w:t>
      </w:r>
      <w:r>
        <w:rPr>
          <w:rFonts w:hint="eastAsia" w:ascii="宋体" w:hAnsi="宋体" w:eastAsia="宋体" w:cs="宋体"/>
          <w:sz w:val="24"/>
          <w:highlight w:val="none"/>
          <w:lang w:val="en-US" w:eastAsia="zh-CN"/>
        </w:rPr>
        <w:t>北桥中七设计有限公司设计</w:t>
      </w:r>
      <w:r>
        <w:rPr>
          <w:rFonts w:hint="eastAsia" w:ascii="宋体" w:hAnsi="宋体" w:eastAsia="宋体" w:cs="宋体"/>
          <w:sz w:val="24"/>
          <w:highlight w:val="none"/>
        </w:rPr>
        <w:t>的《南马镇中心小学校舍及道路改造项目》</w:t>
      </w:r>
      <w:r>
        <w:rPr>
          <w:rFonts w:hint="eastAsia" w:ascii="宋体" w:hAnsi="宋体" w:eastAsia="宋体" w:cs="宋体"/>
          <w:sz w:val="24"/>
          <w:highlight w:val="none"/>
          <w:lang w:val="en-US" w:eastAsia="zh-CN"/>
        </w:rPr>
        <w:t>图纸</w:t>
      </w:r>
      <w:r>
        <w:rPr>
          <w:rFonts w:hint="eastAsia" w:ascii="宋体" w:hAnsi="宋体" w:eastAsia="宋体" w:cs="宋体"/>
          <w:sz w:val="24"/>
          <w:highlight w:val="none"/>
        </w:rPr>
        <w:t>、图纸答疑等。</w:t>
      </w:r>
    </w:p>
    <w:p w14:paraId="2C698941">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eastAsia="宋体" w:cs="宋体"/>
          <w:sz w:val="24"/>
          <w:szCs w:val="24"/>
          <w:highlight w:val="none"/>
        </w:rPr>
        <w:t>《浙江省建设工程计价规则》（2018版）</w:t>
      </w:r>
      <w:r>
        <w:rPr>
          <w:rFonts w:hint="eastAsia" w:ascii="宋体" w:hAnsi="宋体" w:eastAsia="宋体" w:cs="宋体"/>
          <w:sz w:val="24"/>
          <w:szCs w:val="24"/>
          <w:highlight w:val="none"/>
          <w:lang w:eastAsia="zh-CN"/>
        </w:rPr>
        <w:t>；</w:t>
      </w:r>
    </w:p>
    <w:p w14:paraId="27B3CF44">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3.《浙江省房屋建筑与装饰工程预算定额》（2018版）</w:t>
      </w:r>
      <w:r>
        <w:rPr>
          <w:rFonts w:hint="eastAsia" w:ascii="宋体" w:hAnsi="宋体" w:eastAsia="宋体" w:cs="宋体"/>
          <w:sz w:val="24"/>
          <w:szCs w:val="24"/>
          <w:highlight w:val="none"/>
          <w:lang w:eastAsia="zh-CN"/>
        </w:rPr>
        <w:t>；</w:t>
      </w:r>
    </w:p>
    <w:p w14:paraId="01161A47">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4.《浙江省通用安装工程预算定额》（2018版）；</w:t>
      </w:r>
    </w:p>
    <w:p w14:paraId="41A57241">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宋体" w:hAnsi="Times New Roman" w:eastAsia="宋体" w:cs="宋体"/>
          <w:sz w:val="24"/>
          <w:highlight w:val="none"/>
          <w:lang w:val="en-US" w:eastAsia="zh-CN"/>
        </w:rPr>
      </w:pPr>
      <w:r>
        <w:rPr>
          <w:rFonts w:hint="eastAsia" w:ascii="宋体" w:hAnsi="Times New Roman" w:eastAsia="宋体" w:cs="宋体"/>
          <w:sz w:val="24"/>
          <w:highlight w:val="none"/>
          <w:lang w:val="en-US" w:eastAsia="zh-CN"/>
        </w:rPr>
        <w:t>5.《浙江省市政工程预算定额》（2018版）；</w:t>
      </w:r>
    </w:p>
    <w:p w14:paraId="6825BC87">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宋体" w:hAnsi="Times New Roman" w:eastAsia="宋体" w:cs="宋体"/>
          <w:sz w:val="24"/>
          <w:highlight w:val="none"/>
          <w:lang w:val="en-US" w:eastAsia="zh-CN"/>
        </w:rPr>
      </w:pPr>
      <w:r>
        <w:rPr>
          <w:rFonts w:hint="eastAsia" w:ascii="宋体" w:hAnsi="Times New Roman" w:eastAsia="宋体" w:cs="宋体"/>
          <w:sz w:val="24"/>
          <w:highlight w:val="none"/>
          <w:lang w:val="en-US" w:eastAsia="zh-CN"/>
        </w:rPr>
        <w:t>6.</w:t>
      </w:r>
      <w:r>
        <w:rPr>
          <w:rFonts w:hint="eastAsia" w:ascii="宋体" w:hAnsi="宋体"/>
          <w:color w:val="auto"/>
          <w:sz w:val="24"/>
          <w:szCs w:val="24"/>
          <w:highlight w:val="none"/>
        </w:rPr>
        <w:t>《浙江省园林绿化及仿古建筑工程预算定额》（2018版）</w:t>
      </w:r>
      <w:r>
        <w:rPr>
          <w:rFonts w:hint="eastAsia" w:ascii="宋体" w:hAnsi="宋体"/>
          <w:color w:val="auto"/>
          <w:sz w:val="24"/>
          <w:szCs w:val="24"/>
          <w:highlight w:val="none"/>
          <w:lang w:eastAsia="zh-CN"/>
        </w:rPr>
        <w:t>；</w:t>
      </w:r>
    </w:p>
    <w:p w14:paraId="0BFCCAAB">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ascii="宋体" w:hAnsi="宋体" w:eastAsia="宋体" w:cs="宋体"/>
          <w:sz w:val="24"/>
          <w:szCs w:val="24"/>
          <w:highlight w:val="none"/>
        </w:rPr>
        <w:t>《浙江省建设</w:t>
      </w:r>
      <w:r>
        <w:rPr>
          <w:rFonts w:ascii="宋体" w:hAnsi="宋体" w:eastAsia="宋体" w:cs="宋体"/>
          <w:sz w:val="24"/>
          <w:szCs w:val="24"/>
          <w:highlight w:val="none"/>
        </w:rPr>
        <w:fldChar w:fldCharType="begin"/>
      </w:r>
      <w:r>
        <w:rPr>
          <w:rFonts w:ascii="宋体" w:hAnsi="宋体" w:eastAsia="宋体" w:cs="宋体"/>
          <w:sz w:val="24"/>
          <w:szCs w:val="24"/>
          <w:highlight w:val="none"/>
        </w:rPr>
        <w:instrText xml:space="preserve"> HYPERLINK "https://www.cbi360.net/hyjd/1zt1145.html" \t "https://gov.cbi360.net/a/20181127/_blank" </w:instrText>
      </w:r>
      <w:r>
        <w:rPr>
          <w:rFonts w:ascii="宋体" w:hAnsi="宋体" w:eastAsia="宋体" w:cs="宋体"/>
          <w:sz w:val="24"/>
          <w:szCs w:val="24"/>
          <w:highlight w:val="none"/>
        </w:rPr>
        <w:fldChar w:fldCharType="separate"/>
      </w:r>
      <w:r>
        <w:rPr>
          <w:rFonts w:ascii="宋体" w:hAnsi="宋体" w:eastAsia="宋体" w:cs="宋体"/>
          <w:sz w:val="24"/>
          <w:szCs w:val="24"/>
          <w:highlight w:val="none"/>
        </w:rPr>
        <w:t>工程施工</w:t>
      </w:r>
      <w:r>
        <w:rPr>
          <w:rFonts w:ascii="宋体" w:hAnsi="宋体" w:eastAsia="宋体" w:cs="宋体"/>
          <w:sz w:val="24"/>
          <w:szCs w:val="24"/>
          <w:highlight w:val="none"/>
        </w:rPr>
        <w:fldChar w:fldCharType="end"/>
      </w:r>
      <w:r>
        <w:rPr>
          <w:rFonts w:ascii="宋体" w:hAnsi="宋体" w:eastAsia="宋体" w:cs="宋体"/>
          <w:sz w:val="24"/>
          <w:szCs w:val="24"/>
          <w:highlight w:val="none"/>
        </w:rPr>
        <w:t>机械台班费用定额》（2018版）</w:t>
      </w:r>
      <w:r>
        <w:rPr>
          <w:rFonts w:hint="eastAsia" w:ascii="宋体" w:hAnsi="宋体" w:eastAsia="宋体" w:cs="宋体"/>
          <w:sz w:val="24"/>
          <w:szCs w:val="24"/>
          <w:highlight w:val="none"/>
          <w:lang w:eastAsia="zh-CN"/>
        </w:rPr>
        <w:t>；</w:t>
      </w:r>
    </w:p>
    <w:p w14:paraId="6BB13CBD">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宋体" w:hAnsi="宋体" w:cs="宋体"/>
          <w:sz w:val="24"/>
          <w:highlight w:val="none"/>
          <w:lang w:val="zh-CN"/>
        </w:rPr>
      </w:pPr>
      <w:r>
        <w:rPr>
          <w:rFonts w:hint="eastAsia" w:ascii="宋体" w:hAnsi="宋体"/>
          <w:kern w:val="10"/>
          <w:sz w:val="24"/>
          <w:highlight w:val="none"/>
          <w:lang w:val="en-US" w:eastAsia="zh-CN"/>
        </w:rPr>
        <w:t>8.</w:t>
      </w:r>
      <w:r>
        <w:rPr>
          <w:rFonts w:hint="eastAsia" w:ascii="宋体" w:hAnsi="宋体" w:cs="宋体"/>
          <w:sz w:val="24"/>
          <w:highlight w:val="none"/>
          <w:lang w:val="zh-CN"/>
        </w:rPr>
        <w:t>按浙建建发</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w:t>
      </w:r>
      <w:r>
        <w:rPr>
          <w:rFonts w:ascii="宋体" w:hAnsi="宋体" w:cs="宋体"/>
          <w:sz w:val="24"/>
          <w:highlight w:val="none"/>
          <w:lang w:val="zh-CN"/>
        </w:rPr>
        <w:t>92</w:t>
      </w:r>
      <w:r>
        <w:rPr>
          <w:rFonts w:hint="eastAsia" w:ascii="宋体" w:hAnsi="宋体" w:cs="宋体"/>
          <w:sz w:val="24"/>
          <w:highlight w:val="none"/>
          <w:lang w:val="zh-CN"/>
        </w:rPr>
        <w:t>号“关于增值税调整后我省建设工程计价依据增值税税率及有关计价调整的通知”；</w:t>
      </w:r>
    </w:p>
    <w:p w14:paraId="50704E2C">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9.未按浙建建发〔2022〕37 号“关于调整建筑工程安全文明施工费用的通知”执行；</w:t>
      </w:r>
    </w:p>
    <w:p w14:paraId="73192689">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宋体" w:hAnsi="宋体" w:cs="宋体"/>
          <w:color w:val="000000"/>
          <w:kern w:val="0"/>
          <w:sz w:val="24"/>
          <w:highlight w:val="none"/>
          <w:lang w:eastAsia="zh-CN"/>
        </w:rPr>
      </w:pPr>
      <w:r>
        <w:rPr>
          <w:rFonts w:hint="eastAsia" w:ascii="宋体" w:hAnsi="宋体" w:eastAsia="宋体" w:cs="宋体"/>
          <w:sz w:val="24"/>
          <w:szCs w:val="24"/>
          <w:highlight w:val="none"/>
          <w:lang w:val="en-US" w:eastAsia="zh-CN"/>
        </w:rPr>
        <w:t>10.</w:t>
      </w:r>
      <w:r>
        <w:rPr>
          <w:rFonts w:hint="eastAsia" w:ascii="宋体" w:hAnsi="宋体" w:cs="宋体"/>
          <w:color w:val="000000"/>
          <w:kern w:val="0"/>
          <w:sz w:val="24"/>
          <w:highlight w:val="none"/>
        </w:rPr>
        <w:t>有关计价问题研讨会会议纪要</w:t>
      </w:r>
      <w:r>
        <w:rPr>
          <w:rFonts w:hint="eastAsia" w:ascii="宋体" w:hAnsi="宋体" w:cs="宋体"/>
          <w:color w:val="000000"/>
          <w:kern w:val="0"/>
          <w:sz w:val="24"/>
          <w:highlight w:val="none"/>
          <w:lang w:eastAsia="zh-CN"/>
        </w:rPr>
        <w:t>。</w:t>
      </w:r>
    </w:p>
    <w:p w14:paraId="4D7F3546">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sz w:val="24"/>
          <w:highlight w:val="none"/>
        </w:rPr>
      </w:pPr>
      <w:r>
        <w:rPr>
          <w:rFonts w:hint="eastAsia"/>
          <w:sz w:val="24"/>
          <w:highlight w:val="none"/>
          <w:lang w:val="en-US" w:eastAsia="zh-CN"/>
        </w:rPr>
        <w:t>四</w:t>
      </w:r>
      <w:r>
        <w:rPr>
          <w:rFonts w:hint="eastAsia"/>
          <w:sz w:val="24"/>
          <w:highlight w:val="none"/>
        </w:rPr>
        <w:t>、工程取费</w:t>
      </w:r>
    </w:p>
    <w:p w14:paraId="70E41067">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宋体" w:hAnsi="宋体"/>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弹性区间的费率均按中值计取</w:t>
      </w:r>
      <w:r>
        <w:rPr>
          <w:rFonts w:hint="eastAsia" w:ascii="宋体" w:hAnsi="宋体"/>
          <w:sz w:val="24"/>
          <w:highlight w:val="none"/>
          <w:lang w:eastAsia="zh-CN"/>
        </w:rPr>
        <w:t>；</w:t>
      </w:r>
    </w:p>
    <w:p w14:paraId="7E24D312">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宋体" w:hAnsi="宋体"/>
          <w:sz w:val="24"/>
          <w:highlight w:val="none"/>
          <w:lang w:eastAsia="zh-CN"/>
        </w:rPr>
      </w:pPr>
      <w:r>
        <w:rPr>
          <w:rFonts w:hint="eastAsia" w:ascii="宋体" w:hAnsi="宋体"/>
          <w:sz w:val="24"/>
          <w:highlight w:val="none"/>
          <w:lang w:val="en-US" w:eastAsia="zh-CN"/>
        </w:rPr>
        <w:t>2.</w:t>
      </w:r>
      <w:r>
        <w:rPr>
          <w:rFonts w:hint="eastAsia" w:ascii="宋体" w:hAnsi="宋体"/>
          <w:sz w:val="24"/>
          <w:highlight w:val="none"/>
        </w:rPr>
        <w:t>企业管理费</w:t>
      </w:r>
      <w:r>
        <w:rPr>
          <w:rFonts w:hint="eastAsia" w:ascii="宋体" w:hAnsi="宋体"/>
          <w:sz w:val="24"/>
          <w:highlight w:val="none"/>
          <w:lang w:eastAsia="zh-CN"/>
        </w:rPr>
        <w:t>及利润</w:t>
      </w:r>
      <w:r>
        <w:rPr>
          <w:rFonts w:hint="eastAsia" w:ascii="宋体" w:hAnsi="宋体"/>
          <w:sz w:val="24"/>
          <w:highlight w:val="none"/>
        </w:rPr>
        <w:t>按</w:t>
      </w:r>
      <w:r>
        <w:rPr>
          <w:rFonts w:hint="eastAsia" w:ascii="宋体" w:hAnsi="宋体"/>
          <w:sz w:val="24"/>
          <w:highlight w:val="none"/>
          <w:lang w:val="en-US" w:eastAsia="zh-CN"/>
        </w:rPr>
        <w:t>中值</w:t>
      </w:r>
      <w:r>
        <w:rPr>
          <w:rFonts w:hint="eastAsia" w:ascii="宋体" w:hAnsi="宋体"/>
          <w:sz w:val="24"/>
          <w:highlight w:val="none"/>
        </w:rPr>
        <w:t>计取</w:t>
      </w:r>
      <w:r>
        <w:rPr>
          <w:rFonts w:hint="eastAsia" w:ascii="宋体" w:hAnsi="宋体"/>
          <w:sz w:val="24"/>
          <w:highlight w:val="none"/>
          <w:lang w:eastAsia="zh-CN"/>
        </w:rPr>
        <w:t>；</w:t>
      </w:r>
    </w:p>
    <w:p w14:paraId="0B7685A9">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宋体" w:hAnsi="宋体"/>
          <w:sz w:val="24"/>
          <w:highlight w:val="none"/>
          <w:lang w:eastAsia="zh-CN"/>
        </w:rPr>
      </w:pPr>
      <w:r>
        <w:rPr>
          <w:rFonts w:hint="eastAsia" w:ascii="宋体" w:hAnsi="宋体"/>
          <w:sz w:val="24"/>
          <w:highlight w:val="none"/>
        </w:rPr>
        <w:t>3</w:t>
      </w:r>
      <w:r>
        <w:rPr>
          <w:rFonts w:hint="eastAsia" w:ascii="宋体" w:hAnsi="宋体"/>
          <w:sz w:val="24"/>
          <w:highlight w:val="none"/>
          <w:lang w:eastAsia="zh-CN"/>
        </w:rPr>
        <w:t>.</w:t>
      </w:r>
      <w:r>
        <w:rPr>
          <w:rFonts w:hint="eastAsia" w:ascii="宋体" w:hAnsi="宋体"/>
          <w:sz w:val="24"/>
          <w:highlight w:val="none"/>
        </w:rPr>
        <w:t>施工组织措施费，安全文明施工费按</w:t>
      </w:r>
      <w:r>
        <w:rPr>
          <w:rFonts w:hint="eastAsia" w:ascii="宋体" w:hAnsi="宋体"/>
          <w:sz w:val="24"/>
          <w:highlight w:val="none"/>
          <w:lang w:val="en-US" w:eastAsia="zh-CN"/>
        </w:rPr>
        <w:t>非市区工程中值,二次搬运费按中值，</w:t>
      </w:r>
      <w:r>
        <w:rPr>
          <w:rFonts w:hint="eastAsia" w:ascii="宋体" w:hAnsi="宋体"/>
          <w:sz w:val="24"/>
          <w:highlight w:val="none"/>
        </w:rPr>
        <w:t>不计</w:t>
      </w:r>
      <w:r>
        <w:rPr>
          <w:rFonts w:hint="eastAsia" w:ascii="宋体" w:hAnsi="宋体"/>
          <w:sz w:val="24"/>
          <w:highlight w:val="none"/>
          <w:lang w:val="en-US" w:eastAsia="zh-CN"/>
        </w:rPr>
        <w:t>冬雨季施工增加费、</w:t>
      </w:r>
      <w:r>
        <w:rPr>
          <w:rFonts w:hint="eastAsia" w:ascii="宋体" w:hAnsi="宋体"/>
          <w:sz w:val="24"/>
          <w:highlight w:val="none"/>
        </w:rPr>
        <w:t>提前</w:t>
      </w:r>
      <w:r>
        <w:rPr>
          <w:rFonts w:hint="eastAsia" w:ascii="宋体" w:hAnsi="宋体"/>
          <w:sz w:val="24"/>
          <w:highlight w:val="none"/>
          <w:lang w:val="en-US" w:eastAsia="zh-CN"/>
        </w:rPr>
        <w:t>竣工增加</w:t>
      </w:r>
      <w:r>
        <w:rPr>
          <w:rFonts w:hint="eastAsia" w:ascii="宋体" w:hAnsi="宋体"/>
          <w:sz w:val="24"/>
          <w:highlight w:val="none"/>
        </w:rPr>
        <w:t>费</w:t>
      </w:r>
      <w:r>
        <w:rPr>
          <w:rFonts w:hint="eastAsia" w:ascii="宋体" w:hAnsi="宋体"/>
          <w:sz w:val="24"/>
          <w:highlight w:val="none"/>
          <w:lang w:eastAsia="zh-CN"/>
        </w:rPr>
        <w:t>；</w:t>
      </w:r>
    </w:p>
    <w:p w14:paraId="16E1B8E6">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rFonts w:hint="eastAsia" w:ascii="宋体" w:hAnsi="宋体"/>
          <w:sz w:val="24"/>
          <w:highlight w:val="none"/>
          <w:lang w:val="en-US" w:eastAsia="zh-CN"/>
        </w:rPr>
      </w:pPr>
      <w:r>
        <w:rPr>
          <w:rFonts w:hint="eastAsia" w:ascii="宋体" w:hAnsi="宋体"/>
          <w:sz w:val="24"/>
          <w:highlight w:val="none"/>
        </w:rPr>
        <w:t>4</w:t>
      </w:r>
      <w:r>
        <w:rPr>
          <w:rFonts w:hint="eastAsia" w:ascii="宋体" w:hAnsi="宋体"/>
          <w:sz w:val="24"/>
          <w:highlight w:val="none"/>
          <w:lang w:eastAsia="zh-CN"/>
        </w:rPr>
        <w:t>.规费：</w:t>
      </w:r>
      <w:r>
        <w:rPr>
          <w:rFonts w:hint="eastAsia" w:ascii="宋体" w:hAnsi="宋体"/>
          <w:sz w:val="24"/>
          <w:highlight w:val="none"/>
          <w:lang w:val="en-US" w:eastAsia="zh-CN"/>
        </w:rPr>
        <w:t>室内改造部分按房屋建筑与装饰工程25.78%，市政部分按道路、排水、河道护岸、水处理构筑物及城市综合管廊、生活垃圾处理工程18.75%，园林部分按园林绿化及景观工程30.97%，安装部分按水、电、暖通、消防、智能、自控及通信安装工程30.63%计取；</w:t>
      </w:r>
    </w:p>
    <w:p w14:paraId="511B12B5">
      <w:pPr>
        <w:keepNext w:val="0"/>
        <w:keepLines w:val="0"/>
        <w:pageBreakBefore w:val="0"/>
        <w:widowControl w:val="0"/>
        <w:kinsoku/>
        <w:wordWrap/>
        <w:overflowPunct/>
        <w:topLinePunct w:val="0"/>
        <w:autoSpaceDE/>
        <w:autoSpaceDN/>
        <w:bidi w:val="0"/>
        <w:adjustRightInd/>
        <w:snapToGrid/>
        <w:spacing w:line="440" w:lineRule="exact"/>
        <w:ind w:left="420" w:leftChars="200" w:firstLine="480" w:firstLineChars="200"/>
        <w:textAlignment w:val="auto"/>
        <w:rPr>
          <w:sz w:val="24"/>
          <w:highlight w:val="none"/>
        </w:rPr>
      </w:pPr>
      <w:r>
        <w:rPr>
          <w:rFonts w:hint="eastAsia" w:ascii="宋体" w:hAnsi="宋体"/>
          <w:sz w:val="24"/>
          <w:highlight w:val="none"/>
        </w:rPr>
        <w:t>5</w:t>
      </w:r>
      <w:r>
        <w:rPr>
          <w:rFonts w:hint="eastAsia" w:ascii="宋体" w:hAnsi="宋体"/>
          <w:sz w:val="24"/>
          <w:highlight w:val="none"/>
          <w:lang w:eastAsia="zh-CN"/>
        </w:rPr>
        <w:t>.</w:t>
      </w:r>
      <w:r>
        <w:rPr>
          <w:rFonts w:hint="eastAsia" w:ascii="宋体" w:hAnsi="宋体"/>
          <w:sz w:val="24"/>
          <w:highlight w:val="none"/>
        </w:rPr>
        <w:t>税金</w:t>
      </w:r>
      <w:r>
        <w:rPr>
          <w:rFonts w:hint="eastAsia" w:ascii="宋体" w:hAnsi="宋体"/>
          <w:sz w:val="24"/>
          <w:highlight w:val="none"/>
          <w:lang w:eastAsia="zh-CN"/>
        </w:rPr>
        <w:t>采用一般计税方法按增值税销项税率</w:t>
      </w:r>
      <w:r>
        <w:rPr>
          <w:rFonts w:hint="eastAsia" w:ascii="宋体" w:hAnsi="宋体"/>
          <w:sz w:val="24"/>
          <w:highlight w:val="none"/>
          <w:lang w:val="en-US" w:eastAsia="zh-CN"/>
        </w:rPr>
        <w:t>9%</w:t>
      </w:r>
      <w:r>
        <w:rPr>
          <w:rFonts w:hint="eastAsia" w:ascii="宋体" w:hAnsi="宋体"/>
          <w:sz w:val="24"/>
          <w:highlight w:val="none"/>
        </w:rPr>
        <w:t>计取</w:t>
      </w:r>
      <w:r>
        <w:rPr>
          <w:rFonts w:hint="eastAsia"/>
          <w:sz w:val="24"/>
          <w:highlight w:val="none"/>
        </w:rPr>
        <w:t>。</w:t>
      </w:r>
    </w:p>
    <w:p w14:paraId="0E4C1F0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highlight w:val="none"/>
        </w:rPr>
      </w:pPr>
      <w:r>
        <w:rPr>
          <w:rFonts w:hint="eastAsia"/>
          <w:sz w:val="24"/>
          <w:highlight w:val="none"/>
          <w:lang w:val="en-US" w:eastAsia="zh-CN"/>
        </w:rPr>
        <w:t>五</w:t>
      </w:r>
      <w:r>
        <w:rPr>
          <w:rFonts w:hint="eastAsia"/>
          <w:sz w:val="24"/>
          <w:highlight w:val="none"/>
        </w:rPr>
        <w:t>、信息价套用</w:t>
      </w:r>
    </w:p>
    <w:p w14:paraId="5F7CCA7A">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材料、人工信息价依次按2025年第4期金华建设工程造价信息正刊市区、义乌市、浙江造价信息计入，无信息价材料按市场询价计入。</w:t>
      </w:r>
    </w:p>
    <w:p w14:paraId="29323DA7">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40" w:lineRule="exact"/>
        <w:ind w:left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六、</w:t>
      </w:r>
      <w:r>
        <w:rPr>
          <w:rFonts w:hint="eastAsia" w:ascii="宋体" w:hAnsi="宋体" w:eastAsia="宋体" w:cs="宋体"/>
          <w:sz w:val="24"/>
          <w:highlight w:val="none"/>
        </w:rPr>
        <w:t>其它</w:t>
      </w:r>
      <w:r>
        <w:rPr>
          <w:rFonts w:hint="eastAsia" w:ascii="宋体" w:hAnsi="宋体" w:eastAsia="宋体" w:cs="宋体"/>
          <w:sz w:val="24"/>
          <w:highlight w:val="none"/>
          <w:lang w:val="en-US" w:eastAsia="zh-CN"/>
        </w:rPr>
        <w:t>审核</w:t>
      </w:r>
      <w:r>
        <w:rPr>
          <w:rFonts w:hint="eastAsia" w:ascii="宋体" w:hAnsi="宋体" w:eastAsia="宋体" w:cs="宋体"/>
          <w:sz w:val="24"/>
          <w:highlight w:val="none"/>
        </w:rPr>
        <w:t>说明</w:t>
      </w:r>
    </w:p>
    <w:p w14:paraId="4AF29A3D">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1.垃圾收集间施工位置狭窄，土石方开挖按人工开挖计入预算，其余土方均按机械土方计入；</w:t>
      </w:r>
    </w:p>
    <w:p w14:paraId="65F816F6">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highlight w:val="none"/>
          <w:lang w:val="en-US" w:eastAsia="zh-CN"/>
        </w:rPr>
        <w:t>水泥按袋装价格计入；</w:t>
      </w:r>
    </w:p>
    <w:p w14:paraId="017948E6">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3.更换为晾衣杆(不锈钢2700*250*210高，管径25，壁厚1.0mm)按除税价50元/m计入；</w:t>
      </w:r>
    </w:p>
    <w:p w14:paraId="6DE97FAD">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4.原安装空调拆除待粉刷完成后重新安装（含空调清洗、添加专用空调氟利昂，施工时应注意成品保护）按除税综合价200元/台计入预算；</w:t>
      </w:r>
    </w:p>
    <w:p w14:paraId="00E3E5D8">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5.废弃线路拆除,有用线路整理,脱落线管重新固定,真石覆盖:无套管线路采用盖(多根线路采用100*50 线槽,单根线路采用30*15 线槽)外墙线路整理完成后真石漆覆盖，按除税综合价2000元/项计入预算（其中多根线路采用100*50 线槽,单根线路采用30*15 线槽采购及安装费另计）；</w:t>
      </w:r>
    </w:p>
    <w:p w14:paraId="47681CA3">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6.外墙线路整理，100*50钢制槽式桥架暂按120m计入，30*15金属线槽暂按120m计入，结算按实调整。</w:t>
      </w:r>
    </w:p>
    <w:p w14:paraId="7B6F79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七、招标人推荐的建材品牌、规格、型号详见下表：</w:t>
      </w:r>
    </w:p>
    <w:tbl>
      <w:tblPr>
        <w:tblStyle w:val="38"/>
        <w:tblW w:w="9570" w:type="dxa"/>
        <w:tblInd w:w="93" w:type="dxa"/>
        <w:tblLayout w:type="autofit"/>
        <w:tblCellMar>
          <w:top w:w="0" w:type="dxa"/>
          <w:left w:w="108" w:type="dxa"/>
          <w:bottom w:w="0" w:type="dxa"/>
          <w:right w:w="108" w:type="dxa"/>
        </w:tblCellMar>
      </w:tblPr>
      <w:tblGrid>
        <w:gridCol w:w="495"/>
        <w:gridCol w:w="1922"/>
        <w:gridCol w:w="2083"/>
        <w:gridCol w:w="3915"/>
        <w:gridCol w:w="1155"/>
      </w:tblGrid>
      <w:tr w14:paraId="0B6C87CE">
        <w:tblPrEx>
          <w:tblCellMar>
            <w:top w:w="0" w:type="dxa"/>
            <w:left w:w="108" w:type="dxa"/>
            <w:bottom w:w="0" w:type="dxa"/>
            <w:right w:w="108"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14:paraId="08A4BC3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序号</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5359A64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材料名称</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3C22A76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规格型号</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2D57C5E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品牌</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8CCB76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备注</w:t>
            </w:r>
          </w:p>
        </w:tc>
      </w:tr>
      <w:tr w14:paraId="4B07F550">
        <w:tblPrEx>
          <w:tblCellMar>
            <w:top w:w="0" w:type="dxa"/>
            <w:left w:w="108" w:type="dxa"/>
            <w:bottom w:w="0" w:type="dxa"/>
            <w:right w:w="108"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F530273">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1732812B">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瓷砖、地砖</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52B27E22">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（含加工、磨边等所有费用</w:t>
            </w:r>
            <w:r>
              <w:rPr>
                <w:rFonts w:hint="eastAsia" w:ascii="宋体" w:hAnsi="宋体" w:eastAsia="宋体" w:cs="宋体"/>
                <w:color w:val="000000"/>
                <w:sz w:val="24"/>
                <w:szCs w:val="24"/>
                <w:highlight w:val="none"/>
                <w:lang w:eastAsia="zh-CN"/>
              </w:rPr>
              <w:t>）</w:t>
            </w:r>
          </w:p>
        </w:tc>
        <w:tc>
          <w:tcPr>
            <w:tcW w:w="3915" w:type="dxa"/>
            <w:tcBorders>
              <w:top w:val="single" w:color="000000" w:sz="4" w:space="0"/>
              <w:left w:val="single" w:color="000000" w:sz="4" w:space="0"/>
              <w:bottom w:val="single" w:color="000000" w:sz="4" w:space="0"/>
              <w:right w:val="single" w:color="000000" w:sz="4" w:space="0"/>
            </w:tcBorders>
            <w:noWrap/>
            <w:vAlign w:val="center"/>
          </w:tcPr>
          <w:p w14:paraId="36311261">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诺贝尔</w:t>
            </w:r>
            <w:r>
              <w:rPr>
                <w:rFonts w:hint="eastAsia" w:ascii="宋体" w:hAnsi="宋体" w:eastAsia="宋体" w:cs="宋体"/>
                <w:color w:val="000000"/>
                <w:sz w:val="24"/>
                <w:szCs w:val="24"/>
                <w:highlight w:val="none"/>
                <w:lang w:eastAsia="zh-CN"/>
              </w:rPr>
              <w:t>、蒙娜丽莎、鹰牌、东鹏、马可波罗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2BF38B3">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优质产品</w:t>
            </w:r>
          </w:p>
        </w:tc>
      </w:tr>
      <w:tr w14:paraId="20C8188F">
        <w:tblPrEx>
          <w:tblCellMar>
            <w:top w:w="0" w:type="dxa"/>
            <w:left w:w="108" w:type="dxa"/>
            <w:bottom w:w="0" w:type="dxa"/>
            <w:right w:w="108" w:type="dxa"/>
          </w:tblCellMar>
        </w:tblPrEx>
        <w:trPr>
          <w:trHeight w:val="762"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477AEECA">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val="en-US" w:eastAsia="zh-CN" w:bidi="ar"/>
              </w:rPr>
              <w:t>2</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7459E0F5">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外墙真石漆</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18C2685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含基层2 厚耐水柔性腻子</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21BFB67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汉耐</w:t>
            </w:r>
            <w:r>
              <w:rPr>
                <w:rFonts w:hint="eastAsia" w:ascii="宋体" w:hAnsi="宋体" w:eastAsia="宋体" w:cs="宋体"/>
                <w:color w:val="000000"/>
                <w:sz w:val="24"/>
                <w:szCs w:val="24"/>
                <w:highlight w:val="none"/>
                <w:lang w:val="en-US" w:eastAsia="zh-CN"/>
              </w:rPr>
              <w:t>科、</w:t>
            </w:r>
            <w:r>
              <w:rPr>
                <w:rFonts w:hint="eastAsia" w:ascii="宋体" w:hAnsi="宋体" w:eastAsia="宋体" w:cs="宋体"/>
                <w:color w:val="000000"/>
                <w:sz w:val="24"/>
                <w:szCs w:val="24"/>
                <w:highlight w:val="none"/>
              </w:rPr>
              <w:t>汉嘉龙</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曼联</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三棵树</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立邦</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1017E0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优质产品</w:t>
            </w:r>
          </w:p>
        </w:tc>
      </w:tr>
      <w:tr w14:paraId="66BFAB36">
        <w:tblPrEx>
          <w:tblCellMar>
            <w:top w:w="0" w:type="dxa"/>
            <w:left w:w="108" w:type="dxa"/>
            <w:bottom w:w="0" w:type="dxa"/>
            <w:right w:w="108"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515DB99C">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368026B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涂料</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6B4BB596">
            <w:pPr>
              <w:widowControl/>
              <w:jc w:val="center"/>
              <w:textAlignment w:val="center"/>
              <w:rPr>
                <w:rFonts w:hint="eastAsia" w:ascii="宋体" w:hAnsi="宋体" w:eastAsia="宋体" w:cs="宋体"/>
                <w:color w:val="000000"/>
                <w:sz w:val="24"/>
                <w:szCs w:val="24"/>
                <w:highlight w:val="none"/>
              </w:rPr>
            </w:pP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163A523B">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亚士漆</w:t>
            </w:r>
            <w:r>
              <w:rPr>
                <w:rFonts w:hint="eastAsia" w:ascii="宋体" w:hAnsi="宋体" w:eastAsia="宋体" w:cs="宋体"/>
                <w:color w:val="000000"/>
                <w:sz w:val="24"/>
                <w:szCs w:val="24"/>
                <w:highlight w:val="none"/>
              </w:rPr>
              <w:t>、三棵树、立邦</w:t>
            </w:r>
            <w:r>
              <w:rPr>
                <w:rFonts w:hint="eastAsia" w:ascii="宋体" w:hAnsi="宋体" w:eastAsia="宋体" w:cs="宋体"/>
                <w:color w:val="000000"/>
                <w:sz w:val="24"/>
                <w:szCs w:val="24"/>
                <w:highlight w:val="none"/>
                <w:lang w:eastAsia="zh-CN"/>
              </w:rPr>
              <w:t>、华润、</w:t>
            </w:r>
            <w:r>
              <w:rPr>
                <w:rFonts w:hint="eastAsia" w:ascii="宋体" w:hAnsi="宋体" w:eastAsia="宋体" w:cs="宋体"/>
                <w:color w:val="000000"/>
                <w:sz w:val="24"/>
                <w:szCs w:val="24"/>
                <w:highlight w:val="none"/>
                <w:lang w:val="en-US" w:eastAsia="zh-CN"/>
              </w:rPr>
              <w:t>扬航</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33FA1E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优质产品</w:t>
            </w:r>
          </w:p>
        </w:tc>
      </w:tr>
      <w:tr w14:paraId="166399F8">
        <w:tblPrEx>
          <w:tblCellMar>
            <w:top w:w="0" w:type="dxa"/>
            <w:left w:w="108" w:type="dxa"/>
            <w:bottom w:w="0" w:type="dxa"/>
            <w:right w:w="108"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4C701182">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4</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2799A201">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洁具</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50FE1F4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成品拖布池</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17A83FD4">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恒洁、箭牌、法恩莎、明珠、樱花</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C0AC36E">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优质产品</w:t>
            </w:r>
          </w:p>
        </w:tc>
      </w:tr>
      <w:tr w14:paraId="17E13D58">
        <w:tblPrEx>
          <w:tblCellMar>
            <w:top w:w="0" w:type="dxa"/>
            <w:left w:w="108" w:type="dxa"/>
            <w:bottom w:w="0" w:type="dxa"/>
            <w:right w:w="108" w:type="dxa"/>
          </w:tblCellMar>
        </w:tblPrEx>
        <w:trPr>
          <w:trHeight w:val="89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5500260">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val="en-US" w:eastAsia="zh-CN" w:bidi="ar"/>
              </w:rPr>
              <w:t>5</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545A40F0">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木地板</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165CF47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20厚企口硬木地板面层</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1FF0100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欧氏</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大自然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格尔森</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欧格林</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双鑫</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31B0BD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优质产品</w:t>
            </w:r>
          </w:p>
        </w:tc>
      </w:tr>
      <w:tr w14:paraId="5A950EE9">
        <w:tblPrEx>
          <w:tblCellMar>
            <w:top w:w="0" w:type="dxa"/>
            <w:left w:w="108" w:type="dxa"/>
            <w:bottom w:w="0" w:type="dxa"/>
            <w:right w:w="108" w:type="dxa"/>
          </w:tblCellMar>
        </w:tblPrEx>
        <w:trPr>
          <w:trHeight w:val="522"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087BFB33">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6</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7064A173">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电线、电缆</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7732BC64">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国标</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795D6588">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杭州中策、熊猫、起帆、民兴、特变</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441D584">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优质产品</w:t>
            </w:r>
          </w:p>
        </w:tc>
      </w:tr>
      <w:tr w14:paraId="7A10BF95">
        <w:tblPrEx>
          <w:tblCellMar>
            <w:top w:w="0" w:type="dxa"/>
            <w:left w:w="108" w:type="dxa"/>
            <w:bottom w:w="0" w:type="dxa"/>
            <w:right w:w="108" w:type="dxa"/>
          </w:tblCellMar>
        </w:tblPrEx>
        <w:trPr>
          <w:trHeight w:val="522"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51BA1765">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582C6B07">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开关、插座</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6649CA23">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国标</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3C735263">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公牛、鸿雁、西蒙、德力西、正泰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E72E442">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优质产品</w:t>
            </w:r>
          </w:p>
        </w:tc>
      </w:tr>
      <w:tr w14:paraId="29C9169C">
        <w:tblPrEx>
          <w:tblCellMar>
            <w:top w:w="0" w:type="dxa"/>
            <w:left w:w="108" w:type="dxa"/>
            <w:bottom w:w="0" w:type="dxa"/>
            <w:right w:w="108" w:type="dxa"/>
          </w:tblCellMar>
        </w:tblPrEx>
        <w:trPr>
          <w:trHeight w:val="43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12DA1E43">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66F396C2">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配电箱</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30140DA2">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国标</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19C9F43D">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东阳中天电器、</w:t>
            </w:r>
            <w:r>
              <w:rPr>
                <w:rFonts w:hint="eastAsia" w:ascii="宋体" w:hAnsi="宋体" w:eastAsia="宋体" w:cs="宋体"/>
                <w:color w:val="000000"/>
                <w:sz w:val="24"/>
                <w:szCs w:val="24"/>
                <w:highlight w:val="none"/>
                <w:lang w:val="zh-CN"/>
              </w:rPr>
              <w:t>浙江卓松电气、浙宝电气、</w:t>
            </w:r>
            <w:r>
              <w:rPr>
                <w:rFonts w:hint="eastAsia" w:ascii="宋体" w:hAnsi="宋体" w:eastAsia="宋体" w:cs="宋体"/>
                <w:color w:val="000000"/>
                <w:sz w:val="24"/>
                <w:szCs w:val="24"/>
                <w:highlight w:val="none"/>
              </w:rPr>
              <w:t>正泰、海格电气</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B8BEAD6">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优质产品</w:t>
            </w:r>
          </w:p>
        </w:tc>
      </w:tr>
      <w:tr w14:paraId="67874491">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AA6B3CA">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3A1C9AF9">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配电箱元器件</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2BBA0CAE">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国标</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1A8C4F59">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公牛、鸿雁、西蒙、德力西、正泰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F7161CB">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优质产品</w:t>
            </w:r>
          </w:p>
        </w:tc>
      </w:tr>
      <w:tr w14:paraId="49438821">
        <w:tblPrEx>
          <w:tblCellMar>
            <w:top w:w="0" w:type="dxa"/>
            <w:left w:w="108" w:type="dxa"/>
            <w:bottom w:w="0" w:type="dxa"/>
            <w:right w:w="108" w:type="dxa"/>
          </w:tblCellMar>
        </w:tblPrEx>
        <w:trPr>
          <w:trHeight w:val="42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0F3DDB28">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3DBDB93F">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灯具</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1F82466A">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国标</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067E3DBB">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欧普</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西顿</w:t>
            </w:r>
            <w:r>
              <w:rPr>
                <w:rFonts w:hint="eastAsia" w:ascii="宋体" w:hAnsi="宋体" w:eastAsia="宋体" w:cs="宋体"/>
                <w:color w:val="000000"/>
                <w:sz w:val="24"/>
                <w:szCs w:val="24"/>
                <w:highlight w:val="none"/>
              </w:rPr>
              <w:t>、雷士</w:t>
            </w:r>
            <w:r>
              <w:rPr>
                <w:rFonts w:hint="eastAsia" w:ascii="宋体" w:hAnsi="宋体" w:eastAsia="宋体" w:cs="宋体"/>
                <w:color w:val="000000"/>
                <w:sz w:val="24"/>
                <w:szCs w:val="24"/>
                <w:highlight w:val="none"/>
                <w:lang w:eastAsia="zh-CN"/>
              </w:rPr>
              <w:t>、飞利浦、鸿雁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E716BA9">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优质产品</w:t>
            </w:r>
          </w:p>
        </w:tc>
      </w:tr>
      <w:tr w14:paraId="26F8747C">
        <w:tblPrEx>
          <w:tblCellMar>
            <w:top w:w="0" w:type="dxa"/>
            <w:left w:w="108" w:type="dxa"/>
            <w:bottom w:w="0" w:type="dxa"/>
            <w:right w:w="108"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4DA2731">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4A268E5D">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桥架</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2D83FD3F">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国标</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6ADC6038">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杭州远大、上海正大、江苏新坝</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宁波纬诚、浙江进展</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47104E4">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优质产品</w:t>
            </w:r>
          </w:p>
        </w:tc>
      </w:tr>
      <w:tr w14:paraId="2AC4D148">
        <w:tblPrEx>
          <w:tblCellMar>
            <w:top w:w="0" w:type="dxa"/>
            <w:left w:w="108" w:type="dxa"/>
            <w:bottom w:w="0" w:type="dxa"/>
            <w:right w:w="108"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1991D76A">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12</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6C6B32B9">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热镀锌钢管/钢塑（复合）给水管</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39486465">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国标</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5F4DDD88">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浙江金洲、上海劳动、天津利达</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浙江上钢、浙江远大</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106DA71">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优质产品</w:t>
            </w:r>
          </w:p>
        </w:tc>
      </w:tr>
      <w:tr w14:paraId="2CEAD2E4">
        <w:tblPrEx>
          <w:tblCellMar>
            <w:top w:w="0" w:type="dxa"/>
            <w:left w:w="108" w:type="dxa"/>
            <w:bottom w:w="0" w:type="dxa"/>
            <w:right w:w="108"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642C0474">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13</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0C21EC8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铝合金门</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0BB7874F">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国标</w:t>
            </w:r>
          </w:p>
        </w:tc>
        <w:tc>
          <w:tcPr>
            <w:tcW w:w="3915" w:type="dxa"/>
            <w:tcBorders>
              <w:top w:val="single" w:color="000000" w:sz="4" w:space="0"/>
              <w:left w:val="single" w:color="000000" w:sz="4" w:space="0"/>
              <w:bottom w:val="single" w:color="auto" w:sz="4" w:space="0"/>
              <w:right w:val="single" w:color="000000" w:sz="4" w:space="0"/>
            </w:tcBorders>
            <w:noWrap w:val="0"/>
            <w:vAlign w:val="center"/>
          </w:tcPr>
          <w:p w14:paraId="0D13589E">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凤铝</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兴发</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广荣</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亚铝</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广亚</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D8D2D8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优质产品</w:t>
            </w:r>
          </w:p>
        </w:tc>
      </w:tr>
    </w:tbl>
    <w:p w14:paraId="7451ACD2">
      <w:pPr>
        <w:spacing w:line="440" w:lineRule="exac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注： 1</w:t>
      </w:r>
      <w:r>
        <w:rPr>
          <w:rFonts w:hint="eastAsia" w:ascii="宋体" w:hAnsi="宋体" w:eastAsia="宋体" w:cs="宋体"/>
          <w:color w:val="000000"/>
          <w:kern w:val="0"/>
          <w:sz w:val="24"/>
          <w:lang w:val="en-US" w:eastAsia="zh-CN"/>
        </w:rPr>
        <w:t>.中标单位可以提供性能指标及档次同等或者优于招标人推荐品牌的产品，</w:t>
      </w:r>
      <w:r>
        <w:rPr>
          <w:rFonts w:hint="eastAsia" w:ascii="宋体" w:hAnsi="宋体" w:eastAsia="宋体" w:cs="宋体"/>
          <w:color w:val="000000"/>
          <w:kern w:val="0"/>
          <w:sz w:val="24"/>
        </w:rPr>
        <w:t>但价格不再调整</w:t>
      </w:r>
      <w:r>
        <w:rPr>
          <w:rFonts w:hint="eastAsia" w:ascii="宋体" w:hAnsi="宋体" w:eastAsia="宋体" w:cs="宋体"/>
          <w:color w:val="000000"/>
          <w:kern w:val="0"/>
          <w:sz w:val="24"/>
          <w:lang w:eastAsia="zh-CN"/>
        </w:rPr>
        <w:t>；</w:t>
      </w:r>
    </w:p>
    <w:p w14:paraId="10CD9DA5">
      <w:pPr>
        <w:numPr>
          <w:ilvl w:val="0"/>
          <w:numId w:val="0"/>
        </w:numPr>
        <w:spacing w:line="440" w:lineRule="exact"/>
        <w:rPr>
          <w:rFonts w:hint="eastAsia" w:ascii="宋体" w:hAnsi="宋体" w:eastAsia="宋体" w:cs="宋体"/>
          <w:b/>
          <w:color w:val="000000"/>
          <w:sz w:val="24"/>
          <w:lang w:val="en-US" w:eastAsia="zh-CN"/>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上表消防设备必须达到消防验收要求。</w:t>
      </w:r>
    </w:p>
    <w:p w14:paraId="0BD6B60D">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highlight w:val="none"/>
          <w:lang w:val="en-US" w:eastAsia="zh-CN"/>
        </w:rPr>
      </w:pPr>
      <w:bookmarkStart w:id="101" w:name="_GoBack"/>
      <w:bookmarkEnd w:id="101"/>
    </w:p>
    <w:p w14:paraId="649D9E0D">
      <w:pPr>
        <w:pStyle w:val="17"/>
        <w:rPr>
          <w:b/>
          <w:color w:val="auto"/>
          <w:sz w:val="28"/>
          <w:highlight w:val="none"/>
        </w:rPr>
      </w:pPr>
      <w:r>
        <w:rPr>
          <w:b/>
          <w:color w:val="auto"/>
          <w:sz w:val="28"/>
          <w:highlight w:val="none"/>
        </w:rPr>
        <w:t>（详见公告附件）</w:t>
      </w:r>
    </w:p>
    <w:p w14:paraId="25B68153">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highlight w:val="none"/>
          <w:lang w:val="en-US" w:eastAsia="zh-CN"/>
        </w:rPr>
      </w:pPr>
    </w:p>
    <w:p w14:paraId="477D65D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sz w:val="24"/>
          <w:highlight w:val="none"/>
          <w:lang w:eastAsia="zh-CN"/>
        </w:rPr>
      </w:pPr>
    </w:p>
    <w:p w14:paraId="7C1FBDC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sz w:val="24"/>
          <w:highlight w:val="none"/>
          <w:lang w:eastAsia="zh-CN"/>
        </w:rPr>
      </w:pPr>
    </w:p>
    <w:p w14:paraId="6D1C75A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sz w:val="24"/>
          <w:highlight w:val="none"/>
          <w:lang w:eastAsia="zh-CN"/>
        </w:rPr>
      </w:pPr>
    </w:p>
    <w:p w14:paraId="3CB4B485">
      <w:pPr>
        <w:pStyle w:val="12"/>
        <w:ind w:left="0" w:leftChars="0" w:firstLine="0" w:firstLineChars="0"/>
        <w:rPr>
          <w:rFonts w:hint="default"/>
          <w:color w:val="auto"/>
          <w:highlight w:val="none"/>
          <w:lang w:val="en-US" w:eastAsia="zh-CN"/>
        </w:rPr>
      </w:pPr>
    </w:p>
    <w:p w14:paraId="0CB29B7B">
      <w:pPr>
        <w:pStyle w:val="12"/>
        <w:ind w:left="0" w:leftChars="0" w:firstLine="0" w:firstLineChars="0"/>
        <w:rPr>
          <w:rFonts w:hint="default"/>
          <w:color w:val="auto"/>
          <w:highlight w:val="none"/>
          <w:lang w:val="en-US" w:eastAsia="zh-CN"/>
        </w:rPr>
      </w:pPr>
    </w:p>
    <w:p w14:paraId="12C23246">
      <w:pPr>
        <w:pStyle w:val="12"/>
        <w:ind w:left="0" w:leftChars="0" w:firstLine="0" w:firstLineChars="0"/>
        <w:rPr>
          <w:rFonts w:hint="default"/>
          <w:color w:val="auto"/>
          <w:highlight w:val="none"/>
          <w:lang w:val="en-US" w:eastAsia="zh-CN"/>
        </w:rPr>
      </w:pPr>
    </w:p>
    <w:p w14:paraId="5C026AD5">
      <w:pPr>
        <w:pStyle w:val="12"/>
        <w:ind w:left="0" w:leftChars="0" w:firstLine="0" w:firstLineChars="0"/>
        <w:rPr>
          <w:rFonts w:hint="default"/>
          <w:color w:val="auto"/>
          <w:highlight w:val="none"/>
          <w:lang w:val="en-US" w:eastAsia="zh-CN"/>
        </w:rPr>
      </w:pPr>
    </w:p>
    <w:p w14:paraId="786A8FFA">
      <w:pPr>
        <w:pStyle w:val="12"/>
        <w:ind w:left="0" w:leftChars="0" w:firstLine="0" w:firstLineChars="0"/>
        <w:rPr>
          <w:rFonts w:hint="default"/>
          <w:color w:val="auto"/>
          <w:highlight w:val="none"/>
          <w:lang w:val="en-US" w:eastAsia="zh-CN"/>
        </w:rPr>
      </w:pPr>
    </w:p>
    <w:p w14:paraId="06E46877">
      <w:pPr>
        <w:rPr>
          <w:rFonts w:hint="default"/>
          <w:color w:val="auto"/>
          <w:highlight w:val="none"/>
          <w:lang w:val="en-US" w:eastAsia="zh-CN"/>
        </w:rPr>
      </w:pPr>
    </w:p>
    <w:p w14:paraId="09E65A59">
      <w:pPr>
        <w:pStyle w:val="17"/>
        <w:rPr>
          <w:rFonts w:hint="default"/>
          <w:color w:val="auto"/>
          <w:highlight w:val="none"/>
          <w:lang w:val="en-US" w:eastAsia="zh-CN"/>
        </w:rPr>
      </w:pPr>
    </w:p>
    <w:p w14:paraId="6E03EED1">
      <w:pPr>
        <w:pStyle w:val="18"/>
        <w:rPr>
          <w:rFonts w:hint="default"/>
          <w:color w:val="auto"/>
          <w:highlight w:val="none"/>
          <w:lang w:val="en-US" w:eastAsia="zh-CN"/>
        </w:rPr>
      </w:pPr>
    </w:p>
    <w:p w14:paraId="32FA6190">
      <w:pPr>
        <w:pStyle w:val="18"/>
        <w:rPr>
          <w:rFonts w:hint="default"/>
          <w:color w:val="auto"/>
          <w:highlight w:val="none"/>
          <w:lang w:val="en-US" w:eastAsia="zh-CN"/>
        </w:rPr>
      </w:pPr>
    </w:p>
    <w:p w14:paraId="5C941142">
      <w:pPr>
        <w:pStyle w:val="18"/>
        <w:rPr>
          <w:rFonts w:hint="default"/>
          <w:color w:val="auto"/>
          <w:highlight w:val="none"/>
          <w:lang w:val="en-US" w:eastAsia="zh-CN"/>
        </w:rPr>
      </w:pPr>
    </w:p>
    <w:p w14:paraId="415D1452">
      <w:pPr>
        <w:pStyle w:val="18"/>
        <w:rPr>
          <w:rFonts w:hint="default"/>
          <w:color w:val="auto"/>
          <w:highlight w:val="none"/>
          <w:lang w:val="en-US" w:eastAsia="zh-CN"/>
        </w:rPr>
      </w:pPr>
    </w:p>
    <w:p w14:paraId="3B37CAC8">
      <w:pPr>
        <w:pStyle w:val="18"/>
        <w:rPr>
          <w:rFonts w:hint="default"/>
          <w:color w:val="auto"/>
          <w:highlight w:val="none"/>
          <w:lang w:val="en-US" w:eastAsia="zh-CN"/>
        </w:rPr>
      </w:pPr>
    </w:p>
    <w:p w14:paraId="56C40F93">
      <w:pPr>
        <w:pStyle w:val="18"/>
        <w:rPr>
          <w:rFonts w:hint="default"/>
          <w:color w:val="auto"/>
          <w:highlight w:val="none"/>
          <w:lang w:val="en-US" w:eastAsia="zh-CN"/>
        </w:rPr>
      </w:pPr>
    </w:p>
    <w:p w14:paraId="1D253805">
      <w:pPr>
        <w:keepNext/>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highlight w:val="none"/>
          <w:lang w:val="en-US" w:eastAsia="zh-CN"/>
        </w:rPr>
      </w:pPr>
      <w:r>
        <w:rPr>
          <w:rFonts w:hint="eastAsia" w:ascii="宋体" w:hAnsi="宋体"/>
          <w:bCs/>
          <w:color w:val="auto"/>
          <w:sz w:val="24"/>
          <w:highlight w:val="none"/>
          <w:lang w:val="en-US" w:eastAsia="zh-CN"/>
        </w:rPr>
        <w:t>附件二十五：图纸</w:t>
      </w:r>
    </w:p>
    <w:p w14:paraId="49C99984">
      <w:pPr>
        <w:pStyle w:val="18"/>
        <w:rPr>
          <w:rFonts w:hint="eastAsia"/>
          <w:highlight w:val="none"/>
          <w:lang w:val="en-US" w:eastAsia="zh-CN"/>
        </w:rPr>
      </w:pPr>
      <w:r>
        <w:rPr>
          <w:rFonts w:hint="eastAsia"/>
          <w:highlight w:val="none"/>
          <w:lang w:val="en-US" w:eastAsia="zh-CN"/>
        </w:rPr>
        <w:drawing>
          <wp:inline distT="0" distB="0" distL="114300" distR="114300">
            <wp:extent cx="5974080" cy="5644515"/>
            <wp:effectExtent l="0" t="0" r="7620" b="13335"/>
            <wp:docPr id="11" name="图片 11" descr="18e84932d1fe907a11d619f347663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8e84932d1fe907a11d619f3476638e"/>
                    <pic:cNvPicPr>
                      <a:picLocks noChangeAspect="1"/>
                    </pic:cNvPicPr>
                  </pic:nvPicPr>
                  <pic:blipFill>
                    <a:blip r:embed="rId17"/>
                    <a:stretch>
                      <a:fillRect/>
                    </a:stretch>
                  </pic:blipFill>
                  <pic:spPr>
                    <a:xfrm>
                      <a:off x="0" y="0"/>
                      <a:ext cx="5974080" cy="5644515"/>
                    </a:xfrm>
                    <a:prstGeom prst="rect">
                      <a:avLst/>
                    </a:prstGeom>
                  </pic:spPr>
                </pic:pic>
              </a:graphicData>
            </a:graphic>
          </wp:inline>
        </w:drawing>
      </w:r>
    </w:p>
    <w:p w14:paraId="70A0C2D3">
      <w:pPr>
        <w:pStyle w:val="12"/>
        <w:ind w:left="0" w:leftChars="0" w:firstLine="0" w:firstLineChars="0"/>
        <w:rPr>
          <w:rFonts w:hint="default"/>
          <w:color w:val="auto"/>
          <w:highlight w:val="none"/>
          <w:lang w:val="en-US" w:eastAsia="zh-CN"/>
        </w:rPr>
      </w:pPr>
      <w:r>
        <w:rPr>
          <w:highlight w:val="none"/>
        </w:rPr>
        <w:drawing>
          <wp:inline distT="0" distB="0" distL="114300" distR="114300">
            <wp:extent cx="5974080" cy="4617720"/>
            <wp:effectExtent l="0" t="0" r="7620" b="1143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8"/>
                    <a:stretch>
                      <a:fillRect/>
                    </a:stretch>
                  </pic:blipFill>
                  <pic:spPr>
                    <a:xfrm>
                      <a:off x="0" y="0"/>
                      <a:ext cx="5974080" cy="4617720"/>
                    </a:xfrm>
                    <a:prstGeom prst="rect">
                      <a:avLst/>
                    </a:prstGeom>
                    <a:noFill/>
                    <a:ln>
                      <a:noFill/>
                    </a:ln>
                  </pic:spPr>
                </pic:pic>
              </a:graphicData>
            </a:graphic>
          </wp:inline>
        </w:drawing>
      </w:r>
    </w:p>
    <w:p w14:paraId="329A1CEC">
      <w:pPr>
        <w:pStyle w:val="12"/>
        <w:ind w:left="0" w:leftChars="0" w:firstLine="0" w:firstLineChars="0"/>
        <w:rPr>
          <w:rFonts w:hint="default"/>
          <w:color w:val="auto"/>
          <w:highlight w:val="none"/>
          <w:lang w:val="en-US" w:eastAsia="zh-CN"/>
        </w:rPr>
      </w:pPr>
    </w:p>
    <w:p w14:paraId="0DFF7E22">
      <w:pPr>
        <w:pStyle w:val="12"/>
        <w:ind w:left="0" w:leftChars="0" w:firstLine="0" w:firstLineChars="0"/>
        <w:rPr>
          <w:rFonts w:hint="default"/>
          <w:color w:val="auto"/>
          <w:highlight w:val="none"/>
          <w:lang w:val="en-US" w:eastAsia="zh-CN"/>
        </w:rPr>
      </w:pPr>
    </w:p>
    <w:p w14:paraId="65BC626B">
      <w:pPr>
        <w:pStyle w:val="17"/>
        <w:rPr>
          <w:b/>
          <w:color w:val="auto"/>
          <w:sz w:val="28"/>
          <w:highlight w:val="none"/>
        </w:rPr>
      </w:pPr>
      <w:r>
        <w:rPr>
          <w:b/>
          <w:color w:val="auto"/>
          <w:sz w:val="28"/>
          <w:highlight w:val="none"/>
        </w:rPr>
        <w:t>（详见公告附件）</w:t>
      </w:r>
    </w:p>
    <w:p w14:paraId="799F63EC">
      <w:pPr>
        <w:pStyle w:val="12"/>
        <w:ind w:left="0" w:leftChars="0" w:firstLine="0" w:firstLineChars="0"/>
        <w:rPr>
          <w:rFonts w:hint="default" w:ascii="宋体" w:hAnsi="宋体" w:eastAsia="宋体" w:cs="宋体"/>
          <w:b w:val="0"/>
          <w:color w:val="auto"/>
          <w:sz w:val="24"/>
          <w:highlight w:val="none"/>
          <w:lang w:val="en-US" w:eastAsia="zh-CN"/>
        </w:rPr>
      </w:pPr>
    </w:p>
    <w:sectPr>
      <w:headerReference r:id="rId13" w:type="first"/>
      <w:footerReference r:id="rId15" w:type="first"/>
      <w:headerReference r:id="rId12" w:type="default"/>
      <w:footerReference r:id="rId14" w:type="default"/>
      <w:pgSz w:w="11906" w:h="16838"/>
      <w:pgMar w:top="851" w:right="1247" w:bottom="1021" w:left="1247" w:header="851" w:footer="907"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幼圆">
    <w:panose1 w:val="0201050906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496A4">
    <w:pPr>
      <w:pStyle w:val="27"/>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C55FF6">
                          <w:pPr>
                            <w:pStyle w:val="2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FC55FF6">
                    <w:pPr>
                      <w:pStyle w:val="27"/>
                    </w:pPr>
                    <w:r>
                      <w:fldChar w:fldCharType="begin"/>
                    </w:r>
                    <w:r>
                      <w:instrText xml:space="preserve"> PAGE  \* MERGEFORMAT </w:instrText>
                    </w:r>
                    <w:r>
                      <w:fldChar w:fldCharType="separate"/>
                    </w:r>
                    <w:r>
                      <w:t>22</w:t>
                    </w:r>
                    <w:r>
                      <w:fldChar w:fldCharType="end"/>
                    </w:r>
                  </w:p>
                </w:txbxContent>
              </v:textbox>
            </v:shape>
          </w:pict>
        </mc:Fallback>
      </mc:AlternateContent>
    </w:r>
  </w:p>
  <w:p w14:paraId="2435EA2C">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CF393">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040342">
                          <w:pPr>
                            <w:pStyle w:val="2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25040342">
                    <w:pPr>
                      <w:pStyle w:val="27"/>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ascii="仿宋_GB2312" w:eastAsia="仿宋_GB2312"/>
        <w:kern w:val="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03726">
    <w:pPr>
      <w:pStyle w:val="27"/>
      <w:jc w:val="right"/>
      <w:rPr>
        <w:rFonts w:hint="eastAsia" w:ascii="宋体" w:hAnsi="宋体" w:eastAsia="宋体" w:cs="宋体"/>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4C62F5">
                          <w:pPr>
                            <w:pStyle w:val="27"/>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04C62F5">
                    <w:pPr>
                      <w:pStyle w:val="2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579E0">
    <w:pPr>
      <w:pStyle w:val="27"/>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D1F38C">
                          <w:pPr>
                            <w:pStyle w:val="27"/>
                          </w:pPr>
                          <w:r>
                            <w:fldChar w:fldCharType="begin"/>
                          </w:r>
                          <w:r>
                            <w:instrText xml:space="preserve"> PAGE  \* MERGEFORMAT </w:instrText>
                          </w:r>
                          <w:r>
                            <w:fldChar w:fldCharType="separate"/>
                          </w:r>
                          <w:r>
                            <w:t>54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R/FckBAACZ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H8VyQEAAJkDAAAOAAAAAAAAAAEAIAAAAB4BAABkcnMvZTJvRG9j&#10;LnhtbFBLBQYAAAAABgAGAFkBAABZBQAAAAA=&#10;">
              <v:fill on="f" focussize="0,0"/>
              <v:stroke on="f"/>
              <v:imagedata o:title=""/>
              <o:lock v:ext="edit" aspectratio="f"/>
              <v:textbox inset="0mm,0mm,0mm,0mm" style="mso-fit-shape-to-text:t;">
                <w:txbxContent>
                  <w:p w14:paraId="01D1F38C">
                    <w:pPr>
                      <w:pStyle w:val="2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FA963">
    <w:pPr>
      <w:jc w:val="right"/>
      <w:rPr>
        <w:rFonts w:ascii="仿宋" w:eastAsia="仿宋"/>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889CB0">
                          <w:pPr>
                            <w:pStyle w:val="27"/>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wjeckBAACZ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zCN5yQEAAJkDAAAOAAAAAAAAAAEAIAAAAB4BAABkcnMvZTJvRG9j&#10;LnhtbFBLBQYAAAAABgAGAFkBAABZBQAAAAA=&#10;">
              <v:fill on="f" focussize="0,0"/>
              <v:stroke on="f"/>
              <v:imagedata o:title=""/>
              <o:lock v:ext="edit" aspectratio="f"/>
              <v:textbox inset="0mm,0mm,0mm,0mm" style="mso-fit-shape-to-text:t;">
                <w:txbxContent>
                  <w:p w14:paraId="38889CB0">
                    <w:pPr>
                      <w:pStyle w:val="2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56E75">
    <w:pPr>
      <w:pStyle w:val="27"/>
      <w:ind w:firstLine="4320" w:firstLineChars="2400"/>
    </w:pPr>
    <w:r>
      <w:rPr>
        <w:rFonts w:hint="eastAsia"/>
      </w:rPr>
      <w:t xml:space="preserve">  </w:t>
    </w:r>
    <w:r>
      <w:t xml:space="preserve">   </w: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F6D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27FC2">
    <w:pPr>
      <w:pStyle w:val="28"/>
      <w:pBdr>
        <w:bottom w:val="none" w:color="auto" w:sz="0" w:space="1"/>
      </w:pBdr>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50FB2">
    <w:pPr>
      <w:pStyle w:val="28"/>
      <w:jc w:val="both"/>
    </w:pPr>
    <w:r>
      <w:rPr>
        <w:rFonts w:hint="eastAsia"/>
      </w:rPr>
      <w:t>东阳市2022年度开发区节约集约利用评价项目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9CE9">
    <w:pPr>
      <w:pStyle w:val="28"/>
      <w:pBdr>
        <w:bottom w:val="none" w:color="auto" w:sz="0" w:space="1"/>
      </w:pBdr>
      <w:jc w:val="left"/>
      <w:rPr>
        <w:rFonts w:hint="eastAsia" w:eastAsia="宋体" w:cs="Arial"/>
        <w:color w:val="000000"/>
        <w:sz w:val="16"/>
        <w:szCs w:val="16"/>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E7385">
    <w:pPr>
      <w:pStyle w:val="28"/>
      <w:pBdr>
        <w:bottom w:val="none" w:color="auto" w:sz="0" w:space="1"/>
      </w:pBdr>
      <w:rPr>
        <w:rFonts w:hint="eastAsia" w:eastAsia="宋体" w:cs="Arial"/>
        <w:color w:val="000000"/>
        <w:sz w:val="16"/>
        <w:szCs w:val="16"/>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FACCC">
    <w:pPr>
      <w:pStyle w:val="2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A291E">
    <w:pPr>
      <w:pStyle w:val="28"/>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5B089"/>
    <w:multiLevelType w:val="singleLevel"/>
    <w:tmpl w:val="A405B089"/>
    <w:lvl w:ilvl="0" w:tentative="0">
      <w:start w:val="1"/>
      <w:numFmt w:val="chineseCounting"/>
      <w:suff w:val="nothing"/>
      <w:lvlText w:val="%1、"/>
      <w:lvlJc w:val="left"/>
      <w:rPr>
        <w:rFonts w:hint="eastAsia"/>
      </w:rPr>
    </w:lvl>
  </w:abstractNum>
  <w:abstractNum w:abstractNumId="1">
    <w:nsid w:val="AA3F13F2"/>
    <w:multiLevelType w:val="singleLevel"/>
    <w:tmpl w:val="AA3F13F2"/>
    <w:lvl w:ilvl="0" w:tentative="0">
      <w:start w:val="1"/>
      <w:numFmt w:val="decimal"/>
      <w:suff w:val="nothing"/>
      <w:lvlText w:val="(%1)"/>
      <w:lvlJc w:val="left"/>
      <w:pPr>
        <w:ind w:left="845" w:hanging="425"/>
      </w:pPr>
      <w:rPr>
        <w:rFonts w:hint="default"/>
      </w:rPr>
    </w:lvl>
  </w:abstractNum>
  <w:abstractNum w:abstractNumId="2">
    <w:nsid w:val="C6D025FC"/>
    <w:multiLevelType w:val="singleLevel"/>
    <w:tmpl w:val="C6D025FC"/>
    <w:lvl w:ilvl="0" w:tentative="0">
      <w:start w:val="1"/>
      <w:numFmt w:val="decimal"/>
      <w:lvlText w:val="%1."/>
      <w:lvlJc w:val="left"/>
      <w:pPr>
        <w:tabs>
          <w:tab w:val="left" w:pos="312"/>
        </w:tabs>
      </w:pPr>
    </w:lvl>
  </w:abstractNum>
  <w:abstractNum w:abstractNumId="3">
    <w:nsid w:val="00000008"/>
    <w:multiLevelType w:val="multilevel"/>
    <w:tmpl w:val="00000008"/>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4">
    <w:nsid w:val="23E1191B"/>
    <w:multiLevelType w:val="multilevel"/>
    <w:tmpl w:val="23E1191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8"/>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6"/>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5D410D0D"/>
    <w:multiLevelType w:val="singleLevel"/>
    <w:tmpl w:val="5D410D0D"/>
    <w:lvl w:ilvl="0" w:tentative="0">
      <w:start w:val="5"/>
      <w:numFmt w:val="chineseCounting"/>
      <w:suff w:val="space"/>
      <w:lvlText w:val="第%1章"/>
      <w:lvlJc w:val="left"/>
      <w:rPr>
        <w:rFonts w:hint="eastAsia"/>
      </w:rPr>
    </w:lvl>
  </w:abstractNum>
  <w:abstractNum w:abstractNumId="8">
    <w:nsid w:val="64DE61C4"/>
    <w:multiLevelType w:val="multilevel"/>
    <w:tmpl w:val="64DE61C4"/>
    <w:lvl w:ilvl="0" w:tentative="0">
      <w:start w:val="1"/>
      <w:numFmt w:val="decimal"/>
      <w:pStyle w:val="9"/>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DCAAB4C"/>
    <w:multiLevelType w:val="singleLevel"/>
    <w:tmpl w:val="6DCAAB4C"/>
    <w:lvl w:ilvl="0" w:tentative="0">
      <w:start w:val="1"/>
      <w:numFmt w:val="chineseCounting"/>
      <w:suff w:val="nothing"/>
      <w:lvlText w:val="%1、"/>
      <w:lvlJc w:val="left"/>
      <w:rPr>
        <w:rFonts w:hint="eastAsia"/>
      </w:rPr>
    </w:lvl>
  </w:abstractNum>
  <w:abstractNum w:abstractNumId="10">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6"/>
  </w:num>
  <w:num w:numId="4">
    <w:abstractNumId w:val="0"/>
  </w:num>
  <w:num w:numId="5">
    <w:abstractNumId w:val="4"/>
  </w:num>
  <w:num w:numId="6">
    <w:abstractNumId w:val="10"/>
  </w:num>
  <w:num w:numId="7">
    <w:abstractNumId w:val="1"/>
  </w:num>
  <w:num w:numId="8">
    <w:abstractNumId w:val="2"/>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NjNhZTFiOGRiNTdkZjI3MWI5ZGI4MDNmZmVkNDU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720"/>
    <w:rsid w:val="00073C15"/>
    <w:rsid w:val="00073DE6"/>
    <w:rsid w:val="0007498C"/>
    <w:rsid w:val="00074ED8"/>
    <w:rsid w:val="00075147"/>
    <w:rsid w:val="00075B60"/>
    <w:rsid w:val="00075D67"/>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4D3"/>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933"/>
    <w:rsid w:val="000E7E37"/>
    <w:rsid w:val="000F0003"/>
    <w:rsid w:val="000F1FF1"/>
    <w:rsid w:val="000F22A3"/>
    <w:rsid w:val="000F2869"/>
    <w:rsid w:val="000F2AF3"/>
    <w:rsid w:val="000F2FE2"/>
    <w:rsid w:val="000F35B1"/>
    <w:rsid w:val="000F39D3"/>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080"/>
    <w:rsid w:val="00102358"/>
    <w:rsid w:val="0010277E"/>
    <w:rsid w:val="001027EB"/>
    <w:rsid w:val="00102C71"/>
    <w:rsid w:val="00102F65"/>
    <w:rsid w:val="001030C6"/>
    <w:rsid w:val="00103374"/>
    <w:rsid w:val="001034A5"/>
    <w:rsid w:val="001035FB"/>
    <w:rsid w:val="00103A8F"/>
    <w:rsid w:val="001040BF"/>
    <w:rsid w:val="00104588"/>
    <w:rsid w:val="00105B30"/>
    <w:rsid w:val="00106504"/>
    <w:rsid w:val="001078AF"/>
    <w:rsid w:val="00107DA0"/>
    <w:rsid w:val="00110349"/>
    <w:rsid w:val="00110575"/>
    <w:rsid w:val="0011078E"/>
    <w:rsid w:val="00110971"/>
    <w:rsid w:val="00111B72"/>
    <w:rsid w:val="001139DC"/>
    <w:rsid w:val="00114AD1"/>
    <w:rsid w:val="00115269"/>
    <w:rsid w:val="001153A9"/>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52D"/>
    <w:rsid w:val="00126704"/>
    <w:rsid w:val="00127C05"/>
    <w:rsid w:val="001302F8"/>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232"/>
    <w:rsid w:val="00146398"/>
    <w:rsid w:val="001464BF"/>
    <w:rsid w:val="00146945"/>
    <w:rsid w:val="001476B6"/>
    <w:rsid w:val="001508E3"/>
    <w:rsid w:val="001518E1"/>
    <w:rsid w:val="001528E6"/>
    <w:rsid w:val="00152D0F"/>
    <w:rsid w:val="00153087"/>
    <w:rsid w:val="001533C4"/>
    <w:rsid w:val="00153539"/>
    <w:rsid w:val="001539F9"/>
    <w:rsid w:val="00153BDB"/>
    <w:rsid w:val="00154642"/>
    <w:rsid w:val="00154A42"/>
    <w:rsid w:val="00154A4E"/>
    <w:rsid w:val="00154BFD"/>
    <w:rsid w:val="00154D3A"/>
    <w:rsid w:val="0015574B"/>
    <w:rsid w:val="00155B0F"/>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45F"/>
    <w:rsid w:val="001D1598"/>
    <w:rsid w:val="001D1A30"/>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7F0E"/>
    <w:rsid w:val="0020017E"/>
    <w:rsid w:val="0020072E"/>
    <w:rsid w:val="002011B8"/>
    <w:rsid w:val="00201541"/>
    <w:rsid w:val="00201CDF"/>
    <w:rsid w:val="00201FB6"/>
    <w:rsid w:val="002027DA"/>
    <w:rsid w:val="00203033"/>
    <w:rsid w:val="00203913"/>
    <w:rsid w:val="00203F4F"/>
    <w:rsid w:val="002043B4"/>
    <w:rsid w:val="00204524"/>
    <w:rsid w:val="002046DC"/>
    <w:rsid w:val="00204C7A"/>
    <w:rsid w:val="00204C84"/>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3775"/>
    <w:rsid w:val="00293A03"/>
    <w:rsid w:val="00293F43"/>
    <w:rsid w:val="00294010"/>
    <w:rsid w:val="002948EE"/>
    <w:rsid w:val="00295550"/>
    <w:rsid w:val="002955DA"/>
    <w:rsid w:val="00295FE4"/>
    <w:rsid w:val="002966FE"/>
    <w:rsid w:val="00296B8B"/>
    <w:rsid w:val="00296E65"/>
    <w:rsid w:val="002971E8"/>
    <w:rsid w:val="00297D26"/>
    <w:rsid w:val="002A02EB"/>
    <w:rsid w:val="002A0507"/>
    <w:rsid w:val="002A06E4"/>
    <w:rsid w:val="002A112C"/>
    <w:rsid w:val="002A142A"/>
    <w:rsid w:val="002A1A2C"/>
    <w:rsid w:val="002A1D2B"/>
    <w:rsid w:val="002A21DD"/>
    <w:rsid w:val="002A2353"/>
    <w:rsid w:val="002A2E8F"/>
    <w:rsid w:val="002A325C"/>
    <w:rsid w:val="002A3552"/>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E4F"/>
    <w:rsid w:val="003310FD"/>
    <w:rsid w:val="00331BAC"/>
    <w:rsid w:val="003321D8"/>
    <w:rsid w:val="00332656"/>
    <w:rsid w:val="003326B4"/>
    <w:rsid w:val="00332794"/>
    <w:rsid w:val="00332D6E"/>
    <w:rsid w:val="00332F5A"/>
    <w:rsid w:val="00333396"/>
    <w:rsid w:val="00333E85"/>
    <w:rsid w:val="0033466D"/>
    <w:rsid w:val="003349E5"/>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8E7"/>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298"/>
    <w:rsid w:val="003B509C"/>
    <w:rsid w:val="003B57E2"/>
    <w:rsid w:val="003B75A1"/>
    <w:rsid w:val="003B7B47"/>
    <w:rsid w:val="003C071E"/>
    <w:rsid w:val="003C1CBB"/>
    <w:rsid w:val="003C1CEB"/>
    <w:rsid w:val="003C2808"/>
    <w:rsid w:val="003C2AB6"/>
    <w:rsid w:val="003C2D90"/>
    <w:rsid w:val="003C3B3C"/>
    <w:rsid w:val="003C3BC2"/>
    <w:rsid w:val="003C3CC8"/>
    <w:rsid w:val="003C3D9E"/>
    <w:rsid w:val="003C3F07"/>
    <w:rsid w:val="003C46C9"/>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4B23"/>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4F73FB"/>
    <w:rsid w:val="005000AD"/>
    <w:rsid w:val="0050079A"/>
    <w:rsid w:val="00500FE5"/>
    <w:rsid w:val="005022B1"/>
    <w:rsid w:val="005023FD"/>
    <w:rsid w:val="005025AA"/>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182B"/>
    <w:rsid w:val="005518A9"/>
    <w:rsid w:val="00551AB9"/>
    <w:rsid w:val="005520B3"/>
    <w:rsid w:val="005522D8"/>
    <w:rsid w:val="00552680"/>
    <w:rsid w:val="005526AF"/>
    <w:rsid w:val="0055291B"/>
    <w:rsid w:val="00552EA2"/>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28D"/>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C9"/>
    <w:rsid w:val="00590372"/>
    <w:rsid w:val="0059054D"/>
    <w:rsid w:val="0059062C"/>
    <w:rsid w:val="00590F1F"/>
    <w:rsid w:val="005913F3"/>
    <w:rsid w:val="00591C2D"/>
    <w:rsid w:val="005926A8"/>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5357"/>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6DF"/>
    <w:rsid w:val="00637C45"/>
    <w:rsid w:val="00640616"/>
    <w:rsid w:val="006406A4"/>
    <w:rsid w:val="00640833"/>
    <w:rsid w:val="006416F7"/>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6451"/>
    <w:rsid w:val="00656AD9"/>
    <w:rsid w:val="00656AEE"/>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427D"/>
    <w:rsid w:val="006E517D"/>
    <w:rsid w:val="006E5222"/>
    <w:rsid w:val="006E581C"/>
    <w:rsid w:val="006E5EC2"/>
    <w:rsid w:val="006E64BA"/>
    <w:rsid w:val="006E6D9A"/>
    <w:rsid w:val="006E7C92"/>
    <w:rsid w:val="006F028B"/>
    <w:rsid w:val="006F1934"/>
    <w:rsid w:val="006F2030"/>
    <w:rsid w:val="006F2D15"/>
    <w:rsid w:val="006F2D96"/>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C76"/>
    <w:rsid w:val="00720869"/>
    <w:rsid w:val="00720BB0"/>
    <w:rsid w:val="00720F60"/>
    <w:rsid w:val="00721884"/>
    <w:rsid w:val="00721D3F"/>
    <w:rsid w:val="007220E2"/>
    <w:rsid w:val="007226BD"/>
    <w:rsid w:val="00722BA5"/>
    <w:rsid w:val="00722E66"/>
    <w:rsid w:val="00722F39"/>
    <w:rsid w:val="00723271"/>
    <w:rsid w:val="0072349B"/>
    <w:rsid w:val="00724A6D"/>
    <w:rsid w:val="007252DE"/>
    <w:rsid w:val="00725416"/>
    <w:rsid w:val="00725962"/>
    <w:rsid w:val="007266A7"/>
    <w:rsid w:val="00726861"/>
    <w:rsid w:val="00726A1B"/>
    <w:rsid w:val="00726A53"/>
    <w:rsid w:val="00726EB0"/>
    <w:rsid w:val="00730B1C"/>
    <w:rsid w:val="00730E28"/>
    <w:rsid w:val="00730EEF"/>
    <w:rsid w:val="00732078"/>
    <w:rsid w:val="00732D6B"/>
    <w:rsid w:val="00733221"/>
    <w:rsid w:val="007335A0"/>
    <w:rsid w:val="0073390D"/>
    <w:rsid w:val="007339C6"/>
    <w:rsid w:val="00733C9D"/>
    <w:rsid w:val="00733F28"/>
    <w:rsid w:val="007345DF"/>
    <w:rsid w:val="00734C3B"/>
    <w:rsid w:val="0073506D"/>
    <w:rsid w:val="007365D0"/>
    <w:rsid w:val="00736B16"/>
    <w:rsid w:val="00737259"/>
    <w:rsid w:val="00737480"/>
    <w:rsid w:val="00740C9B"/>
    <w:rsid w:val="00741B97"/>
    <w:rsid w:val="00741D3C"/>
    <w:rsid w:val="0074407C"/>
    <w:rsid w:val="00744240"/>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6BB"/>
    <w:rsid w:val="00786E55"/>
    <w:rsid w:val="0078739E"/>
    <w:rsid w:val="00787E2A"/>
    <w:rsid w:val="00791553"/>
    <w:rsid w:val="00791F34"/>
    <w:rsid w:val="007921B7"/>
    <w:rsid w:val="00792449"/>
    <w:rsid w:val="00792480"/>
    <w:rsid w:val="007931B1"/>
    <w:rsid w:val="007933D2"/>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EC8"/>
    <w:rsid w:val="007A248E"/>
    <w:rsid w:val="007A28FC"/>
    <w:rsid w:val="007A2A2B"/>
    <w:rsid w:val="007A40B6"/>
    <w:rsid w:val="007A40CD"/>
    <w:rsid w:val="007A41A8"/>
    <w:rsid w:val="007A5873"/>
    <w:rsid w:val="007A7346"/>
    <w:rsid w:val="007B058D"/>
    <w:rsid w:val="007B1030"/>
    <w:rsid w:val="007B127F"/>
    <w:rsid w:val="007B187A"/>
    <w:rsid w:val="007B228E"/>
    <w:rsid w:val="007B288D"/>
    <w:rsid w:val="007B2CBF"/>
    <w:rsid w:val="007B3B3B"/>
    <w:rsid w:val="007B4508"/>
    <w:rsid w:val="007B477D"/>
    <w:rsid w:val="007B4805"/>
    <w:rsid w:val="007B4B95"/>
    <w:rsid w:val="007B5266"/>
    <w:rsid w:val="007B5C5E"/>
    <w:rsid w:val="007B640A"/>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6BE"/>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1749"/>
    <w:rsid w:val="00801EAC"/>
    <w:rsid w:val="00801F3E"/>
    <w:rsid w:val="008038F8"/>
    <w:rsid w:val="00805295"/>
    <w:rsid w:val="00805E21"/>
    <w:rsid w:val="00805E25"/>
    <w:rsid w:val="00805FFC"/>
    <w:rsid w:val="008068DB"/>
    <w:rsid w:val="00806FEE"/>
    <w:rsid w:val="008070D2"/>
    <w:rsid w:val="0080753A"/>
    <w:rsid w:val="00807AC2"/>
    <w:rsid w:val="00807B55"/>
    <w:rsid w:val="00807D4D"/>
    <w:rsid w:val="00807E15"/>
    <w:rsid w:val="00810604"/>
    <w:rsid w:val="008116E9"/>
    <w:rsid w:val="00811BCF"/>
    <w:rsid w:val="008120C6"/>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FDA"/>
    <w:rsid w:val="008167A8"/>
    <w:rsid w:val="00816A4A"/>
    <w:rsid w:val="00816E3F"/>
    <w:rsid w:val="00817416"/>
    <w:rsid w:val="00817AA6"/>
    <w:rsid w:val="008211B6"/>
    <w:rsid w:val="0082188B"/>
    <w:rsid w:val="0082264E"/>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28B"/>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0A9"/>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395B"/>
    <w:rsid w:val="008D3C60"/>
    <w:rsid w:val="008D3E01"/>
    <w:rsid w:val="008D4366"/>
    <w:rsid w:val="008D4971"/>
    <w:rsid w:val="008D4C90"/>
    <w:rsid w:val="008D58AC"/>
    <w:rsid w:val="008D597F"/>
    <w:rsid w:val="008D61F5"/>
    <w:rsid w:val="008D6B23"/>
    <w:rsid w:val="008D7236"/>
    <w:rsid w:val="008D7CF0"/>
    <w:rsid w:val="008D7D8A"/>
    <w:rsid w:val="008D7F38"/>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72B0"/>
    <w:rsid w:val="008E7604"/>
    <w:rsid w:val="008E77ED"/>
    <w:rsid w:val="008E7BD8"/>
    <w:rsid w:val="008E7D92"/>
    <w:rsid w:val="008F0476"/>
    <w:rsid w:val="008F072A"/>
    <w:rsid w:val="008F0EE6"/>
    <w:rsid w:val="008F2A46"/>
    <w:rsid w:val="008F323E"/>
    <w:rsid w:val="008F32A5"/>
    <w:rsid w:val="008F47F2"/>
    <w:rsid w:val="008F4BED"/>
    <w:rsid w:val="008F552D"/>
    <w:rsid w:val="008F577F"/>
    <w:rsid w:val="008F61C8"/>
    <w:rsid w:val="008F6BD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017"/>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609"/>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4B9"/>
    <w:rsid w:val="00A36674"/>
    <w:rsid w:val="00A3677B"/>
    <w:rsid w:val="00A37636"/>
    <w:rsid w:val="00A4026D"/>
    <w:rsid w:val="00A4155A"/>
    <w:rsid w:val="00A4157F"/>
    <w:rsid w:val="00A428A9"/>
    <w:rsid w:val="00A43299"/>
    <w:rsid w:val="00A44517"/>
    <w:rsid w:val="00A453B8"/>
    <w:rsid w:val="00A45E78"/>
    <w:rsid w:val="00A466AF"/>
    <w:rsid w:val="00A46CDD"/>
    <w:rsid w:val="00A4789B"/>
    <w:rsid w:val="00A47B51"/>
    <w:rsid w:val="00A50151"/>
    <w:rsid w:val="00A501AC"/>
    <w:rsid w:val="00A507B9"/>
    <w:rsid w:val="00A50EFC"/>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DA"/>
    <w:rsid w:val="00A64A88"/>
    <w:rsid w:val="00A64D1D"/>
    <w:rsid w:val="00A657AC"/>
    <w:rsid w:val="00A661A9"/>
    <w:rsid w:val="00A66281"/>
    <w:rsid w:val="00A66600"/>
    <w:rsid w:val="00A668EF"/>
    <w:rsid w:val="00A66AFF"/>
    <w:rsid w:val="00A671E3"/>
    <w:rsid w:val="00A67277"/>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A3C"/>
    <w:rsid w:val="00AE7BC5"/>
    <w:rsid w:val="00AE7FE4"/>
    <w:rsid w:val="00AE7FF1"/>
    <w:rsid w:val="00AF01FC"/>
    <w:rsid w:val="00AF02C2"/>
    <w:rsid w:val="00AF033E"/>
    <w:rsid w:val="00AF12D1"/>
    <w:rsid w:val="00AF26DD"/>
    <w:rsid w:val="00AF2834"/>
    <w:rsid w:val="00AF314C"/>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60F"/>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F06"/>
    <w:rsid w:val="00BE407C"/>
    <w:rsid w:val="00BE50E7"/>
    <w:rsid w:val="00BE5218"/>
    <w:rsid w:val="00BE5518"/>
    <w:rsid w:val="00BE562E"/>
    <w:rsid w:val="00BE5F94"/>
    <w:rsid w:val="00BE5FFE"/>
    <w:rsid w:val="00BE61DD"/>
    <w:rsid w:val="00BF060A"/>
    <w:rsid w:val="00BF06D9"/>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610"/>
    <w:rsid w:val="00C11978"/>
    <w:rsid w:val="00C11AD3"/>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E74"/>
    <w:rsid w:val="00C46F0A"/>
    <w:rsid w:val="00C47275"/>
    <w:rsid w:val="00C475A4"/>
    <w:rsid w:val="00C476AD"/>
    <w:rsid w:val="00C476EA"/>
    <w:rsid w:val="00C50077"/>
    <w:rsid w:val="00C500B5"/>
    <w:rsid w:val="00C502B0"/>
    <w:rsid w:val="00C50B83"/>
    <w:rsid w:val="00C50E1E"/>
    <w:rsid w:val="00C51305"/>
    <w:rsid w:val="00C513D4"/>
    <w:rsid w:val="00C52D06"/>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F77"/>
    <w:rsid w:val="00C6206A"/>
    <w:rsid w:val="00C6257C"/>
    <w:rsid w:val="00C628D6"/>
    <w:rsid w:val="00C63059"/>
    <w:rsid w:val="00C6338C"/>
    <w:rsid w:val="00C63475"/>
    <w:rsid w:val="00C638C0"/>
    <w:rsid w:val="00C641E9"/>
    <w:rsid w:val="00C642A9"/>
    <w:rsid w:val="00C651FF"/>
    <w:rsid w:val="00C65CA4"/>
    <w:rsid w:val="00C65F39"/>
    <w:rsid w:val="00C66EE8"/>
    <w:rsid w:val="00C67452"/>
    <w:rsid w:val="00C676EF"/>
    <w:rsid w:val="00C677D9"/>
    <w:rsid w:val="00C6783F"/>
    <w:rsid w:val="00C704DB"/>
    <w:rsid w:val="00C70B91"/>
    <w:rsid w:val="00C70F93"/>
    <w:rsid w:val="00C71067"/>
    <w:rsid w:val="00C7137E"/>
    <w:rsid w:val="00C7146C"/>
    <w:rsid w:val="00C714D0"/>
    <w:rsid w:val="00C715CD"/>
    <w:rsid w:val="00C72069"/>
    <w:rsid w:val="00C725E8"/>
    <w:rsid w:val="00C727F5"/>
    <w:rsid w:val="00C7281A"/>
    <w:rsid w:val="00C72BF2"/>
    <w:rsid w:val="00C72C2F"/>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87D64"/>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837"/>
    <w:rsid w:val="00CB18D0"/>
    <w:rsid w:val="00CB1AA3"/>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5EA"/>
    <w:rsid w:val="00D17A7F"/>
    <w:rsid w:val="00D17BB1"/>
    <w:rsid w:val="00D17DA4"/>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3B21"/>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8A"/>
    <w:rsid w:val="00D8607E"/>
    <w:rsid w:val="00D86419"/>
    <w:rsid w:val="00D86626"/>
    <w:rsid w:val="00D867F6"/>
    <w:rsid w:val="00D8689C"/>
    <w:rsid w:val="00D8764B"/>
    <w:rsid w:val="00D87E97"/>
    <w:rsid w:val="00D901D1"/>
    <w:rsid w:val="00D91424"/>
    <w:rsid w:val="00D9172E"/>
    <w:rsid w:val="00D91A58"/>
    <w:rsid w:val="00D91AE8"/>
    <w:rsid w:val="00D9212A"/>
    <w:rsid w:val="00D92D5B"/>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F06"/>
    <w:rsid w:val="00E37927"/>
    <w:rsid w:val="00E37B12"/>
    <w:rsid w:val="00E4015C"/>
    <w:rsid w:val="00E4050F"/>
    <w:rsid w:val="00E406BF"/>
    <w:rsid w:val="00E41A44"/>
    <w:rsid w:val="00E41A8A"/>
    <w:rsid w:val="00E42069"/>
    <w:rsid w:val="00E433D7"/>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2C0"/>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197"/>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55A"/>
    <w:rsid w:val="00F2775A"/>
    <w:rsid w:val="00F278FB"/>
    <w:rsid w:val="00F30174"/>
    <w:rsid w:val="00F30237"/>
    <w:rsid w:val="00F306DB"/>
    <w:rsid w:val="00F310B3"/>
    <w:rsid w:val="00F316C8"/>
    <w:rsid w:val="00F31884"/>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0CDF"/>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51"/>
    <w:rsid w:val="00F829CE"/>
    <w:rsid w:val="00F834E8"/>
    <w:rsid w:val="00F83684"/>
    <w:rsid w:val="00F84325"/>
    <w:rsid w:val="00F84A7B"/>
    <w:rsid w:val="00F84CFE"/>
    <w:rsid w:val="00F85285"/>
    <w:rsid w:val="00F856F4"/>
    <w:rsid w:val="00F85DA4"/>
    <w:rsid w:val="00F8649B"/>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82F"/>
    <w:rsid w:val="00FE21C7"/>
    <w:rsid w:val="00FE24EE"/>
    <w:rsid w:val="00FE2822"/>
    <w:rsid w:val="00FE2D56"/>
    <w:rsid w:val="00FE320B"/>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1473B7"/>
    <w:rsid w:val="012A4E21"/>
    <w:rsid w:val="012D66CB"/>
    <w:rsid w:val="013A690F"/>
    <w:rsid w:val="01593F92"/>
    <w:rsid w:val="015A1913"/>
    <w:rsid w:val="015A7948"/>
    <w:rsid w:val="015E2839"/>
    <w:rsid w:val="016025FC"/>
    <w:rsid w:val="016B05BC"/>
    <w:rsid w:val="016D4D19"/>
    <w:rsid w:val="0175443A"/>
    <w:rsid w:val="01777E30"/>
    <w:rsid w:val="01957768"/>
    <w:rsid w:val="019F0AF5"/>
    <w:rsid w:val="01A152B0"/>
    <w:rsid w:val="01C15437"/>
    <w:rsid w:val="01C67396"/>
    <w:rsid w:val="01C74AC8"/>
    <w:rsid w:val="01C80D59"/>
    <w:rsid w:val="01D07EE9"/>
    <w:rsid w:val="01D11701"/>
    <w:rsid w:val="01E0373D"/>
    <w:rsid w:val="01E92329"/>
    <w:rsid w:val="01F125AA"/>
    <w:rsid w:val="01FA6612"/>
    <w:rsid w:val="01FE0052"/>
    <w:rsid w:val="020B325A"/>
    <w:rsid w:val="021235EC"/>
    <w:rsid w:val="02221DF9"/>
    <w:rsid w:val="0242118E"/>
    <w:rsid w:val="024C2B81"/>
    <w:rsid w:val="024F2D27"/>
    <w:rsid w:val="025C69AC"/>
    <w:rsid w:val="02790E31"/>
    <w:rsid w:val="027A76EE"/>
    <w:rsid w:val="027F2E0D"/>
    <w:rsid w:val="029137FA"/>
    <w:rsid w:val="029A7D90"/>
    <w:rsid w:val="029B3A6C"/>
    <w:rsid w:val="02AD79EA"/>
    <w:rsid w:val="02AF1E27"/>
    <w:rsid w:val="02B73216"/>
    <w:rsid w:val="02BE3F94"/>
    <w:rsid w:val="02BE5535"/>
    <w:rsid w:val="02C357E3"/>
    <w:rsid w:val="02DF6410"/>
    <w:rsid w:val="02ED3385"/>
    <w:rsid w:val="02F016DD"/>
    <w:rsid w:val="02F43A2B"/>
    <w:rsid w:val="03056DC8"/>
    <w:rsid w:val="0311108D"/>
    <w:rsid w:val="03145467"/>
    <w:rsid w:val="031B7166"/>
    <w:rsid w:val="031C07A5"/>
    <w:rsid w:val="031C76EC"/>
    <w:rsid w:val="0320478A"/>
    <w:rsid w:val="0332621A"/>
    <w:rsid w:val="03355265"/>
    <w:rsid w:val="033C2BF5"/>
    <w:rsid w:val="035C6DF3"/>
    <w:rsid w:val="035E787F"/>
    <w:rsid w:val="036A1685"/>
    <w:rsid w:val="03764359"/>
    <w:rsid w:val="037D3E51"/>
    <w:rsid w:val="03814342"/>
    <w:rsid w:val="0395476E"/>
    <w:rsid w:val="03B7227C"/>
    <w:rsid w:val="03CC3F79"/>
    <w:rsid w:val="03E156A2"/>
    <w:rsid w:val="03F21F57"/>
    <w:rsid w:val="04003EB2"/>
    <w:rsid w:val="04020541"/>
    <w:rsid w:val="040F20B8"/>
    <w:rsid w:val="041F679F"/>
    <w:rsid w:val="04271AF0"/>
    <w:rsid w:val="045460E0"/>
    <w:rsid w:val="045A31A4"/>
    <w:rsid w:val="04643AB8"/>
    <w:rsid w:val="0466617C"/>
    <w:rsid w:val="046A6998"/>
    <w:rsid w:val="047E396A"/>
    <w:rsid w:val="0480087C"/>
    <w:rsid w:val="04916503"/>
    <w:rsid w:val="04990B69"/>
    <w:rsid w:val="04AB1DE0"/>
    <w:rsid w:val="04AB2DF4"/>
    <w:rsid w:val="04AC7907"/>
    <w:rsid w:val="04CC08EB"/>
    <w:rsid w:val="04D043AD"/>
    <w:rsid w:val="04D30939"/>
    <w:rsid w:val="04FE4E8A"/>
    <w:rsid w:val="0511593E"/>
    <w:rsid w:val="05132475"/>
    <w:rsid w:val="05141DF0"/>
    <w:rsid w:val="051D5FC6"/>
    <w:rsid w:val="05285B11"/>
    <w:rsid w:val="052878D5"/>
    <w:rsid w:val="0531620D"/>
    <w:rsid w:val="05415BBD"/>
    <w:rsid w:val="05481A3A"/>
    <w:rsid w:val="0549490C"/>
    <w:rsid w:val="055178E9"/>
    <w:rsid w:val="05603190"/>
    <w:rsid w:val="05663F59"/>
    <w:rsid w:val="057000C1"/>
    <w:rsid w:val="058D12A0"/>
    <w:rsid w:val="059565ED"/>
    <w:rsid w:val="0598798D"/>
    <w:rsid w:val="05990C7D"/>
    <w:rsid w:val="05A61FAC"/>
    <w:rsid w:val="05AE30F1"/>
    <w:rsid w:val="05B40ECA"/>
    <w:rsid w:val="05C100EB"/>
    <w:rsid w:val="05D73B61"/>
    <w:rsid w:val="05E25CD6"/>
    <w:rsid w:val="05E570CC"/>
    <w:rsid w:val="05E60001"/>
    <w:rsid w:val="05EF03F3"/>
    <w:rsid w:val="05EF52C8"/>
    <w:rsid w:val="05F27668"/>
    <w:rsid w:val="05F55E80"/>
    <w:rsid w:val="0619721E"/>
    <w:rsid w:val="062A3D1C"/>
    <w:rsid w:val="062A44AF"/>
    <w:rsid w:val="062E3A1D"/>
    <w:rsid w:val="063925D1"/>
    <w:rsid w:val="063E7EA9"/>
    <w:rsid w:val="06612458"/>
    <w:rsid w:val="06633218"/>
    <w:rsid w:val="066D34B2"/>
    <w:rsid w:val="066D5F43"/>
    <w:rsid w:val="067A5870"/>
    <w:rsid w:val="067A6032"/>
    <w:rsid w:val="068805E7"/>
    <w:rsid w:val="06881577"/>
    <w:rsid w:val="06992382"/>
    <w:rsid w:val="06A170F3"/>
    <w:rsid w:val="06AB18BD"/>
    <w:rsid w:val="06C059C2"/>
    <w:rsid w:val="06C26FEB"/>
    <w:rsid w:val="06C620FA"/>
    <w:rsid w:val="06D56611"/>
    <w:rsid w:val="06D66EBD"/>
    <w:rsid w:val="06DA6F81"/>
    <w:rsid w:val="06DC3A32"/>
    <w:rsid w:val="06E45F93"/>
    <w:rsid w:val="06E72E78"/>
    <w:rsid w:val="06F07F7E"/>
    <w:rsid w:val="06F37001"/>
    <w:rsid w:val="07005B38"/>
    <w:rsid w:val="0705457D"/>
    <w:rsid w:val="07364A4C"/>
    <w:rsid w:val="073B6CAB"/>
    <w:rsid w:val="075B095F"/>
    <w:rsid w:val="07687B73"/>
    <w:rsid w:val="076C4EC2"/>
    <w:rsid w:val="076D2C0D"/>
    <w:rsid w:val="077961C6"/>
    <w:rsid w:val="077F065C"/>
    <w:rsid w:val="07893F2F"/>
    <w:rsid w:val="078C107C"/>
    <w:rsid w:val="078E4C5C"/>
    <w:rsid w:val="07933081"/>
    <w:rsid w:val="079C7A50"/>
    <w:rsid w:val="07B00F1D"/>
    <w:rsid w:val="07C8347D"/>
    <w:rsid w:val="07D5339B"/>
    <w:rsid w:val="07F51BAB"/>
    <w:rsid w:val="081A2A1A"/>
    <w:rsid w:val="08276797"/>
    <w:rsid w:val="082A5356"/>
    <w:rsid w:val="082D6F32"/>
    <w:rsid w:val="083A0D4F"/>
    <w:rsid w:val="08625011"/>
    <w:rsid w:val="08682F69"/>
    <w:rsid w:val="08767126"/>
    <w:rsid w:val="087838E7"/>
    <w:rsid w:val="0884628E"/>
    <w:rsid w:val="088816B9"/>
    <w:rsid w:val="089E1642"/>
    <w:rsid w:val="08B17BE1"/>
    <w:rsid w:val="08BA426F"/>
    <w:rsid w:val="08E522B1"/>
    <w:rsid w:val="08EB7112"/>
    <w:rsid w:val="08F07C2D"/>
    <w:rsid w:val="08F4703A"/>
    <w:rsid w:val="08F66B32"/>
    <w:rsid w:val="08FA146D"/>
    <w:rsid w:val="090030B6"/>
    <w:rsid w:val="090620B8"/>
    <w:rsid w:val="09127C2A"/>
    <w:rsid w:val="091A2C9A"/>
    <w:rsid w:val="091A7D77"/>
    <w:rsid w:val="09216662"/>
    <w:rsid w:val="09281FD6"/>
    <w:rsid w:val="09292548"/>
    <w:rsid w:val="093951B3"/>
    <w:rsid w:val="093F51ED"/>
    <w:rsid w:val="094314F2"/>
    <w:rsid w:val="09465B74"/>
    <w:rsid w:val="094846AB"/>
    <w:rsid w:val="09497E1A"/>
    <w:rsid w:val="095073FA"/>
    <w:rsid w:val="09551119"/>
    <w:rsid w:val="09577B8B"/>
    <w:rsid w:val="09671F72"/>
    <w:rsid w:val="09675EB5"/>
    <w:rsid w:val="0992244E"/>
    <w:rsid w:val="09A9515D"/>
    <w:rsid w:val="09AC384F"/>
    <w:rsid w:val="09B16020"/>
    <w:rsid w:val="09B23C11"/>
    <w:rsid w:val="09B47A1D"/>
    <w:rsid w:val="09B76C6A"/>
    <w:rsid w:val="09BB62F2"/>
    <w:rsid w:val="09BF1E8A"/>
    <w:rsid w:val="09D26AB5"/>
    <w:rsid w:val="09D75580"/>
    <w:rsid w:val="09EA7679"/>
    <w:rsid w:val="0A097FBA"/>
    <w:rsid w:val="0A1C2502"/>
    <w:rsid w:val="0A2B4270"/>
    <w:rsid w:val="0A452777"/>
    <w:rsid w:val="0A4632D9"/>
    <w:rsid w:val="0A464256"/>
    <w:rsid w:val="0A4E36C6"/>
    <w:rsid w:val="0A517CAA"/>
    <w:rsid w:val="0A52729D"/>
    <w:rsid w:val="0A874528"/>
    <w:rsid w:val="0A8B7316"/>
    <w:rsid w:val="0A8C110E"/>
    <w:rsid w:val="0AA16F7A"/>
    <w:rsid w:val="0AAD4EDD"/>
    <w:rsid w:val="0AB55D02"/>
    <w:rsid w:val="0ABF0BD3"/>
    <w:rsid w:val="0ACC08EE"/>
    <w:rsid w:val="0AD05264"/>
    <w:rsid w:val="0ADB3B99"/>
    <w:rsid w:val="0AE5691F"/>
    <w:rsid w:val="0AE8742C"/>
    <w:rsid w:val="0AF639B0"/>
    <w:rsid w:val="0AF65375"/>
    <w:rsid w:val="0AFA5870"/>
    <w:rsid w:val="0AFB19E5"/>
    <w:rsid w:val="0B022976"/>
    <w:rsid w:val="0B081D3B"/>
    <w:rsid w:val="0B0C32F3"/>
    <w:rsid w:val="0B0C4720"/>
    <w:rsid w:val="0B197E66"/>
    <w:rsid w:val="0B204BAA"/>
    <w:rsid w:val="0B2D2AD7"/>
    <w:rsid w:val="0B2E01DA"/>
    <w:rsid w:val="0B320337"/>
    <w:rsid w:val="0B346A82"/>
    <w:rsid w:val="0B38067D"/>
    <w:rsid w:val="0B3C6044"/>
    <w:rsid w:val="0B560E92"/>
    <w:rsid w:val="0B561CDB"/>
    <w:rsid w:val="0B673601"/>
    <w:rsid w:val="0B704E99"/>
    <w:rsid w:val="0B7371A6"/>
    <w:rsid w:val="0B7609EE"/>
    <w:rsid w:val="0B760C93"/>
    <w:rsid w:val="0B7A075E"/>
    <w:rsid w:val="0B8A79AF"/>
    <w:rsid w:val="0BA55BDE"/>
    <w:rsid w:val="0BB7E64E"/>
    <w:rsid w:val="0BBE65A8"/>
    <w:rsid w:val="0BDC277F"/>
    <w:rsid w:val="0BEF6659"/>
    <w:rsid w:val="0BF56D6B"/>
    <w:rsid w:val="0BF81BBC"/>
    <w:rsid w:val="0BFC7976"/>
    <w:rsid w:val="0C015150"/>
    <w:rsid w:val="0C121E0B"/>
    <w:rsid w:val="0C195DBC"/>
    <w:rsid w:val="0C1C402C"/>
    <w:rsid w:val="0C27651D"/>
    <w:rsid w:val="0C342351"/>
    <w:rsid w:val="0C52058D"/>
    <w:rsid w:val="0C5313A4"/>
    <w:rsid w:val="0C580538"/>
    <w:rsid w:val="0C590374"/>
    <w:rsid w:val="0C5A588C"/>
    <w:rsid w:val="0C635FA4"/>
    <w:rsid w:val="0C682019"/>
    <w:rsid w:val="0C6B0C28"/>
    <w:rsid w:val="0C807FF6"/>
    <w:rsid w:val="0C8F6630"/>
    <w:rsid w:val="0C954B1D"/>
    <w:rsid w:val="0C9A510C"/>
    <w:rsid w:val="0C9D168E"/>
    <w:rsid w:val="0C9D2894"/>
    <w:rsid w:val="0CA75583"/>
    <w:rsid w:val="0CA93832"/>
    <w:rsid w:val="0CAC493E"/>
    <w:rsid w:val="0CC266AF"/>
    <w:rsid w:val="0CC47EE3"/>
    <w:rsid w:val="0CCD6EC3"/>
    <w:rsid w:val="0CD10C70"/>
    <w:rsid w:val="0CD50F98"/>
    <w:rsid w:val="0CDC30BC"/>
    <w:rsid w:val="0CEF32BC"/>
    <w:rsid w:val="0CF5147B"/>
    <w:rsid w:val="0D022AF7"/>
    <w:rsid w:val="0D0B0957"/>
    <w:rsid w:val="0D1225E1"/>
    <w:rsid w:val="0D142F14"/>
    <w:rsid w:val="0D2C0E94"/>
    <w:rsid w:val="0D2D3C5F"/>
    <w:rsid w:val="0D3B7A1F"/>
    <w:rsid w:val="0D643474"/>
    <w:rsid w:val="0D66545C"/>
    <w:rsid w:val="0D6B717A"/>
    <w:rsid w:val="0D6F45C7"/>
    <w:rsid w:val="0DA25357"/>
    <w:rsid w:val="0DA5377E"/>
    <w:rsid w:val="0DB1705C"/>
    <w:rsid w:val="0DB37D75"/>
    <w:rsid w:val="0DB811DB"/>
    <w:rsid w:val="0DBA2787"/>
    <w:rsid w:val="0DBB182E"/>
    <w:rsid w:val="0DC12134"/>
    <w:rsid w:val="0DC31923"/>
    <w:rsid w:val="0DCA7B13"/>
    <w:rsid w:val="0DD62FEF"/>
    <w:rsid w:val="0DEF149A"/>
    <w:rsid w:val="0DF504D7"/>
    <w:rsid w:val="0E036A28"/>
    <w:rsid w:val="0E0552CC"/>
    <w:rsid w:val="0E2E0EBE"/>
    <w:rsid w:val="0E30688A"/>
    <w:rsid w:val="0E47447A"/>
    <w:rsid w:val="0E4B63E2"/>
    <w:rsid w:val="0E4C14FB"/>
    <w:rsid w:val="0E6401D1"/>
    <w:rsid w:val="0E651521"/>
    <w:rsid w:val="0E663744"/>
    <w:rsid w:val="0E6A4ABA"/>
    <w:rsid w:val="0E6F23C7"/>
    <w:rsid w:val="0E7476E7"/>
    <w:rsid w:val="0E835B7C"/>
    <w:rsid w:val="0E836419"/>
    <w:rsid w:val="0E855450"/>
    <w:rsid w:val="0E8854FB"/>
    <w:rsid w:val="0E947A66"/>
    <w:rsid w:val="0E9833E6"/>
    <w:rsid w:val="0EA77ADD"/>
    <w:rsid w:val="0EC0292C"/>
    <w:rsid w:val="0EC37076"/>
    <w:rsid w:val="0EC37A24"/>
    <w:rsid w:val="0ECC12D1"/>
    <w:rsid w:val="0ED41EEF"/>
    <w:rsid w:val="0ED51137"/>
    <w:rsid w:val="0ED7095E"/>
    <w:rsid w:val="0EDF39F1"/>
    <w:rsid w:val="0EEF3211"/>
    <w:rsid w:val="0EF034AB"/>
    <w:rsid w:val="0EF453C6"/>
    <w:rsid w:val="0EF937ED"/>
    <w:rsid w:val="0F1E70E7"/>
    <w:rsid w:val="0F293DB0"/>
    <w:rsid w:val="0F392121"/>
    <w:rsid w:val="0F4F55DC"/>
    <w:rsid w:val="0F500AAD"/>
    <w:rsid w:val="0F57207E"/>
    <w:rsid w:val="0F5838F2"/>
    <w:rsid w:val="0F760726"/>
    <w:rsid w:val="0FA1184A"/>
    <w:rsid w:val="0FA96591"/>
    <w:rsid w:val="0FAA1800"/>
    <w:rsid w:val="0FAD455E"/>
    <w:rsid w:val="0FB94A66"/>
    <w:rsid w:val="0FCE2E27"/>
    <w:rsid w:val="0FCF6175"/>
    <w:rsid w:val="0FDE179C"/>
    <w:rsid w:val="0FE81C1D"/>
    <w:rsid w:val="0FEA0C5A"/>
    <w:rsid w:val="0FF87DD2"/>
    <w:rsid w:val="10077BBA"/>
    <w:rsid w:val="101629EB"/>
    <w:rsid w:val="101F3682"/>
    <w:rsid w:val="10263253"/>
    <w:rsid w:val="102736D0"/>
    <w:rsid w:val="102C7D44"/>
    <w:rsid w:val="10345380"/>
    <w:rsid w:val="10350AA9"/>
    <w:rsid w:val="105C0433"/>
    <w:rsid w:val="106344F9"/>
    <w:rsid w:val="106E7C51"/>
    <w:rsid w:val="10700194"/>
    <w:rsid w:val="107B3173"/>
    <w:rsid w:val="10964624"/>
    <w:rsid w:val="10A73812"/>
    <w:rsid w:val="10AF05A0"/>
    <w:rsid w:val="10B21301"/>
    <w:rsid w:val="10B75631"/>
    <w:rsid w:val="110B2FB0"/>
    <w:rsid w:val="11315402"/>
    <w:rsid w:val="114749A4"/>
    <w:rsid w:val="11495E9F"/>
    <w:rsid w:val="116537E5"/>
    <w:rsid w:val="1169450A"/>
    <w:rsid w:val="11786B55"/>
    <w:rsid w:val="118F3035"/>
    <w:rsid w:val="11902D52"/>
    <w:rsid w:val="11A113D2"/>
    <w:rsid w:val="11A337C2"/>
    <w:rsid w:val="11B12A00"/>
    <w:rsid w:val="11B524F0"/>
    <w:rsid w:val="11B76268"/>
    <w:rsid w:val="11C01717"/>
    <w:rsid w:val="11D24E50"/>
    <w:rsid w:val="11D53A3D"/>
    <w:rsid w:val="11DE26F6"/>
    <w:rsid w:val="11F50B3F"/>
    <w:rsid w:val="11FC011F"/>
    <w:rsid w:val="12080C76"/>
    <w:rsid w:val="120F0E58"/>
    <w:rsid w:val="122A006C"/>
    <w:rsid w:val="12307B5E"/>
    <w:rsid w:val="1238707D"/>
    <w:rsid w:val="123F43B0"/>
    <w:rsid w:val="123F7018"/>
    <w:rsid w:val="125D2CFA"/>
    <w:rsid w:val="125D54CB"/>
    <w:rsid w:val="125E4936"/>
    <w:rsid w:val="126A535E"/>
    <w:rsid w:val="12761A96"/>
    <w:rsid w:val="12822265"/>
    <w:rsid w:val="128F4AEF"/>
    <w:rsid w:val="129B148F"/>
    <w:rsid w:val="129F0AAB"/>
    <w:rsid w:val="12A24799"/>
    <w:rsid w:val="12AB56A1"/>
    <w:rsid w:val="12AF73DE"/>
    <w:rsid w:val="12B76B0D"/>
    <w:rsid w:val="12BA3CEB"/>
    <w:rsid w:val="12C27C02"/>
    <w:rsid w:val="12D562FA"/>
    <w:rsid w:val="12D82A7F"/>
    <w:rsid w:val="12DA7F5C"/>
    <w:rsid w:val="12E332FA"/>
    <w:rsid w:val="12F12F9E"/>
    <w:rsid w:val="12F75FF5"/>
    <w:rsid w:val="132D7A2F"/>
    <w:rsid w:val="133B6A25"/>
    <w:rsid w:val="13433B2C"/>
    <w:rsid w:val="13492B62"/>
    <w:rsid w:val="13684C7A"/>
    <w:rsid w:val="136E7CAF"/>
    <w:rsid w:val="139522A0"/>
    <w:rsid w:val="13B72832"/>
    <w:rsid w:val="13BA0BEB"/>
    <w:rsid w:val="13C63A51"/>
    <w:rsid w:val="13CD08B6"/>
    <w:rsid w:val="13CD473D"/>
    <w:rsid w:val="13D56B53"/>
    <w:rsid w:val="13E30590"/>
    <w:rsid w:val="13E843A1"/>
    <w:rsid w:val="13F225AE"/>
    <w:rsid w:val="13FB3D98"/>
    <w:rsid w:val="1403644B"/>
    <w:rsid w:val="141731A4"/>
    <w:rsid w:val="14342245"/>
    <w:rsid w:val="143A501D"/>
    <w:rsid w:val="143A694A"/>
    <w:rsid w:val="143C398A"/>
    <w:rsid w:val="14540FBC"/>
    <w:rsid w:val="147036BF"/>
    <w:rsid w:val="14776FC2"/>
    <w:rsid w:val="14A27F30"/>
    <w:rsid w:val="14A763BF"/>
    <w:rsid w:val="14AA7EAE"/>
    <w:rsid w:val="14C4150D"/>
    <w:rsid w:val="14D83D18"/>
    <w:rsid w:val="14E94451"/>
    <w:rsid w:val="14F22EE3"/>
    <w:rsid w:val="14FD703B"/>
    <w:rsid w:val="14FD7E50"/>
    <w:rsid w:val="152557F8"/>
    <w:rsid w:val="15283F85"/>
    <w:rsid w:val="152E4435"/>
    <w:rsid w:val="15421D14"/>
    <w:rsid w:val="154C1133"/>
    <w:rsid w:val="1550122B"/>
    <w:rsid w:val="15697744"/>
    <w:rsid w:val="158D3135"/>
    <w:rsid w:val="159D64B9"/>
    <w:rsid w:val="159F4AC2"/>
    <w:rsid w:val="15B2020C"/>
    <w:rsid w:val="15B27B74"/>
    <w:rsid w:val="15C1538F"/>
    <w:rsid w:val="15D905AC"/>
    <w:rsid w:val="15DD5FFB"/>
    <w:rsid w:val="15EF268F"/>
    <w:rsid w:val="15F020C0"/>
    <w:rsid w:val="15F250DF"/>
    <w:rsid w:val="15F35395"/>
    <w:rsid w:val="15F77F8C"/>
    <w:rsid w:val="16053AF1"/>
    <w:rsid w:val="160D7966"/>
    <w:rsid w:val="161672D6"/>
    <w:rsid w:val="16335803"/>
    <w:rsid w:val="1633604B"/>
    <w:rsid w:val="16365169"/>
    <w:rsid w:val="163F67DF"/>
    <w:rsid w:val="164A4609"/>
    <w:rsid w:val="164B037A"/>
    <w:rsid w:val="164F1BD6"/>
    <w:rsid w:val="165916AA"/>
    <w:rsid w:val="1659625E"/>
    <w:rsid w:val="16596D58"/>
    <w:rsid w:val="166B0AFE"/>
    <w:rsid w:val="166F0E0C"/>
    <w:rsid w:val="16755FAF"/>
    <w:rsid w:val="167A5AB7"/>
    <w:rsid w:val="16867800"/>
    <w:rsid w:val="16893C88"/>
    <w:rsid w:val="168B753F"/>
    <w:rsid w:val="169556B0"/>
    <w:rsid w:val="16A22220"/>
    <w:rsid w:val="16AB4A01"/>
    <w:rsid w:val="16C96D7D"/>
    <w:rsid w:val="16D62CF8"/>
    <w:rsid w:val="16DC62F6"/>
    <w:rsid w:val="16F7709F"/>
    <w:rsid w:val="16F969DB"/>
    <w:rsid w:val="17032F48"/>
    <w:rsid w:val="170B670F"/>
    <w:rsid w:val="170C5D38"/>
    <w:rsid w:val="170E19D2"/>
    <w:rsid w:val="1723380C"/>
    <w:rsid w:val="1733456F"/>
    <w:rsid w:val="17412155"/>
    <w:rsid w:val="17560404"/>
    <w:rsid w:val="17574A29"/>
    <w:rsid w:val="177C3F5A"/>
    <w:rsid w:val="17884203"/>
    <w:rsid w:val="179356B0"/>
    <w:rsid w:val="17B2462D"/>
    <w:rsid w:val="17B374D2"/>
    <w:rsid w:val="17C07725"/>
    <w:rsid w:val="17CD000B"/>
    <w:rsid w:val="17D2179B"/>
    <w:rsid w:val="17D81ED7"/>
    <w:rsid w:val="17E70A1A"/>
    <w:rsid w:val="17F5409B"/>
    <w:rsid w:val="17F730B7"/>
    <w:rsid w:val="18026C7F"/>
    <w:rsid w:val="18046E47"/>
    <w:rsid w:val="180828EA"/>
    <w:rsid w:val="18095209"/>
    <w:rsid w:val="1823219C"/>
    <w:rsid w:val="18283386"/>
    <w:rsid w:val="183C6202"/>
    <w:rsid w:val="18423A8C"/>
    <w:rsid w:val="185C0435"/>
    <w:rsid w:val="18647317"/>
    <w:rsid w:val="186F6AE2"/>
    <w:rsid w:val="18707171"/>
    <w:rsid w:val="18763CB0"/>
    <w:rsid w:val="188432FC"/>
    <w:rsid w:val="188B3FAB"/>
    <w:rsid w:val="188C54E8"/>
    <w:rsid w:val="189B4117"/>
    <w:rsid w:val="18A312F5"/>
    <w:rsid w:val="18A46D85"/>
    <w:rsid w:val="18AC32DE"/>
    <w:rsid w:val="18B01839"/>
    <w:rsid w:val="18B12E63"/>
    <w:rsid w:val="18B57E8E"/>
    <w:rsid w:val="18C30476"/>
    <w:rsid w:val="18CB084B"/>
    <w:rsid w:val="18DF39A8"/>
    <w:rsid w:val="18E20D53"/>
    <w:rsid w:val="18E6739D"/>
    <w:rsid w:val="18E73DF2"/>
    <w:rsid w:val="18F32BB1"/>
    <w:rsid w:val="18F80BD4"/>
    <w:rsid w:val="18F84666"/>
    <w:rsid w:val="19060EC1"/>
    <w:rsid w:val="19213107"/>
    <w:rsid w:val="192E43BC"/>
    <w:rsid w:val="19326E77"/>
    <w:rsid w:val="194145A5"/>
    <w:rsid w:val="19425C10"/>
    <w:rsid w:val="195327C0"/>
    <w:rsid w:val="196C749E"/>
    <w:rsid w:val="197E67D3"/>
    <w:rsid w:val="19831126"/>
    <w:rsid w:val="19957A1E"/>
    <w:rsid w:val="1996146A"/>
    <w:rsid w:val="19AC5BAE"/>
    <w:rsid w:val="19C91205"/>
    <w:rsid w:val="19F54655"/>
    <w:rsid w:val="19FA7004"/>
    <w:rsid w:val="1A0C0B39"/>
    <w:rsid w:val="1A1D0BAD"/>
    <w:rsid w:val="1A20002B"/>
    <w:rsid w:val="1A202464"/>
    <w:rsid w:val="1A211D5E"/>
    <w:rsid w:val="1A281080"/>
    <w:rsid w:val="1A2A49D5"/>
    <w:rsid w:val="1A310B82"/>
    <w:rsid w:val="1A3167A7"/>
    <w:rsid w:val="1A3E7639"/>
    <w:rsid w:val="1A4268EB"/>
    <w:rsid w:val="1A4C59BC"/>
    <w:rsid w:val="1A72470C"/>
    <w:rsid w:val="1A7E3697"/>
    <w:rsid w:val="1A83598B"/>
    <w:rsid w:val="1A8B0436"/>
    <w:rsid w:val="1A9433BA"/>
    <w:rsid w:val="1AA2738A"/>
    <w:rsid w:val="1AA822FA"/>
    <w:rsid w:val="1AB5371D"/>
    <w:rsid w:val="1AB556B6"/>
    <w:rsid w:val="1ABB4B98"/>
    <w:rsid w:val="1AD01DA7"/>
    <w:rsid w:val="1AD70E60"/>
    <w:rsid w:val="1AD75236"/>
    <w:rsid w:val="1AD93019"/>
    <w:rsid w:val="1ADC4DC3"/>
    <w:rsid w:val="1AF30AA9"/>
    <w:rsid w:val="1B0874E2"/>
    <w:rsid w:val="1B2D779D"/>
    <w:rsid w:val="1B39458C"/>
    <w:rsid w:val="1B396A1A"/>
    <w:rsid w:val="1B490950"/>
    <w:rsid w:val="1B5D0D89"/>
    <w:rsid w:val="1B6A35DB"/>
    <w:rsid w:val="1B6A60FA"/>
    <w:rsid w:val="1B724FAE"/>
    <w:rsid w:val="1B782C3F"/>
    <w:rsid w:val="1B7D7C38"/>
    <w:rsid w:val="1B8A7FBC"/>
    <w:rsid w:val="1B9423A4"/>
    <w:rsid w:val="1BA50FCC"/>
    <w:rsid w:val="1BA9250B"/>
    <w:rsid w:val="1BAF77A5"/>
    <w:rsid w:val="1BB719B2"/>
    <w:rsid w:val="1BBB2CBB"/>
    <w:rsid w:val="1BBC7041"/>
    <w:rsid w:val="1BC06BF9"/>
    <w:rsid w:val="1BC449CF"/>
    <w:rsid w:val="1BCA5234"/>
    <w:rsid w:val="1BDA7F06"/>
    <w:rsid w:val="1BEA1165"/>
    <w:rsid w:val="1BED0AD9"/>
    <w:rsid w:val="1BF520EC"/>
    <w:rsid w:val="1C167B0B"/>
    <w:rsid w:val="1C1A20C8"/>
    <w:rsid w:val="1C202CA7"/>
    <w:rsid w:val="1C2771EF"/>
    <w:rsid w:val="1C401C28"/>
    <w:rsid w:val="1C4667B9"/>
    <w:rsid w:val="1C6243A3"/>
    <w:rsid w:val="1C7865F4"/>
    <w:rsid w:val="1C797C46"/>
    <w:rsid w:val="1C7E350E"/>
    <w:rsid w:val="1C7E734D"/>
    <w:rsid w:val="1C8454F9"/>
    <w:rsid w:val="1C954279"/>
    <w:rsid w:val="1CA51B07"/>
    <w:rsid w:val="1CB415D1"/>
    <w:rsid w:val="1CBC6385"/>
    <w:rsid w:val="1CBD2332"/>
    <w:rsid w:val="1CC7091E"/>
    <w:rsid w:val="1CCB392B"/>
    <w:rsid w:val="1CE14E51"/>
    <w:rsid w:val="1CE32E87"/>
    <w:rsid w:val="1CF56275"/>
    <w:rsid w:val="1CF86CEC"/>
    <w:rsid w:val="1CFB5568"/>
    <w:rsid w:val="1D202CCC"/>
    <w:rsid w:val="1D226B51"/>
    <w:rsid w:val="1D253B83"/>
    <w:rsid w:val="1D2B7B0B"/>
    <w:rsid w:val="1D33733A"/>
    <w:rsid w:val="1D370DB7"/>
    <w:rsid w:val="1D387DEA"/>
    <w:rsid w:val="1D3A6321"/>
    <w:rsid w:val="1D4E2A7B"/>
    <w:rsid w:val="1D5A5F8D"/>
    <w:rsid w:val="1D753D60"/>
    <w:rsid w:val="1D917AB3"/>
    <w:rsid w:val="1DA52FDB"/>
    <w:rsid w:val="1DB064E6"/>
    <w:rsid w:val="1DB827E5"/>
    <w:rsid w:val="1DDB7295"/>
    <w:rsid w:val="1DE351BB"/>
    <w:rsid w:val="1DF84BBF"/>
    <w:rsid w:val="1DF87C16"/>
    <w:rsid w:val="1DFE7449"/>
    <w:rsid w:val="1E0C08E5"/>
    <w:rsid w:val="1E2F362A"/>
    <w:rsid w:val="1E351288"/>
    <w:rsid w:val="1E377E8A"/>
    <w:rsid w:val="1E4A36CA"/>
    <w:rsid w:val="1E560BB7"/>
    <w:rsid w:val="1E682698"/>
    <w:rsid w:val="1E725C5C"/>
    <w:rsid w:val="1E7E4039"/>
    <w:rsid w:val="1E842039"/>
    <w:rsid w:val="1E85149C"/>
    <w:rsid w:val="1E8E345A"/>
    <w:rsid w:val="1E901FEE"/>
    <w:rsid w:val="1E9442E7"/>
    <w:rsid w:val="1E994219"/>
    <w:rsid w:val="1EA078AE"/>
    <w:rsid w:val="1EA45EC1"/>
    <w:rsid w:val="1EB40283"/>
    <w:rsid w:val="1ECE699F"/>
    <w:rsid w:val="1ED02528"/>
    <w:rsid w:val="1ED45CAE"/>
    <w:rsid w:val="1EF80AC2"/>
    <w:rsid w:val="1F424DC2"/>
    <w:rsid w:val="1F4A49DF"/>
    <w:rsid w:val="1F59199D"/>
    <w:rsid w:val="1F6669AD"/>
    <w:rsid w:val="1F684DF5"/>
    <w:rsid w:val="1F7E0DBA"/>
    <w:rsid w:val="1F9C0838"/>
    <w:rsid w:val="1FAD03A2"/>
    <w:rsid w:val="1FB05B86"/>
    <w:rsid w:val="1FB63256"/>
    <w:rsid w:val="1FB738D7"/>
    <w:rsid w:val="1FC55FFD"/>
    <w:rsid w:val="1FC619C3"/>
    <w:rsid w:val="1FCF29CF"/>
    <w:rsid w:val="1FF0410F"/>
    <w:rsid w:val="1FF34102"/>
    <w:rsid w:val="200E2178"/>
    <w:rsid w:val="20102412"/>
    <w:rsid w:val="20210770"/>
    <w:rsid w:val="20307817"/>
    <w:rsid w:val="20332076"/>
    <w:rsid w:val="20360CA0"/>
    <w:rsid w:val="204228BF"/>
    <w:rsid w:val="20614265"/>
    <w:rsid w:val="20683FDF"/>
    <w:rsid w:val="2091237A"/>
    <w:rsid w:val="2097158A"/>
    <w:rsid w:val="209C0EB3"/>
    <w:rsid w:val="20A07A3E"/>
    <w:rsid w:val="20A6660B"/>
    <w:rsid w:val="20A7119D"/>
    <w:rsid w:val="20AA51EA"/>
    <w:rsid w:val="20B147CB"/>
    <w:rsid w:val="20B77808"/>
    <w:rsid w:val="20BB11A5"/>
    <w:rsid w:val="20C22534"/>
    <w:rsid w:val="20C26B79"/>
    <w:rsid w:val="20C90C8F"/>
    <w:rsid w:val="20CA13E8"/>
    <w:rsid w:val="20CC3B78"/>
    <w:rsid w:val="20E52835"/>
    <w:rsid w:val="21013D59"/>
    <w:rsid w:val="21175089"/>
    <w:rsid w:val="211B1C44"/>
    <w:rsid w:val="211B39F2"/>
    <w:rsid w:val="211E5403"/>
    <w:rsid w:val="2130504F"/>
    <w:rsid w:val="21321E93"/>
    <w:rsid w:val="21382F0C"/>
    <w:rsid w:val="214106E3"/>
    <w:rsid w:val="214967B1"/>
    <w:rsid w:val="214A05AE"/>
    <w:rsid w:val="214B28B3"/>
    <w:rsid w:val="215E2C87"/>
    <w:rsid w:val="216800C8"/>
    <w:rsid w:val="216B68D1"/>
    <w:rsid w:val="21776EE9"/>
    <w:rsid w:val="217B3E84"/>
    <w:rsid w:val="217B6C76"/>
    <w:rsid w:val="218108F4"/>
    <w:rsid w:val="218D4CC7"/>
    <w:rsid w:val="21934972"/>
    <w:rsid w:val="21997739"/>
    <w:rsid w:val="21CE76F6"/>
    <w:rsid w:val="21DB4941"/>
    <w:rsid w:val="21DE7C36"/>
    <w:rsid w:val="21DF3A01"/>
    <w:rsid w:val="21E257BE"/>
    <w:rsid w:val="21F25BFC"/>
    <w:rsid w:val="220A5EF5"/>
    <w:rsid w:val="220F3C1A"/>
    <w:rsid w:val="22197D89"/>
    <w:rsid w:val="221E6F53"/>
    <w:rsid w:val="22313D2D"/>
    <w:rsid w:val="22333947"/>
    <w:rsid w:val="223E5BEA"/>
    <w:rsid w:val="22405E06"/>
    <w:rsid w:val="224D398A"/>
    <w:rsid w:val="224E2203"/>
    <w:rsid w:val="22585F0F"/>
    <w:rsid w:val="225F0503"/>
    <w:rsid w:val="226B5CC4"/>
    <w:rsid w:val="226D7641"/>
    <w:rsid w:val="22717890"/>
    <w:rsid w:val="2288155B"/>
    <w:rsid w:val="228B0CE6"/>
    <w:rsid w:val="22941CAE"/>
    <w:rsid w:val="22965A26"/>
    <w:rsid w:val="229C5EDB"/>
    <w:rsid w:val="229E2B2D"/>
    <w:rsid w:val="229F2CD5"/>
    <w:rsid w:val="22AB3A42"/>
    <w:rsid w:val="22AF2482"/>
    <w:rsid w:val="22B44D35"/>
    <w:rsid w:val="22B8500B"/>
    <w:rsid w:val="22CB52CD"/>
    <w:rsid w:val="22D52DCF"/>
    <w:rsid w:val="22F64717"/>
    <w:rsid w:val="230F3C1C"/>
    <w:rsid w:val="23173330"/>
    <w:rsid w:val="23241284"/>
    <w:rsid w:val="23287AA7"/>
    <w:rsid w:val="23305F0F"/>
    <w:rsid w:val="23357659"/>
    <w:rsid w:val="233905CD"/>
    <w:rsid w:val="235718E1"/>
    <w:rsid w:val="23616034"/>
    <w:rsid w:val="23694959"/>
    <w:rsid w:val="236C4F12"/>
    <w:rsid w:val="237E4C0E"/>
    <w:rsid w:val="23925F3C"/>
    <w:rsid w:val="239B7E76"/>
    <w:rsid w:val="23A4229C"/>
    <w:rsid w:val="23A80914"/>
    <w:rsid w:val="23AE55A9"/>
    <w:rsid w:val="23B118CE"/>
    <w:rsid w:val="23B6003B"/>
    <w:rsid w:val="23B80D83"/>
    <w:rsid w:val="23C91E2B"/>
    <w:rsid w:val="23D537D0"/>
    <w:rsid w:val="23E6337C"/>
    <w:rsid w:val="23F21506"/>
    <w:rsid w:val="23F36F4D"/>
    <w:rsid w:val="23F46D82"/>
    <w:rsid w:val="24034D8D"/>
    <w:rsid w:val="241B1B9D"/>
    <w:rsid w:val="24296431"/>
    <w:rsid w:val="24316E6F"/>
    <w:rsid w:val="24340869"/>
    <w:rsid w:val="24425E0D"/>
    <w:rsid w:val="24577437"/>
    <w:rsid w:val="245C3B55"/>
    <w:rsid w:val="246117FE"/>
    <w:rsid w:val="24631FE8"/>
    <w:rsid w:val="24680378"/>
    <w:rsid w:val="246F2E99"/>
    <w:rsid w:val="246F652F"/>
    <w:rsid w:val="24885273"/>
    <w:rsid w:val="24913210"/>
    <w:rsid w:val="249B7324"/>
    <w:rsid w:val="24BB79C6"/>
    <w:rsid w:val="24C8071E"/>
    <w:rsid w:val="24C91FF8"/>
    <w:rsid w:val="24D01D21"/>
    <w:rsid w:val="24D22D5D"/>
    <w:rsid w:val="24EA59AA"/>
    <w:rsid w:val="24FE13C2"/>
    <w:rsid w:val="25070E5D"/>
    <w:rsid w:val="251B6945"/>
    <w:rsid w:val="251F5695"/>
    <w:rsid w:val="252140E8"/>
    <w:rsid w:val="25230953"/>
    <w:rsid w:val="252C0FEC"/>
    <w:rsid w:val="254870C0"/>
    <w:rsid w:val="254A4A2E"/>
    <w:rsid w:val="25551B8C"/>
    <w:rsid w:val="2555250E"/>
    <w:rsid w:val="25595001"/>
    <w:rsid w:val="255952AC"/>
    <w:rsid w:val="25657932"/>
    <w:rsid w:val="25661A5A"/>
    <w:rsid w:val="25690ABE"/>
    <w:rsid w:val="2584425C"/>
    <w:rsid w:val="25996888"/>
    <w:rsid w:val="259B6168"/>
    <w:rsid w:val="259F79AE"/>
    <w:rsid w:val="25A01A43"/>
    <w:rsid w:val="25BF42A8"/>
    <w:rsid w:val="25C962B2"/>
    <w:rsid w:val="25CB4857"/>
    <w:rsid w:val="25CC59DE"/>
    <w:rsid w:val="25D83187"/>
    <w:rsid w:val="25D86356"/>
    <w:rsid w:val="25D907CC"/>
    <w:rsid w:val="25E655C8"/>
    <w:rsid w:val="26045771"/>
    <w:rsid w:val="26196CB2"/>
    <w:rsid w:val="263B7010"/>
    <w:rsid w:val="263C3E80"/>
    <w:rsid w:val="265A6D6B"/>
    <w:rsid w:val="26753D2C"/>
    <w:rsid w:val="267611D3"/>
    <w:rsid w:val="26835127"/>
    <w:rsid w:val="268E4BBA"/>
    <w:rsid w:val="26A050C5"/>
    <w:rsid w:val="26A257DB"/>
    <w:rsid w:val="26B20955"/>
    <w:rsid w:val="26B90F8E"/>
    <w:rsid w:val="26C05A32"/>
    <w:rsid w:val="26C54E27"/>
    <w:rsid w:val="26CC3C07"/>
    <w:rsid w:val="26DE7854"/>
    <w:rsid w:val="26E70BC5"/>
    <w:rsid w:val="26FD0DD8"/>
    <w:rsid w:val="27062C4A"/>
    <w:rsid w:val="27074D3E"/>
    <w:rsid w:val="271116DB"/>
    <w:rsid w:val="27113F6C"/>
    <w:rsid w:val="271251B0"/>
    <w:rsid w:val="271A51DA"/>
    <w:rsid w:val="27207725"/>
    <w:rsid w:val="27254946"/>
    <w:rsid w:val="273870AC"/>
    <w:rsid w:val="274A08FC"/>
    <w:rsid w:val="274C0DA9"/>
    <w:rsid w:val="274C764E"/>
    <w:rsid w:val="2756302F"/>
    <w:rsid w:val="276026EB"/>
    <w:rsid w:val="276250D7"/>
    <w:rsid w:val="27632DDC"/>
    <w:rsid w:val="27680188"/>
    <w:rsid w:val="2772471C"/>
    <w:rsid w:val="278664F1"/>
    <w:rsid w:val="2789575F"/>
    <w:rsid w:val="27A74434"/>
    <w:rsid w:val="27AE734E"/>
    <w:rsid w:val="27B23F45"/>
    <w:rsid w:val="27B85561"/>
    <w:rsid w:val="27BC3987"/>
    <w:rsid w:val="27BD611A"/>
    <w:rsid w:val="27C63211"/>
    <w:rsid w:val="27C71330"/>
    <w:rsid w:val="27E269CB"/>
    <w:rsid w:val="27E91A8C"/>
    <w:rsid w:val="27EC7DE5"/>
    <w:rsid w:val="28013A27"/>
    <w:rsid w:val="280D0EB8"/>
    <w:rsid w:val="28126C32"/>
    <w:rsid w:val="2829733C"/>
    <w:rsid w:val="282D1E68"/>
    <w:rsid w:val="283137EF"/>
    <w:rsid w:val="283A32F8"/>
    <w:rsid w:val="28574C9E"/>
    <w:rsid w:val="287439A8"/>
    <w:rsid w:val="28757E8C"/>
    <w:rsid w:val="287823EF"/>
    <w:rsid w:val="287A594C"/>
    <w:rsid w:val="287E1436"/>
    <w:rsid w:val="28864F06"/>
    <w:rsid w:val="288E24C6"/>
    <w:rsid w:val="289567A3"/>
    <w:rsid w:val="28A120BA"/>
    <w:rsid w:val="28A30A63"/>
    <w:rsid w:val="28A526C6"/>
    <w:rsid w:val="28A74DCB"/>
    <w:rsid w:val="28B77749"/>
    <w:rsid w:val="28C73484"/>
    <w:rsid w:val="28D53B72"/>
    <w:rsid w:val="28EF1B17"/>
    <w:rsid w:val="28FE60D3"/>
    <w:rsid w:val="29010E8F"/>
    <w:rsid w:val="29030E83"/>
    <w:rsid w:val="29175D2F"/>
    <w:rsid w:val="291853E7"/>
    <w:rsid w:val="29226060"/>
    <w:rsid w:val="294A3E5A"/>
    <w:rsid w:val="29583A9F"/>
    <w:rsid w:val="29657F00"/>
    <w:rsid w:val="29690D03"/>
    <w:rsid w:val="29702606"/>
    <w:rsid w:val="298B3C64"/>
    <w:rsid w:val="29956E43"/>
    <w:rsid w:val="29982EDF"/>
    <w:rsid w:val="29982FE8"/>
    <w:rsid w:val="299B61C1"/>
    <w:rsid w:val="29A43C12"/>
    <w:rsid w:val="29AA7CF7"/>
    <w:rsid w:val="29B5574C"/>
    <w:rsid w:val="29B8457E"/>
    <w:rsid w:val="29BD744E"/>
    <w:rsid w:val="29C954AC"/>
    <w:rsid w:val="29D43999"/>
    <w:rsid w:val="29D65CF5"/>
    <w:rsid w:val="29E03A2B"/>
    <w:rsid w:val="29EB2AFB"/>
    <w:rsid w:val="2A19034C"/>
    <w:rsid w:val="2A336250"/>
    <w:rsid w:val="2A386EBD"/>
    <w:rsid w:val="2A4C1250"/>
    <w:rsid w:val="2A58670E"/>
    <w:rsid w:val="2A59450E"/>
    <w:rsid w:val="2A5B4E7F"/>
    <w:rsid w:val="2A5D212B"/>
    <w:rsid w:val="2A6E0E4E"/>
    <w:rsid w:val="2A7108CA"/>
    <w:rsid w:val="2A7228D5"/>
    <w:rsid w:val="2A7A6E34"/>
    <w:rsid w:val="2A832D34"/>
    <w:rsid w:val="2A846AAC"/>
    <w:rsid w:val="2A904695"/>
    <w:rsid w:val="2AA0743E"/>
    <w:rsid w:val="2AA147F9"/>
    <w:rsid w:val="2AA50BDA"/>
    <w:rsid w:val="2AAD7DB1"/>
    <w:rsid w:val="2ABA0D7B"/>
    <w:rsid w:val="2AC0397D"/>
    <w:rsid w:val="2AC564FC"/>
    <w:rsid w:val="2ADA4DFF"/>
    <w:rsid w:val="2AE150F8"/>
    <w:rsid w:val="2AF46D91"/>
    <w:rsid w:val="2AF86B85"/>
    <w:rsid w:val="2AFC41F1"/>
    <w:rsid w:val="2B011FE4"/>
    <w:rsid w:val="2B0702E2"/>
    <w:rsid w:val="2B373B1E"/>
    <w:rsid w:val="2B5D39BA"/>
    <w:rsid w:val="2B635D2B"/>
    <w:rsid w:val="2B6D1A08"/>
    <w:rsid w:val="2B753C76"/>
    <w:rsid w:val="2B785630"/>
    <w:rsid w:val="2B793974"/>
    <w:rsid w:val="2B86355C"/>
    <w:rsid w:val="2BA90B57"/>
    <w:rsid w:val="2BB7608B"/>
    <w:rsid w:val="2BC41B44"/>
    <w:rsid w:val="2BCC4805"/>
    <w:rsid w:val="2BCD61B0"/>
    <w:rsid w:val="2BDE14EC"/>
    <w:rsid w:val="2BEA5A56"/>
    <w:rsid w:val="2BF84D8E"/>
    <w:rsid w:val="2BFD08C4"/>
    <w:rsid w:val="2C033ABC"/>
    <w:rsid w:val="2C034AC1"/>
    <w:rsid w:val="2C047B3A"/>
    <w:rsid w:val="2C106849"/>
    <w:rsid w:val="2C1305B1"/>
    <w:rsid w:val="2C1758CF"/>
    <w:rsid w:val="2C1A354E"/>
    <w:rsid w:val="2C1F3B79"/>
    <w:rsid w:val="2C271951"/>
    <w:rsid w:val="2C452B2D"/>
    <w:rsid w:val="2C492C36"/>
    <w:rsid w:val="2C557053"/>
    <w:rsid w:val="2C60237D"/>
    <w:rsid w:val="2C6A57CD"/>
    <w:rsid w:val="2C6D71F8"/>
    <w:rsid w:val="2C6E6FCD"/>
    <w:rsid w:val="2C72135B"/>
    <w:rsid w:val="2C83572D"/>
    <w:rsid w:val="2C8B5E21"/>
    <w:rsid w:val="2C8B6CA4"/>
    <w:rsid w:val="2C8C5A7E"/>
    <w:rsid w:val="2C8D55AD"/>
    <w:rsid w:val="2C9248BA"/>
    <w:rsid w:val="2CB47549"/>
    <w:rsid w:val="2CBE3246"/>
    <w:rsid w:val="2CBF3DCB"/>
    <w:rsid w:val="2CC802D9"/>
    <w:rsid w:val="2CDF4F09"/>
    <w:rsid w:val="2CE27524"/>
    <w:rsid w:val="2CEB0142"/>
    <w:rsid w:val="2CF320D2"/>
    <w:rsid w:val="2CF83F53"/>
    <w:rsid w:val="2D0460BD"/>
    <w:rsid w:val="2D1E33D5"/>
    <w:rsid w:val="2D271B8F"/>
    <w:rsid w:val="2D336006"/>
    <w:rsid w:val="2D4935AD"/>
    <w:rsid w:val="2D5A1981"/>
    <w:rsid w:val="2D6578D6"/>
    <w:rsid w:val="2D8404BB"/>
    <w:rsid w:val="2D8E4DB9"/>
    <w:rsid w:val="2DA26D95"/>
    <w:rsid w:val="2DA413CA"/>
    <w:rsid w:val="2DA56EB7"/>
    <w:rsid w:val="2DBC46A9"/>
    <w:rsid w:val="2DC05192"/>
    <w:rsid w:val="2DD45655"/>
    <w:rsid w:val="2DE668D4"/>
    <w:rsid w:val="2DE805FC"/>
    <w:rsid w:val="2DF53BEC"/>
    <w:rsid w:val="2DF964A0"/>
    <w:rsid w:val="2E095D5C"/>
    <w:rsid w:val="2E0B07D8"/>
    <w:rsid w:val="2E0C6F3E"/>
    <w:rsid w:val="2E0F2B6F"/>
    <w:rsid w:val="2E1977B8"/>
    <w:rsid w:val="2E2200F6"/>
    <w:rsid w:val="2E3C0D78"/>
    <w:rsid w:val="2E411BEF"/>
    <w:rsid w:val="2E516CA5"/>
    <w:rsid w:val="2E570AA3"/>
    <w:rsid w:val="2E594CED"/>
    <w:rsid w:val="2E7B61FD"/>
    <w:rsid w:val="2E7F48C7"/>
    <w:rsid w:val="2E883F4F"/>
    <w:rsid w:val="2E8E7EF9"/>
    <w:rsid w:val="2E9818BC"/>
    <w:rsid w:val="2E995B75"/>
    <w:rsid w:val="2E9A38AB"/>
    <w:rsid w:val="2E9F7ACE"/>
    <w:rsid w:val="2EA035D3"/>
    <w:rsid w:val="2EA8720D"/>
    <w:rsid w:val="2EB00084"/>
    <w:rsid w:val="2EBC0113"/>
    <w:rsid w:val="2EBC74B9"/>
    <w:rsid w:val="2EC15360"/>
    <w:rsid w:val="2EC974E3"/>
    <w:rsid w:val="2ED7075B"/>
    <w:rsid w:val="2EE6562B"/>
    <w:rsid w:val="2EFE397A"/>
    <w:rsid w:val="2F000491"/>
    <w:rsid w:val="2F0050ED"/>
    <w:rsid w:val="2F0322BF"/>
    <w:rsid w:val="2F1D4987"/>
    <w:rsid w:val="2F397E65"/>
    <w:rsid w:val="2F485232"/>
    <w:rsid w:val="2F5000A2"/>
    <w:rsid w:val="2F540C31"/>
    <w:rsid w:val="2F574071"/>
    <w:rsid w:val="2F5E2555"/>
    <w:rsid w:val="2F5E3090"/>
    <w:rsid w:val="2F6B2E0E"/>
    <w:rsid w:val="2F6E14A3"/>
    <w:rsid w:val="2F7C3CDF"/>
    <w:rsid w:val="2F9835CF"/>
    <w:rsid w:val="2FA06751"/>
    <w:rsid w:val="2FAD43AF"/>
    <w:rsid w:val="2FB151D3"/>
    <w:rsid w:val="2FB944E5"/>
    <w:rsid w:val="2FC871E6"/>
    <w:rsid w:val="2FC8743B"/>
    <w:rsid w:val="2FCA4F61"/>
    <w:rsid w:val="2FDC472D"/>
    <w:rsid w:val="2FDE5F50"/>
    <w:rsid w:val="2FE7291C"/>
    <w:rsid w:val="2FEC4EBA"/>
    <w:rsid w:val="2FEE3B1C"/>
    <w:rsid w:val="2FF57EDC"/>
    <w:rsid w:val="300D33B1"/>
    <w:rsid w:val="300E7796"/>
    <w:rsid w:val="301E5143"/>
    <w:rsid w:val="302C3DCE"/>
    <w:rsid w:val="303E1D0E"/>
    <w:rsid w:val="30424964"/>
    <w:rsid w:val="30576568"/>
    <w:rsid w:val="30695D27"/>
    <w:rsid w:val="309537C1"/>
    <w:rsid w:val="309A44F4"/>
    <w:rsid w:val="309C57CB"/>
    <w:rsid w:val="30A309C3"/>
    <w:rsid w:val="30B059A2"/>
    <w:rsid w:val="30B17ECF"/>
    <w:rsid w:val="30B67543"/>
    <w:rsid w:val="30B77036"/>
    <w:rsid w:val="30BA3015"/>
    <w:rsid w:val="310137B1"/>
    <w:rsid w:val="3106476B"/>
    <w:rsid w:val="31102DE7"/>
    <w:rsid w:val="31295F61"/>
    <w:rsid w:val="31323F94"/>
    <w:rsid w:val="313E524F"/>
    <w:rsid w:val="31533F4A"/>
    <w:rsid w:val="3154270A"/>
    <w:rsid w:val="315A64D4"/>
    <w:rsid w:val="31607574"/>
    <w:rsid w:val="31671616"/>
    <w:rsid w:val="317811BB"/>
    <w:rsid w:val="3189428A"/>
    <w:rsid w:val="318D37BB"/>
    <w:rsid w:val="31973A57"/>
    <w:rsid w:val="31983637"/>
    <w:rsid w:val="319B556B"/>
    <w:rsid w:val="31A04336"/>
    <w:rsid w:val="31AE341C"/>
    <w:rsid w:val="31B22405"/>
    <w:rsid w:val="31B30043"/>
    <w:rsid w:val="31B64C69"/>
    <w:rsid w:val="31B82294"/>
    <w:rsid w:val="31BA1F94"/>
    <w:rsid w:val="31BF264E"/>
    <w:rsid w:val="31C262F6"/>
    <w:rsid w:val="31C75D39"/>
    <w:rsid w:val="31D9148B"/>
    <w:rsid w:val="31DA0183"/>
    <w:rsid w:val="31E10BE3"/>
    <w:rsid w:val="31EA1749"/>
    <w:rsid w:val="31FD1227"/>
    <w:rsid w:val="32004457"/>
    <w:rsid w:val="320A243D"/>
    <w:rsid w:val="32144BB9"/>
    <w:rsid w:val="32191252"/>
    <w:rsid w:val="322D5F57"/>
    <w:rsid w:val="32495110"/>
    <w:rsid w:val="324A599E"/>
    <w:rsid w:val="325D07E4"/>
    <w:rsid w:val="32682E98"/>
    <w:rsid w:val="327556FE"/>
    <w:rsid w:val="32884F63"/>
    <w:rsid w:val="328A49FA"/>
    <w:rsid w:val="32A0085F"/>
    <w:rsid w:val="32A12652"/>
    <w:rsid w:val="32B73DE5"/>
    <w:rsid w:val="32BE200C"/>
    <w:rsid w:val="32C56718"/>
    <w:rsid w:val="32CE6B16"/>
    <w:rsid w:val="32E419E9"/>
    <w:rsid w:val="32E905BA"/>
    <w:rsid w:val="32EA5881"/>
    <w:rsid w:val="32ED0BAC"/>
    <w:rsid w:val="32EE71B8"/>
    <w:rsid w:val="32F73699"/>
    <w:rsid w:val="32F75A72"/>
    <w:rsid w:val="33010417"/>
    <w:rsid w:val="330B57AE"/>
    <w:rsid w:val="33160B51"/>
    <w:rsid w:val="33174961"/>
    <w:rsid w:val="33260492"/>
    <w:rsid w:val="332A12B8"/>
    <w:rsid w:val="33304E4D"/>
    <w:rsid w:val="333155AA"/>
    <w:rsid w:val="33323549"/>
    <w:rsid w:val="33444067"/>
    <w:rsid w:val="334D06E6"/>
    <w:rsid w:val="334D3EDF"/>
    <w:rsid w:val="33560AA5"/>
    <w:rsid w:val="336456CD"/>
    <w:rsid w:val="337376BE"/>
    <w:rsid w:val="33A2330C"/>
    <w:rsid w:val="33AA3D46"/>
    <w:rsid w:val="33AA7294"/>
    <w:rsid w:val="33AB4C42"/>
    <w:rsid w:val="33AB50A9"/>
    <w:rsid w:val="33B57D19"/>
    <w:rsid w:val="33C55A7A"/>
    <w:rsid w:val="33EA7F6D"/>
    <w:rsid w:val="33EF0E80"/>
    <w:rsid w:val="33F2465D"/>
    <w:rsid w:val="33F455F9"/>
    <w:rsid w:val="33F92E29"/>
    <w:rsid w:val="34056924"/>
    <w:rsid w:val="340665FE"/>
    <w:rsid w:val="3416284F"/>
    <w:rsid w:val="341A5E32"/>
    <w:rsid w:val="3431735D"/>
    <w:rsid w:val="34360A94"/>
    <w:rsid w:val="34385041"/>
    <w:rsid w:val="34442C19"/>
    <w:rsid w:val="344472CD"/>
    <w:rsid w:val="345327B1"/>
    <w:rsid w:val="345C0152"/>
    <w:rsid w:val="346511A8"/>
    <w:rsid w:val="347A77AC"/>
    <w:rsid w:val="347F27BE"/>
    <w:rsid w:val="34825E5D"/>
    <w:rsid w:val="34877CE8"/>
    <w:rsid w:val="34A769E4"/>
    <w:rsid w:val="34A94D04"/>
    <w:rsid w:val="34B0402D"/>
    <w:rsid w:val="34B9357A"/>
    <w:rsid w:val="34CA38A2"/>
    <w:rsid w:val="34CD29A6"/>
    <w:rsid w:val="34CD7521"/>
    <w:rsid w:val="34CF19A5"/>
    <w:rsid w:val="34D04DC8"/>
    <w:rsid w:val="34EB1C02"/>
    <w:rsid w:val="34EC124D"/>
    <w:rsid w:val="34F55E2F"/>
    <w:rsid w:val="34F713E3"/>
    <w:rsid w:val="3502519D"/>
    <w:rsid w:val="35105594"/>
    <w:rsid w:val="35292FF1"/>
    <w:rsid w:val="35327B80"/>
    <w:rsid w:val="35394C91"/>
    <w:rsid w:val="35515F95"/>
    <w:rsid w:val="35543640"/>
    <w:rsid w:val="3561044A"/>
    <w:rsid w:val="35623B07"/>
    <w:rsid w:val="358636D8"/>
    <w:rsid w:val="359F2ED6"/>
    <w:rsid w:val="35A235B9"/>
    <w:rsid w:val="35A564CA"/>
    <w:rsid w:val="35A61997"/>
    <w:rsid w:val="35A86BDE"/>
    <w:rsid w:val="35B00899"/>
    <w:rsid w:val="35B56676"/>
    <w:rsid w:val="35BF4704"/>
    <w:rsid w:val="35C215F3"/>
    <w:rsid w:val="35D43977"/>
    <w:rsid w:val="35DA4E73"/>
    <w:rsid w:val="35E13599"/>
    <w:rsid w:val="360416D1"/>
    <w:rsid w:val="36043EF2"/>
    <w:rsid w:val="360945C3"/>
    <w:rsid w:val="361F1924"/>
    <w:rsid w:val="36280C33"/>
    <w:rsid w:val="363D550A"/>
    <w:rsid w:val="363F5B8C"/>
    <w:rsid w:val="36411A34"/>
    <w:rsid w:val="36420F4B"/>
    <w:rsid w:val="364C2B74"/>
    <w:rsid w:val="364C34D5"/>
    <w:rsid w:val="3650452F"/>
    <w:rsid w:val="36525B04"/>
    <w:rsid w:val="36543066"/>
    <w:rsid w:val="36552BC1"/>
    <w:rsid w:val="36565AF9"/>
    <w:rsid w:val="365D7E36"/>
    <w:rsid w:val="36743964"/>
    <w:rsid w:val="36760927"/>
    <w:rsid w:val="368C04FF"/>
    <w:rsid w:val="3692120B"/>
    <w:rsid w:val="36935DFC"/>
    <w:rsid w:val="36A6785C"/>
    <w:rsid w:val="36B349A1"/>
    <w:rsid w:val="36C16F69"/>
    <w:rsid w:val="36E8025C"/>
    <w:rsid w:val="36EB13E7"/>
    <w:rsid w:val="36ED061B"/>
    <w:rsid w:val="371D7C59"/>
    <w:rsid w:val="371F2C21"/>
    <w:rsid w:val="37386315"/>
    <w:rsid w:val="373966BF"/>
    <w:rsid w:val="374D5B3F"/>
    <w:rsid w:val="37550392"/>
    <w:rsid w:val="376B6698"/>
    <w:rsid w:val="37791338"/>
    <w:rsid w:val="3784033C"/>
    <w:rsid w:val="37873001"/>
    <w:rsid w:val="37881941"/>
    <w:rsid w:val="37893954"/>
    <w:rsid w:val="37994671"/>
    <w:rsid w:val="37AD19A5"/>
    <w:rsid w:val="37AD4051"/>
    <w:rsid w:val="37AE2C70"/>
    <w:rsid w:val="37AE3D4F"/>
    <w:rsid w:val="37D77088"/>
    <w:rsid w:val="37DC7264"/>
    <w:rsid w:val="37DE75A6"/>
    <w:rsid w:val="37E45736"/>
    <w:rsid w:val="37EF21FA"/>
    <w:rsid w:val="380D1DF8"/>
    <w:rsid w:val="38177104"/>
    <w:rsid w:val="38196A86"/>
    <w:rsid w:val="38343CF8"/>
    <w:rsid w:val="383C1156"/>
    <w:rsid w:val="38511657"/>
    <w:rsid w:val="38573E77"/>
    <w:rsid w:val="387719FE"/>
    <w:rsid w:val="38851852"/>
    <w:rsid w:val="38855EC9"/>
    <w:rsid w:val="388B6152"/>
    <w:rsid w:val="389D76B7"/>
    <w:rsid w:val="38B251EF"/>
    <w:rsid w:val="38B443EF"/>
    <w:rsid w:val="38B94B3B"/>
    <w:rsid w:val="38C4306E"/>
    <w:rsid w:val="38CD6301"/>
    <w:rsid w:val="38D26C34"/>
    <w:rsid w:val="38D52C5C"/>
    <w:rsid w:val="38DF0452"/>
    <w:rsid w:val="38E716F9"/>
    <w:rsid w:val="38EF420E"/>
    <w:rsid w:val="38FB1D5E"/>
    <w:rsid w:val="38FB582C"/>
    <w:rsid w:val="38FF2E1A"/>
    <w:rsid w:val="390013A5"/>
    <w:rsid w:val="390C5C90"/>
    <w:rsid w:val="3915321F"/>
    <w:rsid w:val="3922354B"/>
    <w:rsid w:val="39261DF9"/>
    <w:rsid w:val="39380364"/>
    <w:rsid w:val="394C6803"/>
    <w:rsid w:val="39614166"/>
    <w:rsid w:val="398D796F"/>
    <w:rsid w:val="399145CA"/>
    <w:rsid w:val="3995213C"/>
    <w:rsid w:val="39970FB4"/>
    <w:rsid w:val="399A3A79"/>
    <w:rsid w:val="39A51CE0"/>
    <w:rsid w:val="39A65D00"/>
    <w:rsid w:val="39B027BA"/>
    <w:rsid w:val="39B20F40"/>
    <w:rsid w:val="39B723E4"/>
    <w:rsid w:val="39BC1DBE"/>
    <w:rsid w:val="39C50DE6"/>
    <w:rsid w:val="39CB7A87"/>
    <w:rsid w:val="39E92488"/>
    <w:rsid w:val="39F8091D"/>
    <w:rsid w:val="39FC7488"/>
    <w:rsid w:val="39FD1B8F"/>
    <w:rsid w:val="39FF472A"/>
    <w:rsid w:val="3A011023"/>
    <w:rsid w:val="3A0B3E07"/>
    <w:rsid w:val="3A14138F"/>
    <w:rsid w:val="3A340B0B"/>
    <w:rsid w:val="3A3877A1"/>
    <w:rsid w:val="3A4701AF"/>
    <w:rsid w:val="3A503F45"/>
    <w:rsid w:val="3A527966"/>
    <w:rsid w:val="3A581FA4"/>
    <w:rsid w:val="3A5C08D3"/>
    <w:rsid w:val="3A616393"/>
    <w:rsid w:val="3A6C67A5"/>
    <w:rsid w:val="3AD3124F"/>
    <w:rsid w:val="3ADB199C"/>
    <w:rsid w:val="3ADF6BB1"/>
    <w:rsid w:val="3AF05A2B"/>
    <w:rsid w:val="3AFA227D"/>
    <w:rsid w:val="3B012E6B"/>
    <w:rsid w:val="3B074C1B"/>
    <w:rsid w:val="3B10564F"/>
    <w:rsid w:val="3B173BFD"/>
    <w:rsid w:val="3B1D03BA"/>
    <w:rsid w:val="3B36176B"/>
    <w:rsid w:val="3B387052"/>
    <w:rsid w:val="3B3E4F61"/>
    <w:rsid w:val="3B457FCA"/>
    <w:rsid w:val="3B5A188F"/>
    <w:rsid w:val="3B662BC0"/>
    <w:rsid w:val="3B664C36"/>
    <w:rsid w:val="3B6A75F8"/>
    <w:rsid w:val="3B7D6F6A"/>
    <w:rsid w:val="3B7F30A4"/>
    <w:rsid w:val="3B8D5A02"/>
    <w:rsid w:val="3B9725CA"/>
    <w:rsid w:val="3B9C3F68"/>
    <w:rsid w:val="3BA672A9"/>
    <w:rsid w:val="3BB3668C"/>
    <w:rsid w:val="3BC51E5E"/>
    <w:rsid w:val="3BC81B99"/>
    <w:rsid w:val="3BD176FB"/>
    <w:rsid w:val="3BDA4E48"/>
    <w:rsid w:val="3BE24B60"/>
    <w:rsid w:val="3BEE7627"/>
    <w:rsid w:val="3C005505"/>
    <w:rsid w:val="3C0F3747"/>
    <w:rsid w:val="3C0F6E42"/>
    <w:rsid w:val="3C13580F"/>
    <w:rsid w:val="3C177613"/>
    <w:rsid w:val="3C1A00B5"/>
    <w:rsid w:val="3C2900DB"/>
    <w:rsid w:val="3C2F42C7"/>
    <w:rsid w:val="3C385639"/>
    <w:rsid w:val="3C3A59BA"/>
    <w:rsid w:val="3C434BD1"/>
    <w:rsid w:val="3C4A49AD"/>
    <w:rsid w:val="3C511290"/>
    <w:rsid w:val="3C672C14"/>
    <w:rsid w:val="3C734CC5"/>
    <w:rsid w:val="3C7700E4"/>
    <w:rsid w:val="3C8A61A4"/>
    <w:rsid w:val="3C8D47B1"/>
    <w:rsid w:val="3C8F7316"/>
    <w:rsid w:val="3CA7096C"/>
    <w:rsid w:val="3CAE0A5F"/>
    <w:rsid w:val="3CB61674"/>
    <w:rsid w:val="3CB94393"/>
    <w:rsid w:val="3CBA14E0"/>
    <w:rsid w:val="3CBA4266"/>
    <w:rsid w:val="3CCC056A"/>
    <w:rsid w:val="3CD2281C"/>
    <w:rsid w:val="3CEE1FB3"/>
    <w:rsid w:val="3CF82959"/>
    <w:rsid w:val="3CF8576A"/>
    <w:rsid w:val="3CFF4D03"/>
    <w:rsid w:val="3D011A22"/>
    <w:rsid w:val="3D08650E"/>
    <w:rsid w:val="3D1D679D"/>
    <w:rsid w:val="3D353732"/>
    <w:rsid w:val="3D482113"/>
    <w:rsid w:val="3D5237A1"/>
    <w:rsid w:val="3D695658"/>
    <w:rsid w:val="3D6C1CB7"/>
    <w:rsid w:val="3D7048F2"/>
    <w:rsid w:val="3D74592B"/>
    <w:rsid w:val="3D760D32"/>
    <w:rsid w:val="3D8262BA"/>
    <w:rsid w:val="3D897263"/>
    <w:rsid w:val="3D8C76AB"/>
    <w:rsid w:val="3DA723EA"/>
    <w:rsid w:val="3DC2371B"/>
    <w:rsid w:val="3DD17084"/>
    <w:rsid w:val="3DD45235"/>
    <w:rsid w:val="3DE95026"/>
    <w:rsid w:val="3DEA5B44"/>
    <w:rsid w:val="3DF81119"/>
    <w:rsid w:val="3DFE00AC"/>
    <w:rsid w:val="3E0006CE"/>
    <w:rsid w:val="3E0223A7"/>
    <w:rsid w:val="3E117CD5"/>
    <w:rsid w:val="3E162874"/>
    <w:rsid w:val="3E2823FC"/>
    <w:rsid w:val="3E3667C6"/>
    <w:rsid w:val="3E4501C0"/>
    <w:rsid w:val="3E4E515B"/>
    <w:rsid w:val="3E6BB673"/>
    <w:rsid w:val="3E750542"/>
    <w:rsid w:val="3E8566C7"/>
    <w:rsid w:val="3E8F0CD4"/>
    <w:rsid w:val="3EA411C3"/>
    <w:rsid w:val="3EB97976"/>
    <w:rsid w:val="3EC06511"/>
    <w:rsid w:val="3EC86A2B"/>
    <w:rsid w:val="3ECA3DB3"/>
    <w:rsid w:val="3ECC5C19"/>
    <w:rsid w:val="3ECD49ED"/>
    <w:rsid w:val="3ED02D59"/>
    <w:rsid w:val="3ED16010"/>
    <w:rsid w:val="3ED94336"/>
    <w:rsid w:val="3EDE6AE7"/>
    <w:rsid w:val="3EE43DF4"/>
    <w:rsid w:val="3EEC67C4"/>
    <w:rsid w:val="3EF142B8"/>
    <w:rsid w:val="3EF577E2"/>
    <w:rsid w:val="3EFD5398"/>
    <w:rsid w:val="3F0044FB"/>
    <w:rsid w:val="3F1039ED"/>
    <w:rsid w:val="3F1228ED"/>
    <w:rsid w:val="3F2D2E17"/>
    <w:rsid w:val="3F333A22"/>
    <w:rsid w:val="3F417614"/>
    <w:rsid w:val="3F59568A"/>
    <w:rsid w:val="3F6842F2"/>
    <w:rsid w:val="3F6844BE"/>
    <w:rsid w:val="3F6B4F2C"/>
    <w:rsid w:val="3F77070A"/>
    <w:rsid w:val="3F797999"/>
    <w:rsid w:val="3F827606"/>
    <w:rsid w:val="3F846153"/>
    <w:rsid w:val="3F877B3E"/>
    <w:rsid w:val="3F8E351D"/>
    <w:rsid w:val="3FB97A7C"/>
    <w:rsid w:val="3FBE4111"/>
    <w:rsid w:val="3FC7C282"/>
    <w:rsid w:val="3FDD5EE3"/>
    <w:rsid w:val="3FE200A5"/>
    <w:rsid w:val="3FE54875"/>
    <w:rsid w:val="3FEA4EC1"/>
    <w:rsid w:val="3FF913F8"/>
    <w:rsid w:val="3FF951A1"/>
    <w:rsid w:val="402079EC"/>
    <w:rsid w:val="40230D11"/>
    <w:rsid w:val="40380746"/>
    <w:rsid w:val="403A3A3D"/>
    <w:rsid w:val="40403FAF"/>
    <w:rsid w:val="40465640"/>
    <w:rsid w:val="4061642F"/>
    <w:rsid w:val="406C0EDE"/>
    <w:rsid w:val="406C5052"/>
    <w:rsid w:val="4071077E"/>
    <w:rsid w:val="4075728F"/>
    <w:rsid w:val="40857C93"/>
    <w:rsid w:val="409022B4"/>
    <w:rsid w:val="40986D02"/>
    <w:rsid w:val="40A23CC4"/>
    <w:rsid w:val="40BB2DD0"/>
    <w:rsid w:val="40C07A7D"/>
    <w:rsid w:val="40CA3AF7"/>
    <w:rsid w:val="40D64733"/>
    <w:rsid w:val="40D77348"/>
    <w:rsid w:val="40E0015D"/>
    <w:rsid w:val="40E045E4"/>
    <w:rsid w:val="40E859D9"/>
    <w:rsid w:val="40EA717A"/>
    <w:rsid w:val="40ED7524"/>
    <w:rsid w:val="40F305CF"/>
    <w:rsid w:val="41063807"/>
    <w:rsid w:val="410D5848"/>
    <w:rsid w:val="4121689F"/>
    <w:rsid w:val="41302438"/>
    <w:rsid w:val="41313092"/>
    <w:rsid w:val="4132477C"/>
    <w:rsid w:val="41347F62"/>
    <w:rsid w:val="41373AA9"/>
    <w:rsid w:val="41595548"/>
    <w:rsid w:val="415D4EF9"/>
    <w:rsid w:val="415E01D3"/>
    <w:rsid w:val="416A48C8"/>
    <w:rsid w:val="41765BEF"/>
    <w:rsid w:val="417D7544"/>
    <w:rsid w:val="41836E09"/>
    <w:rsid w:val="418732F8"/>
    <w:rsid w:val="418C02C8"/>
    <w:rsid w:val="41915C07"/>
    <w:rsid w:val="419D25D7"/>
    <w:rsid w:val="419E0E65"/>
    <w:rsid w:val="41BD7E87"/>
    <w:rsid w:val="41CF16CA"/>
    <w:rsid w:val="41DF5A9C"/>
    <w:rsid w:val="41E415CD"/>
    <w:rsid w:val="41F07F56"/>
    <w:rsid w:val="41FA6B62"/>
    <w:rsid w:val="41FC26E4"/>
    <w:rsid w:val="4206132D"/>
    <w:rsid w:val="421A053C"/>
    <w:rsid w:val="421E2360"/>
    <w:rsid w:val="422159F0"/>
    <w:rsid w:val="422E2E99"/>
    <w:rsid w:val="422E73E6"/>
    <w:rsid w:val="42313CAB"/>
    <w:rsid w:val="425E5134"/>
    <w:rsid w:val="427916F6"/>
    <w:rsid w:val="42842DCA"/>
    <w:rsid w:val="428B6F3C"/>
    <w:rsid w:val="428C3511"/>
    <w:rsid w:val="42947140"/>
    <w:rsid w:val="429E6289"/>
    <w:rsid w:val="42BB04D5"/>
    <w:rsid w:val="42BF1F59"/>
    <w:rsid w:val="42C137D3"/>
    <w:rsid w:val="42D431E7"/>
    <w:rsid w:val="42DD3C7C"/>
    <w:rsid w:val="42E06D3F"/>
    <w:rsid w:val="42E47497"/>
    <w:rsid w:val="42EB703C"/>
    <w:rsid w:val="42EC78E6"/>
    <w:rsid w:val="42F13D50"/>
    <w:rsid w:val="42F44809"/>
    <w:rsid w:val="42F6791F"/>
    <w:rsid w:val="43105D77"/>
    <w:rsid w:val="4311783D"/>
    <w:rsid w:val="431A0A7B"/>
    <w:rsid w:val="432604B9"/>
    <w:rsid w:val="434F5A51"/>
    <w:rsid w:val="436F4138"/>
    <w:rsid w:val="4376192C"/>
    <w:rsid w:val="43825D5B"/>
    <w:rsid w:val="43826334"/>
    <w:rsid w:val="438274D6"/>
    <w:rsid w:val="438E4CA0"/>
    <w:rsid w:val="43A63197"/>
    <w:rsid w:val="43AE09CA"/>
    <w:rsid w:val="43CA7F97"/>
    <w:rsid w:val="43D527A2"/>
    <w:rsid w:val="43D877F5"/>
    <w:rsid w:val="43E3619A"/>
    <w:rsid w:val="43E443EC"/>
    <w:rsid w:val="43E5117C"/>
    <w:rsid w:val="43E75C8A"/>
    <w:rsid w:val="43EF46DE"/>
    <w:rsid w:val="440C56F0"/>
    <w:rsid w:val="441F0428"/>
    <w:rsid w:val="44297643"/>
    <w:rsid w:val="44316DCA"/>
    <w:rsid w:val="443609BF"/>
    <w:rsid w:val="4451500F"/>
    <w:rsid w:val="44567BE7"/>
    <w:rsid w:val="44586B88"/>
    <w:rsid w:val="445A043F"/>
    <w:rsid w:val="445A645C"/>
    <w:rsid w:val="445D1C18"/>
    <w:rsid w:val="44686728"/>
    <w:rsid w:val="44692B43"/>
    <w:rsid w:val="448630B3"/>
    <w:rsid w:val="448B156B"/>
    <w:rsid w:val="448D21B3"/>
    <w:rsid w:val="44AD3C60"/>
    <w:rsid w:val="44B46CE9"/>
    <w:rsid w:val="44B622C6"/>
    <w:rsid w:val="44C1122D"/>
    <w:rsid w:val="44C63AF1"/>
    <w:rsid w:val="44CB1108"/>
    <w:rsid w:val="44DB3BAD"/>
    <w:rsid w:val="44EF7556"/>
    <w:rsid w:val="44FE772F"/>
    <w:rsid w:val="45062140"/>
    <w:rsid w:val="45073435"/>
    <w:rsid w:val="45161D33"/>
    <w:rsid w:val="452269D1"/>
    <w:rsid w:val="452913B3"/>
    <w:rsid w:val="454C27BA"/>
    <w:rsid w:val="454E4D92"/>
    <w:rsid w:val="45521D98"/>
    <w:rsid w:val="455519C6"/>
    <w:rsid w:val="459021C4"/>
    <w:rsid w:val="4594599D"/>
    <w:rsid w:val="45982CA1"/>
    <w:rsid w:val="45A603D9"/>
    <w:rsid w:val="45B1654F"/>
    <w:rsid w:val="45C81AEB"/>
    <w:rsid w:val="45D33AEA"/>
    <w:rsid w:val="45D945AF"/>
    <w:rsid w:val="45D9497A"/>
    <w:rsid w:val="45DC6E49"/>
    <w:rsid w:val="45E3750C"/>
    <w:rsid w:val="45E44109"/>
    <w:rsid w:val="45E5444B"/>
    <w:rsid w:val="45E72D80"/>
    <w:rsid w:val="45E73807"/>
    <w:rsid w:val="45F22D41"/>
    <w:rsid w:val="460923E7"/>
    <w:rsid w:val="46267B8D"/>
    <w:rsid w:val="46296CFD"/>
    <w:rsid w:val="462A6302"/>
    <w:rsid w:val="462C075E"/>
    <w:rsid w:val="464E3D9E"/>
    <w:rsid w:val="4672561E"/>
    <w:rsid w:val="46813229"/>
    <w:rsid w:val="46832CE2"/>
    <w:rsid w:val="46886B3E"/>
    <w:rsid w:val="469F5BC1"/>
    <w:rsid w:val="46A86972"/>
    <w:rsid w:val="46B12A0C"/>
    <w:rsid w:val="46B22AFA"/>
    <w:rsid w:val="46B31897"/>
    <w:rsid w:val="46BF4928"/>
    <w:rsid w:val="46C430AB"/>
    <w:rsid w:val="46E75FA1"/>
    <w:rsid w:val="46EB5A91"/>
    <w:rsid w:val="46EE50CD"/>
    <w:rsid w:val="47095803"/>
    <w:rsid w:val="470E0540"/>
    <w:rsid w:val="47141B39"/>
    <w:rsid w:val="47200D37"/>
    <w:rsid w:val="47215D02"/>
    <w:rsid w:val="472D14AC"/>
    <w:rsid w:val="47370ABA"/>
    <w:rsid w:val="473805E5"/>
    <w:rsid w:val="474F47DA"/>
    <w:rsid w:val="475C05A1"/>
    <w:rsid w:val="47621DD1"/>
    <w:rsid w:val="47672A3E"/>
    <w:rsid w:val="47711B0E"/>
    <w:rsid w:val="477B1305"/>
    <w:rsid w:val="4790353E"/>
    <w:rsid w:val="4794500D"/>
    <w:rsid w:val="479536EA"/>
    <w:rsid w:val="4797719D"/>
    <w:rsid w:val="47A002F6"/>
    <w:rsid w:val="47B90B7F"/>
    <w:rsid w:val="47C57F01"/>
    <w:rsid w:val="47CB6D80"/>
    <w:rsid w:val="47DE22C3"/>
    <w:rsid w:val="47E45A99"/>
    <w:rsid w:val="47F907C5"/>
    <w:rsid w:val="47F941DE"/>
    <w:rsid w:val="480C0168"/>
    <w:rsid w:val="480D0453"/>
    <w:rsid w:val="48153C8D"/>
    <w:rsid w:val="48274B6C"/>
    <w:rsid w:val="48310949"/>
    <w:rsid w:val="483551AB"/>
    <w:rsid w:val="483671E0"/>
    <w:rsid w:val="483D22CC"/>
    <w:rsid w:val="486B00BB"/>
    <w:rsid w:val="488127A7"/>
    <w:rsid w:val="48897310"/>
    <w:rsid w:val="488C59FE"/>
    <w:rsid w:val="48991076"/>
    <w:rsid w:val="489B0AD4"/>
    <w:rsid w:val="489C0E7C"/>
    <w:rsid w:val="48AD1119"/>
    <w:rsid w:val="48C22C2E"/>
    <w:rsid w:val="48C5646E"/>
    <w:rsid w:val="48D13C68"/>
    <w:rsid w:val="48D662CD"/>
    <w:rsid w:val="48E15FB7"/>
    <w:rsid w:val="49060960"/>
    <w:rsid w:val="490A36DF"/>
    <w:rsid w:val="490F06E0"/>
    <w:rsid w:val="49112F05"/>
    <w:rsid w:val="49255DFC"/>
    <w:rsid w:val="492C2F96"/>
    <w:rsid w:val="493F20C4"/>
    <w:rsid w:val="49447356"/>
    <w:rsid w:val="494476DB"/>
    <w:rsid w:val="494576F1"/>
    <w:rsid w:val="494C493D"/>
    <w:rsid w:val="494E2350"/>
    <w:rsid w:val="49570857"/>
    <w:rsid w:val="495C287A"/>
    <w:rsid w:val="496B42DA"/>
    <w:rsid w:val="49777D4C"/>
    <w:rsid w:val="49816239"/>
    <w:rsid w:val="49831760"/>
    <w:rsid w:val="498755F1"/>
    <w:rsid w:val="49881965"/>
    <w:rsid w:val="498979C8"/>
    <w:rsid w:val="498F3A3D"/>
    <w:rsid w:val="49A21823"/>
    <w:rsid w:val="49A27191"/>
    <w:rsid w:val="49A642F4"/>
    <w:rsid w:val="49A935D9"/>
    <w:rsid w:val="49C97224"/>
    <w:rsid w:val="49E26DC6"/>
    <w:rsid w:val="49E414B8"/>
    <w:rsid w:val="49ED0C94"/>
    <w:rsid w:val="49FC1D3A"/>
    <w:rsid w:val="49FC288D"/>
    <w:rsid w:val="4A11777F"/>
    <w:rsid w:val="4A161077"/>
    <w:rsid w:val="4A282B58"/>
    <w:rsid w:val="4A317D5F"/>
    <w:rsid w:val="4A4B730C"/>
    <w:rsid w:val="4A4F5B0A"/>
    <w:rsid w:val="4A50523D"/>
    <w:rsid w:val="4A5E0308"/>
    <w:rsid w:val="4A637E0D"/>
    <w:rsid w:val="4A6B6A74"/>
    <w:rsid w:val="4A776CD1"/>
    <w:rsid w:val="4A7E3750"/>
    <w:rsid w:val="4A806DBF"/>
    <w:rsid w:val="4A9E3731"/>
    <w:rsid w:val="4AA002B4"/>
    <w:rsid w:val="4AA065F5"/>
    <w:rsid w:val="4AA246B9"/>
    <w:rsid w:val="4AB23C03"/>
    <w:rsid w:val="4ABD4294"/>
    <w:rsid w:val="4ACA3C0F"/>
    <w:rsid w:val="4ACD23D6"/>
    <w:rsid w:val="4AD15731"/>
    <w:rsid w:val="4AD16930"/>
    <w:rsid w:val="4AD62DA1"/>
    <w:rsid w:val="4AE276BC"/>
    <w:rsid w:val="4AF6508E"/>
    <w:rsid w:val="4B00283F"/>
    <w:rsid w:val="4B0870AC"/>
    <w:rsid w:val="4B0E4511"/>
    <w:rsid w:val="4B127154"/>
    <w:rsid w:val="4B1371CB"/>
    <w:rsid w:val="4B197687"/>
    <w:rsid w:val="4B1C0B28"/>
    <w:rsid w:val="4B242613"/>
    <w:rsid w:val="4B465A2F"/>
    <w:rsid w:val="4B5144C4"/>
    <w:rsid w:val="4B5538D6"/>
    <w:rsid w:val="4B581620"/>
    <w:rsid w:val="4B5A3F7D"/>
    <w:rsid w:val="4B5E121D"/>
    <w:rsid w:val="4B677C32"/>
    <w:rsid w:val="4B88462C"/>
    <w:rsid w:val="4B897671"/>
    <w:rsid w:val="4B982CC0"/>
    <w:rsid w:val="4B985ABC"/>
    <w:rsid w:val="4B9B0EA7"/>
    <w:rsid w:val="4B9C58D4"/>
    <w:rsid w:val="4B9D7435"/>
    <w:rsid w:val="4B9E042B"/>
    <w:rsid w:val="4BB15DD7"/>
    <w:rsid w:val="4BB673BE"/>
    <w:rsid w:val="4BC53B38"/>
    <w:rsid w:val="4BCB40E3"/>
    <w:rsid w:val="4BD72A7F"/>
    <w:rsid w:val="4BE84AD9"/>
    <w:rsid w:val="4BEB3A83"/>
    <w:rsid w:val="4BF43354"/>
    <w:rsid w:val="4BFE4852"/>
    <w:rsid w:val="4BFF4460"/>
    <w:rsid w:val="4C070F38"/>
    <w:rsid w:val="4C1106C3"/>
    <w:rsid w:val="4C19280C"/>
    <w:rsid w:val="4C1D713C"/>
    <w:rsid w:val="4C217FD6"/>
    <w:rsid w:val="4C2E7741"/>
    <w:rsid w:val="4C3E2CC4"/>
    <w:rsid w:val="4C4307E7"/>
    <w:rsid w:val="4C471FD7"/>
    <w:rsid w:val="4C4D5E54"/>
    <w:rsid w:val="4C4E6B2B"/>
    <w:rsid w:val="4C5D6314"/>
    <w:rsid w:val="4C6B25BB"/>
    <w:rsid w:val="4C7B78B7"/>
    <w:rsid w:val="4C8F52A1"/>
    <w:rsid w:val="4C99297E"/>
    <w:rsid w:val="4C9F4318"/>
    <w:rsid w:val="4CA472A7"/>
    <w:rsid w:val="4CA62864"/>
    <w:rsid w:val="4CAA0BC2"/>
    <w:rsid w:val="4CAC32BC"/>
    <w:rsid w:val="4CB437F6"/>
    <w:rsid w:val="4CB52377"/>
    <w:rsid w:val="4CC46FA7"/>
    <w:rsid w:val="4CCF0B8F"/>
    <w:rsid w:val="4CD1167C"/>
    <w:rsid w:val="4CDE3827"/>
    <w:rsid w:val="4CF91D35"/>
    <w:rsid w:val="4CFD2BF9"/>
    <w:rsid w:val="4D034783"/>
    <w:rsid w:val="4D0A751E"/>
    <w:rsid w:val="4D114845"/>
    <w:rsid w:val="4D191AD4"/>
    <w:rsid w:val="4D1A0E7E"/>
    <w:rsid w:val="4D2668B3"/>
    <w:rsid w:val="4D473501"/>
    <w:rsid w:val="4D570277"/>
    <w:rsid w:val="4D595B24"/>
    <w:rsid w:val="4D641BDB"/>
    <w:rsid w:val="4D6D5452"/>
    <w:rsid w:val="4D7D5612"/>
    <w:rsid w:val="4D812938"/>
    <w:rsid w:val="4D852885"/>
    <w:rsid w:val="4D8B1D7C"/>
    <w:rsid w:val="4DA24D1C"/>
    <w:rsid w:val="4DBA0D0F"/>
    <w:rsid w:val="4DBB3186"/>
    <w:rsid w:val="4DC746DC"/>
    <w:rsid w:val="4DD13B44"/>
    <w:rsid w:val="4DD27265"/>
    <w:rsid w:val="4DD752A2"/>
    <w:rsid w:val="4DE624DA"/>
    <w:rsid w:val="4DE66FB2"/>
    <w:rsid w:val="4DE86678"/>
    <w:rsid w:val="4DF2276D"/>
    <w:rsid w:val="4DFC67D6"/>
    <w:rsid w:val="4E0975E7"/>
    <w:rsid w:val="4E0C1A56"/>
    <w:rsid w:val="4E191EAF"/>
    <w:rsid w:val="4E1E674C"/>
    <w:rsid w:val="4E4241EE"/>
    <w:rsid w:val="4E4F1AF9"/>
    <w:rsid w:val="4E524648"/>
    <w:rsid w:val="4E5E2FEC"/>
    <w:rsid w:val="4E664701"/>
    <w:rsid w:val="4E6A4CF1"/>
    <w:rsid w:val="4E6E0343"/>
    <w:rsid w:val="4E6F6FA8"/>
    <w:rsid w:val="4E752D59"/>
    <w:rsid w:val="4E771F3E"/>
    <w:rsid w:val="4E803FA8"/>
    <w:rsid w:val="4E814E30"/>
    <w:rsid w:val="4E8B2588"/>
    <w:rsid w:val="4E9E3C23"/>
    <w:rsid w:val="4EAA2BA6"/>
    <w:rsid w:val="4EC512BE"/>
    <w:rsid w:val="4ECF5C98"/>
    <w:rsid w:val="4EEF578A"/>
    <w:rsid w:val="4EF0515A"/>
    <w:rsid w:val="4EF86F9D"/>
    <w:rsid w:val="4EFA6DC1"/>
    <w:rsid w:val="4F026AD9"/>
    <w:rsid w:val="4F0B2582"/>
    <w:rsid w:val="4F0F2B70"/>
    <w:rsid w:val="4F212A01"/>
    <w:rsid w:val="4F241B17"/>
    <w:rsid w:val="4F257073"/>
    <w:rsid w:val="4F493C9D"/>
    <w:rsid w:val="4F61663F"/>
    <w:rsid w:val="4F617220"/>
    <w:rsid w:val="4F6B6C90"/>
    <w:rsid w:val="4F7A1E4D"/>
    <w:rsid w:val="4F844786"/>
    <w:rsid w:val="4F8B3E56"/>
    <w:rsid w:val="4F8B78F2"/>
    <w:rsid w:val="4F910446"/>
    <w:rsid w:val="4F9A7AF4"/>
    <w:rsid w:val="4F9E7ED6"/>
    <w:rsid w:val="4FA24068"/>
    <w:rsid w:val="4FA87C71"/>
    <w:rsid w:val="4FAD6B06"/>
    <w:rsid w:val="4FD572DE"/>
    <w:rsid w:val="4FF26A8A"/>
    <w:rsid w:val="500B2D00"/>
    <w:rsid w:val="500E2189"/>
    <w:rsid w:val="501C5F4C"/>
    <w:rsid w:val="50242873"/>
    <w:rsid w:val="503B680E"/>
    <w:rsid w:val="50594100"/>
    <w:rsid w:val="50666784"/>
    <w:rsid w:val="5067531C"/>
    <w:rsid w:val="50744D49"/>
    <w:rsid w:val="50794F72"/>
    <w:rsid w:val="507C21F5"/>
    <w:rsid w:val="507D0CA9"/>
    <w:rsid w:val="50852AB2"/>
    <w:rsid w:val="509141B6"/>
    <w:rsid w:val="50974594"/>
    <w:rsid w:val="50AC6F1B"/>
    <w:rsid w:val="50BC224C"/>
    <w:rsid w:val="50BF076D"/>
    <w:rsid w:val="50C11560"/>
    <w:rsid w:val="50C7364E"/>
    <w:rsid w:val="50EB753F"/>
    <w:rsid w:val="50F3057B"/>
    <w:rsid w:val="51033E28"/>
    <w:rsid w:val="51094825"/>
    <w:rsid w:val="51194A6B"/>
    <w:rsid w:val="512460B3"/>
    <w:rsid w:val="512D7670"/>
    <w:rsid w:val="512E7C5E"/>
    <w:rsid w:val="5130772D"/>
    <w:rsid w:val="513D5554"/>
    <w:rsid w:val="51433A26"/>
    <w:rsid w:val="51435AD8"/>
    <w:rsid w:val="514E026B"/>
    <w:rsid w:val="515E027B"/>
    <w:rsid w:val="51644FC7"/>
    <w:rsid w:val="518746DA"/>
    <w:rsid w:val="51A14AB5"/>
    <w:rsid w:val="51B72D2A"/>
    <w:rsid w:val="51BA29E1"/>
    <w:rsid w:val="51BD5213"/>
    <w:rsid w:val="51BF35FD"/>
    <w:rsid w:val="51C8796C"/>
    <w:rsid w:val="51CA1D55"/>
    <w:rsid w:val="51D3518D"/>
    <w:rsid w:val="51D51773"/>
    <w:rsid w:val="51EC7E84"/>
    <w:rsid w:val="51F02ACF"/>
    <w:rsid w:val="51FA7F99"/>
    <w:rsid w:val="52036385"/>
    <w:rsid w:val="520720D4"/>
    <w:rsid w:val="520D307D"/>
    <w:rsid w:val="520E4894"/>
    <w:rsid w:val="52106F7E"/>
    <w:rsid w:val="52124AA4"/>
    <w:rsid w:val="522A551E"/>
    <w:rsid w:val="522F264F"/>
    <w:rsid w:val="523909B7"/>
    <w:rsid w:val="524C35A0"/>
    <w:rsid w:val="525A6760"/>
    <w:rsid w:val="52644A8E"/>
    <w:rsid w:val="52693783"/>
    <w:rsid w:val="526D567F"/>
    <w:rsid w:val="52765DE3"/>
    <w:rsid w:val="52860304"/>
    <w:rsid w:val="528909E8"/>
    <w:rsid w:val="528F0266"/>
    <w:rsid w:val="529C2335"/>
    <w:rsid w:val="52A42843"/>
    <w:rsid w:val="52A44B1D"/>
    <w:rsid w:val="52A606BB"/>
    <w:rsid w:val="52BE70DE"/>
    <w:rsid w:val="52BF2AF6"/>
    <w:rsid w:val="52C67421"/>
    <w:rsid w:val="52D72187"/>
    <w:rsid w:val="52DF6103"/>
    <w:rsid w:val="52E31D12"/>
    <w:rsid w:val="52EE408A"/>
    <w:rsid w:val="52F43DE1"/>
    <w:rsid w:val="52FC482C"/>
    <w:rsid w:val="530410BC"/>
    <w:rsid w:val="530D4BDD"/>
    <w:rsid w:val="53106487"/>
    <w:rsid w:val="532A36C6"/>
    <w:rsid w:val="53395347"/>
    <w:rsid w:val="535B00EA"/>
    <w:rsid w:val="535D7F64"/>
    <w:rsid w:val="536D0B73"/>
    <w:rsid w:val="536E77DF"/>
    <w:rsid w:val="538413C3"/>
    <w:rsid w:val="538542B6"/>
    <w:rsid w:val="53A7310B"/>
    <w:rsid w:val="53AD61E2"/>
    <w:rsid w:val="53AE6E89"/>
    <w:rsid w:val="53BD55C2"/>
    <w:rsid w:val="53BE4E00"/>
    <w:rsid w:val="53C140E5"/>
    <w:rsid w:val="53C20C47"/>
    <w:rsid w:val="53D73D1F"/>
    <w:rsid w:val="53EA12F8"/>
    <w:rsid w:val="53F046E7"/>
    <w:rsid w:val="53FD3203"/>
    <w:rsid w:val="540F471F"/>
    <w:rsid w:val="5416113B"/>
    <w:rsid w:val="541B565F"/>
    <w:rsid w:val="541F2266"/>
    <w:rsid w:val="542B571F"/>
    <w:rsid w:val="54375424"/>
    <w:rsid w:val="54383F56"/>
    <w:rsid w:val="544B4013"/>
    <w:rsid w:val="54511490"/>
    <w:rsid w:val="54567CF8"/>
    <w:rsid w:val="54660A34"/>
    <w:rsid w:val="54684BC5"/>
    <w:rsid w:val="54705FA3"/>
    <w:rsid w:val="54774E08"/>
    <w:rsid w:val="54871C34"/>
    <w:rsid w:val="5492579E"/>
    <w:rsid w:val="54A569C8"/>
    <w:rsid w:val="54A9350D"/>
    <w:rsid w:val="54AE3555"/>
    <w:rsid w:val="54B44F3E"/>
    <w:rsid w:val="54C6239B"/>
    <w:rsid w:val="54CD2C7A"/>
    <w:rsid w:val="54D21FF4"/>
    <w:rsid w:val="54D22C63"/>
    <w:rsid w:val="54D51D92"/>
    <w:rsid w:val="54E33E07"/>
    <w:rsid w:val="54EB509D"/>
    <w:rsid w:val="550020CC"/>
    <w:rsid w:val="55053FB1"/>
    <w:rsid w:val="550F738D"/>
    <w:rsid w:val="55105D67"/>
    <w:rsid w:val="551F2EF6"/>
    <w:rsid w:val="55291717"/>
    <w:rsid w:val="552E42B1"/>
    <w:rsid w:val="552F2073"/>
    <w:rsid w:val="55320D2F"/>
    <w:rsid w:val="5533296C"/>
    <w:rsid w:val="553C0B0B"/>
    <w:rsid w:val="555A34AB"/>
    <w:rsid w:val="555B3708"/>
    <w:rsid w:val="555C1021"/>
    <w:rsid w:val="55650DD4"/>
    <w:rsid w:val="559544A1"/>
    <w:rsid w:val="559D1B18"/>
    <w:rsid w:val="55A73683"/>
    <w:rsid w:val="55A86518"/>
    <w:rsid w:val="55B45E9B"/>
    <w:rsid w:val="55B5218C"/>
    <w:rsid w:val="55BA16AD"/>
    <w:rsid w:val="55BB2305"/>
    <w:rsid w:val="55BC5278"/>
    <w:rsid w:val="55C84E61"/>
    <w:rsid w:val="55CD530D"/>
    <w:rsid w:val="55CF199A"/>
    <w:rsid w:val="55CF2C93"/>
    <w:rsid w:val="55D2103B"/>
    <w:rsid w:val="55E768E8"/>
    <w:rsid w:val="55EE2853"/>
    <w:rsid w:val="55FA0B6B"/>
    <w:rsid w:val="55FF0040"/>
    <w:rsid w:val="560E1DBD"/>
    <w:rsid w:val="56116B96"/>
    <w:rsid w:val="563E5808"/>
    <w:rsid w:val="56487C06"/>
    <w:rsid w:val="564F2FD6"/>
    <w:rsid w:val="564F4A1A"/>
    <w:rsid w:val="56520BF9"/>
    <w:rsid w:val="56574EF1"/>
    <w:rsid w:val="565D364A"/>
    <w:rsid w:val="566400FB"/>
    <w:rsid w:val="566E51D6"/>
    <w:rsid w:val="56775267"/>
    <w:rsid w:val="568B1C5B"/>
    <w:rsid w:val="56931F37"/>
    <w:rsid w:val="56932322"/>
    <w:rsid w:val="569C5EA6"/>
    <w:rsid w:val="569E3EE6"/>
    <w:rsid w:val="56B5513D"/>
    <w:rsid w:val="56BF4844"/>
    <w:rsid w:val="56C87B9D"/>
    <w:rsid w:val="56CB403F"/>
    <w:rsid w:val="56D11496"/>
    <w:rsid w:val="56E270E9"/>
    <w:rsid w:val="57071F4E"/>
    <w:rsid w:val="570D730A"/>
    <w:rsid w:val="571B01F2"/>
    <w:rsid w:val="572D0C7B"/>
    <w:rsid w:val="57342B3C"/>
    <w:rsid w:val="57435475"/>
    <w:rsid w:val="574A4E12"/>
    <w:rsid w:val="574E4E5E"/>
    <w:rsid w:val="57572CCF"/>
    <w:rsid w:val="57710B44"/>
    <w:rsid w:val="57797801"/>
    <w:rsid w:val="577A1F44"/>
    <w:rsid w:val="577C549B"/>
    <w:rsid w:val="57823EDB"/>
    <w:rsid w:val="57971AFC"/>
    <w:rsid w:val="57996E2C"/>
    <w:rsid w:val="57B1418D"/>
    <w:rsid w:val="57B3566A"/>
    <w:rsid w:val="57B83882"/>
    <w:rsid w:val="57B93563"/>
    <w:rsid w:val="57BD0C66"/>
    <w:rsid w:val="57C72719"/>
    <w:rsid w:val="57CE1ADE"/>
    <w:rsid w:val="57D11333"/>
    <w:rsid w:val="57E87254"/>
    <w:rsid w:val="57EC2FBD"/>
    <w:rsid w:val="57F24692"/>
    <w:rsid w:val="57F51934"/>
    <w:rsid w:val="57F9109C"/>
    <w:rsid w:val="57FD0454"/>
    <w:rsid w:val="580526F5"/>
    <w:rsid w:val="580B1B5D"/>
    <w:rsid w:val="580F52DD"/>
    <w:rsid w:val="583D28C6"/>
    <w:rsid w:val="58446D2E"/>
    <w:rsid w:val="58447EEA"/>
    <w:rsid w:val="58560FBA"/>
    <w:rsid w:val="585710E6"/>
    <w:rsid w:val="585B630B"/>
    <w:rsid w:val="58621F05"/>
    <w:rsid w:val="58685263"/>
    <w:rsid w:val="58707502"/>
    <w:rsid w:val="58723FE4"/>
    <w:rsid w:val="587C0C3F"/>
    <w:rsid w:val="5888199F"/>
    <w:rsid w:val="5889510A"/>
    <w:rsid w:val="58A9755A"/>
    <w:rsid w:val="58AB7AD4"/>
    <w:rsid w:val="58AD0DF8"/>
    <w:rsid w:val="58B85631"/>
    <w:rsid w:val="58BD7BC2"/>
    <w:rsid w:val="58C12364"/>
    <w:rsid w:val="58C305A4"/>
    <w:rsid w:val="58CC3FD5"/>
    <w:rsid w:val="58E01304"/>
    <w:rsid w:val="58E312F5"/>
    <w:rsid w:val="58EA6B8E"/>
    <w:rsid w:val="58EB0BCA"/>
    <w:rsid w:val="58F51F77"/>
    <w:rsid w:val="58FA1B64"/>
    <w:rsid w:val="58FC29EF"/>
    <w:rsid w:val="59011144"/>
    <w:rsid w:val="59025B0D"/>
    <w:rsid w:val="59055CCE"/>
    <w:rsid w:val="590E638E"/>
    <w:rsid w:val="59170A87"/>
    <w:rsid w:val="59184160"/>
    <w:rsid w:val="59254E33"/>
    <w:rsid w:val="592D3CE7"/>
    <w:rsid w:val="59335C0C"/>
    <w:rsid w:val="593C6EC8"/>
    <w:rsid w:val="593F4B78"/>
    <w:rsid w:val="59435580"/>
    <w:rsid w:val="59442859"/>
    <w:rsid w:val="59542347"/>
    <w:rsid w:val="5956265F"/>
    <w:rsid w:val="595A36C1"/>
    <w:rsid w:val="595B3C40"/>
    <w:rsid w:val="596C7A31"/>
    <w:rsid w:val="5970339B"/>
    <w:rsid w:val="597C4916"/>
    <w:rsid w:val="598F4F95"/>
    <w:rsid w:val="59904470"/>
    <w:rsid w:val="5999739E"/>
    <w:rsid w:val="59A1284D"/>
    <w:rsid w:val="59A41164"/>
    <w:rsid w:val="59B12B6A"/>
    <w:rsid w:val="59B569AB"/>
    <w:rsid w:val="59C254A5"/>
    <w:rsid w:val="59E06376"/>
    <w:rsid w:val="59E142DC"/>
    <w:rsid w:val="59FF75BE"/>
    <w:rsid w:val="5A0111E2"/>
    <w:rsid w:val="5A0176D1"/>
    <w:rsid w:val="5A1D4EFE"/>
    <w:rsid w:val="5A1F1046"/>
    <w:rsid w:val="5A394566"/>
    <w:rsid w:val="5A3A2204"/>
    <w:rsid w:val="5A427F8C"/>
    <w:rsid w:val="5A472CEC"/>
    <w:rsid w:val="5A666518"/>
    <w:rsid w:val="5A782AA3"/>
    <w:rsid w:val="5A7F24C0"/>
    <w:rsid w:val="5A891532"/>
    <w:rsid w:val="5A97782C"/>
    <w:rsid w:val="5A982B0C"/>
    <w:rsid w:val="5A9B1124"/>
    <w:rsid w:val="5A9E5948"/>
    <w:rsid w:val="5AA669DF"/>
    <w:rsid w:val="5AAC3332"/>
    <w:rsid w:val="5ABB7EBA"/>
    <w:rsid w:val="5ABD5EDB"/>
    <w:rsid w:val="5AC6441F"/>
    <w:rsid w:val="5ACD4C19"/>
    <w:rsid w:val="5AD32AD3"/>
    <w:rsid w:val="5AD61301"/>
    <w:rsid w:val="5ADA0571"/>
    <w:rsid w:val="5AEF6BF7"/>
    <w:rsid w:val="5AF727FF"/>
    <w:rsid w:val="5AFC7E15"/>
    <w:rsid w:val="5AFF59AA"/>
    <w:rsid w:val="5B0C1D95"/>
    <w:rsid w:val="5B0D1838"/>
    <w:rsid w:val="5B161A7B"/>
    <w:rsid w:val="5B1F58B2"/>
    <w:rsid w:val="5B224E28"/>
    <w:rsid w:val="5B28184F"/>
    <w:rsid w:val="5B4C6EFE"/>
    <w:rsid w:val="5B7222F3"/>
    <w:rsid w:val="5B725324"/>
    <w:rsid w:val="5B751975"/>
    <w:rsid w:val="5B755477"/>
    <w:rsid w:val="5B7A74E3"/>
    <w:rsid w:val="5B7F07D5"/>
    <w:rsid w:val="5B826FBC"/>
    <w:rsid w:val="5B8526E3"/>
    <w:rsid w:val="5BB3092C"/>
    <w:rsid w:val="5BB93F58"/>
    <w:rsid w:val="5BBC1352"/>
    <w:rsid w:val="5BBD57F6"/>
    <w:rsid w:val="5BC540D1"/>
    <w:rsid w:val="5BCF7A15"/>
    <w:rsid w:val="5BD743DE"/>
    <w:rsid w:val="5BD74746"/>
    <w:rsid w:val="5BDE576D"/>
    <w:rsid w:val="5BE077E3"/>
    <w:rsid w:val="5BEF797A"/>
    <w:rsid w:val="5BF758DA"/>
    <w:rsid w:val="5BFA5443"/>
    <w:rsid w:val="5C0033F1"/>
    <w:rsid w:val="5C022EEB"/>
    <w:rsid w:val="5C3E030B"/>
    <w:rsid w:val="5C451D6A"/>
    <w:rsid w:val="5C515F3F"/>
    <w:rsid w:val="5C647285"/>
    <w:rsid w:val="5C7A19BD"/>
    <w:rsid w:val="5C7F214A"/>
    <w:rsid w:val="5C8400C2"/>
    <w:rsid w:val="5C853E3A"/>
    <w:rsid w:val="5C89057D"/>
    <w:rsid w:val="5C9A394F"/>
    <w:rsid w:val="5CA249EC"/>
    <w:rsid w:val="5CAC6FC5"/>
    <w:rsid w:val="5CB53A34"/>
    <w:rsid w:val="5CB77667"/>
    <w:rsid w:val="5CB96D6F"/>
    <w:rsid w:val="5CC16D8D"/>
    <w:rsid w:val="5CC95D32"/>
    <w:rsid w:val="5CD03307"/>
    <w:rsid w:val="5CDC179B"/>
    <w:rsid w:val="5CF05758"/>
    <w:rsid w:val="5CF073E9"/>
    <w:rsid w:val="5CFA0384"/>
    <w:rsid w:val="5CFE6E2C"/>
    <w:rsid w:val="5CFF6E54"/>
    <w:rsid w:val="5D0120B0"/>
    <w:rsid w:val="5D0F2892"/>
    <w:rsid w:val="5D1F047E"/>
    <w:rsid w:val="5D26311B"/>
    <w:rsid w:val="5D2B2C34"/>
    <w:rsid w:val="5D3E26E8"/>
    <w:rsid w:val="5D577A94"/>
    <w:rsid w:val="5D697D79"/>
    <w:rsid w:val="5D7520B0"/>
    <w:rsid w:val="5D7D2CD6"/>
    <w:rsid w:val="5D8C2F31"/>
    <w:rsid w:val="5D94650F"/>
    <w:rsid w:val="5D96561B"/>
    <w:rsid w:val="5DA05548"/>
    <w:rsid w:val="5DA4679E"/>
    <w:rsid w:val="5DB03139"/>
    <w:rsid w:val="5DB76275"/>
    <w:rsid w:val="5DC2282B"/>
    <w:rsid w:val="5DD3264E"/>
    <w:rsid w:val="5E041265"/>
    <w:rsid w:val="5E2B7697"/>
    <w:rsid w:val="5E330A47"/>
    <w:rsid w:val="5E3B36FA"/>
    <w:rsid w:val="5E4C0F3D"/>
    <w:rsid w:val="5E4D2A9C"/>
    <w:rsid w:val="5E521E1C"/>
    <w:rsid w:val="5E5571A4"/>
    <w:rsid w:val="5E5576F3"/>
    <w:rsid w:val="5E6D0485"/>
    <w:rsid w:val="5E723EB4"/>
    <w:rsid w:val="5E8720EC"/>
    <w:rsid w:val="5E912F6A"/>
    <w:rsid w:val="5EA23921"/>
    <w:rsid w:val="5EBD58FA"/>
    <w:rsid w:val="5EC46CBD"/>
    <w:rsid w:val="5EC9488F"/>
    <w:rsid w:val="5ECE5F2E"/>
    <w:rsid w:val="5ED12060"/>
    <w:rsid w:val="5EDE5C89"/>
    <w:rsid w:val="5EE64AAF"/>
    <w:rsid w:val="5EE96902"/>
    <w:rsid w:val="5EEB267A"/>
    <w:rsid w:val="5EEF1885"/>
    <w:rsid w:val="5EF47E31"/>
    <w:rsid w:val="5EFB4BF2"/>
    <w:rsid w:val="5F1C441D"/>
    <w:rsid w:val="5F1E58A2"/>
    <w:rsid w:val="5F1F2B83"/>
    <w:rsid w:val="5F215050"/>
    <w:rsid w:val="5F2931A3"/>
    <w:rsid w:val="5F2D4A41"/>
    <w:rsid w:val="5F2E659A"/>
    <w:rsid w:val="5F3E073F"/>
    <w:rsid w:val="5F474BFF"/>
    <w:rsid w:val="5F526781"/>
    <w:rsid w:val="5F623276"/>
    <w:rsid w:val="5F6A0409"/>
    <w:rsid w:val="5F6C2068"/>
    <w:rsid w:val="5F6C31C7"/>
    <w:rsid w:val="5F733EF1"/>
    <w:rsid w:val="5F743B13"/>
    <w:rsid w:val="5F786A3F"/>
    <w:rsid w:val="5F7F46FC"/>
    <w:rsid w:val="5F7FE304"/>
    <w:rsid w:val="5F874FBF"/>
    <w:rsid w:val="5F990328"/>
    <w:rsid w:val="5F9B0D23"/>
    <w:rsid w:val="5F9D4C85"/>
    <w:rsid w:val="5F9F8873"/>
    <w:rsid w:val="5FB51FCB"/>
    <w:rsid w:val="5FC2688A"/>
    <w:rsid w:val="5FDC7CD6"/>
    <w:rsid w:val="5FE04BD5"/>
    <w:rsid w:val="5FE1547F"/>
    <w:rsid w:val="5FEE3BCE"/>
    <w:rsid w:val="600153BE"/>
    <w:rsid w:val="6005151A"/>
    <w:rsid w:val="60094F35"/>
    <w:rsid w:val="600D4CEE"/>
    <w:rsid w:val="60113E2C"/>
    <w:rsid w:val="60116111"/>
    <w:rsid w:val="601609A8"/>
    <w:rsid w:val="602B0783"/>
    <w:rsid w:val="602C7C48"/>
    <w:rsid w:val="6035284E"/>
    <w:rsid w:val="604343F0"/>
    <w:rsid w:val="60437DE9"/>
    <w:rsid w:val="6046318F"/>
    <w:rsid w:val="60463EC6"/>
    <w:rsid w:val="604B6CCB"/>
    <w:rsid w:val="606D70BF"/>
    <w:rsid w:val="6070442A"/>
    <w:rsid w:val="60750165"/>
    <w:rsid w:val="608645B8"/>
    <w:rsid w:val="60A3109B"/>
    <w:rsid w:val="60B9239F"/>
    <w:rsid w:val="60BF5B6D"/>
    <w:rsid w:val="60C645AB"/>
    <w:rsid w:val="60E20DAE"/>
    <w:rsid w:val="60E27E53"/>
    <w:rsid w:val="60E90E3C"/>
    <w:rsid w:val="60F4180C"/>
    <w:rsid w:val="61206F49"/>
    <w:rsid w:val="613D6BAA"/>
    <w:rsid w:val="61410D80"/>
    <w:rsid w:val="61611A0B"/>
    <w:rsid w:val="61621D97"/>
    <w:rsid w:val="6167427F"/>
    <w:rsid w:val="616A3192"/>
    <w:rsid w:val="61812597"/>
    <w:rsid w:val="618755C4"/>
    <w:rsid w:val="61953350"/>
    <w:rsid w:val="619E139C"/>
    <w:rsid w:val="61A644AD"/>
    <w:rsid w:val="61B62B7A"/>
    <w:rsid w:val="61BE5377"/>
    <w:rsid w:val="61D0398A"/>
    <w:rsid w:val="61DE71DE"/>
    <w:rsid w:val="61EA4E6B"/>
    <w:rsid w:val="61EE7897"/>
    <w:rsid w:val="61F05A3D"/>
    <w:rsid w:val="620D33E1"/>
    <w:rsid w:val="621259F7"/>
    <w:rsid w:val="62127C3C"/>
    <w:rsid w:val="622214DA"/>
    <w:rsid w:val="6224730C"/>
    <w:rsid w:val="622567A5"/>
    <w:rsid w:val="622977EA"/>
    <w:rsid w:val="622B010A"/>
    <w:rsid w:val="622C73DE"/>
    <w:rsid w:val="623E0D13"/>
    <w:rsid w:val="624645AC"/>
    <w:rsid w:val="62577D9F"/>
    <w:rsid w:val="625937AE"/>
    <w:rsid w:val="626C7A15"/>
    <w:rsid w:val="626F3F92"/>
    <w:rsid w:val="62757B60"/>
    <w:rsid w:val="6287216F"/>
    <w:rsid w:val="62892A53"/>
    <w:rsid w:val="62935DB1"/>
    <w:rsid w:val="629831F9"/>
    <w:rsid w:val="62BC5DE9"/>
    <w:rsid w:val="62BD2580"/>
    <w:rsid w:val="62C10FD0"/>
    <w:rsid w:val="62C76F5B"/>
    <w:rsid w:val="62E41E7C"/>
    <w:rsid w:val="62E8190E"/>
    <w:rsid w:val="62EC74FF"/>
    <w:rsid w:val="62EE30D2"/>
    <w:rsid w:val="62F06650"/>
    <w:rsid w:val="62FA10DE"/>
    <w:rsid w:val="62FC541B"/>
    <w:rsid w:val="630006BE"/>
    <w:rsid w:val="6300634C"/>
    <w:rsid w:val="630E03BD"/>
    <w:rsid w:val="63113864"/>
    <w:rsid w:val="63114765"/>
    <w:rsid w:val="631550FC"/>
    <w:rsid w:val="63382085"/>
    <w:rsid w:val="63422B24"/>
    <w:rsid w:val="63471E94"/>
    <w:rsid w:val="636607F7"/>
    <w:rsid w:val="636642EF"/>
    <w:rsid w:val="636965D4"/>
    <w:rsid w:val="637029F7"/>
    <w:rsid w:val="63726B6C"/>
    <w:rsid w:val="637B7A06"/>
    <w:rsid w:val="63835232"/>
    <w:rsid w:val="63965A29"/>
    <w:rsid w:val="63A044C9"/>
    <w:rsid w:val="63A50EBA"/>
    <w:rsid w:val="63AE2B07"/>
    <w:rsid w:val="63AE435F"/>
    <w:rsid w:val="63B14BC4"/>
    <w:rsid w:val="63BB7AF9"/>
    <w:rsid w:val="63BD1501"/>
    <w:rsid w:val="63F041DC"/>
    <w:rsid w:val="63F86267"/>
    <w:rsid w:val="63FF1F39"/>
    <w:rsid w:val="640E3B92"/>
    <w:rsid w:val="643D2511"/>
    <w:rsid w:val="644A5D7B"/>
    <w:rsid w:val="64561C64"/>
    <w:rsid w:val="647905D1"/>
    <w:rsid w:val="647A3430"/>
    <w:rsid w:val="647B624F"/>
    <w:rsid w:val="648B159F"/>
    <w:rsid w:val="64A13515"/>
    <w:rsid w:val="64A137DB"/>
    <w:rsid w:val="64A21A2D"/>
    <w:rsid w:val="64BA302E"/>
    <w:rsid w:val="64BB2F3B"/>
    <w:rsid w:val="64BF61CB"/>
    <w:rsid w:val="64C93DE9"/>
    <w:rsid w:val="64DA6181"/>
    <w:rsid w:val="64DF2A44"/>
    <w:rsid w:val="64FA5B55"/>
    <w:rsid w:val="650C50F9"/>
    <w:rsid w:val="651C0482"/>
    <w:rsid w:val="653463FD"/>
    <w:rsid w:val="653D1756"/>
    <w:rsid w:val="656B7BBE"/>
    <w:rsid w:val="657E46FF"/>
    <w:rsid w:val="658E1E84"/>
    <w:rsid w:val="65972077"/>
    <w:rsid w:val="659768EE"/>
    <w:rsid w:val="65BF551B"/>
    <w:rsid w:val="65C437BF"/>
    <w:rsid w:val="65C601F6"/>
    <w:rsid w:val="65C72292"/>
    <w:rsid w:val="65D117B7"/>
    <w:rsid w:val="65D200F0"/>
    <w:rsid w:val="65DC5DBF"/>
    <w:rsid w:val="65E93A96"/>
    <w:rsid w:val="65E971E8"/>
    <w:rsid w:val="65F1617E"/>
    <w:rsid w:val="65F5223C"/>
    <w:rsid w:val="660245B8"/>
    <w:rsid w:val="661829F8"/>
    <w:rsid w:val="661B4BCF"/>
    <w:rsid w:val="66482160"/>
    <w:rsid w:val="665C4E79"/>
    <w:rsid w:val="66717E3F"/>
    <w:rsid w:val="66802ADE"/>
    <w:rsid w:val="66821FD7"/>
    <w:rsid w:val="66975803"/>
    <w:rsid w:val="66B132A5"/>
    <w:rsid w:val="66C306A0"/>
    <w:rsid w:val="66D52CAC"/>
    <w:rsid w:val="66E717C1"/>
    <w:rsid w:val="66E757AC"/>
    <w:rsid w:val="66EE2A8F"/>
    <w:rsid w:val="66F276B6"/>
    <w:rsid w:val="66FB2125"/>
    <w:rsid w:val="672A5A8A"/>
    <w:rsid w:val="672B6BEF"/>
    <w:rsid w:val="672F287A"/>
    <w:rsid w:val="67340A23"/>
    <w:rsid w:val="674D79C1"/>
    <w:rsid w:val="67574DE2"/>
    <w:rsid w:val="675F6FD0"/>
    <w:rsid w:val="67684F26"/>
    <w:rsid w:val="67702C31"/>
    <w:rsid w:val="67717EA6"/>
    <w:rsid w:val="67753D45"/>
    <w:rsid w:val="677E7AB0"/>
    <w:rsid w:val="678C66BD"/>
    <w:rsid w:val="67900682"/>
    <w:rsid w:val="67A55390"/>
    <w:rsid w:val="67BF6452"/>
    <w:rsid w:val="67CB0668"/>
    <w:rsid w:val="67D03E67"/>
    <w:rsid w:val="67D33548"/>
    <w:rsid w:val="67D7565F"/>
    <w:rsid w:val="67E633C8"/>
    <w:rsid w:val="67E86292"/>
    <w:rsid w:val="67F72C98"/>
    <w:rsid w:val="68174EC4"/>
    <w:rsid w:val="681B3A82"/>
    <w:rsid w:val="683706DE"/>
    <w:rsid w:val="68450B54"/>
    <w:rsid w:val="68475BAD"/>
    <w:rsid w:val="684B5F38"/>
    <w:rsid w:val="6853226F"/>
    <w:rsid w:val="68534AC8"/>
    <w:rsid w:val="68557724"/>
    <w:rsid w:val="685A43CD"/>
    <w:rsid w:val="685D0462"/>
    <w:rsid w:val="686B0388"/>
    <w:rsid w:val="687B613E"/>
    <w:rsid w:val="68817BAC"/>
    <w:rsid w:val="68830BF5"/>
    <w:rsid w:val="689D7887"/>
    <w:rsid w:val="689F7918"/>
    <w:rsid w:val="68B411EB"/>
    <w:rsid w:val="68B42E9C"/>
    <w:rsid w:val="68BF7171"/>
    <w:rsid w:val="68C53CF8"/>
    <w:rsid w:val="68CE059F"/>
    <w:rsid w:val="68DE3B49"/>
    <w:rsid w:val="68DF04D4"/>
    <w:rsid w:val="68E02C65"/>
    <w:rsid w:val="68E97798"/>
    <w:rsid w:val="68F7727E"/>
    <w:rsid w:val="68FF3B24"/>
    <w:rsid w:val="69025553"/>
    <w:rsid w:val="69032A8F"/>
    <w:rsid w:val="690E397F"/>
    <w:rsid w:val="691471F2"/>
    <w:rsid w:val="69160112"/>
    <w:rsid w:val="69161412"/>
    <w:rsid w:val="691B0000"/>
    <w:rsid w:val="691B0859"/>
    <w:rsid w:val="693B477C"/>
    <w:rsid w:val="69462667"/>
    <w:rsid w:val="69694AED"/>
    <w:rsid w:val="696C6AE0"/>
    <w:rsid w:val="69763488"/>
    <w:rsid w:val="697C0ADD"/>
    <w:rsid w:val="69884761"/>
    <w:rsid w:val="699613C0"/>
    <w:rsid w:val="699F0AC7"/>
    <w:rsid w:val="69AC3CF3"/>
    <w:rsid w:val="69B25257"/>
    <w:rsid w:val="69C1601A"/>
    <w:rsid w:val="69D02B99"/>
    <w:rsid w:val="69D34437"/>
    <w:rsid w:val="69DD3507"/>
    <w:rsid w:val="69DE523F"/>
    <w:rsid w:val="69E45415"/>
    <w:rsid w:val="69EF0BEC"/>
    <w:rsid w:val="69F467C3"/>
    <w:rsid w:val="69F56FAC"/>
    <w:rsid w:val="69F878CA"/>
    <w:rsid w:val="69FD21F7"/>
    <w:rsid w:val="6A01114C"/>
    <w:rsid w:val="6A03117B"/>
    <w:rsid w:val="6A075AAD"/>
    <w:rsid w:val="6A18692A"/>
    <w:rsid w:val="6A1B663F"/>
    <w:rsid w:val="6A2B11BD"/>
    <w:rsid w:val="6A322097"/>
    <w:rsid w:val="6A354F27"/>
    <w:rsid w:val="6A382D69"/>
    <w:rsid w:val="6A5748C3"/>
    <w:rsid w:val="6A5A4712"/>
    <w:rsid w:val="6A5D229E"/>
    <w:rsid w:val="6A6661F0"/>
    <w:rsid w:val="6A6A2073"/>
    <w:rsid w:val="6A7933E7"/>
    <w:rsid w:val="6A9B4E64"/>
    <w:rsid w:val="6A9B7C73"/>
    <w:rsid w:val="6A9D2F92"/>
    <w:rsid w:val="6AB0509A"/>
    <w:rsid w:val="6AB74287"/>
    <w:rsid w:val="6ABB571C"/>
    <w:rsid w:val="6ACC4257"/>
    <w:rsid w:val="6ACE1E05"/>
    <w:rsid w:val="6ACE6EC4"/>
    <w:rsid w:val="6AD54ECE"/>
    <w:rsid w:val="6ADF40D5"/>
    <w:rsid w:val="6AE32434"/>
    <w:rsid w:val="6AEB6A75"/>
    <w:rsid w:val="6AF4202E"/>
    <w:rsid w:val="6AF81E4E"/>
    <w:rsid w:val="6B0E0FF6"/>
    <w:rsid w:val="6B160A7F"/>
    <w:rsid w:val="6B185226"/>
    <w:rsid w:val="6B1A13F6"/>
    <w:rsid w:val="6B1A1DDB"/>
    <w:rsid w:val="6B2B5C9F"/>
    <w:rsid w:val="6B33535D"/>
    <w:rsid w:val="6B337530"/>
    <w:rsid w:val="6B341A7A"/>
    <w:rsid w:val="6B3A377F"/>
    <w:rsid w:val="6B3D63CA"/>
    <w:rsid w:val="6B3E3544"/>
    <w:rsid w:val="6B425B21"/>
    <w:rsid w:val="6B4B3AC8"/>
    <w:rsid w:val="6B5D26B4"/>
    <w:rsid w:val="6B620BB9"/>
    <w:rsid w:val="6B6F17F0"/>
    <w:rsid w:val="6B712827"/>
    <w:rsid w:val="6B713DE1"/>
    <w:rsid w:val="6B8C5E66"/>
    <w:rsid w:val="6B972271"/>
    <w:rsid w:val="6B974310"/>
    <w:rsid w:val="6BA12924"/>
    <w:rsid w:val="6BA31786"/>
    <w:rsid w:val="6BB36D47"/>
    <w:rsid w:val="6BE2471A"/>
    <w:rsid w:val="6BEA6A8E"/>
    <w:rsid w:val="6C0A106D"/>
    <w:rsid w:val="6C0E5F6E"/>
    <w:rsid w:val="6C127E8F"/>
    <w:rsid w:val="6C152258"/>
    <w:rsid w:val="6C156044"/>
    <w:rsid w:val="6C1949C8"/>
    <w:rsid w:val="6C2643D1"/>
    <w:rsid w:val="6C3239D1"/>
    <w:rsid w:val="6C367D5D"/>
    <w:rsid w:val="6C371E8E"/>
    <w:rsid w:val="6C427652"/>
    <w:rsid w:val="6C4707FB"/>
    <w:rsid w:val="6C507FC1"/>
    <w:rsid w:val="6C5F0204"/>
    <w:rsid w:val="6C626635"/>
    <w:rsid w:val="6C691A23"/>
    <w:rsid w:val="6C6D0B73"/>
    <w:rsid w:val="6C6D191B"/>
    <w:rsid w:val="6C6D3F0B"/>
    <w:rsid w:val="6C8E0AE9"/>
    <w:rsid w:val="6C8F5271"/>
    <w:rsid w:val="6CA43E69"/>
    <w:rsid w:val="6CAA75A0"/>
    <w:rsid w:val="6CAD2B5D"/>
    <w:rsid w:val="6CB2557D"/>
    <w:rsid w:val="6CB565B0"/>
    <w:rsid w:val="6CB7686A"/>
    <w:rsid w:val="6CC57732"/>
    <w:rsid w:val="6CC60283"/>
    <w:rsid w:val="6CD04C5E"/>
    <w:rsid w:val="6CDF5053"/>
    <w:rsid w:val="6CEB4287"/>
    <w:rsid w:val="6CFB0FDE"/>
    <w:rsid w:val="6D0B3E55"/>
    <w:rsid w:val="6D0E128B"/>
    <w:rsid w:val="6D1E1EB0"/>
    <w:rsid w:val="6D231B03"/>
    <w:rsid w:val="6D245DF6"/>
    <w:rsid w:val="6D2C0992"/>
    <w:rsid w:val="6D3276C6"/>
    <w:rsid w:val="6D3C4065"/>
    <w:rsid w:val="6D4D6E7A"/>
    <w:rsid w:val="6D5A180E"/>
    <w:rsid w:val="6D63551C"/>
    <w:rsid w:val="6D695CED"/>
    <w:rsid w:val="6D6A50B2"/>
    <w:rsid w:val="6D733879"/>
    <w:rsid w:val="6D857D9D"/>
    <w:rsid w:val="6D8F032A"/>
    <w:rsid w:val="6D910891"/>
    <w:rsid w:val="6D93510E"/>
    <w:rsid w:val="6D9D7236"/>
    <w:rsid w:val="6DAA54AF"/>
    <w:rsid w:val="6DAA6069"/>
    <w:rsid w:val="6DB5289F"/>
    <w:rsid w:val="6DBA4C07"/>
    <w:rsid w:val="6DCF3167"/>
    <w:rsid w:val="6DD975D8"/>
    <w:rsid w:val="6DDF631C"/>
    <w:rsid w:val="6DF73529"/>
    <w:rsid w:val="6E032FC2"/>
    <w:rsid w:val="6E090563"/>
    <w:rsid w:val="6E1F6A55"/>
    <w:rsid w:val="6E285408"/>
    <w:rsid w:val="6E317E32"/>
    <w:rsid w:val="6E3877ED"/>
    <w:rsid w:val="6E433EAF"/>
    <w:rsid w:val="6E4716FC"/>
    <w:rsid w:val="6E5117C6"/>
    <w:rsid w:val="6E5340CB"/>
    <w:rsid w:val="6E56640B"/>
    <w:rsid w:val="6E6F7FAE"/>
    <w:rsid w:val="6E711527"/>
    <w:rsid w:val="6E8346BC"/>
    <w:rsid w:val="6E851BF4"/>
    <w:rsid w:val="6E943958"/>
    <w:rsid w:val="6E953AA3"/>
    <w:rsid w:val="6EAE0FCF"/>
    <w:rsid w:val="6EAF3A57"/>
    <w:rsid w:val="6ED011FC"/>
    <w:rsid w:val="6ED770CD"/>
    <w:rsid w:val="6EDF77F5"/>
    <w:rsid w:val="6F076F7D"/>
    <w:rsid w:val="6F0B4673"/>
    <w:rsid w:val="6F1144A4"/>
    <w:rsid w:val="6F14532D"/>
    <w:rsid w:val="6F2968A7"/>
    <w:rsid w:val="6F323167"/>
    <w:rsid w:val="6F3444B6"/>
    <w:rsid w:val="6F364A08"/>
    <w:rsid w:val="6F5002D8"/>
    <w:rsid w:val="6F5E1BD4"/>
    <w:rsid w:val="6F60051B"/>
    <w:rsid w:val="6F754641"/>
    <w:rsid w:val="6F814C70"/>
    <w:rsid w:val="6F85563F"/>
    <w:rsid w:val="6F8A1A3C"/>
    <w:rsid w:val="6F9E13CF"/>
    <w:rsid w:val="6FA32C33"/>
    <w:rsid w:val="6FAF4FFE"/>
    <w:rsid w:val="6FB73240"/>
    <w:rsid w:val="6FB93B4D"/>
    <w:rsid w:val="6FBF0D34"/>
    <w:rsid w:val="6FC162FA"/>
    <w:rsid w:val="6FC8175F"/>
    <w:rsid w:val="6FC92DA9"/>
    <w:rsid w:val="6FD93B73"/>
    <w:rsid w:val="6FDB2329"/>
    <w:rsid w:val="6FDFDB66"/>
    <w:rsid w:val="6FE90101"/>
    <w:rsid w:val="6FEA6E69"/>
    <w:rsid w:val="6FF31452"/>
    <w:rsid w:val="70027159"/>
    <w:rsid w:val="70185CDC"/>
    <w:rsid w:val="703A551C"/>
    <w:rsid w:val="703C2781"/>
    <w:rsid w:val="70402F23"/>
    <w:rsid w:val="70563559"/>
    <w:rsid w:val="7060279C"/>
    <w:rsid w:val="706436BB"/>
    <w:rsid w:val="706C2EEF"/>
    <w:rsid w:val="708345E6"/>
    <w:rsid w:val="70993EC9"/>
    <w:rsid w:val="70A0604E"/>
    <w:rsid w:val="70A30D27"/>
    <w:rsid w:val="70AC3D7A"/>
    <w:rsid w:val="70AE7F6F"/>
    <w:rsid w:val="70BF3967"/>
    <w:rsid w:val="70C2536F"/>
    <w:rsid w:val="70C745CA"/>
    <w:rsid w:val="70C76C10"/>
    <w:rsid w:val="70CC526B"/>
    <w:rsid w:val="70DD189A"/>
    <w:rsid w:val="70E70925"/>
    <w:rsid w:val="70FE0A22"/>
    <w:rsid w:val="70FE78F0"/>
    <w:rsid w:val="710F4243"/>
    <w:rsid w:val="71184E25"/>
    <w:rsid w:val="711E068D"/>
    <w:rsid w:val="712269D3"/>
    <w:rsid w:val="713573F8"/>
    <w:rsid w:val="71550DEF"/>
    <w:rsid w:val="715B625B"/>
    <w:rsid w:val="71607246"/>
    <w:rsid w:val="71667BAE"/>
    <w:rsid w:val="71743D65"/>
    <w:rsid w:val="718E2962"/>
    <w:rsid w:val="719152B5"/>
    <w:rsid w:val="719438CB"/>
    <w:rsid w:val="71997EB8"/>
    <w:rsid w:val="71A20DB3"/>
    <w:rsid w:val="71A42F48"/>
    <w:rsid w:val="71A517D9"/>
    <w:rsid w:val="71A61A92"/>
    <w:rsid w:val="71AB0D1E"/>
    <w:rsid w:val="71BD1FA1"/>
    <w:rsid w:val="71C21F5C"/>
    <w:rsid w:val="71CC32AB"/>
    <w:rsid w:val="71EE5087"/>
    <w:rsid w:val="72057567"/>
    <w:rsid w:val="72104CF8"/>
    <w:rsid w:val="721C106B"/>
    <w:rsid w:val="721D12AF"/>
    <w:rsid w:val="721D3A01"/>
    <w:rsid w:val="7226152F"/>
    <w:rsid w:val="722C6962"/>
    <w:rsid w:val="722E2629"/>
    <w:rsid w:val="722E3D50"/>
    <w:rsid w:val="723830FF"/>
    <w:rsid w:val="723F518D"/>
    <w:rsid w:val="72555F92"/>
    <w:rsid w:val="72581DED"/>
    <w:rsid w:val="725A4ECA"/>
    <w:rsid w:val="725D58A8"/>
    <w:rsid w:val="72924221"/>
    <w:rsid w:val="72931016"/>
    <w:rsid w:val="72AF7364"/>
    <w:rsid w:val="72B50674"/>
    <w:rsid w:val="72B76A57"/>
    <w:rsid w:val="72C216C0"/>
    <w:rsid w:val="72C7190D"/>
    <w:rsid w:val="72DC25AE"/>
    <w:rsid w:val="72E07EB3"/>
    <w:rsid w:val="72E70F53"/>
    <w:rsid w:val="72EC7E3D"/>
    <w:rsid w:val="72F04094"/>
    <w:rsid w:val="72F21EB4"/>
    <w:rsid w:val="72F95204"/>
    <w:rsid w:val="730E3420"/>
    <w:rsid w:val="73165D05"/>
    <w:rsid w:val="731960AC"/>
    <w:rsid w:val="731A52E5"/>
    <w:rsid w:val="731D71E7"/>
    <w:rsid w:val="731F249B"/>
    <w:rsid w:val="73203209"/>
    <w:rsid w:val="73205210"/>
    <w:rsid w:val="73217FC1"/>
    <w:rsid w:val="732A6D4F"/>
    <w:rsid w:val="73361B37"/>
    <w:rsid w:val="733621AF"/>
    <w:rsid w:val="733A1A9C"/>
    <w:rsid w:val="733E66FD"/>
    <w:rsid w:val="73415F19"/>
    <w:rsid w:val="734165F8"/>
    <w:rsid w:val="73464E3A"/>
    <w:rsid w:val="734F3909"/>
    <w:rsid w:val="734F6B4A"/>
    <w:rsid w:val="735341A2"/>
    <w:rsid w:val="735D24A3"/>
    <w:rsid w:val="736425A4"/>
    <w:rsid w:val="73664BC7"/>
    <w:rsid w:val="736C1B8C"/>
    <w:rsid w:val="73734EE4"/>
    <w:rsid w:val="737E1D9A"/>
    <w:rsid w:val="738B0393"/>
    <w:rsid w:val="739978C7"/>
    <w:rsid w:val="73A56453"/>
    <w:rsid w:val="73AB798B"/>
    <w:rsid w:val="73AD5CF9"/>
    <w:rsid w:val="73B93EE5"/>
    <w:rsid w:val="73C1186E"/>
    <w:rsid w:val="73CD3AF9"/>
    <w:rsid w:val="73CF05A7"/>
    <w:rsid w:val="73CF470B"/>
    <w:rsid w:val="73D628BA"/>
    <w:rsid w:val="73D72D76"/>
    <w:rsid w:val="74082529"/>
    <w:rsid w:val="741D2018"/>
    <w:rsid w:val="741F35DB"/>
    <w:rsid w:val="74235FBB"/>
    <w:rsid w:val="742A7931"/>
    <w:rsid w:val="742F4960"/>
    <w:rsid w:val="74330594"/>
    <w:rsid w:val="7439521B"/>
    <w:rsid w:val="743B15E2"/>
    <w:rsid w:val="743C03B7"/>
    <w:rsid w:val="74474F84"/>
    <w:rsid w:val="744864FF"/>
    <w:rsid w:val="74487C11"/>
    <w:rsid w:val="74512B28"/>
    <w:rsid w:val="74545680"/>
    <w:rsid w:val="745C1CA8"/>
    <w:rsid w:val="746304B0"/>
    <w:rsid w:val="746C7962"/>
    <w:rsid w:val="747B5226"/>
    <w:rsid w:val="74836A59"/>
    <w:rsid w:val="748816E2"/>
    <w:rsid w:val="748C3F4B"/>
    <w:rsid w:val="74D114D6"/>
    <w:rsid w:val="74D12E4B"/>
    <w:rsid w:val="74D25EEE"/>
    <w:rsid w:val="74F93B59"/>
    <w:rsid w:val="750937B8"/>
    <w:rsid w:val="750B48FC"/>
    <w:rsid w:val="750D3415"/>
    <w:rsid w:val="751952A5"/>
    <w:rsid w:val="754760B8"/>
    <w:rsid w:val="754A13BD"/>
    <w:rsid w:val="754A646A"/>
    <w:rsid w:val="754C091C"/>
    <w:rsid w:val="754C13F7"/>
    <w:rsid w:val="755802BF"/>
    <w:rsid w:val="75662603"/>
    <w:rsid w:val="756A3A0F"/>
    <w:rsid w:val="756C070F"/>
    <w:rsid w:val="757C5983"/>
    <w:rsid w:val="757E66CB"/>
    <w:rsid w:val="758950A4"/>
    <w:rsid w:val="758F6AE1"/>
    <w:rsid w:val="75923DAC"/>
    <w:rsid w:val="75945B8C"/>
    <w:rsid w:val="75986915"/>
    <w:rsid w:val="759D2392"/>
    <w:rsid w:val="75A7573B"/>
    <w:rsid w:val="75AD4F0B"/>
    <w:rsid w:val="75BA5D24"/>
    <w:rsid w:val="75BD268A"/>
    <w:rsid w:val="75D30E1D"/>
    <w:rsid w:val="75D31876"/>
    <w:rsid w:val="75ED2EA7"/>
    <w:rsid w:val="75F638C4"/>
    <w:rsid w:val="7603234A"/>
    <w:rsid w:val="760A5CDB"/>
    <w:rsid w:val="761207E9"/>
    <w:rsid w:val="76202E19"/>
    <w:rsid w:val="7634632A"/>
    <w:rsid w:val="763738F1"/>
    <w:rsid w:val="76375D4D"/>
    <w:rsid w:val="76385E60"/>
    <w:rsid w:val="766065AD"/>
    <w:rsid w:val="76790F36"/>
    <w:rsid w:val="767A6BDE"/>
    <w:rsid w:val="767B0CC7"/>
    <w:rsid w:val="7694751B"/>
    <w:rsid w:val="769D5DA7"/>
    <w:rsid w:val="76AE4EC8"/>
    <w:rsid w:val="76B714B3"/>
    <w:rsid w:val="76B850E0"/>
    <w:rsid w:val="76C73C9A"/>
    <w:rsid w:val="76CC13C8"/>
    <w:rsid w:val="76CC293A"/>
    <w:rsid w:val="76D161A2"/>
    <w:rsid w:val="76D417EE"/>
    <w:rsid w:val="76D70271"/>
    <w:rsid w:val="76E24688"/>
    <w:rsid w:val="76FB0B73"/>
    <w:rsid w:val="77017347"/>
    <w:rsid w:val="771468CF"/>
    <w:rsid w:val="771522A2"/>
    <w:rsid w:val="77377037"/>
    <w:rsid w:val="773B615A"/>
    <w:rsid w:val="77534D32"/>
    <w:rsid w:val="775929E7"/>
    <w:rsid w:val="775C4878"/>
    <w:rsid w:val="775F6F8F"/>
    <w:rsid w:val="77764D81"/>
    <w:rsid w:val="77793034"/>
    <w:rsid w:val="777E75EC"/>
    <w:rsid w:val="77983F25"/>
    <w:rsid w:val="77A36F11"/>
    <w:rsid w:val="77AE3DED"/>
    <w:rsid w:val="77B41C25"/>
    <w:rsid w:val="77B5746C"/>
    <w:rsid w:val="77BA3B1C"/>
    <w:rsid w:val="77BC650A"/>
    <w:rsid w:val="77BF57C7"/>
    <w:rsid w:val="77C46F3F"/>
    <w:rsid w:val="77CA7A19"/>
    <w:rsid w:val="77D870BC"/>
    <w:rsid w:val="77DF3E51"/>
    <w:rsid w:val="77DF47F4"/>
    <w:rsid w:val="77E83F2A"/>
    <w:rsid w:val="77EA5752"/>
    <w:rsid w:val="7803223D"/>
    <w:rsid w:val="780A45ED"/>
    <w:rsid w:val="78157CF7"/>
    <w:rsid w:val="78301DAE"/>
    <w:rsid w:val="783E7867"/>
    <w:rsid w:val="784F56DF"/>
    <w:rsid w:val="78520D00"/>
    <w:rsid w:val="78526FC2"/>
    <w:rsid w:val="7857629B"/>
    <w:rsid w:val="78650950"/>
    <w:rsid w:val="786E0F9C"/>
    <w:rsid w:val="787B0635"/>
    <w:rsid w:val="787C3EEC"/>
    <w:rsid w:val="788437FF"/>
    <w:rsid w:val="78857C89"/>
    <w:rsid w:val="788D5D18"/>
    <w:rsid w:val="78A97A27"/>
    <w:rsid w:val="78B060AD"/>
    <w:rsid w:val="78BB2564"/>
    <w:rsid w:val="78CC0DC3"/>
    <w:rsid w:val="78D07FF5"/>
    <w:rsid w:val="78D37FAF"/>
    <w:rsid w:val="78D4689D"/>
    <w:rsid w:val="78DF4BA6"/>
    <w:rsid w:val="78E026CC"/>
    <w:rsid w:val="78E440AD"/>
    <w:rsid w:val="78E44E4A"/>
    <w:rsid w:val="78E56CA1"/>
    <w:rsid w:val="78F149EE"/>
    <w:rsid w:val="791902A3"/>
    <w:rsid w:val="79190FA2"/>
    <w:rsid w:val="79273F03"/>
    <w:rsid w:val="79446284"/>
    <w:rsid w:val="79482F61"/>
    <w:rsid w:val="79653DE6"/>
    <w:rsid w:val="79654FCF"/>
    <w:rsid w:val="79782A0A"/>
    <w:rsid w:val="7994314C"/>
    <w:rsid w:val="79952599"/>
    <w:rsid w:val="79D85272"/>
    <w:rsid w:val="79E06189"/>
    <w:rsid w:val="79E06CEF"/>
    <w:rsid w:val="79E1494E"/>
    <w:rsid w:val="79E2471A"/>
    <w:rsid w:val="79EA62EB"/>
    <w:rsid w:val="79EB45A1"/>
    <w:rsid w:val="79ED12C9"/>
    <w:rsid w:val="79F5466D"/>
    <w:rsid w:val="79FD76E9"/>
    <w:rsid w:val="7A163118"/>
    <w:rsid w:val="7A215C00"/>
    <w:rsid w:val="7A290DC0"/>
    <w:rsid w:val="7A296EFF"/>
    <w:rsid w:val="7A3053BF"/>
    <w:rsid w:val="7A41719B"/>
    <w:rsid w:val="7A4B51FA"/>
    <w:rsid w:val="7A5252C7"/>
    <w:rsid w:val="7A531C9F"/>
    <w:rsid w:val="7A5F6682"/>
    <w:rsid w:val="7A680BCB"/>
    <w:rsid w:val="7A8A2F3D"/>
    <w:rsid w:val="7A921AE4"/>
    <w:rsid w:val="7A940832"/>
    <w:rsid w:val="7AA03EC1"/>
    <w:rsid w:val="7AA8721A"/>
    <w:rsid w:val="7AA9530D"/>
    <w:rsid w:val="7AB20E79"/>
    <w:rsid w:val="7AB32860"/>
    <w:rsid w:val="7AD85D51"/>
    <w:rsid w:val="7AE70572"/>
    <w:rsid w:val="7AE815FC"/>
    <w:rsid w:val="7AF05A27"/>
    <w:rsid w:val="7AF37A02"/>
    <w:rsid w:val="7AF406B1"/>
    <w:rsid w:val="7AF44D2F"/>
    <w:rsid w:val="7B045647"/>
    <w:rsid w:val="7B0B455A"/>
    <w:rsid w:val="7B0D3738"/>
    <w:rsid w:val="7B22521E"/>
    <w:rsid w:val="7B347486"/>
    <w:rsid w:val="7B5C2D8B"/>
    <w:rsid w:val="7B5F5CEE"/>
    <w:rsid w:val="7B6C7089"/>
    <w:rsid w:val="7B786BEC"/>
    <w:rsid w:val="7BB70782"/>
    <w:rsid w:val="7BBA5E68"/>
    <w:rsid w:val="7BC65BA9"/>
    <w:rsid w:val="7BC7163F"/>
    <w:rsid w:val="7BC96C5E"/>
    <w:rsid w:val="7BCA02B2"/>
    <w:rsid w:val="7BCF19A0"/>
    <w:rsid w:val="7BD01566"/>
    <w:rsid w:val="7BE307E7"/>
    <w:rsid w:val="7C0641F8"/>
    <w:rsid w:val="7C0C39B6"/>
    <w:rsid w:val="7C0D37D8"/>
    <w:rsid w:val="7C1928FC"/>
    <w:rsid w:val="7C2C6E3A"/>
    <w:rsid w:val="7C30326B"/>
    <w:rsid w:val="7C33006F"/>
    <w:rsid w:val="7C411BDF"/>
    <w:rsid w:val="7C56302C"/>
    <w:rsid w:val="7C5E5C42"/>
    <w:rsid w:val="7C6F071E"/>
    <w:rsid w:val="7C714B7A"/>
    <w:rsid w:val="7C7C6A3F"/>
    <w:rsid w:val="7C887303"/>
    <w:rsid w:val="7C8D0E31"/>
    <w:rsid w:val="7C9567F4"/>
    <w:rsid w:val="7C961F7D"/>
    <w:rsid w:val="7C9E14D5"/>
    <w:rsid w:val="7CA13E1C"/>
    <w:rsid w:val="7CB56D7D"/>
    <w:rsid w:val="7CBB76D8"/>
    <w:rsid w:val="7CC916E8"/>
    <w:rsid w:val="7CC92BE4"/>
    <w:rsid w:val="7CDD0BF8"/>
    <w:rsid w:val="7CEA7FE5"/>
    <w:rsid w:val="7CEE536B"/>
    <w:rsid w:val="7CFFEFA1"/>
    <w:rsid w:val="7D00284C"/>
    <w:rsid w:val="7D035950"/>
    <w:rsid w:val="7D0746CC"/>
    <w:rsid w:val="7D0A7401"/>
    <w:rsid w:val="7D0E042B"/>
    <w:rsid w:val="7D1E3FBC"/>
    <w:rsid w:val="7D2021D2"/>
    <w:rsid w:val="7D342C2D"/>
    <w:rsid w:val="7D346302"/>
    <w:rsid w:val="7D3A2130"/>
    <w:rsid w:val="7D3A7495"/>
    <w:rsid w:val="7D4338A3"/>
    <w:rsid w:val="7D52346D"/>
    <w:rsid w:val="7D5C2AB9"/>
    <w:rsid w:val="7D5E1AB7"/>
    <w:rsid w:val="7D647FD3"/>
    <w:rsid w:val="7D65430E"/>
    <w:rsid w:val="7D7F7019"/>
    <w:rsid w:val="7D80622C"/>
    <w:rsid w:val="7D8852F8"/>
    <w:rsid w:val="7D897AFF"/>
    <w:rsid w:val="7D94398B"/>
    <w:rsid w:val="7D9865FF"/>
    <w:rsid w:val="7DA036B4"/>
    <w:rsid w:val="7DA053F4"/>
    <w:rsid w:val="7DA77C5D"/>
    <w:rsid w:val="7DB614BB"/>
    <w:rsid w:val="7DB61D01"/>
    <w:rsid w:val="7DC720AD"/>
    <w:rsid w:val="7DD85480"/>
    <w:rsid w:val="7DDDCE29"/>
    <w:rsid w:val="7DF11A67"/>
    <w:rsid w:val="7DF616D0"/>
    <w:rsid w:val="7DF804B8"/>
    <w:rsid w:val="7E0607C0"/>
    <w:rsid w:val="7E097B7D"/>
    <w:rsid w:val="7E0A3645"/>
    <w:rsid w:val="7E0B1F99"/>
    <w:rsid w:val="7E261F2C"/>
    <w:rsid w:val="7E292420"/>
    <w:rsid w:val="7E3056E0"/>
    <w:rsid w:val="7E305AC4"/>
    <w:rsid w:val="7E327D9E"/>
    <w:rsid w:val="7E6063D6"/>
    <w:rsid w:val="7E64706F"/>
    <w:rsid w:val="7E72694E"/>
    <w:rsid w:val="7E7C1973"/>
    <w:rsid w:val="7E7D317B"/>
    <w:rsid w:val="7E8D3214"/>
    <w:rsid w:val="7E915650"/>
    <w:rsid w:val="7E952976"/>
    <w:rsid w:val="7E9674C8"/>
    <w:rsid w:val="7EB73BF1"/>
    <w:rsid w:val="7EB75F10"/>
    <w:rsid w:val="7EB80529"/>
    <w:rsid w:val="7EB92E8B"/>
    <w:rsid w:val="7ECA4256"/>
    <w:rsid w:val="7ECF5F7A"/>
    <w:rsid w:val="7ED04D1C"/>
    <w:rsid w:val="7ED752CD"/>
    <w:rsid w:val="7EE0213B"/>
    <w:rsid w:val="7EE54599"/>
    <w:rsid w:val="7EEC1096"/>
    <w:rsid w:val="7EFC0461"/>
    <w:rsid w:val="7EFD0070"/>
    <w:rsid w:val="7F063030"/>
    <w:rsid w:val="7F09779F"/>
    <w:rsid w:val="7F1B05FD"/>
    <w:rsid w:val="7F1D0A11"/>
    <w:rsid w:val="7F337199"/>
    <w:rsid w:val="7F3B4439"/>
    <w:rsid w:val="7F40213C"/>
    <w:rsid w:val="7F4C0ED5"/>
    <w:rsid w:val="7F5C3BF7"/>
    <w:rsid w:val="7F76D771"/>
    <w:rsid w:val="7F8440CB"/>
    <w:rsid w:val="7F943F09"/>
    <w:rsid w:val="7F9A1937"/>
    <w:rsid w:val="7F9B005B"/>
    <w:rsid w:val="7F9B559F"/>
    <w:rsid w:val="7FA00957"/>
    <w:rsid w:val="7FA072B5"/>
    <w:rsid w:val="7FA62219"/>
    <w:rsid w:val="7FAE0F58"/>
    <w:rsid w:val="7FB76872"/>
    <w:rsid w:val="7FBF9542"/>
    <w:rsid w:val="7FE93226"/>
    <w:rsid w:val="7FEB03DE"/>
    <w:rsid w:val="7FF10123"/>
    <w:rsid w:val="7FF35F6F"/>
    <w:rsid w:val="7FF739AB"/>
    <w:rsid w:val="7FF847B0"/>
    <w:rsid w:val="7FFF55D0"/>
    <w:rsid w:val="9ECF4E12"/>
    <w:rsid w:val="A3FD840D"/>
    <w:rsid w:val="B6F56A9A"/>
    <w:rsid w:val="B7FDAA39"/>
    <w:rsid w:val="BBEF4418"/>
    <w:rsid w:val="BFCF897A"/>
    <w:rsid w:val="BFE6DD2C"/>
    <w:rsid w:val="C0F64476"/>
    <w:rsid w:val="CBEF6EF8"/>
    <w:rsid w:val="DE7D76AF"/>
    <w:rsid w:val="DFEFA6F6"/>
    <w:rsid w:val="E9D6DDAA"/>
    <w:rsid w:val="EEAF5766"/>
    <w:rsid w:val="EFAEFBD7"/>
    <w:rsid w:val="EFFEADF8"/>
    <w:rsid w:val="F1F3E90F"/>
    <w:rsid w:val="F8FAD7A1"/>
    <w:rsid w:val="FAEFD0B4"/>
    <w:rsid w:val="FC7D4D40"/>
    <w:rsid w:val="FC7F8352"/>
    <w:rsid w:val="FDD34B8F"/>
    <w:rsid w:val="FE7DFF5C"/>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0"/>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3"/>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6">
    <w:name w:val="heading 6"/>
    <w:basedOn w:val="1"/>
    <w:next w:val="1"/>
    <w:link w:val="64"/>
    <w:qFormat/>
    <w:uiPriority w:val="0"/>
    <w:pPr>
      <w:keepNext/>
      <w:keepLines/>
      <w:spacing w:before="240" w:after="64" w:line="320" w:lineRule="auto"/>
      <w:outlineLvl w:val="5"/>
    </w:pPr>
    <w:rPr>
      <w:rFonts w:ascii="Cambria" w:hAnsi="Cambria"/>
      <w:b/>
      <w:bCs/>
      <w:sz w:val="24"/>
    </w:rPr>
  </w:style>
  <w:style w:type="paragraph" w:styleId="7">
    <w:name w:val="heading 8"/>
    <w:basedOn w:val="1"/>
    <w:next w:val="1"/>
    <w:qFormat/>
    <w:uiPriority w:val="1"/>
    <w:pPr>
      <w:ind w:left="220" w:hanging="223"/>
      <w:outlineLvl w:val="7"/>
    </w:pPr>
    <w:rPr>
      <w:rFonts w:ascii="宋体" w:hAnsi="宋体" w:cs="宋体"/>
      <w:sz w:val="22"/>
      <w:szCs w:val="22"/>
      <w:lang w:val="zh-CN" w:bidi="zh-CN"/>
    </w:rPr>
  </w:style>
  <w:style w:type="paragraph" w:styleId="8">
    <w:name w:val="heading 9"/>
    <w:basedOn w:val="1"/>
    <w:next w:val="1"/>
    <w:qFormat/>
    <w:uiPriority w:val="1"/>
    <w:pPr>
      <w:ind w:left="640"/>
      <w:outlineLvl w:val="8"/>
    </w:pPr>
    <w:rPr>
      <w:rFonts w:ascii="宋体" w:hAnsi="宋体" w:cs="宋体"/>
      <w:b/>
      <w:bCs/>
      <w:szCs w:val="21"/>
      <w:lang w:val="zh-CN" w:bidi="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9">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0">
    <w:name w:val="Normal Indent"/>
    <w:basedOn w:val="1"/>
    <w:next w:val="11"/>
    <w:link w:val="89"/>
    <w:qFormat/>
    <w:uiPriority w:val="0"/>
    <w:pPr>
      <w:ind w:firstLine="420"/>
    </w:pPr>
    <w:rPr>
      <w:szCs w:val="20"/>
    </w:rPr>
  </w:style>
  <w:style w:type="paragraph" w:styleId="11">
    <w:name w:val="Body Text Indent"/>
    <w:basedOn w:val="1"/>
    <w:next w:val="12"/>
    <w:qFormat/>
    <w:uiPriority w:val="0"/>
    <w:pPr>
      <w:spacing w:after="120"/>
      <w:ind w:left="420" w:leftChars="200"/>
    </w:pPr>
  </w:style>
  <w:style w:type="paragraph" w:styleId="12">
    <w:name w:val="Body Text First Indent 2"/>
    <w:basedOn w:val="11"/>
    <w:next w:val="1"/>
    <w:qFormat/>
    <w:uiPriority w:val="0"/>
    <w:pPr>
      <w:autoSpaceDE w:val="0"/>
      <w:autoSpaceDN w:val="0"/>
      <w:adjustRightInd w:val="0"/>
      <w:ind w:firstLine="420" w:firstLineChars="200"/>
      <w:jc w:val="left"/>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72"/>
    <w:qFormat/>
    <w:uiPriority w:val="0"/>
    <w:rPr>
      <w:rFonts w:ascii="Helvetica" w:hAnsi="Helvetica"/>
      <w:sz w:val="24"/>
    </w:rPr>
  </w:style>
  <w:style w:type="paragraph" w:styleId="15">
    <w:name w:val="annotation text"/>
    <w:basedOn w:val="1"/>
    <w:link w:val="74"/>
    <w:qFormat/>
    <w:uiPriority w:val="0"/>
    <w:pPr>
      <w:jc w:val="left"/>
    </w:pPr>
  </w:style>
  <w:style w:type="paragraph" w:styleId="16">
    <w:name w:val="Body Text 3"/>
    <w:basedOn w:val="1"/>
    <w:link w:val="59"/>
    <w:qFormat/>
    <w:uiPriority w:val="0"/>
    <w:pPr>
      <w:spacing w:after="120"/>
    </w:pPr>
    <w:rPr>
      <w:sz w:val="16"/>
      <w:szCs w:val="16"/>
    </w:rPr>
  </w:style>
  <w:style w:type="paragraph" w:styleId="17">
    <w:name w:val="Body Text"/>
    <w:basedOn w:val="1"/>
    <w:next w:val="18"/>
    <w:link w:val="61"/>
    <w:qFormat/>
    <w:uiPriority w:val="0"/>
    <w:pPr>
      <w:spacing w:after="120"/>
    </w:pPr>
  </w:style>
  <w:style w:type="paragraph" w:styleId="18">
    <w:name w:val="Body Text First Indent"/>
    <w:basedOn w:val="17"/>
    <w:unhideWhenUsed/>
    <w:qFormat/>
    <w:uiPriority w:val="99"/>
    <w:pPr>
      <w:spacing w:line="360" w:lineRule="auto"/>
      <w:ind w:firstLine="200" w:firstLineChars="200"/>
    </w:pPr>
    <w:rPr>
      <w:rFonts w:ascii="仿宋_GB2312" w:eastAsia="仿宋_GB2312"/>
      <w:bCs/>
      <w:sz w:val="30"/>
    </w:rPr>
  </w:style>
  <w:style w:type="paragraph" w:styleId="19">
    <w:name w:val="List 2"/>
    <w:basedOn w:val="1"/>
    <w:qFormat/>
    <w:uiPriority w:val="0"/>
    <w:pPr>
      <w:ind w:left="100" w:leftChars="200" w:hanging="200" w:hangingChars="200"/>
    </w:pPr>
  </w:style>
  <w:style w:type="paragraph" w:styleId="20">
    <w:name w:val="Block Text"/>
    <w:basedOn w:val="1"/>
    <w:qFormat/>
    <w:uiPriority w:val="99"/>
    <w:pPr>
      <w:spacing w:line="440" w:lineRule="exact"/>
      <w:ind w:left="223" w:leftChars="106" w:right="3036" w:firstLine="525"/>
    </w:pPr>
    <w:rPr>
      <w:rFonts w:ascii="楷体_GB2312" w:eastAsia="楷体_GB2312"/>
      <w:sz w:val="24"/>
    </w:rPr>
  </w:style>
  <w:style w:type="paragraph" w:styleId="21">
    <w:name w:val="toc 3"/>
    <w:basedOn w:val="1"/>
    <w:next w:val="1"/>
    <w:qFormat/>
    <w:uiPriority w:val="0"/>
    <w:pPr>
      <w:ind w:left="840" w:leftChars="400"/>
    </w:pPr>
  </w:style>
  <w:style w:type="paragraph" w:styleId="22">
    <w:name w:val="Plain Text"/>
    <w:basedOn w:val="1"/>
    <w:next w:val="1"/>
    <w:link w:val="67"/>
    <w:qFormat/>
    <w:uiPriority w:val="0"/>
    <w:rPr>
      <w:sz w:val="24"/>
      <w:szCs w:val="20"/>
    </w:rPr>
  </w:style>
  <w:style w:type="paragraph" w:styleId="23">
    <w:name w:val="Date"/>
    <w:basedOn w:val="1"/>
    <w:next w:val="1"/>
    <w:link w:val="77"/>
    <w:qFormat/>
    <w:uiPriority w:val="0"/>
    <w:pPr>
      <w:ind w:left="2500" w:leftChars="2500"/>
    </w:pPr>
    <w:rPr>
      <w:rFonts w:eastAsia="楷体_GB2312"/>
      <w:sz w:val="32"/>
      <w:szCs w:val="20"/>
    </w:rPr>
  </w:style>
  <w:style w:type="paragraph" w:styleId="24">
    <w:name w:val="Body Text Indent 2"/>
    <w:basedOn w:val="1"/>
    <w:link w:val="71"/>
    <w:qFormat/>
    <w:uiPriority w:val="0"/>
    <w:pPr>
      <w:spacing w:after="120" w:line="480" w:lineRule="auto"/>
      <w:ind w:left="420" w:leftChars="200"/>
    </w:pPr>
  </w:style>
  <w:style w:type="paragraph" w:styleId="25">
    <w:name w:val="endnote text"/>
    <w:basedOn w:val="1"/>
    <w:link w:val="60"/>
    <w:qFormat/>
    <w:uiPriority w:val="0"/>
    <w:pPr>
      <w:snapToGrid w:val="0"/>
      <w:jc w:val="left"/>
    </w:pPr>
  </w:style>
  <w:style w:type="paragraph" w:styleId="26">
    <w:name w:val="Balloon Text"/>
    <w:basedOn w:val="1"/>
    <w:link w:val="80"/>
    <w:qFormat/>
    <w:uiPriority w:val="0"/>
    <w:rPr>
      <w:sz w:val="18"/>
      <w:szCs w:val="18"/>
    </w:rPr>
  </w:style>
  <w:style w:type="paragraph" w:styleId="27">
    <w:name w:val="footer"/>
    <w:basedOn w:val="1"/>
    <w:link w:val="75"/>
    <w:qFormat/>
    <w:uiPriority w:val="99"/>
    <w:pPr>
      <w:tabs>
        <w:tab w:val="center" w:pos="4153"/>
        <w:tab w:val="right" w:pos="8306"/>
      </w:tabs>
      <w:snapToGrid w:val="0"/>
      <w:jc w:val="left"/>
    </w:pPr>
    <w:rPr>
      <w:sz w:val="18"/>
      <w:szCs w:val="18"/>
    </w:rPr>
  </w:style>
  <w:style w:type="paragraph" w:styleId="28">
    <w:name w:val="header"/>
    <w:basedOn w:val="1"/>
    <w:link w:val="86"/>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style>
  <w:style w:type="paragraph" w:styleId="31">
    <w:name w:val="toc 6"/>
    <w:basedOn w:val="1"/>
    <w:next w:val="1"/>
    <w:unhideWhenUsed/>
    <w:qFormat/>
    <w:uiPriority w:val="39"/>
    <w:pPr>
      <w:ind w:left="2100" w:leftChars="1000"/>
    </w:pPr>
  </w:style>
  <w:style w:type="paragraph" w:styleId="32">
    <w:name w:val="Body Text Indent 3"/>
    <w:basedOn w:val="1"/>
    <w:link w:val="65"/>
    <w:qFormat/>
    <w:uiPriority w:val="0"/>
    <w:pPr>
      <w:ind w:firstLine="435"/>
    </w:pPr>
  </w:style>
  <w:style w:type="paragraph" w:styleId="33">
    <w:name w:val="toc 2"/>
    <w:basedOn w:val="1"/>
    <w:next w:val="1"/>
    <w:qFormat/>
    <w:uiPriority w:val="39"/>
    <w:pPr>
      <w:ind w:left="420" w:leftChars="200"/>
    </w:pPr>
  </w:style>
  <w:style w:type="paragraph" w:styleId="34">
    <w:name w:val="Body Text 2"/>
    <w:basedOn w:val="1"/>
    <w:link w:val="66"/>
    <w:qFormat/>
    <w:uiPriority w:val="0"/>
    <w:pPr>
      <w:spacing w:after="120" w:line="480" w:lineRule="auto"/>
    </w:pPr>
  </w:style>
  <w:style w:type="paragraph" w:styleId="35">
    <w:name w:val="Normal (Web)"/>
    <w:basedOn w:val="1"/>
    <w:unhideWhenUsed/>
    <w:qFormat/>
    <w:uiPriority w:val="0"/>
    <w:pPr>
      <w:widowControl/>
      <w:spacing w:before="240" w:after="240"/>
      <w:jc w:val="left"/>
    </w:pPr>
    <w:rPr>
      <w:rFonts w:ascii="宋体" w:hAnsi="宋体" w:cs="宋体"/>
      <w:kern w:val="0"/>
      <w:sz w:val="24"/>
    </w:rPr>
  </w:style>
  <w:style w:type="paragraph" w:styleId="36">
    <w:name w:val="Title"/>
    <w:basedOn w:val="1"/>
    <w:next w:val="1"/>
    <w:link w:val="88"/>
    <w:qFormat/>
    <w:uiPriority w:val="10"/>
    <w:pPr>
      <w:spacing w:before="240" w:after="60"/>
      <w:jc w:val="center"/>
      <w:outlineLvl w:val="0"/>
    </w:pPr>
    <w:rPr>
      <w:rFonts w:ascii="Cambria" w:hAnsi="Cambria"/>
      <w:b/>
      <w:bCs/>
      <w:sz w:val="32"/>
      <w:szCs w:val="32"/>
    </w:rPr>
  </w:style>
  <w:style w:type="paragraph" w:styleId="37">
    <w:name w:val="annotation subject"/>
    <w:basedOn w:val="15"/>
    <w:next w:val="15"/>
    <w:link w:val="79"/>
    <w:qFormat/>
    <w:uiPriority w:val="0"/>
    <w:rPr>
      <w:b/>
      <w:bCs/>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22"/>
    <w:rPr>
      <w:b/>
    </w:rPr>
  </w:style>
  <w:style w:type="character" w:styleId="42">
    <w:name w:val="endnote reference"/>
    <w:qFormat/>
    <w:uiPriority w:val="0"/>
    <w:rPr>
      <w:vertAlign w:val="superscript"/>
    </w:rPr>
  </w:style>
  <w:style w:type="character" w:styleId="43">
    <w:name w:val="page number"/>
    <w:basedOn w:val="40"/>
    <w:qFormat/>
    <w:uiPriority w:val="0"/>
  </w:style>
  <w:style w:type="character" w:styleId="44">
    <w:name w:val="FollowedHyperlink"/>
    <w:qFormat/>
    <w:uiPriority w:val="0"/>
    <w:rPr>
      <w:color w:val="800080"/>
      <w:u w:val="single"/>
    </w:rPr>
  </w:style>
  <w:style w:type="character" w:styleId="45">
    <w:name w:val="Hyperlink"/>
    <w:basedOn w:val="40"/>
    <w:qFormat/>
    <w:uiPriority w:val="99"/>
    <w:rPr>
      <w:color w:val="0000FF"/>
      <w:u w:val="single"/>
    </w:rPr>
  </w:style>
  <w:style w:type="character" w:styleId="46">
    <w:name w:val="annotation reference"/>
    <w:qFormat/>
    <w:uiPriority w:val="0"/>
    <w:rPr>
      <w:sz w:val="21"/>
      <w:szCs w:val="21"/>
    </w:rPr>
  </w:style>
  <w:style w:type="paragraph" w:customStyle="1" w:styleId="47">
    <w:name w:val="标书正文"/>
    <w:basedOn w:val="1"/>
    <w:qFormat/>
    <w:uiPriority w:val="0"/>
    <w:pPr>
      <w:suppressAutoHyphens/>
      <w:autoSpaceDE w:val="0"/>
      <w:autoSpaceDN w:val="0"/>
      <w:adjustRightInd w:val="0"/>
      <w:snapToGrid w:val="0"/>
    </w:pPr>
    <w:rPr>
      <w:rFonts w:ascii="Times New Roman" w:hAnsi="Times New Roman" w:eastAsia="仿宋_GB2312"/>
      <w:sz w:val="32"/>
      <w:szCs w:val="24"/>
    </w:rPr>
  </w:style>
  <w:style w:type="paragraph" w:customStyle="1" w:styleId="48">
    <w:name w:val="Default"/>
    <w:next w:val="4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0">
    <w:name w:val="BodyText1I"/>
    <w:basedOn w:val="51"/>
    <w:next w:val="1"/>
    <w:qFormat/>
    <w:uiPriority w:val="0"/>
    <w:pPr>
      <w:ind w:firstLine="420" w:firstLineChars="100"/>
    </w:pPr>
  </w:style>
  <w:style w:type="paragraph" w:customStyle="1" w:styleId="51">
    <w:name w:val="BodyText"/>
    <w:basedOn w:val="1"/>
    <w:next w:val="52"/>
    <w:qFormat/>
    <w:uiPriority w:val="0"/>
    <w:pPr>
      <w:textAlignment w:val="baseline"/>
    </w:pPr>
    <w:rPr>
      <w:rFonts w:ascii="宋体" w:hAnsi="宋体"/>
      <w:szCs w:val="21"/>
      <w:lang w:val="zh-CN" w:bidi="zh-CN"/>
    </w:rPr>
  </w:style>
  <w:style w:type="paragraph" w:customStyle="1" w:styleId="52">
    <w:name w:val="TOC2"/>
    <w:basedOn w:val="1"/>
    <w:next w:val="1"/>
    <w:qFormat/>
    <w:uiPriority w:val="0"/>
    <w:pPr>
      <w:ind w:left="420" w:leftChars="200"/>
      <w:textAlignment w:val="baseline"/>
    </w:pPr>
  </w:style>
  <w:style w:type="paragraph" w:customStyle="1" w:styleId="53">
    <w:name w:val="正文首行缩进1"/>
    <w:basedOn w:val="17"/>
    <w:qFormat/>
    <w:uiPriority w:val="0"/>
    <w:pPr>
      <w:ind w:firstLine="420" w:firstLineChars="100"/>
    </w:pPr>
    <w:rPr>
      <w:rFonts w:ascii="Calibri" w:hAnsi="Calibri"/>
      <w:szCs w:val="22"/>
    </w:rPr>
  </w:style>
  <w:style w:type="paragraph" w:customStyle="1" w:styleId="54">
    <w:name w:val="正文1"/>
    <w:basedOn w:val="1"/>
    <w:qFormat/>
    <w:uiPriority w:val="0"/>
    <w:pPr>
      <w:adjustRightInd w:val="0"/>
      <w:spacing w:line="318" w:lineRule="atLeast"/>
      <w:ind w:left="369" w:firstLine="369"/>
      <w:textAlignment w:val="baseline"/>
    </w:pPr>
    <w:rPr>
      <w:rFonts w:ascii="宋体"/>
      <w:szCs w:val="20"/>
    </w:rPr>
  </w:style>
  <w:style w:type="paragraph" w:customStyle="1" w:styleId="55">
    <w:name w:val="表格文字"/>
    <w:next w:val="17"/>
    <w:link w:val="84"/>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6">
    <w:name w:val="NormalCharacter"/>
    <w:qFormat/>
    <w:uiPriority w:val="0"/>
    <w:rPr>
      <w:rFonts w:ascii="Times New Roman" w:hAnsi="Times New Roman" w:eastAsia="宋体" w:cs="Times New Roman"/>
    </w:rPr>
  </w:style>
  <w:style w:type="character" w:customStyle="1" w:styleId="57">
    <w:name w:val="标3 Char"/>
    <w:link w:val="58"/>
    <w:qFormat/>
    <w:uiPriority w:val="0"/>
    <w:rPr>
      <w:rFonts w:ascii="Arial Narrow" w:hAnsi="Arial Narrow" w:eastAsia="仿宋_GB2312"/>
      <w:sz w:val="32"/>
      <w:szCs w:val="32"/>
    </w:rPr>
  </w:style>
  <w:style w:type="paragraph" w:customStyle="1" w:styleId="58">
    <w:name w:val="标3"/>
    <w:basedOn w:val="1"/>
    <w:link w:val="57"/>
    <w:qFormat/>
    <w:uiPriority w:val="0"/>
    <w:pPr>
      <w:numPr>
        <w:ilvl w:val="2"/>
        <w:numId w:val="2"/>
      </w:numPr>
      <w:adjustRightInd w:val="0"/>
      <w:snapToGrid w:val="0"/>
      <w:spacing w:beforeLines="50"/>
      <w:outlineLvl w:val="2"/>
    </w:pPr>
    <w:rPr>
      <w:rFonts w:ascii="Arial Narrow" w:hAnsi="Arial Narrow" w:eastAsia="仿宋_GB2312"/>
      <w:kern w:val="0"/>
      <w:sz w:val="32"/>
      <w:szCs w:val="32"/>
    </w:rPr>
  </w:style>
  <w:style w:type="character" w:customStyle="1" w:styleId="59">
    <w:name w:val="正文文本 3 Char"/>
    <w:link w:val="16"/>
    <w:qFormat/>
    <w:uiPriority w:val="0"/>
    <w:rPr>
      <w:kern w:val="2"/>
      <w:sz w:val="16"/>
      <w:szCs w:val="16"/>
    </w:rPr>
  </w:style>
  <w:style w:type="character" w:customStyle="1" w:styleId="60">
    <w:name w:val="尾注文本 Char"/>
    <w:link w:val="25"/>
    <w:qFormat/>
    <w:uiPriority w:val="0"/>
    <w:rPr>
      <w:kern w:val="2"/>
      <w:sz w:val="21"/>
      <w:szCs w:val="24"/>
    </w:rPr>
  </w:style>
  <w:style w:type="character" w:customStyle="1" w:styleId="61">
    <w:name w:val="正文文本 Char"/>
    <w:link w:val="17"/>
    <w:qFormat/>
    <w:uiPriority w:val="0"/>
    <w:rPr>
      <w:kern w:val="2"/>
      <w:sz w:val="21"/>
      <w:szCs w:val="24"/>
    </w:rPr>
  </w:style>
  <w:style w:type="character" w:customStyle="1" w:styleId="62">
    <w:name w:val="font31"/>
    <w:qFormat/>
    <w:uiPriority w:val="0"/>
    <w:rPr>
      <w:rFonts w:hint="eastAsia" w:ascii="宋体" w:hAnsi="宋体" w:eastAsia="宋体" w:cs="宋体"/>
      <w:color w:val="000000"/>
      <w:sz w:val="24"/>
      <w:szCs w:val="24"/>
      <w:u w:val="none"/>
    </w:rPr>
  </w:style>
  <w:style w:type="character" w:customStyle="1" w:styleId="63">
    <w:name w:val="标题 3 Char"/>
    <w:link w:val="4"/>
    <w:qFormat/>
    <w:uiPriority w:val="0"/>
    <w:rPr>
      <w:b/>
      <w:bCs/>
      <w:kern w:val="2"/>
      <w:sz w:val="32"/>
      <w:szCs w:val="32"/>
    </w:rPr>
  </w:style>
  <w:style w:type="character" w:customStyle="1" w:styleId="64">
    <w:name w:val="标题 6 Char"/>
    <w:link w:val="6"/>
    <w:semiHidden/>
    <w:qFormat/>
    <w:uiPriority w:val="0"/>
    <w:rPr>
      <w:rFonts w:ascii="Cambria" w:hAnsi="Cambria" w:eastAsia="宋体" w:cs="Times New Roman"/>
      <w:b/>
      <w:bCs/>
      <w:kern w:val="2"/>
      <w:sz w:val="24"/>
      <w:szCs w:val="24"/>
    </w:rPr>
  </w:style>
  <w:style w:type="character" w:customStyle="1" w:styleId="65">
    <w:name w:val="正文文本缩进 3 Char"/>
    <w:link w:val="32"/>
    <w:qFormat/>
    <w:uiPriority w:val="0"/>
    <w:rPr>
      <w:kern w:val="2"/>
      <w:sz w:val="21"/>
      <w:szCs w:val="24"/>
    </w:rPr>
  </w:style>
  <w:style w:type="character" w:customStyle="1" w:styleId="66">
    <w:name w:val="正文文本 2 Char"/>
    <w:link w:val="34"/>
    <w:qFormat/>
    <w:uiPriority w:val="0"/>
    <w:rPr>
      <w:kern w:val="2"/>
      <w:sz w:val="21"/>
      <w:szCs w:val="24"/>
    </w:rPr>
  </w:style>
  <w:style w:type="character" w:customStyle="1" w:styleId="67">
    <w:name w:val="纯文本 Char"/>
    <w:link w:val="22"/>
    <w:qFormat/>
    <w:uiPriority w:val="0"/>
    <w:rPr>
      <w:rFonts w:eastAsia="宋体"/>
      <w:kern w:val="2"/>
      <w:sz w:val="24"/>
      <w:lang w:val="en-US" w:eastAsia="zh-CN" w:bidi="ar-SA"/>
    </w:rPr>
  </w:style>
  <w:style w:type="character" w:customStyle="1" w:styleId="68">
    <w:name w:val="标题 1字符"/>
    <w:qFormat/>
    <w:uiPriority w:val="0"/>
    <w:rPr>
      <w:b/>
      <w:bCs/>
      <w:kern w:val="44"/>
      <w:sz w:val="44"/>
      <w:szCs w:val="44"/>
    </w:rPr>
  </w:style>
  <w:style w:type="character" w:customStyle="1" w:styleId="69">
    <w:name w:val="无"/>
    <w:qFormat/>
    <w:uiPriority w:val="99"/>
  </w:style>
  <w:style w:type="character" w:customStyle="1" w:styleId="70">
    <w:name w:val="标题 2 Char"/>
    <w:link w:val="3"/>
    <w:qFormat/>
    <w:uiPriority w:val="9"/>
    <w:rPr>
      <w:rFonts w:ascii="Arial" w:hAnsi="Arial" w:eastAsia="黑体"/>
      <w:b/>
      <w:bCs/>
      <w:kern w:val="2"/>
      <w:sz w:val="32"/>
      <w:szCs w:val="32"/>
    </w:rPr>
  </w:style>
  <w:style w:type="character" w:customStyle="1" w:styleId="71">
    <w:name w:val="正文文本缩进 2 Char"/>
    <w:link w:val="24"/>
    <w:qFormat/>
    <w:uiPriority w:val="0"/>
    <w:rPr>
      <w:kern w:val="2"/>
      <w:sz w:val="21"/>
      <w:szCs w:val="24"/>
    </w:rPr>
  </w:style>
  <w:style w:type="character" w:customStyle="1" w:styleId="72">
    <w:name w:val="文档结构图 Char"/>
    <w:link w:val="14"/>
    <w:qFormat/>
    <w:uiPriority w:val="0"/>
    <w:rPr>
      <w:rFonts w:ascii="Helvetica" w:hAnsi="Helvetica"/>
      <w:kern w:val="2"/>
      <w:sz w:val="24"/>
      <w:szCs w:val="24"/>
    </w:rPr>
  </w:style>
  <w:style w:type="character" w:customStyle="1" w:styleId="73">
    <w:name w:val="Char Char Char"/>
    <w:qFormat/>
    <w:uiPriority w:val="0"/>
    <w:rPr>
      <w:rFonts w:ascii="宋体" w:hAnsi="Courier New" w:eastAsia="宋体"/>
      <w:kern w:val="2"/>
      <w:sz w:val="24"/>
      <w:szCs w:val="24"/>
      <w:lang w:val="en-US" w:eastAsia="zh-CN" w:bidi="ar-SA"/>
    </w:rPr>
  </w:style>
  <w:style w:type="character" w:customStyle="1" w:styleId="74">
    <w:name w:val="批注文字 Char"/>
    <w:link w:val="15"/>
    <w:qFormat/>
    <w:uiPriority w:val="0"/>
    <w:rPr>
      <w:kern w:val="2"/>
      <w:sz w:val="21"/>
      <w:szCs w:val="24"/>
    </w:rPr>
  </w:style>
  <w:style w:type="character" w:customStyle="1" w:styleId="75">
    <w:name w:val="页脚 Char"/>
    <w:link w:val="27"/>
    <w:qFormat/>
    <w:uiPriority w:val="99"/>
    <w:rPr>
      <w:kern w:val="2"/>
      <w:sz w:val="18"/>
      <w:szCs w:val="18"/>
    </w:rPr>
  </w:style>
  <w:style w:type="character" w:customStyle="1" w:styleId="76">
    <w:name w:val="纯文本 Char1"/>
    <w:qFormat/>
    <w:locked/>
    <w:uiPriority w:val="0"/>
    <w:rPr>
      <w:rFonts w:ascii="宋体" w:hAnsi="Courier New" w:eastAsia="宋体" w:cs="Times New Roman"/>
      <w:szCs w:val="21"/>
    </w:rPr>
  </w:style>
  <w:style w:type="character" w:customStyle="1" w:styleId="77">
    <w:name w:val="日期 Char"/>
    <w:link w:val="23"/>
    <w:qFormat/>
    <w:uiPriority w:val="0"/>
    <w:rPr>
      <w:rFonts w:eastAsia="楷体_GB2312"/>
      <w:kern w:val="2"/>
      <w:sz w:val="32"/>
    </w:rPr>
  </w:style>
  <w:style w:type="character" w:customStyle="1" w:styleId="78">
    <w:name w:val="Char Char"/>
    <w:qFormat/>
    <w:uiPriority w:val="0"/>
    <w:rPr>
      <w:rFonts w:ascii="宋体" w:hAnsi="Courier New" w:eastAsia="宋体"/>
      <w:kern w:val="2"/>
      <w:sz w:val="24"/>
      <w:szCs w:val="24"/>
      <w:lang w:val="en-US" w:eastAsia="zh-CN" w:bidi="ar-SA"/>
    </w:rPr>
  </w:style>
  <w:style w:type="character" w:customStyle="1" w:styleId="79">
    <w:name w:val="批注主题 Char"/>
    <w:link w:val="37"/>
    <w:qFormat/>
    <w:uiPriority w:val="0"/>
    <w:rPr>
      <w:b/>
      <w:bCs/>
      <w:kern w:val="2"/>
      <w:sz w:val="21"/>
      <w:szCs w:val="24"/>
    </w:rPr>
  </w:style>
  <w:style w:type="character" w:customStyle="1" w:styleId="80">
    <w:name w:val="批注框文本 Char"/>
    <w:link w:val="26"/>
    <w:qFormat/>
    <w:uiPriority w:val="0"/>
    <w:rPr>
      <w:kern w:val="2"/>
      <w:sz w:val="18"/>
      <w:szCs w:val="18"/>
    </w:rPr>
  </w:style>
  <w:style w:type="character" w:customStyle="1" w:styleId="81">
    <w:name w:val="font01"/>
    <w:qFormat/>
    <w:uiPriority w:val="0"/>
    <w:rPr>
      <w:rFonts w:hint="default" w:ascii="Arial" w:hAnsi="Arial" w:cs="Arial"/>
      <w:color w:val="000000"/>
      <w:sz w:val="24"/>
      <w:szCs w:val="24"/>
      <w:u w:val="none"/>
    </w:rPr>
  </w:style>
  <w:style w:type="character" w:customStyle="1" w:styleId="82">
    <w:name w:val="font11"/>
    <w:qFormat/>
    <w:uiPriority w:val="0"/>
    <w:rPr>
      <w:rFonts w:hint="eastAsia" w:ascii="宋体" w:hAnsi="宋体" w:eastAsia="宋体" w:cs="宋体"/>
      <w:b/>
      <w:color w:val="000000"/>
      <w:sz w:val="24"/>
      <w:szCs w:val="24"/>
      <w:u w:val="none"/>
    </w:rPr>
  </w:style>
  <w:style w:type="character" w:customStyle="1" w:styleId="83">
    <w:name w:val="apple-converted-space"/>
    <w:qFormat/>
    <w:uiPriority w:val="0"/>
  </w:style>
  <w:style w:type="character" w:customStyle="1" w:styleId="84">
    <w:name w:val="表格文字 Char Char"/>
    <w:link w:val="55"/>
    <w:qFormat/>
    <w:locked/>
    <w:uiPriority w:val="0"/>
    <w:rPr>
      <w:kern w:val="2"/>
      <w:sz w:val="24"/>
      <w:szCs w:val="28"/>
      <w:lang w:val="en-US" w:eastAsia="zh-CN" w:bidi="ar-SA"/>
    </w:rPr>
  </w:style>
  <w:style w:type="character" w:customStyle="1" w:styleId="85">
    <w:name w:val="标题 1 Char"/>
    <w:link w:val="2"/>
    <w:qFormat/>
    <w:uiPriority w:val="0"/>
    <w:rPr>
      <w:rFonts w:ascii="Times New Roman" w:hAnsi="Times New Roman" w:eastAsia="宋体"/>
      <w:b/>
      <w:bCs/>
      <w:kern w:val="44"/>
      <w:sz w:val="44"/>
      <w:szCs w:val="44"/>
      <w:lang w:val="en-US" w:eastAsia="zh-CN" w:bidi="ar-SA"/>
    </w:rPr>
  </w:style>
  <w:style w:type="character" w:customStyle="1" w:styleId="86">
    <w:name w:val="页眉 Char"/>
    <w:link w:val="28"/>
    <w:qFormat/>
    <w:uiPriority w:val="99"/>
    <w:rPr>
      <w:kern w:val="2"/>
      <w:sz w:val="18"/>
      <w:szCs w:val="18"/>
    </w:rPr>
  </w:style>
  <w:style w:type="character" w:customStyle="1" w:styleId="87">
    <w:name w:val="标题 1 Char1"/>
    <w:qFormat/>
    <w:uiPriority w:val="0"/>
    <w:rPr>
      <w:rFonts w:ascii="Times New Roman" w:hAnsi="Times New Roman" w:eastAsia="宋体"/>
      <w:b/>
      <w:bCs/>
      <w:kern w:val="44"/>
      <w:sz w:val="44"/>
      <w:szCs w:val="44"/>
      <w:lang w:val="en-US" w:eastAsia="zh-CN" w:bidi="ar-SA"/>
    </w:rPr>
  </w:style>
  <w:style w:type="character" w:customStyle="1" w:styleId="88">
    <w:name w:val="标题 Char"/>
    <w:link w:val="36"/>
    <w:qFormat/>
    <w:uiPriority w:val="10"/>
    <w:rPr>
      <w:rFonts w:ascii="Cambria" w:hAnsi="Cambria"/>
      <w:b/>
      <w:bCs/>
      <w:kern w:val="2"/>
      <w:sz w:val="32"/>
      <w:szCs w:val="32"/>
    </w:rPr>
  </w:style>
  <w:style w:type="character" w:customStyle="1" w:styleId="89">
    <w:name w:val="正文缩进 Char"/>
    <w:link w:val="10"/>
    <w:qFormat/>
    <w:uiPriority w:val="0"/>
    <w:rPr>
      <w:kern w:val="2"/>
      <w:sz w:val="21"/>
    </w:rPr>
  </w:style>
  <w:style w:type="character" w:customStyle="1" w:styleId="90">
    <w:name w:val="font21"/>
    <w:qFormat/>
    <w:uiPriority w:val="0"/>
    <w:rPr>
      <w:rFonts w:ascii="幼圆" w:hAnsi="幼圆" w:eastAsia="幼圆" w:cs="幼圆"/>
      <w:color w:val="000000"/>
      <w:sz w:val="20"/>
      <w:szCs w:val="20"/>
      <w:u w:val="none"/>
    </w:rPr>
  </w:style>
  <w:style w:type="paragraph" w:customStyle="1" w:styleId="91">
    <w:name w:val="章正文"/>
    <w:basedOn w:val="1"/>
    <w:qFormat/>
    <w:uiPriority w:val="99"/>
    <w:pPr>
      <w:spacing w:beforeLines="50" w:after="120" w:line="300" w:lineRule="auto"/>
      <w:ind w:firstLine="480"/>
    </w:pPr>
    <w:rPr>
      <w:rFonts w:ascii="Helvetica" w:hAnsi="Helvetica"/>
      <w:kern w:val="0"/>
      <w:sz w:val="24"/>
    </w:rPr>
  </w:style>
  <w:style w:type="paragraph" w:customStyle="1" w:styleId="92">
    <w:name w:val="Char Char3"/>
    <w:basedOn w:val="1"/>
    <w:qFormat/>
    <w:uiPriority w:val="0"/>
  </w:style>
  <w:style w:type="paragraph" w:customStyle="1" w:styleId="93">
    <w:name w:val="样式 表格正文 + 两端对齐"/>
    <w:basedOn w:val="1"/>
    <w:next w:val="94"/>
    <w:qFormat/>
    <w:uiPriority w:val="0"/>
    <w:pPr>
      <w:spacing w:line="300" w:lineRule="auto"/>
    </w:pPr>
  </w:style>
  <w:style w:type="paragraph" w:customStyle="1" w:styleId="94">
    <w:name w:val="正文11"/>
    <w:basedOn w:val="14"/>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95">
    <w:name w:val="彩色列表1"/>
    <w:basedOn w:val="1"/>
    <w:qFormat/>
    <w:uiPriority w:val="34"/>
    <w:pPr>
      <w:ind w:firstLine="420" w:firstLineChars="200"/>
    </w:pPr>
    <w:rPr>
      <w:rFonts w:ascii="Verdana" w:hAnsi="Verdana" w:eastAsia="微软雅黑"/>
      <w:szCs w:val="22"/>
    </w:rPr>
  </w:style>
  <w:style w:type="paragraph" w:customStyle="1" w:styleId="96">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7">
    <w:name w:val="p0"/>
    <w:basedOn w:val="1"/>
    <w:qFormat/>
    <w:uiPriority w:val="0"/>
    <w:pPr>
      <w:widowControl/>
    </w:pPr>
    <w:rPr>
      <w:rFonts w:ascii="Calibri" w:hAnsi="Calibri"/>
      <w:kern w:val="0"/>
      <w:szCs w:val="21"/>
    </w:rPr>
  </w:style>
  <w:style w:type="paragraph" w:customStyle="1" w:styleId="98">
    <w:name w:val="正文样式"/>
    <w:basedOn w:val="1"/>
    <w:unhideWhenUsed/>
    <w:qFormat/>
    <w:uiPriority w:val="7"/>
    <w:pPr>
      <w:spacing w:line="360" w:lineRule="auto"/>
      <w:ind w:firstLine="480" w:firstLineChars="200"/>
    </w:pPr>
    <w:rPr>
      <w:rFonts w:hAnsi="Calibri"/>
      <w:sz w:val="24"/>
      <w:szCs w:val="20"/>
    </w:rPr>
  </w:style>
  <w:style w:type="paragraph" w:customStyle="1" w:styleId="99">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100">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
    <w:name w:val="_Style 1"/>
    <w:qFormat/>
    <w:uiPriority w:val="0"/>
    <w:rPr>
      <w:rFonts w:ascii="Times New Roman" w:hAnsi="Times New Roman" w:eastAsia="宋体" w:cs="Times New Roman"/>
      <w:kern w:val="2"/>
      <w:sz w:val="28"/>
      <w:szCs w:val="22"/>
      <w:lang w:val="en-US" w:eastAsia="zh-CN" w:bidi="ar-SA"/>
    </w:rPr>
  </w:style>
  <w:style w:type="paragraph" w:customStyle="1" w:styleId="102">
    <w:name w:val="_Style 40"/>
    <w:basedOn w:val="1"/>
    <w:qFormat/>
    <w:uiPriority w:val="0"/>
  </w:style>
  <w:style w:type="paragraph" w:customStyle="1" w:styleId="103">
    <w:name w:val="Char Char5"/>
    <w:basedOn w:val="1"/>
    <w:qFormat/>
    <w:uiPriority w:val="0"/>
  </w:style>
  <w:style w:type="paragraph" w:customStyle="1" w:styleId="104">
    <w:name w:val="Table Paragraph"/>
    <w:basedOn w:val="1"/>
    <w:qFormat/>
    <w:uiPriority w:val="1"/>
  </w:style>
  <w:style w:type="paragraph" w:customStyle="1" w:styleId="105">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6">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7">
    <w:name w:val="彩色列表 - 强调文字颜色 11"/>
    <w:basedOn w:val="1"/>
    <w:qFormat/>
    <w:uiPriority w:val="34"/>
    <w:pPr>
      <w:ind w:firstLine="420" w:firstLineChars="200"/>
    </w:pPr>
    <w:rPr>
      <w:rFonts w:ascii="Calibri" w:hAnsi="Calibri"/>
      <w:szCs w:val="22"/>
    </w:rPr>
  </w:style>
  <w:style w:type="paragraph" w:customStyle="1" w:styleId="108">
    <w:name w:val="_Style 23"/>
    <w:basedOn w:val="1"/>
    <w:qFormat/>
    <w:uiPriority w:val="0"/>
  </w:style>
  <w:style w:type="paragraph" w:customStyle="1" w:styleId="109">
    <w:name w:val="_Style 10"/>
    <w:basedOn w:val="1"/>
    <w:qFormat/>
    <w:uiPriority w:val="0"/>
    <w:rPr>
      <w:rFonts w:ascii="仿宋_GB2312" w:eastAsia="仿宋_GB2312"/>
      <w:b/>
      <w:sz w:val="32"/>
      <w:szCs w:val="32"/>
    </w:rPr>
  </w:style>
  <w:style w:type="paragraph" w:customStyle="1" w:styleId="110">
    <w:name w:val="列出段落1"/>
    <w:basedOn w:val="1"/>
    <w:qFormat/>
    <w:uiPriority w:val="0"/>
    <w:pPr>
      <w:ind w:firstLine="420" w:firstLineChars="200"/>
    </w:pPr>
    <w:rPr>
      <w:rFonts w:ascii="Calibri" w:hAnsi="Calibri"/>
      <w:szCs w:val="22"/>
    </w:rPr>
  </w:style>
  <w:style w:type="paragraph" w:customStyle="1" w:styleId="111">
    <w:name w:val="Char Char Char Char Char Char Char"/>
    <w:basedOn w:val="1"/>
    <w:qFormat/>
    <w:uiPriority w:val="0"/>
  </w:style>
  <w:style w:type="paragraph" w:customStyle="1" w:styleId="11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13">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4">
    <w:name w:val="正文2"/>
    <w:basedOn w:val="1"/>
    <w:qFormat/>
    <w:uiPriority w:val="0"/>
    <w:pPr>
      <w:spacing w:before="156" w:line="360" w:lineRule="auto"/>
      <w:ind w:firstLine="510" w:firstLineChars="200"/>
    </w:pPr>
    <w:rPr>
      <w:sz w:val="24"/>
      <w:szCs w:val="20"/>
    </w:rPr>
  </w:style>
  <w:style w:type="paragraph" w:customStyle="1" w:styleId="115">
    <w:name w:val="彩色列表2"/>
    <w:basedOn w:val="1"/>
    <w:qFormat/>
    <w:uiPriority w:val="34"/>
    <w:pPr>
      <w:ind w:firstLine="420" w:firstLineChars="200"/>
    </w:pPr>
  </w:style>
  <w:style w:type="paragraph" w:customStyle="1" w:styleId="116">
    <w:name w:val="样式1"/>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8">
    <w:name w:val="首行缩进"/>
    <w:basedOn w:val="1"/>
    <w:qFormat/>
    <w:uiPriority w:val="0"/>
    <w:pPr>
      <w:spacing w:line="360" w:lineRule="auto"/>
      <w:ind w:firstLine="480" w:firstLineChars="200"/>
    </w:pPr>
    <w:rPr>
      <w:sz w:val="24"/>
      <w:szCs w:val="22"/>
      <w:lang w:val="zh-CN"/>
    </w:rPr>
  </w:style>
  <w:style w:type="paragraph" w:customStyle="1" w:styleId="119">
    <w:name w:val="默认段落字体 Para Char Char Char Char Char Char Char Char Char1 Char Char Char Char"/>
    <w:basedOn w:val="1"/>
    <w:qFormat/>
    <w:uiPriority w:val="0"/>
    <w:rPr>
      <w:rFonts w:ascii="Tahoma" w:hAnsi="Tahoma"/>
      <w:sz w:val="24"/>
      <w:szCs w:val="20"/>
    </w:rPr>
  </w:style>
  <w:style w:type="paragraph" w:customStyle="1" w:styleId="120">
    <w:name w:val="彩色列表11"/>
    <w:basedOn w:val="1"/>
    <w:qFormat/>
    <w:uiPriority w:val="34"/>
    <w:pPr>
      <w:ind w:firstLine="420" w:firstLineChars="200"/>
    </w:pPr>
  </w:style>
  <w:style w:type="character" w:customStyle="1" w:styleId="121">
    <w:name w:val="bjh-p"/>
    <w:basedOn w:val="40"/>
    <w:qFormat/>
    <w:uiPriority w:val="0"/>
  </w:style>
  <w:style w:type="character" w:customStyle="1" w:styleId="122">
    <w:name w:val="font12"/>
    <w:basedOn w:val="40"/>
    <w:qFormat/>
    <w:uiPriority w:val="0"/>
    <w:rPr>
      <w:rFonts w:hint="eastAsia" w:ascii="宋体" w:hAnsi="宋体" w:eastAsia="宋体" w:cs="宋体"/>
      <w:color w:val="000000"/>
      <w:sz w:val="20"/>
      <w:szCs w:val="20"/>
      <w:u w:val="none"/>
    </w:rPr>
  </w:style>
  <w:style w:type="character" w:customStyle="1" w:styleId="123">
    <w:name w:val="font41"/>
    <w:basedOn w:val="40"/>
    <w:qFormat/>
    <w:uiPriority w:val="0"/>
    <w:rPr>
      <w:rFonts w:hint="eastAsia" w:ascii="宋体" w:hAnsi="宋体" w:eastAsia="宋体" w:cs="宋体"/>
      <w:b/>
      <w:bCs/>
      <w:color w:val="000000"/>
      <w:sz w:val="22"/>
      <w:szCs w:val="22"/>
      <w:u w:val="none"/>
    </w:rPr>
  </w:style>
  <w:style w:type="character" w:customStyle="1" w:styleId="124">
    <w:name w:val="font81"/>
    <w:basedOn w:val="40"/>
    <w:qFormat/>
    <w:uiPriority w:val="0"/>
    <w:rPr>
      <w:rFonts w:ascii="Calibri" w:hAnsi="Calibri" w:cs="Calibri"/>
      <w:b/>
      <w:bCs/>
      <w:color w:val="000000"/>
      <w:sz w:val="22"/>
      <w:szCs w:val="22"/>
      <w:u w:val="none"/>
    </w:rPr>
  </w:style>
  <w:style w:type="character" w:customStyle="1" w:styleId="125">
    <w:name w:val="font71"/>
    <w:basedOn w:val="40"/>
    <w:qFormat/>
    <w:uiPriority w:val="0"/>
    <w:rPr>
      <w:rFonts w:hint="eastAsia" w:ascii="宋体" w:hAnsi="宋体" w:eastAsia="宋体" w:cs="宋体"/>
      <w:b/>
      <w:bCs/>
      <w:color w:val="000000"/>
      <w:sz w:val="30"/>
      <w:szCs w:val="30"/>
      <w:u w:val="none"/>
      <w:vertAlign w:val="superscript"/>
    </w:rPr>
  </w:style>
  <w:style w:type="character" w:customStyle="1" w:styleId="126">
    <w:name w:val="font112"/>
    <w:basedOn w:val="40"/>
    <w:qFormat/>
    <w:uiPriority w:val="0"/>
    <w:rPr>
      <w:rFonts w:hint="eastAsia" w:ascii="宋体" w:hAnsi="宋体" w:eastAsia="宋体" w:cs="宋体"/>
      <w:color w:val="000000"/>
      <w:sz w:val="20"/>
      <w:szCs w:val="20"/>
      <w:u w:val="none"/>
    </w:rPr>
  </w:style>
  <w:style w:type="paragraph" w:styleId="127">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28">
    <w:name w:val="TOC 标题1"/>
    <w:basedOn w:val="2"/>
    <w:next w:val="1"/>
    <w:unhideWhenUsed/>
    <w:qFormat/>
    <w:uiPriority w:val="39"/>
    <w:pPr>
      <w:keepNext w:val="0"/>
      <w:keepLines w:val="0"/>
      <w:widowControl/>
      <w:spacing w:before="480" w:after="0" w:line="276" w:lineRule="auto"/>
      <w:jc w:val="left"/>
      <w:outlineLvl w:val="9"/>
    </w:pPr>
    <w:rPr>
      <w:rFonts w:asciiTheme="majorHAnsi" w:hAnsiTheme="majorHAnsi" w:eastAsiaTheme="majorEastAsia" w:cstheme="majorBidi"/>
      <w:bCs w:val="0"/>
      <w:color w:val="2E75B6" w:themeColor="accent1" w:themeShade="BF"/>
      <w:kern w:val="0"/>
      <w:sz w:val="28"/>
      <w:szCs w:val="28"/>
    </w:rPr>
  </w:style>
  <w:style w:type="character" w:customStyle="1" w:styleId="129">
    <w:name w:val="font131"/>
    <w:basedOn w:val="40"/>
    <w:qFormat/>
    <w:uiPriority w:val="0"/>
    <w:rPr>
      <w:rFonts w:hint="eastAsia" w:ascii="宋体" w:hAnsi="宋体" w:eastAsia="宋体" w:cs="宋体"/>
      <w:strike/>
      <w:color w:val="FF0000"/>
      <w:sz w:val="22"/>
      <w:szCs w:val="22"/>
    </w:rPr>
  </w:style>
  <w:style w:type="character" w:customStyle="1" w:styleId="130">
    <w:name w:val="font91"/>
    <w:basedOn w:val="40"/>
    <w:qFormat/>
    <w:uiPriority w:val="0"/>
    <w:rPr>
      <w:rFonts w:hint="eastAsia" w:ascii="宋体" w:hAnsi="宋体" w:eastAsia="宋体" w:cs="宋体"/>
      <w:color w:val="000000"/>
      <w:sz w:val="22"/>
      <w:szCs w:val="22"/>
      <w:u w:val="none"/>
    </w:rPr>
  </w:style>
  <w:style w:type="character" w:customStyle="1" w:styleId="131">
    <w:name w:val="font151"/>
    <w:basedOn w:val="40"/>
    <w:qFormat/>
    <w:uiPriority w:val="0"/>
    <w:rPr>
      <w:rFonts w:hint="eastAsia" w:ascii="宋体" w:hAnsi="宋体" w:eastAsia="宋体" w:cs="宋体"/>
      <w:color w:val="FF0000"/>
      <w:sz w:val="22"/>
      <w:szCs w:val="22"/>
      <w:u w:val="none"/>
    </w:rPr>
  </w:style>
  <w:style w:type="character" w:customStyle="1" w:styleId="132">
    <w:name w:val="font191"/>
    <w:basedOn w:val="40"/>
    <w:qFormat/>
    <w:uiPriority w:val="0"/>
    <w:rPr>
      <w:rFonts w:hint="eastAsia" w:ascii="宋体" w:hAnsi="宋体" w:eastAsia="宋体" w:cs="宋体"/>
      <w:strike/>
      <w:color w:val="000000"/>
      <w:sz w:val="22"/>
      <w:szCs w:val="22"/>
    </w:rPr>
  </w:style>
  <w:style w:type="character" w:customStyle="1" w:styleId="133">
    <w:name w:val="font171"/>
    <w:basedOn w:val="40"/>
    <w:qFormat/>
    <w:uiPriority w:val="0"/>
    <w:rPr>
      <w:rFonts w:hint="eastAsia" w:ascii="宋体" w:hAnsi="宋体" w:eastAsia="宋体" w:cs="宋体"/>
      <w:color w:val="FF0000"/>
      <w:sz w:val="22"/>
      <w:szCs w:val="22"/>
      <w:u w:val="none"/>
    </w:rPr>
  </w:style>
  <w:style w:type="character" w:customStyle="1" w:styleId="134">
    <w:name w:val="font141"/>
    <w:basedOn w:val="40"/>
    <w:qFormat/>
    <w:uiPriority w:val="0"/>
    <w:rPr>
      <w:rFonts w:hint="default" w:ascii="Arial" w:hAnsi="Arial" w:cs="Arial"/>
      <w:color w:val="000000"/>
      <w:sz w:val="22"/>
      <w:szCs w:val="22"/>
      <w:u w:val="none"/>
    </w:rPr>
  </w:style>
  <w:style w:type="character" w:customStyle="1" w:styleId="135">
    <w:name w:val="font61"/>
    <w:basedOn w:val="40"/>
    <w:qFormat/>
    <w:uiPriority w:val="0"/>
    <w:rPr>
      <w:rFonts w:hint="eastAsia" w:ascii="宋体" w:hAnsi="宋体" w:eastAsia="宋体" w:cs="宋体"/>
      <w:color w:val="000000"/>
      <w:sz w:val="22"/>
      <w:szCs w:val="22"/>
      <w:u w:val="none"/>
    </w:rPr>
  </w:style>
  <w:style w:type="character" w:customStyle="1" w:styleId="136">
    <w:name w:val="font201"/>
    <w:basedOn w:val="40"/>
    <w:qFormat/>
    <w:uiPriority w:val="0"/>
    <w:rPr>
      <w:rFonts w:hint="eastAsia" w:ascii="宋体" w:hAnsi="宋体" w:eastAsia="宋体" w:cs="宋体"/>
      <w:b/>
      <w:bCs/>
      <w:color w:val="000000"/>
      <w:sz w:val="40"/>
      <w:szCs w:val="40"/>
      <w:u w:val="none"/>
    </w:rPr>
  </w:style>
  <w:style w:type="character" w:customStyle="1" w:styleId="137">
    <w:name w:val="font121"/>
    <w:basedOn w:val="40"/>
    <w:qFormat/>
    <w:uiPriority w:val="0"/>
    <w:rPr>
      <w:rFonts w:ascii="Arial" w:hAnsi="Arial" w:cs="Arial"/>
      <w:color w:val="000000"/>
      <w:sz w:val="18"/>
      <w:szCs w:val="18"/>
      <w:u w:val="none"/>
    </w:rPr>
  </w:style>
  <w:style w:type="paragraph" w:customStyle="1" w:styleId="138">
    <w:name w:val="WPSOffice手动目录 1"/>
    <w:qFormat/>
    <w:uiPriority w:val="0"/>
    <w:rPr>
      <w:rFonts w:ascii="Times New Roman" w:hAnsi="Times New Roman" w:eastAsia="宋体" w:cs="Times New Roman"/>
      <w:lang w:val="en-US" w:eastAsia="zh-CN" w:bidi="ar-SA"/>
    </w:rPr>
  </w:style>
  <w:style w:type="paragraph" w:customStyle="1" w:styleId="139">
    <w:name w:val="正文段"/>
    <w:basedOn w:val="1"/>
    <w:qFormat/>
    <w:uiPriority w:val="0"/>
    <w:pPr>
      <w:widowControl/>
      <w:snapToGrid w:val="0"/>
      <w:spacing w:afterLines="50"/>
      <w:ind w:firstLine="200" w:firstLineChars="200"/>
    </w:pPr>
    <w:rPr>
      <w:kern w:val="0"/>
      <w:sz w:val="24"/>
      <w:szCs w:val="20"/>
    </w:rPr>
  </w:style>
  <w:style w:type="paragraph" w:customStyle="1" w:styleId="140">
    <w:name w:val="Normal Indent1"/>
    <w:basedOn w:val="1"/>
    <w:qFormat/>
    <w:uiPriority w:val="0"/>
    <w:pPr>
      <w:ind w:firstLine="420" w:firstLineChars="200"/>
    </w:pPr>
  </w:style>
  <w:style w:type="paragraph" w:customStyle="1" w:styleId="141">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142">
    <w:name w:val="15"/>
    <w:basedOn w:val="40"/>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22819</Words>
  <Characters>24549</Characters>
  <Lines>578</Lines>
  <Paragraphs>162</Paragraphs>
  <TotalTime>0</TotalTime>
  <ScaleCrop>false</ScaleCrop>
  <LinksUpToDate>false</LinksUpToDate>
  <CharactersWithSpaces>24912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2021-03-01T07:14:00Z</dcterms:created>
  <dc:creator>Administrator</dc:creator>
  <cp:lastModifiedBy>CL~</cp:lastModifiedBy>
  <cp:lastPrinted>2025-06-18T05:18:00Z</cp:lastPrinted>
  <dcterms:modified xsi:type="dcterms:W3CDTF">2025-06-20T03:47:56Z</dcterms:modified>
  <dc:title>东阳市鑫盛工程咨询有限公司关于东阳市广福路以南、望江路以西地块-上王公寓</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2F298C46E53D4CCD95F450330E9A0FE2_13</vt:lpwstr>
  </property>
  <property fmtid="{D5CDD505-2E9C-101B-9397-08002B2CF9AE}" pid="4" name="KSOTemplateDocerSaveRecord">
    <vt:lpwstr>eyJoZGlkIjoiYmM5ZjEyMzliYzU1N2UyZmZiNmQ5NzM0NDYwOGM2YmEiLCJ1c2VySWQiOiI5MzA5MTk4MjYifQ==</vt:lpwstr>
  </property>
</Properties>
</file>