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09C67">
      <w:pPr>
        <w:pStyle w:val="27"/>
        <w:jc w:val="center"/>
        <w:rPr>
          <w:rFonts w:hint="eastAsia" w:asciiTheme="minorEastAsia" w:hAnsiTheme="minorEastAsia" w:eastAsiaTheme="minorEastAsia" w:cstheme="minorEastAsia"/>
          <w:b/>
          <w:color w:val="auto"/>
          <w:sz w:val="48"/>
          <w:szCs w:val="48"/>
          <w:highlight w:val="none"/>
          <w:u w:val="none"/>
          <w:lang w:eastAsia="zh-CN"/>
        </w:rPr>
      </w:pPr>
    </w:p>
    <w:p w14:paraId="3EF4BF60">
      <w:pPr>
        <w:pStyle w:val="27"/>
        <w:jc w:val="center"/>
        <w:rPr>
          <w:color w:val="auto"/>
          <w:sz w:val="48"/>
          <w:szCs w:val="48"/>
          <w:highlight w:val="none"/>
          <w:u w:val="none"/>
        </w:rPr>
      </w:pPr>
      <w:r>
        <w:rPr>
          <w:rFonts w:hint="eastAsia" w:asciiTheme="minorEastAsia" w:hAnsiTheme="minorEastAsia" w:eastAsiaTheme="minorEastAsia" w:cstheme="minorEastAsia"/>
          <w:b/>
          <w:color w:val="auto"/>
          <w:sz w:val="48"/>
          <w:szCs w:val="48"/>
          <w:highlight w:val="none"/>
          <w:u w:val="none"/>
          <w:lang w:eastAsia="zh-CN"/>
        </w:rPr>
        <w:t>金华至臻工程咨询有限公司关于</w:t>
      </w:r>
      <w:r>
        <w:rPr>
          <w:rFonts w:hint="eastAsia" w:ascii="宋体" w:hAnsi="宋体"/>
          <w:b/>
          <w:bCs/>
          <w:sz w:val="48"/>
          <w:szCs w:val="48"/>
          <w:highlight w:val="none"/>
          <w:u w:val="none"/>
          <w:lang w:val="en-US" w:eastAsia="zh-CN"/>
        </w:rPr>
        <w:t>画溪初中食堂及周边道路改造项目</w:t>
      </w:r>
    </w:p>
    <w:p w14:paraId="6CA809A0">
      <w:pPr>
        <w:pStyle w:val="27"/>
        <w:rPr>
          <w:rFonts w:ascii="宋体" w:hAnsi="宋体" w:cs="宋体"/>
          <w:color w:val="auto"/>
          <w:sz w:val="40"/>
          <w:szCs w:val="40"/>
          <w:highlight w:val="none"/>
        </w:rPr>
      </w:pPr>
    </w:p>
    <w:p w14:paraId="3635E27C">
      <w:pPr>
        <w:pStyle w:val="27"/>
        <w:rPr>
          <w:rFonts w:ascii="宋体" w:hAnsi="宋体" w:cs="宋体"/>
          <w:color w:val="auto"/>
          <w:sz w:val="24"/>
          <w:szCs w:val="24"/>
          <w:highlight w:val="none"/>
        </w:rPr>
      </w:pPr>
    </w:p>
    <w:p w14:paraId="03C9F11B">
      <w:pPr>
        <w:pStyle w:val="33"/>
        <w:rPr>
          <w:color w:val="auto"/>
          <w:highlight w:val="none"/>
        </w:rPr>
      </w:pPr>
    </w:p>
    <w:p w14:paraId="38D42083">
      <w:pPr>
        <w:rPr>
          <w:color w:val="auto"/>
          <w:highlight w:val="none"/>
        </w:rPr>
      </w:pPr>
    </w:p>
    <w:p w14:paraId="04C847A5">
      <w:pPr>
        <w:pStyle w:val="33"/>
        <w:rPr>
          <w:color w:val="auto"/>
          <w:highlight w:val="none"/>
        </w:rPr>
      </w:pPr>
    </w:p>
    <w:p w14:paraId="351FB6CB">
      <w:pPr>
        <w:rPr>
          <w:rFonts w:ascii="宋体" w:hAnsi="宋体" w:cs="宋体"/>
          <w:color w:val="auto"/>
          <w:sz w:val="24"/>
          <w:highlight w:val="none"/>
        </w:rPr>
      </w:pPr>
    </w:p>
    <w:p w14:paraId="129C0476">
      <w:pPr>
        <w:pStyle w:val="3"/>
        <w:jc w:val="center"/>
        <w:rPr>
          <w:rFonts w:hint="eastAsia" w:ascii="宋体" w:hAnsi="宋体" w:cs="宋体"/>
          <w:b/>
          <w:bCs/>
          <w:color w:val="auto"/>
          <w:sz w:val="72"/>
          <w:szCs w:val="72"/>
          <w:highlight w:val="none"/>
          <w:lang w:val="en-US" w:eastAsia="zh-CN"/>
        </w:rPr>
      </w:pPr>
    </w:p>
    <w:p w14:paraId="704AD335">
      <w:pPr>
        <w:pStyle w:val="3"/>
        <w:jc w:val="center"/>
        <w:rPr>
          <w:color w:val="auto"/>
          <w:sz w:val="52"/>
          <w:szCs w:val="52"/>
          <w:highlight w:val="none"/>
        </w:rPr>
      </w:pPr>
      <w:r>
        <w:rPr>
          <w:rFonts w:hint="eastAsia" w:ascii="宋体" w:hAnsi="宋体" w:cs="宋体"/>
          <w:b/>
          <w:bCs/>
          <w:color w:val="auto"/>
          <w:sz w:val="52"/>
          <w:szCs w:val="52"/>
          <w:highlight w:val="none"/>
          <w:lang w:val="en-US" w:eastAsia="zh-CN"/>
        </w:rPr>
        <w:t>竞争性磋商文件</w:t>
      </w:r>
    </w:p>
    <w:p w14:paraId="5851EF39">
      <w:pPr>
        <w:rPr>
          <w:color w:val="auto"/>
          <w:highlight w:val="none"/>
        </w:rPr>
      </w:pPr>
    </w:p>
    <w:p w14:paraId="27719563">
      <w:pPr>
        <w:rPr>
          <w:rFonts w:ascii="宋体" w:hAnsi="宋体" w:cs="宋体"/>
          <w:color w:val="auto"/>
          <w:sz w:val="24"/>
          <w:highlight w:val="none"/>
        </w:rPr>
      </w:pPr>
    </w:p>
    <w:p w14:paraId="077C94BB">
      <w:pPr>
        <w:pStyle w:val="12"/>
        <w:rPr>
          <w:color w:val="auto"/>
          <w:highlight w:val="none"/>
        </w:rPr>
      </w:pPr>
    </w:p>
    <w:p w14:paraId="44D05132">
      <w:pPr>
        <w:pStyle w:val="13"/>
        <w:rPr>
          <w:color w:val="auto"/>
          <w:highlight w:val="none"/>
        </w:rPr>
      </w:pPr>
    </w:p>
    <w:p w14:paraId="7FD2E561">
      <w:pPr>
        <w:pStyle w:val="13"/>
        <w:rPr>
          <w:color w:val="auto"/>
          <w:highlight w:val="none"/>
        </w:rPr>
      </w:pPr>
    </w:p>
    <w:p w14:paraId="32592151">
      <w:pPr>
        <w:pStyle w:val="13"/>
        <w:rPr>
          <w:color w:val="auto"/>
          <w:highlight w:val="none"/>
        </w:rPr>
      </w:pPr>
    </w:p>
    <w:p w14:paraId="4D754176">
      <w:pPr>
        <w:pStyle w:val="13"/>
        <w:rPr>
          <w:color w:val="auto"/>
          <w:highlight w:val="none"/>
        </w:rPr>
      </w:pPr>
    </w:p>
    <w:p w14:paraId="147BD200">
      <w:pPr>
        <w:rPr>
          <w:rFonts w:ascii="宋体" w:hAnsi="宋体" w:cs="宋体"/>
          <w:color w:val="auto"/>
          <w:sz w:val="24"/>
          <w:highlight w:val="none"/>
        </w:rPr>
      </w:pPr>
    </w:p>
    <w:p w14:paraId="2DEE8236">
      <w:pPr>
        <w:spacing w:line="480" w:lineRule="auto"/>
        <w:ind w:firstLine="643" w:firstLineChars="200"/>
        <w:jc w:val="left"/>
        <w:rPr>
          <w:rFonts w:hint="default" w:ascii="宋体" w:hAnsi="宋体" w:eastAsia="宋体" w:cs="宋体"/>
          <w:b/>
          <w:bCs/>
          <w:color w:val="auto"/>
          <w:sz w:val="32"/>
          <w:szCs w:val="32"/>
          <w:highlight w:val="none"/>
          <w:lang w:val="en-US" w:eastAsia="zh-CN"/>
        </w:rPr>
      </w:pPr>
      <w:r>
        <w:rPr>
          <w:rFonts w:hint="eastAsia" w:ascii="宋体" w:hAnsi="宋体" w:cs="宋体"/>
          <w:b/>
          <w:bCs/>
          <w:color w:val="auto"/>
          <w:kern w:val="0"/>
          <w:sz w:val="32"/>
          <w:szCs w:val="32"/>
          <w:highlight w:val="none"/>
        </w:rPr>
        <w:t>磋商编号：</w:t>
      </w:r>
      <w:r>
        <w:rPr>
          <w:rFonts w:hint="eastAsia" w:ascii="宋体" w:hAnsi="宋体" w:cs="宋体"/>
          <w:b/>
          <w:bCs/>
          <w:color w:val="auto"/>
          <w:kern w:val="0"/>
          <w:sz w:val="32"/>
          <w:szCs w:val="32"/>
          <w:highlight w:val="none"/>
          <w:lang w:val="en-US" w:eastAsia="zh-CN"/>
        </w:rPr>
        <w:t>JHZZGC2025-003</w:t>
      </w:r>
    </w:p>
    <w:p w14:paraId="13C5818C">
      <w:pPr>
        <w:pStyle w:val="27"/>
        <w:ind w:firstLine="643" w:firstLineChars="200"/>
        <w:jc w:val="both"/>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项目名称</w:t>
      </w:r>
      <w:r>
        <w:rPr>
          <w:rFonts w:hint="eastAsia" w:ascii="宋体" w:hAnsi="宋体" w:eastAsia="宋体" w:cs="宋体"/>
          <w:b/>
          <w:bCs/>
          <w:color w:val="auto"/>
          <w:kern w:val="0"/>
          <w:sz w:val="32"/>
          <w:szCs w:val="32"/>
          <w:highlight w:val="none"/>
          <w:lang w:val="en-US" w:eastAsia="zh-CN" w:bidi="ar-SA"/>
        </w:rPr>
        <w:t>：</w:t>
      </w:r>
      <w:r>
        <w:rPr>
          <w:rFonts w:hint="eastAsia" w:ascii="宋体" w:hAnsi="宋体" w:cs="宋体"/>
          <w:b/>
          <w:bCs/>
          <w:color w:val="auto"/>
          <w:kern w:val="0"/>
          <w:sz w:val="32"/>
          <w:szCs w:val="32"/>
          <w:highlight w:val="none"/>
          <w:lang w:val="en-US" w:eastAsia="zh-CN" w:bidi="ar-SA"/>
        </w:rPr>
        <w:t>画溪初中食堂及周边道路改造项目</w:t>
      </w:r>
    </w:p>
    <w:p w14:paraId="53F79EAF">
      <w:pPr>
        <w:spacing w:line="480" w:lineRule="auto"/>
        <w:ind w:left="2244" w:leftChars="304" w:hanging="1606" w:hangingChars="500"/>
        <w:jc w:val="left"/>
        <w:rPr>
          <w:rFonts w:hint="eastAsia" w:ascii="宋体" w:hAnsi="宋体" w:cs="宋体"/>
          <w:b/>
          <w:bCs/>
          <w:color w:val="auto"/>
          <w:kern w:val="0"/>
          <w:sz w:val="32"/>
          <w:szCs w:val="32"/>
          <w:highlight w:val="none"/>
          <w:lang w:eastAsia="zh-CN"/>
        </w:rPr>
      </w:pPr>
    </w:p>
    <w:p w14:paraId="14B92785">
      <w:pPr>
        <w:spacing w:line="480" w:lineRule="auto"/>
        <w:ind w:firstLine="643" w:firstLineChars="200"/>
        <w:jc w:val="left"/>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采购单位：</w:t>
      </w:r>
      <w:r>
        <w:rPr>
          <w:rFonts w:hint="eastAsia" w:ascii="宋体" w:hAnsi="宋体" w:cs="宋体"/>
          <w:b/>
          <w:bCs/>
          <w:color w:val="auto"/>
          <w:kern w:val="0"/>
          <w:sz w:val="32"/>
          <w:szCs w:val="32"/>
          <w:highlight w:val="none"/>
          <w:lang w:eastAsia="zh-CN"/>
        </w:rPr>
        <w:t>东阳市画水镇画溪初级中学</w:t>
      </w:r>
      <w:r>
        <w:rPr>
          <w:rFonts w:hint="eastAsia" w:ascii="宋体" w:hAnsi="宋体" w:eastAsia="宋体" w:cs="宋体"/>
          <w:b/>
          <w:bCs/>
          <w:color w:val="auto"/>
          <w:kern w:val="0"/>
          <w:sz w:val="32"/>
          <w:szCs w:val="32"/>
          <w:highlight w:val="none"/>
          <w:lang w:val="en-US" w:eastAsia="zh-CN" w:bidi="ar-SA"/>
        </w:rPr>
        <w:t xml:space="preserve"> </w:t>
      </w:r>
    </w:p>
    <w:p w14:paraId="60CBB541">
      <w:pPr>
        <w:spacing w:line="480" w:lineRule="auto"/>
        <w:ind w:firstLine="643" w:firstLineChars="200"/>
        <w:jc w:val="left"/>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招标机构：</w:t>
      </w:r>
      <w:r>
        <w:rPr>
          <w:rFonts w:hint="eastAsia" w:ascii="宋体" w:hAnsi="宋体" w:cs="宋体"/>
          <w:b/>
          <w:bCs/>
          <w:color w:val="auto"/>
          <w:kern w:val="0"/>
          <w:sz w:val="32"/>
          <w:szCs w:val="32"/>
          <w:highlight w:val="none"/>
          <w:lang w:eastAsia="zh-CN"/>
        </w:rPr>
        <w:t>金华至臻工程咨询有限公司</w:t>
      </w:r>
    </w:p>
    <w:p w14:paraId="617329C1">
      <w:pPr>
        <w:pStyle w:val="12"/>
        <w:rPr>
          <w:rFonts w:hint="eastAsia"/>
          <w:highlight w:val="none"/>
        </w:rPr>
      </w:pPr>
    </w:p>
    <w:p w14:paraId="73DA1C32">
      <w:pPr>
        <w:pStyle w:val="22"/>
        <w:spacing w:line="480" w:lineRule="auto"/>
        <w:ind w:firstLine="859" w:firstLineChars="300"/>
        <w:jc w:val="both"/>
        <w:rPr>
          <w:rFonts w:ascii="宋体" w:hAnsi="宋体" w:cs="宋体"/>
          <w:b/>
          <w:color w:val="auto"/>
          <w:sz w:val="32"/>
          <w:szCs w:val="32"/>
          <w:highlight w:val="none"/>
        </w:rPr>
      </w:pPr>
      <w:r>
        <w:rPr>
          <w:rFonts w:hint="eastAsia" w:ascii="宋体" w:hAnsi="宋体" w:cs="宋体"/>
          <w:b/>
          <w:bCs/>
          <w:color w:val="auto"/>
          <w:w w:val="95"/>
          <w:sz w:val="30"/>
          <w:szCs w:val="30"/>
          <w:highlight w:val="none"/>
          <w:lang w:val="en-US" w:eastAsia="zh-CN"/>
        </w:rPr>
        <w:t xml:space="preserve">编制时间：二〇二五 </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 xml:space="preserve"> 六 </w:t>
      </w:r>
      <w:r>
        <w:rPr>
          <w:rFonts w:hint="eastAsia" w:ascii="宋体" w:hAnsi="宋体" w:cs="宋体"/>
          <w:b/>
          <w:bCs/>
          <w:color w:val="auto"/>
          <w:w w:val="95"/>
          <w:sz w:val="30"/>
          <w:szCs w:val="30"/>
          <w:highlight w:val="none"/>
        </w:rPr>
        <w:t>月</w:t>
      </w:r>
    </w:p>
    <w:p w14:paraId="10A9C247">
      <w:pPr>
        <w:pStyle w:val="139"/>
        <w:widowControl w:val="0"/>
        <w:tabs>
          <w:tab w:val="left" w:pos="6467"/>
        </w:tabs>
        <w:spacing w:beforeLines="125" w:afterLines="175" w:line="340" w:lineRule="exact"/>
        <w:ind w:firstLine="0" w:firstLineChars="0"/>
        <w:jc w:val="left"/>
        <w:rPr>
          <w:rFonts w:hint="eastAsia" w:eastAsia="宋体"/>
          <w:b/>
          <w:sz w:val="48"/>
          <w:szCs w:val="48"/>
          <w:highlight w:val="none"/>
          <w:lang w:eastAsia="zh-CN"/>
        </w:rPr>
      </w:pPr>
      <w:r>
        <w:rPr>
          <w:rFonts w:hint="eastAsia"/>
          <w:b/>
          <w:sz w:val="48"/>
          <w:szCs w:val="48"/>
          <w:highlight w:val="none"/>
          <w:lang w:eastAsia="zh-CN"/>
        </w:rPr>
        <w:tab/>
      </w:r>
    </w:p>
    <w:p w14:paraId="3A9FE97C">
      <w:pPr>
        <w:pStyle w:val="139"/>
        <w:widowControl w:val="0"/>
        <w:spacing w:beforeLines="125" w:afterLines="175" w:line="340" w:lineRule="exact"/>
        <w:ind w:firstLine="0" w:firstLineChars="0"/>
        <w:jc w:val="both"/>
        <w:rPr>
          <w:rFonts w:hint="eastAsia"/>
          <w:b/>
          <w:sz w:val="48"/>
          <w:szCs w:val="48"/>
          <w:highlight w:val="none"/>
        </w:rPr>
      </w:pPr>
    </w:p>
    <w:p w14:paraId="736CBE4E">
      <w:pPr>
        <w:pStyle w:val="139"/>
        <w:keepNext w:val="0"/>
        <w:keepLines w:val="0"/>
        <w:pageBreakBefore w:val="0"/>
        <w:widowControl w:val="0"/>
        <w:kinsoku/>
        <w:wordWrap/>
        <w:overflowPunct/>
        <w:topLinePunct w:val="0"/>
        <w:autoSpaceDE/>
        <w:autoSpaceDN/>
        <w:bidi w:val="0"/>
        <w:adjustRightInd/>
        <w:snapToGrid w:val="0"/>
        <w:spacing w:beforeLines="125" w:afterLines="175" w:line="360" w:lineRule="auto"/>
        <w:ind w:firstLine="0" w:firstLineChars="0"/>
        <w:jc w:val="center"/>
        <w:textAlignment w:val="auto"/>
        <w:rPr>
          <w:b/>
          <w:sz w:val="48"/>
          <w:szCs w:val="48"/>
          <w:highlight w:val="none"/>
        </w:rPr>
      </w:pPr>
      <w:r>
        <w:rPr>
          <w:rFonts w:hint="eastAsia"/>
          <w:b/>
          <w:sz w:val="48"/>
          <w:szCs w:val="48"/>
          <w:highlight w:val="none"/>
        </w:rPr>
        <w:t>目</w:t>
      </w:r>
      <w:r>
        <w:rPr>
          <w:rFonts w:hint="eastAsia"/>
          <w:b/>
          <w:sz w:val="48"/>
          <w:szCs w:val="48"/>
          <w:highlight w:val="none"/>
          <w:lang w:val="en-US" w:eastAsia="zh-CN"/>
        </w:rPr>
        <w:t xml:space="preserve"> </w:t>
      </w:r>
      <w:r>
        <w:rPr>
          <w:rFonts w:hint="eastAsia"/>
          <w:b/>
          <w:sz w:val="48"/>
          <w:szCs w:val="48"/>
          <w:highlight w:val="none"/>
        </w:rPr>
        <w:t>录</w:t>
      </w:r>
    </w:p>
    <w:sdt>
      <w:sdtPr>
        <w:rPr>
          <w:rFonts w:ascii="宋体" w:hAnsi="宋体"/>
          <w:highlight w:val="none"/>
        </w:rPr>
        <w:id w:val="147476861"/>
        <w:docPartObj>
          <w:docPartGallery w:val="Table of Contents"/>
          <w:docPartUnique/>
        </w:docPartObj>
      </w:sdtPr>
      <w:sdtEndPr>
        <w:rPr>
          <w:rFonts w:ascii="Times New Roman" w:hAnsi="Times New Roman"/>
          <w:highlight w:val="none"/>
        </w:rPr>
      </w:sdtEndPr>
      <w:sdtContent>
        <w:p w14:paraId="182B066A">
          <w:pPr>
            <w:jc w:val="center"/>
            <w:rPr>
              <w:highlight w:val="none"/>
            </w:rPr>
          </w:pPr>
        </w:p>
        <w:p w14:paraId="350884FD">
          <w:pPr>
            <w:pStyle w:val="138"/>
            <w:tabs>
              <w:tab w:val="right" w:leader="dot" w:pos="9412"/>
            </w:tabs>
            <w:spacing w:line="360" w:lineRule="auto"/>
            <w:rPr>
              <w:sz w:val="30"/>
              <w:szCs w:val="30"/>
              <w:highlight w:val="none"/>
            </w:rPr>
          </w:pPr>
          <w:r>
            <w:rPr>
              <w:sz w:val="30"/>
              <w:szCs w:val="30"/>
              <w:highlight w:val="none"/>
            </w:rPr>
            <w:fldChar w:fldCharType="begin"/>
          </w:r>
          <w:r>
            <w:rPr>
              <w:sz w:val="30"/>
              <w:szCs w:val="30"/>
              <w:highlight w:val="none"/>
            </w:rPr>
            <w:instrText xml:space="preserve">TOC \o "1-1" \h \u </w:instrText>
          </w:r>
          <w:r>
            <w:rPr>
              <w:sz w:val="30"/>
              <w:szCs w:val="30"/>
              <w:highlight w:val="none"/>
            </w:rPr>
            <w:fldChar w:fldCharType="separate"/>
          </w:r>
          <w:r>
            <w:rPr>
              <w:highlight w:val="none"/>
            </w:rPr>
            <w:fldChar w:fldCharType="begin"/>
          </w:r>
          <w:r>
            <w:rPr>
              <w:highlight w:val="none"/>
            </w:rPr>
            <w:instrText xml:space="preserve"> HYPERLINK \l "_Toc1215" </w:instrText>
          </w:r>
          <w:r>
            <w:rPr>
              <w:highlight w:val="none"/>
            </w:rPr>
            <w:fldChar w:fldCharType="separate"/>
          </w:r>
          <w:r>
            <w:rPr>
              <w:rFonts w:hint="eastAsia"/>
              <w:sz w:val="30"/>
              <w:szCs w:val="30"/>
              <w:highlight w:val="none"/>
            </w:rPr>
            <w:t>第一章  竞争性磋商公告</w:t>
          </w:r>
          <w:r>
            <w:rPr>
              <w:sz w:val="30"/>
              <w:szCs w:val="30"/>
              <w:highlight w:val="none"/>
            </w:rPr>
            <w:fldChar w:fldCharType="end"/>
          </w:r>
        </w:p>
        <w:p w14:paraId="17E494BD">
          <w:pPr>
            <w:pStyle w:val="138"/>
            <w:tabs>
              <w:tab w:val="right" w:leader="dot" w:pos="9412"/>
            </w:tabs>
            <w:spacing w:line="360" w:lineRule="auto"/>
            <w:rPr>
              <w:sz w:val="30"/>
              <w:szCs w:val="30"/>
              <w:highlight w:val="none"/>
            </w:rPr>
          </w:pPr>
          <w:r>
            <w:rPr>
              <w:highlight w:val="none"/>
            </w:rPr>
            <w:fldChar w:fldCharType="begin"/>
          </w:r>
          <w:r>
            <w:rPr>
              <w:highlight w:val="none"/>
            </w:rPr>
            <w:instrText xml:space="preserve"> HYPERLINK \l "_Toc6904" </w:instrText>
          </w:r>
          <w:r>
            <w:rPr>
              <w:highlight w:val="none"/>
            </w:rPr>
            <w:fldChar w:fldCharType="separate"/>
          </w:r>
          <w:r>
            <w:rPr>
              <w:rFonts w:hint="eastAsia"/>
              <w:sz w:val="30"/>
              <w:szCs w:val="30"/>
              <w:highlight w:val="none"/>
            </w:rPr>
            <w:t>第二章  采购需求</w:t>
          </w:r>
          <w:r>
            <w:rPr>
              <w:sz w:val="30"/>
              <w:szCs w:val="30"/>
              <w:highlight w:val="none"/>
            </w:rPr>
            <w:fldChar w:fldCharType="end"/>
          </w:r>
        </w:p>
        <w:p w14:paraId="617445FC">
          <w:pPr>
            <w:pStyle w:val="138"/>
            <w:tabs>
              <w:tab w:val="right" w:leader="dot" w:pos="9412"/>
            </w:tabs>
            <w:spacing w:line="360" w:lineRule="auto"/>
            <w:rPr>
              <w:sz w:val="30"/>
              <w:szCs w:val="30"/>
              <w:highlight w:val="none"/>
            </w:rPr>
          </w:pPr>
          <w:r>
            <w:rPr>
              <w:highlight w:val="none"/>
            </w:rPr>
            <w:fldChar w:fldCharType="begin"/>
          </w:r>
          <w:r>
            <w:rPr>
              <w:highlight w:val="none"/>
            </w:rPr>
            <w:instrText xml:space="preserve"> HYPERLINK \l "_Toc27500" </w:instrText>
          </w:r>
          <w:r>
            <w:rPr>
              <w:highlight w:val="none"/>
            </w:rPr>
            <w:fldChar w:fldCharType="separate"/>
          </w:r>
          <w:r>
            <w:rPr>
              <w:rFonts w:hint="eastAsia"/>
              <w:sz w:val="30"/>
              <w:szCs w:val="30"/>
              <w:highlight w:val="none"/>
            </w:rPr>
            <w:t>第三章  供应商须知</w:t>
          </w:r>
          <w:r>
            <w:rPr>
              <w:sz w:val="30"/>
              <w:szCs w:val="30"/>
              <w:highlight w:val="none"/>
            </w:rPr>
            <w:fldChar w:fldCharType="end"/>
          </w:r>
        </w:p>
        <w:p w14:paraId="753EE8BE">
          <w:pPr>
            <w:pStyle w:val="138"/>
            <w:tabs>
              <w:tab w:val="right" w:leader="dot" w:pos="9412"/>
            </w:tabs>
            <w:spacing w:line="360" w:lineRule="auto"/>
            <w:rPr>
              <w:sz w:val="30"/>
              <w:szCs w:val="30"/>
              <w:highlight w:val="none"/>
            </w:rPr>
          </w:pPr>
          <w:r>
            <w:rPr>
              <w:highlight w:val="none"/>
            </w:rPr>
            <w:fldChar w:fldCharType="begin"/>
          </w:r>
          <w:r>
            <w:rPr>
              <w:highlight w:val="none"/>
            </w:rPr>
            <w:instrText xml:space="preserve"> HYPERLINK \l "_Toc1829" </w:instrText>
          </w:r>
          <w:r>
            <w:rPr>
              <w:highlight w:val="none"/>
            </w:rPr>
            <w:fldChar w:fldCharType="separate"/>
          </w:r>
          <w:r>
            <w:rPr>
              <w:rFonts w:hint="eastAsia"/>
              <w:sz w:val="30"/>
              <w:szCs w:val="30"/>
              <w:highlight w:val="none"/>
            </w:rPr>
            <w:t>第四章  磋商评审办法及评分标准</w:t>
          </w:r>
          <w:r>
            <w:rPr>
              <w:sz w:val="30"/>
              <w:szCs w:val="30"/>
              <w:highlight w:val="none"/>
            </w:rPr>
            <w:fldChar w:fldCharType="end"/>
          </w:r>
        </w:p>
        <w:p w14:paraId="090B1F24">
          <w:pPr>
            <w:pStyle w:val="138"/>
            <w:tabs>
              <w:tab w:val="right" w:leader="dot" w:pos="9412"/>
            </w:tabs>
            <w:spacing w:line="360" w:lineRule="auto"/>
            <w:rPr>
              <w:rFonts w:hint="default" w:eastAsia="宋体"/>
              <w:sz w:val="30"/>
              <w:szCs w:val="30"/>
              <w:highlight w:val="none"/>
              <w:lang w:val="en-US" w:eastAsia="zh-CN"/>
            </w:rPr>
          </w:pPr>
          <w:r>
            <w:rPr>
              <w:highlight w:val="none"/>
            </w:rPr>
            <w:fldChar w:fldCharType="begin"/>
          </w:r>
          <w:r>
            <w:rPr>
              <w:highlight w:val="none"/>
            </w:rPr>
            <w:instrText xml:space="preserve"> HYPERLINK \l "_Toc31087" </w:instrText>
          </w:r>
          <w:r>
            <w:rPr>
              <w:highlight w:val="none"/>
            </w:rPr>
            <w:fldChar w:fldCharType="separate"/>
          </w:r>
          <w:r>
            <w:rPr>
              <w:rFonts w:hint="eastAsia"/>
              <w:sz w:val="30"/>
              <w:szCs w:val="30"/>
              <w:highlight w:val="none"/>
            </w:rPr>
            <w:t>第五章  合同</w:t>
          </w:r>
          <w:r>
            <w:rPr>
              <w:sz w:val="30"/>
              <w:szCs w:val="30"/>
              <w:highlight w:val="none"/>
            </w:rPr>
            <w:fldChar w:fldCharType="end"/>
          </w:r>
          <w:r>
            <w:rPr>
              <w:rFonts w:hint="eastAsia"/>
              <w:sz w:val="30"/>
              <w:szCs w:val="30"/>
              <w:highlight w:val="none"/>
              <w:lang w:val="en-US" w:eastAsia="zh-CN"/>
            </w:rPr>
            <w:t>主要条款</w:t>
          </w:r>
        </w:p>
        <w:p w14:paraId="10B53DB4">
          <w:pPr>
            <w:pStyle w:val="138"/>
            <w:tabs>
              <w:tab w:val="right" w:leader="dot" w:pos="9412"/>
            </w:tabs>
            <w:spacing w:line="360" w:lineRule="auto"/>
            <w:rPr>
              <w:sz w:val="30"/>
              <w:szCs w:val="30"/>
              <w:highlight w:val="none"/>
            </w:rPr>
          </w:pPr>
          <w:r>
            <w:rPr>
              <w:highlight w:val="none"/>
            </w:rPr>
            <w:fldChar w:fldCharType="begin"/>
          </w:r>
          <w:r>
            <w:rPr>
              <w:highlight w:val="none"/>
            </w:rPr>
            <w:instrText xml:space="preserve"> HYPERLINK \l "_Toc19486" </w:instrText>
          </w:r>
          <w:r>
            <w:rPr>
              <w:highlight w:val="none"/>
            </w:rPr>
            <w:fldChar w:fldCharType="separate"/>
          </w:r>
          <w:r>
            <w:rPr>
              <w:rFonts w:hint="eastAsia"/>
              <w:sz w:val="30"/>
              <w:szCs w:val="30"/>
              <w:highlight w:val="none"/>
            </w:rPr>
            <w:t xml:space="preserve">第六章  </w:t>
          </w:r>
          <w:r>
            <w:rPr>
              <w:rFonts w:hint="eastAsia"/>
              <w:sz w:val="30"/>
              <w:szCs w:val="30"/>
              <w:highlight w:val="none"/>
              <w:lang w:eastAsia="zh-CN"/>
            </w:rPr>
            <w:t>磋商</w:t>
          </w:r>
          <w:r>
            <w:rPr>
              <w:rFonts w:hint="eastAsia"/>
              <w:sz w:val="30"/>
              <w:szCs w:val="30"/>
              <w:highlight w:val="none"/>
            </w:rPr>
            <w:t>响应文件</w:t>
          </w:r>
          <w:r>
            <w:rPr>
              <w:rFonts w:hint="eastAsia"/>
              <w:sz w:val="30"/>
              <w:szCs w:val="30"/>
              <w:highlight w:val="none"/>
              <w:lang w:val="en-US" w:eastAsia="zh-CN"/>
            </w:rPr>
            <w:t>组成内容及</w:t>
          </w:r>
          <w:r>
            <w:rPr>
              <w:rFonts w:hint="eastAsia"/>
              <w:sz w:val="30"/>
              <w:szCs w:val="30"/>
              <w:highlight w:val="none"/>
            </w:rPr>
            <w:t>格式</w:t>
          </w:r>
          <w:r>
            <w:rPr>
              <w:sz w:val="30"/>
              <w:szCs w:val="30"/>
              <w:highlight w:val="none"/>
            </w:rPr>
            <w:fldChar w:fldCharType="end"/>
          </w:r>
        </w:p>
        <w:p w14:paraId="2BF2E862">
          <w:pPr>
            <w:spacing w:line="360" w:lineRule="auto"/>
            <w:rPr>
              <w:highlight w:val="none"/>
            </w:rPr>
          </w:pPr>
          <w:r>
            <w:rPr>
              <w:sz w:val="30"/>
              <w:szCs w:val="30"/>
              <w:highlight w:val="none"/>
            </w:rPr>
            <w:fldChar w:fldCharType="end"/>
          </w:r>
        </w:p>
      </w:sdtContent>
    </w:sdt>
    <w:p w14:paraId="49B1A2C3">
      <w:pPr>
        <w:pStyle w:val="33"/>
        <w:tabs>
          <w:tab w:val="right" w:leader="dot" w:pos="9127"/>
        </w:tabs>
        <w:rPr>
          <w:rFonts w:hint="default" w:eastAsia="宋体"/>
          <w:highlight w:val="none"/>
          <w:lang w:val="en-US" w:eastAsia="zh-CN"/>
        </w:rPr>
      </w:pPr>
    </w:p>
    <w:p w14:paraId="0CD245B1">
      <w:pPr>
        <w:pStyle w:val="33"/>
        <w:tabs>
          <w:tab w:val="right" w:leader="dot" w:pos="9127"/>
        </w:tabs>
        <w:rPr>
          <w:rFonts w:hint="default" w:eastAsia="宋体"/>
          <w:highlight w:val="none"/>
          <w:lang w:val="en-US" w:eastAsia="zh-CN"/>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_Toc21277 </w:instrText>
      </w:r>
      <w:r>
        <w:rPr>
          <w:rFonts w:hint="eastAsia" w:ascii="宋体" w:hAnsi="宋体" w:cs="宋体"/>
          <w:highlight w:val="none"/>
        </w:rPr>
        <w:fldChar w:fldCharType="separate"/>
      </w:r>
    </w:p>
    <w:p w14:paraId="784F32C7">
      <w:pPr>
        <w:pStyle w:val="12"/>
        <w:ind w:left="0" w:leftChars="0" w:firstLine="0" w:firstLineChars="0"/>
        <w:rPr>
          <w:rFonts w:hint="default" w:ascii="宋体" w:hAnsi="宋体" w:eastAsia="宋体" w:cs="宋体"/>
          <w:color w:val="auto"/>
          <w:sz w:val="24"/>
          <w:highlight w:val="none"/>
          <w:lang w:val="en-US" w:eastAsia="zh-CN"/>
        </w:rPr>
      </w:pPr>
      <w:r>
        <w:rPr>
          <w:highlight w:val="none"/>
        </w:rPr>
        <w:tab/>
      </w:r>
      <w:r>
        <w:rPr>
          <w:rFonts w:hint="eastAsia" w:ascii="宋体" w:hAnsi="宋体" w:cs="宋体"/>
          <w:color w:val="auto"/>
          <w:highlight w:val="none"/>
        </w:rPr>
        <w:fldChar w:fldCharType="end"/>
      </w:r>
      <w:r>
        <w:rPr>
          <w:highlight w:val="none"/>
        </w:rPr>
        <w:tab/>
      </w:r>
    </w:p>
    <w:p w14:paraId="36D1830B">
      <w:pPr>
        <w:keepNext w:val="0"/>
        <w:keepLines w:val="0"/>
        <w:pageBreakBefore w:val="0"/>
        <w:widowControl w:val="0"/>
        <w:tabs>
          <w:tab w:val="right" w:leader="middleDot" w:pos="9127"/>
        </w:tabs>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p>
    <w:p w14:paraId="76C74432">
      <w:pPr>
        <w:pStyle w:val="29"/>
        <w:pageBreakBefore/>
        <w:tabs>
          <w:tab w:val="right" w:leader="dot" w:pos="9402"/>
        </w:tabs>
        <w:spacing w:line="460" w:lineRule="exact"/>
        <w:jc w:val="center"/>
        <w:outlineLvl w:val="0"/>
        <w:rPr>
          <w:rFonts w:ascii="宋体" w:hAnsi="宋体" w:cs="宋体"/>
          <w:b/>
          <w:color w:val="auto"/>
          <w:sz w:val="24"/>
          <w:highlight w:val="none"/>
        </w:rPr>
      </w:pPr>
      <w:bookmarkStart w:id="0" w:name="_Toc14996"/>
      <w:r>
        <w:rPr>
          <w:rFonts w:hint="eastAsia" w:ascii="宋体" w:hAnsi="宋体" w:cs="宋体"/>
          <w:b/>
          <w:color w:val="auto"/>
          <w:sz w:val="36"/>
          <w:szCs w:val="36"/>
          <w:highlight w:val="none"/>
        </w:rPr>
        <w:t>第一章  竞争性磋商公告</w:t>
      </w:r>
      <w:bookmarkEnd w:id="0"/>
      <w:r>
        <w:rPr>
          <w:rFonts w:hint="eastAsia" w:ascii="宋体" w:hAnsi="宋体" w:cs="宋体"/>
          <w:b/>
          <w:color w:val="auto"/>
          <w:sz w:val="24"/>
          <w:highlight w:val="none"/>
        </w:rPr>
        <w:t xml:space="preserve"> </w:t>
      </w:r>
    </w:p>
    <w:p w14:paraId="1183863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241" w:firstLineChars="100"/>
        <w:textAlignment w:val="auto"/>
        <w:rPr>
          <w:rFonts w:ascii="宋体" w:hAnsi="宋体" w:cs="宋体"/>
          <w:b/>
          <w:bCs/>
          <w:color w:val="auto"/>
          <w:sz w:val="24"/>
          <w:highlight w:val="none"/>
        </w:rPr>
      </w:pPr>
      <w:r>
        <w:rPr>
          <w:rFonts w:hint="eastAsia" w:ascii="宋体" w:hAnsi="宋体" w:cs="宋体"/>
          <w:b/>
          <w:bCs/>
          <w:color w:val="auto"/>
          <w:sz w:val="24"/>
          <w:highlight w:val="none"/>
        </w:rPr>
        <w:t>项目概况</w:t>
      </w:r>
    </w:p>
    <w:p w14:paraId="1201F91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画溪初中食堂及周边道路改造项目</w:t>
      </w:r>
      <w:r>
        <w:rPr>
          <w:rFonts w:hint="eastAsia" w:ascii="宋体" w:hAnsi="宋体" w:cs="宋体"/>
          <w:b/>
          <w:bCs/>
          <w:color w:val="auto"/>
          <w:sz w:val="24"/>
          <w:highlight w:val="none"/>
          <w:u w:val="single"/>
          <w:lang w:val="en-US" w:eastAsia="zh-CN"/>
        </w:rPr>
        <w:t>(临</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eastAsia="zh-CN"/>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1026</w:t>
      </w:r>
      <w:r>
        <w:rPr>
          <w:rFonts w:hint="eastAsia" w:ascii="宋体" w:hAnsi="宋体" w:cs="宋体"/>
          <w:b/>
          <w:bCs/>
          <w:color w:val="auto"/>
          <w:sz w:val="24"/>
          <w:highlight w:val="none"/>
          <w:u w:val="single"/>
        </w:rPr>
        <w:t>号采购计划确认书批准</w:t>
      </w:r>
      <w:r>
        <w:rPr>
          <w:rFonts w:hint="eastAsia" w:ascii="宋体" w:hAnsi="宋体" w:cs="宋体"/>
          <w:b/>
          <w:bCs/>
          <w:color w:val="auto"/>
          <w:sz w:val="24"/>
          <w:highlight w:val="none"/>
          <w:u w:val="single"/>
          <w:lang w:val="en-US" w:eastAsia="zh-CN"/>
        </w:rPr>
        <w:t>)</w:t>
      </w:r>
      <w:r>
        <w:rPr>
          <w:rFonts w:hint="eastAsia" w:ascii="宋体" w:hAnsi="宋体" w:eastAsia="宋体" w:cs="宋体"/>
          <w:color w:val="auto"/>
          <w:kern w:val="2"/>
          <w:sz w:val="24"/>
          <w:szCs w:val="24"/>
          <w:highlight w:val="none"/>
          <w:lang w:val="en-US" w:eastAsia="zh-CN" w:bidi="ar-SA"/>
        </w:rPr>
        <w:t>的潜在供应商应在浙江政府采购网（http://zfcg.czt.zj.gov.cn/）；东阳市公共资源交易网(http://www.dongyang.gov.cn/ggzyjy/index.html)获取（下载）磋商文件，并于</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7</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（北京时间）前递交（上传）电子磋商响应文件。</w:t>
      </w:r>
    </w:p>
    <w:p w14:paraId="5D04347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p>
    <w:p w14:paraId="43A145D1">
      <w:pPr>
        <w:keepNext w:val="0"/>
        <w:keepLines w:val="0"/>
        <w:pageBreakBefore w:val="0"/>
        <w:numPr>
          <w:ilvl w:val="0"/>
          <w:numId w:val="4"/>
        </w:numPr>
        <w:kinsoku/>
        <w:wordWrap/>
        <w:overflowPunct/>
        <w:topLinePunct w:val="0"/>
        <w:autoSpaceDE/>
        <w:autoSpaceDN/>
        <w:bidi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项目基本情况</w:t>
      </w:r>
    </w:p>
    <w:p w14:paraId="40F0FD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val="en-US" w:eastAsia="zh-CN"/>
        </w:rPr>
        <w:t xml:space="preserve">: </w:t>
      </w:r>
      <w:r>
        <w:rPr>
          <w:rFonts w:hint="eastAsia" w:ascii="宋体" w:hAnsi="宋体" w:cs="宋体"/>
          <w:b w:val="0"/>
          <w:bCs w:val="0"/>
          <w:color w:val="auto"/>
          <w:sz w:val="24"/>
          <w:highlight w:val="none"/>
          <w:lang w:eastAsia="zh-CN"/>
        </w:rPr>
        <w:t>JHZZGC2025-003</w:t>
      </w:r>
    </w:p>
    <w:p w14:paraId="085184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项目名称：</w:t>
      </w:r>
      <w:r>
        <w:rPr>
          <w:rFonts w:hint="eastAsia" w:ascii="宋体" w:hAnsi="宋体" w:cs="宋体"/>
          <w:b w:val="0"/>
          <w:bCs w:val="0"/>
          <w:color w:val="auto"/>
          <w:sz w:val="24"/>
          <w:highlight w:val="none"/>
          <w:lang w:eastAsia="zh-CN"/>
        </w:rPr>
        <w:t>画溪初中食堂及周边道路改造项目</w:t>
      </w:r>
    </w:p>
    <w:p w14:paraId="2896703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采购方式：</w:t>
      </w:r>
      <w:r>
        <w:rPr>
          <w:rFonts w:hint="eastAsia" w:ascii="宋体" w:hAnsi="宋体" w:cs="宋体"/>
          <w:b w:val="0"/>
          <w:bCs w:val="0"/>
          <w:color w:val="auto"/>
          <w:sz w:val="24"/>
          <w:highlight w:val="none"/>
        </w:rPr>
        <w:t>竞争性磋商</w:t>
      </w:r>
    </w:p>
    <w:p w14:paraId="03E0BB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预算金额（元）：</w:t>
      </w:r>
      <w:r>
        <w:rPr>
          <w:rFonts w:hint="eastAsia" w:ascii="宋体" w:hAnsi="宋体" w:cs="宋体"/>
          <w:b w:val="0"/>
          <w:bCs w:val="0"/>
          <w:color w:val="auto"/>
          <w:kern w:val="2"/>
          <w:sz w:val="24"/>
          <w:szCs w:val="24"/>
          <w:highlight w:val="none"/>
          <w:lang w:val="en-US" w:eastAsia="zh-CN" w:bidi="ar-SA"/>
        </w:rPr>
        <w:t>1500000元</w:t>
      </w:r>
    </w:p>
    <w:p w14:paraId="7AD00E8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最高限价（元）：</w:t>
      </w:r>
      <w:r>
        <w:rPr>
          <w:rFonts w:hint="eastAsia" w:ascii="宋体" w:hAnsi="宋体" w:cs="宋体"/>
          <w:b w:val="0"/>
          <w:bCs w:val="0"/>
          <w:color w:val="auto"/>
          <w:kern w:val="2"/>
          <w:sz w:val="24"/>
          <w:szCs w:val="24"/>
          <w:highlight w:val="none"/>
          <w:lang w:val="en-US" w:eastAsia="zh-CN" w:bidi="ar-SA"/>
        </w:rPr>
        <w:t>1496019元</w:t>
      </w:r>
    </w:p>
    <w:p w14:paraId="78D25F0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采购需求：</w:t>
      </w:r>
    </w:p>
    <w:p w14:paraId="69495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采购需求：本工程为画溪初中食堂及周边道路改造项目，主要内容：食堂拆建约199平方米、食堂 屋面局部翻新约362平方米、食堂外立面改造约839平方米，新建连廊约212平方米、安装 工程等内容</w:t>
      </w:r>
      <w:r>
        <w:rPr>
          <w:rFonts w:hint="eastAsia" w:ascii="宋体" w:hAnsi="宋体" w:cs="宋体"/>
          <w:color w:val="auto"/>
          <w:sz w:val="24"/>
          <w:highlight w:val="none"/>
          <w:lang w:val="en-US" w:eastAsia="zh-CN"/>
        </w:rPr>
        <w:t>。</w:t>
      </w:r>
    </w:p>
    <w:p w14:paraId="6E8ED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b w:val="0"/>
          <w:bCs w:val="0"/>
          <w:color w:val="auto"/>
          <w:sz w:val="24"/>
          <w:highlight w:val="none"/>
          <w:lang w:eastAsia="zh-CN"/>
        </w:rPr>
        <w:t>画溪初中食堂及周边道路改造项目</w:t>
      </w:r>
    </w:p>
    <w:p w14:paraId="5BE0202B">
      <w:pPr>
        <w:pStyle w:val="3"/>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数量：1项</w:t>
      </w:r>
    </w:p>
    <w:p w14:paraId="52748FB2">
      <w:pPr>
        <w:pStyle w:val="3"/>
        <w:keepNext w:val="0"/>
        <w:keepLines w:val="0"/>
        <w:pageBreakBefore w:val="0"/>
        <w:kinsoku/>
        <w:wordWrap/>
        <w:overflowPunct/>
        <w:topLinePunct w:val="0"/>
        <w:autoSpaceDE/>
        <w:autoSpaceDN/>
        <w:bidi w:val="0"/>
        <w:spacing w:line="360" w:lineRule="auto"/>
        <w:ind w:firstLine="48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1500000</w:t>
      </w:r>
      <w:r>
        <w:rPr>
          <w:rFonts w:hint="eastAsia" w:ascii="宋体" w:hAnsi="宋体" w:cs="宋体"/>
          <w:color w:val="auto"/>
          <w:sz w:val="24"/>
          <w:highlight w:val="none"/>
          <w:lang w:eastAsia="zh-CN"/>
        </w:rPr>
        <w:t>元</w:t>
      </w:r>
    </w:p>
    <w:p w14:paraId="50354EC8">
      <w:pPr>
        <w:pStyle w:val="3"/>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章招标需求</w:t>
      </w:r>
    </w:p>
    <w:p w14:paraId="0439A224">
      <w:pPr>
        <w:pStyle w:val="3"/>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备注：</w:t>
      </w:r>
    </w:p>
    <w:p w14:paraId="299F7D06">
      <w:pPr>
        <w:pStyle w:val="3"/>
        <w:keepNext w:val="0"/>
        <w:keepLines w:val="0"/>
        <w:pageBreakBefore w:val="0"/>
        <w:kinsoku/>
        <w:wordWrap/>
        <w:overflowPunct/>
        <w:topLinePunct w:val="0"/>
        <w:autoSpaceDE/>
        <w:autoSpaceDN/>
        <w:bidi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合同履约期限：合同签订后</w:t>
      </w:r>
      <w:r>
        <w:rPr>
          <w:rFonts w:hint="eastAsia" w:ascii="宋体" w:hAnsi="宋体" w:cs="宋体"/>
          <w:color w:val="auto"/>
          <w:sz w:val="24"/>
          <w:highlight w:val="none"/>
          <w:lang w:val="en-US" w:eastAsia="zh-CN"/>
        </w:rPr>
        <w:t>45日历</w:t>
      </w:r>
      <w:r>
        <w:rPr>
          <w:rFonts w:hint="eastAsia" w:ascii="宋体" w:hAnsi="宋体" w:cs="宋体"/>
          <w:color w:val="auto"/>
          <w:sz w:val="24"/>
          <w:highlight w:val="none"/>
        </w:rPr>
        <w:t>天内完工。</w:t>
      </w:r>
    </w:p>
    <w:p w14:paraId="50EA8D13">
      <w:pPr>
        <w:pStyle w:val="3"/>
        <w:keepNext w:val="0"/>
        <w:keepLines w:val="0"/>
        <w:pageBreakBefore w:val="0"/>
        <w:kinsoku/>
        <w:wordWrap/>
        <w:overflowPunct/>
        <w:topLinePunct w:val="0"/>
        <w:autoSpaceDE/>
        <w:autoSpaceDN/>
        <w:bidi w:val="0"/>
        <w:spacing w:line="360" w:lineRule="auto"/>
        <w:ind w:firstLine="480"/>
        <w:textAlignment w:val="auto"/>
        <w:rPr>
          <w:rFonts w:hint="eastAsia"/>
          <w:highlight w:val="none"/>
        </w:rPr>
      </w:pPr>
      <w:r>
        <w:rPr>
          <w:rFonts w:hint="eastAsia" w:ascii="宋体" w:hAnsi="宋体" w:cs="宋体"/>
          <w:color w:val="auto"/>
          <w:sz w:val="24"/>
          <w:highlight w:val="none"/>
        </w:rPr>
        <w:t xml:space="preserve">本项目（是）接受联合体投标。  </w:t>
      </w:r>
    </w:p>
    <w:p w14:paraId="4FE712AD">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796024DC">
      <w:pPr>
        <w:pStyle w:val="3"/>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B8D4C21">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2、落实政府采购政策需满足的资格要求：根据《政府采购促进中小企业发展管理办法》有关规定，本项目仅面向中小型及以下企业响应磋商。</w:t>
      </w:r>
      <w:r>
        <w:rPr>
          <w:rFonts w:hint="eastAsia" w:ascii="宋体" w:hAnsi="宋体"/>
          <w:b/>
          <w:bCs/>
          <w:sz w:val="24"/>
          <w:szCs w:val="24"/>
          <w:highlight w:val="none"/>
        </w:rPr>
        <w:t>供应商参加磋商时，响应文件中须提供中小企业声明函（格式见附件）</w:t>
      </w:r>
    </w:p>
    <w:p w14:paraId="79C68074">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3、本项目的特定资格要求：</w:t>
      </w:r>
    </w:p>
    <w:p w14:paraId="0A57E5E3">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3.1、供应商须具有有效的建筑工程施工总承包叁级及以上资质；</w:t>
      </w:r>
    </w:p>
    <w:p w14:paraId="669F6608">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3.2、供应商须具有有效的安全生产许可证；</w:t>
      </w:r>
    </w:p>
    <w:p w14:paraId="2ABD8AFD">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3.3、供应商须为浙江政府采购网注册的正式供应商或承诺中标后30天内注册为浙江政府采购网正式供应商。</w:t>
      </w:r>
    </w:p>
    <w:p w14:paraId="368FE57D">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▲三、获取磋商文件： </w:t>
      </w:r>
    </w:p>
    <w:p w14:paraId="7DF8E912">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7</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，每天上午00：00至12:00，下午12:00至23:59（北京时间，线上获取法定节假日均可，线下获取文件法定节假日除外）</w:t>
      </w:r>
    </w:p>
    <w:p w14:paraId="314DB4A4">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19FEF3B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供应商通过登录浙江省政府采购网(http://zfcg.czt.zj.gov.cn/)上的政采云系统进行获取（首次参加谈判的单位应先登录浙江省政府采购网(http://zfcg.czt.zj.gov.cn/)进行账户注册，注册完毕待审核成功后方可登录政采云系统获取；注册流程见网址</w:t>
      </w:r>
    </w:p>
    <w:p w14:paraId="623805E8">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25C8E75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highlight w:val="none"/>
        </w:rPr>
      </w:pPr>
      <w:r>
        <w:rPr>
          <w:rFonts w:hint="eastAsia" w:ascii="宋体" w:hAnsi="宋体" w:cs="宋体"/>
          <w:color w:val="auto"/>
          <w:sz w:val="24"/>
          <w:highlight w:val="none"/>
        </w:rPr>
        <w:t>2、竞争性磋商文件获取流程：浙江政府采购网-政采云用户登录-用户中心-项目采购-获取采购文件管理。</w:t>
      </w:r>
    </w:p>
    <w:p w14:paraId="3F36A00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18FA1661">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四、响应文件提交</w:t>
      </w:r>
    </w:p>
    <w:p w14:paraId="010F3AD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7</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9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 xml:space="preserve"> </w:t>
      </w:r>
      <w:r>
        <w:rPr>
          <w:rFonts w:hint="eastAsia" w:ascii="宋体" w:hAnsi="宋体" w:cs="宋体"/>
          <w:color w:val="auto"/>
          <w:sz w:val="24"/>
          <w:highlight w:val="none"/>
        </w:rPr>
        <w:t>（北京时间）</w:t>
      </w:r>
    </w:p>
    <w:p w14:paraId="60DECFC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地点（网址）：政采云平台</w:t>
      </w:r>
    </w:p>
    <w:p w14:paraId="2400BC69">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41D07C47">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开启时间：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9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00 </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w:t>
      </w:r>
    </w:p>
    <w:p w14:paraId="0D3BA064">
      <w:pPr>
        <w:keepNext w:val="0"/>
        <w:keepLines w:val="0"/>
        <w:pageBreakBefore w:val="0"/>
        <w:kinsoku/>
        <w:wordWrap/>
        <w:overflowPunct/>
        <w:topLinePunct w:val="0"/>
        <w:autoSpaceDE/>
        <w:autoSpaceDN/>
        <w:bidi w:val="0"/>
        <w:snapToGrid w:val="0"/>
        <w:spacing w:line="240" w:lineRule="auto"/>
        <w:ind w:firstLine="481"/>
        <w:textAlignment w:val="auto"/>
        <w:rPr>
          <w:rFonts w:ascii="宋体" w:hAnsi="宋体" w:cs="宋体"/>
          <w:color w:val="auto"/>
          <w:sz w:val="24"/>
          <w:highlight w:val="none"/>
        </w:rPr>
      </w:pPr>
      <w:r>
        <w:rPr>
          <w:rFonts w:hint="eastAsia" w:ascii="宋体" w:hAnsi="宋体" w:cs="宋体"/>
          <w:color w:val="auto"/>
          <w:sz w:val="24"/>
          <w:highlight w:val="none"/>
        </w:rPr>
        <w:t>地点（网址）：政采云平台</w:t>
      </w:r>
    </w:p>
    <w:p w14:paraId="1D57B118">
      <w:pPr>
        <w:keepNext w:val="0"/>
        <w:keepLines w:val="0"/>
        <w:pageBreakBefore w:val="0"/>
        <w:kinsoku/>
        <w:wordWrap/>
        <w:overflowPunct/>
        <w:topLinePunct w:val="0"/>
        <w:autoSpaceDE/>
        <w:autoSpaceDN/>
        <w:bidi w:val="0"/>
        <w:snapToGrid w:val="0"/>
        <w:spacing w:line="24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、公告期限</w:t>
      </w:r>
    </w:p>
    <w:p w14:paraId="02B9326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6166CB5E">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、其他补充事宜</w:t>
      </w:r>
    </w:p>
    <w:p w14:paraId="7C334DC9">
      <w:pPr>
        <w:pStyle w:val="35"/>
        <w:keepNext w:val="0"/>
        <w:keepLines w:val="0"/>
        <w:pageBreakBefore w:val="0"/>
        <w:kinsoku/>
        <w:wordWrap/>
        <w:overflowPunct/>
        <w:topLinePunct w:val="0"/>
        <w:autoSpaceDE/>
        <w:autoSpaceDN/>
        <w:bidi w:val="0"/>
        <w:adjustRightInd w:val="0"/>
        <w:snapToGrid w:val="0"/>
        <w:spacing w:line="360" w:lineRule="auto"/>
        <w:textAlignment w:val="auto"/>
        <w:rPr>
          <w:color w:val="auto"/>
          <w:kern w:val="2"/>
          <w:highlight w:val="none"/>
        </w:rPr>
      </w:pPr>
      <w:r>
        <w:rPr>
          <w:rFonts w:hint="eastAsia"/>
          <w:color w:val="auto"/>
          <w:highlight w:val="none"/>
        </w:rPr>
        <w:t xml:space="preserve">  </w:t>
      </w:r>
      <w:r>
        <w:rPr>
          <w:rFonts w:hint="eastAsia"/>
          <w:color w:val="auto"/>
          <w:kern w:val="2"/>
          <w:highlight w:val="none"/>
        </w:rPr>
        <w:t xml:space="preserve">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02E546">
      <w:pPr>
        <w:pStyle w:val="3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rPr>
        <w:t>2</w:t>
      </w:r>
      <w:r>
        <w:rPr>
          <w:rFonts w:hint="eastAsia"/>
          <w:color w:val="auto"/>
          <w:kern w:val="2"/>
          <w:highlight w:val="none"/>
          <w:lang w:val="en-US" w:eastAsia="zh-CN"/>
        </w:rPr>
        <w:t>.</w:t>
      </w:r>
      <w:r>
        <w:rPr>
          <w:rFonts w:hint="eastAsia"/>
          <w:color w:val="auto"/>
          <w:kern w:val="2"/>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ABFA770">
      <w:pPr>
        <w:pStyle w:val="3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lang w:val="en-US" w:eastAsia="zh-CN"/>
        </w:rPr>
        <w:t>3</w:t>
      </w:r>
      <w:r>
        <w:rPr>
          <w:rFonts w:hint="eastAsia"/>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32195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szCs w:val="22"/>
          <w:highlight w:val="none"/>
        </w:rPr>
        <w:t>需要落实的政府采购政策：包括节约资源、保护环境、支持创新、促进中小企业发展等。</w:t>
      </w:r>
    </w:p>
    <w:p w14:paraId="3CC3D063">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46F97F1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36C82C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项目实行电子磋商，磋商响应文件应按照本项目竞争性磋商文件和政采云平台的要求编制、加密并递交。供应商在使用系统进行谈判的过程中遇到涉及平台使用的任何问题，可致电政采云平台技术支持热线咨询，联系方式：95763。</w:t>
      </w:r>
    </w:p>
    <w:p w14:paraId="1EEB994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.供应商应 在 开 标 前 完 成 CA 数 字 证 书 办 理 。 （ 办 理 流 程 详 见http://zfcg.czt.zj.gov.cn/bidClientTemplate/2019-05-27/12945.html）。完成 CA 数字证书办理预计一周左右，建议各供应商抓紧时间办理。</w:t>
      </w:r>
    </w:p>
    <w:p w14:paraId="2188149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.供应商通过政采云平台电子磋商工具制作磋商响应文件，电子磋商工具请供应商自行前往浙江省政府采购网下载并安装，（下载网址：http://zfcg.czt.zj.gov.cn/bidClientTemplate/2019-08-30/12975.html），</w:t>
      </w:r>
    </w:p>
    <w:p w14:paraId="1C001012">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5"/>
          <w:rFonts w:hint="eastAsia" w:ascii="宋体" w:hAnsi="宋体" w:cs="宋体"/>
          <w:color w:val="auto"/>
          <w:sz w:val="24"/>
          <w:highlight w:val="none"/>
        </w:rPr>
        <w:t>https://edu.zcygov.cn/luban/e-biding?utm=a0004.2ef5001f.0001.0109.2d44db10df9111e9b92b0f36d4889416。）</w:t>
      </w:r>
      <w:r>
        <w:rPr>
          <w:rStyle w:val="45"/>
          <w:rFonts w:hint="eastAsia" w:ascii="宋体" w:hAnsi="宋体" w:cs="宋体"/>
          <w:color w:val="auto"/>
          <w:sz w:val="24"/>
          <w:highlight w:val="none"/>
        </w:rPr>
        <w:fldChar w:fldCharType="end"/>
      </w:r>
    </w:p>
    <w:p w14:paraId="0CD4EEF5">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49A57EC6">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5C05F9F1">
      <w:pPr>
        <w:snapToGrid w:val="0"/>
        <w:spacing w:line="440" w:lineRule="atLeast"/>
        <w:ind w:firstLine="480" w:firstLineChars="200"/>
        <w:jc w:val="left"/>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1.</w:t>
      </w:r>
      <w:r>
        <w:rPr>
          <w:rFonts w:hint="eastAsia" w:ascii="宋体" w:hAnsi="宋体"/>
          <w:sz w:val="24"/>
          <w:szCs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694AE193">
      <w:pPr>
        <w:snapToGrid w:val="0"/>
        <w:spacing w:line="440" w:lineRule="atLeast"/>
        <w:ind w:firstLine="480" w:firstLineChars="200"/>
        <w:jc w:val="left"/>
        <w:rPr>
          <w:rFonts w:hint="eastAsia" w:ascii="宋体" w:hAnsi="宋体"/>
          <w:sz w:val="24"/>
          <w:szCs w:val="24"/>
          <w:highlight w:val="none"/>
        </w:rPr>
      </w:pPr>
      <w:r>
        <w:rPr>
          <w:rFonts w:hint="eastAsia" w:ascii="宋体" w:hAnsi="宋体"/>
          <w:sz w:val="24"/>
          <w:szCs w:val="24"/>
          <w:highlight w:val="none"/>
        </w:rPr>
        <w:t>市扫黑办：0579-86655381               市公安局：110、0579-86096000</w:t>
      </w:r>
    </w:p>
    <w:p w14:paraId="5137ED10">
      <w:pPr>
        <w:snapToGrid w:val="0"/>
        <w:spacing w:line="440" w:lineRule="atLeast"/>
        <w:ind w:firstLine="480" w:firstLineChars="200"/>
        <w:jc w:val="left"/>
        <w:rPr>
          <w:rFonts w:hint="eastAsia" w:ascii="宋体" w:hAnsi="宋体"/>
          <w:sz w:val="24"/>
          <w:szCs w:val="24"/>
          <w:highlight w:val="none"/>
        </w:rPr>
      </w:pPr>
      <w:r>
        <w:rPr>
          <w:rFonts w:hint="eastAsia" w:ascii="宋体" w:hAnsi="宋体"/>
          <w:sz w:val="24"/>
          <w:szCs w:val="24"/>
          <w:highlight w:val="none"/>
        </w:rPr>
        <w:t>市检察院: 0579-86642000               市 法 院：0579-86620148</w:t>
      </w:r>
    </w:p>
    <w:p w14:paraId="37626077">
      <w:pPr>
        <w:snapToGrid w:val="0"/>
        <w:spacing w:line="440" w:lineRule="atLeast"/>
        <w:ind w:firstLine="480" w:firstLineChars="200"/>
        <w:rPr>
          <w:highlight w:val="none"/>
        </w:rPr>
      </w:pPr>
      <w:r>
        <w:rPr>
          <w:rFonts w:hint="eastAsia" w:ascii="宋体" w:hAnsi="宋体"/>
          <w:sz w:val="24"/>
          <w:szCs w:val="24"/>
          <w:highlight w:val="none"/>
        </w:rPr>
        <w:t>市公共资源办:0579-86691835            市公共资源交易中心:0579-86691729</w:t>
      </w:r>
    </w:p>
    <w:p w14:paraId="6239297F">
      <w:pPr>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8"/>
          <w:szCs w:val="28"/>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76D0527E">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033FD8D6">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 xml:space="preserve">东阳市画水镇画溪初级中学 </w:t>
      </w:r>
      <w:r>
        <w:rPr>
          <w:rFonts w:hint="eastAsia" w:ascii="宋体" w:hAnsi="宋体" w:cs="宋体"/>
          <w:color w:val="auto"/>
          <w:sz w:val="24"/>
          <w:highlight w:val="none"/>
        </w:rPr>
        <w:t xml:space="preserve">             </w:t>
      </w:r>
    </w:p>
    <w:p w14:paraId="75BDA260">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浙江省东阳市画水镇画溪五村画溪初中</w:t>
      </w:r>
    </w:p>
    <w:p w14:paraId="71AD9FD2">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胡江滨</w:t>
      </w:r>
      <w:r>
        <w:rPr>
          <w:rFonts w:hint="eastAsia" w:ascii="宋体" w:hAnsi="宋体" w:cs="宋体"/>
          <w:color w:val="auto"/>
          <w:sz w:val="24"/>
          <w:highlight w:val="none"/>
        </w:rPr>
        <w:t xml:space="preserve">         联系方式：</w:t>
      </w:r>
      <w:r>
        <w:rPr>
          <w:rFonts w:hint="eastAsia" w:ascii="宋体" w:hAnsi="宋体" w:cs="宋体"/>
          <w:color w:val="auto"/>
          <w:sz w:val="24"/>
          <w:highlight w:val="none"/>
          <w:lang w:eastAsia="zh-CN"/>
        </w:rPr>
        <w:t>15058597557</w:t>
      </w:r>
    </w:p>
    <w:p w14:paraId="649CD1CE">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胡江滨</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15058597557</w:t>
      </w:r>
    </w:p>
    <w:p w14:paraId="6D34D4B3">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2.采购代理机构信息</w:t>
      </w:r>
    </w:p>
    <w:p w14:paraId="2DAAA158">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 xml:space="preserve"> </w:t>
      </w:r>
    </w:p>
    <w:p w14:paraId="5440A6DD">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东阳市学士南路306-30号</w:t>
      </w:r>
      <w:r>
        <w:rPr>
          <w:rFonts w:hint="eastAsia" w:ascii="宋体" w:hAnsi="宋体" w:cs="宋体"/>
          <w:color w:val="auto"/>
          <w:sz w:val="24"/>
          <w:highlight w:val="none"/>
        </w:rPr>
        <w:t xml:space="preserve">    </w:t>
      </w:r>
    </w:p>
    <w:p w14:paraId="5EBC41A8">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sz w:val="24"/>
          <w:highlight w:val="none"/>
          <w:lang w:val="en-US" w:eastAsia="zh-CN"/>
        </w:rPr>
        <w:t>郭向华</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15257936527</w:t>
      </w:r>
    </w:p>
    <w:p w14:paraId="257204DE">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bCs/>
          <w:sz w:val="24"/>
          <w:highlight w:val="none"/>
          <w:lang w:val="en-US" w:eastAsia="zh-CN"/>
        </w:rPr>
        <w:t>张晨玲</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bCs/>
          <w:sz w:val="24"/>
          <w:highlight w:val="none"/>
          <w:lang w:val="en-US" w:eastAsia="zh-CN"/>
        </w:rPr>
        <w:t>15167937505</w:t>
      </w:r>
    </w:p>
    <w:p w14:paraId="51BC56CD">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bookmarkStart w:id="101" w:name="_GoBack"/>
      <w:bookmarkEnd w:id="101"/>
      <w:r>
        <w:rPr>
          <w:rFonts w:hint="eastAsia" w:ascii="宋体" w:hAnsi="宋体" w:cs="宋体"/>
          <w:b/>
          <w:bCs/>
          <w:color w:val="auto"/>
          <w:sz w:val="24"/>
          <w:highlight w:val="none"/>
        </w:rPr>
        <w:t>3.同级政府采购监督管理部门：</w:t>
      </w:r>
    </w:p>
    <w:p w14:paraId="6020EB65">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名称：东阳市财政局采监科             地址：东阳市人民路8号</w:t>
      </w:r>
    </w:p>
    <w:p w14:paraId="65BC15BF">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监督投诉电话：0579-86662677</w:t>
      </w:r>
    </w:p>
    <w:p w14:paraId="0B545D40">
      <w:pPr>
        <w:keepNext w:val="0"/>
        <w:keepLines w:val="0"/>
        <w:pageBreakBefore w:val="0"/>
        <w:kinsoku/>
        <w:wordWrap/>
        <w:overflowPunct/>
        <w:topLinePunct w:val="0"/>
        <w:autoSpaceDE/>
        <w:autoSpaceDN/>
        <w:bidi w:val="0"/>
        <w:snapToGrid w:val="0"/>
        <w:spacing w:line="360" w:lineRule="auto"/>
        <w:ind w:left="723" w:hanging="723" w:hangingChars="300"/>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附件：</w:t>
      </w:r>
      <w:r>
        <w:rPr>
          <w:rFonts w:hint="eastAsia" w:ascii="宋体" w:hAnsi="宋体" w:cs="宋体"/>
          <w:b/>
          <w:color w:val="auto"/>
          <w:sz w:val="24"/>
          <w:szCs w:val="20"/>
          <w:highlight w:val="none"/>
          <w:lang w:eastAsia="zh-CN"/>
        </w:rPr>
        <w:t>画溪初中食堂及周边道路改造项目</w:t>
      </w:r>
      <w:r>
        <w:rPr>
          <w:rFonts w:hint="eastAsia" w:ascii="宋体" w:hAnsi="宋体" w:cs="宋体"/>
          <w:b/>
          <w:color w:val="auto"/>
          <w:sz w:val="24"/>
          <w:szCs w:val="20"/>
          <w:highlight w:val="none"/>
        </w:rPr>
        <w:t>磋商文件</w:t>
      </w: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lang w:val="en-US" w:eastAsia="zh-CN"/>
        </w:rPr>
        <w:t>预算</w:t>
      </w:r>
    </w:p>
    <w:p w14:paraId="2290D971">
      <w:pPr>
        <w:pStyle w:val="3"/>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4"/>
          <w:szCs w:val="20"/>
          <w:highlight w:val="none"/>
        </w:rPr>
      </w:pPr>
    </w:p>
    <w:p w14:paraId="71E7D84A">
      <w:pPr>
        <w:keepNext w:val="0"/>
        <w:keepLines w:val="0"/>
        <w:pageBreakBefore w:val="0"/>
        <w:kinsoku/>
        <w:wordWrap/>
        <w:overflowPunct/>
        <w:topLinePunct w:val="0"/>
        <w:autoSpaceDE/>
        <w:autoSpaceDN/>
        <w:bidi w:val="0"/>
        <w:snapToGrid w:val="0"/>
        <w:spacing w:line="360" w:lineRule="auto"/>
        <w:ind w:left="4819" w:right="198" w:hanging="4819" w:hangingChars="2000"/>
        <w:textAlignment w:val="auto"/>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 xml:space="preserve">东阳市画水镇画溪初级中学 </w:t>
      </w:r>
      <w:r>
        <w:rPr>
          <w:rFonts w:hint="eastAsia" w:ascii="宋体" w:hAnsi="宋体" w:cs="宋体"/>
          <w:b/>
          <w:color w:val="auto"/>
          <w:sz w:val="24"/>
          <w:highlight w:val="none"/>
        </w:rPr>
        <w:t xml:space="preserve"> </w:t>
      </w:r>
    </w:p>
    <w:p w14:paraId="52BFCE94">
      <w:pPr>
        <w:keepNext w:val="0"/>
        <w:keepLines w:val="0"/>
        <w:pageBreakBefore w:val="0"/>
        <w:kinsoku/>
        <w:wordWrap/>
        <w:overflowPunct/>
        <w:topLinePunct w:val="0"/>
        <w:autoSpaceDE/>
        <w:autoSpaceDN/>
        <w:bidi w:val="0"/>
        <w:snapToGrid w:val="0"/>
        <w:spacing w:line="360" w:lineRule="auto"/>
        <w:ind w:right="198" w:firstLine="5783" w:firstLineChars="240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金华至臻工程咨询有限公司</w:t>
      </w:r>
    </w:p>
    <w:p w14:paraId="06521048">
      <w:pPr>
        <w:keepNext w:val="0"/>
        <w:keepLines w:val="0"/>
        <w:pageBreakBefore w:val="0"/>
        <w:kinsoku/>
        <w:wordWrap/>
        <w:overflowPunct/>
        <w:topLinePunct w:val="0"/>
        <w:autoSpaceDE/>
        <w:autoSpaceDN/>
        <w:bidi w:val="0"/>
        <w:snapToGrid w:val="0"/>
        <w:spacing w:line="360" w:lineRule="auto"/>
        <w:ind w:right="198" w:firstLine="6505" w:firstLineChars="2700"/>
        <w:textAlignment w:val="auto"/>
        <w:rPr>
          <w:rFonts w:ascii="宋体" w:hAnsi="宋体" w:cs="宋体"/>
          <w:b/>
          <w:color w:val="auto"/>
          <w:sz w:val="24"/>
          <w:highlight w:val="none"/>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18</w:t>
      </w:r>
      <w:r>
        <w:rPr>
          <w:rFonts w:hint="eastAsia" w:ascii="宋体" w:hAnsi="宋体" w:cs="宋体"/>
          <w:b/>
          <w:color w:val="auto"/>
          <w:sz w:val="24"/>
          <w:highlight w:val="none"/>
        </w:rPr>
        <w:t>日</w:t>
      </w:r>
    </w:p>
    <w:p w14:paraId="65A75198">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kern w:val="0"/>
          <w:sz w:val="24"/>
          <w:highlight w:val="none"/>
        </w:rPr>
      </w:pPr>
    </w:p>
    <w:p w14:paraId="39343A84">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sz w:val="20"/>
          <w:szCs w:val="22"/>
          <w:highlight w:val="none"/>
        </w:rPr>
      </w:pPr>
      <w:r>
        <w:rPr>
          <w:rFonts w:hint="eastAsia" w:ascii="宋体" w:hAnsi="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59B4D754">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cs="宋体"/>
          <w:color w:val="auto"/>
          <w:kern w:val="0"/>
          <w:sz w:val="22"/>
          <w:szCs w:val="22"/>
          <w:highlight w:val="none"/>
        </w:rPr>
        <w:sectPr>
          <w:headerReference r:id="rId4" w:type="first"/>
          <w:footerReference r:id="rId6" w:type="first"/>
          <w:headerReference r:id="rId3" w:type="default"/>
          <w:footerReference r:id="rId5" w:type="default"/>
          <w:pgSz w:w="11906" w:h="16838"/>
          <w:pgMar w:top="1276" w:right="1361" w:bottom="1247" w:left="1418" w:header="851" w:footer="992" w:gutter="0"/>
          <w:cols w:space="720" w:num="1"/>
          <w:docGrid w:linePitch="312" w:charSpace="0"/>
        </w:sectPr>
      </w:pPr>
      <w:r>
        <w:rPr>
          <w:rFonts w:hint="eastAsia" w:ascii="宋体" w:hAnsi="宋体" w:cs="宋体"/>
          <w:color w:val="auto"/>
          <w:kern w:val="0"/>
          <w:sz w:val="22"/>
          <w:szCs w:val="22"/>
          <w:highlight w:val="none"/>
        </w:rPr>
        <w:t>CA问题联系电话（人工）：汇信CA 400-888-4636；天谷CA 400-087-8198。</w:t>
      </w:r>
    </w:p>
    <w:p w14:paraId="7AB022F1">
      <w:pPr>
        <w:pStyle w:val="22"/>
        <w:pageBreakBefore/>
        <w:snapToGrid w:val="0"/>
        <w:spacing w:before="120" w:after="120" w:line="360" w:lineRule="auto"/>
        <w:jc w:val="center"/>
        <w:outlineLvl w:val="0"/>
        <w:rPr>
          <w:rFonts w:ascii="宋体" w:hAnsi="宋体" w:cs="宋体"/>
          <w:b/>
          <w:color w:val="auto"/>
          <w:sz w:val="36"/>
          <w:szCs w:val="36"/>
          <w:highlight w:val="none"/>
        </w:rPr>
      </w:pPr>
      <w:bookmarkStart w:id="1" w:name="_Toc10851"/>
      <w:r>
        <w:rPr>
          <w:rFonts w:hint="eastAsia" w:ascii="宋体" w:hAnsi="宋体" w:cs="宋体"/>
          <w:b/>
          <w:color w:val="auto"/>
          <w:sz w:val="36"/>
          <w:szCs w:val="36"/>
          <w:highlight w:val="none"/>
        </w:rPr>
        <w:t>第二章  招标需求</w:t>
      </w:r>
      <w:bookmarkEnd w:id="1"/>
    </w:p>
    <w:p w14:paraId="246564C2">
      <w:pPr>
        <w:numPr>
          <w:ilvl w:val="0"/>
          <w:numId w:val="5"/>
        </w:numPr>
        <w:spacing w:line="360" w:lineRule="auto"/>
        <w:rPr>
          <w:rFonts w:hint="eastAsia" w:ascii="宋体" w:hAnsi="宋体" w:cs="宋体"/>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lang w:eastAsia="zh-CN"/>
        </w:rPr>
        <w:t>JHZZGC2025-003</w:t>
      </w:r>
    </w:p>
    <w:p w14:paraId="707F7EDE">
      <w:pPr>
        <w:numPr>
          <w:ilvl w:val="0"/>
          <w:numId w:val="5"/>
        </w:numPr>
        <w:spacing w:line="360" w:lineRule="auto"/>
        <w:rPr>
          <w:rFonts w:ascii="宋体" w:hAnsi="宋体" w:cs="宋体"/>
          <w:b/>
          <w:color w:val="auto"/>
          <w:sz w:val="24"/>
          <w:highlight w:val="none"/>
        </w:rPr>
      </w:pPr>
      <w:r>
        <w:rPr>
          <w:rFonts w:hint="eastAsia" w:ascii="宋体" w:hAnsi="宋体" w:cs="宋体"/>
          <w:b/>
          <w:bCs/>
          <w:color w:val="auto"/>
          <w:sz w:val="24"/>
          <w:highlight w:val="none"/>
        </w:rPr>
        <w:t>采购项目名称：</w:t>
      </w:r>
      <w:bookmarkStart w:id="2" w:name="_Toc495926918"/>
      <w:r>
        <w:rPr>
          <w:rFonts w:hint="eastAsia" w:ascii="宋体" w:hAnsi="宋体" w:cs="宋体"/>
          <w:color w:val="auto"/>
          <w:sz w:val="24"/>
          <w:highlight w:val="none"/>
          <w:lang w:eastAsia="zh-CN"/>
        </w:rPr>
        <w:t xml:space="preserve">画溪初中食堂及周边道路改造项目 </w:t>
      </w:r>
    </w:p>
    <w:tbl>
      <w:tblPr>
        <w:tblStyle w:val="38"/>
        <w:tblW w:w="11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93"/>
        <w:gridCol w:w="875"/>
        <w:gridCol w:w="1995"/>
        <w:gridCol w:w="1966"/>
        <w:gridCol w:w="1966"/>
      </w:tblGrid>
      <w:tr w14:paraId="6B2D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62" w:type="dxa"/>
            <w:vAlign w:val="center"/>
          </w:tcPr>
          <w:p w14:paraId="2F20EF7A">
            <w:pPr>
              <w:widowControl/>
              <w:overflowPunct w:val="0"/>
              <w:autoSpaceDE w:val="0"/>
              <w:autoSpaceDN w:val="0"/>
              <w:adjustRightInd w:val="0"/>
              <w:spacing w:line="360" w:lineRule="auto"/>
              <w:jc w:val="center"/>
              <w:textAlignment w:val="baseline"/>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标项</w:t>
            </w:r>
          </w:p>
        </w:tc>
        <w:tc>
          <w:tcPr>
            <w:tcW w:w="3493" w:type="dxa"/>
            <w:vAlign w:val="center"/>
          </w:tcPr>
          <w:p w14:paraId="6CF60353">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采购内容</w:t>
            </w:r>
          </w:p>
        </w:tc>
        <w:tc>
          <w:tcPr>
            <w:tcW w:w="875" w:type="dxa"/>
            <w:vAlign w:val="center"/>
          </w:tcPr>
          <w:p w14:paraId="5516B06F">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数量</w:t>
            </w:r>
          </w:p>
        </w:tc>
        <w:tc>
          <w:tcPr>
            <w:tcW w:w="1995" w:type="dxa"/>
            <w:vAlign w:val="center"/>
          </w:tcPr>
          <w:p w14:paraId="27B0AAE4">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lang w:eastAsia="zh-CN"/>
              </w:rPr>
            </w:pPr>
            <w:r>
              <w:rPr>
                <w:rFonts w:hint="eastAsia" w:ascii="宋体" w:hAnsi="宋体" w:eastAsia="宋体" w:cs="Times New Roman"/>
                <w:b/>
                <w:bCs/>
                <w:color w:val="auto"/>
                <w:kern w:val="0"/>
                <w:sz w:val="24"/>
                <w:highlight w:val="none"/>
              </w:rPr>
              <w:t>最高限价</w:t>
            </w:r>
          </w:p>
        </w:tc>
        <w:tc>
          <w:tcPr>
            <w:tcW w:w="1966" w:type="dxa"/>
            <w:vAlign w:val="center"/>
          </w:tcPr>
          <w:p w14:paraId="54B81905">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预算金额</w:t>
            </w:r>
          </w:p>
        </w:tc>
        <w:tc>
          <w:tcPr>
            <w:tcW w:w="1966" w:type="dxa"/>
            <w:vAlign w:val="center"/>
          </w:tcPr>
          <w:p w14:paraId="029811B0">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rPr>
            </w:pPr>
            <w:r>
              <w:rPr>
                <w:rFonts w:hint="eastAsia" w:ascii="宋体" w:hAnsi="宋体"/>
                <w:b/>
                <w:bCs/>
                <w:color w:val="auto"/>
                <w:kern w:val="0"/>
                <w:sz w:val="24"/>
                <w:highlight w:val="none"/>
                <w:lang w:val="en-US" w:eastAsia="zh-CN"/>
              </w:rPr>
              <w:t>备注</w:t>
            </w:r>
          </w:p>
        </w:tc>
      </w:tr>
      <w:tr w14:paraId="319D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62" w:type="dxa"/>
            <w:vAlign w:val="center"/>
          </w:tcPr>
          <w:p w14:paraId="2D84450F">
            <w:pPr>
              <w:widowControl/>
              <w:overflowPunct w:val="0"/>
              <w:autoSpaceDE w:val="0"/>
              <w:autoSpaceDN w:val="0"/>
              <w:adjustRightInd w:val="0"/>
              <w:spacing w:line="360" w:lineRule="auto"/>
              <w:jc w:val="center"/>
              <w:textAlignment w:val="baseline"/>
              <w:rPr>
                <w:rFonts w:hint="eastAsia" w:ascii="宋体" w:hAnsi="宋体" w:eastAsia="宋体" w:cs="宋体"/>
                <w:b/>
                <w:color w:val="auto"/>
                <w:kern w:val="2"/>
                <w:sz w:val="24"/>
                <w:szCs w:val="24"/>
                <w:highlight w:val="none"/>
                <w:lang w:val="en-US" w:eastAsia="zh-CN" w:bidi="ar-SA"/>
              </w:rPr>
            </w:pPr>
            <w:r>
              <w:rPr>
                <w:rFonts w:hint="eastAsia" w:ascii="宋体" w:hAnsi="宋体"/>
                <w:bCs/>
                <w:color w:val="auto"/>
                <w:kern w:val="0"/>
                <w:sz w:val="24"/>
                <w:highlight w:val="none"/>
                <w:lang w:val="en-US" w:eastAsia="zh-CN"/>
              </w:rPr>
              <w:t>一</w:t>
            </w:r>
          </w:p>
        </w:tc>
        <w:tc>
          <w:tcPr>
            <w:tcW w:w="3493" w:type="dxa"/>
            <w:vAlign w:val="center"/>
          </w:tcPr>
          <w:p w14:paraId="4BE4C2E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画溪初中食堂及周边道路改造项目</w:t>
            </w:r>
          </w:p>
        </w:tc>
        <w:tc>
          <w:tcPr>
            <w:tcW w:w="875" w:type="dxa"/>
            <w:vAlign w:val="center"/>
          </w:tcPr>
          <w:p w14:paraId="65931401">
            <w:pPr>
              <w:widowControl/>
              <w:overflowPunct w:val="0"/>
              <w:autoSpaceDE w:val="0"/>
              <w:autoSpaceDN w:val="0"/>
              <w:adjustRightInd w:val="0"/>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1项</w:t>
            </w:r>
          </w:p>
        </w:tc>
        <w:tc>
          <w:tcPr>
            <w:tcW w:w="1995" w:type="dxa"/>
            <w:vAlign w:val="center"/>
          </w:tcPr>
          <w:p w14:paraId="1B6AEBBB">
            <w:pPr>
              <w:widowControl/>
              <w:overflowPunct w:val="0"/>
              <w:autoSpaceDE w:val="0"/>
              <w:autoSpaceDN w:val="0"/>
              <w:adjustRightInd w:val="0"/>
              <w:spacing w:line="360" w:lineRule="auto"/>
              <w:jc w:val="center"/>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lang w:val="en-US" w:eastAsia="zh-CN"/>
              </w:rPr>
              <w:t>1496019元</w:t>
            </w:r>
          </w:p>
        </w:tc>
        <w:tc>
          <w:tcPr>
            <w:tcW w:w="1966" w:type="dxa"/>
            <w:vAlign w:val="center"/>
          </w:tcPr>
          <w:p w14:paraId="311EDF4F">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lang w:val="en-US" w:eastAsia="zh-CN"/>
              </w:rPr>
              <w:t>1500000</w:t>
            </w:r>
            <w:r>
              <w:rPr>
                <w:rFonts w:hint="eastAsia" w:ascii="宋体" w:hAnsi="宋体" w:cs="宋体"/>
                <w:color w:val="auto"/>
                <w:sz w:val="24"/>
                <w:highlight w:val="none"/>
                <w:lang w:eastAsia="zh-CN"/>
              </w:rPr>
              <w:t>元</w:t>
            </w:r>
          </w:p>
        </w:tc>
        <w:tc>
          <w:tcPr>
            <w:tcW w:w="1966" w:type="dxa"/>
            <w:vAlign w:val="center"/>
          </w:tcPr>
          <w:p w14:paraId="12469CF5">
            <w:pPr>
              <w:spacing w:line="360" w:lineRule="auto"/>
              <w:jc w:val="center"/>
              <w:rPr>
                <w:rFonts w:hint="eastAsia" w:ascii="宋体" w:hAnsi="宋体" w:cs="宋体"/>
                <w:color w:val="auto"/>
                <w:sz w:val="24"/>
                <w:highlight w:val="none"/>
                <w:lang w:eastAsia="zh-CN"/>
              </w:rPr>
            </w:pPr>
            <w:r>
              <w:rPr>
                <w:rFonts w:hint="eastAsia" w:ascii="宋体" w:hAnsi="宋体" w:cs="宋体"/>
                <w:b w:val="0"/>
                <w:bCs w:val="0"/>
                <w:color w:val="auto"/>
                <w:sz w:val="24"/>
                <w:highlight w:val="none"/>
                <w:lang w:val="en-US" w:eastAsia="zh-CN"/>
              </w:rPr>
              <w:t>本项目财政审定价为1496019元，具体清单详见附件预算书。</w:t>
            </w:r>
          </w:p>
        </w:tc>
      </w:tr>
    </w:tbl>
    <w:p w14:paraId="6D2730E1">
      <w:pPr>
        <w:spacing w:line="324" w:lineRule="auto"/>
        <w:rPr>
          <w:rFonts w:ascii="宋体" w:hAnsi="宋体" w:cs="宋体"/>
          <w:b/>
          <w:sz w:val="24"/>
          <w:szCs w:val="24"/>
          <w:highlight w:val="none"/>
        </w:rPr>
      </w:pPr>
      <w:r>
        <w:rPr>
          <w:rFonts w:hint="eastAsia" w:ascii="宋体" w:hAnsi="宋体" w:cs="宋体"/>
          <w:b/>
          <w:sz w:val="24"/>
          <w:szCs w:val="24"/>
          <w:highlight w:val="none"/>
        </w:rPr>
        <w:t>注：具体清单详见附件预算书。</w:t>
      </w:r>
    </w:p>
    <w:p w14:paraId="46443629">
      <w:pPr>
        <w:numPr>
          <w:ilvl w:val="0"/>
          <w:numId w:val="0"/>
        </w:numPr>
        <w:spacing w:line="360" w:lineRule="auto"/>
        <w:ind w:leftChars="0"/>
        <w:rPr>
          <w:rFonts w:hint="eastAsia"/>
          <w:b/>
          <w:bCs/>
          <w:color w:val="auto"/>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w:t>
      </w:r>
      <w:r>
        <w:rPr>
          <w:rFonts w:hint="eastAsia" w:ascii="宋体" w:hAnsi="宋体" w:cs="宋体"/>
          <w:b/>
          <w:color w:val="auto"/>
          <w:sz w:val="24"/>
          <w:highlight w:val="none"/>
        </w:rPr>
        <w:t xml:space="preserve">内容  </w:t>
      </w:r>
    </w:p>
    <w:p w14:paraId="666C82DE">
      <w:pPr>
        <w:pStyle w:val="35"/>
        <w:keepNext w:val="0"/>
        <w:keepLines w:val="0"/>
        <w:widowControl/>
        <w:suppressLineNumbers w:val="0"/>
        <w:spacing w:before="0" w:beforeAutospacing="0" w:after="0" w:afterAutospacing="0"/>
        <w:ind w:left="0" w:right="0" w:firstLine="0"/>
        <w:rPr>
          <w:rFonts w:hint="eastAsia" w:ascii="宋体" w:hAnsi="宋体" w:eastAsia="宋体" w:cs="新宋体"/>
          <w:sz w:val="24"/>
          <w:highlight w:val="none"/>
          <w:lang w:eastAsia="zh-CN"/>
        </w:rPr>
      </w:pPr>
      <w:r>
        <w:rPr>
          <w:rFonts w:hint="eastAsia"/>
          <w:b/>
          <w:bCs/>
          <w:color w:val="auto"/>
          <w:highlight w:val="none"/>
        </w:rPr>
        <w:t>（</w:t>
      </w:r>
      <w:r>
        <w:rPr>
          <w:rFonts w:hint="eastAsia"/>
          <w:b/>
          <w:bCs/>
          <w:color w:val="auto"/>
          <w:highlight w:val="none"/>
          <w:lang w:val="en-US" w:eastAsia="zh-CN"/>
        </w:rPr>
        <w:t>一</w:t>
      </w:r>
      <w:r>
        <w:rPr>
          <w:rFonts w:hint="eastAsia"/>
          <w:b/>
          <w:bCs/>
          <w:color w:val="auto"/>
          <w:highlight w:val="none"/>
        </w:rPr>
        <w:t>）</w:t>
      </w:r>
      <w:r>
        <w:rPr>
          <w:rFonts w:hint="eastAsia" w:ascii="宋体" w:hAnsi="宋体" w:eastAsia="宋体" w:cs="宋体"/>
          <w:b/>
          <w:bCs/>
          <w:color w:val="auto"/>
          <w:highlight w:val="none"/>
        </w:rPr>
        <w:t>工程概况</w:t>
      </w:r>
      <w:r>
        <w:rPr>
          <w:rFonts w:hint="eastAsia" w:ascii="宋体" w:hAnsi="宋体" w:eastAsia="宋体" w:cs="宋体"/>
          <w:b/>
          <w:bCs/>
          <w:color w:val="auto"/>
          <w:highlight w:val="none"/>
          <w:lang w:eastAsia="zh-CN"/>
        </w:rPr>
        <w:t>：</w:t>
      </w:r>
    </w:p>
    <w:p w14:paraId="2ECF98AA">
      <w:pPr>
        <w:widowControl/>
        <w:spacing w:line="360" w:lineRule="auto"/>
        <w:ind w:firstLine="480" w:firstLineChars="200"/>
        <w:jc w:val="left"/>
        <w:rPr>
          <w:rFonts w:hint="eastAsia" w:ascii="宋体" w:hAnsi="宋体" w:cs="新宋体"/>
          <w:sz w:val="24"/>
          <w:szCs w:val="24"/>
          <w:highlight w:val="none"/>
          <w:lang w:eastAsia="zh-CN"/>
        </w:rPr>
      </w:pPr>
      <w:r>
        <w:rPr>
          <w:rFonts w:hint="eastAsia" w:ascii="宋体" w:hAnsi="宋体" w:cs="新宋体"/>
          <w:sz w:val="24"/>
          <w:szCs w:val="24"/>
          <w:highlight w:val="none"/>
        </w:rPr>
        <w:t>工程名称：</w:t>
      </w:r>
      <w:r>
        <w:rPr>
          <w:rFonts w:hint="eastAsia" w:ascii="宋体" w:hAnsi="宋体" w:cs="宋体"/>
          <w:color w:val="auto"/>
          <w:sz w:val="24"/>
          <w:highlight w:val="none"/>
          <w:lang w:eastAsia="zh-CN"/>
        </w:rPr>
        <w:t>画溪初中食堂及周边道路改造项目</w:t>
      </w:r>
    </w:p>
    <w:p w14:paraId="388133A7">
      <w:pPr>
        <w:widowControl/>
        <w:spacing w:line="360" w:lineRule="auto"/>
        <w:ind w:firstLine="480" w:firstLineChars="200"/>
        <w:jc w:val="left"/>
        <w:rPr>
          <w:rFonts w:hint="eastAsia" w:ascii="宋体" w:hAnsi="宋体" w:cs="新宋体"/>
          <w:sz w:val="24"/>
          <w:szCs w:val="24"/>
          <w:highlight w:val="none"/>
        </w:rPr>
      </w:pPr>
      <w:r>
        <w:rPr>
          <w:rFonts w:hint="eastAsia" w:ascii="宋体" w:hAnsi="宋体" w:cs="新宋体"/>
          <w:sz w:val="24"/>
          <w:szCs w:val="24"/>
          <w:highlight w:val="none"/>
        </w:rPr>
        <w:t>建设单位：</w:t>
      </w:r>
      <w:r>
        <w:rPr>
          <w:rFonts w:hint="eastAsia" w:ascii="宋体" w:hAnsi="宋体" w:cs="宋体"/>
          <w:color w:val="auto"/>
          <w:sz w:val="24"/>
          <w:highlight w:val="none"/>
          <w:lang w:eastAsia="zh-CN"/>
        </w:rPr>
        <w:t>东阳市画水镇画溪初级中学</w:t>
      </w:r>
    </w:p>
    <w:p w14:paraId="0F5C1C4F">
      <w:pPr>
        <w:widowControl/>
        <w:spacing w:line="360" w:lineRule="auto"/>
        <w:ind w:firstLine="480" w:firstLineChars="200"/>
        <w:jc w:val="left"/>
        <w:rPr>
          <w:rFonts w:hint="default" w:ascii="宋体" w:hAnsi="宋体" w:eastAsia="宋体" w:cs="新宋体"/>
          <w:color w:val="auto"/>
          <w:sz w:val="24"/>
          <w:szCs w:val="24"/>
          <w:highlight w:val="none"/>
          <w:lang w:val="en-US"/>
        </w:rPr>
      </w:pPr>
      <w:r>
        <w:rPr>
          <w:rFonts w:hint="eastAsia" w:ascii="宋体" w:hAnsi="宋体" w:cs="新宋体"/>
          <w:color w:val="auto"/>
          <w:sz w:val="24"/>
          <w:szCs w:val="24"/>
          <w:highlight w:val="none"/>
        </w:rPr>
        <w:t>建设地点：</w:t>
      </w:r>
      <w:r>
        <w:rPr>
          <w:rFonts w:hint="eastAsia" w:ascii="宋体" w:hAnsi="宋体" w:cs="宋体"/>
          <w:color w:val="auto"/>
          <w:sz w:val="24"/>
          <w:highlight w:val="none"/>
          <w:lang w:eastAsia="zh-CN"/>
        </w:rPr>
        <w:t>东阳市画水镇画溪初级中学</w:t>
      </w:r>
    </w:p>
    <w:p w14:paraId="377A8E3E">
      <w:pPr>
        <w:spacing w:line="360" w:lineRule="auto"/>
        <w:ind w:firstLine="480" w:firstLineChars="200"/>
        <w:rPr>
          <w:rFonts w:hint="eastAsia" w:ascii="宋体" w:hAnsi="宋体" w:eastAsia="宋体" w:cs="新宋体"/>
          <w:color w:val="auto"/>
          <w:sz w:val="24"/>
          <w:szCs w:val="24"/>
          <w:highlight w:val="none"/>
        </w:rPr>
      </w:pPr>
      <w:r>
        <w:rPr>
          <w:rFonts w:hint="eastAsia" w:ascii="宋体" w:hAnsi="宋体" w:eastAsia="宋体" w:cs="新宋体"/>
          <w:color w:val="auto"/>
          <w:sz w:val="24"/>
          <w:szCs w:val="24"/>
          <w:highlight w:val="none"/>
        </w:rPr>
        <w:t>工程规模：</w:t>
      </w:r>
      <w:r>
        <w:rPr>
          <w:rFonts w:hint="eastAsia" w:ascii="宋体" w:hAnsi="宋体" w:eastAsia="宋体" w:cs="宋体"/>
          <w:sz w:val="24"/>
          <w:szCs w:val="24"/>
          <w:highlight w:val="none"/>
        </w:rPr>
        <w:t>本工程为</w:t>
      </w:r>
      <w:r>
        <w:rPr>
          <w:rFonts w:hint="eastAsia" w:ascii="宋体" w:hAnsi="宋体" w:eastAsia="宋体" w:cs="宋体"/>
          <w:sz w:val="24"/>
          <w:szCs w:val="24"/>
          <w:highlight w:val="none"/>
          <w:lang w:val="en-US" w:eastAsia="zh-CN"/>
        </w:rPr>
        <w:t>画溪初中食堂及周边道路改造项目，主要内容：食堂拆建翻新、食堂屋面局部翻新、食堂门窗更换，室外：</w:t>
      </w:r>
      <w:r>
        <w:rPr>
          <w:rFonts w:hint="eastAsia" w:ascii="宋体" w:hAnsi="宋体" w:eastAsia="宋体" w:cs="宋体"/>
          <w:sz w:val="24"/>
          <w:szCs w:val="24"/>
          <w:highlight w:val="none"/>
          <w:lang w:val="en-US" w:eastAsia="zh-CN"/>
        </w:rPr>
        <w:t>沥青路水泥路破除等内容</w:t>
      </w:r>
      <w:r>
        <w:rPr>
          <w:rFonts w:hint="eastAsia" w:ascii="宋体" w:hAnsi="宋体" w:cs="宋体"/>
          <w:kern w:val="0"/>
          <w:sz w:val="24"/>
          <w:highlight w:val="none"/>
          <w:lang w:val="en-US" w:eastAsia="zh-CN"/>
        </w:rPr>
        <w:t>。</w:t>
      </w:r>
    </w:p>
    <w:p w14:paraId="356F714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服务</w:t>
      </w:r>
      <w:r>
        <w:rPr>
          <w:rFonts w:hint="eastAsia" w:ascii="宋体" w:hAnsi="宋体" w:eastAsia="宋体" w:cs="宋体"/>
          <w:b/>
          <w:bCs/>
          <w:color w:val="auto"/>
          <w:sz w:val="24"/>
          <w:highlight w:val="none"/>
        </w:rPr>
        <w:t>内容</w:t>
      </w:r>
      <w:r>
        <w:rPr>
          <w:rFonts w:hint="eastAsia" w:ascii="宋体" w:hAnsi="宋体" w:cs="宋体"/>
          <w:b/>
          <w:bCs/>
          <w:color w:val="auto"/>
          <w:sz w:val="24"/>
          <w:highlight w:val="none"/>
          <w:lang w:val="en-US" w:eastAsia="zh-CN"/>
        </w:rPr>
        <w:t>及要求</w:t>
      </w:r>
      <w:r>
        <w:rPr>
          <w:rFonts w:hint="eastAsia" w:ascii="宋体" w:hAnsi="宋体" w:eastAsia="宋体" w:cs="宋体"/>
          <w:b/>
          <w:bCs/>
          <w:color w:val="auto"/>
          <w:sz w:val="24"/>
          <w:highlight w:val="none"/>
        </w:rPr>
        <w:t>：</w:t>
      </w:r>
    </w:p>
    <w:bookmarkEnd w:id="2"/>
    <w:p w14:paraId="269F99FA">
      <w:pPr>
        <w:pStyle w:val="22"/>
        <w:spacing w:line="360" w:lineRule="auto"/>
        <w:rPr>
          <w:rFonts w:hint="eastAsia" w:ascii="宋体" w:hAnsi="宋体" w:cs="宋体"/>
          <w:b/>
          <w:bCs/>
          <w:color w:val="auto"/>
          <w:sz w:val="24"/>
          <w:highlight w:val="none"/>
          <w:lang w:val="en-US" w:eastAsia="zh-CN"/>
        </w:rPr>
      </w:pPr>
      <w:bookmarkStart w:id="3" w:name="_Toc13703"/>
      <w:r>
        <w:rPr>
          <w:rFonts w:hint="eastAsia" w:ascii="宋体" w:hAnsi="宋体" w:cs="宋体"/>
          <w:b/>
          <w:bCs/>
          <w:color w:val="auto"/>
          <w:sz w:val="24"/>
          <w:highlight w:val="none"/>
          <w:lang w:val="en-US" w:eastAsia="zh-CN"/>
        </w:rPr>
        <w:t>1、工作内容：</w:t>
      </w:r>
    </w:p>
    <w:p w14:paraId="43D3A8D3">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1.1按图纸设计内容进行施工（包括施工所需的所有工作）；</w:t>
      </w:r>
    </w:p>
    <w:p w14:paraId="535BA209">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1.2工程量：根据采购人提供的施工图纸、预算书等资料（详见附件）；</w:t>
      </w:r>
    </w:p>
    <w:p w14:paraId="06DAF8A7">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1.3工程造价包括一切与施工相关的材料、人工、检测、检验、税收等其它费用。</w:t>
      </w:r>
    </w:p>
    <w:p w14:paraId="0CBC0B1F">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▲2、项目质量及施工安全</w:t>
      </w:r>
    </w:p>
    <w:p w14:paraId="021B49D9">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2.1本项目所用材料应必须有合格证，工程质量以国家相关标准规范验收合格为准；</w:t>
      </w:r>
    </w:p>
    <w:p w14:paraId="05E5D046">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2.2本项目采购人推荐的建材品牌详见工程预算书，实际施工时供应商可以提供性能指标及档次同等或者优于采购人推荐品牌的产品参与投标，但价格不再调整。 </w:t>
      </w:r>
    </w:p>
    <w:p w14:paraId="4F63DF6B">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2.3项目施工材料应按相关规定进行检验，合格后方可使用。</w:t>
      </w:r>
    </w:p>
    <w:p w14:paraId="08162610">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2.4应按国家、行业现行规范进行施工。</w:t>
      </w:r>
    </w:p>
    <w:p w14:paraId="0972B05B">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2.5施工过程应做好相关资料记录。</w:t>
      </w:r>
    </w:p>
    <w:p w14:paraId="40996F30">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2.6必须按相关规定接受采购人委托单位的监督和检查，并提供相关资料。</w:t>
      </w:r>
    </w:p>
    <w:p w14:paraId="5DA2483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2.7中标人在施工期间发生安全事故、人身安全和交通安全等大小事故，一切责任和经济补偿均由中标人负责,采购人不承担任何责任。</w:t>
      </w:r>
    </w:p>
    <w:p w14:paraId="4B9960E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2.8中标人不服从采购人施工管理、施工管理不规范、安全质量达不到要求、不能在规定工期内完成等情形；采购人有权暂停或取消其施工资格。</w:t>
      </w:r>
    </w:p>
    <w:p w14:paraId="3F664786">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2.9中标人应做好现场施工噪音、环境卫生、材料堆放、安全警示等工作，并负责施工期间与环保、交通城管等部门的沟通协调工作，做好现场秩序的维护，如因中标人原因受到处罚、赔款、纠纷或因此而引起采购人经济损失的，均由中标人承担责任。</w:t>
      </w:r>
    </w:p>
    <w:p w14:paraId="60D0C3F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2.10工程质量以国家相关标准规范验收合格为准，如达不到约定的质量标准，采购人可要求中标人返工，直至达到约定的质量标准，并由中标人承担返工的一切费用。</w:t>
      </w:r>
    </w:p>
    <w:p w14:paraId="039C05FF">
      <w:pPr>
        <w:widowControl w:val="0"/>
        <w:spacing w:line="360" w:lineRule="auto"/>
        <w:ind w:firstLine="482" w:firstLineChars="200"/>
        <w:jc w:val="both"/>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3、</w:t>
      </w:r>
      <w:r>
        <w:rPr>
          <w:rFonts w:hint="eastAsia" w:ascii="宋体" w:hAnsi="宋体" w:eastAsia="宋体" w:cs="Times New Roman"/>
          <w:b/>
          <w:bCs/>
          <w:kern w:val="2"/>
          <w:sz w:val="24"/>
          <w:szCs w:val="24"/>
          <w:highlight w:val="none"/>
          <w:lang w:val="en-US" w:eastAsia="zh-CN" w:bidi="ar-SA"/>
        </w:rPr>
        <w:t xml:space="preserve">对拟派项目班子的要求  </w:t>
      </w:r>
    </w:p>
    <w:p w14:paraId="58FA96D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3.1</w:t>
      </w:r>
      <w:r>
        <w:rPr>
          <w:rFonts w:hint="eastAsia" w:ascii="宋体" w:hAnsi="宋体" w:eastAsia="宋体" w:cs="新宋体"/>
          <w:sz w:val="24"/>
          <w:highlight w:val="none"/>
        </w:rPr>
        <w:t>项目组成员必须每天到岗到位，每缺勤一天罚款1000元/天。到岗率低于50%或连续无故不到岗时，采购人有权终止合同</w:t>
      </w:r>
      <w:r>
        <w:rPr>
          <w:rFonts w:hint="eastAsia" w:ascii="宋体" w:hAnsi="宋体" w:eastAsia="宋体" w:cs="新宋体"/>
          <w:sz w:val="24"/>
          <w:highlight w:val="none"/>
        </w:rPr>
        <w:t>，并追究因此给采购人造成的损失。在施工期间，采购人认为中标人所选派的施工项目负责人、管理人员的现场管理能力、水平不能满足工程建设需要时，有权要求中标人选换施工项目负责人、管理人员。</w:t>
      </w:r>
    </w:p>
    <w:p w14:paraId="6C8EEB10">
      <w:pPr>
        <w:spacing w:line="44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除项目经理、技术负责人、安全员等无特殊情况不允许更换外，其余工程负责人如达不到业主要求的，须无条件更换，如施工单位自行需更换人员的，必须经采购人核准。</w:t>
      </w:r>
    </w:p>
    <w:p w14:paraId="10A4F9C6">
      <w:pPr>
        <w:spacing w:line="44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中标人应按投标文件的承诺组建工程项目管理班子，参照《金华市建筑施工现场主要管理人员考勤预警管理办法》执行。</w:t>
      </w:r>
    </w:p>
    <w:p w14:paraId="6CBA9161">
      <w:pPr>
        <w:pStyle w:val="33"/>
        <w:rPr>
          <w:rFonts w:hint="eastAsia"/>
          <w:highlight w:val="none"/>
          <w:lang w:val="en-US" w:eastAsia="zh-CN"/>
        </w:rPr>
      </w:pPr>
    </w:p>
    <w:p w14:paraId="6253F66D">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三、商务条款及其他要求</w:t>
      </w:r>
    </w:p>
    <w:p w14:paraId="2F741E08">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▲1、报价要求</w:t>
      </w:r>
    </w:p>
    <w:p w14:paraId="6063589B">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1.1本合同为固定总价合同，其合同总价已包含采购人确认的施工图、磋商响应方报价所列内容及所涉及的各项风险费用，竣工结算时在完成本合同工程范围内不作调整。</w:t>
      </w:r>
    </w:p>
    <w:p w14:paraId="59859686">
      <w:pPr>
        <w:pStyle w:val="22"/>
        <w:spacing w:line="360" w:lineRule="auto"/>
        <w:ind w:firstLine="240" w:firstLineChars="1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计算公式为：合同价款＝最高限价×（1－让利下浮率）</w:t>
      </w:r>
    </w:p>
    <w:p w14:paraId="530A92D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磋商报价包括项目所需的人工费、材料费、交通费、机械费、装卸费、管理费、税金等与本项目相关的一切费用。供应商的磋商报价为供应商所能承受的整个项目的一次性最终最低报价，如有漏项，视同已包含在本项目磋商报价中。</w:t>
      </w:r>
    </w:p>
    <w:p w14:paraId="71CECBC8">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1.3供应商应自行勘察现场，工程风险由供应商自行承担，结合自身能力进行磋商报价。</w:t>
      </w:r>
    </w:p>
    <w:p w14:paraId="3053D3E1">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2、付款方式  </w:t>
      </w:r>
    </w:p>
    <w:p w14:paraId="72C467E8">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2.1</w:t>
      </w:r>
      <w:r>
        <w:rPr>
          <w:rFonts w:hint="eastAsia" w:ascii="宋体" w:hAnsi="宋体" w:cs="宋体"/>
          <w:b/>
          <w:bCs/>
          <w:sz w:val="24"/>
          <w:szCs w:val="24"/>
          <w:highlight w:val="none"/>
        </w:rPr>
        <w:t>合同生效以及具备实施条件后7个工作日内支付合同价款</w:t>
      </w:r>
      <w:r>
        <w:rPr>
          <w:rFonts w:hint="eastAsia" w:ascii="宋体" w:hAnsi="宋体" w:cs="宋体"/>
          <w:b/>
          <w:bCs/>
          <w:sz w:val="24"/>
          <w:szCs w:val="24"/>
          <w:highlight w:val="none"/>
          <w:lang w:eastAsia="zh-CN"/>
        </w:rPr>
        <w:t>总额</w:t>
      </w:r>
      <w:r>
        <w:rPr>
          <w:rFonts w:hint="eastAsia" w:ascii="宋体" w:hAnsi="宋体" w:cs="宋体"/>
          <w:b/>
          <w:bCs/>
          <w:sz w:val="24"/>
          <w:szCs w:val="24"/>
          <w:highlight w:val="none"/>
        </w:rPr>
        <w:t>的</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0%作为预付款</w:t>
      </w:r>
      <w:r>
        <w:rPr>
          <w:rFonts w:hint="eastAsia" w:ascii="宋体" w:hAnsi="宋体" w:cs="宋体"/>
          <w:b/>
          <w:bCs/>
          <w:sz w:val="24"/>
          <w:szCs w:val="24"/>
          <w:highlight w:val="none"/>
          <w:lang w:val="en-US" w:eastAsia="zh-CN"/>
        </w:rPr>
        <w:t>（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14:paraId="655D107D">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2.2完成初验后支付至85%；</w:t>
      </w:r>
    </w:p>
    <w:p w14:paraId="104A609C">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2.3全部工程竣工验收合格及结算审核完成后7个工作日支付至100%。</w:t>
      </w:r>
    </w:p>
    <w:p w14:paraId="439F1DC8">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3、项目工期及项目地点</w:t>
      </w:r>
    </w:p>
    <w:p w14:paraId="6D393FC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3.1项目工期：</w:t>
      </w:r>
      <w:r>
        <w:rPr>
          <w:rFonts w:hint="eastAsia" w:ascii="宋体" w:hAnsi="宋体" w:eastAsia="宋体" w:cs="宋体"/>
          <w:sz w:val="24"/>
          <w:szCs w:val="24"/>
          <w:highlight w:val="none"/>
          <w:lang w:val="en-US" w:eastAsia="zh-CN"/>
        </w:rPr>
        <w:t>合同签订后</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sz w:val="24"/>
          <w:szCs w:val="24"/>
          <w:highlight w:val="none"/>
          <w:lang w:val="en-US" w:eastAsia="zh-CN"/>
        </w:rPr>
        <w:t>完成；</w:t>
      </w:r>
      <w:r>
        <w:rPr>
          <w:rFonts w:hint="eastAsia" w:ascii="宋体" w:hAnsi="宋体" w:cs="宋体"/>
          <w:b w:val="0"/>
          <w:bCs w:val="0"/>
          <w:color w:val="auto"/>
          <w:sz w:val="24"/>
          <w:highlight w:val="none"/>
          <w:lang w:val="en-US" w:eastAsia="zh-CN"/>
        </w:rPr>
        <w:t>每延迟一天罚1000元，限额为合同总价的 1 %。如果实际施工工期提前于合同工期，采购人不给予奖励。如因采购人原因造成工期延误，工期顺延。</w:t>
      </w:r>
    </w:p>
    <w:p w14:paraId="168508EC">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3.2项目地点：</w:t>
      </w:r>
      <w:r>
        <w:rPr>
          <w:rFonts w:hint="eastAsia" w:ascii="宋体" w:hAnsi="宋体" w:cs="宋体"/>
          <w:b w:val="0"/>
          <w:bCs w:val="0"/>
          <w:color w:val="auto"/>
          <w:sz w:val="24"/>
          <w:highlight w:val="none"/>
          <w:lang w:val="en-US" w:eastAsia="zh-CN"/>
        </w:rPr>
        <w:t>按采购人指定地点。</w:t>
      </w:r>
    </w:p>
    <w:p w14:paraId="46E81AA1">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▲4、施工质保期：二年，自验收合格之日起计算</w:t>
      </w:r>
      <w:r>
        <w:rPr>
          <w:rFonts w:hint="eastAsia" w:ascii="宋体" w:hAnsi="宋体" w:cs="宋体"/>
          <w:b w:val="0"/>
          <w:bCs w:val="0"/>
          <w:color w:val="auto"/>
          <w:sz w:val="24"/>
          <w:highlight w:val="none"/>
          <w:lang w:val="en-US" w:eastAsia="zh-CN"/>
        </w:rPr>
        <w:t>。</w:t>
      </w:r>
    </w:p>
    <w:p w14:paraId="05F8EA5A">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四、验收</w:t>
      </w:r>
    </w:p>
    <w:p w14:paraId="24585EB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5ED48E">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2、采购人可以邀请参加本项目的其他供应商或者第三方机构参与验收。参与验收的供应商或者第三方机构的意见作为验收书的参考资料一并存档。</w:t>
      </w:r>
    </w:p>
    <w:p w14:paraId="38A04CC7">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C64074">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4、采购人原则上应当在履约验收之日起2个工作日内，将履约验收结果在浙江政府采购网上公告。</w:t>
      </w:r>
    </w:p>
    <w:p w14:paraId="79BC1DF1">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5、验收合格的项目，采购人将根据采购合同的约定及时向供应商支付采购资金、退还履约保证金。</w:t>
      </w:r>
    </w:p>
    <w:p w14:paraId="26FB1BB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9011E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6、验收费用由中标单位支付。</w:t>
      </w:r>
    </w:p>
    <w:p w14:paraId="2C90A976">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五、合同的签订</w:t>
      </w:r>
    </w:p>
    <w:p w14:paraId="0C0AEC6A">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中标单位在收到《中标通知书》后20日内与东阳市画水镇画溪初级中学签订合同。</w:t>
      </w:r>
    </w:p>
    <w:p w14:paraId="096D1290">
      <w:pPr>
        <w:adjustRightInd w:val="0"/>
        <w:spacing w:line="400" w:lineRule="exact"/>
        <w:jc w:val="left"/>
        <w:rPr>
          <w:rFonts w:hint="default" w:ascii="宋体" w:hAnsi="宋体" w:cs="Times New Roman"/>
          <w:b/>
          <w:bCs/>
          <w:color w:val="auto"/>
          <w:kern w:val="2"/>
          <w:sz w:val="24"/>
          <w:szCs w:val="24"/>
          <w:highlight w:val="none"/>
          <w:lang w:eastAsia="zh-CN" w:bidi="ar-SA"/>
        </w:rPr>
      </w:pPr>
      <w:r>
        <w:rPr>
          <w:rFonts w:hint="eastAsia" w:ascii="宋体" w:hAnsi="宋体" w:cs="Times New Roman"/>
          <w:b/>
          <w:bCs/>
          <w:color w:val="auto"/>
          <w:kern w:val="2"/>
          <w:sz w:val="24"/>
          <w:szCs w:val="24"/>
          <w:highlight w:val="none"/>
          <w:lang w:val="en-US" w:eastAsia="zh-CN" w:bidi="ar-SA"/>
        </w:rPr>
        <w:t>六、</w:t>
      </w:r>
      <w:r>
        <w:rPr>
          <w:rFonts w:hint="eastAsia" w:ascii="宋体" w:hAnsi="宋体" w:eastAsia="宋体" w:cs="Times New Roman"/>
          <w:b/>
          <w:bCs/>
          <w:color w:val="auto"/>
          <w:kern w:val="2"/>
          <w:sz w:val="24"/>
          <w:szCs w:val="24"/>
          <w:highlight w:val="none"/>
          <w:lang w:val="en-US" w:eastAsia="zh-CN" w:bidi="ar-SA"/>
        </w:rPr>
        <w:t>农</w:t>
      </w:r>
      <w:r>
        <w:rPr>
          <w:rFonts w:hint="default" w:ascii="宋体" w:hAnsi="宋体" w:eastAsia="宋体" w:cs="Times New Roman"/>
          <w:b/>
          <w:bCs/>
          <w:color w:val="auto"/>
          <w:kern w:val="2"/>
          <w:sz w:val="24"/>
          <w:szCs w:val="24"/>
          <w:highlight w:val="none"/>
          <w:lang w:val="en-US" w:eastAsia="zh-CN" w:bidi="ar-SA"/>
        </w:rPr>
        <w:t>民工工资相关</w:t>
      </w:r>
      <w:r>
        <w:rPr>
          <w:rFonts w:hint="default" w:ascii="宋体" w:hAnsi="宋体" w:cs="Times New Roman"/>
          <w:b/>
          <w:bCs/>
          <w:color w:val="auto"/>
          <w:kern w:val="2"/>
          <w:sz w:val="24"/>
          <w:szCs w:val="24"/>
          <w:highlight w:val="none"/>
          <w:lang w:eastAsia="zh-CN" w:bidi="ar-SA"/>
        </w:rPr>
        <w:t>要求：</w:t>
      </w:r>
    </w:p>
    <w:p w14:paraId="411B244E">
      <w:pPr>
        <w:adjustRightInd w:val="0"/>
        <w:spacing w:line="400" w:lineRule="exact"/>
        <w:ind w:firstLine="240" w:firstLineChars="1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农</w:t>
      </w:r>
      <w:r>
        <w:rPr>
          <w:rFonts w:hint="default" w:ascii="宋体" w:hAnsi="宋体" w:eastAsia="宋体" w:cs="Times New Roman"/>
          <w:color w:val="auto"/>
          <w:kern w:val="2"/>
          <w:sz w:val="24"/>
          <w:szCs w:val="24"/>
          <w:highlight w:val="none"/>
          <w:lang w:val="en-US" w:eastAsia="zh-CN" w:bidi="ar-SA"/>
        </w:rPr>
        <w:t>民工工资相关的管理、认定、支付等事项按按东阳市根治欠薪工作领导小组办公室《关于落实“两备案一承诺”制度的通知》文件执行。施工单位应按时支付农民工工资</w:t>
      </w:r>
      <w:r>
        <w:rPr>
          <w:rFonts w:hint="eastAsia" w:ascii="宋体" w:hAnsi="宋体" w:eastAsia="宋体" w:cs="Times New Roman"/>
          <w:color w:val="auto"/>
          <w:kern w:val="2"/>
          <w:sz w:val="24"/>
          <w:szCs w:val="24"/>
          <w:highlight w:val="none"/>
          <w:lang w:val="en-US" w:eastAsia="zh-CN" w:bidi="ar-SA"/>
        </w:rPr>
        <w:t>。</w:t>
      </w:r>
    </w:p>
    <w:p w14:paraId="4A3EC5DF">
      <w:pPr>
        <w:rPr>
          <w:rFonts w:hint="eastAsia"/>
          <w:highlight w:val="none"/>
          <w:lang w:val="en-US" w:eastAsia="zh-CN"/>
        </w:rPr>
      </w:pPr>
    </w:p>
    <w:p w14:paraId="1FDB0BB4">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D686CAB">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DFF0632">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609314A9">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30416146">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E32544F">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6F0B7AF2">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4744479">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5ABF08E2">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69F325E">
      <w:pPr>
        <w:adjustRightInd w:val="0"/>
        <w:spacing w:line="400" w:lineRule="exact"/>
        <w:jc w:val="left"/>
        <w:rPr>
          <w:rFonts w:hint="eastAsia" w:ascii="宋体" w:hAnsi="宋体" w:cs="宋体"/>
          <w:color w:val="auto"/>
          <w:sz w:val="24"/>
          <w:szCs w:val="24"/>
          <w:highlight w:val="none"/>
        </w:rPr>
      </w:pPr>
    </w:p>
    <w:p w14:paraId="7638D260">
      <w:pPr>
        <w:adjustRightInd w:val="0"/>
        <w:spacing w:line="400" w:lineRule="exact"/>
        <w:ind w:firstLine="3600" w:firstLineChars="1500"/>
        <w:jc w:val="left"/>
        <w:rPr>
          <w:rFonts w:hint="eastAsia" w:ascii="宋体" w:hAnsi="宋体" w:cs="宋体"/>
          <w:color w:val="auto"/>
          <w:sz w:val="24"/>
          <w:szCs w:val="24"/>
          <w:highlight w:val="none"/>
        </w:rPr>
      </w:pPr>
    </w:p>
    <w:p w14:paraId="3E87137A">
      <w:pPr>
        <w:pStyle w:val="3"/>
        <w:rPr>
          <w:rFonts w:hint="eastAsia" w:ascii="宋体" w:hAnsi="宋体" w:cs="宋体"/>
          <w:color w:val="auto"/>
          <w:sz w:val="24"/>
          <w:szCs w:val="24"/>
          <w:highlight w:val="none"/>
        </w:rPr>
      </w:pPr>
    </w:p>
    <w:p w14:paraId="6C914378">
      <w:pPr>
        <w:pStyle w:val="2"/>
        <w:rPr>
          <w:rFonts w:hint="eastAsia" w:ascii="宋体" w:hAnsi="宋体" w:cs="宋体"/>
          <w:color w:val="auto"/>
          <w:sz w:val="24"/>
          <w:szCs w:val="24"/>
          <w:highlight w:val="none"/>
        </w:rPr>
      </w:pPr>
    </w:p>
    <w:p w14:paraId="4083FFEB">
      <w:pPr>
        <w:pStyle w:val="2"/>
        <w:rPr>
          <w:rFonts w:hint="eastAsia" w:ascii="宋体" w:hAnsi="宋体" w:cs="宋体"/>
          <w:color w:val="auto"/>
          <w:sz w:val="24"/>
          <w:szCs w:val="24"/>
          <w:highlight w:val="none"/>
        </w:rPr>
      </w:pPr>
    </w:p>
    <w:p w14:paraId="7700605D">
      <w:pPr>
        <w:pStyle w:val="2"/>
        <w:rPr>
          <w:rFonts w:hint="eastAsia" w:ascii="宋体" w:hAnsi="宋体" w:cs="宋体"/>
          <w:color w:val="auto"/>
          <w:sz w:val="24"/>
          <w:szCs w:val="24"/>
          <w:highlight w:val="none"/>
        </w:rPr>
      </w:pPr>
    </w:p>
    <w:p w14:paraId="10D4037E">
      <w:pPr>
        <w:pStyle w:val="2"/>
        <w:rPr>
          <w:rFonts w:hint="eastAsia" w:ascii="宋体" w:hAnsi="宋体" w:cs="宋体"/>
          <w:color w:val="auto"/>
          <w:sz w:val="24"/>
          <w:szCs w:val="24"/>
          <w:highlight w:val="none"/>
        </w:rPr>
      </w:pPr>
    </w:p>
    <w:p w14:paraId="3E971562">
      <w:pPr>
        <w:pStyle w:val="2"/>
        <w:rPr>
          <w:rFonts w:hint="eastAsia" w:ascii="宋体" w:hAnsi="宋体" w:cs="宋体"/>
          <w:color w:val="auto"/>
          <w:sz w:val="24"/>
          <w:szCs w:val="24"/>
          <w:highlight w:val="none"/>
        </w:rPr>
      </w:pPr>
    </w:p>
    <w:p w14:paraId="46CFC228">
      <w:pPr>
        <w:pStyle w:val="2"/>
        <w:rPr>
          <w:rFonts w:hint="eastAsia" w:ascii="宋体" w:hAnsi="宋体" w:cs="宋体"/>
          <w:color w:val="auto"/>
          <w:sz w:val="24"/>
          <w:szCs w:val="24"/>
          <w:highlight w:val="none"/>
        </w:rPr>
      </w:pPr>
    </w:p>
    <w:p w14:paraId="11E2B841">
      <w:pPr>
        <w:pStyle w:val="2"/>
        <w:rPr>
          <w:rFonts w:hint="eastAsia" w:ascii="宋体" w:hAnsi="宋体" w:cs="宋体"/>
          <w:color w:val="auto"/>
          <w:sz w:val="24"/>
          <w:szCs w:val="24"/>
          <w:highlight w:val="none"/>
        </w:rPr>
      </w:pPr>
    </w:p>
    <w:p w14:paraId="5453BB2E">
      <w:pPr>
        <w:pStyle w:val="2"/>
        <w:rPr>
          <w:rFonts w:hint="eastAsia" w:ascii="宋体" w:hAnsi="宋体" w:cs="宋体"/>
          <w:color w:val="auto"/>
          <w:sz w:val="24"/>
          <w:szCs w:val="24"/>
          <w:highlight w:val="none"/>
        </w:rPr>
      </w:pPr>
    </w:p>
    <w:p w14:paraId="31F35061">
      <w:pPr>
        <w:pStyle w:val="2"/>
        <w:rPr>
          <w:rFonts w:hint="eastAsia" w:ascii="宋体" w:hAnsi="宋体" w:cs="宋体"/>
          <w:color w:val="auto"/>
          <w:sz w:val="24"/>
          <w:szCs w:val="24"/>
          <w:highlight w:val="none"/>
        </w:rPr>
      </w:pPr>
    </w:p>
    <w:p w14:paraId="4BE0B44A">
      <w:pPr>
        <w:pStyle w:val="2"/>
        <w:rPr>
          <w:rFonts w:hint="eastAsia" w:ascii="宋体" w:hAnsi="宋体" w:cs="宋体"/>
          <w:color w:val="auto"/>
          <w:sz w:val="24"/>
          <w:szCs w:val="24"/>
          <w:highlight w:val="none"/>
        </w:rPr>
      </w:pPr>
    </w:p>
    <w:p w14:paraId="10D2CF20">
      <w:pPr>
        <w:adjustRightInd w:val="0"/>
        <w:spacing w:line="400" w:lineRule="exact"/>
        <w:jc w:val="left"/>
        <w:rPr>
          <w:rFonts w:hint="eastAsia" w:ascii="宋体" w:hAnsi="宋体" w:cs="宋体"/>
          <w:color w:val="auto"/>
          <w:sz w:val="24"/>
          <w:szCs w:val="24"/>
          <w:highlight w:val="none"/>
        </w:rPr>
      </w:pPr>
    </w:p>
    <w:p w14:paraId="57C2A565">
      <w:pPr>
        <w:adjustRightInd w:val="0"/>
        <w:spacing w:line="400" w:lineRule="exact"/>
        <w:ind w:firstLine="2891" w:firstLineChars="800"/>
        <w:jc w:val="both"/>
        <w:rPr>
          <w:rFonts w:ascii="宋体" w:hAnsi="宋体" w:cs="宋体"/>
          <w:b/>
          <w:bCs/>
          <w:color w:val="auto"/>
          <w:kern w:val="0"/>
          <w:sz w:val="36"/>
          <w:szCs w:val="36"/>
          <w:highlight w:val="none"/>
        </w:rPr>
      </w:pPr>
      <w:r>
        <w:rPr>
          <w:rFonts w:hint="eastAsia" w:ascii="宋体" w:hAnsi="宋体" w:cs="宋体"/>
          <w:b/>
          <w:bCs/>
          <w:color w:val="auto"/>
          <w:sz w:val="36"/>
          <w:szCs w:val="36"/>
          <w:highlight w:val="none"/>
        </w:rPr>
        <w:t>第三章   供应商须知</w:t>
      </w:r>
      <w:bookmarkEnd w:id="3"/>
    </w:p>
    <w:p w14:paraId="03EA4E85">
      <w:pPr>
        <w:pStyle w:val="22"/>
        <w:snapToGrid w:val="0"/>
        <w:spacing w:before="120" w:after="120"/>
        <w:ind w:firstLine="4578" w:firstLineChars="1900"/>
        <w:jc w:val="both"/>
        <w:outlineLvl w:val="1"/>
        <w:rPr>
          <w:rFonts w:hint="eastAsia" w:ascii="宋体" w:hAnsi="宋体" w:cs="宋体"/>
          <w:b/>
          <w:color w:val="auto"/>
          <w:szCs w:val="24"/>
          <w:highlight w:val="none"/>
        </w:rPr>
      </w:pPr>
      <w:bookmarkStart w:id="4" w:name="_Toc24216"/>
      <w:r>
        <w:rPr>
          <w:rFonts w:hint="eastAsia" w:ascii="宋体" w:hAnsi="宋体" w:cs="宋体"/>
          <w:b/>
          <w:color w:val="auto"/>
          <w:szCs w:val="24"/>
          <w:highlight w:val="none"/>
        </w:rPr>
        <w:t>前附表</w:t>
      </w:r>
      <w:bookmarkEnd w:id="4"/>
    </w:p>
    <w:p w14:paraId="39E3F912">
      <w:pPr>
        <w:pStyle w:val="33"/>
        <w:rPr>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743"/>
      </w:tblGrid>
      <w:tr w14:paraId="72422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BCD00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43" w:type="dxa"/>
            <w:tcBorders>
              <w:top w:val="single" w:color="auto" w:sz="4" w:space="0"/>
              <w:left w:val="single" w:color="auto" w:sz="4" w:space="0"/>
              <w:bottom w:val="single" w:color="auto" w:sz="4" w:space="0"/>
              <w:right w:val="single" w:color="auto" w:sz="4" w:space="0"/>
            </w:tcBorders>
            <w:vAlign w:val="center"/>
          </w:tcPr>
          <w:p w14:paraId="1D4E94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02C18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1917990">
            <w:pPr>
              <w:snapToGrid w:val="0"/>
              <w:spacing w:line="42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743" w:type="dxa"/>
            <w:tcBorders>
              <w:top w:val="single" w:color="auto" w:sz="4" w:space="0"/>
              <w:left w:val="single" w:color="auto" w:sz="4" w:space="0"/>
              <w:bottom w:val="single" w:color="auto" w:sz="4" w:space="0"/>
              <w:right w:val="single" w:color="auto" w:sz="4" w:space="0"/>
            </w:tcBorders>
            <w:vAlign w:val="center"/>
          </w:tcPr>
          <w:p w14:paraId="234221C4">
            <w:pPr>
              <w:snapToGrid w:val="0"/>
              <w:spacing w:line="420" w:lineRule="exact"/>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画溪初中食堂及周边道路改造项目</w:t>
            </w:r>
          </w:p>
        </w:tc>
      </w:tr>
      <w:tr w14:paraId="3FE6A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8122336">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743" w:type="dxa"/>
            <w:tcBorders>
              <w:top w:val="single" w:color="auto" w:sz="4" w:space="0"/>
              <w:left w:val="single" w:color="auto" w:sz="4" w:space="0"/>
              <w:bottom w:val="single" w:color="auto" w:sz="4" w:space="0"/>
              <w:right w:val="single" w:color="auto" w:sz="4" w:space="0"/>
            </w:tcBorders>
            <w:vAlign w:val="center"/>
          </w:tcPr>
          <w:p w14:paraId="70FB6FEB">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磋商报价及费用：1、本项目磋商应以</w:t>
            </w:r>
            <w:r>
              <w:rPr>
                <w:rFonts w:hint="eastAsia" w:ascii="宋体" w:hAnsi="宋体"/>
                <w:color w:val="auto"/>
                <w:sz w:val="24"/>
                <w:highlight w:val="none"/>
              </w:rPr>
              <w:t>人民币</w:t>
            </w:r>
            <w:r>
              <w:rPr>
                <w:rFonts w:hint="eastAsia" w:ascii="宋体" w:hAnsi="宋体" w:cs="宋体"/>
                <w:color w:val="auto"/>
                <w:sz w:val="24"/>
                <w:highlight w:val="none"/>
              </w:rPr>
              <w:t>报价；2、不论磋商结果如何，供应商均应自行承担所有与磋商有关的全部费用；3、磋商费用：</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按照</w:t>
            </w:r>
            <w:r>
              <w:rPr>
                <w:rFonts w:hint="eastAsia" w:ascii="宋体" w:hAnsi="宋体" w:cs="宋体"/>
                <w:color w:val="auto"/>
                <w:sz w:val="24"/>
                <w:highlight w:val="none"/>
                <w:lang w:val="en-US" w:eastAsia="zh-CN"/>
              </w:rPr>
              <w:t>金华市网上中介超市成交公告</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收取中标服务费。</w:t>
            </w:r>
          </w:p>
        </w:tc>
      </w:tr>
      <w:tr w14:paraId="1EBFF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6BEDD0F">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43" w:type="dxa"/>
            <w:tcBorders>
              <w:top w:val="single" w:color="auto" w:sz="4" w:space="0"/>
              <w:left w:val="single" w:color="auto" w:sz="4" w:space="0"/>
              <w:bottom w:val="single" w:color="auto" w:sz="4" w:space="0"/>
              <w:right w:val="single" w:color="auto" w:sz="4" w:space="0"/>
            </w:tcBorders>
            <w:vAlign w:val="center"/>
          </w:tcPr>
          <w:p w14:paraId="0931198C">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ascii="宋体" w:hAnsi="宋体" w:cs="宋体"/>
                <w:b/>
                <w:bCs/>
                <w:color w:val="auto"/>
                <w:sz w:val="24"/>
                <w:highlight w:val="none"/>
              </w:rPr>
              <w:t>建筑业</w:t>
            </w:r>
            <w:r>
              <w:rPr>
                <w:rFonts w:hint="eastAsia" w:ascii="宋体" w:hAnsi="宋体" w:cs="宋体"/>
                <w:b/>
                <w:bCs/>
                <w:color w:val="auto"/>
                <w:sz w:val="24"/>
                <w:highlight w:val="none"/>
                <w:lang w:eastAsia="zh-CN"/>
              </w:rPr>
              <w:t>；</w:t>
            </w:r>
          </w:p>
        </w:tc>
      </w:tr>
      <w:tr w14:paraId="5B74D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2AD5E07">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743" w:type="dxa"/>
            <w:tcBorders>
              <w:top w:val="single" w:color="auto" w:sz="4" w:space="0"/>
              <w:left w:val="single" w:color="auto" w:sz="4" w:space="0"/>
              <w:bottom w:val="single" w:color="auto" w:sz="4" w:space="0"/>
              <w:right w:val="single" w:color="auto" w:sz="4" w:space="0"/>
            </w:tcBorders>
            <w:vAlign w:val="center"/>
          </w:tcPr>
          <w:p w14:paraId="4783274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780A593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73437C0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1F76772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7D0CDAC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08A6764">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4971C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5B01451">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743" w:type="dxa"/>
            <w:tcBorders>
              <w:top w:val="single" w:color="auto" w:sz="4" w:space="0"/>
              <w:left w:val="single" w:color="auto" w:sz="4" w:space="0"/>
              <w:bottom w:val="single" w:color="auto" w:sz="4" w:space="0"/>
              <w:right w:val="single" w:color="auto" w:sz="4" w:space="0"/>
            </w:tcBorders>
            <w:vAlign w:val="center"/>
          </w:tcPr>
          <w:p w14:paraId="2B498316">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答疑与澄清：供应商如认为磋商文件表述不清晰、存在歧视性、排他性或者其他违法内容的，应当按照磋商公告第三、八条规定以书面形式要求招标方作出书面解释、澄清或者向招标方提出书面质疑；</w:t>
            </w:r>
            <w:r>
              <w:rPr>
                <w:rFonts w:hint="eastAsia" w:ascii="宋体" w:hAnsi="宋体" w:cs="宋体"/>
                <w:b/>
                <w:color w:val="auto"/>
                <w:sz w:val="24"/>
                <w:highlight w:val="none"/>
              </w:rPr>
              <w:t>在质疑截止时间前，未对磋商文件提出质疑时，视供应商对磋商文件的默认；</w:t>
            </w:r>
            <w:r>
              <w:rPr>
                <w:rFonts w:hint="eastAsia" w:ascii="宋体" w:hAnsi="宋体" w:cs="宋体"/>
                <w:color w:val="auto"/>
                <w:sz w:val="24"/>
                <w:highlight w:val="none"/>
              </w:rPr>
              <w:t>招标采购单位对已发出的磋商文件进行必要澄清、答复、修改或者补充的，在财政部门指定的政府采购信息发布媒体上发布更正公告，并以书面形式通知所有已获取磋商文件的供应商；答疑内容是磋商文件的组成部分；澄清或者修改的内容可能影响磋商响应文件编制的，应当在磋商截止时间至少5日前，以书面形式通知所有获取磋商文件的潜在供应商；不足5日的，顺延提交磋商响应文件的截止时间。</w:t>
            </w:r>
          </w:p>
        </w:tc>
      </w:tr>
      <w:tr w14:paraId="4146C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8BABE39">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743" w:type="dxa"/>
            <w:tcBorders>
              <w:top w:val="single" w:color="auto" w:sz="4" w:space="0"/>
              <w:left w:val="single" w:color="auto" w:sz="4" w:space="0"/>
              <w:bottom w:val="single" w:color="auto" w:sz="4" w:space="0"/>
              <w:right w:val="single" w:color="auto" w:sz="4" w:space="0"/>
            </w:tcBorders>
            <w:vAlign w:val="center"/>
          </w:tcPr>
          <w:p w14:paraId="5667E337">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磋商响应文件的递交：</w:t>
            </w:r>
          </w:p>
          <w:p w14:paraId="5B2DBF49">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本项目磋商响应文件由资格审查文件、商务技术文件和报价文件三部分组成。供应商应按以下方式递交磋商响应文件：</w:t>
            </w:r>
          </w:p>
          <w:p w14:paraId="62AE18AD">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▲1、本项目实行“网上磋商、电子评标”，供应商应于磋商截止时间前在“政采云”（电子交易平台）上传输、递交电子版磋商响应文件（包括资格审查文件、商务技术文件和报价文件）；</w:t>
            </w:r>
          </w:p>
          <w:p w14:paraId="65616259">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磋商响应文件无法解密或解密失败，导致磋商无效的情况，供应商可以在磋商截止时间前将电子备份磋商响应文件（经政采云电子交易客户端和CA驱动制作出的后缀名为“bfbs”的加密电子备份磋商响应文件）发送至</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邮箱：</w:t>
            </w:r>
            <w:r>
              <w:rPr>
                <w:rFonts w:hint="eastAsia" w:ascii="宋体" w:hAnsi="宋体" w:cs="宋体"/>
                <w:color w:val="auto"/>
                <w:sz w:val="24"/>
                <w:highlight w:val="none"/>
                <w:lang w:val="en-US" w:eastAsia="zh-CN"/>
              </w:rPr>
              <w:t>376459897</w:t>
            </w:r>
            <w:r>
              <w:rPr>
                <w:rFonts w:hint="eastAsia" w:ascii="宋体" w:hAnsi="宋体" w:cs="宋体"/>
                <w:color w:val="auto"/>
                <w:sz w:val="24"/>
                <w:highlight w:val="none"/>
                <w:lang w:eastAsia="zh-CN"/>
              </w:rPr>
              <w:t>@qq.com</w:t>
            </w:r>
            <w:r>
              <w:rPr>
                <w:rFonts w:hint="eastAsia" w:ascii="宋体" w:hAnsi="宋体" w:cs="宋体"/>
                <w:color w:val="auto"/>
                <w:sz w:val="24"/>
                <w:highlight w:val="none"/>
              </w:rPr>
              <w:t>，逾期发送或发错后缀名的备份磋商响应文件将被视为无效；</w:t>
            </w:r>
          </w:p>
          <w:p w14:paraId="669B2E76">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3、供应商仅提交电子备份磋商响应文件的，磋商无效；</w:t>
            </w:r>
          </w:p>
          <w:p w14:paraId="7F4B0D2C">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4、本项目不强制供应商提交电子备份磋商响应文件；如在开评标时出现电子磋商响应文件无法解密或解密失败等情况，因供应商未提供电子备份磋商响应文件而造成磋商无效等一切后果和风险由供应商自行承担。</w:t>
            </w:r>
          </w:p>
        </w:tc>
      </w:tr>
      <w:tr w14:paraId="24ED4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F99B234">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743" w:type="dxa"/>
            <w:tcBorders>
              <w:top w:val="single" w:color="auto" w:sz="4" w:space="0"/>
              <w:left w:val="single" w:color="auto" w:sz="4" w:space="0"/>
              <w:bottom w:val="single" w:color="auto" w:sz="4" w:space="0"/>
              <w:right w:val="single" w:color="auto" w:sz="4" w:space="0"/>
            </w:tcBorders>
            <w:vAlign w:val="center"/>
          </w:tcPr>
          <w:p w14:paraId="32845460">
            <w:pPr>
              <w:snapToGrid w:val="0"/>
              <w:spacing w:line="420" w:lineRule="exact"/>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磋商截止时间：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p>
          <w:p w14:paraId="1BE90A93">
            <w:pPr>
              <w:pStyle w:val="22"/>
              <w:spacing w:line="420" w:lineRule="exact"/>
              <w:rPr>
                <w:rFonts w:ascii="宋体" w:hAnsi="宋体" w:cs="宋体"/>
                <w:bCs/>
                <w:color w:val="auto"/>
                <w:szCs w:val="24"/>
                <w:highlight w:val="none"/>
              </w:rPr>
            </w:pPr>
            <w:r>
              <w:rPr>
                <w:rFonts w:hint="eastAsia" w:ascii="宋体" w:hAnsi="宋体" w:cs="宋体"/>
                <w:bCs/>
                <w:color w:val="auto"/>
                <w:szCs w:val="24"/>
                <w:highlight w:val="none"/>
              </w:rPr>
              <w:t>1、供应商应当在磋商截止时间前在“政采云”（电子交易平台）上自行上传加密的电子磋商响应文件。磋商截止时间前未完成传输的，视为撤回电子磋商响应文件。磋商截止时间后递交的电子磋商响应文件，将被政采云平台拒收。</w:t>
            </w:r>
          </w:p>
          <w:p w14:paraId="259DDB53">
            <w:pPr>
              <w:snapToGrid w:val="0"/>
              <w:spacing w:line="420" w:lineRule="exact"/>
              <w:rPr>
                <w:rFonts w:ascii="宋体" w:hAnsi="宋体" w:cs="宋体"/>
                <w:bCs/>
                <w:color w:val="auto"/>
                <w:sz w:val="24"/>
                <w:highlight w:val="none"/>
              </w:rPr>
            </w:pPr>
            <w:r>
              <w:rPr>
                <w:rFonts w:hint="eastAsia" w:ascii="宋体" w:hAnsi="宋体" w:cs="宋体"/>
                <w:bCs/>
                <w:color w:val="auto"/>
                <w:sz w:val="24"/>
                <w:highlight w:val="none"/>
              </w:rPr>
              <w:t>2、电子备份磋商响应文件的递交时间：供应商应当在磋商截止时间前，逾期未递交的视为自动放弃。</w:t>
            </w:r>
          </w:p>
          <w:p w14:paraId="71CE7DA7">
            <w:pPr>
              <w:pStyle w:val="22"/>
              <w:spacing w:line="420" w:lineRule="exact"/>
              <w:rPr>
                <w:rFonts w:ascii="宋体" w:hAnsi="宋体" w:cs="宋体"/>
                <w:color w:val="auto"/>
                <w:szCs w:val="24"/>
                <w:highlight w:val="none"/>
              </w:rPr>
            </w:pPr>
            <w:r>
              <w:rPr>
                <w:rFonts w:hint="eastAsia" w:ascii="宋体" w:hAnsi="宋体" w:cs="宋体"/>
                <w:bCs/>
                <w:color w:val="auto"/>
                <w:szCs w:val="24"/>
                <w:highlight w:val="none"/>
              </w:rPr>
              <w:t>3、供应商应当在磋商截止时间前完成磋商准备事宜（应具备上网的技术条件并保持网络及联系方式畅通）及电子磋商响应文件的传输递交，可以补充、修改或者撤回电子磋商响应文件。补充或者修改电子磋商响应文件的，应当先行撤回原文件，补充、修改后重新传输递交。</w:t>
            </w:r>
          </w:p>
        </w:tc>
      </w:tr>
      <w:tr w14:paraId="76E2E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2ACE68A">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743" w:type="dxa"/>
            <w:tcBorders>
              <w:top w:val="single" w:color="auto" w:sz="4" w:space="0"/>
              <w:left w:val="single" w:color="auto" w:sz="4" w:space="0"/>
              <w:bottom w:val="single" w:color="auto" w:sz="4" w:space="0"/>
              <w:right w:val="single" w:color="auto" w:sz="4" w:space="0"/>
            </w:tcBorders>
            <w:vAlign w:val="center"/>
          </w:tcPr>
          <w:p w14:paraId="3DB9EAB6">
            <w:pPr>
              <w:snapToGrid w:val="0"/>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磋商</w:t>
            </w:r>
            <w:r>
              <w:rPr>
                <w:rFonts w:hint="eastAsia" w:ascii="宋体" w:hAnsi="宋体" w:cs="宋体"/>
                <w:color w:val="auto"/>
                <w:sz w:val="24"/>
                <w:highlight w:val="none"/>
              </w:rPr>
              <w:t>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7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p>
          <w:p w14:paraId="39912481">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本项目不要求供应商到开标现场开标，但供应商应派法定代表人或委托代理人准时在线出席电子开标会议，随时关注开标进度，如在开标过程中有电子询标，应在规定的时间内对电子询标函进行澄清回复。</w:t>
            </w:r>
          </w:p>
          <w:p w14:paraId="09173222">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tc>
      </w:tr>
      <w:tr w14:paraId="75A93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495C1B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743" w:type="dxa"/>
            <w:tcBorders>
              <w:top w:val="single" w:color="auto" w:sz="4" w:space="0"/>
              <w:left w:val="single" w:color="auto" w:sz="4" w:space="0"/>
              <w:bottom w:val="single" w:color="auto" w:sz="4" w:space="0"/>
              <w:right w:val="single" w:color="auto" w:sz="4" w:space="0"/>
            </w:tcBorders>
            <w:vAlign w:val="center"/>
          </w:tcPr>
          <w:p w14:paraId="221FFD35">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b/>
                <w:bCs/>
                <w:color w:val="auto"/>
                <w:sz w:val="24"/>
                <w:highlight w:val="none"/>
              </w:rPr>
              <w:t>磋商办法：综合评分法（其中报价分为两轮）</w:t>
            </w:r>
          </w:p>
        </w:tc>
      </w:tr>
      <w:tr w14:paraId="6DB89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061D4FC">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743" w:type="dxa"/>
            <w:tcBorders>
              <w:top w:val="single" w:color="auto" w:sz="4" w:space="0"/>
              <w:left w:val="single" w:color="auto" w:sz="4" w:space="0"/>
              <w:bottom w:val="single" w:color="auto" w:sz="4" w:space="0"/>
              <w:right w:val="single" w:color="auto" w:sz="4" w:space="0"/>
            </w:tcBorders>
            <w:vAlign w:val="center"/>
          </w:tcPr>
          <w:p w14:paraId="69219BA5">
            <w:pPr>
              <w:autoSpaceDE w:val="0"/>
              <w:autoSpaceDN w:val="0"/>
              <w:snapToGrid w:val="0"/>
              <w:spacing w:line="420" w:lineRule="exact"/>
              <w:textAlignment w:val="bottom"/>
              <w:rPr>
                <w:rFonts w:ascii="宋体" w:hAnsi="宋体" w:cs="宋体"/>
                <w:color w:val="auto"/>
                <w:sz w:val="24"/>
                <w:highlight w:val="none"/>
              </w:rPr>
            </w:pPr>
            <w:bookmarkStart w:id="5"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5"/>
            <w:r>
              <w:rPr>
                <w:rFonts w:hint="eastAsia" w:ascii="宋体" w:hAnsi="宋体" w:cs="宋体"/>
                <w:color w:val="auto"/>
                <w:sz w:val="24"/>
                <w:highlight w:val="none"/>
              </w:rPr>
              <w:t>。</w:t>
            </w:r>
          </w:p>
        </w:tc>
      </w:tr>
      <w:tr w14:paraId="7AA05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5A7533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743" w:type="dxa"/>
            <w:tcBorders>
              <w:top w:val="single" w:color="auto" w:sz="4" w:space="0"/>
              <w:left w:val="single" w:color="auto" w:sz="4" w:space="0"/>
              <w:bottom w:val="single" w:color="auto" w:sz="4" w:space="0"/>
              <w:right w:val="single" w:color="auto" w:sz="4" w:space="0"/>
            </w:tcBorders>
            <w:vAlign w:val="center"/>
          </w:tcPr>
          <w:p w14:paraId="450C5B56">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5AF02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829980">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743" w:type="dxa"/>
            <w:tcBorders>
              <w:top w:val="single" w:color="auto" w:sz="4" w:space="0"/>
              <w:left w:val="single" w:color="auto" w:sz="4" w:space="0"/>
              <w:bottom w:val="single" w:color="auto" w:sz="4" w:space="0"/>
              <w:right w:val="single" w:color="auto" w:sz="4" w:space="0"/>
            </w:tcBorders>
            <w:vAlign w:val="center"/>
          </w:tcPr>
          <w:p w14:paraId="7BDFB0EE">
            <w:pPr>
              <w:autoSpaceDE w:val="0"/>
              <w:autoSpaceDN w:val="0"/>
              <w:snapToGrid w:val="0"/>
              <w:spacing w:line="42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履约保证金：</w:t>
            </w:r>
          </w:p>
          <w:p w14:paraId="2A264B1F">
            <w:pPr>
              <w:autoSpaceDE w:val="0"/>
              <w:autoSpaceDN w:val="0"/>
              <w:snapToGrid w:val="0"/>
              <w:spacing w:line="42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cs="宋体"/>
                <w:color w:val="auto"/>
                <w:sz w:val="24"/>
                <w:highlight w:val="none"/>
              </w:rPr>
              <w:t>%的履约保证金，在中标人与采购人签订合同前递交，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需以支票、汇票、本票或者金融机构、保险公司、担保机构出具的保函（可在政采云平台购买，咨询热线4009039583）等非现金形式提交。履约保证金在项目验收合格后15个工作日内退还（不计息）</w:t>
            </w:r>
            <w:r>
              <w:rPr>
                <w:rFonts w:hint="eastAsia" w:ascii="宋体" w:hAnsi="宋体" w:cs="宋体"/>
                <w:color w:val="auto"/>
                <w:sz w:val="24"/>
                <w:highlight w:val="none"/>
                <w:lang w:eastAsia="zh-CN"/>
              </w:rPr>
              <w:t>。</w:t>
            </w:r>
          </w:p>
          <w:p w14:paraId="4C1D6CA2">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lang w:val="en-US" w:eastAsia="zh-CN"/>
              </w:rPr>
              <w:t>中标人也</w:t>
            </w:r>
            <w:r>
              <w:rPr>
                <w:rFonts w:hint="eastAsia" w:ascii="宋体" w:hAnsi="宋体" w:cs="宋体"/>
                <w:color w:val="auto"/>
                <w:sz w:val="24"/>
                <w:highlight w:val="none"/>
              </w:rPr>
              <w:t>可登录政采云平台-【金融服务】—【我的项目】—【已备案合同】以保函形式提供：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在合同列表选择需要投保的合同，点击[保函推荐]。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在弹框里查看推荐的保函产品，</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自行选择保函产品，点击[立即申请]。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14:paraId="71C50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E7606FD">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743" w:type="dxa"/>
            <w:tcBorders>
              <w:top w:val="single" w:color="auto" w:sz="4" w:space="0"/>
              <w:left w:val="single" w:color="auto" w:sz="4" w:space="0"/>
              <w:bottom w:val="single" w:color="auto" w:sz="4" w:space="0"/>
              <w:right w:val="single" w:color="auto" w:sz="4" w:space="0"/>
            </w:tcBorders>
            <w:vAlign w:val="center"/>
          </w:tcPr>
          <w:p w14:paraId="0170FB1E">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735D44A7">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4D6A51F3">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318D6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5BE9899">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743" w:type="dxa"/>
            <w:tcBorders>
              <w:top w:val="single" w:color="auto" w:sz="4" w:space="0"/>
              <w:left w:val="single" w:color="auto" w:sz="4" w:space="0"/>
              <w:bottom w:val="single" w:color="auto" w:sz="4" w:space="0"/>
              <w:right w:val="single" w:color="auto" w:sz="4" w:space="0"/>
            </w:tcBorders>
            <w:vAlign w:val="center"/>
          </w:tcPr>
          <w:p w14:paraId="128CB8F5">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12AD4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8CB59D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743" w:type="dxa"/>
            <w:tcBorders>
              <w:top w:val="single" w:color="auto" w:sz="4" w:space="0"/>
              <w:left w:val="single" w:color="auto" w:sz="4" w:space="0"/>
              <w:bottom w:val="single" w:color="auto" w:sz="4" w:space="0"/>
              <w:right w:val="single" w:color="auto" w:sz="4" w:space="0"/>
            </w:tcBorders>
            <w:vAlign w:val="center"/>
          </w:tcPr>
          <w:p w14:paraId="2555B658">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东阳市画水镇画溪初级中学</w:t>
            </w:r>
            <w:r>
              <w:rPr>
                <w:rFonts w:hint="eastAsia" w:ascii="宋体" w:hAnsi="宋体" w:cs="宋体"/>
                <w:color w:val="auto"/>
                <w:sz w:val="24"/>
                <w:highlight w:val="none"/>
              </w:rPr>
              <w:t>签订政府采购合同</w:t>
            </w:r>
            <w:r>
              <w:rPr>
                <w:rFonts w:hint="eastAsia" w:ascii="宋体" w:hAnsi="宋体" w:cs="宋体"/>
                <w:color w:val="auto"/>
                <w:sz w:val="24"/>
                <w:highlight w:val="none"/>
                <w:lang w:eastAsia="zh-CN"/>
              </w:rPr>
              <w:t>。</w:t>
            </w:r>
          </w:p>
        </w:tc>
      </w:tr>
      <w:tr w14:paraId="3CE78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784538">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743" w:type="dxa"/>
            <w:tcBorders>
              <w:top w:val="single" w:color="auto" w:sz="4" w:space="0"/>
              <w:left w:val="single" w:color="auto" w:sz="4" w:space="0"/>
              <w:bottom w:val="single" w:color="auto" w:sz="4" w:space="0"/>
              <w:right w:val="single" w:color="auto" w:sz="4" w:space="0"/>
            </w:tcBorders>
            <w:vAlign w:val="center"/>
          </w:tcPr>
          <w:p w14:paraId="3ADC4825">
            <w:pPr>
              <w:numPr>
                <w:ilvl w:val="0"/>
                <w:numId w:val="0"/>
              </w:numPr>
              <w:spacing w:line="324"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1.合同生效以及具备实施条件后7个工作日内支付合同价款的40%作为预付款（供应商明确表示无需预付款或主动降低预付款比例的，采购人可不适用前述规定；采购人根据项目特点、供应商诚信等因素，可以要求中标人提交预付款保函）；</w:t>
            </w:r>
          </w:p>
          <w:p w14:paraId="038821F9">
            <w:pPr>
              <w:numPr>
                <w:ilvl w:val="0"/>
                <w:numId w:val="0"/>
              </w:numPr>
              <w:spacing w:line="324"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2.完成初验后支付至85%；</w:t>
            </w:r>
          </w:p>
          <w:p w14:paraId="4F3853A2">
            <w:pPr>
              <w:numPr>
                <w:ilvl w:val="0"/>
                <w:numId w:val="0"/>
              </w:numPr>
              <w:spacing w:line="324"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3全部工程竣工验收合格及结算审核完成后7个工作日支付至100%；</w:t>
            </w:r>
          </w:p>
          <w:p w14:paraId="724CF3D1">
            <w:pPr>
              <w:pStyle w:val="22"/>
              <w:spacing w:line="360" w:lineRule="auto"/>
              <w:rPr>
                <w:rFonts w:hint="default" w:ascii="宋体" w:hAnsi="宋体" w:cs="宋体"/>
                <w:color w:val="auto"/>
                <w:sz w:val="24"/>
                <w:highlight w:val="none"/>
                <w:lang w:val="en-US"/>
              </w:rPr>
            </w:pPr>
            <w:r>
              <w:rPr>
                <w:rFonts w:hint="eastAsia" w:ascii="宋体" w:hAnsi="宋体"/>
                <w:b/>
                <w:bCs/>
                <w:color w:val="auto"/>
                <w:sz w:val="24"/>
                <w:szCs w:val="24"/>
                <w:highlight w:val="none"/>
                <w:lang w:val="en-US" w:eastAsia="zh-CN"/>
              </w:rPr>
              <w:t>注：农民工工资相关的管理、认定、支付等事项按东阳市根治欠薪工作领导小组办公室《关于落实“两备案一承诺”制度的通知》文件执行。</w:t>
            </w:r>
          </w:p>
        </w:tc>
      </w:tr>
      <w:tr w14:paraId="6287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DD6B5D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743" w:type="dxa"/>
            <w:tcBorders>
              <w:top w:val="single" w:color="auto" w:sz="4" w:space="0"/>
              <w:left w:val="single" w:color="auto" w:sz="4" w:space="0"/>
              <w:bottom w:val="single" w:color="auto" w:sz="4" w:space="0"/>
              <w:right w:val="single" w:color="auto" w:sz="4" w:space="0"/>
            </w:tcBorders>
            <w:vAlign w:val="center"/>
          </w:tcPr>
          <w:p w14:paraId="28597B8E">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服务地点：东阳市内，采购人指定的地点。</w:t>
            </w:r>
          </w:p>
          <w:p w14:paraId="07AE4CE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7599548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82E3B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4149B23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EB3D6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67D16866">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33EF1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B9F997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743" w:type="dxa"/>
            <w:tcBorders>
              <w:top w:val="single" w:color="auto" w:sz="4" w:space="0"/>
              <w:left w:val="single" w:color="auto" w:sz="4" w:space="0"/>
              <w:bottom w:val="single" w:color="auto" w:sz="4" w:space="0"/>
              <w:right w:val="single" w:color="auto" w:sz="4" w:space="0"/>
            </w:tcBorders>
            <w:vAlign w:val="center"/>
          </w:tcPr>
          <w:p w14:paraId="475C1CD1">
            <w:pPr>
              <w:snapToGrid w:val="0"/>
              <w:spacing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32183B6D">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5F82B51B">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03985738">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302B8798">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3E1E0D53">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6BF4DA3F">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4E8E11CA">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1C9C642C">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26407994">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29F2812A">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74EDEDE1">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5DF98DC5">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00DB4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68A08FE">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743" w:type="dxa"/>
            <w:tcBorders>
              <w:top w:val="single" w:color="auto" w:sz="4" w:space="0"/>
              <w:left w:val="single" w:color="auto" w:sz="4" w:space="0"/>
              <w:bottom w:val="single" w:color="auto" w:sz="4" w:space="0"/>
              <w:right w:val="single" w:color="auto" w:sz="4" w:space="0"/>
            </w:tcBorders>
            <w:vAlign w:val="center"/>
          </w:tcPr>
          <w:p w14:paraId="4D89E59E">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磋商响应文件有效期：</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0</w:t>
            </w:r>
            <w:r>
              <w:rPr>
                <w:rFonts w:hint="eastAsia" w:ascii="宋体" w:hAnsi="宋体" w:cs="宋体"/>
                <w:color w:val="auto"/>
                <w:sz w:val="24"/>
                <w:highlight w:val="none"/>
              </w:rPr>
              <w:t>天</w:t>
            </w:r>
          </w:p>
        </w:tc>
      </w:tr>
      <w:tr w14:paraId="53B93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49AFA78">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8743" w:type="dxa"/>
            <w:tcBorders>
              <w:top w:val="single" w:color="auto" w:sz="4" w:space="0"/>
              <w:left w:val="single" w:color="auto" w:sz="4" w:space="0"/>
              <w:bottom w:val="single" w:color="auto" w:sz="4" w:space="0"/>
              <w:right w:val="single" w:color="auto" w:sz="4" w:space="0"/>
            </w:tcBorders>
            <w:vAlign w:val="center"/>
          </w:tcPr>
          <w:p w14:paraId="3928DADD">
            <w:pPr>
              <w:snapToGrid w:val="0"/>
              <w:spacing w:line="420" w:lineRule="exact"/>
              <w:rPr>
                <w:rFonts w:ascii="宋体" w:hAnsi="宋体" w:cs="宋体"/>
                <w:b/>
                <w:color w:val="auto"/>
                <w:sz w:val="24"/>
                <w:highlight w:val="none"/>
              </w:rPr>
            </w:pPr>
            <w:r>
              <w:rPr>
                <w:rFonts w:hint="eastAsia" w:ascii="宋体" w:hAnsi="宋体" w:cs="宋体"/>
                <w:b/>
                <w:color w:val="auto"/>
                <w:sz w:val="24"/>
                <w:highlight w:val="none"/>
              </w:rPr>
              <w:t>招标方对供应商的落选不作出任何解释。</w:t>
            </w:r>
          </w:p>
        </w:tc>
      </w:tr>
      <w:tr w14:paraId="49DA9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066BC2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8743" w:type="dxa"/>
            <w:tcBorders>
              <w:top w:val="single" w:color="auto" w:sz="4" w:space="0"/>
              <w:left w:val="single" w:color="auto" w:sz="4" w:space="0"/>
              <w:bottom w:val="single" w:color="auto" w:sz="4" w:space="0"/>
              <w:right w:val="single" w:color="auto" w:sz="4" w:space="0"/>
            </w:tcBorders>
            <w:vAlign w:val="center"/>
          </w:tcPr>
          <w:p w14:paraId="07C57D60">
            <w:pPr>
              <w:spacing w:line="420" w:lineRule="exact"/>
              <w:rPr>
                <w:rFonts w:ascii="宋体" w:hAnsi="宋体" w:cs="宋体"/>
                <w:b/>
                <w:color w:val="auto"/>
                <w:sz w:val="24"/>
                <w:highlight w:val="none"/>
              </w:rPr>
            </w:pPr>
            <w:r>
              <w:rPr>
                <w:rFonts w:hint="eastAsia" w:ascii="宋体" w:hAnsi="宋体" w:cs="宋体"/>
                <w:b w:val="0"/>
                <w:bCs/>
                <w:color w:val="auto"/>
                <w:kern w:val="0"/>
                <w:sz w:val="24"/>
                <w:highlight w:val="none"/>
              </w:rPr>
              <w:t>采购人和招标代理机构的任何工作人员对供应商所作的任何口头解释、介绍、答复，仅供供应商参考，不作为磋商依据，对采购人、招标代理机构和供应商无任何约束力，一切以网上公告及书面形式为准。</w:t>
            </w:r>
          </w:p>
        </w:tc>
      </w:tr>
      <w:tr w14:paraId="57B51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9FF5296">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22</w:t>
            </w:r>
          </w:p>
        </w:tc>
        <w:tc>
          <w:tcPr>
            <w:tcW w:w="8743" w:type="dxa"/>
            <w:tcBorders>
              <w:top w:val="single" w:color="auto" w:sz="4" w:space="0"/>
              <w:left w:val="single" w:color="auto" w:sz="4" w:space="0"/>
              <w:bottom w:val="single" w:color="auto" w:sz="4" w:space="0"/>
              <w:right w:val="single" w:color="auto" w:sz="4" w:space="0"/>
            </w:tcBorders>
            <w:vAlign w:val="center"/>
          </w:tcPr>
          <w:p w14:paraId="531D73FF">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解释：本磋商文件的解释权属于</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w:t>
            </w:r>
          </w:p>
        </w:tc>
      </w:tr>
    </w:tbl>
    <w:p w14:paraId="27521D8B">
      <w:pPr>
        <w:pStyle w:val="22"/>
        <w:snapToGrid w:val="0"/>
        <w:spacing w:before="120" w:after="120" w:line="420" w:lineRule="exact"/>
        <w:rPr>
          <w:rFonts w:ascii="宋体" w:hAnsi="宋体" w:cs="宋体"/>
          <w:b/>
          <w:color w:val="auto"/>
          <w:szCs w:val="24"/>
          <w:highlight w:val="none"/>
        </w:rPr>
      </w:pPr>
      <w:r>
        <w:rPr>
          <w:rFonts w:hint="eastAsia" w:ascii="宋体" w:hAnsi="宋体" w:cs="宋体"/>
          <w:b/>
          <w:color w:val="auto"/>
          <w:szCs w:val="24"/>
          <w:highlight w:val="none"/>
        </w:rPr>
        <w:t>注：如本磋商文件后面的条款与本表有矛盾的以本表的内容为准。</w:t>
      </w:r>
    </w:p>
    <w:p w14:paraId="6A8D7E2F">
      <w:pPr>
        <w:pStyle w:val="22"/>
        <w:pageBreakBefore/>
        <w:numPr>
          <w:ilvl w:val="0"/>
          <w:numId w:val="6"/>
        </w:numPr>
        <w:snapToGrid w:val="0"/>
        <w:spacing w:line="360" w:lineRule="auto"/>
        <w:ind w:left="826" w:hanging="826" w:hangingChars="343"/>
        <w:jc w:val="center"/>
        <w:outlineLvl w:val="1"/>
        <w:rPr>
          <w:rFonts w:ascii="宋体" w:hAnsi="宋体" w:cs="宋体"/>
          <w:b/>
          <w:color w:val="auto"/>
          <w:szCs w:val="24"/>
          <w:highlight w:val="none"/>
        </w:rPr>
      </w:pPr>
      <w:bookmarkStart w:id="6" w:name="_Toc13658"/>
      <w:r>
        <w:rPr>
          <w:rFonts w:hint="eastAsia" w:ascii="宋体" w:hAnsi="宋体" w:cs="宋体"/>
          <w:b/>
          <w:color w:val="auto"/>
          <w:szCs w:val="24"/>
          <w:highlight w:val="none"/>
        </w:rPr>
        <w:t>总则</w:t>
      </w:r>
      <w:bookmarkEnd w:id="6"/>
    </w:p>
    <w:p w14:paraId="6052F58E">
      <w:pPr>
        <w:spacing w:line="440" w:lineRule="exact"/>
        <w:rPr>
          <w:rFonts w:ascii="宋体" w:hAnsi="宋体" w:cs="宋体"/>
          <w:b/>
          <w:color w:val="auto"/>
          <w:sz w:val="24"/>
          <w:highlight w:val="none"/>
        </w:rPr>
      </w:pPr>
      <w:bookmarkStart w:id="7" w:name="_Toc407182093"/>
      <w:r>
        <w:rPr>
          <w:rFonts w:hint="eastAsia" w:ascii="宋体" w:hAnsi="宋体" w:cs="宋体"/>
          <w:b/>
          <w:color w:val="auto"/>
          <w:sz w:val="24"/>
          <w:highlight w:val="none"/>
        </w:rPr>
        <w:t>（一） 适用范围</w:t>
      </w:r>
      <w:bookmarkEnd w:id="7"/>
    </w:p>
    <w:p w14:paraId="6B8C4979">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本磋商文件适用于</w:t>
      </w:r>
      <w:r>
        <w:rPr>
          <w:rFonts w:hint="eastAsia" w:ascii="宋体" w:hAnsi="宋体" w:cs="宋体"/>
          <w:color w:val="auto"/>
          <w:sz w:val="24"/>
          <w:highlight w:val="none"/>
          <w:lang w:eastAsia="zh-CN"/>
        </w:rPr>
        <w:t>画溪初中食堂及周边道路改造项目</w:t>
      </w:r>
      <w:r>
        <w:rPr>
          <w:rFonts w:hint="eastAsia" w:ascii="宋体" w:hAnsi="宋体" w:cs="宋体"/>
          <w:color w:val="auto"/>
          <w:sz w:val="24"/>
          <w:highlight w:val="none"/>
        </w:rPr>
        <w:t>的招标、磋商、定标、验收、合同履约、付款等行为（法律、法规另有规定的，从其规定）。</w:t>
      </w:r>
    </w:p>
    <w:p w14:paraId="575A933D">
      <w:pPr>
        <w:spacing w:line="440" w:lineRule="exact"/>
        <w:rPr>
          <w:rFonts w:ascii="宋体" w:hAnsi="宋体" w:cs="宋体"/>
          <w:b/>
          <w:color w:val="auto"/>
          <w:sz w:val="24"/>
          <w:highlight w:val="none"/>
        </w:rPr>
      </w:pPr>
      <w:bookmarkStart w:id="8" w:name="_Toc407182094"/>
      <w:r>
        <w:rPr>
          <w:rFonts w:hint="eastAsia" w:ascii="宋体" w:hAnsi="宋体" w:cs="宋体"/>
          <w:b/>
          <w:color w:val="auto"/>
          <w:sz w:val="24"/>
          <w:highlight w:val="none"/>
        </w:rPr>
        <w:t>（二）定义</w:t>
      </w:r>
      <w:bookmarkEnd w:id="8"/>
    </w:p>
    <w:p w14:paraId="5A785499">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（“招标方”）和</w:t>
      </w:r>
      <w:r>
        <w:rPr>
          <w:rFonts w:hint="eastAsia" w:ascii="宋体" w:hAnsi="宋体" w:cs="宋体"/>
          <w:color w:val="auto"/>
          <w:sz w:val="24"/>
          <w:highlight w:val="none"/>
          <w:lang w:eastAsia="zh-CN"/>
        </w:rPr>
        <w:t xml:space="preserve">东阳市画水镇画溪初级中学 </w:t>
      </w:r>
      <w:r>
        <w:rPr>
          <w:rFonts w:hint="eastAsia" w:ascii="宋体" w:hAnsi="宋体" w:cs="宋体"/>
          <w:color w:val="auto"/>
          <w:sz w:val="24"/>
          <w:highlight w:val="none"/>
        </w:rPr>
        <w:t>（“采购人”）。</w:t>
      </w:r>
    </w:p>
    <w:p w14:paraId="25EF30A4">
      <w:pPr>
        <w:spacing w:line="440" w:lineRule="exact"/>
        <w:rPr>
          <w:rFonts w:ascii="宋体" w:hAnsi="宋体" w:cs="宋体"/>
          <w:color w:val="auto"/>
          <w:sz w:val="24"/>
          <w:highlight w:val="none"/>
        </w:rPr>
      </w:pPr>
      <w:r>
        <w:rPr>
          <w:rFonts w:hint="eastAsia" w:ascii="宋体" w:hAnsi="宋体" w:cs="宋体"/>
          <w:color w:val="auto"/>
          <w:sz w:val="24"/>
          <w:highlight w:val="none"/>
        </w:rPr>
        <w:t>2.“供应商”系指向招标方提交磋商响应文件的单位或个人。</w:t>
      </w:r>
    </w:p>
    <w:p w14:paraId="358BD8C3">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3.“服务”系指磋商文件规定供应商须承担的本项目所衍生的一切服务义务。 </w:t>
      </w:r>
    </w:p>
    <w:p w14:paraId="50DC4AD5">
      <w:pPr>
        <w:spacing w:line="440" w:lineRule="exact"/>
        <w:rPr>
          <w:rFonts w:ascii="宋体" w:hAnsi="宋体" w:cs="宋体"/>
          <w:color w:val="auto"/>
          <w:sz w:val="24"/>
          <w:highlight w:val="none"/>
        </w:rPr>
      </w:pPr>
      <w:r>
        <w:rPr>
          <w:rFonts w:hint="eastAsia" w:ascii="宋体" w:hAnsi="宋体" w:cs="宋体"/>
          <w:color w:val="auto"/>
          <w:sz w:val="24"/>
          <w:highlight w:val="none"/>
        </w:rPr>
        <w:t>4.“项目”系指供应商按磋商文件规定向采购人提供的成果和项目服务。</w:t>
      </w:r>
    </w:p>
    <w:p w14:paraId="63D5CC64">
      <w:pPr>
        <w:spacing w:line="440" w:lineRule="exact"/>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4359294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6.“▲”系指实质性要求条款。</w:t>
      </w:r>
    </w:p>
    <w:p w14:paraId="50279806">
      <w:pPr>
        <w:spacing w:line="440" w:lineRule="exact"/>
        <w:rPr>
          <w:rFonts w:hint="eastAsia" w:ascii="宋体" w:hAnsi="宋体"/>
          <w:sz w:val="24"/>
          <w:szCs w:val="24"/>
          <w:highlight w:val="none"/>
        </w:rPr>
      </w:pPr>
      <w:r>
        <w:rPr>
          <w:rFonts w:hint="eastAsia" w:ascii="宋体" w:hAnsi="宋体"/>
          <w:sz w:val="24"/>
          <w:szCs w:val="24"/>
          <w:highlight w:val="none"/>
        </w:rPr>
        <w:t>7. 采购项目需要落实的政府采购政策</w:t>
      </w:r>
    </w:p>
    <w:p w14:paraId="33762704">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FE6BCB8">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 支持绿色发展</w:t>
      </w:r>
    </w:p>
    <w:p w14:paraId="257C71A6">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B0099CD">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58E3BE1">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7.3支持中小企业发展</w:t>
      </w:r>
    </w:p>
    <w:p w14:paraId="181E440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1A607FFA">
      <w:pPr>
        <w:spacing w:line="440" w:lineRule="exact"/>
        <w:rPr>
          <w:rFonts w:hint="eastAsia" w:ascii="宋体" w:hAnsi="宋体"/>
          <w:sz w:val="24"/>
          <w:szCs w:val="24"/>
          <w:highlight w:val="none"/>
        </w:rPr>
      </w:pPr>
      <w:r>
        <w:rPr>
          <w:rFonts w:hint="eastAsia" w:ascii="宋体" w:hAnsi="宋体"/>
          <w:sz w:val="24"/>
          <w:szCs w:val="24"/>
          <w:highlight w:val="none"/>
        </w:rPr>
        <w:t>符合中小企业划分标准的个体工商户，在政府采购活动中视同中小企业。</w:t>
      </w:r>
    </w:p>
    <w:p w14:paraId="6EA9FD84">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7.3.2在政府采购活动中，供应商提供的货物、工程或者服务符合下列情形的，享受中小企业扶持政策：</w:t>
      </w:r>
    </w:p>
    <w:p w14:paraId="1A9B7D9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7.3.2.1在货物采购项目中，货物由中小企业制造，即货物由中小企业生产且使用该中小企业商号或者注册商标；</w:t>
      </w:r>
    </w:p>
    <w:p w14:paraId="4FA341DF">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7.3.2.2在工程采购项目中，工程由中小企业承建，即工程施工单位为中小企业；</w:t>
      </w:r>
    </w:p>
    <w:p w14:paraId="14AB4B01">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7.3.2.3在服务采购项目中，服务由中小企业承接，即提供服务的人员为中小企业依照《中华人民共和国劳动合同法》订立劳动合同的从业人员。</w:t>
      </w:r>
    </w:p>
    <w:p w14:paraId="0CD150AB">
      <w:pPr>
        <w:spacing w:line="440" w:lineRule="exact"/>
        <w:rPr>
          <w:rFonts w:hint="eastAsia" w:ascii="宋体" w:hAnsi="宋体"/>
          <w:sz w:val="24"/>
          <w:szCs w:val="24"/>
          <w:highlight w:val="none"/>
        </w:rPr>
      </w:pPr>
      <w:r>
        <w:rPr>
          <w:rFonts w:hint="eastAsia" w:ascii="宋体" w:hAnsi="宋体"/>
          <w:sz w:val="24"/>
          <w:szCs w:val="24"/>
          <w:highlight w:val="none"/>
        </w:rPr>
        <w:t>在货物采购项目中，供应商提供的货物既有中小企业制造货物，也有大型企业制造货物的，不享受中小企业扶持政策。</w:t>
      </w:r>
    </w:p>
    <w:p w14:paraId="127E85AF">
      <w:pPr>
        <w:spacing w:line="440" w:lineRule="exact"/>
        <w:rPr>
          <w:rFonts w:hint="eastAsia" w:ascii="宋体" w:hAnsi="宋体"/>
          <w:sz w:val="24"/>
          <w:szCs w:val="24"/>
          <w:highlight w:val="none"/>
        </w:rPr>
      </w:pPr>
      <w:r>
        <w:rPr>
          <w:rFonts w:hint="eastAsia" w:ascii="宋体" w:hAnsi="宋体"/>
          <w:sz w:val="24"/>
          <w:szCs w:val="24"/>
          <w:highlight w:val="none"/>
        </w:rPr>
        <w:t>以联合体形式参加政府采购活动，联合体各方均为中小企业的，联合体视同中小企业。其中，联合体各方均为小微企业的，联合体视同小微企业。</w:t>
      </w:r>
    </w:p>
    <w:p w14:paraId="5A6BEB02">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7.3.3符合《关于促进残疾人就业政府采购政策的通知》（财库〔2017〕141号）规定的条件并提供《残疾人福利性单位声明函》（附件1）的残疾人福利性单位视同小型、微型企业；</w:t>
      </w:r>
    </w:p>
    <w:p w14:paraId="77B96039">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1655A7FE">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652A90D">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7.3.6中小企业享受扶持政策获得政府采购合同的，小微企业不得将合同分包给大中型企业，中型企业不得将合同分包给大型企业。</w:t>
      </w:r>
    </w:p>
    <w:p w14:paraId="5B40984C">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7.4支持创新发展</w:t>
      </w:r>
    </w:p>
    <w:p w14:paraId="769DC0C3">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7.4.1 采购人优先采购被认定为首台套产品和“制造精品”的自主创新产品。</w:t>
      </w:r>
    </w:p>
    <w:p w14:paraId="560DCE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92A58F">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ascii="宋体" w:hAnsi="宋体"/>
          <w:sz w:val="24"/>
          <w:szCs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05DE13A9">
      <w:pPr>
        <w:spacing w:line="440" w:lineRule="exact"/>
        <w:rPr>
          <w:rFonts w:ascii="宋体" w:hAnsi="宋体" w:cs="宋体"/>
          <w:b/>
          <w:color w:val="auto"/>
          <w:sz w:val="24"/>
          <w:highlight w:val="none"/>
        </w:rPr>
      </w:pPr>
      <w:r>
        <w:rPr>
          <w:rFonts w:hint="eastAsia" w:ascii="宋体" w:hAnsi="宋体" w:cs="宋体"/>
          <w:b/>
          <w:color w:val="auto"/>
          <w:sz w:val="24"/>
          <w:highlight w:val="none"/>
        </w:rPr>
        <w:t>（三）磋商方式</w:t>
      </w:r>
    </w:p>
    <w:p w14:paraId="227420B7">
      <w:pPr>
        <w:spacing w:line="440" w:lineRule="exact"/>
        <w:ind w:firstLine="480" w:firstLineChars="200"/>
        <w:rPr>
          <w:rFonts w:ascii="宋体" w:hAnsi="宋体" w:cs="宋体"/>
          <w:color w:val="auto"/>
          <w:sz w:val="24"/>
          <w:highlight w:val="none"/>
        </w:rPr>
      </w:pPr>
      <w:r>
        <w:rPr>
          <w:rFonts w:hint="eastAsia" w:ascii="宋体" w:hAnsi="宋体"/>
          <w:sz w:val="24"/>
          <w:szCs w:val="24"/>
          <w:highlight w:val="none"/>
        </w:rPr>
        <w:t>本次采用竞争性磋商方式进行</w:t>
      </w:r>
      <w:r>
        <w:rPr>
          <w:rFonts w:hint="eastAsia" w:ascii="宋体" w:hAnsi="宋体" w:cs="宋体"/>
          <w:color w:val="auto"/>
          <w:sz w:val="24"/>
          <w:highlight w:val="none"/>
        </w:rPr>
        <w:t>。</w:t>
      </w:r>
    </w:p>
    <w:p w14:paraId="4CB10983">
      <w:pPr>
        <w:spacing w:line="440" w:lineRule="exact"/>
        <w:rPr>
          <w:rFonts w:ascii="宋体" w:hAnsi="宋体" w:cs="宋体"/>
          <w:b/>
          <w:color w:val="auto"/>
          <w:sz w:val="24"/>
          <w:highlight w:val="none"/>
        </w:rPr>
      </w:pPr>
      <w:r>
        <w:rPr>
          <w:rFonts w:hint="eastAsia" w:ascii="宋体" w:hAnsi="宋体" w:cs="宋体"/>
          <w:b/>
          <w:color w:val="auto"/>
          <w:sz w:val="24"/>
          <w:highlight w:val="none"/>
        </w:rPr>
        <w:t>（四）磋商委托</w:t>
      </w:r>
    </w:p>
    <w:p w14:paraId="20345D6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如供应商代表不是法定代表人，须有法定代表人出具的授权委托书，委托代理人必须为供应商的在职正式职工（以供应商本单位缴纳社保花名册为准）。</w:t>
      </w:r>
    </w:p>
    <w:p w14:paraId="123F4F50">
      <w:pPr>
        <w:pStyle w:val="3"/>
        <w:rPr>
          <w:highlight w:val="none"/>
        </w:rPr>
      </w:pPr>
    </w:p>
    <w:p w14:paraId="23D18053">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）联合体</w:t>
      </w:r>
      <w:r>
        <w:rPr>
          <w:rFonts w:hint="eastAsia" w:ascii="宋体" w:hAnsi="宋体" w:cs="宋体"/>
          <w:b/>
          <w:bCs/>
          <w:color w:val="auto"/>
          <w:sz w:val="24"/>
          <w:highlight w:val="none"/>
        </w:rPr>
        <w:t>投标</w:t>
      </w:r>
      <w:r>
        <w:rPr>
          <w:rFonts w:hint="eastAsia" w:ascii="宋体" w:hAnsi="宋体" w:cs="宋体"/>
          <w:b/>
          <w:color w:val="auto"/>
          <w:sz w:val="24"/>
          <w:highlight w:val="none"/>
        </w:rPr>
        <w:tab/>
      </w:r>
    </w:p>
    <w:p w14:paraId="1A78401A">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本项目接受联合体投标。</w:t>
      </w:r>
    </w:p>
    <w:p w14:paraId="3C1A0CD2">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kern w:val="0"/>
          <w:sz w:val="24"/>
          <w:highlight w:val="none"/>
        </w:rPr>
        <w:t>转包与分包</w:t>
      </w:r>
    </w:p>
    <w:p w14:paraId="5A761411">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1E3075A2">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2.本项目</w:t>
      </w:r>
      <w:r>
        <w:rPr>
          <w:rFonts w:hint="eastAsia" w:ascii="宋体" w:hAnsi="宋体" w:cs="宋体"/>
          <w:color w:val="auto"/>
          <w:kern w:val="0"/>
          <w:sz w:val="24"/>
          <w:highlight w:val="none"/>
          <w:lang w:val="en-US" w:eastAsia="zh-CN"/>
        </w:rPr>
        <w:t>分包按照浙采监【2022】3号文件执行</w:t>
      </w:r>
      <w:r>
        <w:rPr>
          <w:rFonts w:hint="eastAsia" w:ascii="宋体" w:hAnsi="宋体" w:cs="宋体"/>
          <w:color w:val="auto"/>
          <w:kern w:val="0"/>
          <w:sz w:val="24"/>
          <w:highlight w:val="none"/>
        </w:rPr>
        <w:t>。</w:t>
      </w:r>
    </w:p>
    <w:p w14:paraId="27B4D2D9">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）特别说明：</w:t>
      </w:r>
    </w:p>
    <w:p w14:paraId="5A65966B">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多个供应商参加磋商，如其中两家或两家以上供应商的法定代表人为同一人或相互之间存在投资关系且达到控股的，应当按一个供应商认定。</w:t>
      </w:r>
    </w:p>
    <w:p w14:paraId="5787C844">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2.供应商磋商所使用的资格、信誉、荣誉与企业认证必须为本法人所拥有。供应商磋商所使用的采购项目实施人员必须为本法人员工（或必须为本法人或控股公司正式员工）。</w:t>
      </w:r>
    </w:p>
    <w:p w14:paraId="251FFF01">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3.供应商应仔细阅读磋商文件的所有内容，按照磋商文件的要求提交磋商响应文件，并对所提供的全部资料的真实性承担法律责任。</w:t>
      </w:r>
    </w:p>
    <w:p w14:paraId="67840307">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141AEF05">
      <w:pPr>
        <w:keepNext w:val="0"/>
        <w:keepLines w:val="0"/>
        <w:pageBreakBefore w:val="0"/>
        <w:widowControl w:val="0"/>
        <w:kinsoku/>
        <w:wordWrap/>
        <w:overflowPunct/>
        <w:topLinePunct w:val="0"/>
        <w:autoSpaceDE/>
        <w:autoSpaceDN/>
        <w:bidi w:val="0"/>
        <w:adjustRightInd/>
        <w:snapToGrid/>
        <w:spacing w:line="317" w:lineRule="auto"/>
        <w:textAlignment w:val="auto"/>
        <w:rPr>
          <w:color w:val="auto"/>
          <w:sz w:val="24"/>
          <w:highlight w:val="none"/>
        </w:rPr>
      </w:pPr>
      <w:r>
        <w:rPr>
          <w:rFonts w:hint="eastAsia" w:ascii="宋体" w:hAnsi="宋体" w:cs="宋体"/>
          <w:color w:val="auto"/>
          <w:sz w:val="24"/>
          <w:highlight w:val="none"/>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781BCE76">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招标方不保证最低报价者为中标方。</w:t>
      </w:r>
    </w:p>
    <w:p w14:paraId="12A45163">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“政采云”平台运营机构，以及与该机构有直接控股或者管理关系可能影响采购公正性的任何单位和个人，不得在该平台进行的政府采购项目电子交易中磋商、响应政府采购项目。</w:t>
      </w:r>
    </w:p>
    <w:p w14:paraId="584C94DD">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）质疑和投诉</w:t>
      </w:r>
    </w:p>
    <w:p w14:paraId="5499F245">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1.供应商认为磋商文件、招标过程或中标结果使自己的合法权益受到损害的，应当在知道或者应知其权益受到损害之日起七个工作日内，以书面形式向采购人、招标方提出质疑。供应商对招标方的质疑答复不满意或者招标方未在规定时间内作出答复的，可以在答复期满后十五个工作日内向同级采购监管部门投诉。</w:t>
      </w:r>
    </w:p>
    <w:p w14:paraId="51CDFD29">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p w14:paraId="2AA2916A">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3. 采购人、招标方应当按照《浙江省政府采购供应商质疑处理办法》、中华人民共和国财政部第94号令《政府采购质疑和投诉办法》、《政府采购竞争性磋商采购方式管理暂行办法》进行受理与答复质疑。</w:t>
      </w:r>
    </w:p>
    <w:p w14:paraId="33CB24F2">
      <w:pPr>
        <w:pStyle w:val="5"/>
        <w:keepNext w:val="0"/>
        <w:keepLines w:val="0"/>
        <w:pageBreakBefore/>
        <w:widowControl w:val="0"/>
        <w:kinsoku/>
        <w:wordWrap/>
        <w:overflowPunct/>
        <w:topLinePunct w:val="0"/>
        <w:autoSpaceDE/>
        <w:autoSpaceDN/>
        <w:bidi w:val="0"/>
        <w:adjustRightInd/>
        <w:snapToGrid/>
        <w:spacing w:line="336" w:lineRule="auto"/>
        <w:jc w:val="center"/>
        <w:textAlignment w:val="auto"/>
        <w:rPr>
          <w:rFonts w:ascii="宋体" w:hAnsi="宋体" w:eastAsia="宋体" w:cs="宋体"/>
          <w:color w:val="auto"/>
          <w:sz w:val="24"/>
          <w:szCs w:val="24"/>
          <w:highlight w:val="none"/>
        </w:rPr>
      </w:pPr>
      <w:bookmarkStart w:id="9" w:name="_Toc458697268"/>
      <w:bookmarkStart w:id="10" w:name="_Toc454196066"/>
      <w:bookmarkStart w:id="11" w:name="_Toc26336"/>
      <w:r>
        <w:rPr>
          <w:rFonts w:hint="eastAsia" w:ascii="宋体" w:hAnsi="宋体" w:eastAsia="宋体" w:cs="宋体"/>
          <w:color w:val="auto"/>
          <w:sz w:val="24"/>
          <w:szCs w:val="24"/>
          <w:highlight w:val="none"/>
        </w:rPr>
        <w:t>二、</w:t>
      </w:r>
      <w:bookmarkEnd w:id="9"/>
      <w:bookmarkEnd w:id="10"/>
      <w:r>
        <w:rPr>
          <w:rFonts w:hint="eastAsia" w:ascii="宋体" w:hAnsi="宋体" w:eastAsia="宋体" w:cs="宋体"/>
          <w:color w:val="auto"/>
          <w:sz w:val="24"/>
          <w:szCs w:val="24"/>
          <w:highlight w:val="none"/>
        </w:rPr>
        <w:t>磋商文件</w:t>
      </w:r>
      <w:bookmarkEnd w:id="11"/>
    </w:p>
    <w:p w14:paraId="5C49DDB6">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（一）磋商文件的构成。本磋商文件由以下部分组成：</w:t>
      </w:r>
    </w:p>
    <w:p w14:paraId="559BDD9D">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1.磋商公告</w:t>
      </w:r>
    </w:p>
    <w:p w14:paraId="5BE159B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2.招标需求</w:t>
      </w:r>
    </w:p>
    <w:p w14:paraId="089D8B1A">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3.供应商须知</w:t>
      </w:r>
    </w:p>
    <w:p w14:paraId="3C158F2D">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4.磋商办法及标准</w:t>
      </w:r>
    </w:p>
    <w:p w14:paraId="28360AD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5.合同主要条款</w:t>
      </w:r>
    </w:p>
    <w:p w14:paraId="3DEA0349">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6.磋商响应文件格式</w:t>
      </w:r>
    </w:p>
    <w:p w14:paraId="56FF84CD">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7.本项目磋商文件的澄清、答复、修改、补充的内容</w:t>
      </w:r>
    </w:p>
    <w:p w14:paraId="64F5CD97">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（二）供应商的风险</w:t>
      </w:r>
    </w:p>
    <w:p w14:paraId="6F1CF9A9">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供应商没有按照磋商文件要求提供全部资料，或者供应商没有对磋商文件在各方面作出实质性响应是供应商的风险，并可能导致其磋商被拒绝。</w:t>
      </w:r>
    </w:p>
    <w:p w14:paraId="3CA55296">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（三）磋商文件的澄清与修改 </w:t>
      </w:r>
    </w:p>
    <w:p w14:paraId="6E92819E">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供应商应认真阅读本磋商文件，发现其中有误或有不合理要求的，供应商应当按照磋商公告第三、八条规定以书面形式要求招标方澄清</w:t>
      </w:r>
      <w:r>
        <w:rPr>
          <w:rFonts w:hint="eastAsia" w:ascii="宋体" w:hAnsi="宋体" w:cs="宋体"/>
          <w:color w:val="auto"/>
          <w:sz w:val="24"/>
          <w:highlight w:val="none"/>
        </w:rPr>
        <w:t>。招标方对已发出的磋商文件进行必要澄清、答复、修改或补充的，应当在磋商文件要求提交磋商响应文件截止时间5日前，在财政部门指定的政府采购信息发布媒体上发布更正公告，并以书面形式通知所有磋商文件收受人。</w:t>
      </w:r>
    </w:p>
    <w:p w14:paraId="541B82B2">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2.招标方必须以书面形式答复供应商要求澄清的问题，并将不包含问题来源的答复书面通知所有购买磋商文件的供应商；除书面答复以外的其他澄清方式及澄清内容均无效。</w:t>
      </w:r>
    </w:p>
    <w:p w14:paraId="5DAA107E">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3.磋商文件澄清、答复、修改、补充的内容为磋商文件的组成部分。当磋商文件与磋商文件的答复、澄清、修改、补充通知就同一内容的表述不一致时，以最后发出的书面文件为准。</w:t>
      </w:r>
    </w:p>
    <w:p w14:paraId="7B106BCC">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4.磋商文件的澄清、答复、修改或补充都应该通过本招标机构以法定形式发布，采购人非通过本机构，不得擅自澄清、答复、修改或补充磋商文件。</w:t>
      </w:r>
    </w:p>
    <w:p w14:paraId="2D8B00E3">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5、磋商过程中，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54F62ADE">
      <w:pPr>
        <w:pStyle w:val="5"/>
        <w:keepNext w:val="0"/>
        <w:keepLines w:val="0"/>
        <w:pageBreakBefore/>
        <w:widowControl w:val="0"/>
        <w:kinsoku/>
        <w:wordWrap/>
        <w:overflowPunct/>
        <w:topLinePunct w:val="0"/>
        <w:autoSpaceDE/>
        <w:autoSpaceDN/>
        <w:bidi w:val="0"/>
        <w:adjustRightInd/>
        <w:spacing w:line="360" w:lineRule="auto"/>
        <w:jc w:val="center"/>
        <w:textAlignment w:val="auto"/>
        <w:rPr>
          <w:rFonts w:ascii="宋体" w:hAnsi="宋体" w:eastAsia="宋体" w:cs="宋体"/>
          <w:color w:val="auto"/>
          <w:sz w:val="24"/>
          <w:szCs w:val="24"/>
          <w:highlight w:val="none"/>
        </w:rPr>
      </w:pPr>
      <w:bookmarkStart w:id="12" w:name="_Toc454196067"/>
      <w:bookmarkStart w:id="13" w:name="_Toc458697269"/>
      <w:bookmarkStart w:id="14" w:name="_Toc28127"/>
      <w:r>
        <w:rPr>
          <w:rFonts w:hint="eastAsia" w:ascii="宋体" w:hAnsi="宋体" w:eastAsia="宋体" w:cs="宋体"/>
          <w:color w:val="auto"/>
          <w:sz w:val="24"/>
          <w:szCs w:val="24"/>
          <w:highlight w:val="none"/>
        </w:rPr>
        <w:t>三、磋商响应文件的编制</w:t>
      </w:r>
      <w:bookmarkEnd w:id="12"/>
      <w:bookmarkEnd w:id="13"/>
      <w:bookmarkEnd w:id="14"/>
    </w:p>
    <w:p w14:paraId="54C04E8D">
      <w:pPr>
        <w:keepNext w:val="0"/>
        <w:keepLines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▲（一）磋商响应文件的组成</w:t>
      </w:r>
    </w:p>
    <w:p w14:paraId="15E7580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磋商响应文件由资格审查文件、商务技术文件、报价文件三部分组成。</w:t>
      </w:r>
    </w:p>
    <w:p w14:paraId="5250FF2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1.资格审查文件：</w:t>
      </w:r>
    </w:p>
    <w:p w14:paraId="696F8F1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（1）有效的营业执照复印件；</w:t>
      </w:r>
    </w:p>
    <w:p w14:paraId="275FCE2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774C5EF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73E4B48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sz w:val="24"/>
          <w:szCs w:val="24"/>
          <w:highlight w:val="none"/>
          <w:lang w:eastAsia="zh-CN"/>
        </w:rPr>
        <w:t>磋商</w:t>
      </w:r>
      <w:r>
        <w:rPr>
          <w:rFonts w:hint="eastAsia" w:ascii="宋体" w:hAnsi="宋体" w:cs="宋体"/>
          <w:bCs/>
          <w:sz w:val="24"/>
          <w:szCs w:val="24"/>
          <w:highlight w:val="none"/>
        </w:rPr>
        <w:t>声明书</w:t>
      </w:r>
      <w:r>
        <w:rPr>
          <w:rFonts w:hint="eastAsia" w:ascii="宋体" w:hAnsi="宋体" w:cs="宋体"/>
          <w:color w:val="auto"/>
          <w:sz w:val="24"/>
          <w:highlight w:val="none"/>
        </w:rPr>
        <w:t xml:space="preserve"> (格式见附件) ；</w:t>
      </w:r>
    </w:p>
    <w:p w14:paraId="35E6531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（5）浙江政府采购网注册正式供应商的网络截图或承诺中标后30天内注册为浙江政府采购网正式供应商（须提供承诺书）；</w:t>
      </w:r>
    </w:p>
    <w:p w14:paraId="1EC8BD89">
      <w:pPr>
        <w:keepNext w:val="0"/>
        <w:keepLines w:val="0"/>
        <w:pageBreakBefore w:val="0"/>
        <w:widowControl w:val="0"/>
        <w:kinsoku/>
        <w:wordWrap/>
        <w:overflowPunct/>
        <w:topLinePunct w:val="0"/>
        <w:autoSpaceDE/>
        <w:autoSpaceDN/>
        <w:bidi w:val="0"/>
        <w:adjustRightInd/>
        <w:spacing w:line="360" w:lineRule="auto"/>
        <w:textAlignment w:val="auto"/>
        <w:rPr>
          <w:rFonts w:hint="eastAsia"/>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6）建筑工程施工总承包三级及以上资质和</w:t>
      </w:r>
      <w:r>
        <w:rPr>
          <w:rFonts w:hint="eastAsia" w:ascii="宋体" w:hAnsi="宋体" w:cs="宋体"/>
          <w:color w:val="auto"/>
          <w:sz w:val="24"/>
          <w:highlight w:val="none"/>
        </w:rPr>
        <w:t>安全生产许可证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提供有效期内的证书复印件</w:t>
      </w:r>
      <w:r>
        <w:rPr>
          <w:rFonts w:hint="eastAsia" w:ascii="宋体" w:hAnsi="宋体" w:cs="宋体"/>
          <w:color w:val="auto"/>
          <w:sz w:val="24"/>
          <w:highlight w:val="none"/>
          <w:lang w:eastAsia="zh-CN"/>
        </w:rPr>
        <w:t>。</w:t>
      </w:r>
    </w:p>
    <w:p w14:paraId="7A99616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落实政府采购政策需满足的资格条件：供应商为中小企业/小微企业，提供《中小企业声明函》（格式见附件）</w:t>
      </w:r>
      <w:r>
        <w:rPr>
          <w:rFonts w:hint="eastAsia" w:ascii="宋体" w:hAnsi="宋体" w:cs="宋体"/>
          <w:color w:val="auto"/>
          <w:sz w:val="24"/>
          <w:highlight w:val="none"/>
          <w:lang w:eastAsia="zh-CN"/>
        </w:rPr>
        <w:t>。</w:t>
      </w:r>
    </w:p>
    <w:p w14:paraId="077BD2C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）联合体协议（如有，格式见附件）；</w:t>
      </w:r>
      <w:r>
        <w:rPr>
          <w:rFonts w:hint="eastAsia" w:ascii="宋体" w:hAnsi="宋体" w:eastAsia="宋体" w:cs="宋体"/>
          <w:sz w:val="24"/>
          <w:szCs w:val="24"/>
          <w:highlight w:val="none"/>
          <w:lang w:eastAsia="zh-CN"/>
        </w:rPr>
        <w:t>分包意向协议（分包投标时适用，格式见附件）</w:t>
      </w:r>
    </w:p>
    <w:p w14:paraId="76B16D6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）政府采购代理机构社会评价表(格式见附件)。 </w:t>
      </w:r>
    </w:p>
    <w:p w14:paraId="3173729D">
      <w:pPr>
        <w:autoSpaceDE w:val="0"/>
        <w:spacing w:line="440" w:lineRule="atLeast"/>
        <w:ind w:firstLine="241" w:firstLineChars="100"/>
        <w:rPr>
          <w:rFonts w:hint="eastAsia" w:ascii="宋体" w:hAnsi="宋体"/>
          <w:b/>
          <w:bCs/>
          <w:color w:val="auto"/>
          <w:sz w:val="24"/>
          <w:szCs w:val="24"/>
          <w:highlight w:val="none"/>
        </w:rPr>
      </w:pPr>
      <w:r>
        <w:rPr>
          <w:rFonts w:hint="eastAsia" w:ascii="宋体" w:hAnsi="宋体"/>
          <w:b/>
          <w:bCs/>
          <w:color w:val="auto"/>
          <w:sz w:val="24"/>
          <w:szCs w:val="24"/>
          <w:highlight w:val="none"/>
        </w:rPr>
        <w:t>2.技术、商务资信文件</w:t>
      </w:r>
    </w:p>
    <w:p w14:paraId="0A05C6A8">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投标人</w:t>
      </w:r>
      <w:r>
        <w:rPr>
          <w:rFonts w:hint="eastAsia" w:ascii="宋体" w:hAnsi="宋体"/>
          <w:color w:val="auto"/>
          <w:sz w:val="24"/>
          <w:szCs w:val="24"/>
          <w:highlight w:val="none"/>
        </w:rPr>
        <w:t>技术、商务资信</w:t>
      </w:r>
      <w:r>
        <w:rPr>
          <w:rFonts w:hint="eastAsia" w:ascii="宋体" w:hAnsi="宋体"/>
          <w:bCs/>
          <w:color w:val="auto"/>
          <w:sz w:val="24"/>
          <w:szCs w:val="24"/>
          <w:highlight w:val="none"/>
        </w:rPr>
        <w:t>自评得分表（格式见附件）；</w:t>
      </w:r>
    </w:p>
    <w:p w14:paraId="3E64C3B4">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 xml:space="preserve">磋商声明书 (格式见附件) ； </w:t>
      </w:r>
    </w:p>
    <w:p w14:paraId="59CB9335">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投标单位情况表（格式见附件）；</w:t>
      </w:r>
    </w:p>
    <w:p w14:paraId="2FDB65E7">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商务响应表（格式见附件）；</w:t>
      </w:r>
    </w:p>
    <w:p w14:paraId="7F6035B7">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技术响应表（格式见附件）；</w:t>
      </w:r>
    </w:p>
    <w:p w14:paraId="34251EF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项目理解情况；</w:t>
      </w:r>
    </w:p>
    <w:p w14:paraId="149E276F">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施工方案；</w:t>
      </w:r>
    </w:p>
    <w:p w14:paraId="52B5952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施工技术；</w:t>
      </w:r>
    </w:p>
    <w:p w14:paraId="788C40D4">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施工进度；</w:t>
      </w:r>
    </w:p>
    <w:p w14:paraId="31E9EC51">
      <w:pPr>
        <w:numPr>
          <w:ilvl w:val="0"/>
          <w:numId w:val="7"/>
        </w:numPr>
        <w:autoSpaceDE w:val="0"/>
        <w:spacing w:line="440" w:lineRule="atLeast"/>
        <w:ind w:left="845" w:leftChars="0" w:hanging="425" w:firstLineChars="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安全生产应急预案；</w:t>
      </w:r>
    </w:p>
    <w:p w14:paraId="05FDD0A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质量保障；</w:t>
      </w:r>
    </w:p>
    <w:p w14:paraId="476960B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安全、文明施工等的保证措施；</w:t>
      </w:r>
    </w:p>
    <w:p w14:paraId="7F334C8A">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施工机具设备；</w:t>
      </w:r>
    </w:p>
    <w:p w14:paraId="07AC19BF">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材料设备进场计划；</w:t>
      </w:r>
    </w:p>
    <w:p w14:paraId="50D4BDE7">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布置情况；</w:t>
      </w:r>
    </w:p>
    <w:p w14:paraId="7C510B84">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关键工序、复杂环节的相应技术措施；</w:t>
      </w:r>
    </w:p>
    <w:p w14:paraId="145E7AE1">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施工重点难点分析；</w:t>
      </w:r>
    </w:p>
    <w:p w14:paraId="53A72EC5">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成品保护的保证措施；</w:t>
      </w:r>
    </w:p>
    <w:p w14:paraId="05F0D5BA">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管理协调；</w:t>
      </w:r>
    </w:p>
    <w:p w14:paraId="007D2DEC">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安全承诺</w:t>
      </w:r>
      <w:r>
        <w:rPr>
          <w:rFonts w:hint="eastAsia" w:ascii="宋体" w:hAnsi="宋体" w:eastAsia="宋体" w:cs="宋体"/>
          <w:color w:val="auto"/>
          <w:sz w:val="24"/>
          <w:szCs w:val="24"/>
          <w:highlight w:val="none"/>
        </w:rPr>
        <w:t>；</w:t>
      </w:r>
    </w:p>
    <w:p w14:paraId="3C766340">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p w14:paraId="66FE193E">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体系认证</w:t>
      </w:r>
    </w:p>
    <w:p w14:paraId="74521C52">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项目业绩（格式见附件）；</w:t>
      </w:r>
    </w:p>
    <w:p w14:paraId="7A2BC011">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售后保障；</w:t>
      </w:r>
    </w:p>
    <w:p w14:paraId="1F0CEE39">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安全生产及其他承诺函（格式见附件）；</w:t>
      </w:r>
    </w:p>
    <w:p w14:paraId="03B6E943">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政府采购供应商诚信承诺书（格式见附件）；</w:t>
      </w:r>
    </w:p>
    <w:p w14:paraId="679E5699">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bCs/>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需要说明的其他文件和说明。</w:t>
      </w:r>
    </w:p>
    <w:p w14:paraId="29459F85">
      <w:pPr>
        <w:autoSpaceDE w:val="0"/>
        <w:spacing w:line="440" w:lineRule="atLeas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3.报价文件</w:t>
      </w:r>
    </w:p>
    <w:p w14:paraId="4BC41535">
      <w:pPr>
        <w:autoSpaceDE w:val="0"/>
        <w:spacing w:line="440" w:lineRule="atLeas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 xml:space="preserve">（1）磋商响应函（格式见附件）； </w:t>
      </w:r>
    </w:p>
    <w:p w14:paraId="0709E604">
      <w:pPr>
        <w:autoSpaceDE w:val="0"/>
        <w:spacing w:line="440" w:lineRule="atLeas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初次报价表</w:t>
      </w:r>
      <w:r>
        <w:rPr>
          <w:rFonts w:hint="eastAsia" w:ascii="宋体" w:hAnsi="宋体"/>
          <w:color w:val="auto"/>
          <w:sz w:val="24"/>
          <w:szCs w:val="24"/>
          <w:highlight w:val="none"/>
        </w:rPr>
        <w:t xml:space="preserve">（格式见附件）； </w:t>
      </w:r>
    </w:p>
    <w:p w14:paraId="593543CA">
      <w:pPr>
        <w:autoSpaceDE w:val="0"/>
        <w:spacing w:line="440" w:lineRule="atLeast"/>
        <w:ind w:firstLine="240" w:firstLineChars="100"/>
        <w:rPr>
          <w:rFonts w:hint="eastAsia" w:ascii="宋体" w:hAnsi="宋体"/>
          <w:b/>
          <w:bCs/>
          <w:color w:val="auto"/>
          <w:sz w:val="24"/>
          <w:szCs w:val="24"/>
          <w:highlight w:val="none"/>
        </w:rPr>
      </w:pPr>
      <w:r>
        <w:rPr>
          <w:rFonts w:hint="eastAsia" w:ascii="宋体" w:hAnsi="宋体"/>
          <w:color w:val="auto"/>
          <w:sz w:val="24"/>
          <w:szCs w:val="24"/>
          <w:highlight w:val="none"/>
        </w:rPr>
        <w:t>（3）供应商针对报价需要说明的其他文件和说明（格式自拟）。</w:t>
      </w:r>
    </w:p>
    <w:p w14:paraId="0875AB7D">
      <w:pPr>
        <w:spacing w:line="430" w:lineRule="exact"/>
        <w:rPr>
          <w:rFonts w:ascii="宋体" w:hAnsi="宋体" w:cs="宋体"/>
          <w:b/>
          <w:color w:val="auto"/>
          <w:sz w:val="24"/>
          <w:highlight w:val="none"/>
        </w:rPr>
      </w:pPr>
      <w:r>
        <w:rPr>
          <w:rFonts w:hint="eastAsia" w:ascii="宋体" w:hAnsi="宋体" w:cs="宋体"/>
          <w:b/>
          <w:color w:val="auto"/>
          <w:sz w:val="24"/>
          <w:highlight w:val="none"/>
        </w:rPr>
        <w:t>▲（二）磋商响应文件的语言及计量</w:t>
      </w:r>
    </w:p>
    <w:p w14:paraId="2D715911">
      <w:pPr>
        <w:spacing w:line="430" w:lineRule="exact"/>
        <w:rPr>
          <w:rFonts w:ascii="宋体" w:hAnsi="宋体" w:cs="宋体"/>
          <w:color w:val="auto"/>
          <w:sz w:val="24"/>
          <w:highlight w:val="none"/>
        </w:rPr>
      </w:pPr>
      <w:r>
        <w:rPr>
          <w:rFonts w:hint="eastAsia" w:ascii="宋体" w:hAnsi="宋体" w:cs="宋体"/>
          <w:color w:val="auto"/>
          <w:sz w:val="24"/>
          <w:highlight w:val="none"/>
        </w:rPr>
        <w:t>1．磋商响应文件以及供应商与招标方就有关磋商事宜的所有来往函电，均应以中文汉语书写。除签名、盖章、专用名称等特殊情形外，以中文汉语以外的文字表述的磋商响应文件视同未提供。</w:t>
      </w:r>
    </w:p>
    <w:p w14:paraId="5A0D2219">
      <w:pPr>
        <w:spacing w:line="430" w:lineRule="exact"/>
        <w:rPr>
          <w:rFonts w:ascii="宋体" w:hAnsi="宋体" w:cs="宋体"/>
          <w:color w:val="auto"/>
          <w:sz w:val="24"/>
          <w:highlight w:val="none"/>
        </w:rPr>
      </w:pPr>
      <w:r>
        <w:rPr>
          <w:rFonts w:hint="eastAsia" w:ascii="宋体" w:hAnsi="宋体" w:cs="宋体"/>
          <w:color w:val="auto"/>
          <w:sz w:val="24"/>
          <w:highlight w:val="none"/>
        </w:rPr>
        <w:t>2.磋商计量单位，应采用中华人民共和国法定计量单位（货币单位：人民币元），否则视同未响应。</w:t>
      </w:r>
    </w:p>
    <w:p w14:paraId="7018D245">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▲（三）磋商报价</w:t>
      </w:r>
    </w:p>
    <w:p w14:paraId="43E5A111">
      <w:pPr>
        <w:spacing w:line="430" w:lineRule="exact"/>
        <w:rPr>
          <w:rFonts w:ascii="宋体" w:hAnsi="宋体" w:cs="宋体"/>
          <w:color w:val="auto"/>
          <w:sz w:val="24"/>
          <w:highlight w:val="none"/>
        </w:rPr>
      </w:pPr>
      <w:r>
        <w:rPr>
          <w:rFonts w:hint="eastAsia" w:ascii="宋体" w:hAnsi="宋体" w:cs="宋体"/>
          <w:color w:val="auto"/>
          <w:sz w:val="24"/>
          <w:highlight w:val="none"/>
        </w:rPr>
        <w:t>1.磋商报价应按磋商文件中相关附表格式填写。</w:t>
      </w:r>
    </w:p>
    <w:p w14:paraId="192895A3">
      <w:pPr>
        <w:pStyle w:val="2"/>
        <w:spacing w:line="430" w:lineRule="exact"/>
        <w:ind w:firstLine="0" w:firstLineChars="0"/>
        <w:rPr>
          <w:rFonts w:ascii="宋体" w:hAnsi="宋体" w:eastAsia="宋体" w:cs="仿宋_GB2312"/>
          <w:bCs w:val="0"/>
          <w:color w:val="auto"/>
          <w:sz w:val="24"/>
          <w:highlight w:val="none"/>
        </w:rPr>
      </w:pPr>
      <w:r>
        <w:rPr>
          <w:rFonts w:hint="eastAsia" w:ascii="宋体" w:hAnsi="宋体" w:eastAsia="宋体" w:cs="仿宋_GB2312"/>
          <w:bCs w:val="0"/>
          <w:color w:val="auto"/>
          <w:sz w:val="24"/>
          <w:highlight w:val="none"/>
        </w:rPr>
        <w:t>2.磋商报价包括施工所需的施工费、材料费、供货、运输、装卸、安装调试、机械费、人工费、服务费、安全措施费等实施本项目相关的一切费用及税金。</w:t>
      </w:r>
    </w:p>
    <w:p w14:paraId="42D4F81F">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（四）磋商响应文件的有效期</w:t>
      </w:r>
    </w:p>
    <w:p w14:paraId="6B4FD02A">
      <w:pPr>
        <w:spacing w:line="430" w:lineRule="exact"/>
        <w:rPr>
          <w:rFonts w:ascii="宋体" w:hAnsi="宋体" w:cs="宋体"/>
          <w:color w:val="auto"/>
          <w:sz w:val="24"/>
          <w:highlight w:val="none"/>
        </w:rPr>
      </w:pPr>
      <w:bookmarkStart w:id="15" w:name="_Toc450548873"/>
      <w:bookmarkStart w:id="16" w:name="_Toc405368930"/>
      <w:r>
        <w:rPr>
          <w:rFonts w:hint="eastAsia" w:ascii="宋体" w:hAnsi="宋体" w:cs="宋体"/>
          <w:color w:val="auto"/>
          <w:sz w:val="24"/>
          <w:highlight w:val="none"/>
        </w:rPr>
        <w:t>▲1.自磋商截止日起</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rPr>
        <w:t>天磋商响应文件应保持有效。有效期不足的磋商响应文件将被拒绝。</w:t>
      </w:r>
    </w:p>
    <w:p w14:paraId="1EADC985">
      <w:pPr>
        <w:spacing w:line="430" w:lineRule="exact"/>
        <w:rPr>
          <w:rFonts w:ascii="宋体" w:hAnsi="宋体" w:cs="宋体"/>
          <w:color w:val="auto"/>
          <w:sz w:val="24"/>
          <w:highlight w:val="none"/>
        </w:rPr>
      </w:pPr>
      <w:r>
        <w:rPr>
          <w:rFonts w:hint="eastAsia" w:ascii="宋体" w:hAnsi="宋体" w:cs="宋体"/>
          <w:color w:val="auto"/>
          <w:sz w:val="24"/>
          <w:highlight w:val="none"/>
        </w:rPr>
        <w:t>2.在特殊情况下，招标人可与供应商协商延长磋商响应文件的有效期，这种要求和答复均以书面形式进行。</w:t>
      </w:r>
    </w:p>
    <w:p w14:paraId="4998B37F">
      <w:pPr>
        <w:spacing w:line="430" w:lineRule="exact"/>
        <w:rPr>
          <w:rFonts w:ascii="宋体" w:hAnsi="宋体" w:cs="宋体"/>
          <w:color w:val="auto"/>
          <w:sz w:val="24"/>
          <w:highlight w:val="none"/>
        </w:rPr>
      </w:pPr>
      <w:bookmarkStart w:id="17" w:name="_Toc407182105"/>
      <w:r>
        <w:rPr>
          <w:rFonts w:hint="eastAsia" w:ascii="宋体" w:hAnsi="宋体" w:cs="宋体"/>
          <w:color w:val="auto"/>
          <w:sz w:val="24"/>
          <w:highlight w:val="none"/>
        </w:rPr>
        <w:t>3.供应商可拒绝接受延期要求，若同意延长有效期的供应商，则不能修改磋商响应文件。</w:t>
      </w:r>
      <w:bookmarkEnd w:id="17"/>
      <w:r>
        <w:rPr>
          <w:rFonts w:hint="eastAsia" w:ascii="宋体" w:hAnsi="宋体" w:cs="宋体"/>
          <w:color w:val="auto"/>
          <w:sz w:val="24"/>
          <w:highlight w:val="none"/>
        </w:rPr>
        <w:t xml:space="preserve"> </w:t>
      </w:r>
    </w:p>
    <w:p w14:paraId="54A8EEAC">
      <w:pPr>
        <w:spacing w:line="430" w:lineRule="exact"/>
        <w:rPr>
          <w:rFonts w:ascii="宋体" w:hAnsi="宋体" w:cs="宋体"/>
          <w:color w:val="auto"/>
          <w:sz w:val="24"/>
          <w:highlight w:val="none"/>
        </w:rPr>
      </w:pPr>
      <w:r>
        <w:rPr>
          <w:rFonts w:hint="eastAsia" w:ascii="宋体" w:hAnsi="宋体" w:cs="宋体"/>
          <w:color w:val="auto"/>
          <w:sz w:val="24"/>
          <w:highlight w:val="none"/>
        </w:rPr>
        <w:t>4.中标人的磋商响应文件自开标之日起至合同履行完毕止均应保持有效。</w:t>
      </w:r>
    </w:p>
    <w:bookmarkEnd w:id="15"/>
    <w:bookmarkEnd w:id="16"/>
    <w:p w14:paraId="57CC5073">
      <w:pPr>
        <w:spacing w:line="360" w:lineRule="auto"/>
        <w:rPr>
          <w:rFonts w:ascii="宋体" w:hAnsi="宋体" w:cs="宋体"/>
          <w:b/>
          <w:color w:val="auto"/>
          <w:sz w:val="24"/>
          <w:highlight w:val="none"/>
        </w:rPr>
      </w:pPr>
      <w:r>
        <w:rPr>
          <w:rFonts w:hint="eastAsia" w:ascii="宋体" w:hAnsi="宋体" w:cs="宋体"/>
          <w:b/>
          <w:color w:val="auto"/>
          <w:sz w:val="24"/>
          <w:highlight w:val="none"/>
        </w:rPr>
        <w:t>▲（五）履约保证金</w:t>
      </w:r>
    </w:p>
    <w:p w14:paraId="396708E7">
      <w:pPr>
        <w:spacing w:line="43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1.保证金形式：</w:t>
      </w:r>
      <w:r>
        <w:rPr>
          <w:rFonts w:hint="eastAsia" w:ascii="宋体" w:hAnsi="宋体" w:cs="宋体"/>
          <w:b w:val="0"/>
          <w:bCs/>
          <w:color w:val="auto"/>
          <w:sz w:val="24"/>
          <w:highlight w:val="none"/>
          <w:lang w:val="en-US" w:eastAsia="zh-CN"/>
        </w:rPr>
        <w:t>支票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汇票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本票</w:t>
      </w:r>
      <w:r>
        <w:rPr>
          <w:rFonts w:hint="eastAsia" w:ascii="宋体" w:hAnsi="宋体" w:cs="宋体"/>
          <w:b w:val="0"/>
          <w:bCs/>
          <w:color w:val="auto"/>
          <w:sz w:val="24"/>
          <w:highlight w:val="none"/>
        </w:rPr>
        <w:t xml:space="preserve">、保函   </w:t>
      </w:r>
    </w:p>
    <w:p w14:paraId="57CBEAF6">
      <w:pPr>
        <w:spacing w:line="430" w:lineRule="exact"/>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rPr>
        <w:t>2.中标人在收到中标通知书后，需向采购人提供</w:t>
      </w:r>
      <w:r>
        <w:rPr>
          <w:rFonts w:hint="eastAsia" w:ascii="宋体" w:hAnsi="宋体" w:cs="宋体"/>
          <w:b w:val="0"/>
          <w:bCs/>
          <w:color w:val="auto"/>
          <w:sz w:val="24"/>
          <w:highlight w:val="none"/>
          <w:lang w:val="en-US" w:eastAsia="zh-CN"/>
        </w:rPr>
        <w:t>中标价的1</w:t>
      </w:r>
      <w:r>
        <w:rPr>
          <w:rFonts w:hint="eastAsia" w:ascii="宋体" w:hAnsi="宋体" w:cs="宋体"/>
          <w:b w:val="0"/>
          <w:bCs/>
          <w:color w:val="auto"/>
          <w:sz w:val="24"/>
          <w:highlight w:val="none"/>
        </w:rPr>
        <w:t>%的履约保证金，在中标人与采购人签订合同前递交，</w:t>
      </w:r>
      <w:r>
        <w:rPr>
          <w:rFonts w:hint="eastAsia" w:ascii="宋体" w:hAnsi="宋体" w:cs="宋体"/>
          <w:b w:val="0"/>
          <w:bCs/>
          <w:color w:val="auto"/>
          <w:sz w:val="24"/>
          <w:highlight w:val="none"/>
          <w:lang w:val="en-US" w:eastAsia="zh-CN"/>
        </w:rPr>
        <w:t>中标人</w:t>
      </w:r>
      <w:r>
        <w:rPr>
          <w:rFonts w:hint="eastAsia" w:ascii="宋体" w:hAnsi="宋体" w:cs="宋体"/>
          <w:b w:val="0"/>
          <w:bCs/>
          <w:color w:val="auto"/>
          <w:sz w:val="24"/>
          <w:highlight w:val="none"/>
        </w:rPr>
        <w:t>需以支票、汇票、本票或者金融机构、保险公司、担保机构出具的</w:t>
      </w:r>
      <w:r>
        <w:rPr>
          <w:rFonts w:hint="eastAsia" w:ascii="宋体" w:hAnsi="宋体" w:cs="宋体"/>
          <w:b w:val="0"/>
          <w:bCs/>
          <w:color w:val="auto"/>
          <w:sz w:val="24"/>
          <w:highlight w:val="none"/>
          <w:lang w:val="en-US" w:eastAsia="zh-CN"/>
        </w:rPr>
        <w:t>保函/保险（可在政采云平台购买，咨询热线4009039583）等非现金形式提交（保函期限应大于履约期限2个月）</w:t>
      </w:r>
      <w:r>
        <w:rPr>
          <w:rFonts w:hint="eastAsia" w:ascii="宋体" w:hAnsi="宋体" w:cs="宋体"/>
          <w:b w:val="0"/>
          <w:bCs/>
          <w:color w:val="auto"/>
          <w:sz w:val="24"/>
          <w:highlight w:val="none"/>
        </w:rPr>
        <w:t>。</w:t>
      </w:r>
    </w:p>
    <w:p w14:paraId="05D24DFF">
      <w:pPr>
        <w:spacing w:line="430" w:lineRule="exact"/>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2F2EC78C">
      <w:pPr>
        <w:spacing w:line="430" w:lineRule="exact"/>
        <w:rPr>
          <w:rFonts w:ascii="宋体" w:hAnsi="宋体" w:cs="宋体"/>
          <w:b/>
          <w:color w:val="auto"/>
          <w:sz w:val="24"/>
          <w:highlight w:val="none"/>
        </w:rPr>
      </w:pPr>
      <w:r>
        <w:rPr>
          <w:rFonts w:hint="eastAsia" w:ascii="宋体" w:hAnsi="宋体" w:cs="宋体"/>
          <w:b/>
          <w:color w:val="auto"/>
          <w:sz w:val="24"/>
          <w:highlight w:val="none"/>
        </w:rPr>
        <w:t>（六）磋商响应文件的签署</w:t>
      </w:r>
    </w:p>
    <w:p w14:paraId="725B3B10">
      <w:pPr>
        <w:numPr>
          <w:ilvl w:val="0"/>
          <w:numId w:val="8"/>
        </w:numPr>
        <w:spacing w:line="430" w:lineRule="exact"/>
        <w:rPr>
          <w:rFonts w:ascii="宋体" w:hAnsi="宋体" w:cs="宋体"/>
          <w:color w:val="auto"/>
          <w:sz w:val="24"/>
          <w:highlight w:val="none"/>
        </w:rPr>
      </w:pPr>
      <w:r>
        <w:rPr>
          <w:rFonts w:hint="eastAsia" w:ascii="宋体" w:hAnsi="宋体" w:cs="宋体"/>
          <w:color w:val="auto"/>
          <w:sz w:val="24"/>
          <w:highlight w:val="none"/>
        </w:rPr>
        <w:t>供应商应按本磋商文件规定的格式和顺序编制磋商响应文件并标注页码，因磋商响应文件内容不完整、编排混乱、放弃关联点或关联点错误等原因导致磋商响应文件被误读、漏读或者查找不到相关内容等风险由供应商自行承担。</w:t>
      </w:r>
    </w:p>
    <w:p w14:paraId="43424507">
      <w:pPr>
        <w:spacing w:line="430" w:lineRule="exact"/>
        <w:rPr>
          <w:rFonts w:ascii="宋体" w:hAnsi="宋体" w:cs="宋体"/>
          <w:b/>
          <w:color w:val="auto"/>
          <w:sz w:val="24"/>
          <w:highlight w:val="none"/>
        </w:rPr>
      </w:pPr>
      <w:r>
        <w:rPr>
          <w:rFonts w:hint="eastAsia" w:ascii="宋体" w:hAnsi="宋体" w:cs="宋体"/>
          <w:b/>
          <w:color w:val="auto"/>
          <w:sz w:val="24"/>
          <w:highlight w:val="none"/>
        </w:rPr>
        <w:t>2. 磋商响应文件需盖章签字的地方必须由供应商法定代表人或法定代表人的授权委托人签署并加盖单位公章，供应商应写全称。</w:t>
      </w:r>
    </w:p>
    <w:p w14:paraId="0F328E2A">
      <w:pPr>
        <w:spacing w:line="430" w:lineRule="exact"/>
        <w:rPr>
          <w:rFonts w:ascii="宋体" w:hAnsi="宋体" w:cs="宋体"/>
          <w:color w:val="auto"/>
          <w:sz w:val="24"/>
          <w:highlight w:val="none"/>
        </w:rPr>
      </w:pPr>
      <w:r>
        <w:rPr>
          <w:rFonts w:hint="eastAsia" w:ascii="宋体" w:hAnsi="宋体" w:cs="宋体"/>
          <w:color w:val="auto"/>
          <w:sz w:val="24"/>
          <w:highlight w:val="none"/>
        </w:rPr>
        <w:t>3.磋商响应文件不得涂改，若有修改错漏处，须加盖单位公章和由法定代表人或授权委托人签字或盖章。磋商响应文件因字迹潦草或表达不清所引起的后果由供应商负责。</w:t>
      </w:r>
    </w:p>
    <w:p w14:paraId="0A7F5582">
      <w:pPr>
        <w:spacing w:line="430" w:lineRule="exact"/>
        <w:rPr>
          <w:rFonts w:ascii="宋体" w:hAnsi="宋体" w:cs="宋体"/>
          <w:b/>
          <w:color w:val="auto"/>
          <w:sz w:val="24"/>
          <w:highlight w:val="none"/>
        </w:rPr>
      </w:pPr>
      <w:r>
        <w:rPr>
          <w:rFonts w:hint="eastAsia" w:ascii="宋体" w:hAnsi="宋体" w:cs="宋体"/>
          <w:b/>
          <w:color w:val="auto"/>
          <w:sz w:val="24"/>
          <w:highlight w:val="none"/>
        </w:rPr>
        <w:t>▲（七）磋商响应文件的上传、递交、修改和撤回</w:t>
      </w:r>
    </w:p>
    <w:p w14:paraId="7A28A7C6">
      <w:pPr>
        <w:spacing w:line="430" w:lineRule="exact"/>
        <w:ind w:firstLine="495"/>
        <w:rPr>
          <w:rFonts w:ascii="宋体" w:hAnsi="宋体" w:cs="宋体"/>
          <w:color w:val="auto"/>
          <w:sz w:val="24"/>
          <w:highlight w:val="none"/>
        </w:rPr>
      </w:pPr>
      <w:r>
        <w:rPr>
          <w:rFonts w:hint="eastAsia" w:ascii="宋体" w:hAnsi="宋体" w:cs="宋体"/>
          <w:color w:val="auto"/>
          <w:sz w:val="24"/>
          <w:highlight w:val="none"/>
        </w:rPr>
        <w:t>1. 供应商应当在磋商截止时间前在“政采云”（电子交易平台）上自行上传加密的电子磋商响应文件。</w:t>
      </w:r>
    </w:p>
    <w:p w14:paraId="3CFD6FD6">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2.未按规定上传的磋商响应文件将被拒绝，由此造成磋商响应文件解密失败或被误投的风险由供应商承担。</w:t>
      </w:r>
    </w:p>
    <w:p w14:paraId="03231DCC">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供应商未在“政采云”（电子交易平台）上自行上传加密的电子磋商响应文件，仅提交电子备份磋商响应文件的，磋商无效。</w:t>
      </w:r>
    </w:p>
    <w:p w14:paraId="367E5138">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 供应商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上传的磋商响应文件，将被政采云平台拒收。</w:t>
      </w:r>
    </w:p>
    <w:p w14:paraId="33E2A26A">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在磋商截止时间之前，可以对已提交的电子备份磋商响应文件进行修改或撤回，并书面通知招标采购单位；修改后重新递交的电子备份磋商响应文件应当按本磋商文件的要求签署、盖章。磋商截止时间后，供应商不得撤回、修改电子备份磋商响应文件。</w:t>
      </w:r>
    </w:p>
    <w:p w14:paraId="3572A2F9">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p w14:paraId="3874B4B2">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电子磋商响应文件无法解密或解密失败时，供应商提供了电子备份磋商响应文件的，以电子备份磋商响应文件作为评审依据，否则视为磋商响应文件撤回。磋商响应文件已按时解密的，电子备份磋商响应文件自动失效。</w:t>
      </w:r>
    </w:p>
    <w:p w14:paraId="0C426E23">
      <w:pPr>
        <w:spacing w:line="430" w:lineRule="exact"/>
        <w:rPr>
          <w:rFonts w:ascii="宋体" w:hAnsi="宋体" w:cs="宋体"/>
          <w:b/>
          <w:color w:val="auto"/>
          <w:sz w:val="24"/>
          <w:highlight w:val="none"/>
        </w:rPr>
      </w:pPr>
      <w:r>
        <w:rPr>
          <w:rFonts w:hint="eastAsia" w:ascii="宋体" w:hAnsi="宋体" w:cs="宋体"/>
          <w:b/>
          <w:color w:val="auto"/>
          <w:sz w:val="24"/>
          <w:highlight w:val="none"/>
        </w:rPr>
        <w:t>（八）磋商无效的情形</w:t>
      </w:r>
    </w:p>
    <w:p w14:paraId="7A587E4B">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磋商文件要求的磋商将被视为无效磋商。供应商不得通过修正或撤消不合要求的偏离或保留从而使其磋商成为实质上响应的磋商，但经磋商小组认定属于供应商疏忽、笔误所造成的差错，应当允许其在磋商结束之前进行修改或者补正。限期内不补正或经补正后仍不符合磋商文件要求的，应认定其磋商无效。供应商修改、补正磋商响应文件后，不影响磋商小组对其磋商响应文件所作的评价和评分结果。</w:t>
      </w:r>
    </w:p>
    <w:p w14:paraId="1971A841">
      <w:pPr>
        <w:spacing w:line="430" w:lineRule="exact"/>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1.在符合性审查和商务评审时，如发现下列情形之一的，磋商响应文件将被视为无效：</w:t>
      </w:r>
    </w:p>
    <w:p w14:paraId="78CF1C81">
      <w:pPr>
        <w:spacing w:line="430" w:lineRule="exact"/>
        <w:rPr>
          <w:rFonts w:ascii="宋体" w:hAnsi="宋体" w:cs="宋体"/>
          <w:color w:val="auto"/>
          <w:sz w:val="24"/>
          <w:highlight w:val="none"/>
        </w:rPr>
      </w:pPr>
      <w:r>
        <w:rPr>
          <w:rFonts w:hint="eastAsia" w:ascii="宋体" w:hAnsi="宋体" w:cs="宋体"/>
          <w:color w:val="auto"/>
          <w:sz w:val="24"/>
          <w:highlight w:val="none"/>
        </w:rPr>
        <w:t>（1）供应商仅提交电子备份磋商响应文件的；</w:t>
      </w:r>
    </w:p>
    <w:p w14:paraId="77350607">
      <w:pPr>
        <w:spacing w:line="43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(2) 在开磋商时出现电子磋商响应文件无法解密或解密失败等情况，供应商未提供电子备份磋商响应文件，无法对供应商继续进行评审的；</w:t>
      </w:r>
    </w:p>
    <w:p w14:paraId="09A9B5B1">
      <w:pPr>
        <w:spacing w:line="430" w:lineRule="exact"/>
        <w:rPr>
          <w:rFonts w:ascii="宋体" w:hAnsi="宋体" w:cs="宋体"/>
          <w:color w:val="auto"/>
          <w:sz w:val="24"/>
          <w:highlight w:val="none"/>
        </w:rPr>
      </w:pPr>
      <w:r>
        <w:rPr>
          <w:rFonts w:hint="eastAsia" w:ascii="宋体" w:hAnsi="宋体" w:cs="宋体"/>
          <w:color w:val="auto"/>
          <w:sz w:val="24"/>
          <w:highlight w:val="none"/>
        </w:rPr>
        <w:t>（3）供应商未在规定的时间内对电子询标函进行澄清回复、拒绝澄清回复或澄清回复的内容改变了磋商响应文件的实质性内容的；</w:t>
      </w:r>
    </w:p>
    <w:p w14:paraId="17CFA930">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09D9CC14">
      <w:pPr>
        <w:spacing w:line="43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（5）资格证明文件不全的，或者不符合磋商文件标明的资格要求的，及未提供磋商文件中标有“ ▲”等特殊符号的证明文件的；</w:t>
      </w:r>
    </w:p>
    <w:p w14:paraId="7DA00A25">
      <w:pPr>
        <w:spacing w:line="43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（6）本项目投标截止之日前三年内，在“信用中国”网站、中国政府采购网有失信行为或被列入受惩黑名单。</w:t>
      </w:r>
    </w:p>
    <w:p w14:paraId="22904585">
      <w:pPr>
        <w:spacing w:line="430" w:lineRule="exact"/>
        <w:rPr>
          <w:rFonts w:ascii="宋体" w:hAnsi="宋体" w:cs="宋体"/>
          <w:color w:val="auto"/>
          <w:sz w:val="24"/>
          <w:highlight w:val="none"/>
        </w:rPr>
      </w:pPr>
      <w:r>
        <w:rPr>
          <w:rFonts w:hint="eastAsia" w:ascii="宋体" w:hAnsi="宋体" w:cs="宋体"/>
          <w:color w:val="auto"/>
          <w:sz w:val="24"/>
          <w:highlight w:val="none"/>
        </w:rPr>
        <w:t>（7）磋商响应文件无法定代表人签字,或未提供法定代表人授权委托书、磋商声明书或者填写项目不齐全的；</w:t>
      </w:r>
    </w:p>
    <w:p w14:paraId="6C4C7242">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（8）磋商代表人未能出具身份证明或与法定代表人授权委托人身份不符的； </w:t>
      </w:r>
    </w:p>
    <w:p w14:paraId="194C8BB1">
      <w:pPr>
        <w:spacing w:line="430" w:lineRule="exact"/>
        <w:rPr>
          <w:rFonts w:ascii="宋体" w:hAnsi="宋体" w:cs="宋体"/>
          <w:color w:val="auto"/>
          <w:sz w:val="24"/>
          <w:highlight w:val="none"/>
        </w:rPr>
      </w:pPr>
      <w:r>
        <w:rPr>
          <w:rFonts w:hint="eastAsia" w:ascii="宋体" w:hAnsi="宋体" w:cs="宋体"/>
          <w:color w:val="auto"/>
          <w:sz w:val="24"/>
          <w:highlight w:val="none"/>
        </w:rPr>
        <w:t>（9）磋商响应文件格式未按磋商文件附件规定的格式、未按磋商文件规定的内容编制磋商响应文件的或者内容虚假的、未按规定签字或盖章的；</w:t>
      </w:r>
    </w:p>
    <w:p w14:paraId="05AB1307">
      <w:pPr>
        <w:spacing w:line="430" w:lineRule="exact"/>
        <w:rPr>
          <w:rFonts w:ascii="宋体" w:hAnsi="宋体" w:cs="宋体"/>
          <w:color w:val="auto"/>
          <w:sz w:val="24"/>
          <w:highlight w:val="none"/>
        </w:rPr>
      </w:pPr>
      <w:r>
        <w:rPr>
          <w:rFonts w:hint="eastAsia" w:ascii="宋体" w:hAnsi="宋体" w:cs="宋体"/>
          <w:color w:val="auto"/>
          <w:sz w:val="24"/>
          <w:highlight w:val="none"/>
        </w:rPr>
        <w:t>（10）磋商响应文件的实质性内容未使用中文表述的或意思表述不明确、前后矛盾的或者使用计量单位不符合磋商文件要求的（经磋商小组认定并允许其当场更正的笔误除外）；</w:t>
      </w:r>
    </w:p>
    <w:p w14:paraId="035AA58E">
      <w:pPr>
        <w:spacing w:line="430" w:lineRule="exact"/>
        <w:rPr>
          <w:rFonts w:ascii="宋体" w:hAnsi="宋体" w:cs="宋体"/>
          <w:color w:val="auto"/>
          <w:sz w:val="24"/>
          <w:highlight w:val="none"/>
        </w:rPr>
      </w:pPr>
      <w:r>
        <w:rPr>
          <w:rFonts w:hint="eastAsia" w:ascii="宋体" w:hAnsi="宋体" w:cs="宋体"/>
          <w:color w:val="auto"/>
          <w:sz w:val="24"/>
          <w:highlight w:val="none"/>
        </w:rPr>
        <w:t>（11）磋商有效期、服务期（交货期）、质保期、付款方式等商务条款不能满足磋商文件要求的；</w:t>
      </w:r>
    </w:p>
    <w:p w14:paraId="35DD578F">
      <w:pPr>
        <w:spacing w:line="430" w:lineRule="exact"/>
        <w:rPr>
          <w:rFonts w:ascii="宋体" w:hAnsi="宋体" w:cs="宋体"/>
          <w:color w:val="auto"/>
          <w:sz w:val="24"/>
          <w:highlight w:val="none"/>
        </w:rPr>
      </w:pPr>
      <w:r>
        <w:rPr>
          <w:rFonts w:hint="eastAsia" w:ascii="宋体" w:hAnsi="宋体" w:cs="宋体"/>
          <w:color w:val="auto"/>
          <w:sz w:val="24"/>
          <w:highlight w:val="none"/>
        </w:rPr>
        <w:t>（12）未实质性响应磋商文件要求或者磋商响应文件有招标方不能接受的附加条件的；</w:t>
      </w:r>
    </w:p>
    <w:p w14:paraId="2D18C6CF">
      <w:pPr>
        <w:spacing w:line="430" w:lineRule="exact"/>
        <w:rPr>
          <w:rFonts w:ascii="宋体" w:hAnsi="宋体" w:cs="宋体"/>
          <w:color w:val="auto"/>
          <w:sz w:val="24"/>
          <w:highlight w:val="none"/>
        </w:rPr>
      </w:pPr>
      <w:r>
        <w:rPr>
          <w:rFonts w:hint="eastAsia" w:ascii="宋体" w:hAnsi="宋体" w:cs="宋体"/>
          <w:color w:val="auto"/>
          <w:sz w:val="24"/>
          <w:highlight w:val="none"/>
        </w:rPr>
        <w:t>（13）磋商文件规定的其它磋商无效的情况；</w:t>
      </w:r>
    </w:p>
    <w:p w14:paraId="790981CF">
      <w:pPr>
        <w:tabs>
          <w:tab w:val="left" w:pos="401"/>
        </w:tabs>
        <w:spacing w:line="430" w:lineRule="exact"/>
        <w:rPr>
          <w:rFonts w:ascii="宋体" w:hAnsi="宋体" w:cs="宋体"/>
          <w:color w:val="auto"/>
          <w:sz w:val="24"/>
          <w:highlight w:val="none"/>
        </w:rPr>
      </w:pPr>
      <w:r>
        <w:rPr>
          <w:rFonts w:hint="eastAsia" w:ascii="宋体" w:hAnsi="宋体" w:cs="宋体"/>
          <w:color w:val="auto"/>
          <w:sz w:val="24"/>
          <w:highlight w:val="none"/>
        </w:rPr>
        <w:t>（14）法律、法规规定的其它磋商无效情况。</w:t>
      </w:r>
    </w:p>
    <w:p w14:paraId="45FD2A80">
      <w:pPr>
        <w:spacing w:line="430" w:lineRule="exact"/>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2.在技术资信评审时，如发现下列情形之一的，磋商响应文件将被视为无效：</w:t>
      </w:r>
    </w:p>
    <w:p w14:paraId="4EEE9A27">
      <w:pPr>
        <w:spacing w:line="430" w:lineRule="exact"/>
        <w:rPr>
          <w:rFonts w:ascii="宋体" w:hAnsi="宋体" w:cs="宋体"/>
          <w:b/>
          <w:color w:val="auto"/>
          <w:sz w:val="24"/>
          <w:highlight w:val="none"/>
        </w:rPr>
      </w:pPr>
      <w:r>
        <w:rPr>
          <w:rFonts w:hint="eastAsia" w:ascii="宋体" w:hAnsi="宋体" w:cs="宋体"/>
          <w:color w:val="auto"/>
          <w:sz w:val="24"/>
          <w:highlight w:val="none"/>
        </w:rPr>
        <w:t>（1）供应商未在规定的时间内对电子询标函进行澄清回复、拒绝澄清回复或澄清回复的内容改变了磋商响应文件的实质性内容的；</w:t>
      </w:r>
    </w:p>
    <w:p w14:paraId="69EAEE3C">
      <w:pPr>
        <w:spacing w:line="430" w:lineRule="exact"/>
        <w:rPr>
          <w:rFonts w:ascii="宋体" w:hAnsi="宋体" w:cs="宋体"/>
          <w:color w:val="auto"/>
          <w:sz w:val="24"/>
          <w:highlight w:val="none"/>
        </w:rPr>
      </w:pPr>
      <w:r>
        <w:rPr>
          <w:rFonts w:hint="eastAsia" w:ascii="宋体" w:hAnsi="宋体" w:cs="宋体"/>
          <w:color w:val="auto"/>
          <w:sz w:val="24"/>
          <w:highlight w:val="none"/>
        </w:rPr>
        <w:t>（2）磋商响应文件标明的响应或偏离与事实不符的或虚假响应的；</w:t>
      </w:r>
    </w:p>
    <w:p w14:paraId="5A4431E2">
      <w:pPr>
        <w:spacing w:line="430" w:lineRule="exact"/>
        <w:rPr>
          <w:rFonts w:ascii="宋体" w:hAnsi="宋体" w:cs="宋体"/>
          <w:color w:val="auto"/>
          <w:sz w:val="24"/>
          <w:highlight w:val="none"/>
        </w:rPr>
      </w:pPr>
      <w:r>
        <w:rPr>
          <w:rFonts w:hint="eastAsia" w:ascii="宋体" w:hAnsi="宋体" w:cs="宋体"/>
          <w:color w:val="auto"/>
          <w:sz w:val="24"/>
          <w:highlight w:val="none"/>
        </w:rPr>
        <w:t>（3）明显不符合磋商文件质量标准的，或者与磋商文件中标有“ ▲”等特殊符号的技术指标、主要功能项目发生实质性偏离的；</w:t>
      </w:r>
    </w:p>
    <w:p w14:paraId="41BD906E">
      <w:pPr>
        <w:spacing w:line="430" w:lineRule="exact"/>
        <w:rPr>
          <w:rFonts w:ascii="宋体" w:hAnsi="宋体" w:cs="宋体"/>
          <w:color w:val="auto"/>
          <w:sz w:val="24"/>
          <w:highlight w:val="none"/>
        </w:rPr>
      </w:pPr>
      <w:r>
        <w:rPr>
          <w:rFonts w:hint="eastAsia" w:ascii="宋体" w:hAnsi="宋体" w:cs="宋体"/>
          <w:color w:val="auto"/>
          <w:sz w:val="24"/>
          <w:highlight w:val="none"/>
        </w:rPr>
        <w:t>（4）磋商文件中允许偏离的技术、性能指标或者辅助功能发生较大负偏离的，经磋商小组认定对项目实际使用造成影响的；</w:t>
      </w:r>
    </w:p>
    <w:p w14:paraId="51721065">
      <w:pPr>
        <w:spacing w:line="430" w:lineRule="exact"/>
        <w:rPr>
          <w:rFonts w:ascii="宋体" w:hAnsi="宋体" w:cs="宋体"/>
          <w:color w:val="auto"/>
          <w:sz w:val="24"/>
          <w:highlight w:val="none"/>
        </w:rPr>
      </w:pPr>
      <w:r>
        <w:rPr>
          <w:rFonts w:hint="eastAsia" w:ascii="宋体" w:hAnsi="宋体" w:cs="宋体"/>
          <w:color w:val="auto"/>
          <w:sz w:val="24"/>
          <w:highlight w:val="none"/>
        </w:rPr>
        <w:t>（5）磋商响应文件技术方案不明确，存在一个或一个以上备选（替代）磋商响应方案的；</w:t>
      </w:r>
    </w:p>
    <w:p w14:paraId="320FF48A">
      <w:pPr>
        <w:spacing w:line="430" w:lineRule="exact"/>
        <w:rPr>
          <w:rFonts w:ascii="宋体" w:hAnsi="宋体" w:cs="宋体"/>
          <w:color w:val="auto"/>
          <w:sz w:val="24"/>
          <w:highlight w:val="none"/>
        </w:rPr>
      </w:pPr>
      <w:r>
        <w:rPr>
          <w:rFonts w:hint="eastAsia" w:ascii="宋体" w:hAnsi="宋体" w:cs="宋体"/>
          <w:color w:val="auto"/>
          <w:sz w:val="24"/>
          <w:highlight w:val="none"/>
        </w:rPr>
        <w:t>（6）与其他参加本次磋商供应商的磋商响应文件的文字表述内容相同连续20行以上或者差错相同2处以上的；</w:t>
      </w:r>
    </w:p>
    <w:p w14:paraId="2B4F871B">
      <w:pPr>
        <w:spacing w:line="430" w:lineRule="exact"/>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64F7363A">
      <w:pPr>
        <w:spacing w:line="430" w:lineRule="exact"/>
        <w:rPr>
          <w:rFonts w:ascii="宋体" w:hAnsi="宋体" w:cs="宋体"/>
          <w:color w:val="auto"/>
          <w:sz w:val="24"/>
          <w:highlight w:val="none"/>
        </w:rPr>
      </w:pPr>
      <w:r>
        <w:rPr>
          <w:rFonts w:hint="eastAsia" w:ascii="宋体" w:hAnsi="宋体" w:cs="宋体"/>
          <w:color w:val="auto"/>
          <w:sz w:val="24"/>
          <w:highlight w:val="none"/>
        </w:rPr>
        <w:t>（8）磋商文件规定的其它磋商无效的情况；</w:t>
      </w:r>
    </w:p>
    <w:p w14:paraId="51268454">
      <w:pPr>
        <w:spacing w:line="430" w:lineRule="exact"/>
        <w:rPr>
          <w:rFonts w:ascii="宋体" w:hAnsi="宋体" w:cs="宋体"/>
          <w:color w:val="auto"/>
          <w:sz w:val="24"/>
          <w:highlight w:val="none"/>
        </w:rPr>
      </w:pPr>
      <w:r>
        <w:rPr>
          <w:rFonts w:hint="eastAsia" w:ascii="宋体" w:hAnsi="宋体" w:cs="宋体"/>
          <w:color w:val="auto"/>
          <w:sz w:val="24"/>
          <w:highlight w:val="none"/>
        </w:rPr>
        <w:t>（9）法律、法规规定的其它磋商无效情况。</w:t>
      </w:r>
    </w:p>
    <w:p w14:paraId="55D0C7C3">
      <w:pPr>
        <w:spacing w:line="430" w:lineRule="exact"/>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3.在报价评审时，如发现下列情形之一的，磋商响应文件将被视为无效：</w:t>
      </w:r>
    </w:p>
    <w:p w14:paraId="65D95FB9">
      <w:pPr>
        <w:spacing w:line="430" w:lineRule="exact"/>
        <w:rPr>
          <w:rFonts w:ascii="宋体" w:hAnsi="宋体" w:cs="宋体"/>
          <w:color w:val="auto"/>
          <w:sz w:val="24"/>
          <w:highlight w:val="none"/>
        </w:rPr>
      </w:pPr>
      <w:r>
        <w:rPr>
          <w:rFonts w:hint="eastAsia" w:ascii="宋体" w:hAnsi="宋体" w:cs="宋体"/>
          <w:color w:val="auto"/>
          <w:sz w:val="24"/>
          <w:highlight w:val="none"/>
        </w:rPr>
        <w:t>（1）供应商未在规定的时间内对电子询标函进行澄清回复、拒绝澄清回复或者澄清回复的内容改变了磋商响应文件的实质性内容的；</w:t>
      </w:r>
    </w:p>
    <w:p w14:paraId="18B61795">
      <w:pPr>
        <w:spacing w:line="430" w:lineRule="exact"/>
        <w:rPr>
          <w:rFonts w:ascii="宋体" w:hAnsi="宋体" w:cs="宋体"/>
          <w:color w:val="auto"/>
          <w:sz w:val="24"/>
          <w:highlight w:val="none"/>
        </w:rPr>
      </w:pPr>
      <w:r>
        <w:rPr>
          <w:rFonts w:hint="eastAsia" w:ascii="宋体" w:hAnsi="宋体" w:cs="宋体"/>
          <w:color w:val="auto"/>
          <w:sz w:val="24"/>
          <w:highlight w:val="none"/>
        </w:rPr>
        <w:t>（2）未采用人民币报价或者未按照磋商文件标明的币种报价的；</w:t>
      </w:r>
    </w:p>
    <w:p w14:paraId="2FAF8D16">
      <w:pPr>
        <w:spacing w:line="430" w:lineRule="exact"/>
        <w:rPr>
          <w:rFonts w:ascii="宋体" w:hAnsi="宋体" w:cs="宋体"/>
          <w:color w:val="auto"/>
          <w:sz w:val="24"/>
          <w:highlight w:val="none"/>
        </w:rPr>
      </w:pPr>
      <w:r>
        <w:rPr>
          <w:rFonts w:hint="eastAsia" w:ascii="宋体" w:hAnsi="宋体" w:cs="宋体"/>
          <w:color w:val="auto"/>
          <w:sz w:val="24"/>
          <w:highlight w:val="none"/>
        </w:rPr>
        <w:t>（3）磋商报价具有选择性的，或者开标价格与磋商响应文件承诺的优惠（折扣）价格不一致的；</w:t>
      </w:r>
    </w:p>
    <w:p w14:paraId="05CD7DA2">
      <w:pPr>
        <w:spacing w:line="430" w:lineRule="exact"/>
        <w:rPr>
          <w:rFonts w:ascii="宋体" w:hAnsi="宋体" w:cs="宋体"/>
          <w:color w:val="auto"/>
          <w:sz w:val="24"/>
          <w:highlight w:val="none"/>
        </w:rPr>
      </w:pPr>
      <w:r>
        <w:rPr>
          <w:rFonts w:hint="eastAsia" w:ascii="宋体" w:hAnsi="宋体" w:cs="宋体"/>
          <w:color w:val="auto"/>
          <w:sz w:val="24"/>
          <w:highlight w:val="none"/>
        </w:rPr>
        <w:t>（4）报价超出用户设定的最高限价或预算金额的；</w:t>
      </w:r>
    </w:p>
    <w:p w14:paraId="7FCCA80B">
      <w:pPr>
        <w:spacing w:line="430" w:lineRule="exact"/>
        <w:rPr>
          <w:rFonts w:ascii="宋体" w:hAnsi="宋体" w:cs="宋体"/>
          <w:color w:val="auto"/>
          <w:sz w:val="24"/>
          <w:highlight w:val="none"/>
        </w:rPr>
      </w:pPr>
      <w:r>
        <w:rPr>
          <w:rFonts w:hint="eastAsia" w:ascii="宋体" w:hAnsi="宋体" w:cs="宋体"/>
          <w:color w:val="auto"/>
          <w:sz w:val="24"/>
          <w:highlight w:val="none"/>
        </w:rPr>
        <w:t>（5）磋商文件规定的其它磋商无效的情况；</w:t>
      </w:r>
    </w:p>
    <w:p w14:paraId="2B0D240F">
      <w:pPr>
        <w:spacing w:line="430" w:lineRule="exact"/>
        <w:rPr>
          <w:rFonts w:ascii="宋体" w:hAnsi="宋体" w:cs="宋体"/>
          <w:color w:val="auto"/>
          <w:sz w:val="24"/>
          <w:highlight w:val="none"/>
        </w:rPr>
      </w:pPr>
      <w:r>
        <w:rPr>
          <w:rFonts w:hint="eastAsia" w:ascii="宋体" w:hAnsi="宋体" w:cs="宋体"/>
          <w:color w:val="auto"/>
          <w:sz w:val="24"/>
          <w:highlight w:val="none"/>
        </w:rPr>
        <w:t>（6）法律、法规规定的其它磋商无效情况。</w:t>
      </w:r>
    </w:p>
    <w:p w14:paraId="063CEDC0">
      <w:pPr>
        <w:spacing w:line="430" w:lineRule="exact"/>
        <w:rPr>
          <w:rFonts w:hint="eastAsia" w:ascii="宋体" w:hAnsi="宋体" w:eastAsia="宋体" w:cs="宋体"/>
          <w:b/>
          <w:color w:val="auto"/>
          <w:sz w:val="24"/>
          <w:highlight w:val="none"/>
        </w:rPr>
      </w:pPr>
      <w:bookmarkStart w:id="18" w:name="_Toc458697270"/>
      <w:bookmarkStart w:id="19" w:name="_Toc3935"/>
      <w:r>
        <w:rPr>
          <w:rFonts w:hint="eastAsia" w:ascii="宋体" w:hAnsi="宋体" w:eastAsia="宋体" w:cs="宋体"/>
          <w:b/>
          <w:color w:val="auto"/>
          <w:sz w:val="24"/>
          <w:highlight w:val="none"/>
        </w:rPr>
        <w:t>4.</w:t>
      </w:r>
      <w:r>
        <w:rPr>
          <w:rFonts w:hint="eastAsia" w:ascii="宋体" w:hAnsi="宋体" w:cs="宋体"/>
          <w:b/>
          <w:color w:val="auto"/>
          <w:sz w:val="24"/>
          <w:highlight w:val="none"/>
        </w:rPr>
        <w:t>被拒绝的磋商响应文件为无效</w:t>
      </w:r>
    </w:p>
    <w:p w14:paraId="5E695C36">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根据有关法律、法规规定为无效、废标的，按法律、法规规定执行。</w:t>
      </w:r>
    </w:p>
    <w:p w14:paraId="53912E75">
      <w:pPr>
        <w:pStyle w:val="5"/>
        <w:keepNext w:val="0"/>
        <w:keepLines w:val="0"/>
        <w:pageBreakBefore/>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bookmarkEnd w:id="18"/>
      <w:bookmarkEnd w:id="19"/>
    </w:p>
    <w:p w14:paraId="0588A0C4">
      <w:pPr>
        <w:spacing w:line="360" w:lineRule="auto"/>
        <w:rPr>
          <w:rFonts w:ascii="宋体" w:hAnsi="宋体" w:cs="宋体"/>
          <w:b/>
          <w:color w:val="auto"/>
          <w:sz w:val="24"/>
          <w:highlight w:val="none"/>
        </w:rPr>
      </w:pPr>
      <w:bookmarkStart w:id="20" w:name="_Toc458697271"/>
      <w:r>
        <w:rPr>
          <w:rFonts w:hint="eastAsia" w:ascii="宋体" w:hAnsi="宋体" w:cs="宋体"/>
          <w:b/>
          <w:color w:val="auto"/>
          <w:sz w:val="24"/>
          <w:highlight w:val="none"/>
        </w:rPr>
        <w:t xml:space="preserve">（一）开标准备   </w:t>
      </w:r>
    </w:p>
    <w:p w14:paraId="3F0ACD7C">
      <w:pPr>
        <w:spacing w:line="360" w:lineRule="auto"/>
        <w:ind w:firstLine="600" w:firstLineChars="250"/>
        <w:rPr>
          <w:rFonts w:hint="eastAsia" w:ascii="宋体" w:hAnsi="宋体" w:cs="宋体"/>
          <w:bCs/>
          <w:color w:val="auto"/>
          <w:sz w:val="24"/>
          <w:szCs w:val="24"/>
          <w:highlight w:val="none"/>
        </w:rPr>
      </w:pPr>
      <w:r>
        <w:rPr>
          <w:rFonts w:hint="eastAsia" w:ascii="宋体" w:hAnsi="宋体" w:cs="宋体"/>
          <w:bCs/>
          <w:color w:val="auto"/>
          <w:sz w:val="24"/>
          <w:highlight w:val="none"/>
        </w:rPr>
        <w:t>采购代理机构将在规定的时间和地点进行电子开标，供应商的法定代表人或其委托代理人【委托代理人应当是供应商的在职正式职工（以供应商本单位缴纳社保花名册为准）】应做好磋商准备，准时在线参加电子开标会议，随时关注磋商进度。</w:t>
      </w:r>
      <w:r>
        <w:rPr>
          <w:rFonts w:hint="eastAsia" w:ascii="宋体" w:hAnsi="宋体" w:cs="宋体"/>
          <w:bCs/>
          <w:sz w:val="24"/>
          <w:szCs w:val="24"/>
          <w:highlight w:val="none"/>
        </w:rPr>
        <w:t>如在开标过程中有电子询标，应在规定的时间内对电子询标函进行澄清、答复。超过规定时间的询标函将不予接受，评标为委员会可以作出不利于被询标人的决定。评标委员会只对响应文件内容进行询问，以响应文件的内容作为评审依据，不接受外部补充证据，</w:t>
      </w:r>
      <w:r>
        <w:rPr>
          <w:rFonts w:hint="eastAsia" w:ascii="宋体" w:hAnsi="宋体" w:cs="宋体"/>
          <w:bCs/>
          <w:color w:val="auto"/>
          <w:sz w:val="24"/>
          <w:szCs w:val="24"/>
          <w:highlight w:val="none"/>
        </w:rPr>
        <w:t>评标委员会认为供应商不符合磋商文件实质性要求明确时，可不经过询标而直接予以无效标认定，但代理机构应将无效标原因当场告知供应商。</w:t>
      </w:r>
    </w:p>
    <w:p w14:paraId="5B4720BE">
      <w:pPr>
        <w:spacing w:line="360" w:lineRule="auto"/>
        <w:ind w:firstLine="600" w:firstLineChars="25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供应商未按采购文件要求派代表参加电子开标会议的，视同认可开标结果，不得对开标过程及开标结果提出质疑。</w:t>
      </w:r>
    </w:p>
    <w:p w14:paraId="2425D9FD">
      <w:pPr>
        <w:spacing w:line="360" w:lineRule="auto"/>
        <w:rPr>
          <w:rFonts w:ascii="宋体" w:hAnsi="宋体" w:cs="宋体"/>
          <w:b/>
          <w:color w:val="auto"/>
          <w:sz w:val="24"/>
          <w:highlight w:val="none"/>
        </w:rPr>
      </w:pPr>
      <w:r>
        <w:rPr>
          <w:rFonts w:hint="eastAsia" w:ascii="宋体" w:hAnsi="宋体" w:cs="宋体"/>
          <w:b/>
          <w:color w:val="auto"/>
          <w:sz w:val="24"/>
          <w:highlight w:val="none"/>
        </w:rPr>
        <w:t>（二）电子磋商开标程序</w:t>
      </w:r>
    </w:p>
    <w:p w14:paraId="3F50933E">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193A7950">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2.主持人宣布会议纪律及磋商期间的有关事项；告知应当回避的情形,提请有关人员回避；</w:t>
      </w:r>
    </w:p>
    <w:p w14:paraId="37C2778A">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1EAECBE2">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3.1在开标时间截止后30分钟内由各供应商自行对磋商响应文件进行解密；</w:t>
      </w:r>
    </w:p>
    <w:p w14:paraId="22D37A3E">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w:t>
      </w:r>
    </w:p>
    <w:p w14:paraId="19D52F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通过资格审查的供应商进行在线磋商；</w:t>
      </w:r>
    </w:p>
    <w:p w14:paraId="4CAE8F69">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供应商提交最终报价；</w:t>
      </w:r>
    </w:p>
    <w:p w14:paraId="58077401">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5专家对</w:t>
      </w:r>
      <w:r>
        <w:rPr>
          <w:rFonts w:hint="eastAsia" w:ascii="宋体" w:hAnsi="宋体" w:cs="宋体"/>
          <w:color w:val="auto"/>
          <w:sz w:val="24"/>
          <w:highlight w:val="none"/>
        </w:rPr>
        <w:t>商务技术响应文件进行评审</w:t>
      </w:r>
      <w:r>
        <w:rPr>
          <w:rFonts w:hint="eastAsia" w:ascii="宋体" w:hAnsi="宋体" w:cs="宋体"/>
          <w:color w:val="auto"/>
          <w:sz w:val="24"/>
          <w:highlight w:val="none"/>
          <w:lang w:eastAsia="zh-CN"/>
        </w:rPr>
        <w:t>，</w:t>
      </w:r>
      <w:r>
        <w:rPr>
          <w:rFonts w:hint="eastAsia" w:ascii="宋体" w:hAnsi="宋体" w:cs="宋体"/>
          <w:color w:val="auto"/>
          <w:sz w:val="24"/>
          <w:highlight w:val="none"/>
        </w:rPr>
        <w:t>系统对各供应商的商务技术进行汇总；</w:t>
      </w:r>
    </w:p>
    <w:p w14:paraId="1807BA24">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在系统上公布评审结果。</w:t>
      </w:r>
    </w:p>
    <w:p w14:paraId="010FB553">
      <w:pPr>
        <w:spacing w:line="360" w:lineRule="auto"/>
        <w:ind w:firstLine="600" w:firstLineChars="250"/>
        <w:rPr>
          <w:rFonts w:hint="eastAsia" w:ascii="宋体" w:hAnsi="宋体" w:cs="宋体"/>
          <w:bCs/>
          <w:strike/>
          <w:dstrike w:val="0"/>
          <w:color w:val="auto"/>
          <w:sz w:val="24"/>
          <w:szCs w:val="24"/>
          <w:highlight w:val="none"/>
        </w:rPr>
      </w:pPr>
      <w:r>
        <w:rPr>
          <w:rFonts w:hint="eastAsia" w:ascii="宋体" w:hAnsi="宋体" w:cs="宋体"/>
          <w:bCs/>
          <w:color w:val="auto"/>
          <w:sz w:val="24"/>
          <w:szCs w:val="24"/>
          <w:highlight w:val="none"/>
        </w:rPr>
        <w:t>特别说明：政采云公司如对电子化开标及评审程序有调整的，按调整后的程序操作。</w:t>
      </w:r>
    </w:p>
    <w:p w14:paraId="30BCDC82">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4、本项目采用政采云电子磋商开标及评审程序，磋商时出现电子磋商响应文件无法解密或解密失败等情况时，采购代理机构可上传供应商的电子备份磋商响应文件继续评审。</w:t>
      </w:r>
    </w:p>
    <w:p w14:paraId="52CE056F">
      <w:pPr>
        <w:pStyle w:val="5"/>
        <w:keepNext w:val="0"/>
        <w:keepLines w:val="0"/>
        <w:pageBreakBefore/>
        <w:spacing w:line="360" w:lineRule="auto"/>
        <w:jc w:val="center"/>
        <w:rPr>
          <w:rFonts w:ascii="宋体" w:hAnsi="宋体" w:eastAsia="宋体" w:cs="宋体"/>
          <w:color w:val="auto"/>
          <w:sz w:val="24"/>
          <w:szCs w:val="24"/>
          <w:highlight w:val="none"/>
        </w:rPr>
      </w:pPr>
      <w:bookmarkStart w:id="21" w:name="_Toc11220"/>
      <w:r>
        <w:rPr>
          <w:rFonts w:hint="eastAsia" w:ascii="宋体" w:hAnsi="宋体" w:eastAsia="宋体" w:cs="宋体"/>
          <w:color w:val="auto"/>
          <w:sz w:val="24"/>
          <w:szCs w:val="24"/>
          <w:highlight w:val="none"/>
        </w:rPr>
        <w:t>五、</w:t>
      </w:r>
      <w:bookmarkEnd w:id="20"/>
      <w:r>
        <w:rPr>
          <w:rFonts w:hint="eastAsia" w:ascii="宋体" w:hAnsi="宋体" w:eastAsia="宋体" w:cs="宋体"/>
          <w:color w:val="auto"/>
          <w:sz w:val="24"/>
          <w:szCs w:val="24"/>
          <w:highlight w:val="none"/>
        </w:rPr>
        <w:t>磋商</w:t>
      </w:r>
      <w:bookmarkEnd w:id="21"/>
    </w:p>
    <w:p w14:paraId="50CF6EEE">
      <w:pPr>
        <w:spacing w:line="360" w:lineRule="auto"/>
        <w:rPr>
          <w:rFonts w:ascii="宋体" w:hAnsi="宋体" w:cs="宋体"/>
          <w:b/>
          <w:color w:val="auto"/>
          <w:sz w:val="24"/>
          <w:highlight w:val="none"/>
        </w:rPr>
      </w:pPr>
      <w:r>
        <w:rPr>
          <w:rFonts w:hint="eastAsia" w:ascii="宋体" w:hAnsi="宋体" w:cs="宋体"/>
          <w:b/>
          <w:color w:val="auto"/>
          <w:sz w:val="24"/>
          <w:highlight w:val="none"/>
        </w:rPr>
        <w:t>（一）组建磋商小组</w:t>
      </w:r>
    </w:p>
    <w:p w14:paraId="4DEF1D6E">
      <w:pPr>
        <w:spacing w:line="360" w:lineRule="auto"/>
        <w:rPr>
          <w:rFonts w:ascii="宋体" w:hAnsi="宋体" w:cs="宋体"/>
          <w:color w:val="auto"/>
          <w:sz w:val="24"/>
          <w:highlight w:val="none"/>
        </w:rPr>
      </w:pPr>
      <w:r>
        <w:rPr>
          <w:rFonts w:hint="eastAsia" w:ascii="宋体" w:hAnsi="宋体" w:cs="宋体"/>
          <w:color w:val="auto"/>
          <w:sz w:val="24"/>
          <w:highlight w:val="none"/>
        </w:rPr>
        <w:t>本项目磋商小组由政府采购评审专家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人和采购人代表</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rPr>
        <w:t>人,共</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rPr>
        <w:t>人组成。（允许采购人不推荐采购人代表参加，如采购人不推荐采购人代表参加评审时，磋商小组（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人）都从评标专家库中抽取）。</w:t>
      </w:r>
    </w:p>
    <w:p w14:paraId="39D2191D">
      <w:pPr>
        <w:spacing w:line="360" w:lineRule="auto"/>
        <w:rPr>
          <w:rFonts w:ascii="宋体" w:hAnsi="宋体" w:cs="宋体"/>
          <w:b/>
          <w:color w:val="auto"/>
          <w:sz w:val="24"/>
          <w:highlight w:val="none"/>
        </w:rPr>
      </w:pPr>
      <w:r>
        <w:rPr>
          <w:rFonts w:hint="eastAsia" w:ascii="宋体" w:hAnsi="宋体" w:cs="宋体"/>
          <w:b/>
          <w:color w:val="auto"/>
          <w:sz w:val="24"/>
          <w:highlight w:val="none"/>
        </w:rPr>
        <w:t>（二）磋商的方式</w:t>
      </w:r>
    </w:p>
    <w:p w14:paraId="4495D65F">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本项目采用不公开方式磋商，磋商的依据为磋商文件和磋商响应文件。</w:t>
      </w:r>
    </w:p>
    <w:p w14:paraId="57767262">
      <w:pPr>
        <w:spacing w:line="360" w:lineRule="auto"/>
        <w:rPr>
          <w:rFonts w:ascii="宋体" w:hAnsi="宋体" w:cs="宋体"/>
          <w:b/>
          <w:color w:val="auto"/>
          <w:sz w:val="24"/>
          <w:highlight w:val="none"/>
        </w:rPr>
      </w:pPr>
      <w:r>
        <w:rPr>
          <w:rFonts w:hint="eastAsia" w:ascii="宋体" w:hAnsi="宋体" w:cs="宋体"/>
          <w:b/>
          <w:color w:val="auto"/>
          <w:sz w:val="24"/>
          <w:highlight w:val="none"/>
        </w:rPr>
        <w:t>（三）磋商程序</w:t>
      </w:r>
    </w:p>
    <w:p w14:paraId="4A99126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593F3A7E">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招标方工作人员协助磋商小组对供应商的商务技术文件、报价文件的完整性、合法性等进行审查。</w:t>
      </w:r>
    </w:p>
    <w:p w14:paraId="0926143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683AD7B2">
      <w:pPr>
        <w:spacing w:line="360" w:lineRule="auto"/>
        <w:rPr>
          <w:rFonts w:ascii="宋体" w:hAnsi="宋体" w:cs="宋体"/>
          <w:color w:val="auto"/>
          <w:sz w:val="24"/>
          <w:highlight w:val="none"/>
        </w:rPr>
      </w:pPr>
      <w:r>
        <w:rPr>
          <w:rFonts w:hint="eastAsia" w:ascii="宋体" w:hAnsi="宋体" w:cs="宋体"/>
          <w:color w:val="auto"/>
          <w:sz w:val="24"/>
          <w:highlight w:val="none"/>
        </w:rPr>
        <w:t>（1）磋商小组审查磋商响应文件的实质性内容是否符合磋商文件的实质性要求。</w:t>
      </w:r>
    </w:p>
    <w:p w14:paraId="795006A2">
      <w:pPr>
        <w:spacing w:line="360" w:lineRule="auto"/>
        <w:rPr>
          <w:rFonts w:ascii="宋体" w:hAnsi="宋体" w:cs="宋体"/>
          <w:color w:val="auto"/>
          <w:sz w:val="24"/>
          <w:highlight w:val="none"/>
        </w:rPr>
      </w:pPr>
      <w:r>
        <w:rPr>
          <w:rFonts w:hint="eastAsia" w:ascii="宋体" w:hAnsi="宋体" w:cs="宋体"/>
          <w:color w:val="auto"/>
          <w:sz w:val="24"/>
          <w:highlight w:val="none"/>
        </w:rPr>
        <w:t>（2）磋商小组将对供应商的磋商响应文件进行审查、核对,如有疑问,将对供应商进行电子询标,供应商须在规定的时间内向磋商小组澄清有关问题,并在政采云上进行询标答复。</w:t>
      </w:r>
    </w:p>
    <w:p w14:paraId="3969D4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供应商代表未在规定的时间内进行澄清、拒绝澄清或者澄清的内容改变了磋商响应文件的实质性内容的，磋商小组有权对该磋商响应文件作出不利于供应商的评判。</w:t>
      </w:r>
    </w:p>
    <w:p w14:paraId="796B3C01">
      <w:pPr>
        <w:spacing w:line="360" w:lineRule="auto"/>
        <w:rPr>
          <w:rFonts w:ascii="宋体" w:hAnsi="宋体" w:cs="宋体"/>
          <w:color w:val="auto"/>
          <w:sz w:val="24"/>
          <w:highlight w:val="none"/>
        </w:rPr>
      </w:pPr>
      <w:r>
        <w:rPr>
          <w:rFonts w:hint="eastAsia" w:ascii="宋体" w:hAnsi="宋体" w:cs="宋体"/>
          <w:color w:val="auto"/>
          <w:sz w:val="24"/>
          <w:highlight w:val="none"/>
        </w:rPr>
        <w:t>（3）各供应商的技术得分为所有评委的有效评分的算术平均数，由指定专人进行计算复核。</w:t>
      </w:r>
    </w:p>
    <w:p w14:paraId="0A17BC16">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（4）招标方工作人员协助磋商小组审核商务报价有无计算错误，并根据本项目的评分标准计算各供应商的商务报价得分。</w:t>
      </w:r>
    </w:p>
    <w:p w14:paraId="234F5CC3">
      <w:pPr>
        <w:spacing w:line="360" w:lineRule="auto"/>
        <w:rPr>
          <w:rFonts w:ascii="宋体" w:hAnsi="宋体" w:cs="宋体"/>
          <w:color w:val="auto"/>
          <w:sz w:val="24"/>
          <w:highlight w:val="none"/>
        </w:rPr>
      </w:pPr>
      <w:r>
        <w:rPr>
          <w:rFonts w:hint="eastAsia" w:ascii="宋体" w:hAnsi="宋体" w:cs="宋体"/>
          <w:color w:val="auto"/>
          <w:sz w:val="24"/>
          <w:highlight w:val="none"/>
        </w:rPr>
        <w:t>（5）磋商小组完成磋商后,招标方工作人员对系统中的得分汇总进行复核,计算出本项目最终得分，磋商小组按磋商原则推荐中标候选人并起草磋商报告。</w:t>
      </w:r>
    </w:p>
    <w:p w14:paraId="59489D37">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60194993">
      <w:pPr>
        <w:spacing w:line="360" w:lineRule="auto"/>
        <w:rPr>
          <w:rFonts w:ascii="宋体" w:hAnsi="宋体" w:cs="宋体"/>
          <w:color w:val="auto"/>
          <w:sz w:val="24"/>
          <w:highlight w:val="none"/>
        </w:rPr>
      </w:pPr>
      <w:r>
        <w:rPr>
          <w:rFonts w:hint="eastAsia" w:ascii="宋体" w:hAnsi="宋体" w:cs="宋体"/>
          <w:color w:val="auto"/>
          <w:sz w:val="24"/>
          <w:highlight w:val="none"/>
        </w:rPr>
        <w:t>对磋商响应文件中含义不明确、同类问题表述不一致或者有明显文字和计算错误的内容，磋商小组可要求供应商作出必要的澄清、说明或者纠正，供应商应在询标规定时间内进行澄清或说明（需盖CA电子签章或实体公章），并不得超出磋商响应文件的范围或者改变磋商响应文件的实质性内容。</w:t>
      </w:r>
    </w:p>
    <w:p w14:paraId="69C89E5A">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294FFE7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磋商响应文件如果出现计算或表达上的错误，修正错误的原则如下：</w:t>
      </w:r>
    </w:p>
    <w:p w14:paraId="23C0E52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 磋商响应文件中开标一览表（报价表）内容与与磋商响应文件中相应内容不一致的，以开标一览表（报价表）为准；</w:t>
      </w:r>
    </w:p>
    <w:p w14:paraId="4F33DF7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6946C206">
      <w:pPr>
        <w:spacing w:line="360" w:lineRule="auto"/>
        <w:ind w:left="359" w:leftChars="171"/>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3.单价金额小数点或者百分比有明显错位的，以开标一览表的总价为准，并修改单价；4.总价金额与按单价汇总金额不一致的，以单价金额计算结果为准；</w:t>
      </w:r>
    </w:p>
    <w:p w14:paraId="00E49EF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5.政采云系统磋商报价与磋商响应文件中开标一览表（报价表）相应内容不一致的，以开标一览表（报价表）为准。</w:t>
      </w:r>
    </w:p>
    <w:p w14:paraId="217E8F9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6.对不同文字文本磋商响应文件的解释发生异议的，以中文文本为准。</w:t>
      </w:r>
    </w:p>
    <w:p w14:paraId="7A8A329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供应商的澄清、说明或者补正应当采用书面形式，并加盖公章，或者由法定代表人或其授权的代表签字。供应商的澄清、说明或者补正不得超出磋商响应文件的范围或者改变磋商响应文件的实质性内容的规定经供应商确认后产生约束力，供应商不确认的，其磋商无效。</w:t>
      </w:r>
    </w:p>
    <w:p w14:paraId="03D8E1DE">
      <w:pPr>
        <w:spacing w:line="360" w:lineRule="auto"/>
        <w:rPr>
          <w:rFonts w:ascii="宋体" w:hAnsi="宋体" w:cs="宋体"/>
          <w:b/>
          <w:bCs/>
          <w:color w:val="auto"/>
          <w:sz w:val="24"/>
          <w:highlight w:val="none"/>
        </w:rPr>
      </w:pPr>
      <w:r>
        <w:rPr>
          <w:rFonts w:hint="eastAsia" w:ascii="宋体" w:hAnsi="宋体" w:cs="宋体"/>
          <w:b/>
          <w:color w:val="auto"/>
          <w:sz w:val="24"/>
          <w:highlight w:val="none"/>
        </w:rPr>
        <w:t>（六）磋商原则和磋商办法</w:t>
      </w:r>
    </w:p>
    <w:p w14:paraId="2C18D45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1.磋商小组必须公平、公正评审，遵纪守法，客观、廉洁地履行职责。</w:t>
      </w:r>
    </w:p>
    <w:p w14:paraId="4B21BB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2.磋商小组在评审开始前，应关闭并上交随身携带的各种通信工具。</w:t>
      </w:r>
    </w:p>
    <w:p w14:paraId="7125956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3.磋商小组在评审过程中，未经许可不得中途离开评审现场，不得迟到早退。</w:t>
      </w:r>
    </w:p>
    <w:p w14:paraId="2861C5F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4.磋商小组和工作人员不得透露评审过程中的讨论情况和评审结果。</w:t>
      </w:r>
    </w:p>
    <w:p w14:paraId="7A7F7EE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磋商小组须按竞争性磋商文件规定的程序、条件和标准，对供应商投标文件的合规性、完整性和有效性进行审查、比较和评估，其中对供应商的资格条件、主要技术参数、商务报价和其他评审要素等，磋商小组应逐项进行审查、比较，不得漏评少评。如发现与竞争性磋商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22E0DED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6.采购人、采购代理机构不得向评审委员会的磋商小组作倾向性、误导性的解释或者说明。</w:t>
      </w:r>
    </w:p>
    <w:p w14:paraId="0729F3F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磋商小组提供必要的评审条件和相应的评审工作底稿，并严格按规定程序组织磋商小组有步骤地进行项目评审，对各磋商小组的评审情况和评审意见进行合理性和合规性审查，对明显畸高、畸低的重大差异评审情况（其总评分偏离平均分30%以上），提醒相关磋商小组进行复核或书面说明理由。</w:t>
      </w:r>
    </w:p>
    <w:p w14:paraId="60241B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8.磋商小组在评审过程中不得将自己的观点强加给其他磋商小组，磋商小组应自主发表见解，对评审意见承担个人责任。</w:t>
      </w:r>
    </w:p>
    <w:p w14:paraId="2DD7B13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竞争性磋商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p>
    <w:p w14:paraId="738CCEE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10.磋商小组应当独立、客观、公正地提出评审意见，不得带有倾向性，不得影响其他磋商小组评审，并在评审报告上签字；如对评审报告有异议的，可在报告上签署不同意见，并说明理由，否则将视为同意。</w:t>
      </w:r>
    </w:p>
    <w:p w14:paraId="08BA4EB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11.磋商小组应当遵守评审工作纪律，不得泄露评审文件、评审情况和评审中获悉的商业秘密。</w:t>
      </w:r>
    </w:p>
    <w:p w14:paraId="75A4D9D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评审委员会在评审过程中发现供应商有行贿、提供虚假材料或者串通等违法行为的，应当及时向财政部门报告。</w:t>
      </w:r>
    </w:p>
    <w:p w14:paraId="50FF70D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12.竞争性磋商文件内容违反国家有关强制性规定的，评审委员会应当停止评审并向采购代理机构说明情况。</w:t>
      </w:r>
    </w:p>
    <w:p w14:paraId="66DA518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13.磋商小组应当配合采购代理机构答复供应商提出的质疑。</w:t>
      </w:r>
    </w:p>
    <w:p w14:paraId="576243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14.磋商小组应当配合财政部门的投诉处理工作。</w:t>
      </w:r>
    </w:p>
    <w:p w14:paraId="77C779A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15.磋商小组有如下行为之一的，责令改正，给予警告，可以并处一千元以下的罚款：</w:t>
      </w:r>
    </w:p>
    <w:p w14:paraId="20D034E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05CC8E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②在得知自己为磋商小组身份后至评审结束前时段内私下接触供应商的；</w:t>
      </w:r>
    </w:p>
    <w:p w14:paraId="0D48D3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323390F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3D6B78A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⑤未按竞争性磋商文件规定的评审方法和标准进行评审的。</w:t>
      </w:r>
    </w:p>
    <w:p w14:paraId="2AD8A1B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422DC7C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磋商小组未按照竞争性磋商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37ADD1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政府采购磋商小组与供应商存在利害关系未回避的，处2万元以上5万元以下的罚款，禁止其参加政府采购评审活动。</w:t>
      </w:r>
    </w:p>
    <w:p w14:paraId="6B9187B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政府采购磋商小组收受采购人、采购代理机构、供应商贿赂或者获取其他不正当利益，构成犯罪的，依法追究刑事责任；尚不构成犯罪的，处2万元以上5万元以下的罚款，禁止其参加政府采购评审活动。</w:t>
      </w:r>
    </w:p>
    <w:p w14:paraId="763A0E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政府采购磋商小组有上述违法行为的，其评审意见无效，不得获取评审费；有违法所得的，没收违法所得；给他人造成损失的，依法承担民事责任。</w:t>
      </w:r>
    </w:p>
    <w:p w14:paraId="11531487">
      <w:pPr>
        <w:spacing w:line="360" w:lineRule="auto"/>
        <w:rPr>
          <w:rFonts w:ascii="宋体" w:hAnsi="宋体" w:cs="宋体"/>
          <w:color w:val="auto"/>
          <w:sz w:val="24"/>
          <w:highlight w:val="none"/>
        </w:rPr>
      </w:pPr>
      <w:r>
        <w:rPr>
          <w:rFonts w:hint="eastAsia" w:ascii="宋体" w:hAnsi="宋体" w:cs="宋体"/>
          <w:color w:val="auto"/>
          <w:sz w:val="24"/>
          <w:highlight w:val="none"/>
        </w:rPr>
        <w:t>17.磋商办法。本项目磋商办法是：综合评分法（其中报价分为两轮），具体磋商内容及评分标准等详见《第四章：磋商办法及评分标准》。</w:t>
      </w:r>
    </w:p>
    <w:p w14:paraId="77FAFD60">
      <w:pPr>
        <w:spacing w:line="360" w:lineRule="auto"/>
        <w:rPr>
          <w:rFonts w:ascii="宋体" w:hAnsi="宋体" w:cs="宋体"/>
          <w:b/>
          <w:color w:val="auto"/>
          <w:sz w:val="24"/>
          <w:highlight w:val="none"/>
        </w:rPr>
      </w:pPr>
      <w:r>
        <w:rPr>
          <w:rFonts w:hint="eastAsia" w:ascii="宋体" w:hAnsi="宋体" w:cs="宋体"/>
          <w:b/>
          <w:color w:val="auto"/>
          <w:sz w:val="24"/>
          <w:highlight w:val="none"/>
        </w:rPr>
        <w:t>（七）</w:t>
      </w:r>
      <w:r>
        <w:rPr>
          <w:rFonts w:hint="eastAsia" w:ascii="宋体" w:hAnsi="宋体" w:cs="宋体"/>
          <w:b/>
          <w:bCs/>
          <w:color w:val="auto"/>
          <w:sz w:val="24"/>
          <w:highlight w:val="none"/>
        </w:rPr>
        <w:t>磋商</w:t>
      </w:r>
      <w:r>
        <w:rPr>
          <w:rFonts w:hint="eastAsia" w:ascii="宋体" w:hAnsi="宋体" w:cs="宋体"/>
          <w:b/>
          <w:color w:val="auto"/>
          <w:sz w:val="24"/>
          <w:highlight w:val="none"/>
        </w:rPr>
        <w:t>过程的监控</w:t>
      </w:r>
    </w:p>
    <w:p w14:paraId="331ECBFD">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本项目磋商过程实行全程录音、录像监控，供应商在磋商过程中所进行的试图影响磋商结果的不公正活动，可能导致其磋商被拒绝。</w:t>
      </w:r>
    </w:p>
    <w:p w14:paraId="59A8ABF8">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0A13BC4A">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20EF0381">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11EDC514">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341AA085">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6C89C3CD">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545E9C87">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59F794E3">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1F75A786">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6、投标截止时间后及评审过程中，有效供应商不足</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家的项目，则予以废标。</w:t>
      </w:r>
    </w:p>
    <w:p w14:paraId="64CFA8CA">
      <w:pPr>
        <w:pStyle w:val="5"/>
        <w:keepNext w:val="0"/>
        <w:keepLines w:val="0"/>
        <w:pageBreakBefore/>
        <w:spacing w:line="360" w:lineRule="auto"/>
        <w:jc w:val="center"/>
        <w:rPr>
          <w:rFonts w:ascii="宋体" w:hAnsi="宋体" w:eastAsia="宋体" w:cs="宋体"/>
          <w:color w:val="auto"/>
          <w:sz w:val="24"/>
          <w:szCs w:val="24"/>
          <w:highlight w:val="none"/>
        </w:rPr>
      </w:pPr>
      <w:bookmarkStart w:id="22" w:name="_Toc9799"/>
      <w:bookmarkStart w:id="23" w:name="_Toc458697272"/>
      <w:r>
        <w:rPr>
          <w:rFonts w:hint="eastAsia" w:ascii="宋体" w:hAnsi="宋体" w:eastAsia="宋体" w:cs="宋体"/>
          <w:color w:val="auto"/>
          <w:sz w:val="24"/>
          <w:szCs w:val="24"/>
          <w:highlight w:val="none"/>
        </w:rPr>
        <w:t>六、定标</w:t>
      </w:r>
      <w:bookmarkEnd w:id="22"/>
      <w:bookmarkEnd w:id="23"/>
    </w:p>
    <w:p w14:paraId="704DCF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本项目由采购人授权磋商小组确定中标人。</w:t>
      </w:r>
    </w:p>
    <w:p w14:paraId="53B001AB">
      <w:pPr>
        <w:spacing w:line="360" w:lineRule="auto"/>
        <w:rPr>
          <w:rFonts w:ascii="宋体" w:hAnsi="宋体" w:cs="宋体"/>
          <w:color w:val="auto"/>
          <w:sz w:val="24"/>
          <w:highlight w:val="none"/>
        </w:rPr>
      </w:pPr>
      <w:r>
        <w:rPr>
          <w:rFonts w:hint="eastAsia" w:ascii="宋体" w:hAnsi="宋体" w:cs="宋体"/>
          <w:color w:val="auto"/>
          <w:sz w:val="24"/>
          <w:highlight w:val="none"/>
        </w:rPr>
        <w:t>1.招标方在磋商结束后2个工作日内将磋商报告交采购人确认。</w:t>
      </w:r>
    </w:p>
    <w:p w14:paraId="25A349BF">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2.采购人应在收到磋商报告后5个工作日内对磋商结果进行确认。如有供应商对磋商结果提出质疑的，采购人可在质疑处理完毕后确定中标人。</w:t>
      </w:r>
    </w:p>
    <w:p w14:paraId="33679493">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7CBA3752">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055701DC">
      <w:pPr>
        <w:pStyle w:val="5"/>
        <w:keepNext w:val="0"/>
        <w:keepLines w:val="0"/>
        <w:pageBreakBefore/>
        <w:spacing w:line="360" w:lineRule="auto"/>
        <w:jc w:val="center"/>
        <w:rPr>
          <w:rFonts w:ascii="宋体" w:hAnsi="宋体" w:eastAsia="宋体" w:cs="宋体"/>
          <w:color w:val="auto"/>
          <w:sz w:val="24"/>
          <w:szCs w:val="24"/>
          <w:highlight w:val="none"/>
        </w:rPr>
      </w:pPr>
      <w:bookmarkStart w:id="24" w:name="_Toc3947"/>
      <w:bookmarkStart w:id="25" w:name="_Toc458697273"/>
      <w:r>
        <w:rPr>
          <w:rFonts w:hint="eastAsia" w:ascii="宋体" w:hAnsi="宋体" w:eastAsia="宋体" w:cs="宋体"/>
          <w:color w:val="auto"/>
          <w:sz w:val="24"/>
          <w:szCs w:val="24"/>
          <w:highlight w:val="none"/>
        </w:rPr>
        <w:t>七、合同授予</w:t>
      </w:r>
      <w:bookmarkEnd w:id="24"/>
      <w:bookmarkEnd w:id="25"/>
    </w:p>
    <w:p w14:paraId="2739FA0E">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6650277B">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6EBC40A">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0474BBAB">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72B6F60B">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52A03DCE">
      <w:pPr>
        <w:spacing w:line="360" w:lineRule="auto"/>
        <w:rPr>
          <w:rFonts w:ascii="宋体" w:hAnsi="宋体" w:cs="宋体"/>
          <w:color w:val="auto"/>
          <w:sz w:val="24"/>
          <w:highlight w:val="none"/>
        </w:rPr>
      </w:pPr>
      <w:r>
        <w:rPr>
          <w:rFonts w:hint="eastAsia" w:ascii="宋体" w:hAnsi="宋体" w:cs="宋体"/>
          <w:color w:val="auto"/>
          <w:sz w:val="24"/>
          <w:highlight w:val="none"/>
        </w:rPr>
        <w:t>5.采购人与成交人根据采购文件、磋商响应文件等内容签订政府采购合同，合同签订后送东阳市财政局采监科备案。</w:t>
      </w:r>
    </w:p>
    <w:p w14:paraId="677EC19E">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397C80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（二）履约保证金</w:t>
      </w:r>
    </w:p>
    <w:p w14:paraId="48BF53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w:t>
      </w:r>
      <w:r>
        <w:rPr>
          <w:rFonts w:hint="eastAsia" w:ascii="宋体" w:hAnsi="宋体" w:cs="宋体"/>
          <w:color w:val="auto"/>
          <w:sz w:val="24"/>
          <w:highlight w:val="none"/>
        </w:rPr>
        <w:t>的履约保证金，在中标人与采购人签订合同前递交，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需以支票、汇票、本票或者金融机构、保险公司、担保机构出具的保函/保险（可在政采云平台购买，咨询热线4009039583）等非现金形式提交（保函期限应大于履约期限2个月）</w:t>
      </w:r>
      <w:r>
        <w:rPr>
          <w:rFonts w:hint="eastAsia" w:ascii="宋体" w:hAnsi="宋体" w:cs="宋体"/>
          <w:color w:val="auto"/>
          <w:sz w:val="24"/>
          <w:highlight w:val="none"/>
          <w:lang w:eastAsia="zh-CN"/>
        </w:rPr>
        <w:t>。</w:t>
      </w:r>
    </w:p>
    <w:p w14:paraId="70A1F4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highlight w:val="none"/>
          <w:lang w:eastAsia="zh-CN"/>
        </w:rPr>
      </w:pPr>
      <w:r>
        <w:rPr>
          <w:rFonts w:hint="eastAsia" w:ascii="宋体" w:hAnsi="宋体" w:cs="宋体"/>
          <w:color w:val="auto"/>
          <w:sz w:val="24"/>
          <w:highlight w:val="none"/>
          <w:lang w:val="en-US" w:eastAsia="zh-CN"/>
        </w:rPr>
        <w:t>中标人也</w:t>
      </w:r>
      <w:r>
        <w:rPr>
          <w:rFonts w:hint="eastAsia" w:ascii="宋体" w:hAnsi="宋体" w:cs="宋体"/>
          <w:color w:val="auto"/>
          <w:sz w:val="24"/>
          <w:highlight w:val="none"/>
        </w:rPr>
        <w:t>可登录政采云平台-【金融服务】—【我的项目】—【已备案合同】以保函形式提供：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在合同列表选择需要投保的合同，点击[保函推荐]。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在弹框里查看推荐的保函产品，</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自行选择保函产品，点击[立即申请]。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p w14:paraId="1BCFADBE">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ascii="宋体" w:hAnsi="宋体" w:eastAsia="宋体" w:cs="宋体"/>
          <w:color w:val="auto"/>
          <w:sz w:val="24"/>
          <w:highlight w:val="none"/>
        </w:rPr>
        <w:t>2.签订合同后，如中标人不按双方合同约定履约，则没收其全部履约保证金，履约保证金不足以赔偿损失的，按实际损失赔偿。</w:t>
      </w:r>
    </w:p>
    <w:p w14:paraId="5B19B989">
      <w:pPr>
        <w:pStyle w:val="3"/>
        <w:rPr>
          <w:rFonts w:hint="eastAsia"/>
          <w:highlight w:val="none"/>
        </w:rPr>
      </w:pPr>
    </w:p>
    <w:p w14:paraId="503F9867">
      <w:pPr>
        <w:pStyle w:val="22"/>
        <w:pageBreakBefore/>
        <w:snapToGrid w:val="0"/>
        <w:spacing w:before="120" w:after="120" w:line="360" w:lineRule="auto"/>
        <w:jc w:val="center"/>
        <w:outlineLvl w:val="0"/>
        <w:rPr>
          <w:rFonts w:ascii="宋体" w:hAnsi="宋体" w:cs="宋体"/>
          <w:b/>
          <w:color w:val="auto"/>
          <w:szCs w:val="24"/>
          <w:highlight w:val="none"/>
        </w:rPr>
      </w:pPr>
      <w:bookmarkStart w:id="26" w:name="_Toc12984"/>
      <w:r>
        <w:rPr>
          <w:rFonts w:hint="eastAsia" w:ascii="宋体" w:hAnsi="宋体" w:cs="宋体"/>
          <w:b/>
          <w:color w:val="auto"/>
          <w:szCs w:val="24"/>
          <w:highlight w:val="none"/>
        </w:rPr>
        <w:t>第四章  磋商办法及评分标准</w:t>
      </w:r>
      <w:bookmarkEnd w:id="26"/>
    </w:p>
    <w:p w14:paraId="54736B94">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1DB2D58E">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画溪初中食堂及周边道路改造项目</w:t>
      </w:r>
      <w:r>
        <w:rPr>
          <w:rFonts w:hint="eastAsia" w:ascii="宋体" w:hAnsi="宋体" w:cs="宋体"/>
          <w:color w:val="auto"/>
          <w:sz w:val="24"/>
          <w:highlight w:val="none"/>
        </w:rPr>
        <w:t>的磋商。</w:t>
      </w:r>
    </w:p>
    <w:p w14:paraId="5301CF99">
      <w:pPr>
        <w:spacing w:line="540" w:lineRule="exact"/>
        <w:rPr>
          <w:rFonts w:ascii="宋体" w:hAnsi="宋体" w:cs="宋体"/>
          <w:b/>
          <w:color w:val="auto"/>
          <w:sz w:val="24"/>
          <w:highlight w:val="none"/>
        </w:rPr>
      </w:pPr>
      <w:bookmarkStart w:id="27" w:name="_Toc12525"/>
      <w:bookmarkStart w:id="28" w:name="_Toc452728219"/>
      <w:bookmarkStart w:id="29" w:name="_Toc31315"/>
      <w:bookmarkStart w:id="30" w:name="_Toc26574"/>
      <w:r>
        <w:rPr>
          <w:rFonts w:hint="eastAsia" w:ascii="宋体" w:hAnsi="宋体" w:cs="宋体"/>
          <w:b/>
          <w:color w:val="auto"/>
          <w:sz w:val="24"/>
          <w:highlight w:val="none"/>
        </w:rPr>
        <w:t>一、总则</w:t>
      </w:r>
      <w:bookmarkEnd w:id="27"/>
      <w:bookmarkEnd w:id="28"/>
      <w:bookmarkEnd w:id="29"/>
      <w:bookmarkEnd w:id="30"/>
    </w:p>
    <w:p w14:paraId="5931A6B5">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磋商采用综合评分法，总分为100分，其中价格分30分，技术、商务、资信及其他分70分；合格供应商的磋商得分为各项目汇总得分，中标候选资格按磋商综合得分由高到低顺序排列，得分相同的，按最终轮磋商报价由低到高顺序排列；得分且最终轮磋商报价相同的，按技术得分由高到低顺序排列。有效投标人为 3家时推荐2名中标候选人，有效</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大于 3 家时，推荐 3名中标候选人</w:t>
      </w:r>
      <w:r>
        <w:rPr>
          <w:rFonts w:hint="eastAsia" w:ascii="宋体" w:hAnsi="宋体" w:eastAsia="宋体" w:cs="宋体"/>
          <w:color w:val="auto"/>
          <w:sz w:val="24"/>
          <w:highlight w:val="none"/>
        </w:rPr>
        <w:t>（排名第一的中标候选人为中标人，排名第二的中标候选人为替补中标人）</w:t>
      </w:r>
      <w:r>
        <w:rPr>
          <w:rFonts w:hint="eastAsia" w:ascii="宋体" w:hAnsi="宋体" w:cs="宋体"/>
          <w:color w:val="auto"/>
          <w:sz w:val="24"/>
          <w:highlight w:val="none"/>
        </w:rPr>
        <w:t>……其他供应商中标候选资格依此类推。评分过程中采用四舍五入法，并保留小数2位。</w:t>
      </w:r>
    </w:p>
    <w:p w14:paraId="1972AE90">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供应商磋商综合得分=价格分+(技术分+商务分+资信及其他分)</w:t>
      </w:r>
    </w:p>
    <w:p w14:paraId="2944A59D">
      <w:pPr>
        <w:numPr>
          <w:ilvl w:val="0"/>
          <w:numId w:val="6"/>
        </w:numPr>
        <w:spacing w:line="540" w:lineRule="exact"/>
        <w:rPr>
          <w:rFonts w:ascii="宋体" w:hAnsi="宋体" w:cs="宋体"/>
          <w:b/>
          <w:color w:val="auto"/>
          <w:sz w:val="24"/>
          <w:highlight w:val="none"/>
        </w:rPr>
      </w:pPr>
      <w:bookmarkStart w:id="31" w:name="_Toc6122"/>
      <w:bookmarkStart w:id="32" w:name="_Toc16785"/>
      <w:bookmarkStart w:id="33" w:name="_Toc452728220"/>
      <w:bookmarkStart w:id="34" w:name="_Toc12387"/>
      <w:r>
        <w:rPr>
          <w:rFonts w:hint="eastAsia" w:ascii="宋体" w:hAnsi="宋体" w:cs="宋体"/>
          <w:b/>
          <w:color w:val="auto"/>
          <w:sz w:val="24"/>
          <w:highlight w:val="none"/>
        </w:rPr>
        <w:t>磋商内容及标准</w:t>
      </w:r>
      <w:bookmarkEnd w:id="31"/>
      <w:bookmarkEnd w:id="32"/>
      <w:bookmarkEnd w:id="33"/>
      <w:bookmarkEnd w:id="34"/>
      <w:bookmarkStart w:id="35" w:name="_Toc502652282"/>
      <w:bookmarkStart w:id="36" w:name="_Hlt452359758"/>
      <w:bookmarkStart w:id="37" w:name="_Hlt452359757"/>
    </w:p>
    <w:p w14:paraId="5A8D2413">
      <w:pPr>
        <w:pStyle w:val="22"/>
        <w:spacing w:before="120" w:after="120" w:line="540" w:lineRule="exact"/>
        <w:rPr>
          <w:rFonts w:hint="default" w:ascii="宋体" w:hAnsi="宋体" w:eastAsia="宋体"/>
          <w:b/>
          <w:bCs/>
          <w:color w:val="auto"/>
          <w:szCs w:val="24"/>
          <w:highlight w:val="none"/>
          <w:lang w:val="en-US" w:eastAsia="zh-CN"/>
        </w:rPr>
      </w:pPr>
      <w:r>
        <w:rPr>
          <w:rFonts w:hint="eastAsia" w:ascii="宋体" w:hAnsi="宋体"/>
          <w:b/>
          <w:bCs/>
          <w:color w:val="auto"/>
          <w:szCs w:val="24"/>
          <w:highlight w:val="none"/>
        </w:rPr>
        <w:t>（一）技术、商务、资信及其他分（70分）</w:t>
      </w:r>
    </w:p>
    <w:p w14:paraId="7983B2B4">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技术、商务资信及其他分响应标书要求的磋商单位全部进入商务报价评审。</w:t>
      </w:r>
    </w:p>
    <w:p w14:paraId="6B7449CD">
      <w:pPr>
        <w:pStyle w:val="13"/>
        <w:spacing w:line="540" w:lineRule="exact"/>
        <w:ind w:left="0" w:leftChars="0"/>
        <w:rPr>
          <w:rFonts w:ascii="宋体" w:hAnsi="宋体"/>
          <w:b/>
          <w:bCs/>
          <w:color w:val="auto"/>
          <w:sz w:val="24"/>
          <w:highlight w:val="none"/>
        </w:rPr>
      </w:pPr>
      <w:r>
        <w:rPr>
          <w:rFonts w:hint="eastAsia" w:ascii="宋体" w:hAnsi="宋体"/>
          <w:b/>
          <w:color w:val="auto"/>
          <w:sz w:val="24"/>
          <w:highlight w:val="none"/>
        </w:rPr>
        <w:t>（二）</w:t>
      </w:r>
      <w:r>
        <w:rPr>
          <w:rFonts w:hint="eastAsia" w:ascii="宋体" w:hAnsi="宋体"/>
          <w:b/>
          <w:bCs/>
          <w:color w:val="auto"/>
          <w:sz w:val="24"/>
          <w:highlight w:val="none"/>
        </w:rPr>
        <w:t xml:space="preserve">价格分（30分） </w:t>
      </w:r>
    </w:p>
    <w:p w14:paraId="2D807090">
      <w:pPr>
        <w:spacing w:beforeLines="50" w:afterLines="50" w:line="540" w:lineRule="exact"/>
        <w:ind w:firstLine="464" w:firstLineChars="200"/>
        <w:rPr>
          <w:rFonts w:hAnsi="宋体"/>
          <w:bCs/>
          <w:color w:val="auto"/>
          <w:sz w:val="24"/>
          <w:highlight w:val="none"/>
        </w:rPr>
      </w:pPr>
      <w:r>
        <w:rPr>
          <w:rFonts w:hint="eastAsia" w:ascii="宋体" w:hAnsi="宋体"/>
          <w:bCs/>
          <w:color w:val="auto"/>
          <w:spacing w:val="-4"/>
          <w:sz w:val="24"/>
          <w:szCs w:val="20"/>
          <w:highlight w:val="none"/>
        </w:rPr>
        <w:t>（1）</w:t>
      </w:r>
      <w:r>
        <w:rPr>
          <w:rFonts w:hint="eastAsia" w:hAnsi="宋体"/>
          <w:bCs/>
          <w:color w:val="auto"/>
          <w:sz w:val="24"/>
          <w:highlight w:val="none"/>
        </w:rPr>
        <w:t>价格分采用低价优先法计算，取所有技术、资信商务得分入围供应商中，</w:t>
      </w:r>
      <w:r>
        <w:rPr>
          <w:rFonts w:hint="eastAsia" w:ascii="宋体" w:hAnsi="宋体" w:cs="宋体"/>
          <w:b/>
          <w:bCs/>
          <w:color w:val="auto"/>
          <w:sz w:val="24"/>
          <w:highlight w:val="none"/>
        </w:rPr>
        <w:t>最终轮磋商报价以</w:t>
      </w:r>
      <w:r>
        <w:rPr>
          <w:rFonts w:hint="eastAsia" w:hAnsi="宋体"/>
          <w:b/>
          <w:bCs/>
          <w:color w:val="auto"/>
          <w:sz w:val="24"/>
          <w:highlight w:val="none"/>
        </w:rPr>
        <w:t>最低的磋商报价</w:t>
      </w:r>
      <w:r>
        <w:rPr>
          <w:rFonts w:hint="eastAsia" w:hAnsi="宋体"/>
          <w:bCs/>
          <w:color w:val="auto"/>
          <w:sz w:val="24"/>
          <w:highlight w:val="none"/>
        </w:rPr>
        <w:t>为基准价，其他供应商的价格分按照下列公式计算：</w:t>
      </w:r>
    </w:p>
    <w:p w14:paraId="3B5839FC">
      <w:pPr>
        <w:spacing w:beforeLines="50" w:afterLines="50" w:line="54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lang w:val="en-US" w:eastAsia="zh-CN"/>
        </w:rPr>
        <w:t>磋商报价得</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基准价/最终轮磋商报价</w:t>
      </w:r>
      <w:r>
        <w:rPr>
          <w:rFonts w:hint="eastAsia" w:ascii="宋体" w:hAnsi="宋体" w:cs="宋体"/>
          <w:color w:val="auto"/>
          <w:sz w:val="24"/>
          <w:highlight w:val="none"/>
          <w:lang w:eastAsia="zh-CN"/>
        </w:rPr>
        <w:t>）</w:t>
      </w:r>
      <w:r>
        <w:rPr>
          <w:rFonts w:hint="eastAsia" w:ascii="宋体" w:hAnsi="宋体" w:cs="宋体"/>
          <w:color w:val="auto"/>
          <w:sz w:val="24"/>
          <w:highlight w:val="none"/>
        </w:rPr>
        <w:t>×30（最终保留2位小数）</w:t>
      </w:r>
    </w:p>
    <w:p w14:paraId="79F92788">
      <w:pPr>
        <w:spacing w:line="540" w:lineRule="exact"/>
        <w:rPr>
          <w:rFonts w:ascii="宋体" w:hAnsi="宋体"/>
          <w:b/>
          <w:bCs/>
          <w:color w:val="auto"/>
          <w:sz w:val="24"/>
          <w:highlight w:val="none"/>
        </w:rPr>
      </w:pPr>
      <w:r>
        <w:rPr>
          <w:rFonts w:hint="eastAsia" w:ascii="宋体" w:hAnsi="宋体"/>
          <w:b/>
          <w:bCs/>
          <w:color w:val="auto"/>
          <w:sz w:val="24"/>
          <w:highlight w:val="none"/>
        </w:rPr>
        <w:t>（三）技术、商务、资信及其他分的计算</w:t>
      </w:r>
    </w:p>
    <w:p w14:paraId="5AC925B1">
      <w:pPr>
        <w:spacing w:beforeLines="50" w:afterLines="50"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技术、商务、资信及其他分按照磋商小组成员的独立评分结果的算术平均分计算，计算公式为：</w:t>
      </w:r>
    </w:p>
    <w:p w14:paraId="2B0A5CA5">
      <w:pPr>
        <w:spacing w:beforeLines="50" w:afterLines="50" w:line="54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技术商务资信及其他分=磋商小组所有成员有效评分合计数/</w:t>
      </w:r>
      <w:r>
        <w:rPr>
          <w:rFonts w:hint="eastAsia" w:ascii="宋体" w:hAnsi="宋体"/>
          <w:color w:val="auto"/>
          <w:sz w:val="24"/>
          <w:highlight w:val="none"/>
          <w:lang w:val="en-US" w:eastAsia="zh-CN"/>
        </w:rPr>
        <w:t>3</w:t>
      </w:r>
    </w:p>
    <w:p w14:paraId="4DA8A888">
      <w:pPr>
        <w:spacing w:beforeLines="50" w:afterLines="50" w:line="5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技术分、商务分、资信及其他分评分标准，共70分</w:t>
      </w:r>
    </w:p>
    <w:tbl>
      <w:tblPr>
        <w:tblStyle w:val="38"/>
        <w:tblW w:w="100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481"/>
        <w:gridCol w:w="1367"/>
        <w:gridCol w:w="6681"/>
        <w:gridCol w:w="810"/>
      </w:tblGrid>
      <w:tr w14:paraId="31845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87E34C8">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14:paraId="192DFD80">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DBF1459">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1CA61DC">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2476A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E5ED802">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8529" w:type="dxa"/>
            <w:gridSpan w:val="3"/>
            <w:tcBorders>
              <w:top w:val="single" w:color="auto" w:sz="4" w:space="0"/>
              <w:left w:val="single" w:color="auto" w:sz="4" w:space="0"/>
              <w:bottom w:val="single" w:color="auto" w:sz="4" w:space="0"/>
              <w:right w:val="single" w:color="auto" w:sz="4" w:space="0"/>
            </w:tcBorders>
            <w:noWrap w:val="0"/>
            <w:vAlign w:val="center"/>
          </w:tcPr>
          <w:p w14:paraId="43D65BC6">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62329F8">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rPr>
              <w:t>分</w:t>
            </w:r>
          </w:p>
        </w:tc>
      </w:tr>
      <w:tr w14:paraId="2790E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BD58AB9">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1" w:type="dxa"/>
            <w:vMerge w:val="restart"/>
            <w:tcBorders>
              <w:top w:val="nil"/>
              <w:left w:val="single" w:color="auto" w:sz="4" w:space="0"/>
              <w:right w:val="single" w:color="auto" w:sz="4" w:space="0"/>
            </w:tcBorders>
            <w:noWrap w:val="0"/>
            <w:vAlign w:val="center"/>
          </w:tcPr>
          <w:p w14:paraId="3D5BAD63">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技术服务水平</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8D011ED">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项目理解</w:t>
            </w:r>
          </w:p>
          <w:p w14:paraId="4CC0BCF8">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情况</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499E8306">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对项目实施思路（0-1分）、技术要求（0-1分）、项目特点（0-1分）的理解情况，根据其科学性、合理性进行打分。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4C9F33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0B5A2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38AFB8B">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1" w:type="dxa"/>
            <w:vMerge w:val="continue"/>
            <w:tcBorders>
              <w:left w:val="single" w:color="auto" w:sz="4" w:space="0"/>
              <w:right w:val="single" w:color="auto" w:sz="4" w:space="0"/>
            </w:tcBorders>
            <w:noWrap w:val="0"/>
            <w:vAlign w:val="center"/>
          </w:tcPr>
          <w:p w14:paraId="04185688">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7E9FE2A">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FCAB146">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施工方案内容齐全、结构完整、表述准确、条理清晰程度，与需求的吻合程度（0-3分），是否涵盖本次工程实施有关的内容（0-3分），包括方案的先进性、可行性和扩展性，进行打分。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92841FB">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7A742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5D5ED1F">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1" w:type="dxa"/>
            <w:vMerge w:val="continue"/>
            <w:tcBorders>
              <w:left w:val="single" w:color="auto" w:sz="4" w:space="0"/>
              <w:right w:val="single" w:color="auto" w:sz="4" w:space="0"/>
            </w:tcBorders>
            <w:noWrap w:val="0"/>
            <w:vAlign w:val="center"/>
          </w:tcPr>
          <w:p w14:paraId="61F18D7A">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00722DE">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施工技术</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4E2F509C">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针对本项目施工环境需要采取的专门的施工技术内容是否科学合理且针对性强等进行打分。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A869172">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72FBA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463186F">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1" w:type="dxa"/>
            <w:vMerge w:val="continue"/>
            <w:tcBorders>
              <w:left w:val="single" w:color="auto" w:sz="4" w:space="0"/>
              <w:right w:val="single" w:color="auto" w:sz="4" w:space="0"/>
            </w:tcBorders>
            <w:noWrap w:val="0"/>
            <w:vAlign w:val="center"/>
          </w:tcPr>
          <w:p w14:paraId="59574759">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91A3BBA">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48C09134">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根据项目工期要求，施工进度安排合理、准确（0-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分），关键节点的控制措施（0-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0778FF8">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0C985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921E127">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1" w:type="dxa"/>
            <w:vMerge w:val="continue"/>
            <w:tcBorders>
              <w:left w:val="single" w:color="auto" w:sz="4" w:space="0"/>
              <w:right w:val="single" w:color="auto" w:sz="4" w:space="0"/>
            </w:tcBorders>
            <w:noWrap w:val="0"/>
            <w:vAlign w:val="center"/>
          </w:tcPr>
          <w:p w14:paraId="59F4377E">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6305A6F">
            <w:pPr>
              <w:widowControl/>
              <w:spacing w:line="24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安全生产应急预案</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1A7D0B5">
            <w:pPr>
              <w:widowControl/>
              <w:spacing w:line="240" w:lineRule="auto"/>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根据磋商响应方的应急预案措施全面性、合理性及可行性等内容进行打分。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7B5315F">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6CAE7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C1BBE23">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81" w:type="dxa"/>
            <w:vMerge w:val="continue"/>
            <w:tcBorders>
              <w:left w:val="single" w:color="auto" w:sz="4" w:space="0"/>
              <w:right w:val="single" w:color="auto" w:sz="4" w:space="0"/>
            </w:tcBorders>
            <w:noWrap w:val="0"/>
            <w:vAlign w:val="center"/>
          </w:tcPr>
          <w:p w14:paraId="16BC37DF">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44E6995E">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255D102">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施工质量目标明确（0-2分），质量控制措施（0-2分）科学、合理、有技术支撑进行打分。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4B3324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605AD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40" w:type="dxa"/>
            <w:vMerge w:val="restart"/>
            <w:tcBorders>
              <w:top w:val="single" w:color="auto" w:sz="4" w:space="0"/>
              <w:left w:val="single" w:color="auto" w:sz="4" w:space="0"/>
              <w:right w:val="single" w:color="auto" w:sz="4" w:space="0"/>
            </w:tcBorders>
            <w:noWrap w:val="0"/>
            <w:vAlign w:val="center"/>
          </w:tcPr>
          <w:p w14:paraId="552D953D">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81" w:type="dxa"/>
            <w:vMerge w:val="continue"/>
            <w:tcBorders>
              <w:left w:val="single" w:color="auto" w:sz="4" w:space="0"/>
              <w:right w:val="single" w:color="auto" w:sz="4" w:space="0"/>
            </w:tcBorders>
            <w:noWrap w:val="0"/>
            <w:vAlign w:val="center"/>
          </w:tcPr>
          <w:p w14:paraId="2EBBFCEC">
            <w:pPr>
              <w:spacing w:line="360" w:lineRule="auto"/>
              <w:rPr>
                <w:rFonts w:ascii="宋体" w:hAnsi="宋体" w:eastAsia="宋体" w:cs="宋体"/>
                <w:color w:val="auto"/>
                <w:sz w:val="24"/>
                <w:szCs w:val="24"/>
                <w:highlight w:val="none"/>
              </w:rPr>
            </w:pPr>
          </w:p>
        </w:tc>
        <w:tc>
          <w:tcPr>
            <w:tcW w:w="1367" w:type="dxa"/>
            <w:vMerge w:val="restart"/>
            <w:tcBorders>
              <w:top w:val="single" w:color="auto" w:sz="4" w:space="0"/>
              <w:left w:val="single" w:color="auto" w:sz="4" w:space="0"/>
              <w:right w:val="single" w:color="auto" w:sz="4" w:space="0"/>
            </w:tcBorders>
            <w:noWrap w:val="0"/>
            <w:vAlign w:val="center"/>
          </w:tcPr>
          <w:p w14:paraId="2BFC653E">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安全、文明施工等的保证措施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846C364">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根据安全、文明施工及市政、市容、环保、消防的保证措施，并具有详细可行的实施内容，进行打分。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7A3448F">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6AA18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740" w:type="dxa"/>
            <w:vMerge w:val="continue"/>
            <w:tcBorders>
              <w:left w:val="single" w:color="auto" w:sz="4" w:space="0"/>
              <w:bottom w:val="single" w:color="auto" w:sz="4" w:space="0"/>
              <w:right w:val="single" w:color="auto" w:sz="4" w:space="0"/>
            </w:tcBorders>
            <w:noWrap w:val="0"/>
            <w:vAlign w:val="center"/>
          </w:tcPr>
          <w:p w14:paraId="626ED003">
            <w:pPr>
              <w:spacing w:line="360" w:lineRule="auto"/>
              <w:jc w:val="center"/>
              <w:rPr>
                <w:rFonts w:ascii="宋体" w:hAnsi="宋体" w:eastAsia="宋体" w:cs="宋体"/>
                <w:color w:val="auto"/>
                <w:sz w:val="24"/>
                <w:szCs w:val="24"/>
                <w:highlight w:val="none"/>
              </w:rPr>
            </w:pPr>
          </w:p>
        </w:tc>
        <w:tc>
          <w:tcPr>
            <w:tcW w:w="481" w:type="dxa"/>
            <w:vMerge w:val="continue"/>
            <w:tcBorders>
              <w:left w:val="single" w:color="auto" w:sz="4" w:space="0"/>
              <w:right w:val="single" w:color="auto" w:sz="4" w:space="0"/>
            </w:tcBorders>
            <w:noWrap w:val="0"/>
            <w:vAlign w:val="center"/>
          </w:tcPr>
          <w:p w14:paraId="5F1E8F3E">
            <w:pPr>
              <w:spacing w:line="360" w:lineRule="auto"/>
              <w:rPr>
                <w:rFonts w:ascii="宋体" w:hAnsi="宋体" w:eastAsia="宋体" w:cs="宋体"/>
                <w:color w:val="auto"/>
                <w:sz w:val="24"/>
                <w:szCs w:val="24"/>
                <w:highlight w:val="none"/>
              </w:rPr>
            </w:pPr>
          </w:p>
        </w:tc>
        <w:tc>
          <w:tcPr>
            <w:tcW w:w="1367" w:type="dxa"/>
            <w:vMerge w:val="continue"/>
            <w:tcBorders>
              <w:left w:val="single" w:color="auto" w:sz="4" w:space="0"/>
              <w:bottom w:val="single" w:color="auto" w:sz="4" w:space="0"/>
              <w:right w:val="single" w:color="auto" w:sz="4" w:space="0"/>
            </w:tcBorders>
            <w:noWrap w:val="0"/>
            <w:vAlign w:val="center"/>
          </w:tcPr>
          <w:p w14:paraId="499B0C80">
            <w:pPr>
              <w:spacing w:line="240" w:lineRule="auto"/>
              <w:jc w:val="center"/>
              <w:rPr>
                <w:rFonts w:ascii="宋体" w:hAnsi="宋体" w:eastAsia="宋体" w:cs="宋体"/>
                <w:color w:val="auto"/>
                <w:sz w:val="24"/>
                <w:szCs w:val="24"/>
                <w:highlight w:val="none"/>
              </w:rPr>
            </w:pP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DF1AA58">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根据施工场地周边情况对扬尘治理、垃圾清运、人员管理、降噪等措施进行打分。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16914B4">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4A3E3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00E8EF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81" w:type="dxa"/>
            <w:vMerge w:val="continue"/>
            <w:tcBorders>
              <w:left w:val="single" w:color="auto" w:sz="4" w:space="0"/>
              <w:right w:val="single" w:color="auto" w:sz="4" w:space="0"/>
            </w:tcBorders>
            <w:noWrap w:val="0"/>
            <w:vAlign w:val="center"/>
          </w:tcPr>
          <w:p w14:paraId="78BB9D8F">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758729D">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施工机具</w:t>
            </w:r>
          </w:p>
          <w:p w14:paraId="291CAC87">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设备</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DF3089B">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施工机具设备的投入能够优于工程实施的需要，且与项目相适应，根据其针对性、合理性进行打分。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6546929">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2552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DD7868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481" w:type="dxa"/>
            <w:vMerge w:val="continue"/>
            <w:tcBorders>
              <w:left w:val="single" w:color="auto" w:sz="4" w:space="0"/>
              <w:right w:val="single" w:color="auto" w:sz="4" w:space="0"/>
            </w:tcBorders>
            <w:noWrap w:val="0"/>
            <w:vAlign w:val="center"/>
          </w:tcPr>
          <w:p w14:paraId="313C2BEA">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F924CE4">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材料设备进场计划</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4B40FE9">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材料设备进场计划及施工计划情况：是否具有详细的材料设备进场计划、时间安排合理（0-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分）、材料数量清点情况（0-1分）、材料质量控制情况（0-1分）进行打分。 </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5094A9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53A51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9C840ED">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481" w:type="dxa"/>
            <w:vMerge w:val="continue"/>
            <w:tcBorders>
              <w:left w:val="single" w:color="auto" w:sz="4" w:space="0"/>
              <w:right w:val="single" w:color="auto" w:sz="4" w:space="0"/>
            </w:tcBorders>
            <w:noWrap w:val="0"/>
            <w:vAlign w:val="center"/>
          </w:tcPr>
          <w:p w14:paraId="62345E49">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F06697D">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布置情况</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8AA1407">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根据磋商响应方提供的材料堆场、施工通道的安排计划是否符合施工现场实际情况，安排是否科学、合理进行打分。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277053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235FD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35587EE">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481" w:type="dxa"/>
            <w:vMerge w:val="continue"/>
            <w:tcBorders>
              <w:left w:val="single" w:color="auto" w:sz="4" w:space="0"/>
              <w:right w:val="single" w:color="auto" w:sz="4" w:space="0"/>
            </w:tcBorders>
            <w:noWrap w:val="0"/>
            <w:vAlign w:val="center"/>
          </w:tcPr>
          <w:p w14:paraId="599B27CA">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8173EC8">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关键工序、复杂环节的相应技术措施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2D45795">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关键工序（0-2分）、复杂环节（0-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分）的相应技术措施内容，根据其是否科学合理，针对性强进行打分。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9B5E3F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7E565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719A6A6">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481" w:type="dxa"/>
            <w:vMerge w:val="continue"/>
            <w:tcBorders>
              <w:left w:val="single" w:color="auto" w:sz="4" w:space="0"/>
              <w:right w:val="single" w:color="auto" w:sz="4" w:space="0"/>
            </w:tcBorders>
            <w:noWrap w:val="0"/>
            <w:vAlign w:val="center"/>
          </w:tcPr>
          <w:p w14:paraId="284E6840">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714D7DF">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施工重点难点分析</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04A545D9">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针对本项目施工重点、难点分析（0-2分），以及提出的重点、难点的相应解决方案（0-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分），根据其分析的全面性，解决方案的针对性，进行打分。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FF3858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7A770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9BDD154">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481" w:type="dxa"/>
            <w:vMerge w:val="continue"/>
            <w:tcBorders>
              <w:left w:val="single" w:color="auto" w:sz="4" w:space="0"/>
              <w:right w:val="single" w:color="auto" w:sz="4" w:space="0"/>
            </w:tcBorders>
            <w:noWrap w:val="0"/>
            <w:vAlign w:val="center"/>
          </w:tcPr>
          <w:p w14:paraId="54C61B2D">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70958EB">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成品保护的保证措施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5EC82DB2">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磋商响应方对成品保护的保证措施，是否合理、科学，具有可操作性，进行打分。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2063B64">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79556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DCB529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81" w:type="dxa"/>
            <w:vMerge w:val="continue"/>
            <w:tcBorders>
              <w:left w:val="single" w:color="auto" w:sz="4" w:space="0"/>
              <w:right w:val="single" w:color="auto" w:sz="4" w:space="0"/>
            </w:tcBorders>
            <w:noWrap w:val="0"/>
            <w:vAlign w:val="center"/>
          </w:tcPr>
          <w:p w14:paraId="6568D520">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0B322CB">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管理协调</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0197C645">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与其他部门或人员的管理和协调具体措施进行打分。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9AA7A33">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63744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D21D19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81" w:type="dxa"/>
            <w:vMerge w:val="continue"/>
            <w:tcBorders>
              <w:left w:val="single" w:color="auto" w:sz="4" w:space="0"/>
              <w:right w:val="single" w:color="auto" w:sz="4" w:space="0"/>
            </w:tcBorders>
            <w:noWrap w:val="0"/>
            <w:vAlign w:val="center"/>
          </w:tcPr>
          <w:p w14:paraId="27AFB957">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FB1981E">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安全承诺</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F4B7AF5">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磋商响应方承诺对拟投入本项目现场的相关人员投保相关人身意外伤害等险种</w:t>
            </w:r>
            <w:r>
              <w:rPr>
                <w:rFonts w:hint="eastAsia"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分。</w:t>
            </w:r>
          </w:p>
          <w:p w14:paraId="6AB35FFF">
            <w:pPr>
              <w:spacing w:line="240" w:lineRule="auto"/>
              <w:rPr>
                <w:rFonts w:hint="default" w:ascii="Times New Roman" w:hAnsi="Times New Roman" w:eastAsia="宋体" w:cs="Times New Roman"/>
                <w:color w:val="auto"/>
                <w:highlight w:val="none"/>
                <w:lang w:val="en-US" w:eastAsia="zh-CN"/>
              </w:rPr>
            </w:pPr>
            <w:r>
              <w:rPr>
                <w:rFonts w:hint="eastAsia" w:ascii="宋体" w:hAnsi="宋体" w:eastAsia="宋体" w:cs="宋体"/>
                <w:color w:val="auto"/>
                <w:sz w:val="24"/>
                <w:szCs w:val="24"/>
                <w:highlight w:val="none"/>
                <w:lang w:val="en-US" w:eastAsia="zh-CN"/>
              </w:rPr>
              <w:t>注：需提供承诺书，未提供不得分。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8A9503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470C9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1F7078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481" w:type="dxa"/>
            <w:vMerge w:val="continue"/>
            <w:tcBorders>
              <w:left w:val="single" w:color="auto" w:sz="4" w:space="0"/>
              <w:bottom w:val="single" w:color="auto" w:sz="4" w:space="0"/>
              <w:right w:val="single" w:color="auto" w:sz="4" w:space="0"/>
            </w:tcBorders>
            <w:noWrap w:val="0"/>
            <w:vAlign w:val="center"/>
          </w:tcPr>
          <w:p w14:paraId="6A0DB74B">
            <w:pPr>
              <w:spacing w:line="360" w:lineRule="auto"/>
              <w:rPr>
                <w:rFonts w:ascii="宋体" w:hAnsi="宋体" w:eastAsia="宋体" w:cs="宋体"/>
                <w:color w:val="auto"/>
                <w:kern w:val="2"/>
                <w:sz w:val="24"/>
                <w:szCs w:val="24"/>
                <w:highlight w:val="none"/>
                <w:lang w:val="en-US" w:eastAsia="zh-CN" w:bidi="ar-SA"/>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EF2E176">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合理化建议</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A8D0DB3">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根据磋商响应方提供的针对本项目合理化建议，是否具有可操作性、针对性，进行打分。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D0C5E5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69BDC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5205DD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8529" w:type="dxa"/>
            <w:gridSpan w:val="3"/>
            <w:tcBorders>
              <w:left w:val="single" w:color="auto" w:sz="4" w:space="0"/>
              <w:bottom w:val="single" w:color="auto" w:sz="4" w:space="0"/>
              <w:right w:val="single" w:color="auto" w:sz="4" w:space="0"/>
            </w:tcBorders>
            <w:noWrap w:val="0"/>
            <w:vAlign w:val="center"/>
          </w:tcPr>
          <w:p w14:paraId="57A09A47">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商务、资信及其他分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00E8E7D">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r>
      <w:tr w14:paraId="06512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CA2BC2C">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481" w:type="dxa"/>
            <w:vMerge w:val="restart"/>
            <w:tcBorders>
              <w:top w:val="single" w:color="auto" w:sz="4" w:space="0"/>
              <w:left w:val="single" w:color="auto" w:sz="4" w:space="0"/>
              <w:bottom w:val="single" w:color="auto" w:sz="4" w:space="0"/>
              <w:right w:val="single" w:color="auto" w:sz="4" w:space="0"/>
            </w:tcBorders>
            <w:noWrap w:val="0"/>
            <w:vAlign w:val="center"/>
          </w:tcPr>
          <w:p w14:paraId="5ADC6C9F">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A25A8B1">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体系认证</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20F7FE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磋商响应方具有质量管理体系认证证书、环境管理体系认证证书、职业健康安全管理认证证书，且在有效期内，每个证书得1分，最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得3分。</w:t>
            </w:r>
          </w:p>
          <w:p w14:paraId="644C9697">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注：提供有效的证书复印件</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该证书在国家市场监督管理总局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全国认证认可信息公共服务平台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http://cx.cnca.cn</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上状态为“有效”的查询结果截图，以上两者材料缺一不得分</w:t>
            </w:r>
            <w:r>
              <w:rPr>
                <w:rFonts w:hint="eastAsia" w:ascii="宋体" w:hAnsi="宋体" w:eastAsia="宋体" w:cs="宋体"/>
                <w:color w:val="auto"/>
                <w:sz w:val="24"/>
                <w:szCs w:val="24"/>
                <w:highlight w:val="none"/>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9758156">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77A56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2725D57">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481" w:type="dxa"/>
            <w:vMerge w:val="continue"/>
            <w:tcBorders>
              <w:top w:val="single" w:color="auto" w:sz="4" w:space="0"/>
              <w:left w:val="single" w:color="auto" w:sz="4" w:space="0"/>
              <w:right w:val="single" w:color="auto" w:sz="4" w:space="0"/>
            </w:tcBorders>
            <w:noWrap w:val="0"/>
            <w:vAlign w:val="center"/>
          </w:tcPr>
          <w:p w14:paraId="1E1BB557">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F1F77F2">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4189311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年1月以来有同类项目业绩的，每个业绩得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4EED0FB7">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提供中标通知书或合同复印件</w:t>
            </w:r>
            <w:r>
              <w:rPr>
                <w:rFonts w:hint="eastAsia" w:ascii="宋体" w:hAnsi="宋体" w:eastAsia="宋体" w:cs="宋体"/>
                <w:b/>
                <w:bCs/>
                <w:color w:val="auto"/>
                <w:sz w:val="24"/>
                <w:szCs w:val="24"/>
                <w:highlight w:val="none"/>
                <w:lang w:eastAsia="zh-CN"/>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077F5A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5C1D1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jc w:val="center"/>
        </w:trPr>
        <w:tc>
          <w:tcPr>
            <w:tcW w:w="740" w:type="dxa"/>
            <w:vMerge w:val="restart"/>
            <w:tcBorders>
              <w:top w:val="single" w:color="auto" w:sz="4" w:space="0"/>
              <w:left w:val="single" w:color="auto" w:sz="4" w:space="0"/>
              <w:right w:val="single" w:color="auto" w:sz="4" w:space="0"/>
            </w:tcBorders>
            <w:noWrap w:val="0"/>
            <w:vAlign w:val="center"/>
          </w:tcPr>
          <w:p w14:paraId="087B60CC">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w:t>
            </w:r>
          </w:p>
        </w:tc>
        <w:tc>
          <w:tcPr>
            <w:tcW w:w="481" w:type="dxa"/>
            <w:vMerge w:val="continue"/>
            <w:tcBorders>
              <w:left w:val="single" w:color="auto" w:sz="4" w:space="0"/>
              <w:right w:val="single" w:color="auto" w:sz="4" w:space="0"/>
            </w:tcBorders>
            <w:noWrap w:val="0"/>
            <w:vAlign w:val="center"/>
          </w:tcPr>
          <w:p w14:paraId="4EC02A24">
            <w:pPr>
              <w:spacing w:line="360" w:lineRule="auto"/>
              <w:rPr>
                <w:rFonts w:ascii="宋体" w:hAnsi="宋体" w:eastAsia="宋体" w:cs="宋体"/>
                <w:color w:val="auto"/>
                <w:sz w:val="24"/>
                <w:szCs w:val="24"/>
                <w:highlight w:val="none"/>
              </w:rPr>
            </w:pPr>
          </w:p>
        </w:tc>
        <w:tc>
          <w:tcPr>
            <w:tcW w:w="1367" w:type="dxa"/>
            <w:vMerge w:val="restart"/>
            <w:tcBorders>
              <w:top w:val="single" w:color="auto" w:sz="4" w:space="0"/>
              <w:left w:val="single" w:color="auto" w:sz="4" w:space="0"/>
              <w:bottom w:val="single" w:color="auto" w:sz="4" w:space="0"/>
              <w:right w:val="single" w:color="auto" w:sz="4" w:space="0"/>
            </w:tcBorders>
            <w:noWrap w:val="0"/>
            <w:vAlign w:val="center"/>
          </w:tcPr>
          <w:p w14:paraId="7C22978F">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售后保障</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1837E1A">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根据磋商响应方提供的售后服务方案、售后服务承诺的可行性、完整性进行打分。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340056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277AE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740" w:type="dxa"/>
            <w:vMerge w:val="continue"/>
            <w:tcBorders>
              <w:left w:val="single" w:color="auto" w:sz="4" w:space="0"/>
              <w:bottom w:val="single" w:color="auto" w:sz="4" w:space="0"/>
              <w:right w:val="single" w:color="auto" w:sz="4" w:space="0"/>
            </w:tcBorders>
            <w:noWrap w:val="0"/>
            <w:vAlign w:val="center"/>
          </w:tcPr>
          <w:p w14:paraId="2ED9D928">
            <w:pPr>
              <w:spacing w:line="360" w:lineRule="auto"/>
              <w:jc w:val="center"/>
              <w:rPr>
                <w:rFonts w:hint="default" w:ascii="宋体" w:hAnsi="宋体" w:eastAsia="宋体" w:cs="宋体"/>
                <w:color w:val="auto"/>
                <w:kern w:val="2"/>
                <w:sz w:val="24"/>
                <w:szCs w:val="24"/>
                <w:highlight w:val="none"/>
                <w:lang w:val="en-US" w:eastAsia="zh-CN" w:bidi="ar-SA"/>
              </w:rPr>
            </w:pPr>
          </w:p>
        </w:tc>
        <w:tc>
          <w:tcPr>
            <w:tcW w:w="481" w:type="dxa"/>
            <w:vMerge w:val="continue"/>
            <w:tcBorders>
              <w:left w:val="single" w:color="auto" w:sz="4" w:space="0"/>
              <w:right w:val="single" w:color="auto" w:sz="4" w:space="0"/>
            </w:tcBorders>
            <w:noWrap w:val="0"/>
            <w:vAlign w:val="center"/>
          </w:tcPr>
          <w:p w14:paraId="20FDEB2D">
            <w:pPr>
              <w:spacing w:line="360" w:lineRule="auto"/>
              <w:rPr>
                <w:rFonts w:ascii="宋体" w:hAnsi="宋体" w:eastAsia="宋体" w:cs="宋体"/>
                <w:color w:val="auto"/>
                <w:sz w:val="24"/>
                <w:szCs w:val="24"/>
                <w:highlight w:val="none"/>
              </w:rPr>
            </w:pPr>
          </w:p>
        </w:tc>
        <w:tc>
          <w:tcPr>
            <w:tcW w:w="1367" w:type="dxa"/>
            <w:vMerge w:val="continue"/>
            <w:tcBorders>
              <w:top w:val="single" w:color="auto" w:sz="4" w:space="0"/>
              <w:left w:val="single" w:color="auto" w:sz="4" w:space="0"/>
              <w:bottom w:val="single" w:color="auto" w:sz="4" w:space="0"/>
              <w:right w:val="single" w:color="auto" w:sz="4" w:space="0"/>
            </w:tcBorders>
            <w:noWrap w:val="0"/>
            <w:vAlign w:val="center"/>
          </w:tcPr>
          <w:p w14:paraId="206AD290">
            <w:pPr>
              <w:spacing w:line="240" w:lineRule="auto"/>
              <w:jc w:val="center"/>
              <w:rPr>
                <w:rFonts w:ascii="宋体" w:hAnsi="宋体" w:eastAsia="宋体" w:cs="宋体"/>
                <w:color w:val="auto"/>
                <w:sz w:val="24"/>
                <w:szCs w:val="24"/>
                <w:highlight w:val="none"/>
              </w:rPr>
            </w:pP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216B376">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根据磋商响应方提供售后服务的便捷性、售后服务响应时间的及时性进行打分。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5C107D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r>
    </w:tbl>
    <w:p w14:paraId="1C7941B4">
      <w:pPr>
        <w:spacing w:beforeLines="50" w:afterLines="50" w:line="360" w:lineRule="auto"/>
        <w:rPr>
          <w:rFonts w:hint="eastAsia" w:ascii="宋体" w:hAnsi="宋体"/>
          <w:color w:val="auto"/>
          <w:sz w:val="24"/>
          <w:highlight w:val="none"/>
        </w:rPr>
      </w:pPr>
    </w:p>
    <w:p w14:paraId="1CCF2AB2">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1.1开启参加磋商的供应商的第一次报价。</w:t>
      </w:r>
    </w:p>
    <w:p w14:paraId="3D1618B6">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1.2磋商小组会对上述供应商的报价文件进行评审。</w:t>
      </w:r>
    </w:p>
    <w:p w14:paraId="1A4D1CBF">
      <w:pPr>
        <w:spacing w:beforeLines="50" w:afterLines="50" w:line="24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1.3第一次报价评审有效的供应商在规定时间在线进行最终报价（如果出现异常，无法通过在线提交的，供应商应及时联系采购代理机构，通过指定的电子邮箱提供（最终报价表格式见附件，指定邮箱：</w:t>
      </w:r>
      <w:r>
        <w:rPr>
          <w:rFonts w:hint="eastAsia" w:ascii="宋体" w:hAnsi="宋体" w:eastAsia="宋体" w:cs="Times New Roman"/>
          <w:color w:val="auto"/>
          <w:sz w:val="24"/>
          <w:highlight w:val="none"/>
          <w:lang w:val="en-US" w:eastAsia="zh-CN"/>
        </w:rPr>
        <w:t>376459897</w:t>
      </w:r>
      <w:r>
        <w:rPr>
          <w:rFonts w:hint="eastAsia" w:ascii="宋体" w:hAnsi="宋体" w:eastAsia="宋体" w:cs="Times New Roman"/>
          <w:color w:val="auto"/>
          <w:sz w:val="24"/>
          <w:highlight w:val="none"/>
          <w:lang w:eastAsia="zh-CN"/>
        </w:rPr>
        <w:t>@qq.com</w:t>
      </w:r>
      <w:r>
        <w:rPr>
          <w:rFonts w:hint="eastAsia" w:ascii="宋体" w:hAnsi="宋体" w:eastAsia="宋体" w:cs="Times New Roman"/>
          <w:color w:val="auto"/>
          <w:sz w:val="24"/>
          <w:highlight w:val="none"/>
        </w:rPr>
        <w:t>）。</w:t>
      </w:r>
    </w:p>
    <w:p w14:paraId="08E55FD3">
      <w:pPr>
        <w:spacing w:beforeLines="50" w:afterLines="50" w:line="24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1.4磋商小组对供应商的最终报价进行评审，磋商小组认为供应商的报价明显低于其他通过符合性审查供应商的报价，有可能影响服务质量或者不能诚信履约的，要求其在评审系统合理的时间内提供书面说明，必要时提交相关证明材料；供应商不能证明其报价合理性的，磋商小组应当将其作为无效磋商响应处理。</w:t>
      </w:r>
    </w:p>
    <w:p w14:paraId="41CF2B78">
      <w:pPr>
        <w:spacing w:beforeLines="50" w:afterLines="50" w:line="24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1.5磋商小组对最终报价审核有效的供应商，采用综合评分法进行综合评分（详见评分细则）。</w:t>
      </w:r>
    </w:p>
    <w:p w14:paraId="3676F529">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1.6磋商小组根据评审相关情况作出评审报告。</w:t>
      </w:r>
    </w:p>
    <w:p w14:paraId="658624EA">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1.7磋商结束后，在线公布最终的评审结果和成交供应商。</w:t>
      </w:r>
    </w:p>
    <w:p w14:paraId="2F64A3CC">
      <w:pPr>
        <w:spacing w:beforeLines="50" w:afterLines="50" w:line="240" w:lineRule="auto"/>
        <w:ind w:firstLine="482" w:firstLineChars="200"/>
        <w:rPr>
          <w:rFonts w:ascii="宋体" w:hAnsi="宋体"/>
          <w:b/>
          <w:bCs/>
          <w:color w:val="auto"/>
          <w:sz w:val="24"/>
          <w:highlight w:val="none"/>
        </w:rPr>
      </w:pPr>
      <w:r>
        <w:rPr>
          <w:rFonts w:hint="eastAsia" w:ascii="宋体" w:hAnsi="宋体"/>
          <w:b/>
          <w:bCs/>
          <w:color w:val="auto"/>
          <w:sz w:val="24"/>
          <w:highlight w:val="none"/>
        </w:rPr>
        <w:t>特别说明：“政采云”如对电子化磋商程序有调整的，按调整后的程序操作。</w:t>
      </w:r>
    </w:p>
    <w:p w14:paraId="09407F03">
      <w:pPr>
        <w:pStyle w:val="4"/>
        <w:keepNext w:val="0"/>
        <w:keepLines w:val="0"/>
        <w:pageBreakBefore/>
        <w:numPr>
          <w:ilvl w:val="0"/>
          <w:numId w:val="9"/>
        </w:numPr>
        <w:spacing w:line="240" w:lineRule="auto"/>
        <w:jc w:val="center"/>
        <w:rPr>
          <w:rFonts w:ascii="宋体" w:hAnsi="宋体" w:cs="宋体"/>
          <w:bCs w:val="0"/>
          <w:color w:val="auto"/>
          <w:sz w:val="32"/>
          <w:szCs w:val="32"/>
          <w:highlight w:val="none"/>
        </w:rPr>
      </w:pPr>
      <w:bookmarkStart w:id="38" w:name="_Toc13329"/>
      <w:r>
        <w:rPr>
          <w:rFonts w:hint="eastAsia" w:ascii="宋体" w:hAnsi="宋体" w:cs="宋体"/>
          <w:bCs w:val="0"/>
          <w:color w:val="auto"/>
          <w:sz w:val="32"/>
          <w:szCs w:val="32"/>
          <w:highlight w:val="none"/>
        </w:rPr>
        <w:t>合同主要条款</w:t>
      </w:r>
      <w:bookmarkEnd w:id="35"/>
      <w:bookmarkEnd w:id="38"/>
    </w:p>
    <w:p w14:paraId="1896C177">
      <w:pPr>
        <w:pStyle w:val="12"/>
        <w:ind w:left="0" w:leftChars="0" w:firstLine="0" w:firstLineChars="0"/>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画溪初中食堂及周边道路改造项目</w:t>
      </w:r>
    </w:p>
    <w:p w14:paraId="070942E5">
      <w:pPr>
        <w:pStyle w:val="12"/>
        <w:ind w:left="0" w:leftChars="0" w:firstLine="0" w:firstLineChars="0"/>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44"/>
          <w:szCs w:val="44"/>
          <w:highlight w:val="none"/>
          <w:lang w:val="en-US" w:eastAsia="zh-CN"/>
        </w:rPr>
        <w:t>（磋商编号：</w:t>
      </w:r>
      <w:r>
        <w:rPr>
          <w:rFonts w:hint="eastAsia" w:ascii="宋体" w:hAnsi="宋体" w:cs="宋体"/>
          <w:b/>
          <w:bCs/>
          <w:color w:val="auto"/>
          <w:kern w:val="0"/>
          <w:sz w:val="32"/>
          <w:szCs w:val="32"/>
          <w:highlight w:val="none"/>
          <w:lang w:val="en-US" w:eastAsia="zh-CN"/>
        </w:rPr>
        <w:t>JHZZGC2025-003</w:t>
      </w:r>
      <w:r>
        <w:rPr>
          <w:rFonts w:hint="eastAsia" w:ascii="仿宋" w:hAnsi="仿宋" w:eastAsia="仿宋" w:cs="仿宋"/>
          <w:b/>
          <w:color w:val="auto"/>
          <w:sz w:val="44"/>
          <w:szCs w:val="44"/>
          <w:highlight w:val="none"/>
          <w:lang w:val="en-US" w:eastAsia="zh-CN"/>
        </w:rPr>
        <w:t>）</w:t>
      </w:r>
    </w:p>
    <w:p w14:paraId="68050C7D">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p>
    <w:p w14:paraId="6E1F34A4">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施</w:t>
      </w:r>
    </w:p>
    <w:p w14:paraId="7863B6A3">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工</w:t>
      </w:r>
    </w:p>
    <w:p w14:paraId="7ED5E749">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合</w:t>
      </w:r>
    </w:p>
    <w:p w14:paraId="696469E7">
      <w:pPr>
        <w:tabs>
          <w:tab w:val="left" w:pos="0"/>
        </w:tabs>
        <w:adjustRightInd w:val="0"/>
        <w:snapToGrid w:val="0"/>
        <w:spacing w:line="360" w:lineRule="auto"/>
        <w:jc w:val="center"/>
        <w:rPr>
          <w:rFonts w:hint="eastAsia" w:ascii="宋体" w:hAnsi="宋体" w:eastAsia="宋体" w:cs="Times New Roman"/>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同</w:t>
      </w:r>
    </w:p>
    <w:p w14:paraId="1ED35661">
      <w:pPr>
        <w:autoSpaceDE w:val="0"/>
        <w:snapToGrid w:val="0"/>
        <w:spacing w:line="440" w:lineRule="exact"/>
        <w:ind w:firstLine="1440" w:firstLineChars="200"/>
        <w:rPr>
          <w:rFonts w:hint="eastAsia" w:ascii="宋体" w:hAnsi="宋体" w:eastAsia="宋体" w:cs="Times New Roman"/>
          <w:color w:val="auto"/>
          <w:sz w:val="72"/>
          <w:szCs w:val="72"/>
          <w:highlight w:val="none"/>
        </w:rPr>
      </w:pPr>
    </w:p>
    <w:p w14:paraId="5DC3D832">
      <w:pPr>
        <w:autoSpaceDE w:val="0"/>
        <w:snapToGrid w:val="0"/>
        <w:spacing w:line="440" w:lineRule="exact"/>
        <w:ind w:firstLine="482" w:firstLineChars="200"/>
        <w:rPr>
          <w:rFonts w:hint="eastAsia" w:ascii="宋体" w:hAnsi="宋体" w:eastAsia="宋体" w:cs="Times New Roman"/>
          <w:b/>
          <w:color w:val="auto"/>
          <w:sz w:val="24"/>
          <w:szCs w:val="24"/>
          <w:highlight w:val="none"/>
        </w:rPr>
      </w:pPr>
    </w:p>
    <w:p w14:paraId="5212BEAD">
      <w:pPr>
        <w:autoSpaceDE w:val="0"/>
        <w:snapToGrid w:val="0"/>
        <w:spacing w:line="440" w:lineRule="exact"/>
        <w:ind w:firstLine="482" w:firstLineChars="200"/>
        <w:rPr>
          <w:rFonts w:hint="eastAsia" w:ascii="宋体" w:hAnsi="宋体" w:eastAsia="宋体" w:cs="Times New Roman"/>
          <w:b/>
          <w:color w:val="auto"/>
          <w:sz w:val="24"/>
          <w:szCs w:val="24"/>
          <w:highlight w:val="none"/>
        </w:rPr>
      </w:pPr>
    </w:p>
    <w:p w14:paraId="56E8B024">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004E0F91">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甲方</w:t>
      </w:r>
      <w:r>
        <w:rPr>
          <w:rFonts w:hint="eastAsia" w:ascii="仿宋" w:hAnsi="仿宋" w:eastAsia="仿宋" w:cs="仿宋"/>
          <w:b/>
          <w:color w:val="auto"/>
          <w:sz w:val="36"/>
          <w:szCs w:val="36"/>
          <w:highlight w:val="none"/>
        </w:rPr>
        <w:t>：</w:t>
      </w:r>
    </w:p>
    <w:p w14:paraId="757751A4">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乙方</w:t>
      </w:r>
      <w:r>
        <w:rPr>
          <w:rFonts w:hint="eastAsia" w:ascii="仿宋" w:hAnsi="仿宋" w:eastAsia="仿宋" w:cs="仿宋"/>
          <w:b/>
          <w:color w:val="auto"/>
          <w:sz w:val="36"/>
          <w:szCs w:val="36"/>
          <w:highlight w:val="none"/>
        </w:rPr>
        <w:t>：</w:t>
      </w:r>
    </w:p>
    <w:p w14:paraId="627EB268">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日  期： 年  月  日</w:t>
      </w:r>
    </w:p>
    <w:p w14:paraId="7D67D404">
      <w:pPr>
        <w:pStyle w:val="3"/>
        <w:rPr>
          <w:rFonts w:hint="eastAsia"/>
          <w:highlight w:val="none"/>
          <w:lang w:val="en-US" w:eastAsia="zh-CN"/>
        </w:rPr>
      </w:pPr>
    </w:p>
    <w:p w14:paraId="63B16AA4">
      <w:pPr>
        <w:rPr>
          <w:highlight w:val="none"/>
        </w:rPr>
      </w:pPr>
    </w:p>
    <w:p w14:paraId="5CE87EAF">
      <w:pPr>
        <w:spacing w:line="360" w:lineRule="auto"/>
        <w:ind w:firstLine="482" w:firstLineChars="200"/>
        <w:rPr>
          <w:rFonts w:hint="default" w:ascii="宋体" w:hAnsi="宋体" w:eastAsia="宋体" w:cs="Times New Roman"/>
          <w:b/>
          <w:color w:val="auto"/>
          <w:sz w:val="24"/>
          <w:szCs w:val="24"/>
          <w:highlight w:val="none"/>
          <w:u w:val="single"/>
          <w:lang w:val="en-US" w:eastAsia="zh-CN"/>
        </w:rPr>
      </w:pPr>
      <w:bookmarkStart w:id="39" w:name="_Toc351203481"/>
      <w:r>
        <w:rPr>
          <w:rFonts w:hint="eastAsia" w:ascii="宋体" w:hAnsi="宋体" w:eastAsia="宋体" w:cs="Times New Roman"/>
          <w:b/>
          <w:color w:val="auto"/>
          <w:sz w:val="24"/>
          <w:szCs w:val="24"/>
          <w:highlight w:val="none"/>
          <w:lang w:val="en-US" w:eastAsia="zh-CN"/>
        </w:rPr>
        <w:t>甲方</w:t>
      </w:r>
      <w:r>
        <w:rPr>
          <w:rFonts w:ascii="宋体" w:hAnsi="宋体" w:eastAsia="宋体" w:cs="Times New Roman"/>
          <w:b/>
          <w:color w:val="auto"/>
          <w:sz w:val="24"/>
          <w:szCs w:val="24"/>
          <w:highlight w:val="none"/>
        </w:rPr>
        <w:t>（全称）：</w:t>
      </w:r>
      <w:r>
        <w:rPr>
          <w:rFonts w:hint="eastAsia" w:ascii="宋体" w:hAnsi="宋体" w:eastAsia="宋体" w:cs="Times New Roman"/>
          <w:b/>
          <w:color w:val="auto"/>
          <w:sz w:val="24"/>
          <w:szCs w:val="24"/>
          <w:highlight w:val="none"/>
          <w:u w:val="single"/>
          <w:lang w:val="en-US" w:eastAsia="zh-CN"/>
        </w:rPr>
        <w:t xml:space="preserve">                        </w:t>
      </w:r>
    </w:p>
    <w:p w14:paraId="4B4197CF">
      <w:pPr>
        <w:spacing w:line="360" w:lineRule="auto"/>
        <w:ind w:firstLine="482" w:firstLineChars="200"/>
        <w:rPr>
          <w:rFonts w:hint="eastAsia" w:ascii="宋体" w:hAnsi="宋体" w:eastAsia="宋体" w:cs="Times New Roman"/>
          <w:b/>
          <w:color w:val="auto"/>
          <w:sz w:val="24"/>
          <w:szCs w:val="24"/>
          <w:highlight w:val="none"/>
          <w:u w:val="single"/>
          <w:lang w:eastAsia="zh-CN"/>
        </w:rPr>
      </w:pPr>
      <w:r>
        <w:rPr>
          <w:rFonts w:hint="eastAsia" w:ascii="宋体" w:hAnsi="宋体" w:eastAsia="宋体" w:cs="Times New Roman"/>
          <w:b/>
          <w:color w:val="auto"/>
          <w:sz w:val="24"/>
          <w:szCs w:val="24"/>
          <w:highlight w:val="none"/>
          <w:lang w:val="en-US" w:eastAsia="zh-CN"/>
        </w:rPr>
        <w:t>乙方</w:t>
      </w:r>
      <w:r>
        <w:rPr>
          <w:rFonts w:ascii="宋体" w:hAnsi="宋体" w:eastAsia="宋体" w:cs="Times New Roman"/>
          <w:b/>
          <w:color w:val="auto"/>
          <w:sz w:val="24"/>
          <w:szCs w:val="24"/>
          <w:highlight w:val="none"/>
        </w:rPr>
        <w:t>（全称）：</w:t>
      </w:r>
      <w:r>
        <w:rPr>
          <w:rFonts w:hint="eastAsia" w:ascii="宋体" w:hAnsi="宋体" w:eastAsia="宋体" w:cs="Times New Roman"/>
          <w:b/>
          <w:color w:val="auto"/>
          <w:sz w:val="24"/>
          <w:szCs w:val="24"/>
          <w:highlight w:val="none"/>
          <w:u w:val="single"/>
          <w:lang w:val="en-US" w:eastAsia="zh-CN"/>
        </w:rPr>
        <w:t xml:space="preserve">                        </w:t>
      </w:r>
      <w:r>
        <w:rPr>
          <w:rFonts w:hint="eastAsia" w:ascii="宋体" w:hAnsi="宋体" w:eastAsia="宋体" w:cs="Times New Roman"/>
          <w:b/>
          <w:color w:val="auto"/>
          <w:sz w:val="24"/>
          <w:szCs w:val="24"/>
          <w:highlight w:val="none"/>
          <w:u w:val="single"/>
          <w:lang w:eastAsia="zh-CN"/>
        </w:rPr>
        <w:t xml:space="preserve"> </w:t>
      </w:r>
    </w:p>
    <w:p w14:paraId="0512E896">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根据《中华人民共和国</w:t>
      </w:r>
      <w:r>
        <w:rPr>
          <w:rFonts w:hint="eastAsia" w:ascii="宋体" w:hAnsi="宋体" w:eastAsia="宋体" w:cs="Times New Roman"/>
          <w:color w:val="auto"/>
          <w:sz w:val="24"/>
          <w:szCs w:val="24"/>
          <w:highlight w:val="none"/>
          <w:lang w:val="en-US" w:eastAsia="zh-CN"/>
        </w:rPr>
        <w:t>民法典</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《中华人民共和国政府采购法》、</w:t>
      </w:r>
      <w:r>
        <w:rPr>
          <w:rFonts w:ascii="宋体" w:hAnsi="宋体" w:eastAsia="宋体" w:cs="Times New Roman"/>
          <w:color w:val="auto"/>
          <w:sz w:val="24"/>
          <w:szCs w:val="24"/>
          <w:highlight w:val="none"/>
        </w:rPr>
        <w:t>《中华人民共和国建筑法》及有关法律</w:t>
      </w:r>
      <w:r>
        <w:rPr>
          <w:rFonts w:ascii="宋体" w:hAnsi="宋体" w:eastAsia="宋体" w:cs="Times New Roman"/>
          <w:color w:val="auto"/>
          <w:sz w:val="24"/>
          <w:szCs w:val="24"/>
          <w:highlight w:val="none"/>
          <w:u w:val="none"/>
        </w:rPr>
        <w:t>规定，遵循平等、自愿、公平和诚实信用的原则，双方就</w:t>
      </w:r>
      <w:r>
        <w:rPr>
          <w:rFonts w:hint="eastAsia" w:ascii="宋体" w:hAnsi="宋体" w:eastAsia="宋体" w:cs="Times New Roman"/>
          <w:color w:val="auto"/>
          <w:sz w:val="24"/>
          <w:szCs w:val="24"/>
          <w:highlight w:val="none"/>
          <w:u w:val="single"/>
          <w:lang w:eastAsia="zh-CN"/>
        </w:rPr>
        <w:t>画溪初中食堂及周边道路改造项目</w:t>
      </w:r>
      <w:r>
        <w:rPr>
          <w:rFonts w:ascii="宋体" w:hAnsi="宋体" w:eastAsia="宋体" w:cs="Times New Roman"/>
          <w:color w:val="auto"/>
          <w:sz w:val="24"/>
          <w:szCs w:val="24"/>
          <w:highlight w:val="none"/>
          <w:u w:val="none"/>
        </w:rPr>
        <w:t>施工</w:t>
      </w:r>
      <w:r>
        <w:rPr>
          <w:rFonts w:ascii="宋体" w:hAnsi="宋体" w:eastAsia="宋体" w:cs="Times New Roman"/>
          <w:color w:val="auto"/>
          <w:sz w:val="24"/>
          <w:szCs w:val="24"/>
          <w:highlight w:val="none"/>
        </w:rPr>
        <w:t>及有关事项协商一致</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共同达成如下协议：</w:t>
      </w:r>
    </w:p>
    <w:p w14:paraId="5869950D">
      <w:pPr>
        <w:pStyle w:val="7"/>
        <w:spacing w:before="120" w:after="120" w:line="440" w:lineRule="exact"/>
        <w:rPr>
          <w:rFonts w:hint="default" w:ascii="宋体" w:hAnsi="宋体" w:eastAsia="宋体"/>
          <w:b w:val="0"/>
          <w:color w:val="auto"/>
          <w:sz w:val="24"/>
          <w:szCs w:val="24"/>
          <w:highlight w:val="none"/>
          <w:lang w:val="en-US" w:eastAsia="zh-CN"/>
        </w:rPr>
      </w:pPr>
      <w:r>
        <w:rPr>
          <w:rFonts w:hint="eastAsia" w:ascii="宋体" w:hAnsi="宋体"/>
          <w:b/>
          <w:bCs w:val="0"/>
          <w:color w:val="auto"/>
          <w:sz w:val="24"/>
          <w:szCs w:val="24"/>
          <w:highlight w:val="none"/>
          <w:lang w:val="en-US" w:eastAsia="zh-CN"/>
        </w:rPr>
        <w:t>一、合同文件</w:t>
      </w:r>
    </w:p>
    <w:p w14:paraId="3F722E9D">
      <w:pPr>
        <w:pStyle w:val="7"/>
        <w:spacing w:before="120" w:after="120" w:line="440" w:lineRule="exact"/>
        <w:ind w:firstLine="480" w:firstLineChars="200"/>
        <w:rPr>
          <w:rFonts w:ascii="宋体" w:hAnsi="宋体" w:eastAsia="宋体" w:cs="Times New Roman"/>
          <w:b w:val="0"/>
          <w:kern w:val="2"/>
          <w:sz w:val="24"/>
          <w:szCs w:val="24"/>
          <w:highlight w:val="none"/>
          <w:lang w:val="en-US" w:eastAsia="zh-CN" w:bidi="ar-SA"/>
        </w:rPr>
      </w:pPr>
      <w:r>
        <w:rPr>
          <w:rFonts w:hint="eastAsia" w:ascii="宋体" w:hAnsi="宋体" w:eastAsia="宋体" w:cs="Times New Roman"/>
          <w:b w:val="0"/>
          <w:kern w:val="2"/>
          <w:sz w:val="24"/>
          <w:szCs w:val="24"/>
          <w:highlight w:val="none"/>
          <w:lang w:val="en-US" w:eastAsia="zh-CN" w:bidi="ar-SA"/>
        </w:rPr>
        <w:t>磋商文件、磋商响应文件、技术澄清及询标答复的所有内容是构成合同不可分割的部分，与本合同具有同等法律效力，当文件之间、文件与本合同之间有相互矛盾之处，以有利于甲方之解释为准。</w:t>
      </w:r>
    </w:p>
    <w:p w14:paraId="4C80FA8F">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二、工程概况</w:t>
      </w:r>
      <w:bookmarkEnd w:id="39"/>
    </w:p>
    <w:p w14:paraId="5B2BD07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新宋体"/>
          <w:sz w:val="24"/>
          <w:highlight w:val="none"/>
          <w:lang w:eastAsia="zh-CN"/>
        </w:rPr>
      </w:pPr>
      <w:r>
        <w:rPr>
          <w:rFonts w:hint="eastAsia" w:ascii="宋体" w:hAnsi="宋体" w:cs="新宋体"/>
          <w:sz w:val="24"/>
          <w:highlight w:val="none"/>
        </w:rPr>
        <w:t>建设单位：</w:t>
      </w:r>
      <w:r>
        <w:rPr>
          <w:rFonts w:hint="eastAsia" w:ascii="宋体" w:hAnsi="宋体" w:cs="新宋体"/>
          <w:sz w:val="24"/>
          <w:highlight w:val="none"/>
          <w:lang w:eastAsia="zh-CN"/>
        </w:rPr>
        <w:t>东阳市画水镇画溪初级中学</w:t>
      </w:r>
    </w:p>
    <w:p w14:paraId="0113029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新宋体"/>
          <w:sz w:val="24"/>
          <w:highlight w:val="none"/>
          <w:lang w:val="en-US"/>
        </w:rPr>
      </w:pPr>
      <w:r>
        <w:rPr>
          <w:rFonts w:hint="eastAsia" w:ascii="宋体" w:hAnsi="宋体" w:cs="新宋体"/>
          <w:sz w:val="24"/>
          <w:highlight w:val="none"/>
        </w:rPr>
        <w:t>建设地点：</w:t>
      </w:r>
      <w:r>
        <w:rPr>
          <w:rFonts w:hint="eastAsia" w:ascii="宋体" w:hAnsi="宋体" w:cs="新宋体"/>
          <w:sz w:val="24"/>
          <w:highlight w:val="none"/>
          <w:lang w:eastAsia="zh-CN"/>
        </w:rPr>
        <w:t>东阳市画水镇画溪初级中学</w:t>
      </w:r>
    </w:p>
    <w:p w14:paraId="2A12DA0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新宋体"/>
          <w:sz w:val="24"/>
          <w:highlight w:val="none"/>
        </w:rPr>
      </w:pPr>
      <w:r>
        <w:rPr>
          <w:rFonts w:hint="eastAsia" w:ascii="宋体" w:hAnsi="宋体" w:cs="新宋体"/>
          <w:sz w:val="24"/>
          <w:highlight w:val="none"/>
        </w:rPr>
        <w:t>工程规模：</w:t>
      </w:r>
      <w:r>
        <w:rPr>
          <w:rFonts w:hint="eastAsia" w:ascii="宋体" w:hAnsi="宋体" w:eastAsia="宋体" w:cs="宋体"/>
          <w:sz w:val="24"/>
          <w:szCs w:val="24"/>
          <w:highlight w:val="none"/>
        </w:rPr>
        <w:t>本工程为画溪初中食堂及周边道路改造项目，主要内容：食堂拆建约199平方米、食堂 屋面局部翻新约362平方米、食堂外立面改造约839平方米，新建连廊约212平方米、安装 工程等内容</w:t>
      </w:r>
      <w:r>
        <w:rPr>
          <w:rFonts w:hint="eastAsia" w:ascii="宋体" w:hAnsi="宋体" w:cs="新宋体"/>
          <w:sz w:val="24"/>
          <w:highlight w:val="none"/>
        </w:rPr>
        <w:t>。</w:t>
      </w:r>
    </w:p>
    <w:p w14:paraId="56665F67">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 xml:space="preserve"> </w:t>
      </w:r>
      <w:bookmarkStart w:id="40" w:name="_Toc351203482"/>
      <w:r>
        <w:rPr>
          <w:rFonts w:hint="eastAsia" w:ascii="宋体" w:hAnsi="宋体" w:eastAsia="宋体" w:cs="宋体"/>
          <w:b/>
          <w:sz w:val="24"/>
          <w:szCs w:val="28"/>
          <w:highlight w:val="none"/>
          <w:lang w:val="en-US" w:eastAsia="zh-CN"/>
        </w:rPr>
        <w:t>三、合同工期</w:t>
      </w:r>
      <w:bookmarkEnd w:id="40"/>
    </w:p>
    <w:p w14:paraId="0704CB4A">
      <w:pPr>
        <w:adjustRightInd w:val="0"/>
        <w:spacing w:line="360" w:lineRule="auto"/>
        <w:ind w:firstLine="420"/>
        <w:rPr>
          <w:rFonts w:hint="eastAsia" w:ascii="宋体" w:hAnsi="宋体" w:eastAsia="宋体"/>
          <w:b w:val="0"/>
          <w:bCs w:val="0"/>
          <w:sz w:val="24"/>
          <w:szCs w:val="24"/>
          <w:highlight w:val="none"/>
          <w:u w:val="single"/>
          <w:lang w:eastAsia="zh-CN"/>
        </w:rPr>
      </w:pPr>
      <w:r>
        <w:rPr>
          <w:rFonts w:hint="eastAsia" w:ascii="宋体" w:hAnsi="宋体" w:eastAsia="宋体" w:cs="Times New Roman"/>
          <w:b w:val="0"/>
          <w:bCs w:val="0"/>
          <w:sz w:val="24"/>
          <w:szCs w:val="24"/>
          <w:highlight w:val="none"/>
          <w:lang w:val="en-US" w:eastAsia="zh-CN"/>
        </w:rPr>
        <w:t>项目</w:t>
      </w:r>
      <w:r>
        <w:rPr>
          <w:rFonts w:ascii="宋体" w:hAnsi="宋体" w:eastAsia="宋体" w:cs="Times New Roman"/>
          <w:b w:val="0"/>
          <w:bCs w:val="0"/>
          <w:sz w:val="24"/>
          <w:szCs w:val="24"/>
          <w:highlight w:val="none"/>
        </w:rPr>
        <w:t>工期：</w:t>
      </w:r>
      <w:bookmarkStart w:id="41" w:name="_Toc351203483"/>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45日历</w:t>
      </w:r>
      <w:r>
        <w:rPr>
          <w:rFonts w:hint="eastAsia" w:ascii="宋体" w:hAnsi="宋体" w:cs="宋体"/>
          <w:color w:val="auto"/>
          <w:sz w:val="24"/>
          <w:highlight w:val="none"/>
        </w:rPr>
        <w:t>天内完工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每延迟一天罚1000元，限额为合同总价的 1 %。如果实际施工工期提前于合同工期，采购人不给予奖励。如因采购人原因造成工期延误，工期顺延。</w:t>
      </w:r>
    </w:p>
    <w:p w14:paraId="131FB30A">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三、质量标准</w:t>
      </w:r>
      <w:bookmarkEnd w:id="41"/>
    </w:p>
    <w:p w14:paraId="1EB6AE60">
      <w:pPr>
        <w:spacing w:line="440" w:lineRule="exact"/>
        <w:ind w:firstLine="459"/>
        <w:rPr>
          <w:rFonts w:ascii="宋体" w:hAnsi="宋体" w:eastAsia="宋体" w:cs="Times New Roman"/>
          <w:sz w:val="24"/>
          <w:szCs w:val="24"/>
          <w:highlight w:val="none"/>
        </w:rPr>
      </w:pPr>
      <w:r>
        <w:rPr>
          <w:rFonts w:ascii="宋体" w:hAnsi="宋体" w:eastAsia="宋体" w:cs="Times New Roman"/>
          <w:sz w:val="24"/>
          <w:szCs w:val="24"/>
          <w:highlight w:val="none"/>
        </w:rPr>
        <w:t>工程质量</w:t>
      </w:r>
      <w:r>
        <w:rPr>
          <w:rFonts w:hint="eastAsia" w:ascii="宋体" w:hAnsi="宋体" w:eastAsia="宋体" w:cs="Times New Roman"/>
          <w:sz w:val="24"/>
          <w:szCs w:val="24"/>
          <w:highlight w:val="none"/>
          <w:u w:val="single"/>
        </w:rPr>
        <w:t>符合国家相关验收合格</w:t>
      </w:r>
      <w:r>
        <w:rPr>
          <w:rFonts w:ascii="宋体" w:hAnsi="宋体" w:eastAsia="宋体" w:cs="Times New Roman"/>
          <w:sz w:val="24"/>
          <w:szCs w:val="24"/>
          <w:highlight w:val="none"/>
        </w:rPr>
        <w:t>标准。</w:t>
      </w:r>
    </w:p>
    <w:p w14:paraId="0CEA6EF6">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bookmarkStart w:id="42" w:name="_Toc351203484"/>
      <w:r>
        <w:rPr>
          <w:rFonts w:hint="eastAsia" w:ascii="宋体" w:hAnsi="宋体" w:eastAsia="宋体" w:cs="宋体"/>
          <w:b/>
          <w:sz w:val="24"/>
          <w:szCs w:val="28"/>
          <w:highlight w:val="none"/>
          <w:lang w:val="en-US" w:eastAsia="zh-CN"/>
        </w:rPr>
        <w:t>四、</w:t>
      </w:r>
      <w:bookmarkEnd w:id="42"/>
      <w:r>
        <w:rPr>
          <w:rFonts w:hint="eastAsia" w:ascii="宋体" w:hAnsi="宋体" w:eastAsia="宋体" w:cs="宋体"/>
          <w:b/>
          <w:sz w:val="24"/>
          <w:szCs w:val="28"/>
          <w:highlight w:val="none"/>
          <w:lang w:val="en-US" w:eastAsia="zh-CN"/>
        </w:rPr>
        <w:t>合同金额</w:t>
      </w:r>
      <w:r>
        <w:rPr>
          <w:rFonts w:hint="eastAsia" w:ascii="宋体" w:hAnsi="宋体" w:eastAsia="宋体" w:cs="宋体"/>
          <w:b/>
          <w:sz w:val="24"/>
          <w:szCs w:val="28"/>
          <w:highlight w:val="none"/>
          <w:lang w:val="en-US" w:eastAsia="zh-CN"/>
        </w:rPr>
        <w:tab/>
      </w:r>
    </w:p>
    <w:p w14:paraId="194F402A">
      <w:pPr>
        <w:pStyle w:val="22"/>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sz w:val="24"/>
          <w:szCs w:val="24"/>
          <w:highlight w:val="none"/>
          <w:u w:val="none"/>
          <w:lang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中标</w:t>
      </w:r>
      <w:r>
        <w:rPr>
          <w:rFonts w:hint="eastAsia" w:ascii="宋体" w:hAnsi="宋体" w:cs="宋体"/>
          <w:b/>
          <w:bCs/>
          <w:sz w:val="24"/>
          <w:szCs w:val="24"/>
          <w:highlight w:val="none"/>
          <w:lang w:val="en-US" w:eastAsia="zh-CN"/>
        </w:rPr>
        <w:t>下浮</w:t>
      </w:r>
      <w:r>
        <w:rPr>
          <w:rFonts w:hint="eastAsia" w:ascii="宋体" w:hAnsi="宋体" w:eastAsia="宋体" w:cs="宋体"/>
          <w:b/>
          <w:bCs/>
          <w:sz w:val="24"/>
          <w:szCs w:val="24"/>
          <w:highlight w:val="none"/>
          <w:lang w:eastAsia="zh-CN"/>
        </w:rPr>
        <w:t>率为</w:t>
      </w:r>
      <w:r>
        <w:rPr>
          <w:rFonts w:hint="eastAsia" w:ascii="宋体" w:hAnsi="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w:t>
      </w:r>
      <w:r>
        <w:rPr>
          <w:rFonts w:hint="eastAsia" w:ascii="宋体" w:hAnsi="宋体" w:eastAsia="宋体" w:cs="宋体"/>
          <w:b/>
          <w:bCs/>
          <w:sz w:val="24"/>
          <w:szCs w:val="24"/>
          <w:highlight w:val="none"/>
          <w:lang w:val="en-US" w:eastAsia="zh-CN"/>
        </w:rPr>
        <w:t>。</w:t>
      </w:r>
      <w:r>
        <w:rPr>
          <w:rFonts w:hint="eastAsia" w:hAnsi="宋体" w:cs="宋体"/>
          <w:b/>
          <w:bCs/>
          <w:sz w:val="24"/>
          <w:szCs w:val="24"/>
          <w:highlight w:val="none"/>
          <w:lang w:val="en-US" w:eastAsia="zh-CN"/>
        </w:rPr>
        <w:t>合同</w:t>
      </w:r>
      <w:r>
        <w:rPr>
          <w:rFonts w:hint="eastAsia" w:ascii="宋体" w:hAnsi="宋体" w:eastAsia="宋体" w:cs="宋体"/>
          <w:b/>
          <w:bCs/>
          <w:sz w:val="24"/>
          <w:szCs w:val="24"/>
          <w:highlight w:val="none"/>
        </w:rPr>
        <w:t>金额</w:t>
      </w:r>
      <w:r>
        <w:rPr>
          <w:rFonts w:hint="eastAsia" w:ascii="宋体" w:hAnsi="宋体" w:eastAsia="宋体" w:cs="宋体"/>
          <w:b/>
          <w:bCs/>
          <w:sz w:val="24"/>
          <w:szCs w:val="24"/>
          <w:highlight w:val="none"/>
        </w:rPr>
        <w:t>(大写)：</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rPr>
        <w:t>(人民币) 小写：</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lang w:eastAsia="zh-CN"/>
        </w:rPr>
        <w:t>元</w:t>
      </w:r>
      <w:r>
        <w:rPr>
          <w:rFonts w:hint="eastAsia" w:ascii="宋体" w:hAnsi="宋体" w:eastAsia="宋体" w:cs="宋体"/>
          <w:b/>
          <w:bCs/>
          <w:sz w:val="24"/>
          <w:szCs w:val="24"/>
          <w:highlight w:val="none"/>
          <w:u w:val="none"/>
          <w:lang w:eastAsia="zh-CN"/>
        </w:rPr>
        <w:t>。</w:t>
      </w:r>
    </w:p>
    <w:p w14:paraId="25675F57">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bookmarkStart w:id="43" w:name="_Toc351203485"/>
      <w:r>
        <w:rPr>
          <w:rFonts w:hint="eastAsia" w:ascii="宋体" w:hAnsi="宋体" w:eastAsia="宋体" w:cs="宋体"/>
          <w:b/>
          <w:sz w:val="24"/>
          <w:szCs w:val="28"/>
          <w:highlight w:val="none"/>
          <w:lang w:val="en-US" w:eastAsia="zh-CN"/>
        </w:rPr>
        <w:t>五、</w:t>
      </w:r>
      <w:bookmarkEnd w:id="43"/>
      <w:r>
        <w:rPr>
          <w:rFonts w:hint="eastAsia" w:ascii="宋体" w:hAnsi="宋体" w:eastAsia="宋体" w:cs="宋体"/>
          <w:b/>
          <w:sz w:val="24"/>
          <w:szCs w:val="28"/>
          <w:highlight w:val="none"/>
          <w:lang w:val="en-US" w:eastAsia="zh-CN"/>
        </w:rPr>
        <w:t>项目经理</w:t>
      </w:r>
    </w:p>
    <w:p w14:paraId="53F43869">
      <w:pPr>
        <w:spacing w:line="440" w:lineRule="exact"/>
        <w:ind w:firstLine="480" w:firstLineChars="200"/>
        <w:rPr>
          <w:rFonts w:hint="eastAsia" w:ascii="宋体" w:hAnsi="宋体" w:eastAsia="宋体" w:cs="Times New Roman"/>
          <w:sz w:val="24"/>
          <w:szCs w:val="24"/>
          <w:highlight w:val="none"/>
          <w:u w:val="none"/>
          <w:lang w:eastAsia="zh-CN"/>
        </w:rPr>
      </w:pPr>
      <w:r>
        <w:rPr>
          <w:rFonts w:ascii="宋体" w:hAnsi="宋体" w:eastAsia="宋体" w:cs="Times New Roman"/>
          <w:sz w:val="24"/>
          <w:szCs w:val="24"/>
          <w:highlight w:val="none"/>
        </w:rPr>
        <w:t>项目</w:t>
      </w:r>
      <w:r>
        <w:rPr>
          <w:rFonts w:hint="eastAsia" w:ascii="宋体" w:hAnsi="宋体" w:eastAsia="宋体" w:cs="Times New Roman"/>
          <w:sz w:val="24"/>
          <w:szCs w:val="24"/>
          <w:highlight w:val="none"/>
          <w:lang w:val="en-US" w:eastAsia="zh-CN"/>
        </w:rPr>
        <w:t>负责人</w:t>
      </w:r>
      <w:r>
        <w:rPr>
          <w:rFonts w:ascii="宋体" w:hAnsi="宋体" w:eastAsia="宋体" w:cs="Times New Roman"/>
          <w:sz w:val="24"/>
          <w:szCs w:val="24"/>
          <w:highlight w:val="none"/>
        </w:rPr>
        <w:t>：</w:t>
      </w:r>
      <w:r>
        <w:rPr>
          <w:rFonts w:hint="eastAsia" w:ascii="_x000B__x000C_" w:hAnsi="_x000B__x000C_" w:eastAsia="宋体" w:cs="Times New Roman"/>
          <w:b/>
          <w:sz w:val="24"/>
          <w:szCs w:val="28"/>
          <w:highlight w:val="none"/>
          <w:u w:val="single"/>
          <w:lang w:val="en-US" w:eastAsia="zh-CN"/>
        </w:rPr>
        <w:t xml:space="preserve">         </w:t>
      </w:r>
      <w:r>
        <w:rPr>
          <w:rFonts w:ascii="宋体" w:hAnsi="宋体" w:eastAsia="宋体" w:cs="Times New Roman"/>
          <w:sz w:val="24"/>
          <w:szCs w:val="24"/>
          <w:highlight w:val="none"/>
        </w:rPr>
        <w:t>。</w:t>
      </w:r>
      <w:r>
        <w:rPr>
          <w:rFonts w:hint="eastAsia" w:ascii="宋体" w:hAnsi="宋体" w:cs="Times New Roman"/>
          <w:sz w:val="24"/>
          <w:szCs w:val="24"/>
          <w:highlight w:val="none"/>
          <w:lang w:eastAsia="zh-CN"/>
        </w:rPr>
        <w:t>项目班子成员：</w:t>
      </w:r>
      <w:r>
        <w:rPr>
          <w:rFonts w:hint="eastAsia" w:ascii="_x000B__x000C_" w:hAnsi="_x000B__x000C_" w:eastAsia="宋体" w:cs="Times New Roman"/>
          <w:b/>
          <w:sz w:val="24"/>
          <w:szCs w:val="28"/>
          <w:highlight w:val="none"/>
          <w:u w:val="single"/>
          <w:lang w:val="en-US" w:eastAsia="zh-CN"/>
        </w:rPr>
        <w:t xml:space="preserve">         </w:t>
      </w:r>
      <w:r>
        <w:rPr>
          <w:rFonts w:ascii="宋体" w:hAnsi="宋体" w:eastAsia="宋体" w:cs="Times New Roman"/>
          <w:sz w:val="24"/>
          <w:szCs w:val="24"/>
          <w:highlight w:val="none"/>
        </w:rPr>
        <w:t>。</w:t>
      </w:r>
    </w:p>
    <w:p w14:paraId="099429D4">
      <w:pPr>
        <w:pStyle w:val="7"/>
        <w:numPr>
          <w:ilvl w:val="0"/>
          <w:numId w:val="0"/>
        </w:numPr>
        <w:spacing w:before="120" w:after="120" w:line="440" w:lineRule="exact"/>
        <w:jc w:val="both"/>
        <w:rPr>
          <w:rFonts w:hint="eastAsia" w:ascii="宋体" w:hAnsi="宋体" w:eastAsia="宋体" w:cs="宋体"/>
          <w:b/>
          <w:sz w:val="24"/>
          <w:szCs w:val="28"/>
          <w:highlight w:val="none"/>
        </w:rPr>
      </w:pPr>
      <w:r>
        <w:rPr>
          <w:rFonts w:hint="eastAsia" w:ascii="宋体" w:hAnsi="宋体" w:eastAsia="宋体" w:cs="宋体"/>
          <w:b/>
          <w:sz w:val="24"/>
          <w:szCs w:val="28"/>
          <w:highlight w:val="none"/>
          <w:lang w:val="en-US" w:eastAsia="zh-CN"/>
        </w:rPr>
        <w:t>六、</w:t>
      </w:r>
      <w:r>
        <w:rPr>
          <w:rFonts w:hint="eastAsia" w:ascii="宋体" w:hAnsi="宋体" w:eastAsia="宋体" w:cs="宋体"/>
          <w:b/>
          <w:sz w:val="24"/>
          <w:szCs w:val="28"/>
          <w:highlight w:val="none"/>
        </w:rPr>
        <w:t>合同价款</w:t>
      </w:r>
      <w:r>
        <w:rPr>
          <w:rFonts w:hint="eastAsia" w:ascii="宋体" w:hAnsi="宋体" w:eastAsia="宋体" w:cs="宋体"/>
          <w:b/>
          <w:sz w:val="24"/>
          <w:szCs w:val="28"/>
          <w:highlight w:val="none"/>
          <w:lang w:eastAsia="zh-CN"/>
        </w:rPr>
        <w:t>的</w:t>
      </w:r>
      <w:r>
        <w:rPr>
          <w:rFonts w:hint="eastAsia" w:ascii="宋体" w:hAnsi="宋体" w:eastAsia="宋体" w:cs="宋体"/>
          <w:b/>
          <w:sz w:val="24"/>
          <w:szCs w:val="28"/>
          <w:highlight w:val="none"/>
        </w:rPr>
        <w:t>支付</w:t>
      </w:r>
    </w:p>
    <w:p w14:paraId="799EE0E8">
      <w:pPr>
        <w:pStyle w:val="22"/>
        <w:spacing w:line="360" w:lineRule="auto"/>
        <w:rPr>
          <w:rFonts w:hint="eastAsia" w:ascii="宋体" w:hAnsi="宋体" w:eastAsia="宋体" w:cs="宋体"/>
          <w:b/>
          <w:bCs/>
          <w:color w:val="auto"/>
          <w:sz w:val="24"/>
          <w:highlight w:val="none"/>
          <w:lang w:val="en-US" w:eastAsia="zh-CN"/>
        </w:rPr>
      </w:pPr>
      <w:bookmarkStart w:id="44" w:name="_Toc351203487"/>
      <w:r>
        <w:rPr>
          <w:rFonts w:hint="eastAsia" w:ascii="宋体" w:hAnsi="宋体" w:cs="宋体"/>
          <w:b/>
          <w:bCs/>
          <w:color w:val="auto"/>
          <w:sz w:val="24"/>
          <w:highlight w:val="none"/>
          <w:lang w:val="en-US" w:eastAsia="zh-CN"/>
        </w:rPr>
        <w:t>（1）</w:t>
      </w:r>
      <w:r>
        <w:rPr>
          <w:rFonts w:hint="eastAsia" w:ascii="宋体" w:hAnsi="宋体" w:cs="宋体"/>
          <w:b/>
          <w:bCs/>
          <w:sz w:val="24"/>
          <w:szCs w:val="24"/>
          <w:highlight w:val="none"/>
        </w:rPr>
        <w:t>合同生效以及具备实施条件后7个工作日内支付合同价款</w:t>
      </w:r>
      <w:r>
        <w:rPr>
          <w:rFonts w:hint="eastAsia" w:ascii="宋体" w:hAnsi="宋体" w:cs="宋体"/>
          <w:b/>
          <w:bCs/>
          <w:sz w:val="24"/>
          <w:szCs w:val="24"/>
          <w:highlight w:val="none"/>
          <w:lang w:eastAsia="zh-CN"/>
        </w:rPr>
        <w:t>总额</w:t>
      </w:r>
      <w:r>
        <w:rPr>
          <w:rFonts w:hint="eastAsia" w:ascii="宋体" w:hAnsi="宋体" w:cs="宋体"/>
          <w:b/>
          <w:bCs/>
          <w:sz w:val="24"/>
          <w:szCs w:val="24"/>
          <w:highlight w:val="none"/>
        </w:rPr>
        <w:t>的</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0%作为预付款</w:t>
      </w:r>
      <w:r>
        <w:rPr>
          <w:rFonts w:hint="eastAsia" w:ascii="宋体" w:hAnsi="宋体" w:cs="宋体"/>
          <w:b/>
          <w:bCs/>
          <w:sz w:val="24"/>
          <w:szCs w:val="24"/>
          <w:highlight w:val="none"/>
          <w:lang w:val="en-US" w:eastAsia="zh-CN"/>
        </w:rPr>
        <w:t>（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r>
        <w:rPr>
          <w:rFonts w:hint="eastAsia" w:ascii="宋体" w:hAnsi="宋体" w:cs="宋体"/>
          <w:b/>
          <w:bCs/>
          <w:sz w:val="24"/>
          <w:szCs w:val="24"/>
          <w:highlight w:val="none"/>
          <w:lang w:eastAsia="zh-CN"/>
        </w:rPr>
        <w:t>；</w:t>
      </w:r>
    </w:p>
    <w:p w14:paraId="73E6FAF6">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（2）完成初验后支付至85%</w:t>
      </w:r>
      <w:r>
        <w:rPr>
          <w:rFonts w:hint="eastAsia" w:ascii="宋体" w:hAnsi="宋体"/>
          <w:b/>
          <w:bCs/>
          <w:color w:val="auto"/>
          <w:sz w:val="24"/>
          <w:highlight w:val="none"/>
          <w:lang w:eastAsia="zh-CN"/>
        </w:rPr>
        <w:t>；</w:t>
      </w:r>
    </w:p>
    <w:p w14:paraId="65FF8BA7">
      <w:pPr>
        <w:pStyle w:val="22"/>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w:t>
      </w:r>
      <w:r>
        <w:rPr>
          <w:rFonts w:hint="eastAsia" w:ascii="宋体" w:hAnsi="宋体" w:cs="宋体"/>
          <w:b/>
          <w:bCs/>
          <w:color w:val="auto"/>
          <w:sz w:val="24"/>
          <w:highlight w:val="none"/>
          <w:lang w:val="en-US" w:eastAsia="zh-CN"/>
        </w:rPr>
        <w:t>全部工程竣工验收合格及结算审核完成后7个工作日支付至100%。</w:t>
      </w:r>
    </w:p>
    <w:p w14:paraId="6BF8E16A">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七、履约保证金</w:t>
      </w:r>
    </w:p>
    <w:p w14:paraId="761676BC">
      <w:pPr>
        <w:pStyle w:val="7"/>
        <w:numPr>
          <w:ilvl w:val="0"/>
          <w:numId w:val="0"/>
        </w:numPr>
        <w:spacing w:before="120" w:after="120" w:line="440" w:lineRule="exact"/>
        <w:ind w:firstLine="480" w:firstLineChars="200"/>
        <w:jc w:val="both"/>
        <w:rPr>
          <w:rFonts w:hint="eastAsia"/>
          <w:highlight w:val="none"/>
          <w:lang w:val="en-US" w:eastAsia="zh-CN"/>
        </w:rPr>
      </w:pPr>
      <w:r>
        <w:rPr>
          <w:rFonts w:hint="eastAsia" w:ascii="宋体" w:hAnsi="宋体" w:eastAsia="宋体" w:cs="宋体"/>
          <w:b w:val="0"/>
          <w:color w:val="000000"/>
          <w:kern w:val="0"/>
          <w:sz w:val="24"/>
          <w:szCs w:val="24"/>
          <w:highlight w:val="none"/>
          <w:lang w:val="en-US" w:eastAsia="zh-CN" w:bidi="ar-SA"/>
        </w:rPr>
        <w:t>履约保证金为合同金额的1%，共计人民币</w:t>
      </w:r>
      <w:r>
        <w:rPr>
          <w:rFonts w:hint="eastAsia" w:ascii="宋体" w:hAnsi="宋体" w:eastAsia="宋体" w:cs="宋体"/>
          <w:b w:val="0"/>
          <w:color w:val="000000"/>
          <w:kern w:val="0"/>
          <w:sz w:val="24"/>
          <w:szCs w:val="24"/>
          <w:highlight w:val="none"/>
          <w:u w:val="single"/>
          <w:lang w:val="en-US" w:eastAsia="zh-CN" w:bidi="ar-SA"/>
        </w:rPr>
        <w:t xml:space="preserve">    </w:t>
      </w:r>
      <w:r>
        <w:rPr>
          <w:rFonts w:hint="eastAsia" w:ascii="宋体" w:hAnsi="宋体" w:eastAsia="宋体" w:cs="宋体"/>
          <w:b w:val="0"/>
          <w:color w:val="000000"/>
          <w:kern w:val="0"/>
          <w:sz w:val="24"/>
          <w:szCs w:val="24"/>
          <w:highlight w:val="none"/>
          <w:lang w:val="en-US" w:eastAsia="zh-CN" w:bidi="ar-SA"/>
        </w:rPr>
        <w:t>元。履约保证金在项目验收合格后15个工作日内退还（不计息）。</w:t>
      </w:r>
    </w:p>
    <w:p w14:paraId="1551ACE7">
      <w:pPr>
        <w:pStyle w:val="7"/>
        <w:numPr>
          <w:ilvl w:val="0"/>
          <w:numId w:val="0"/>
        </w:numPr>
        <w:spacing w:before="120" w:after="120" w:line="440" w:lineRule="exact"/>
        <w:jc w:val="both"/>
        <w:rPr>
          <w:rFonts w:hint="default"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八、甲乙双方约定</w:t>
      </w:r>
    </w:p>
    <w:p w14:paraId="51AD62EB">
      <w:pPr>
        <w:widowControl/>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甲方应在开工前,向乙方提供经确认的施工图纸或做法说明,并向乙方进行现场交底。向乙方提供施工所需的水、电等</w:t>
      </w:r>
      <w:r>
        <w:rPr>
          <w:rFonts w:hint="eastAsia" w:ascii="宋体" w:hAnsi="宋体" w:cs="宋体"/>
          <w:color w:val="000000"/>
          <w:kern w:val="0"/>
          <w:sz w:val="24"/>
          <w:highlight w:val="none"/>
          <w:lang w:val="en-US" w:eastAsia="zh-CN"/>
        </w:rPr>
        <w:t>,费用由乙方自行承担</w:t>
      </w:r>
      <w:r>
        <w:rPr>
          <w:rFonts w:hint="eastAsia" w:ascii="宋体" w:hAnsi="宋体" w:cs="宋体"/>
          <w:color w:val="000000"/>
          <w:kern w:val="0"/>
          <w:sz w:val="24"/>
          <w:highlight w:val="none"/>
        </w:rPr>
        <w:t>,并说明使用注意事项。办理施工所涉及的各种申请、审批等手续。</w:t>
      </w:r>
    </w:p>
    <w:p w14:paraId="526126DD">
      <w:pPr>
        <w:widowControl/>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乙方应严格执行施工规范、安全操作规程、防火安全规定、环境保护规定。严格按照图纸或做法说明进行施工,做好各项质量检查记录。</w:t>
      </w:r>
      <w:r>
        <w:rPr>
          <w:rFonts w:hint="eastAsia" w:ascii="宋体" w:hAnsi="宋体"/>
          <w:sz w:val="24"/>
          <w:highlight w:val="none"/>
        </w:rPr>
        <w:t>施工期间,</w:t>
      </w:r>
      <w:r>
        <w:rPr>
          <w:rFonts w:hint="eastAsia" w:ascii="宋体" w:hAnsi="宋体" w:cs="宋体"/>
          <w:color w:val="000000"/>
          <w:kern w:val="0"/>
          <w:sz w:val="24"/>
          <w:highlight w:val="none"/>
        </w:rPr>
        <w:t xml:space="preserve"> 乙方</w:t>
      </w:r>
      <w:r>
        <w:rPr>
          <w:rFonts w:hint="eastAsia" w:ascii="宋体" w:hAnsi="宋体"/>
          <w:sz w:val="24"/>
          <w:highlight w:val="none"/>
        </w:rPr>
        <w:t>发生人身安全和交通安全等大小事故，一切责任和经济补偿均由</w:t>
      </w:r>
      <w:r>
        <w:rPr>
          <w:rFonts w:hint="eastAsia" w:ascii="宋体" w:hAnsi="宋体" w:cs="宋体"/>
          <w:color w:val="000000"/>
          <w:kern w:val="0"/>
          <w:sz w:val="24"/>
          <w:highlight w:val="none"/>
        </w:rPr>
        <w:t>乙方</w:t>
      </w:r>
      <w:r>
        <w:rPr>
          <w:rFonts w:hint="eastAsia" w:ascii="宋体" w:hAnsi="宋体"/>
          <w:sz w:val="24"/>
          <w:highlight w:val="none"/>
        </w:rPr>
        <w:t>负责。</w:t>
      </w:r>
    </w:p>
    <w:p w14:paraId="4CBF1184">
      <w:pPr>
        <w:widowControl/>
        <w:spacing w:line="360" w:lineRule="auto"/>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乙方应遵守国家或地方政府及有关部门对施工现场管理的规定,妥善保护好施工现场周围建筑物、</w:t>
      </w:r>
      <w:r>
        <w:rPr>
          <w:rFonts w:hint="eastAsia" w:ascii="宋体" w:hAnsi="宋体" w:cs="宋体"/>
          <w:color w:val="000000"/>
          <w:kern w:val="0"/>
          <w:sz w:val="24"/>
          <w:highlight w:val="none"/>
        </w:rPr>
        <w:t>设备管线不受损坏。做好施工现场保卫和垃圾</w:t>
      </w:r>
      <w:r>
        <w:rPr>
          <w:rFonts w:hint="eastAsia" w:ascii="宋体" w:hAnsi="宋体" w:cs="宋体"/>
          <w:color w:val="000000"/>
          <w:kern w:val="0"/>
          <w:sz w:val="24"/>
          <w:highlight w:val="none"/>
          <w:lang w:eastAsia="zh-CN"/>
        </w:rPr>
        <w:t>消纳</w:t>
      </w:r>
      <w:r>
        <w:rPr>
          <w:rFonts w:hint="eastAsia" w:ascii="宋体" w:hAnsi="宋体" w:cs="宋体"/>
          <w:color w:val="000000"/>
          <w:kern w:val="0"/>
          <w:sz w:val="24"/>
          <w:highlight w:val="none"/>
        </w:rPr>
        <w:t>等工作。</w:t>
      </w:r>
    </w:p>
    <w:p w14:paraId="263DA110">
      <w:pPr>
        <w:widowControl/>
        <w:spacing w:line="360" w:lineRule="auto"/>
        <w:ind w:firstLine="48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本工程工期为</w:t>
      </w:r>
      <w:r>
        <w:rPr>
          <w:rFonts w:hint="eastAsia" w:ascii="宋体" w:hAnsi="宋体" w:eastAsia="宋体" w:cs="宋体"/>
          <w:sz w:val="24"/>
          <w:szCs w:val="24"/>
          <w:highlight w:val="none"/>
          <w:lang w:val="en-US" w:eastAsia="zh-CN"/>
        </w:rPr>
        <w:t>合同签订后</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sz w:val="24"/>
          <w:szCs w:val="24"/>
          <w:highlight w:val="none"/>
          <w:lang w:val="en-US" w:eastAsia="zh-CN"/>
        </w:rPr>
        <w:t>完成</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rPr>
        <w:t xml:space="preserve"> 每延迟一天罚</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00元，限额为合同总价的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%。如果实际施工工期提前于合同工期，甲方不给予奖励。如因甲方原因造成工期延误，工期顺延。</w:t>
      </w:r>
      <w:r>
        <w:rPr>
          <w:rFonts w:hint="eastAsia" w:ascii="宋体" w:hAnsi="宋体" w:eastAsia="宋体" w:cs="宋体"/>
          <w:color w:val="000000"/>
          <w:kern w:val="0"/>
          <w:sz w:val="24"/>
          <w:szCs w:val="24"/>
          <w:highlight w:val="none"/>
        </w:rPr>
        <w:t>乙方应按约定完成施工任务。</w:t>
      </w:r>
    </w:p>
    <w:p w14:paraId="1C600D78">
      <w:pPr>
        <w:spacing w:line="360" w:lineRule="auto"/>
        <w:ind w:firstLine="477" w:firstLineChars="19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sz w:val="24"/>
          <w:szCs w:val="24"/>
          <w:highlight w:val="none"/>
        </w:rPr>
        <w:t>双方约定工期顺延的其他情况：对以下原因造成竣工日期推迟的，经甲方确认后，工期延长由双方协商解决：</w:t>
      </w:r>
    </w:p>
    <w:p w14:paraId="34AB78E4">
      <w:pPr>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（1）由甲方原因造成的工期延误；（2）不可抗力原因造成的工期延误；（3）其它原因造成的工期延误由承包方负责；</w:t>
      </w:r>
      <w:r>
        <w:rPr>
          <w:rFonts w:hint="eastAsia" w:ascii="宋体" w:hAnsi="宋体" w:eastAsia="宋体" w:cs="宋体"/>
          <w:color w:val="000000"/>
          <w:sz w:val="24"/>
          <w:szCs w:val="24"/>
          <w:highlight w:val="none"/>
        </w:rPr>
        <w:t>（4）工期延误除双方协商工期签证外，所产生的任何费用不计。</w:t>
      </w:r>
    </w:p>
    <w:p w14:paraId="1C3A26B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本工程质量应达到国家质量评定合格标准。</w:t>
      </w:r>
      <w:r>
        <w:rPr>
          <w:rFonts w:hint="eastAsia" w:ascii="宋体" w:hAnsi="宋体" w:eastAsia="宋体" w:cs="宋体"/>
          <w:sz w:val="24"/>
          <w:szCs w:val="24"/>
          <w:highlight w:val="none"/>
        </w:rPr>
        <w:t>如达不到约定的质量标准，甲方可要求乙方返工，直至达到约定的质量标准，并由乙方承担返工的一切费用，返工后仍达不到约定的质量标准，由乙方承担违约责任，并按合同总价格</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%支付赔偿金。</w:t>
      </w:r>
    </w:p>
    <w:p w14:paraId="6627E53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sz w:val="24"/>
          <w:szCs w:val="24"/>
          <w:highlight w:val="none"/>
        </w:rPr>
        <w:t>因甲方原因达不到约定的质量标准时，由甲方承担返工的经济支出，工期相应顺延。</w:t>
      </w:r>
    </w:p>
    <w:p w14:paraId="5E61A8D9">
      <w:pPr>
        <w:adjustRightInd w:val="0"/>
        <w:spacing w:line="400" w:lineRule="exact"/>
        <w:jc w:val="left"/>
        <w:rPr>
          <w:rFonts w:hint="default" w:ascii="宋体" w:hAnsi="宋体" w:cs="Times New Roman"/>
          <w:b/>
          <w:bCs/>
          <w:color w:val="auto"/>
          <w:kern w:val="2"/>
          <w:sz w:val="24"/>
          <w:szCs w:val="24"/>
          <w:highlight w:val="none"/>
          <w:lang w:eastAsia="zh-CN" w:bidi="ar-SA"/>
        </w:rPr>
      </w:pPr>
      <w:r>
        <w:rPr>
          <w:rFonts w:hint="eastAsia" w:ascii="宋体" w:hAnsi="宋体" w:cs="Times New Roman"/>
          <w:b/>
          <w:bCs/>
          <w:color w:val="auto"/>
          <w:kern w:val="2"/>
          <w:sz w:val="24"/>
          <w:szCs w:val="24"/>
          <w:highlight w:val="none"/>
          <w:lang w:val="en-US" w:eastAsia="zh-CN" w:bidi="ar-SA"/>
        </w:rPr>
        <w:t>九、</w:t>
      </w:r>
      <w:r>
        <w:rPr>
          <w:rFonts w:hint="eastAsia" w:ascii="宋体" w:hAnsi="宋体" w:eastAsia="宋体" w:cs="Times New Roman"/>
          <w:b/>
          <w:bCs/>
          <w:color w:val="auto"/>
          <w:kern w:val="2"/>
          <w:sz w:val="24"/>
          <w:szCs w:val="24"/>
          <w:highlight w:val="none"/>
          <w:lang w:val="en-US" w:eastAsia="zh-CN" w:bidi="ar-SA"/>
        </w:rPr>
        <w:t>农</w:t>
      </w:r>
      <w:r>
        <w:rPr>
          <w:rFonts w:hint="default" w:ascii="宋体" w:hAnsi="宋体" w:eastAsia="宋体" w:cs="Times New Roman"/>
          <w:b/>
          <w:bCs/>
          <w:color w:val="auto"/>
          <w:kern w:val="2"/>
          <w:sz w:val="24"/>
          <w:szCs w:val="24"/>
          <w:highlight w:val="none"/>
          <w:lang w:val="en-US" w:eastAsia="zh-CN" w:bidi="ar-SA"/>
        </w:rPr>
        <w:t>民工工资相关</w:t>
      </w:r>
      <w:r>
        <w:rPr>
          <w:rFonts w:hint="default" w:ascii="宋体" w:hAnsi="宋体" w:cs="Times New Roman"/>
          <w:b/>
          <w:bCs/>
          <w:color w:val="auto"/>
          <w:kern w:val="2"/>
          <w:sz w:val="24"/>
          <w:szCs w:val="24"/>
          <w:highlight w:val="none"/>
          <w:lang w:eastAsia="zh-CN" w:bidi="ar-SA"/>
        </w:rPr>
        <w:t>要求：</w:t>
      </w:r>
    </w:p>
    <w:p w14:paraId="1FB15A2B">
      <w:pPr>
        <w:adjustRightInd w:val="0"/>
        <w:spacing w:line="400" w:lineRule="exact"/>
        <w:ind w:firstLine="240" w:firstLineChars="100"/>
        <w:jc w:val="left"/>
        <w:rPr>
          <w:highlight w:val="none"/>
        </w:rPr>
      </w:pPr>
      <w:r>
        <w:rPr>
          <w:rFonts w:hint="eastAsia" w:ascii="宋体" w:hAnsi="宋体" w:eastAsia="宋体" w:cs="Times New Roman"/>
          <w:color w:val="auto"/>
          <w:kern w:val="2"/>
          <w:sz w:val="24"/>
          <w:szCs w:val="24"/>
          <w:highlight w:val="none"/>
          <w:lang w:val="en-US" w:eastAsia="zh-CN" w:bidi="ar-SA"/>
        </w:rPr>
        <w:t>农</w:t>
      </w:r>
      <w:r>
        <w:rPr>
          <w:rFonts w:hint="default" w:ascii="宋体" w:hAnsi="宋体" w:eastAsia="宋体" w:cs="Times New Roman"/>
          <w:color w:val="auto"/>
          <w:kern w:val="2"/>
          <w:sz w:val="24"/>
          <w:szCs w:val="24"/>
          <w:highlight w:val="none"/>
          <w:lang w:val="en-US" w:eastAsia="zh-CN" w:bidi="ar-SA"/>
        </w:rPr>
        <w:t>民工工资相关的管理、认定、支付等事项按按东阳市根治欠薪工作领导小组办公室《关于落实“两备案一承诺”制度的通知》文件执行。施工单位应按时支付农民工工资</w:t>
      </w:r>
      <w:r>
        <w:rPr>
          <w:rFonts w:hint="eastAsia" w:ascii="宋体" w:hAnsi="宋体" w:eastAsia="宋体" w:cs="Times New Roman"/>
          <w:color w:val="auto"/>
          <w:kern w:val="2"/>
          <w:sz w:val="24"/>
          <w:szCs w:val="24"/>
          <w:highlight w:val="none"/>
          <w:lang w:val="en-US" w:eastAsia="zh-CN" w:bidi="ar-SA"/>
        </w:rPr>
        <w:t>。</w:t>
      </w:r>
    </w:p>
    <w:p w14:paraId="318588CA">
      <w:pPr>
        <w:pStyle w:val="7"/>
        <w:numPr>
          <w:ilvl w:val="0"/>
          <w:numId w:val="0"/>
        </w:numPr>
        <w:spacing w:before="120" w:after="120" w:line="440" w:lineRule="exact"/>
        <w:jc w:val="both"/>
        <w:rPr>
          <w:rFonts w:hint="default"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十、</w:t>
      </w:r>
      <w:bookmarkEnd w:id="44"/>
      <w:r>
        <w:rPr>
          <w:rFonts w:hint="eastAsia" w:ascii="宋体" w:hAnsi="宋体" w:eastAsia="宋体" w:cs="宋体"/>
          <w:b/>
          <w:sz w:val="24"/>
          <w:szCs w:val="28"/>
          <w:highlight w:val="none"/>
          <w:lang w:val="en-US" w:eastAsia="zh-CN"/>
        </w:rPr>
        <w:t>其他相关要求</w:t>
      </w:r>
    </w:p>
    <w:p w14:paraId="1CC7AB95">
      <w:pPr>
        <w:widowControl/>
        <w:spacing w:line="360" w:lineRule="auto"/>
        <w:ind w:firstLine="480" w:firstLineChars="200"/>
        <w:rPr>
          <w:rFonts w:hint="eastAsia" w:ascii="宋体" w:hAnsi="宋体"/>
          <w:sz w:val="24"/>
          <w:highlight w:val="none"/>
        </w:rPr>
      </w:pPr>
      <w:bookmarkStart w:id="45" w:name="_Toc351203488"/>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用于</w:t>
      </w:r>
      <w:r>
        <w:rPr>
          <w:rFonts w:hint="eastAsia" w:ascii="宋体" w:hAnsi="宋体"/>
          <w:sz w:val="24"/>
          <w:highlight w:val="none"/>
        </w:rPr>
        <w:t>本工程所用材料品质必须是正品，质量必须合格</w:t>
      </w:r>
      <w:r>
        <w:rPr>
          <w:rFonts w:hint="eastAsia" w:ascii="宋体" w:hAnsi="宋体"/>
          <w:szCs w:val="21"/>
          <w:highlight w:val="none"/>
        </w:rPr>
        <w:t>，</w:t>
      </w:r>
      <w:r>
        <w:rPr>
          <w:rFonts w:hint="eastAsia" w:ascii="宋体" w:hAnsi="宋体"/>
          <w:sz w:val="24"/>
          <w:highlight w:val="none"/>
        </w:rPr>
        <w:t>并应符合施工和验收规范要求，进场后应按规定验收和试验、鉴定合格后方可使用于工程。</w:t>
      </w:r>
    </w:p>
    <w:p w14:paraId="396F7A66">
      <w:pPr>
        <w:widowControl/>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施工单位对防治扬尘污染的管理按《东阳市建设工程扬尘污染防治管理办法》（东政发（2015）45号）文件执行。</w:t>
      </w:r>
    </w:p>
    <w:p w14:paraId="5003C5D5">
      <w:pPr>
        <w:spacing w:line="440" w:lineRule="exact"/>
        <w:rPr>
          <w:rFonts w:hint="eastAsia" w:ascii="宋体" w:hAnsi="宋体" w:eastAsia="宋体" w:cs="宋体"/>
          <w:b/>
          <w:bCs/>
          <w:sz w:val="24"/>
          <w:szCs w:val="28"/>
          <w:highlight w:val="none"/>
        </w:rPr>
      </w:pPr>
      <w:r>
        <w:rPr>
          <w:rFonts w:hint="eastAsia" w:ascii="宋体" w:hAnsi="宋体" w:cs="宋体"/>
          <w:b/>
          <w:bCs/>
          <w:sz w:val="24"/>
          <w:szCs w:val="28"/>
          <w:highlight w:val="none"/>
          <w:lang w:val="en-US" w:eastAsia="zh-CN"/>
        </w:rPr>
        <w:t>十一</w:t>
      </w:r>
      <w:r>
        <w:rPr>
          <w:rFonts w:hint="eastAsia" w:ascii="宋体" w:hAnsi="宋体" w:eastAsia="宋体" w:cs="宋体"/>
          <w:b/>
          <w:bCs/>
          <w:sz w:val="24"/>
          <w:szCs w:val="28"/>
          <w:highlight w:val="none"/>
          <w:lang w:val="en-US" w:eastAsia="zh-CN"/>
        </w:rPr>
        <w:t>、</w:t>
      </w:r>
      <w:r>
        <w:rPr>
          <w:rFonts w:hint="eastAsia" w:ascii="宋体" w:hAnsi="宋体" w:eastAsia="宋体" w:cs="宋体"/>
          <w:b/>
          <w:bCs/>
          <w:sz w:val="24"/>
          <w:szCs w:val="28"/>
          <w:highlight w:val="none"/>
        </w:rPr>
        <w:t>工程</w:t>
      </w:r>
      <w:r>
        <w:rPr>
          <w:rFonts w:hint="eastAsia" w:ascii="宋体" w:hAnsi="宋体" w:eastAsia="宋体" w:cs="宋体"/>
          <w:b/>
          <w:bCs/>
          <w:sz w:val="24"/>
          <w:szCs w:val="28"/>
          <w:highlight w:val="none"/>
          <w:lang w:val="en-US" w:eastAsia="zh-CN"/>
        </w:rPr>
        <w:t>质保期及</w:t>
      </w:r>
      <w:r>
        <w:rPr>
          <w:rFonts w:hint="eastAsia" w:ascii="宋体" w:hAnsi="宋体" w:eastAsia="宋体" w:cs="宋体"/>
          <w:b/>
          <w:bCs/>
          <w:sz w:val="24"/>
          <w:szCs w:val="28"/>
          <w:highlight w:val="none"/>
        </w:rPr>
        <w:t>保修：</w:t>
      </w:r>
    </w:p>
    <w:p w14:paraId="5D570294">
      <w:pPr>
        <w:spacing w:line="440" w:lineRule="exact"/>
        <w:ind w:firstLine="480" w:firstLineChars="200"/>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1.施工质保期</w:t>
      </w:r>
      <w:r>
        <w:rPr>
          <w:rFonts w:hint="eastAsia" w:ascii="宋体" w:hAnsi="宋体" w:eastAsia="宋体" w:cs="宋体"/>
          <w:sz w:val="24"/>
          <w:szCs w:val="28"/>
          <w:highlight w:val="none"/>
          <w:u w:val="single"/>
          <w:lang w:val="en-US" w:eastAsia="zh-CN"/>
        </w:rPr>
        <w:t xml:space="preserve">    </w:t>
      </w:r>
      <w:r>
        <w:rPr>
          <w:rFonts w:hint="eastAsia" w:ascii="宋体" w:hAnsi="宋体" w:eastAsia="宋体" w:cs="宋体"/>
          <w:sz w:val="24"/>
          <w:szCs w:val="28"/>
          <w:highlight w:val="none"/>
          <w:u w:val="none"/>
          <w:lang w:val="en-US" w:eastAsia="zh-CN"/>
        </w:rPr>
        <w:t>年</w:t>
      </w:r>
      <w:r>
        <w:rPr>
          <w:rFonts w:hint="eastAsia" w:ascii="宋体" w:hAnsi="宋体" w:eastAsia="宋体" w:cs="宋体"/>
          <w:sz w:val="24"/>
          <w:szCs w:val="28"/>
          <w:highlight w:val="none"/>
          <w:lang w:val="en-US" w:eastAsia="zh-CN"/>
        </w:rPr>
        <w:t>，自验收合格之日起计算。</w:t>
      </w:r>
    </w:p>
    <w:p w14:paraId="26BCAC7B">
      <w:pPr>
        <w:spacing w:line="44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2.</w:t>
      </w:r>
      <w:r>
        <w:rPr>
          <w:rFonts w:hint="eastAsia" w:ascii="宋体" w:hAnsi="宋体" w:eastAsia="宋体" w:cs="宋体"/>
          <w:sz w:val="24"/>
          <w:szCs w:val="28"/>
          <w:highlight w:val="none"/>
        </w:rPr>
        <w:t>全部合同工程竣工后，仍由</w:t>
      </w:r>
      <w:r>
        <w:rPr>
          <w:rFonts w:hint="eastAsia" w:ascii="宋体" w:hAnsi="宋体" w:eastAsia="宋体" w:cs="宋体"/>
          <w:sz w:val="24"/>
          <w:szCs w:val="28"/>
          <w:highlight w:val="none"/>
          <w:lang w:val="en-US" w:eastAsia="zh-CN"/>
        </w:rPr>
        <w:t>乙</w:t>
      </w:r>
      <w:r>
        <w:rPr>
          <w:rFonts w:hint="eastAsia" w:ascii="宋体" w:hAnsi="宋体" w:eastAsia="宋体" w:cs="宋体"/>
          <w:sz w:val="24"/>
          <w:szCs w:val="28"/>
          <w:highlight w:val="none"/>
        </w:rPr>
        <w:t>方对工程质量实施保修，保修责任和办法按建设部《建设工程质量管理条例》执行。</w:t>
      </w:r>
    </w:p>
    <w:bookmarkEnd w:id="45"/>
    <w:p w14:paraId="0C7A0F7F">
      <w:pPr>
        <w:spacing w:line="440" w:lineRule="exact"/>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十</w:t>
      </w:r>
      <w:r>
        <w:rPr>
          <w:rFonts w:hint="eastAsia" w:ascii="宋体" w:hAnsi="宋体" w:cs="Times New Roman"/>
          <w:b/>
          <w:sz w:val="24"/>
          <w:szCs w:val="24"/>
          <w:highlight w:val="none"/>
          <w:lang w:val="en-US" w:eastAsia="zh-CN"/>
        </w:rPr>
        <w:t>二</w:t>
      </w:r>
      <w:r>
        <w:rPr>
          <w:rFonts w:hint="eastAsia" w:ascii="宋体" w:hAnsi="宋体" w:eastAsia="宋体" w:cs="Times New Roman"/>
          <w:b/>
          <w:sz w:val="24"/>
          <w:szCs w:val="24"/>
          <w:highlight w:val="none"/>
        </w:rPr>
        <w:t>、转包或分包</w:t>
      </w:r>
    </w:p>
    <w:p w14:paraId="2068AE64">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6BEC6CBE">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2.本项目</w:t>
      </w:r>
      <w:r>
        <w:rPr>
          <w:rFonts w:hint="eastAsia" w:ascii="宋体" w:hAnsi="宋体" w:cs="宋体"/>
          <w:color w:val="auto"/>
          <w:kern w:val="0"/>
          <w:sz w:val="24"/>
          <w:highlight w:val="none"/>
          <w:lang w:val="en-US" w:eastAsia="zh-CN"/>
        </w:rPr>
        <w:t>分包按照浙采监【2022】3号文件执行</w:t>
      </w:r>
      <w:r>
        <w:rPr>
          <w:rFonts w:hint="eastAsia" w:ascii="宋体" w:hAnsi="宋体" w:cs="宋体"/>
          <w:color w:val="auto"/>
          <w:kern w:val="0"/>
          <w:sz w:val="24"/>
          <w:highlight w:val="none"/>
        </w:rPr>
        <w:t>。</w:t>
      </w:r>
    </w:p>
    <w:p w14:paraId="1D6489C4">
      <w:pPr>
        <w:spacing w:line="440" w:lineRule="exact"/>
        <w:rPr>
          <w:rFonts w:hint="eastAsia" w:ascii="宋体" w:hAnsi="宋体" w:eastAsia="宋体" w:cs="宋体"/>
          <w:b/>
          <w:bCs w:val="0"/>
          <w:sz w:val="24"/>
          <w:szCs w:val="28"/>
          <w:highlight w:val="none"/>
        </w:rPr>
      </w:pPr>
      <w:r>
        <w:rPr>
          <w:rFonts w:hint="eastAsia" w:ascii="宋体" w:hAnsi="宋体" w:eastAsia="宋体" w:cs="宋体"/>
          <w:b/>
          <w:bCs w:val="0"/>
          <w:sz w:val="24"/>
          <w:szCs w:val="28"/>
          <w:highlight w:val="none"/>
        </w:rPr>
        <w:t>十</w:t>
      </w:r>
      <w:r>
        <w:rPr>
          <w:rFonts w:hint="eastAsia" w:ascii="宋体" w:hAnsi="宋体" w:cs="宋体"/>
          <w:b/>
          <w:bCs w:val="0"/>
          <w:sz w:val="24"/>
          <w:szCs w:val="28"/>
          <w:highlight w:val="none"/>
          <w:lang w:val="en-US" w:eastAsia="zh-CN"/>
        </w:rPr>
        <w:t>三</w:t>
      </w:r>
      <w:r>
        <w:rPr>
          <w:rFonts w:hint="eastAsia" w:ascii="宋体" w:hAnsi="宋体" w:eastAsia="宋体" w:cs="宋体"/>
          <w:b/>
          <w:bCs w:val="0"/>
          <w:sz w:val="24"/>
          <w:szCs w:val="28"/>
          <w:highlight w:val="none"/>
        </w:rPr>
        <w:t>、不可抗力事件处理</w:t>
      </w:r>
    </w:p>
    <w:p w14:paraId="6BB216B6">
      <w:pPr>
        <w:spacing w:line="44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1.</w:t>
      </w:r>
      <w:r>
        <w:rPr>
          <w:rFonts w:hint="eastAsia" w:ascii="宋体" w:hAnsi="宋体" w:eastAsia="宋体" w:cs="宋体"/>
          <w:sz w:val="24"/>
          <w:szCs w:val="28"/>
          <w:highlight w:val="none"/>
        </w:rPr>
        <w:t>在合同有效期内，任何一方因不可抗力事件导致不能履行合同，则合同履行期可延长，其延长期与不可抗力影响期相同。</w:t>
      </w:r>
    </w:p>
    <w:p w14:paraId="15C154C2">
      <w:pPr>
        <w:spacing w:line="44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2</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不可抗力事件发生后，应立即通知对方，并寄送有关权威机构出具的证明。</w:t>
      </w:r>
    </w:p>
    <w:p w14:paraId="5FA11401">
      <w:pPr>
        <w:spacing w:line="44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3</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不可抗力事件延续120天以上，双方应通过友好协商，确定是否继续履行合同。</w:t>
      </w:r>
    </w:p>
    <w:p w14:paraId="0724A1AE">
      <w:pPr>
        <w:pStyle w:val="3"/>
        <w:rPr>
          <w:rFonts w:hint="eastAsia" w:ascii="宋体" w:hAnsi="宋体" w:eastAsia="宋体" w:cs="宋体"/>
          <w:b/>
          <w:bCs w:val="0"/>
          <w:kern w:val="2"/>
          <w:sz w:val="24"/>
          <w:szCs w:val="28"/>
          <w:highlight w:val="none"/>
          <w:lang w:val="en-US" w:eastAsia="zh-CN" w:bidi="ar-SA"/>
        </w:rPr>
      </w:pPr>
      <w:r>
        <w:rPr>
          <w:rFonts w:hint="eastAsia" w:ascii="宋体" w:hAnsi="宋体" w:eastAsia="宋体" w:cs="宋体"/>
          <w:b/>
          <w:bCs w:val="0"/>
          <w:kern w:val="2"/>
          <w:sz w:val="24"/>
          <w:szCs w:val="28"/>
          <w:highlight w:val="none"/>
          <w:lang w:val="en-US" w:eastAsia="zh-CN" w:bidi="ar-SA"/>
        </w:rPr>
        <w:t>十</w:t>
      </w:r>
      <w:r>
        <w:rPr>
          <w:rFonts w:hint="eastAsia" w:ascii="宋体" w:hAnsi="宋体" w:cs="宋体"/>
          <w:b/>
          <w:bCs w:val="0"/>
          <w:kern w:val="2"/>
          <w:sz w:val="24"/>
          <w:szCs w:val="28"/>
          <w:highlight w:val="none"/>
          <w:lang w:val="en-US" w:eastAsia="zh-CN" w:bidi="ar-SA"/>
        </w:rPr>
        <w:t>四</w:t>
      </w:r>
      <w:r>
        <w:rPr>
          <w:rFonts w:hint="eastAsia" w:ascii="宋体" w:hAnsi="宋体" w:eastAsia="宋体" w:cs="宋体"/>
          <w:b/>
          <w:bCs w:val="0"/>
          <w:kern w:val="2"/>
          <w:sz w:val="24"/>
          <w:szCs w:val="28"/>
          <w:highlight w:val="none"/>
          <w:lang w:val="en-US" w:eastAsia="zh-CN" w:bidi="ar-SA"/>
        </w:rPr>
        <w:t>、双方约定，本合同在履行期间，双方发生争议时：</w:t>
      </w:r>
    </w:p>
    <w:p w14:paraId="6D9EB39B">
      <w:pPr>
        <w:pStyle w:val="2"/>
        <w:rPr>
          <w:rFonts w:hint="eastAsia" w:ascii="宋体" w:hAnsi="宋体" w:eastAsia="宋体" w:cs="宋体"/>
          <w:b w:val="0"/>
          <w:bCs/>
          <w:kern w:val="2"/>
          <w:sz w:val="24"/>
          <w:szCs w:val="28"/>
          <w:highlight w:val="none"/>
          <w:lang w:val="en-US" w:eastAsia="zh-CN" w:bidi="ar-SA"/>
        </w:rPr>
      </w:pPr>
      <w:r>
        <w:rPr>
          <w:rFonts w:hint="eastAsia" w:ascii="宋体" w:hAnsi="宋体" w:eastAsia="宋体" w:cs="宋体"/>
          <w:b w:val="0"/>
          <w:bCs/>
          <w:kern w:val="2"/>
          <w:sz w:val="24"/>
          <w:szCs w:val="28"/>
          <w:highlight w:val="none"/>
          <w:lang w:val="en-US" w:eastAsia="zh-CN" w:bidi="ar-SA"/>
        </w:rPr>
        <w:t>（1）</w:t>
      </w:r>
      <w:r>
        <w:rPr>
          <w:rFonts w:hint="eastAsia" w:ascii="宋体" w:hAnsi="宋体" w:eastAsia="宋体" w:cs="宋体"/>
          <w:bCs w:val="0"/>
          <w:kern w:val="2"/>
          <w:sz w:val="24"/>
          <w:szCs w:val="28"/>
          <w:highlight w:val="none"/>
          <w:lang w:val="en-US" w:eastAsia="zh-CN" w:bidi="ar-SA"/>
        </w:rPr>
        <w:t xml:space="preserve">请 </w:t>
      </w:r>
      <w:r>
        <w:rPr>
          <w:rFonts w:hint="eastAsia" w:ascii="宋体" w:hAnsi="宋体" w:eastAsia="宋体" w:cs="宋体"/>
          <w:bCs w:val="0"/>
          <w:kern w:val="2"/>
          <w:sz w:val="24"/>
          <w:szCs w:val="28"/>
          <w:highlight w:val="none"/>
          <w:u w:val="single"/>
          <w:lang w:val="en-US" w:eastAsia="zh-CN" w:bidi="ar-SA"/>
        </w:rPr>
        <w:t xml:space="preserve">行业主管部门 </w:t>
      </w:r>
      <w:r>
        <w:rPr>
          <w:rFonts w:hint="eastAsia" w:ascii="宋体" w:hAnsi="宋体" w:eastAsia="宋体" w:cs="宋体"/>
          <w:bCs w:val="0"/>
          <w:kern w:val="2"/>
          <w:sz w:val="24"/>
          <w:szCs w:val="28"/>
          <w:highlight w:val="none"/>
          <w:lang w:val="en-US" w:eastAsia="zh-CN" w:bidi="ar-SA"/>
        </w:rPr>
        <w:t>调解；</w:t>
      </w:r>
    </w:p>
    <w:p w14:paraId="755DC69E">
      <w:pPr>
        <w:pStyle w:val="2"/>
        <w:rPr>
          <w:rFonts w:hint="eastAsia" w:ascii="宋体" w:hAnsi="宋体" w:eastAsia="宋体" w:cs="宋体"/>
          <w:b w:val="0"/>
          <w:bCs/>
          <w:kern w:val="2"/>
          <w:sz w:val="24"/>
          <w:szCs w:val="28"/>
          <w:highlight w:val="none"/>
          <w:lang w:val="en-US" w:eastAsia="zh-CN" w:bidi="ar-SA"/>
        </w:rPr>
      </w:pPr>
      <w:r>
        <w:rPr>
          <w:rFonts w:hint="eastAsia" w:ascii="宋体" w:hAnsi="宋体" w:eastAsia="宋体" w:cs="宋体"/>
          <w:b w:val="0"/>
          <w:bCs/>
          <w:kern w:val="2"/>
          <w:sz w:val="24"/>
          <w:szCs w:val="28"/>
          <w:highlight w:val="none"/>
          <w:lang w:val="en-US" w:eastAsia="zh-CN" w:bidi="ar-SA"/>
        </w:rPr>
        <w:t>（2）</w:t>
      </w:r>
      <w:r>
        <w:rPr>
          <w:rFonts w:hint="eastAsia" w:ascii="宋体" w:hAnsi="宋体" w:eastAsia="宋体" w:cs="宋体"/>
          <w:bCs w:val="0"/>
          <w:kern w:val="2"/>
          <w:sz w:val="24"/>
          <w:szCs w:val="28"/>
          <w:highlight w:val="none"/>
          <w:lang w:val="en-US" w:eastAsia="zh-CN" w:bidi="ar-SA"/>
        </w:rPr>
        <w:t>采取第</w:t>
      </w:r>
      <w:r>
        <w:rPr>
          <w:rFonts w:hint="eastAsia" w:ascii="宋体" w:hAnsi="宋体" w:eastAsia="宋体" w:cs="宋体"/>
          <w:bCs w:val="0"/>
          <w:kern w:val="2"/>
          <w:sz w:val="24"/>
          <w:szCs w:val="28"/>
          <w:highlight w:val="none"/>
          <w:u w:val="single"/>
          <w:lang w:val="en-US" w:eastAsia="zh-CN" w:bidi="ar-SA"/>
        </w:rPr>
        <w:t xml:space="preserve"> 二 </w:t>
      </w:r>
      <w:r>
        <w:rPr>
          <w:rFonts w:hint="eastAsia" w:ascii="宋体" w:hAnsi="宋体" w:eastAsia="宋体" w:cs="宋体"/>
          <w:bCs w:val="0"/>
          <w:kern w:val="2"/>
          <w:sz w:val="24"/>
          <w:szCs w:val="28"/>
          <w:highlight w:val="none"/>
          <w:lang w:val="en-US" w:eastAsia="zh-CN" w:bidi="ar-SA"/>
        </w:rPr>
        <w:t>种方式解决；</w:t>
      </w:r>
    </w:p>
    <w:p w14:paraId="034EBB38">
      <w:pPr>
        <w:pStyle w:val="2"/>
        <w:rPr>
          <w:rFonts w:hint="eastAsia" w:ascii="宋体" w:hAnsi="宋体" w:eastAsia="宋体" w:cs="宋体"/>
          <w:b w:val="0"/>
          <w:bCs/>
          <w:kern w:val="2"/>
          <w:sz w:val="24"/>
          <w:szCs w:val="28"/>
          <w:highlight w:val="none"/>
          <w:lang w:val="en-US" w:eastAsia="zh-CN" w:bidi="ar-SA"/>
        </w:rPr>
      </w:pPr>
      <w:r>
        <w:rPr>
          <w:rFonts w:hint="eastAsia" w:ascii="宋体" w:hAnsi="宋体" w:eastAsia="宋体" w:cs="宋体"/>
          <w:b w:val="0"/>
          <w:bCs/>
          <w:kern w:val="2"/>
          <w:sz w:val="24"/>
          <w:szCs w:val="28"/>
          <w:highlight w:val="none"/>
          <w:lang w:val="en-US" w:eastAsia="zh-CN" w:bidi="ar-SA"/>
        </w:rPr>
        <w:t>1、</w:t>
      </w:r>
      <w:r>
        <w:rPr>
          <w:rFonts w:hint="eastAsia" w:ascii="宋体" w:hAnsi="宋体" w:eastAsia="宋体" w:cs="宋体"/>
          <w:bCs w:val="0"/>
          <w:kern w:val="2"/>
          <w:sz w:val="24"/>
          <w:szCs w:val="28"/>
          <w:highlight w:val="none"/>
          <w:lang w:val="en-US" w:eastAsia="zh-CN" w:bidi="ar-SA"/>
        </w:rPr>
        <w:t>向</w:t>
      </w:r>
      <w:r>
        <w:rPr>
          <w:rFonts w:hint="eastAsia" w:ascii="宋体" w:hAnsi="宋体" w:eastAsia="宋体" w:cs="宋体"/>
          <w:bCs w:val="0"/>
          <w:kern w:val="2"/>
          <w:sz w:val="24"/>
          <w:szCs w:val="28"/>
          <w:highlight w:val="none"/>
          <w:u w:val="single"/>
          <w:lang w:val="en-US" w:eastAsia="zh-CN" w:bidi="ar-SA"/>
        </w:rPr>
        <w:t>金华仲裁委员会</w:t>
      </w:r>
      <w:r>
        <w:rPr>
          <w:rFonts w:hint="eastAsia" w:ascii="宋体" w:hAnsi="宋体" w:eastAsia="宋体" w:cs="宋体"/>
          <w:bCs w:val="0"/>
          <w:kern w:val="2"/>
          <w:sz w:val="24"/>
          <w:szCs w:val="28"/>
          <w:highlight w:val="none"/>
          <w:lang w:val="en-US" w:eastAsia="zh-CN" w:bidi="ar-SA"/>
        </w:rPr>
        <w:t>提请仲裁；</w:t>
      </w:r>
    </w:p>
    <w:p w14:paraId="0AF3191C">
      <w:pPr>
        <w:pStyle w:val="2"/>
        <w:rPr>
          <w:highlight w:val="none"/>
        </w:rPr>
      </w:pPr>
      <w:r>
        <w:rPr>
          <w:rFonts w:hint="eastAsia" w:ascii="宋体" w:hAnsi="宋体" w:eastAsia="宋体" w:cs="宋体"/>
          <w:bCs w:val="0"/>
          <w:kern w:val="2"/>
          <w:sz w:val="24"/>
          <w:szCs w:val="28"/>
          <w:highlight w:val="none"/>
          <w:lang w:val="en-US" w:eastAsia="zh-CN" w:bidi="ar-SA"/>
        </w:rPr>
        <w:t>2、向</w:t>
      </w:r>
      <w:r>
        <w:rPr>
          <w:rFonts w:hint="eastAsia" w:ascii="宋体" w:hAnsi="宋体" w:eastAsia="宋体" w:cs="宋体"/>
          <w:bCs w:val="0"/>
          <w:kern w:val="2"/>
          <w:sz w:val="24"/>
          <w:szCs w:val="28"/>
          <w:highlight w:val="none"/>
          <w:u w:val="single"/>
          <w:lang w:val="en-US" w:eastAsia="zh-CN" w:bidi="ar-SA"/>
        </w:rPr>
        <w:t>东阳市人民法院</w:t>
      </w:r>
      <w:r>
        <w:rPr>
          <w:rFonts w:hint="eastAsia" w:ascii="宋体" w:hAnsi="宋体" w:eastAsia="宋体" w:cs="宋体"/>
          <w:bCs w:val="0"/>
          <w:kern w:val="2"/>
          <w:sz w:val="24"/>
          <w:szCs w:val="28"/>
          <w:highlight w:val="none"/>
          <w:lang w:val="en-US" w:eastAsia="zh-CN" w:bidi="ar-SA"/>
        </w:rPr>
        <w:t>提起诉讼。</w:t>
      </w:r>
    </w:p>
    <w:p w14:paraId="35E09DC5">
      <w:pPr>
        <w:autoSpaceDE w:val="0"/>
        <w:snapToGrid w:val="0"/>
        <w:spacing w:line="440" w:lineRule="exact"/>
        <w:jc w:val="left"/>
        <w:rPr>
          <w:rFonts w:hint="eastAsia" w:ascii="宋体" w:hAnsi="宋体" w:eastAsia="宋体" w:cs="Times New Roman"/>
          <w:b/>
          <w:bCs w:val="0"/>
          <w:sz w:val="24"/>
          <w:szCs w:val="24"/>
          <w:highlight w:val="none"/>
        </w:rPr>
      </w:pPr>
      <w:r>
        <w:rPr>
          <w:rFonts w:hint="eastAsia" w:ascii="宋体" w:hAnsi="宋体" w:eastAsia="宋体" w:cs="Times New Roman"/>
          <w:b/>
          <w:bCs w:val="0"/>
          <w:sz w:val="24"/>
          <w:szCs w:val="24"/>
          <w:highlight w:val="none"/>
        </w:rPr>
        <w:t>十</w:t>
      </w:r>
      <w:r>
        <w:rPr>
          <w:rFonts w:hint="eastAsia" w:ascii="宋体" w:hAnsi="宋体" w:cs="Times New Roman"/>
          <w:b/>
          <w:bCs w:val="0"/>
          <w:sz w:val="24"/>
          <w:szCs w:val="24"/>
          <w:highlight w:val="none"/>
          <w:lang w:val="en-US" w:eastAsia="zh-CN"/>
        </w:rPr>
        <w:t>五</w:t>
      </w:r>
      <w:r>
        <w:rPr>
          <w:rFonts w:hint="eastAsia" w:ascii="宋体" w:hAnsi="宋体" w:eastAsia="宋体" w:cs="Times New Roman"/>
          <w:b/>
          <w:bCs w:val="0"/>
          <w:sz w:val="24"/>
          <w:szCs w:val="24"/>
          <w:highlight w:val="none"/>
        </w:rPr>
        <w:t>、合同生效及其它</w:t>
      </w:r>
    </w:p>
    <w:p w14:paraId="61CAEC08">
      <w:pPr>
        <w:spacing w:line="440" w:lineRule="exact"/>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1.合同经双方法定代表人或授权代表签字并加盖单位公章，</w:t>
      </w:r>
      <w:r>
        <w:rPr>
          <w:rFonts w:hint="eastAsia" w:ascii="宋体" w:hAnsi="宋体"/>
          <w:sz w:val="24"/>
          <w:highlight w:val="none"/>
        </w:rPr>
        <w:t>报东阳市财政局采购办备案</w:t>
      </w:r>
      <w:r>
        <w:rPr>
          <w:rFonts w:hint="eastAsia" w:ascii="宋体" w:hAnsi="宋体"/>
          <w:sz w:val="24"/>
          <w:highlight w:val="none"/>
          <w:lang w:val="en-US" w:eastAsia="zh-CN"/>
        </w:rPr>
        <w:t>后</w:t>
      </w:r>
      <w:r>
        <w:rPr>
          <w:rFonts w:hint="eastAsia" w:ascii="宋体" w:hAnsi="宋体" w:cs="Times New Roman"/>
          <w:bCs/>
          <w:sz w:val="24"/>
          <w:szCs w:val="24"/>
          <w:highlight w:val="none"/>
          <w:lang w:val="en-US" w:eastAsia="zh-CN"/>
        </w:rPr>
        <w:t>生效</w:t>
      </w:r>
      <w:r>
        <w:rPr>
          <w:rFonts w:hint="eastAsia" w:ascii="宋体" w:hAnsi="宋体" w:eastAsia="宋体" w:cs="Times New Roman"/>
          <w:bCs/>
          <w:sz w:val="24"/>
          <w:szCs w:val="24"/>
          <w:highlight w:val="none"/>
        </w:rPr>
        <w:t>。</w:t>
      </w:r>
    </w:p>
    <w:p w14:paraId="777EC83A">
      <w:pPr>
        <w:spacing w:line="440" w:lineRule="exact"/>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2.合同执行中涉及采购资金和采购内容修改或补充的，须经财政部门审批，并签书面补充协议报政府采购监督管理部门备案，方可作为主合同不可分割的一部分。</w:t>
      </w:r>
    </w:p>
    <w:p w14:paraId="3FEC37C3">
      <w:pPr>
        <w:spacing w:line="440" w:lineRule="exact"/>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3.本合同未尽事宜，遵照《中华人民共和国民法典》有关条文执行。</w:t>
      </w:r>
    </w:p>
    <w:p w14:paraId="493A2123">
      <w:pPr>
        <w:spacing w:line="440" w:lineRule="exact"/>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4.本合同正本一式五份，甲方两份，</w:t>
      </w:r>
      <w:r>
        <w:rPr>
          <w:rFonts w:hint="eastAsia" w:ascii="宋体" w:hAnsi="宋体"/>
          <w:sz w:val="24"/>
          <w:highlight w:val="none"/>
        </w:rPr>
        <w:t>招标代理机构</w:t>
      </w:r>
      <w:r>
        <w:rPr>
          <w:rFonts w:hint="eastAsia" w:ascii="宋体" w:hAnsi="宋体" w:eastAsia="宋体" w:cs="Times New Roman"/>
          <w:bCs/>
          <w:sz w:val="24"/>
          <w:szCs w:val="24"/>
          <w:highlight w:val="none"/>
        </w:rPr>
        <w:t>、乙方、东阳市财政局采购办各执一份，具有同等法律效力。</w:t>
      </w:r>
    </w:p>
    <w:p w14:paraId="5062FD2A">
      <w:pPr>
        <w:spacing w:line="440" w:lineRule="exact"/>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5、声明：本合同样本仅供参考，甲乙双方可就</w:t>
      </w:r>
      <w:r>
        <w:rPr>
          <w:rFonts w:hint="eastAsia" w:ascii="宋体" w:hAnsi="宋体" w:eastAsia="宋体" w:cs="Times New Roman"/>
          <w:bCs/>
          <w:sz w:val="24"/>
          <w:szCs w:val="24"/>
          <w:highlight w:val="none"/>
          <w:lang w:eastAsia="zh-CN"/>
        </w:rPr>
        <w:t>竞争性磋商</w:t>
      </w:r>
      <w:r>
        <w:rPr>
          <w:rFonts w:hint="eastAsia" w:ascii="宋体" w:hAnsi="宋体" w:eastAsia="宋体" w:cs="Times New Roman"/>
          <w:bCs/>
          <w:sz w:val="24"/>
          <w:szCs w:val="24"/>
          <w:highlight w:val="none"/>
        </w:rPr>
        <w:t>文件的非实质性条款进行修改，但不能修改项目的工期、单价、付款方式、品牌型号、质保期等实质性条款，甲乙双方对合同的真实性负责，鉴证方只负责鉴证项目招标的真实性。</w:t>
      </w:r>
    </w:p>
    <w:p w14:paraId="06DF94C8">
      <w:pPr>
        <w:pStyle w:val="3"/>
        <w:rPr>
          <w:rFonts w:hint="eastAsia"/>
          <w:highlight w:val="none"/>
        </w:rPr>
      </w:pPr>
    </w:p>
    <w:p w14:paraId="4481E5A2">
      <w:pPr>
        <w:snapToGrid w:val="0"/>
        <w:spacing w:line="360" w:lineRule="auto"/>
        <w:rPr>
          <w:rFonts w:ascii="宋体"/>
          <w:sz w:val="24"/>
          <w:highlight w:val="none"/>
        </w:rPr>
      </w:pPr>
      <w:r>
        <w:rPr>
          <w:rFonts w:hint="eastAsia" w:ascii="宋体" w:hAnsi="宋体"/>
          <w:b/>
          <w:sz w:val="24"/>
          <w:highlight w:val="none"/>
        </w:rPr>
        <w:t>甲方（公章）：</w:t>
      </w:r>
      <w:r>
        <w:rPr>
          <w:rFonts w:ascii="宋体" w:hAnsi="宋体"/>
          <w:b/>
          <w:sz w:val="24"/>
          <w:highlight w:val="none"/>
        </w:rPr>
        <w:t xml:space="preserve">        </w:t>
      </w:r>
      <w:r>
        <w:rPr>
          <w:rFonts w:hint="eastAsia" w:ascii="宋体" w:hAnsi="宋体"/>
          <w:b/>
          <w:sz w:val="24"/>
          <w:highlight w:val="none"/>
          <w:lang w:val="en-US" w:eastAsia="zh-CN"/>
        </w:rPr>
        <w:t xml:space="preserve">             </w:t>
      </w:r>
      <w:r>
        <w:rPr>
          <w:rFonts w:hint="eastAsia" w:ascii="宋体" w:hAnsi="宋体"/>
          <w:b/>
          <w:sz w:val="24"/>
          <w:highlight w:val="none"/>
        </w:rPr>
        <w:t>乙方（公章）：</w:t>
      </w:r>
    </w:p>
    <w:p w14:paraId="566CDC95">
      <w:pPr>
        <w:snapToGrid w:val="0"/>
        <w:spacing w:line="360" w:lineRule="auto"/>
        <w:rPr>
          <w:rFonts w:ascii="宋体"/>
          <w:sz w:val="24"/>
          <w:highlight w:val="none"/>
        </w:rPr>
      </w:pPr>
      <w:r>
        <w:rPr>
          <w:rFonts w:hint="eastAsia" w:ascii="宋体" w:hAnsi="宋体"/>
          <w:sz w:val="24"/>
          <w:highlight w:val="none"/>
        </w:rPr>
        <w:t>法定代表人或受委托人</w:t>
      </w:r>
      <w:r>
        <w:rPr>
          <w:rFonts w:ascii="宋体" w:hAnsi="宋体"/>
          <w:sz w:val="24"/>
          <w:highlight w:val="none"/>
        </w:rPr>
        <w:t xml:space="preserve">               </w:t>
      </w:r>
      <w:r>
        <w:rPr>
          <w:rFonts w:hint="eastAsia" w:ascii="宋体" w:hAnsi="宋体"/>
          <w:sz w:val="24"/>
          <w:highlight w:val="none"/>
        </w:rPr>
        <w:t>法定代表人或受委托人</w:t>
      </w:r>
    </w:p>
    <w:p w14:paraId="75FF5F29">
      <w:pPr>
        <w:snapToGrid w:val="0"/>
        <w:spacing w:line="360" w:lineRule="auto"/>
        <w:rPr>
          <w:rFonts w:ascii="宋体"/>
          <w:sz w:val="24"/>
          <w:highlight w:val="none"/>
        </w:rPr>
      </w:pPr>
      <w:r>
        <w:rPr>
          <w:rFonts w:hint="eastAsia" w:ascii="宋体" w:hAnsi="宋体"/>
          <w:sz w:val="24"/>
          <w:highlight w:val="none"/>
        </w:rPr>
        <w:t>（签字）</w:t>
      </w:r>
      <w:r>
        <w:rPr>
          <w:rFonts w:ascii="宋体" w:hAnsi="宋体"/>
          <w:sz w:val="24"/>
          <w:highlight w:val="none"/>
        </w:rPr>
        <w:t xml:space="preserve">                            </w:t>
      </w:r>
      <w:r>
        <w:rPr>
          <w:rFonts w:hint="eastAsia" w:ascii="宋体" w:hAnsi="宋体"/>
          <w:sz w:val="24"/>
          <w:highlight w:val="none"/>
        </w:rPr>
        <w:t>（签字）</w:t>
      </w:r>
    </w:p>
    <w:p w14:paraId="4FF23181">
      <w:pPr>
        <w:snapToGrid w:val="0"/>
        <w:spacing w:line="360" w:lineRule="auto"/>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14:paraId="3973F4C9">
      <w:pPr>
        <w:snapToGrid w:val="0"/>
        <w:spacing w:line="360" w:lineRule="auto"/>
        <w:rPr>
          <w:rFonts w:ascii="宋体"/>
          <w:sz w:val="24"/>
          <w:highlight w:val="none"/>
        </w:rPr>
      </w:pPr>
      <w:r>
        <w:rPr>
          <w:rFonts w:hint="eastAsia" w:ascii="宋体" w:hAnsi="宋体"/>
          <w:sz w:val="24"/>
          <w:highlight w:val="none"/>
        </w:rPr>
        <w:t>邮编：</w:t>
      </w:r>
      <w:r>
        <w:rPr>
          <w:rFonts w:ascii="宋体" w:hAnsi="宋体"/>
          <w:sz w:val="24"/>
          <w:highlight w:val="none"/>
        </w:rPr>
        <w:t xml:space="preserve">                             </w:t>
      </w:r>
      <w:r>
        <w:rPr>
          <w:rFonts w:hint="eastAsia" w:ascii="宋体" w:hAnsi="宋体"/>
          <w:sz w:val="24"/>
          <w:highlight w:val="none"/>
        </w:rPr>
        <w:t>邮编：</w:t>
      </w:r>
    </w:p>
    <w:p w14:paraId="31CFD6B2">
      <w:pPr>
        <w:snapToGrid w:val="0"/>
        <w:spacing w:line="360" w:lineRule="auto"/>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14:paraId="4D306B7D">
      <w:pPr>
        <w:snapToGrid w:val="0"/>
        <w:spacing w:line="360" w:lineRule="auto"/>
        <w:rPr>
          <w:rFonts w:ascii="宋体"/>
          <w:sz w:val="24"/>
          <w:highlight w:val="none"/>
        </w:rPr>
      </w:pPr>
      <w:r>
        <w:rPr>
          <w:rFonts w:hint="eastAsia" w:ascii="宋体" w:hAnsi="宋体"/>
          <w:sz w:val="24"/>
          <w:highlight w:val="none"/>
        </w:rPr>
        <w:t>传真：</w:t>
      </w:r>
      <w:r>
        <w:rPr>
          <w:rFonts w:ascii="宋体" w:hAnsi="宋体"/>
          <w:sz w:val="24"/>
          <w:highlight w:val="none"/>
        </w:rPr>
        <w:t xml:space="preserve">                             </w:t>
      </w:r>
      <w:r>
        <w:rPr>
          <w:rFonts w:hint="eastAsia" w:ascii="宋体" w:hAnsi="宋体"/>
          <w:sz w:val="24"/>
          <w:highlight w:val="none"/>
        </w:rPr>
        <w:t>传真：</w:t>
      </w:r>
    </w:p>
    <w:p w14:paraId="52547E08">
      <w:pPr>
        <w:snapToGrid w:val="0"/>
        <w:spacing w:line="360" w:lineRule="auto"/>
        <w:rPr>
          <w:rFonts w:ascii="宋体"/>
          <w:b/>
          <w:bCs/>
          <w:szCs w:val="21"/>
          <w:highlight w:val="none"/>
        </w:rPr>
      </w:pPr>
      <w:r>
        <w:rPr>
          <w:rFonts w:hint="eastAsia" w:ascii="宋体" w:hAnsi="宋体"/>
          <w:sz w:val="24"/>
          <w:highlight w:val="none"/>
        </w:rPr>
        <w:t>户名：</w:t>
      </w:r>
      <w:r>
        <w:rPr>
          <w:rFonts w:ascii="宋体" w:hAnsi="宋体"/>
          <w:sz w:val="24"/>
          <w:highlight w:val="none"/>
        </w:rPr>
        <w:t xml:space="preserve">                             </w:t>
      </w:r>
      <w:r>
        <w:rPr>
          <w:rFonts w:hint="eastAsia" w:ascii="宋体" w:hAnsi="宋体"/>
          <w:sz w:val="24"/>
          <w:highlight w:val="none"/>
        </w:rPr>
        <w:t>户名：</w:t>
      </w:r>
    </w:p>
    <w:p w14:paraId="6CEE06BB">
      <w:pPr>
        <w:snapToGrid w:val="0"/>
        <w:spacing w:line="360" w:lineRule="auto"/>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14:paraId="40AFAB1C">
      <w:pPr>
        <w:snapToGrid w:val="0"/>
        <w:spacing w:line="360" w:lineRule="auto"/>
        <w:rPr>
          <w:rFonts w:hAnsi="宋体" w:cs="宋体"/>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14:paraId="41738BE5">
      <w:pPr>
        <w:snapToGrid w:val="0"/>
        <w:spacing w:line="276" w:lineRule="auto"/>
        <w:rPr>
          <w:rFonts w:ascii="宋体"/>
          <w:sz w:val="24"/>
          <w:highlight w:val="none"/>
        </w:rPr>
      </w:pPr>
    </w:p>
    <w:p w14:paraId="4E894330">
      <w:pPr>
        <w:snapToGrid w:val="0"/>
        <w:spacing w:line="276" w:lineRule="auto"/>
        <w:rPr>
          <w:rFonts w:hint="eastAsia" w:ascii="黑体" w:hAnsi="宋体" w:eastAsia="黑体"/>
          <w:sz w:val="32"/>
          <w:szCs w:val="32"/>
          <w:highlight w:val="none"/>
        </w:rPr>
      </w:pPr>
      <w:r>
        <w:rPr>
          <w:rFonts w:hint="eastAsia" w:ascii="宋体" w:hAnsi="宋体"/>
          <w:sz w:val="24"/>
          <w:highlight w:val="none"/>
        </w:rPr>
        <w:t>签约地点：</w:t>
      </w:r>
      <w:r>
        <w:rPr>
          <w:rFonts w:ascii="宋体" w:hAnsi="宋体"/>
          <w:sz w:val="24"/>
          <w:highlight w:val="none"/>
        </w:rPr>
        <w:t xml:space="preserve">                          </w:t>
      </w:r>
      <w:r>
        <w:rPr>
          <w:rFonts w:hint="eastAsia" w:ascii="宋体" w:hAnsi="宋体"/>
          <w:sz w:val="24"/>
          <w:highlight w:val="none"/>
        </w:rPr>
        <w:t>签约时间：</w:t>
      </w:r>
    </w:p>
    <w:p w14:paraId="3C640555">
      <w:pPr>
        <w:rPr>
          <w:rFonts w:hAnsi="宋体"/>
          <w:highlight w:val="none"/>
        </w:rPr>
      </w:pPr>
    </w:p>
    <w:p w14:paraId="5966410A">
      <w:pPr>
        <w:rPr>
          <w:highlight w:val="none"/>
        </w:rPr>
      </w:pPr>
    </w:p>
    <w:p w14:paraId="00FE1630">
      <w:pPr>
        <w:spacing w:line="360" w:lineRule="auto"/>
        <w:rPr>
          <w:rFonts w:hint="eastAsia" w:ascii="宋体" w:hAnsi="宋体"/>
          <w:sz w:val="24"/>
          <w:highlight w:val="none"/>
        </w:rPr>
      </w:pPr>
    </w:p>
    <w:p w14:paraId="15D83FDD">
      <w:pPr>
        <w:spacing w:line="360" w:lineRule="auto"/>
        <w:rPr>
          <w:rFonts w:hint="eastAsia" w:ascii="宋体" w:hAnsi="宋体"/>
          <w:sz w:val="24"/>
          <w:highlight w:val="none"/>
        </w:rPr>
      </w:pPr>
      <w:r>
        <w:rPr>
          <w:rFonts w:hint="eastAsia" w:ascii="宋体" w:hAnsi="宋体"/>
          <w:sz w:val="24"/>
          <w:highlight w:val="none"/>
        </w:rPr>
        <w:t>鉴证方:</w:t>
      </w:r>
    </w:p>
    <w:p w14:paraId="60A0988F">
      <w:pPr>
        <w:spacing w:line="360" w:lineRule="auto"/>
        <w:rPr>
          <w:rFonts w:hint="eastAsia" w:ascii="宋体" w:hAnsi="宋体"/>
          <w:sz w:val="24"/>
          <w:highlight w:val="none"/>
        </w:rPr>
      </w:pPr>
      <w:r>
        <w:rPr>
          <w:rFonts w:hint="eastAsia" w:ascii="宋体" w:hAnsi="宋体"/>
          <w:sz w:val="24"/>
          <w:highlight w:val="none"/>
        </w:rPr>
        <w:t>法定代表人或主要负责人:</w:t>
      </w:r>
    </w:p>
    <w:p w14:paraId="5B941F0D">
      <w:pPr>
        <w:adjustRightInd w:val="0"/>
        <w:spacing w:line="400" w:lineRule="exact"/>
        <w:ind w:firstLine="420"/>
        <w:jc w:val="both"/>
        <w:rPr>
          <w:rFonts w:hint="eastAsia" w:ascii="宋体" w:hAnsi="宋体" w:eastAsia="宋体" w:cs="Times New Roman"/>
          <w:b/>
          <w:sz w:val="32"/>
          <w:szCs w:val="32"/>
          <w:highlight w:val="none"/>
        </w:rPr>
      </w:pPr>
      <w:r>
        <w:rPr>
          <w:rFonts w:hint="eastAsia" w:ascii="宋体" w:hAnsi="宋体"/>
          <w:sz w:val="24"/>
          <w:highlight w:val="none"/>
        </w:rPr>
        <w:br w:type="page"/>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Times New Roman"/>
          <w:b/>
          <w:sz w:val="32"/>
          <w:szCs w:val="32"/>
          <w:highlight w:val="none"/>
        </w:rPr>
        <w:t>工程质量保修书</w:t>
      </w:r>
    </w:p>
    <w:p w14:paraId="18F2BCC4">
      <w:pPr>
        <w:spacing w:line="360" w:lineRule="exact"/>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 xml:space="preserve"> </w:t>
      </w:r>
    </w:p>
    <w:p w14:paraId="5DF525F1">
      <w:pPr>
        <w:pStyle w:val="22"/>
        <w:spacing w:line="480" w:lineRule="exact"/>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甲方</w:t>
      </w:r>
      <w:r>
        <w:rPr>
          <w:rFonts w:ascii="Times New Roman" w:hAnsi="Times New Roman" w:eastAsia="宋体" w:cs="Times New Roman"/>
          <w:sz w:val="24"/>
          <w:szCs w:val="24"/>
          <w:highlight w:val="none"/>
        </w:rPr>
        <w:t>（全称）：</w:t>
      </w:r>
      <w:r>
        <w:rPr>
          <w:rFonts w:hint="eastAsia" w:ascii="Times New Roman" w:hAnsi="Times New Roman" w:eastAsia="宋体" w:cs="Times New Roman"/>
          <w:sz w:val="24"/>
          <w:szCs w:val="24"/>
          <w:highlight w:val="none"/>
          <w:u w:val="single"/>
          <w:lang w:val="en-US" w:eastAsia="zh-CN"/>
        </w:rPr>
        <w:t xml:space="preserve">                </w:t>
      </w:r>
    </w:p>
    <w:p w14:paraId="06D9884B">
      <w:pPr>
        <w:spacing w:line="400" w:lineRule="exact"/>
        <w:ind w:firstLine="480" w:firstLineChars="200"/>
        <w:rPr>
          <w:rFonts w:hint="eastAsia" w:ascii="宋体" w:hAnsi="宋体" w:eastAsia="宋体" w:cs="Times New Roman"/>
          <w:sz w:val="24"/>
          <w:highlight w:val="none"/>
          <w:u w:val="single"/>
          <w:lang w:eastAsia="zh-CN"/>
        </w:rPr>
      </w:pP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rPr>
        <w:t>（全称）：</w:t>
      </w:r>
      <w:r>
        <w:rPr>
          <w:rFonts w:hint="eastAsia" w:ascii="宋体" w:hAnsi="宋体" w:eastAsia="宋体" w:cs="Times New Roman"/>
          <w:sz w:val="24"/>
          <w:highlight w:val="none"/>
          <w:u w:val="single"/>
          <w:lang w:val="en-US" w:eastAsia="zh-CN"/>
        </w:rPr>
        <w:t xml:space="preserve">               </w:t>
      </w:r>
      <w:r>
        <w:rPr>
          <w:rFonts w:hint="eastAsia" w:ascii="宋体" w:hAnsi="Courier New" w:eastAsia="宋体" w:cs="宋体"/>
          <w:kern w:val="2"/>
          <w:sz w:val="24"/>
          <w:szCs w:val="24"/>
          <w:highlight w:val="none"/>
          <w:u w:val="single"/>
          <w:lang w:val="en-US" w:eastAsia="zh-CN" w:bidi="ar-SA"/>
        </w:rPr>
        <w:t xml:space="preserve"> </w:t>
      </w:r>
    </w:p>
    <w:p w14:paraId="6DA45521">
      <w:pPr>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甲方</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rPr>
        <w:t>根据《中华人民共和国建筑法》、《建设工程质量管理条例》和《房屋建筑工程质量保修办法》，经协商一致，对</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签订工程质量保修书。</w:t>
      </w:r>
    </w:p>
    <w:p w14:paraId="235A998A">
      <w:pPr>
        <w:spacing w:line="400" w:lineRule="exact"/>
        <w:ind w:firstLine="480" w:firstLineChars="200"/>
        <w:rPr>
          <w:rFonts w:hint="eastAsia" w:ascii="宋体" w:hAnsi="宋体" w:eastAsia="宋体" w:cs="Times New Roman"/>
          <w:sz w:val="24"/>
          <w:highlight w:val="none"/>
        </w:rPr>
      </w:pPr>
    </w:p>
    <w:p w14:paraId="5F840F87">
      <w:pPr>
        <w:spacing w:line="400" w:lineRule="exact"/>
        <w:ind w:firstLine="573"/>
        <w:rPr>
          <w:rFonts w:ascii="宋体" w:hAnsi="宋体" w:eastAsia="宋体" w:cs="Times New Roman"/>
          <w:b/>
          <w:sz w:val="24"/>
          <w:highlight w:val="none"/>
        </w:rPr>
      </w:pPr>
      <w:r>
        <w:rPr>
          <w:rFonts w:hint="eastAsia" w:ascii="宋体" w:hAnsi="宋体" w:eastAsia="宋体" w:cs="Times New Roman"/>
          <w:b/>
          <w:sz w:val="24"/>
          <w:highlight w:val="none"/>
        </w:rPr>
        <w:t>一、工程质量保修范围和内容</w:t>
      </w:r>
    </w:p>
    <w:p w14:paraId="1D0D4E15">
      <w:pPr>
        <w:pStyle w:val="24"/>
        <w:spacing w:line="400" w:lineRule="exact"/>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rPr>
        <w:t>在质量保修期内，按照有关法律、法规、规章规定和双方约定，承担本工程质量保修责任。</w:t>
      </w:r>
    </w:p>
    <w:p w14:paraId="7A28F168">
      <w:pPr>
        <w:spacing w:line="360" w:lineRule="auto"/>
        <w:ind w:left="0" w:leftChars="0" w:firstLine="420" w:firstLineChars="0"/>
        <w:rPr>
          <w:rFonts w:hint="eastAsia" w:ascii="宋体" w:hAnsi="宋体" w:eastAsia="宋体" w:cs="Times New Roman"/>
          <w:sz w:val="24"/>
          <w:highlight w:val="none"/>
        </w:rPr>
      </w:pPr>
      <w:r>
        <w:rPr>
          <w:rFonts w:hint="eastAsia" w:ascii="宋体" w:hAnsi="宋体" w:eastAsia="宋体" w:cs="Times New Roman"/>
          <w:sz w:val="24"/>
          <w:highlight w:val="none"/>
        </w:rPr>
        <w:t>质量保修范围</w:t>
      </w:r>
      <w:r>
        <w:rPr>
          <w:rFonts w:hint="eastAsia" w:ascii="宋体" w:hAnsi="宋体" w:eastAsia="宋体" w:cs="Times New Roman"/>
          <w:color w:val="auto"/>
          <w:sz w:val="24"/>
          <w:highlight w:val="none"/>
          <w:lang w:eastAsia="zh-CN"/>
        </w:rPr>
        <w:t>（本工程图纸设计及预算书范围内）</w:t>
      </w:r>
      <w:r>
        <w:rPr>
          <w:rFonts w:hint="eastAsia" w:ascii="宋体" w:hAnsi="宋体" w:eastAsia="宋体" w:cs="Times New Roman"/>
          <w:sz w:val="24"/>
          <w:highlight w:val="none"/>
        </w:rPr>
        <w:t>包含</w:t>
      </w:r>
      <w:r>
        <w:rPr>
          <w:rFonts w:hint="eastAsia" w:ascii="宋体" w:hAnsi="宋体" w:eastAsia="宋体" w:cs="Times New Roman"/>
          <w:kern w:val="2"/>
          <w:sz w:val="24"/>
          <w:szCs w:val="20"/>
          <w:highlight w:val="none"/>
          <w:u w:val="single"/>
          <w:lang w:val="en-US" w:eastAsia="zh-CN" w:bidi="ar-SA"/>
        </w:rPr>
        <w:t xml:space="preserve">      </w:t>
      </w:r>
      <w:r>
        <w:rPr>
          <w:rFonts w:hint="eastAsia" w:ascii="Times New Roman" w:hAnsi="Times New Roman" w:eastAsia="宋体" w:cs="Times New Roman"/>
          <w:sz w:val="24"/>
          <w:highlight w:val="none"/>
          <w:u w:val="single"/>
          <w:lang w:eastAsia="zh-CN"/>
        </w:rPr>
        <w:t>等</w:t>
      </w:r>
      <w:r>
        <w:rPr>
          <w:rFonts w:hint="eastAsia" w:ascii="宋体" w:hAnsi="宋体" w:eastAsia="宋体" w:cs="Times New Roman"/>
          <w:sz w:val="24"/>
          <w:highlight w:val="none"/>
          <w:u w:val="none"/>
          <w:lang w:val="zh-CN"/>
        </w:rPr>
        <w:t>，</w:t>
      </w:r>
      <w:r>
        <w:rPr>
          <w:rFonts w:hint="eastAsia" w:ascii="宋体" w:hAnsi="宋体" w:eastAsia="宋体" w:cs="Times New Roman"/>
          <w:sz w:val="24"/>
          <w:highlight w:val="none"/>
        </w:rPr>
        <w:t>以及双方约定的其他项目。具体保修的内容，双方约定如下：</w:t>
      </w:r>
    </w:p>
    <w:p w14:paraId="1372A9AF">
      <w:pPr>
        <w:pStyle w:val="13"/>
        <w:spacing w:line="400" w:lineRule="exact"/>
        <w:rPr>
          <w:rFonts w:hint="eastAsia" w:ascii="宋体" w:hAnsi="宋体" w:eastAsia="宋体" w:cs="Times New Roman"/>
          <w:sz w:val="24"/>
          <w:highlight w:val="none"/>
          <w:u w:val="single"/>
        </w:rPr>
      </w:pPr>
      <w:r>
        <w:rPr>
          <w:rFonts w:hint="eastAsia" w:ascii="宋体" w:hAnsi="宋体" w:eastAsia="宋体" w:cs="Times New Roman"/>
          <w:sz w:val="24"/>
          <w:highlight w:val="none"/>
          <w:u w:val="single"/>
        </w:rPr>
        <w:t>按国家及省市现行有关条例执行。</w:t>
      </w:r>
    </w:p>
    <w:p w14:paraId="7297404A">
      <w:pPr>
        <w:pStyle w:val="14"/>
        <w:rPr>
          <w:rFonts w:hint="eastAsia"/>
          <w:highlight w:val="none"/>
        </w:rPr>
      </w:pPr>
    </w:p>
    <w:p w14:paraId="498ABA78">
      <w:pPr>
        <w:spacing w:line="400" w:lineRule="exact"/>
        <w:ind w:firstLine="573"/>
        <w:rPr>
          <w:rFonts w:ascii="宋体" w:hAnsi="宋体" w:eastAsia="宋体" w:cs="Times New Roman"/>
          <w:b/>
          <w:sz w:val="24"/>
          <w:highlight w:val="none"/>
        </w:rPr>
      </w:pPr>
      <w:r>
        <w:rPr>
          <w:rFonts w:hint="eastAsia" w:ascii="宋体" w:hAnsi="宋体" w:eastAsia="宋体" w:cs="Times New Roman"/>
          <w:b/>
          <w:sz w:val="24"/>
          <w:highlight w:val="none"/>
        </w:rPr>
        <w:t>二、质量保修期</w:t>
      </w:r>
    </w:p>
    <w:p w14:paraId="2F1CF9F9">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双方根据《建设工程质量管理条例》及有关规定，约定本工程的质量保修期如下：</w:t>
      </w:r>
    </w:p>
    <w:p w14:paraId="06902E7D">
      <w:pPr>
        <w:spacing w:line="400" w:lineRule="exact"/>
        <w:ind w:firstLine="573"/>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本工程为</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贰</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lang w:val="en-US" w:eastAsia="zh-CN"/>
        </w:rPr>
        <w:t>年；</w:t>
      </w:r>
    </w:p>
    <w:p w14:paraId="05F03310">
      <w:pPr>
        <w:spacing w:line="400" w:lineRule="exact"/>
        <w:ind w:firstLine="573"/>
        <w:rPr>
          <w:rFonts w:hint="eastAsia" w:ascii="宋体" w:hAnsi="宋体" w:eastAsia="宋体" w:cs="Times New Roman"/>
          <w:sz w:val="24"/>
          <w:highlight w:val="none"/>
          <w:u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、其他项目保修期限约定如下：</w:t>
      </w:r>
      <w:r>
        <w:rPr>
          <w:rFonts w:hint="eastAsia" w:ascii="宋体" w:hAnsi="宋体" w:eastAsia="宋体" w:cs="Times New Roman"/>
          <w:sz w:val="24"/>
          <w:highlight w:val="none"/>
          <w:u w:val="none"/>
        </w:rPr>
        <w:t>按国家及省市现有条例执行。</w:t>
      </w:r>
    </w:p>
    <w:p w14:paraId="27FC8B44">
      <w:pPr>
        <w:spacing w:line="400" w:lineRule="exact"/>
        <w:ind w:firstLine="573"/>
        <w:rPr>
          <w:rFonts w:hint="eastAsia" w:ascii="宋体" w:hAnsi="宋体" w:eastAsia="宋体" w:cs="Times New Roman"/>
          <w:sz w:val="24"/>
          <w:highlight w:val="none"/>
          <w:u w:val="none"/>
        </w:rPr>
      </w:pPr>
    </w:p>
    <w:p w14:paraId="6BA70E6A">
      <w:pPr>
        <w:spacing w:line="400" w:lineRule="exact"/>
        <w:ind w:firstLine="573"/>
        <w:rPr>
          <w:rFonts w:ascii="宋体" w:hAnsi="宋体" w:eastAsia="宋体" w:cs="Times New Roman"/>
          <w:b/>
          <w:sz w:val="24"/>
          <w:highlight w:val="none"/>
        </w:rPr>
      </w:pPr>
      <w:r>
        <w:rPr>
          <w:rFonts w:hint="eastAsia" w:ascii="宋体" w:hAnsi="宋体" w:eastAsia="宋体" w:cs="Times New Roman"/>
          <w:b/>
          <w:sz w:val="24"/>
          <w:highlight w:val="none"/>
        </w:rPr>
        <w:t>三、质量保修责任</w:t>
      </w:r>
    </w:p>
    <w:p w14:paraId="11DF1FBB">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1、属于保修范围、内容的项目，承包人应当在接到保修通知之日起7天内派人保修。承包人不在约定期限内派人保修的，发包人可以委托他人修理。</w:t>
      </w:r>
    </w:p>
    <w:p w14:paraId="5D8757B8">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2、发生紧急抢修事故的，承包人在接到事故通知后，应当立即到达事故现场抢修。</w:t>
      </w:r>
    </w:p>
    <w:p w14:paraId="4350BD29">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3、对于涉及结构安全的质量问题，应当按照《建设工程质量管理条例》的规定，立即向当地建设行政主管部门报告，采取安全防范措施；由原设计单位或者具有相应资质等级的设计单位提出保修方案，承包人实施保修。</w:t>
      </w:r>
    </w:p>
    <w:p w14:paraId="095E03BA">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4、质量保修完成后，由发包人组织验收。</w:t>
      </w:r>
    </w:p>
    <w:p w14:paraId="25AAE527">
      <w:pPr>
        <w:spacing w:line="400" w:lineRule="exact"/>
        <w:rPr>
          <w:rFonts w:ascii="宋体" w:hAnsi="宋体" w:eastAsia="宋体" w:cs="Times New Roman"/>
          <w:b/>
          <w:sz w:val="24"/>
          <w:highlight w:val="none"/>
        </w:rPr>
      </w:pPr>
      <w:r>
        <w:rPr>
          <w:rFonts w:hint="eastAsia" w:ascii="宋体" w:hAnsi="宋体" w:eastAsia="宋体" w:cs="Times New Roman"/>
          <w:b/>
          <w:sz w:val="24"/>
          <w:highlight w:val="none"/>
        </w:rPr>
        <w:t>四、保修费用</w:t>
      </w:r>
    </w:p>
    <w:p w14:paraId="1B68F1D7">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保修费用由造成质量缺陷的责任方承担。</w:t>
      </w:r>
    </w:p>
    <w:p w14:paraId="790911EA">
      <w:pPr>
        <w:spacing w:line="400" w:lineRule="exact"/>
        <w:rPr>
          <w:rFonts w:ascii="宋体" w:hAnsi="宋体" w:eastAsia="宋体" w:cs="Times New Roman"/>
          <w:b/>
          <w:sz w:val="24"/>
          <w:highlight w:val="none"/>
        </w:rPr>
      </w:pPr>
      <w:r>
        <w:rPr>
          <w:rFonts w:hint="eastAsia" w:ascii="宋体" w:hAnsi="宋体" w:eastAsia="宋体" w:cs="Times New Roman"/>
          <w:b/>
          <w:sz w:val="24"/>
          <w:highlight w:val="none"/>
        </w:rPr>
        <w:t>五、其他</w:t>
      </w:r>
    </w:p>
    <w:p w14:paraId="7F8161EB">
      <w:pPr>
        <w:spacing w:line="400" w:lineRule="exact"/>
        <w:ind w:firstLine="573"/>
        <w:rPr>
          <w:rFonts w:hint="default" w:ascii="宋体" w:hAnsi="宋体" w:eastAsia="宋体" w:cs="Times New Roman"/>
          <w:b/>
          <w:bCs/>
          <w:sz w:val="24"/>
          <w:highlight w:val="none"/>
          <w:u w:val="single"/>
          <w:lang w:val="en-US" w:eastAsia="zh-CN"/>
        </w:rPr>
      </w:pPr>
      <w:r>
        <w:rPr>
          <w:rFonts w:hint="eastAsia" w:ascii="宋体" w:hAnsi="宋体" w:eastAsia="宋体" w:cs="Times New Roman"/>
          <w:sz w:val="24"/>
          <w:highlight w:val="none"/>
        </w:rPr>
        <w:t>双方约定的其他工程质量保修事项：</w:t>
      </w:r>
      <w:r>
        <w:rPr>
          <w:rFonts w:hint="eastAsia" w:ascii="宋体" w:hAnsi="宋体" w:eastAsia="宋体" w:cs="Times New Roman"/>
          <w:b/>
          <w:sz w:val="24"/>
          <w:highlight w:val="none"/>
          <w:u w:val="single"/>
          <w:lang w:val="en-US" w:eastAsia="zh-CN"/>
        </w:rPr>
        <w:t xml:space="preserve"> </w:t>
      </w:r>
      <w:r>
        <w:rPr>
          <w:rFonts w:hint="eastAsia" w:ascii="宋体" w:hAnsi="宋体" w:eastAsia="宋体" w:cs="Times New Roman"/>
          <w:b w:val="0"/>
          <w:bCs/>
          <w:sz w:val="24"/>
          <w:highlight w:val="none"/>
          <w:u w:val="single"/>
          <w:lang w:val="en-US" w:eastAsia="zh-CN"/>
        </w:rPr>
        <w:t>/</w:t>
      </w:r>
      <w:r>
        <w:rPr>
          <w:rFonts w:hint="eastAsia" w:ascii="宋体" w:hAnsi="宋体" w:cs="Times New Roman"/>
          <w:b w:val="0"/>
          <w:bCs/>
          <w:sz w:val="24"/>
          <w:highlight w:val="none"/>
          <w:u w:val="single"/>
          <w:lang w:val="en-US" w:eastAsia="zh-CN"/>
        </w:rPr>
        <w:t xml:space="preserve"> </w:t>
      </w:r>
    </w:p>
    <w:p w14:paraId="0D48EDCD">
      <w:pPr>
        <w:spacing w:line="400" w:lineRule="exact"/>
        <w:ind w:firstLine="600" w:firstLineChars="250"/>
        <w:rPr>
          <w:rFonts w:ascii="宋体" w:hAnsi="宋体" w:eastAsia="宋体" w:cs="Times New Roman"/>
          <w:sz w:val="24"/>
          <w:highlight w:val="none"/>
        </w:rPr>
      </w:pPr>
      <w:r>
        <w:rPr>
          <w:rFonts w:hint="eastAsia" w:ascii="宋体" w:hAnsi="宋体" w:eastAsia="宋体" w:cs="Times New Roman"/>
          <w:sz w:val="24"/>
          <w:highlight w:val="none"/>
        </w:rPr>
        <w:t>本工程质量保修书，由施工合同双方在竣工验收前共同签署，作为施工合同附件，其有效期限至保修期满。</w:t>
      </w:r>
    </w:p>
    <w:p w14:paraId="21B76A91">
      <w:pPr>
        <w:spacing w:line="400" w:lineRule="exact"/>
        <w:rPr>
          <w:rFonts w:ascii="宋体" w:hAnsi="宋体" w:eastAsia="宋体" w:cs="Times New Roman"/>
          <w:sz w:val="24"/>
          <w:highlight w:val="none"/>
        </w:rPr>
      </w:pPr>
      <w:r>
        <w:rPr>
          <w:rFonts w:hint="eastAsia" w:ascii="宋体" w:hAnsi="宋体" w:eastAsia="宋体" w:cs="Times New Roman"/>
          <w:sz w:val="24"/>
          <w:highlight w:val="none"/>
        </w:rPr>
        <w:t xml:space="preserve">     </w:t>
      </w:r>
    </w:p>
    <w:p w14:paraId="6BA66C56">
      <w:pPr>
        <w:spacing w:line="400" w:lineRule="exact"/>
        <w:rPr>
          <w:rFonts w:ascii="宋体" w:hAnsi="宋体" w:eastAsia="宋体" w:cs="Times New Roman"/>
          <w:sz w:val="24"/>
          <w:highlight w:val="none"/>
        </w:rPr>
      </w:pPr>
    </w:p>
    <w:p w14:paraId="75CDA5B4">
      <w:pPr>
        <w:spacing w:line="400" w:lineRule="exact"/>
        <w:rPr>
          <w:rFonts w:ascii="宋体" w:hAnsi="宋体" w:eastAsia="宋体" w:cs="Times New Roman"/>
          <w:sz w:val="24"/>
          <w:highlight w:val="none"/>
        </w:rPr>
      </w:pPr>
    </w:p>
    <w:p w14:paraId="6BE352CB">
      <w:pPr>
        <w:spacing w:line="400" w:lineRule="exact"/>
        <w:ind w:firstLine="360" w:firstLineChars="150"/>
        <w:rPr>
          <w:rFonts w:ascii="宋体" w:hAnsi="宋体" w:eastAsia="宋体" w:cs="Times New Roman"/>
          <w:sz w:val="24"/>
          <w:highlight w:val="none"/>
        </w:rPr>
      </w:pPr>
      <w:r>
        <w:rPr>
          <w:rFonts w:hint="eastAsia" w:ascii="宋体" w:hAnsi="宋体" w:eastAsia="宋体" w:cs="Times New Roman"/>
          <w:sz w:val="24"/>
          <w:highlight w:val="none"/>
          <w:lang w:val="en-US" w:eastAsia="zh-CN"/>
        </w:rPr>
        <w:t>甲方</w:t>
      </w:r>
      <w:r>
        <w:rPr>
          <w:rFonts w:ascii="宋体" w:hAnsi="宋体" w:eastAsia="宋体" w:cs="Times New Roman"/>
          <w:sz w:val="24"/>
          <w:highlight w:val="none"/>
        </w:rPr>
        <w:t>：（公章）　</w:t>
      </w:r>
      <w:r>
        <w:rPr>
          <w:rFonts w:hint="eastAsia" w:ascii="宋体" w:hAnsi="宋体" w:eastAsia="宋体" w:cs="Times New Roman"/>
          <w:sz w:val="24"/>
          <w:highlight w:val="none"/>
        </w:rPr>
        <w:t xml:space="preserve"> </w:t>
      </w:r>
      <w:r>
        <w:rPr>
          <w:rFonts w:ascii="宋体" w:hAnsi="宋体" w:eastAsia="宋体" w:cs="Times New Roman"/>
          <w:sz w:val="24"/>
          <w:highlight w:val="none"/>
        </w:rPr>
        <w:t>　</w:t>
      </w:r>
      <w:r>
        <w:rPr>
          <w:rFonts w:hint="eastAsia" w:ascii="宋体" w:hAnsi="宋体" w:eastAsia="宋体" w:cs="Times New Roman"/>
          <w:sz w:val="24"/>
          <w:highlight w:val="none"/>
        </w:rPr>
        <w:t xml:space="preserve">     </w:t>
      </w:r>
      <w:r>
        <w:rPr>
          <w:rFonts w:ascii="宋体" w:hAnsi="宋体" w:eastAsia="宋体" w:cs="Times New Roman"/>
          <w:sz w:val="24"/>
          <w:highlight w:val="none"/>
        </w:rPr>
        <w:t>　</w:t>
      </w:r>
      <w:r>
        <w:rPr>
          <w:rFonts w:hint="eastAsia" w:ascii="宋体" w:hAnsi="宋体" w:eastAsia="宋体" w:cs="Times New Roman"/>
          <w:sz w:val="24"/>
          <w:highlight w:val="none"/>
        </w:rPr>
        <w:t xml:space="preserve">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 xml:space="preserve"> </w:t>
      </w:r>
      <w:r>
        <w:rPr>
          <w:rFonts w:hint="eastAsia" w:ascii="宋体" w:hAnsi="宋体" w:eastAsia="宋体" w:cs="Times New Roman"/>
          <w:sz w:val="24"/>
          <w:highlight w:val="none"/>
          <w:lang w:val="en-US" w:eastAsia="zh-CN"/>
        </w:rPr>
        <w:t>乙方</w:t>
      </w:r>
      <w:r>
        <w:rPr>
          <w:rFonts w:ascii="宋体" w:hAnsi="宋体" w:eastAsia="宋体" w:cs="Times New Roman"/>
          <w:sz w:val="24"/>
          <w:highlight w:val="none"/>
        </w:rPr>
        <w:t>：（公章）</w:t>
      </w:r>
      <w:r>
        <w:rPr>
          <w:rFonts w:hint="eastAsia" w:ascii="宋体" w:hAnsi="宋体" w:eastAsia="宋体" w:cs="Times New Roman"/>
          <w:sz w:val="24"/>
          <w:highlight w:val="none"/>
        </w:rPr>
        <w:t xml:space="preserve">        </w:t>
      </w:r>
    </w:p>
    <w:p w14:paraId="180D5790">
      <w:pPr>
        <w:spacing w:line="400" w:lineRule="exact"/>
        <w:ind w:left="6239" w:leftChars="171" w:hanging="5880" w:hangingChars="2450"/>
        <w:rPr>
          <w:rFonts w:ascii="宋体" w:hAnsi="宋体" w:eastAsia="宋体" w:cs="Times New Roman"/>
          <w:sz w:val="24"/>
          <w:highlight w:val="none"/>
        </w:rPr>
      </w:pPr>
      <w:r>
        <w:rPr>
          <w:rFonts w:ascii="宋体" w:hAnsi="宋体" w:eastAsia="宋体" w:cs="Times New Roman"/>
          <w:sz w:val="24"/>
          <w:highlight w:val="none"/>
        </w:rPr>
        <w:t>住</w:t>
      </w:r>
      <w:r>
        <w:rPr>
          <w:rFonts w:hint="eastAsia" w:ascii="宋体" w:hAnsi="宋体" w:eastAsia="宋体" w:cs="Times New Roman"/>
          <w:sz w:val="24"/>
          <w:highlight w:val="none"/>
        </w:rPr>
        <w:t xml:space="preserve">  </w:t>
      </w:r>
      <w:r>
        <w:rPr>
          <w:rFonts w:ascii="宋体" w:hAnsi="宋体" w:eastAsia="宋体" w:cs="Times New Roman"/>
          <w:sz w:val="24"/>
          <w:highlight w:val="none"/>
        </w:rPr>
        <w:t>所：</w:t>
      </w:r>
      <w:r>
        <w:rPr>
          <w:rFonts w:hint="eastAsia" w:ascii="宋体" w:hAnsi="宋体" w:eastAsia="宋体" w:cs="Times New Roman"/>
          <w:sz w:val="24"/>
          <w:highlight w:val="none"/>
        </w:rPr>
        <w:t xml:space="preserve">                                住  所：</w:t>
      </w:r>
    </w:p>
    <w:p w14:paraId="7094FE69">
      <w:pPr>
        <w:spacing w:line="400" w:lineRule="exact"/>
        <w:ind w:firstLine="360" w:firstLineChars="150"/>
        <w:rPr>
          <w:rFonts w:ascii="宋体" w:hAnsi="宋体" w:eastAsia="宋体" w:cs="Times New Roman"/>
          <w:sz w:val="24"/>
          <w:highlight w:val="none"/>
        </w:rPr>
      </w:pPr>
      <w:r>
        <w:rPr>
          <w:rFonts w:ascii="宋体" w:hAnsi="宋体" w:eastAsia="宋体" w:cs="Times New Roman"/>
          <w:sz w:val="24"/>
          <w:highlight w:val="none"/>
        </w:rPr>
        <w:t>法定代表人：　　　　</w:t>
      </w:r>
      <w:r>
        <w:rPr>
          <w:rFonts w:hint="eastAsia" w:ascii="宋体" w:hAnsi="宋体" w:eastAsia="宋体" w:cs="Times New Roman"/>
          <w:sz w:val="24"/>
          <w:highlight w:val="none"/>
        </w:rPr>
        <w:t xml:space="preserve">                    法定代表人：</w:t>
      </w:r>
    </w:p>
    <w:p w14:paraId="6C10CF31">
      <w:pPr>
        <w:spacing w:line="400" w:lineRule="exact"/>
        <w:ind w:firstLine="360" w:firstLineChars="150"/>
        <w:rPr>
          <w:rFonts w:ascii="宋体" w:hAnsi="宋体" w:eastAsia="宋体" w:cs="Times New Roman"/>
          <w:sz w:val="24"/>
          <w:highlight w:val="none"/>
        </w:rPr>
      </w:pPr>
      <w:r>
        <w:rPr>
          <w:rFonts w:ascii="宋体" w:hAnsi="宋体" w:eastAsia="宋体" w:cs="Times New Roman"/>
          <w:sz w:val="24"/>
          <w:highlight w:val="none"/>
        </w:rPr>
        <w:t>委托代</w:t>
      </w:r>
      <w:r>
        <w:rPr>
          <w:rFonts w:hint="eastAsia" w:ascii="宋体" w:hAnsi="宋体" w:eastAsia="宋体" w:cs="Times New Roman"/>
          <w:sz w:val="24"/>
          <w:highlight w:val="none"/>
        </w:rPr>
        <w:t>理</w:t>
      </w:r>
      <w:r>
        <w:rPr>
          <w:rFonts w:ascii="宋体" w:hAnsi="宋体" w:eastAsia="宋体" w:cs="Times New Roman"/>
          <w:sz w:val="24"/>
          <w:highlight w:val="none"/>
        </w:rPr>
        <w:t>人：　　　　</w:t>
      </w:r>
      <w:r>
        <w:rPr>
          <w:rFonts w:hint="eastAsia" w:ascii="宋体" w:hAnsi="宋体" w:eastAsia="宋体" w:cs="Times New Roman"/>
          <w:sz w:val="24"/>
          <w:highlight w:val="none"/>
        </w:rPr>
        <w:t xml:space="preserve">                    委托代理人：</w:t>
      </w:r>
    </w:p>
    <w:p w14:paraId="74263C8F">
      <w:pPr>
        <w:spacing w:line="400" w:lineRule="exact"/>
        <w:ind w:firstLine="360" w:firstLineChars="150"/>
        <w:rPr>
          <w:rFonts w:ascii="宋体" w:hAnsi="宋体" w:eastAsia="宋体" w:cs="Times New Roman"/>
          <w:sz w:val="24"/>
          <w:highlight w:val="none"/>
        </w:rPr>
      </w:pPr>
      <w:r>
        <w:rPr>
          <w:rFonts w:ascii="宋体" w:hAnsi="宋体" w:eastAsia="宋体" w:cs="Times New Roman"/>
          <w:sz w:val="24"/>
          <w:highlight w:val="none"/>
        </w:rPr>
        <w:t>电</w:t>
      </w:r>
      <w:r>
        <w:rPr>
          <w:rFonts w:hint="eastAsia" w:ascii="宋体" w:hAnsi="宋体" w:eastAsia="宋体" w:cs="Times New Roman"/>
          <w:sz w:val="24"/>
          <w:highlight w:val="none"/>
        </w:rPr>
        <w:t xml:space="preserve">  </w:t>
      </w:r>
      <w:r>
        <w:rPr>
          <w:rFonts w:ascii="宋体" w:hAnsi="宋体" w:eastAsia="宋体" w:cs="Times New Roman"/>
          <w:sz w:val="24"/>
          <w:highlight w:val="none"/>
        </w:rPr>
        <w:t>话：　　　</w:t>
      </w:r>
      <w:r>
        <w:rPr>
          <w:rFonts w:hint="eastAsia" w:ascii="宋体" w:hAnsi="宋体" w:eastAsia="宋体" w:cs="Times New Roman"/>
          <w:sz w:val="24"/>
          <w:highlight w:val="none"/>
        </w:rPr>
        <w:t xml:space="preserve">                          电   话：  </w:t>
      </w:r>
    </w:p>
    <w:p w14:paraId="4C13B808">
      <w:pPr>
        <w:spacing w:line="400" w:lineRule="exact"/>
        <w:ind w:firstLine="360" w:firstLineChars="150"/>
        <w:rPr>
          <w:rFonts w:ascii="宋体" w:hAnsi="宋体" w:eastAsia="宋体" w:cs="Times New Roman"/>
          <w:sz w:val="24"/>
          <w:highlight w:val="none"/>
        </w:rPr>
      </w:pPr>
      <w:r>
        <w:rPr>
          <w:rFonts w:ascii="宋体" w:hAnsi="宋体" w:eastAsia="宋体" w:cs="Times New Roman"/>
          <w:sz w:val="24"/>
          <w:highlight w:val="none"/>
        </w:rPr>
        <w:t>传</w:t>
      </w:r>
      <w:r>
        <w:rPr>
          <w:rFonts w:hint="eastAsia" w:ascii="宋体" w:hAnsi="宋体" w:eastAsia="宋体" w:cs="Times New Roman"/>
          <w:sz w:val="24"/>
          <w:highlight w:val="none"/>
        </w:rPr>
        <w:t xml:space="preserve">  </w:t>
      </w:r>
      <w:r>
        <w:rPr>
          <w:rFonts w:ascii="宋体" w:hAnsi="宋体" w:eastAsia="宋体" w:cs="Times New Roman"/>
          <w:sz w:val="24"/>
          <w:highlight w:val="none"/>
        </w:rPr>
        <w:t>真：　　</w:t>
      </w:r>
      <w:r>
        <w:rPr>
          <w:rFonts w:hint="eastAsia" w:ascii="宋体" w:hAnsi="宋体" w:eastAsia="宋体" w:cs="Times New Roman"/>
          <w:sz w:val="24"/>
          <w:highlight w:val="none"/>
        </w:rPr>
        <w:t xml:space="preserve">                            传   真：</w:t>
      </w:r>
    </w:p>
    <w:p w14:paraId="2990794C">
      <w:pPr>
        <w:spacing w:line="400" w:lineRule="exact"/>
        <w:ind w:firstLine="320" w:firstLineChars="100"/>
        <w:rPr>
          <w:rFonts w:ascii="宋体" w:hAnsi="宋体" w:eastAsia="宋体" w:cs="Times New Roman"/>
          <w:sz w:val="24"/>
          <w:highlight w:val="none"/>
        </w:rPr>
      </w:pPr>
      <w:r>
        <w:rPr>
          <w:rFonts w:ascii="宋体" w:hAnsi="宋体" w:eastAsia="宋体" w:cs="Times New Roman"/>
          <w:spacing w:val="40"/>
          <w:sz w:val="24"/>
          <w:highlight w:val="none"/>
        </w:rPr>
        <w:t>开户银行</w:t>
      </w:r>
      <w:r>
        <w:rPr>
          <w:rFonts w:ascii="宋体" w:hAnsi="宋体" w:eastAsia="宋体" w:cs="Times New Roman"/>
          <w:sz w:val="24"/>
          <w:highlight w:val="none"/>
        </w:rPr>
        <w:t>：　　　</w:t>
      </w:r>
      <w:r>
        <w:rPr>
          <w:rFonts w:hint="eastAsia" w:ascii="宋体" w:hAnsi="宋体" w:eastAsia="宋体" w:cs="Times New Roman"/>
          <w:sz w:val="24"/>
          <w:highlight w:val="none"/>
        </w:rPr>
        <w:t xml:space="preserve">                      开户银行：</w:t>
      </w:r>
    </w:p>
    <w:p w14:paraId="223090FE">
      <w:pPr>
        <w:spacing w:line="400" w:lineRule="exact"/>
        <w:ind w:firstLine="360" w:firstLineChars="150"/>
        <w:rPr>
          <w:rFonts w:ascii="宋体" w:hAnsi="宋体" w:eastAsia="宋体" w:cs="Times New Roman"/>
          <w:sz w:val="24"/>
          <w:highlight w:val="none"/>
        </w:rPr>
      </w:pPr>
      <w:r>
        <w:rPr>
          <w:rFonts w:ascii="宋体" w:hAnsi="宋体" w:eastAsia="宋体" w:cs="Times New Roman"/>
          <w:sz w:val="24"/>
          <w:highlight w:val="none"/>
        </w:rPr>
        <w:t>账</w:t>
      </w:r>
      <w:r>
        <w:rPr>
          <w:rFonts w:hint="eastAsia" w:ascii="宋体" w:hAnsi="宋体" w:eastAsia="宋体" w:cs="Times New Roman"/>
          <w:sz w:val="24"/>
          <w:highlight w:val="none"/>
        </w:rPr>
        <w:t xml:space="preserve">  </w:t>
      </w:r>
      <w:r>
        <w:rPr>
          <w:rFonts w:ascii="宋体" w:hAnsi="宋体" w:eastAsia="宋体" w:cs="Times New Roman"/>
          <w:sz w:val="24"/>
          <w:highlight w:val="none"/>
        </w:rPr>
        <w:t>号：</w:t>
      </w:r>
      <w:r>
        <w:rPr>
          <w:rFonts w:hint="eastAsia" w:ascii="宋体" w:hAnsi="宋体" w:eastAsia="宋体" w:cs="Times New Roman"/>
          <w:sz w:val="24"/>
          <w:highlight w:val="none"/>
        </w:rPr>
        <w:t xml:space="preserve">   </w:t>
      </w:r>
      <w:r>
        <w:rPr>
          <w:rFonts w:ascii="宋体" w:hAnsi="宋体" w:eastAsia="宋体" w:cs="Times New Roman"/>
          <w:sz w:val="24"/>
          <w:highlight w:val="none"/>
        </w:rPr>
        <w:t>　</w:t>
      </w:r>
      <w:r>
        <w:rPr>
          <w:rFonts w:hint="eastAsia" w:ascii="宋体" w:hAnsi="宋体" w:eastAsia="宋体" w:cs="Times New Roman"/>
          <w:sz w:val="24"/>
          <w:highlight w:val="none"/>
        </w:rPr>
        <w:t xml:space="preserve">                           账  号：</w:t>
      </w:r>
    </w:p>
    <w:p w14:paraId="727DC88D">
      <w:pPr>
        <w:spacing w:line="400" w:lineRule="exact"/>
        <w:ind w:firstLine="320" w:firstLineChars="100"/>
        <w:rPr>
          <w:rFonts w:ascii="宋体" w:hAnsi="宋体" w:eastAsia="宋体" w:cs="Times New Roman"/>
          <w:sz w:val="24"/>
          <w:highlight w:val="none"/>
        </w:rPr>
      </w:pPr>
      <w:r>
        <w:rPr>
          <w:rFonts w:ascii="宋体" w:hAnsi="宋体" w:eastAsia="宋体" w:cs="Times New Roman"/>
          <w:spacing w:val="40"/>
          <w:sz w:val="24"/>
          <w:highlight w:val="none"/>
        </w:rPr>
        <w:t>邮政编码</w:t>
      </w:r>
      <w:r>
        <w:rPr>
          <w:rFonts w:ascii="宋体" w:hAnsi="宋体" w:eastAsia="宋体" w:cs="Times New Roman"/>
          <w:sz w:val="24"/>
          <w:highlight w:val="none"/>
        </w:rPr>
        <w:t>：</w:t>
      </w:r>
      <w:r>
        <w:rPr>
          <w:rFonts w:hint="eastAsia" w:ascii="宋体" w:hAnsi="宋体" w:eastAsia="宋体" w:cs="Times New Roman"/>
          <w:sz w:val="24"/>
          <w:highlight w:val="none"/>
        </w:rPr>
        <w:t xml:space="preserve">     </w:t>
      </w:r>
      <w:r>
        <w:rPr>
          <w:rFonts w:ascii="宋体" w:hAnsi="宋体" w:eastAsia="宋体" w:cs="Times New Roman"/>
          <w:sz w:val="24"/>
          <w:highlight w:val="none"/>
        </w:rPr>
        <w:t>　</w:t>
      </w:r>
      <w:r>
        <w:rPr>
          <w:rFonts w:hint="eastAsia" w:ascii="宋体" w:hAnsi="宋体" w:eastAsia="宋体" w:cs="Times New Roman"/>
          <w:sz w:val="24"/>
          <w:highlight w:val="none"/>
        </w:rPr>
        <w:t xml:space="preserve">                     邮政编码：</w:t>
      </w:r>
    </w:p>
    <w:p w14:paraId="43CBDAB3">
      <w:pPr>
        <w:spacing w:line="400" w:lineRule="exact"/>
        <w:ind w:firstLine="240" w:firstLineChars="100"/>
        <w:rPr>
          <w:rFonts w:ascii="宋体" w:hAnsi="宋体" w:eastAsia="宋体" w:cs="Times New Roman"/>
          <w:sz w:val="24"/>
          <w:highlight w:val="none"/>
        </w:rPr>
      </w:pPr>
    </w:p>
    <w:p w14:paraId="651D3348">
      <w:pPr>
        <w:ind w:firstLine="240" w:firstLineChars="100"/>
        <w:rPr>
          <w:rFonts w:hint="eastAsia" w:ascii="宋体" w:hAnsi="Courier New" w:eastAsia="宋体" w:cs="Times New Roman"/>
          <w:b/>
          <w:bCs/>
          <w:sz w:val="24"/>
          <w:szCs w:val="24"/>
          <w:highlight w:val="none"/>
        </w:rPr>
      </w:pPr>
      <w:r>
        <w:rPr>
          <w:rFonts w:hint="eastAsia" w:ascii="宋体" w:hAnsi="宋体" w:eastAsia="宋体" w:cs="Times New Roman"/>
          <w:sz w:val="24"/>
          <w:highlight w:val="non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rPr>
        <w:t>年</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月</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 xml:space="preserve">日                    </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cs="Times New Roman"/>
          <w:sz w:val="24"/>
          <w:highlight w:val="none"/>
          <w:lang w:val="en-US" w:eastAsia="zh-CN"/>
        </w:rPr>
        <w:t xml:space="preserve"> </w:t>
      </w:r>
      <w:r>
        <w:rPr>
          <w:rFonts w:hint="eastAsia" w:ascii="宋体" w:hAnsi="宋体" w:eastAsia="宋体" w:cs="Times New Roman"/>
          <w:sz w:val="24"/>
          <w:highlight w:val="none"/>
        </w:rPr>
        <w:t>年</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月</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日</w:t>
      </w:r>
    </w:p>
    <w:p w14:paraId="706C6D3B">
      <w:pPr>
        <w:pStyle w:val="4"/>
        <w:jc w:val="center"/>
        <w:rPr>
          <w:rFonts w:hint="eastAsia" w:ascii="宋体" w:hAnsi="宋体" w:cs="宋体"/>
          <w:color w:val="auto"/>
          <w:sz w:val="24"/>
          <w:szCs w:val="24"/>
          <w:highlight w:val="none"/>
        </w:rPr>
      </w:pPr>
      <w:bookmarkStart w:id="46" w:name="_Toc30548"/>
    </w:p>
    <w:p w14:paraId="76F83AE7">
      <w:pPr>
        <w:pStyle w:val="4"/>
        <w:jc w:val="center"/>
        <w:rPr>
          <w:rFonts w:hint="eastAsia" w:ascii="宋体" w:hAnsi="宋体" w:cs="宋体"/>
          <w:color w:val="auto"/>
          <w:sz w:val="24"/>
          <w:szCs w:val="24"/>
          <w:highlight w:val="none"/>
        </w:rPr>
      </w:pPr>
    </w:p>
    <w:p w14:paraId="6BA916C7">
      <w:pPr>
        <w:pStyle w:val="4"/>
        <w:jc w:val="both"/>
        <w:rPr>
          <w:rFonts w:hint="eastAsia" w:ascii="宋体" w:hAnsi="宋体" w:cs="宋体"/>
          <w:color w:val="auto"/>
          <w:sz w:val="24"/>
          <w:szCs w:val="24"/>
          <w:highlight w:val="none"/>
        </w:rPr>
      </w:pPr>
    </w:p>
    <w:p w14:paraId="1A6EB934">
      <w:pPr>
        <w:rPr>
          <w:rFonts w:hint="eastAsia" w:ascii="宋体" w:hAnsi="宋体" w:cs="宋体"/>
          <w:color w:val="auto"/>
          <w:sz w:val="24"/>
          <w:szCs w:val="24"/>
          <w:highlight w:val="none"/>
        </w:rPr>
      </w:pPr>
    </w:p>
    <w:p w14:paraId="11D522F1">
      <w:pPr>
        <w:pStyle w:val="14"/>
        <w:rPr>
          <w:rFonts w:hint="eastAsia"/>
          <w:highlight w:val="none"/>
        </w:rPr>
      </w:pPr>
    </w:p>
    <w:p w14:paraId="01805FC1">
      <w:pPr>
        <w:pStyle w:val="4"/>
        <w:jc w:val="both"/>
        <w:rPr>
          <w:rFonts w:hint="eastAsia" w:ascii="宋体" w:hAnsi="宋体" w:cs="宋体"/>
          <w:color w:val="auto"/>
          <w:sz w:val="24"/>
          <w:szCs w:val="24"/>
          <w:highlight w:val="none"/>
        </w:rPr>
      </w:pPr>
    </w:p>
    <w:p w14:paraId="0B45C0AD">
      <w:pPr>
        <w:pStyle w:val="4"/>
        <w:jc w:val="both"/>
        <w:rPr>
          <w:rFonts w:hint="eastAsia" w:ascii="宋体" w:hAnsi="宋体" w:eastAsia="宋体" w:cs="宋体"/>
          <w:b w:val="0"/>
          <w:bCs w:val="0"/>
          <w:color w:val="auto"/>
          <w:kern w:val="2"/>
          <w:sz w:val="24"/>
          <w:szCs w:val="24"/>
          <w:highlight w:val="none"/>
          <w:lang w:val="en-US" w:eastAsia="zh-CN" w:bidi="ar-SA"/>
        </w:rPr>
      </w:pPr>
    </w:p>
    <w:p w14:paraId="73FC42BB">
      <w:pPr>
        <w:rPr>
          <w:rFonts w:hint="eastAsia" w:ascii="宋体" w:hAnsi="宋体" w:eastAsia="宋体" w:cs="宋体"/>
          <w:b w:val="0"/>
          <w:bCs w:val="0"/>
          <w:color w:val="auto"/>
          <w:kern w:val="2"/>
          <w:sz w:val="24"/>
          <w:szCs w:val="24"/>
          <w:highlight w:val="none"/>
          <w:lang w:val="en-US" w:eastAsia="zh-CN" w:bidi="ar-SA"/>
        </w:rPr>
      </w:pPr>
    </w:p>
    <w:p w14:paraId="0E15AF93">
      <w:pPr>
        <w:pStyle w:val="14"/>
        <w:rPr>
          <w:rFonts w:hint="eastAsia" w:ascii="宋体" w:hAnsi="宋体" w:eastAsia="宋体" w:cs="宋体"/>
          <w:b w:val="0"/>
          <w:bCs w:val="0"/>
          <w:color w:val="auto"/>
          <w:kern w:val="2"/>
          <w:sz w:val="24"/>
          <w:szCs w:val="24"/>
          <w:highlight w:val="none"/>
          <w:lang w:val="en-US" w:eastAsia="zh-CN" w:bidi="ar-SA"/>
        </w:rPr>
      </w:pPr>
    </w:p>
    <w:p w14:paraId="05BBDD5A">
      <w:pPr>
        <w:rPr>
          <w:rFonts w:hint="default"/>
          <w:highlight w:val="none"/>
          <w:lang w:val="en-US" w:eastAsia="zh-CN"/>
        </w:rPr>
      </w:pPr>
      <w:r>
        <w:rPr>
          <w:rFonts w:hint="eastAsia" w:ascii="宋体" w:hAnsi="宋体" w:cs="宋体"/>
          <w:b w:val="0"/>
          <w:bCs w:val="0"/>
          <w:color w:val="auto"/>
          <w:kern w:val="2"/>
          <w:sz w:val="24"/>
          <w:szCs w:val="24"/>
          <w:highlight w:val="none"/>
          <w:lang w:val="en-US" w:eastAsia="zh-CN" w:bidi="ar-SA"/>
        </w:rPr>
        <w:t xml:space="preserve">  </w:t>
      </w:r>
    </w:p>
    <w:p w14:paraId="6D736CBD">
      <w:pPr>
        <w:pStyle w:val="4"/>
        <w:jc w:val="both"/>
        <w:rPr>
          <w:rFonts w:hint="eastAsia" w:ascii="宋体" w:hAnsi="宋体" w:cs="宋体"/>
          <w:color w:val="auto"/>
          <w:sz w:val="24"/>
          <w:szCs w:val="24"/>
          <w:highlight w:val="none"/>
        </w:rPr>
      </w:pPr>
    </w:p>
    <w:p w14:paraId="64CC79D6">
      <w:pPr>
        <w:pStyle w:val="4"/>
        <w:ind w:firstLine="361" w:firstLineChars="100"/>
        <w:jc w:val="center"/>
        <w:rPr>
          <w:rFonts w:ascii="宋体" w:hAnsi="宋体" w:cs="宋体"/>
          <w:color w:val="auto"/>
          <w:sz w:val="24"/>
          <w:szCs w:val="24"/>
          <w:highlight w:val="none"/>
        </w:rPr>
      </w:pPr>
      <w:r>
        <w:rPr>
          <w:rFonts w:hint="eastAsia" w:ascii="宋体" w:hAnsi="宋体" w:eastAsia="宋体" w:cs="宋体"/>
          <w:b/>
          <w:bCs/>
          <w:color w:val="auto"/>
          <w:kern w:val="2"/>
          <w:sz w:val="36"/>
          <w:szCs w:val="36"/>
          <w:highlight w:val="none"/>
          <w:lang w:val="en-US" w:eastAsia="zh-CN" w:bidi="ar-SA"/>
        </w:rPr>
        <w:t>第六章</w:t>
      </w:r>
      <w:r>
        <w:rPr>
          <w:rFonts w:hint="eastAsia" w:ascii="宋体" w:hAnsi="宋体" w:cs="宋体"/>
          <w:color w:val="auto"/>
          <w:sz w:val="24"/>
          <w:szCs w:val="24"/>
          <w:highlight w:val="none"/>
        </w:rPr>
        <w:t>　</w:t>
      </w:r>
      <w:r>
        <w:rPr>
          <w:rFonts w:hint="eastAsia" w:ascii="宋体" w:hAnsi="宋体" w:eastAsia="宋体" w:cs="宋体"/>
          <w:b/>
          <w:bCs/>
          <w:color w:val="auto"/>
          <w:kern w:val="2"/>
          <w:sz w:val="36"/>
          <w:szCs w:val="36"/>
          <w:highlight w:val="none"/>
          <w:lang w:val="en-US" w:eastAsia="zh-CN" w:bidi="ar-SA"/>
        </w:rPr>
        <w:t>磋商响应文件组成内容及格式</w:t>
      </w:r>
      <w:bookmarkEnd w:id="46"/>
    </w:p>
    <w:bookmarkEnd w:id="36"/>
    <w:bookmarkEnd w:id="37"/>
    <w:p w14:paraId="39DC9FA3">
      <w:pPr>
        <w:pStyle w:val="22"/>
        <w:spacing w:before="120" w:after="120" w:line="360" w:lineRule="auto"/>
        <w:outlineLvl w:val="9"/>
        <w:rPr>
          <w:rFonts w:ascii="宋体" w:hAnsi="宋体" w:cs="宋体"/>
          <w:color w:val="auto"/>
          <w:szCs w:val="24"/>
          <w:highlight w:val="none"/>
          <w:u w:val="single"/>
        </w:rPr>
      </w:pPr>
    </w:p>
    <w:p w14:paraId="27C7A41B">
      <w:pPr>
        <w:jc w:val="center"/>
        <w:outlineLvl w:val="9"/>
        <w:rPr>
          <w:rFonts w:ascii="宋体" w:hAnsi="宋体" w:eastAsia="宋体" w:cs="宋体"/>
          <w:b w:val="0"/>
          <w:color w:val="auto"/>
          <w:sz w:val="24"/>
          <w:szCs w:val="24"/>
          <w:highlight w:val="none"/>
        </w:rPr>
      </w:pPr>
      <w:bookmarkStart w:id="47" w:name="_Toc405368940"/>
      <w:r>
        <w:rPr>
          <w:rFonts w:hint="eastAsia" w:ascii="宋体" w:hAnsi="宋体" w:eastAsia="宋体" w:cs="宋体"/>
          <w:b w:val="0"/>
          <w:color w:val="auto"/>
          <w:sz w:val="24"/>
          <w:szCs w:val="24"/>
          <w:highlight w:val="none"/>
        </w:rPr>
        <w:t>一、磋商响应文件封面格式</w:t>
      </w:r>
      <w:bookmarkEnd w:id="47"/>
    </w:p>
    <w:p w14:paraId="1021349A">
      <w:pPr>
        <w:outlineLvl w:val="9"/>
        <w:rPr>
          <w:rFonts w:ascii="宋体" w:hAnsi="宋体" w:cs="宋体"/>
          <w:color w:val="auto"/>
          <w:sz w:val="24"/>
          <w:highlight w:val="none"/>
        </w:rPr>
      </w:pPr>
    </w:p>
    <w:p w14:paraId="2FE13F4D">
      <w:pPr>
        <w:outlineLvl w:val="9"/>
        <w:rPr>
          <w:rFonts w:ascii="宋体" w:hAnsi="宋体" w:cs="宋体"/>
          <w:color w:val="auto"/>
          <w:sz w:val="24"/>
          <w:highlight w:val="none"/>
        </w:rPr>
      </w:pPr>
    </w:p>
    <w:p w14:paraId="1598A86B">
      <w:pPr>
        <w:outlineLvl w:val="9"/>
        <w:rPr>
          <w:rFonts w:ascii="宋体" w:hAnsi="宋体" w:cs="宋体"/>
          <w:color w:val="auto"/>
          <w:sz w:val="24"/>
          <w:highlight w:val="none"/>
        </w:rPr>
      </w:pPr>
    </w:p>
    <w:p w14:paraId="5B4A50F8">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1.磋商响应文件封面格式： </w:t>
      </w:r>
    </w:p>
    <w:p w14:paraId="41524306">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795B0874">
      <w:pPr>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p>
    <w:p w14:paraId="7B671CAD">
      <w:pPr>
        <w:spacing w:line="360" w:lineRule="auto"/>
        <w:outlineLvl w:val="9"/>
        <w:rPr>
          <w:rFonts w:ascii="宋体" w:hAnsi="宋体" w:cs="宋体"/>
          <w:color w:val="auto"/>
          <w:sz w:val="24"/>
          <w:highlight w:val="none"/>
        </w:rPr>
      </w:pPr>
    </w:p>
    <w:p w14:paraId="04ACC228">
      <w:pPr>
        <w:spacing w:line="360" w:lineRule="auto"/>
        <w:outlineLvl w:val="9"/>
        <w:rPr>
          <w:rFonts w:ascii="宋体" w:hAnsi="宋体" w:cs="宋体"/>
          <w:color w:val="auto"/>
          <w:sz w:val="24"/>
          <w:highlight w:val="none"/>
        </w:rPr>
      </w:pPr>
    </w:p>
    <w:p w14:paraId="0D0FDE50">
      <w:pPr>
        <w:spacing w:line="360" w:lineRule="auto"/>
        <w:outlineLvl w:val="9"/>
        <w:rPr>
          <w:rFonts w:ascii="宋体" w:hAnsi="宋体" w:cs="宋体"/>
          <w:color w:val="auto"/>
          <w:sz w:val="24"/>
          <w:highlight w:val="none"/>
        </w:rPr>
      </w:pPr>
    </w:p>
    <w:p w14:paraId="2E370DD2">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w:t>
      </w:r>
      <w:r>
        <w:rPr>
          <w:rFonts w:hint="eastAsia" w:ascii="宋体" w:hAnsi="宋体"/>
          <w:color w:val="auto"/>
          <w:sz w:val="24"/>
          <w:szCs w:val="24"/>
          <w:highlight w:val="none"/>
        </w:rPr>
        <w:t>技术、</w:t>
      </w:r>
      <w:r>
        <w:rPr>
          <w:rFonts w:hint="eastAsia" w:ascii="宋体" w:hAnsi="宋体" w:cs="宋体"/>
          <w:color w:val="auto"/>
          <w:sz w:val="24"/>
          <w:highlight w:val="none"/>
        </w:rPr>
        <w:t>商务技术文件、报价文件（相应选择一个磋商响应文件封面名称）</w:t>
      </w:r>
    </w:p>
    <w:p w14:paraId="2CC84BF6">
      <w:pPr>
        <w:spacing w:line="480" w:lineRule="auto"/>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画溪初中食堂及周边道路改造项目</w:t>
      </w:r>
    </w:p>
    <w:p w14:paraId="2E7C9AC3">
      <w:pPr>
        <w:spacing w:line="48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w:t>
      </w:r>
      <w:r>
        <w:rPr>
          <w:rFonts w:hint="eastAsia" w:ascii="宋体" w:hAnsi="宋体" w:cs="宋体"/>
          <w:color w:val="auto"/>
          <w:sz w:val="24"/>
          <w:highlight w:val="none"/>
          <w:lang w:val="en-US" w:eastAsia="zh-CN"/>
        </w:rPr>
        <w:t>HZZGC</w:t>
      </w:r>
      <w:r>
        <w:rPr>
          <w:rFonts w:hint="eastAsia" w:ascii="宋体" w:hAnsi="宋体" w:cs="宋体"/>
          <w:color w:val="auto"/>
          <w:sz w:val="24"/>
          <w:highlight w:val="none"/>
          <w:lang w:eastAsia="zh-CN"/>
        </w:rPr>
        <w:t>2025-00</w:t>
      </w:r>
      <w:r>
        <w:rPr>
          <w:rFonts w:hint="eastAsia" w:ascii="宋体" w:hAnsi="宋体" w:cs="宋体"/>
          <w:color w:val="auto"/>
          <w:sz w:val="24"/>
          <w:highlight w:val="none"/>
          <w:lang w:val="en-US" w:eastAsia="zh-CN"/>
        </w:rPr>
        <w:t>3</w:t>
      </w:r>
    </w:p>
    <w:p w14:paraId="10A17BD9">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2B139FA8">
      <w:pPr>
        <w:spacing w:line="480" w:lineRule="auto"/>
        <w:rPr>
          <w:rFonts w:ascii="宋体" w:hAnsi="宋体" w:cs="宋体"/>
          <w:color w:val="auto"/>
          <w:sz w:val="24"/>
          <w:highlight w:val="none"/>
        </w:rPr>
      </w:pPr>
      <w:r>
        <w:rPr>
          <w:rFonts w:hint="eastAsia" w:ascii="宋体" w:hAnsi="宋体" w:cs="宋体"/>
          <w:color w:val="auto"/>
          <w:sz w:val="24"/>
          <w:highlight w:val="none"/>
        </w:rPr>
        <w:t>供应商名称：</w:t>
      </w:r>
    </w:p>
    <w:p w14:paraId="66888EA7">
      <w:pPr>
        <w:spacing w:line="480" w:lineRule="auto"/>
        <w:rPr>
          <w:rFonts w:ascii="宋体" w:hAnsi="宋体" w:cs="宋体"/>
          <w:color w:val="auto"/>
          <w:sz w:val="24"/>
          <w:highlight w:val="none"/>
        </w:rPr>
      </w:pPr>
      <w:r>
        <w:rPr>
          <w:rFonts w:hint="eastAsia" w:ascii="宋体" w:hAnsi="宋体" w:cs="宋体"/>
          <w:color w:val="auto"/>
          <w:sz w:val="24"/>
          <w:highlight w:val="none"/>
        </w:rPr>
        <w:t>供应商地址：</w:t>
      </w:r>
    </w:p>
    <w:p w14:paraId="70D164E6">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2E9EF8B">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508F869">
      <w:pPr>
        <w:spacing w:line="360" w:lineRule="auto"/>
        <w:rPr>
          <w:rFonts w:ascii="宋体" w:hAnsi="宋体" w:cs="宋体"/>
          <w:color w:val="auto"/>
          <w:sz w:val="24"/>
          <w:highlight w:val="none"/>
        </w:rPr>
      </w:pPr>
    </w:p>
    <w:p w14:paraId="27EB3525">
      <w:pPr>
        <w:rPr>
          <w:rFonts w:ascii="宋体" w:hAnsi="宋体" w:cs="宋体"/>
          <w:color w:val="auto"/>
          <w:sz w:val="24"/>
          <w:highlight w:val="none"/>
        </w:rPr>
      </w:pPr>
    </w:p>
    <w:p w14:paraId="6BE1379D">
      <w:pPr>
        <w:rPr>
          <w:rFonts w:ascii="宋体" w:hAnsi="宋体" w:cs="宋体"/>
          <w:color w:val="auto"/>
          <w:sz w:val="24"/>
          <w:highlight w:val="none"/>
        </w:rPr>
      </w:pPr>
    </w:p>
    <w:p w14:paraId="62D0BC4F">
      <w:pPr>
        <w:spacing w:line="360" w:lineRule="auto"/>
        <w:rPr>
          <w:rFonts w:ascii="宋体" w:hAnsi="宋体" w:cs="宋体"/>
          <w:b/>
          <w:color w:val="auto"/>
          <w:sz w:val="24"/>
          <w:highlight w:val="none"/>
        </w:rPr>
      </w:pPr>
    </w:p>
    <w:p w14:paraId="4D55DF68">
      <w:pPr>
        <w:rPr>
          <w:color w:val="auto"/>
          <w:highlight w:val="none"/>
        </w:rPr>
      </w:pPr>
    </w:p>
    <w:p w14:paraId="5B348B28">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4884314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bookmarkStart w:id="48" w:name="_Toc12090"/>
      <w:r>
        <w:rPr>
          <w:rFonts w:hint="eastAsia" w:ascii="宋体" w:hAnsi="宋体" w:cs="宋体"/>
          <w:color w:val="auto"/>
          <w:sz w:val="24"/>
          <w:highlight w:val="none"/>
        </w:rPr>
        <w:t>（1）有效的营业执照复印件；</w:t>
      </w:r>
    </w:p>
    <w:p w14:paraId="131CAEF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08A6D7A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108FC16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（4）政府采购活动现场确认声明书</w:t>
      </w:r>
      <w:r>
        <w:rPr>
          <w:rFonts w:hint="eastAsia" w:ascii="宋体" w:hAnsi="宋体" w:cs="宋体"/>
          <w:color w:val="auto"/>
          <w:sz w:val="24"/>
          <w:highlight w:val="none"/>
          <w:lang w:eastAsia="zh-CN"/>
        </w:rPr>
        <w:t xml:space="preserve">(格式见附件) </w:t>
      </w:r>
      <w:r>
        <w:rPr>
          <w:rFonts w:hint="eastAsia" w:ascii="宋体" w:hAnsi="宋体" w:cs="宋体"/>
          <w:color w:val="auto"/>
          <w:sz w:val="24"/>
          <w:highlight w:val="none"/>
        </w:rPr>
        <w:t>；</w:t>
      </w:r>
    </w:p>
    <w:p w14:paraId="7C92F3D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（5）浙江政府采购网注册正式供应商的网络截图或承诺中标后30天内注册为浙江政府采购网正式供应商（须提供承诺书）；</w:t>
      </w:r>
    </w:p>
    <w:p w14:paraId="71CA441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6）建筑工程施工总承包三级及以上资质和</w:t>
      </w:r>
      <w:r>
        <w:rPr>
          <w:rFonts w:hint="eastAsia" w:ascii="宋体" w:hAnsi="宋体" w:cs="宋体"/>
          <w:color w:val="auto"/>
          <w:sz w:val="24"/>
          <w:highlight w:val="none"/>
        </w:rPr>
        <w:t>安全生产许可证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提供有效期内的证书复印件</w:t>
      </w:r>
      <w:r>
        <w:rPr>
          <w:rFonts w:hint="eastAsia" w:ascii="宋体" w:hAnsi="宋体" w:cs="宋体"/>
          <w:color w:val="auto"/>
          <w:sz w:val="24"/>
          <w:highlight w:val="none"/>
          <w:lang w:eastAsia="zh-CN"/>
        </w:rPr>
        <w:t>。</w:t>
      </w:r>
    </w:p>
    <w:p w14:paraId="350EAC1E">
      <w:pPr>
        <w:pStyle w:val="3"/>
        <w:rPr>
          <w:rFonts w:hint="eastAsia"/>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7）信用记录网络查询页面截图（信用中国与中国政府采购网）；</w:t>
      </w:r>
    </w:p>
    <w:p w14:paraId="13E16F9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落实政府采购政策需满足的资格条件：供应商为中小企业/小微企业，提供《中小企业声明函》（格式见附件）</w:t>
      </w:r>
      <w:r>
        <w:rPr>
          <w:rFonts w:hint="eastAsia" w:ascii="宋体" w:hAnsi="宋体" w:cs="宋体"/>
          <w:color w:val="auto"/>
          <w:sz w:val="24"/>
          <w:highlight w:val="none"/>
          <w:lang w:eastAsia="zh-CN"/>
        </w:rPr>
        <w:t>。</w:t>
      </w:r>
    </w:p>
    <w:p w14:paraId="4C09196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）联合体协议（如有，格式见附件）；</w:t>
      </w:r>
      <w:r>
        <w:rPr>
          <w:rFonts w:hint="eastAsia" w:ascii="宋体" w:hAnsi="宋体" w:eastAsia="宋体" w:cs="宋体"/>
          <w:sz w:val="24"/>
          <w:szCs w:val="24"/>
          <w:highlight w:val="none"/>
          <w:lang w:eastAsia="zh-CN"/>
        </w:rPr>
        <w:t>分包意向协议（分包投标时适用，格式见附件）</w:t>
      </w:r>
    </w:p>
    <w:p w14:paraId="7BF32A3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）政府采购代理机构社会评价表(格式见附件)。 </w:t>
      </w:r>
    </w:p>
    <w:bookmarkEnd w:id="48"/>
    <w:p w14:paraId="7148079A">
      <w:pPr>
        <w:spacing w:line="360" w:lineRule="auto"/>
        <w:rPr>
          <w:rFonts w:ascii="宋体" w:hAnsi="宋体" w:cs="宋体"/>
          <w:b/>
          <w:bCs/>
          <w:color w:val="auto"/>
          <w:sz w:val="24"/>
          <w:highlight w:val="none"/>
        </w:rPr>
      </w:pPr>
      <w:bookmarkStart w:id="49" w:name="_Toc22660"/>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.技术、商务资信文件</w:t>
      </w:r>
    </w:p>
    <w:p w14:paraId="207F28FF">
      <w:pPr>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供应商</w:t>
      </w:r>
      <w:r>
        <w:rPr>
          <w:rFonts w:hint="eastAsia" w:ascii="宋体" w:hAnsi="宋体"/>
          <w:color w:val="auto"/>
          <w:sz w:val="24"/>
          <w:highlight w:val="none"/>
        </w:rPr>
        <w:t>技术、商务资信自评得分表</w:t>
      </w:r>
      <w:r>
        <w:rPr>
          <w:rFonts w:hint="eastAsia" w:ascii="宋体" w:hAnsi="宋体"/>
          <w:bCs/>
          <w:sz w:val="24"/>
          <w:szCs w:val="24"/>
          <w:highlight w:val="none"/>
        </w:rPr>
        <w:t>（格式见附件）</w:t>
      </w:r>
      <w:r>
        <w:rPr>
          <w:rFonts w:hint="eastAsia" w:ascii="宋体" w:hAnsi="宋体"/>
          <w:color w:val="auto"/>
          <w:sz w:val="24"/>
          <w:highlight w:val="none"/>
        </w:rPr>
        <w:t>；</w:t>
      </w:r>
    </w:p>
    <w:p w14:paraId="511240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）磋商声明书 (格式见附件) ；</w:t>
      </w:r>
    </w:p>
    <w:p w14:paraId="1C2DE91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供应商单位</w:t>
      </w:r>
      <w:r>
        <w:rPr>
          <w:rFonts w:hint="eastAsia" w:ascii="宋体" w:hAnsi="宋体" w:cs="宋体"/>
          <w:color w:val="auto"/>
          <w:sz w:val="24"/>
          <w:highlight w:val="none"/>
        </w:rPr>
        <w:t>情况表（格式见附件）；</w:t>
      </w:r>
    </w:p>
    <w:p w14:paraId="47D58BD2">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（4）商务响应表（格式见附件）；</w:t>
      </w:r>
    </w:p>
    <w:p w14:paraId="611856BD">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（5）技术响应表（格式见附件）；</w:t>
      </w:r>
    </w:p>
    <w:p w14:paraId="4955DE3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bCs/>
          <w:sz w:val="24"/>
          <w:szCs w:val="24"/>
          <w:highlight w:val="none"/>
          <w:lang w:val="en-US" w:eastAsia="zh-CN"/>
        </w:rPr>
        <w:t>现状分析</w:t>
      </w:r>
      <w:r>
        <w:rPr>
          <w:rFonts w:hint="eastAsia" w:ascii="宋体" w:hAnsi="宋体" w:cs="宋体"/>
          <w:color w:val="auto"/>
          <w:sz w:val="24"/>
          <w:highlight w:val="none"/>
        </w:rPr>
        <w:t>；</w:t>
      </w:r>
    </w:p>
    <w:p w14:paraId="3C9B163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）施工方案；</w:t>
      </w:r>
    </w:p>
    <w:p w14:paraId="184CC8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）施工进度；</w:t>
      </w:r>
    </w:p>
    <w:p w14:paraId="5C9A3B2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9）安全生产应急预案；</w:t>
      </w:r>
    </w:p>
    <w:p w14:paraId="1385E54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）质量保障； </w:t>
      </w:r>
    </w:p>
    <w:p w14:paraId="61461E39">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）安全、文明施工等的保证措施；</w:t>
      </w:r>
    </w:p>
    <w:p w14:paraId="1F525E55">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）施工机具设备；</w:t>
      </w:r>
    </w:p>
    <w:p w14:paraId="697DE78F">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）材料设备进场计划；</w:t>
      </w:r>
    </w:p>
    <w:p w14:paraId="47EE0E16">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）拟投入本项目人员一览表</w:t>
      </w:r>
      <w:r>
        <w:rPr>
          <w:rFonts w:hint="eastAsia" w:ascii="宋体" w:hAnsi="宋体"/>
          <w:sz w:val="24"/>
          <w:szCs w:val="24"/>
          <w:highlight w:val="none"/>
        </w:rPr>
        <w:t>（格式见附件）</w:t>
      </w:r>
      <w:r>
        <w:rPr>
          <w:rFonts w:hint="eastAsia" w:ascii="宋体" w:hAnsi="宋体" w:cs="宋体"/>
          <w:color w:val="auto"/>
          <w:sz w:val="24"/>
          <w:highlight w:val="none"/>
        </w:rPr>
        <w:t>；</w:t>
      </w:r>
    </w:p>
    <w:p w14:paraId="70D52488">
      <w:pPr>
        <w:spacing w:line="43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）布置情况；</w:t>
      </w:r>
    </w:p>
    <w:p w14:paraId="6F5A0D70">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）关键工序、复杂环节的相应技术措施；</w:t>
      </w:r>
    </w:p>
    <w:p w14:paraId="28F7B16F">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 xml:space="preserve">）施工重点难点分析； </w:t>
      </w:r>
    </w:p>
    <w:p w14:paraId="3A0430D1">
      <w:pPr>
        <w:spacing w:line="43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）成品保护的保证措施；</w:t>
      </w:r>
    </w:p>
    <w:p w14:paraId="15380706">
      <w:pPr>
        <w:spacing w:line="43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）管理协调；</w:t>
      </w:r>
    </w:p>
    <w:p w14:paraId="438E69F6">
      <w:pPr>
        <w:spacing w:line="430" w:lineRule="exact"/>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20）安全承诺（格式见附件）；</w:t>
      </w:r>
    </w:p>
    <w:p w14:paraId="66533776">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）认证证书；</w:t>
      </w:r>
    </w:p>
    <w:p w14:paraId="67DBFDDE">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）同类项目业绩（格式见附件）；</w:t>
      </w:r>
    </w:p>
    <w:p w14:paraId="29D25FDA">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）售后保障；</w:t>
      </w:r>
    </w:p>
    <w:p w14:paraId="3096B408">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）合理化建议；</w:t>
      </w:r>
    </w:p>
    <w:p w14:paraId="64DEECDB">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）安全生产及其他承诺函（格式见附件）；</w:t>
      </w:r>
    </w:p>
    <w:p w14:paraId="1E656D9F">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）政府采购供应商诚信承诺书（格式见附件）；</w:t>
      </w:r>
    </w:p>
    <w:p w14:paraId="5A0F867C">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）供应商需要说明的其他文件和说明。</w:t>
      </w:r>
    </w:p>
    <w:p w14:paraId="67A8D29D">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.报价文件</w:t>
      </w:r>
    </w:p>
    <w:p w14:paraId="4EBA5130">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（1）磋商响应函（格式见附件）； </w:t>
      </w:r>
    </w:p>
    <w:p w14:paraId="737B7526">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）初次报价表（格式见附件）； </w:t>
      </w:r>
    </w:p>
    <w:p w14:paraId="7A10F2BE">
      <w:pPr>
        <w:spacing w:line="430" w:lineRule="exact"/>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cs="宋体"/>
          <w:color w:val="auto"/>
          <w:sz w:val="24"/>
          <w:highlight w:val="none"/>
        </w:rPr>
        <w:t>针对报价需要说明的其他文件和说明（格式自拟）；</w:t>
      </w:r>
    </w:p>
    <w:p w14:paraId="64E3808F">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rPr>
        <w:t>附件</w:t>
      </w:r>
      <w:r>
        <w:rPr>
          <w:rFonts w:hint="eastAsia" w:ascii="宋体" w:hAnsi="宋体"/>
          <w:bCs/>
          <w:color w:val="auto"/>
          <w:sz w:val="24"/>
          <w:highlight w:val="none"/>
          <w:lang w:val="en-US" w:eastAsia="zh-CN"/>
        </w:rPr>
        <w:t>一</w:t>
      </w:r>
      <w:r>
        <w:rPr>
          <w:rFonts w:hint="eastAsia" w:ascii="宋体" w:hAnsi="宋体"/>
          <w:bCs/>
          <w:color w:val="auto"/>
          <w:sz w:val="24"/>
          <w:highlight w:val="none"/>
        </w:rPr>
        <w:t>：法定代表人授权委托书</w:t>
      </w:r>
      <w:bookmarkEnd w:id="49"/>
    </w:p>
    <w:p w14:paraId="780C5803">
      <w:pPr>
        <w:snapToGrid w:val="0"/>
        <w:spacing w:beforeLines="50" w:after="50" w:line="276"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5EEB598B">
      <w:pPr>
        <w:snapToGrid w:val="0"/>
        <w:spacing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1A92A917">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 xml:space="preserve">画溪初中食堂及周边道路改造项目 </w:t>
      </w:r>
      <w:r>
        <w:rPr>
          <w:rFonts w:hint="eastAsia" w:ascii="宋体" w:hAnsi="宋体" w:cs="宋体"/>
          <w:color w:val="auto"/>
          <w:sz w:val="24"/>
          <w:highlight w:val="none"/>
        </w:rPr>
        <w:t>的磋商活动，并代表我方全权办理针对上述项目的磋商、开标、签约等具体事务和签署相关文件。</w:t>
      </w:r>
    </w:p>
    <w:p w14:paraId="402B2334">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67D6118F">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4B70EC8E">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8EFE589">
      <w:pPr>
        <w:snapToGrid w:val="0"/>
        <w:spacing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6054FBAB">
      <w:pPr>
        <w:snapToGrid w:val="0"/>
        <w:spacing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0D20B211">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72F304D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6232" w:hRule="atLeast"/>
        </w:trPr>
        <w:tc>
          <w:tcPr>
            <w:tcW w:w="5328" w:type="dxa"/>
            <w:noWrap w:val="0"/>
            <w:vAlign w:val="top"/>
          </w:tcPr>
          <w:p w14:paraId="2122C26C">
            <w:pPr>
              <w:snapToGrid w:val="0"/>
              <w:spacing w:beforeLines="50" w:after="50" w:line="276" w:lineRule="auto"/>
              <w:rPr>
                <w:rFonts w:ascii="宋体" w:hAnsi="宋体" w:cs="宋体"/>
                <w:color w:val="auto"/>
                <w:sz w:val="24"/>
                <w:highlight w:val="none"/>
              </w:rPr>
            </w:pPr>
          </w:p>
          <w:p w14:paraId="44055EB0">
            <w:pPr>
              <w:snapToGrid w:val="0"/>
              <w:spacing w:beforeLines="50" w:after="50" w:line="276" w:lineRule="auto"/>
              <w:rPr>
                <w:rFonts w:ascii="宋体" w:hAnsi="宋体" w:cs="宋体"/>
                <w:color w:val="auto"/>
                <w:sz w:val="24"/>
                <w:highlight w:val="none"/>
              </w:rPr>
            </w:pPr>
          </w:p>
          <w:p w14:paraId="2986351F">
            <w:pPr>
              <w:snapToGrid w:val="0"/>
              <w:spacing w:beforeLines="50" w:after="50" w:line="276" w:lineRule="auto"/>
              <w:rPr>
                <w:rFonts w:ascii="宋体" w:hAnsi="宋体" w:cs="宋体"/>
                <w:color w:val="auto"/>
                <w:sz w:val="24"/>
                <w:highlight w:val="none"/>
              </w:rPr>
            </w:pPr>
          </w:p>
          <w:p w14:paraId="2CBA9C18">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68C7A194">
            <w:pPr>
              <w:snapToGrid w:val="0"/>
              <w:spacing w:beforeLines="50" w:after="50" w:line="276" w:lineRule="auto"/>
              <w:jc w:val="center"/>
              <w:rPr>
                <w:rFonts w:ascii="宋体" w:hAnsi="宋体" w:cs="宋体"/>
                <w:color w:val="auto"/>
                <w:sz w:val="24"/>
                <w:highlight w:val="none"/>
              </w:rPr>
            </w:pPr>
          </w:p>
          <w:p w14:paraId="77A7E170">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339C34A8">
            <w:pPr>
              <w:snapToGrid w:val="0"/>
              <w:spacing w:beforeLines="50" w:after="50" w:line="276" w:lineRule="auto"/>
              <w:jc w:val="center"/>
              <w:rPr>
                <w:rFonts w:ascii="宋体" w:hAnsi="宋体" w:cs="宋体"/>
                <w:color w:val="auto"/>
                <w:sz w:val="24"/>
                <w:highlight w:val="none"/>
              </w:rPr>
            </w:pPr>
          </w:p>
          <w:p w14:paraId="367F0BAA">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76D2B096">
      <w:pPr>
        <w:snapToGrid w:val="0"/>
        <w:spacing w:beforeLines="50" w:after="50" w:line="276" w:lineRule="auto"/>
        <w:rPr>
          <w:rFonts w:ascii="宋体" w:hAnsi="宋体" w:cs="宋体"/>
          <w:color w:val="auto"/>
          <w:sz w:val="24"/>
          <w:highlight w:val="none"/>
        </w:rPr>
      </w:pPr>
    </w:p>
    <w:p w14:paraId="1EE31FD7">
      <w:pPr>
        <w:snapToGrid w:val="0"/>
        <w:spacing w:beforeLines="50" w:after="50" w:line="276" w:lineRule="auto"/>
        <w:rPr>
          <w:rFonts w:ascii="宋体" w:hAnsi="宋体" w:cs="宋体"/>
          <w:color w:val="auto"/>
          <w:sz w:val="24"/>
          <w:highlight w:val="none"/>
        </w:rPr>
      </w:pPr>
    </w:p>
    <w:p w14:paraId="00E20069">
      <w:pPr>
        <w:snapToGrid w:val="0"/>
        <w:spacing w:beforeLines="50" w:after="50" w:line="276" w:lineRule="auto"/>
        <w:rPr>
          <w:rFonts w:ascii="宋体" w:hAnsi="宋体" w:cs="宋体"/>
          <w:color w:val="auto"/>
          <w:sz w:val="24"/>
          <w:highlight w:val="none"/>
        </w:rPr>
      </w:pPr>
    </w:p>
    <w:p w14:paraId="6E81BBD0">
      <w:pPr>
        <w:snapToGrid w:val="0"/>
        <w:spacing w:beforeLines="50" w:after="50" w:line="276" w:lineRule="auto"/>
        <w:rPr>
          <w:rFonts w:ascii="宋体" w:hAnsi="宋体" w:cs="宋体"/>
          <w:color w:val="auto"/>
          <w:sz w:val="24"/>
          <w:highlight w:val="none"/>
        </w:rPr>
      </w:pPr>
    </w:p>
    <w:p w14:paraId="453CCDE0">
      <w:pPr>
        <w:snapToGrid w:val="0"/>
        <w:spacing w:beforeLines="50" w:after="50" w:line="276" w:lineRule="auto"/>
        <w:rPr>
          <w:rFonts w:ascii="宋体" w:hAnsi="宋体" w:cs="宋体"/>
          <w:color w:val="auto"/>
          <w:sz w:val="24"/>
          <w:highlight w:val="none"/>
        </w:rPr>
      </w:pPr>
    </w:p>
    <w:p w14:paraId="0D94B70E">
      <w:pPr>
        <w:snapToGrid w:val="0"/>
        <w:spacing w:beforeLines="50" w:after="50" w:line="276" w:lineRule="auto"/>
        <w:rPr>
          <w:rFonts w:ascii="宋体" w:hAnsi="宋体" w:cs="宋体"/>
          <w:color w:val="auto"/>
          <w:sz w:val="24"/>
          <w:highlight w:val="none"/>
        </w:rPr>
      </w:pPr>
    </w:p>
    <w:p w14:paraId="28A45BDB">
      <w:pPr>
        <w:snapToGrid w:val="0"/>
        <w:spacing w:beforeLines="50" w:after="50" w:line="276" w:lineRule="auto"/>
        <w:rPr>
          <w:rFonts w:ascii="宋体" w:hAnsi="宋体" w:cs="宋体"/>
          <w:color w:val="auto"/>
          <w:sz w:val="24"/>
          <w:highlight w:val="none"/>
        </w:rPr>
      </w:pPr>
    </w:p>
    <w:p w14:paraId="012B43A9">
      <w:pPr>
        <w:snapToGrid w:val="0"/>
        <w:spacing w:beforeLines="50" w:after="50" w:line="276" w:lineRule="auto"/>
        <w:rPr>
          <w:rFonts w:ascii="宋体" w:hAnsi="宋体" w:cs="宋体"/>
          <w:color w:val="auto"/>
          <w:sz w:val="24"/>
          <w:highlight w:val="none"/>
        </w:rPr>
      </w:pPr>
    </w:p>
    <w:p w14:paraId="7E21CE8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08376A5">
      <w:pPr>
        <w:snapToGrid w:val="0"/>
        <w:spacing w:beforeLines="50" w:after="50" w:line="276" w:lineRule="auto"/>
        <w:rPr>
          <w:rFonts w:ascii="宋体" w:hAnsi="宋体" w:cs="宋体"/>
          <w:color w:val="auto"/>
          <w:sz w:val="24"/>
          <w:highlight w:val="none"/>
        </w:rPr>
      </w:pPr>
    </w:p>
    <w:p w14:paraId="53CE9460">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0534BE48">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899FB21">
      <w:pPr>
        <w:snapToGrid w:val="0"/>
        <w:spacing w:beforeLines="50" w:after="50" w:line="276" w:lineRule="auto"/>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706ED968">
      <w:pPr>
        <w:spacing w:line="360" w:lineRule="auto"/>
        <w:rPr>
          <w:rFonts w:hint="eastAsia" w:ascii="宋体" w:hAnsi="宋体" w:cs="宋体"/>
          <w:b/>
          <w:bCs/>
          <w:color w:val="auto"/>
          <w:sz w:val="24"/>
          <w:highlight w:val="none"/>
          <w:lang w:val="en-US" w:eastAsia="zh-CN"/>
        </w:rPr>
      </w:pPr>
    </w:p>
    <w:p w14:paraId="6D7D9D7D">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50" w:name="_Toc24340"/>
      <w:bookmarkStart w:id="51" w:name="_Toc30843"/>
      <w:bookmarkStart w:id="52" w:name="_Toc3669"/>
      <w:bookmarkStart w:id="53" w:name="_Toc23315"/>
      <w:bookmarkStart w:id="54" w:name="_Toc728"/>
      <w:r>
        <w:rPr>
          <w:rFonts w:hint="eastAsia" w:ascii="宋体" w:hAnsi="宋体"/>
          <w:bCs/>
          <w:color w:val="auto"/>
          <w:sz w:val="24"/>
          <w:highlight w:val="none"/>
        </w:rPr>
        <w:t>附件</w:t>
      </w:r>
      <w:r>
        <w:rPr>
          <w:rFonts w:hint="eastAsia" w:ascii="宋体" w:hAnsi="宋体"/>
          <w:bCs/>
          <w:color w:val="auto"/>
          <w:sz w:val="24"/>
          <w:highlight w:val="none"/>
          <w:lang w:val="en-US" w:eastAsia="zh-CN"/>
        </w:rPr>
        <w:t>二</w:t>
      </w:r>
      <w:r>
        <w:rPr>
          <w:rFonts w:hint="eastAsia" w:ascii="宋体" w:hAnsi="宋体"/>
          <w:bCs/>
          <w:color w:val="auto"/>
          <w:sz w:val="24"/>
          <w:highlight w:val="none"/>
        </w:rPr>
        <w:t>：</w:t>
      </w:r>
      <w:bookmarkEnd w:id="50"/>
      <w:bookmarkEnd w:id="51"/>
      <w:r>
        <w:rPr>
          <w:rFonts w:hint="eastAsia" w:ascii="宋体" w:hAnsi="宋体"/>
          <w:bCs/>
          <w:color w:val="auto"/>
          <w:sz w:val="24"/>
          <w:highlight w:val="none"/>
        </w:rPr>
        <w:t>符合参加政府采购活动应当具备的一般条件的承诺函</w:t>
      </w:r>
      <w:bookmarkEnd w:id="52"/>
      <w:bookmarkEnd w:id="53"/>
      <w:bookmarkEnd w:id="54"/>
    </w:p>
    <w:p w14:paraId="3CC06CCC">
      <w:pPr>
        <w:pStyle w:val="35"/>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05397E2D">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FF02210">
      <w:pPr>
        <w:pStyle w:val="35"/>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63C509AF">
      <w:pPr>
        <w:pStyle w:val="35"/>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58C672A4">
      <w:pPr>
        <w:pStyle w:val="35"/>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0E8F4103">
      <w:pPr>
        <w:pStyle w:val="35"/>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6FBE6960">
      <w:pPr>
        <w:pStyle w:val="35"/>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26B7F3F5">
      <w:pPr>
        <w:pStyle w:val="35"/>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65E277BA">
      <w:pPr>
        <w:pStyle w:val="35"/>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625D41B2">
      <w:pPr>
        <w:pStyle w:val="35"/>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0340C57D">
      <w:pPr>
        <w:pStyle w:val="35"/>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4A4218A9">
      <w:pPr>
        <w:pStyle w:val="35"/>
        <w:spacing w:before="0" w:after="0" w:line="360" w:lineRule="auto"/>
        <w:ind w:left="480"/>
        <w:jc w:val="both"/>
        <w:rPr>
          <w:color w:val="auto"/>
          <w:kern w:val="2"/>
          <w:highlight w:val="none"/>
        </w:rPr>
      </w:pPr>
      <w:r>
        <w:rPr>
          <w:rFonts w:hint="eastAsia"/>
          <w:color w:val="auto"/>
          <w:kern w:val="2"/>
          <w:highlight w:val="none"/>
        </w:rPr>
        <w:t>（三）不存在以下情况：</w:t>
      </w:r>
    </w:p>
    <w:p w14:paraId="0051E80D">
      <w:pPr>
        <w:pStyle w:val="35"/>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05900C28">
      <w:pPr>
        <w:pStyle w:val="35"/>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7303F86C">
      <w:pPr>
        <w:pStyle w:val="35"/>
        <w:spacing w:before="0" w:after="0" w:line="360" w:lineRule="auto"/>
        <w:ind w:left="480"/>
        <w:jc w:val="both"/>
        <w:rPr>
          <w:color w:val="auto"/>
          <w:kern w:val="2"/>
          <w:highlight w:val="none"/>
        </w:rPr>
      </w:pPr>
    </w:p>
    <w:p w14:paraId="317CFDC5">
      <w:pPr>
        <w:pStyle w:val="35"/>
        <w:spacing w:before="0" w:after="0" w:line="360" w:lineRule="auto"/>
        <w:ind w:left="480"/>
        <w:jc w:val="both"/>
        <w:rPr>
          <w:color w:val="auto"/>
          <w:kern w:val="2"/>
          <w:highlight w:val="none"/>
        </w:rPr>
      </w:pPr>
    </w:p>
    <w:p w14:paraId="63925688">
      <w:pPr>
        <w:pStyle w:val="35"/>
        <w:spacing w:before="0" w:after="0" w:line="360" w:lineRule="auto"/>
        <w:ind w:left="480"/>
        <w:jc w:val="both"/>
        <w:rPr>
          <w:color w:val="auto"/>
          <w:kern w:val="2"/>
          <w:highlight w:val="none"/>
        </w:rPr>
      </w:pPr>
    </w:p>
    <w:p w14:paraId="66C7C53A">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1371E33C">
      <w:pPr>
        <w:snapToGrid w:val="0"/>
        <w:spacing w:beforeLines="50"/>
        <w:rPr>
          <w:rFonts w:ascii="宋体" w:hAnsi="宋体" w:cs="宋体"/>
          <w:color w:val="auto"/>
          <w:sz w:val="24"/>
          <w:highlight w:val="non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E368E53">
      <w:pPr>
        <w:rPr>
          <w:rFonts w:ascii="宋体" w:hAnsi="宋体" w:cs="宋体"/>
          <w:color w:val="auto"/>
          <w:sz w:val="24"/>
          <w:highlight w:val="none"/>
        </w:rPr>
      </w:pPr>
    </w:p>
    <w:p w14:paraId="5FB32E59">
      <w:pPr>
        <w:spacing w:line="360" w:lineRule="auto"/>
        <w:rPr>
          <w:rFonts w:hint="eastAsia" w:ascii="宋体" w:hAnsi="宋体" w:cs="宋体"/>
          <w:b/>
          <w:bCs/>
          <w:color w:val="auto"/>
          <w:sz w:val="24"/>
          <w:highlight w:val="none"/>
          <w:lang w:val="en-US" w:eastAsia="zh-CN"/>
        </w:rPr>
      </w:pPr>
    </w:p>
    <w:p w14:paraId="644369E4">
      <w:pPr>
        <w:spacing w:line="360" w:lineRule="auto"/>
        <w:rPr>
          <w:rFonts w:hint="eastAsia" w:ascii="宋体" w:hAnsi="宋体" w:cs="宋体"/>
          <w:b/>
          <w:bCs/>
          <w:color w:val="auto"/>
          <w:sz w:val="24"/>
          <w:highlight w:val="none"/>
          <w:lang w:val="en-US" w:eastAsia="zh-CN"/>
        </w:rPr>
      </w:pPr>
    </w:p>
    <w:p w14:paraId="2D0A0A94">
      <w:pPr>
        <w:spacing w:line="360" w:lineRule="auto"/>
        <w:rPr>
          <w:rFonts w:hint="eastAsia" w:ascii="宋体" w:hAnsi="宋体" w:cs="宋体"/>
          <w:b/>
          <w:bCs/>
          <w:color w:val="auto"/>
          <w:sz w:val="24"/>
          <w:highlight w:val="none"/>
          <w:lang w:val="en-US" w:eastAsia="zh-CN"/>
        </w:rPr>
      </w:pPr>
    </w:p>
    <w:p w14:paraId="0DE84EDF">
      <w:pPr>
        <w:spacing w:line="360" w:lineRule="auto"/>
        <w:rPr>
          <w:rFonts w:hint="eastAsia" w:ascii="宋体" w:hAnsi="宋体" w:cs="宋体"/>
          <w:b/>
          <w:bCs/>
          <w:color w:val="auto"/>
          <w:sz w:val="24"/>
          <w:highlight w:val="none"/>
          <w:lang w:val="en-US" w:eastAsia="zh-CN"/>
        </w:rPr>
      </w:pPr>
    </w:p>
    <w:p w14:paraId="01A97B11">
      <w:pPr>
        <w:spacing w:line="360" w:lineRule="auto"/>
        <w:rPr>
          <w:rFonts w:hint="eastAsia" w:ascii="宋体" w:hAnsi="宋体" w:cs="宋体"/>
          <w:b/>
          <w:bCs/>
          <w:color w:val="auto"/>
          <w:sz w:val="24"/>
          <w:highlight w:val="none"/>
          <w:lang w:val="en-US" w:eastAsia="zh-CN"/>
        </w:rPr>
      </w:pPr>
    </w:p>
    <w:p w14:paraId="21B398C8">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55" w:name="_Toc29142"/>
      <w:r>
        <w:rPr>
          <w:rFonts w:hint="eastAsia" w:ascii="宋体" w:hAnsi="宋体"/>
          <w:bCs/>
          <w:color w:val="auto"/>
          <w:sz w:val="24"/>
          <w:highlight w:val="none"/>
        </w:rPr>
        <w:t>附件</w:t>
      </w:r>
      <w:r>
        <w:rPr>
          <w:rFonts w:hint="eastAsia" w:ascii="宋体" w:hAnsi="宋体"/>
          <w:bCs/>
          <w:color w:val="auto"/>
          <w:sz w:val="24"/>
          <w:highlight w:val="none"/>
          <w:lang w:val="en-US" w:eastAsia="zh-CN"/>
        </w:rPr>
        <w:t>三</w:t>
      </w:r>
      <w:r>
        <w:rPr>
          <w:rFonts w:hint="eastAsia" w:ascii="宋体" w:hAnsi="宋体"/>
          <w:bCs/>
          <w:color w:val="auto"/>
          <w:sz w:val="24"/>
          <w:highlight w:val="none"/>
        </w:rPr>
        <w:t>：政府采购活动现场确认声明书</w:t>
      </w:r>
      <w:bookmarkEnd w:id="55"/>
    </w:p>
    <w:p w14:paraId="786F19BB">
      <w:pPr>
        <w:snapToGrid w:val="0"/>
        <w:spacing w:beforeLines="50" w:after="50" w:line="480" w:lineRule="auto"/>
        <w:jc w:val="center"/>
        <w:rPr>
          <w:rFonts w:ascii="宋体" w:hAnsi="宋体" w:cs="宋体"/>
          <w:b/>
          <w:color w:val="auto"/>
          <w:sz w:val="24"/>
          <w:highlight w:val="none"/>
        </w:rPr>
      </w:pPr>
      <w:r>
        <w:rPr>
          <w:rFonts w:hint="eastAsia" w:ascii="宋体" w:hAnsi="宋体" w:cs="宋体"/>
          <w:b/>
          <w:color w:val="auto"/>
          <w:sz w:val="24"/>
          <w:highlight w:val="none"/>
        </w:rPr>
        <w:t>政府采购活动现场确认声明书</w:t>
      </w:r>
    </w:p>
    <w:p w14:paraId="1DB5BD0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 xml:space="preserve"> :</w:t>
      </w:r>
    </w:p>
    <w:p w14:paraId="2F27F72C">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5C405337">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4C2D7836">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04DCFC4C">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0D741471">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sz w:val="24"/>
          <w:highlight w:val="none"/>
          <w:lang w:eastAsia="zh-CN"/>
        </w:rPr>
        <w:t>现</w:t>
      </w:r>
      <w:r>
        <w:rPr>
          <w:rFonts w:hint="eastAsia" w:ascii="宋体" w:hAnsi="宋体" w:cs="宋体"/>
          <w:color w:val="auto"/>
          <w:sz w:val="24"/>
          <w:highlight w:val="none"/>
          <w:lang w:val="en-US" w:eastAsia="zh-CN"/>
        </w:rPr>
        <w:t>已</w:t>
      </w:r>
      <w:r>
        <w:rPr>
          <w:rFonts w:hint="eastAsia" w:ascii="宋体" w:hAnsi="宋体" w:cs="宋体"/>
          <w:color w:val="auto"/>
          <w:sz w:val="24"/>
          <w:highlight w:val="none"/>
        </w:rPr>
        <w:t xml:space="preserve">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07E489D5">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234EE0B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53BAB3A4">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4196D86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11906CC3">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75EB2ADD">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65E00D88">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w:t>
      </w:r>
      <w:r>
        <w:rPr>
          <w:rFonts w:hint="eastAsia" w:ascii="宋体" w:hAnsi="宋体" w:cs="宋体"/>
          <w:color w:val="auto"/>
          <w:sz w:val="24"/>
          <w:highlight w:val="none"/>
          <w:lang w:eastAsia="zh-CN"/>
        </w:rPr>
        <w:t>主营业务收入</w:t>
      </w:r>
      <w:r>
        <w:rPr>
          <w:rFonts w:hint="eastAsia" w:ascii="宋体" w:hAnsi="宋体" w:cs="宋体"/>
          <w:color w:val="auto"/>
          <w:sz w:val="24"/>
          <w:highlight w:val="none"/>
        </w:rPr>
        <w:t xml:space="preserve"> 50 ％以上）或重要财务往来关系（如融资）等其他实质性控制关系</w:t>
      </w:r>
    </w:p>
    <w:p w14:paraId="4774DE6D">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0A96BECC">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w:t>
      </w:r>
      <w:r>
        <w:rPr>
          <w:rFonts w:hint="eastAsia" w:ascii="宋体" w:hAnsi="宋体" w:cs="宋体"/>
          <w:color w:val="auto"/>
          <w:sz w:val="24"/>
          <w:highlight w:val="none"/>
          <w:lang w:eastAsia="zh-CN"/>
        </w:rPr>
        <w:t>已清楚</w:t>
      </w:r>
      <w:r>
        <w:rPr>
          <w:rFonts w:hint="eastAsia" w:ascii="宋体" w:hAnsi="宋体" w:cs="宋体"/>
          <w:color w:val="auto"/>
          <w:sz w:val="24"/>
          <w:highlight w:val="none"/>
        </w:rPr>
        <w:t>知道并严格遵守政府采购法律法规和现场纪律。</w:t>
      </w:r>
    </w:p>
    <w:p w14:paraId="4423DDA0">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3F9526BB">
      <w:pPr>
        <w:snapToGrid w:val="0"/>
        <w:spacing w:beforeLines="50" w:after="50" w:line="276" w:lineRule="auto"/>
        <w:rPr>
          <w:rFonts w:ascii="宋体" w:hAnsi="宋体" w:cs="宋体"/>
          <w:color w:val="auto"/>
          <w:sz w:val="24"/>
          <w:highlight w:val="none"/>
        </w:rPr>
      </w:pPr>
    </w:p>
    <w:p w14:paraId="1325F893">
      <w:pPr>
        <w:pStyle w:val="3"/>
        <w:rPr>
          <w:color w:val="auto"/>
          <w:highlight w:val="none"/>
        </w:rPr>
      </w:pPr>
    </w:p>
    <w:p w14:paraId="0483385C">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7585719B">
      <w:pPr>
        <w:snapToGrid w:val="0"/>
        <w:spacing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70E65112">
      <w:pPr>
        <w:spacing w:line="360" w:lineRule="auto"/>
        <w:rPr>
          <w:rFonts w:hint="eastAsia" w:ascii="宋体" w:hAnsi="宋体" w:cs="宋体"/>
          <w:b/>
          <w:bCs/>
          <w:color w:val="auto"/>
          <w:sz w:val="24"/>
          <w:highlight w:val="none"/>
          <w:lang w:val="en-US" w:eastAsia="zh-CN"/>
        </w:rPr>
      </w:pPr>
    </w:p>
    <w:p w14:paraId="12B5450C">
      <w:pPr>
        <w:spacing w:line="360" w:lineRule="auto"/>
        <w:rPr>
          <w:rFonts w:hint="eastAsia" w:ascii="宋体" w:hAnsi="宋体" w:cs="宋体"/>
          <w:b/>
          <w:bCs/>
          <w:color w:val="auto"/>
          <w:sz w:val="24"/>
          <w:highlight w:val="none"/>
          <w:lang w:val="en-US" w:eastAsia="zh-CN"/>
        </w:rPr>
      </w:pPr>
    </w:p>
    <w:p w14:paraId="60CE7A21">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56" w:name="_Toc25980"/>
      <w:bookmarkStart w:id="57" w:name="_Toc26112"/>
      <w:r>
        <w:rPr>
          <w:rFonts w:hint="eastAsia" w:ascii="宋体" w:hAnsi="宋体"/>
          <w:bCs/>
          <w:color w:val="auto"/>
          <w:sz w:val="24"/>
          <w:highlight w:val="none"/>
        </w:rPr>
        <w:t>附件</w:t>
      </w:r>
      <w:r>
        <w:rPr>
          <w:rFonts w:hint="eastAsia" w:ascii="宋体" w:hAnsi="宋体"/>
          <w:bCs/>
          <w:color w:val="auto"/>
          <w:sz w:val="24"/>
          <w:highlight w:val="none"/>
          <w:lang w:val="en-US" w:eastAsia="zh-CN"/>
        </w:rPr>
        <w:t>四</w:t>
      </w:r>
      <w:r>
        <w:rPr>
          <w:rFonts w:hint="eastAsia" w:ascii="宋体" w:hAnsi="宋体"/>
          <w:bCs/>
          <w:color w:val="auto"/>
          <w:sz w:val="24"/>
          <w:highlight w:val="none"/>
        </w:rPr>
        <w:t>：中小企业声明函（工程、服务）</w:t>
      </w:r>
      <w:bookmarkEnd w:id="56"/>
      <w:bookmarkEnd w:id="57"/>
    </w:p>
    <w:p w14:paraId="671152B0">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中小企业声明函（工程、服务）</w:t>
      </w:r>
    </w:p>
    <w:p w14:paraId="7834E7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49A2BF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建筑业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26689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建筑业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06301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A5BFF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DDEF7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058C57B">
      <w:pPr>
        <w:spacing w:line="360" w:lineRule="auto"/>
        <w:rPr>
          <w:rFonts w:hint="eastAsia" w:ascii="宋体" w:hAnsi="宋体" w:eastAsia="宋体" w:cs="宋体"/>
          <w:color w:val="auto"/>
          <w:sz w:val="24"/>
          <w:highlight w:val="none"/>
        </w:rPr>
      </w:pPr>
    </w:p>
    <w:p w14:paraId="240F2763">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2DEAD079">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53FC5C59">
      <w:pPr>
        <w:spacing w:line="360" w:lineRule="auto"/>
        <w:rPr>
          <w:rFonts w:hint="eastAsia" w:ascii="宋体" w:hAnsi="宋体" w:eastAsia="宋体" w:cs="宋体"/>
          <w:color w:val="auto"/>
          <w:sz w:val="24"/>
          <w:highlight w:val="none"/>
        </w:rPr>
      </w:pPr>
    </w:p>
    <w:p w14:paraId="701AF5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0" distR="0" simplePos="0" relativeHeight="251661312" behindDoc="1" locked="0" layoutInCell="1" allowOverlap="1">
                <wp:simplePos x="0" y="0"/>
                <wp:positionH relativeFrom="page">
                  <wp:posOffset>1143000</wp:posOffset>
                </wp:positionH>
                <wp:positionV relativeFrom="paragraph">
                  <wp:posOffset>111125</wp:posOffset>
                </wp:positionV>
                <wp:extent cx="1828800" cy="0"/>
                <wp:effectExtent l="0" t="4445" r="0" b="5080"/>
                <wp:wrapTopAndBottom/>
                <wp:docPr id="10"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a:effectLst/>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5168;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2yG49UAAAAJAQAADwAAAAAA&#10;AAABACAAAAAiAAAAZHJzL2Rvd25yZXYueG1sUEsBAhQAFAAAAAgAh07iQOXGIxrdAQAAuAMAAA4A&#10;AAAAAAAAAQAgAAAAJAEAAGRycy9lMm9Eb2MueG1sUEsFBgAAAAAGAAYAWQEAAHMFAAAAAA==&#10;">
                <v:fill on="f" focussize="0,0"/>
                <v:stroke weight="0pt" color="#000000" joinstyle="round"/>
                <v:imagedata o:title=""/>
                <o:lock v:ext="edit" aspectratio="f"/>
                <w10:wrap type="topAndBottom"/>
              </v:line>
            </w:pict>
          </mc:Fallback>
        </mc:AlternateContent>
      </w:r>
    </w:p>
    <w:p w14:paraId="6212539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62E7276F">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、从业人员、营业收入、资产总额填报上一年度数据，无上一年度数据的新成立企业可不填报。</w:t>
      </w:r>
    </w:p>
    <w:p w14:paraId="29570F55">
      <w:pPr>
        <w:pStyle w:val="3"/>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、如中标人声明为小微企业，本声明函将随中标结果同时公告，接受社会监督。</w:t>
      </w:r>
    </w:p>
    <w:p w14:paraId="72B809C0">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58" w:name="_Toc24672"/>
      <w:bookmarkStart w:id="59" w:name="_Toc11961"/>
      <w:bookmarkStart w:id="60" w:name="_Toc5557"/>
      <w:r>
        <w:rPr>
          <w:rFonts w:hint="eastAsia" w:ascii="宋体" w:hAnsi="宋体"/>
          <w:bCs/>
          <w:color w:val="auto"/>
          <w:sz w:val="24"/>
          <w:highlight w:val="none"/>
        </w:rPr>
        <w:t>附件</w:t>
      </w:r>
      <w:r>
        <w:rPr>
          <w:rFonts w:hint="eastAsia" w:ascii="宋体" w:hAnsi="宋体"/>
          <w:bCs/>
          <w:color w:val="auto"/>
          <w:sz w:val="24"/>
          <w:highlight w:val="none"/>
          <w:lang w:val="en-US" w:eastAsia="zh-CN"/>
        </w:rPr>
        <w:t>五</w:t>
      </w:r>
      <w:r>
        <w:rPr>
          <w:rFonts w:hint="eastAsia" w:ascii="宋体" w:hAnsi="宋体"/>
          <w:bCs/>
          <w:color w:val="auto"/>
          <w:sz w:val="24"/>
          <w:highlight w:val="none"/>
        </w:rPr>
        <w:t>：残疾人福利性单位声明函</w:t>
      </w:r>
      <w:bookmarkEnd w:id="58"/>
      <w:bookmarkEnd w:id="59"/>
      <w:bookmarkEnd w:id="60"/>
    </w:p>
    <w:p w14:paraId="46EF0CFA">
      <w:pPr>
        <w:spacing w:after="120"/>
        <w:ind w:right="960" w:firstLine="2533" w:firstLineChars="701"/>
        <w:jc w:val="left"/>
        <w:rPr>
          <w:rFonts w:hint="eastAsia" w:ascii="宋体" w:hAnsi="宋体" w:cs="宋体"/>
          <w:b/>
          <w:color w:val="auto"/>
          <w:sz w:val="36"/>
          <w:highlight w:val="none"/>
        </w:rPr>
      </w:pPr>
      <w:r>
        <w:rPr>
          <w:rFonts w:hint="eastAsia" w:ascii="宋体" w:hAnsi="宋体" w:cs="宋体"/>
          <w:b/>
          <w:color w:val="auto"/>
          <w:sz w:val="36"/>
          <w:highlight w:val="none"/>
        </w:rPr>
        <w:t>残疾人福利性单位声明函</w:t>
      </w:r>
    </w:p>
    <w:p w14:paraId="0D22C651">
      <w:pPr>
        <w:spacing w:after="120" w:line="360" w:lineRule="auto"/>
        <w:ind w:right="960" w:firstLine="548" w:firstLineChars="196"/>
        <w:jc w:val="left"/>
        <w:rPr>
          <w:rFonts w:hint="eastAsia" w:ascii="宋体" w:hAnsi="宋体" w:cs="宋体"/>
          <w:color w:val="auto"/>
          <w:sz w:val="28"/>
          <w:highlight w:val="none"/>
        </w:rPr>
      </w:pPr>
    </w:p>
    <w:p w14:paraId="05F14F3B">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418C5B6B">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7F36E3BE">
      <w:pPr>
        <w:spacing w:after="120" w:line="360" w:lineRule="auto"/>
        <w:ind w:right="960" w:firstLine="4200" w:firstLineChars="1500"/>
        <w:jc w:val="left"/>
        <w:rPr>
          <w:rFonts w:hint="eastAsia" w:ascii="宋体" w:hAnsi="宋体" w:cs="宋体"/>
          <w:color w:val="auto"/>
          <w:sz w:val="28"/>
          <w:highlight w:val="none"/>
        </w:rPr>
      </w:pPr>
    </w:p>
    <w:p w14:paraId="736EC81F">
      <w:pPr>
        <w:spacing w:after="120" w:line="360" w:lineRule="auto"/>
        <w:ind w:right="960" w:firstLine="4200" w:firstLineChars="1500"/>
        <w:jc w:val="left"/>
        <w:rPr>
          <w:rFonts w:hint="eastAsia" w:ascii="宋体" w:hAnsi="宋体" w:cs="宋体"/>
          <w:color w:val="auto"/>
          <w:sz w:val="28"/>
          <w:highlight w:val="none"/>
        </w:rPr>
      </w:pPr>
    </w:p>
    <w:p w14:paraId="2A252CCF">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单位名称（盖章）:</w:t>
      </w:r>
    </w:p>
    <w:p w14:paraId="6744C7EA">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 xml:space="preserve">日期：        </w:t>
      </w:r>
    </w:p>
    <w:p w14:paraId="133B4414">
      <w:pPr>
        <w:spacing w:after="120"/>
        <w:jc w:val="center"/>
        <w:rPr>
          <w:rFonts w:hint="eastAsia" w:ascii="宋体" w:hAnsi="宋体" w:cs="宋体"/>
          <w:b/>
          <w:color w:val="auto"/>
          <w:sz w:val="36"/>
          <w:szCs w:val="36"/>
          <w:highlight w:val="none"/>
        </w:rPr>
      </w:pPr>
    </w:p>
    <w:p w14:paraId="6277A7E1">
      <w:pPr>
        <w:numPr>
          <w:ilvl w:val="0"/>
          <w:numId w:val="10"/>
        </w:numPr>
        <w:tabs>
          <w:tab w:val="left" w:pos="420"/>
          <w:tab w:val="clear" w:pos="1244"/>
        </w:tabs>
        <w:spacing w:before="100" w:beforeAutospacing="1" w:after="100" w:afterAutospacing="1" w:line="432" w:lineRule="auto"/>
        <w:ind w:hanging="124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残疾人福利性单位视同小型、微型企业，享受</w:t>
      </w:r>
      <w:r>
        <w:rPr>
          <w:rFonts w:hint="eastAsia" w:ascii="宋体" w:hAnsi="宋体" w:cs="Times New Roman"/>
          <w:b/>
          <w:color w:val="auto"/>
          <w:szCs w:val="21"/>
          <w:highlight w:val="none"/>
          <w:lang w:val="en-US" w:eastAsia="zh-CN"/>
        </w:rPr>
        <w:t>政策扶持</w:t>
      </w:r>
      <w:r>
        <w:rPr>
          <w:rFonts w:hint="eastAsia" w:ascii="宋体" w:hAnsi="宋体" w:eastAsia="宋体" w:cs="Times New Roman"/>
          <w:b/>
          <w:color w:val="auto"/>
          <w:szCs w:val="21"/>
          <w:highlight w:val="none"/>
        </w:rPr>
        <w:t>。</w:t>
      </w:r>
    </w:p>
    <w:p w14:paraId="193FF7AE">
      <w:pPr>
        <w:numPr>
          <w:ilvl w:val="0"/>
          <w:numId w:val="10"/>
        </w:numPr>
        <w:tabs>
          <w:tab w:val="left" w:pos="420"/>
          <w:tab w:val="clear" w:pos="1244"/>
        </w:tabs>
        <w:spacing w:before="100" w:beforeAutospacing="1" w:after="100" w:afterAutospacing="1" w:line="432" w:lineRule="auto"/>
        <w:ind w:hanging="1244"/>
        <w:rPr>
          <w:rFonts w:hint="eastAsia" w:ascii="宋体" w:hAnsi="宋体" w:eastAsia="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173E9387">
      <w:pPr>
        <w:spacing w:line="360" w:lineRule="auto"/>
        <w:rPr>
          <w:rFonts w:hint="eastAsia" w:ascii="宋体" w:hAnsi="宋体" w:cs="宋体"/>
          <w:b/>
          <w:bCs/>
          <w:color w:val="auto"/>
          <w:sz w:val="24"/>
          <w:highlight w:val="none"/>
          <w:lang w:val="en-US" w:eastAsia="zh-CN"/>
        </w:rPr>
      </w:pPr>
    </w:p>
    <w:p w14:paraId="03EAFF55">
      <w:pPr>
        <w:spacing w:line="360" w:lineRule="auto"/>
        <w:rPr>
          <w:rFonts w:hint="eastAsia" w:ascii="宋体" w:hAnsi="宋体" w:cs="宋体"/>
          <w:b/>
          <w:bCs/>
          <w:color w:val="auto"/>
          <w:sz w:val="24"/>
          <w:highlight w:val="none"/>
          <w:lang w:val="en-US" w:eastAsia="zh-CN"/>
        </w:rPr>
      </w:pPr>
    </w:p>
    <w:p w14:paraId="5A8688A9">
      <w:pPr>
        <w:spacing w:line="360" w:lineRule="auto"/>
        <w:rPr>
          <w:rFonts w:hint="eastAsia" w:ascii="宋体" w:hAnsi="宋体" w:cs="宋体"/>
          <w:b/>
          <w:bCs/>
          <w:color w:val="auto"/>
          <w:sz w:val="24"/>
          <w:highlight w:val="none"/>
          <w:lang w:val="en-US" w:eastAsia="zh-CN"/>
        </w:rPr>
      </w:pPr>
    </w:p>
    <w:p w14:paraId="73AA568B">
      <w:pPr>
        <w:spacing w:line="360" w:lineRule="auto"/>
        <w:rPr>
          <w:rFonts w:hint="eastAsia" w:ascii="宋体" w:hAnsi="宋体" w:cs="宋体"/>
          <w:b/>
          <w:bCs/>
          <w:color w:val="auto"/>
          <w:sz w:val="24"/>
          <w:highlight w:val="none"/>
          <w:lang w:val="en-US" w:eastAsia="zh-CN"/>
        </w:rPr>
      </w:pPr>
    </w:p>
    <w:p w14:paraId="0C8BA33F">
      <w:pPr>
        <w:spacing w:line="360" w:lineRule="auto"/>
        <w:rPr>
          <w:rFonts w:hint="eastAsia" w:ascii="宋体" w:hAnsi="宋体" w:cs="宋体"/>
          <w:b/>
          <w:bCs/>
          <w:color w:val="auto"/>
          <w:sz w:val="24"/>
          <w:highlight w:val="none"/>
          <w:lang w:val="en-US" w:eastAsia="zh-CN"/>
        </w:rPr>
      </w:pPr>
    </w:p>
    <w:p w14:paraId="7DA6CF75">
      <w:pPr>
        <w:spacing w:line="360" w:lineRule="auto"/>
        <w:rPr>
          <w:rFonts w:hint="eastAsia" w:ascii="宋体" w:hAnsi="宋体" w:cs="宋体"/>
          <w:b/>
          <w:bCs/>
          <w:color w:val="auto"/>
          <w:sz w:val="24"/>
          <w:highlight w:val="none"/>
          <w:lang w:val="en-US" w:eastAsia="zh-CN"/>
        </w:rPr>
      </w:pPr>
    </w:p>
    <w:p w14:paraId="29D6575F">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61" w:name="_Toc22508"/>
      <w:bookmarkStart w:id="62" w:name="_Toc18330"/>
      <w:bookmarkStart w:id="63" w:name="_Toc25167"/>
      <w:bookmarkStart w:id="64" w:name="_Toc9714"/>
      <w:bookmarkStart w:id="65" w:name="_Toc26637"/>
      <w:bookmarkStart w:id="66" w:name="_Toc10320"/>
      <w:r>
        <w:rPr>
          <w:rFonts w:hint="eastAsia" w:ascii="宋体" w:hAnsi="宋体"/>
          <w:bCs/>
          <w:color w:val="auto"/>
          <w:sz w:val="24"/>
          <w:highlight w:val="none"/>
        </w:rPr>
        <w:t>附件</w:t>
      </w:r>
      <w:r>
        <w:rPr>
          <w:rFonts w:hint="eastAsia" w:ascii="宋体" w:hAnsi="宋体"/>
          <w:bCs/>
          <w:color w:val="auto"/>
          <w:sz w:val="24"/>
          <w:highlight w:val="none"/>
          <w:lang w:val="en-US" w:eastAsia="zh-CN"/>
        </w:rPr>
        <w:t>六</w:t>
      </w:r>
      <w:r>
        <w:rPr>
          <w:rFonts w:hint="eastAsia" w:ascii="宋体" w:hAnsi="宋体"/>
          <w:bCs/>
          <w:color w:val="auto"/>
          <w:sz w:val="24"/>
          <w:highlight w:val="none"/>
        </w:rPr>
        <w:t>：联合协议</w:t>
      </w:r>
      <w:bookmarkEnd w:id="61"/>
      <w:bookmarkEnd w:id="62"/>
      <w:bookmarkEnd w:id="63"/>
    </w:p>
    <w:p w14:paraId="2C5ADCEF">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联合协议</w:t>
      </w:r>
    </w:p>
    <w:p w14:paraId="29914DEE">
      <w:pPr>
        <w:snapToGrid w:val="0"/>
        <w:spacing w:line="360" w:lineRule="auto"/>
        <w:ind w:firstLine="576"/>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（以联合体形式投标的，提供联合协议；本项目不接受联合体投标或者供应商不以联合体形式投标的，则不需要提供）</w:t>
      </w:r>
    </w:p>
    <w:p w14:paraId="43A84E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D6B3CB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62C8B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授权代表根据竞争性磋商文件规定及投标内容而对采购人、采购机构所作的任何合法承诺，包括书面澄清及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0CBB25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9CDBCE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提供的全部货物/服务由小微企业制造/服务，其合同份额占到合同总金额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p>
    <w:p w14:paraId="0D957B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E74B8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6364F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F8AD4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56658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573AC194">
      <w:pPr>
        <w:snapToGrid w:val="0"/>
        <w:spacing w:line="360" w:lineRule="auto"/>
        <w:ind w:firstLine="5040" w:firstLineChars="21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联合体成员名称(公章)：</w:t>
      </w:r>
    </w:p>
    <w:p w14:paraId="1D67839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841D0E8">
      <w:pPr>
        <w:snapToGrid w:val="0"/>
        <w:spacing w:line="360" w:lineRule="auto"/>
        <w:ind w:right="480"/>
        <w:rPr>
          <w:rFonts w:hint="eastAsia" w:ascii="宋体" w:hAnsi="宋体" w:eastAsia="宋体" w:cs="宋体"/>
          <w:b/>
          <w:color w:val="auto"/>
          <w:kern w:val="0"/>
          <w:sz w:val="32"/>
          <w:szCs w:val="32"/>
          <w:highlight w:val="none"/>
          <w:lang w:val="zh-CN"/>
        </w:rPr>
        <w:sectPr>
          <w:footerReference r:id="rId7" w:type="default"/>
          <w:pgSz w:w="11906" w:h="16838"/>
          <w:pgMar w:top="1440" w:right="1083" w:bottom="1440" w:left="1083" w:header="567" w:footer="567" w:gutter="0"/>
          <w:pgBorders>
            <w:top w:val="none" w:sz="0" w:space="0"/>
            <w:left w:val="none" w:sz="0" w:space="0"/>
            <w:bottom w:val="none" w:sz="0" w:space="0"/>
            <w:right w:val="none" w:sz="0" w:space="0"/>
          </w:pgBorders>
          <w:pgNumType w:fmt="decimal" w:start="1"/>
          <w:cols w:space="0" w:num="1"/>
          <w:rtlGutter w:val="0"/>
          <w:docGrid w:linePitch="312" w:charSpace="0"/>
        </w:sectPr>
      </w:pPr>
    </w:p>
    <w:p w14:paraId="6568E1B6">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rPr>
        <w:t>附件</w:t>
      </w:r>
      <w:r>
        <w:rPr>
          <w:rFonts w:hint="eastAsia" w:ascii="宋体" w:hAnsi="宋体"/>
          <w:bCs/>
          <w:color w:val="auto"/>
          <w:sz w:val="24"/>
          <w:highlight w:val="none"/>
          <w:lang w:val="en-US" w:eastAsia="zh-CN"/>
        </w:rPr>
        <w:t>七</w:t>
      </w:r>
      <w:r>
        <w:rPr>
          <w:rFonts w:hint="eastAsia" w:ascii="宋体" w:hAnsi="宋体"/>
          <w:bCs/>
          <w:color w:val="auto"/>
          <w:sz w:val="24"/>
          <w:highlight w:val="none"/>
        </w:rPr>
        <w:t>：分包意向协议</w:t>
      </w:r>
    </w:p>
    <w:p w14:paraId="37087E38">
      <w:pPr>
        <w:snapToGrid w:val="0"/>
        <w:spacing w:line="360" w:lineRule="auto"/>
        <w:ind w:firstLine="4176" w:firstLineChars="1300"/>
        <w:rPr>
          <w:rFonts w:hint="eastAsia" w:ascii="宋体" w:hAnsi="宋体"/>
          <w:b/>
          <w:kern w:val="0"/>
          <w:sz w:val="32"/>
          <w:szCs w:val="32"/>
          <w:highlight w:val="none"/>
        </w:rPr>
      </w:pPr>
      <w:r>
        <w:rPr>
          <w:rFonts w:hint="eastAsia" w:ascii="宋体" w:hAnsi="宋体"/>
          <w:b/>
          <w:kern w:val="0"/>
          <w:sz w:val="32"/>
          <w:szCs w:val="32"/>
          <w:highlight w:val="none"/>
        </w:rPr>
        <w:t>分包意向协议</w:t>
      </w:r>
    </w:p>
    <w:p w14:paraId="610229EF">
      <w:pPr>
        <w:widowControl/>
        <w:spacing w:line="360" w:lineRule="auto"/>
        <w:ind w:firstLine="120" w:firstLineChars="50"/>
        <w:jc w:val="left"/>
        <w:rPr>
          <w:rFonts w:hint="eastAsia"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中标后以分包方式履行合同的，提供分包意向协议；采购人不同意分包或者供应商中标后不以分包方式履行合同的，则不需要提供。</w:t>
      </w:r>
      <w:r>
        <w:rPr>
          <w:rFonts w:hint="eastAsia" w:ascii="宋体" w:hAnsi="宋体"/>
          <w:sz w:val="24"/>
          <w:szCs w:val="24"/>
          <w:highlight w:val="none"/>
        </w:rPr>
        <w:t>）</w:t>
      </w:r>
    </w:p>
    <w:p w14:paraId="56A15B9A">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u w:val="single"/>
        </w:rPr>
        <w:t>（供应商名称）</w:t>
      </w:r>
      <w:r>
        <w:rPr>
          <w:rFonts w:hint="eastAsia" w:ascii="宋体" w:hAnsi="宋体"/>
          <w:kern w:val="0"/>
          <w:sz w:val="24"/>
          <w:szCs w:val="24"/>
          <w:highlight w:val="none"/>
        </w:rPr>
        <w:t>若成为</w:t>
      </w:r>
      <w:r>
        <w:rPr>
          <w:rFonts w:hint="eastAsia" w:ascii="宋体" w:hAnsi="宋体"/>
          <w:sz w:val="24"/>
          <w:szCs w:val="24"/>
          <w:highlight w:val="none"/>
        </w:rPr>
        <w:t>（项目名称）【招标编号：（采购编号）】</w:t>
      </w:r>
      <w:r>
        <w:rPr>
          <w:rFonts w:hint="eastAsia" w:ascii="宋体" w:hAnsi="宋体"/>
          <w:kern w:val="0"/>
          <w:sz w:val="24"/>
          <w:szCs w:val="24"/>
          <w:highlight w:val="none"/>
        </w:rPr>
        <w:t>的中标供应商，将依法采取分包方式履行合同。</w:t>
      </w:r>
      <w:r>
        <w:rPr>
          <w:rFonts w:hint="eastAsia" w:ascii="宋体" w:hAnsi="宋体"/>
          <w:kern w:val="0"/>
          <w:sz w:val="24"/>
          <w:szCs w:val="24"/>
          <w:highlight w:val="none"/>
          <w:u w:val="single"/>
        </w:rPr>
        <w:t>（供应商名称）</w:t>
      </w:r>
      <w:r>
        <w:rPr>
          <w:rFonts w:hint="eastAsia" w:ascii="宋体" w:hAnsi="宋体"/>
          <w:kern w:val="0"/>
          <w:sz w:val="24"/>
          <w:szCs w:val="24"/>
          <w:highlight w:val="none"/>
        </w:rPr>
        <w:t>与</w:t>
      </w:r>
      <w:r>
        <w:rPr>
          <w:rFonts w:hint="eastAsia" w:ascii="宋体" w:hAnsi="宋体"/>
          <w:kern w:val="0"/>
          <w:sz w:val="24"/>
          <w:szCs w:val="24"/>
          <w:highlight w:val="none"/>
          <w:u w:val="single"/>
        </w:rPr>
        <w:t>（所有分包供应商名称）</w:t>
      </w:r>
      <w:r>
        <w:rPr>
          <w:rFonts w:hint="eastAsia" w:ascii="宋体" w:hAnsi="宋体"/>
          <w:kern w:val="0"/>
          <w:sz w:val="24"/>
          <w:szCs w:val="24"/>
          <w:highlight w:val="none"/>
        </w:rPr>
        <w:t xml:space="preserve">达成分包意向协议。 </w:t>
      </w:r>
    </w:p>
    <w:p w14:paraId="3632E087">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一、分包标的及数量</w:t>
      </w:r>
    </w:p>
    <w:p w14:paraId="23ABA46B">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u w:val="single"/>
        </w:rPr>
        <w:t>（供应商名称）</w:t>
      </w:r>
      <w:r>
        <w:rPr>
          <w:rFonts w:hint="eastAsia" w:ascii="宋体" w:hAnsi="宋体"/>
          <w:kern w:val="0"/>
          <w:sz w:val="24"/>
          <w:szCs w:val="24"/>
          <w:highlight w:val="none"/>
        </w:rPr>
        <w:t>将</w:t>
      </w:r>
      <w:r>
        <w:rPr>
          <w:rFonts w:hint="eastAsia" w:ascii="宋体" w:hAnsi="宋体"/>
          <w:sz w:val="24"/>
          <w:szCs w:val="24"/>
          <w:highlight w:val="none"/>
          <w:u w:val="single"/>
        </w:rPr>
        <w:t xml:space="preserve">   XX工作内容   </w:t>
      </w:r>
      <w:r>
        <w:rPr>
          <w:rFonts w:hint="eastAsia" w:ascii="宋体" w:hAnsi="宋体"/>
          <w:sz w:val="24"/>
          <w:szCs w:val="24"/>
          <w:highlight w:val="none"/>
        </w:rPr>
        <w:t>分包给</w:t>
      </w:r>
      <w:r>
        <w:rPr>
          <w:rFonts w:hint="eastAsia" w:ascii="宋体" w:hAnsi="宋体"/>
          <w:kern w:val="0"/>
          <w:sz w:val="24"/>
          <w:szCs w:val="24"/>
          <w:highlight w:val="none"/>
          <w:u w:val="single"/>
        </w:rPr>
        <w:t>（某分包供应商名称）</w:t>
      </w:r>
      <w:r>
        <w:rPr>
          <w:rFonts w:hint="eastAsia" w:ascii="宋体" w:hAnsi="宋体"/>
          <w:kern w:val="0"/>
          <w:sz w:val="24"/>
          <w:szCs w:val="24"/>
          <w:highlight w:val="none"/>
        </w:rPr>
        <w:t>，</w:t>
      </w:r>
      <w:r>
        <w:rPr>
          <w:rFonts w:hint="eastAsia" w:ascii="宋体" w:hAnsi="宋体"/>
          <w:kern w:val="0"/>
          <w:sz w:val="24"/>
          <w:szCs w:val="24"/>
          <w:highlight w:val="none"/>
          <w:u w:val="single"/>
        </w:rPr>
        <w:t>（某分包供应商名称），</w:t>
      </w:r>
      <w:r>
        <w:rPr>
          <w:rFonts w:hint="eastAsia" w:ascii="宋体" w:hAnsi="宋体"/>
          <w:kern w:val="0"/>
          <w:sz w:val="24"/>
          <w:szCs w:val="24"/>
          <w:highlight w:val="none"/>
        </w:rPr>
        <w:t>具备承担</w:t>
      </w:r>
      <w:r>
        <w:rPr>
          <w:rFonts w:hint="eastAsia" w:ascii="宋体" w:hAnsi="宋体"/>
          <w:kern w:val="0"/>
          <w:sz w:val="24"/>
          <w:szCs w:val="24"/>
          <w:highlight w:val="none"/>
          <w:u w:val="single"/>
        </w:rPr>
        <w:t>XX工作内容</w:t>
      </w:r>
      <w:r>
        <w:rPr>
          <w:rFonts w:hint="eastAsia" w:ascii="宋体" w:hAnsi="宋体"/>
          <w:kern w:val="0"/>
          <w:sz w:val="24"/>
          <w:szCs w:val="24"/>
          <w:highlight w:val="none"/>
        </w:rPr>
        <w:t>相应资质条件且不得再次分包；</w:t>
      </w:r>
    </w:p>
    <w:p w14:paraId="4DBDF193">
      <w:pPr>
        <w:snapToGrid w:val="0"/>
        <w:spacing w:line="360" w:lineRule="auto"/>
        <w:ind w:firstLine="576"/>
        <w:rPr>
          <w:rFonts w:hint="eastAsia" w:ascii="宋体" w:hAnsi="宋体"/>
          <w:kern w:val="0"/>
          <w:sz w:val="24"/>
          <w:szCs w:val="24"/>
          <w:highlight w:val="none"/>
          <w:u w:val="single"/>
        </w:rPr>
      </w:pPr>
      <w:r>
        <w:rPr>
          <w:rFonts w:hint="eastAsia" w:ascii="宋体" w:hAnsi="宋体"/>
          <w:kern w:val="0"/>
          <w:sz w:val="24"/>
          <w:szCs w:val="24"/>
          <w:highlight w:val="none"/>
          <w:u w:val="single"/>
        </w:rPr>
        <w:t>……</w:t>
      </w:r>
    </w:p>
    <w:p w14:paraId="78A30A12">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二、分包工作履行期限、地点、方式</w:t>
      </w:r>
    </w:p>
    <w:p w14:paraId="222A5877">
      <w:pPr>
        <w:snapToGrid w:val="0"/>
        <w:spacing w:line="360" w:lineRule="auto"/>
        <w:ind w:firstLine="576"/>
        <w:rPr>
          <w:rFonts w:hint="eastAsia" w:ascii="宋体" w:hAnsi="宋体"/>
          <w:sz w:val="24"/>
          <w:szCs w:val="24"/>
          <w:highlight w:val="none"/>
          <w:u w:val="single"/>
        </w:rPr>
      </w:pPr>
      <w:r>
        <w:rPr>
          <w:rFonts w:hint="eastAsia" w:ascii="宋体" w:hAnsi="宋体"/>
          <w:sz w:val="24"/>
          <w:szCs w:val="24"/>
          <w:highlight w:val="none"/>
          <w:u w:val="single"/>
        </w:rPr>
        <w:t xml:space="preserve">                                                                                  </w:t>
      </w:r>
    </w:p>
    <w:p w14:paraId="77B025C3">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三、质量</w:t>
      </w:r>
    </w:p>
    <w:p w14:paraId="456F116A">
      <w:pPr>
        <w:snapToGrid w:val="0"/>
        <w:spacing w:line="360" w:lineRule="auto"/>
        <w:ind w:firstLine="576"/>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7D8292CC">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四、价款或者报酬</w:t>
      </w:r>
    </w:p>
    <w:p w14:paraId="3BF2906E">
      <w:pPr>
        <w:snapToGrid w:val="0"/>
        <w:spacing w:line="360" w:lineRule="auto"/>
        <w:ind w:left="573" w:leftChars="273"/>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35CB59F3">
      <w:pPr>
        <w:snapToGrid w:val="0"/>
        <w:spacing w:line="360" w:lineRule="auto"/>
        <w:ind w:left="573" w:leftChars="273"/>
        <w:rPr>
          <w:rFonts w:hint="eastAsia" w:ascii="宋体" w:hAnsi="宋体"/>
          <w:kern w:val="0"/>
          <w:sz w:val="24"/>
          <w:szCs w:val="24"/>
          <w:highlight w:val="none"/>
        </w:rPr>
      </w:pPr>
      <w:r>
        <w:rPr>
          <w:rFonts w:hint="eastAsia" w:ascii="宋体" w:hAnsi="宋体"/>
          <w:kern w:val="0"/>
          <w:sz w:val="24"/>
          <w:szCs w:val="24"/>
          <w:highlight w:val="none"/>
        </w:rPr>
        <w:t>五、违约责任</w:t>
      </w:r>
    </w:p>
    <w:p w14:paraId="11323280">
      <w:pPr>
        <w:snapToGrid w:val="0"/>
        <w:spacing w:line="360" w:lineRule="auto"/>
        <w:ind w:firstLine="576"/>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5B6E00F1">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六、争议解决的办法</w:t>
      </w:r>
    </w:p>
    <w:p w14:paraId="0ECAD289">
      <w:pPr>
        <w:snapToGrid w:val="0"/>
        <w:spacing w:line="360" w:lineRule="auto"/>
        <w:ind w:firstLine="576"/>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54F9A2E5">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七、其他</w:t>
      </w:r>
    </w:p>
    <w:p w14:paraId="71A24E2A">
      <w:pPr>
        <w:snapToGrid w:val="0"/>
        <w:spacing w:line="360" w:lineRule="auto"/>
        <w:ind w:firstLine="576"/>
        <w:rPr>
          <w:rFonts w:hint="eastAsia" w:ascii="宋体" w:hAnsi="宋体"/>
          <w:b/>
          <w:kern w:val="0"/>
          <w:sz w:val="24"/>
          <w:szCs w:val="24"/>
          <w:highlight w:val="none"/>
        </w:rPr>
      </w:pPr>
      <w:r>
        <w:rPr>
          <w:rFonts w:hint="eastAsia" w:ascii="宋体" w:hAnsi="宋体"/>
          <w:kern w:val="0"/>
          <w:sz w:val="24"/>
          <w:szCs w:val="24"/>
          <w:highlight w:val="none"/>
          <w:u w:val="single"/>
        </w:rPr>
        <w:t>（分包供应商名称）提供的货物/服务全部由小微企业制造/服务，</w:t>
      </w:r>
      <w:r>
        <w:rPr>
          <w:rFonts w:hint="eastAsia" w:ascii="宋体" w:hAnsi="宋体"/>
          <w:kern w:val="0"/>
          <w:sz w:val="24"/>
          <w:szCs w:val="24"/>
          <w:highlight w:val="none"/>
        </w:rPr>
        <w:t>其合同份额占到合同总金额</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%以上</w:t>
      </w:r>
      <w:r>
        <w:rPr>
          <w:rFonts w:hint="eastAsia" w:ascii="宋体" w:hAnsi="宋体"/>
          <w:sz w:val="24"/>
          <w:szCs w:val="24"/>
          <w:highlight w:val="none"/>
        </w:rPr>
        <w:t>。</w:t>
      </w:r>
    </w:p>
    <w:p w14:paraId="4BC02AE4">
      <w:pPr>
        <w:snapToGrid w:val="0"/>
        <w:spacing w:line="360" w:lineRule="auto"/>
        <w:rPr>
          <w:rFonts w:hint="eastAsia" w:ascii="宋体" w:hAnsi="宋体"/>
          <w:kern w:val="0"/>
          <w:sz w:val="24"/>
          <w:szCs w:val="24"/>
          <w:highlight w:val="none"/>
        </w:rPr>
      </w:pPr>
      <w:r>
        <w:rPr>
          <w:rFonts w:hint="eastAsia" w:ascii="宋体" w:hAnsi="宋体"/>
          <w:kern w:val="0"/>
          <w:sz w:val="24"/>
          <w:szCs w:val="24"/>
          <w:highlight w:val="none"/>
        </w:rPr>
        <w:t xml:space="preserve">                                               供应商名称(盖章)：</w:t>
      </w:r>
    </w:p>
    <w:p w14:paraId="7F204B46">
      <w:pPr>
        <w:snapToGrid w:val="0"/>
        <w:spacing w:line="360" w:lineRule="auto"/>
        <w:ind w:firstLine="5640" w:firstLineChars="2350"/>
        <w:rPr>
          <w:rFonts w:hint="eastAsia" w:ascii="宋体" w:hAnsi="宋体"/>
          <w:kern w:val="0"/>
          <w:sz w:val="24"/>
          <w:szCs w:val="24"/>
          <w:highlight w:val="none"/>
        </w:rPr>
      </w:pPr>
      <w:r>
        <w:rPr>
          <w:rFonts w:hint="eastAsia" w:ascii="宋体" w:hAnsi="宋体"/>
          <w:kern w:val="0"/>
          <w:sz w:val="24"/>
          <w:szCs w:val="24"/>
          <w:highlight w:val="none"/>
        </w:rPr>
        <w:t>分包供应商名称：</w:t>
      </w:r>
    </w:p>
    <w:p w14:paraId="7DA19640">
      <w:pPr>
        <w:snapToGrid w:val="0"/>
        <w:spacing w:line="360" w:lineRule="auto"/>
        <w:ind w:firstLine="5760" w:firstLineChars="2400"/>
        <w:rPr>
          <w:rFonts w:hint="eastAsia" w:ascii="宋体" w:hAnsi="宋体"/>
          <w:sz w:val="24"/>
          <w:szCs w:val="24"/>
          <w:highlight w:val="none"/>
        </w:rPr>
      </w:pPr>
      <w:r>
        <w:rPr>
          <w:rFonts w:hint="eastAsia" w:ascii="宋体" w:hAnsi="宋体"/>
          <w:kern w:val="0"/>
          <w:sz w:val="24"/>
          <w:szCs w:val="24"/>
          <w:highlight w:val="none"/>
        </w:rPr>
        <w:t>……</w:t>
      </w:r>
    </w:p>
    <w:p w14:paraId="1D881DAA">
      <w:pPr>
        <w:spacing w:line="450" w:lineRule="exact"/>
        <w:rPr>
          <w:rFonts w:hint="eastAsia" w:ascii="宋体" w:hAnsi="宋体"/>
          <w:kern w:val="0"/>
          <w:sz w:val="24"/>
          <w:szCs w:val="24"/>
          <w:highlight w:val="none"/>
        </w:rPr>
      </w:pPr>
      <w:r>
        <w:rPr>
          <w:rFonts w:hint="eastAsia" w:ascii="宋体" w:hAnsi="宋体"/>
          <w:kern w:val="0"/>
          <w:sz w:val="24"/>
          <w:szCs w:val="24"/>
          <w:highlight w:val="none"/>
        </w:rPr>
        <w:t xml:space="preserve">                                               日期：  年  月   日</w:t>
      </w:r>
    </w:p>
    <w:p w14:paraId="21AF72DA">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rPr>
        <w:t>附件</w:t>
      </w:r>
      <w:r>
        <w:rPr>
          <w:rFonts w:hint="eastAsia" w:ascii="宋体" w:hAnsi="宋体"/>
          <w:bCs/>
          <w:color w:val="auto"/>
          <w:sz w:val="24"/>
          <w:highlight w:val="none"/>
          <w:lang w:val="en-US" w:eastAsia="zh-CN"/>
        </w:rPr>
        <w:t>八</w:t>
      </w:r>
      <w:r>
        <w:rPr>
          <w:rFonts w:hint="eastAsia" w:ascii="宋体" w:hAnsi="宋体"/>
          <w:bCs/>
          <w:color w:val="auto"/>
          <w:sz w:val="24"/>
          <w:highlight w:val="none"/>
        </w:rPr>
        <w:t>：</w:t>
      </w:r>
      <w:r>
        <w:rPr>
          <w:rFonts w:hint="eastAsia" w:ascii="宋体" w:hAnsi="宋体"/>
          <w:bCs/>
          <w:color w:val="auto"/>
          <w:sz w:val="24"/>
          <w:highlight w:val="none"/>
          <w:lang w:val="en-US" w:eastAsia="zh-CN"/>
        </w:rPr>
        <w:t>东阳市</w:t>
      </w:r>
      <w:r>
        <w:rPr>
          <w:rFonts w:hint="eastAsia" w:ascii="宋体" w:hAnsi="宋体"/>
          <w:bCs/>
          <w:color w:val="auto"/>
          <w:sz w:val="24"/>
          <w:highlight w:val="none"/>
        </w:rPr>
        <w:t>政府采购代理机构社会评价表</w:t>
      </w:r>
      <w:bookmarkEnd w:id="64"/>
      <w:bookmarkEnd w:id="65"/>
    </w:p>
    <w:p w14:paraId="7D5A6872">
      <w:pPr>
        <w:jc w:val="center"/>
        <w:rPr>
          <w:rFonts w:hint="eastAsia" w:ascii="宋体" w:hAnsi="宋体" w:eastAsia="宋体" w:cs="宋体"/>
          <w:color w:val="auto"/>
          <w:sz w:val="44"/>
          <w:szCs w:val="44"/>
          <w:highlight w:val="none"/>
        </w:rPr>
      </w:pPr>
      <w:r>
        <w:rPr>
          <w:rFonts w:hint="eastAsia" w:ascii="宋体" w:hAnsi="宋体" w:cs="宋体"/>
          <w:color w:val="auto"/>
          <w:sz w:val="44"/>
          <w:szCs w:val="44"/>
          <w:highlight w:val="none"/>
          <w:lang w:val="en-US" w:eastAsia="zh-CN"/>
        </w:rPr>
        <w:t>东阳市</w:t>
      </w:r>
      <w:r>
        <w:rPr>
          <w:rFonts w:hint="eastAsia" w:ascii="宋体" w:hAnsi="宋体" w:eastAsia="宋体" w:cs="宋体"/>
          <w:color w:val="auto"/>
          <w:sz w:val="44"/>
          <w:szCs w:val="44"/>
          <w:highlight w:val="none"/>
        </w:rPr>
        <w:t>政府采购代理机构社会评价表</w:t>
      </w:r>
    </w:p>
    <w:p w14:paraId="112A808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52"/>
        <w:gridCol w:w="735"/>
        <w:gridCol w:w="1128"/>
        <w:gridCol w:w="1089"/>
        <w:gridCol w:w="836"/>
        <w:gridCol w:w="3047"/>
      </w:tblGrid>
      <w:tr w14:paraId="14C2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3F5B91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8387" w:type="dxa"/>
            <w:gridSpan w:val="6"/>
            <w:tcBorders>
              <w:top w:val="single" w:color="auto" w:sz="4" w:space="0"/>
              <w:left w:val="nil"/>
              <w:bottom w:val="single" w:color="auto" w:sz="4" w:space="0"/>
              <w:right w:val="single" w:color="auto" w:sz="4" w:space="0"/>
            </w:tcBorders>
            <w:noWrap w:val="0"/>
            <w:vAlign w:val="center"/>
          </w:tcPr>
          <w:p w14:paraId="26922E94">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14:paraId="7C71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2DAB967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504" w:type="dxa"/>
            <w:gridSpan w:val="4"/>
            <w:tcBorders>
              <w:top w:val="single" w:color="auto" w:sz="4" w:space="0"/>
              <w:left w:val="nil"/>
              <w:bottom w:val="single" w:color="auto" w:sz="4" w:space="0"/>
              <w:right w:val="single" w:color="auto" w:sz="4" w:space="0"/>
            </w:tcBorders>
            <w:noWrap w:val="0"/>
            <w:vAlign w:val="center"/>
          </w:tcPr>
          <w:p w14:paraId="15AB183E">
            <w:pPr>
              <w:jc w:val="center"/>
              <w:rPr>
                <w:rFonts w:hint="eastAsia" w:ascii="宋体" w:hAnsi="宋体" w:eastAsia="宋体" w:cs="宋体"/>
                <w:color w:val="auto"/>
                <w:sz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6E0DE57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3047" w:type="dxa"/>
            <w:tcBorders>
              <w:top w:val="single" w:color="auto" w:sz="4" w:space="0"/>
              <w:left w:val="single" w:color="auto" w:sz="4" w:space="0"/>
              <w:bottom w:val="single" w:color="auto" w:sz="4" w:space="0"/>
              <w:right w:val="single" w:color="auto" w:sz="4" w:space="0"/>
            </w:tcBorders>
            <w:noWrap w:val="0"/>
            <w:vAlign w:val="center"/>
          </w:tcPr>
          <w:p w14:paraId="00F948A0">
            <w:pPr>
              <w:jc w:val="center"/>
              <w:rPr>
                <w:rFonts w:hint="eastAsia" w:ascii="宋体" w:hAnsi="宋体" w:eastAsia="宋体" w:cs="宋体"/>
                <w:color w:val="auto"/>
                <w:sz w:val="24"/>
                <w:highlight w:val="none"/>
              </w:rPr>
            </w:pPr>
          </w:p>
        </w:tc>
      </w:tr>
      <w:tr w14:paraId="6C84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2E79E0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552" w:type="dxa"/>
            <w:tcBorders>
              <w:top w:val="single" w:color="auto" w:sz="4" w:space="0"/>
              <w:left w:val="nil"/>
              <w:bottom w:val="single" w:color="auto" w:sz="4" w:space="0"/>
              <w:right w:val="single" w:color="auto" w:sz="4" w:space="0"/>
            </w:tcBorders>
            <w:noWrap w:val="0"/>
            <w:vAlign w:val="center"/>
          </w:tcPr>
          <w:p w14:paraId="0A483422">
            <w:pPr>
              <w:jc w:val="center"/>
              <w:rPr>
                <w:rFonts w:hint="eastAsia" w:ascii="宋体" w:hAnsi="宋体" w:eastAsia="宋体" w:cs="宋体"/>
                <w:color w:val="auto"/>
                <w:sz w:val="24"/>
                <w:highlight w:val="none"/>
              </w:rPr>
            </w:pPr>
          </w:p>
        </w:tc>
        <w:tc>
          <w:tcPr>
            <w:tcW w:w="735" w:type="dxa"/>
            <w:tcBorders>
              <w:top w:val="single" w:color="auto" w:sz="4" w:space="0"/>
              <w:left w:val="nil"/>
              <w:bottom w:val="single" w:color="auto" w:sz="4" w:space="0"/>
              <w:right w:val="single" w:color="auto" w:sz="4" w:space="0"/>
            </w:tcBorders>
            <w:noWrap w:val="0"/>
            <w:vAlign w:val="center"/>
          </w:tcPr>
          <w:p w14:paraId="22D7DF4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217" w:type="dxa"/>
            <w:gridSpan w:val="2"/>
            <w:tcBorders>
              <w:top w:val="single" w:color="auto" w:sz="4" w:space="0"/>
              <w:left w:val="nil"/>
              <w:bottom w:val="single" w:color="auto" w:sz="4" w:space="0"/>
              <w:right w:val="single" w:color="auto" w:sz="4" w:space="0"/>
            </w:tcBorders>
            <w:noWrap w:val="0"/>
            <w:vAlign w:val="center"/>
          </w:tcPr>
          <w:p w14:paraId="4013A370">
            <w:pPr>
              <w:jc w:val="center"/>
              <w:rPr>
                <w:rFonts w:hint="eastAsia" w:ascii="宋体" w:hAnsi="宋体" w:eastAsia="宋体" w:cs="宋体"/>
                <w:color w:val="auto"/>
                <w:sz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0E5EC03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3047" w:type="dxa"/>
            <w:tcBorders>
              <w:top w:val="single" w:color="auto" w:sz="4" w:space="0"/>
              <w:left w:val="single" w:color="auto" w:sz="4" w:space="0"/>
              <w:bottom w:val="single" w:color="auto" w:sz="4" w:space="0"/>
              <w:right w:val="single" w:color="auto" w:sz="4" w:space="0"/>
            </w:tcBorders>
            <w:noWrap w:val="0"/>
            <w:vAlign w:val="center"/>
          </w:tcPr>
          <w:p w14:paraId="64FA81F7">
            <w:pPr>
              <w:jc w:val="center"/>
              <w:rPr>
                <w:rFonts w:hint="eastAsia" w:ascii="宋体" w:hAnsi="宋体" w:eastAsia="宋体" w:cs="宋体"/>
                <w:color w:val="auto"/>
                <w:sz w:val="24"/>
                <w:highlight w:val="none"/>
              </w:rPr>
            </w:pPr>
          </w:p>
        </w:tc>
      </w:tr>
      <w:tr w14:paraId="21B2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12" w:type="dxa"/>
            <w:vMerge w:val="restart"/>
            <w:tcBorders>
              <w:top w:val="nil"/>
              <w:left w:val="single" w:color="auto" w:sz="4" w:space="0"/>
              <w:bottom w:val="single" w:color="auto" w:sz="4" w:space="0"/>
              <w:right w:val="single" w:color="auto" w:sz="4" w:space="0"/>
            </w:tcBorders>
            <w:noWrap w:val="0"/>
            <w:vAlign w:val="center"/>
          </w:tcPr>
          <w:p w14:paraId="5079CA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415" w:type="dxa"/>
            <w:gridSpan w:val="3"/>
            <w:tcBorders>
              <w:top w:val="single" w:color="auto" w:sz="4" w:space="0"/>
              <w:left w:val="nil"/>
              <w:bottom w:val="single" w:color="auto" w:sz="4" w:space="0"/>
              <w:right w:val="single" w:color="auto" w:sz="4" w:space="0"/>
            </w:tcBorders>
            <w:noWrap w:val="0"/>
            <w:vAlign w:val="center"/>
          </w:tcPr>
          <w:p w14:paraId="2B1236EB">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972" w:type="dxa"/>
            <w:gridSpan w:val="3"/>
            <w:tcBorders>
              <w:top w:val="single" w:color="auto" w:sz="4" w:space="0"/>
              <w:left w:val="nil"/>
              <w:bottom w:val="single" w:color="auto" w:sz="4" w:space="0"/>
              <w:right w:val="single" w:color="auto" w:sz="4" w:space="0"/>
            </w:tcBorders>
            <w:noWrap w:val="0"/>
            <w:vAlign w:val="center"/>
          </w:tcPr>
          <w:p w14:paraId="4EBB9FEC">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14:paraId="3112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7FB94376">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5BB8E38F">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972" w:type="dxa"/>
            <w:gridSpan w:val="3"/>
            <w:tcBorders>
              <w:top w:val="single" w:color="auto" w:sz="4" w:space="0"/>
              <w:left w:val="nil"/>
              <w:bottom w:val="single" w:color="auto" w:sz="4" w:space="0"/>
              <w:right w:val="single" w:color="auto" w:sz="4" w:space="0"/>
            </w:tcBorders>
            <w:noWrap w:val="0"/>
            <w:vAlign w:val="center"/>
          </w:tcPr>
          <w:p w14:paraId="77C1209B">
            <w:pPr>
              <w:spacing w:line="500" w:lineRule="exact"/>
              <w:jc w:val="center"/>
              <w:rPr>
                <w:rFonts w:hint="eastAsia" w:ascii="宋体" w:hAnsi="宋体" w:eastAsia="宋体" w:cs="宋体"/>
                <w:color w:val="auto"/>
                <w:sz w:val="24"/>
                <w:highlight w:val="none"/>
              </w:rPr>
            </w:pPr>
          </w:p>
        </w:tc>
      </w:tr>
      <w:tr w14:paraId="6145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7E45066B">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036003F2">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972" w:type="dxa"/>
            <w:gridSpan w:val="3"/>
            <w:tcBorders>
              <w:top w:val="single" w:color="auto" w:sz="4" w:space="0"/>
              <w:left w:val="nil"/>
              <w:bottom w:val="single" w:color="auto" w:sz="4" w:space="0"/>
              <w:right w:val="single" w:color="auto" w:sz="4" w:space="0"/>
            </w:tcBorders>
            <w:noWrap w:val="0"/>
            <w:vAlign w:val="center"/>
          </w:tcPr>
          <w:p w14:paraId="060E8202">
            <w:pPr>
              <w:spacing w:line="500" w:lineRule="exact"/>
              <w:jc w:val="center"/>
              <w:rPr>
                <w:rFonts w:hint="eastAsia" w:ascii="宋体" w:hAnsi="宋体" w:eastAsia="宋体" w:cs="宋体"/>
                <w:color w:val="auto"/>
                <w:sz w:val="24"/>
                <w:highlight w:val="none"/>
              </w:rPr>
            </w:pPr>
          </w:p>
        </w:tc>
      </w:tr>
      <w:tr w14:paraId="45AD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0941268D">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5BDE2565">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972" w:type="dxa"/>
            <w:gridSpan w:val="3"/>
            <w:tcBorders>
              <w:top w:val="single" w:color="auto" w:sz="4" w:space="0"/>
              <w:left w:val="nil"/>
              <w:bottom w:val="single" w:color="auto" w:sz="4" w:space="0"/>
              <w:right w:val="single" w:color="auto" w:sz="4" w:space="0"/>
            </w:tcBorders>
            <w:noWrap w:val="0"/>
            <w:vAlign w:val="center"/>
          </w:tcPr>
          <w:p w14:paraId="505AF873">
            <w:pPr>
              <w:spacing w:line="500" w:lineRule="exact"/>
              <w:jc w:val="center"/>
              <w:rPr>
                <w:rFonts w:hint="eastAsia" w:ascii="宋体" w:hAnsi="宋体" w:eastAsia="宋体" w:cs="宋体"/>
                <w:color w:val="auto"/>
                <w:sz w:val="24"/>
                <w:highlight w:val="none"/>
              </w:rPr>
            </w:pPr>
          </w:p>
        </w:tc>
      </w:tr>
      <w:tr w14:paraId="7D13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1A2120A0">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76AB569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972" w:type="dxa"/>
            <w:gridSpan w:val="3"/>
            <w:tcBorders>
              <w:top w:val="single" w:color="auto" w:sz="4" w:space="0"/>
              <w:left w:val="nil"/>
              <w:bottom w:val="single" w:color="auto" w:sz="4" w:space="0"/>
              <w:right w:val="single" w:color="auto" w:sz="4" w:space="0"/>
            </w:tcBorders>
            <w:noWrap w:val="0"/>
            <w:vAlign w:val="center"/>
          </w:tcPr>
          <w:p w14:paraId="53F99579">
            <w:pPr>
              <w:spacing w:line="500" w:lineRule="exact"/>
              <w:jc w:val="center"/>
              <w:rPr>
                <w:rFonts w:hint="eastAsia" w:ascii="宋体" w:hAnsi="宋体" w:eastAsia="宋体" w:cs="宋体"/>
                <w:color w:val="auto"/>
                <w:sz w:val="24"/>
                <w:highlight w:val="none"/>
              </w:rPr>
            </w:pPr>
          </w:p>
        </w:tc>
      </w:tr>
      <w:tr w14:paraId="020B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5CE0E604">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587710DD">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972" w:type="dxa"/>
            <w:gridSpan w:val="3"/>
            <w:tcBorders>
              <w:top w:val="single" w:color="auto" w:sz="4" w:space="0"/>
              <w:left w:val="nil"/>
              <w:bottom w:val="single" w:color="auto" w:sz="4" w:space="0"/>
              <w:right w:val="single" w:color="auto" w:sz="4" w:space="0"/>
            </w:tcBorders>
            <w:noWrap w:val="0"/>
            <w:vAlign w:val="center"/>
          </w:tcPr>
          <w:p w14:paraId="4C24368F">
            <w:pPr>
              <w:spacing w:line="500" w:lineRule="exact"/>
              <w:jc w:val="center"/>
              <w:rPr>
                <w:rFonts w:hint="eastAsia" w:ascii="宋体" w:hAnsi="宋体" w:eastAsia="宋体" w:cs="宋体"/>
                <w:color w:val="auto"/>
                <w:sz w:val="24"/>
                <w:highlight w:val="none"/>
              </w:rPr>
            </w:pPr>
          </w:p>
        </w:tc>
      </w:tr>
      <w:tr w14:paraId="5226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6363A32E">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7D70D1C4">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972" w:type="dxa"/>
            <w:gridSpan w:val="3"/>
            <w:tcBorders>
              <w:top w:val="single" w:color="auto" w:sz="4" w:space="0"/>
              <w:left w:val="nil"/>
              <w:bottom w:val="single" w:color="auto" w:sz="4" w:space="0"/>
              <w:right w:val="single" w:color="auto" w:sz="4" w:space="0"/>
            </w:tcBorders>
            <w:noWrap w:val="0"/>
            <w:vAlign w:val="center"/>
          </w:tcPr>
          <w:p w14:paraId="05DD895A">
            <w:pPr>
              <w:spacing w:line="500" w:lineRule="exact"/>
              <w:jc w:val="center"/>
              <w:rPr>
                <w:rFonts w:hint="eastAsia" w:ascii="宋体" w:hAnsi="宋体" w:eastAsia="宋体" w:cs="宋体"/>
                <w:color w:val="auto"/>
                <w:sz w:val="24"/>
                <w:highlight w:val="none"/>
              </w:rPr>
            </w:pPr>
          </w:p>
        </w:tc>
      </w:tr>
      <w:tr w14:paraId="21C1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5B6020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8387" w:type="dxa"/>
            <w:gridSpan w:val="6"/>
            <w:tcBorders>
              <w:top w:val="single" w:color="auto" w:sz="4" w:space="0"/>
              <w:left w:val="nil"/>
              <w:bottom w:val="single" w:color="auto" w:sz="4" w:space="0"/>
              <w:right w:val="single" w:color="auto" w:sz="4" w:space="0"/>
            </w:tcBorders>
            <w:noWrap w:val="0"/>
            <w:vAlign w:val="center"/>
          </w:tcPr>
          <w:p w14:paraId="253328F2">
            <w:pPr>
              <w:jc w:val="center"/>
              <w:rPr>
                <w:rFonts w:hint="eastAsia" w:ascii="宋体" w:hAnsi="宋体" w:eastAsia="宋体" w:cs="宋体"/>
                <w:color w:val="auto"/>
                <w:sz w:val="24"/>
                <w:highlight w:val="none"/>
              </w:rPr>
            </w:pPr>
          </w:p>
        </w:tc>
      </w:tr>
      <w:tr w14:paraId="5B73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50DA77F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387" w:type="dxa"/>
            <w:gridSpan w:val="6"/>
            <w:tcBorders>
              <w:top w:val="single" w:color="auto" w:sz="4" w:space="0"/>
              <w:left w:val="nil"/>
              <w:bottom w:val="single" w:color="auto" w:sz="4" w:space="0"/>
              <w:right w:val="single" w:color="auto" w:sz="4" w:space="0"/>
            </w:tcBorders>
            <w:noWrap w:val="0"/>
            <w:vAlign w:val="center"/>
          </w:tcPr>
          <w:p w14:paraId="36B9DD0C">
            <w:pPr>
              <w:jc w:val="center"/>
              <w:rPr>
                <w:rFonts w:hint="eastAsia" w:ascii="宋体" w:hAnsi="宋体" w:eastAsia="宋体" w:cs="宋体"/>
                <w:color w:val="auto"/>
                <w:sz w:val="24"/>
                <w:highlight w:val="none"/>
              </w:rPr>
            </w:pPr>
          </w:p>
        </w:tc>
      </w:tr>
    </w:tbl>
    <w:p w14:paraId="71FD1509">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14:paraId="5090667D">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注：投标单位须加盖单位红章。</w:t>
      </w:r>
    </w:p>
    <w:bookmarkEnd w:id="66"/>
    <w:p w14:paraId="5BF0F3B1">
      <w:pPr>
        <w:spacing w:line="360" w:lineRule="auto"/>
        <w:rPr>
          <w:rFonts w:hint="eastAsia" w:ascii="宋体" w:hAnsi="宋体" w:cs="宋体"/>
          <w:b/>
          <w:bCs/>
          <w:color w:val="auto"/>
          <w:sz w:val="24"/>
          <w:highlight w:val="none"/>
          <w:lang w:val="en-US" w:eastAsia="zh-CN"/>
        </w:rPr>
      </w:pPr>
    </w:p>
    <w:p w14:paraId="6B79AA85">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67" w:name="_Toc13506"/>
      <w:r>
        <w:rPr>
          <w:rFonts w:hint="eastAsia" w:ascii="宋体" w:hAnsi="宋体"/>
          <w:bCs/>
          <w:color w:val="auto"/>
          <w:sz w:val="24"/>
          <w:highlight w:val="none"/>
        </w:rPr>
        <w:t>附件</w:t>
      </w:r>
      <w:r>
        <w:rPr>
          <w:rFonts w:hint="eastAsia" w:ascii="宋体" w:hAnsi="宋体"/>
          <w:bCs/>
          <w:color w:val="auto"/>
          <w:sz w:val="24"/>
          <w:highlight w:val="none"/>
          <w:lang w:val="en-US" w:eastAsia="zh-CN"/>
        </w:rPr>
        <w:t>九</w:t>
      </w:r>
      <w:r>
        <w:rPr>
          <w:rFonts w:hint="eastAsia" w:ascii="宋体" w:hAnsi="宋体"/>
          <w:bCs/>
          <w:color w:val="auto"/>
          <w:sz w:val="24"/>
          <w:highlight w:val="none"/>
        </w:rPr>
        <w:t>：</w:t>
      </w:r>
      <w:bookmarkEnd w:id="67"/>
      <w:r>
        <w:rPr>
          <w:rFonts w:hint="eastAsia" w:ascii="宋体" w:hAnsi="宋体"/>
          <w:bCs/>
          <w:color w:val="auto"/>
          <w:sz w:val="24"/>
          <w:highlight w:val="none"/>
          <w:lang w:eastAsia="zh-CN"/>
        </w:rPr>
        <w:t>供应商</w:t>
      </w:r>
      <w:r>
        <w:rPr>
          <w:rFonts w:hint="eastAsia" w:ascii="宋体" w:hAnsi="宋体"/>
          <w:bCs/>
          <w:color w:val="auto"/>
          <w:sz w:val="24"/>
          <w:highlight w:val="none"/>
        </w:rPr>
        <w:t>技术、商务资信自评得分表</w:t>
      </w:r>
    </w:p>
    <w:p w14:paraId="1E6E5E10">
      <w:pPr>
        <w:snapToGrid w:val="0"/>
        <w:spacing w:before="50" w:after="50"/>
        <w:jc w:val="center"/>
        <w:rPr>
          <w:rFonts w:hint="eastAsia" w:ascii="宋体"/>
          <w:b/>
          <w:color w:val="auto"/>
          <w:sz w:val="36"/>
          <w:szCs w:val="36"/>
          <w:highlight w:val="none"/>
        </w:rPr>
      </w:pPr>
      <w:r>
        <w:rPr>
          <w:rFonts w:hint="eastAsia" w:ascii="宋体"/>
          <w:b/>
          <w:color w:val="auto"/>
          <w:sz w:val="36"/>
          <w:szCs w:val="36"/>
          <w:highlight w:val="none"/>
        </w:rPr>
        <w:t>▲</w:t>
      </w:r>
      <w:r>
        <w:rPr>
          <w:rFonts w:hint="eastAsia" w:ascii="宋体"/>
          <w:b/>
          <w:color w:val="auto"/>
          <w:sz w:val="36"/>
          <w:szCs w:val="36"/>
          <w:highlight w:val="none"/>
          <w:lang w:eastAsia="zh-CN"/>
        </w:rPr>
        <w:t>供应商</w:t>
      </w:r>
      <w:r>
        <w:rPr>
          <w:rFonts w:hint="eastAsia" w:ascii="宋体"/>
          <w:b/>
          <w:color w:val="auto"/>
          <w:sz w:val="36"/>
          <w:szCs w:val="36"/>
          <w:highlight w:val="none"/>
        </w:rPr>
        <w:t>技术、商务资信自评得分表</w:t>
      </w:r>
    </w:p>
    <w:p w14:paraId="013A915A">
      <w:pPr>
        <w:snapToGrid w:val="0"/>
        <w:spacing w:before="50" w:after="50" w:line="360" w:lineRule="auto"/>
        <w:rPr>
          <w:rFonts w:ascii="宋体"/>
          <w:b/>
          <w:color w:val="auto"/>
          <w:sz w:val="24"/>
          <w:highlight w:val="none"/>
          <w:u w:val="single"/>
        </w:rPr>
      </w:pPr>
      <w:r>
        <w:rPr>
          <w:rFonts w:hint="eastAsia" w:ascii="宋体"/>
          <w:b/>
          <w:color w:val="auto"/>
          <w:sz w:val="24"/>
          <w:highlight w:val="none"/>
        </w:rPr>
        <w:t>投标单位名称：                                    标项：</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1"/>
        <w:gridCol w:w="1610"/>
        <w:gridCol w:w="1610"/>
        <w:gridCol w:w="1358"/>
        <w:gridCol w:w="1084"/>
        <w:gridCol w:w="3034"/>
      </w:tblGrid>
      <w:tr w14:paraId="76D71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06E4CF25">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序号</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2C864E6">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评审内容</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FD81BA5">
            <w:pPr>
              <w:pStyle w:val="32"/>
              <w:ind w:firstLine="0" w:firstLineChars="0"/>
              <w:rPr>
                <w:rFonts w:hint="eastAsia" w:ascii="宋体" w:eastAsia="宋体"/>
                <w:b/>
                <w:bCs/>
                <w:color w:val="auto"/>
                <w:highlight w:val="none"/>
              </w:rPr>
            </w:pPr>
            <w:r>
              <w:rPr>
                <w:rFonts w:hint="eastAsia" w:ascii="宋体" w:eastAsia="宋体"/>
                <w:b/>
                <w:bCs/>
                <w:color w:val="auto"/>
                <w:highlight w:val="none"/>
              </w:rPr>
              <w:t>评分标准</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26521C87">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评分标准分值</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749F3DB3">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自评得分</w:t>
            </w:r>
          </w:p>
        </w:tc>
        <w:tc>
          <w:tcPr>
            <w:tcW w:w="3034" w:type="dxa"/>
            <w:tcBorders>
              <w:top w:val="single" w:color="auto" w:sz="4" w:space="0"/>
              <w:left w:val="single" w:color="auto" w:sz="4" w:space="0"/>
              <w:bottom w:val="single" w:color="auto" w:sz="4" w:space="0"/>
              <w:right w:val="single" w:color="auto" w:sz="4" w:space="0"/>
            </w:tcBorders>
            <w:noWrap w:val="0"/>
            <w:vAlign w:val="center"/>
          </w:tcPr>
          <w:p w14:paraId="65CA63F0">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页码</w:t>
            </w:r>
          </w:p>
        </w:tc>
      </w:tr>
      <w:tr w14:paraId="26034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4B03365C">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一</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C91585F">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技术分</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306912B">
            <w:pPr>
              <w:pStyle w:val="32"/>
              <w:ind w:firstLine="482"/>
              <w:jc w:val="center"/>
              <w:rPr>
                <w:rFonts w:hint="eastAsia" w:ascii="宋体" w:eastAsia="宋体"/>
                <w:b/>
                <w:bCs/>
                <w:color w:val="auto"/>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58BE2E3A">
            <w:pPr>
              <w:pStyle w:val="32"/>
              <w:ind w:firstLine="0" w:firstLineChars="0"/>
              <w:jc w:val="center"/>
              <w:rPr>
                <w:rFonts w:hint="eastAsia" w:ascii="宋体" w:eastAsia="宋体"/>
                <w:b/>
                <w:bCs/>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08E4BD51">
            <w:pPr>
              <w:pStyle w:val="32"/>
              <w:ind w:firstLine="0" w:firstLineChars="0"/>
              <w:jc w:val="center"/>
              <w:rPr>
                <w:rFonts w:hint="eastAsia" w:ascii="宋体" w:eastAsia="宋体"/>
                <w:b/>
                <w:bCs/>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4984B785">
            <w:pPr>
              <w:pStyle w:val="32"/>
              <w:ind w:firstLine="0" w:firstLineChars="0"/>
              <w:jc w:val="center"/>
              <w:rPr>
                <w:rFonts w:hint="eastAsia" w:ascii="宋体" w:eastAsia="宋体"/>
                <w:b/>
                <w:bCs/>
                <w:color w:val="auto"/>
                <w:highlight w:val="none"/>
              </w:rPr>
            </w:pPr>
          </w:p>
        </w:tc>
      </w:tr>
      <w:tr w14:paraId="04D02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37E2D270">
            <w:pPr>
              <w:widowControl/>
              <w:rPr>
                <w:rFonts w:hint="eastAsia" w:ascii="宋体"/>
                <w:color w:val="auto"/>
                <w:sz w:val="24"/>
                <w:highlight w:val="none"/>
              </w:rPr>
            </w:pPr>
            <w:r>
              <w:rPr>
                <w:rFonts w:hint="eastAsia" w:ascii="宋体"/>
                <w:color w:val="auto"/>
                <w:sz w:val="24"/>
                <w:highlight w:val="none"/>
              </w:rPr>
              <w:t>1</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03136D31">
            <w:pPr>
              <w:rPr>
                <w:rFonts w:hint="eastAsia" w:ascii="宋体"/>
                <w:color w:val="auto"/>
                <w:sz w:val="24"/>
                <w:highlight w:val="none"/>
              </w:rPr>
            </w:pPr>
          </w:p>
        </w:tc>
        <w:tc>
          <w:tcPr>
            <w:tcW w:w="1610" w:type="dxa"/>
            <w:tcBorders>
              <w:top w:val="single" w:color="auto" w:sz="4" w:space="0"/>
              <w:left w:val="single" w:color="auto" w:sz="4" w:space="0"/>
              <w:right w:val="single" w:color="auto" w:sz="4" w:space="0"/>
            </w:tcBorders>
            <w:noWrap w:val="0"/>
            <w:vAlign w:val="center"/>
          </w:tcPr>
          <w:p w14:paraId="20E6E5FE">
            <w:pPr>
              <w:rPr>
                <w:rFonts w:hint="eastAsia" w:ascii="宋体"/>
                <w:color w:val="auto"/>
                <w:sz w:val="24"/>
                <w:highlight w:val="none"/>
              </w:rPr>
            </w:pPr>
          </w:p>
        </w:tc>
        <w:tc>
          <w:tcPr>
            <w:tcW w:w="1358" w:type="dxa"/>
            <w:tcBorders>
              <w:top w:val="single" w:color="auto" w:sz="4" w:space="0"/>
              <w:left w:val="single" w:color="auto" w:sz="4" w:space="0"/>
              <w:right w:val="single" w:color="auto" w:sz="4" w:space="0"/>
            </w:tcBorders>
            <w:noWrap w:val="0"/>
            <w:vAlign w:val="center"/>
          </w:tcPr>
          <w:p w14:paraId="52559943">
            <w:pPr>
              <w:jc w:val="center"/>
              <w:rPr>
                <w:rFonts w:hint="eastAsia" w:ascii="宋体"/>
                <w:bCs/>
                <w:color w:val="auto"/>
                <w:sz w:val="24"/>
                <w:highlight w:val="none"/>
              </w:rPr>
            </w:pPr>
          </w:p>
        </w:tc>
        <w:tc>
          <w:tcPr>
            <w:tcW w:w="1084" w:type="dxa"/>
            <w:tcBorders>
              <w:top w:val="single" w:color="auto" w:sz="4" w:space="0"/>
              <w:left w:val="single" w:color="auto" w:sz="4" w:space="0"/>
              <w:right w:val="single" w:color="auto" w:sz="4" w:space="0"/>
            </w:tcBorders>
            <w:noWrap w:val="0"/>
            <w:vAlign w:val="center"/>
          </w:tcPr>
          <w:p w14:paraId="335C2DD9">
            <w:pPr>
              <w:jc w:val="center"/>
              <w:rPr>
                <w:rFonts w:hint="eastAsia" w:ascii="宋体"/>
                <w:bCs/>
                <w:color w:val="auto"/>
                <w:sz w:val="24"/>
                <w:highlight w:val="none"/>
              </w:rPr>
            </w:pPr>
          </w:p>
        </w:tc>
        <w:tc>
          <w:tcPr>
            <w:tcW w:w="3034" w:type="dxa"/>
            <w:tcBorders>
              <w:top w:val="single" w:color="auto" w:sz="4" w:space="0"/>
              <w:left w:val="single" w:color="auto" w:sz="4" w:space="0"/>
              <w:right w:val="single" w:color="auto" w:sz="4" w:space="0"/>
            </w:tcBorders>
            <w:noWrap w:val="0"/>
            <w:vAlign w:val="center"/>
          </w:tcPr>
          <w:p w14:paraId="0ABC6226">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r>
              <w:rPr>
                <w:rFonts w:hint="eastAsia" w:ascii="宋体"/>
                <w:bCs/>
                <w:color w:val="auto"/>
                <w:sz w:val="24"/>
                <w:highlight w:val="none"/>
              </w:rPr>
              <w:t>第几页</w:t>
            </w:r>
          </w:p>
        </w:tc>
      </w:tr>
      <w:tr w14:paraId="77E2F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9"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72CF85FF">
            <w:pPr>
              <w:widowControl/>
              <w:rPr>
                <w:rFonts w:hint="eastAsia" w:ascii="宋体"/>
                <w:color w:val="auto"/>
                <w:sz w:val="24"/>
                <w:highlight w:val="none"/>
              </w:rPr>
            </w:pPr>
            <w:r>
              <w:rPr>
                <w:rFonts w:hint="eastAsia" w:ascii="宋体"/>
                <w:color w:val="auto"/>
                <w:sz w:val="24"/>
                <w:highlight w:val="none"/>
              </w:rPr>
              <w:t>2</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D8DA066">
            <w:pPr>
              <w:spacing w:line="320" w:lineRule="exact"/>
              <w:rPr>
                <w:rFonts w:hint="eastAsia" w:ascii="宋体"/>
                <w:color w:val="auto"/>
                <w:sz w:val="24"/>
                <w:highlight w:val="none"/>
              </w:rPr>
            </w:pPr>
          </w:p>
        </w:tc>
        <w:tc>
          <w:tcPr>
            <w:tcW w:w="1610" w:type="dxa"/>
            <w:tcBorders>
              <w:top w:val="single" w:color="auto" w:sz="4" w:space="0"/>
              <w:left w:val="single" w:color="auto" w:sz="4" w:space="0"/>
              <w:right w:val="single" w:color="auto" w:sz="4" w:space="0"/>
            </w:tcBorders>
            <w:noWrap w:val="0"/>
            <w:vAlign w:val="center"/>
          </w:tcPr>
          <w:p w14:paraId="6F453B12">
            <w:pPr>
              <w:widowControl/>
              <w:rPr>
                <w:rFonts w:hint="eastAsia" w:ascii="宋体" w:cs="宋体"/>
                <w:color w:val="auto"/>
                <w:kern w:val="0"/>
                <w:sz w:val="24"/>
                <w:highlight w:val="none"/>
              </w:rPr>
            </w:pPr>
          </w:p>
        </w:tc>
        <w:tc>
          <w:tcPr>
            <w:tcW w:w="1358" w:type="dxa"/>
            <w:tcBorders>
              <w:top w:val="single" w:color="auto" w:sz="4" w:space="0"/>
              <w:left w:val="single" w:color="auto" w:sz="4" w:space="0"/>
              <w:right w:val="single" w:color="auto" w:sz="4" w:space="0"/>
            </w:tcBorders>
            <w:noWrap w:val="0"/>
            <w:vAlign w:val="center"/>
          </w:tcPr>
          <w:p w14:paraId="1537EB50">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right w:val="single" w:color="auto" w:sz="4" w:space="0"/>
            </w:tcBorders>
            <w:noWrap w:val="0"/>
            <w:vAlign w:val="center"/>
          </w:tcPr>
          <w:p w14:paraId="2AAD5F21">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right w:val="single" w:color="auto" w:sz="4" w:space="0"/>
            </w:tcBorders>
            <w:noWrap w:val="0"/>
            <w:vAlign w:val="center"/>
          </w:tcPr>
          <w:p w14:paraId="6132A67F">
            <w:pPr>
              <w:jc w:val="center"/>
              <w:rPr>
                <w:rFonts w:hint="eastAsia" w:ascii="宋体"/>
                <w:bCs/>
                <w:color w:val="auto"/>
                <w:sz w:val="24"/>
                <w:highlight w:val="none"/>
              </w:rPr>
            </w:pPr>
            <w:r>
              <w:rPr>
                <w:rFonts w:hint="eastAsia" w:ascii="宋体"/>
                <w:bCs/>
                <w:color w:val="auto"/>
                <w:sz w:val="24"/>
                <w:highlight w:val="none"/>
              </w:rPr>
              <w:t>……</w:t>
            </w:r>
          </w:p>
        </w:tc>
      </w:tr>
      <w:tr w14:paraId="55961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961" w:type="dxa"/>
            <w:tcBorders>
              <w:left w:val="single" w:color="auto" w:sz="4" w:space="0"/>
              <w:bottom w:val="single" w:color="auto" w:sz="4" w:space="0"/>
              <w:right w:val="single" w:color="auto" w:sz="4" w:space="0"/>
            </w:tcBorders>
            <w:noWrap w:val="0"/>
            <w:vAlign w:val="center"/>
          </w:tcPr>
          <w:p w14:paraId="4E8C43B9">
            <w:pPr>
              <w:widowControl/>
              <w:rPr>
                <w:rFonts w:hint="eastAsia" w:ascii="宋体"/>
                <w:color w:val="auto"/>
                <w:sz w:val="24"/>
                <w:highlight w:val="none"/>
              </w:rPr>
            </w:pPr>
            <w:r>
              <w:rPr>
                <w:rFonts w:hint="eastAsia" w:ascii="宋体"/>
                <w:color w:val="auto"/>
                <w:sz w:val="24"/>
                <w:highlight w:val="none"/>
              </w:rPr>
              <w:t>……</w:t>
            </w:r>
          </w:p>
        </w:tc>
        <w:tc>
          <w:tcPr>
            <w:tcW w:w="1610" w:type="dxa"/>
            <w:tcBorders>
              <w:left w:val="single" w:color="auto" w:sz="4" w:space="0"/>
              <w:bottom w:val="single" w:color="auto" w:sz="4" w:space="0"/>
              <w:right w:val="single" w:color="auto" w:sz="4" w:space="0"/>
            </w:tcBorders>
            <w:noWrap w:val="0"/>
            <w:vAlign w:val="center"/>
          </w:tcPr>
          <w:p w14:paraId="5D52EC87">
            <w:pPr>
              <w:widowControl/>
              <w:rPr>
                <w:rFonts w:hint="eastAsia" w:ascii="宋体" w:cs="宋体"/>
                <w:color w:val="auto"/>
                <w:kern w:val="0"/>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096CF1C">
            <w:pPr>
              <w:ind w:left="55" w:leftChars="26"/>
              <w:rPr>
                <w:rFonts w:hint="eastAsia" w:ascii="宋体" w:cs="宋体"/>
                <w:color w:val="auto"/>
                <w:kern w:val="0"/>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02D0D981">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96EBCB6">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7479C42B">
            <w:pPr>
              <w:jc w:val="center"/>
              <w:rPr>
                <w:rFonts w:hint="eastAsia" w:ascii="宋体"/>
                <w:bCs/>
                <w:color w:val="auto"/>
                <w:sz w:val="24"/>
                <w:highlight w:val="none"/>
              </w:rPr>
            </w:pPr>
          </w:p>
        </w:tc>
      </w:tr>
      <w:tr w14:paraId="42868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32ED9EE5">
            <w:pPr>
              <w:widowControl/>
              <w:rPr>
                <w:rFonts w:hint="eastAsia" w:ascii="宋体"/>
                <w:b/>
                <w:color w:val="auto"/>
                <w:sz w:val="24"/>
                <w:highlight w:val="none"/>
              </w:rPr>
            </w:pPr>
            <w:r>
              <w:rPr>
                <w:rFonts w:hint="eastAsia" w:ascii="宋体"/>
                <w:b/>
                <w:color w:val="auto"/>
                <w:sz w:val="24"/>
                <w:highlight w:val="none"/>
              </w:rPr>
              <w:t>二</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F3536AC">
            <w:pPr>
              <w:widowControl/>
              <w:rPr>
                <w:rFonts w:hint="eastAsia" w:ascii="宋体"/>
                <w:b/>
                <w:color w:val="auto"/>
                <w:sz w:val="24"/>
                <w:highlight w:val="none"/>
              </w:rPr>
            </w:pPr>
            <w:r>
              <w:rPr>
                <w:rFonts w:hint="eastAsia" w:ascii="宋体"/>
                <w:b/>
                <w:color w:val="auto"/>
                <w:sz w:val="24"/>
                <w:highlight w:val="none"/>
              </w:rPr>
              <w:t>商务资信及其他分分</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62BB79D">
            <w:pPr>
              <w:pStyle w:val="32"/>
              <w:ind w:firstLine="0" w:firstLineChars="0"/>
              <w:jc w:val="both"/>
              <w:rPr>
                <w:rFonts w:hint="eastAsia" w:ascii="宋体" w:eastAsia="宋体"/>
                <w:b/>
                <w:color w:val="auto"/>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1C3A536A">
            <w:pPr>
              <w:pStyle w:val="32"/>
              <w:ind w:firstLine="0" w:firstLineChars="0"/>
              <w:jc w:val="center"/>
              <w:rPr>
                <w:rFonts w:hint="eastAsia" w:ascii="宋体" w:eastAsia="宋体"/>
                <w:b/>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6271799">
            <w:pPr>
              <w:pStyle w:val="32"/>
              <w:ind w:firstLine="0" w:firstLineChars="0"/>
              <w:jc w:val="center"/>
              <w:rPr>
                <w:rFonts w:hint="eastAsia" w:ascii="宋体" w:eastAsia="宋体"/>
                <w:b/>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7EF60140">
            <w:pPr>
              <w:pStyle w:val="32"/>
              <w:ind w:firstLine="0" w:firstLineChars="0"/>
              <w:jc w:val="center"/>
              <w:rPr>
                <w:rFonts w:hint="eastAsia" w:ascii="宋体" w:eastAsia="宋体"/>
                <w:b/>
                <w:color w:val="auto"/>
                <w:highlight w:val="none"/>
              </w:rPr>
            </w:pPr>
          </w:p>
        </w:tc>
      </w:tr>
      <w:tr w14:paraId="06E59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180F98CC">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2E4E15B">
            <w:pPr>
              <w:spacing w:line="320" w:lineRule="exact"/>
              <w:rPr>
                <w:rFonts w:hint="eastAsia" w:ascii="宋体"/>
                <w:color w:val="auto"/>
                <w:kern w:val="0"/>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B4EC000">
            <w:pPr>
              <w:spacing w:line="320" w:lineRule="exact"/>
              <w:rPr>
                <w:rFonts w:hint="eastAsia" w:ascii="宋体"/>
                <w:color w:val="auto"/>
                <w:kern w:val="0"/>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2472AFB0">
            <w:pPr>
              <w:pStyle w:val="32"/>
              <w:ind w:firstLine="0" w:firstLineChars="0"/>
              <w:jc w:val="center"/>
              <w:rPr>
                <w:rFonts w:hint="eastAsia" w:ascii="宋体" w:eastAsia="宋体"/>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88AFABC">
            <w:pPr>
              <w:pStyle w:val="32"/>
              <w:ind w:firstLine="0" w:firstLineChars="0"/>
              <w:jc w:val="center"/>
              <w:rPr>
                <w:rFonts w:hint="eastAsia" w:ascii="宋体" w:eastAsia="宋体"/>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1A93E37B">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p>
          <w:p w14:paraId="20221910">
            <w:pPr>
              <w:jc w:val="center"/>
              <w:rPr>
                <w:rFonts w:hint="eastAsia" w:ascii="宋体"/>
                <w:bCs/>
                <w:color w:val="auto"/>
                <w:sz w:val="24"/>
                <w:highlight w:val="none"/>
              </w:rPr>
            </w:pPr>
            <w:r>
              <w:rPr>
                <w:rFonts w:hint="eastAsia" w:ascii="宋体"/>
                <w:bCs/>
                <w:color w:val="auto"/>
                <w:sz w:val="24"/>
                <w:highlight w:val="none"/>
              </w:rPr>
              <w:t>第几页</w:t>
            </w:r>
          </w:p>
        </w:tc>
      </w:tr>
      <w:tr w14:paraId="1ADF6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7541D48B">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4A20850A">
            <w:pPr>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9D19B76">
            <w:pPr>
              <w:rPr>
                <w:rFonts w:hint="eastAsia" w:asci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387978B0">
            <w:pPr>
              <w:pStyle w:val="32"/>
              <w:ind w:firstLine="0" w:firstLineChars="0"/>
              <w:jc w:val="center"/>
              <w:rPr>
                <w:rFonts w:hint="eastAsia" w:ascii="宋体" w:eastAsia="宋体"/>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ADA0FBF">
            <w:pPr>
              <w:pStyle w:val="32"/>
              <w:ind w:firstLine="0" w:firstLineChars="0"/>
              <w:jc w:val="center"/>
              <w:rPr>
                <w:rFonts w:hint="eastAsia" w:ascii="宋体" w:eastAsia="宋体"/>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3E144F3E">
            <w:pPr>
              <w:pStyle w:val="32"/>
              <w:ind w:firstLine="0" w:firstLineChars="0"/>
              <w:jc w:val="center"/>
              <w:rPr>
                <w:rFonts w:hint="eastAsia" w:ascii="宋体" w:eastAsia="宋体"/>
                <w:color w:val="auto"/>
                <w:highlight w:val="none"/>
              </w:rPr>
            </w:pPr>
            <w:r>
              <w:rPr>
                <w:rFonts w:hint="eastAsia" w:ascii="宋体" w:eastAsia="宋体"/>
                <w:color w:val="auto"/>
                <w:highlight w:val="none"/>
              </w:rPr>
              <w:t>……</w:t>
            </w:r>
          </w:p>
        </w:tc>
      </w:tr>
      <w:tr w14:paraId="190CB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466FB696">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2A44659">
            <w:pPr>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4751D0B">
            <w:pPr>
              <w:rPr>
                <w:rFonts w:hint="eastAsia" w:asci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69C8E7E4">
            <w:pPr>
              <w:pStyle w:val="32"/>
              <w:ind w:firstLine="0" w:firstLineChars="0"/>
              <w:jc w:val="center"/>
              <w:rPr>
                <w:rFonts w:hint="eastAsia" w:ascii="宋体" w:eastAsia="宋体"/>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239D9B0">
            <w:pPr>
              <w:pStyle w:val="32"/>
              <w:ind w:firstLine="0" w:firstLineChars="0"/>
              <w:jc w:val="center"/>
              <w:rPr>
                <w:rFonts w:hint="eastAsia" w:ascii="宋体" w:eastAsia="宋体"/>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60F9AD01">
            <w:pPr>
              <w:pStyle w:val="32"/>
              <w:ind w:firstLine="0" w:firstLineChars="0"/>
              <w:jc w:val="center"/>
              <w:rPr>
                <w:rFonts w:hint="eastAsia" w:ascii="宋体" w:eastAsia="宋体"/>
                <w:color w:val="auto"/>
                <w:highlight w:val="none"/>
              </w:rPr>
            </w:pPr>
          </w:p>
        </w:tc>
      </w:tr>
      <w:tr w14:paraId="21A83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09ACFF4B">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7BBA44D">
            <w:pPr>
              <w:spacing w:line="320" w:lineRule="exact"/>
              <w:rPr>
                <w:rFonts w:hint="eastAsia" w:ascii="宋体"/>
                <w:bCs/>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669F85E">
            <w:pPr>
              <w:rPr>
                <w:rFonts w:hint="eastAsia" w:ascii="宋体"/>
                <w:bCs/>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4091B4DA">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120324F">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45D5B766">
            <w:pPr>
              <w:jc w:val="center"/>
              <w:rPr>
                <w:rFonts w:hint="eastAsia" w:ascii="宋体"/>
                <w:bCs/>
                <w:color w:val="auto"/>
                <w:sz w:val="24"/>
                <w:highlight w:val="none"/>
              </w:rPr>
            </w:pPr>
            <w:r>
              <w:rPr>
                <w:rFonts w:hint="eastAsia" w:ascii="宋体"/>
                <w:bCs/>
                <w:color w:val="auto"/>
                <w:sz w:val="24"/>
                <w:highlight w:val="none"/>
              </w:rPr>
              <w:t>……</w:t>
            </w:r>
          </w:p>
        </w:tc>
      </w:tr>
      <w:tr w14:paraId="76F0F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1204EEFE">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134FC14">
            <w:pPr>
              <w:spacing w:line="320" w:lineRule="exact"/>
              <w:rPr>
                <w:rFonts w:hint="eastAsia" w:ascii="宋体"/>
                <w:bCs/>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26F7054">
            <w:pPr>
              <w:rPr>
                <w:rFonts w:hint="eastAsia" w:ascii="宋体"/>
                <w:bCs/>
                <w:color w:val="auto"/>
                <w:sz w:val="24"/>
                <w:highlight w:val="none"/>
              </w:rPr>
            </w:pPr>
          </w:p>
        </w:tc>
        <w:tc>
          <w:tcPr>
            <w:tcW w:w="1358" w:type="dxa"/>
            <w:tcBorders>
              <w:top w:val="single" w:color="auto" w:sz="4" w:space="0"/>
              <w:left w:val="single" w:color="auto" w:sz="4" w:space="0"/>
              <w:right w:val="single" w:color="auto" w:sz="4" w:space="0"/>
            </w:tcBorders>
            <w:noWrap w:val="0"/>
            <w:vAlign w:val="center"/>
          </w:tcPr>
          <w:p w14:paraId="104C1789">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right w:val="single" w:color="auto" w:sz="4" w:space="0"/>
            </w:tcBorders>
            <w:noWrap w:val="0"/>
            <w:vAlign w:val="center"/>
          </w:tcPr>
          <w:p w14:paraId="11DB135A">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right w:val="single" w:color="auto" w:sz="4" w:space="0"/>
            </w:tcBorders>
            <w:noWrap w:val="0"/>
            <w:vAlign w:val="center"/>
          </w:tcPr>
          <w:p w14:paraId="28C700FD">
            <w:pPr>
              <w:jc w:val="center"/>
              <w:rPr>
                <w:rFonts w:hint="eastAsia" w:ascii="宋体"/>
                <w:bCs/>
                <w:color w:val="auto"/>
                <w:sz w:val="24"/>
                <w:highlight w:val="none"/>
              </w:rPr>
            </w:pPr>
          </w:p>
        </w:tc>
      </w:tr>
    </w:tbl>
    <w:p w14:paraId="34418334">
      <w:pPr>
        <w:snapToGrid w:val="0"/>
        <w:spacing w:before="50" w:after="50"/>
        <w:rPr>
          <w:rFonts w:hint="eastAsia" w:ascii="宋体"/>
          <w:color w:val="auto"/>
          <w:sz w:val="24"/>
          <w:highlight w:val="none"/>
        </w:rPr>
      </w:pPr>
    </w:p>
    <w:p w14:paraId="4243186C">
      <w:pPr>
        <w:snapToGrid w:val="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注：1、投标单位根据所投标项的评分表内容，按此格式提供评分响应表置于商务技术响应文件第1页。</w:t>
      </w:r>
    </w:p>
    <w:p w14:paraId="14118145">
      <w:pPr>
        <w:snapToGrid w:val="0"/>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2</w:t>
      </w:r>
      <w:r>
        <w:rPr>
          <w:rFonts w:hint="eastAsia" w:ascii="宋体" w:hAnsi="Times New Roman" w:eastAsia="宋体" w:cs="Times New Roman"/>
          <w:color w:val="auto"/>
          <w:sz w:val="24"/>
          <w:highlight w:val="none"/>
        </w:rPr>
        <w:t>、上表中客观分得分分值须认真填写</w:t>
      </w:r>
      <w:r>
        <w:rPr>
          <w:rFonts w:hint="eastAsia" w:ascii="宋体" w:cs="Times New Roman"/>
          <w:color w:val="auto"/>
          <w:sz w:val="24"/>
          <w:highlight w:val="none"/>
          <w:lang w:eastAsia="zh-CN"/>
        </w:rPr>
        <w:t>。</w:t>
      </w:r>
    </w:p>
    <w:p w14:paraId="36DB6A87">
      <w:pPr>
        <w:spacing w:line="430" w:lineRule="exact"/>
        <w:rPr>
          <w:rFonts w:hint="eastAsia" w:ascii="宋体" w:hAnsi="宋体" w:cs="宋体"/>
          <w:b/>
          <w:color w:val="auto"/>
          <w:sz w:val="24"/>
          <w:highlight w:val="none"/>
          <w:lang w:val="en-US" w:eastAsia="zh-CN"/>
        </w:rPr>
      </w:pPr>
    </w:p>
    <w:p w14:paraId="54B87FC1">
      <w:pPr>
        <w:spacing w:line="430" w:lineRule="exact"/>
        <w:rPr>
          <w:rFonts w:hint="eastAsia" w:ascii="宋体" w:hAnsi="宋体" w:cs="宋体"/>
          <w:b/>
          <w:color w:val="auto"/>
          <w:sz w:val="24"/>
          <w:highlight w:val="none"/>
          <w:lang w:val="en-US" w:eastAsia="zh-CN"/>
        </w:rPr>
      </w:pPr>
    </w:p>
    <w:p w14:paraId="48FBADD8">
      <w:pPr>
        <w:spacing w:line="430" w:lineRule="exact"/>
        <w:rPr>
          <w:rFonts w:hint="eastAsia" w:ascii="宋体" w:hAnsi="宋体" w:cs="宋体"/>
          <w:b/>
          <w:color w:val="auto"/>
          <w:sz w:val="24"/>
          <w:highlight w:val="none"/>
          <w:lang w:val="en-US" w:eastAsia="zh-CN"/>
        </w:rPr>
      </w:pPr>
    </w:p>
    <w:p w14:paraId="5841E523">
      <w:pPr>
        <w:spacing w:line="430" w:lineRule="exact"/>
        <w:rPr>
          <w:rFonts w:hint="eastAsia" w:ascii="宋体" w:hAnsi="宋体" w:cs="宋体"/>
          <w:b/>
          <w:color w:val="auto"/>
          <w:sz w:val="24"/>
          <w:highlight w:val="none"/>
          <w:lang w:val="en-US" w:eastAsia="zh-CN"/>
        </w:rPr>
      </w:pPr>
    </w:p>
    <w:p w14:paraId="0CCC8534">
      <w:pPr>
        <w:spacing w:line="430" w:lineRule="exact"/>
        <w:rPr>
          <w:rFonts w:hint="eastAsia" w:ascii="宋体" w:hAnsi="宋体" w:cs="宋体"/>
          <w:b/>
          <w:color w:val="auto"/>
          <w:sz w:val="24"/>
          <w:highlight w:val="none"/>
          <w:lang w:val="en-US" w:eastAsia="zh-CN"/>
        </w:rPr>
      </w:pPr>
    </w:p>
    <w:p w14:paraId="2F960176">
      <w:pPr>
        <w:spacing w:line="430" w:lineRule="exact"/>
        <w:rPr>
          <w:rFonts w:hint="eastAsia" w:ascii="宋体" w:hAnsi="宋体" w:cs="宋体"/>
          <w:b/>
          <w:color w:val="auto"/>
          <w:sz w:val="24"/>
          <w:highlight w:val="none"/>
          <w:lang w:val="en-US" w:eastAsia="zh-CN"/>
        </w:rPr>
      </w:pPr>
    </w:p>
    <w:p w14:paraId="3D955E92">
      <w:pPr>
        <w:spacing w:line="430" w:lineRule="exact"/>
        <w:rPr>
          <w:rFonts w:hint="eastAsia" w:ascii="宋体" w:hAnsi="宋体" w:cs="宋体"/>
          <w:b/>
          <w:color w:val="auto"/>
          <w:sz w:val="24"/>
          <w:highlight w:val="none"/>
          <w:lang w:val="en-US" w:eastAsia="zh-CN"/>
        </w:rPr>
      </w:pPr>
    </w:p>
    <w:p w14:paraId="195CF66B">
      <w:pPr>
        <w:spacing w:line="430" w:lineRule="exact"/>
        <w:rPr>
          <w:rFonts w:hint="eastAsia" w:ascii="宋体" w:hAnsi="宋体" w:cs="宋体"/>
          <w:b/>
          <w:color w:val="auto"/>
          <w:sz w:val="24"/>
          <w:highlight w:val="none"/>
          <w:lang w:val="en-US" w:eastAsia="zh-CN"/>
        </w:rPr>
      </w:pPr>
    </w:p>
    <w:p w14:paraId="30374BC3">
      <w:pPr>
        <w:spacing w:line="430" w:lineRule="exact"/>
        <w:rPr>
          <w:rFonts w:hint="eastAsia" w:ascii="宋体" w:hAnsi="宋体" w:cs="宋体"/>
          <w:b/>
          <w:color w:val="auto"/>
          <w:sz w:val="24"/>
          <w:highlight w:val="none"/>
          <w:lang w:val="en-US" w:eastAsia="zh-CN"/>
        </w:rPr>
      </w:pPr>
    </w:p>
    <w:p w14:paraId="52F500A8">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lang w:val="en-US" w:eastAsia="zh-CN"/>
        </w:rPr>
        <w:t>附件十：磋商声明</w:t>
      </w:r>
      <w:r>
        <w:rPr>
          <w:rFonts w:hint="eastAsia" w:ascii="宋体" w:hAnsi="宋体"/>
          <w:bCs/>
          <w:color w:val="auto"/>
          <w:sz w:val="24"/>
          <w:highlight w:val="none"/>
        </w:rPr>
        <w:t>书</w:t>
      </w:r>
    </w:p>
    <w:p w14:paraId="5A8DFE14">
      <w:pPr>
        <w:snapToGrid w:val="0"/>
        <w:spacing w:beforeLines="50" w:after="50" w:line="276" w:lineRule="auto"/>
        <w:jc w:val="center"/>
        <w:rPr>
          <w:rFonts w:ascii="宋体" w:hAnsi="宋体" w:cs="宋体"/>
          <w:b/>
          <w:color w:val="auto"/>
          <w:sz w:val="24"/>
          <w:highlight w:val="none"/>
        </w:rPr>
      </w:pPr>
      <w:r>
        <w:rPr>
          <w:rFonts w:hint="eastAsia" w:ascii="宋体" w:hAnsi="宋体" w:cs="宋体"/>
          <w:b/>
          <w:color w:val="auto"/>
          <w:sz w:val="24"/>
          <w:highlight w:val="none"/>
        </w:rPr>
        <w:t>磋商声明书</w:t>
      </w:r>
    </w:p>
    <w:p w14:paraId="5603E30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B67B8A9">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BFB84B">
      <w:pPr>
        <w:snapToGrid w:val="0"/>
        <w:spacing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项目的磋商，为便于贵方公正、择优地确定中标人及其磋商服务，我方就本次磋商有关事项郑重声明如下：</w:t>
      </w:r>
    </w:p>
    <w:p w14:paraId="51D0B5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1.我方向贵方提交的所有磋商响应文件、资料都是准确的和真实的。若有违背，我公司愿为由此而产生的一切后果负责。</w:t>
      </w:r>
    </w:p>
    <w:p w14:paraId="23A48878">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43B6CBB1">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5F88B006">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2BC22416">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752AF7CD">
      <w:pPr>
        <w:pStyle w:val="13"/>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0E73B771">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25B752C9">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4BA0687D">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3A941E33">
      <w:pPr>
        <w:pStyle w:val="19"/>
        <w:tabs>
          <w:tab w:val="left" w:pos="939"/>
        </w:tabs>
        <w:snapToGrid w:val="0"/>
        <w:spacing w:line="276" w:lineRule="auto"/>
        <w:ind w:left="773" w:leftChars="150" w:hanging="458" w:hangingChars="191"/>
        <w:rPr>
          <w:rFonts w:ascii="宋体" w:hAnsi="宋体" w:cs="宋体"/>
          <w:color w:val="auto"/>
          <w:sz w:val="24"/>
          <w:highlight w:val="none"/>
        </w:rPr>
      </w:pPr>
    </w:p>
    <w:p w14:paraId="1AFD6354">
      <w:pPr>
        <w:pStyle w:val="119"/>
        <w:snapToGrid w:val="0"/>
        <w:spacing w:beforeLines="50" w:line="276" w:lineRule="auto"/>
        <w:ind w:firstLine="200"/>
        <w:rPr>
          <w:rFonts w:ascii="宋体" w:hAnsi="宋体" w:cs="宋体"/>
          <w:color w:val="auto"/>
          <w:szCs w:val="24"/>
          <w:highlight w:val="none"/>
        </w:rPr>
      </w:pPr>
    </w:p>
    <w:p w14:paraId="3521E467">
      <w:pPr>
        <w:snapToGrid w:val="0"/>
        <w:spacing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0F1AE637">
      <w:pPr>
        <w:snapToGrid w:val="0"/>
        <w:spacing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644058E">
      <w:pPr>
        <w:snapToGrid w:val="0"/>
        <w:spacing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5829FD11">
      <w:pPr>
        <w:spacing w:line="430" w:lineRule="exact"/>
        <w:rPr>
          <w:rFonts w:hint="eastAsia" w:ascii="宋体" w:hAnsi="宋体" w:cs="宋体"/>
          <w:b/>
          <w:color w:val="auto"/>
          <w:sz w:val="24"/>
          <w:highlight w:val="none"/>
          <w:lang w:val="en-US" w:eastAsia="zh-CN"/>
        </w:rPr>
      </w:pPr>
    </w:p>
    <w:p w14:paraId="0F48784D">
      <w:pPr>
        <w:spacing w:line="430" w:lineRule="exact"/>
        <w:rPr>
          <w:rFonts w:hint="eastAsia" w:ascii="宋体" w:hAnsi="宋体" w:cs="宋体"/>
          <w:b/>
          <w:color w:val="auto"/>
          <w:sz w:val="24"/>
          <w:highlight w:val="none"/>
          <w:lang w:val="en-US" w:eastAsia="zh-CN"/>
        </w:rPr>
      </w:pPr>
    </w:p>
    <w:p w14:paraId="118C34E9">
      <w:pPr>
        <w:spacing w:line="430" w:lineRule="exact"/>
        <w:rPr>
          <w:rFonts w:hint="eastAsia" w:ascii="宋体" w:hAnsi="宋体" w:cs="宋体"/>
          <w:b/>
          <w:color w:val="auto"/>
          <w:sz w:val="24"/>
          <w:highlight w:val="none"/>
          <w:lang w:val="en-US" w:eastAsia="zh-CN"/>
        </w:rPr>
      </w:pPr>
    </w:p>
    <w:p w14:paraId="74C2D036">
      <w:pPr>
        <w:spacing w:line="430" w:lineRule="exact"/>
        <w:rPr>
          <w:rFonts w:hint="eastAsia" w:ascii="宋体" w:hAnsi="宋体" w:cs="宋体"/>
          <w:b/>
          <w:color w:val="auto"/>
          <w:sz w:val="24"/>
          <w:highlight w:val="none"/>
          <w:lang w:val="en-US" w:eastAsia="zh-CN"/>
        </w:rPr>
      </w:pPr>
    </w:p>
    <w:p w14:paraId="38E6AE22">
      <w:pPr>
        <w:spacing w:line="430" w:lineRule="exact"/>
        <w:rPr>
          <w:rFonts w:hint="eastAsia" w:ascii="宋体" w:hAnsi="宋体" w:cs="宋体"/>
          <w:b/>
          <w:color w:val="auto"/>
          <w:sz w:val="24"/>
          <w:highlight w:val="none"/>
          <w:lang w:val="en-US" w:eastAsia="zh-CN"/>
        </w:rPr>
      </w:pPr>
    </w:p>
    <w:p w14:paraId="60EED70C">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附件十一：供应商单位情况表：</w:t>
      </w:r>
    </w:p>
    <w:p w14:paraId="21BE7092">
      <w:pPr>
        <w:snapToGrid w:val="0"/>
        <w:spacing w:before="156" w:beforeLines="50" w:after="50"/>
        <w:jc w:val="center"/>
        <w:rPr>
          <w:rFonts w:hint="eastAsia" w:ascii="宋体" w:hAnsi="宋体"/>
          <w:b/>
          <w:sz w:val="28"/>
          <w:szCs w:val="28"/>
          <w:highlight w:val="none"/>
        </w:rPr>
      </w:pPr>
      <w:r>
        <w:rPr>
          <w:rFonts w:hint="eastAsia" w:ascii="宋体" w:hAnsi="宋体"/>
          <w:b/>
          <w:sz w:val="28"/>
          <w:szCs w:val="28"/>
          <w:highlight w:val="none"/>
          <w:lang w:val="en-US" w:eastAsia="zh-CN"/>
        </w:rPr>
        <w:t>供应商单位</w:t>
      </w:r>
      <w:r>
        <w:rPr>
          <w:rFonts w:hint="eastAsia" w:ascii="宋体" w:hAnsi="宋体"/>
          <w:b/>
          <w:sz w:val="28"/>
          <w:szCs w:val="28"/>
          <w:highlight w:val="none"/>
        </w:rPr>
        <w:t>情况表</w:t>
      </w:r>
    </w:p>
    <w:p w14:paraId="4684547B">
      <w:pPr>
        <w:spacing w:before="120" w:after="120"/>
        <w:ind w:firstLine="630" w:firstLineChars="300"/>
        <w:rPr>
          <w:rFonts w:hint="eastAsia" w:ascii="宋体" w:hAnsi="宋体"/>
          <w:highlight w:val="none"/>
        </w:rPr>
      </w:pPr>
      <w:r>
        <w:rPr>
          <w:rFonts w:hint="eastAsia" w:ascii="宋体" w:hAnsi="宋体"/>
          <w:highlight w:val="none"/>
          <w:lang w:val="en-US" w:eastAsia="zh-CN"/>
        </w:rPr>
        <w:t>供应商</w:t>
      </w:r>
      <w:r>
        <w:rPr>
          <w:rFonts w:hint="eastAsia" w:ascii="宋体" w:hAnsi="宋体"/>
          <w:highlight w:val="none"/>
        </w:rPr>
        <w:t>：                                        填表日期：</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14:paraId="0EF7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F21BEE4">
            <w:pPr>
              <w:spacing w:before="120" w:after="120"/>
              <w:rPr>
                <w:rFonts w:ascii="宋体" w:hAnsi="宋体"/>
                <w:highlight w:val="none"/>
              </w:rPr>
            </w:pPr>
            <w:r>
              <w:rPr>
                <w:rFonts w:hint="eastAsia" w:ascii="宋体" w:hAnsi="宋体"/>
                <w:highlight w:val="none"/>
              </w:rPr>
              <w:t>单位名称</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7EB923D4">
            <w:pPr>
              <w:widowControl/>
              <w:jc w:val="center"/>
              <w:rPr>
                <w:rFonts w:ascii="宋体" w:hAnsi="宋体"/>
                <w:sz w:val="24"/>
                <w:szCs w:val="24"/>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0DCD0720">
            <w:pPr>
              <w:spacing w:before="120" w:after="120"/>
              <w:rPr>
                <w:rFonts w:ascii="宋体" w:hAnsi="宋体"/>
                <w:highlight w:val="none"/>
              </w:rPr>
            </w:pPr>
            <w:r>
              <w:rPr>
                <w:rFonts w:hint="eastAsia" w:ascii="宋体" w:hAnsi="宋体"/>
                <w:highlight w:val="none"/>
              </w:rPr>
              <w:t>电话</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1332B972">
            <w:pPr>
              <w:spacing w:before="120" w:after="120"/>
              <w:jc w:val="center"/>
              <w:rPr>
                <w:rFonts w:ascii="宋体" w:hAnsi="宋体"/>
                <w:highlight w:val="none"/>
              </w:rPr>
            </w:pPr>
          </w:p>
        </w:tc>
      </w:tr>
      <w:tr w14:paraId="632C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6056A73">
            <w:pPr>
              <w:spacing w:before="120" w:after="120"/>
              <w:rPr>
                <w:rFonts w:ascii="宋体" w:hAnsi="宋体"/>
                <w:highlight w:val="none"/>
              </w:rPr>
            </w:pPr>
            <w:r>
              <w:rPr>
                <w:rFonts w:hint="eastAsia" w:ascii="宋体" w:hAnsi="宋体"/>
                <w:highlight w:val="none"/>
              </w:rPr>
              <w:t>地址</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1EBFE3A3">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769C78AB">
            <w:pPr>
              <w:spacing w:before="120" w:after="120"/>
              <w:rPr>
                <w:rFonts w:ascii="宋体" w:hAnsi="宋体"/>
                <w:highlight w:val="none"/>
              </w:rPr>
            </w:pPr>
            <w:r>
              <w:rPr>
                <w:rFonts w:hint="eastAsia" w:ascii="宋体" w:hAnsi="宋体"/>
                <w:highlight w:val="none"/>
              </w:rPr>
              <w:t>传真</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0F4BAB64">
            <w:pPr>
              <w:spacing w:before="120" w:after="120"/>
              <w:jc w:val="center"/>
              <w:rPr>
                <w:rFonts w:ascii="宋体" w:hAnsi="宋体"/>
                <w:highlight w:val="none"/>
              </w:rPr>
            </w:pPr>
          </w:p>
        </w:tc>
      </w:tr>
      <w:tr w14:paraId="43BB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6193A36">
            <w:pPr>
              <w:spacing w:before="120" w:after="120"/>
              <w:rPr>
                <w:rFonts w:ascii="宋体" w:hAnsi="宋体"/>
                <w:highlight w:val="none"/>
              </w:rPr>
            </w:pPr>
            <w:r>
              <w:rPr>
                <w:rFonts w:hint="eastAsia" w:ascii="宋体" w:hAnsi="宋体"/>
                <w:highlight w:val="none"/>
              </w:rPr>
              <w:t>主管部门</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61007623">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41FF7127">
            <w:pPr>
              <w:spacing w:before="120" w:after="120"/>
              <w:rPr>
                <w:rFonts w:ascii="宋体" w:hAnsi="宋体"/>
                <w:highlight w:val="none"/>
              </w:rPr>
            </w:pPr>
            <w:r>
              <w:rPr>
                <w:rFonts w:hint="eastAsia" w:ascii="宋体" w:hAnsi="宋体"/>
                <w:highlight w:val="none"/>
              </w:rPr>
              <w:t>企业性质</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7E9C8BCE">
            <w:pPr>
              <w:spacing w:before="120" w:after="120"/>
              <w:jc w:val="center"/>
              <w:rPr>
                <w:rFonts w:ascii="宋体" w:hAnsi="宋体"/>
                <w:highlight w:val="none"/>
              </w:rPr>
            </w:pPr>
          </w:p>
        </w:tc>
      </w:tr>
      <w:tr w14:paraId="3718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C3A2D95">
            <w:pPr>
              <w:spacing w:before="120" w:after="120"/>
              <w:rPr>
                <w:rFonts w:ascii="宋体" w:hAnsi="宋体"/>
                <w:highlight w:val="none"/>
              </w:rPr>
            </w:pPr>
            <w:r>
              <w:rPr>
                <w:rFonts w:hint="eastAsia" w:ascii="宋体" w:hAnsi="宋体"/>
                <w:highlight w:val="none"/>
              </w:rPr>
              <w:t>企业法人</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1737835C">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680E2C19">
            <w:pPr>
              <w:spacing w:before="120" w:after="120"/>
              <w:rPr>
                <w:rFonts w:ascii="宋体" w:hAnsi="宋体"/>
                <w:highlight w:val="none"/>
              </w:rPr>
            </w:pPr>
            <w:r>
              <w:rPr>
                <w:rFonts w:hint="eastAsia" w:ascii="宋体" w:hAnsi="宋体"/>
                <w:highlight w:val="none"/>
              </w:rPr>
              <w:t>资质等级</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14D938DE">
            <w:pPr>
              <w:spacing w:before="120" w:after="120"/>
              <w:jc w:val="center"/>
              <w:rPr>
                <w:rFonts w:ascii="宋体" w:hAnsi="宋体"/>
                <w:highlight w:val="none"/>
              </w:rPr>
            </w:pPr>
          </w:p>
        </w:tc>
      </w:tr>
      <w:tr w14:paraId="072D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5BA9610">
            <w:pPr>
              <w:spacing w:before="120" w:after="120"/>
              <w:rPr>
                <w:rFonts w:ascii="宋体" w:hAnsi="宋体"/>
                <w:highlight w:val="none"/>
              </w:rPr>
            </w:pPr>
            <w:r>
              <w:rPr>
                <w:rFonts w:hint="eastAsia" w:ascii="宋体" w:hAnsi="宋体"/>
                <w:highlight w:val="none"/>
              </w:rPr>
              <w:t>授权代表</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7A705962">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5D9609CF">
            <w:pPr>
              <w:spacing w:before="120" w:after="120"/>
              <w:rPr>
                <w:rFonts w:ascii="宋体" w:hAnsi="宋体"/>
                <w:highlight w:val="none"/>
              </w:rPr>
            </w:pPr>
            <w:r>
              <w:rPr>
                <w:rFonts w:hint="eastAsia" w:ascii="宋体" w:hAnsi="宋体"/>
                <w:highlight w:val="none"/>
              </w:rPr>
              <w:t>职务</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76A65CDE">
            <w:pPr>
              <w:spacing w:before="120" w:after="120"/>
              <w:jc w:val="center"/>
              <w:rPr>
                <w:rFonts w:ascii="宋体" w:hAnsi="宋体"/>
                <w:highlight w:val="none"/>
              </w:rPr>
            </w:pPr>
          </w:p>
        </w:tc>
      </w:tr>
      <w:tr w14:paraId="157C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tcBorders>
              <w:top w:val="nil"/>
              <w:left w:val="single" w:color="auto" w:sz="4" w:space="0"/>
              <w:bottom w:val="single" w:color="auto" w:sz="4" w:space="0"/>
              <w:right w:val="single" w:color="auto" w:sz="4" w:space="0"/>
            </w:tcBorders>
            <w:noWrap w:val="0"/>
            <w:vAlign w:val="center"/>
          </w:tcPr>
          <w:p w14:paraId="0B6ABB25">
            <w:pPr>
              <w:spacing w:before="120" w:after="120"/>
              <w:ind w:firstLine="630" w:firstLineChars="300"/>
              <w:jc w:val="center"/>
              <w:rPr>
                <w:rFonts w:ascii="宋体" w:hAnsi="宋体"/>
                <w:highlight w:val="none"/>
              </w:rPr>
            </w:pPr>
          </w:p>
          <w:p w14:paraId="30147A8D">
            <w:pPr>
              <w:spacing w:before="120" w:after="120"/>
              <w:jc w:val="center"/>
              <w:rPr>
                <w:rFonts w:hint="eastAsia" w:ascii="宋体" w:hAnsi="宋体"/>
                <w:highlight w:val="none"/>
              </w:rPr>
            </w:pPr>
            <w:r>
              <w:rPr>
                <w:rFonts w:hint="eastAsia" w:ascii="宋体" w:hAnsi="宋体"/>
                <w:highlight w:val="none"/>
              </w:rPr>
              <w:t>单位概况</w:t>
            </w:r>
          </w:p>
          <w:p w14:paraId="72F0BB61">
            <w:pPr>
              <w:spacing w:before="120" w:after="120"/>
              <w:ind w:firstLine="630" w:firstLineChars="300"/>
              <w:jc w:val="center"/>
              <w:rPr>
                <w:rFonts w:hint="eastAsia" w:ascii="宋体" w:hAnsi="宋体"/>
                <w:highlight w:val="none"/>
              </w:rPr>
            </w:pPr>
          </w:p>
          <w:p w14:paraId="4DBE70CA">
            <w:pPr>
              <w:spacing w:before="120" w:after="120"/>
              <w:ind w:firstLine="630" w:firstLineChars="300"/>
              <w:jc w:val="center"/>
              <w:rPr>
                <w:rFonts w:hint="eastAsia" w:ascii="宋体" w:hAnsi="宋体"/>
                <w:highlight w:val="none"/>
              </w:rPr>
            </w:pPr>
          </w:p>
          <w:p w14:paraId="6EB31F23">
            <w:pPr>
              <w:spacing w:before="120" w:after="120"/>
              <w:ind w:firstLine="630" w:firstLineChars="300"/>
              <w:jc w:val="center"/>
              <w:rPr>
                <w:rFonts w:hint="eastAsia" w:ascii="宋体" w:hAnsi="宋体"/>
                <w:highlight w:val="none"/>
              </w:rPr>
            </w:pPr>
          </w:p>
          <w:p w14:paraId="26A182E8">
            <w:pPr>
              <w:spacing w:before="120" w:after="120"/>
              <w:ind w:firstLine="630" w:firstLineChars="300"/>
              <w:jc w:val="center"/>
              <w:rPr>
                <w:rFonts w:ascii="宋体" w:hAnsi="宋体"/>
                <w:highlight w:val="none"/>
              </w:rPr>
            </w:pPr>
          </w:p>
        </w:tc>
        <w:tc>
          <w:tcPr>
            <w:tcW w:w="1260" w:type="dxa"/>
            <w:vMerge w:val="restart"/>
            <w:tcBorders>
              <w:top w:val="nil"/>
              <w:left w:val="single" w:color="auto" w:sz="4" w:space="0"/>
              <w:bottom w:val="single" w:color="auto" w:sz="4" w:space="0"/>
              <w:right w:val="single" w:color="auto" w:sz="4" w:space="0"/>
            </w:tcBorders>
            <w:noWrap w:val="0"/>
            <w:vAlign w:val="center"/>
          </w:tcPr>
          <w:p w14:paraId="2171BE24">
            <w:pPr>
              <w:jc w:val="center"/>
              <w:rPr>
                <w:rFonts w:ascii="宋体" w:hAnsi="宋体"/>
                <w:sz w:val="24"/>
                <w:szCs w:val="24"/>
                <w:highlight w:val="none"/>
              </w:rPr>
            </w:pPr>
            <w:r>
              <w:rPr>
                <w:rFonts w:hint="eastAsia" w:ascii="宋体" w:hAnsi="宋体"/>
                <w:highlight w:val="none"/>
              </w:rPr>
              <w:t>职工总数</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6EDA4324">
            <w:pPr>
              <w:spacing w:before="120" w:after="120"/>
              <w:rPr>
                <w:rFonts w:ascii="宋体" w:hAnsi="宋体"/>
                <w:highlight w:val="none"/>
              </w:rPr>
            </w:pPr>
            <w:r>
              <w:rPr>
                <w:rFonts w:hint="eastAsia" w:ascii="宋体" w:hAnsi="宋体"/>
                <w:highlight w:val="none"/>
              </w:rPr>
              <w:t>员工（包括技术工人、高级技师、工程师）：</w:t>
            </w:r>
            <w:r>
              <w:rPr>
                <w:highlight w:val="none"/>
              </w:rPr>
              <w:t xml:space="preserve">   </w:t>
            </w:r>
            <w:r>
              <w:rPr>
                <w:rFonts w:hint="eastAsia" w:ascii="宋体" w:hAnsi="宋体"/>
                <w:highlight w:val="none"/>
              </w:rPr>
              <w:t>人</w:t>
            </w:r>
          </w:p>
        </w:tc>
        <w:tc>
          <w:tcPr>
            <w:tcW w:w="3922" w:type="dxa"/>
            <w:gridSpan w:val="3"/>
            <w:tcBorders>
              <w:top w:val="single" w:color="auto" w:sz="4" w:space="0"/>
              <w:left w:val="single" w:color="auto" w:sz="4" w:space="0"/>
              <w:bottom w:val="single" w:color="auto" w:sz="4" w:space="0"/>
              <w:right w:val="single" w:color="auto" w:sz="4" w:space="0"/>
            </w:tcBorders>
            <w:noWrap w:val="0"/>
            <w:vAlign w:val="center"/>
          </w:tcPr>
          <w:p w14:paraId="42E027B3">
            <w:pPr>
              <w:spacing w:before="120" w:after="120"/>
              <w:rPr>
                <w:rFonts w:ascii="宋体" w:hAnsi="宋体"/>
                <w:highlight w:val="none"/>
              </w:rPr>
            </w:pPr>
            <w:r>
              <w:rPr>
                <w:rFonts w:hint="eastAsia" w:ascii="宋体" w:hAnsi="宋体"/>
                <w:highlight w:val="none"/>
              </w:rPr>
              <w:t>其中技术工人：          人</w:t>
            </w:r>
          </w:p>
        </w:tc>
      </w:tr>
      <w:tr w14:paraId="1B97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683159FC">
            <w:pPr>
              <w:widowControl/>
              <w:jc w:val="left"/>
              <w:rPr>
                <w:rFonts w:ascii="宋体" w:hAnsi="宋体"/>
                <w:highlight w:val="none"/>
              </w:rPr>
            </w:pPr>
          </w:p>
        </w:tc>
        <w:tc>
          <w:tcPr>
            <w:tcW w:w="1260" w:type="dxa"/>
            <w:vMerge w:val="continue"/>
            <w:tcBorders>
              <w:top w:val="nil"/>
              <w:left w:val="single" w:color="auto" w:sz="4" w:space="0"/>
              <w:bottom w:val="single" w:color="auto" w:sz="4" w:space="0"/>
              <w:right w:val="single" w:color="auto" w:sz="4" w:space="0"/>
            </w:tcBorders>
            <w:noWrap w:val="0"/>
            <w:vAlign w:val="center"/>
          </w:tcPr>
          <w:p w14:paraId="771D0D3E">
            <w:pPr>
              <w:widowControl/>
              <w:jc w:val="left"/>
              <w:rPr>
                <w:rFonts w:ascii="宋体" w:hAnsi="宋体"/>
                <w:sz w:val="24"/>
                <w:szCs w:val="24"/>
                <w:highlight w:val="none"/>
              </w:rPr>
            </w:pPr>
          </w:p>
        </w:tc>
        <w:tc>
          <w:tcPr>
            <w:tcW w:w="3263" w:type="dxa"/>
            <w:tcBorders>
              <w:top w:val="single" w:color="auto" w:sz="4" w:space="0"/>
              <w:left w:val="single" w:color="auto" w:sz="4" w:space="0"/>
              <w:bottom w:val="single" w:color="auto" w:sz="4" w:space="0"/>
              <w:right w:val="single" w:color="auto" w:sz="4" w:space="0"/>
            </w:tcBorders>
            <w:noWrap w:val="0"/>
            <w:vAlign w:val="center"/>
          </w:tcPr>
          <w:p w14:paraId="4F43DF6C">
            <w:pPr>
              <w:spacing w:before="120" w:after="120"/>
              <w:rPr>
                <w:rFonts w:ascii="宋体" w:hAnsi="宋体"/>
                <w:highlight w:val="none"/>
              </w:rPr>
            </w:pPr>
            <w:r>
              <w:rPr>
                <w:rFonts w:hint="eastAsia" w:ascii="宋体" w:hAnsi="宋体"/>
                <w:highlight w:val="none"/>
              </w:rPr>
              <w:t>高级技师：       人</w:t>
            </w:r>
          </w:p>
        </w:tc>
        <w:tc>
          <w:tcPr>
            <w:tcW w:w="3922" w:type="dxa"/>
            <w:gridSpan w:val="3"/>
            <w:tcBorders>
              <w:top w:val="single" w:color="auto" w:sz="4" w:space="0"/>
              <w:left w:val="single" w:color="auto" w:sz="4" w:space="0"/>
              <w:bottom w:val="single" w:color="auto" w:sz="4" w:space="0"/>
              <w:right w:val="single" w:color="auto" w:sz="4" w:space="0"/>
            </w:tcBorders>
            <w:noWrap w:val="0"/>
            <w:vAlign w:val="center"/>
          </w:tcPr>
          <w:p w14:paraId="6FDB59EE">
            <w:pPr>
              <w:spacing w:before="120" w:after="120"/>
              <w:rPr>
                <w:rFonts w:ascii="宋体" w:hAnsi="宋体"/>
                <w:highlight w:val="none"/>
              </w:rPr>
            </w:pPr>
            <w:r>
              <w:rPr>
                <w:rFonts w:hint="eastAsia" w:ascii="宋体" w:hAnsi="宋体"/>
                <w:highlight w:val="none"/>
              </w:rPr>
              <w:t>工程师：            人</w:t>
            </w:r>
          </w:p>
        </w:tc>
      </w:tr>
      <w:tr w14:paraId="0FA8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4AF4A25C">
            <w:pPr>
              <w:widowControl/>
              <w:jc w:val="left"/>
              <w:rPr>
                <w:rFonts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04671F">
            <w:pPr>
              <w:spacing w:before="120" w:after="120"/>
              <w:jc w:val="center"/>
              <w:rPr>
                <w:rFonts w:ascii="宋体" w:hAnsi="宋体"/>
                <w:highlight w:val="none"/>
              </w:rPr>
            </w:pPr>
            <w:r>
              <w:rPr>
                <w:rFonts w:hint="eastAsia" w:ascii="宋体" w:hAnsi="宋体"/>
                <w:highlight w:val="none"/>
              </w:rPr>
              <w:t>流动资金</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724A3B7C">
            <w:pPr>
              <w:spacing w:before="120" w:after="120"/>
              <w:jc w:val="center"/>
              <w:rPr>
                <w:rFonts w:ascii="宋体" w:hAnsi="宋体"/>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0146682">
            <w:pPr>
              <w:spacing w:before="120" w:after="120"/>
              <w:jc w:val="center"/>
              <w:rPr>
                <w:rFonts w:ascii="宋体" w:hAnsi="宋体"/>
                <w:highlight w:val="none"/>
              </w:rPr>
            </w:pPr>
            <w:r>
              <w:rPr>
                <w:rFonts w:hint="eastAsia" w:ascii="宋体" w:hAnsi="宋体"/>
                <w:highlight w:val="none"/>
              </w:rPr>
              <w:t>营业面积</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28EBC9C9">
            <w:pPr>
              <w:spacing w:before="120" w:after="120"/>
              <w:jc w:val="center"/>
              <w:rPr>
                <w:rFonts w:ascii="宋体" w:hAnsi="宋体"/>
                <w:highlight w:val="none"/>
              </w:rPr>
            </w:pPr>
          </w:p>
        </w:tc>
      </w:tr>
      <w:tr w14:paraId="42F8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0B6D99E5">
            <w:pPr>
              <w:widowControl/>
              <w:jc w:val="left"/>
              <w:rPr>
                <w:rFonts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2C92C6">
            <w:pPr>
              <w:spacing w:before="120" w:after="120"/>
              <w:jc w:val="center"/>
              <w:rPr>
                <w:rFonts w:ascii="宋体" w:hAnsi="宋体"/>
                <w:highlight w:val="none"/>
              </w:rPr>
            </w:pPr>
            <w:r>
              <w:rPr>
                <w:rFonts w:hint="eastAsia" w:ascii="宋体" w:hAnsi="宋体"/>
                <w:highlight w:val="none"/>
              </w:rPr>
              <w:t>固定资金</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05B506FA">
            <w:pPr>
              <w:widowControl/>
              <w:jc w:val="center"/>
              <w:rPr>
                <w:rFonts w:ascii="宋体" w:hAnsi="宋体"/>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2CD3DE5">
            <w:pPr>
              <w:spacing w:before="120" w:after="120"/>
              <w:jc w:val="center"/>
              <w:rPr>
                <w:rFonts w:ascii="宋体" w:hAnsi="宋体"/>
                <w:highlight w:val="none"/>
              </w:rPr>
            </w:pP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3097FB1B">
            <w:pPr>
              <w:widowControl/>
              <w:jc w:val="center"/>
              <w:rPr>
                <w:rFonts w:ascii="宋体" w:hAnsi="宋体"/>
                <w:sz w:val="24"/>
                <w:szCs w:val="24"/>
                <w:highlight w:val="none"/>
              </w:rPr>
            </w:pPr>
          </w:p>
        </w:tc>
      </w:tr>
      <w:tr w14:paraId="1915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3D5329A2">
            <w:pPr>
              <w:spacing w:before="120" w:after="120"/>
              <w:jc w:val="center"/>
              <w:rPr>
                <w:rFonts w:ascii="宋体" w:hAnsi="宋体"/>
                <w:highlight w:val="none"/>
              </w:rPr>
            </w:pPr>
            <w:r>
              <w:rPr>
                <w:rFonts w:hint="eastAsia" w:ascii="宋体" w:hAnsi="宋体"/>
                <w:highlight w:val="none"/>
              </w:rPr>
              <w:t>单位简历</w:t>
            </w:r>
          </w:p>
        </w:tc>
        <w:tc>
          <w:tcPr>
            <w:tcW w:w="8445" w:type="dxa"/>
            <w:gridSpan w:val="5"/>
            <w:tcBorders>
              <w:top w:val="single" w:color="auto" w:sz="4" w:space="0"/>
              <w:left w:val="single" w:color="auto" w:sz="4" w:space="0"/>
              <w:bottom w:val="single" w:color="auto" w:sz="4" w:space="0"/>
              <w:right w:val="single" w:color="auto" w:sz="4" w:space="0"/>
            </w:tcBorders>
            <w:noWrap w:val="0"/>
            <w:vAlign w:val="top"/>
          </w:tcPr>
          <w:p w14:paraId="4357D351">
            <w:pPr>
              <w:jc w:val="left"/>
              <w:rPr>
                <w:rFonts w:ascii="宋体" w:hAnsi="宋体"/>
                <w:sz w:val="24"/>
                <w:szCs w:val="24"/>
                <w:highlight w:val="none"/>
              </w:rPr>
            </w:pPr>
          </w:p>
        </w:tc>
      </w:tr>
      <w:tr w14:paraId="7251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6DAAF094">
            <w:pPr>
              <w:spacing w:before="120" w:after="120"/>
              <w:jc w:val="center"/>
              <w:rPr>
                <w:rFonts w:ascii="宋体" w:hAnsi="宋体"/>
                <w:highlight w:val="none"/>
              </w:rPr>
            </w:pPr>
            <w:r>
              <w:rPr>
                <w:rFonts w:hint="eastAsia" w:ascii="宋体" w:hAnsi="宋体"/>
                <w:highlight w:val="none"/>
              </w:rPr>
              <w:t>优势及特长</w:t>
            </w:r>
          </w:p>
        </w:tc>
        <w:tc>
          <w:tcPr>
            <w:tcW w:w="8445" w:type="dxa"/>
            <w:gridSpan w:val="5"/>
            <w:tcBorders>
              <w:top w:val="single" w:color="auto" w:sz="4" w:space="0"/>
              <w:left w:val="single" w:color="auto" w:sz="4" w:space="0"/>
              <w:bottom w:val="single" w:color="auto" w:sz="4" w:space="0"/>
              <w:right w:val="single" w:color="auto" w:sz="4" w:space="0"/>
            </w:tcBorders>
            <w:noWrap w:val="0"/>
            <w:vAlign w:val="top"/>
          </w:tcPr>
          <w:p w14:paraId="17AE3234">
            <w:pPr>
              <w:jc w:val="left"/>
              <w:rPr>
                <w:rFonts w:ascii="宋体" w:hAnsi="宋体"/>
                <w:sz w:val="24"/>
                <w:szCs w:val="24"/>
                <w:highlight w:val="none"/>
              </w:rPr>
            </w:pPr>
          </w:p>
        </w:tc>
      </w:tr>
    </w:tbl>
    <w:p w14:paraId="7C87721F">
      <w:pPr>
        <w:ind w:firstLine="480" w:firstLineChars="200"/>
        <w:rPr>
          <w:rFonts w:hint="eastAsia" w:ascii="宋体" w:hAnsi="宋体"/>
          <w:sz w:val="24"/>
          <w:szCs w:val="24"/>
          <w:highlight w:val="none"/>
        </w:rPr>
      </w:pPr>
      <w:r>
        <w:rPr>
          <w:rFonts w:hint="eastAsia" w:ascii="宋体" w:hAnsi="宋体"/>
          <w:sz w:val="24"/>
          <w:szCs w:val="24"/>
          <w:highlight w:val="none"/>
        </w:rPr>
        <w:t>注：附营业执照、资质证书复印件等相关资料。</w:t>
      </w:r>
    </w:p>
    <w:p w14:paraId="327A22A7">
      <w:pPr>
        <w:rPr>
          <w:rFonts w:hint="eastAsia" w:ascii="宋体" w:hAnsi="宋体"/>
          <w:sz w:val="24"/>
          <w:szCs w:val="24"/>
          <w:highlight w:val="none"/>
        </w:rPr>
      </w:pPr>
      <w:r>
        <w:rPr>
          <w:rFonts w:hint="eastAsia" w:ascii="宋体" w:hAnsi="宋体"/>
          <w:sz w:val="24"/>
          <w:szCs w:val="24"/>
          <w:highlight w:val="none"/>
        </w:rPr>
        <w:t xml:space="preserve"> </w:t>
      </w:r>
    </w:p>
    <w:p w14:paraId="0D851B99">
      <w:pPr>
        <w:snapToGrid w:val="0"/>
        <w:spacing w:line="360" w:lineRule="auto"/>
        <w:ind w:firstLine="560" w:firstLineChars="200"/>
        <w:jc w:val="left"/>
        <w:rPr>
          <w:rFonts w:hint="eastAsia" w:ascii="宋体" w:hAnsi="宋体"/>
          <w:spacing w:val="20"/>
          <w:sz w:val="24"/>
          <w:szCs w:val="24"/>
          <w:highlight w:val="none"/>
        </w:rPr>
      </w:pPr>
      <w:r>
        <w:rPr>
          <w:rFonts w:hint="eastAsia" w:ascii="宋体" w:hAnsi="宋体"/>
          <w:spacing w:val="20"/>
          <w:sz w:val="24"/>
          <w:szCs w:val="24"/>
          <w:highlight w:val="none"/>
          <w:lang w:val="en-US" w:eastAsia="zh-CN"/>
        </w:rPr>
        <w:t>供应商</w:t>
      </w:r>
      <w:r>
        <w:rPr>
          <w:rFonts w:hint="eastAsia" w:ascii="宋体" w:hAnsi="宋体"/>
          <w:spacing w:val="20"/>
          <w:sz w:val="24"/>
          <w:szCs w:val="24"/>
          <w:highlight w:val="none"/>
        </w:rPr>
        <w:t>全称</w:t>
      </w:r>
      <w:r>
        <w:rPr>
          <w:rFonts w:hint="eastAsia" w:ascii="宋体" w:hAnsi="宋体"/>
          <w:sz w:val="24"/>
          <w:szCs w:val="24"/>
          <w:highlight w:val="none"/>
        </w:rPr>
        <w:t>（盖章）</w:t>
      </w:r>
      <w:r>
        <w:rPr>
          <w:rFonts w:hint="eastAsia" w:ascii="宋体" w:hAnsi="宋体"/>
          <w:spacing w:val="20"/>
          <w:sz w:val="24"/>
          <w:szCs w:val="24"/>
          <w:highlight w:val="none"/>
        </w:rPr>
        <w:t>：</w:t>
      </w:r>
    </w:p>
    <w:p w14:paraId="5308B931">
      <w:pPr>
        <w:snapToGrid w:val="0"/>
        <w:spacing w:line="360" w:lineRule="auto"/>
        <w:ind w:firstLine="560" w:firstLineChars="200"/>
        <w:jc w:val="left"/>
        <w:rPr>
          <w:rFonts w:hint="eastAsia" w:ascii="宋体" w:hAnsi="宋体"/>
          <w:b/>
          <w:bCs/>
          <w:sz w:val="24"/>
          <w:szCs w:val="24"/>
          <w:highlight w:val="none"/>
        </w:rPr>
      </w:pPr>
      <w:r>
        <w:rPr>
          <w:rFonts w:hint="eastAsia" w:ascii="宋体" w:hAnsi="宋体"/>
          <w:spacing w:val="20"/>
          <w:sz w:val="24"/>
          <w:szCs w:val="24"/>
          <w:highlight w:val="none"/>
        </w:rPr>
        <w:t>日期：</w:t>
      </w:r>
    </w:p>
    <w:p w14:paraId="698DF767">
      <w:pPr>
        <w:spacing w:line="430" w:lineRule="exact"/>
        <w:rPr>
          <w:rFonts w:hint="eastAsia" w:ascii="宋体" w:hAnsi="宋体" w:cs="宋体"/>
          <w:b/>
          <w:color w:val="auto"/>
          <w:sz w:val="24"/>
          <w:highlight w:val="none"/>
          <w:lang w:val="en-US" w:eastAsia="zh-CN"/>
        </w:rPr>
      </w:pPr>
    </w:p>
    <w:p w14:paraId="672F73E1">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附件十二：商务响应表</w:t>
      </w:r>
    </w:p>
    <w:p w14:paraId="348BD36A">
      <w:pPr>
        <w:snapToGrid w:val="0"/>
        <w:spacing w:before="50" w:after="156" w:afterLines="50"/>
        <w:jc w:val="center"/>
        <w:rPr>
          <w:rFonts w:hint="eastAsia" w:ascii="宋体" w:hAnsi="宋体"/>
          <w:sz w:val="24"/>
          <w:szCs w:val="24"/>
          <w:highlight w:val="none"/>
          <w:u w:val="single"/>
        </w:rPr>
      </w:pPr>
      <w:bookmarkStart w:id="68" w:name="_Toc496598991"/>
      <w:bookmarkEnd w:id="68"/>
      <w:r>
        <w:rPr>
          <w:rFonts w:hint="eastAsia" w:ascii="宋体" w:hAnsi="宋体"/>
          <w:b/>
          <w:sz w:val="24"/>
          <w:szCs w:val="24"/>
          <w:highlight w:val="none"/>
        </w:rPr>
        <w:t>商务响应表</w:t>
      </w:r>
    </w:p>
    <w:tbl>
      <w:tblPr>
        <w:tblStyle w:val="3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2D555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6F39835B">
            <w:pPr>
              <w:jc w:val="center"/>
              <w:rPr>
                <w:rFonts w:ascii="宋体" w:hAnsi="宋体"/>
                <w:sz w:val="24"/>
                <w:szCs w:val="24"/>
                <w:highlight w:val="none"/>
              </w:rPr>
            </w:pPr>
            <w:r>
              <w:rPr>
                <w:rFonts w:hint="eastAsia" w:ascii="宋体" w:hAnsi="宋体"/>
                <w:sz w:val="24"/>
                <w:szCs w:val="24"/>
                <w:highlight w:val="none"/>
              </w:rPr>
              <w:t>项目</w:t>
            </w:r>
          </w:p>
        </w:tc>
        <w:tc>
          <w:tcPr>
            <w:tcW w:w="2969" w:type="dxa"/>
            <w:tcBorders>
              <w:top w:val="single" w:color="auto" w:sz="4" w:space="0"/>
              <w:left w:val="nil"/>
              <w:bottom w:val="single" w:color="auto" w:sz="4" w:space="0"/>
              <w:right w:val="single" w:color="auto" w:sz="4" w:space="0"/>
            </w:tcBorders>
            <w:noWrap w:val="0"/>
            <w:vAlign w:val="center"/>
          </w:tcPr>
          <w:p w14:paraId="77CF1118">
            <w:pPr>
              <w:jc w:val="center"/>
              <w:rPr>
                <w:rFonts w:ascii="宋体" w:hAnsi="宋体"/>
                <w:sz w:val="24"/>
                <w:szCs w:val="24"/>
                <w:highlight w:val="none"/>
              </w:rPr>
            </w:pPr>
            <w:r>
              <w:rPr>
                <w:rFonts w:hint="eastAsia" w:ascii="宋体" w:hAnsi="宋体"/>
                <w:sz w:val="24"/>
                <w:szCs w:val="24"/>
                <w:highlight w:val="none"/>
              </w:rPr>
              <w:t>磋商文件要求</w:t>
            </w:r>
          </w:p>
        </w:tc>
        <w:tc>
          <w:tcPr>
            <w:tcW w:w="1386" w:type="dxa"/>
            <w:tcBorders>
              <w:top w:val="single" w:color="auto" w:sz="4" w:space="0"/>
              <w:left w:val="nil"/>
              <w:bottom w:val="single" w:color="auto" w:sz="4" w:space="0"/>
              <w:right w:val="single" w:color="auto" w:sz="4" w:space="0"/>
            </w:tcBorders>
            <w:noWrap w:val="0"/>
            <w:vAlign w:val="center"/>
          </w:tcPr>
          <w:p w14:paraId="6D28C96A">
            <w:pPr>
              <w:jc w:val="center"/>
              <w:rPr>
                <w:rFonts w:ascii="宋体" w:hAnsi="宋体"/>
                <w:sz w:val="24"/>
                <w:szCs w:val="24"/>
                <w:highlight w:val="none"/>
              </w:rPr>
            </w:pPr>
            <w:r>
              <w:rPr>
                <w:rFonts w:hint="eastAsia" w:ascii="宋体" w:hAnsi="宋体"/>
                <w:sz w:val="24"/>
                <w:szCs w:val="24"/>
                <w:highlight w:val="none"/>
              </w:rPr>
              <w:t>响应及偏离情况</w:t>
            </w:r>
          </w:p>
        </w:tc>
        <w:tc>
          <w:tcPr>
            <w:tcW w:w="3321" w:type="dxa"/>
            <w:tcBorders>
              <w:top w:val="single" w:color="auto" w:sz="4" w:space="0"/>
              <w:left w:val="nil"/>
              <w:bottom w:val="single" w:color="auto" w:sz="4" w:space="0"/>
              <w:right w:val="single" w:color="auto" w:sz="4" w:space="0"/>
            </w:tcBorders>
            <w:noWrap w:val="0"/>
            <w:vAlign w:val="center"/>
          </w:tcPr>
          <w:p w14:paraId="6D34E2AF">
            <w:pPr>
              <w:jc w:val="center"/>
              <w:rPr>
                <w:rFonts w:ascii="宋体" w:hAnsi="宋体"/>
                <w:sz w:val="24"/>
                <w:szCs w:val="24"/>
                <w:highlight w:val="none"/>
              </w:rPr>
            </w:pPr>
            <w:r>
              <w:rPr>
                <w:rFonts w:hint="eastAsia" w:ascii="宋体" w:hAnsi="宋体"/>
                <w:sz w:val="24"/>
                <w:szCs w:val="24"/>
                <w:highlight w:val="none"/>
              </w:rPr>
              <w:t>供应商的承诺或说明</w:t>
            </w:r>
          </w:p>
        </w:tc>
      </w:tr>
      <w:tr w14:paraId="66DA8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0A4326A0">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6DB153D6">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389A4EFA">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0F4C78C1">
            <w:pPr>
              <w:rPr>
                <w:rFonts w:ascii="宋体" w:hAnsi="宋体"/>
                <w:sz w:val="24"/>
                <w:szCs w:val="24"/>
                <w:highlight w:val="none"/>
              </w:rPr>
            </w:pPr>
          </w:p>
        </w:tc>
      </w:tr>
      <w:tr w14:paraId="3B242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485C711B">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53A0E4DC">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584651D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06FF6DE7">
            <w:pPr>
              <w:rPr>
                <w:rFonts w:ascii="宋体" w:hAnsi="宋体"/>
                <w:sz w:val="24"/>
                <w:szCs w:val="24"/>
                <w:highlight w:val="none"/>
              </w:rPr>
            </w:pPr>
          </w:p>
        </w:tc>
      </w:tr>
      <w:tr w14:paraId="2572E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4F404418">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61CC89B8">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31472C3A">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3279C1A1">
            <w:pPr>
              <w:rPr>
                <w:rFonts w:ascii="宋体" w:hAnsi="宋体"/>
                <w:sz w:val="24"/>
                <w:szCs w:val="24"/>
                <w:highlight w:val="none"/>
              </w:rPr>
            </w:pPr>
          </w:p>
        </w:tc>
      </w:tr>
      <w:tr w14:paraId="34622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B3E33FE">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20BDD0D3">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48981527">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0830705F">
            <w:pPr>
              <w:rPr>
                <w:rFonts w:ascii="宋体" w:hAnsi="宋体"/>
                <w:sz w:val="24"/>
                <w:szCs w:val="24"/>
                <w:highlight w:val="none"/>
              </w:rPr>
            </w:pPr>
          </w:p>
        </w:tc>
      </w:tr>
      <w:tr w14:paraId="26C49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1F1AB3D">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4C363DF9">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023B750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27B28255">
            <w:pPr>
              <w:rPr>
                <w:rFonts w:ascii="宋体" w:hAnsi="宋体"/>
                <w:sz w:val="24"/>
                <w:szCs w:val="24"/>
                <w:highlight w:val="none"/>
              </w:rPr>
            </w:pPr>
          </w:p>
        </w:tc>
      </w:tr>
      <w:tr w14:paraId="12A96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6850CDE5">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486E8B92">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7B412EA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12679693">
            <w:pPr>
              <w:rPr>
                <w:rFonts w:ascii="宋体" w:hAnsi="宋体"/>
                <w:sz w:val="24"/>
                <w:szCs w:val="24"/>
                <w:highlight w:val="none"/>
              </w:rPr>
            </w:pPr>
          </w:p>
        </w:tc>
      </w:tr>
      <w:tr w14:paraId="2D6FF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10C164A">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5D857D53">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045CE1EA">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1F766852">
            <w:pPr>
              <w:rPr>
                <w:rFonts w:ascii="宋体" w:hAnsi="宋体"/>
                <w:sz w:val="24"/>
                <w:szCs w:val="24"/>
                <w:highlight w:val="none"/>
              </w:rPr>
            </w:pPr>
          </w:p>
        </w:tc>
      </w:tr>
      <w:tr w14:paraId="6B9F0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03FDC994">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6978F5D3">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4E07031E">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4F3CEE3A">
            <w:pPr>
              <w:rPr>
                <w:rFonts w:ascii="宋体" w:hAnsi="宋体"/>
                <w:sz w:val="24"/>
                <w:szCs w:val="24"/>
                <w:highlight w:val="none"/>
              </w:rPr>
            </w:pPr>
          </w:p>
        </w:tc>
      </w:tr>
      <w:tr w14:paraId="21BF7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8559140">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4AB56E6B">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10D93042">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5EA46603">
            <w:pPr>
              <w:rPr>
                <w:rFonts w:ascii="宋体" w:hAnsi="宋体"/>
                <w:sz w:val="24"/>
                <w:szCs w:val="24"/>
                <w:highlight w:val="none"/>
              </w:rPr>
            </w:pPr>
          </w:p>
        </w:tc>
      </w:tr>
      <w:tr w14:paraId="248B4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35B46138">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1F00548F">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7637ABE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6B645E21">
            <w:pPr>
              <w:rPr>
                <w:rFonts w:ascii="宋体" w:hAnsi="宋体"/>
                <w:sz w:val="24"/>
                <w:szCs w:val="24"/>
                <w:highlight w:val="none"/>
              </w:rPr>
            </w:pPr>
          </w:p>
        </w:tc>
      </w:tr>
    </w:tbl>
    <w:p w14:paraId="03763C57">
      <w:pPr>
        <w:snapToGrid w:val="0"/>
        <w:spacing w:before="156" w:beforeLines="50"/>
        <w:rPr>
          <w:rFonts w:hint="eastAsia" w:ascii="宋体" w:hAnsi="宋体"/>
          <w:sz w:val="24"/>
          <w:szCs w:val="24"/>
          <w:highlight w:val="none"/>
        </w:rPr>
      </w:pPr>
      <w:r>
        <w:rPr>
          <w:rFonts w:hint="eastAsia" w:ascii="宋体" w:hAnsi="宋体"/>
          <w:sz w:val="24"/>
          <w:szCs w:val="24"/>
          <w:highlight w:val="none"/>
        </w:rPr>
        <w:t xml:space="preserve"> </w:t>
      </w:r>
    </w:p>
    <w:p w14:paraId="7BA8780B">
      <w:pPr>
        <w:snapToGrid w:val="0"/>
        <w:spacing w:before="50" w:after="50"/>
        <w:rPr>
          <w:rFonts w:hint="eastAsia" w:ascii="宋体" w:hAnsi="宋体"/>
          <w:spacing w:val="20"/>
          <w:sz w:val="24"/>
          <w:szCs w:val="24"/>
          <w:highlight w:val="none"/>
          <w:u w:val="single"/>
        </w:rPr>
      </w:pPr>
      <w:r>
        <w:rPr>
          <w:rFonts w:hint="eastAsia" w:ascii="宋体" w:hAnsi="宋体"/>
          <w:sz w:val="24"/>
          <w:szCs w:val="24"/>
          <w:highlight w:val="none"/>
        </w:rPr>
        <w:t>法定代表人或委托代理人（签字或签名章）：</w:t>
      </w:r>
      <w:r>
        <w:rPr>
          <w:rFonts w:hint="eastAsia" w:ascii="宋体" w:hAnsi="宋体"/>
          <w:spacing w:val="20"/>
          <w:sz w:val="24"/>
          <w:szCs w:val="24"/>
          <w:highlight w:val="none"/>
          <w:u w:val="single"/>
        </w:rPr>
        <w:t xml:space="preserve">        </w:t>
      </w:r>
    </w:p>
    <w:p w14:paraId="678D5614">
      <w:pPr>
        <w:snapToGrid w:val="0"/>
        <w:spacing w:before="156" w:beforeLines="50"/>
        <w:rPr>
          <w:rFonts w:hint="eastAsia" w:ascii="宋体" w:hAnsi="宋体"/>
          <w:sz w:val="24"/>
          <w:szCs w:val="24"/>
          <w:highlight w:val="none"/>
        </w:rPr>
      </w:pPr>
      <w:r>
        <w:rPr>
          <w:rFonts w:hint="eastAsia" w:ascii="宋体" w:hAnsi="宋体"/>
          <w:spacing w:val="20"/>
          <w:sz w:val="24"/>
          <w:szCs w:val="24"/>
          <w:highlight w:val="none"/>
        </w:rPr>
        <w:t>供应商</w:t>
      </w:r>
      <w:r>
        <w:rPr>
          <w:rFonts w:hint="eastAsia" w:ascii="宋体" w:hAnsi="宋体"/>
          <w:spacing w:val="20"/>
          <w:sz w:val="24"/>
          <w:szCs w:val="24"/>
          <w:highlight w:val="none"/>
          <w:lang w:eastAsia="zh-CN"/>
        </w:rPr>
        <w:t>（</w:t>
      </w:r>
      <w:r>
        <w:rPr>
          <w:rFonts w:hint="eastAsia" w:ascii="宋体" w:hAnsi="宋体"/>
          <w:spacing w:val="20"/>
          <w:sz w:val="24"/>
          <w:szCs w:val="24"/>
          <w:highlight w:val="none"/>
        </w:rPr>
        <w:t>盖章</w:t>
      </w:r>
      <w:r>
        <w:rPr>
          <w:rFonts w:hint="eastAsia" w:ascii="宋体" w:hAnsi="宋体"/>
          <w:spacing w:val="20"/>
          <w:sz w:val="24"/>
          <w:szCs w:val="24"/>
          <w:highlight w:val="none"/>
          <w:lang w:eastAsia="zh-CN"/>
        </w:rPr>
        <w:t>）</w:t>
      </w:r>
      <w:r>
        <w:rPr>
          <w:rFonts w:hint="eastAsia" w:ascii="宋体" w:hAnsi="宋体"/>
          <w:spacing w:val="20"/>
          <w:sz w:val="24"/>
          <w:szCs w:val="24"/>
          <w:highlight w:val="none"/>
        </w:rPr>
        <w:t>：</w:t>
      </w:r>
      <w:r>
        <w:rPr>
          <w:rFonts w:hint="eastAsia" w:ascii="宋体" w:hAnsi="宋体"/>
          <w:spacing w:val="20"/>
          <w:sz w:val="24"/>
          <w:szCs w:val="24"/>
          <w:highlight w:val="none"/>
          <w:u w:val="single"/>
        </w:rPr>
        <w:t xml:space="preserve">            </w:t>
      </w:r>
      <w:r>
        <w:rPr>
          <w:rFonts w:hint="eastAsia" w:ascii="宋体" w:hAnsi="宋体"/>
          <w:spacing w:val="20"/>
          <w:sz w:val="24"/>
          <w:szCs w:val="24"/>
          <w:highlight w:val="none"/>
        </w:rPr>
        <w:t xml:space="preserve">              日 期：</w:t>
      </w:r>
      <w:r>
        <w:rPr>
          <w:rFonts w:hint="eastAsia" w:ascii="宋体" w:hAnsi="宋体"/>
          <w:spacing w:val="20"/>
          <w:sz w:val="24"/>
          <w:szCs w:val="24"/>
          <w:highlight w:val="none"/>
          <w:u w:val="single"/>
        </w:rPr>
        <w:t xml:space="preserve">            </w:t>
      </w:r>
    </w:p>
    <w:p w14:paraId="0AE911FF">
      <w:pPr>
        <w:rPr>
          <w:rFonts w:hint="eastAsia" w:ascii="宋体" w:hAnsi="宋体"/>
          <w:sz w:val="24"/>
          <w:szCs w:val="24"/>
          <w:highlight w:val="none"/>
        </w:rPr>
      </w:pPr>
      <w:r>
        <w:rPr>
          <w:rFonts w:hint="eastAsia" w:ascii="宋体" w:hAnsi="宋体"/>
          <w:sz w:val="24"/>
          <w:szCs w:val="24"/>
          <w:highlight w:val="none"/>
        </w:rPr>
        <w:t xml:space="preserve"> </w:t>
      </w:r>
      <w:bookmarkStart w:id="69" w:name="_Toc5014"/>
      <w:bookmarkEnd w:id="69"/>
      <w:bookmarkStart w:id="70" w:name="_Toc7232"/>
      <w:bookmarkEnd w:id="70"/>
      <w:bookmarkStart w:id="71" w:name="_Toc5104"/>
      <w:bookmarkEnd w:id="71"/>
      <w:bookmarkStart w:id="72" w:name="_Toc12725"/>
    </w:p>
    <w:p w14:paraId="43F1C4D8">
      <w:pPr>
        <w:rPr>
          <w:rFonts w:hint="eastAsia" w:ascii="宋体" w:hAnsi="宋体"/>
          <w:sz w:val="24"/>
          <w:szCs w:val="24"/>
          <w:highlight w:val="none"/>
        </w:rPr>
      </w:pPr>
    </w:p>
    <w:p w14:paraId="0881D49A">
      <w:pPr>
        <w:rPr>
          <w:rFonts w:hint="eastAsia" w:ascii="宋体" w:hAnsi="宋体"/>
          <w:sz w:val="24"/>
          <w:szCs w:val="24"/>
          <w:highlight w:val="none"/>
        </w:rPr>
      </w:pPr>
    </w:p>
    <w:p w14:paraId="35DE24A8">
      <w:pPr>
        <w:rPr>
          <w:rFonts w:hint="eastAsia" w:ascii="宋体" w:hAnsi="宋体"/>
          <w:sz w:val="24"/>
          <w:szCs w:val="24"/>
          <w:highlight w:val="none"/>
        </w:rPr>
      </w:pPr>
    </w:p>
    <w:p w14:paraId="3739404A">
      <w:pPr>
        <w:rPr>
          <w:rFonts w:hint="eastAsia" w:ascii="宋体" w:hAnsi="宋体"/>
          <w:sz w:val="24"/>
          <w:szCs w:val="24"/>
          <w:highlight w:val="none"/>
        </w:rPr>
      </w:pPr>
    </w:p>
    <w:p w14:paraId="2657571B">
      <w:pPr>
        <w:rPr>
          <w:rFonts w:hint="eastAsia" w:ascii="宋体" w:hAnsi="宋体"/>
          <w:sz w:val="24"/>
          <w:szCs w:val="24"/>
          <w:highlight w:val="none"/>
        </w:rPr>
      </w:pPr>
    </w:p>
    <w:p w14:paraId="0BB42EDA">
      <w:pPr>
        <w:rPr>
          <w:rFonts w:hint="eastAsia" w:ascii="宋体" w:hAnsi="宋体"/>
          <w:sz w:val="24"/>
          <w:szCs w:val="24"/>
          <w:highlight w:val="none"/>
        </w:rPr>
      </w:pPr>
    </w:p>
    <w:p w14:paraId="371B3531">
      <w:pPr>
        <w:rPr>
          <w:rFonts w:hint="eastAsia" w:ascii="宋体" w:hAnsi="宋体"/>
          <w:sz w:val="24"/>
          <w:szCs w:val="24"/>
          <w:highlight w:val="none"/>
        </w:rPr>
      </w:pPr>
    </w:p>
    <w:p w14:paraId="5E819326">
      <w:pPr>
        <w:rPr>
          <w:rFonts w:hint="eastAsia" w:ascii="宋体" w:hAnsi="宋体"/>
          <w:sz w:val="24"/>
          <w:szCs w:val="24"/>
          <w:highlight w:val="none"/>
        </w:rPr>
      </w:pPr>
    </w:p>
    <w:p w14:paraId="425AE908">
      <w:pPr>
        <w:rPr>
          <w:rFonts w:hint="eastAsia" w:ascii="宋体" w:hAnsi="宋体"/>
          <w:sz w:val="24"/>
          <w:szCs w:val="24"/>
          <w:highlight w:val="none"/>
        </w:rPr>
      </w:pPr>
    </w:p>
    <w:p w14:paraId="1D38E0AD">
      <w:pPr>
        <w:rPr>
          <w:rFonts w:hint="eastAsia" w:ascii="宋体" w:hAnsi="宋体"/>
          <w:sz w:val="24"/>
          <w:szCs w:val="24"/>
          <w:highlight w:val="none"/>
        </w:rPr>
      </w:pPr>
    </w:p>
    <w:p w14:paraId="1BB6A602">
      <w:pPr>
        <w:rPr>
          <w:rFonts w:hint="eastAsia" w:ascii="宋体" w:hAnsi="宋体"/>
          <w:sz w:val="24"/>
          <w:szCs w:val="24"/>
          <w:highlight w:val="none"/>
        </w:rPr>
      </w:pPr>
    </w:p>
    <w:p w14:paraId="1D8B0AA5">
      <w:pPr>
        <w:rPr>
          <w:rFonts w:hint="eastAsia" w:ascii="宋体" w:hAnsi="宋体"/>
          <w:sz w:val="24"/>
          <w:szCs w:val="24"/>
          <w:highlight w:val="none"/>
        </w:rPr>
      </w:pPr>
    </w:p>
    <w:p w14:paraId="761EBA1F">
      <w:pPr>
        <w:rPr>
          <w:rFonts w:hint="eastAsia" w:ascii="宋体" w:hAnsi="宋体"/>
          <w:sz w:val="24"/>
          <w:szCs w:val="24"/>
          <w:highlight w:val="none"/>
        </w:rPr>
      </w:pPr>
    </w:p>
    <w:p w14:paraId="4E0F94EB">
      <w:pPr>
        <w:rPr>
          <w:rFonts w:hint="eastAsia" w:ascii="宋体" w:hAnsi="宋体"/>
          <w:b/>
          <w:bCs/>
          <w:sz w:val="24"/>
          <w:szCs w:val="24"/>
          <w:highlight w:val="none"/>
        </w:rPr>
      </w:pPr>
    </w:p>
    <w:p w14:paraId="6DC1731A">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w:t>
      </w:r>
      <w:bookmarkEnd w:id="72"/>
      <w:r>
        <w:rPr>
          <w:rFonts w:hint="eastAsia" w:ascii="宋体" w:hAnsi="宋体"/>
          <w:bCs/>
          <w:color w:val="auto"/>
          <w:sz w:val="24"/>
          <w:highlight w:val="none"/>
          <w:lang w:val="en-US" w:eastAsia="zh-CN"/>
        </w:rPr>
        <w:t>十三：技术响应表</w:t>
      </w:r>
    </w:p>
    <w:p w14:paraId="1F44AC38">
      <w:pPr>
        <w:snapToGrid w:val="0"/>
        <w:spacing w:before="50" w:after="156" w:afterLines="50"/>
        <w:jc w:val="center"/>
        <w:rPr>
          <w:rFonts w:hint="eastAsia" w:ascii="宋体" w:hAnsi="宋体"/>
          <w:b/>
          <w:sz w:val="24"/>
          <w:szCs w:val="24"/>
          <w:highlight w:val="none"/>
        </w:rPr>
      </w:pPr>
      <w:r>
        <w:rPr>
          <w:rFonts w:hint="eastAsia" w:ascii="宋体" w:hAnsi="宋体"/>
          <w:b/>
          <w:sz w:val="24"/>
          <w:szCs w:val="24"/>
          <w:highlight w:val="none"/>
        </w:rPr>
        <w:t>技术响应表</w:t>
      </w:r>
    </w:p>
    <w:p w14:paraId="0AD88BE2">
      <w:pPr>
        <w:snapToGrid w:val="0"/>
        <w:spacing w:before="50" w:after="156" w:afterLines="50"/>
        <w:jc w:val="left"/>
        <w:rPr>
          <w:rFonts w:hint="eastAsia" w:ascii="宋体" w:hAnsi="宋体"/>
          <w:sz w:val="24"/>
          <w:szCs w:val="24"/>
          <w:highlight w:val="none"/>
        </w:rPr>
      </w:pPr>
      <w:r>
        <w:rPr>
          <w:rFonts w:hint="eastAsia" w:ascii="宋体" w:hAnsi="宋体"/>
          <w:sz w:val="24"/>
          <w:szCs w:val="24"/>
          <w:highlight w:val="none"/>
        </w:rPr>
        <w:t>招标编号：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0F0F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center"/>
          </w:tcPr>
          <w:p w14:paraId="08505135">
            <w:pPr>
              <w:jc w:val="center"/>
              <w:rPr>
                <w:rFonts w:ascii="宋体" w:hAnsi="宋体"/>
                <w:sz w:val="24"/>
                <w:szCs w:val="24"/>
                <w:highlight w:val="none"/>
              </w:rPr>
            </w:pPr>
            <w:r>
              <w:rPr>
                <w:rFonts w:hint="eastAsia" w:ascii="宋体" w:hAnsi="宋体"/>
                <w:sz w:val="24"/>
                <w:szCs w:val="24"/>
                <w:highlight w:val="none"/>
              </w:rPr>
              <w:t>序号</w:t>
            </w:r>
          </w:p>
        </w:tc>
        <w:tc>
          <w:tcPr>
            <w:tcW w:w="2004" w:type="dxa"/>
            <w:tcBorders>
              <w:top w:val="single" w:color="auto" w:sz="4" w:space="0"/>
              <w:left w:val="nil"/>
              <w:bottom w:val="single" w:color="auto" w:sz="4" w:space="0"/>
              <w:right w:val="single" w:color="auto" w:sz="4" w:space="0"/>
            </w:tcBorders>
            <w:noWrap w:val="0"/>
            <w:vAlign w:val="center"/>
          </w:tcPr>
          <w:p w14:paraId="37B0CA9C">
            <w:pPr>
              <w:jc w:val="center"/>
              <w:rPr>
                <w:rFonts w:ascii="宋体" w:hAnsi="宋体"/>
                <w:sz w:val="24"/>
                <w:szCs w:val="24"/>
                <w:highlight w:val="none"/>
              </w:rPr>
            </w:pPr>
            <w:r>
              <w:rPr>
                <w:rFonts w:hint="eastAsia" w:ascii="宋体" w:hAnsi="宋体"/>
                <w:sz w:val="24"/>
                <w:szCs w:val="24"/>
                <w:highlight w:val="none"/>
              </w:rPr>
              <w:t>内  容</w:t>
            </w:r>
          </w:p>
        </w:tc>
        <w:tc>
          <w:tcPr>
            <w:tcW w:w="2113" w:type="dxa"/>
            <w:tcBorders>
              <w:top w:val="single" w:color="auto" w:sz="4" w:space="0"/>
              <w:left w:val="nil"/>
              <w:bottom w:val="single" w:color="auto" w:sz="4" w:space="0"/>
              <w:right w:val="single" w:color="auto" w:sz="4" w:space="0"/>
            </w:tcBorders>
            <w:noWrap w:val="0"/>
            <w:vAlign w:val="center"/>
          </w:tcPr>
          <w:p w14:paraId="5929CE28">
            <w:pPr>
              <w:jc w:val="center"/>
              <w:rPr>
                <w:rFonts w:ascii="宋体" w:hAnsi="宋体"/>
                <w:sz w:val="24"/>
                <w:szCs w:val="24"/>
                <w:highlight w:val="none"/>
              </w:rPr>
            </w:pPr>
            <w:r>
              <w:rPr>
                <w:rFonts w:hint="eastAsia" w:ascii="宋体" w:hAnsi="宋体"/>
                <w:sz w:val="24"/>
                <w:szCs w:val="24"/>
                <w:highlight w:val="none"/>
              </w:rPr>
              <w:t>磋商文件</w:t>
            </w:r>
          </w:p>
          <w:p w14:paraId="46FB3C25">
            <w:pPr>
              <w:jc w:val="center"/>
              <w:rPr>
                <w:rFonts w:ascii="宋体" w:hAnsi="宋体"/>
                <w:sz w:val="24"/>
                <w:szCs w:val="24"/>
                <w:highlight w:val="none"/>
              </w:rPr>
            </w:pPr>
            <w:r>
              <w:rPr>
                <w:rFonts w:hint="eastAsia" w:ascii="宋体" w:hAnsi="宋体"/>
                <w:sz w:val="24"/>
                <w:szCs w:val="24"/>
                <w:highlight w:val="none"/>
              </w:rPr>
              <w:t>规范要求</w:t>
            </w:r>
          </w:p>
        </w:tc>
        <w:tc>
          <w:tcPr>
            <w:tcW w:w="1750" w:type="dxa"/>
            <w:tcBorders>
              <w:top w:val="single" w:color="auto" w:sz="4" w:space="0"/>
              <w:left w:val="nil"/>
              <w:bottom w:val="single" w:color="auto" w:sz="4" w:space="0"/>
              <w:right w:val="single" w:color="auto" w:sz="4" w:space="0"/>
            </w:tcBorders>
            <w:noWrap w:val="0"/>
            <w:vAlign w:val="center"/>
          </w:tcPr>
          <w:p w14:paraId="619B4BB3">
            <w:pPr>
              <w:jc w:val="center"/>
              <w:rPr>
                <w:rFonts w:ascii="宋体" w:hAnsi="宋体"/>
                <w:sz w:val="24"/>
                <w:szCs w:val="24"/>
                <w:highlight w:val="none"/>
              </w:rPr>
            </w:pPr>
            <w:r>
              <w:rPr>
                <w:rFonts w:hint="eastAsia" w:ascii="宋体" w:hAnsi="宋体"/>
                <w:sz w:val="24"/>
                <w:szCs w:val="24"/>
                <w:highlight w:val="none"/>
              </w:rPr>
              <w:t>磋商响应文件</w:t>
            </w:r>
          </w:p>
          <w:p w14:paraId="7670541E">
            <w:pPr>
              <w:jc w:val="center"/>
              <w:rPr>
                <w:rFonts w:ascii="宋体" w:hAnsi="宋体"/>
                <w:sz w:val="24"/>
                <w:szCs w:val="24"/>
                <w:highlight w:val="none"/>
              </w:rPr>
            </w:pPr>
            <w:r>
              <w:rPr>
                <w:rFonts w:hint="eastAsia" w:ascii="宋体" w:hAnsi="宋体"/>
                <w:sz w:val="24"/>
                <w:szCs w:val="24"/>
                <w:highlight w:val="none"/>
              </w:rPr>
              <w:t>对应规范</w:t>
            </w:r>
          </w:p>
        </w:tc>
        <w:tc>
          <w:tcPr>
            <w:tcW w:w="2514" w:type="dxa"/>
            <w:tcBorders>
              <w:top w:val="single" w:color="auto" w:sz="4" w:space="0"/>
              <w:left w:val="nil"/>
              <w:bottom w:val="single" w:color="auto" w:sz="4" w:space="0"/>
              <w:right w:val="single" w:color="auto" w:sz="4" w:space="0"/>
            </w:tcBorders>
            <w:noWrap w:val="0"/>
            <w:vAlign w:val="center"/>
          </w:tcPr>
          <w:p w14:paraId="7723F130">
            <w:pPr>
              <w:jc w:val="center"/>
              <w:rPr>
                <w:rFonts w:ascii="宋体" w:hAnsi="宋体"/>
                <w:sz w:val="24"/>
                <w:szCs w:val="24"/>
                <w:highlight w:val="none"/>
              </w:rPr>
            </w:pPr>
            <w:r>
              <w:rPr>
                <w:rFonts w:hint="eastAsia" w:ascii="宋体" w:hAnsi="宋体"/>
                <w:sz w:val="24"/>
                <w:szCs w:val="24"/>
                <w:highlight w:val="none"/>
              </w:rPr>
              <w:t>偏离情况</w:t>
            </w:r>
          </w:p>
          <w:p w14:paraId="50E691D8">
            <w:pPr>
              <w:jc w:val="center"/>
              <w:rPr>
                <w:rFonts w:ascii="宋体" w:hAnsi="宋体"/>
                <w:sz w:val="24"/>
                <w:szCs w:val="24"/>
                <w:highlight w:val="none"/>
              </w:rPr>
            </w:pPr>
            <w:r>
              <w:rPr>
                <w:rFonts w:hint="eastAsia" w:ascii="宋体" w:hAnsi="宋体"/>
                <w:sz w:val="24"/>
                <w:szCs w:val="24"/>
                <w:highlight w:val="none"/>
              </w:rPr>
              <w:t>（注明正偏离、负偏离或无偏离）</w:t>
            </w:r>
          </w:p>
        </w:tc>
      </w:tr>
      <w:tr w14:paraId="2D80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9B9CB4C">
            <w:pPr>
              <w:jc w:val="cente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3ED40DBE">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4EC87314">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20570FB9">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4C16C75F">
            <w:pPr>
              <w:rPr>
                <w:rFonts w:ascii="宋体" w:hAnsi="宋体"/>
                <w:sz w:val="24"/>
                <w:szCs w:val="24"/>
                <w:highlight w:val="none"/>
              </w:rPr>
            </w:pPr>
          </w:p>
        </w:tc>
      </w:tr>
      <w:tr w14:paraId="11E8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82D96FB">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8F03088">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22F5554C">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0B8E8E38">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2A5BE9F5">
            <w:pPr>
              <w:rPr>
                <w:rFonts w:ascii="宋体" w:hAnsi="宋体"/>
                <w:sz w:val="24"/>
                <w:szCs w:val="24"/>
                <w:highlight w:val="none"/>
              </w:rPr>
            </w:pPr>
          </w:p>
        </w:tc>
      </w:tr>
      <w:tr w14:paraId="2542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97C2491">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5D748E55">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0FB551AB">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2E94B304">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6312FB6B">
            <w:pPr>
              <w:rPr>
                <w:rFonts w:ascii="宋体" w:hAnsi="宋体"/>
                <w:sz w:val="24"/>
                <w:szCs w:val="24"/>
                <w:highlight w:val="none"/>
              </w:rPr>
            </w:pPr>
          </w:p>
        </w:tc>
      </w:tr>
      <w:tr w14:paraId="1679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17BF8FD">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0A1F5DF">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78570A5D">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422CA381">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5309634D">
            <w:pPr>
              <w:rPr>
                <w:rFonts w:ascii="宋体" w:hAnsi="宋体"/>
                <w:sz w:val="24"/>
                <w:szCs w:val="24"/>
                <w:highlight w:val="none"/>
              </w:rPr>
            </w:pPr>
          </w:p>
        </w:tc>
      </w:tr>
      <w:tr w14:paraId="2863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27502CC5">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6386F4FB">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066B9042">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0A5DAABC">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57C87CC9">
            <w:pPr>
              <w:rPr>
                <w:rFonts w:ascii="宋体" w:hAnsi="宋体"/>
                <w:sz w:val="24"/>
                <w:szCs w:val="24"/>
                <w:highlight w:val="none"/>
              </w:rPr>
            </w:pPr>
          </w:p>
        </w:tc>
      </w:tr>
      <w:tr w14:paraId="689F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47AC308D">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5CE79D06">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4E9B292F">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77C9971E">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38D08EA7">
            <w:pPr>
              <w:rPr>
                <w:rFonts w:ascii="宋体" w:hAnsi="宋体"/>
                <w:sz w:val="24"/>
                <w:szCs w:val="24"/>
                <w:highlight w:val="none"/>
              </w:rPr>
            </w:pPr>
          </w:p>
        </w:tc>
      </w:tr>
      <w:tr w14:paraId="358E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5BDBC254">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CA538FB">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6BFCF5CB">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568FC173">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06C44141">
            <w:pPr>
              <w:rPr>
                <w:rFonts w:ascii="宋体" w:hAnsi="宋体"/>
                <w:sz w:val="24"/>
                <w:szCs w:val="24"/>
                <w:highlight w:val="none"/>
              </w:rPr>
            </w:pPr>
          </w:p>
        </w:tc>
      </w:tr>
      <w:tr w14:paraId="2FE6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0298EA28">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E6990E4">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6B225BE3">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40D49146">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034D9069">
            <w:pPr>
              <w:rPr>
                <w:rFonts w:ascii="宋体" w:hAnsi="宋体"/>
                <w:sz w:val="24"/>
                <w:szCs w:val="24"/>
                <w:highlight w:val="none"/>
              </w:rPr>
            </w:pPr>
          </w:p>
        </w:tc>
      </w:tr>
      <w:tr w14:paraId="4918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73B64AF8">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88D5FEC">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5B9424B2">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2081B094">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407B2917">
            <w:pPr>
              <w:rPr>
                <w:rFonts w:ascii="宋体" w:hAnsi="宋体"/>
                <w:sz w:val="24"/>
                <w:szCs w:val="24"/>
                <w:highlight w:val="none"/>
              </w:rPr>
            </w:pPr>
          </w:p>
        </w:tc>
      </w:tr>
      <w:tr w14:paraId="24A3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0F21A789">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82DF69B">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3D5475CE">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49330E79">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22F1DCC7">
            <w:pPr>
              <w:rPr>
                <w:rFonts w:ascii="宋体" w:hAnsi="宋体"/>
                <w:sz w:val="24"/>
                <w:szCs w:val="24"/>
                <w:highlight w:val="none"/>
              </w:rPr>
            </w:pPr>
          </w:p>
        </w:tc>
      </w:tr>
      <w:tr w14:paraId="18F1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5372AFB4">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7DC12184">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469B2720">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656DC196">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64A71D2A">
            <w:pPr>
              <w:rPr>
                <w:rFonts w:ascii="宋体" w:hAnsi="宋体"/>
                <w:sz w:val="24"/>
                <w:szCs w:val="24"/>
                <w:highlight w:val="none"/>
              </w:rPr>
            </w:pPr>
          </w:p>
        </w:tc>
      </w:tr>
      <w:tr w14:paraId="7178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4C4A7884">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321C6500">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76407829">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0340F072">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3457C989">
            <w:pPr>
              <w:rPr>
                <w:rFonts w:ascii="宋体" w:hAnsi="宋体"/>
                <w:sz w:val="24"/>
                <w:szCs w:val="24"/>
                <w:highlight w:val="none"/>
              </w:rPr>
            </w:pPr>
          </w:p>
        </w:tc>
      </w:tr>
    </w:tbl>
    <w:p w14:paraId="6EE09376">
      <w:pPr>
        <w:snapToGrid w:val="0"/>
        <w:spacing w:before="50" w:after="50"/>
        <w:rPr>
          <w:rFonts w:hint="eastAsia" w:ascii="宋体" w:hAnsi="宋体"/>
          <w:b/>
          <w:bCs/>
          <w:sz w:val="24"/>
          <w:szCs w:val="24"/>
          <w:highlight w:val="none"/>
        </w:rPr>
      </w:pPr>
      <w:r>
        <w:rPr>
          <w:rFonts w:hint="eastAsia" w:ascii="宋体" w:hAnsi="宋体"/>
          <w:b/>
          <w:bCs/>
          <w:sz w:val="24"/>
          <w:szCs w:val="24"/>
          <w:highlight w:val="none"/>
        </w:rPr>
        <w:t xml:space="preserve"> </w:t>
      </w:r>
    </w:p>
    <w:p w14:paraId="16DC2FF0">
      <w:pPr>
        <w:snapToGrid w:val="0"/>
        <w:spacing w:before="50" w:after="50"/>
        <w:rPr>
          <w:rFonts w:hint="eastAsia" w:ascii="宋体" w:hAnsi="宋体"/>
          <w:b/>
          <w:bCs/>
          <w:spacing w:val="20"/>
          <w:sz w:val="24"/>
          <w:szCs w:val="24"/>
          <w:highlight w:val="none"/>
        </w:rPr>
      </w:pPr>
      <w:r>
        <w:rPr>
          <w:rFonts w:hint="eastAsia" w:ascii="宋体" w:hAnsi="宋体"/>
          <w:b/>
          <w:bCs/>
          <w:sz w:val="24"/>
          <w:szCs w:val="24"/>
          <w:highlight w:val="none"/>
        </w:rPr>
        <w:t>注：供应商应根据磋商文件的指标、对照磋商文件要求在“偏离情况”栏注明“正偏离”、“负偏离”或“无偏离”。</w:t>
      </w:r>
    </w:p>
    <w:p w14:paraId="40CC974C">
      <w:pPr>
        <w:snapToGrid w:val="0"/>
        <w:spacing w:before="50" w:after="50"/>
        <w:rPr>
          <w:rFonts w:hint="eastAsia" w:ascii="宋体" w:hAnsi="宋体"/>
          <w:spacing w:val="20"/>
          <w:sz w:val="24"/>
          <w:szCs w:val="24"/>
          <w:highlight w:val="none"/>
        </w:rPr>
      </w:pPr>
      <w:r>
        <w:rPr>
          <w:rFonts w:hint="eastAsia" w:ascii="宋体" w:hAnsi="宋体"/>
          <w:spacing w:val="20"/>
          <w:sz w:val="24"/>
          <w:szCs w:val="24"/>
          <w:highlight w:val="none"/>
        </w:rPr>
        <w:t xml:space="preserve"> </w:t>
      </w:r>
    </w:p>
    <w:p w14:paraId="2694DD7C">
      <w:pPr>
        <w:snapToGrid w:val="0"/>
        <w:spacing w:before="50" w:after="50"/>
        <w:rPr>
          <w:rFonts w:hint="eastAsia" w:ascii="宋体" w:hAnsi="宋体"/>
          <w:spacing w:val="20"/>
          <w:sz w:val="24"/>
          <w:szCs w:val="24"/>
          <w:highlight w:val="none"/>
          <w:u w:val="single"/>
        </w:rPr>
      </w:pPr>
      <w:r>
        <w:rPr>
          <w:rFonts w:hint="eastAsia" w:ascii="宋体" w:hAnsi="宋体"/>
          <w:sz w:val="24"/>
          <w:szCs w:val="24"/>
          <w:highlight w:val="none"/>
        </w:rPr>
        <w:t>法定代表人或委托代理人（签字或签名章）</w:t>
      </w:r>
      <w:r>
        <w:rPr>
          <w:rFonts w:hint="eastAsia" w:ascii="宋体" w:hAnsi="宋体"/>
          <w:spacing w:val="20"/>
          <w:sz w:val="24"/>
          <w:szCs w:val="24"/>
          <w:highlight w:val="none"/>
        </w:rPr>
        <w:t>：</w:t>
      </w:r>
      <w:r>
        <w:rPr>
          <w:rFonts w:hint="eastAsia" w:ascii="宋体" w:hAnsi="宋体"/>
          <w:spacing w:val="20"/>
          <w:sz w:val="24"/>
          <w:szCs w:val="24"/>
          <w:highlight w:val="none"/>
          <w:u w:val="single"/>
        </w:rPr>
        <w:t xml:space="preserve">        </w:t>
      </w:r>
    </w:p>
    <w:p w14:paraId="0F8A6302">
      <w:pPr>
        <w:snapToGrid w:val="0"/>
        <w:spacing w:before="50" w:after="50"/>
        <w:rPr>
          <w:rFonts w:hint="eastAsia" w:ascii="宋体" w:hAnsi="宋体"/>
          <w:sz w:val="24"/>
          <w:szCs w:val="24"/>
          <w:highlight w:val="none"/>
        </w:rPr>
      </w:pPr>
      <w:r>
        <w:rPr>
          <w:rFonts w:hint="eastAsia" w:ascii="宋体" w:hAnsi="宋体"/>
          <w:spacing w:val="20"/>
          <w:sz w:val="24"/>
          <w:szCs w:val="24"/>
          <w:highlight w:val="none"/>
        </w:rPr>
        <w:t>供应商</w:t>
      </w:r>
      <w:r>
        <w:rPr>
          <w:rFonts w:hint="eastAsia" w:ascii="宋体" w:hAnsi="宋体"/>
          <w:spacing w:val="20"/>
          <w:sz w:val="24"/>
          <w:szCs w:val="24"/>
          <w:highlight w:val="none"/>
          <w:lang w:eastAsia="zh-CN"/>
        </w:rPr>
        <w:t>（</w:t>
      </w:r>
      <w:r>
        <w:rPr>
          <w:rFonts w:hint="eastAsia" w:ascii="宋体" w:hAnsi="宋体"/>
          <w:spacing w:val="20"/>
          <w:sz w:val="24"/>
          <w:szCs w:val="24"/>
          <w:highlight w:val="none"/>
        </w:rPr>
        <w:t>盖章</w:t>
      </w:r>
      <w:r>
        <w:rPr>
          <w:rFonts w:hint="eastAsia" w:ascii="宋体" w:hAnsi="宋体"/>
          <w:spacing w:val="20"/>
          <w:sz w:val="24"/>
          <w:szCs w:val="24"/>
          <w:highlight w:val="none"/>
          <w:lang w:eastAsia="zh-CN"/>
        </w:rPr>
        <w:t>）</w:t>
      </w:r>
      <w:r>
        <w:rPr>
          <w:rFonts w:hint="eastAsia" w:ascii="宋体" w:hAnsi="宋体"/>
          <w:spacing w:val="20"/>
          <w:sz w:val="24"/>
          <w:szCs w:val="24"/>
          <w:highlight w:val="none"/>
        </w:rPr>
        <w:t>：</w:t>
      </w:r>
      <w:r>
        <w:rPr>
          <w:rFonts w:hint="eastAsia" w:ascii="宋体" w:hAnsi="宋体"/>
          <w:spacing w:val="20"/>
          <w:sz w:val="24"/>
          <w:szCs w:val="24"/>
          <w:highlight w:val="none"/>
          <w:u w:val="single"/>
        </w:rPr>
        <w:t xml:space="preserve">            </w:t>
      </w:r>
      <w:r>
        <w:rPr>
          <w:rFonts w:hint="eastAsia" w:ascii="宋体" w:hAnsi="宋体"/>
          <w:spacing w:val="20"/>
          <w:sz w:val="24"/>
          <w:szCs w:val="24"/>
          <w:highlight w:val="none"/>
        </w:rPr>
        <w:t xml:space="preserve">              日 期：</w:t>
      </w:r>
      <w:r>
        <w:rPr>
          <w:rFonts w:hint="eastAsia" w:ascii="宋体" w:hAnsi="宋体"/>
          <w:spacing w:val="20"/>
          <w:sz w:val="24"/>
          <w:szCs w:val="24"/>
          <w:highlight w:val="none"/>
          <w:u w:val="single"/>
        </w:rPr>
        <w:t xml:space="preserve">            </w:t>
      </w:r>
    </w:p>
    <w:p w14:paraId="73E7C12D">
      <w:pPr>
        <w:spacing w:line="430" w:lineRule="exact"/>
        <w:rPr>
          <w:rFonts w:hint="eastAsia" w:ascii="宋体" w:hAnsi="宋体" w:cs="宋体"/>
          <w:b/>
          <w:color w:val="auto"/>
          <w:sz w:val="24"/>
          <w:highlight w:val="none"/>
          <w:lang w:val="en-US" w:eastAsia="zh-CN"/>
        </w:rPr>
      </w:pPr>
    </w:p>
    <w:p w14:paraId="0E5E221C">
      <w:pPr>
        <w:spacing w:line="430" w:lineRule="exact"/>
        <w:rPr>
          <w:rFonts w:hint="eastAsia" w:ascii="宋体" w:hAnsi="宋体" w:cs="宋体"/>
          <w:b/>
          <w:color w:val="auto"/>
          <w:sz w:val="24"/>
          <w:highlight w:val="none"/>
          <w:lang w:val="en-US" w:eastAsia="zh-CN"/>
        </w:rPr>
      </w:pPr>
    </w:p>
    <w:p w14:paraId="0CC57344">
      <w:pPr>
        <w:spacing w:line="430" w:lineRule="exact"/>
        <w:rPr>
          <w:rFonts w:hint="eastAsia" w:ascii="宋体" w:hAnsi="宋体" w:cs="宋体"/>
          <w:b/>
          <w:color w:val="auto"/>
          <w:sz w:val="24"/>
          <w:highlight w:val="none"/>
          <w:lang w:val="en-US" w:eastAsia="zh-CN"/>
        </w:rPr>
      </w:pPr>
    </w:p>
    <w:p w14:paraId="25D618EC">
      <w:pPr>
        <w:spacing w:line="430" w:lineRule="exact"/>
        <w:rPr>
          <w:rFonts w:hint="eastAsia" w:ascii="宋体" w:hAnsi="宋体" w:cs="宋体"/>
          <w:b/>
          <w:color w:val="auto"/>
          <w:sz w:val="24"/>
          <w:highlight w:val="none"/>
          <w:lang w:val="en-US" w:eastAsia="zh-CN"/>
        </w:rPr>
      </w:pPr>
    </w:p>
    <w:p w14:paraId="0EA9130C">
      <w:pPr>
        <w:spacing w:line="430" w:lineRule="exact"/>
        <w:rPr>
          <w:rFonts w:hint="eastAsia" w:ascii="宋体" w:hAnsi="宋体" w:cs="宋体"/>
          <w:b/>
          <w:color w:val="auto"/>
          <w:sz w:val="24"/>
          <w:highlight w:val="none"/>
          <w:lang w:val="en-US" w:eastAsia="zh-CN"/>
        </w:rPr>
      </w:pPr>
    </w:p>
    <w:p w14:paraId="35EFC294">
      <w:pPr>
        <w:spacing w:line="430" w:lineRule="exact"/>
        <w:rPr>
          <w:rFonts w:hint="eastAsia" w:ascii="宋体" w:hAnsi="宋体" w:cs="宋体"/>
          <w:b/>
          <w:color w:val="auto"/>
          <w:sz w:val="24"/>
          <w:highlight w:val="none"/>
          <w:lang w:val="en-US" w:eastAsia="zh-CN"/>
        </w:rPr>
      </w:pPr>
    </w:p>
    <w:p w14:paraId="6C082E38">
      <w:pPr>
        <w:spacing w:line="430" w:lineRule="exact"/>
        <w:rPr>
          <w:rFonts w:hint="eastAsia" w:ascii="宋体" w:hAnsi="宋体" w:cs="宋体"/>
          <w:b/>
          <w:color w:val="auto"/>
          <w:sz w:val="24"/>
          <w:highlight w:val="none"/>
          <w:lang w:val="en-US" w:eastAsia="zh-CN"/>
        </w:rPr>
      </w:pPr>
    </w:p>
    <w:p w14:paraId="5D39FDD7">
      <w:pPr>
        <w:spacing w:line="430" w:lineRule="exact"/>
        <w:rPr>
          <w:rFonts w:hint="eastAsia" w:ascii="宋体" w:hAnsi="宋体" w:cs="宋体"/>
          <w:b/>
          <w:color w:val="auto"/>
          <w:sz w:val="24"/>
          <w:highlight w:val="none"/>
          <w:lang w:val="en-US" w:eastAsia="zh-CN"/>
        </w:rPr>
      </w:pPr>
    </w:p>
    <w:p w14:paraId="7191002A">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73" w:name="_Toc143"/>
      <w:r>
        <w:rPr>
          <w:rFonts w:hint="eastAsia" w:ascii="宋体" w:hAnsi="宋体"/>
          <w:bCs/>
          <w:color w:val="auto"/>
          <w:sz w:val="24"/>
          <w:highlight w:val="none"/>
          <w:lang w:val="en-US" w:eastAsia="zh-CN"/>
        </w:rPr>
        <w:t>附件十四：</w:t>
      </w:r>
      <w:bookmarkStart w:id="74" w:name="_Toc20267"/>
      <w:bookmarkStart w:id="75" w:name="_Toc31096"/>
      <w:r>
        <w:rPr>
          <w:rFonts w:hint="eastAsia" w:ascii="宋体" w:hAnsi="宋体"/>
          <w:bCs/>
          <w:color w:val="auto"/>
          <w:sz w:val="24"/>
          <w:highlight w:val="none"/>
          <w:lang w:val="en-US" w:eastAsia="zh-CN"/>
        </w:rPr>
        <w:t>拟投入本项目</w:t>
      </w:r>
      <w:bookmarkEnd w:id="74"/>
      <w:r>
        <w:rPr>
          <w:rFonts w:hint="eastAsia" w:ascii="宋体" w:hAnsi="宋体"/>
          <w:bCs/>
          <w:color w:val="auto"/>
          <w:sz w:val="24"/>
          <w:highlight w:val="none"/>
          <w:lang w:val="en-US" w:eastAsia="zh-CN"/>
        </w:rPr>
        <w:t>人员一览表</w:t>
      </w:r>
      <w:bookmarkEnd w:id="73"/>
      <w:bookmarkEnd w:id="75"/>
    </w:p>
    <w:p w14:paraId="0E5A927E">
      <w:pPr>
        <w:jc w:val="center"/>
        <w:rPr>
          <w:rFonts w:ascii="宋体" w:hAnsi="宋体"/>
          <w:b/>
          <w:color w:val="auto"/>
          <w:sz w:val="28"/>
          <w:szCs w:val="28"/>
          <w:highlight w:val="none"/>
        </w:rPr>
      </w:pPr>
      <w:r>
        <w:rPr>
          <w:rFonts w:ascii="宋体" w:hAnsi="宋体"/>
          <w:b/>
          <w:color w:val="auto"/>
          <w:sz w:val="28"/>
          <w:szCs w:val="28"/>
          <w:highlight w:val="none"/>
        </w:rPr>
        <w:t>拟投入本项目人员一览表</w:t>
      </w:r>
    </w:p>
    <w:p w14:paraId="69504292">
      <w:pPr>
        <w:rPr>
          <w:rFonts w:ascii="宋体" w:hAnsi="宋体"/>
          <w:b/>
          <w:color w:val="auto"/>
          <w:sz w:val="28"/>
          <w:szCs w:val="28"/>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磋商</w:t>
      </w:r>
      <w:r>
        <w:rPr>
          <w:rFonts w:hint="eastAsia" w:ascii="宋体" w:hAnsi="宋体"/>
          <w:color w:val="auto"/>
          <w:sz w:val="24"/>
          <w:highlight w:val="none"/>
        </w:rPr>
        <w:t>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080"/>
        <w:gridCol w:w="1440"/>
        <w:gridCol w:w="1620"/>
        <w:gridCol w:w="1458"/>
        <w:gridCol w:w="1505"/>
      </w:tblGrid>
      <w:tr w14:paraId="6FEF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Merge w:val="restart"/>
            <w:noWrap w:val="0"/>
            <w:vAlign w:val="center"/>
          </w:tcPr>
          <w:p w14:paraId="30FF5E49">
            <w:pPr>
              <w:jc w:val="center"/>
              <w:rPr>
                <w:rFonts w:ascii="宋体" w:hAnsi="宋体"/>
                <w:color w:val="auto"/>
                <w:szCs w:val="21"/>
                <w:highlight w:val="none"/>
              </w:rPr>
            </w:pPr>
            <w:r>
              <w:rPr>
                <w:rFonts w:hint="eastAsia" w:ascii="宋体" w:hAnsi="宋体"/>
                <w:color w:val="auto"/>
                <w:szCs w:val="21"/>
                <w:highlight w:val="none"/>
              </w:rPr>
              <w:t>在本项目任职岗位</w:t>
            </w:r>
          </w:p>
        </w:tc>
        <w:tc>
          <w:tcPr>
            <w:tcW w:w="1080" w:type="dxa"/>
            <w:vMerge w:val="restart"/>
            <w:noWrap w:val="0"/>
            <w:vAlign w:val="center"/>
          </w:tcPr>
          <w:p w14:paraId="43BD7C6A">
            <w:pPr>
              <w:jc w:val="center"/>
              <w:rPr>
                <w:rFonts w:ascii="宋体" w:hAnsi="宋体"/>
                <w:color w:val="auto"/>
                <w:szCs w:val="21"/>
                <w:highlight w:val="none"/>
              </w:rPr>
            </w:pPr>
            <w:r>
              <w:rPr>
                <w:rFonts w:hint="eastAsia" w:ascii="宋体" w:hAnsi="宋体"/>
                <w:color w:val="auto"/>
                <w:szCs w:val="21"/>
                <w:highlight w:val="none"/>
              </w:rPr>
              <w:t>姓名</w:t>
            </w:r>
          </w:p>
        </w:tc>
        <w:tc>
          <w:tcPr>
            <w:tcW w:w="1080" w:type="dxa"/>
            <w:vMerge w:val="restart"/>
            <w:noWrap w:val="0"/>
            <w:vAlign w:val="center"/>
          </w:tcPr>
          <w:p w14:paraId="2192EE8B">
            <w:pPr>
              <w:jc w:val="center"/>
              <w:rPr>
                <w:rFonts w:ascii="宋体" w:hAnsi="宋体"/>
                <w:color w:val="auto"/>
                <w:szCs w:val="21"/>
                <w:highlight w:val="none"/>
              </w:rPr>
            </w:pPr>
            <w:r>
              <w:rPr>
                <w:rFonts w:hint="eastAsia" w:ascii="宋体" w:hAnsi="宋体"/>
                <w:color w:val="auto"/>
                <w:szCs w:val="21"/>
                <w:highlight w:val="none"/>
              </w:rPr>
              <w:t>职称</w:t>
            </w:r>
          </w:p>
        </w:tc>
        <w:tc>
          <w:tcPr>
            <w:tcW w:w="4518" w:type="dxa"/>
            <w:gridSpan w:val="3"/>
            <w:noWrap w:val="0"/>
            <w:vAlign w:val="center"/>
          </w:tcPr>
          <w:p w14:paraId="5A58ACD3">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505" w:type="dxa"/>
            <w:vMerge w:val="restart"/>
            <w:noWrap w:val="0"/>
            <w:vAlign w:val="center"/>
          </w:tcPr>
          <w:p w14:paraId="7E3FBC3F">
            <w:pPr>
              <w:jc w:val="center"/>
              <w:rPr>
                <w:rFonts w:ascii="宋体" w:hAnsi="宋体"/>
                <w:color w:val="auto"/>
                <w:szCs w:val="21"/>
                <w:highlight w:val="none"/>
              </w:rPr>
            </w:pPr>
            <w:r>
              <w:rPr>
                <w:rFonts w:hint="eastAsia" w:ascii="宋体" w:hAnsi="宋体"/>
                <w:color w:val="auto"/>
                <w:szCs w:val="21"/>
                <w:highlight w:val="none"/>
              </w:rPr>
              <w:t>备注</w:t>
            </w:r>
          </w:p>
        </w:tc>
      </w:tr>
      <w:tr w14:paraId="31F5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Merge w:val="continue"/>
            <w:noWrap w:val="0"/>
            <w:vAlign w:val="top"/>
          </w:tcPr>
          <w:p w14:paraId="38EA1431">
            <w:pPr>
              <w:rPr>
                <w:rFonts w:ascii="宋体" w:hAnsi="宋体"/>
                <w:color w:val="auto"/>
                <w:szCs w:val="21"/>
                <w:highlight w:val="none"/>
              </w:rPr>
            </w:pPr>
          </w:p>
        </w:tc>
        <w:tc>
          <w:tcPr>
            <w:tcW w:w="1080" w:type="dxa"/>
            <w:vMerge w:val="continue"/>
            <w:noWrap w:val="0"/>
            <w:vAlign w:val="top"/>
          </w:tcPr>
          <w:p w14:paraId="02B91054">
            <w:pPr>
              <w:rPr>
                <w:rFonts w:ascii="宋体" w:hAnsi="宋体"/>
                <w:color w:val="auto"/>
                <w:szCs w:val="21"/>
                <w:highlight w:val="none"/>
              </w:rPr>
            </w:pPr>
          </w:p>
        </w:tc>
        <w:tc>
          <w:tcPr>
            <w:tcW w:w="1080" w:type="dxa"/>
            <w:vMerge w:val="continue"/>
            <w:noWrap w:val="0"/>
            <w:vAlign w:val="top"/>
          </w:tcPr>
          <w:p w14:paraId="3425082C">
            <w:pPr>
              <w:rPr>
                <w:rFonts w:ascii="宋体" w:hAnsi="宋体"/>
                <w:color w:val="auto"/>
                <w:szCs w:val="21"/>
                <w:highlight w:val="none"/>
              </w:rPr>
            </w:pPr>
          </w:p>
        </w:tc>
        <w:tc>
          <w:tcPr>
            <w:tcW w:w="1440" w:type="dxa"/>
            <w:noWrap w:val="0"/>
            <w:vAlign w:val="center"/>
          </w:tcPr>
          <w:p w14:paraId="134BEA63">
            <w:pPr>
              <w:jc w:val="center"/>
              <w:rPr>
                <w:rFonts w:ascii="宋体" w:hAnsi="宋体"/>
                <w:color w:val="auto"/>
                <w:szCs w:val="21"/>
                <w:highlight w:val="none"/>
              </w:rPr>
            </w:pPr>
            <w:r>
              <w:rPr>
                <w:rFonts w:hint="eastAsia" w:ascii="宋体" w:hAnsi="宋体"/>
                <w:color w:val="auto"/>
                <w:szCs w:val="21"/>
                <w:highlight w:val="none"/>
              </w:rPr>
              <w:t>证书名称</w:t>
            </w:r>
          </w:p>
        </w:tc>
        <w:tc>
          <w:tcPr>
            <w:tcW w:w="1620" w:type="dxa"/>
            <w:noWrap w:val="0"/>
            <w:vAlign w:val="center"/>
          </w:tcPr>
          <w:p w14:paraId="60B69DFF">
            <w:pPr>
              <w:jc w:val="center"/>
              <w:rPr>
                <w:rFonts w:ascii="宋体" w:hAnsi="宋体"/>
                <w:color w:val="auto"/>
                <w:szCs w:val="21"/>
                <w:highlight w:val="none"/>
              </w:rPr>
            </w:pPr>
            <w:r>
              <w:rPr>
                <w:rFonts w:hint="eastAsia" w:ascii="宋体" w:hAnsi="宋体"/>
                <w:color w:val="auto"/>
                <w:szCs w:val="21"/>
                <w:highlight w:val="none"/>
              </w:rPr>
              <w:t>级别</w:t>
            </w:r>
          </w:p>
        </w:tc>
        <w:tc>
          <w:tcPr>
            <w:tcW w:w="1458" w:type="dxa"/>
            <w:noWrap w:val="0"/>
            <w:vAlign w:val="center"/>
          </w:tcPr>
          <w:p w14:paraId="2C33BBB6">
            <w:pPr>
              <w:jc w:val="center"/>
              <w:rPr>
                <w:rFonts w:ascii="宋体" w:hAnsi="宋体"/>
                <w:color w:val="auto"/>
                <w:szCs w:val="21"/>
                <w:highlight w:val="none"/>
              </w:rPr>
            </w:pPr>
            <w:r>
              <w:rPr>
                <w:rFonts w:hint="eastAsia" w:ascii="宋体" w:hAnsi="宋体"/>
                <w:color w:val="auto"/>
                <w:szCs w:val="21"/>
                <w:highlight w:val="none"/>
              </w:rPr>
              <w:t>证号</w:t>
            </w:r>
          </w:p>
        </w:tc>
        <w:tc>
          <w:tcPr>
            <w:tcW w:w="1505" w:type="dxa"/>
            <w:vMerge w:val="continue"/>
            <w:noWrap w:val="0"/>
            <w:vAlign w:val="top"/>
          </w:tcPr>
          <w:p w14:paraId="6BB028A2">
            <w:pPr>
              <w:rPr>
                <w:rFonts w:ascii="宋体" w:hAnsi="宋体"/>
                <w:color w:val="auto"/>
                <w:szCs w:val="21"/>
                <w:highlight w:val="none"/>
              </w:rPr>
            </w:pPr>
          </w:p>
        </w:tc>
      </w:tr>
      <w:tr w14:paraId="1676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6CA77444">
            <w:pPr>
              <w:rPr>
                <w:rFonts w:ascii="宋体" w:hAnsi="宋体"/>
                <w:color w:val="auto"/>
                <w:szCs w:val="21"/>
                <w:highlight w:val="none"/>
              </w:rPr>
            </w:pPr>
          </w:p>
        </w:tc>
        <w:tc>
          <w:tcPr>
            <w:tcW w:w="1080" w:type="dxa"/>
            <w:noWrap w:val="0"/>
            <w:vAlign w:val="top"/>
          </w:tcPr>
          <w:p w14:paraId="10E33D03">
            <w:pPr>
              <w:rPr>
                <w:rFonts w:ascii="宋体" w:hAnsi="宋体"/>
                <w:color w:val="auto"/>
                <w:szCs w:val="21"/>
                <w:highlight w:val="none"/>
              </w:rPr>
            </w:pPr>
          </w:p>
        </w:tc>
        <w:tc>
          <w:tcPr>
            <w:tcW w:w="1080" w:type="dxa"/>
            <w:noWrap w:val="0"/>
            <w:vAlign w:val="top"/>
          </w:tcPr>
          <w:p w14:paraId="6AB1635D">
            <w:pPr>
              <w:rPr>
                <w:rFonts w:ascii="宋体" w:hAnsi="宋体"/>
                <w:color w:val="auto"/>
                <w:szCs w:val="21"/>
                <w:highlight w:val="none"/>
              </w:rPr>
            </w:pPr>
          </w:p>
        </w:tc>
        <w:tc>
          <w:tcPr>
            <w:tcW w:w="1440" w:type="dxa"/>
            <w:noWrap w:val="0"/>
            <w:vAlign w:val="top"/>
          </w:tcPr>
          <w:p w14:paraId="02AAD8F0">
            <w:pPr>
              <w:rPr>
                <w:rFonts w:ascii="宋体" w:hAnsi="宋体"/>
                <w:color w:val="auto"/>
                <w:szCs w:val="21"/>
                <w:highlight w:val="none"/>
              </w:rPr>
            </w:pPr>
          </w:p>
        </w:tc>
        <w:tc>
          <w:tcPr>
            <w:tcW w:w="1620" w:type="dxa"/>
            <w:noWrap w:val="0"/>
            <w:vAlign w:val="top"/>
          </w:tcPr>
          <w:p w14:paraId="40D44284">
            <w:pPr>
              <w:rPr>
                <w:rFonts w:ascii="宋体" w:hAnsi="宋体"/>
                <w:color w:val="auto"/>
                <w:szCs w:val="21"/>
                <w:highlight w:val="none"/>
              </w:rPr>
            </w:pPr>
          </w:p>
        </w:tc>
        <w:tc>
          <w:tcPr>
            <w:tcW w:w="1458" w:type="dxa"/>
            <w:noWrap w:val="0"/>
            <w:vAlign w:val="top"/>
          </w:tcPr>
          <w:p w14:paraId="0402B16E">
            <w:pPr>
              <w:rPr>
                <w:rFonts w:ascii="宋体" w:hAnsi="宋体"/>
                <w:color w:val="auto"/>
                <w:szCs w:val="21"/>
                <w:highlight w:val="none"/>
              </w:rPr>
            </w:pPr>
          </w:p>
        </w:tc>
        <w:tc>
          <w:tcPr>
            <w:tcW w:w="1505" w:type="dxa"/>
            <w:noWrap w:val="0"/>
            <w:vAlign w:val="top"/>
          </w:tcPr>
          <w:p w14:paraId="0AA78879">
            <w:pPr>
              <w:rPr>
                <w:rFonts w:ascii="宋体" w:hAnsi="宋体"/>
                <w:color w:val="auto"/>
                <w:szCs w:val="21"/>
                <w:highlight w:val="none"/>
              </w:rPr>
            </w:pPr>
          </w:p>
        </w:tc>
      </w:tr>
      <w:tr w14:paraId="6C56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1993DA8E">
            <w:pPr>
              <w:rPr>
                <w:rFonts w:ascii="宋体" w:hAnsi="宋体"/>
                <w:color w:val="auto"/>
                <w:szCs w:val="21"/>
                <w:highlight w:val="none"/>
              </w:rPr>
            </w:pPr>
          </w:p>
        </w:tc>
        <w:tc>
          <w:tcPr>
            <w:tcW w:w="1080" w:type="dxa"/>
            <w:noWrap w:val="0"/>
            <w:vAlign w:val="top"/>
          </w:tcPr>
          <w:p w14:paraId="23B257F7">
            <w:pPr>
              <w:rPr>
                <w:rFonts w:ascii="宋体" w:hAnsi="宋体"/>
                <w:color w:val="auto"/>
                <w:szCs w:val="21"/>
                <w:highlight w:val="none"/>
              </w:rPr>
            </w:pPr>
          </w:p>
        </w:tc>
        <w:tc>
          <w:tcPr>
            <w:tcW w:w="1080" w:type="dxa"/>
            <w:noWrap w:val="0"/>
            <w:vAlign w:val="top"/>
          </w:tcPr>
          <w:p w14:paraId="467DA2C5">
            <w:pPr>
              <w:rPr>
                <w:rFonts w:ascii="宋体" w:hAnsi="宋体"/>
                <w:color w:val="auto"/>
                <w:szCs w:val="21"/>
                <w:highlight w:val="none"/>
              </w:rPr>
            </w:pPr>
          </w:p>
        </w:tc>
        <w:tc>
          <w:tcPr>
            <w:tcW w:w="1440" w:type="dxa"/>
            <w:noWrap w:val="0"/>
            <w:vAlign w:val="top"/>
          </w:tcPr>
          <w:p w14:paraId="19767744">
            <w:pPr>
              <w:rPr>
                <w:rFonts w:ascii="宋体" w:hAnsi="宋体"/>
                <w:color w:val="auto"/>
                <w:szCs w:val="21"/>
                <w:highlight w:val="none"/>
              </w:rPr>
            </w:pPr>
          </w:p>
        </w:tc>
        <w:tc>
          <w:tcPr>
            <w:tcW w:w="1620" w:type="dxa"/>
            <w:noWrap w:val="0"/>
            <w:vAlign w:val="top"/>
          </w:tcPr>
          <w:p w14:paraId="266D561E">
            <w:pPr>
              <w:rPr>
                <w:rFonts w:ascii="宋体" w:hAnsi="宋体"/>
                <w:color w:val="auto"/>
                <w:szCs w:val="21"/>
                <w:highlight w:val="none"/>
              </w:rPr>
            </w:pPr>
          </w:p>
        </w:tc>
        <w:tc>
          <w:tcPr>
            <w:tcW w:w="1458" w:type="dxa"/>
            <w:noWrap w:val="0"/>
            <w:vAlign w:val="top"/>
          </w:tcPr>
          <w:p w14:paraId="74A3C424">
            <w:pPr>
              <w:rPr>
                <w:rFonts w:ascii="宋体" w:hAnsi="宋体"/>
                <w:color w:val="auto"/>
                <w:szCs w:val="21"/>
                <w:highlight w:val="none"/>
              </w:rPr>
            </w:pPr>
          </w:p>
        </w:tc>
        <w:tc>
          <w:tcPr>
            <w:tcW w:w="1505" w:type="dxa"/>
            <w:noWrap w:val="0"/>
            <w:vAlign w:val="top"/>
          </w:tcPr>
          <w:p w14:paraId="347D4466">
            <w:pPr>
              <w:rPr>
                <w:rFonts w:ascii="宋体" w:hAnsi="宋体"/>
                <w:color w:val="auto"/>
                <w:szCs w:val="21"/>
                <w:highlight w:val="none"/>
              </w:rPr>
            </w:pPr>
          </w:p>
        </w:tc>
      </w:tr>
      <w:tr w14:paraId="744B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0774869F">
            <w:pPr>
              <w:rPr>
                <w:rFonts w:ascii="宋体" w:hAnsi="宋体"/>
                <w:color w:val="auto"/>
                <w:szCs w:val="21"/>
                <w:highlight w:val="none"/>
              </w:rPr>
            </w:pPr>
          </w:p>
        </w:tc>
        <w:tc>
          <w:tcPr>
            <w:tcW w:w="1080" w:type="dxa"/>
            <w:noWrap w:val="0"/>
            <w:vAlign w:val="top"/>
          </w:tcPr>
          <w:p w14:paraId="7D9F2ABF">
            <w:pPr>
              <w:rPr>
                <w:rFonts w:ascii="宋体" w:hAnsi="宋体"/>
                <w:color w:val="auto"/>
                <w:szCs w:val="21"/>
                <w:highlight w:val="none"/>
              </w:rPr>
            </w:pPr>
          </w:p>
        </w:tc>
        <w:tc>
          <w:tcPr>
            <w:tcW w:w="1080" w:type="dxa"/>
            <w:noWrap w:val="0"/>
            <w:vAlign w:val="top"/>
          </w:tcPr>
          <w:p w14:paraId="3F8F2204">
            <w:pPr>
              <w:rPr>
                <w:rFonts w:ascii="宋体" w:hAnsi="宋体"/>
                <w:color w:val="auto"/>
                <w:szCs w:val="21"/>
                <w:highlight w:val="none"/>
              </w:rPr>
            </w:pPr>
          </w:p>
        </w:tc>
        <w:tc>
          <w:tcPr>
            <w:tcW w:w="1440" w:type="dxa"/>
            <w:noWrap w:val="0"/>
            <w:vAlign w:val="top"/>
          </w:tcPr>
          <w:p w14:paraId="225E7942">
            <w:pPr>
              <w:rPr>
                <w:rFonts w:ascii="宋体" w:hAnsi="宋体"/>
                <w:color w:val="auto"/>
                <w:szCs w:val="21"/>
                <w:highlight w:val="none"/>
              </w:rPr>
            </w:pPr>
          </w:p>
        </w:tc>
        <w:tc>
          <w:tcPr>
            <w:tcW w:w="1620" w:type="dxa"/>
            <w:noWrap w:val="0"/>
            <w:vAlign w:val="top"/>
          </w:tcPr>
          <w:p w14:paraId="15CCA225">
            <w:pPr>
              <w:rPr>
                <w:rFonts w:ascii="宋体" w:hAnsi="宋体"/>
                <w:color w:val="auto"/>
                <w:szCs w:val="21"/>
                <w:highlight w:val="none"/>
              </w:rPr>
            </w:pPr>
          </w:p>
        </w:tc>
        <w:tc>
          <w:tcPr>
            <w:tcW w:w="1458" w:type="dxa"/>
            <w:noWrap w:val="0"/>
            <w:vAlign w:val="top"/>
          </w:tcPr>
          <w:p w14:paraId="6E055233">
            <w:pPr>
              <w:rPr>
                <w:rFonts w:ascii="宋体" w:hAnsi="宋体"/>
                <w:color w:val="auto"/>
                <w:szCs w:val="21"/>
                <w:highlight w:val="none"/>
              </w:rPr>
            </w:pPr>
          </w:p>
        </w:tc>
        <w:tc>
          <w:tcPr>
            <w:tcW w:w="1505" w:type="dxa"/>
            <w:noWrap w:val="0"/>
            <w:vAlign w:val="top"/>
          </w:tcPr>
          <w:p w14:paraId="20B74212">
            <w:pPr>
              <w:rPr>
                <w:rFonts w:ascii="宋体" w:hAnsi="宋体"/>
                <w:color w:val="auto"/>
                <w:szCs w:val="21"/>
                <w:highlight w:val="none"/>
              </w:rPr>
            </w:pPr>
          </w:p>
        </w:tc>
      </w:tr>
      <w:tr w14:paraId="39AF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074A09E3">
            <w:pPr>
              <w:rPr>
                <w:rFonts w:ascii="宋体" w:hAnsi="宋体"/>
                <w:color w:val="auto"/>
                <w:szCs w:val="21"/>
                <w:highlight w:val="none"/>
              </w:rPr>
            </w:pPr>
          </w:p>
        </w:tc>
        <w:tc>
          <w:tcPr>
            <w:tcW w:w="1080" w:type="dxa"/>
            <w:noWrap w:val="0"/>
            <w:vAlign w:val="top"/>
          </w:tcPr>
          <w:p w14:paraId="466474D6">
            <w:pPr>
              <w:rPr>
                <w:rFonts w:ascii="宋体" w:hAnsi="宋体"/>
                <w:color w:val="auto"/>
                <w:szCs w:val="21"/>
                <w:highlight w:val="none"/>
              </w:rPr>
            </w:pPr>
          </w:p>
        </w:tc>
        <w:tc>
          <w:tcPr>
            <w:tcW w:w="1080" w:type="dxa"/>
            <w:noWrap w:val="0"/>
            <w:vAlign w:val="top"/>
          </w:tcPr>
          <w:p w14:paraId="715F51E3">
            <w:pPr>
              <w:rPr>
                <w:rFonts w:ascii="宋体" w:hAnsi="宋体"/>
                <w:color w:val="auto"/>
                <w:szCs w:val="21"/>
                <w:highlight w:val="none"/>
              </w:rPr>
            </w:pPr>
          </w:p>
        </w:tc>
        <w:tc>
          <w:tcPr>
            <w:tcW w:w="1440" w:type="dxa"/>
            <w:noWrap w:val="0"/>
            <w:vAlign w:val="top"/>
          </w:tcPr>
          <w:p w14:paraId="67932FFF">
            <w:pPr>
              <w:rPr>
                <w:rFonts w:ascii="宋体" w:hAnsi="宋体"/>
                <w:color w:val="auto"/>
                <w:szCs w:val="21"/>
                <w:highlight w:val="none"/>
              </w:rPr>
            </w:pPr>
          </w:p>
        </w:tc>
        <w:tc>
          <w:tcPr>
            <w:tcW w:w="1620" w:type="dxa"/>
            <w:noWrap w:val="0"/>
            <w:vAlign w:val="top"/>
          </w:tcPr>
          <w:p w14:paraId="6416E1C2">
            <w:pPr>
              <w:rPr>
                <w:rFonts w:ascii="宋体" w:hAnsi="宋体"/>
                <w:color w:val="auto"/>
                <w:szCs w:val="21"/>
                <w:highlight w:val="none"/>
              </w:rPr>
            </w:pPr>
          </w:p>
        </w:tc>
        <w:tc>
          <w:tcPr>
            <w:tcW w:w="1458" w:type="dxa"/>
            <w:noWrap w:val="0"/>
            <w:vAlign w:val="top"/>
          </w:tcPr>
          <w:p w14:paraId="19081B7D">
            <w:pPr>
              <w:rPr>
                <w:rFonts w:ascii="宋体" w:hAnsi="宋体"/>
                <w:color w:val="auto"/>
                <w:szCs w:val="21"/>
                <w:highlight w:val="none"/>
              </w:rPr>
            </w:pPr>
          </w:p>
        </w:tc>
        <w:tc>
          <w:tcPr>
            <w:tcW w:w="1505" w:type="dxa"/>
            <w:noWrap w:val="0"/>
            <w:vAlign w:val="top"/>
          </w:tcPr>
          <w:p w14:paraId="7B2E2F64">
            <w:pPr>
              <w:rPr>
                <w:rFonts w:ascii="宋体" w:hAnsi="宋体"/>
                <w:color w:val="auto"/>
                <w:szCs w:val="21"/>
                <w:highlight w:val="none"/>
              </w:rPr>
            </w:pPr>
          </w:p>
        </w:tc>
      </w:tr>
      <w:tr w14:paraId="7035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597FEBD9">
            <w:pPr>
              <w:rPr>
                <w:rFonts w:ascii="宋体" w:hAnsi="宋体"/>
                <w:color w:val="auto"/>
                <w:szCs w:val="21"/>
                <w:highlight w:val="none"/>
              </w:rPr>
            </w:pPr>
          </w:p>
        </w:tc>
        <w:tc>
          <w:tcPr>
            <w:tcW w:w="1080" w:type="dxa"/>
            <w:noWrap w:val="0"/>
            <w:vAlign w:val="top"/>
          </w:tcPr>
          <w:p w14:paraId="2DD20A5E">
            <w:pPr>
              <w:rPr>
                <w:rFonts w:ascii="宋体" w:hAnsi="宋体"/>
                <w:color w:val="auto"/>
                <w:szCs w:val="21"/>
                <w:highlight w:val="none"/>
              </w:rPr>
            </w:pPr>
          </w:p>
        </w:tc>
        <w:tc>
          <w:tcPr>
            <w:tcW w:w="1080" w:type="dxa"/>
            <w:noWrap w:val="0"/>
            <w:vAlign w:val="top"/>
          </w:tcPr>
          <w:p w14:paraId="33511F52">
            <w:pPr>
              <w:rPr>
                <w:rFonts w:ascii="宋体" w:hAnsi="宋体"/>
                <w:color w:val="auto"/>
                <w:szCs w:val="21"/>
                <w:highlight w:val="none"/>
              </w:rPr>
            </w:pPr>
          </w:p>
        </w:tc>
        <w:tc>
          <w:tcPr>
            <w:tcW w:w="1440" w:type="dxa"/>
            <w:noWrap w:val="0"/>
            <w:vAlign w:val="top"/>
          </w:tcPr>
          <w:p w14:paraId="7E03994D">
            <w:pPr>
              <w:rPr>
                <w:rFonts w:ascii="宋体" w:hAnsi="宋体"/>
                <w:color w:val="auto"/>
                <w:szCs w:val="21"/>
                <w:highlight w:val="none"/>
              </w:rPr>
            </w:pPr>
          </w:p>
        </w:tc>
        <w:tc>
          <w:tcPr>
            <w:tcW w:w="1620" w:type="dxa"/>
            <w:noWrap w:val="0"/>
            <w:vAlign w:val="top"/>
          </w:tcPr>
          <w:p w14:paraId="162E1484">
            <w:pPr>
              <w:rPr>
                <w:rFonts w:ascii="宋体" w:hAnsi="宋体"/>
                <w:color w:val="auto"/>
                <w:szCs w:val="21"/>
                <w:highlight w:val="none"/>
              </w:rPr>
            </w:pPr>
          </w:p>
        </w:tc>
        <w:tc>
          <w:tcPr>
            <w:tcW w:w="1458" w:type="dxa"/>
            <w:noWrap w:val="0"/>
            <w:vAlign w:val="top"/>
          </w:tcPr>
          <w:p w14:paraId="09D7000F">
            <w:pPr>
              <w:rPr>
                <w:rFonts w:ascii="宋体" w:hAnsi="宋体"/>
                <w:color w:val="auto"/>
                <w:szCs w:val="21"/>
                <w:highlight w:val="none"/>
              </w:rPr>
            </w:pPr>
          </w:p>
        </w:tc>
        <w:tc>
          <w:tcPr>
            <w:tcW w:w="1505" w:type="dxa"/>
            <w:noWrap w:val="0"/>
            <w:vAlign w:val="top"/>
          </w:tcPr>
          <w:p w14:paraId="74D92426">
            <w:pPr>
              <w:rPr>
                <w:rFonts w:ascii="宋体" w:hAnsi="宋体"/>
                <w:color w:val="auto"/>
                <w:szCs w:val="21"/>
                <w:highlight w:val="none"/>
              </w:rPr>
            </w:pPr>
          </w:p>
        </w:tc>
      </w:tr>
      <w:tr w14:paraId="18BF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1532561A">
            <w:pPr>
              <w:rPr>
                <w:rFonts w:ascii="宋体" w:hAnsi="宋体"/>
                <w:color w:val="auto"/>
                <w:szCs w:val="21"/>
                <w:highlight w:val="none"/>
              </w:rPr>
            </w:pPr>
          </w:p>
        </w:tc>
        <w:tc>
          <w:tcPr>
            <w:tcW w:w="1080" w:type="dxa"/>
            <w:noWrap w:val="0"/>
            <w:vAlign w:val="top"/>
          </w:tcPr>
          <w:p w14:paraId="7ED821F7">
            <w:pPr>
              <w:rPr>
                <w:rFonts w:ascii="宋体" w:hAnsi="宋体"/>
                <w:color w:val="auto"/>
                <w:szCs w:val="21"/>
                <w:highlight w:val="none"/>
              </w:rPr>
            </w:pPr>
          </w:p>
        </w:tc>
        <w:tc>
          <w:tcPr>
            <w:tcW w:w="1080" w:type="dxa"/>
            <w:noWrap w:val="0"/>
            <w:vAlign w:val="top"/>
          </w:tcPr>
          <w:p w14:paraId="073018E7">
            <w:pPr>
              <w:rPr>
                <w:rFonts w:ascii="宋体" w:hAnsi="宋体"/>
                <w:color w:val="auto"/>
                <w:szCs w:val="21"/>
                <w:highlight w:val="none"/>
              </w:rPr>
            </w:pPr>
          </w:p>
        </w:tc>
        <w:tc>
          <w:tcPr>
            <w:tcW w:w="1440" w:type="dxa"/>
            <w:noWrap w:val="0"/>
            <w:vAlign w:val="top"/>
          </w:tcPr>
          <w:p w14:paraId="2B19627A">
            <w:pPr>
              <w:rPr>
                <w:rFonts w:ascii="宋体" w:hAnsi="宋体"/>
                <w:color w:val="auto"/>
                <w:szCs w:val="21"/>
                <w:highlight w:val="none"/>
              </w:rPr>
            </w:pPr>
          </w:p>
        </w:tc>
        <w:tc>
          <w:tcPr>
            <w:tcW w:w="1620" w:type="dxa"/>
            <w:noWrap w:val="0"/>
            <w:vAlign w:val="top"/>
          </w:tcPr>
          <w:p w14:paraId="0925B8B9">
            <w:pPr>
              <w:rPr>
                <w:rFonts w:ascii="宋体" w:hAnsi="宋体"/>
                <w:color w:val="auto"/>
                <w:szCs w:val="21"/>
                <w:highlight w:val="none"/>
              </w:rPr>
            </w:pPr>
          </w:p>
        </w:tc>
        <w:tc>
          <w:tcPr>
            <w:tcW w:w="1458" w:type="dxa"/>
            <w:noWrap w:val="0"/>
            <w:vAlign w:val="top"/>
          </w:tcPr>
          <w:p w14:paraId="6D2F2C85">
            <w:pPr>
              <w:rPr>
                <w:rFonts w:ascii="宋体" w:hAnsi="宋体"/>
                <w:color w:val="auto"/>
                <w:szCs w:val="21"/>
                <w:highlight w:val="none"/>
              </w:rPr>
            </w:pPr>
          </w:p>
        </w:tc>
        <w:tc>
          <w:tcPr>
            <w:tcW w:w="1505" w:type="dxa"/>
            <w:noWrap w:val="0"/>
            <w:vAlign w:val="top"/>
          </w:tcPr>
          <w:p w14:paraId="26594B51">
            <w:pPr>
              <w:rPr>
                <w:rFonts w:ascii="宋体" w:hAnsi="宋体"/>
                <w:color w:val="auto"/>
                <w:szCs w:val="21"/>
                <w:highlight w:val="none"/>
              </w:rPr>
            </w:pPr>
          </w:p>
        </w:tc>
      </w:tr>
      <w:tr w14:paraId="5148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260" w:type="dxa"/>
            <w:noWrap w:val="0"/>
            <w:vAlign w:val="top"/>
          </w:tcPr>
          <w:p w14:paraId="12BA9A98">
            <w:pPr>
              <w:rPr>
                <w:rFonts w:ascii="宋体" w:hAnsi="宋体"/>
                <w:color w:val="auto"/>
                <w:szCs w:val="21"/>
                <w:highlight w:val="none"/>
              </w:rPr>
            </w:pPr>
          </w:p>
        </w:tc>
        <w:tc>
          <w:tcPr>
            <w:tcW w:w="1080" w:type="dxa"/>
            <w:noWrap w:val="0"/>
            <w:vAlign w:val="top"/>
          </w:tcPr>
          <w:p w14:paraId="01689964">
            <w:pPr>
              <w:rPr>
                <w:rFonts w:ascii="宋体" w:hAnsi="宋体"/>
                <w:color w:val="auto"/>
                <w:szCs w:val="21"/>
                <w:highlight w:val="none"/>
              </w:rPr>
            </w:pPr>
          </w:p>
        </w:tc>
        <w:tc>
          <w:tcPr>
            <w:tcW w:w="1080" w:type="dxa"/>
            <w:noWrap w:val="0"/>
            <w:vAlign w:val="top"/>
          </w:tcPr>
          <w:p w14:paraId="1CDF0FEB">
            <w:pPr>
              <w:rPr>
                <w:rFonts w:ascii="宋体" w:hAnsi="宋体"/>
                <w:color w:val="auto"/>
                <w:szCs w:val="21"/>
                <w:highlight w:val="none"/>
              </w:rPr>
            </w:pPr>
          </w:p>
        </w:tc>
        <w:tc>
          <w:tcPr>
            <w:tcW w:w="1440" w:type="dxa"/>
            <w:noWrap w:val="0"/>
            <w:vAlign w:val="top"/>
          </w:tcPr>
          <w:p w14:paraId="78E644EE">
            <w:pPr>
              <w:rPr>
                <w:rFonts w:ascii="宋体" w:hAnsi="宋体"/>
                <w:color w:val="auto"/>
                <w:szCs w:val="21"/>
                <w:highlight w:val="none"/>
              </w:rPr>
            </w:pPr>
          </w:p>
        </w:tc>
        <w:tc>
          <w:tcPr>
            <w:tcW w:w="1620" w:type="dxa"/>
            <w:noWrap w:val="0"/>
            <w:vAlign w:val="top"/>
          </w:tcPr>
          <w:p w14:paraId="1F609610">
            <w:pPr>
              <w:rPr>
                <w:rFonts w:ascii="宋体" w:hAnsi="宋体"/>
                <w:color w:val="auto"/>
                <w:szCs w:val="21"/>
                <w:highlight w:val="none"/>
              </w:rPr>
            </w:pPr>
          </w:p>
        </w:tc>
        <w:tc>
          <w:tcPr>
            <w:tcW w:w="1458" w:type="dxa"/>
            <w:noWrap w:val="0"/>
            <w:vAlign w:val="top"/>
          </w:tcPr>
          <w:p w14:paraId="0F036308">
            <w:pPr>
              <w:rPr>
                <w:rFonts w:ascii="宋体" w:hAnsi="宋体"/>
                <w:color w:val="auto"/>
                <w:szCs w:val="21"/>
                <w:highlight w:val="none"/>
              </w:rPr>
            </w:pPr>
          </w:p>
        </w:tc>
        <w:tc>
          <w:tcPr>
            <w:tcW w:w="1505" w:type="dxa"/>
            <w:noWrap w:val="0"/>
            <w:vAlign w:val="top"/>
          </w:tcPr>
          <w:p w14:paraId="7FBA473E">
            <w:pPr>
              <w:rPr>
                <w:rFonts w:ascii="宋体" w:hAnsi="宋体"/>
                <w:color w:val="auto"/>
                <w:szCs w:val="21"/>
                <w:highlight w:val="none"/>
              </w:rPr>
            </w:pPr>
          </w:p>
        </w:tc>
      </w:tr>
      <w:tr w14:paraId="17BC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15794957">
            <w:pPr>
              <w:rPr>
                <w:rFonts w:ascii="宋体" w:hAnsi="宋体"/>
                <w:color w:val="auto"/>
                <w:szCs w:val="21"/>
                <w:highlight w:val="none"/>
              </w:rPr>
            </w:pPr>
          </w:p>
        </w:tc>
        <w:tc>
          <w:tcPr>
            <w:tcW w:w="1080" w:type="dxa"/>
            <w:noWrap w:val="0"/>
            <w:vAlign w:val="top"/>
          </w:tcPr>
          <w:p w14:paraId="76F07B30">
            <w:pPr>
              <w:rPr>
                <w:rFonts w:ascii="宋体" w:hAnsi="宋体"/>
                <w:color w:val="auto"/>
                <w:szCs w:val="21"/>
                <w:highlight w:val="none"/>
              </w:rPr>
            </w:pPr>
          </w:p>
        </w:tc>
        <w:tc>
          <w:tcPr>
            <w:tcW w:w="1080" w:type="dxa"/>
            <w:noWrap w:val="0"/>
            <w:vAlign w:val="top"/>
          </w:tcPr>
          <w:p w14:paraId="6AF24AB4">
            <w:pPr>
              <w:rPr>
                <w:rFonts w:ascii="宋体" w:hAnsi="宋体"/>
                <w:color w:val="auto"/>
                <w:szCs w:val="21"/>
                <w:highlight w:val="none"/>
              </w:rPr>
            </w:pPr>
          </w:p>
        </w:tc>
        <w:tc>
          <w:tcPr>
            <w:tcW w:w="1440" w:type="dxa"/>
            <w:noWrap w:val="0"/>
            <w:vAlign w:val="top"/>
          </w:tcPr>
          <w:p w14:paraId="5F0CB03D">
            <w:pPr>
              <w:rPr>
                <w:rFonts w:ascii="宋体" w:hAnsi="宋体"/>
                <w:color w:val="auto"/>
                <w:szCs w:val="21"/>
                <w:highlight w:val="none"/>
              </w:rPr>
            </w:pPr>
          </w:p>
        </w:tc>
        <w:tc>
          <w:tcPr>
            <w:tcW w:w="1620" w:type="dxa"/>
            <w:noWrap w:val="0"/>
            <w:vAlign w:val="top"/>
          </w:tcPr>
          <w:p w14:paraId="73963658">
            <w:pPr>
              <w:rPr>
                <w:rFonts w:ascii="宋体" w:hAnsi="宋体"/>
                <w:color w:val="auto"/>
                <w:szCs w:val="21"/>
                <w:highlight w:val="none"/>
              </w:rPr>
            </w:pPr>
          </w:p>
        </w:tc>
        <w:tc>
          <w:tcPr>
            <w:tcW w:w="1458" w:type="dxa"/>
            <w:noWrap w:val="0"/>
            <w:vAlign w:val="top"/>
          </w:tcPr>
          <w:p w14:paraId="194BFBDF">
            <w:pPr>
              <w:rPr>
                <w:rFonts w:ascii="宋体" w:hAnsi="宋体"/>
                <w:color w:val="auto"/>
                <w:szCs w:val="21"/>
                <w:highlight w:val="none"/>
              </w:rPr>
            </w:pPr>
          </w:p>
        </w:tc>
        <w:tc>
          <w:tcPr>
            <w:tcW w:w="1505" w:type="dxa"/>
            <w:noWrap w:val="0"/>
            <w:vAlign w:val="top"/>
          </w:tcPr>
          <w:p w14:paraId="506B1A3F">
            <w:pPr>
              <w:rPr>
                <w:rFonts w:ascii="宋体" w:hAnsi="宋体"/>
                <w:color w:val="auto"/>
                <w:szCs w:val="21"/>
                <w:highlight w:val="none"/>
              </w:rPr>
            </w:pPr>
          </w:p>
        </w:tc>
      </w:tr>
      <w:tr w14:paraId="7A9E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39959D5D">
            <w:pPr>
              <w:rPr>
                <w:rFonts w:ascii="宋体" w:hAnsi="宋体"/>
                <w:color w:val="auto"/>
                <w:szCs w:val="21"/>
                <w:highlight w:val="none"/>
              </w:rPr>
            </w:pPr>
          </w:p>
        </w:tc>
        <w:tc>
          <w:tcPr>
            <w:tcW w:w="1080" w:type="dxa"/>
            <w:noWrap w:val="0"/>
            <w:vAlign w:val="top"/>
          </w:tcPr>
          <w:p w14:paraId="76ACB337">
            <w:pPr>
              <w:rPr>
                <w:rFonts w:ascii="宋体" w:hAnsi="宋体"/>
                <w:color w:val="auto"/>
                <w:szCs w:val="21"/>
                <w:highlight w:val="none"/>
              </w:rPr>
            </w:pPr>
          </w:p>
        </w:tc>
        <w:tc>
          <w:tcPr>
            <w:tcW w:w="1080" w:type="dxa"/>
            <w:noWrap w:val="0"/>
            <w:vAlign w:val="top"/>
          </w:tcPr>
          <w:p w14:paraId="4A931AEE">
            <w:pPr>
              <w:rPr>
                <w:rFonts w:ascii="宋体" w:hAnsi="宋体"/>
                <w:color w:val="auto"/>
                <w:szCs w:val="21"/>
                <w:highlight w:val="none"/>
              </w:rPr>
            </w:pPr>
          </w:p>
        </w:tc>
        <w:tc>
          <w:tcPr>
            <w:tcW w:w="1440" w:type="dxa"/>
            <w:noWrap w:val="0"/>
            <w:vAlign w:val="top"/>
          </w:tcPr>
          <w:p w14:paraId="188723B4">
            <w:pPr>
              <w:rPr>
                <w:rFonts w:ascii="宋体" w:hAnsi="宋体"/>
                <w:color w:val="auto"/>
                <w:szCs w:val="21"/>
                <w:highlight w:val="none"/>
              </w:rPr>
            </w:pPr>
          </w:p>
        </w:tc>
        <w:tc>
          <w:tcPr>
            <w:tcW w:w="1620" w:type="dxa"/>
            <w:noWrap w:val="0"/>
            <w:vAlign w:val="top"/>
          </w:tcPr>
          <w:p w14:paraId="4590EA3E">
            <w:pPr>
              <w:rPr>
                <w:rFonts w:ascii="宋体" w:hAnsi="宋体"/>
                <w:color w:val="auto"/>
                <w:szCs w:val="21"/>
                <w:highlight w:val="none"/>
              </w:rPr>
            </w:pPr>
          </w:p>
        </w:tc>
        <w:tc>
          <w:tcPr>
            <w:tcW w:w="1458" w:type="dxa"/>
            <w:noWrap w:val="0"/>
            <w:vAlign w:val="top"/>
          </w:tcPr>
          <w:p w14:paraId="46AB5006">
            <w:pPr>
              <w:rPr>
                <w:rFonts w:ascii="宋体" w:hAnsi="宋体"/>
                <w:color w:val="auto"/>
                <w:szCs w:val="21"/>
                <w:highlight w:val="none"/>
              </w:rPr>
            </w:pPr>
          </w:p>
        </w:tc>
        <w:tc>
          <w:tcPr>
            <w:tcW w:w="1505" w:type="dxa"/>
            <w:noWrap w:val="0"/>
            <w:vAlign w:val="top"/>
          </w:tcPr>
          <w:p w14:paraId="33614E0A">
            <w:pPr>
              <w:rPr>
                <w:rFonts w:ascii="宋体" w:hAnsi="宋体"/>
                <w:color w:val="auto"/>
                <w:szCs w:val="21"/>
                <w:highlight w:val="none"/>
              </w:rPr>
            </w:pPr>
          </w:p>
        </w:tc>
      </w:tr>
      <w:tr w14:paraId="157A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55DAA1A6">
            <w:pPr>
              <w:rPr>
                <w:rFonts w:ascii="宋体" w:hAnsi="宋体"/>
                <w:color w:val="auto"/>
                <w:szCs w:val="21"/>
                <w:highlight w:val="none"/>
              </w:rPr>
            </w:pPr>
          </w:p>
        </w:tc>
        <w:tc>
          <w:tcPr>
            <w:tcW w:w="1080" w:type="dxa"/>
            <w:noWrap w:val="0"/>
            <w:vAlign w:val="top"/>
          </w:tcPr>
          <w:p w14:paraId="35FC86BD">
            <w:pPr>
              <w:rPr>
                <w:rFonts w:ascii="宋体" w:hAnsi="宋体"/>
                <w:color w:val="auto"/>
                <w:szCs w:val="21"/>
                <w:highlight w:val="none"/>
              </w:rPr>
            </w:pPr>
          </w:p>
        </w:tc>
        <w:tc>
          <w:tcPr>
            <w:tcW w:w="1080" w:type="dxa"/>
            <w:noWrap w:val="0"/>
            <w:vAlign w:val="top"/>
          </w:tcPr>
          <w:p w14:paraId="61A9BD1D">
            <w:pPr>
              <w:rPr>
                <w:rFonts w:ascii="宋体" w:hAnsi="宋体"/>
                <w:color w:val="auto"/>
                <w:szCs w:val="21"/>
                <w:highlight w:val="none"/>
              </w:rPr>
            </w:pPr>
          </w:p>
        </w:tc>
        <w:tc>
          <w:tcPr>
            <w:tcW w:w="1440" w:type="dxa"/>
            <w:noWrap w:val="0"/>
            <w:vAlign w:val="top"/>
          </w:tcPr>
          <w:p w14:paraId="5B6938C7">
            <w:pPr>
              <w:rPr>
                <w:rFonts w:ascii="宋体" w:hAnsi="宋体"/>
                <w:color w:val="auto"/>
                <w:szCs w:val="21"/>
                <w:highlight w:val="none"/>
              </w:rPr>
            </w:pPr>
          </w:p>
        </w:tc>
        <w:tc>
          <w:tcPr>
            <w:tcW w:w="1620" w:type="dxa"/>
            <w:noWrap w:val="0"/>
            <w:vAlign w:val="top"/>
          </w:tcPr>
          <w:p w14:paraId="0A880101">
            <w:pPr>
              <w:rPr>
                <w:rFonts w:ascii="宋体" w:hAnsi="宋体"/>
                <w:color w:val="auto"/>
                <w:szCs w:val="21"/>
                <w:highlight w:val="none"/>
              </w:rPr>
            </w:pPr>
          </w:p>
        </w:tc>
        <w:tc>
          <w:tcPr>
            <w:tcW w:w="1458" w:type="dxa"/>
            <w:noWrap w:val="0"/>
            <w:vAlign w:val="top"/>
          </w:tcPr>
          <w:p w14:paraId="152EB179">
            <w:pPr>
              <w:rPr>
                <w:rFonts w:ascii="宋体" w:hAnsi="宋体"/>
                <w:color w:val="auto"/>
                <w:szCs w:val="21"/>
                <w:highlight w:val="none"/>
              </w:rPr>
            </w:pPr>
          </w:p>
        </w:tc>
        <w:tc>
          <w:tcPr>
            <w:tcW w:w="1505" w:type="dxa"/>
            <w:noWrap w:val="0"/>
            <w:vAlign w:val="top"/>
          </w:tcPr>
          <w:p w14:paraId="7CB70232">
            <w:pPr>
              <w:rPr>
                <w:rFonts w:ascii="宋体" w:hAnsi="宋体"/>
                <w:color w:val="auto"/>
                <w:szCs w:val="21"/>
                <w:highlight w:val="none"/>
              </w:rPr>
            </w:pPr>
          </w:p>
        </w:tc>
      </w:tr>
      <w:tr w14:paraId="655A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04C7973D">
            <w:pPr>
              <w:rPr>
                <w:rFonts w:ascii="宋体" w:hAnsi="宋体"/>
                <w:color w:val="auto"/>
                <w:szCs w:val="21"/>
                <w:highlight w:val="none"/>
              </w:rPr>
            </w:pPr>
          </w:p>
        </w:tc>
        <w:tc>
          <w:tcPr>
            <w:tcW w:w="1080" w:type="dxa"/>
            <w:noWrap w:val="0"/>
            <w:vAlign w:val="top"/>
          </w:tcPr>
          <w:p w14:paraId="6011CBEE">
            <w:pPr>
              <w:rPr>
                <w:rFonts w:ascii="宋体" w:hAnsi="宋体"/>
                <w:color w:val="auto"/>
                <w:szCs w:val="21"/>
                <w:highlight w:val="none"/>
              </w:rPr>
            </w:pPr>
          </w:p>
        </w:tc>
        <w:tc>
          <w:tcPr>
            <w:tcW w:w="1080" w:type="dxa"/>
            <w:noWrap w:val="0"/>
            <w:vAlign w:val="top"/>
          </w:tcPr>
          <w:p w14:paraId="0256909F">
            <w:pPr>
              <w:rPr>
                <w:rFonts w:ascii="宋体" w:hAnsi="宋体"/>
                <w:color w:val="auto"/>
                <w:szCs w:val="21"/>
                <w:highlight w:val="none"/>
              </w:rPr>
            </w:pPr>
          </w:p>
        </w:tc>
        <w:tc>
          <w:tcPr>
            <w:tcW w:w="1440" w:type="dxa"/>
            <w:noWrap w:val="0"/>
            <w:vAlign w:val="top"/>
          </w:tcPr>
          <w:p w14:paraId="01206E43">
            <w:pPr>
              <w:rPr>
                <w:rFonts w:ascii="宋体" w:hAnsi="宋体"/>
                <w:color w:val="auto"/>
                <w:szCs w:val="21"/>
                <w:highlight w:val="none"/>
              </w:rPr>
            </w:pPr>
          </w:p>
        </w:tc>
        <w:tc>
          <w:tcPr>
            <w:tcW w:w="1620" w:type="dxa"/>
            <w:noWrap w:val="0"/>
            <w:vAlign w:val="top"/>
          </w:tcPr>
          <w:p w14:paraId="6F2AF18A">
            <w:pPr>
              <w:rPr>
                <w:rFonts w:ascii="宋体" w:hAnsi="宋体"/>
                <w:color w:val="auto"/>
                <w:szCs w:val="21"/>
                <w:highlight w:val="none"/>
              </w:rPr>
            </w:pPr>
          </w:p>
        </w:tc>
        <w:tc>
          <w:tcPr>
            <w:tcW w:w="1458" w:type="dxa"/>
            <w:noWrap w:val="0"/>
            <w:vAlign w:val="top"/>
          </w:tcPr>
          <w:p w14:paraId="4D851595">
            <w:pPr>
              <w:rPr>
                <w:rFonts w:ascii="宋体" w:hAnsi="宋体"/>
                <w:color w:val="auto"/>
                <w:szCs w:val="21"/>
                <w:highlight w:val="none"/>
              </w:rPr>
            </w:pPr>
          </w:p>
        </w:tc>
        <w:tc>
          <w:tcPr>
            <w:tcW w:w="1505" w:type="dxa"/>
            <w:noWrap w:val="0"/>
            <w:vAlign w:val="top"/>
          </w:tcPr>
          <w:p w14:paraId="520F46C1">
            <w:pPr>
              <w:rPr>
                <w:rFonts w:ascii="宋体" w:hAnsi="宋体"/>
                <w:color w:val="auto"/>
                <w:szCs w:val="21"/>
                <w:highlight w:val="none"/>
              </w:rPr>
            </w:pPr>
          </w:p>
        </w:tc>
      </w:tr>
      <w:tr w14:paraId="6355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5F1A693E">
            <w:pPr>
              <w:rPr>
                <w:rFonts w:ascii="宋体" w:hAnsi="宋体"/>
                <w:color w:val="auto"/>
                <w:szCs w:val="21"/>
                <w:highlight w:val="none"/>
              </w:rPr>
            </w:pPr>
          </w:p>
        </w:tc>
        <w:tc>
          <w:tcPr>
            <w:tcW w:w="1080" w:type="dxa"/>
            <w:noWrap w:val="0"/>
            <w:vAlign w:val="top"/>
          </w:tcPr>
          <w:p w14:paraId="3F006125">
            <w:pPr>
              <w:rPr>
                <w:rFonts w:ascii="宋体" w:hAnsi="宋体"/>
                <w:color w:val="auto"/>
                <w:szCs w:val="21"/>
                <w:highlight w:val="none"/>
              </w:rPr>
            </w:pPr>
          </w:p>
        </w:tc>
        <w:tc>
          <w:tcPr>
            <w:tcW w:w="1080" w:type="dxa"/>
            <w:noWrap w:val="0"/>
            <w:vAlign w:val="top"/>
          </w:tcPr>
          <w:p w14:paraId="1BA5E173">
            <w:pPr>
              <w:rPr>
                <w:rFonts w:ascii="宋体" w:hAnsi="宋体"/>
                <w:color w:val="auto"/>
                <w:szCs w:val="21"/>
                <w:highlight w:val="none"/>
              </w:rPr>
            </w:pPr>
          </w:p>
        </w:tc>
        <w:tc>
          <w:tcPr>
            <w:tcW w:w="1440" w:type="dxa"/>
            <w:noWrap w:val="0"/>
            <w:vAlign w:val="top"/>
          </w:tcPr>
          <w:p w14:paraId="52815E96">
            <w:pPr>
              <w:rPr>
                <w:rFonts w:ascii="宋体" w:hAnsi="宋体"/>
                <w:color w:val="auto"/>
                <w:szCs w:val="21"/>
                <w:highlight w:val="none"/>
              </w:rPr>
            </w:pPr>
          </w:p>
        </w:tc>
        <w:tc>
          <w:tcPr>
            <w:tcW w:w="1620" w:type="dxa"/>
            <w:noWrap w:val="0"/>
            <w:vAlign w:val="top"/>
          </w:tcPr>
          <w:p w14:paraId="2758899C">
            <w:pPr>
              <w:rPr>
                <w:rFonts w:ascii="宋体" w:hAnsi="宋体"/>
                <w:color w:val="auto"/>
                <w:szCs w:val="21"/>
                <w:highlight w:val="none"/>
              </w:rPr>
            </w:pPr>
          </w:p>
        </w:tc>
        <w:tc>
          <w:tcPr>
            <w:tcW w:w="1458" w:type="dxa"/>
            <w:noWrap w:val="0"/>
            <w:vAlign w:val="top"/>
          </w:tcPr>
          <w:p w14:paraId="46647813">
            <w:pPr>
              <w:rPr>
                <w:rFonts w:ascii="宋体" w:hAnsi="宋体"/>
                <w:color w:val="auto"/>
                <w:szCs w:val="21"/>
                <w:highlight w:val="none"/>
              </w:rPr>
            </w:pPr>
          </w:p>
        </w:tc>
        <w:tc>
          <w:tcPr>
            <w:tcW w:w="1505" w:type="dxa"/>
            <w:noWrap w:val="0"/>
            <w:vAlign w:val="top"/>
          </w:tcPr>
          <w:p w14:paraId="5C76685A">
            <w:pPr>
              <w:rPr>
                <w:rFonts w:ascii="宋体" w:hAnsi="宋体"/>
                <w:color w:val="auto"/>
                <w:szCs w:val="21"/>
                <w:highlight w:val="none"/>
              </w:rPr>
            </w:pPr>
          </w:p>
        </w:tc>
      </w:tr>
    </w:tbl>
    <w:p w14:paraId="524A010C">
      <w:pPr>
        <w:rPr>
          <w:rFonts w:ascii="宋体" w:hAnsi="宋体"/>
          <w:color w:val="auto"/>
          <w:sz w:val="24"/>
          <w:szCs w:val="20"/>
          <w:highlight w:val="none"/>
        </w:rPr>
      </w:pPr>
      <w:r>
        <w:rPr>
          <w:rFonts w:hint="eastAsia" w:ascii="宋体" w:hAnsi="宋体"/>
          <w:color w:val="auto"/>
          <w:szCs w:val="21"/>
          <w:highlight w:val="none"/>
        </w:rPr>
        <w:t>注：本表后附各人员</w:t>
      </w:r>
      <w:r>
        <w:rPr>
          <w:rFonts w:hint="eastAsia"/>
          <w:color w:val="auto"/>
          <w:szCs w:val="21"/>
          <w:highlight w:val="none"/>
        </w:rPr>
        <w:t>相关资料</w:t>
      </w:r>
      <w:r>
        <w:rPr>
          <w:rFonts w:hint="eastAsia" w:ascii="宋体" w:hAnsi="宋体"/>
          <w:color w:val="auto"/>
          <w:szCs w:val="21"/>
          <w:highlight w:val="none"/>
        </w:rPr>
        <w:t>复印件。</w:t>
      </w:r>
    </w:p>
    <w:p w14:paraId="66F3C803">
      <w:pPr>
        <w:snapToGrid w:val="0"/>
        <w:spacing w:line="360" w:lineRule="auto"/>
        <w:ind w:firstLine="480"/>
        <w:rPr>
          <w:rFonts w:ascii="宋体" w:hAnsi="宋体"/>
          <w:color w:val="auto"/>
          <w:sz w:val="24"/>
          <w:highlight w:val="none"/>
        </w:rPr>
      </w:pPr>
    </w:p>
    <w:p w14:paraId="206C9059">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hint="eastAsia" w:ascii="宋体" w:hAnsi="宋体"/>
          <w:color w:val="auto"/>
          <w:spacing w:val="20"/>
          <w:sz w:val="24"/>
          <w:highlight w:val="none"/>
          <w:u w:val="single"/>
        </w:rPr>
        <w:t xml:space="preserve">            </w:t>
      </w:r>
    </w:p>
    <w:p w14:paraId="0697334F">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供应商全称（盖章）：</w:t>
      </w:r>
      <w:r>
        <w:rPr>
          <w:rFonts w:hint="eastAsia" w:ascii="宋体" w:hAnsi="宋体"/>
          <w:color w:val="auto"/>
          <w:spacing w:val="20"/>
          <w:sz w:val="24"/>
          <w:highlight w:val="none"/>
          <w:u w:val="single"/>
        </w:rPr>
        <w:t xml:space="preserve">                    </w:t>
      </w:r>
    </w:p>
    <w:p w14:paraId="56389C3D">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F17F801">
      <w:pPr>
        <w:snapToGrid w:val="0"/>
        <w:ind w:firstLine="470" w:firstLineChars="196"/>
        <w:jc w:val="left"/>
        <w:rPr>
          <w:rFonts w:ascii="宋体" w:hAnsi="宋体"/>
          <w:color w:val="auto"/>
          <w:sz w:val="24"/>
          <w:highlight w:val="none"/>
        </w:rPr>
      </w:pPr>
    </w:p>
    <w:p w14:paraId="41A1407B">
      <w:pPr>
        <w:spacing w:line="430" w:lineRule="exact"/>
        <w:rPr>
          <w:rFonts w:hint="eastAsia" w:ascii="宋体" w:hAnsi="宋体" w:cs="宋体"/>
          <w:b/>
          <w:color w:val="auto"/>
          <w:sz w:val="24"/>
          <w:highlight w:val="none"/>
          <w:lang w:val="en-US" w:eastAsia="zh-CN"/>
        </w:rPr>
      </w:pPr>
    </w:p>
    <w:p w14:paraId="4BF9C479">
      <w:pPr>
        <w:spacing w:line="430" w:lineRule="exact"/>
        <w:rPr>
          <w:rFonts w:hint="eastAsia" w:ascii="宋体" w:hAnsi="宋体" w:cs="宋体"/>
          <w:b/>
          <w:color w:val="auto"/>
          <w:sz w:val="24"/>
          <w:highlight w:val="none"/>
          <w:lang w:val="en-US" w:eastAsia="zh-CN"/>
        </w:rPr>
      </w:pPr>
    </w:p>
    <w:p w14:paraId="5738EA82">
      <w:pPr>
        <w:spacing w:line="430" w:lineRule="exact"/>
        <w:rPr>
          <w:rFonts w:hint="eastAsia" w:ascii="宋体" w:hAnsi="宋体" w:cs="宋体"/>
          <w:b/>
          <w:color w:val="auto"/>
          <w:sz w:val="24"/>
          <w:highlight w:val="none"/>
          <w:lang w:val="en-US" w:eastAsia="zh-CN"/>
        </w:rPr>
      </w:pPr>
    </w:p>
    <w:p w14:paraId="2FD1DFDC">
      <w:pPr>
        <w:spacing w:line="430" w:lineRule="exact"/>
        <w:rPr>
          <w:rFonts w:hint="eastAsia" w:ascii="宋体" w:hAnsi="宋体" w:cs="宋体"/>
          <w:b/>
          <w:color w:val="auto"/>
          <w:sz w:val="24"/>
          <w:highlight w:val="none"/>
          <w:lang w:val="en-US" w:eastAsia="zh-CN"/>
        </w:rPr>
      </w:pPr>
    </w:p>
    <w:p w14:paraId="6F5DD68B">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76" w:name="_Toc10587"/>
      <w:bookmarkStart w:id="77" w:name="_Toc15951"/>
      <w:r>
        <w:rPr>
          <w:rFonts w:hint="eastAsia" w:ascii="宋体" w:hAnsi="宋体"/>
          <w:bCs/>
          <w:color w:val="auto"/>
          <w:sz w:val="24"/>
          <w:highlight w:val="none"/>
          <w:lang w:val="en-US" w:eastAsia="zh-CN"/>
        </w:rPr>
        <w:t>附件十五：安全</w:t>
      </w:r>
      <w:r>
        <w:rPr>
          <w:rFonts w:hint="default" w:ascii="宋体" w:hAnsi="宋体"/>
          <w:bCs/>
          <w:color w:val="auto"/>
          <w:sz w:val="24"/>
          <w:highlight w:val="none"/>
          <w:lang w:val="en-US" w:eastAsia="zh-CN"/>
        </w:rPr>
        <w:t>承诺</w:t>
      </w:r>
    </w:p>
    <w:p w14:paraId="334F4590">
      <w:pPr>
        <w:snapToGrid w:val="0"/>
        <w:spacing w:before="50" w:after="156" w:afterLines="50"/>
        <w:jc w:val="left"/>
        <w:rPr>
          <w:b/>
          <w:bCs/>
          <w:sz w:val="24"/>
          <w:highlight w:val="none"/>
        </w:rPr>
      </w:pPr>
    </w:p>
    <w:p w14:paraId="627715C1">
      <w:pPr>
        <w:widowControl/>
        <w:snapToGrid/>
        <w:spacing w:before="100" w:beforeAutospacing="1" w:after="190" w:afterLines="0"/>
        <w:jc w:val="center"/>
        <w:rPr>
          <w:rFonts w:hint="default" w:ascii="Arial" w:hAnsi="Arial" w:eastAsia="宋体" w:cs="Arial"/>
          <w:b/>
          <w:bCs/>
          <w:color w:val="auto"/>
          <w:kern w:val="0"/>
          <w:sz w:val="30"/>
          <w:szCs w:val="30"/>
          <w:highlight w:val="none"/>
          <w:lang w:val="en-US"/>
        </w:rPr>
      </w:pPr>
      <w:r>
        <w:rPr>
          <w:rFonts w:hint="eastAsia" w:ascii="Arial" w:hAnsi="Arial" w:cs="Arial"/>
          <w:b/>
          <w:bCs/>
          <w:color w:val="auto"/>
          <w:kern w:val="0"/>
          <w:sz w:val="30"/>
          <w:szCs w:val="30"/>
          <w:highlight w:val="none"/>
          <w:lang w:val="en-US" w:eastAsia="zh-CN"/>
        </w:rPr>
        <w:t>安全</w:t>
      </w:r>
      <w:r>
        <w:rPr>
          <w:rFonts w:hint="default" w:ascii="Arial" w:hAnsi="Arial" w:eastAsia="宋体" w:cs="Arial"/>
          <w:b/>
          <w:bCs/>
          <w:color w:val="auto"/>
          <w:kern w:val="0"/>
          <w:sz w:val="30"/>
          <w:szCs w:val="30"/>
          <w:highlight w:val="none"/>
          <w:lang w:val="en-US" w:eastAsia="zh-CN"/>
        </w:rPr>
        <w:t>承诺</w:t>
      </w:r>
      <w:r>
        <w:rPr>
          <w:rFonts w:hint="eastAsia" w:ascii="Arial" w:hAnsi="Arial" w:cs="Arial"/>
          <w:b/>
          <w:bCs/>
          <w:color w:val="auto"/>
          <w:kern w:val="0"/>
          <w:sz w:val="30"/>
          <w:szCs w:val="30"/>
          <w:highlight w:val="none"/>
          <w:lang w:val="en-US" w:eastAsia="zh-CN"/>
        </w:rPr>
        <w:t>书</w:t>
      </w:r>
    </w:p>
    <w:p w14:paraId="1BF3B31F">
      <w:pPr>
        <w:widowControl/>
        <w:spacing w:before="100" w:beforeAutospacing="1" w:after="190" w:line="480" w:lineRule="auto"/>
        <w:jc w:val="left"/>
        <w:rPr>
          <w:rFonts w:ascii="Arial" w:hAnsi="Arial" w:cs="Arial"/>
          <w:b/>
          <w:kern w:val="0"/>
          <w:sz w:val="24"/>
          <w:highlight w:val="none"/>
        </w:rPr>
      </w:pPr>
      <w:r>
        <w:rPr>
          <w:rFonts w:hint="eastAsia" w:ascii="Arial" w:hAnsi="Arial" w:cs="Arial"/>
          <w:b/>
          <w:kern w:val="0"/>
          <w:sz w:val="24"/>
          <w:highlight w:val="none"/>
          <w:u w:val="single"/>
          <w:lang w:eastAsia="zh-CN"/>
        </w:rPr>
        <w:t>东阳市画水镇画溪初级中学</w:t>
      </w:r>
      <w:r>
        <w:rPr>
          <w:rFonts w:ascii="Arial" w:hAnsi="Arial" w:cs="Arial"/>
          <w:b/>
          <w:kern w:val="0"/>
          <w:sz w:val="24"/>
          <w:highlight w:val="none"/>
        </w:rPr>
        <w:t>：</w:t>
      </w:r>
    </w:p>
    <w:p w14:paraId="6549D4BB">
      <w:pPr>
        <w:spacing w:line="480" w:lineRule="auto"/>
        <w:ind w:firstLine="480" w:firstLineChars="200"/>
        <w:rPr>
          <w:sz w:val="24"/>
          <w:highlight w:val="none"/>
        </w:rPr>
      </w:pPr>
      <w:r>
        <w:rPr>
          <w:kern w:val="0"/>
          <w:sz w:val="24"/>
          <w:highlight w:val="none"/>
        </w:rPr>
        <w:t>我公司自愿参与贵</w:t>
      </w:r>
      <w:r>
        <w:rPr>
          <w:rFonts w:hint="eastAsia"/>
          <w:kern w:val="0"/>
          <w:sz w:val="24"/>
          <w:highlight w:val="none"/>
          <w:lang w:val="en-US" w:eastAsia="zh-CN"/>
        </w:rPr>
        <w:t>单位</w:t>
      </w:r>
      <w:r>
        <w:rPr>
          <w:kern w:val="0"/>
          <w:sz w:val="24"/>
          <w:highlight w:val="none"/>
        </w:rPr>
        <w:t>的</w:t>
      </w:r>
      <w:r>
        <w:rPr>
          <w:rFonts w:hint="eastAsia"/>
          <w:b/>
          <w:bCs/>
          <w:kern w:val="0"/>
          <w:sz w:val="24"/>
          <w:highlight w:val="none"/>
          <w:u w:val="single"/>
        </w:rPr>
        <w:t xml:space="preserve"> </w:t>
      </w:r>
      <w:r>
        <w:rPr>
          <w:rFonts w:hint="eastAsia"/>
          <w:b/>
          <w:bCs/>
          <w:kern w:val="0"/>
          <w:sz w:val="24"/>
          <w:highlight w:val="none"/>
          <w:u w:val="single"/>
          <w:lang w:val="en-US" w:eastAsia="zh-CN"/>
        </w:rPr>
        <w:t>画溪初中食堂及周边道路改造项目</w:t>
      </w:r>
      <w:r>
        <w:rPr>
          <w:rFonts w:hint="eastAsia"/>
          <w:b/>
          <w:kern w:val="0"/>
          <w:sz w:val="24"/>
          <w:highlight w:val="none"/>
          <w:u w:val="single"/>
        </w:rPr>
        <w:t>（招标编号：</w:t>
      </w:r>
      <w:r>
        <w:rPr>
          <w:rFonts w:hint="eastAsia"/>
          <w:b/>
          <w:kern w:val="0"/>
          <w:sz w:val="24"/>
          <w:highlight w:val="none"/>
          <w:u w:val="single"/>
          <w:lang w:val="en-US" w:eastAsia="zh-CN"/>
        </w:rPr>
        <w:t>JHZZGC2025-003</w:t>
      </w:r>
      <w:r>
        <w:rPr>
          <w:rFonts w:hint="eastAsia"/>
          <w:b/>
          <w:kern w:val="0"/>
          <w:sz w:val="24"/>
          <w:highlight w:val="none"/>
          <w:u w:val="single"/>
        </w:rPr>
        <w:t>）</w:t>
      </w:r>
      <w:r>
        <w:rPr>
          <w:kern w:val="0"/>
          <w:sz w:val="24"/>
          <w:highlight w:val="none"/>
        </w:rPr>
        <w:t>采购活动</w:t>
      </w:r>
      <w:r>
        <w:rPr>
          <w:rFonts w:hint="eastAsia"/>
          <w:kern w:val="0"/>
          <w:sz w:val="24"/>
          <w:highlight w:val="none"/>
          <w:lang w:eastAsia="zh-CN"/>
        </w:rPr>
        <w:t>，</w:t>
      </w:r>
      <w:r>
        <w:rPr>
          <w:sz w:val="24"/>
          <w:highlight w:val="none"/>
        </w:rPr>
        <w:t>郑重承诺：如</w:t>
      </w:r>
      <w:r>
        <w:rPr>
          <w:rFonts w:hint="eastAsia"/>
          <w:sz w:val="24"/>
          <w:highlight w:val="none"/>
          <w:lang w:val="en-US" w:eastAsia="zh-CN"/>
        </w:rPr>
        <w:t>我公司有幸中标</w:t>
      </w:r>
      <w:r>
        <w:rPr>
          <w:sz w:val="24"/>
          <w:highlight w:val="none"/>
        </w:rPr>
        <w:t>，</w:t>
      </w:r>
      <w:r>
        <w:rPr>
          <w:rFonts w:hint="eastAsia"/>
          <w:sz w:val="24"/>
          <w:highlight w:val="none"/>
          <w:lang w:val="en-US" w:eastAsia="zh-CN"/>
        </w:rPr>
        <w:t>一定按招标文件要求</w:t>
      </w:r>
      <w:r>
        <w:rPr>
          <w:rFonts w:hint="eastAsia" w:ascii="宋体" w:hAnsi="宋体" w:eastAsia="宋体" w:cs="宋体"/>
          <w:b/>
          <w:bCs/>
          <w:spacing w:val="0"/>
          <w:sz w:val="24"/>
          <w:szCs w:val="24"/>
          <w:highlight w:val="none"/>
          <w:lang w:eastAsia="zh-CN"/>
        </w:rPr>
        <w:t>组织有相当</w:t>
      </w:r>
      <w:r>
        <w:rPr>
          <w:rFonts w:hint="eastAsia" w:ascii="宋体" w:hAnsi="宋体" w:eastAsia="宋体" w:cs="宋体"/>
          <w:b/>
          <w:bCs/>
          <w:spacing w:val="0"/>
          <w:sz w:val="24"/>
          <w:szCs w:val="24"/>
          <w:highlight w:val="none"/>
          <w:lang w:val="en-US" w:eastAsia="zh-CN"/>
        </w:rPr>
        <w:t>改造</w:t>
      </w:r>
      <w:r>
        <w:rPr>
          <w:rFonts w:hint="eastAsia" w:ascii="宋体" w:hAnsi="宋体" w:eastAsia="宋体" w:cs="宋体"/>
          <w:b/>
          <w:bCs/>
          <w:spacing w:val="0"/>
          <w:sz w:val="24"/>
          <w:szCs w:val="24"/>
          <w:highlight w:val="none"/>
          <w:lang w:eastAsia="zh-CN"/>
        </w:rPr>
        <w:t>技能的服务人员</w:t>
      </w:r>
      <w:r>
        <w:rPr>
          <w:rFonts w:hint="eastAsia" w:ascii="宋体" w:hAnsi="宋体" w:eastAsia="宋体" w:cs="宋体"/>
          <w:b/>
          <w:bCs/>
          <w:spacing w:val="0"/>
          <w:sz w:val="24"/>
          <w:szCs w:val="24"/>
          <w:highlight w:val="none"/>
        </w:rPr>
        <w:t>，且</w:t>
      </w:r>
      <w:r>
        <w:rPr>
          <w:rFonts w:hint="eastAsia" w:ascii="宋体" w:hAnsi="宋体" w:eastAsia="宋体" w:cs="宋体"/>
          <w:b/>
          <w:bCs/>
          <w:spacing w:val="0"/>
          <w:sz w:val="24"/>
          <w:szCs w:val="24"/>
          <w:highlight w:val="none"/>
          <w:lang w:val="en-US" w:eastAsia="zh-CN"/>
        </w:rPr>
        <w:t>承诺对投入项目现场的相关人员投保相关人身意外伤害等险种</w:t>
      </w:r>
      <w:r>
        <w:rPr>
          <w:rFonts w:hint="eastAsia" w:ascii="宋体" w:hAnsi="宋体" w:eastAsia="宋体" w:cs="宋体"/>
          <w:b/>
          <w:bCs/>
          <w:spacing w:val="0"/>
          <w:sz w:val="24"/>
          <w:szCs w:val="24"/>
          <w:highlight w:val="none"/>
        </w:rPr>
        <w:t>，保额不低于</w:t>
      </w:r>
      <w:r>
        <w:rPr>
          <w:rFonts w:hint="eastAsia" w:ascii="宋体" w:hAnsi="宋体" w:cs="宋体"/>
          <w:b/>
          <w:bCs/>
          <w:spacing w:val="0"/>
          <w:sz w:val="24"/>
          <w:szCs w:val="24"/>
          <w:highlight w:val="none"/>
          <w:lang w:val="en-US" w:eastAsia="zh-CN"/>
        </w:rPr>
        <w:t>100</w:t>
      </w:r>
      <w:r>
        <w:rPr>
          <w:rFonts w:hint="eastAsia" w:ascii="宋体" w:hAnsi="宋体" w:eastAsia="宋体" w:cs="宋体"/>
          <w:b/>
          <w:bCs/>
          <w:spacing w:val="0"/>
          <w:sz w:val="24"/>
          <w:szCs w:val="24"/>
          <w:highlight w:val="none"/>
        </w:rPr>
        <w:t>万</w:t>
      </w:r>
      <w:r>
        <w:rPr>
          <w:rFonts w:hint="eastAsia" w:ascii="宋体" w:hAnsi="宋体" w:eastAsia="宋体" w:cs="宋体"/>
          <w:b/>
          <w:bCs/>
          <w:color w:val="auto"/>
          <w:spacing w:val="0"/>
          <w:sz w:val="24"/>
          <w:szCs w:val="24"/>
          <w:highlight w:val="none"/>
        </w:rPr>
        <w:t>元</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在接受单个整</w:t>
      </w:r>
      <w:r>
        <w:rPr>
          <w:rFonts w:hint="eastAsia" w:ascii="宋体" w:hAnsi="宋体" w:cs="宋体"/>
          <w:b/>
          <w:bCs/>
          <w:color w:val="auto"/>
          <w:spacing w:val="0"/>
          <w:sz w:val="24"/>
          <w:szCs w:val="24"/>
          <w:highlight w:val="none"/>
          <w:lang w:val="en-US" w:eastAsia="zh-CN"/>
        </w:rPr>
        <w:t>改</w:t>
      </w:r>
      <w:r>
        <w:rPr>
          <w:rFonts w:hint="eastAsia" w:ascii="宋体" w:hAnsi="宋体" w:eastAsia="宋体" w:cs="宋体"/>
          <w:b/>
          <w:bCs/>
          <w:color w:val="auto"/>
          <w:spacing w:val="0"/>
          <w:sz w:val="24"/>
          <w:szCs w:val="24"/>
          <w:highlight w:val="none"/>
          <w:lang w:val="en-US" w:eastAsia="zh-CN"/>
        </w:rPr>
        <w:t>项目前将相关人员的投保保单复印件（加盖本公司公章）交到贵单位。若违反此项承诺，我公司</w:t>
      </w:r>
      <w:r>
        <w:rPr>
          <w:sz w:val="24"/>
          <w:highlight w:val="none"/>
        </w:rPr>
        <w:t>愿接受</w:t>
      </w:r>
      <w:r>
        <w:rPr>
          <w:rFonts w:hint="eastAsia"/>
          <w:sz w:val="24"/>
          <w:highlight w:val="none"/>
          <w:lang w:val="en-US" w:eastAsia="zh-CN"/>
        </w:rPr>
        <w:t>采购人及</w:t>
      </w:r>
      <w:r>
        <w:rPr>
          <w:sz w:val="24"/>
          <w:highlight w:val="none"/>
        </w:rPr>
        <w:t>政府采购监管等部门给予相关处罚并承担法律责任。</w:t>
      </w:r>
    </w:p>
    <w:p w14:paraId="20BB0EAB">
      <w:pPr>
        <w:snapToGrid w:val="0"/>
        <w:spacing w:before="50" w:after="156" w:afterLines="50" w:line="480" w:lineRule="auto"/>
        <w:jc w:val="left"/>
        <w:rPr>
          <w:b/>
          <w:sz w:val="24"/>
          <w:highlight w:val="none"/>
        </w:rPr>
      </w:pPr>
    </w:p>
    <w:p w14:paraId="0FFB35F8">
      <w:pPr>
        <w:spacing w:line="480" w:lineRule="auto"/>
        <w:ind w:firstLine="5760" w:firstLineChars="2400"/>
        <w:rPr>
          <w:sz w:val="24"/>
          <w:highlight w:val="none"/>
        </w:rPr>
      </w:pPr>
      <w:r>
        <w:rPr>
          <w:rFonts w:hint="eastAsia"/>
          <w:sz w:val="24"/>
          <w:highlight w:val="none"/>
          <w:lang w:val="en-US" w:eastAsia="zh-CN"/>
        </w:rPr>
        <w:t>承诺人</w:t>
      </w:r>
      <w:r>
        <w:rPr>
          <w:rFonts w:hint="eastAsia"/>
          <w:sz w:val="24"/>
          <w:highlight w:val="none"/>
        </w:rPr>
        <w:t>：</w:t>
      </w:r>
      <w:r>
        <w:rPr>
          <w:rFonts w:hint="eastAsia"/>
          <w:sz w:val="24"/>
          <w:highlight w:val="none"/>
          <w:lang w:val="en-US" w:eastAsia="zh-CN"/>
        </w:rPr>
        <w:t xml:space="preserve">   </w:t>
      </w:r>
      <w:r>
        <w:rPr>
          <w:sz w:val="24"/>
          <w:highlight w:val="none"/>
        </w:rPr>
        <w:t>（公司名称</w:t>
      </w:r>
      <w:r>
        <w:rPr>
          <w:rFonts w:hint="eastAsia"/>
          <w:sz w:val="24"/>
          <w:highlight w:val="none"/>
          <w:lang w:val="en-US" w:eastAsia="zh-CN"/>
        </w:rPr>
        <w:t>并</w:t>
      </w:r>
      <w:r>
        <w:rPr>
          <w:sz w:val="24"/>
          <w:highlight w:val="none"/>
        </w:rPr>
        <w:t>盖章）</w:t>
      </w:r>
    </w:p>
    <w:p w14:paraId="168253C7">
      <w:pPr>
        <w:spacing w:line="480" w:lineRule="auto"/>
        <w:ind w:firstLine="5760" w:firstLineChars="2400"/>
        <w:rPr>
          <w:rFonts w:ascii="宋体" w:hAnsi="宋体"/>
          <w:b/>
          <w:sz w:val="24"/>
          <w:highlight w:val="none"/>
        </w:rPr>
      </w:pPr>
      <w:r>
        <w:rPr>
          <w:sz w:val="24"/>
          <w:highlight w:val="none"/>
        </w:rPr>
        <w:t>年</w:t>
      </w:r>
      <w:r>
        <w:rPr>
          <w:rFonts w:hint="eastAsia"/>
          <w:sz w:val="24"/>
          <w:highlight w:val="none"/>
          <w:lang w:val="en-US" w:eastAsia="zh-CN"/>
        </w:rPr>
        <w:t xml:space="preserve">  </w:t>
      </w:r>
      <w:r>
        <w:rPr>
          <w:sz w:val="24"/>
          <w:highlight w:val="none"/>
        </w:rPr>
        <w:t xml:space="preserve"> 月 日</w:t>
      </w:r>
    </w:p>
    <w:p w14:paraId="0F5072AC">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附件十六：同类项目业绩</w:t>
      </w:r>
      <w:bookmarkEnd w:id="76"/>
      <w:bookmarkEnd w:id="77"/>
    </w:p>
    <w:p w14:paraId="649B6CE2">
      <w:pPr>
        <w:widowControl/>
        <w:jc w:val="left"/>
        <w:rPr>
          <w:rFonts w:ascii="宋体" w:hAnsi="宋体" w:cs="宋体"/>
          <w:color w:val="auto"/>
          <w:kern w:val="0"/>
          <w:sz w:val="24"/>
          <w:szCs w:val="20"/>
          <w:highlight w:val="none"/>
        </w:rPr>
      </w:pPr>
    </w:p>
    <w:p w14:paraId="4EF575B3">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同类项目业绩</w:t>
      </w:r>
    </w:p>
    <w:p w14:paraId="2B7F97B5">
      <w:pPr>
        <w:outlineLvl w:val="9"/>
        <w:rPr>
          <w:color w:val="auto"/>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11B4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noWrap w:val="0"/>
            <w:vAlign w:val="center"/>
          </w:tcPr>
          <w:p w14:paraId="1EFCC077">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noWrap w:val="0"/>
            <w:vAlign w:val="center"/>
          </w:tcPr>
          <w:p w14:paraId="739B1BA3">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4D9C2A5A">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noWrap w:val="0"/>
            <w:vAlign w:val="center"/>
          </w:tcPr>
          <w:p w14:paraId="1B23D36C">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noWrap w:val="0"/>
            <w:vAlign w:val="center"/>
          </w:tcPr>
          <w:p w14:paraId="56B99938">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1876FB9D">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7272F37C">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noWrap w:val="0"/>
            <w:vAlign w:val="center"/>
          </w:tcPr>
          <w:p w14:paraId="209A0575">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noWrap w:val="0"/>
            <w:vAlign w:val="center"/>
          </w:tcPr>
          <w:p w14:paraId="2F2E8FD2">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noWrap w:val="0"/>
            <w:vAlign w:val="center"/>
          </w:tcPr>
          <w:p w14:paraId="5E800F5A">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7531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noWrap w:val="0"/>
            <w:vAlign w:val="center"/>
          </w:tcPr>
          <w:p w14:paraId="7E2F224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6D69597B">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9F9FBE2">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D7D9582">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F6F77F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36686429">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422260CF">
            <w:pPr>
              <w:autoSpaceDE w:val="0"/>
              <w:autoSpaceDN w:val="0"/>
              <w:adjustRightInd w:val="0"/>
              <w:spacing w:line="360" w:lineRule="auto"/>
              <w:jc w:val="center"/>
              <w:rPr>
                <w:rFonts w:ascii="宋体" w:hAnsi="宋体" w:cs="宋体"/>
                <w:color w:val="auto"/>
                <w:sz w:val="24"/>
                <w:highlight w:val="none"/>
                <w:lang w:val="zh-CN"/>
              </w:rPr>
            </w:pPr>
          </w:p>
        </w:tc>
      </w:tr>
      <w:tr w14:paraId="6743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noWrap w:val="0"/>
            <w:vAlign w:val="center"/>
          </w:tcPr>
          <w:p w14:paraId="4A6E2E85">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66C6C99">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0F6485F">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1FD90BB3">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35516F07">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0273B25C">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139CDC42">
            <w:pPr>
              <w:autoSpaceDE w:val="0"/>
              <w:autoSpaceDN w:val="0"/>
              <w:adjustRightInd w:val="0"/>
              <w:spacing w:line="360" w:lineRule="auto"/>
              <w:jc w:val="center"/>
              <w:rPr>
                <w:rFonts w:ascii="宋体" w:hAnsi="宋体" w:cs="宋体"/>
                <w:color w:val="auto"/>
                <w:sz w:val="24"/>
                <w:highlight w:val="none"/>
                <w:lang w:val="zh-CN"/>
              </w:rPr>
            </w:pPr>
          </w:p>
        </w:tc>
      </w:tr>
      <w:tr w14:paraId="300D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noWrap w:val="0"/>
            <w:vAlign w:val="center"/>
          </w:tcPr>
          <w:p w14:paraId="73051618">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A8646E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9AFAB3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2619A5B">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CF8D49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4C2800B">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5D0DE3FB">
            <w:pPr>
              <w:autoSpaceDE w:val="0"/>
              <w:autoSpaceDN w:val="0"/>
              <w:adjustRightInd w:val="0"/>
              <w:spacing w:line="360" w:lineRule="auto"/>
              <w:jc w:val="center"/>
              <w:rPr>
                <w:rFonts w:ascii="宋体" w:hAnsi="宋体" w:cs="宋体"/>
                <w:color w:val="auto"/>
                <w:sz w:val="24"/>
                <w:highlight w:val="none"/>
                <w:lang w:val="zh-CN"/>
              </w:rPr>
            </w:pPr>
          </w:p>
        </w:tc>
      </w:tr>
      <w:tr w14:paraId="41F0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noWrap w:val="0"/>
            <w:vAlign w:val="center"/>
          </w:tcPr>
          <w:p w14:paraId="1FF7A558">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33FB4DA3">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CAC247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D7D84D9">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184E1D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07A6EAF5">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000C1941">
            <w:pPr>
              <w:autoSpaceDE w:val="0"/>
              <w:autoSpaceDN w:val="0"/>
              <w:adjustRightInd w:val="0"/>
              <w:spacing w:line="360" w:lineRule="auto"/>
              <w:jc w:val="center"/>
              <w:rPr>
                <w:rFonts w:ascii="宋体" w:hAnsi="宋体" w:cs="宋体"/>
                <w:color w:val="auto"/>
                <w:sz w:val="24"/>
                <w:highlight w:val="none"/>
                <w:lang w:val="zh-CN"/>
              </w:rPr>
            </w:pPr>
          </w:p>
        </w:tc>
      </w:tr>
      <w:tr w14:paraId="76DF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noWrap w:val="0"/>
            <w:vAlign w:val="center"/>
          </w:tcPr>
          <w:p w14:paraId="6172FF45">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612597FB">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063E0598">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49EA3AE">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0842402">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EC89533">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4A07FB41">
            <w:pPr>
              <w:autoSpaceDE w:val="0"/>
              <w:autoSpaceDN w:val="0"/>
              <w:adjustRightInd w:val="0"/>
              <w:spacing w:line="360" w:lineRule="auto"/>
              <w:jc w:val="center"/>
              <w:rPr>
                <w:rFonts w:ascii="宋体" w:hAnsi="宋体" w:cs="宋体"/>
                <w:color w:val="auto"/>
                <w:sz w:val="24"/>
                <w:highlight w:val="none"/>
                <w:lang w:val="zh-CN"/>
              </w:rPr>
            </w:pPr>
          </w:p>
        </w:tc>
      </w:tr>
      <w:tr w14:paraId="4DB1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noWrap w:val="0"/>
            <w:vAlign w:val="center"/>
          </w:tcPr>
          <w:p w14:paraId="43906D43">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A4BFB71">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0597EB4">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952C63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437E4A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1B43BC35">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35E498F6">
            <w:pPr>
              <w:autoSpaceDE w:val="0"/>
              <w:autoSpaceDN w:val="0"/>
              <w:adjustRightInd w:val="0"/>
              <w:spacing w:line="360" w:lineRule="auto"/>
              <w:jc w:val="center"/>
              <w:rPr>
                <w:rFonts w:ascii="宋体" w:hAnsi="宋体" w:cs="宋体"/>
                <w:color w:val="auto"/>
                <w:sz w:val="24"/>
                <w:highlight w:val="none"/>
                <w:lang w:val="zh-CN"/>
              </w:rPr>
            </w:pPr>
          </w:p>
        </w:tc>
      </w:tr>
    </w:tbl>
    <w:p w14:paraId="09C7C086">
      <w:pPr>
        <w:snapToGrid w:val="0"/>
        <w:spacing w:line="360" w:lineRule="auto"/>
        <w:rPr>
          <w:rFonts w:ascii="宋体" w:hAnsi="宋体" w:cs="宋体"/>
          <w:b/>
          <w:color w:val="auto"/>
          <w:szCs w:val="21"/>
          <w:highlight w:val="none"/>
        </w:rPr>
      </w:pPr>
    </w:p>
    <w:p w14:paraId="2D040ED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注：1、各供应商可以根据各自业绩量准备充分的表格，此页后须附证明材料。</w:t>
      </w:r>
    </w:p>
    <w:p w14:paraId="25FFDB1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2、供应商须真实仔细地填写本表格。</w:t>
      </w:r>
    </w:p>
    <w:p w14:paraId="56BD711B">
      <w:pPr>
        <w:widowControl/>
        <w:jc w:val="left"/>
        <w:rPr>
          <w:rFonts w:ascii="宋体" w:hAnsi="宋体" w:cs="宋体"/>
          <w:color w:val="auto"/>
          <w:kern w:val="0"/>
          <w:sz w:val="24"/>
          <w:szCs w:val="20"/>
          <w:highlight w:val="none"/>
        </w:rPr>
      </w:pPr>
    </w:p>
    <w:p w14:paraId="186BAD9B">
      <w:pPr>
        <w:widowControl/>
        <w:jc w:val="left"/>
        <w:rPr>
          <w:rFonts w:ascii="宋体" w:hAnsi="宋体" w:cs="宋体"/>
          <w:color w:val="auto"/>
          <w:kern w:val="0"/>
          <w:sz w:val="24"/>
          <w:szCs w:val="20"/>
          <w:highlight w:val="none"/>
        </w:rPr>
      </w:pPr>
    </w:p>
    <w:p w14:paraId="2DF0F6F0">
      <w:pPr>
        <w:widowControl/>
        <w:jc w:val="left"/>
        <w:rPr>
          <w:rFonts w:ascii="宋体" w:hAnsi="宋体" w:cs="宋体"/>
          <w:color w:val="auto"/>
          <w:kern w:val="0"/>
          <w:sz w:val="24"/>
          <w:szCs w:val="20"/>
          <w:highlight w:val="none"/>
        </w:rPr>
      </w:pPr>
    </w:p>
    <w:p w14:paraId="61A0671D">
      <w:pPr>
        <w:pStyle w:val="12"/>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供应商（单位盖章）：</w:t>
      </w:r>
    </w:p>
    <w:p w14:paraId="59C66468">
      <w:pPr>
        <w:pStyle w:val="12"/>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1D4606D8">
      <w:pPr>
        <w:spacing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587571B5">
      <w:pPr>
        <w:widowControl/>
        <w:jc w:val="left"/>
        <w:rPr>
          <w:rFonts w:ascii="宋体" w:hAnsi="宋体" w:cs="宋体"/>
          <w:color w:val="auto"/>
          <w:kern w:val="0"/>
          <w:sz w:val="24"/>
          <w:szCs w:val="20"/>
          <w:highlight w:val="none"/>
        </w:rPr>
      </w:pPr>
    </w:p>
    <w:p w14:paraId="124D3058">
      <w:pPr>
        <w:spacing w:line="430" w:lineRule="exact"/>
        <w:rPr>
          <w:rFonts w:hint="eastAsia" w:ascii="宋体" w:hAnsi="宋体" w:cs="宋体"/>
          <w:b/>
          <w:color w:val="auto"/>
          <w:sz w:val="24"/>
          <w:highlight w:val="none"/>
          <w:lang w:val="en-US" w:eastAsia="zh-CN"/>
        </w:rPr>
      </w:pPr>
    </w:p>
    <w:p w14:paraId="0A8F5365">
      <w:pPr>
        <w:spacing w:line="430" w:lineRule="exact"/>
        <w:rPr>
          <w:rFonts w:hint="eastAsia" w:ascii="宋体" w:hAnsi="宋体" w:cs="宋体"/>
          <w:b/>
          <w:color w:val="auto"/>
          <w:sz w:val="24"/>
          <w:highlight w:val="none"/>
          <w:lang w:val="en-US" w:eastAsia="zh-CN"/>
        </w:rPr>
      </w:pPr>
    </w:p>
    <w:p w14:paraId="19EED0FD">
      <w:pPr>
        <w:spacing w:line="430" w:lineRule="exact"/>
        <w:rPr>
          <w:rFonts w:hint="eastAsia" w:ascii="宋体" w:hAnsi="宋体" w:cs="宋体"/>
          <w:b/>
          <w:color w:val="auto"/>
          <w:sz w:val="24"/>
          <w:highlight w:val="none"/>
          <w:lang w:val="en-US" w:eastAsia="zh-CN"/>
        </w:rPr>
      </w:pPr>
    </w:p>
    <w:p w14:paraId="5A609545">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78" w:name="_Toc26142"/>
      <w:bookmarkStart w:id="79" w:name="_Toc10463"/>
      <w:bookmarkStart w:id="80" w:name="_Toc16028"/>
      <w:bookmarkStart w:id="81" w:name="_Toc834"/>
      <w:r>
        <w:rPr>
          <w:rFonts w:hint="eastAsia" w:ascii="宋体" w:hAnsi="宋体"/>
          <w:bCs/>
          <w:color w:val="auto"/>
          <w:sz w:val="24"/>
          <w:highlight w:val="none"/>
          <w:lang w:val="en-US" w:eastAsia="zh-CN"/>
        </w:rPr>
        <w:t>附件十七：安全生产及其他承诺函</w:t>
      </w:r>
      <w:bookmarkEnd w:id="78"/>
      <w:bookmarkEnd w:id="79"/>
      <w:bookmarkEnd w:id="80"/>
      <w:bookmarkEnd w:id="81"/>
    </w:p>
    <w:p w14:paraId="369991A9">
      <w:pPr>
        <w:snapToGrid w:val="0"/>
        <w:spacing w:before="50" w:afterLines="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安全生产及其他承诺函</w:t>
      </w:r>
    </w:p>
    <w:p w14:paraId="08221AF7">
      <w:pPr>
        <w:snapToGrid w:val="0"/>
        <w:spacing w:before="50" w:afterLines="50"/>
        <w:jc w:val="left"/>
        <w:rPr>
          <w:rFonts w:hint="eastAsia" w:ascii="宋体" w:hAnsi="宋体" w:cs="宋体"/>
          <w:b/>
          <w:color w:val="auto"/>
          <w:sz w:val="24"/>
          <w:highlight w:val="none"/>
        </w:rPr>
      </w:pPr>
    </w:p>
    <w:p w14:paraId="352F6DD6">
      <w:pPr>
        <w:spacing w:line="360" w:lineRule="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致：</w:t>
      </w:r>
      <w:r>
        <w:rPr>
          <w:rFonts w:hint="eastAsia" w:ascii="宋体" w:hAnsi="宋体" w:cs="宋体"/>
          <w:color w:val="auto"/>
          <w:sz w:val="28"/>
          <w:szCs w:val="28"/>
          <w:highlight w:val="none"/>
          <w:u w:val="single"/>
          <w:lang w:val="en-US" w:eastAsia="zh-CN"/>
        </w:rPr>
        <w:t xml:space="preserve">                </w:t>
      </w:r>
      <w:r>
        <w:rPr>
          <w:rFonts w:hint="eastAsia" w:ascii="宋体" w:hAnsi="宋体"/>
          <w:color w:val="auto"/>
          <w:sz w:val="22"/>
          <w:szCs w:val="22"/>
          <w:highlight w:val="none"/>
        </w:rPr>
        <w:t>（</w:t>
      </w:r>
      <w:r>
        <w:rPr>
          <w:rFonts w:hint="eastAsia" w:ascii="宋体" w:hAnsi="宋体"/>
          <w:color w:val="auto"/>
          <w:sz w:val="24"/>
          <w:szCs w:val="24"/>
          <w:highlight w:val="none"/>
        </w:rPr>
        <w:t>招标</w:t>
      </w:r>
      <w:r>
        <w:rPr>
          <w:rFonts w:hint="eastAsia" w:ascii="宋体" w:hAnsi="宋体"/>
          <w:sz w:val="24"/>
          <w:szCs w:val="24"/>
          <w:highlight w:val="none"/>
        </w:rPr>
        <w:t>采购单位名称）</w:t>
      </w:r>
      <w:r>
        <w:rPr>
          <w:rFonts w:hint="eastAsia" w:ascii="宋体" w:hAnsi="宋体"/>
          <w:sz w:val="24"/>
          <w:szCs w:val="24"/>
          <w:highlight w:val="none"/>
          <w:lang w:eastAsia="zh-CN"/>
        </w:rPr>
        <w:t>：</w:t>
      </w:r>
    </w:p>
    <w:p w14:paraId="39C345CA">
      <w:pPr>
        <w:spacing w:line="360" w:lineRule="auto"/>
        <w:ind w:firstLine="560" w:firstLineChars="200"/>
        <w:rPr>
          <w:rFonts w:hint="eastAsia" w:ascii="宋体" w:hAnsi="宋体" w:cs="宋体"/>
          <w:color w:val="auto"/>
          <w:sz w:val="28"/>
          <w:szCs w:val="28"/>
          <w:highlight w:val="none"/>
        </w:rPr>
      </w:pPr>
      <w:r>
        <w:rPr>
          <w:rFonts w:hint="eastAsia" w:ascii="宋体" w:hAnsi="宋体"/>
          <w:color w:val="auto"/>
          <w:sz w:val="28"/>
          <w:szCs w:val="28"/>
          <w:highlight w:val="none"/>
        </w:rPr>
        <w:t>根据贵方</w:t>
      </w:r>
      <w:r>
        <w:rPr>
          <w:rFonts w:hint="eastAsia" w:ascii="宋体" w:hAnsi="宋体"/>
          <w:color w:val="auto"/>
          <w:sz w:val="28"/>
          <w:szCs w:val="28"/>
          <w:highlight w:val="none"/>
          <w:u w:val="single"/>
        </w:rPr>
        <w:t xml:space="preserve">                        项目</w:t>
      </w:r>
      <w:r>
        <w:rPr>
          <w:rFonts w:hint="eastAsia" w:ascii="宋体" w:hAnsi="宋体"/>
          <w:color w:val="auto"/>
          <w:sz w:val="28"/>
          <w:szCs w:val="28"/>
          <w:highlight w:val="none"/>
          <w:lang w:val="en-US" w:eastAsia="zh-CN"/>
        </w:rPr>
        <w:t>磋商</w:t>
      </w:r>
      <w:r>
        <w:rPr>
          <w:rFonts w:hint="eastAsia" w:ascii="宋体" w:hAnsi="宋体"/>
          <w:color w:val="auto"/>
          <w:sz w:val="28"/>
          <w:szCs w:val="28"/>
          <w:highlight w:val="none"/>
        </w:rPr>
        <w:t>公告（项目编号：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），签字代表</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（全名）经正式授权并代表</w:t>
      </w: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rPr>
        <w:t>名称）作出如下承诺：</w:t>
      </w:r>
    </w:p>
    <w:p w14:paraId="31862843">
      <w:pPr>
        <w:spacing w:line="360" w:lineRule="auto"/>
        <w:ind w:firstLine="560" w:firstLineChars="200"/>
        <w:rPr>
          <w:rFonts w:hint="eastAsia" w:ascii="宋体" w:hAnsi="宋体"/>
          <w:color w:val="auto"/>
          <w:sz w:val="28"/>
          <w:szCs w:val="28"/>
          <w:highlight w:val="none"/>
        </w:rPr>
      </w:pPr>
    </w:p>
    <w:p w14:paraId="0E2BD29B">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（1）我方承诺本项目在验收合格前所发生的一切经济、安全及其他责任事故以及验收合格后因</w:t>
      </w:r>
      <w:r>
        <w:rPr>
          <w:rFonts w:hint="eastAsia" w:ascii="宋体" w:hAnsi="宋体"/>
          <w:color w:val="auto"/>
          <w:sz w:val="28"/>
          <w:szCs w:val="28"/>
          <w:highlight w:val="none"/>
          <w:lang w:val="en-US" w:eastAsia="zh-CN"/>
        </w:rPr>
        <w:t>中标人</w:t>
      </w:r>
      <w:r>
        <w:rPr>
          <w:rFonts w:hint="eastAsia" w:ascii="宋体" w:hAnsi="宋体"/>
          <w:color w:val="auto"/>
          <w:sz w:val="28"/>
          <w:szCs w:val="28"/>
          <w:highlight w:val="none"/>
        </w:rPr>
        <w:t>原因导致的一切事故及损失均由我公司承担，与采购人无关。</w:t>
      </w:r>
    </w:p>
    <w:p w14:paraId="36A5FE43">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（2）工期按</w:t>
      </w:r>
      <w:r>
        <w:rPr>
          <w:rFonts w:hint="eastAsia" w:ascii="宋体" w:hAnsi="宋体"/>
          <w:color w:val="auto"/>
          <w:sz w:val="28"/>
          <w:szCs w:val="28"/>
          <w:highlight w:val="none"/>
          <w:lang w:val="en-US" w:eastAsia="zh-CN"/>
        </w:rPr>
        <w:t>招标</w:t>
      </w:r>
      <w:r>
        <w:rPr>
          <w:rFonts w:hint="eastAsia" w:ascii="宋体" w:hAnsi="宋体"/>
          <w:color w:val="auto"/>
          <w:sz w:val="28"/>
          <w:szCs w:val="28"/>
          <w:highlight w:val="none"/>
        </w:rPr>
        <w:t>文件规定实行，如工期延误的，由我公司承担全部损失。</w:t>
      </w:r>
    </w:p>
    <w:p w14:paraId="1C83FDB8">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（3）在施工过程中产生的垃圾，由我公司清运、处置。</w:t>
      </w:r>
    </w:p>
    <w:p w14:paraId="5BB5470E">
      <w:pPr>
        <w:rPr>
          <w:rFonts w:hint="eastAsia" w:ascii="宋体" w:hAnsi="宋体" w:cs="宋体"/>
          <w:color w:val="auto"/>
          <w:sz w:val="28"/>
          <w:szCs w:val="28"/>
          <w:highlight w:val="none"/>
        </w:rPr>
      </w:pPr>
    </w:p>
    <w:p w14:paraId="5AEF75B8">
      <w:pPr>
        <w:spacing w:line="360" w:lineRule="auto"/>
        <w:rPr>
          <w:rFonts w:hint="eastAsia" w:ascii="宋体" w:hAnsi="宋体" w:cs="宋体"/>
          <w:color w:val="auto"/>
          <w:sz w:val="28"/>
          <w:szCs w:val="28"/>
          <w:highlight w:val="none"/>
        </w:rPr>
      </w:pPr>
    </w:p>
    <w:p w14:paraId="61A0CFB2">
      <w:pPr>
        <w:spacing w:line="360" w:lineRule="auto"/>
        <w:ind w:firstLine="560" w:firstLineChars="200"/>
        <w:rPr>
          <w:rFonts w:hint="eastAsia" w:ascii="宋体" w:hAnsi="宋体"/>
          <w:color w:val="auto"/>
          <w:sz w:val="28"/>
          <w:szCs w:val="28"/>
          <w:highlight w:val="none"/>
        </w:rPr>
      </w:pPr>
    </w:p>
    <w:p w14:paraId="26509838">
      <w:pPr>
        <w:spacing w:line="360" w:lineRule="auto"/>
        <w:ind w:firstLine="3920" w:firstLineChars="1400"/>
        <w:rPr>
          <w:rFonts w:hint="eastAsia" w:ascii="宋体" w:hAnsi="宋体"/>
          <w:color w:val="auto"/>
          <w:sz w:val="28"/>
          <w:szCs w:val="28"/>
          <w:highlight w:val="none"/>
        </w:rPr>
      </w:pP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rPr>
        <w:t>（单位盖章）：</w:t>
      </w:r>
    </w:p>
    <w:p w14:paraId="6CB1529F">
      <w:pPr>
        <w:spacing w:line="360" w:lineRule="auto"/>
        <w:ind w:firstLine="3920" w:firstLineChars="1400"/>
        <w:rPr>
          <w:rFonts w:hint="eastAsia" w:ascii="宋体" w:hAnsi="宋体" w:cs="宋体"/>
          <w:color w:val="auto"/>
          <w:sz w:val="24"/>
          <w:szCs w:val="24"/>
          <w:highlight w:val="none"/>
        </w:rPr>
      </w:pPr>
      <w:r>
        <w:rPr>
          <w:rFonts w:hint="eastAsia" w:ascii="宋体" w:hAnsi="宋体"/>
          <w:color w:val="auto"/>
          <w:sz w:val="28"/>
          <w:szCs w:val="28"/>
          <w:highlight w:val="none"/>
        </w:rPr>
        <w:t xml:space="preserve">法定代表人或委托代理人（签字或盖章）：   </w:t>
      </w:r>
      <w:r>
        <w:rPr>
          <w:rFonts w:hint="eastAsia" w:ascii="宋体" w:hAnsi="宋体" w:cs="宋体"/>
          <w:color w:val="auto"/>
          <w:sz w:val="24"/>
          <w:szCs w:val="24"/>
          <w:highlight w:val="none"/>
        </w:rPr>
        <w:t xml:space="preserve">                      </w:t>
      </w:r>
    </w:p>
    <w:p w14:paraId="3391F12C">
      <w:pPr>
        <w:spacing w:line="360" w:lineRule="auto"/>
        <w:ind w:firstLine="4480" w:firstLineChars="16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年  月  日</w:t>
      </w:r>
    </w:p>
    <w:p w14:paraId="500BFE21">
      <w:pPr>
        <w:rPr>
          <w:rFonts w:ascii="宋体" w:hAnsi="宋体" w:cs="宋体"/>
          <w:b/>
          <w:bCs/>
          <w:color w:val="auto"/>
          <w:sz w:val="24"/>
          <w:szCs w:val="32"/>
          <w:highlight w:val="none"/>
        </w:rPr>
      </w:pPr>
    </w:p>
    <w:p w14:paraId="0A317175">
      <w:pPr>
        <w:widowControl/>
        <w:spacing w:line="560" w:lineRule="exact"/>
        <w:ind w:firstLine="4080" w:firstLineChars="1700"/>
        <w:rPr>
          <w:rFonts w:ascii="宋体" w:hAnsi="宋体"/>
          <w:color w:val="auto"/>
          <w:sz w:val="24"/>
          <w:highlight w:val="none"/>
        </w:rPr>
      </w:pPr>
    </w:p>
    <w:p w14:paraId="3BF22C75">
      <w:pPr>
        <w:spacing w:line="430" w:lineRule="exact"/>
        <w:rPr>
          <w:rFonts w:hint="eastAsia" w:ascii="宋体" w:hAnsi="宋体" w:cs="宋体"/>
          <w:b/>
          <w:color w:val="auto"/>
          <w:sz w:val="24"/>
          <w:highlight w:val="none"/>
          <w:lang w:val="en-US" w:eastAsia="zh-CN"/>
        </w:rPr>
      </w:pPr>
    </w:p>
    <w:p w14:paraId="487AA9DE">
      <w:pPr>
        <w:spacing w:line="430" w:lineRule="exact"/>
        <w:rPr>
          <w:rFonts w:hint="eastAsia" w:ascii="宋体" w:hAnsi="宋体" w:cs="宋体"/>
          <w:b/>
          <w:color w:val="auto"/>
          <w:sz w:val="24"/>
          <w:highlight w:val="none"/>
          <w:lang w:val="en-US" w:eastAsia="zh-CN"/>
        </w:rPr>
      </w:pPr>
    </w:p>
    <w:p w14:paraId="60D34142">
      <w:pPr>
        <w:spacing w:line="430" w:lineRule="exact"/>
        <w:rPr>
          <w:rFonts w:hint="eastAsia" w:ascii="宋体" w:hAnsi="宋体" w:cs="宋体"/>
          <w:b/>
          <w:color w:val="auto"/>
          <w:sz w:val="24"/>
          <w:highlight w:val="none"/>
          <w:lang w:val="en-US" w:eastAsia="zh-CN"/>
        </w:rPr>
      </w:pPr>
    </w:p>
    <w:p w14:paraId="08512F0F">
      <w:pPr>
        <w:spacing w:line="430" w:lineRule="exact"/>
        <w:rPr>
          <w:rFonts w:hint="eastAsia" w:ascii="宋体" w:hAnsi="宋体" w:cs="宋体"/>
          <w:b/>
          <w:color w:val="auto"/>
          <w:sz w:val="24"/>
          <w:highlight w:val="none"/>
          <w:lang w:val="en-US" w:eastAsia="zh-CN"/>
        </w:rPr>
      </w:pPr>
    </w:p>
    <w:p w14:paraId="7EC5DB12">
      <w:pPr>
        <w:spacing w:line="430" w:lineRule="exact"/>
        <w:rPr>
          <w:rFonts w:hint="eastAsia" w:ascii="宋体" w:hAnsi="宋体" w:cs="宋体"/>
          <w:b/>
          <w:color w:val="auto"/>
          <w:sz w:val="24"/>
          <w:highlight w:val="none"/>
          <w:lang w:val="en-US" w:eastAsia="zh-CN"/>
        </w:rPr>
      </w:pPr>
    </w:p>
    <w:p w14:paraId="22739B94">
      <w:pPr>
        <w:spacing w:line="430" w:lineRule="exact"/>
        <w:rPr>
          <w:rFonts w:hint="eastAsia" w:ascii="宋体" w:hAnsi="宋体" w:cs="宋体"/>
          <w:b/>
          <w:color w:val="auto"/>
          <w:sz w:val="24"/>
          <w:highlight w:val="none"/>
          <w:lang w:val="en-US" w:eastAsia="zh-CN"/>
        </w:rPr>
      </w:pPr>
    </w:p>
    <w:p w14:paraId="15242D3C">
      <w:pPr>
        <w:spacing w:line="430" w:lineRule="exact"/>
        <w:rPr>
          <w:rFonts w:hint="eastAsia" w:ascii="宋体" w:hAnsi="宋体" w:cs="宋体"/>
          <w:b/>
          <w:color w:val="auto"/>
          <w:sz w:val="24"/>
          <w:highlight w:val="none"/>
          <w:lang w:val="en-US" w:eastAsia="zh-CN"/>
        </w:rPr>
      </w:pPr>
    </w:p>
    <w:p w14:paraId="24DF63B6">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附件十八：政府采购供应商诚信承诺书：</w:t>
      </w:r>
    </w:p>
    <w:p w14:paraId="732F6620">
      <w:pPr>
        <w:widowControl/>
        <w:spacing w:before="100" w:beforeAutospacing="1" w:after="190"/>
        <w:ind w:firstLine="3542" w:firstLineChars="1176"/>
        <w:rPr>
          <w:rFonts w:hint="eastAsia" w:ascii="宋体" w:hAnsi="宋体"/>
          <w:kern w:val="0"/>
          <w:sz w:val="30"/>
          <w:szCs w:val="30"/>
          <w:highlight w:val="none"/>
        </w:rPr>
      </w:pPr>
      <w:r>
        <w:rPr>
          <w:rFonts w:hint="eastAsia" w:ascii="宋体" w:hAnsi="宋体"/>
          <w:b/>
          <w:bCs/>
          <w:kern w:val="0"/>
          <w:sz w:val="30"/>
          <w:szCs w:val="30"/>
          <w:highlight w:val="none"/>
          <w:lang w:val="en-US" w:eastAsia="zh-CN"/>
        </w:rPr>
        <w:t>政府</w:t>
      </w:r>
      <w:r>
        <w:rPr>
          <w:rFonts w:hint="eastAsia" w:ascii="宋体" w:hAnsi="宋体"/>
          <w:b/>
          <w:bCs/>
          <w:kern w:val="0"/>
          <w:sz w:val="30"/>
          <w:szCs w:val="30"/>
          <w:highlight w:val="none"/>
        </w:rPr>
        <w:t>采购供应商诚信承诺书</w:t>
      </w:r>
    </w:p>
    <w:p w14:paraId="46B9A69D">
      <w:pPr>
        <w:widowControl/>
        <w:spacing w:before="100" w:beforeAutospacing="1" w:after="190"/>
        <w:jc w:val="left"/>
        <w:rPr>
          <w:rFonts w:hint="eastAsia" w:ascii="宋体" w:hAnsi="宋体"/>
          <w:b/>
          <w:kern w:val="0"/>
          <w:sz w:val="24"/>
          <w:szCs w:val="24"/>
          <w:highlight w:val="none"/>
          <w:u w:val="single"/>
        </w:rPr>
      </w:pPr>
      <w:r>
        <w:rPr>
          <w:rFonts w:hint="eastAsia" w:ascii="宋体" w:hAnsi="宋体"/>
          <w:b/>
          <w:kern w:val="0"/>
          <w:sz w:val="24"/>
          <w:szCs w:val="24"/>
          <w:highlight w:val="none"/>
          <w:u w:val="single"/>
          <w:lang w:val="en-US" w:eastAsia="zh-CN"/>
        </w:rPr>
        <w:t>金华至臻工程咨询有限公司</w:t>
      </w:r>
      <w:r>
        <w:rPr>
          <w:rFonts w:hint="eastAsia" w:ascii="宋体" w:hAnsi="宋体"/>
          <w:b/>
          <w:kern w:val="0"/>
          <w:sz w:val="24"/>
          <w:szCs w:val="24"/>
          <w:highlight w:val="none"/>
          <w:u w:val="single"/>
        </w:rPr>
        <w:t>：</w:t>
      </w:r>
    </w:p>
    <w:p w14:paraId="323B742F">
      <w:pPr>
        <w:spacing w:line="340" w:lineRule="exact"/>
        <w:ind w:firstLine="480" w:firstLineChars="200"/>
        <w:rPr>
          <w:rFonts w:hint="eastAsia" w:ascii="宋体" w:hAnsi="宋体"/>
          <w:sz w:val="24"/>
          <w:szCs w:val="24"/>
          <w:highlight w:val="none"/>
        </w:rPr>
      </w:pPr>
      <w:r>
        <w:rPr>
          <w:rFonts w:hint="eastAsia" w:ascii="宋体" w:hAnsi="宋体"/>
          <w:kern w:val="0"/>
          <w:sz w:val="24"/>
          <w:szCs w:val="24"/>
          <w:highlight w:val="none"/>
        </w:rPr>
        <w:t>我公司自愿参与贵单位组织的</w:t>
      </w:r>
      <w:r>
        <w:rPr>
          <w:rFonts w:hint="eastAsia" w:ascii="宋体" w:hAnsi="宋体"/>
          <w:b/>
          <w:kern w:val="0"/>
          <w:sz w:val="24"/>
          <w:szCs w:val="24"/>
          <w:highlight w:val="none"/>
          <w:u w:val="single"/>
        </w:rPr>
        <w:t xml:space="preserve">                   项目（项目编号：     ）</w:t>
      </w:r>
      <w:r>
        <w:rPr>
          <w:rFonts w:hint="eastAsia" w:ascii="宋体" w:hAnsi="宋体"/>
          <w:kern w:val="0"/>
          <w:sz w:val="24"/>
          <w:szCs w:val="24"/>
          <w:highlight w:val="none"/>
        </w:rPr>
        <w:t>采购活动，严格遵守《中华人民共和国</w:t>
      </w:r>
      <w:r>
        <w:rPr>
          <w:rFonts w:hint="eastAsia" w:ascii="宋体" w:hAnsi="宋体"/>
          <w:sz w:val="24"/>
          <w:szCs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1A4A5103">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（一）提供虚假材料谋取中标的；</w:t>
      </w:r>
    </w:p>
    <w:p w14:paraId="303AF598">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（二）采取不正当手段诋毁、排挤</w:t>
      </w:r>
      <w:r>
        <w:rPr>
          <w:highlight w:val="none"/>
        </w:rPr>
        <w:fldChar w:fldCharType="begin"/>
      </w:r>
      <w:r>
        <w:rPr>
          <w:highlight w:val="none"/>
        </w:rPr>
        <w:instrText xml:space="preserve"> HYPERLINK "http://www.oh100.com/qita/" </w:instrText>
      </w:r>
      <w:r>
        <w:rPr>
          <w:highlight w:val="none"/>
        </w:rPr>
        <w:fldChar w:fldCharType="separate"/>
      </w:r>
      <w:r>
        <w:rPr>
          <w:rStyle w:val="142"/>
          <w:rFonts w:hint="eastAsia" w:ascii="宋体" w:hAnsi="宋体"/>
          <w:color w:val="auto"/>
          <w:sz w:val="24"/>
          <w:szCs w:val="24"/>
          <w:highlight w:val="none"/>
        </w:rPr>
        <w:t>其他</w:t>
      </w:r>
      <w:r>
        <w:rPr>
          <w:highlight w:val="none"/>
        </w:rPr>
        <w:fldChar w:fldCharType="end"/>
      </w:r>
      <w:r>
        <w:rPr>
          <w:rFonts w:hint="eastAsia" w:ascii="宋体" w:hAnsi="宋体"/>
          <w:sz w:val="24"/>
          <w:szCs w:val="24"/>
          <w:highlight w:val="none"/>
        </w:rPr>
        <w:t>供应商的；</w:t>
      </w:r>
    </w:p>
    <w:p w14:paraId="6354E49F">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（三）与招标采购单位、其他投标人恶意串通的；</w:t>
      </w:r>
    </w:p>
    <w:p w14:paraId="4DED5706">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（四）向招标采购单位行贿或提供其他不正当利益的；</w:t>
      </w:r>
    </w:p>
    <w:p w14:paraId="4B5CBACD">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（五）在招标过程中与招标采购单位进行协商谈判、不按照招标文件和投标文件订立合同，或者与采购人另立背离合同实质性内容协议的；</w:t>
      </w:r>
    </w:p>
    <w:p w14:paraId="4442D36D">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（六）开标后擅自撤销投标，影响招标继续进行的或领取招标文件后不投标导致废标的；</w:t>
      </w:r>
    </w:p>
    <w:p w14:paraId="2DF9DFBA">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（七）中标后无正当理由，在规定时间内不与采购单位签订合同的；</w:t>
      </w:r>
    </w:p>
    <w:p w14:paraId="57DBAF37">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（八）将中标项目转让给他人或非法分包他人的；</w:t>
      </w:r>
    </w:p>
    <w:p w14:paraId="47D83295">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（九）无正当理由，拒绝履行合同义务的；</w:t>
      </w:r>
    </w:p>
    <w:p w14:paraId="5CBD0451">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（十）无正当理由放弃中标（成交）项目的；</w:t>
      </w:r>
    </w:p>
    <w:p w14:paraId="4D65CC75">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18C5F923">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（十二）与采购人串通，对尚未履约完毕的采购项目出具虚假验收报告的；</w:t>
      </w:r>
    </w:p>
    <w:p w14:paraId="557C7E41">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（十三）无不可抗力因素，拒绝提供售后服务、售后服务态度恶劣、故意提高维修配件价格（高于市场平均价）的；</w:t>
      </w:r>
    </w:p>
    <w:p w14:paraId="1171224F">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（十四）开标后对招标文件的相关内容再进行质疑的；</w:t>
      </w:r>
    </w:p>
    <w:p w14:paraId="6BEAB0A1">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（十五）恶意投诉的行为：投诉经查无实据的、捏造事实或者提供虚假投诉材料的；</w:t>
      </w:r>
    </w:p>
    <w:p w14:paraId="0D3B2693">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（十六）拒绝有关部门监督检查或者提供虚假情况的；</w:t>
      </w:r>
    </w:p>
    <w:p w14:paraId="28D01AB1">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（十七）财政、监察部门认定的其他不诚信行为。</w:t>
      </w:r>
    </w:p>
    <w:p w14:paraId="20725DB7">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（十八）招标文件规定的其他不诚信行为。</w:t>
      </w:r>
    </w:p>
    <w:p w14:paraId="43CF257D">
      <w:pPr>
        <w:spacing w:line="340" w:lineRule="exact"/>
        <w:ind w:firstLine="5760" w:firstLineChars="2400"/>
        <w:rPr>
          <w:rFonts w:hint="eastAsia" w:ascii="宋体" w:hAnsi="宋体"/>
          <w:sz w:val="24"/>
          <w:szCs w:val="24"/>
          <w:highlight w:val="none"/>
        </w:rPr>
      </w:pPr>
      <w:r>
        <w:rPr>
          <w:rFonts w:hint="eastAsia" w:ascii="宋体" w:hAnsi="宋体"/>
          <w:sz w:val="24"/>
          <w:szCs w:val="24"/>
          <w:highlight w:val="none"/>
        </w:rPr>
        <w:t xml:space="preserve"> </w:t>
      </w:r>
    </w:p>
    <w:p w14:paraId="573BCC30">
      <w:pPr>
        <w:snapToGrid w:val="0"/>
        <w:spacing w:line="360" w:lineRule="auto"/>
        <w:ind w:firstLine="280" w:firstLineChars="100"/>
        <w:jc w:val="left"/>
        <w:rPr>
          <w:rFonts w:hint="eastAsia" w:ascii="宋体" w:hAnsi="宋体"/>
          <w:spacing w:val="20"/>
          <w:sz w:val="24"/>
          <w:szCs w:val="24"/>
          <w:highlight w:val="none"/>
        </w:rPr>
      </w:pPr>
      <w:r>
        <w:rPr>
          <w:rFonts w:hint="eastAsia" w:ascii="宋体" w:hAnsi="宋体"/>
          <w:spacing w:val="20"/>
          <w:sz w:val="24"/>
          <w:szCs w:val="24"/>
          <w:highlight w:val="none"/>
          <w:lang w:val="en-US" w:eastAsia="zh-CN"/>
        </w:rPr>
        <w:t>供应商</w:t>
      </w:r>
      <w:r>
        <w:rPr>
          <w:rFonts w:hint="eastAsia" w:ascii="宋体" w:hAnsi="宋体"/>
          <w:spacing w:val="20"/>
          <w:sz w:val="24"/>
          <w:szCs w:val="24"/>
          <w:highlight w:val="none"/>
        </w:rPr>
        <w:t>全称</w:t>
      </w:r>
      <w:r>
        <w:rPr>
          <w:rFonts w:hint="eastAsia" w:ascii="宋体" w:hAnsi="宋体"/>
          <w:sz w:val="24"/>
          <w:szCs w:val="24"/>
          <w:highlight w:val="none"/>
        </w:rPr>
        <w:t>（盖章）</w:t>
      </w:r>
      <w:r>
        <w:rPr>
          <w:rFonts w:hint="eastAsia" w:ascii="宋体" w:hAnsi="宋体"/>
          <w:spacing w:val="20"/>
          <w:sz w:val="24"/>
          <w:szCs w:val="24"/>
          <w:highlight w:val="none"/>
        </w:rPr>
        <w:t>：</w:t>
      </w:r>
    </w:p>
    <w:p w14:paraId="57610448">
      <w:pPr>
        <w:snapToGrid w:val="0"/>
        <w:spacing w:line="360" w:lineRule="auto"/>
        <w:ind w:firstLine="280" w:firstLineChars="100"/>
        <w:jc w:val="left"/>
        <w:rPr>
          <w:rFonts w:hint="eastAsia" w:ascii="宋体" w:hAnsi="宋体"/>
          <w:b/>
          <w:bCs/>
          <w:sz w:val="24"/>
          <w:szCs w:val="24"/>
          <w:highlight w:val="none"/>
        </w:rPr>
      </w:pPr>
      <w:r>
        <w:rPr>
          <w:rFonts w:hint="eastAsia" w:ascii="宋体" w:hAnsi="宋体"/>
          <w:spacing w:val="20"/>
          <w:sz w:val="24"/>
          <w:szCs w:val="24"/>
          <w:highlight w:val="none"/>
        </w:rPr>
        <w:t>日期：</w:t>
      </w:r>
    </w:p>
    <w:p w14:paraId="457142CF">
      <w:pPr>
        <w:spacing w:line="430" w:lineRule="exact"/>
        <w:rPr>
          <w:rFonts w:hint="eastAsia" w:ascii="宋体" w:hAnsi="宋体" w:cs="宋体"/>
          <w:b/>
          <w:color w:val="auto"/>
          <w:sz w:val="24"/>
          <w:highlight w:val="none"/>
          <w:lang w:val="en-US" w:eastAsia="zh-CN"/>
        </w:rPr>
      </w:pPr>
    </w:p>
    <w:p w14:paraId="590B0BDD">
      <w:pPr>
        <w:spacing w:line="430" w:lineRule="exact"/>
        <w:rPr>
          <w:rFonts w:hint="eastAsia" w:ascii="宋体" w:hAnsi="宋体" w:cs="宋体"/>
          <w:b/>
          <w:color w:val="auto"/>
          <w:sz w:val="24"/>
          <w:highlight w:val="none"/>
          <w:lang w:val="en-US" w:eastAsia="zh-CN"/>
        </w:rPr>
      </w:pPr>
    </w:p>
    <w:p w14:paraId="3519E12F">
      <w:pPr>
        <w:spacing w:line="430" w:lineRule="exact"/>
        <w:rPr>
          <w:rFonts w:hint="eastAsia" w:ascii="宋体" w:hAnsi="宋体" w:cs="宋体"/>
          <w:b/>
          <w:color w:val="auto"/>
          <w:sz w:val="24"/>
          <w:highlight w:val="none"/>
          <w:lang w:val="en-US" w:eastAsia="zh-CN"/>
        </w:rPr>
      </w:pPr>
    </w:p>
    <w:p w14:paraId="132215FE">
      <w:pPr>
        <w:spacing w:line="430" w:lineRule="exact"/>
        <w:rPr>
          <w:rFonts w:hint="eastAsia" w:ascii="宋体" w:hAnsi="宋体" w:cs="宋体"/>
          <w:b/>
          <w:color w:val="auto"/>
          <w:sz w:val="24"/>
          <w:highlight w:val="none"/>
          <w:lang w:val="en-US" w:eastAsia="zh-CN"/>
        </w:rPr>
      </w:pPr>
    </w:p>
    <w:p w14:paraId="623594B2">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82" w:name="_Toc496598995"/>
      <w:bookmarkStart w:id="83" w:name="_Toc3061"/>
      <w:r>
        <w:rPr>
          <w:rFonts w:hint="eastAsia" w:ascii="宋体" w:hAnsi="宋体"/>
          <w:bCs/>
          <w:color w:val="auto"/>
          <w:sz w:val="24"/>
          <w:highlight w:val="none"/>
          <w:lang w:val="en-US" w:eastAsia="zh-CN"/>
        </w:rPr>
        <w:t>附件十九:</w:t>
      </w:r>
      <w:bookmarkEnd w:id="82"/>
      <w:r>
        <w:rPr>
          <w:rFonts w:hint="eastAsia" w:ascii="宋体" w:hAnsi="宋体"/>
          <w:bCs/>
          <w:color w:val="auto"/>
          <w:sz w:val="24"/>
          <w:highlight w:val="none"/>
          <w:lang w:val="en-US" w:eastAsia="zh-CN"/>
        </w:rPr>
        <w:t>磋商函</w:t>
      </w:r>
      <w:bookmarkEnd w:id="83"/>
    </w:p>
    <w:p w14:paraId="43FBFF9E">
      <w:pPr>
        <w:snapToGrid w:val="0"/>
        <w:spacing w:beforeLines="50" w:after="50" w:line="48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磋 商 函</w:t>
      </w:r>
    </w:p>
    <w:p w14:paraId="60EDF3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46D18242">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项目的磋商公告/磋商邀请书</w:t>
      </w:r>
    </w:p>
    <w:p w14:paraId="3371AB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（供应商名称）提交电子磋商响应文件。</w:t>
      </w:r>
    </w:p>
    <w:p w14:paraId="250C1B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344423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5E1B81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2.供应商在磋商之前已经与贵方进行了充分的沟通，完全理解并接受磋商文件的各项规定和要求，对磋商文件的合理性、合法性不再有异议。</w:t>
      </w:r>
    </w:p>
    <w:p w14:paraId="4C9D73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3.本磋商响应文件有效期自开标日起 ______天。</w:t>
      </w:r>
    </w:p>
    <w:p w14:paraId="386246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4.如中标，本磋商响应文件至本项目合同履行完毕止均保持有效，本供应商将按“磋商文件”及政府采购法律、法规的规定履行合同责任和义务。</w:t>
      </w:r>
    </w:p>
    <w:p w14:paraId="39851D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5.供应商同意按照贵方要求提供与磋商有关的一切数据或资料。</w:t>
      </w:r>
    </w:p>
    <w:p w14:paraId="503734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6.与本磋商有关的一切正式往来信函请寄：</w:t>
      </w:r>
    </w:p>
    <w:p w14:paraId="1E1BCA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地址：______________邮编：__________   电话：______________</w:t>
      </w:r>
    </w:p>
    <w:p w14:paraId="3EAA47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传真：______________供应商代表姓名 ___________  职务：___________</w:t>
      </w:r>
    </w:p>
    <w:p w14:paraId="3BEDF499">
      <w:pPr>
        <w:snapToGrid w:val="0"/>
        <w:spacing w:line="360" w:lineRule="auto"/>
        <w:rPr>
          <w:rFonts w:ascii="宋体" w:hAnsi="宋体" w:cs="宋体"/>
          <w:color w:val="auto"/>
          <w:sz w:val="24"/>
          <w:highlight w:val="none"/>
        </w:rPr>
      </w:pPr>
    </w:p>
    <w:p w14:paraId="28ECB34C">
      <w:pPr>
        <w:snapToGrid w:val="0"/>
        <w:spacing w:line="360" w:lineRule="auto"/>
        <w:rPr>
          <w:rFonts w:ascii="宋体" w:hAnsi="宋体" w:cs="宋体"/>
          <w:color w:val="auto"/>
          <w:sz w:val="24"/>
          <w:highlight w:val="none"/>
        </w:rPr>
      </w:pPr>
    </w:p>
    <w:p w14:paraId="672CED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供应商名称(公章):___________________</w:t>
      </w:r>
    </w:p>
    <w:p w14:paraId="6BCBED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1624F1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4370AB50">
      <w:pPr>
        <w:snapToGrid w:val="0"/>
        <w:spacing w:before="156" w:after="156" w:line="360" w:lineRule="auto"/>
        <w:rPr>
          <w:rFonts w:ascii="宋体" w:hAnsi="宋体" w:cs="宋体"/>
          <w:color w:val="auto"/>
          <w:sz w:val="24"/>
          <w:highlight w:val="none"/>
        </w:rPr>
      </w:pPr>
    </w:p>
    <w:p w14:paraId="19054040">
      <w:pPr>
        <w:snapToGrid w:val="0"/>
        <w:spacing w:before="50" w:afterLines="50"/>
        <w:jc w:val="left"/>
        <w:rPr>
          <w:rFonts w:ascii="宋体" w:hAnsi="宋体" w:cs="宋体"/>
          <w:b/>
          <w:color w:val="auto"/>
          <w:sz w:val="24"/>
          <w:highlight w:val="none"/>
        </w:rPr>
      </w:pPr>
    </w:p>
    <w:p w14:paraId="6544AE37">
      <w:pPr>
        <w:snapToGrid w:val="0"/>
        <w:spacing w:before="50" w:afterLines="50"/>
        <w:jc w:val="left"/>
        <w:rPr>
          <w:rFonts w:ascii="宋体" w:hAnsi="宋体" w:cs="宋体"/>
          <w:b/>
          <w:color w:val="auto"/>
          <w:sz w:val="24"/>
          <w:highlight w:val="none"/>
        </w:rPr>
      </w:pPr>
    </w:p>
    <w:p w14:paraId="39A8D9A7">
      <w:pPr>
        <w:snapToGrid w:val="0"/>
        <w:spacing w:before="50" w:afterLines="50"/>
        <w:jc w:val="left"/>
        <w:rPr>
          <w:rFonts w:ascii="宋体" w:hAnsi="宋体" w:cs="宋体"/>
          <w:b/>
          <w:color w:val="auto"/>
          <w:sz w:val="24"/>
          <w:highlight w:val="none"/>
        </w:rPr>
      </w:pPr>
    </w:p>
    <w:p w14:paraId="61FCF4A8">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84" w:name="_Toc14942623"/>
      <w:bookmarkStart w:id="85" w:name="_Toc26482"/>
      <w:bookmarkStart w:id="86" w:name="_Toc12413"/>
      <w:bookmarkStart w:id="87" w:name="_Toc6466"/>
      <w:bookmarkStart w:id="88" w:name="_Toc496598998"/>
      <w:bookmarkStart w:id="89" w:name="_Toc2590"/>
      <w:bookmarkStart w:id="90" w:name="_Toc1663"/>
      <w:r>
        <w:rPr>
          <w:rFonts w:hint="eastAsia" w:ascii="宋体" w:hAnsi="宋体"/>
          <w:bCs/>
          <w:color w:val="auto"/>
          <w:sz w:val="24"/>
          <w:highlight w:val="none"/>
          <w:lang w:val="en-US" w:eastAsia="zh-CN"/>
        </w:rPr>
        <w:t>附件二十：</w:t>
      </w:r>
      <w:bookmarkEnd w:id="84"/>
      <w:bookmarkEnd w:id="85"/>
      <w:bookmarkEnd w:id="86"/>
      <w:r>
        <w:rPr>
          <w:rFonts w:hint="eastAsia" w:ascii="宋体" w:hAnsi="宋体"/>
          <w:bCs/>
          <w:color w:val="auto"/>
          <w:sz w:val="24"/>
          <w:highlight w:val="none"/>
          <w:lang w:val="en-US" w:eastAsia="zh-CN"/>
        </w:rPr>
        <w:t>初次报价表</w:t>
      </w:r>
      <w:bookmarkEnd w:id="87"/>
    </w:p>
    <w:p w14:paraId="7F5335E9">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初次报价表</w:t>
      </w:r>
    </w:p>
    <w:p w14:paraId="0F15BA66">
      <w:pPr>
        <w:spacing w:line="360" w:lineRule="auto"/>
        <w:rPr>
          <w:rFonts w:ascii="宋体" w:hAnsi="宋体"/>
          <w:b/>
          <w:color w:val="auto"/>
          <w:sz w:val="24"/>
          <w:highlight w:val="none"/>
        </w:rPr>
      </w:pPr>
      <w:r>
        <w:rPr>
          <w:rFonts w:hint="eastAsia" w:ascii="宋体" w:hAnsi="宋体"/>
          <w:b/>
          <w:color w:val="auto"/>
          <w:sz w:val="24"/>
          <w:highlight w:val="none"/>
        </w:rPr>
        <w:t xml:space="preserve">招标编号：                             </w:t>
      </w:r>
    </w:p>
    <w:p w14:paraId="51F94C69">
      <w:pPr>
        <w:spacing w:line="360" w:lineRule="auto"/>
        <w:rPr>
          <w:rFonts w:ascii="宋体" w:hAnsi="宋体"/>
          <w:b/>
          <w:color w:val="auto"/>
          <w:sz w:val="24"/>
          <w:highlight w:val="none"/>
        </w:rPr>
      </w:pPr>
      <w:r>
        <w:rPr>
          <w:rFonts w:hint="eastAsia" w:ascii="宋体" w:hAnsi="宋体"/>
          <w:b/>
          <w:color w:val="auto"/>
          <w:sz w:val="24"/>
          <w:highlight w:val="none"/>
        </w:rPr>
        <w:t>供应商名称：                                          单位：元</w:t>
      </w:r>
    </w:p>
    <w:tbl>
      <w:tblPr>
        <w:tblStyle w:val="38"/>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08FE2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5CB95B08">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2FA35552">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2AE4F94E">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12D4512A">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r>
      <w:tr w14:paraId="5BD56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6CD4859A">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263F910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val="en-US" w:eastAsia="zh-CN"/>
              </w:rPr>
              <w:t>画溪初中食堂及周边道路改造项目</w:t>
            </w:r>
          </w:p>
        </w:tc>
        <w:tc>
          <w:tcPr>
            <w:tcW w:w="2152" w:type="dxa"/>
            <w:tcBorders>
              <w:top w:val="single" w:color="auto" w:sz="4" w:space="0"/>
              <w:left w:val="single" w:color="auto" w:sz="4" w:space="0"/>
              <w:bottom w:val="single" w:color="auto" w:sz="4" w:space="0"/>
              <w:right w:val="single" w:color="auto" w:sz="4" w:space="0"/>
            </w:tcBorders>
            <w:vAlign w:val="center"/>
          </w:tcPr>
          <w:p w14:paraId="78C6FB56">
            <w:pPr>
              <w:snapToGrid w:val="0"/>
              <w:spacing w:before="50" w:after="50"/>
              <w:jc w:val="center"/>
              <w:rPr>
                <w:rFonts w:ascii="宋体" w:hAnsi="宋体" w:cs="宋体"/>
                <w:b/>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061CFD9">
            <w:pPr>
              <w:snapToGrid w:val="0"/>
              <w:spacing w:before="50" w:after="50"/>
              <w:jc w:val="center"/>
              <w:rPr>
                <w:rFonts w:ascii="宋体" w:hAnsi="宋体" w:cs="宋体"/>
                <w:color w:val="auto"/>
                <w:sz w:val="24"/>
                <w:highlight w:val="none"/>
              </w:rPr>
            </w:pPr>
          </w:p>
        </w:tc>
      </w:tr>
      <w:tr w14:paraId="36248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1DDB984E">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5A98EF65">
      <w:pPr>
        <w:spacing w:line="360" w:lineRule="auto"/>
        <w:jc w:val="left"/>
        <w:rPr>
          <w:rFonts w:ascii="宋体" w:hAnsi="宋体"/>
          <w:color w:val="auto"/>
          <w:sz w:val="24"/>
          <w:highlight w:val="none"/>
        </w:rPr>
      </w:pPr>
    </w:p>
    <w:p w14:paraId="0CACE855">
      <w:pPr>
        <w:spacing w:line="360" w:lineRule="auto"/>
        <w:jc w:val="left"/>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▲1、磋商报价一栏必须填写，否则其磋商作无效标处理。</w:t>
      </w:r>
    </w:p>
    <w:p w14:paraId="00C65F38">
      <w:pPr>
        <w:spacing w:line="360" w:lineRule="auto"/>
        <w:ind w:firstLine="480" w:firstLineChars="200"/>
        <w:jc w:val="left"/>
        <w:rPr>
          <w:rFonts w:hint="eastAsia" w:ascii="宋体" w:hAnsi="宋体" w:cs="Arial"/>
          <w:bCs/>
          <w:color w:val="auto"/>
          <w:sz w:val="24"/>
          <w:highlight w:val="none"/>
        </w:rPr>
      </w:pPr>
      <w:r>
        <w:rPr>
          <w:rFonts w:hint="eastAsia" w:ascii="宋体" w:hAnsi="宋体"/>
          <w:color w:val="auto"/>
          <w:sz w:val="24"/>
          <w:highlight w:val="none"/>
        </w:rPr>
        <w:t>▲2、磋商报价一经涂改，应在涂改处加盖单位公章或者由法定代表人或授权委托人签字或盖章，否则其磋商作无效标处理</w:t>
      </w:r>
      <w:r>
        <w:rPr>
          <w:rFonts w:hint="eastAsia" w:ascii="宋体" w:hAnsi="宋体" w:cs="Arial"/>
          <w:bCs/>
          <w:color w:val="auto"/>
          <w:sz w:val="24"/>
          <w:highlight w:val="none"/>
        </w:rPr>
        <w:t>；</w:t>
      </w:r>
    </w:p>
    <w:p w14:paraId="02E959B1">
      <w:pPr>
        <w:spacing w:line="360" w:lineRule="auto"/>
        <w:ind w:firstLine="482"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b/>
          <w:bCs/>
          <w:sz w:val="24"/>
          <w:szCs w:val="24"/>
          <w:highlight w:val="none"/>
          <w:lang w:val="en-US" w:eastAsia="zh-CN"/>
        </w:rPr>
        <w:t>3、磋商报价=</w:t>
      </w:r>
      <w:r>
        <w:rPr>
          <w:rFonts w:hint="eastAsia" w:ascii="宋体" w:hAnsi="宋体" w:cs="Times New Roman"/>
          <w:b/>
          <w:bCs/>
          <w:sz w:val="24"/>
          <w:szCs w:val="24"/>
          <w:highlight w:val="none"/>
          <w:lang w:val="en-US" w:eastAsia="zh-CN"/>
        </w:rPr>
        <w:t>最高限价</w:t>
      </w:r>
      <w:r>
        <w:rPr>
          <w:rFonts w:hint="eastAsia" w:ascii="宋体" w:hAnsi="宋体" w:eastAsia="宋体" w:cs="Times New Roman"/>
          <w:b/>
          <w:bCs/>
          <w:sz w:val="24"/>
          <w:szCs w:val="24"/>
          <w:highlight w:val="none"/>
          <w:lang w:val="en-US" w:eastAsia="zh-CN"/>
        </w:rPr>
        <w:t>×（1-</w:t>
      </w:r>
      <w:r>
        <w:rPr>
          <w:rFonts w:hint="eastAsia" w:ascii="宋体" w:hAnsi="宋体" w:cs="Times New Roman"/>
          <w:b/>
          <w:bCs/>
          <w:sz w:val="24"/>
          <w:szCs w:val="24"/>
          <w:highlight w:val="none"/>
          <w:lang w:val="en-US" w:eastAsia="zh-CN"/>
        </w:rPr>
        <w:t>让利</w:t>
      </w:r>
      <w:r>
        <w:rPr>
          <w:rFonts w:hint="eastAsia" w:ascii="宋体" w:hAnsi="宋体" w:eastAsia="宋体" w:cs="Times New Roman"/>
          <w:b/>
          <w:bCs/>
          <w:sz w:val="24"/>
          <w:szCs w:val="24"/>
          <w:highlight w:val="none"/>
          <w:lang w:val="en-US" w:eastAsia="zh-CN"/>
        </w:rPr>
        <w:t>下浮率），报价保留2位小数；</w:t>
      </w:r>
    </w:p>
    <w:p w14:paraId="7BE119E7">
      <w:pPr>
        <w:spacing w:line="360" w:lineRule="auto"/>
        <w:ind w:firstLine="480" w:firstLineChars="200"/>
        <w:jc w:val="left"/>
        <w:rPr>
          <w:rFonts w:ascii="宋体" w:hAnsi="宋体"/>
          <w:color w:val="auto"/>
          <w:sz w:val="24"/>
          <w:highlight w:val="none"/>
        </w:rPr>
      </w:pPr>
      <w:r>
        <w:rPr>
          <w:rFonts w:hint="eastAsia" w:ascii="宋体" w:hAnsi="宋体" w:cs="Times New Roman"/>
          <w:color w:val="auto"/>
          <w:sz w:val="24"/>
          <w:highlight w:val="none"/>
          <w:lang w:val="en-US" w:eastAsia="zh-CN"/>
        </w:rPr>
        <w:t>4、磋商报价包括项目所需的人工费、材料费、交通费、机械费、装卸费、管理费等与本项目相关的一切费用和税金</w:t>
      </w:r>
      <w:r>
        <w:rPr>
          <w:rFonts w:hint="eastAsia" w:ascii="宋体" w:hAnsi="宋体"/>
          <w:color w:val="auto"/>
          <w:sz w:val="24"/>
          <w:highlight w:val="none"/>
        </w:rPr>
        <w:t>。</w:t>
      </w:r>
    </w:p>
    <w:p w14:paraId="0C271E4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、本表格式不允许修改，否则作无效标处理。</w:t>
      </w:r>
    </w:p>
    <w:p w14:paraId="5054AE81">
      <w:pPr>
        <w:snapToGrid w:val="0"/>
        <w:spacing w:line="360" w:lineRule="auto"/>
        <w:ind w:firstLine="480" w:firstLineChars="200"/>
        <w:jc w:val="left"/>
        <w:rPr>
          <w:rFonts w:ascii="宋体" w:hAnsi="宋体"/>
          <w:color w:val="auto"/>
          <w:sz w:val="24"/>
          <w:highlight w:val="none"/>
        </w:rPr>
      </w:pPr>
    </w:p>
    <w:p w14:paraId="05E7F50C">
      <w:pPr>
        <w:snapToGrid w:val="0"/>
        <w:spacing w:line="360" w:lineRule="auto"/>
        <w:ind w:firstLine="480" w:firstLineChars="200"/>
        <w:jc w:val="left"/>
        <w:rPr>
          <w:rFonts w:ascii="宋体" w:hAnsi="宋体"/>
          <w:color w:val="auto"/>
          <w:sz w:val="24"/>
          <w:highlight w:val="none"/>
        </w:rPr>
      </w:pPr>
    </w:p>
    <w:p w14:paraId="291808E1">
      <w:pPr>
        <w:snapToGrid w:val="0"/>
        <w:spacing w:before="50" w:after="50"/>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30604854">
      <w:pPr>
        <w:snapToGrid w:val="0"/>
        <w:spacing w:before="50" w:after="50"/>
        <w:ind w:left="-2" w:leftChars="-1" w:right="-817" w:rightChars="-389" w:firstLine="360" w:firstLineChars="150"/>
        <w:rPr>
          <w:rFonts w:ascii="宋体" w:hAnsi="宋体"/>
          <w:color w:val="auto"/>
          <w:sz w:val="24"/>
          <w:highlight w:val="none"/>
        </w:rPr>
      </w:pPr>
    </w:p>
    <w:p w14:paraId="53E2A24F">
      <w:pPr>
        <w:snapToGrid w:val="0"/>
        <w:spacing w:before="50" w:after="50"/>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供应商名称（盖章）：                                         </w:t>
      </w:r>
    </w:p>
    <w:p w14:paraId="59FFCEA9">
      <w:pPr>
        <w:snapToGrid w:val="0"/>
        <w:spacing w:before="50" w:after="50"/>
        <w:ind w:right="-817" w:rightChars="-389"/>
        <w:rPr>
          <w:rFonts w:ascii="宋体" w:hAnsi="宋体"/>
          <w:color w:val="auto"/>
          <w:sz w:val="24"/>
          <w:highlight w:val="none"/>
        </w:rPr>
      </w:pPr>
    </w:p>
    <w:p w14:paraId="159703A8">
      <w:pPr>
        <w:spacing w:line="380" w:lineRule="exact"/>
        <w:ind w:firstLine="6240" w:firstLineChars="2600"/>
        <w:rPr>
          <w:rFonts w:ascii="宋体" w:hAnsi="宋体"/>
          <w:b/>
          <w:color w:val="auto"/>
          <w:sz w:val="24"/>
          <w:highlight w:val="none"/>
        </w:rPr>
      </w:pPr>
      <w:r>
        <w:rPr>
          <w:rFonts w:hint="eastAsia" w:ascii="宋体" w:hAnsi="宋体"/>
          <w:color w:val="auto"/>
          <w:sz w:val="24"/>
          <w:highlight w:val="none"/>
        </w:rPr>
        <w:t>日期：    年   月   日</w:t>
      </w:r>
    </w:p>
    <w:p w14:paraId="2BBBA15C">
      <w:pPr>
        <w:outlineLvl w:val="9"/>
        <w:rPr>
          <w:color w:val="auto"/>
          <w:sz w:val="24"/>
          <w:szCs w:val="24"/>
          <w:highlight w:val="none"/>
        </w:rPr>
      </w:pPr>
    </w:p>
    <w:p w14:paraId="69AEEE76">
      <w:pPr>
        <w:outlineLvl w:val="9"/>
        <w:rPr>
          <w:color w:val="auto"/>
          <w:highlight w:val="none"/>
        </w:rPr>
      </w:pPr>
    </w:p>
    <w:bookmarkEnd w:id="88"/>
    <w:bookmarkEnd w:id="89"/>
    <w:bookmarkEnd w:id="90"/>
    <w:p w14:paraId="082D1F43">
      <w:pPr>
        <w:spacing w:before="260" w:after="260" w:line="360" w:lineRule="auto"/>
        <w:outlineLvl w:val="9"/>
        <w:rPr>
          <w:rFonts w:ascii="宋体" w:hAnsi="宋体"/>
          <w:bCs/>
          <w:color w:val="auto"/>
          <w:sz w:val="24"/>
          <w:highlight w:val="none"/>
        </w:rPr>
      </w:pPr>
      <w:bookmarkStart w:id="91" w:name="_Toc496599000"/>
    </w:p>
    <w:p w14:paraId="19D16604">
      <w:pPr>
        <w:pStyle w:val="14"/>
        <w:rPr>
          <w:rFonts w:ascii="宋体" w:hAnsi="宋体"/>
          <w:bCs/>
          <w:color w:val="auto"/>
          <w:sz w:val="24"/>
          <w:highlight w:val="none"/>
        </w:rPr>
      </w:pPr>
    </w:p>
    <w:p w14:paraId="235F1710">
      <w:pPr>
        <w:pStyle w:val="14"/>
        <w:rPr>
          <w:rFonts w:ascii="宋体" w:hAnsi="宋体"/>
          <w:bCs/>
          <w:color w:val="auto"/>
          <w:sz w:val="24"/>
          <w:highlight w:val="none"/>
        </w:rPr>
      </w:pPr>
    </w:p>
    <w:p w14:paraId="09EAC61C">
      <w:pPr>
        <w:pStyle w:val="14"/>
        <w:rPr>
          <w:rFonts w:ascii="宋体" w:hAnsi="宋体"/>
          <w:bCs/>
          <w:color w:val="auto"/>
          <w:sz w:val="24"/>
          <w:highlight w:val="none"/>
        </w:rPr>
      </w:pPr>
    </w:p>
    <w:p w14:paraId="5671B2C0">
      <w:pPr>
        <w:pStyle w:val="14"/>
        <w:rPr>
          <w:rFonts w:ascii="宋体" w:hAnsi="宋体"/>
          <w:bCs/>
          <w:color w:val="auto"/>
          <w:sz w:val="24"/>
          <w:highlight w:val="none"/>
        </w:rPr>
      </w:pPr>
    </w:p>
    <w:p w14:paraId="6E51C3D3">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附件二十一：最终报价表</w:t>
      </w:r>
    </w:p>
    <w:p w14:paraId="7123716D">
      <w:pPr>
        <w:spacing w:line="360" w:lineRule="auto"/>
        <w:jc w:val="center"/>
        <w:rPr>
          <w:rFonts w:hint="eastAsia" w:ascii="宋体" w:hAnsi="宋体"/>
          <w:b/>
          <w:sz w:val="28"/>
          <w:szCs w:val="28"/>
          <w:highlight w:val="none"/>
        </w:rPr>
      </w:pPr>
      <w:r>
        <w:rPr>
          <w:rFonts w:hint="eastAsia" w:ascii="宋体" w:hAnsi="宋体"/>
          <w:b/>
          <w:sz w:val="28"/>
          <w:szCs w:val="28"/>
          <w:highlight w:val="none"/>
        </w:rPr>
        <w:t>最终报价表</w:t>
      </w:r>
    </w:p>
    <w:p w14:paraId="4EA11ED7">
      <w:pPr>
        <w:spacing w:line="360" w:lineRule="auto"/>
        <w:rPr>
          <w:rFonts w:hint="eastAsia" w:ascii="宋体" w:hAnsi="宋体"/>
          <w:b/>
          <w:sz w:val="24"/>
          <w:szCs w:val="24"/>
          <w:highlight w:val="none"/>
        </w:rPr>
      </w:pPr>
      <w:r>
        <w:rPr>
          <w:rFonts w:hint="eastAsia" w:ascii="宋体" w:hAnsi="宋体"/>
          <w:b/>
          <w:sz w:val="24"/>
          <w:szCs w:val="24"/>
          <w:highlight w:val="none"/>
        </w:rPr>
        <w:t xml:space="preserve">项目编号：                             </w:t>
      </w:r>
    </w:p>
    <w:p w14:paraId="5B857359">
      <w:pPr>
        <w:spacing w:line="360" w:lineRule="auto"/>
        <w:rPr>
          <w:rFonts w:hint="eastAsia" w:ascii="宋体" w:hAnsi="宋体"/>
          <w:b/>
          <w:sz w:val="24"/>
          <w:szCs w:val="24"/>
          <w:highlight w:val="none"/>
        </w:rPr>
      </w:pPr>
      <w:r>
        <w:rPr>
          <w:rFonts w:hint="eastAsia" w:ascii="宋体" w:hAnsi="宋体"/>
          <w:b/>
          <w:sz w:val="24"/>
          <w:szCs w:val="24"/>
          <w:highlight w:val="none"/>
        </w:rPr>
        <w:t>供应商名称：                                          单位：元</w:t>
      </w:r>
    </w:p>
    <w:tbl>
      <w:tblPr>
        <w:tblStyle w:val="38"/>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5AAFD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74E94D45">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0F52FD2B">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56AA00FB">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01659730">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r>
      <w:tr w14:paraId="00619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7672B05F">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2D0B01B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eastAsia="zh-CN"/>
              </w:rPr>
              <w:t>画溪初中食堂及周边道路改造项目</w:t>
            </w:r>
          </w:p>
        </w:tc>
        <w:tc>
          <w:tcPr>
            <w:tcW w:w="2152" w:type="dxa"/>
            <w:tcBorders>
              <w:top w:val="single" w:color="auto" w:sz="4" w:space="0"/>
              <w:left w:val="single" w:color="auto" w:sz="4" w:space="0"/>
              <w:bottom w:val="single" w:color="auto" w:sz="4" w:space="0"/>
              <w:right w:val="single" w:color="auto" w:sz="4" w:space="0"/>
            </w:tcBorders>
            <w:vAlign w:val="center"/>
          </w:tcPr>
          <w:p w14:paraId="2A32015C">
            <w:pPr>
              <w:snapToGrid w:val="0"/>
              <w:spacing w:before="50" w:after="50"/>
              <w:jc w:val="center"/>
              <w:rPr>
                <w:rFonts w:ascii="宋体" w:hAnsi="宋体" w:cs="宋体"/>
                <w:b/>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75F7F67F">
            <w:pPr>
              <w:snapToGrid w:val="0"/>
              <w:spacing w:before="50" w:after="50"/>
              <w:jc w:val="center"/>
              <w:rPr>
                <w:rFonts w:ascii="宋体" w:hAnsi="宋体" w:cs="宋体"/>
                <w:color w:val="auto"/>
                <w:sz w:val="24"/>
                <w:highlight w:val="none"/>
              </w:rPr>
            </w:pPr>
          </w:p>
        </w:tc>
      </w:tr>
      <w:tr w14:paraId="16CE2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6132318E">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79F71E14">
      <w:pPr>
        <w:spacing w:line="360" w:lineRule="auto"/>
        <w:jc w:val="left"/>
        <w:rPr>
          <w:rFonts w:hint="eastAsia" w:ascii="宋体" w:hAnsi="宋体"/>
          <w:sz w:val="24"/>
          <w:szCs w:val="24"/>
          <w:highlight w:val="none"/>
        </w:rPr>
      </w:pPr>
      <w:r>
        <w:rPr>
          <w:rFonts w:hint="eastAsia" w:ascii="宋体" w:hAnsi="宋体"/>
          <w:sz w:val="24"/>
          <w:szCs w:val="24"/>
          <w:highlight w:val="none"/>
        </w:rPr>
        <w:t>注：1、磋商报价一栏必须填写，否则其磋商作无效标处理。</w:t>
      </w:r>
    </w:p>
    <w:p w14:paraId="627CFFEA">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2、磋商报价一经涂改，应在涂改处加盖单位公章或者由法定代表人或授权委托人签字或盖章，否则其磋商作无效标处理</w:t>
      </w:r>
      <w:r>
        <w:rPr>
          <w:rFonts w:hint="eastAsia" w:ascii="宋体" w:hAnsi="宋体" w:cs="Arial"/>
          <w:bCs/>
          <w:sz w:val="24"/>
          <w:szCs w:val="24"/>
          <w:highlight w:val="none"/>
        </w:rPr>
        <w:t>；</w:t>
      </w:r>
    </w:p>
    <w:p w14:paraId="67726C15">
      <w:pPr>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3、磋商报价=</w:t>
      </w:r>
      <w:r>
        <w:rPr>
          <w:rFonts w:hint="eastAsia" w:ascii="宋体" w:hAnsi="宋体" w:cs="Times New Roman"/>
          <w:b/>
          <w:bCs/>
          <w:sz w:val="24"/>
          <w:szCs w:val="24"/>
          <w:highlight w:val="none"/>
          <w:lang w:val="en-US" w:eastAsia="zh-CN"/>
        </w:rPr>
        <w:t>最高限价</w:t>
      </w:r>
      <w:r>
        <w:rPr>
          <w:rFonts w:hint="eastAsia" w:ascii="宋体" w:hAnsi="宋体"/>
          <w:b/>
          <w:bCs/>
          <w:sz w:val="24"/>
          <w:szCs w:val="24"/>
          <w:highlight w:val="none"/>
        </w:rPr>
        <w:t>×（1-</w:t>
      </w:r>
      <w:r>
        <w:rPr>
          <w:rFonts w:hint="eastAsia" w:ascii="宋体" w:hAnsi="宋体"/>
          <w:b/>
          <w:bCs/>
          <w:sz w:val="24"/>
          <w:szCs w:val="24"/>
          <w:highlight w:val="none"/>
          <w:lang w:val="en-US" w:eastAsia="zh-CN"/>
        </w:rPr>
        <w:t>让利</w:t>
      </w:r>
      <w:r>
        <w:rPr>
          <w:rFonts w:hint="eastAsia" w:ascii="宋体" w:hAnsi="宋体"/>
          <w:b/>
          <w:bCs/>
          <w:sz w:val="24"/>
          <w:szCs w:val="24"/>
          <w:highlight w:val="none"/>
        </w:rPr>
        <w:t>下浮率），报价保留2位小数。</w:t>
      </w:r>
    </w:p>
    <w:p w14:paraId="10532BCF">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4、磋商报价包括项目所需的</w:t>
      </w:r>
      <w:r>
        <w:rPr>
          <w:rFonts w:hint="eastAsia" w:ascii="宋体" w:hAnsi="宋体"/>
          <w:sz w:val="24"/>
          <w:szCs w:val="24"/>
          <w:highlight w:val="none"/>
          <w:lang w:val="en-US" w:eastAsia="zh-CN"/>
        </w:rPr>
        <w:t>人工费、材料费、交通费、机械费、装卸费、管理费等与本项目相关的一切费用和税金</w:t>
      </w:r>
      <w:r>
        <w:rPr>
          <w:rFonts w:hint="eastAsia" w:ascii="宋体" w:hAnsi="宋体"/>
          <w:sz w:val="24"/>
          <w:szCs w:val="24"/>
          <w:highlight w:val="none"/>
        </w:rPr>
        <w:t>。</w:t>
      </w:r>
    </w:p>
    <w:p w14:paraId="40E7CB49">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5、本表格式不允许修改，否则作无效标处理。</w:t>
      </w:r>
    </w:p>
    <w:p w14:paraId="631A348C">
      <w:pPr>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 xml:space="preserve"> </w:t>
      </w:r>
    </w:p>
    <w:p w14:paraId="2F67915B">
      <w:pPr>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 xml:space="preserve"> </w:t>
      </w:r>
    </w:p>
    <w:p w14:paraId="3918BC43">
      <w:pPr>
        <w:snapToGrid w:val="0"/>
        <w:spacing w:before="50" w:after="50"/>
        <w:ind w:left="-2" w:leftChars="-1" w:right="-817" w:rightChars="-389" w:firstLine="360" w:firstLineChars="150"/>
        <w:rPr>
          <w:rFonts w:hint="eastAsia" w:ascii="宋体" w:hAnsi="宋体"/>
          <w:sz w:val="24"/>
          <w:szCs w:val="24"/>
          <w:highlight w:val="none"/>
        </w:rPr>
      </w:pPr>
      <w:r>
        <w:rPr>
          <w:rFonts w:hint="eastAsia" w:ascii="宋体" w:hAnsi="宋体"/>
          <w:sz w:val="24"/>
          <w:szCs w:val="24"/>
          <w:highlight w:val="none"/>
        </w:rPr>
        <w:t>法定代表人或委托代理人（签字或签名章）：</w:t>
      </w:r>
    </w:p>
    <w:p w14:paraId="7EF2E844">
      <w:pPr>
        <w:snapToGrid w:val="0"/>
        <w:spacing w:before="50" w:after="50"/>
        <w:ind w:left="-2" w:leftChars="-1" w:right="-817" w:rightChars="-389" w:firstLine="360" w:firstLineChars="150"/>
        <w:rPr>
          <w:rFonts w:hint="eastAsia" w:ascii="宋体" w:hAnsi="宋体"/>
          <w:sz w:val="24"/>
          <w:szCs w:val="24"/>
          <w:highlight w:val="none"/>
        </w:rPr>
      </w:pPr>
      <w:r>
        <w:rPr>
          <w:rFonts w:hint="eastAsia" w:ascii="宋体" w:hAnsi="宋体"/>
          <w:sz w:val="24"/>
          <w:szCs w:val="24"/>
          <w:highlight w:val="none"/>
        </w:rPr>
        <w:t xml:space="preserve"> </w:t>
      </w:r>
    </w:p>
    <w:p w14:paraId="1A2FAF28">
      <w:pPr>
        <w:snapToGrid w:val="0"/>
        <w:spacing w:before="50" w:after="50"/>
        <w:ind w:right="-817" w:rightChars="-389" w:firstLine="360" w:firstLineChars="150"/>
        <w:rPr>
          <w:rFonts w:hint="eastAsia" w:ascii="宋体" w:hAnsi="宋体"/>
          <w:sz w:val="24"/>
          <w:szCs w:val="24"/>
          <w:highlight w:val="none"/>
        </w:rPr>
      </w:pPr>
      <w:r>
        <w:rPr>
          <w:rFonts w:hint="eastAsia" w:ascii="宋体" w:hAnsi="宋体"/>
          <w:sz w:val="24"/>
          <w:szCs w:val="24"/>
          <w:highlight w:val="none"/>
        </w:rPr>
        <w:t xml:space="preserve">供应商名称（盖章）：                                         </w:t>
      </w:r>
    </w:p>
    <w:p w14:paraId="6C0D4320">
      <w:pPr>
        <w:snapToGrid w:val="0"/>
        <w:spacing w:before="50" w:after="50"/>
        <w:ind w:right="-817" w:rightChars="-389"/>
        <w:rPr>
          <w:rFonts w:hint="eastAsia" w:ascii="宋体" w:hAnsi="宋体"/>
          <w:sz w:val="24"/>
          <w:szCs w:val="24"/>
          <w:highlight w:val="none"/>
        </w:rPr>
      </w:pPr>
      <w:r>
        <w:rPr>
          <w:rFonts w:hint="eastAsia" w:ascii="宋体" w:hAnsi="宋体"/>
          <w:sz w:val="24"/>
          <w:szCs w:val="24"/>
          <w:highlight w:val="none"/>
        </w:rPr>
        <w:t xml:space="preserve"> </w:t>
      </w:r>
    </w:p>
    <w:p w14:paraId="4F40D7AF">
      <w:pPr>
        <w:spacing w:line="380" w:lineRule="exact"/>
        <w:ind w:firstLine="6240" w:firstLineChars="2600"/>
        <w:rPr>
          <w:rFonts w:hint="eastAsia" w:ascii="宋体" w:hAnsi="宋体"/>
          <w:b/>
          <w:sz w:val="24"/>
          <w:szCs w:val="24"/>
          <w:highlight w:val="none"/>
        </w:rPr>
      </w:pPr>
      <w:r>
        <w:rPr>
          <w:rFonts w:hint="eastAsia" w:ascii="宋体" w:hAnsi="宋体"/>
          <w:sz w:val="24"/>
          <w:szCs w:val="24"/>
          <w:highlight w:val="none"/>
        </w:rPr>
        <w:t>日期：    年   月   日</w:t>
      </w:r>
    </w:p>
    <w:p w14:paraId="6135C25F">
      <w:pPr>
        <w:pStyle w:val="5"/>
        <w:rPr>
          <w:rFonts w:hint="eastAsia"/>
          <w:sz w:val="24"/>
          <w:szCs w:val="24"/>
          <w:highlight w:val="none"/>
        </w:rPr>
      </w:pPr>
      <w:r>
        <w:rPr>
          <w:sz w:val="24"/>
          <w:szCs w:val="24"/>
          <w:highlight w:val="none"/>
        </w:rPr>
        <w:t xml:space="preserve"> </w:t>
      </w:r>
    </w:p>
    <w:p w14:paraId="2A40FF10">
      <w:pPr>
        <w:rPr>
          <w:rFonts w:hint="eastAsia" w:ascii="宋体"/>
          <w:highlight w:val="none"/>
        </w:rPr>
      </w:pPr>
      <w:bookmarkStart w:id="92" w:name="_Toc13405"/>
      <w:bookmarkEnd w:id="92"/>
      <w:bookmarkStart w:id="93" w:name="_Toc20543"/>
      <w:bookmarkEnd w:id="93"/>
      <w:bookmarkStart w:id="94" w:name="_Toc15842"/>
      <w:bookmarkEnd w:id="94"/>
      <w:r>
        <w:rPr>
          <w:rFonts w:hint="eastAsia" w:ascii="宋体"/>
          <w:highlight w:val="none"/>
        </w:rPr>
        <w:t xml:space="preserve"> </w:t>
      </w:r>
    </w:p>
    <w:p w14:paraId="18C3527E">
      <w:pPr>
        <w:rPr>
          <w:rFonts w:hint="eastAsia" w:ascii="宋体"/>
          <w:highlight w:val="none"/>
        </w:rPr>
      </w:pPr>
      <w:r>
        <w:rPr>
          <w:rFonts w:hint="eastAsia" w:ascii="宋体"/>
          <w:highlight w:val="none"/>
        </w:rPr>
        <w:t xml:space="preserve"> </w:t>
      </w:r>
    </w:p>
    <w:p w14:paraId="78EEC730">
      <w:pPr>
        <w:rPr>
          <w:rFonts w:hint="eastAsia" w:ascii="宋体"/>
          <w:highlight w:val="none"/>
        </w:rPr>
      </w:pPr>
      <w:r>
        <w:rPr>
          <w:rFonts w:hint="eastAsia" w:ascii="宋体"/>
          <w:highlight w:val="none"/>
        </w:rPr>
        <w:t xml:space="preserve"> </w:t>
      </w:r>
    </w:p>
    <w:p w14:paraId="15ED1B43">
      <w:pPr>
        <w:spacing w:after="120"/>
        <w:jc w:val="center"/>
        <w:rPr>
          <w:rFonts w:hint="eastAsia" w:ascii="宋体"/>
          <w:b/>
          <w:sz w:val="36"/>
          <w:szCs w:val="36"/>
          <w:highlight w:val="none"/>
        </w:rPr>
      </w:pPr>
      <w:r>
        <w:rPr>
          <w:rFonts w:hint="eastAsia" w:ascii="宋体"/>
          <w:b/>
          <w:sz w:val="36"/>
          <w:szCs w:val="36"/>
          <w:highlight w:val="none"/>
        </w:rPr>
        <w:t xml:space="preserve"> </w:t>
      </w:r>
    </w:p>
    <w:p w14:paraId="1CB5FCE1">
      <w:pPr>
        <w:snapToGrid w:val="0"/>
        <w:rPr>
          <w:rFonts w:hint="eastAsia" w:ascii="宋体"/>
          <w:highlight w:val="none"/>
        </w:rPr>
      </w:pPr>
      <w:r>
        <w:rPr>
          <w:rFonts w:hint="eastAsia" w:ascii="宋体"/>
          <w:highlight w:val="none"/>
        </w:rPr>
        <w:t xml:space="preserve"> </w:t>
      </w:r>
    </w:p>
    <w:p w14:paraId="6C96FA0B">
      <w:pPr>
        <w:snapToGrid w:val="0"/>
        <w:rPr>
          <w:rFonts w:hint="eastAsia" w:ascii="宋体"/>
          <w:highlight w:val="none"/>
        </w:rPr>
      </w:pPr>
      <w:r>
        <w:rPr>
          <w:rFonts w:hint="eastAsia" w:ascii="宋体"/>
          <w:highlight w:val="none"/>
        </w:rPr>
        <w:t xml:space="preserve"> </w:t>
      </w:r>
    </w:p>
    <w:p w14:paraId="7FE9AE0C">
      <w:pPr>
        <w:snapToGrid w:val="0"/>
        <w:rPr>
          <w:rFonts w:hint="eastAsia" w:ascii="宋体"/>
          <w:highlight w:val="none"/>
        </w:rPr>
      </w:pPr>
      <w:r>
        <w:rPr>
          <w:rFonts w:hint="eastAsia" w:ascii="宋体"/>
          <w:highlight w:val="none"/>
        </w:rPr>
        <w:t xml:space="preserve"> </w:t>
      </w:r>
    </w:p>
    <w:p w14:paraId="7997483B">
      <w:pPr>
        <w:snapToGrid w:val="0"/>
        <w:rPr>
          <w:rFonts w:hint="eastAsia" w:ascii="宋体"/>
          <w:highlight w:val="none"/>
        </w:rPr>
      </w:pPr>
      <w:r>
        <w:rPr>
          <w:rFonts w:hint="eastAsia" w:ascii="宋体"/>
          <w:highlight w:val="none"/>
        </w:rPr>
        <w:t xml:space="preserve"> </w:t>
      </w:r>
    </w:p>
    <w:p w14:paraId="46F29F20">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w:t>
      </w:r>
      <w:bookmarkEnd w:id="91"/>
      <w:bookmarkStart w:id="95" w:name="_Toc24160"/>
      <w:bookmarkStart w:id="96" w:name="_Toc7478"/>
      <w:bookmarkStart w:id="97" w:name="_Toc2489"/>
      <w:r>
        <w:rPr>
          <w:rFonts w:hint="eastAsia" w:ascii="宋体" w:hAnsi="宋体"/>
          <w:bCs/>
          <w:color w:val="auto"/>
          <w:sz w:val="24"/>
          <w:highlight w:val="none"/>
          <w:lang w:val="en-US" w:eastAsia="zh-CN"/>
        </w:rPr>
        <w:t>附件二十二：质疑函范本</w:t>
      </w:r>
      <w:bookmarkEnd w:id="95"/>
      <w:bookmarkEnd w:id="96"/>
      <w:bookmarkEnd w:id="97"/>
    </w:p>
    <w:p w14:paraId="1AF159C5">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7E93B5F8">
      <w:pPr>
        <w:adjustRightInd w:val="0"/>
        <w:snapToGrid w:val="0"/>
        <w:spacing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5CA36646">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63FC23B7">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00B28ABD">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0D538D14">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4C4156AB">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5566140D">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00197236">
      <w:pPr>
        <w:adjustRightInd w:val="0"/>
        <w:snapToGrid w:val="0"/>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1644D595">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18444505">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3ADC4775">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p>
    <w:p w14:paraId="0DF4B05E">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45DAED91">
      <w:pPr>
        <w:adjustRightInd w:val="0"/>
        <w:snapToGrid w:val="0"/>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68CA08D1">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75CE59E4">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3B7A7CE5">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60B8FC6A">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686B814C">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34531DC2">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24E01C49">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3734983D">
      <w:pPr>
        <w:adjustRightInd w:val="0"/>
        <w:snapToGrid w:val="0"/>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6D85B4CD">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6294670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285E8713">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1158969B">
      <w:pPr>
        <w:rPr>
          <w:rFonts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708A553">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9537B64">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0B50A42">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A0E6373">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1B4FB3B">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5F49674">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0A5A33">
      <w:pPr>
        <w:widowControl/>
        <w:ind w:firstLine="480" w:firstLineChars="200"/>
        <w:jc w:val="left"/>
        <w:rPr>
          <w:rFonts w:ascii="宋体" w:hAnsi="宋体" w:eastAsia="宋体" w:cs="宋体"/>
          <w:color w:val="auto"/>
          <w:sz w:val="24"/>
          <w:highlight w:val="none"/>
        </w:rPr>
      </w:pPr>
    </w:p>
    <w:p w14:paraId="1058EC77">
      <w:pPr>
        <w:outlineLvl w:val="9"/>
        <w:rPr>
          <w:rFonts w:ascii="宋体" w:hAnsi="宋体" w:eastAsia="宋体" w:cs="宋体"/>
          <w:color w:val="auto"/>
          <w:sz w:val="20"/>
          <w:szCs w:val="22"/>
          <w:highlight w:val="none"/>
        </w:rPr>
      </w:pPr>
    </w:p>
    <w:p w14:paraId="0D229248">
      <w:pPr>
        <w:outlineLvl w:val="9"/>
        <w:rPr>
          <w:rFonts w:ascii="宋体" w:hAnsi="宋体" w:eastAsia="宋体" w:cs="宋体"/>
          <w:color w:val="auto"/>
          <w:sz w:val="28"/>
          <w:szCs w:val="28"/>
          <w:highlight w:val="none"/>
        </w:rPr>
      </w:pPr>
    </w:p>
    <w:p w14:paraId="68947ED5">
      <w:pPr>
        <w:outlineLvl w:val="9"/>
        <w:rPr>
          <w:rFonts w:ascii="宋体" w:hAnsi="宋体" w:eastAsia="宋体" w:cs="宋体"/>
          <w:color w:val="auto"/>
          <w:sz w:val="20"/>
          <w:szCs w:val="22"/>
          <w:highlight w:val="none"/>
        </w:rPr>
      </w:pPr>
    </w:p>
    <w:p w14:paraId="4594600B">
      <w:pPr>
        <w:outlineLvl w:val="9"/>
        <w:rPr>
          <w:rFonts w:ascii="宋体" w:hAnsi="宋体" w:eastAsia="宋体" w:cs="宋体"/>
          <w:color w:val="auto"/>
          <w:sz w:val="28"/>
          <w:szCs w:val="28"/>
          <w:highlight w:val="none"/>
        </w:rPr>
      </w:pPr>
    </w:p>
    <w:p w14:paraId="582FEE8F">
      <w:pPr>
        <w:outlineLvl w:val="9"/>
        <w:rPr>
          <w:rFonts w:ascii="宋体" w:hAnsi="宋体" w:eastAsia="宋体" w:cs="宋体"/>
          <w:color w:val="auto"/>
          <w:sz w:val="20"/>
          <w:szCs w:val="22"/>
          <w:highlight w:val="none"/>
        </w:rPr>
      </w:pPr>
    </w:p>
    <w:p w14:paraId="62BE58E7">
      <w:pPr>
        <w:pStyle w:val="2"/>
        <w:ind w:firstLine="560"/>
        <w:outlineLvl w:val="9"/>
        <w:rPr>
          <w:rFonts w:ascii="宋体" w:hAnsi="宋体" w:eastAsia="宋体" w:cs="宋体"/>
          <w:color w:val="auto"/>
          <w:sz w:val="28"/>
          <w:szCs w:val="22"/>
          <w:highlight w:val="none"/>
        </w:rPr>
      </w:pPr>
    </w:p>
    <w:p w14:paraId="62E476A2">
      <w:pPr>
        <w:pStyle w:val="31"/>
        <w:outlineLvl w:val="9"/>
        <w:rPr>
          <w:rFonts w:ascii="宋体" w:hAnsi="宋体" w:eastAsia="宋体" w:cs="宋体"/>
          <w:color w:val="auto"/>
          <w:sz w:val="20"/>
          <w:szCs w:val="22"/>
          <w:highlight w:val="none"/>
        </w:rPr>
      </w:pPr>
    </w:p>
    <w:p w14:paraId="310A5056">
      <w:pPr>
        <w:outlineLvl w:val="9"/>
        <w:rPr>
          <w:rFonts w:ascii="宋体" w:hAnsi="宋体" w:eastAsia="宋体" w:cs="宋体"/>
          <w:color w:val="auto"/>
          <w:sz w:val="20"/>
          <w:szCs w:val="22"/>
          <w:highlight w:val="none"/>
        </w:rPr>
      </w:pPr>
    </w:p>
    <w:p w14:paraId="1E9457EE">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98" w:name="_Toc24711"/>
      <w:bookmarkStart w:id="99" w:name="_Toc28792"/>
      <w:bookmarkStart w:id="100" w:name="_Toc32533"/>
      <w:r>
        <w:rPr>
          <w:rFonts w:hint="eastAsia" w:ascii="宋体" w:hAnsi="宋体"/>
          <w:bCs/>
          <w:color w:val="auto"/>
          <w:sz w:val="24"/>
          <w:highlight w:val="none"/>
          <w:lang w:val="en-US" w:eastAsia="zh-CN"/>
        </w:rPr>
        <w:t>附件二十三：投诉书范本</w:t>
      </w:r>
      <w:bookmarkEnd w:id="98"/>
      <w:bookmarkEnd w:id="99"/>
      <w:bookmarkEnd w:id="100"/>
    </w:p>
    <w:p w14:paraId="2519A750">
      <w:pPr>
        <w:jc w:val="center"/>
        <w:rPr>
          <w:rFonts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14:paraId="23DA5022">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43A12EA9">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115454CB">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3D51DC2">
      <w:pPr>
        <w:tabs>
          <w:tab w:val="left" w:pos="6510"/>
        </w:tabs>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0C27EA3B">
      <w:pPr>
        <w:tabs>
          <w:tab w:val="left" w:pos="6510"/>
        </w:tabs>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0C21E2BB">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75A20FE9">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65F3A610">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8652D69">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7FA2EF9A">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D939A67">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38EC9378">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0F04AFA3">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A624BD4">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E53F704">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5FA0908">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6704F9D8">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50110DE1">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08C6BD85">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0D441AFA">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72F3D9A2">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5B08875C">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2224D979">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68C1BB46">
      <w:pPr>
        <w:ind w:firstLine="560" w:firstLineChars="200"/>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70563BBE">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5E160C1A">
      <w:pPr>
        <w:ind w:firstLine="420" w:firstLineChars="1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411C5C27">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3F9A4A31">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1C440FD2">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11C8C4B5">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1ECD74D3">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6FB35C34">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6328961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035AEDC2">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641EB19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7CAAC5CE">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29D59F62">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69C47305">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6DE3A69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6C5412E5">
      <w:pPr>
        <w:rPr>
          <w:rFonts w:ascii="宋体" w:hAnsi="宋体" w:eastAsia="宋体" w:cs="宋体"/>
          <w:b/>
          <w:color w:val="auto"/>
          <w:sz w:val="28"/>
          <w:szCs w:val="28"/>
          <w:highlight w:val="none"/>
        </w:rPr>
      </w:pPr>
    </w:p>
    <w:p w14:paraId="24A87E2F">
      <w:pPr>
        <w:rPr>
          <w:rFonts w:ascii="宋体" w:hAnsi="宋体" w:eastAsia="宋体" w:cs="宋体"/>
          <w:b/>
          <w:color w:val="auto"/>
          <w:sz w:val="28"/>
          <w:szCs w:val="28"/>
          <w:highlight w:val="none"/>
        </w:rPr>
      </w:pPr>
    </w:p>
    <w:p w14:paraId="3BB609B5">
      <w:pPr>
        <w:rPr>
          <w:rFonts w:ascii="宋体" w:hAnsi="宋体" w:eastAsia="宋体" w:cs="宋体"/>
          <w:b/>
          <w:color w:val="auto"/>
          <w:sz w:val="28"/>
          <w:szCs w:val="28"/>
          <w:highlight w:val="none"/>
        </w:rPr>
      </w:pPr>
    </w:p>
    <w:p w14:paraId="42DF4F47">
      <w:pPr>
        <w:rPr>
          <w:rFonts w:ascii="宋体" w:hAnsi="宋体" w:eastAsia="宋体" w:cs="宋体"/>
          <w:b/>
          <w:color w:val="auto"/>
          <w:sz w:val="28"/>
          <w:szCs w:val="28"/>
          <w:highlight w:val="none"/>
        </w:rPr>
      </w:pPr>
    </w:p>
    <w:p w14:paraId="266E7770">
      <w:pPr>
        <w:rPr>
          <w:rFonts w:ascii="宋体" w:hAnsi="宋体" w:eastAsia="宋体" w:cs="宋体"/>
          <w:b/>
          <w:color w:val="auto"/>
          <w:sz w:val="28"/>
          <w:szCs w:val="28"/>
          <w:highlight w:val="none"/>
        </w:rPr>
      </w:pPr>
    </w:p>
    <w:p w14:paraId="5BE5BCFB">
      <w:pPr>
        <w:rPr>
          <w:rFonts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EB31DD2">
      <w:pPr>
        <w:widowControl/>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E1DF6F5">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A2CE5F5">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D8DC3D5">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F7C8378">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3140D0A">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A84D855">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0D376BE">
      <w:pPr>
        <w:jc w:val="left"/>
        <w:rPr>
          <w:rFonts w:hint="eastAsia" w:ascii="宋体" w:hAnsi="宋体" w:eastAsia="宋体" w:cs="宋体"/>
          <w:b/>
          <w:color w:val="auto"/>
          <w:sz w:val="28"/>
          <w:szCs w:val="28"/>
          <w:highlight w:val="none"/>
        </w:rPr>
        <w:sectPr>
          <w:headerReference r:id="rId9" w:type="first"/>
          <w:footerReference r:id="rId11" w:type="first"/>
          <w:headerReference r:id="rId8" w:type="default"/>
          <w:footerReference r:id="rId10" w:type="default"/>
          <w:pgSz w:w="11906" w:h="16838"/>
          <w:pgMar w:top="851" w:right="1247" w:bottom="1021" w:left="1247" w:header="851" w:footer="907"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p>
    <w:p w14:paraId="3C5F130A">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附件二十四：预算审核编制说明及工程量清单</w:t>
      </w:r>
    </w:p>
    <w:p w14:paraId="5B0A0056">
      <w:pPr>
        <w:pStyle w:val="14"/>
        <w:ind w:left="0" w:leftChars="0" w:firstLine="420" w:firstLineChars="200"/>
        <w:rPr>
          <w:highlight w:val="none"/>
        </w:rPr>
      </w:pPr>
      <w:r>
        <w:rPr>
          <w:highlight w:val="none"/>
        </w:rPr>
        <w:drawing>
          <wp:inline distT="0" distB="0" distL="114300" distR="114300">
            <wp:extent cx="5936615" cy="7987030"/>
            <wp:effectExtent l="0" t="0" r="698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936615" cy="7987030"/>
                    </a:xfrm>
                    <a:prstGeom prst="rect">
                      <a:avLst/>
                    </a:prstGeom>
                    <a:noFill/>
                    <a:ln>
                      <a:noFill/>
                    </a:ln>
                  </pic:spPr>
                </pic:pic>
              </a:graphicData>
            </a:graphic>
          </wp:inline>
        </w:drawing>
      </w:r>
    </w:p>
    <w:p w14:paraId="04F14107">
      <w:pPr>
        <w:rPr>
          <w:highlight w:val="none"/>
        </w:rPr>
      </w:pPr>
    </w:p>
    <w:p w14:paraId="1087C34D">
      <w:pPr>
        <w:pStyle w:val="3"/>
        <w:rPr>
          <w:highlight w:val="none"/>
        </w:rPr>
      </w:pPr>
    </w:p>
    <w:p w14:paraId="424A7965">
      <w:pPr>
        <w:pStyle w:val="2"/>
        <w:rPr>
          <w:highlight w:val="none"/>
        </w:rPr>
      </w:pPr>
      <w:r>
        <w:rPr>
          <w:highlight w:val="none"/>
        </w:rPr>
        <w:drawing>
          <wp:inline distT="0" distB="0" distL="114300" distR="114300">
            <wp:extent cx="5622925" cy="7905115"/>
            <wp:effectExtent l="0" t="0" r="1587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5622925" cy="7905115"/>
                    </a:xfrm>
                    <a:prstGeom prst="rect">
                      <a:avLst/>
                    </a:prstGeom>
                    <a:noFill/>
                    <a:ln>
                      <a:noFill/>
                    </a:ln>
                  </pic:spPr>
                </pic:pic>
              </a:graphicData>
            </a:graphic>
          </wp:inline>
        </w:drawing>
      </w:r>
    </w:p>
    <w:p w14:paraId="1925FD56">
      <w:pPr>
        <w:pStyle w:val="2"/>
        <w:rPr>
          <w:highlight w:val="none"/>
        </w:rPr>
      </w:pPr>
    </w:p>
    <w:p w14:paraId="42747E47">
      <w:pPr>
        <w:pStyle w:val="2"/>
        <w:rPr>
          <w:highlight w:val="none"/>
        </w:rPr>
      </w:pPr>
    </w:p>
    <w:p w14:paraId="6FAE129B">
      <w:pPr>
        <w:pStyle w:val="2"/>
        <w:rPr>
          <w:highlight w:val="none"/>
        </w:rPr>
      </w:pPr>
    </w:p>
    <w:p w14:paraId="6A7FB151">
      <w:pPr>
        <w:pStyle w:val="2"/>
        <w:rPr>
          <w:highlight w:val="none"/>
        </w:rPr>
      </w:pPr>
      <w:r>
        <w:rPr>
          <w:highlight w:val="none"/>
        </w:rPr>
        <w:drawing>
          <wp:inline distT="0" distB="0" distL="114300" distR="114300">
            <wp:extent cx="5597525" cy="7067550"/>
            <wp:effectExtent l="0" t="0" r="317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9"/>
                    <a:stretch>
                      <a:fillRect/>
                    </a:stretch>
                  </pic:blipFill>
                  <pic:spPr>
                    <a:xfrm>
                      <a:off x="0" y="0"/>
                      <a:ext cx="5597525" cy="7067550"/>
                    </a:xfrm>
                    <a:prstGeom prst="rect">
                      <a:avLst/>
                    </a:prstGeom>
                    <a:noFill/>
                    <a:ln>
                      <a:noFill/>
                    </a:ln>
                  </pic:spPr>
                </pic:pic>
              </a:graphicData>
            </a:graphic>
          </wp:inline>
        </w:drawing>
      </w:r>
    </w:p>
    <w:p w14:paraId="65155050">
      <w:pPr>
        <w:pStyle w:val="3"/>
        <w:rPr>
          <w:b/>
          <w:color w:val="auto"/>
          <w:sz w:val="28"/>
          <w:highlight w:val="none"/>
        </w:rPr>
      </w:pPr>
      <w:r>
        <w:rPr>
          <w:b/>
          <w:color w:val="auto"/>
          <w:sz w:val="28"/>
          <w:highlight w:val="none"/>
        </w:rPr>
        <w:t>（详见公告附件）</w:t>
      </w:r>
    </w:p>
    <w:p w14:paraId="3C9B07FE">
      <w:pPr>
        <w:pStyle w:val="2"/>
        <w:rPr>
          <w:highlight w:val="none"/>
        </w:rPr>
      </w:pPr>
    </w:p>
    <w:p w14:paraId="0978AA75">
      <w:pPr>
        <w:pStyle w:val="2"/>
        <w:rPr>
          <w:highlight w:val="none"/>
        </w:rPr>
      </w:pPr>
    </w:p>
    <w:p w14:paraId="4DB90BE4">
      <w:pPr>
        <w:pStyle w:val="2"/>
        <w:rPr>
          <w:highlight w:val="none"/>
        </w:rPr>
      </w:pPr>
    </w:p>
    <w:p w14:paraId="65155175">
      <w:pPr>
        <w:pStyle w:val="2"/>
        <w:rPr>
          <w:highlight w:val="none"/>
        </w:rPr>
      </w:pPr>
    </w:p>
    <w:p w14:paraId="008650AB">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附件二十五：图纸</w:t>
      </w:r>
    </w:p>
    <w:p w14:paraId="34BE4DBB">
      <w:pPr>
        <w:pStyle w:val="3"/>
        <w:rPr>
          <w:b/>
          <w:color w:val="auto"/>
          <w:sz w:val="28"/>
          <w:highlight w:val="none"/>
        </w:rPr>
      </w:pPr>
      <w:r>
        <w:rPr>
          <w:b/>
          <w:color w:val="auto"/>
          <w:sz w:val="28"/>
          <w:highlight w:val="none"/>
        </w:rPr>
        <w:t>（详见公告附件）</w:t>
      </w:r>
    </w:p>
    <w:p w14:paraId="2E46B32C">
      <w:pPr>
        <w:pStyle w:val="2"/>
        <w:rPr>
          <w:rFonts w:hint="default"/>
          <w:highlight w:val="none"/>
          <w:lang w:val="en-US" w:eastAsia="zh-CN"/>
        </w:rPr>
      </w:pPr>
    </w:p>
    <w:sectPr>
      <w:headerReference r:id="rId13" w:type="first"/>
      <w:footerReference r:id="rId15" w:type="first"/>
      <w:headerReference r:id="rId12" w:type="default"/>
      <w:footerReference r:id="rId14" w:type="default"/>
      <w:pgSz w:w="11906" w:h="16838"/>
      <w:pgMar w:top="851" w:right="1247" w:bottom="1021" w:left="1247"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幼圆">
    <w:panose1 w:val="0201050906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96A4">
    <w:pPr>
      <w:pStyle w:val="27"/>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C55FF6">
                          <w:pPr>
                            <w:pStyle w:val="2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FC55FF6">
                    <w:pPr>
                      <w:pStyle w:val="27"/>
                    </w:pPr>
                    <w:r>
                      <w:fldChar w:fldCharType="begin"/>
                    </w:r>
                    <w:r>
                      <w:instrText xml:space="preserve"> PAGE  \* MERGEFORMAT </w:instrText>
                    </w:r>
                    <w:r>
                      <w:fldChar w:fldCharType="separate"/>
                    </w:r>
                    <w:r>
                      <w:t>22</w:t>
                    </w:r>
                    <w:r>
                      <w:fldChar w:fldCharType="end"/>
                    </w:r>
                  </w:p>
                </w:txbxContent>
              </v:textbox>
            </v:shape>
          </w:pict>
        </mc:Fallback>
      </mc:AlternateContent>
    </w:r>
  </w:p>
  <w:p w14:paraId="2435EA2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CF393">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040342">
                          <w:pPr>
                            <w:pStyle w:val="2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5040342">
                    <w:pPr>
                      <w:pStyle w:val="27"/>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3726">
    <w:pPr>
      <w:pStyle w:val="27"/>
      <w:jc w:val="right"/>
      <w:rPr>
        <w:rFonts w:hint="eastAsia" w:ascii="宋体" w:hAnsi="宋体" w:eastAsia="宋体" w:cs="宋体"/>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4C62F5">
                          <w:pPr>
                            <w:pStyle w:val="27"/>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04C62F5">
                    <w:pPr>
                      <w:pStyle w:val="2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79E0">
    <w:pPr>
      <w:pStyle w:val="2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D1F38C">
                          <w:pPr>
                            <w:pStyle w:val="27"/>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R/Fc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H8VyQEAAJkDAAAOAAAAAAAAAAEAIAAAAB4BAABkcnMvZTJvRG9j&#10;LnhtbFBLBQYAAAAABgAGAFkBAABZBQAAAAA=&#10;">
              <v:fill on="f" focussize="0,0"/>
              <v:stroke on="f"/>
              <v:imagedata o:title=""/>
              <o:lock v:ext="edit" aspectratio="f"/>
              <v:textbox inset="0mm,0mm,0mm,0mm" style="mso-fit-shape-to-text:t;">
                <w:txbxContent>
                  <w:p w14:paraId="01D1F38C">
                    <w:pPr>
                      <w:pStyle w:val="2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A963">
    <w:pPr>
      <w:jc w:val="right"/>
      <w:rPr>
        <w:rFonts w:ascii="仿宋" w:eastAsia="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89CB0">
                          <w:pPr>
                            <w:pStyle w:val="27"/>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wjeckBAACZ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zCN5yQEAAJkDAAAOAAAAAAAAAAEAIAAAAB4BAABkcnMvZTJvRG9j&#10;LnhtbFBLBQYAAAAABgAGAFkBAABZBQAAAAA=&#10;">
              <v:fill on="f" focussize="0,0"/>
              <v:stroke on="f"/>
              <v:imagedata o:title=""/>
              <o:lock v:ext="edit" aspectratio="f"/>
              <v:textbox inset="0mm,0mm,0mm,0mm" style="mso-fit-shape-to-text:t;">
                <w:txbxContent>
                  <w:p w14:paraId="38889CB0">
                    <w:pPr>
                      <w:pStyle w:val="2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6E75">
    <w:pPr>
      <w:pStyle w:val="27"/>
      <w:ind w:firstLine="4320" w:firstLineChars="2400"/>
    </w:pPr>
    <w:r>
      <w:rPr>
        <w:rFonts w:hint="eastAsia"/>
      </w:rPr>
      <w:t xml:space="preserve">  </w:t>
    </w:r>
    <w:r>
      <w:t xml:space="preserve">   </w: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F6D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7FC2">
    <w:pPr>
      <w:pStyle w:val="28"/>
      <w:pBdr>
        <w:bottom w:val="none" w:color="auto" w:sz="0" w:space="1"/>
      </w:pBd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50FB2">
    <w:pPr>
      <w:pStyle w:val="28"/>
      <w:jc w:val="both"/>
    </w:pPr>
    <w:r>
      <w:rPr>
        <w:rFonts w:hint="eastAsia"/>
      </w:rPr>
      <w:t>东阳市2022年度开发区节约集约利用评价项目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9CE9">
    <w:pPr>
      <w:pStyle w:val="28"/>
      <w:pBdr>
        <w:bottom w:val="none" w:color="auto" w:sz="0" w:space="1"/>
      </w:pBdr>
      <w:jc w:val="left"/>
      <w:rPr>
        <w:rFonts w:hint="eastAsia" w:eastAsia="宋体" w:cs="Arial"/>
        <w:color w:val="00000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E7385">
    <w:pPr>
      <w:pStyle w:val="28"/>
      <w:pBdr>
        <w:bottom w:val="none" w:color="auto" w:sz="0" w:space="1"/>
      </w:pBdr>
      <w:rPr>
        <w:rFonts w:hint="eastAsia" w:eastAsia="宋体" w:cs="Arial"/>
        <w:color w:val="000000"/>
        <w:sz w:val="16"/>
        <w:szCs w:val="16"/>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FACCC">
    <w:pPr>
      <w:pStyle w:val="2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291E">
    <w:pPr>
      <w:pStyle w:val="28"/>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5B089"/>
    <w:multiLevelType w:val="singleLevel"/>
    <w:tmpl w:val="A405B089"/>
    <w:lvl w:ilvl="0" w:tentative="0">
      <w:start w:val="1"/>
      <w:numFmt w:val="chineseCounting"/>
      <w:suff w:val="nothing"/>
      <w:lvlText w:val="%1、"/>
      <w:lvlJc w:val="left"/>
      <w:rPr>
        <w:rFonts w:hint="eastAsia"/>
      </w:rPr>
    </w:lvl>
  </w:abstractNum>
  <w:abstractNum w:abstractNumId="1">
    <w:nsid w:val="AA3F13F2"/>
    <w:multiLevelType w:val="singleLevel"/>
    <w:tmpl w:val="AA3F13F2"/>
    <w:lvl w:ilvl="0" w:tentative="0">
      <w:start w:val="1"/>
      <w:numFmt w:val="decimal"/>
      <w:suff w:val="nothing"/>
      <w:lvlText w:val="(%1)"/>
      <w:lvlJc w:val="left"/>
      <w:pPr>
        <w:ind w:left="845" w:hanging="425"/>
      </w:pPr>
      <w:rPr>
        <w:rFonts w:hint="default"/>
      </w:rPr>
    </w:lvl>
  </w:abstractNum>
  <w:abstractNum w:abstractNumId="2">
    <w:nsid w:val="C6D025FC"/>
    <w:multiLevelType w:val="singleLevel"/>
    <w:tmpl w:val="C6D025FC"/>
    <w:lvl w:ilvl="0" w:tentative="0">
      <w:start w:val="1"/>
      <w:numFmt w:val="decimal"/>
      <w:lvlText w:val="%1."/>
      <w:lvlJc w:val="left"/>
      <w:pPr>
        <w:tabs>
          <w:tab w:val="left" w:pos="312"/>
        </w:tabs>
      </w:pPr>
    </w:lvl>
  </w:abstractNum>
  <w:abstractNum w:abstractNumId="3">
    <w:nsid w:val="00000008"/>
    <w:multiLevelType w:val="multilevel"/>
    <w:tmpl w:val="00000008"/>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4">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8"/>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6"/>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5D410D0D"/>
    <w:multiLevelType w:val="singleLevel"/>
    <w:tmpl w:val="5D410D0D"/>
    <w:lvl w:ilvl="0" w:tentative="0">
      <w:start w:val="5"/>
      <w:numFmt w:val="chineseCounting"/>
      <w:suff w:val="space"/>
      <w:lvlText w:val="第%1章"/>
      <w:lvlJc w:val="left"/>
      <w:rPr>
        <w:rFonts w:hint="eastAsia"/>
      </w:rPr>
    </w:lvl>
  </w:abstractNum>
  <w:abstractNum w:abstractNumId="8">
    <w:nsid w:val="64DE61C4"/>
    <w:multiLevelType w:val="multilevel"/>
    <w:tmpl w:val="64DE61C4"/>
    <w:lvl w:ilvl="0" w:tentative="0">
      <w:start w:val="1"/>
      <w:numFmt w:val="decimal"/>
      <w:pStyle w:val="1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6"/>
  </w:num>
  <w:num w:numId="4">
    <w:abstractNumId w:val="0"/>
  </w:num>
  <w:num w:numId="5">
    <w:abstractNumId w:val="4"/>
  </w:num>
  <w:num w:numId="6">
    <w:abstractNumId w:val="9"/>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jNhZTFiOGRiNTdkZjI3MWI5ZGI4MDNmZmVkNDU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67"/>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4D3"/>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933"/>
    <w:rsid w:val="000E7E37"/>
    <w:rsid w:val="000F0003"/>
    <w:rsid w:val="000F1FF1"/>
    <w:rsid w:val="000F22A3"/>
    <w:rsid w:val="000F2869"/>
    <w:rsid w:val="000F2AF3"/>
    <w:rsid w:val="000F2FE2"/>
    <w:rsid w:val="000F35B1"/>
    <w:rsid w:val="000F39D3"/>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080"/>
    <w:rsid w:val="00102358"/>
    <w:rsid w:val="0010277E"/>
    <w:rsid w:val="001027EB"/>
    <w:rsid w:val="00102C71"/>
    <w:rsid w:val="00102F65"/>
    <w:rsid w:val="001030C6"/>
    <w:rsid w:val="00103374"/>
    <w:rsid w:val="001034A5"/>
    <w:rsid w:val="001035FB"/>
    <w:rsid w:val="00103A8F"/>
    <w:rsid w:val="001040BF"/>
    <w:rsid w:val="00104588"/>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3BDB"/>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45F"/>
    <w:rsid w:val="001D1598"/>
    <w:rsid w:val="001D1A30"/>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65"/>
    <w:rsid w:val="002971E8"/>
    <w:rsid w:val="00297D26"/>
    <w:rsid w:val="002A02EB"/>
    <w:rsid w:val="002A0507"/>
    <w:rsid w:val="002A06E4"/>
    <w:rsid w:val="002A112C"/>
    <w:rsid w:val="002A142A"/>
    <w:rsid w:val="002A1A2C"/>
    <w:rsid w:val="002A1D2B"/>
    <w:rsid w:val="002A21DD"/>
    <w:rsid w:val="002A2353"/>
    <w:rsid w:val="002A2E8F"/>
    <w:rsid w:val="002A325C"/>
    <w:rsid w:val="002A3552"/>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8E7"/>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4B23"/>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4F73FB"/>
    <w:rsid w:val="005000AD"/>
    <w:rsid w:val="0050079A"/>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28D"/>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5357"/>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030"/>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6BE"/>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64E"/>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28B"/>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0A9"/>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017"/>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609"/>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4B9"/>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A3C"/>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60F"/>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AD3"/>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E74"/>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2C2F"/>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87D64"/>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5EA"/>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3B21"/>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58"/>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2C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2720"/>
    <w:rsid w:val="00ED34DF"/>
    <w:rsid w:val="00ED3B5C"/>
    <w:rsid w:val="00ED3D92"/>
    <w:rsid w:val="00ED3EB8"/>
    <w:rsid w:val="00ED414A"/>
    <w:rsid w:val="00ED4457"/>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0CDF"/>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2A4E21"/>
    <w:rsid w:val="013A690F"/>
    <w:rsid w:val="01593F92"/>
    <w:rsid w:val="015A1913"/>
    <w:rsid w:val="015A7948"/>
    <w:rsid w:val="015E2839"/>
    <w:rsid w:val="016025FC"/>
    <w:rsid w:val="016B05BC"/>
    <w:rsid w:val="016D4D19"/>
    <w:rsid w:val="0175443A"/>
    <w:rsid w:val="01777E30"/>
    <w:rsid w:val="01957768"/>
    <w:rsid w:val="019F0AF5"/>
    <w:rsid w:val="01A152B0"/>
    <w:rsid w:val="01C15437"/>
    <w:rsid w:val="01C67396"/>
    <w:rsid w:val="01C74AC8"/>
    <w:rsid w:val="01C80D59"/>
    <w:rsid w:val="01D11701"/>
    <w:rsid w:val="01E0373D"/>
    <w:rsid w:val="01E92329"/>
    <w:rsid w:val="01F125AA"/>
    <w:rsid w:val="01FA6612"/>
    <w:rsid w:val="01FE0052"/>
    <w:rsid w:val="020B325A"/>
    <w:rsid w:val="021235EC"/>
    <w:rsid w:val="02221DF9"/>
    <w:rsid w:val="0242118E"/>
    <w:rsid w:val="024C2B81"/>
    <w:rsid w:val="024F2D27"/>
    <w:rsid w:val="025C69AC"/>
    <w:rsid w:val="02790E31"/>
    <w:rsid w:val="027A76EE"/>
    <w:rsid w:val="027F2E0D"/>
    <w:rsid w:val="029137FA"/>
    <w:rsid w:val="029B3A6C"/>
    <w:rsid w:val="02AD79EA"/>
    <w:rsid w:val="02AF1E27"/>
    <w:rsid w:val="02BE3F94"/>
    <w:rsid w:val="02BE5535"/>
    <w:rsid w:val="02C357E3"/>
    <w:rsid w:val="02DF6410"/>
    <w:rsid w:val="02ED3385"/>
    <w:rsid w:val="02F016DD"/>
    <w:rsid w:val="02F43A2B"/>
    <w:rsid w:val="03011BBD"/>
    <w:rsid w:val="03056DC8"/>
    <w:rsid w:val="0311108D"/>
    <w:rsid w:val="03145467"/>
    <w:rsid w:val="031B7166"/>
    <w:rsid w:val="031C07A5"/>
    <w:rsid w:val="031C76EC"/>
    <w:rsid w:val="0320478A"/>
    <w:rsid w:val="03355265"/>
    <w:rsid w:val="035C6DF3"/>
    <w:rsid w:val="035E787F"/>
    <w:rsid w:val="036A1685"/>
    <w:rsid w:val="03764359"/>
    <w:rsid w:val="037C1244"/>
    <w:rsid w:val="037D3E51"/>
    <w:rsid w:val="0395476E"/>
    <w:rsid w:val="03E156A2"/>
    <w:rsid w:val="03F21F57"/>
    <w:rsid w:val="04003EB2"/>
    <w:rsid w:val="04020541"/>
    <w:rsid w:val="040F20B8"/>
    <w:rsid w:val="041F679F"/>
    <w:rsid w:val="04271AF0"/>
    <w:rsid w:val="045460E0"/>
    <w:rsid w:val="045A31A4"/>
    <w:rsid w:val="04643AB8"/>
    <w:rsid w:val="046A6998"/>
    <w:rsid w:val="047E396A"/>
    <w:rsid w:val="0480087C"/>
    <w:rsid w:val="04916503"/>
    <w:rsid w:val="04990B69"/>
    <w:rsid w:val="04AB1DE0"/>
    <w:rsid w:val="04AB2DF4"/>
    <w:rsid w:val="04CC08EB"/>
    <w:rsid w:val="04D043AD"/>
    <w:rsid w:val="04D30939"/>
    <w:rsid w:val="04FE4E8A"/>
    <w:rsid w:val="0511593E"/>
    <w:rsid w:val="05132475"/>
    <w:rsid w:val="05141DF0"/>
    <w:rsid w:val="051D5FC6"/>
    <w:rsid w:val="05285B11"/>
    <w:rsid w:val="052878D5"/>
    <w:rsid w:val="0531620D"/>
    <w:rsid w:val="05415BBD"/>
    <w:rsid w:val="05481A3A"/>
    <w:rsid w:val="0549490C"/>
    <w:rsid w:val="055178E9"/>
    <w:rsid w:val="05603190"/>
    <w:rsid w:val="05663F59"/>
    <w:rsid w:val="057000C1"/>
    <w:rsid w:val="058D12A0"/>
    <w:rsid w:val="0598798D"/>
    <w:rsid w:val="05990C7D"/>
    <w:rsid w:val="05A61FAC"/>
    <w:rsid w:val="05AE30F1"/>
    <w:rsid w:val="05B40ECA"/>
    <w:rsid w:val="05BE5B43"/>
    <w:rsid w:val="05C100EB"/>
    <w:rsid w:val="05D73B61"/>
    <w:rsid w:val="05D9472B"/>
    <w:rsid w:val="05E570CC"/>
    <w:rsid w:val="05E60001"/>
    <w:rsid w:val="05EF03F3"/>
    <w:rsid w:val="05EF52C8"/>
    <w:rsid w:val="05F27668"/>
    <w:rsid w:val="05F55E80"/>
    <w:rsid w:val="0619721E"/>
    <w:rsid w:val="062A3D1C"/>
    <w:rsid w:val="062A44AF"/>
    <w:rsid w:val="062E3A1D"/>
    <w:rsid w:val="063925D1"/>
    <w:rsid w:val="063E7EA9"/>
    <w:rsid w:val="06612458"/>
    <w:rsid w:val="06633218"/>
    <w:rsid w:val="066D34B2"/>
    <w:rsid w:val="066D5F43"/>
    <w:rsid w:val="067A5870"/>
    <w:rsid w:val="067A6032"/>
    <w:rsid w:val="068805E7"/>
    <w:rsid w:val="06881577"/>
    <w:rsid w:val="068C3E93"/>
    <w:rsid w:val="06992382"/>
    <w:rsid w:val="06A170F3"/>
    <w:rsid w:val="06AB18BD"/>
    <w:rsid w:val="06C059C2"/>
    <w:rsid w:val="06C26FEB"/>
    <w:rsid w:val="06C620FA"/>
    <w:rsid w:val="06D56611"/>
    <w:rsid w:val="06D66EBD"/>
    <w:rsid w:val="06DA6F81"/>
    <w:rsid w:val="06DC3A32"/>
    <w:rsid w:val="06E45F93"/>
    <w:rsid w:val="06E72E78"/>
    <w:rsid w:val="06F07F7E"/>
    <w:rsid w:val="06F37001"/>
    <w:rsid w:val="07005B38"/>
    <w:rsid w:val="0705457D"/>
    <w:rsid w:val="07364A4C"/>
    <w:rsid w:val="073B6CAB"/>
    <w:rsid w:val="075B095F"/>
    <w:rsid w:val="07687B73"/>
    <w:rsid w:val="076C4EC2"/>
    <w:rsid w:val="076D2C0D"/>
    <w:rsid w:val="077F065C"/>
    <w:rsid w:val="07893F2F"/>
    <w:rsid w:val="078C107C"/>
    <w:rsid w:val="078E4C5C"/>
    <w:rsid w:val="07933081"/>
    <w:rsid w:val="07B00F1D"/>
    <w:rsid w:val="07C8347D"/>
    <w:rsid w:val="07D5339B"/>
    <w:rsid w:val="07F51BAB"/>
    <w:rsid w:val="081A2A1A"/>
    <w:rsid w:val="08276797"/>
    <w:rsid w:val="082A5356"/>
    <w:rsid w:val="082D6F32"/>
    <w:rsid w:val="083A0D4F"/>
    <w:rsid w:val="08625011"/>
    <w:rsid w:val="08682F69"/>
    <w:rsid w:val="08767126"/>
    <w:rsid w:val="0884628E"/>
    <w:rsid w:val="088816B9"/>
    <w:rsid w:val="089E1642"/>
    <w:rsid w:val="08B17BE1"/>
    <w:rsid w:val="08BA426F"/>
    <w:rsid w:val="08E522B1"/>
    <w:rsid w:val="08EB7112"/>
    <w:rsid w:val="08F07C2D"/>
    <w:rsid w:val="08F4703A"/>
    <w:rsid w:val="08F66B32"/>
    <w:rsid w:val="08FA146D"/>
    <w:rsid w:val="090030B6"/>
    <w:rsid w:val="090620B8"/>
    <w:rsid w:val="09127C2A"/>
    <w:rsid w:val="091A2C9A"/>
    <w:rsid w:val="091A7D77"/>
    <w:rsid w:val="091B1C08"/>
    <w:rsid w:val="09216662"/>
    <w:rsid w:val="09281FD6"/>
    <w:rsid w:val="09292548"/>
    <w:rsid w:val="09353A12"/>
    <w:rsid w:val="093951B3"/>
    <w:rsid w:val="093F51ED"/>
    <w:rsid w:val="094314F2"/>
    <w:rsid w:val="09465B74"/>
    <w:rsid w:val="094846AB"/>
    <w:rsid w:val="09497E1A"/>
    <w:rsid w:val="095073FA"/>
    <w:rsid w:val="09551119"/>
    <w:rsid w:val="09577B8B"/>
    <w:rsid w:val="09671F72"/>
    <w:rsid w:val="09675EB5"/>
    <w:rsid w:val="0992244E"/>
    <w:rsid w:val="09A9515D"/>
    <w:rsid w:val="09AC384F"/>
    <w:rsid w:val="09B16020"/>
    <w:rsid w:val="09B23C11"/>
    <w:rsid w:val="09B47A1D"/>
    <w:rsid w:val="09B76C6A"/>
    <w:rsid w:val="09BB62F2"/>
    <w:rsid w:val="09BF1E8A"/>
    <w:rsid w:val="09D26AB5"/>
    <w:rsid w:val="09D75580"/>
    <w:rsid w:val="09EA7679"/>
    <w:rsid w:val="0A097FBA"/>
    <w:rsid w:val="0A1C2502"/>
    <w:rsid w:val="0A2B4270"/>
    <w:rsid w:val="0A452777"/>
    <w:rsid w:val="0A4632D9"/>
    <w:rsid w:val="0A464256"/>
    <w:rsid w:val="0A4E36C6"/>
    <w:rsid w:val="0A51342A"/>
    <w:rsid w:val="0A517CAA"/>
    <w:rsid w:val="0A52729D"/>
    <w:rsid w:val="0A874528"/>
    <w:rsid w:val="0A892102"/>
    <w:rsid w:val="0A8B7316"/>
    <w:rsid w:val="0A8C110E"/>
    <w:rsid w:val="0AA16F7A"/>
    <w:rsid w:val="0AAD4EDD"/>
    <w:rsid w:val="0AB55D02"/>
    <w:rsid w:val="0ABF0BD3"/>
    <w:rsid w:val="0ACC08EE"/>
    <w:rsid w:val="0AD05264"/>
    <w:rsid w:val="0ADB3B99"/>
    <w:rsid w:val="0AE5691F"/>
    <w:rsid w:val="0AE8742C"/>
    <w:rsid w:val="0AF639B0"/>
    <w:rsid w:val="0AF65375"/>
    <w:rsid w:val="0AFA5870"/>
    <w:rsid w:val="0AFB19E5"/>
    <w:rsid w:val="0B022976"/>
    <w:rsid w:val="0B081D3B"/>
    <w:rsid w:val="0B0C32F3"/>
    <w:rsid w:val="0B0C4720"/>
    <w:rsid w:val="0B0E4E77"/>
    <w:rsid w:val="0B197E66"/>
    <w:rsid w:val="0B204BAA"/>
    <w:rsid w:val="0B2D2AD7"/>
    <w:rsid w:val="0B2E01DA"/>
    <w:rsid w:val="0B320337"/>
    <w:rsid w:val="0B346A82"/>
    <w:rsid w:val="0B38067D"/>
    <w:rsid w:val="0B3C6044"/>
    <w:rsid w:val="0B560E92"/>
    <w:rsid w:val="0B561CDB"/>
    <w:rsid w:val="0B673601"/>
    <w:rsid w:val="0B704E99"/>
    <w:rsid w:val="0B7371A6"/>
    <w:rsid w:val="0B7609EE"/>
    <w:rsid w:val="0B760C93"/>
    <w:rsid w:val="0B7A075E"/>
    <w:rsid w:val="0B846521"/>
    <w:rsid w:val="0B8A79AF"/>
    <w:rsid w:val="0BA55BDE"/>
    <w:rsid w:val="0BB7E64E"/>
    <w:rsid w:val="0BBE65A8"/>
    <w:rsid w:val="0BDC277F"/>
    <w:rsid w:val="0BEF6659"/>
    <w:rsid w:val="0BF56D6B"/>
    <w:rsid w:val="0BF81BBC"/>
    <w:rsid w:val="0BFC7976"/>
    <w:rsid w:val="0C015150"/>
    <w:rsid w:val="0C121E0B"/>
    <w:rsid w:val="0C195DBC"/>
    <w:rsid w:val="0C1C402C"/>
    <w:rsid w:val="0C27651D"/>
    <w:rsid w:val="0C342351"/>
    <w:rsid w:val="0C4274CE"/>
    <w:rsid w:val="0C52058D"/>
    <w:rsid w:val="0C5313A4"/>
    <w:rsid w:val="0C580538"/>
    <w:rsid w:val="0C590374"/>
    <w:rsid w:val="0C5A588C"/>
    <w:rsid w:val="0C635FA4"/>
    <w:rsid w:val="0C682019"/>
    <w:rsid w:val="0C686809"/>
    <w:rsid w:val="0C6B0C28"/>
    <w:rsid w:val="0C8F6630"/>
    <w:rsid w:val="0C954B1D"/>
    <w:rsid w:val="0C9A510C"/>
    <w:rsid w:val="0C9D168E"/>
    <w:rsid w:val="0C9D2894"/>
    <w:rsid w:val="0CA75583"/>
    <w:rsid w:val="0CA93832"/>
    <w:rsid w:val="0CAC493E"/>
    <w:rsid w:val="0CC266AF"/>
    <w:rsid w:val="0CC47EE3"/>
    <w:rsid w:val="0CCD6EC3"/>
    <w:rsid w:val="0CD10C70"/>
    <w:rsid w:val="0CD50F98"/>
    <w:rsid w:val="0CDC30BC"/>
    <w:rsid w:val="0CEF32BC"/>
    <w:rsid w:val="0CF5147B"/>
    <w:rsid w:val="0D022AF7"/>
    <w:rsid w:val="0D0B0957"/>
    <w:rsid w:val="0D1225E1"/>
    <w:rsid w:val="0D142F14"/>
    <w:rsid w:val="0D2C0E94"/>
    <w:rsid w:val="0D2D3C5F"/>
    <w:rsid w:val="0D643474"/>
    <w:rsid w:val="0D66545C"/>
    <w:rsid w:val="0D6B717A"/>
    <w:rsid w:val="0D6F45C7"/>
    <w:rsid w:val="0DA25357"/>
    <w:rsid w:val="0DA5377E"/>
    <w:rsid w:val="0DB1705C"/>
    <w:rsid w:val="0DB37D75"/>
    <w:rsid w:val="0DB811DB"/>
    <w:rsid w:val="0DBA2787"/>
    <w:rsid w:val="0DBB182E"/>
    <w:rsid w:val="0DC12134"/>
    <w:rsid w:val="0DC31923"/>
    <w:rsid w:val="0DCA7B13"/>
    <w:rsid w:val="0DD62FEF"/>
    <w:rsid w:val="0DEF149A"/>
    <w:rsid w:val="0DF504D7"/>
    <w:rsid w:val="0E036A28"/>
    <w:rsid w:val="0E0552CC"/>
    <w:rsid w:val="0E2E0EBE"/>
    <w:rsid w:val="0E47447A"/>
    <w:rsid w:val="0E4B63E2"/>
    <w:rsid w:val="0E4C14FB"/>
    <w:rsid w:val="0E545297"/>
    <w:rsid w:val="0E6401D1"/>
    <w:rsid w:val="0E651521"/>
    <w:rsid w:val="0E663744"/>
    <w:rsid w:val="0E6A4ABA"/>
    <w:rsid w:val="0E6F23C7"/>
    <w:rsid w:val="0E7476E7"/>
    <w:rsid w:val="0E7B0B34"/>
    <w:rsid w:val="0E836419"/>
    <w:rsid w:val="0E855450"/>
    <w:rsid w:val="0E8854FB"/>
    <w:rsid w:val="0E947A66"/>
    <w:rsid w:val="0E9833E6"/>
    <w:rsid w:val="0EA77ADD"/>
    <w:rsid w:val="0EC37076"/>
    <w:rsid w:val="0EC37A24"/>
    <w:rsid w:val="0ECC12D1"/>
    <w:rsid w:val="0ED41EEF"/>
    <w:rsid w:val="0ED51137"/>
    <w:rsid w:val="0ED7095E"/>
    <w:rsid w:val="0EDF39F1"/>
    <w:rsid w:val="0EEF3211"/>
    <w:rsid w:val="0EF034AB"/>
    <w:rsid w:val="0EF453C6"/>
    <w:rsid w:val="0EF937ED"/>
    <w:rsid w:val="0F022F45"/>
    <w:rsid w:val="0F1E70E7"/>
    <w:rsid w:val="0F293DB0"/>
    <w:rsid w:val="0F392121"/>
    <w:rsid w:val="0F4F55DC"/>
    <w:rsid w:val="0F500AAD"/>
    <w:rsid w:val="0F5838F2"/>
    <w:rsid w:val="0F5F0397"/>
    <w:rsid w:val="0F760726"/>
    <w:rsid w:val="0FA1184A"/>
    <w:rsid w:val="0FA96591"/>
    <w:rsid w:val="0FAA1800"/>
    <w:rsid w:val="0FAD455E"/>
    <w:rsid w:val="0FB94A66"/>
    <w:rsid w:val="0FCE2E27"/>
    <w:rsid w:val="0FCF6175"/>
    <w:rsid w:val="0FDE179C"/>
    <w:rsid w:val="0FE81C1D"/>
    <w:rsid w:val="0FEA0C5A"/>
    <w:rsid w:val="0FF87DD2"/>
    <w:rsid w:val="10077BBA"/>
    <w:rsid w:val="101271E6"/>
    <w:rsid w:val="101629EB"/>
    <w:rsid w:val="101F3682"/>
    <w:rsid w:val="10263253"/>
    <w:rsid w:val="102736D0"/>
    <w:rsid w:val="102C7D44"/>
    <w:rsid w:val="10345380"/>
    <w:rsid w:val="10350AA9"/>
    <w:rsid w:val="105C0433"/>
    <w:rsid w:val="106344F9"/>
    <w:rsid w:val="106E7C51"/>
    <w:rsid w:val="10700194"/>
    <w:rsid w:val="107B3173"/>
    <w:rsid w:val="10964624"/>
    <w:rsid w:val="10A73812"/>
    <w:rsid w:val="10AF05A0"/>
    <w:rsid w:val="10B21301"/>
    <w:rsid w:val="10B75631"/>
    <w:rsid w:val="110B2FB0"/>
    <w:rsid w:val="11315402"/>
    <w:rsid w:val="114749A4"/>
    <w:rsid w:val="11495E9F"/>
    <w:rsid w:val="116537E5"/>
    <w:rsid w:val="1169450A"/>
    <w:rsid w:val="11786B55"/>
    <w:rsid w:val="118F3035"/>
    <w:rsid w:val="11902D52"/>
    <w:rsid w:val="11A113D2"/>
    <w:rsid w:val="11A337C2"/>
    <w:rsid w:val="11B12A00"/>
    <w:rsid w:val="11B524F0"/>
    <w:rsid w:val="11B76268"/>
    <w:rsid w:val="11C01717"/>
    <w:rsid w:val="11D24E50"/>
    <w:rsid w:val="11D53A3D"/>
    <w:rsid w:val="11DE26F6"/>
    <w:rsid w:val="11F50B3F"/>
    <w:rsid w:val="12043A7C"/>
    <w:rsid w:val="12080C76"/>
    <w:rsid w:val="120F0E58"/>
    <w:rsid w:val="122A006C"/>
    <w:rsid w:val="12307B5E"/>
    <w:rsid w:val="1238707D"/>
    <w:rsid w:val="123F43B0"/>
    <w:rsid w:val="123F7018"/>
    <w:rsid w:val="125D2CFA"/>
    <w:rsid w:val="125D54CB"/>
    <w:rsid w:val="125E4936"/>
    <w:rsid w:val="126A535E"/>
    <w:rsid w:val="12761A96"/>
    <w:rsid w:val="12822265"/>
    <w:rsid w:val="128F4AEF"/>
    <w:rsid w:val="129B148F"/>
    <w:rsid w:val="129F0AAB"/>
    <w:rsid w:val="12A24799"/>
    <w:rsid w:val="12AB56A1"/>
    <w:rsid w:val="12AF73DE"/>
    <w:rsid w:val="12B76B0D"/>
    <w:rsid w:val="12BA3CEB"/>
    <w:rsid w:val="12C27C02"/>
    <w:rsid w:val="12D562FA"/>
    <w:rsid w:val="12D82A7F"/>
    <w:rsid w:val="12DA7F5C"/>
    <w:rsid w:val="12E332FA"/>
    <w:rsid w:val="12F12F9E"/>
    <w:rsid w:val="12F75FF5"/>
    <w:rsid w:val="132D7A2F"/>
    <w:rsid w:val="13433B2C"/>
    <w:rsid w:val="13492B62"/>
    <w:rsid w:val="13684C7A"/>
    <w:rsid w:val="136E7CAF"/>
    <w:rsid w:val="139522A0"/>
    <w:rsid w:val="13B72832"/>
    <w:rsid w:val="13BA0BEB"/>
    <w:rsid w:val="13C63A51"/>
    <w:rsid w:val="13CD08B6"/>
    <w:rsid w:val="13D56B53"/>
    <w:rsid w:val="13E30590"/>
    <w:rsid w:val="13E843A1"/>
    <w:rsid w:val="13F225AE"/>
    <w:rsid w:val="13FB3D98"/>
    <w:rsid w:val="1403644B"/>
    <w:rsid w:val="14101C60"/>
    <w:rsid w:val="141731A4"/>
    <w:rsid w:val="14342245"/>
    <w:rsid w:val="143A501D"/>
    <w:rsid w:val="143A694A"/>
    <w:rsid w:val="143C398A"/>
    <w:rsid w:val="14540FBC"/>
    <w:rsid w:val="147036BF"/>
    <w:rsid w:val="14776FC2"/>
    <w:rsid w:val="14A27F30"/>
    <w:rsid w:val="14A763BF"/>
    <w:rsid w:val="14AA7EAE"/>
    <w:rsid w:val="14C4150D"/>
    <w:rsid w:val="14D83D18"/>
    <w:rsid w:val="14E94451"/>
    <w:rsid w:val="14FD703B"/>
    <w:rsid w:val="14FD7E50"/>
    <w:rsid w:val="152557F8"/>
    <w:rsid w:val="15283F85"/>
    <w:rsid w:val="152E4435"/>
    <w:rsid w:val="15421D14"/>
    <w:rsid w:val="154C1133"/>
    <w:rsid w:val="1550122B"/>
    <w:rsid w:val="15697744"/>
    <w:rsid w:val="159D64B9"/>
    <w:rsid w:val="159F4AC2"/>
    <w:rsid w:val="15B2020C"/>
    <w:rsid w:val="15B27B74"/>
    <w:rsid w:val="15C1538F"/>
    <w:rsid w:val="15D905AC"/>
    <w:rsid w:val="15DD5FFB"/>
    <w:rsid w:val="15EF268F"/>
    <w:rsid w:val="15F020C0"/>
    <w:rsid w:val="15F250DF"/>
    <w:rsid w:val="15F35395"/>
    <w:rsid w:val="15F77F8C"/>
    <w:rsid w:val="16053AF1"/>
    <w:rsid w:val="160D7966"/>
    <w:rsid w:val="161672D6"/>
    <w:rsid w:val="16335803"/>
    <w:rsid w:val="1633604B"/>
    <w:rsid w:val="16365169"/>
    <w:rsid w:val="163F67DF"/>
    <w:rsid w:val="164A4609"/>
    <w:rsid w:val="164B037A"/>
    <w:rsid w:val="164F1BD6"/>
    <w:rsid w:val="165916AA"/>
    <w:rsid w:val="1659625E"/>
    <w:rsid w:val="16596D58"/>
    <w:rsid w:val="166B0AFE"/>
    <w:rsid w:val="166F0E0C"/>
    <w:rsid w:val="16755FAF"/>
    <w:rsid w:val="167A5AB7"/>
    <w:rsid w:val="16867800"/>
    <w:rsid w:val="16893C88"/>
    <w:rsid w:val="168B753F"/>
    <w:rsid w:val="169556B0"/>
    <w:rsid w:val="16A06EBD"/>
    <w:rsid w:val="16A22220"/>
    <w:rsid w:val="16AB4A01"/>
    <w:rsid w:val="16C96D7D"/>
    <w:rsid w:val="16D62CF8"/>
    <w:rsid w:val="16DC62F6"/>
    <w:rsid w:val="16F7709F"/>
    <w:rsid w:val="17032F48"/>
    <w:rsid w:val="170B670F"/>
    <w:rsid w:val="170C5D38"/>
    <w:rsid w:val="170E19D2"/>
    <w:rsid w:val="1723380C"/>
    <w:rsid w:val="17292EA9"/>
    <w:rsid w:val="1733456F"/>
    <w:rsid w:val="17412155"/>
    <w:rsid w:val="17560404"/>
    <w:rsid w:val="17574A29"/>
    <w:rsid w:val="177C3F5A"/>
    <w:rsid w:val="17884203"/>
    <w:rsid w:val="17946704"/>
    <w:rsid w:val="17B2462D"/>
    <w:rsid w:val="17B374D2"/>
    <w:rsid w:val="17C07725"/>
    <w:rsid w:val="17CD000B"/>
    <w:rsid w:val="17D2179B"/>
    <w:rsid w:val="17D81ED7"/>
    <w:rsid w:val="17E70A1A"/>
    <w:rsid w:val="17F5409B"/>
    <w:rsid w:val="17F730B7"/>
    <w:rsid w:val="18026C7F"/>
    <w:rsid w:val="18046E47"/>
    <w:rsid w:val="180828EA"/>
    <w:rsid w:val="18095209"/>
    <w:rsid w:val="1823219C"/>
    <w:rsid w:val="18283386"/>
    <w:rsid w:val="183C6202"/>
    <w:rsid w:val="18423A8C"/>
    <w:rsid w:val="18534811"/>
    <w:rsid w:val="185C0435"/>
    <w:rsid w:val="18647317"/>
    <w:rsid w:val="186F6AE2"/>
    <w:rsid w:val="18707171"/>
    <w:rsid w:val="18763CB0"/>
    <w:rsid w:val="188432FC"/>
    <w:rsid w:val="188C54E8"/>
    <w:rsid w:val="189B4117"/>
    <w:rsid w:val="18A312F5"/>
    <w:rsid w:val="18A46D85"/>
    <w:rsid w:val="18AC32DE"/>
    <w:rsid w:val="18B01839"/>
    <w:rsid w:val="18B12E63"/>
    <w:rsid w:val="18B57E8E"/>
    <w:rsid w:val="18C30476"/>
    <w:rsid w:val="18CB084B"/>
    <w:rsid w:val="18CD6371"/>
    <w:rsid w:val="18DF39A8"/>
    <w:rsid w:val="18E20D53"/>
    <w:rsid w:val="18E6739D"/>
    <w:rsid w:val="18E73DF2"/>
    <w:rsid w:val="18F32BB1"/>
    <w:rsid w:val="18F80BD4"/>
    <w:rsid w:val="18F84666"/>
    <w:rsid w:val="19060EC1"/>
    <w:rsid w:val="19213107"/>
    <w:rsid w:val="192E43BC"/>
    <w:rsid w:val="19326E77"/>
    <w:rsid w:val="194145A5"/>
    <w:rsid w:val="19425C10"/>
    <w:rsid w:val="195327C0"/>
    <w:rsid w:val="196C749E"/>
    <w:rsid w:val="197E67D3"/>
    <w:rsid w:val="19831126"/>
    <w:rsid w:val="19957A1E"/>
    <w:rsid w:val="1996146A"/>
    <w:rsid w:val="199D21E8"/>
    <w:rsid w:val="19AC5BAE"/>
    <w:rsid w:val="19C91205"/>
    <w:rsid w:val="19F54655"/>
    <w:rsid w:val="19FA7004"/>
    <w:rsid w:val="1A0C0B39"/>
    <w:rsid w:val="1A1D0BAD"/>
    <w:rsid w:val="1A20002B"/>
    <w:rsid w:val="1A202464"/>
    <w:rsid w:val="1A211D5E"/>
    <w:rsid w:val="1A281080"/>
    <w:rsid w:val="1A2A49D5"/>
    <w:rsid w:val="1A3167A7"/>
    <w:rsid w:val="1A3E7639"/>
    <w:rsid w:val="1A4268EB"/>
    <w:rsid w:val="1A4C59BC"/>
    <w:rsid w:val="1A72470C"/>
    <w:rsid w:val="1A7E3697"/>
    <w:rsid w:val="1A83598B"/>
    <w:rsid w:val="1A8B0436"/>
    <w:rsid w:val="1A9433BA"/>
    <w:rsid w:val="1AA2738A"/>
    <w:rsid w:val="1AA822FA"/>
    <w:rsid w:val="1AB5371D"/>
    <w:rsid w:val="1AB556B6"/>
    <w:rsid w:val="1ABB4B98"/>
    <w:rsid w:val="1AD01DA7"/>
    <w:rsid w:val="1AD70E60"/>
    <w:rsid w:val="1AD75236"/>
    <w:rsid w:val="1ADC4DC3"/>
    <w:rsid w:val="1AF30AA9"/>
    <w:rsid w:val="1B0874E2"/>
    <w:rsid w:val="1B1D5FE3"/>
    <w:rsid w:val="1B2D779D"/>
    <w:rsid w:val="1B39458C"/>
    <w:rsid w:val="1B396A1A"/>
    <w:rsid w:val="1B490950"/>
    <w:rsid w:val="1B5D0D89"/>
    <w:rsid w:val="1B6A35DB"/>
    <w:rsid w:val="1B6A60FA"/>
    <w:rsid w:val="1B724FAE"/>
    <w:rsid w:val="1B782C3F"/>
    <w:rsid w:val="1B7D7C38"/>
    <w:rsid w:val="1B8A7FBC"/>
    <w:rsid w:val="1B9423A4"/>
    <w:rsid w:val="1BA50FCC"/>
    <w:rsid w:val="1BA9250B"/>
    <w:rsid w:val="1BAF77A5"/>
    <w:rsid w:val="1BB719B2"/>
    <w:rsid w:val="1BBB2CBB"/>
    <w:rsid w:val="1BBC7041"/>
    <w:rsid w:val="1BC06BF9"/>
    <w:rsid w:val="1BC449CF"/>
    <w:rsid w:val="1BCA5234"/>
    <w:rsid w:val="1BDA7F06"/>
    <w:rsid w:val="1BEA1165"/>
    <w:rsid w:val="1BED0AD9"/>
    <w:rsid w:val="1BF520EC"/>
    <w:rsid w:val="1C167B0B"/>
    <w:rsid w:val="1C1A20C8"/>
    <w:rsid w:val="1C2771EF"/>
    <w:rsid w:val="1C401C28"/>
    <w:rsid w:val="1C4667B9"/>
    <w:rsid w:val="1C6243A3"/>
    <w:rsid w:val="1C7865F4"/>
    <w:rsid w:val="1C797C46"/>
    <w:rsid w:val="1C7E350E"/>
    <w:rsid w:val="1C7E734D"/>
    <w:rsid w:val="1C8454F9"/>
    <w:rsid w:val="1C954279"/>
    <w:rsid w:val="1CA51B07"/>
    <w:rsid w:val="1CB415D1"/>
    <w:rsid w:val="1CBC6385"/>
    <w:rsid w:val="1CBD2332"/>
    <w:rsid w:val="1CC7091E"/>
    <w:rsid w:val="1CCB392B"/>
    <w:rsid w:val="1CE14E51"/>
    <w:rsid w:val="1CE32E87"/>
    <w:rsid w:val="1CE43C8A"/>
    <w:rsid w:val="1CF56275"/>
    <w:rsid w:val="1CF86CEC"/>
    <w:rsid w:val="1CFB5568"/>
    <w:rsid w:val="1D202CCC"/>
    <w:rsid w:val="1D226B51"/>
    <w:rsid w:val="1D253B83"/>
    <w:rsid w:val="1D2B7B0B"/>
    <w:rsid w:val="1D33733A"/>
    <w:rsid w:val="1D370DB7"/>
    <w:rsid w:val="1D387DEA"/>
    <w:rsid w:val="1D3A6321"/>
    <w:rsid w:val="1D4E2A7B"/>
    <w:rsid w:val="1D5A5F8D"/>
    <w:rsid w:val="1D753D60"/>
    <w:rsid w:val="1D917AB3"/>
    <w:rsid w:val="1D951428"/>
    <w:rsid w:val="1DA52FDB"/>
    <w:rsid w:val="1DB064E6"/>
    <w:rsid w:val="1DB827E5"/>
    <w:rsid w:val="1DE351BB"/>
    <w:rsid w:val="1DF84BBF"/>
    <w:rsid w:val="1DF87C16"/>
    <w:rsid w:val="1DFE7449"/>
    <w:rsid w:val="1E0C08E5"/>
    <w:rsid w:val="1E2F362A"/>
    <w:rsid w:val="1E351288"/>
    <w:rsid w:val="1E377E8A"/>
    <w:rsid w:val="1E4A36CA"/>
    <w:rsid w:val="1E503619"/>
    <w:rsid w:val="1E682698"/>
    <w:rsid w:val="1E725C5C"/>
    <w:rsid w:val="1E7E4039"/>
    <w:rsid w:val="1E85149C"/>
    <w:rsid w:val="1E8E345A"/>
    <w:rsid w:val="1E901FEE"/>
    <w:rsid w:val="1E9442E7"/>
    <w:rsid w:val="1E994219"/>
    <w:rsid w:val="1EA078AE"/>
    <w:rsid w:val="1EA45EC1"/>
    <w:rsid w:val="1EB40283"/>
    <w:rsid w:val="1ECE699F"/>
    <w:rsid w:val="1ED02528"/>
    <w:rsid w:val="1ED45CAE"/>
    <w:rsid w:val="1EF80AC2"/>
    <w:rsid w:val="1F424DC2"/>
    <w:rsid w:val="1F4A49DF"/>
    <w:rsid w:val="1F59199D"/>
    <w:rsid w:val="1F6669AD"/>
    <w:rsid w:val="1F684DF5"/>
    <w:rsid w:val="1F7E0DBA"/>
    <w:rsid w:val="1F9C0838"/>
    <w:rsid w:val="1FAD03A2"/>
    <w:rsid w:val="1FB05B86"/>
    <w:rsid w:val="1FB63256"/>
    <w:rsid w:val="1FC55FFD"/>
    <w:rsid w:val="1FC619C3"/>
    <w:rsid w:val="1FCF29CF"/>
    <w:rsid w:val="1FF0410F"/>
    <w:rsid w:val="1FF34102"/>
    <w:rsid w:val="200E2178"/>
    <w:rsid w:val="20102412"/>
    <w:rsid w:val="20210770"/>
    <w:rsid w:val="20332076"/>
    <w:rsid w:val="20360CA0"/>
    <w:rsid w:val="204228BF"/>
    <w:rsid w:val="20614265"/>
    <w:rsid w:val="20683FDF"/>
    <w:rsid w:val="2091237A"/>
    <w:rsid w:val="209C0EB3"/>
    <w:rsid w:val="20A07A3E"/>
    <w:rsid w:val="20A6660B"/>
    <w:rsid w:val="20A7119D"/>
    <w:rsid w:val="20AA51EA"/>
    <w:rsid w:val="20B147CB"/>
    <w:rsid w:val="20B77808"/>
    <w:rsid w:val="20BB11A5"/>
    <w:rsid w:val="20C26B79"/>
    <w:rsid w:val="20C90C8F"/>
    <w:rsid w:val="20CC3B78"/>
    <w:rsid w:val="20E52835"/>
    <w:rsid w:val="21013D59"/>
    <w:rsid w:val="21175089"/>
    <w:rsid w:val="211B1C44"/>
    <w:rsid w:val="211B39F2"/>
    <w:rsid w:val="211E5403"/>
    <w:rsid w:val="21260D15"/>
    <w:rsid w:val="2130504F"/>
    <w:rsid w:val="21321E93"/>
    <w:rsid w:val="21382F0C"/>
    <w:rsid w:val="214106E3"/>
    <w:rsid w:val="214967B1"/>
    <w:rsid w:val="214A05AE"/>
    <w:rsid w:val="214B28B3"/>
    <w:rsid w:val="215E2C87"/>
    <w:rsid w:val="216800C8"/>
    <w:rsid w:val="216B68D1"/>
    <w:rsid w:val="21776EE9"/>
    <w:rsid w:val="217B3E84"/>
    <w:rsid w:val="217B6C76"/>
    <w:rsid w:val="218108F4"/>
    <w:rsid w:val="218D4CC7"/>
    <w:rsid w:val="21934972"/>
    <w:rsid w:val="21CE76F6"/>
    <w:rsid w:val="21D4251F"/>
    <w:rsid w:val="21DB4941"/>
    <w:rsid w:val="21DE7C36"/>
    <w:rsid w:val="21DF3A01"/>
    <w:rsid w:val="21E257BE"/>
    <w:rsid w:val="21F25BFC"/>
    <w:rsid w:val="220A5EF5"/>
    <w:rsid w:val="220F3C1A"/>
    <w:rsid w:val="22197D89"/>
    <w:rsid w:val="221E6F53"/>
    <w:rsid w:val="22313D2D"/>
    <w:rsid w:val="22333947"/>
    <w:rsid w:val="224D398A"/>
    <w:rsid w:val="224E2203"/>
    <w:rsid w:val="22585F0F"/>
    <w:rsid w:val="225F0503"/>
    <w:rsid w:val="226B5CC4"/>
    <w:rsid w:val="226D7641"/>
    <w:rsid w:val="22717890"/>
    <w:rsid w:val="227B5090"/>
    <w:rsid w:val="2288155B"/>
    <w:rsid w:val="228B0CE6"/>
    <w:rsid w:val="22941CAE"/>
    <w:rsid w:val="22965A26"/>
    <w:rsid w:val="229C5EDB"/>
    <w:rsid w:val="229E2B2D"/>
    <w:rsid w:val="229F2CD5"/>
    <w:rsid w:val="22AB3A42"/>
    <w:rsid w:val="22AF2482"/>
    <w:rsid w:val="22B44D35"/>
    <w:rsid w:val="22B8500B"/>
    <w:rsid w:val="22CB52CD"/>
    <w:rsid w:val="22D52DCF"/>
    <w:rsid w:val="230F3C1C"/>
    <w:rsid w:val="23173330"/>
    <w:rsid w:val="23241284"/>
    <w:rsid w:val="23287AA7"/>
    <w:rsid w:val="23305F0F"/>
    <w:rsid w:val="23357659"/>
    <w:rsid w:val="233905CD"/>
    <w:rsid w:val="235718E1"/>
    <w:rsid w:val="23616034"/>
    <w:rsid w:val="23694959"/>
    <w:rsid w:val="236C4F12"/>
    <w:rsid w:val="237E4C0E"/>
    <w:rsid w:val="23925F3C"/>
    <w:rsid w:val="239B7E76"/>
    <w:rsid w:val="23A4229C"/>
    <w:rsid w:val="23A80914"/>
    <w:rsid w:val="23AE55A9"/>
    <w:rsid w:val="23B118CE"/>
    <w:rsid w:val="23B6003B"/>
    <w:rsid w:val="23B80D83"/>
    <w:rsid w:val="23BE3486"/>
    <w:rsid w:val="23C91E2B"/>
    <w:rsid w:val="23D537D0"/>
    <w:rsid w:val="23E6337C"/>
    <w:rsid w:val="23F21506"/>
    <w:rsid w:val="23F36F4D"/>
    <w:rsid w:val="23F46D82"/>
    <w:rsid w:val="24034D8D"/>
    <w:rsid w:val="24296431"/>
    <w:rsid w:val="24316E6F"/>
    <w:rsid w:val="24340869"/>
    <w:rsid w:val="24425E0D"/>
    <w:rsid w:val="24577437"/>
    <w:rsid w:val="245C3B55"/>
    <w:rsid w:val="246117FE"/>
    <w:rsid w:val="24631FE8"/>
    <w:rsid w:val="24680378"/>
    <w:rsid w:val="246F2E99"/>
    <w:rsid w:val="246F652F"/>
    <w:rsid w:val="2472522D"/>
    <w:rsid w:val="24885273"/>
    <w:rsid w:val="24913210"/>
    <w:rsid w:val="249B7324"/>
    <w:rsid w:val="24C8071E"/>
    <w:rsid w:val="24C91FF8"/>
    <w:rsid w:val="24D01D21"/>
    <w:rsid w:val="24D22D5D"/>
    <w:rsid w:val="24EA59AA"/>
    <w:rsid w:val="24FE13C2"/>
    <w:rsid w:val="25070E5D"/>
    <w:rsid w:val="251B6945"/>
    <w:rsid w:val="251F5695"/>
    <w:rsid w:val="252140E8"/>
    <w:rsid w:val="25230953"/>
    <w:rsid w:val="252C0FEC"/>
    <w:rsid w:val="254870C0"/>
    <w:rsid w:val="254A4A2E"/>
    <w:rsid w:val="25551B8C"/>
    <w:rsid w:val="2555250E"/>
    <w:rsid w:val="25595001"/>
    <w:rsid w:val="25657932"/>
    <w:rsid w:val="25661A5A"/>
    <w:rsid w:val="25690ABE"/>
    <w:rsid w:val="25996888"/>
    <w:rsid w:val="259B6168"/>
    <w:rsid w:val="259F79AE"/>
    <w:rsid w:val="25A01A43"/>
    <w:rsid w:val="25BF42A8"/>
    <w:rsid w:val="25C962B2"/>
    <w:rsid w:val="25CB4857"/>
    <w:rsid w:val="25CC59DE"/>
    <w:rsid w:val="25D83187"/>
    <w:rsid w:val="25D907CC"/>
    <w:rsid w:val="25E655C8"/>
    <w:rsid w:val="25F65A9D"/>
    <w:rsid w:val="26045771"/>
    <w:rsid w:val="26196CB2"/>
    <w:rsid w:val="262670C1"/>
    <w:rsid w:val="263C3E80"/>
    <w:rsid w:val="265A6D6B"/>
    <w:rsid w:val="26753D2C"/>
    <w:rsid w:val="267611D3"/>
    <w:rsid w:val="26835127"/>
    <w:rsid w:val="268E4BBA"/>
    <w:rsid w:val="26A050C5"/>
    <w:rsid w:val="26A257DB"/>
    <w:rsid w:val="26B20955"/>
    <w:rsid w:val="26B90F8E"/>
    <w:rsid w:val="26C05A32"/>
    <w:rsid w:val="26C54E27"/>
    <w:rsid w:val="26CC3C07"/>
    <w:rsid w:val="26DE7854"/>
    <w:rsid w:val="26E70BC5"/>
    <w:rsid w:val="27062C4A"/>
    <w:rsid w:val="27074D3E"/>
    <w:rsid w:val="271116DB"/>
    <w:rsid w:val="27113F6C"/>
    <w:rsid w:val="271251B0"/>
    <w:rsid w:val="271A51DA"/>
    <w:rsid w:val="27254946"/>
    <w:rsid w:val="272C0820"/>
    <w:rsid w:val="273870AC"/>
    <w:rsid w:val="274A08FC"/>
    <w:rsid w:val="274C0DA9"/>
    <w:rsid w:val="274C764E"/>
    <w:rsid w:val="2756302F"/>
    <w:rsid w:val="276026EB"/>
    <w:rsid w:val="276250D7"/>
    <w:rsid w:val="27632DDC"/>
    <w:rsid w:val="27680188"/>
    <w:rsid w:val="2772471C"/>
    <w:rsid w:val="278664F1"/>
    <w:rsid w:val="2789575F"/>
    <w:rsid w:val="27A74434"/>
    <w:rsid w:val="27AE734E"/>
    <w:rsid w:val="27B23F45"/>
    <w:rsid w:val="27B85561"/>
    <w:rsid w:val="27BC3987"/>
    <w:rsid w:val="27BD611A"/>
    <w:rsid w:val="27C63211"/>
    <w:rsid w:val="27C71330"/>
    <w:rsid w:val="27E269CB"/>
    <w:rsid w:val="27E91A8C"/>
    <w:rsid w:val="27EC7DE5"/>
    <w:rsid w:val="28013A27"/>
    <w:rsid w:val="28013DB2"/>
    <w:rsid w:val="280D0EB8"/>
    <w:rsid w:val="28126C32"/>
    <w:rsid w:val="28277120"/>
    <w:rsid w:val="2829733C"/>
    <w:rsid w:val="282D1E68"/>
    <w:rsid w:val="283137EF"/>
    <w:rsid w:val="28574C9E"/>
    <w:rsid w:val="285B24CD"/>
    <w:rsid w:val="287439A8"/>
    <w:rsid w:val="287823EF"/>
    <w:rsid w:val="287A594C"/>
    <w:rsid w:val="287E1436"/>
    <w:rsid w:val="28864F06"/>
    <w:rsid w:val="28871103"/>
    <w:rsid w:val="288E24C6"/>
    <w:rsid w:val="289567A3"/>
    <w:rsid w:val="28A120BA"/>
    <w:rsid w:val="28A526C6"/>
    <w:rsid w:val="28A74DCB"/>
    <w:rsid w:val="28B77749"/>
    <w:rsid w:val="28C73484"/>
    <w:rsid w:val="28D53B72"/>
    <w:rsid w:val="28EF1B17"/>
    <w:rsid w:val="28FE60D3"/>
    <w:rsid w:val="29010E8F"/>
    <w:rsid w:val="29030E83"/>
    <w:rsid w:val="29175D2F"/>
    <w:rsid w:val="291853E7"/>
    <w:rsid w:val="291E49C7"/>
    <w:rsid w:val="29226060"/>
    <w:rsid w:val="294A3E5A"/>
    <w:rsid w:val="29583A9F"/>
    <w:rsid w:val="29690D03"/>
    <w:rsid w:val="29702606"/>
    <w:rsid w:val="298B3C64"/>
    <w:rsid w:val="29956E43"/>
    <w:rsid w:val="29982EDF"/>
    <w:rsid w:val="29982FE8"/>
    <w:rsid w:val="299B61C1"/>
    <w:rsid w:val="29A43C12"/>
    <w:rsid w:val="29AA7CF7"/>
    <w:rsid w:val="29B5574C"/>
    <w:rsid w:val="29B8457E"/>
    <w:rsid w:val="29BD744E"/>
    <w:rsid w:val="29C954AC"/>
    <w:rsid w:val="29D43999"/>
    <w:rsid w:val="29D65CF5"/>
    <w:rsid w:val="29E03A2B"/>
    <w:rsid w:val="2A19034C"/>
    <w:rsid w:val="2A336250"/>
    <w:rsid w:val="2A386EBD"/>
    <w:rsid w:val="2A4C1250"/>
    <w:rsid w:val="2A58670E"/>
    <w:rsid w:val="2A59450E"/>
    <w:rsid w:val="2A5B4E7F"/>
    <w:rsid w:val="2A5D212B"/>
    <w:rsid w:val="2A6E0E4E"/>
    <w:rsid w:val="2A7108CA"/>
    <w:rsid w:val="2A7228D5"/>
    <w:rsid w:val="2A7A6E34"/>
    <w:rsid w:val="2A832D34"/>
    <w:rsid w:val="2A846AAC"/>
    <w:rsid w:val="2A904695"/>
    <w:rsid w:val="2AA147F9"/>
    <w:rsid w:val="2AA50BDA"/>
    <w:rsid w:val="2ABA0D7B"/>
    <w:rsid w:val="2AC0397D"/>
    <w:rsid w:val="2AC5544E"/>
    <w:rsid w:val="2AC564FC"/>
    <w:rsid w:val="2AC81343"/>
    <w:rsid w:val="2ADA4DFF"/>
    <w:rsid w:val="2AE150F8"/>
    <w:rsid w:val="2AF46D91"/>
    <w:rsid w:val="2AF754D0"/>
    <w:rsid w:val="2AF86B85"/>
    <w:rsid w:val="2AFC41F1"/>
    <w:rsid w:val="2B011FE4"/>
    <w:rsid w:val="2B0702E2"/>
    <w:rsid w:val="2B5D39BA"/>
    <w:rsid w:val="2B635D2B"/>
    <w:rsid w:val="2B683CD8"/>
    <w:rsid w:val="2B6D1A08"/>
    <w:rsid w:val="2B753C76"/>
    <w:rsid w:val="2B785630"/>
    <w:rsid w:val="2B793974"/>
    <w:rsid w:val="2B86355C"/>
    <w:rsid w:val="2BA90B57"/>
    <w:rsid w:val="2BB7608B"/>
    <w:rsid w:val="2BC41B44"/>
    <w:rsid w:val="2BCC4805"/>
    <w:rsid w:val="2BCD61B0"/>
    <w:rsid w:val="2BDE14EC"/>
    <w:rsid w:val="2BEA5A56"/>
    <w:rsid w:val="2BF84D8E"/>
    <w:rsid w:val="2BFD08C4"/>
    <w:rsid w:val="2C033ABC"/>
    <w:rsid w:val="2C034AC1"/>
    <w:rsid w:val="2C047B3A"/>
    <w:rsid w:val="2C106849"/>
    <w:rsid w:val="2C1305B1"/>
    <w:rsid w:val="2C1758CF"/>
    <w:rsid w:val="2C1A354E"/>
    <w:rsid w:val="2C1F3B79"/>
    <w:rsid w:val="2C271951"/>
    <w:rsid w:val="2C452B2D"/>
    <w:rsid w:val="2C46226B"/>
    <w:rsid w:val="2C492C36"/>
    <w:rsid w:val="2C557053"/>
    <w:rsid w:val="2C60237D"/>
    <w:rsid w:val="2C6A57CD"/>
    <w:rsid w:val="2C6D71F8"/>
    <w:rsid w:val="2C6E6FCD"/>
    <w:rsid w:val="2C72135B"/>
    <w:rsid w:val="2C83572D"/>
    <w:rsid w:val="2C8B5E21"/>
    <w:rsid w:val="2C8B6CA4"/>
    <w:rsid w:val="2C8C5A7E"/>
    <w:rsid w:val="2C8D55AD"/>
    <w:rsid w:val="2C9248BA"/>
    <w:rsid w:val="2CB47549"/>
    <w:rsid w:val="2CBE3246"/>
    <w:rsid w:val="2CBF3DCB"/>
    <w:rsid w:val="2CC802D9"/>
    <w:rsid w:val="2CDF4F09"/>
    <w:rsid w:val="2CE27524"/>
    <w:rsid w:val="2CEB0142"/>
    <w:rsid w:val="2CF320D2"/>
    <w:rsid w:val="2CF83F53"/>
    <w:rsid w:val="2CF9552F"/>
    <w:rsid w:val="2D0460BD"/>
    <w:rsid w:val="2D08350A"/>
    <w:rsid w:val="2D1E33D5"/>
    <w:rsid w:val="2D271B8F"/>
    <w:rsid w:val="2D336006"/>
    <w:rsid w:val="2D4908E2"/>
    <w:rsid w:val="2D4935AD"/>
    <w:rsid w:val="2D572256"/>
    <w:rsid w:val="2D5A1981"/>
    <w:rsid w:val="2D854521"/>
    <w:rsid w:val="2DA26D95"/>
    <w:rsid w:val="2DA413CA"/>
    <w:rsid w:val="2DA56EB7"/>
    <w:rsid w:val="2DC05192"/>
    <w:rsid w:val="2DD45655"/>
    <w:rsid w:val="2DE668D4"/>
    <w:rsid w:val="2DE805FC"/>
    <w:rsid w:val="2DE97352"/>
    <w:rsid w:val="2DF53BEC"/>
    <w:rsid w:val="2DF964A0"/>
    <w:rsid w:val="2E095D5C"/>
    <w:rsid w:val="2E0B07D8"/>
    <w:rsid w:val="2E0C6F3E"/>
    <w:rsid w:val="2E0F2B6F"/>
    <w:rsid w:val="2E1977B8"/>
    <w:rsid w:val="2E2200F6"/>
    <w:rsid w:val="2E25123C"/>
    <w:rsid w:val="2E3C0D78"/>
    <w:rsid w:val="2E411BEF"/>
    <w:rsid w:val="2E516CA5"/>
    <w:rsid w:val="2E570AA3"/>
    <w:rsid w:val="2E594CED"/>
    <w:rsid w:val="2E7B61FD"/>
    <w:rsid w:val="2E7F48C7"/>
    <w:rsid w:val="2E883F4F"/>
    <w:rsid w:val="2E8E7EF9"/>
    <w:rsid w:val="2E9818BC"/>
    <w:rsid w:val="2E995B75"/>
    <w:rsid w:val="2E9A38AB"/>
    <w:rsid w:val="2E9F7ACE"/>
    <w:rsid w:val="2EA035D3"/>
    <w:rsid w:val="2EB00084"/>
    <w:rsid w:val="2EBC0113"/>
    <w:rsid w:val="2EBC74B9"/>
    <w:rsid w:val="2EC15360"/>
    <w:rsid w:val="2EC974E3"/>
    <w:rsid w:val="2ED7075B"/>
    <w:rsid w:val="2EE6562B"/>
    <w:rsid w:val="2EFE397A"/>
    <w:rsid w:val="2F000491"/>
    <w:rsid w:val="2F0050ED"/>
    <w:rsid w:val="2F0322BF"/>
    <w:rsid w:val="2F1D4987"/>
    <w:rsid w:val="2F397E65"/>
    <w:rsid w:val="2F485232"/>
    <w:rsid w:val="2F5000A2"/>
    <w:rsid w:val="2F540C31"/>
    <w:rsid w:val="2F574071"/>
    <w:rsid w:val="2F5E2555"/>
    <w:rsid w:val="2F5E3090"/>
    <w:rsid w:val="2F6B2E0E"/>
    <w:rsid w:val="2F6E14A3"/>
    <w:rsid w:val="2F7C3CDF"/>
    <w:rsid w:val="2F9835CF"/>
    <w:rsid w:val="2FA06751"/>
    <w:rsid w:val="2FAD43AF"/>
    <w:rsid w:val="2FB151D3"/>
    <w:rsid w:val="2FB944E5"/>
    <w:rsid w:val="2FC871E6"/>
    <w:rsid w:val="2FDC472D"/>
    <w:rsid w:val="2FDE5F50"/>
    <w:rsid w:val="2FEC4EBA"/>
    <w:rsid w:val="2FEE3B1C"/>
    <w:rsid w:val="2FF57EDC"/>
    <w:rsid w:val="300D33B1"/>
    <w:rsid w:val="300E7796"/>
    <w:rsid w:val="301E5143"/>
    <w:rsid w:val="302C3DCE"/>
    <w:rsid w:val="303E1D0E"/>
    <w:rsid w:val="30424964"/>
    <w:rsid w:val="30576568"/>
    <w:rsid w:val="30695D27"/>
    <w:rsid w:val="309537C1"/>
    <w:rsid w:val="309A44F4"/>
    <w:rsid w:val="309C57CB"/>
    <w:rsid w:val="30A309C3"/>
    <w:rsid w:val="30B059A2"/>
    <w:rsid w:val="30B67543"/>
    <w:rsid w:val="30B77036"/>
    <w:rsid w:val="30BA3015"/>
    <w:rsid w:val="310137B1"/>
    <w:rsid w:val="3106476B"/>
    <w:rsid w:val="31102DE7"/>
    <w:rsid w:val="31295F61"/>
    <w:rsid w:val="31323F94"/>
    <w:rsid w:val="313E524F"/>
    <w:rsid w:val="3154270A"/>
    <w:rsid w:val="315A64D4"/>
    <w:rsid w:val="31607574"/>
    <w:rsid w:val="31671616"/>
    <w:rsid w:val="317811BB"/>
    <w:rsid w:val="3189428A"/>
    <w:rsid w:val="318D37BB"/>
    <w:rsid w:val="31973A57"/>
    <w:rsid w:val="31983637"/>
    <w:rsid w:val="319B556B"/>
    <w:rsid w:val="31A04336"/>
    <w:rsid w:val="31AE341C"/>
    <w:rsid w:val="31B22405"/>
    <w:rsid w:val="31B30043"/>
    <w:rsid w:val="31B64C69"/>
    <w:rsid w:val="31B82294"/>
    <w:rsid w:val="31BA1F94"/>
    <w:rsid w:val="31BF264E"/>
    <w:rsid w:val="31C262F6"/>
    <w:rsid w:val="31C75D39"/>
    <w:rsid w:val="31D9148B"/>
    <w:rsid w:val="31DA0183"/>
    <w:rsid w:val="31E10BE3"/>
    <w:rsid w:val="31EA1749"/>
    <w:rsid w:val="31FD1227"/>
    <w:rsid w:val="32004457"/>
    <w:rsid w:val="320A243D"/>
    <w:rsid w:val="32144BB9"/>
    <w:rsid w:val="32191252"/>
    <w:rsid w:val="322D5F57"/>
    <w:rsid w:val="323808A8"/>
    <w:rsid w:val="32495110"/>
    <w:rsid w:val="324A599E"/>
    <w:rsid w:val="325D07E4"/>
    <w:rsid w:val="32682E98"/>
    <w:rsid w:val="327556FE"/>
    <w:rsid w:val="32884F63"/>
    <w:rsid w:val="328A49FA"/>
    <w:rsid w:val="32A0085F"/>
    <w:rsid w:val="32A12652"/>
    <w:rsid w:val="32B73DE5"/>
    <w:rsid w:val="32BE200C"/>
    <w:rsid w:val="32C56718"/>
    <w:rsid w:val="32E419E9"/>
    <w:rsid w:val="32E905BA"/>
    <w:rsid w:val="32EA5881"/>
    <w:rsid w:val="32ED0BAC"/>
    <w:rsid w:val="32F73699"/>
    <w:rsid w:val="32F75A72"/>
    <w:rsid w:val="33010417"/>
    <w:rsid w:val="330B57AE"/>
    <w:rsid w:val="33160B51"/>
    <w:rsid w:val="33174961"/>
    <w:rsid w:val="33260492"/>
    <w:rsid w:val="332A12B8"/>
    <w:rsid w:val="33304E4D"/>
    <w:rsid w:val="333155AA"/>
    <w:rsid w:val="33444067"/>
    <w:rsid w:val="334D06E6"/>
    <w:rsid w:val="334D3EDF"/>
    <w:rsid w:val="33560AA5"/>
    <w:rsid w:val="336456CD"/>
    <w:rsid w:val="337376BE"/>
    <w:rsid w:val="33977850"/>
    <w:rsid w:val="33A2330C"/>
    <w:rsid w:val="33AA3D46"/>
    <w:rsid w:val="33AA7294"/>
    <w:rsid w:val="33AB4C42"/>
    <w:rsid w:val="33B57D19"/>
    <w:rsid w:val="33C55A7A"/>
    <w:rsid w:val="33CD3272"/>
    <w:rsid w:val="33EA7F6D"/>
    <w:rsid w:val="33EF0E80"/>
    <w:rsid w:val="33F2465D"/>
    <w:rsid w:val="33F455F9"/>
    <w:rsid w:val="33F92E29"/>
    <w:rsid w:val="34056924"/>
    <w:rsid w:val="340665FE"/>
    <w:rsid w:val="3416284F"/>
    <w:rsid w:val="341A5E32"/>
    <w:rsid w:val="34360A94"/>
    <w:rsid w:val="34385041"/>
    <w:rsid w:val="34442C19"/>
    <w:rsid w:val="344472CD"/>
    <w:rsid w:val="345327B1"/>
    <w:rsid w:val="345C0152"/>
    <w:rsid w:val="346511A8"/>
    <w:rsid w:val="347A77AC"/>
    <w:rsid w:val="34825E5D"/>
    <w:rsid w:val="34877CE8"/>
    <w:rsid w:val="34A769E4"/>
    <w:rsid w:val="34A94D04"/>
    <w:rsid w:val="34B0402D"/>
    <w:rsid w:val="34B9357A"/>
    <w:rsid w:val="34CA38A2"/>
    <w:rsid w:val="34CD29A6"/>
    <w:rsid w:val="34CD7521"/>
    <w:rsid w:val="34CF19A5"/>
    <w:rsid w:val="34D04DC8"/>
    <w:rsid w:val="34EB1C02"/>
    <w:rsid w:val="34EC124D"/>
    <w:rsid w:val="34F55E2F"/>
    <w:rsid w:val="34F713E3"/>
    <w:rsid w:val="3502519D"/>
    <w:rsid w:val="35105594"/>
    <w:rsid w:val="35292FF1"/>
    <w:rsid w:val="35327B80"/>
    <w:rsid w:val="35394C91"/>
    <w:rsid w:val="353D4B75"/>
    <w:rsid w:val="35515F95"/>
    <w:rsid w:val="35543640"/>
    <w:rsid w:val="3561044A"/>
    <w:rsid w:val="35623B07"/>
    <w:rsid w:val="358636D8"/>
    <w:rsid w:val="359F2ED6"/>
    <w:rsid w:val="35A235B9"/>
    <w:rsid w:val="35A564CA"/>
    <w:rsid w:val="35A61997"/>
    <w:rsid w:val="35A86BDE"/>
    <w:rsid w:val="35B00899"/>
    <w:rsid w:val="35B56676"/>
    <w:rsid w:val="35BF4704"/>
    <w:rsid w:val="35C215F3"/>
    <w:rsid w:val="35D43977"/>
    <w:rsid w:val="35DA4E73"/>
    <w:rsid w:val="35DC779C"/>
    <w:rsid w:val="35E13599"/>
    <w:rsid w:val="36017203"/>
    <w:rsid w:val="360416D1"/>
    <w:rsid w:val="36043EF2"/>
    <w:rsid w:val="360945C3"/>
    <w:rsid w:val="361F1924"/>
    <w:rsid w:val="36280C33"/>
    <w:rsid w:val="363D550A"/>
    <w:rsid w:val="363F5B8C"/>
    <w:rsid w:val="36411A34"/>
    <w:rsid w:val="36420F4B"/>
    <w:rsid w:val="364C34D5"/>
    <w:rsid w:val="3650452F"/>
    <w:rsid w:val="36525B04"/>
    <w:rsid w:val="36543066"/>
    <w:rsid w:val="36552BC1"/>
    <w:rsid w:val="36565AF9"/>
    <w:rsid w:val="365D7E36"/>
    <w:rsid w:val="36743964"/>
    <w:rsid w:val="36760927"/>
    <w:rsid w:val="368C04FF"/>
    <w:rsid w:val="3692120B"/>
    <w:rsid w:val="36935DFC"/>
    <w:rsid w:val="36A6785C"/>
    <w:rsid w:val="36B349A1"/>
    <w:rsid w:val="36C16F69"/>
    <w:rsid w:val="36E8025C"/>
    <w:rsid w:val="36EB13E7"/>
    <w:rsid w:val="36ED061B"/>
    <w:rsid w:val="371D7C59"/>
    <w:rsid w:val="371F2C21"/>
    <w:rsid w:val="37386315"/>
    <w:rsid w:val="373966BF"/>
    <w:rsid w:val="374D5B3F"/>
    <w:rsid w:val="37550392"/>
    <w:rsid w:val="376B6698"/>
    <w:rsid w:val="37791338"/>
    <w:rsid w:val="3784033C"/>
    <w:rsid w:val="37873001"/>
    <w:rsid w:val="37881941"/>
    <w:rsid w:val="37893954"/>
    <w:rsid w:val="37994671"/>
    <w:rsid w:val="37AD19A5"/>
    <w:rsid w:val="37AD4051"/>
    <w:rsid w:val="37AE2C70"/>
    <w:rsid w:val="37AE3D4F"/>
    <w:rsid w:val="37D77088"/>
    <w:rsid w:val="37DC7264"/>
    <w:rsid w:val="37DE75A6"/>
    <w:rsid w:val="37E45736"/>
    <w:rsid w:val="37EF21FA"/>
    <w:rsid w:val="380D1DF8"/>
    <w:rsid w:val="38177104"/>
    <w:rsid w:val="38196A86"/>
    <w:rsid w:val="38343CF8"/>
    <w:rsid w:val="383C1156"/>
    <w:rsid w:val="38511657"/>
    <w:rsid w:val="38573E77"/>
    <w:rsid w:val="38851852"/>
    <w:rsid w:val="38855EC9"/>
    <w:rsid w:val="388B6152"/>
    <w:rsid w:val="38B251EF"/>
    <w:rsid w:val="38B94B3B"/>
    <w:rsid w:val="38C4306E"/>
    <w:rsid w:val="38CD6301"/>
    <w:rsid w:val="38D26C34"/>
    <w:rsid w:val="38D52C5C"/>
    <w:rsid w:val="38DF0452"/>
    <w:rsid w:val="38E716F9"/>
    <w:rsid w:val="38E946AA"/>
    <w:rsid w:val="38EF420E"/>
    <w:rsid w:val="38FB1D5E"/>
    <w:rsid w:val="38FB582C"/>
    <w:rsid w:val="38FF2E1A"/>
    <w:rsid w:val="390013A5"/>
    <w:rsid w:val="390C5C90"/>
    <w:rsid w:val="390E5EBF"/>
    <w:rsid w:val="3915321F"/>
    <w:rsid w:val="3922354B"/>
    <w:rsid w:val="39261DF9"/>
    <w:rsid w:val="39380364"/>
    <w:rsid w:val="393D2C48"/>
    <w:rsid w:val="394C33D9"/>
    <w:rsid w:val="394C6803"/>
    <w:rsid w:val="39614166"/>
    <w:rsid w:val="396F0447"/>
    <w:rsid w:val="398D796F"/>
    <w:rsid w:val="399145CA"/>
    <w:rsid w:val="39970FB4"/>
    <w:rsid w:val="399A3A79"/>
    <w:rsid w:val="39A51CE0"/>
    <w:rsid w:val="39A65D00"/>
    <w:rsid w:val="39B027BA"/>
    <w:rsid w:val="39B723E4"/>
    <w:rsid w:val="39BC1DBE"/>
    <w:rsid w:val="39C50DE6"/>
    <w:rsid w:val="39CB7A87"/>
    <w:rsid w:val="39F8091D"/>
    <w:rsid w:val="39FC7488"/>
    <w:rsid w:val="39FF472A"/>
    <w:rsid w:val="3A011023"/>
    <w:rsid w:val="3A0B3E07"/>
    <w:rsid w:val="3A14138F"/>
    <w:rsid w:val="3A340B0B"/>
    <w:rsid w:val="3A3877A1"/>
    <w:rsid w:val="3A4701AF"/>
    <w:rsid w:val="3A503F45"/>
    <w:rsid w:val="3A527966"/>
    <w:rsid w:val="3A581FA4"/>
    <w:rsid w:val="3A5C08D3"/>
    <w:rsid w:val="3A616393"/>
    <w:rsid w:val="3A685AA2"/>
    <w:rsid w:val="3A6C67A5"/>
    <w:rsid w:val="3AD3124F"/>
    <w:rsid w:val="3ADB199C"/>
    <w:rsid w:val="3ADF6BB1"/>
    <w:rsid w:val="3AF05A2B"/>
    <w:rsid w:val="3AFA227D"/>
    <w:rsid w:val="3B012E6B"/>
    <w:rsid w:val="3B074C1B"/>
    <w:rsid w:val="3B10564F"/>
    <w:rsid w:val="3B173BFD"/>
    <w:rsid w:val="3B1D03BA"/>
    <w:rsid w:val="3B36176B"/>
    <w:rsid w:val="3B387052"/>
    <w:rsid w:val="3B3E4F61"/>
    <w:rsid w:val="3B457FCA"/>
    <w:rsid w:val="3B5A188F"/>
    <w:rsid w:val="3B662BC0"/>
    <w:rsid w:val="3B664C36"/>
    <w:rsid w:val="3B6A75F8"/>
    <w:rsid w:val="3B7D6F6A"/>
    <w:rsid w:val="3B7F30A4"/>
    <w:rsid w:val="3B8D5A02"/>
    <w:rsid w:val="3B9725CA"/>
    <w:rsid w:val="3B9C3F68"/>
    <w:rsid w:val="3BA672A9"/>
    <w:rsid w:val="3BB3668C"/>
    <w:rsid w:val="3BC51E5E"/>
    <w:rsid w:val="3BC81B99"/>
    <w:rsid w:val="3BD176FB"/>
    <w:rsid w:val="3BDA4E48"/>
    <w:rsid w:val="3BE24B60"/>
    <w:rsid w:val="3BEE7627"/>
    <w:rsid w:val="3C005505"/>
    <w:rsid w:val="3C0F3747"/>
    <w:rsid w:val="3C0F6E42"/>
    <w:rsid w:val="3C13580F"/>
    <w:rsid w:val="3C177613"/>
    <w:rsid w:val="3C2900DB"/>
    <w:rsid w:val="3C2F42C7"/>
    <w:rsid w:val="3C385639"/>
    <w:rsid w:val="3C3A59BA"/>
    <w:rsid w:val="3C434BD1"/>
    <w:rsid w:val="3C4A49AD"/>
    <w:rsid w:val="3C511290"/>
    <w:rsid w:val="3C672C14"/>
    <w:rsid w:val="3C734CC5"/>
    <w:rsid w:val="3C7700E4"/>
    <w:rsid w:val="3C8A61A4"/>
    <w:rsid w:val="3C8D47B1"/>
    <w:rsid w:val="3C8F7316"/>
    <w:rsid w:val="3CA7096C"/>
    <w:rsid w:val="3CAE0A5F"/>
    <w:rsid w:val="3CB61674"/>
    <w:rsid w:val="3CBA14E0"/>
    <w:rsid w:val="3CBA4266"/>
    <w:rsid w:val="3CCC056A"/>
    <w:rsid w:val="3CD2281C"/>
    <w:rsid w:val="3CEE1FB3"/>
    <w:rsid w:val="3CF82959"/>
    <w:rsid w:val="3CF8576A"/>
    <w:rsid w:val="3CFF4D03"/>
    <w:rsid w:val="3D011A22"/>
    <w:rsid w:val="3D08650E"/>
    <w:rsid w:val="3D1D679D"/>
    <w:rsid w:val="3D353732"/>
    <w:rsid w:val="3D482113"/>
    <w:rsid w:val="3D5237A1"/>
    <w:rsid w:val="3D695658"/>
    <w:rsid w:val="3D6C1CB7"/>
    <w:rsid w:val="3D7048F2"/>
    <w:rsid w:val="3D74592B"/>
    <w:rsid w:val="3D760D32"/>
    <w:rsid w:val="3D8262BA"/>
    <w:rsid w:val="3D897263"/>
    <w:rsid w:val="3D8C76AB"/>
    <w:rsid w:val="3DC2371B"/>
    <w:rsid w:val="3DCC00F6"/>
    <w:rsid w:val="3DD17084"/>
    <w:rsid w:val="3DD45235"/>
    <w:rsid w:val="3DE95026"/>
    <w:rsid w:val="3DEA5B44"/>
    <w:rsid w:val="3DF81119"/>
    <w:rsid w:val="3DFE00AC"/>
    <w:rsid w:val="3E0006CE"/>
    <w:rsid w:val="3E0223A7"/>
    <w:rsid w:val="3E117CD5"/>
    <w:rsid w:val="3E162874"/>
    <w:rsid w:val="3E171CB9"/>
    <w:rsid w:val="3E1F0B6E"/>
    <w:rsid w:val="3E2823FC"/>
    <w:rsid w:val="3E3667C6"/>
    <w:rsid w:val="3E4501C0"/>
    <w:rsid w:val="3E4E515B"/>
    <w:rsid w:val="3E6BB673"/>
    <w:rsid w:val="3E750542"/>
    <w:rsid w:val="3E8566C7"/>
    <w:rsid w:val="3E8F0CD4"/>
    <w:rsid w:val="3EA411C3"/>
    <w:rsid w:val="3EB97976"/>
    <w:rsid w:val="3EC06511"/>
    <w:rsid w:val="3EC86A2B"/>
    <w:rsid w:val="3ECA3DB3"/>
    <w:rsid w:val="3ECC5C19"/>
    <w:rsid w:val="3ECD49ED"/>
    <w:rsid w:val="3ED02D59"/>
    <w:rsid w:val="3ED16010"/>
    <w:rsid w:val="3ED94336"/>
    <w:rsid w:val="3EDE6AE7"/>
    <w:rsid w:val="3EE43DF4"/>
    <w:rsid w:val="3EEC67C4"/>
    <w:rsid w:val="3EED6576"/>
    <w:rsid w:val="3EF142B8"/>
    <w:rsid w:val="3EF577E2"/>
    <w:rsid w:val="3EFD5398"/>
    <w:rsid w:val="3F1039ED"/>
    <w:rsid w:val="3F1228ED"/>
    <w:rsid w:val="3F12422F"/>
    <w:rsid w:val="3F333A22"/>
    <w:rsid w:val="3F417614"/>
    <w:rsid w:val="3F59568A"/>
    <w:rsid w:val="3F6842F2"/>
    <w:rsid w:val="3F6844BE"/>
    <w:rsid w:val="3F6B4F2C"/>
    <w:rsid w:val="3F77070A"/>
    <w:rsid w:val="3F797999"/>
    <w:rsid w:val="3F827606"/>
    <w:rsid w:val="3F846153"/>
    <w:rsid w:val="3F877B3E"/>
    <w:rsid w:val="3F8E351D"/>
    <w:rsid w:val="3FB97A7C"/>
    <w:rsid w:val="3FBE4111"/>
    <w:rsid w:val="3FC7C282"/>
    <w:rsid w:val="3FDD5EE3"/>
    <w:rsid w:val="3FE54875"/>
    <w:rsid w:val="3FEA4EC1"/>
    <w:rsid w:val="3FF913F8"/>
    <w:rsid w:val="3FF951A1"/>
    <w:rsid w:val="402079EC"/>
    <w:rsid w:val="40230D11"/>
    <w:rsid w:val="40380746"/>
    <w:rsid w:val="403A3A3D"/>
    <w:rsid w:val="40403FAF"/>
    <w:rsid w:val="40465640"/>
    <w:rsid w:val="4061642F"/>
    <w:rsid w:val="40640ABA"/>
    <w:rsid w:val="406C0EDE"/>
    <w:rsid w:val="406C5052"/>
    <w:rsid w:val="4071077E"/>
    <w:rsid w:val="4075728F"/>
    <w:rsid w:val="40857C93"/>
    <w:rsid w:val="409022B4"/>
    <w:rsid w:val="40986D02"/>
    <w:rsid w:val="40A23CC4"/>
    <w:rsid w:val="40C854ED"/>
    <w:rsid w:val="40CA3AF7"/>
    <w:rsid w:val="40D64733"/>
    <w:rsid w:val="40D77348"/>
    <w:rsid w:val="40E0015D"/>
    <w:rsid w:val="40E02D31"/>
    <w:rsid w:val="40E045E4"/>
    <w:rsid w:val="40E859D9"/>
    <w:rsid w:val="40EA717A"/>
    <w:rsid w:val="40ED7524"/>
    <w:rsid w:val="40F305CF"/>
    <w:rsid w:val="410302D3"/>
    <w:rsid w:val="41063807"/>
    <w:rsid w:val="410D5848"/>
    <w:rsid w:val="4121689F"/>
    <w:rsid w:val="41302438"/>
    <w:rsid w:val="41313092"/>
    <w:rsid w:val="4132477C"/>
    <w:rsid w:val="41347F62"/>
    <w:rsid w:val="41373AA9"/>
    <w:rsid w:val="413E1C47"/>
    <w:rsid w:val="415D4EF9"/>
    <w:rsid w:val="415E01D3"/>
    <w:rsid w:val="415E19AD"/>
    <w:rsid w:val="416A48C8"/>
    <w:rsid w:val="41765BEF"/>
    <w:rsid w:val="417D7544"/>
    <w:rsid w:val="41836E09"/>
    <w:rsid w:val="418732F8"/>
    <w:rsid w:val="418C02C8"/>
    <w:rsid w:val="41915C07"/>
    <w:rsid w:val="419D25D7"/>
    <w:rsid w:val="419E0E65"/>
    <w:rsid w:val="41BC2ECC"/>
    <w:rsid w:val="41BD7E87"/>
    <w:rsid w:val="41CF16CA"/>
    <w:rsid w:val="41DB1250"/>
    <w:rsid w:val="41DF5A9C"/>
    <w:rsid w:val="41E415CD"/>
    <w:rsid w:val="41F07F56"/>
    <w:rsid w:val="41FA6B62"/>
    <w:rsid w:val="41FC26E4"/>
    <w:rsid w:val="4206132D"/>
    <w:rsid w:val="421A053C"/>
    <w:rsid w:val="421E2360"/>
    <w:rsid w:val="422159F0"/>
    <w:rsid w:val="422E2E99"/>
    <w:rsid w:val="422E73E6"/>
    <w:rsid w:val="42313CAB"/>
    <w:rsid w:val="425E5134"/>
    <w:rsid w:val="427916F6"/>
    <w:rsid w:val="42842DCA"/>
    <w:rsid w:val="428C3511"/>
    <w:rsid w:val="42947140"/>
    <w:rsid w:val="429E6289"/>
    <w:rsid w:val="42BB04D5"/>
    <w:rsid w:val="42BF1F59"/>
    <w:rsid w:val="42C137D3"/>
    <w:rsid w:val="42C84B78"/>
    <w:rsid w:val="42D431E7"/>
    <w:rsid w:val="42DD3C7C"/>
    <w:rsid w:val="42E06D3F"/>
    <w:rsid w:val="42E47497"/>
    <w:rsid w:val="42EB703C"/>
    <w:rsid w:val="42EC78E6"/>
    <w:rsid w:val="42F13D50"/>
    <w:rsid w:val="42F44809"/>
    <w:rsid w:val="42F6791F"/>
    <w:rsid w:val="42FE0FF4"/>
    <w:rsid w:val="43105D77"/>
    <w:rsid w:val="4311783D"/>
    <w:rsid w:val="431A0A7B"/>
    <w:rsid w:val="432604B9"/>
    <w:rsid w:val="434F5A51"/>
    <w:rsid w:val="436F4138"/>
    <w:rsid w:val="4376192C"/>
    <w:rsid w:val="43825D5B"/>
    <w:rsid w:val="43826334"/>
    <w:rsid w:val="438274D6"/>
    <w:rsid w:val="43A63197"/>
    <w:rsid w:val="43AE09CA"/>
    <w:rsid w:val="43CA7F97"/>
    <w:rsid w:val="43D527A2"/>
    <w:rsid w:val="43D877F5"/>
    <w:rsid w:val="43DD12AF"/>
    <w:rsid w:val="43E443EC"/>
    <w:rsid w:val="43E5117C"/>
    <w:rsid w:val="43E75C8A"/>
    <w:rsid w:val="43EF46DE"/>
    <w:rsid w:val="440C56F0"/>
    <w:rsid w:val="441F0428"/>
    <w:rsid w:val="44297643"/>
    <w:rsid w:val="44316DCA"/>
    <w:rsid w:val="443609BF"/>
    <w:rsid w:val="4451500F"/>
    <w:rsid w:val="44567BE7"/>
    <w:rsid w:val="44586B88"/>
    <w:rsid w:val="445A043F"/>
    <w:rsid w:val="445A645C"/>
    <w:rsid w:val="445D1C18"/>
    <w:rsid w:val="44686728"/>
    <w:rsid w:val="44692B43"/>
    <w:rsid w:val="448630B3"/>
    <w:rsid w:val="448B156B"/>
    <w:rsid w:val="448D21B3"/>
    <w:rsid w:val="44AD3C60"/>
    <w:rsid w:val="44B46CE9"/>
    <w:rsid w:val="44B622C6"/>
    <w:rsid w:val="44C1122D"/>
    <w:rsid w:val="44CB1108"/>
    <w:rsid w:val="44DB3BAD"/>
    <w:rsid w:val="44EF7556"/>
    <w:rsid w:val="44FE772F"/>
    <w:rsid w:val="45062140"/>
    <w:rsid w:val="45073435"/>
    <w:rsid w:val="45161D33"/>
    <w:rsid w:val="452269D1"/>
    <w:rsid w:val="452913B3"/>
    <w:rsid w:val="4541761C"/>
    <w:rsid w:val="454C27BA"/>
    <w:rsid w:val="454E4D92"/>
    <w:rsid w:val="45521D98"/>
    <w:rsid w:val="455519C6"/>
    <w:rsid w:val="458A2D71"/>
    <w:rsid w:val="459021C4"/>
    <w:rsid w:val="4594599D"/>
    <w:rsid w:val="45982CA1"/>
    <w:rsid w:val="45A603D9"/>
    <w:rsid w:val="45B1654F"/>
    <w:rsid w:val="45C81AEB"/>
    <w:rsid w:val="45D33AEA"/>
    <w:rsid w:val="45D945AF"/>
    <w:rsid w:val="45D9497A"/>
    <w:rsid w:val="45DC6E49"/>
    <w:rsid w:val="45E3750C"/>
    <w:rsid w:val="45E44109"/>
    <w:rsid w:val="45E5444B"/>
    <w:rsid w:val="45E72D80"/>
    <w:rsid w:val="45E73807"/>
    <w:rsid w:val="45F22D41"/>
    <w:rsid w:val="460923E7"/>
    <w:rsid w:val="46267B8D"/>
    <w:rsid w:val="46296CFD"/>
    <w:rsid w:val="462C075E"/>
    <w:rsid w:val="464E3D9E"/>
    <w:rsid w:val="4672561E"/>
    <w:rsid w:val="46813229"/>
    <w:rsid w:val="46832CE2"/>
    <w:rsid w:val="46886B3E"/>
    <w:rsid w:val="469F5BC1"/>
    <w:rsid w:val="46A86972"/>
    <w:rsid w:val="46B12A0C"/>
    <w:rsid w:val="46B22AFA"/>
    <w:rsid w:val="46B31897"/>
    <w:rsid w:val="46BF4928"/>
    <w:rsid w:val="46C430AB"/>
    <w:rsid w:val="46E75FA1"/>
    <w:rsid w:val="46EB5A91"/>
    <w:rsid w:val="46EE50CD"/>
    <w:rsid w:val="47095803"/>
    <w:rsid w:val="47141B39"/>
    <w:rsid w:val="47200D37"/>
    <w:rsid w:val="47215D02"/>
    <w:rsid w:val="472D14AC"/>
    <w:rsid w:val="47370ABA"/>
    <w:rsid w:val="473805E5"/>
    <w:rsid w:val="47431429"/>
    <w:rsid w:val="474F47DA"/>
    <w:rsid w:val="475C05A1"/>
    <w:rsid w:val="47621DD1"/>
    <w:rsid w:val="47672A3E"/>
    <w:rsid w:val="47711B0E"/>
    <w:rsid w:val="477B1305"/>
    <w:rsid w:val="4790353E"/>
    <w:rsid w:val="4794500D"/>
    <w:rsid w:val="4797719D"/>
    <w:rsid w:val="47A002F6"/>
    <w:rsid w:val="47B90B7F"/>
    <w:rsid w:val="47C57F01"/>
    <w:rsid w:val="47CB6D80"/>
    <w:rsid w:val="47DE22C3"/>
    <w:rsid w:val="47E45A99"/>
    <w:rsid w:val="47F907C5"/>
    <w:rsid w:val="480C0168"/>
    <w:rsid w:val="480D0453"/>
    <w:rsid w:val="48270588"/>
    <w:rsid w:val="48274B6C"/>
    <w:rsid w:val="48310949"/>
    <w:rsid w:val="483551AB"/>
    <w:rsid w:val="483D22CC"/>
    <w:rsid w:val="486B00BB"/>
    <w:rsid w:val="488127A7"/>
    <w:rsid w:val="488C59FE"/>
    <w:rsid w:val="48991076"/>
    <w:rsid w:val="489B0AD4"/>
    <w:rsid w:val="489C0E7C"/>
    <w:rsid w:val="48AD1119"/>
    <w:rsid w:val="48C22C2E"/>
    <w:rsid w:val="48C5646E"/>
    <w:rsid w:val="48D13C68"/>
    <w:rsid w:val="48D662CD"/>
    <w:rsid w:val="48E15FB7"/>
    <w:rsid w:val="490A36DF"/>
    <w:rsid w:val="490F06E0"/>
    <w:rsid w:val="49112F05"/>
    <w:rsid w:val="49255DFC"/>
    <w:rsid w:val="49280816"/>
    <w:rsid w:val="492C2F96"/>
    <w:rsid w:val="493F20C4"/>
    <w:rsid w:val="49447356"/>
    <w:rsid w:val="494476DB"/>
    <w:rsid w:val="494576F1"/>
    <w:rsid w:val="494C493D"/>
    <w:rsid w:val="494E2350"/>
    <w:rsid w:val="49570857"/>
    <w:rsid w:val="495C287A"/>
    <w:rsid w:val="496B42DA"/>
    <w:rsid w:val="49777D4C"/>
    <w:rsid w:val="49831760"/>
    <w:rsid w:val="498755F1"/>
    <w:rsid w:val="49881965"/>
    <w:rsid w:val="498979C8"/>
    <w:rsid w:val="498F3A3D"/>
    <w:rsid w:val="49A21823"/>
    <w:rsid w:val="49A27191"/>
    <w:rsid w:val="49A642F4"/>
    <w:rsid w:val="49A935D9"/>
    <w:rsid w:val="49C12AD9"/>
    <w:rsid w:val="49C97224"/>
    <w:rsid w:val="49E26DC6"/>
    <w:rsid w:val="49ED0C94"/>
    <w:rsid w:val="49FC1D3A"/>
    <w:rsid w:val="49FC288D"/>
    <w:rsid w:val="4A11777F"/>
    <w:rsid w:val="4A161077"/>
    <w:rsid w:val="4A282B58"/>
    <w:rsid w:val="4A317D5F"/>
    <w:rsid w:val="4A4B730C"/>
    <w:rsid w:val="4A4F5B0A"/>
    <w:rsid w:val="4A50523D"/>
    <w:rsid w:val="4A5E0308"/>
    <w:rsid w:val="4A637E0D"/>
    <w:rsid w:val="4A6B6A74"/>
    <w:rsid w:val="4A776CD1"/>
    <w:rsid w:val="4A7E3750"/>
    <w:rsid w:val="4A806DBF"/>
    <w:rsid w:val="4A9E3731"/>
    <w:rsid w:val="4AA002B4"/>
    <w:rsid w:val="4AA065F5"/>
    <w:rsid w:val="4AA246B9"/>
    <w:rsid w:val="4AB23C03"/>
    <w:rsid w:val="4ABD4294"/>
    <w:rsid w:val="4ACA3C0F"/>
    <w:rsid w:val="4ACD23D6"/>
    <w:rsid w:val="4AD15731"/>
    <w:rsid w:val="4AD16930"/>
    <w:rsid w:val="4AD62DA1"/>
    <w:rsid w:val="4AE276BC"/>
    <w:rsid w:val="4AF6508E"/>
    <w:rsid w:val="4B00283F"/>
    <w:rsid w:val="4B0870AC"/>
    <w:rsid w:val="4B0E4511"/>
    <w:rsid w:val="4B127154"/>
    <w:rsid w:val="4B1371CB"/>
    <w:rsid w:val="4B197687"/>
    <w:rsid w:val="4B1C0B28"/>
    <w:rsid w:val="4B242613"/>
    <w:rsid w:val="4B465A2F"/>
    <w:rsid w:val="4B5144C4"/>
    <w:rsid w:val="4B5538D6"/>
    <w:rsid w:val="4B581620"/>
    <w:rsid w:val="4B5A3F7D"/>
    <w:rsid w:val="4B5E121D"/>
    <w:rsid w:val="4B88462C"/>
    <w:rsid w:val="4B897671"/>
    <w:rsid w:val="4B982CC0"/>
    <w:rsid w:val="4B9B0EA7"/>
    <w:rsid w:val="4B9C58D4"/>
    <w:rsid w:val="4B9D7435"/>
    <w:rsid w:val="4B9E042B"/>
    <w:rsid w:val="4BB15DD7"/>
    <w:rsid w:val="4BB673BE"/>
    <w:rsid w:val="4BD72A7F"/>
    <w:rsid w:val="4BE84AD9"/>
    <w:rsid w:val="4BEB3A83"/>
    <w:rsid w:val="4BF43354"/>
    <w:rsid w:val="4BFE4852"/>
    <w:rsid w:val="4BFF4460"/>
    <w:rsid w:val="4C070F38"/>
    <w:rsid w:val="4C1106C3"/>
    <w:rsid w:val="4C19280C"/>
    <w:rsid w:val="4C217FD6"/>
    <w:rsid w:val="4C2E7741"/>
    <w:rsid w:val="4C3E2CC4"/>
    <w:rsid w:val="4C4307E7"/>
    <w:rsid w:val="4C471FD7"/>
    <w:rsid w:val="4C4D5E54"/>
    <w:rsid w:val="4C4E6B2B"/>
    <w:rsid w:val="4C561BFF"/>
    <w:rsid w:val="4C5D6314"/>
    <w:rsid w:val="4C6B25BB"/>
    <w:rsid w:val="4C8F52A1"/>
    <w:rsid w:val="4C99297E"/>
    <w:rsid w:val="4C9E7102"/>
    <w:rsid w:val="4C9F4318"/>
    <w:rsid w:val="4CA472A7"/>
    <w:rsid w:val="4CA62864"/>
    <w:rsid w:val="4CAA0BC2"/>
    <w:rsid w:val="4CAC32BC"/>
    <w:rsid w:val="4CB437F6"/>
    <w:rsid w:val="4CB52377"/>
    <w:rsid w:val="4CC46FA7"/>
    <w:rsid w:val="4CCF0B8F"/>
    <w:rsid w:val="4CD1167C"/>
    <w:rsid w:val="4CDE3827"/>
    <w:rsid w:val="4CF91D35"/>
    <w:rsid w:val="4CFD2BF9"/>
    <w:rsid w:val="4D034783"/>
    <w:rsid w:val="4D0A751E"/>
    <w:rsid w:val="4D113D78"/>
    <w:rsid w:val="4D114845"/>
    <w:rsid w:val="4D191AD4"/>
    <w:rsid w:val="4D1A0E7E"/>
    <w:rsid w:val="4D2668B3"/>
    <w:rsid w:val="4D473501"/>
    <w:rsid w:val="4D497C35"/>
    <w:rsid w:val="4D570277"/>
    <w:rsid w:val="4D595B24"/>
    <w:rsid w:val="4D641BDB"/>
    <w:rsid w:val="4D6D5452"/>
    <w:rsid w:val="4D7D5612"/>
    <w:rsid w:val="4D812938"/>
    <w:rsid w:val="4D852885"/>
    <w:rsid w:val="4DA24D1C"/>
    <w:rsid w:val="4DBA0D0F"/>
    <w:rsid w:val="4DBB3186"/>
    <w:rsid w:val="4DC746DC"/>
    <w:rsid w:val="4DD13B44"/>
    <w:rsid w:val="4DD27265"/>
    <w:rsid w:val="4DD752A2"/>
    <w:rsid w:val="4DE624DA"/>
    <w:rsid w:val="4DE66FB2"/>
    <w:rsid w:val="4DE86678"/>
    <w:rsid w:val="4DF2276D"/>
    <w:rsid w:val="4DFC67D6"/>
    <w:rsid w:val="4E0975E7"/>
    <w:rsid w:val="4E0C1A56"/>
    <w:rsid w:val="4E191EAF"/>
    <w:rsid w:val="4E1E674C"/>
    <w:rsid w:val="4E4241EE"/>
    <w:rsid w:val="4E4F1AF9"/>
    <w:rsid w:val="4E524648"/>
    <w:rsid w:val="4E5E2FEC"/>
    <w:rsid w:val="4E664701"/>
    <w:rsid w:val="4E6A4CF1"/>
    <w:rsid w:val="4E6E0343"/>
    <w:rsid w:val="4E6F6FA8"/>
    <w:rsid w:val="4E752D59"/>
    <w:rsid w:val="4E771F3E"/>
    <w:rsid w:val="4E803FA8"/>
    <w:rsid w:val="4E814E30"/>
    <w:rsid w:val="4E8B2588"/>
    <w:rsid w:val="4E9E3C23"/>
    <w:rsid w:val="4EAA2BA6"/>
    <w:rsid w:val="4EDE7C89"/>
    <w:rsid w:val="4EEF578A"/>
    <w:rsid w:val="4EF0515A"/>
    <w:rsid w:val="4EF86F9D"/>
    <w:rsid w:val="4EFA6DC1"/>
    <w:rsid w:val="4F026AD9"/>
    <w:rsid w:val="4F0B2582"/>
    <w:rsid w:val="4F0F2B70"/>
    <w:rsid w:val="4F212A01"/>
    <w:rsid w:val="4F241B17"/>
    <w:rsid w:val="4F257073"/>
    <w:rsid w:val="4F493C9D"/>
    <w:rsid w:val="4F61663F"/>
    <w:rsid w:val="4F617220"/>
    <w:rsid w:val="4F6B6C90"/>
    <w:rsid w:val="4F7A1E4D"/>
    <w:rsid w:val="4F844786"/>
    <w:rsid w:val="4F8B3E56"/>
    <w:rsid w:val="4F8B78F2"/>
    <w:rsid w:val="4F910446"/>
    <w:rsid w:val="4F9A7AF4"/>
    <w:rsid w:val="4FA24068"/>
    <w:rsid w:val="4FA87C71"/>
    <w:rsid w:val="4FAC5825"/>
    <w:rsid w:val="4FAD6B06"/>
    <w:rsid w:val="4FD572DE"/>
    <w:rsid w:val="4FF26A8A"/>
    <w:rsid w:val="500B2D00"/>
    <w:rsid w:val="500E2189"/>
    <w:rsid w:val="501C5F4C"/>
    <w:rsid w:val="501E2A33"/>
    <w:rsid w:val="50242873"/>
    <w:rsid w:val="503B680E"/>
    <w:rsid w:val="50594100"/>
    <w:rsid w:val="50666784"/>
    <w:rsid w:val="5067531C"/>
    <w:rsid w:val="506C2AAB"/>
    <w:rsid w:val="50794F72"/>
    <w:rsid w:val="507C21F5"/>
    <w:rsid w:val="507D0CA9"/>
    <w:rsid w:val="50852AB2"/>
    <w:rsid w:val="509141B6"/>
    <w:rsid w:val="50AC6F1B"/>
    <w:rsid w:val="50BC224C"/>
    <w:rsid w:val="50BF076D"/>
    <w:rsid w:val="50C11560"/>
    <w:rsid w:val="50C7364E"/>
    <w:rsid w:val="50EB753F"/>
    <w:rsid w:val="50F3057B"/>
    <w:rsid w:val="51033E28"/>
    <w:rsid w:val="51094825"/>
    <w:rsid w:val="51194A6B"/>
    <w:rsid w:val="511E4CB5"/>
    <w:rsid w:val="512460B3"/>
    <w:rsid w:val="512D7670"/>
    <w:rsid w:val="512E7C5E"/>
    <w:rsid w:val="5130772D"/>
    <w:rsid w:val="513D5554"/>
    <w:rsid w:val="51433A26"/>
    <w:rsid w:val="51435AD8"/>
    <w:rsid w:val="514E026B"/>
    <w:rsid w:val="515E027B"/>
    <w:rsid w:val="51644FC7"/>
    <w:rsid w:val="518746DA"/>
    <w:rsid w:val="51A14AB5"/>
    <w:rsid w:val="51B72D2A"/>
    <w:rsid w:val="51BA29E1"/>
    <w:rsid w:val="51BD5213"/>
    <w:rsid w:val="51BF35FD"/>
    <w:rsid w:val="51C8796C"/>
    <w:rsid w:val="51C969CF"/>
    <w:rsid w:val="51CA1D55"/>
    <w:rsid w:val="51D3518D"/>
    <w:rsid w:val="51D51773"/>
    <w:rsid w:val="51EC7E84"/>
    <w:rsid w:val="51F02ACF"/>
    <w:rsid w:val="51FA7F99"/>
    <w:rsid w:val="52036385"/>
    <w:rsid w:val="520720D4"/>
    <w:rsid w:val="5209753A"/>
    <w:rsid w:val="520D307D"/>
    <w:rsid w:val="520E4894"/>
    <w:rsid w:val="52106F7E"/>
    <w:rsid w:val="52124AA4"/>
    <w:rsid w:val="522A551E"/>
    <w:rsid w:val="522F264F"/>
    <w:rsid w:val="52384A5B"/>
    <w:rsid w:val="523909B7"/>
    <w:rsid w:val="524C35A0"/>
    <w:rsid w:val="525A6760"/>
    <w:rsid w:val="52644A8E"/>
    <w:rsid w:val="52693783"/>
    <w:rsid w:val="526D567F"/>
    <w:rsid w:val="52765DE3"/>
    <w:rsid w:val="52860304"/>
    <w:rsid w:val="528909E8"/>
    <w:rsid w:val="528F0266"/>
    <w:rsid w:val="529C2335"/>
    <w:rsid w:val="52A42843"/>
    <w:rsid w:val="52A44B1D"/>
    <w:rsid w:val="52A606BB"/>
    <w:rsid w:val="52BE70DE"/>
    <w:rsid w:val="52BF2AF6"/>
    <w:rsid w:val="52C67421"/>
    <w:rsid w:val="52D3015E"/>
    <w:rsid w:val="52D72187"/>
    <w:rsid w:val="52DF6103"/>
    <w:rsid w:val="52EE408A"/>
    <w:rsid w:val="52F43DE1"/>
    <w:rsid w:val="52FC482C"/>
    <w:rsid w:val="530410BC"/>
    <w:rsid w:val="530D4BDD"/>
    <w:rsid w:val="53106487"/>
    <w:rsid w:val="532A36C6"/>
    <w:rsid w:val="53395347"/>
    <w:rsid w:val="535B00EA"/>
    <w:rsid w:val="535D7F64"/>
    <w:rsid w:val="536D0B73"/>
    <w:rsid w:val="536E77DF"/>
    <w:rsid w:val="537155BE"/>
    <w:rsid w:val="538413C3"/>
    <w:rsid w:val="538542B6"/>
    <w:rsid w:val="53A7310B"/>
    <w:rsid w:val="53AD61E2"/>
    <w:rsid w:val="53AE6E89"/>
    <w:rsid w:val="53BD55C2"/>
    <w:rsid w:val="53BE4E00"/>
    <w:rsid w:val="53C20C47"/>
    <w:rsid w:val="53D73D1F"/>
    <w:rsid w:val="53EA12F8"/>
    <w:rsid w:val="53F046E7"/>
    <w:rsid w:val="53FD3203"/>
    <w:rsid w:val="540F471F"/>
    <w:rsid w:val="5416113B"/>
    <w:rsid w:val="541B565F"/>
    <w:rsid w:val="541F2266"/>
    <w:rsid w:val="542B571F"/>
    <w:rsid w:val="54375424"/>
    <w:rsid w:val="54383F56"/>
    <w:rsid w:val="544B4013"/>
    <w:rsid w:val="544B7B6F"/>
    <w:rsid w:val="54511490"/>
    <w:rsid w:val="54567CF8"/>
    <w:rsid w:val="54660A34"/>
    <w:rsid w:val="54705FA3"/>
    <w:rsid w:val="54774E08"/>
    <w:rsid w:val="54871C34"/>
    <w:rsid w:val="54A569C8"/>
    <w:rsid w:val="54A9350D"/>
    <w:rsid w:val="54AE3555"/>
    <w:rsid w:val="54B3699E"/>
    <w:rsid w:val="54B44F3E"/>
    <w:rsid w:val="54C6239B"/>
    <w:rsid w:val="54CD2C7A"/>
    <w:rsid w:val="54D01A26"/>
    <w:rsid w:val="54D21FF4"/>
    <w:rsid w:val="54D22C63"/>
    <w:rsid w:val="54D51D92"/>
    <w:rsid w:val="54E33E07"/>
    <w:rsid w:val="54EB509D"/>
    <w:rsid w:val="550020CC"/>
    <w:rsid w:val="55053FB1"/>
    <w:rsid w:val="550F738D"/>
    <w:rsid w:val="55105D67"/>
    <w:rsid w:val="551F2EF6"/>
    <w:rsid w:val="55291717"/>
    <w:rsid w:val="552E42B1"/>
    <w:rsid w:val="552F2073"/>
    <w:rsid w:val="55320D2F"/>
    <w:rsid w:val="5533296C"/>
    <w:rsid w:val="553C0B0B"/>
    <w:rsid w:val="55455991"/>
    <w:rsid w:val="555A34AB"/>
    <w:rsid w:val="555B3708"/>
    <w:rsid w:val="555C1021"/>
    <w:rsid w:val="55650DD4"/>
    <w:rsid w:val="559544A1"/>
    <w:rsid w:val="559D1B18"/>
    <w:rsid w:val="55A73683"/>
    <w:rsid w:val="55A86518"/>
    <w:rsid w:val="55B45E9B"/>
    <w:rsid w:val="55B5218C"/>
    <w:rsid w:val="55BA16AD"/>
    <w:rsid w:val="55BB2305"/>
    <w:rsid w:val="55BC5278"/>
    <w:rsid w:val="55C84E61"/>
    <w:rsid w:val="55CD530D"/>
    <w:rsid w:val="55CF199A"/>
    <w:rsid w:val="55CF2C93"/>
    <w:rsid w:val="55D2103B"/>
    <w:rsid w:val="55E768E8"/>
    <w:rsid w:val="55EE2853"/>
    <w:rsid w:val="55F12998"/>
    <w:rsid w:val="55FA0B6B"/>
    <w:rsid w:val="55FF0040"/>
    <w:rsid w:val="560E1DBD"/>
    <w:rsid w:val="563E5808"/>
    <w:rsid w:val="56487C06"/>
    <w:rsid w:val="564F2FD6"/>
    <w:rsid w:val="564F4A1A"/>
    <w:rsid w:val="56520BF9"/>
    <w:rsid w:val="56574EF1"/>
    <w:rsid w:val="565D364A"/>
    <w:rsid w:val="566400FB"/>
    <w:rsid w:val="566E51D6"/>
    <w:rsid w:val="56775267"/>
    <w:rsid w:val="568B1C5B"/>
    <w:rsid w:val="56931F37"/>
    <w:rsid w:val="56932322"/>
    <w:rsid w:val="569C5EA6"/>
    <w:rsid w:val="569E3EE6"/>
    <w:rsid w:val="56B5513D"/>
    <w:rsid w:val="56BF4844"/>
    <w:rsid w:val="56CB403F"/>
    <w:rsid w:val="56D11496"/>
    <w:rsid w:val="56E270E9"/>
    <w:rsid w:val="57071F4E"/>
    <w:rsid w:val="570D730A"/>
    <w:rsid w:val="571B01F2"/>
    <w:rsid w:val="572D0C7B"/>
    <w:rsid w:val="57342B3C"/>
    <w:rsid w:val="57435475"/>
    <w:rsid w:val="574A4E12"/>
    <w:rsid w:val="574E4E5E"/>
    <w:rsid w:val="57572CCF"/>
    <w:rsid w:val="57710B44"/>
    <w:rsid w:val="57797801"/>
    <w:rsid w:val="577A1F44"/>
    <w:rsid w:val="57823EDB"/>
    <w:rsid w:val="57971AFC"/>
    <w:rsid w:val="57996E2C"/>
    <w:rsid w:val="57B1418D"/>
    <w:rsid w:val="57B3566A"/>
    <w:rsid w:val="57B83882"/>
    <w:rsid w:val="57B93563"/>
    <w:rsid w:val="57C72719"/>
    <w:rsid w:val="57CE1ADE"/>
    <w:rsid w:val="57D11333"/>
    <w:rsid w:val="57E87254"/>
    <w:rsid w:val="57EC2FBD"/>
    <w:rsid w:val="57F24692"/>
    <w:rsid w:val="57F51934"/>
    <w:rsid w:val="57F9109C"/>
    <w:rsid w:val="57FD0454"/>
    <w:rsid w:val="580526F5"/>
    <w:rsid w:val="580B1B5D"/>
    <w:rsid w:val="580F52DD"/>
    <w:rsid w:val="581A4428"/>
    <w:rsid w:val="58226E39"/>
    <w:rsid w:val="583D28C6"/>
    <w:rsid w:val="58446D2E"/>
    <w:rsid w:val="58447EEA"/>
    <w:rsid w:val="58560FBA"/>
    <w:rsid w:val="585710E6"/>
    <w:rsid w:val="585B630B"/>
    <w:rsid w:val="585F790C"/>
    <w:rsid w:val="58621F05"/>
    <w:rsid w:val="58707502"/>
    <w:rsid w:val="58723FE4"/>
    <w:rsid w:val="5888199F"/>
    <w:rsid w:val="5889510A"/>
    <w:rsid w:val="58A9755A"/>
    <w:rsid w:val="58AA794A"/>
    <w:rsid w:val="58AB7AD4"/>
    <w:rsid w:val="58B85631"/>
    <w:rsid w:val="58BD7BC2"/>
    <w:rsid w:val="58C12364"/>
    <w:rsid w:val="58C305A4"/>
    <w:rsid w:val="58CC3FD5"/>
    <w:rsid w:val="58E312F5"/>
    <w:rsid w:val="58EB0BCA"/>
    <w:rsid w:val="58F51F77"/>
    <w:rsid w:val="58FC29EF"/>
    <w:rsid w:val="59011144"/>
    <w:rsid w:val="59025B0D"/>
    <w:rsid w:val="59055CCE"/>
    <w:rsid w:val="590E638E"/>
    <w:rsid w:val="59170A87"/>
    <w:rsid w:val="59184160"/>
    <w:rsid w:val="59254E33"/>
    <w:rsid w:val="5930040D"/>
    <w:rsid w:val="59335C0C"/>
    <w:rsid w:val="593C6EC8"/>
    <w:rsid w:val="593F4B78"/>
    <w:rsid w:val="59442859"/>
    <w:rsid w:val="59542347"/>
    <w:rsid w:val="5956265F"/>
    <w:rsid w:val="595A36C1"/>
    <w:rsid w:val="595B3C40"/>
    <w:rsid w:val="596C7A31"/>
    <w:rsid w:val="5970339B"/>
    <w:rsid w:val="597C4916"/>
    <w:rsid w:val="598F4F95"/>
    <w:rsid w:val="59904470"/>
    <w:rsid w:val="5999739E"/>
    <w:rsid w:val="59A1284D"/>
    <w:rsid w:val="59A41164"/>
    <w:rsid w:val="59B12B6A"/>
    <w:rsid w:val="59B569AB"/>
    <w:rsid w:val="59BD150F"/>
    <w:rsid w:val="59C254A5"/>
    <w:rsid w:val="59E06376"/>
    <w:rsid w:val="59E142DC"/>
    <w:rsid w:val="59FF75BE"/>
    <w:rsid w:val="5A0111E2"/>
    <w:rsid w:val="5A0176D1"/>
    <w:rsid w:val="5A1D4EFE"/>
    <w:rsid w:val="5A1F1046"/>
    <w:rsid w:val="5A394566"/>
    <w:rsid w:val="5A3A2204"/>
    <w:rsid w:val="5A427F8C"/>
    <w:rsid w:val="5A472CEC"/>
    <w:rsid w:val="5A666518"/>
    <w:rsid w:val="5A782AA3"/>
    <w:rsid w:val="5A7F24C0"/>
    <w:rsid w:val="5A891532"/>
    <w:rsid w:val="5A97782C"/>
    <w:rsid w:val="5A982B0C"/>
    <w:rsid w:val="5A9B1124"/>
    <w:rsid w:val="5A9E5948"/>
    <w:rsid w:val="5AA669DF"/>
    <w:rsid w:val="5ABB7EBA"/>
    <w:rsid w:val="5ABD5EDB"/>
    <w:rsid w:val="5AC6441F"/>
    <w:rsid w:val="5ACD4C19"/>
    <w:rsid w:val="5AD32AD3"/>
    <w:rsid w:val="5AD61301"/>
    <w:rsid w:val="5ADA0571"/>
    <w:rsid w:val="5ADA7E9F"/>
    <w:rsid w:val="5AEF6BF7"/>
    <w:rsid w:val="5AFC7E15"/>
    <w:rsid w:val="5AFF59AA"/>
    <w:rsid w:val="5B0C1D95"/>
    <w:rsid w:val="5B0D1838"/>
    <w:rsid w:val="5B1F58B2"/>
    <w:rsid w:val="5B2130BD"/>
    <w:rsid w:val="5B224E28"/>
    <w:rsid w:val="5B28184F"/>
    <w:rsid w:val="5B4C6EFE"/>
    <w:rsid w:val="5B7222F3"/>
    <w:rsid w:val="5B725324"/>
    <w:rsid w:val="5B751975"/>
    <w:rsid w:val="5B755477"/>
    <w:rsid w:val="5B7A74E3"/>
    <w:rsid w:val="5B7F07D5"/>
    <w:rsid w:val="5B826FBC"/>
    <w:rsid w:val="5B8526E3"/>
    <w:rsid w:val="5BB3092C"/>
    <w:rsid w:val="5BB93F58"/>
    <w:rsid w:val="5BBD57F6"/>
    <w:rsid w:val="5BC540D1"/>
    <w:rsid w:val="5BCF7A15"/>
    <w:rsid w:val="5BD74746"/>
    <w:rsid w:val="5BDE576D"/>
    <w:rsid w:val="5BE077E3"/>
    <w:rsid w:val="5BF758DA"/>
    <w:rsid w:val="5BFA5443"/>
    <w:rsid w:val="5C0033F1"/>
    <w:rsid w:val="5C022EEB"/>
    <w:rsid w:val="5C3E030B"/>
    <w:rsid w:val="5C451D6A"/>
    <w:rsid w:val="5C515F3F"/>
    <w:rsid w:val="5C647285"/>
    <w:rsid w:val="5C7A19BD"/>
    <w:rsid w:val="5C7F214A"/>
    <w:rsid w:val="5C89057D"/>
    <w:rsid w:val="5C9A394F"/>
    <w:rsid w:val="5CA249EC"/>
    <w:rsid w:val="5CAC6FC5"/>
    <w:rsid w:val="5CB53A34"/>
    <w:rsid w:val="5CB77667"/>
    <w:rsid w:val="5CB96D6F"/>
    <w:rsid w:val="5CC16D8D"/>
    <w:rsid w:val="5CC95D32"/>
    <w:rsid w:val="5CD03307"/>
    <w:rsid w:val="5CDC179B"/>
    <w:rsid w:val="5CF05758"/>
    <w:rsid w:val="5CF073E9"/>
    <w:rsid w:val="5CFA0384"/>
    <w:rsid w:val="5CFE6E2C"/>
    <w:rsid w:val="5CFF6E54"/>
    <w:rsid w:val="5D0120B0"/>
    <w:rsid w:val="5D0336DD"/>
    <w:rsid w:val="5D0F2892"/>
    <w:rsid w:val="5D1F047E"/>
    <w:rsid w:val="5D215911"/>
    <w:rsid w:val="5D26311B"/>
    <w:rsid w:val="5D2B2C34"/>
    <w:rsid w:val="5D3E26E8"/>
    <w:rsid w:val="5D577A94"/>
    <w:rsid w:val="5D697D79"/>
    <w:rsid w:val="5D7520B0"/>
    <w:rsid w:val="5D7D2CD6"/>
    <w:rsid w:val="5D8C2F31"/>
    <w:rsid w:val="5D94650F"/>
    <w:rsid w:val="5D96561B"/>
    <w:rsid w:val="5DA05548"/>
    <w:rsid w:val="5DA4679E"/>
    <w:rsid w:val="5DB76275"/>
    <w:rsid w:val="5DC2137F"/>
    <w:rsid w:val="5DC2282B"/>
    <w:rsid w:val="5DD3264E"/>
    <w:rsid w:val="5E041265"/>
    <w:rsid w:val="5E2B7697"/>
    <w:rsid w:val="5E330A47"/>
    <w:rsid w:val="5E3B36FA"/>
    <w:rsid w:val="5E4C0F3D"/>
    <w:rsid w:val="5E4D2A9C"/>
    <w:rsid w:val="5E521E1C"/>
    <w:rsid w:val="5E5571A4"/>
    <w:rsid w:val="5E5576F3"/>
    <w:rsid w:val="5E723EB4"/>
    <w:rsid w:val="5E7303EE"/>
    <w:rsid w:val="5E8720EC"/>
    <w:rsid w:val="5E912F6A"/>
    <w:rsid w:val="5EA23921"/>
    <w:rsid w:val="5EBD58FA"/>
    <w:rsid w:val="5EC46CBD"/>
    <w:rsid w:val="5EC9488F"/>
    <w:rsid w:val="5ECE5F2E"/>
    <w:rsid w:val="5ED12060"/>
    <w:rsid w:val="5EDE5C89"/>
    <w:rsid w:val="5EE64AAF"/>
    <w:rsid w:val="5EE96902"/>
    <w:rsid w:val="5EEB267A"/>
    <w:rsid w:val="5EEF1885"/>
    <w:rsid w:val="5EF47E31"/>
    <w:rsid w:val="5EFB4BF2"/>
    <w:rsid w:val="5F1C441D"/>
    <w:rsid w:val="5F1E58A2"/>
    <w:rsid w:val="5F1F2B83"/>
    <w:rsid w:val="5F215050"/>
    <w:rsid w:val="5F2931A3"/>
    <w:rsid w:val="5F2D4A41"/>
    <w:rsid w:val="5F2E659A"/>
    <w:rsid w:val="5F3E073F"/>
    <w:rsid w:val="5F474BFF"/>
    <w:rsid w:val="5F526781"/>
    <w:rsid w:val="5F623276"/>
    <w:rsid w:val="5F6A0409"/>
    <w:rsid w:val="5F6C2068"/>
    <w:rsid w:val="5F6C31C7"/>
    <w:rsid w:val="5F733EF1"/>
    <w:rsid w:val="5F743B13"/>
    <w:rsid w:val="5F786A3F"/>
    <w:rsid w:val="5F7D704B"/>
    <w:rsid w:val="5F7F46FC"/>
    <w:rsid w:val="5F7FE304"/>
    <w:rsid w:val="5F812FDF"/>
    <w:rsid w:val="5F874FBF"/>
    <w:rsid w:val="5F990328"/>
    <w:rsid w:val="5F9B0D23"/>
    <w:rsid w:val="5F9D4C85"/>
    <w:rsid w:val="5F9F8873"/>
    <w:rsid w:val="5FB51FCB"/>
    <w:rsid w:val="5FC2688A"/>
    <w:rsid w:val="5FDC7CD6"/>
    <w:rsid w:val="5FE04BD5"/>
    <w:rsid w:val="5FE1547F"/>
    <w:rsid w:val="5FEE3BCE"/>
    <w:rsid w:val="600153BE"/>
    <w:rsid w:val="6005151A"/>
    <w:rsid w:val="60094F35"/>
    <w:rsid w:val="600D4CEE"/>
    <w:rsid w:val="60113E2C"/>
    <w:rsid w:val="60116111"/>
    <w:rsid w:val="601609A8"/>
    <w:rsid w:val="602B0783"/>
    <w:rsid w:val="602C7C48"/>
    <w:rsid w:val="6035284E"/>
    <w:rsid w:val="604343F0"/>
    <w:rsid w:val="60437DE9"/>
    <w:rsid w:val="6046318F"/>
    <w:rsid w:val="60463EC6"/>
    <w:rsid w:val="604B6CCB"/>
    <w:rsid w:val="606D70BF"/>
    <w:rsid w:val="6070442A"/>
    <w:rsid w:val="60750165"/>
    <w:rsid w:val="60A3109B"/>
    <w:rsid w:val="60B9239F"/>
    <w:rsid w:val="60BF5B6D"/>
    <w:rsid w:val="60C645AB"/>
    <w:rsid w:val="60E20DAE"/>
    <w:rsid w:val="60E27E53"/>
    <w:rsid w:val="60F4180C"/>
    <w:rsid w:val="61206F49"/>
    <w:rsid w:val="613D6BAA"/>
    <w:rsid w:val="61410D80"/>
    <w:rsid w:val="61536FD1"/>
    <w:rsid w:val="61611A0B"/>
    <w:rsid w:val="61621D97"/>
    <w:rsid w:val="6167427F"/>
    <w:rsid w:val="616A3192"/>
    <w:rsid w:val="61812597"/>
    <w:rsid w:val="618755C4"/>
    <w:rsid w:val="61953350"/>
    <w:rsid w:val="619E139C"/>
    <w:rsid w:val="61B62B7A"/>
    <w:rsid w:val="61BE5377"/>
    <w:rsid w:val="61D0398A"/>
    <w:rsid w:val="61DE71DE"/>
    <w:rsid w:val="61EA4E6B"/>
    <w:rsid w:val="61EE7897"/>
    <w:rsid w:val="61F05A3D"/>
    <w:rsid w:val="620D33E1"/>
    <w:rsid w:val="621259F7"/>
    <w:rsid w:val="62127C3C"/>
    <w:rsid w:val="622214DA"/>
    <w:rsid w:val="6224730C"/>
    <w:rsid w:val="622567A5"/>
    <w:rsid w:val="622977EA"/>
    <w:rsid w:val="622B010A"/>
    <w:rsid w:val="622C73DE"/>
    <w:rsid w:val="62416D8B"/>
    <w:rsid w:val="624645AC"/>
    <w:rsid w:val="62577D9F"/>
    <w:rsid w:val="625937AE"/>
    <w:rsid w:val="626C7A15"/>
    <w:rsid w:val="626F3F92"/>
    <w:rsid w:val="6287216F"/>
    <w:rsid w:val="62892A53"/>
    <w:rsid w:val="62935DB1"/>
    <w:rsid w:val="629831F9"/>
    <w:rsid w:val="62A327AB"/>
    <w:rsid w:val="62B15989"/>
    <w:rsid w:val="62B92A90"/>
    <w:rsid w:val="62BC5DE9"/>
    <w:rsid w:val="62BD2580"/>
    <w:rsid w:val="62C10FD0"/>
    <w:rsid w:val="62C76F5B"/>
    <w:rsid w:val="62DD3B22"/>
    <w:rsid w:val="62E41E7C"/>
    <w:rsid w:val="62E8190E"/>
    <w:rsid w:val="62EC74FF"/>
    <w:rsid w:val="62EE30D2"/>
    <w:rsid w:val="62F06650"/>
    <w:rsid w:val="62FA10DE"/>
    <w:rsid w:val="62FC541B"/>
    <w:rsid w:val="630006BE"/>
    <w:rsid w:val="6300634C"/>
    <w:rsid w:val="630E03BD"/>
    <w:rsid w:val="63113864"/>
    <w:rsid w:val="63114765"/>
    <w:rsid w:val="631550FC"/>
    <w:rsid w:val="63382085"/>
    <w:rsid w:val="63422B24"/>
    <w:rsid w:val="63471E94"/>
    <w:rsid w:val="636607F7"/>
    <w:rsid w:val="636642EF"/>
    <w:rsid w:val="636965D4"/>
    <w:rsid w:val="637029F7"/>
    <w:rsid w:val="63726B6C"/>
    <w:rsid w:val="637B7A06"/>
    <w:rsid w:val="63835232"/>
    <w:rsid w:val="63965A29"/>
    <w:rsid w:val="63A044C9"/>
    <w:rsid w:val="63A50EBA"/>
    <w:rsid w:val="63AE2B07"/>
    <w:rsid w:val="63AE435F"/>
    <w:rsid w:val="63B14BC4"/>
    <w:rsid w:val="63BB7AF9"/>
    <w:rsid w:val="63BD1501"/>
    <w:rsid w:val="63F041DC"/>
    <w:rsid w:val="63F86267"/>
    <w:rsid w:val="640E3B92"/>
    <w:rsid w:val="643D2511"/>
    <w:rsid w:val="644A5D7B"/>
    <w:rsid w:val="64561C64"/>
    <w:rsid w:val="647905D1"/>
    <w:rsid w:val="647A3430"/>
    <w:rsid w:val="647B624F"/>
    <w:rsid w:val="648B159F"/>
    <w:rsid w:val="64A13515"/>
    <w:rsid w:val="64A137DB"/>
    <w:rsid w:val="64A21A2D"/>
    <w:rsid w:val="64BA302E"/>
    <w:rsid w:val="64BB2F3B"/>
    <w:rsid w:val="64BF61CB"/>
    <w:rsid w:val="64C93DE9"/>
    <w:rsid w:val="64DA6181"/>
    <w:rsid w:val="64DF2A44"/>
    <w:rsid w:val="64FA5B55"/>
    <w:rsid w:val="650C50F9"/>
    <w:rsid w:val="651C0482"/>
    <w:rsid w:val="653D1756"/>
    <w:rsid w:val="65562818"/>
    <w:rsid w:val="656B7BBE"/>
    <w:rsid w:val="657E46FF"/>
    <w:rsid w:val="658E1E84"/>
    <w:rsid w:val="65972077"/>
    <w:rsid w:val="659768EE"/>
    <w:rsid w:val="65AB2B63"/>
    <w:rsid w:val="65BF551B"/>
    <w:rsid w:val="65C437BF"/>
    <w:rsid w:val="65C601F6"/>
    <w:rsid w:val="65C72292"/>
    <w:rsid w:val="65D117B7"/>
    <w:rsid w:val="65D200F0"/>
    <w:rsid w:val="65DC5DBF"/>
    <w:rsid w:val="65F1617E"/>
    <w:rsid w:val="65F5223C"/>
    <w:rsid w:val="660245B8"/>
    <w:rsid w:val="661829F8"/>
    <w:rsid w:val="661B4BCF"/>
    <w:rsid w:val="662D4566"/>
    <w:rsid w:val="665C4E79"/>
    <w:rsid w:val="66717E3F"/>
    <w:rsid w:val="66742F55"/>
    <w:rsid w:val="66802ADE"/>
    <w:rsid w:val="66821FD7"/>
    <w:rsid w:val="66975803"/>
    <w:rsid w:val="66A17AC3"/>
    <w:rsid w:val="66B132A5"/>
    <w:rsid w:val="66C306A0"/>
    <w:rsid w:val="66D52CAC"/>
    <w:rsid w:val="66E717C1"/>
    <w:rsid w:val="66E757AC"/>
    <w:rsid w:val="66F276B6"/>
    <w:rsid w:val="66FB2125"/>
    <w:rsid w:val="672A5A8A"/>
    <w:rsid w:val="672B6BEF"/>
    <w:rsid w:val="672F287A"/>
    <w:rsid w:val="673152EA"/>
    <w:rsid w:val="67332E10"/>
    <w:rsid w:val="67340A23"/>
    <w:rsid w:val="674D79C1"/>
    <w:rsid w:val="67574DE2"/>
    <w:rsid w:val="675F6FD0"/>
    <w:rsid w:val="67684F26"/>
    <w:rsid w:val="67717EA6"/>
    <w:rsid w:val="67753D45"/>
    <w:rsid w:val="677E7AB0"/>
    <w:rsid w:val="678C66BD"/>
    <w:rsid w:val="67A55390"/>
    <w:rsid w:val="67BF6452"/>
    <w:rsid w:val="67CB0668"/>
    <w:rsid w:val="67D03E67"/>
    <w:rsid w:val="67D33548"/>
    <w:rsid w:val="67D7565F"/>
    <w:rsid w:val="67E633C8"/>
    <w:rsid w:val="67E86292"/>
    <w:rsid w:val="67F72C98"/>
    <w:rsid w:val="68174EC4"/>
    <w:rsid w:val="681B3A82"/>
    <w:rsid w:val="683706DE"/>
    <w:rsid w:val="68450B54"/>
    <w:rsid w:val="68475BAD"/>
    <w:rsid w:val="684D1CB0"/>
    <w:rsid w:val="6853226F"/>
    <w:rsid w:val="68534AC8"/>
    <w:rsid w:val="68557724"/>
    <w:rsid w:val="685D0462"/>
    <w:rsid w:val="686B0388"/>
    <w:rsid w:val="687B613E"/>
    <w:rsid w:val="68830BF5"/>
    <w:rsid w:val="689D7887"/>
    <w:rsid w:val="689F7918"/>
    <w:rsid w:val="68AF4719"/>
    <w:rsid w:val="68B411EB"/>
    <w:rsid w:val="68B42E9C"/>
    <w:rsid w:val="68BF7171"/>
    <w:rsid w:val="68C53CF8"/>
    <w:rsid w:val="68CE059F"/>
    <w:rsid w:val="68DE3B49"/>
    <w:rsid w:val="68DF04D4"/>
    <w:rsid w:val="68E02C65"/>
    <w:rsid w:val="68E97798"/>
    <w:rsid w:val="68F7727E"/>
    <w:rsid w:val="68FF3B24"/>
    <w:rsid w:val="69025553"/>
    <w:rsid w:val="69032A8F"/>
    <w:rsid w:val="690E397F"/>
    <w:rsid w:val="691471F2"/>
    <w:rsid w:val="69160112"/>
    <w:rsid w:val="69161412"/>
    <w:rsid w:val="691B0000"/>
    <w:rsid w:val="691B0859"/>
    <w:rsid w:val="69462667"/>
    <w:rsid w:val="69635503"/>
    <w:rsid w:val="69694AED"/>
    <w:rsid w:val="69763488"/>
    <w:rsid w:val="69884761"/>
    <w:rsid w:val="699613C0"/>
    <w:rsid w:val="699F0AC7"/>
    <w:rsid w:val="69AC3CF3"/>
    <w:rsid w:val="69B25257"/>
    <w:rsid w:val="69C1601A"/>
    <w:rsid w:val="69D34437"/>
    <w:rsid w:val="69DE523F"/>
    <w:rsid w:val="69E45415"/>
    <w:rsid w:val="69EF0BEC"/>
    <w:rsid w:val="69F467C3"/>
    <w:rsid w:val="69F56FAC"/>
    <w:rsid w:val="69F878CA"/>
    <w:rsid w:val="69FD21F7"/>
    <w:rsid w:val="6A01114C"/>
    <w:rsid w:val="6A03117B"/>
    <w:rsid w:val="6A075AAD"/>
    <w:rsid w:val="6A18692A"/>
    <w:rsid w:val="6A1B663F"/>
    <w:rsid w:val="6A2B11BD"/>
    <w:rsid w:val="6A322097"/>
    <w:rsid w:val="6A354F27"/>
    <w:rsid w:val="6A382D69"/>
    <w:rsid w:val="6A5748C3"/>
    <w:rsid w:val="6A5A4712"/>
    <w:rsid w:val="6A5D229E"/>
    <w:rsid w:val="6A6661F0"/>
    <w:rsid w:val="6A6A2073"/>
    <w:rsid w:val="6A7933E7"/>
    <w:rsid w:val="6A9B4E64"/>
    <w:rsid w:val="6A9B7C73"/>
    <w:rsid w:val="6A9D2F92"/>
    <w:rsid w:val="6A9F07BD"/>
    <w:rsid w:val="6AB0509A"/>
    <w:rsid w:val="6AB73D58"/>
    <w:rsid w:val="6AB74287"/>
    <w:rsid w:val="6ABB571C"/>
    <w:rsid w:val="6ACC4257"/>
    <w:rsid w:val="6ACE1E05"/>
    <w:rsid w:val="6ACE6EC4"/>
    <w:rsid w:val="6AD54ECE"/>
    <w:rsid w:val="6ADF40D5"/>
    <w:rsid w:val="6AE32434"/>
    <w:rsid w:val="6AEB6A75"/>
    <w:rsid w:val="6AF4202E"/>
    <w:rsid w:val="6AF723A7"/>
    <w:rsid w:val="6AF81E4E"/>
    <w:rsid w:val="6B0E0FF6"/>
    <w:rsid w:val="6B185226"/>
    <w:rsid w:val="6B1A13F6"/>
    <w:rsid w:val="6B1A1DDB"/>
    <w:rsid w:val="6B2B5C9F"/>
    <w:rsid w:val="6B33535D"/>
    <w:rsid w:val="6B337530"/>
    <w:rsid w:val="6B341A7A"/>
    <w:rsid w:val="6B3A377F"/>
    <w:rsid w:val="6B3D63CA"/>
    <w:rsid w:val="6B3E3544"/>
    <w:rsid w:val="6B425B21"/>
    <w:rsid w:val="6B4B3AC8"/>
    <w:rsid w:val="6B5D26B4"/>
    <w:rsid w:val="6B5E0AFD"/>
    <w:rsid w:val="6B620BB9"/>
    <w:rsid w:val="6B6F17F0"/>
    <w:rsid w:val="6B712827"/>
    <w:rsid w:val="6B741C4A"/>
    <w:rsid w:val="6B7834E8"/>
    <w:rsid w:val="6B8A4FC9"/>
    <w:rsid w:val="6B8C5E66"/>
    <w:rsid w:val="6B972271"/>
    <w:rsid w:val="6B974310"/>
    <w:rsid w:val="6BA12924"/>
    <w:rsid w:val="6BA31786"/>
    <w:rsid w:val="6BB36D47"/>
    <w:rsid w:val="6BE2471A"/>
    <w:rsid w:val="6BEA6A8E"/>
    <w:rsid w:val="6C0A106D"/>
    <w:rsid w:val="6C0E5F6E"/>
    <w:rsid w:val="6C127E8F"/>
    <w:rsid w:val="6C152258"/>
    <w:rsid w:val="6C1949C8"/>
    <w:rsid w:val="6C2643D1"/>
    <w:rsid w:val="6C3239D1"/>
    <w:rsid w:val="6C367D5D"/>
    <w:rsid w:val="6C371E8E"/>
    <w:rsid w:val="6C427652"/>
    <w:rsid w:val="6C4707FB"/>
    <w:rsid w:val="6C507FC1"/>
    <w:rsid w:val="6C5F0204"/>
    <w:rsid w:val="6C626635"/>
    <w:rsid w:val="6C6D191B"/>
    <w:rsid w:val="6C6D3F0B"/>
    <w:rsid w:val="6C841A18"/>
    <w:rsid w:val="6C8E0AE9"/>
    <w:rsid w:val="6C8F5271"/>
    <w:rsid w:val="6CA43E69"/>
    <w:rsid w:val="6CAA75A0"/>
    <w:rsid w:val="6CAD2B5D"/>
    <w:rsid w:val="6CB2557D"/>
    <w:rsid w:val="6CB565B0"/>
    <w:rsid w:val="6CB7686A"/>
    <w:rsid w:val="6CC57732"/>
    <w:rsid w:val="6CC60283"/>
    <w:rsid w:val="6CDF5053"/>
    <w:rsid w:val="6CEB4287"/>
    <w:rsid w:val="6CFB0FDE"/>
    <w:rsid w:val="6D0B3E55"/>
    <w:rsid w:val="6D0E128B"/>
    <w:rsid w:val="6D1E1EB0"/>
    <w:rsid w:val="6D231B03"/>
    <w:rsid w:val="6D245DF6"/>
    <w:rsid w:val="6D2C0992"/>
    <w:rsid w:val="6D3276C6"/>
    <w:rsid w:val="6D3C4065"/>
    <w:rsid w:val="6D4D6E7A"/>
    <w:rsid w:val="6D5A180E"/>
    <w:rsid w:val="6D63551C"/>
    <w:rsid w:val="6D695CED"/>
    <w:rsid w:val="6D6A50B2"/>
    <w:rsid w:val="6D733879"/>
    <w:rsid w:val="6D857D9D"/>
    <w:rsid w:val="6D8F032A"/>
    <w:rsid w:val="6D910891"/>
    <w:rsid w:val="6D93510E"/>
    <w:rsid w:val="6D9D7236"/>
    <w:rsid w:val="6DAA54AF"/>
    <w:rsid w:val="6DAA6069"/>
    <w:rsid w:val="6DB5289F"/>
    <w:rsid w:val="6DBA4C07"/>
    <w:rsid w:val="6DCF3167"/>
    <w:rsid w:val="6DD975D8"/>
    <w:rsid w:val="6DDF631C"/>
    <w:rsid w:val="6DF73529"/>
    <w:rsid w:val="6E032FC2"/>
    <w:rsid w:val="6E090563"/>
    <w:rsid w:val="6E1F6A55"/>
    <w:rsid w:val="6E285408"/>
    <w:rsid w:val="6E317E32"/>
    <w:rsid w:val="6E3877ED"/>
    <w:rsid w:val="6E433EAF"/>
    <w:rsid w:val="6E4716FC"/>
    <w:rsid w:val="6E5117C6"/>
    <w:rsid w:val="6E5340CB"/>
    <w:rsid w:val="6E56640B"/>
    <w:rsid w:val="6E711527"/>
    <w:rsid w:val="6E8346BC"/>
    <w:rsid w:val="6E851BF4"/>
    <w:rsid w:val="6E943958"/>
    <w:rsid w:val="6E953AA3"/>
    <w:rsid w:val="6EAF3A57"/>
    <w:rsid w:val="6ED011FC"/>
    <w:rsid w:val="6ED770CD"/>
    <w:rsid w:val="6EDF77F5"/>
    <w:rsid w:val="6F076F7D"/>
    <w:rsid w:val="6F0B4673"/>
    <w:rsid w:val="6F1144A4"/>
    <w:rsid w:val="6F14532D"/>
    <w:rsid w:val="6F2968A7"/>
    <w:rsid w:val="6F323167"/>
    <w:rsid w:val="6F3444B6"/>
    <w:rsid w:val="6F364A08"/>
    <w:rsid w:val="6F5002D8"/>
    <w:rsid w:val="6F5E1BD4"/>
    <w:rsid w:val="6F60051B"/>
    <w:rsid w:val="6F754641"/>
    <w:rsid w:val="6F814C70"/>
    <w:rsid w:val="6F85563F"/>
    <w:rsid w:val="6F9E13CF"/>
    <w:rsid w:val="6FA32C33"/>
    <w:rsid w:val="6FA80114"/>
    <w:rsid w:val="6FAF4FFE"/>
    <w:rsid w:val="6FB73240"/>
    <w:rsid w:val="6FB93B4D"/>
    <w:rsid w:val="6FBF0D34"/>
    <w:rsid w:val="6FC162FA"/>
    <w:rsid w:val="6FC8175F"/>
    <w:rsid w:val="6FC92DA9"/>
    <w:rsid w:val="6FCD0EFA"/>
    <w:rsid w:val="6FD93B73"/>
    <w:rsid w:val="6FDB2329"/>
    <w:rsid w:val="6FDFDB66"/>
    <w:rsid w:val="6FE90101"/>
    <w:rsid w:val="6FEA6E69"/>
    <w:rsid w:val="6FF31452"/>
    <w:rsid w:val="70027159"/>
    <w:rsid w:val="70185CDC"/>
    <w:rsid w:val="703A551C"/>
    <w:rsid w:val="703C2781"/>
    <w:rsid w:val="70402F23"/>
    <w:rsid w:val="70563559"/>
    <w:rsid w:val="705F4C76"/>
    <w:rsid w:val="7060279C"/>
    <w:rsid w:val="706436BB"/>
    <w:rsid w:val="706C2EEF"/>
    <w:rsid w:val="708345E6"/>
    <w:rsid w:val="70950698"/>
    <w:rsid w:val="70993EC9"/>
    <w:rsid w:val="70A0604E"/>
    <w:rsid w:val="70A30D27"/>
    <w:rsid w:val="70AC3D7A"/>
    <w:rsid w:val="70AE7F6F"/>
    <w:rsid w:val="70C2536F"/>
    <w:rsid w:val="70C745CA"/>
    <w:rsid w:val="70C76C10"/>
    <w:rsid w:val="70CC526B"/>
    <w:rsid w:val="70DD189A"/>
    <w:rsid w:val="70FE0A22"/>
    <w:rsid w:val="70FE78F0"/>
    <w:rsid w:val="710F4243"/>
    <w:rsid w:val="71184E25"/>
    <w:rsid w:val="711E068D"/>
    <w:rsid w:val="712269D3"/>
    <w:rsid w:val="713573F8"/>
    <w:rsid w:val="71550DEF"/>
    <w:rsid w:val="715B625B"/>
    <w:rsid w:val="71607246"/>
    <w:rsid w:val="71667BAE"/>
    <w:rsid w:val="71743D65"/>
    <w:rsid w:val="718E2962"/>
    <w:rsid w:val="719152B5"/>
    <w:rsid w:val="719438CB"/>
    <w:rsid w:val="71997EB8"/>
    <w:rsid w:val="719A3A8C"/>
    <w:rsid w:val="71A20DB3"/>
    <w:rsid w:val="71A42F48"/>
    <w:rsid w:val="71A517D9"/>
    <w:rsid w:val="71A61A92"/>
    <w:rsid w:val="71AB0D1E"/>
    <w:rsid w:val="71BD1FA1"/>
    <w:rsid w:val="71C21F5C"/>
    <w:rsid w:val="71CC32AB"/>
    <w:rsid w:val="71EE5087"/>
    <w:rsid w:val="72057567"/>
    <w:rsid w:val="72104CF8"/>
    <w:rsid w:val="72113D4E"/>
    <w:rsid w:val="721C106B"/>
    <w:rsid w:val="721D12AF"/>
    <w:rsid w:val="721D3A01"/>
    <w:rsid w:val="7226152F"/>
    <w:rsid w:val="722C6962"/>
    <w:rsid w:val="722E2629"/>
    <w:rsid w:val="722E3D50"/>
    <w:rsid w:val="723830FF"/>
    <w:rsid w:val="723F518D"/>
    <w:rsid w:val="72581DED"/>
    <w:rsid w:val="725A4ECA"/>
    <w:rsid w:val="725D58A8"/>
    <w:rsid w:val="72924221"/>
    <w:rsid w:val="72931016"/>
    <w:rsid w:val="72AF7364"/>
    <w:rsid w:val="72B50674"/>
    <w:rsid w:val="72C216C0"/>
    <w:rsid w:val="72C7190D"/>
    <w:rsid w:val="72DC25AE"/>
    <w:rsid w:val="72E07EB3"/>
    <w:rsid w:val="72E70F53"/>
    <w:rsid w:val="72EC7E3D"/>
    <w:rsid w:val="72F04094"/>
    <w:rsid w:val="72F21EB4"/>
    <w:rsid w:val="72F95204"/>
    <w:rsid w:val="730E3420"/>
    <w:rsid w:val="73165D05"/>
    <w:rsid w:val="731960AC"/>
    <w:rsid w:val="731A52E5"/>
    <w:rsid w:val="731D71E7"/>
    <w:rsid w:val="731F249B"/>
    <w:rsid w:val="73203209"/>
    <w:rsid w:val="73205210"/>
    <w:rsid w:val="73217FC1"/>
    <w:rsid w:val="732A6D4F"/>
    <w:rsid w:val="73361B37"/>
    <w:rsid w:val="733621AF"/>
    <w:rsid w:val="733A1A9C"/>
    <w:rsid w:val="733E66FD"/>
    <w:rsid w:val="734165F8"/>
    <w:rsid w:val="73464E3A"/>
    <w:rsid w:val="734B3290"/>
    <w:rsid w:val="734F3909"/>
    <w:rsid w:val="734F6B4A"/>
    <w:rsid w:val="735341A2"/>
    <w:rsid w:val="735D24A3"/>
    <w:rsid w:val="736425A4"/>
    <w:rsid w:val="73664BC7"/>
    <w:rsid w:val="736C1B8C"/>
    <w:rsid w:val="73734EE4"/>
    <w:rsid w:val="737E1D9A"/>
    <w:rsid w:val="738B0393"/>
    <w:rsid w:val="739978C7"/>
    <w:rsid w:val="73A56453"/>
    <w:rsid w:val="73AB798B"/>
    <w:rsid w:val="73AD5CF9"/>
    <w:rsid w:val="73B93EE5"/>
    <w:rsid w:val="73C1186E"/>
    <w:rsid w:val="73CD3AF9"/>
    <w:rsid w:val="73CF05A7"/>
    <w:rsid w:val="73CF470B"/>
    <w:rsid w:val="73D628BA"/>
    <w:rsid w:val="73D72D76"/>
    <w:rsid w:val="74082529"/>
    <w:rsid w:val="741D2018"/>
    <w:rsid w:val="741F35DB"/>
    <w:rsid w:val="74235FBB"/>
    <w:rsid w:val="742A7931"/>
    <w:rsid w:val="742F4960"/>
    <w:rsid w:val="74330594"/>
    <w:rsid w:val="7439521B"/>
    <w:rsid w:val="743B15E2"/>
    <w:rsid w:val="743C03B7"/>
    <w:rsid w:val="744864FF"/>
    <w:rsid w:val="74487C11"/>
    <w:rsid w:val="74512B28"/>
    <w:rsid w:val="745C1CA8"/>
    <w:rsid w:val="746304B0"/>
    <w:rsid w:val="746C7962"/>
    <w:rsid w:val="747B5226"/>
    <w:rsid w:val="74836A59"/>
    <w:rsid w:val="748816E2"/>
    <w:rsid w:val="748C3F4B"/>
    <w:rsid w:val="74D114D6"/>
    <w:rsid w:val="74D12E4B"/>
    <w:rsid w:val="74D25EEE"/>
    <w:rsid w:val="74F93B59"/>
    <w:rsid w:val="750937B8"/>
    <w:rsid w:val="750B48FC"/>
    <w:rsid w:val="750D3415"/>
    <w:rsid w:val="754760B8"/>
    <w:rsid w:val="754A13BD"/>
    <w:rsid w:val="754C091C"/>
    <w:rsid w:val="754C13F7"/>
    <w:rsid w:val="755802BF"/>
    <w:rsid w:val="756A3A0F"/>
    <w:rsid w:val="756C070F"/>
    <w:rsid w:val="757B6DFF"/>
    <w:rsid w:val="757E66CB"/>
    <w:rsid w:val="758950A4"/>
    <w:rsid w:val="758F6AE1"/>
    <w:rsid w:val="75923DAC"/>
    <w:rsid w:val="75945B8C"/>
    <w:rsid w:val="75986915"/>
    <w:rsid w:val="759D2392"/>
    <w:rsid w:val="75A7573B"/>
    <w:rsid w:val="75AB3435"/>
    <w:rsid w:val="75AD4F0B"/>
    <w:rsid w:val="75BA5D24"/>
    <w:rsid w:val="75BD268A"/>
    <w:rsid w:val="75D30E1D"/>
    <w:rsid w:val="75D31876"/>
    <w:rsid w:val="75ED2EA7"/>
    <w:rsid w:val="75F638C4"/>
    <w:rsid w:val="7603234A"/>
    <w:rsid w:val="760A5CDB"/>
    <w:rsid w:val="761207E9"/>
    <w:rsid w:val="76202E19"/>
    <w:rsid w:val="7634632A"/>
    <w:rsid w:val="763738F1"/>
    <w:rsid w:val="76375D4D"/>
    <w:rsid w:val="76385E60"/>
    <w:rsid w:val="766065AD"/>
    <w:rsid w:val="76790F36"/>
    <w:rsid w:val="767A6BDE"/>
    <w:rsid w:val="767B0CC7"/>
    <w:rsid w:val="7694751B"/>
    <w:rsid w:val="769D5DA7"/>
    <w:rsid w:val="76AE4EC8"/>
    <w:rsid w:val="76B714B3"/>
    <w:rsid w:val="76B850E0"/>
    <w:rsid w:val="76C73C9A"/>
    <w:rsid w:val="76CC293A"/>
    <w:rsid w:val="76D161A2"/>
    <w:rsid w:val="76D417EE"/>
    <w:rsid w:val="76D70271"/>
    <w:rsid w:val="76FB0B73"/>
    <w:rsid w:val="77017347"/>
    <w:rsid w:val="771468CF"/>
    <w:rsid w:val="771522A2"/>
    <w:rsid w:val="77377037"/>
    <w:rsid w:val="773B615A"/>
    <w:rsid w:val="77534D32"/>
    <w:rsid w:val="775929E7"/>
    <w:rsid w:val="775C4878"/>
    <w:rsid w:val="775F6F8F"/>
    <w:rsid w:val="77764D81"/>
    <w:rsid w:val="77793034"/>
    <w:rsid w:val="777E75EC"/>
    <w:rsid w:val="77983F25"/>
    <w:rsid w:val="77A36F11"/>
    <w:rsid w:val="77AE3DED"/>
    <w:rsid w:val="77B5746C"/>
    <w:rsid w:val="77BA3B1C"/>
    <w:rsid w:val="77BC650A"/>
    <w:rsid w:val="77BF57C7"/>
    <w:rsid w:val="77CA7A19"/>
    <w:rsid w:val="77D870BC"/>
    <w:rsid w:val="77DF3E51"/>
    <w:rsid w:val="77DF47F4"/>
    <w:rsid w:val="77E83F2A"/>
    <w:rsid w:val="77EA5752"/>
    <w:rsid w:val="7803223D"/>
    <w:rsid w:val="780A45ED"/>
    <w:rsid w:val="78157CF7"/>
    <w:rsid w:val="78301DAE"/>
    <w:rsid w:val="784F56DF"/>
    <w:rsid w:val="78520D00"/>
    <w:rsid w:val="78526FC2"/>
    <w:rsid w:val="7857629B"/>
    <w:rsid w:val="78650950"/>
    <w:rsid w:val="786E0F9C"/>
    <w:rsid w:val="787B0635"/>
    <w:rsid w:val="787C3EEC"/>
    <w:rsid w:val="788437FF"/>
    <w:rsid w:val="78857C89"/>
    <w:rsid w:val="788D5D18"/>
    <w:rsid w:val="78A97A27"/>
    <w:rsid w:val="78B060AD"/>
    <w:rsid w:val="78BB2564"/>
    <w:rsid w:val="78CC0DC3"/>
    <w:rsid w:val="78D07FF5"/>
    <w:rsid w:val="78D37FAF"/>
    <w:rsid w:val="78D4689D"/>
    <w:rsid w:val="78DF4BA6"/>
    <w:rsid w:val="78E026CC"/>
    <w:rsid w:val="78E440AD"/>
    <w:rsid w:val="78E44E4A"/>
    <w:rsid w:val="78E56CA1"/>
    <w:rsid w:val="78F149EE"/>
    <w:rsid w:val="791902A3"/>
    <w:rsid w:val="79190FA2"/>
    <w:rsid w:val="791F31F5"/>
    <w:rsid w:val="79273F03"/>
    <w:rsid w:val="79446284"/>
    <w:rsid w:val="79482F61"/>
    <w:rsid w:val="79653DE6"/>
    <w:rsid w:val="79654FCF"/>
    <w:rsid w:val="79782A0A"/>
    <w:rsid w:val="7994314C"/>
    <w:rsid w:val="79952599"/>
    <w:rsid w:val="79D85272"/>
    <w:rsid w:val="79E06189"/>
    <w:rsid w:val="79E06CEF"/>
    <w:rsid w:val="79E1494E"/>
    <w:rsid w:val="79E2471A"/>
    <w:rsid w:val="79EA62EB"/>
    <w:rsid w:val="79EB45A1"/>
    <w:rsid w:val="79ED12C9"/>
    <w:rsid w:val="79F5466D"/>
    <w:rsid w:val="79FD76E9"/>
    <w:rsid w:val="7A163118"/>
    <w:rsid w:val="7A215C00"/>
    <w:rsid w:val="7A290DC0"/>
    <w:rsid w:val="7A296EFF"/>
    <w:rsid w:val="7A3053BF"/>
    <w:rsid w:val="7A41719B"/>
    <w:rsid w:val="7A4B51FA"/>
    <w:rsid w:val="7A5252C7"/>
    <w:rsid w:val="7A531C9F"/>
    <w:rsid w:val="7A5F6682"/>
    <w:rsid w:val="7A65612E"/>
    <w:rsid w:val="7A680BCB"/>
    <w:rsid w:val="7A687F38"/>
    <w:rsid w:val="7A8A2F3D"/>
    <w:rsid w:val="7A921AE4"/>
    <w:rsid w:val="7A940832"/>
    <w:rsid w:val="7AA03EC1"/>
    <w:rsid w:val="7AA9530D"/>
    <w:rsid w:val="7AB20E79"/>
    <w:rsid w:val="7AB32860"/>
    <w:rsid w:val="7AD85D51"/>
    <w:rsid w:val="7AE70572"/>
    <w:rsid w:val="7AE815FC"/>
    <w:rsid w:val="7AF05A27"/>
    <w:rsid w:val="7AF37A02"/>
    <w:rsid w:val="7AF406B1"/>
    <w:rsid w:val="7AF44D2F"/>
    <w:rsid w:val="7B045647"/>
    <w:rsid w:val="7B09415C"/>
    <w:rsid w:val="7B0B455A"/>
    <w:rsid w:val="7B0D3738"/>
    <w:rsid w:val="7B347486"/>
    <w:rsid w:val="7B5C2D8B"/>
    <w:rsid w:val="7B5F5CEE"/>
    <w:rsid w:val="7B6C7089"/>
    <w:rsid w:val="7B783090"/>
    <w:rsid w:val="7BB70782"/>
    <w:rsid w:val="7BBA5E68"/>
    <w:rsid w:val="7BC65BA9"/>
    <w:rsid w:val="7BC7163F"/>
    <w:rsid w:val="7BC96C5E"/>
    <w:rsid w:val="7BCA02B2"/>
    <w:rsid w:val="7BCF19A0"/>
    <w:rsid w:val="7BD01566"/>
    <w:rsid w:val="7BE307E7"/>
    <w:rsid w:val="7BED75DA"/>
    <w:rsid w:val="7C0641F8"/>
    <w:rsid w:val="7C0C39B6"/>
    <w:rsid w:val="7C0D37D8"/>
    <w:rsid w:val="7C1928FC"/>
    <w:rsid w:val="7C2C6E3A"/>
    <w:rsid w:val="7C30326B"/>
    <w:rsid w:val="7C33006F"/>
    <w:rsid w:val="7C411BDF"/>
    <w:rsid w:val="7C5324FE"/>
    <w:rsid w:val="7C56302C"/>
    <w:rsid w:val="7C5E5C42"/>
    <w:rsid w:val="7C6F071E"/>
    <w:rsid w:val="7C714B7A"/>
    <w:rsid w:val="7C7C6A3F"/>
    <w:rsid w:val="7C8D0E31"/>
    <w:rsid w:val="7C9567F4"/>
    <w:rsid w:val="7C961F7D"/>
    <w:rsid w:val="7C987B49"/>
    <w:rsid w:val="7C9C19B7"/>
    <w:rsid w:val="7C9E14D5"/>
    <w:rsid w:val="7CA13E1C"/>
    <w:rsid w:val="7CB56D7D"/>
    <w:rsid w:val="7CBB76D8"/>
    <w:rsid w:val="7CC916E8"/>
    <w:rsid w:val="7CC92BE4"/>
    <w:rsid w:val="7CDD0BF8"/>
    <w:rsid w:val="7CEA7FE5"/>
    <w:rsid w:val="7CEE536B"/>
    <w:rsid w:val="7CFFEFA1"/>
    <w:rsid w:val="7D00284C"/>
    <w:rsid w:val="7D035950"/>
    <w:rsid w:val="7D0746CC"/>
    <w:rsid w:val="7D0A7401"/>
    <w:rsid w:val="7D0E042B"/>
    <w:rsid w:val="7D1E3FBC"/>
    <w:rsid w:val="7D1F32AC"/>
    <w:rsid w:val="7D2021D2"/>
    <w:rsid w:val="7D342C2D"/>
    <w:rsid w:val="7D346302"/>
    <w:rsid w:val="7D3A2130"/>
    <w:rsid w:val="7D3A7495"/>
    <w:rsid w:val="7D3E77EF"/>
    <w:rsid w:val="7D4338A3"/>
    <w:rsid w:val="7D5C2AB9"/>
    <w:rsid w:val="7D5E1AB7"/>
    <w:rsid w:val="7D647FD3"/>
    <w:rsid w:val="7D65430E"/>
    <w:rsid w:val="7D7F7019"/>
    <w:rsid w:val="7D80622C"/>
    <w:rsid w:val="7D8852F8"/>
    <w:rsid w:val="7D94398B"/>
    <w:rsid w:val="7D9865FF"/>
    <w:rsid w:val="7DA036B4"/>
    <w:rsid w:val="7DA053F4"/>
    <w:rsid w:val="7DA77C5D"/>
    <w:rsid w:val="7DB614BB"/>
    <w:rsid w:val="7DB61D01"/>
    <w:rsid w:val="7DC720AD"/>
    <w:rsid w:val="7DD85480"/>
    <w:rsid w:val="7DDDCE29"/>
    <w:rsid w:val="7DF616D0"/>
    <w:rsid w:val="7DF804B8"/>
    <w:rsid w:val="7E0607C0"/>
    <w:rsid w:val="7E097B7D"/>
    <w:rsid w:val="7E0A3645"/>
    <w:rsid w:val="7E0B1F99"/>
    <w:rsid w:val="7E261F2C"/>
    <w:rsid w:val="7E3056E0"/>
    <w:rsid w:val="7E305AC4"/>
    <w:rsid w:val="7E327D9E"/>
    <w:rsid w:val="7E437985"/>
    <w:rsid w:val="7E6063D6"/>
    <w:rsid w:val="7E64706F"/>
    <w:rsid w:val="7E72694E"/>
    <w:rsid w:val="7E7C1973"/>
    <w:rsid w:val="7E7D317B"/>
    <w:rsid w:val="7E8D3214"/>
    <w:rsid w:val="7E8D6E52"/>
    <w:rsid w:val="7E915650"/>
    <w:rsid w:val="7E952976"/>
    <w:rsid w:val="7E9674C8"/>
    <w:rsid w:val="7EB73BF1"/>
    <w:rsid w:val="7EB75F10"/>
    <w:rsid w:val="7EB80529"/>
    <w:rsid w:val="7EB92E8B"/>
    <w:rsid w:val="7ECA4256"/>
    <w:rsid w:val="7ECF5F7A"/>
    <w:rsid w:val="7ED04D1C"/>
    <w:rsid w:val="7ED56104"/>
    <w:rsid w:val="7ED752CD"/>
    <w:rsid w:val="7EE0213B"/>
    <w:rsid w:val="7EE54599"/>
    <w:rsid w:val="7EEC1096"/>
    <w:rsid w:val="7EFC0461"/>
    <w:rsid w:val="7EFD0070"/>
    <w:rsid w:val="7F063030"/>
    <w:rsid w:val="7F09779F"/>
    <w:rsid w:val="7F1B05FD"/>
    <w:rsid w:val="7F1D0A11"/>
    <w:rsid w:val="7F286B7B"/>
    <w:rsid w:val="7F337199"/>
    <w:rsid w:val="7F3B4439"/>
    <w:rsid w:val="7F40213C"/>
    <w:rsid w:val="7F403EC5"/>
    <w:rsid w:val="7F4C0ED5"/>
    <w:rsid w:val="7F5C3BF7"/>
    <w:rsid w:val="7F76D771"/>
    <w:rsid w:val="7F7E49ED"/>
    <w:rsid w:val="7F8440CB"/>
    <w:rsid w:val="7F943F09"/>
    <w:rsid w:val="7F9A1937"/>
    <w:rsid w:val="7F9B005B"/>
    <w:rsid w:val="7F9B559F"/>
    <w:rsid w:val="7FA00957"/>
    <w:rsid w:val="7FA072B5"/>
    <w:rsid w:val="7FA62219"/>
    <w:rsid w:val="7FAE0F58"/>
    <w:rsid w:val="7FB76872"/>
    <w:rsid w:val="7FBF9542"/>
    <w:rsid w:val="7FDA60C7"/>
    <w:rsid w:val="7FE93226"/>
    <w:rsid w:val="7FF10123"/>
    <w:rsid w:val="7FF35F6F"/>
    <w:rsid w:val="7FF739AB"/>
    <w:rsid w:val="7FF847B0"/>
    <w:rsid w:val="7FFF55D0"/>
    <w:rsid w:val="9ECF4E12"/>
    <w:rsid w:val="A3FD840D"/>
    <w:rsid w:val="B6F56A9A"/>
    <w:rsid w:val="B7FDAA39"/>
    <w:rsid w:val="BBEF4418"/>
    <w:rsid w:val="BFCF897A"/>
    <w:rsid w:val="BFE6DD2C"/>
    <w:rsid w:val="C0F64476"/>
    <w:rsid w:val="CBEF6EF8"/>
    <w:rsid w:val="DE7D76AF"/>
    <w:rsid w:val="DFEFA6F6"/>
    <w:rsid w:val="E9D6DDAA"/>
    <w:rsid w:val="EEAF5766"/>
    <w:rsid w:val="EFAEFBD7"/>
    <w:rsid w:val="EFFEADF8"/>
    <w:rsid w:val="F1F3E90F"/>
    <w:rsid w:val="F8FAD7A1"/>
    <w:rsid w:val="FAEFD0B4"/>
    <w:rsid w:val="FC7D4D40"/>
    <w:rsid w:val="FC7F8352"/>
    <w:rsid w:val="FDD34B8F"/>
    <w:rsid w:val="FE7DFF5C"/>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0"/>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3"/>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8">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9">
    <w:name w:val="heading 8"/>
    <w:basedOn w:val="1"/>
    <w:next w:val="1"/>
    <w:qFormat/>
    <w:uiPriority w:val="1"/>
    <w:pPr>
      <w:ind w:left="220" w:hanging="223"/>
      <w:outlineLvl w:val="7"/>
    </w:pPr>
    <w:rPr>
      <w:rFonts w:ascii="宋体" w:hAnsi="宋体" w:cs="宋体"/>
      <w:sz w:val="22"/>
      <w:szCs w:val="22"/>
      <w:lang w:val="zh-CN" w:bidi="zh-CN"/>
    </w:rPr>
  </w:style>
  <w:style w:type="paragraph" w:styleId="10">
    <w:name w:val="heading 9"/>
    <w:basedOn w:val="1"/>
    <w:next w:val="1"/>
    <w:qFormat/>
    <w:uiPriority w:val="1"/>
    <w:pPr>
      <w:ind w:left="640"/>
      <w:outlineLvl w:val="8"/>
    </w:pPr>
    <w:rPr>
      <w:rFonts w:ascii="宋体" w:hAnsi="宋体" w:cs="宋体"/>
      <w:b/>
      <w:bCs/>
      <w:szCs w:val="21"/>
      <w:lang w:val="zh-CN" w:bidi="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200" w:firstLineChars="200"/>
    </w:pPr>
    <w:rPr>
      <w:rFonts w:ascii="仿宋_GB2312" w:eastAsia="仿宋_GB2312"/>
      <w:bCs/>
      <w:sz w:val="30"/>
    </w:rPr>
  </w:style>
  <w:style w:type="paragraph" w:styleId="3">
    <w:name w:val="Body Text"/>
    <w:basedOn w:val="1"/>
    <w:link w:val="61"/>
    <w:qFormat/>
    <w:uiPriority w:val="0"/>
    <w:pPr>
      <w:spacing w:after="120"/>
    </w:pPr>
  </w:style>
  <w:style w:type="paragraph" w:styleId="11">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2">
    <w:name w:val="Normal Indent"/>
    <w:basedOn w:val="1"/>
    <w:next w:val="13"/>
    <w:link w:val="89"/>
    <w:qFormat/>
    <w:uiPriority w:val="0"/>
    <w:pPr>
      <w:ind w:firstLine="420"/>
    </w:pPr>
    <w:rPr>
      <w:szCs w:val="20"/>
    </w:rPr>
  </w:style>
  <w:style w:type="paragraph" w:styleId="13">
    <w:name w:val="Body Text Indent"/>
    <w:basedOn w:val="1"/>
    <w:next w:val="14"/>
    <w:qFormat/>
    <w:uiPriority w:val="0"/>
    <w:pPr>
      <w:spacing w:after="120"/>
      <w:ind w:left="420" w:leftChars="200"/>
    </w:pPr>
  </w:style>
  <w:style w:type="paragraph" w:styleId="14">
    <w:name w:val="Body Text First Indent 2"/>
    <w:basedOn w:val="13"/>
    <w:next w:val="1"/>
    <w:qFormat/>
    <w:uiPriority w:val="0"/>
    <w:pPr>
      <w:autoSpaceDE w:val="0"/>
      <w:autoSpaceDN w:val="0"/>
      <w:adjustRightInd w:val="0"/>
      <w:ind w:firstLine="420" w:firstLineChars="200"/>
      <w:jc w:val="left"/>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2"/>
    <w:qFormat/>
    <w:uiPriority w:val="0"/>
    <w:rPr>
      <w:rFonts w:ascii="Helvetica" w:hAnsi="Helvetica"/>
      <w:sz w:val="24"/>
    </w:rPr>
  </w:style>
  <w:style w:type="paragraph" w:styleId="17">
    <w:name w:val="annotation text"/>
    <w:basedOn w:val="1"/>
    <w:link w:val="74"/>
    <w:qFormat/>
    <w:uiPriority w:val="0"/>
    <w:pPr>
      <w:jc w:val="left"/>
    </w:pPr>
  </w:style>
  <w:style w:type="paragraph" w:styleId="18">
    <w:name w:val="Body Text 3"/>
    <w:basedOn w:val="1"/>
    <w:link w:val="59"/>
    <w:qFormat/>
    <w:uiPriority w:val="0"/>
    <w:pPr>
      <w:spacing w:after="120"/>
    </w:pPr>
    <w:rPr>
      <w:sz w:val="16"/>
      <w:szCs w:val="16"/>
    </w:rPr>
  </w:style>
  <w:style w:type="paragraph" w:styleId="19">
    <w:name w:val="List 2"/>
    <w:basedOn w:val="1"/>
    <w:qFormat/>
    <w:uiPriority w:val="0"/>
    <w:pPr>
      <w:ind w:left="100" w:leftChars="200" w:hanging="200" w:hangingChars="200"/>
    </w:pPr>
  </w:style>
  <w:style w:type="paragraph" w:styleId="20">
    <w:name w:val="Block Text"/>
    <w:basedOn w:val="1"/>
    <w:qFormat/>
    <w:uiPriority w:val="99"/>
    <w:pPr>
      <w:spacing w:line="440" w:lineRule="exact"/>
      <w:ind w:left="223" w:leftChars="106" w:right="3036" w:firstLine="525"/>
    </w:pPr>
    <w:rPr>
      <w:rFonts w:ascii="楷体_GB2312" w:eastAsia="楷体_GB2312"/>
      <w:sz w:val="24"/>
    </w:rPr>
  </w:style>
  <w:style w:type="paragraph" w:styleId="21">
    <w:name w:val="toc 3"/>
    <w:basedOn w:val="1"/>
    <w:next w:val="1"/>
    <w:qFormat/>
    <w:uiPriority w:val="0"/>
    <w:pPr>
      <w:ind w:left="840" w:leftChars="400"/>
    </w:pPr>
  </w:style>
  <w:style w:type="paragraph" w:styleId="22">
    <w:name w:val="Plain Text"/>
    <w:basedOn w:val="1"/>
    <w:next w:val="1"/>
    <w:link w:val="67"/>
    <w:qFormat/>
    <w:uiPriority w:val="0"/>
    <w:rPr>
      <w:sz w:val="24"/>
      <w:szCs w:val="20"/>
    </w:rPr>
  </w:style>
  <w:style w:type="paragraph" w:styleId="23">
    <w:name w:val="Date"/>
    <w:basedOn w:val="1"/>
    <w:next w:val="1"/>
    <w:link w:val="77"/>
    <w:qFormat/>
    <w:uiPriority w:val="0"/>
    <w:pPr>
      <w:ind w:left="2500" w:leftChars="2500"/>
    </w:pPr>
    <w:rPr>
      <w:rFonts w:eastAsia="楷体_GB2312"/>
      <w:sz w:val="32"/>
      <w:szCs w:val="20"/>
    </w:rPr>
  </w:style>
  <w:style w:type="paragraph" w:styleId="24">
    <w:name w:val="Body Text Indent 2"/>
    <w:basedOn w:val="1"/>
    <w:link w:val="71"/>
    <w:qFormat/>
    <w:uiPriority w:val="0"/>
    <w:pPr>
      <w:spacing w:after="120" w:line="480" w:lineRule="auto"/>
      <w:ind w:left="420" w:leftChars="200"/>
    </w:pPr>
  </w:style>
  <w:style w:type="paragraph" w:styleId="25">
    <w:name w:val="endnote text"/>
    <w:basedOn w:val="1"/>
    <w:link w:val="60"/>
    <w:qFormat/>
    <w:uiPriority w:val="0"/>
    <w:pPr>
      <w:snapToGrid w:val="0"/>
      <w:jc w:val="left"/>
    </w:pPr>
  </w:style>
  <w:style w:type="paragraph" w:styleId="26">
    <w:name w:val="Balloon Text"/>
    <w:basedOn w:val="1"/>
    <w:link w:val="80"/>
    <w:qFormat/>
    <w:uiPriority w:val="0"/>
    <w:rPr>
      <w:sz w:val="18"/>
      <w:szCs w:val="18"/>
    </w:rPr>
  </w:style>
  <w:style w:type="paragraph" w:styleId="27">
    <w:name w:val="footer"/>
    <w:basedOn w:val="1"/>
    <w:link w:val="75"/>
    <w:qFormat/>
    <w:uiPriority w:val="99"/>
    <w:pPr>
      <w:tabs>
        <w:tab w:val="center" w:pos="4153"/>
        <w:tab w:val="right" w:pos="8306"/>
      </w:tabs>
      <w:snapToGrid w:val="0"/>
      <w:jc w:val="left"/>
    </w:pPr>
    <w:rPr>
      <w:sz w:val="18"/>
      <w:szCs w:val="18"/>
    </w:rPr>
  </w:style>
  <w:style w:type="paragraph" w:styleId="28">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style>
  <w:style w:type="paragraph" w:styleId="31">
    <w:name w:val="toc 6"/>
    <w:basedOn w:val="1"/>
    <w:next w:val="1"/>
    <w:unhideWhenUsed/>
    <w:qFormat/>
    <w:uiPriority w:val="39"/>
    <w:pPr>
      <w:ind w:left="2100" w:leftChars="1000"/>
    </w:pPr>
  </w:style>
  <w:style w:type="paragraph" w:styleId="32">
    <w:name w:val="Body Text Indent 3"/>
    <w:basedOn w:val="1"/>
    <w:link w:val="65"/>
    <w:qFormat/>
    <w:uiPriority w:val="0"/>
    <w:pPr>
      <w:ind w:firstLine="435"/>
    </w:pPr>
  </w:style>
  <w:style w:type="paragraph" w:styleId="33">
    <w:name w:val="toc 2"/>
    <w:basedOn w:val="1"/>
    <w:next w:val="1"/>
    <w:qFormat/>
    <w:uiPriority w:val="39"/>
    <w:pPr>
      <w:ind w:left="420" w:leftChars="200"/>
    </w:pPr>
  </w:style>
  <w:style w:type="paragraph" w:styleId="34">
    <w:name w:val="Body Text 2"/>
    <w:basedOn w:val="1"/>
    <w:link w:val="66"/>
    <w:qFormat/>
    <w:uiPriority w:val="0"/>
    <w:pPr>
      <w:spacing w:after="120" w:line="480" w:lineRule="auto"/>
    </w:pPr>
  </w:style>
  <w:style w:type="paragraph" w:styleId="35">
    <w:name w:val="Normal (Web)"/>
    <w:basedOn w:val="1"/>
    <w:unhideWhenUsed/>
    <w:qFormat/>
    <w:uiPriority w:val="0"/>
    <w:pPr>
      <w:widowControl/>
      <w:spacing w:before="240" w:after="240"/>
      <w:jc w:val="left"/>
    </w:pPr>
    <w:rPr>
      <w:rFonts w:ascii="宋体" w:hAnsi="宋体" w:cs="宋体"/>
      <w:kern w:val="0"/>
      <w:sz w:val="24"/>
    </w:rPr>
  </w:style>
  <w:style w:type="paragraph" w:styleId="36">
    <w:name w:val="Title"/>
    <w:basedOn w:val="1"/>
    <w:next w:val="1"/>
    <w:link w:val="88"/>
    <w:qFormat/>
    <w:uiPriority w:val="10"/>
    <w:pPr>
      <w:spacing w:before="240" w:after="60"/>
      <w:jc w:val="center"/>
      <w:outlineLvl w:val="0"/>
    </w:pPr>
    <w:rPr>
      <w:rFonts w:ascii="Cambria" w:hAnsi="Cambria"/>
      <w:b/>
      <w:bCs/>
      <w:sz w:val="32"/>
      <w:szCs w:val="32"/>
    </w:rPr>
  </w:style>
  <w:style w:type="paragraph" w:styleId="37">
    <w:name w:val="annotation subject"/>
    <w:basedOn w:val="17"/>
    <w:next w:val="17"/>
    <w:link w:val="79"/>
    <w:qFormat/>
    <w:uiPriority w:val="0"/>
    <w:rPr>
      <w:b/>
      <w:bC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rPr>
  </w:style>
  <w:style w:type="character" w:styleId="42">
    <w:name w:val="endnote reference"/>
    <w:qFormat/>
    <w:uiPriority w:val="0"/>
    <w:rPr>
      <w:vertAlign w:val="superscript"/>
    </w:rPr>
  </w:style>
  <w:style w:type="character" w:styleId="43">
    <w:name w:val="page number"/>
    <w:basedOn w:val="40"/>
    <w:qFormat/>
    <w:uiPriority w:val="0"/>
  </w:style>
  <w:style w:type="character" w:styleId="44">
    <w:name w:val="FollowedHyperlink"/>
    <w:qFormat/>
    <w:uiPriority w:val="0"/>
    <w:rPr>
      <w:color w:val="800080"/>
      <w:u w:val="single"/>
    </w:rPr>
  </w:style>
  <w:style w:type="character" w:styleId="45">
    <w:name w:val="Hyperlink"/>
    <w:basedOn w:val="40"/>
    <w:qFormat/>
    <w:uiPriority w:val="99"/>
    <w:rPr>
      <w:color w:val="0000FF"/>
      <w:u w:val="single"/>
    </w:rPr>
  </w:style>
  <w:style w:type="character" w:styleId="46">
    <w:name w:val="annotation reference"/>
    <w:qFormat/>
    <w:uiPriority w:val="0"/>
    <w:rPr>
      <w:sz w:val="21"/>
      <w:szCs w:val="21"/>
    </w:rPr>
  </w:style>
  <w:style w:type="paragraph" w:customStyle="1" w:styleId="47">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paragraph" w:customStyle="1" w:styleId="48">
    <w:name w:val="Default"/>
    <w:next w:val="4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0">
    <w:name w:val="BodyText1I"/>
    <w:basedOn w:val="51"/>
    <w:next w:val="1"/>
    <w:qFormat/>
    <w:uiPriority w:val="0"/>
    <w:pPr>
      <w:ind w:firstLine="420" w:firstLineChars="100"/>
    </w:pPr>
  </w:style>
  <w:style w:type="paragraph" w:customStyle="1" w:styleId="51">
    <w:name w:val="BodyText"/>
    <w:basedOn w:val="1"/>
    <w:next w:val="52"/>
    <w:qFormat/>
    <w:uiPriority w:val="0"/>
    <w:pPr>
      <w:textAlignment w:val="baseline"/>
    </w:pPr>
    <w:rPr>
      <w:rFonts w:ascii="宋体" w:hAnsi="宋体"/>
      <w:szCs w:val="21"/>
      <w:lang w:val="zh-CN" w:bidi="zh-CN"/>
    </w:rPr>
  </w:style>
  <w:style w:type="paragraph" w:customStyle="1" w:styleId="52">
    <w:name w:val="TOC2"/>
    <w:basedOn w:val="1"/>
    <w:next w:val="1"/>
    <w:qFormat/>
    <w:uiPriority w:val="0"/>
    <w:pPr>
      <w:ind w:left="420" w:leftChars="200"/>
      <w:textAlignment w:val="baseline"/>
    </w:pPr>
  </w:style>
  <w:style w:type="paragraph" w:customStyle="1" w:styleId="53">
    <w:name w:val="正文首行缩进1"/>
    <w:basedOn w:val="3"/>
    <w:qFormat/>
    <w:uiPriority w:val="0"/>
    <w:pPr>
      <w:ind w:firstLine="420" w:firstLineChars="100"/>
    </w:pPr>
    <w:rPr>
      <w:rFonts w:ascii="Calibri" w:hAnsi="Calibri"/>
      <w:szCs w:val="22"/>
    </w:rPr>
  </w:style>
  <w:style w:type="paragraph" w:customStyle="1" w:styleId="54">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5">
    <w:name w:val="表格文字"/>
    <w:next w:val="3"/>
    <w:link w:val="84"/>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6">
    <w:name w:val="NormalCharacter"/>
    <w:qFormat/>
    <w:uiPriority w:val="0"/>
    <w:rPr>
      <w:rFonts w:ascii="Times New Roman" w:hAnsi="Times New Roman" w:eastAsia="宋体" w:cs="Times New Roman"/>
    </w:rPr>
  </w:style>
  <w:style w:type="character" w:customStyle="1" w:styleId="57">
    <w:name w:val="标3 Char"/>
    <w:link w:val="58"/>
    <w:qFormat/>
    <w:uiPriority w:val="0"/>
    <w:rPr>
      <w:rFonts w:ascii="Arial Narrow" w:hAnsi="Arial Narrow" w:eastAsia="仿宋_GB2312"/>
      <w:sz w:val="32"/>
      <w:szCs w:val="32"/>
    </w:rPr>
  </w:style>
  <w:style w:type="paragraph" w:customStyle="1" w:styleId="58">
    <w:name w:val="标3"/>
    <w:basedOn w:val="1"/>
    <w:link w:val="57"/>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9">
    <w:name w:val="正文文本 3 Char"/>
    <w:link w:val="18"/>
    <w:qFormat/>
    <w:uiPriority w:val="0"/>
    <w:rPr>
      <w:kern w:val="2"/>
      <w:sz w:val="16"/>
      <w:szCs w:val="16"/>
    </w:rPr>
  </w:style>
  <w:style w:type="character" w:customStyle="1" w:styleId="60">
    <w:name w:val="尾注文本 Char"/>
    <w:link w:val="25"/>
    <w:qFormat/>
    <w:uiPriority w:val="0"/>
    <w:rPr>
      <w:kern w:val="2"/>
      <w:sz w:val="21"/>
      <w:szCs w:val="24"/>
    </w:rPr>
  </w:style>
  <w:style w:type="character" w:customStyle="1" w:styleId="61">
    <w:name w:val="正文文本 Char"/>
    <w:link w:val="3"/>
    <w:qFormat/>
    <w:uiPriority w:val="0"/>
    <w:rPr>
      <w:kern w:val="2"/>
      <w:sz w:val="21"/>
      <w:szCs w:val="24"/>
    </w:rPr>
  </w:style>
  <w:style w:type="character" w:customStyle="1" w:styleId="62">
    <w:name w:val="font31"/>
    <w:qFormat/>
    <w:uiPriority w:val="0"/>
    <w:rPr>
      <w:rFonts w:hint="eastAsia" w:ascii="宋体" w:hAnsi="宋体" w:eastAsia="宋体" w:cs="宋体"/>
      <w:color w:val="000000"/>
      <w:sz w:val="24"/>
      <w:szCs w:val="24"/>
      <w:u w:val="none"/>
    </w:rPr>
  </w:style>
  <w:style w:type="character" w:customStyle="1" w:styleId="63">
    <w:name w:val="标题 3 Char"/>
    <w:link w:val="6"/>
    <w:qFormat/>
    <w:uiPriority w:val="0"/>
    <w:rPr>
      <w:b/>
      <w:bCs/>
      <w:kern w:val="2"/>
      <w:sz w:val="32"/>
      <w:szCs w:val="32"/>
    </w:rPr>
  </w:style>
  <w:style w:type="character" w:customStyle="1" w:styleId="64">
    <w:name w:val="标题 6 Char"/>
    <w:link w:val="8"/>
    <w:semiHidden/>
    <w:qFormat/>
    <w:uiPriority w:val="0"/>
    <w:rPr>
      <w:rFonts w:ascii="Cambria" w:hAnsi="Cambria" w:eastAsia="宋体" w:cs="Times New Roman"/>
      <w:b/>
      <w:bCs/>
      <w:kern w:val="2"/>
      <w:sz w:val="24"/>
      <w:szCs w:val="24"/>
    </w:rPr>
  </w:style>
  <w:style w:type="character" w:customStyle="1" w:styleId="65">
    <w:name w:val="正文文本缩进 3 Char"/>
    <w:link w:val="32"/>
    <w:qFormat/>
    <w:uiPriority w:val="0"/>
    <w:rPr>
      <w:kern w:val="2"/>
      <w:sz w:val="21"/>
      <w:szCs w:val="24"/>
    </w:rPr>
  </w:style>
  <w:style w:type="character" w:customStyle="1" w:styleId="66">
    <w:name w:val="正文文本 2 Char"/>
    <w:link w:val="34"/>
    <w:qFormat/>
    <w:uiPriority w:val="0"/>
    <w:rPr>
      <w:kern w:val="2"/>
      <w:sz w:val="21"/>
      <w:szCs w:val="24"/>
    </w:rPr>
  </w:style>
  <w:style w:type="character" w:customStyle="1" w:styleId="67">
    <w:name w:val="纯文本 Char"/>
    <w:link w:val="22"/>
    <w:qFormat/>
    <w:uiPriority w:val="0"/>
    <w:rPr>
      <w:rFonts w:eastAsia="宋体"/>
      <w:kern w:val="2"/>
      <w:sz w:val="24"/>
      <w:lang w:val="en-US" w:eastAsia="zh-CN" w:bidi="ar-SA"/>
    </w:rPr>
  </w:style>
  <w:style w:type="character" w:customStyle="1" w:styleId="68">
    <w:name w:val="标题 1字符"/>
    <w:qFormat/>
    <w:uiPriority w:val="0"/>
    <w:rPr>
      <w:b/>
      <w:bCs/>
      <w:kern w:val="44"/>
      <w:sz w:val="44"/>
      <w:szCs w:val="44"/>
    </w:rPr>
  </w:style>
  <w:style w:type="character" w:customStyle="1" w:styleId="69">
    <w:name w:val="无"/>
    <w:qFormat/>
    <w:uiPriority w:val="99"/>
  </w:style>
  <w:style w:type="character" w:customStyle="1" w:styleId="70">
    <w:name w:val="标题 2 Char"/>
    <w:link w:val="5"/>
    <w:qFormat/>
    <w:uiPriority w:val="9"/>
    <w:rPr>
      <w:rFonts w:ascii="Arial" w:hAnsi="Arial" w:eastAsia="黑体"/>
      <w:b/>
      <w:bCs/>
      <w:kern w:val="2"/>
      <w:sz w:val="32"/>
      <w:szCs w:val="32"/>
    </w:rPr>
  </w:style>
  <w:style w:type="character" w:customStyle="1" w:styleId="71">
    <w:name w:val="正文文本缩进 2 Char"/>
    <w:link w:val="24"/>
    <w:qFormat/>
    <w:uiPriority w:val="0"/>
    <w:rPr>
      <w:kern w:val="2"/>
      <w:sz w:val="21"/>
      <w:szCs w:val="24"/>
    </w:rPr>
  </w:style>
  <w:style w:type="character" w:customStyle="1" w:styleId="72">
    <w:name w:val="文档结构图 Char"/>
    <w:link w:val="16"/>
    <w:qFormat/>
    <w:uiPriority w:val="0"/>
    <w:rPr>
      <w:rFonts w:ascii="Helvetica" w:hAnsi="Helvetica"/>
      <w:kern w:val="2"/>
      <w:sz w:val="24"/>
      <w:szCs w:val="24"/>
    </w:rPr>
  </w:style>
  <w:style w:type="character" w:customStyle="1" w:styleId="73">
    <w:name w:val="Char Char Char"/>
    <w:qFormat/>
    <w:uiPriority w:val="0"/>
    <w:rPr>
      <w:rFonts w:ascii="宋体" w:hAnsi="Courier New" w:eastAsia="宋体"/>
      <w:kern w:val="2"/>
      <w:sz w:val="24"/>
      <w:szCs w:val="24"/>
      <w:lang w:val="en-US" w:eastAsia="zh-CN" w:bidi="ar-SA"/>
    </w:rPr>
  </w:style>
  <w:style w:type="character" w:customStyle="1" w:styleId="74">
    <w:name w:val="批注文字 Char"/>
    <w:link w:val="17"/>
    <w:qFormat/>
    <w:uiPriority w:val="0"/>
    <w:rPr>
      <w:kern w:val="2"/>
      <w:sz w:val="21"/>
      <w:szCs w:val="24"/>
    </w:rPr>
  </w:style>
  <w:style w:type="character" w:customStyle="1" w:styleId="75">
    <w:name w:val="页脚 Char"/>
    <w:link w:val="27"/>
    <w:qFormat/>
    <w:uiPriority w:val="99"/>
    <w:rPr>
      <w:kern w:val="2"/>
      <w:sz w:val="18"/>
      <w:szCs w:val="18"/>
    </w:rPr>
  </w:style>
  <w:style w:type="character" w:customStyle="1" w:styleId="76">
    <w:name w:val="纯文本 Char1"/>
    <w:qFormat/>
    <w:locked/>
    <w:uiPriority w:val="0"/>
    <w:rPr>
      <w:rFonts w:ascii="宋体" w:hAnsi="Courier New" w:eastAsia="宋体" w:cs="Times New Roman"/>
      <w:szCs w:val="21"/>
    </w:rPr>
  </w:style>
  <w:style w:type="character" w:customStyle="1" w:styleId="77">
    <w:name w:val="日期 Char"/>
    <w:link w:val="23"/>
    <w:qFormat/>
    <w:uiPriority w:val="0"/>
    <w:rPr>
      <w:rFonts w:eastAsia="楷体_GB2312"/>
      <w:kern w:val="2"/>
      <w:sz w:val="32"/>
    </w:rPr>
  </w:style>
  <w:style w:type="character" w:customStyle="1" w:styleId="78">
    <w:name w:val="Char Char"/>
    <w:qFormat/>
    <w:uiPriority w:val="0"/>
    <w:rPr>
      <w:rFonts w:ascii="宋体" w:hAnsi="Courier New" w:eastAsia="宋体"/>
      <w:kern w:val="2"/>
      <w:sz w:val="24"/>
      <w:szCs w:val="24"/>
      <w:lang w:val="en-US" w:eastAsia="zh-CN" w:bidi="ar-SA"/>
    </w:rPr>
  </w:style>
  <w:style w:type="character" w:customStyle="1" w:styleId="79">
    <w:name w:val="批注主题 Char"/>
    <w:link w:val="37"/>
    <w:qFormat/>
    <w:uiPriority w:val="0"/>
    <w:rPr>
      <w:b/>
      <w:bCs/>
      <w:kern w:val="2"/>
      <w:sz w:val="21"/>
      <w:szCs w:val="24"/>
    </w:rPr>
  </w:style>
  <w:style w:type="character" w:customStyle="1" w:styleId="80">
    <w:name w:val="批注框文本 Char"/>
    <w:link w:val="26"/>
    <w:qFormat/>
    <w:uiPriority w:val="0"/>
    <w:rPr>
      <w:kern w:val="2"/>
      <w:sz w:val="18"/>
      <w:szCs w:val="18"/>
    </w:rPr>
  </w:style>
  <w:style w:type="character" w:customStyle="1" w:styleId="81">
    <w:name w:val="font01"/>
    <w:qFormat/>
    <w:uiPriority w:val="0"/>
    <w:rPr>
      <w:rFonts w:hint="default" w:ascii="Arial" w:hAnsi="Arial" w:cs="Arial"/>
      <w:color w:val="000000"/>
      <w:sz w:val="24"/>
      <w:szCs w:val="24"/>
      <w:u w:val="none"/>
    </w:rPr>
  </w:style>
  <w:style w:type="character" w:customStyle="1" w:styleId="82">
    <w:name w:val="font11"/>
    <w:qFormat/>
    <w:uiPriority w:val="0"/>
    <w:rPr>
      <w:rFonts w:hint="eastAsia" w:ascii="宋体" w:hAnsi="宋体" w:eastAsia="宋体" w:cs="宋体"/>
      <w:b/>
      <w:color w:val="000000"/>
      <w:sz w:val="24"/>
      <w:szCs w:val="24"/>
      <w:u w:val="none"/>
    </w:rPr>
  </w:style>
  <w:style w:type="character" w:customStyle="1" w:styleId="83">
    <w:name w:val="apple-converted-space"/>
    <w:qFormat/>
    <w:uiPriority w:val="0"/>
  </w:style>
  <w:style w:type="character" w:customStyle="1" w:styleId="84">
    <w:name w:val="表格文字 Char Char"/>
    <w:link w:val="55"/>
    <w:qFormat/>
    <w:locked/>
    <w:uiPriority w:val="0"/>
    <w:rPr>
      <w:kern w:val="2"/>
      <w:sz w:val="24"/>
      <w:szCs w:val="28"/>
      <w:lang w:val="en-US" w:eastAsia="zh-CN" w:bidi="ar-SA"/>
    </w:rPr>
  </w:style>
  <w:style w:type="character" w:customStyle="1" w:styleId="85">
    <w:name w:val="标题 1 Char"/>
    <w:link w:val="4"/>
    <w:qFormat/>
    <w:uiPriority w:val="0"/>
    <w:rPr>
      <w:rFonts w:ascii="Times New Roman" w:hAnsi="Times New Roman" w:eastAsia="宋体"/>
      <w:b/>
      <w:bCs/>
      <w:kern w:val="44"/>
      <w:sz w:val="44"/>
      <w:szCs w:val="44"/>
      <w:lang w:val="en-US" w:eastAsia="zh-CN" w:bidi="ar-SA"/>
    </w:rPr>
  </w:style>
  <w:style w:type="character" w:customStyle="1" w:styleId="86">
    <w:name w:val="页眉 Char"/>
    <w:link w:val="28"/>
    <w:qFormat/>
    <w:uiPriority w:val="99"/>
    <w:rPr>
      <w:kern w:val="2"/>
      <w:sz w:val="18"/>
      <w:szCs w:val="18"/>
    </w:rPr>
  </w:style>
  <w:style w:type="character" w:customStyle="1" w:styleId="87">
    <w:name w:val="标题 1 Char1"/>
    <w:qFormat/>
    <w:uiPriority w:val="0"/>
    <w:rPr>
      <w:rFonts w:ascii="Times New Roman" w:hAnsi="Times New Roman" w:eastAsia="宋体"/>
      <w:b/>
      <w:bCs/>
      <w:kern w:val="44"/>
      <w:sz w:val="44"/>
      <w:szCs w:val="44"/>
      <w:lang w:val="en-US" w:eastAsia="zh-CN" w:bidi="ar-SA"/>
    </w:rPr>
  </w:style>
  <w:style w:type="character" w:customStyle="1" w:styleId="88">
    <w:name w:val="标题 Char"/>
    <w:link w:val="36"/>
    <w:qFormat/>
    <w:uiPriority w:val="10"/>
    <w:rPr>
      <w:rFonts w:ascii="Cambria" w:hAnsi="Cambria"/>
      <w:b/>
      <w:bCs/>
      <w:kern w:val="2"/>
      <w:sz w:val="32"/>
      <w:szCs w:val="32"/>
    </w:rPr>
  </w:style>
  <w:style w:type="character" w:customStyle="1" w:styleId="89">
    <w:name w:val="正文缩进 Char"/>
    <w:link w:val="12"/>
    <w:qFormat/>
    <w:uiPriority w:val="0"/>
    <w:rPr>
      <w:kern w:val="2"/>
      <w:sz w:val="21"/>
    </w:rPr>
  </w:style>
  <w:style w:type="character" w:customStyle="1" w:styleId="90">
    <w:name w:val="font21"/>
    <w:qFormat/>
    <w:uiPriority w:val="0"/>
    <w:rPr>
      <w:rFonts w:ascii="幼圆" w:hAnsi="幼圆" w:eastAsia="幼圆" w:cs="幼圆"/>
      <w:color w:val="000000"/>
      <w:sz w:val="20"/>
      <w:szCs w:val="20"/>
      <w:u w:val="none"/>
    </w:rPr>
  </w:style>
  <w:style w:type="paragraph" w:customStyle="1" w:styleId="91">
    <w:name w:val="章正文"/>
    <w:basedOn w:val="1"/>
    <w:qFormat/>
    <w:uiPriority w:val="99"/>
    <w:pPr>
      <w:spacing w:beforeLines="50" w:after="120" w:line="300" w:lineRule="auto"/>
      <w:ind w:firstLine="480"/>
    </w:pPr>
    <w:rPr>
      <w:rFonts w:ascii="Helvetica" w:hAnsi="Helvetica"/>
      <w:kern w:val="0"/>
      <w:sz w:val="24"/>
    </w:rPr>
  </w:style>
  <w:style w:type="paragraph" w:customStyle="1" w:styleId="92">
    <w:name w:val="Char Char3"/>
    <w:basedOn w:val="1"/>
    <w:qFormat/>
    <w:uiPriority w:val="0"/>
  </w:style>
  <w:style w:type="paragraph" w:customStyle="1" w:styleId="93">
    <w:name w:val="样式 表格正文 + 两端对齐"/>
    <w:basedOn w:val="1"/>
    <w:next w:val="94"/>
    <w:qFormat/>
    <w:uiPriority w:val="0"/>
    <w:pPr>
      <w:spacing w:line="300" w:lineRule="auto"/>
    </w:pPr>
  </w:style>
  <w:style w:type="paragraph" w:customStyle="1" w:styleId="94">
    <w:name w:val="正文11"/>
    <w:basedOn w:val="16"/>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95">
    <w:name w:val="彩色列表1"/>
    <w:basedOn w:val="1"/>
    <w:qFormat/>
    <w:uiPriority w:val="34"/>
    <w:pPr>
      <w:ind w:firstLine="420" w:firstLineChars="200"/>
    </w:pPr>
    <w:rPr>
      <w:rFonts w:ascii="Verdana" w:hAnsi="Verdana" w:eastAsia="微软雅黑"/>
      <w:szCs w:val="22"/>
    </w:rPr>
  </w:style>
  <w:style w:type="paragraph" w:customStyle="1" w:styleId="96">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7">
    <w:name w:val="p0"/>
    <w:basedOn w:val="1"/>
    <w:qFormat/>
    <w:uiPriority w:val="0"/>
    <w:pPr>
      <w:widowControl/>
    </w:pPr>
    <w:rPr>
      <w:rFonts w:ascii="Calibri" w:hAnsi="Calibri"/>
      <w:kern w:val="0"/>
      <w:szCs w:val="21"/>
    </w:rPr>
  </w:style>
  <w:style w:type="paragraph" w:customStyle="1" w:styleId="98">
    <w:name w:val="正文样式"/>
    <w:basedOn w:val="1"/>
    <w:unhideWhenUsed/>
    <w:qFormat/>
    <w:uiPriority w:val="7"/>
    <w:pPr>
      <w:spacing w:line="360" w:lineRule="auto"/>
      <w:ind w:firstLine="480" w:firstLineChars="200"/>
    </w:pPr>
    <w:rPr>
      <w:rFonts w:hAnsi="Calibri"/>
      <w:sz w:val="24"/>
      <w:szCs w:val="20"/>
    </w:rPr>
  </w:style>
  <w:style w:type="paragraph" w:customStyle="1" w:styleId="99">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10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_Style 1"/>
    <w:qFormat/>
    <w:uiPriority w:val="0"/>
    <w:rPr>
      <w:rFonts w:ascii="Times New Roman" w:hAnsi="Times New Roman" w:eastAsia="宋体" w:cs="Times New Roman"/>
      <w:kern w:val="2"/>
      <w:sz w:val="28"/>
      <w:szCs w:val="22"/>
      <w:lang w:val="en-US" w:eastAsia="zh-CN" w:bidi="ar-SA"/>
    </w:rPr>
  </w:style>
  <w:style w:type="paragraph" w:customStyle="1" w:styleId="102">
    <w:name w:val="_Style 40"/>
    <w:basedOn w:val="1"/>
    <w:qFormat/>
    <w:uiPriority w:val="0"/>
  </w:style>
  <w:style w:type="paragraph" w:customStyle="1" w:styleId="103">
    <w:name w:val="Char Char5"/>
    <w:basedOn w:val="1"/>
    <w:qFormat/>
    <w:uiPriority w:val="0"/>
  </w:style>
  <w:style w:type="paragraph" w:customStyle="1" w:styleId="104">
    <w:name w:val="Table Paragraph"/>
    <w:basedOn w:val="1"/>
    <w:qFormat/>
    <w:uiPriority w:val="1"/>
  </w:style>
  <w:style w:type="paragraph" w:customStyle="1" w:styleId="105">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6">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7">
    <w:name w:val="彩色列表 - 强调文字颜色 11"/>
    <w:basedOn w:val="1"/>
    <w:qFormat/>
    <w:uiPriority w:val="34"/>
    <w:pPr>
      <w:ind w:firstLine="420" w:firstLineChars="200"/>
    </w:pPr>
    <w:rPr>
      <w:rFonts w:ascii="Calibri" w:hAnsi="Calibri"/>
      <w:szCs w:val="22"/>
    </w:rPr>
  </w:style>
  <w:style w:type="paragraph" w:customStyle="1" w:styleId="108">
    <w:name w:val="_Style 23"/>
    <w:basedOn w:val="1"/>
    <w:qFormat/>
    <w:uiPriority w:val="0"/>
  </w:style>
  <w:style w:type="paragraph" w:customStyle="1" w:styleId="109">
    <w:name w:val="_Style 10"/>
    <w:basedOn w:val="1"/>
    <w:qFormat/>
    <w:uiPriority w:val="0"/>
    <w:rPr>
      <w:rFonts w:ascii="仿宋_GB2312" w:eastAsia="仿宋_GB2312"/>
      <w:b/>
      <w:sz w:val="32"/>
      <w:szCs w:val="32"/>
    </w:rPr>
  </w:style>
  <w:style w:type="paragraph" w:customStyle="1" w:styleId="110">
    <w:name w:val="列出段落1"/>
    <w:basedOn w:val="1"/>
    <w:qFormat/>
    <w:uiPriority w:val="0"/>
    <w:pPr>
      <w:ind w:firstLine="420" w:firstLineChars="200"/>
    </w:pPr>
    <w:rPr>
      <w:rFonts w:ascii="Calibri" w:hAnsi="Calibri"/>
      <w:szCs w:val="22"/>
    </w:rPr>
  </w:style>
  <w:style w:type="paragraph" w:customStyle="1" w:styleId="111">
    <w:name w:val="Char Char Char Char Char Char Char"/>
    <w:basedOn w:val="1"/>
    <w:qFormat/>
    <w:uiPriority w:val="0"/>
  </w:style>
  <w:style w:type="paragraph" w:customStyle="1" w:styleId="11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3">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4">
    <w:name w:val="正文2"/>
    <w:basedOn w:val="1"/>
    <w:qFormat/>
    <w:uiPriority w:val="0"/>
    <w:pPr>
      <w:spacing w:before="156" w:line="360" w:lineRule="auto"/>
      <w:ind w:firstLine="510" w:firstLineChars="200"/>
    </w:pPr>
    <w:rPr>
      <w:sz w:val="24"/>
      <w:szCs w:val="20"/>
    </w:rPr>
  </w:style>
  <w:style w:type="paragraph" w:customStyle="1" w:styleId="115">
    <w:name w:val="彩色列表2"/>
    <w:basedOn w:val="1"/>
    <w:qFormat/>
    <w:uiPriority w:val="34"/>
    <w:pPr>
      <w:ind w:firstLine="420" w:firstLineChars="200"/>
    </w:pPr>
  </w:style>
  <w:style w:type="paragraph" w:customStyle="1" w:styleId="116">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8">
    <w:name w:val="首行缩进"/>
    <w:basedOn w:val="1"/>
    <w:qFormat/>
    <w:uiPriority w:val="0"/>
    <w:pPr>
      <w:spacing w:line="360" w:lineRule="auto"/>
      <w:ind w:firstLine="480" w:firstLineChars="200"/>
    </w:pPr>
    <w:rPr>
      <w:sz w:val="24"/>
      <w:szCs w:val="22"/>
      <w:lang w:val="zh-CN"/>
    </w:rPr>
  </w:style>
  <w:style w:type="paragraph" w:customStyle="1" w:styleId="119">
    <w:name w:val="默认段落字体 Para Char Char Char Char Char Char Char Char Char1 Char Char Char Char"/>
    <w:basedOn w:val="1"/>
    <w:qFormat/>
    <w:uiPriority w:val="0"/>
    <w:rPr>
      <w:rFonts w:ascii="Tahoma" w:hAnsi="Tahoma"/>
      <w:sz w:val="24"/>
      <w:szCs w:val="20"/>
    </w:rPr>
  </w:style>
  <w:style w:type="paragraph" w:customStyle="1" w:styleId="120">
    <w:name w:val="彩色列表11"/>
    <w:basedOn w:val="1"/>
    <w:qFormat/>
    <w:uiPriority w:val="34"/>
    <w:pPr>
      <w:ind w:firstLine="420" w:firstLineChars="200"/>
    </w:pPr>
  </w:style>
  <w:style w:type="character" w:customStyle="1" w:styleId="121">
    <w:name w:val="bjh-p"/>
    <w:basedOn w:val="40"/>
    <w:qFormat/>
    <w:uiPriority w:val="0"/>
  </w:style>
  <w:style w:type="character" w:customStyle="1" w:styleId="122">
    <w:name w:val="font12"/>
    <w:basedOn w:val="40"/>
    <w:qFormat/>
    <w:uiPriority w:val="0"/>
    <w:rPr>
      <w:rFonts w:hint="eastAsia" w:ascii="宋体" w:hAnsi="宋体" w:eastAsia="宋体" w:cs="宋体"/>
      <w:color w:val="000000"/>
      <w:sz w:val="20"/>
      <w:szCs w:val="20"/>
      <w:u w:val="none"/>
    </w:rPr>
  </w:style>
  <w:style w:type="character" w:customStyle="1" w:styleId="123">
    <w:name w:val="font41"/>
    <w:basedOn w:val="40"/>
    <w:qFormat/>
    <w:uiPriority w:val="0"/>
    <w:rPr>
      <w:rFonts w:hint="eastAsia" w:ascii="宋体" w:hAnsi="宋体" w:eastAsia="宋体" w:cs="宋体"/>
      <w:b/>
      <w:bCs/>
      <w:color w:val="000000"/>
      <w:sz w:val="22"/>
      <w:szCs w:val="22"/>
      <w:u w:val="none"/>
    </w:rPr>
  </w:style>
  <w:style w:type="character" w:customStyle="1" w:styleId="124">
    <w:name w:val="font81"/>
    <w:basedOn w:val="40"/>
    <w:qFormat/>
    <w:uiPriority w:val="0"/>
    <w:rPr>
      <w:rFonts w:ascii="Calibri" w:hAnsi="Calibri" w:cs="Calibri"/>
      <w:b/>
      <w:bCs/>
      <w:color w:val="000000"/>
      <w:sz w:val="22"/>
      <w:szCs w:val="22"/>
      <w:u w:val="none"/>
    </w:rPr>
  </w:style>
  <w:style w:type="character" w:customStyle="1" w:styleId="125">
    <w:name w:val="font71"/>
    <w:basedOn w:val="40"/>
    <w:qFormat/>
    <w:uiPriority w:val="0"/>
    <w:rPr>
      <w:rFonts w:hint="eastAsia" w:ascii="宋体" w:hAnsi="宋体" w:eastAsia="宋体" w:cs="宋体"/>
      <w:b/>
      <w:bCs/>
      <w:color w:val="000000"/>
      <w:sz w:val="30"/>
      <w:szCs w:val="30"/>
      <w:u w:val="none"/>
      <w:vertAlign w:val="superscript"/>
    </w:rPr>
  </w:style>
  <w:style w:type="character" w:customStyle="1" w:styleId="126">
    <w:name w:val="font112"/>
    <w:basedOn w:val="40"/>
    <w:qFormat/>
    <w:uiPriority w:val="0"/>
    <w:rPr>
      <w:rFonts w:hint="eastAsia" w:ascii="宋体" w:hAnsi="宋体" w:eastAsia="宋体" w:cs="宋体"/>
      <w:color w:val="000000"/>
      <w:sz w:val="20"/>
      <w:szCs w:val="20"/>
      <w:u w:val="none"/>
    </w:rPr>
  </w:style>
  <w:style w:type="paragraph" w:styleId="12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28">
    <w:name w:val="TOC 标题1"/>
    <w:basedOn w:val="4"/>
    <w:next w:val="1"/>
    <w:unhideWhenUsed/>
    <w:qFormat/>
    <w:uiPriority w:val="39"/>
    <w:pPr>
      <w:keepNext w:val="0"/>
      <w:keepLines w:val="0"/>
      <w:widowControl/>
      <w:spacing w:before="480" w:after="0" w:line="276" w:lineRule="auto"/>
      <w:jc w:val="left"/>
      <w:outlineLvl w:val="9"/>
    </w:pPr>
    <w:rPr>
      <w:rFonts w:asciiTheme="majorHAnsi" w:hAnsiTheme="majorHAnsi" w:eastAsiaTheme="majorEastAsia" w:cstheme="majorBidi"/>
      <w:bCs w:val="0"/>
      <w:color w:val="2E75B6" w:themeColor="accent1" w:themeShade="BF"/>
      <w:kern w:val="0"/>
      <w:sz w:val="28"/>
      <w:szCs w:val="28"/>
    </w:rPr>
  </w:style>
  <w:style w:type="character" w:customStyle="1" w:styleId="129">
    <w:name w:val="font131"/>
    <w:basedOn w:val="40"/>
    <w:qFormat/>
    <w:uiPriority w:val="0"/>
    <w:rPr>
      <w:rFonts w:hint="eastAsia" w:ascii="宋体" w:hAnsi="宋体" w:eastAsia="宋体" w:cs="宋体"/>
      <w:strike/>
      <w:color w:val="FF0000"/>
      <w:sz w:val="22"/>
      <w:szCs w:val="22"/>
    </w:rPr>
  </w:style>
  <w:style w:type="character" w:customStyle="1" w:styleId="130">
    <w:name w:val="font91"/>
    <w:basedOn w:val="40"/>
    <w:qFormat/>
    <w:uiPriority w:val="0"/>
    <w:rPr>
      <w:rFonts w:hint="eastAsia" w:ascii="宋体" w:hAnsi="宋体" w:eastAsia="宋体" w:cs="宋体"/>
      <w:color w:val="000000"/>
      <w:sz w:val="22"/>
      <w:szCs w:val="22"/>
      <w:u w:val="none"/>
    </w:rPr>
  </w:style>
  <w:style w:type="character" w:customStyle="1" w:styleId="131">
    <w:name w:val="font151"/>
    <w:basedOn w:val="40"/>
    <w:qFormat/>
    <w:uiPriority w:val="0"/>
    <w:rPr>
      <w:rFonts w:hint="eastAsia" w:ascii="宋体" w:hAnsi="宋体" w:eastAsia="宋体" w:cs="宋体"/>
      <w:color w:val="FF0000"/>
      <w:sz w:val="22"/>
      <w:szCs w:val="22"/>
      <w:u w:val="none"/>
    </w:rPr>
  </w:style>
  <w:style w:type="character" w:customStyle="1" w:styleId="132">
    <w:name w:val="font191"/>
    <w:basedOn w:val="40"/>
    <w:qFormat/>
    <w:uiPriority w:val="0"/>
    <w:rPr>
      <w:rFonts w:hint="eastAsia" w:ascii="宋体" w:hAnsi="宋体" w:eastAsia="宋体" w:cs="宋体"/>
      <w:strike/>
      <w:color w:val="000000"/>
      <w:sz w:val="22"/>
      <w:szCs w:val="22"/>
    </w:rPr>
  </w:style>
  <w:style w:type="character" w:customStyle="1" w:styleId="133">
    <w:name w:val="font171"/>
    <w:basedOn w:val="40"/>
    <w:qFormat/>
    <w:uiPriority w:val="0"/>
    <w:rPr>
      <w:rFonts w:hint="eastAsia" w:ascii="宋体" w:hAnsi="宋体" w:eastAsia="宋体" w:cs="宋体"/>
      <w:color w:val="FF0000"/>
      <w:sz w:val="22"/>
      <w:szCs w:val="22"/>
      <w:u w:val="none"/>
    </w:rPr>
  </w:style>
  <w:style w:type="character" w:customStyle="1" w:styleId="134">
    <w:name w:val="font141"/>
    <w:basedOn w:val="40"/>
    <w:qFormat/>
    <w:uiPriority w:val="0"/>
    <w:rPr>
      <w:rFonts w:hint="default" w:ascii="Arial" w:hAnsi="Arial" w:cs="Arial"/>
      <w:color w:val="000000"/>
      <w:sz w:val="22"/>
      <w:szCs w:val="22"/>
      <w:u w:val="none"/>
    </w:rPr>
  </w:style>
  <w:style w:type="character" w:customStyle="1" w:styleId="135">
    <w:name w:val="font61"/>
    <w:basedOn w:val="40"/>
    <w:qFormat/>
    <w:uiPriority w:val="0"/>
    <w:rPr>
      <w:rFonts w:hint="eastAsia" w:ascii="宋体" w:hAnsi="宋体" w:eastAsia="宋体" w:cs="宋体"/>
      <w:color w:val="000000"/>
      <w:sz w:val="22"/>
      <w:szCs w:val="22"/>
      <w:u w:val="none"/>
    </w:rPr>
  </w:style>
  <w:style w:type="character" w:customStyle="1" w:styleId="136">
    <w:name w:val="font201"/>
    <w:basedOn w:val="40"/>
    <w:qFormat/>
    <w:uiPriority w:val="0"/>
    <w:rPr>
      <w:rFonts w:hint="eastAsia" w:ascii="宋体" w:hAnsi="宋体" w:eastAsia="宋体" w:cs="宋体"/>
      <w:b/>
      <w:bCs/>
      <w:color w:val="000000"/>
      <w:sz w:val="40"/>
      <w:szCs w:val="40"/>
      <w:u w:val="none"/>
    </w:rPr>
  </w:style>
  <w:style w:type="character" w:customStyle="1" w:styleId="137">
    <w:name w:val="font121"/>
    <w:basedOn w:val="40"/>
    <w:qFormat/>
    <w:uiPriority w:val="0"/>
    <w:rPr>
      <w:rFonts w:ascii="Arial" w:hAnsi="Arial" w:cs="Arial"/>
      <w:color w:val="000000"/>
      <w:sz w:val="18"/>
      <w:szCs w:val="18"/>
      <w:u w:val="none"/>
    </w:rPr>
  </w:style>
  <w:style w:type="paragraph" w:customStyle="1" w:styleId="138">
    <w:name w:val="WPSOffice手动目录 1"/>
    <w:qFormat/>
    <w:uiPriority w:val="0"/>
    <w:rPr>
      <w:rFonts w:ascii="Times New Roman" w:hAnsi="Times New Roman" w:eastAsia="宋体" w:cs="Times New Roman"/>
      <w:lang w:val="en-US" w:eastAsia="zh-CN" w:bidi="ar-SA"/>
    </w:rPr>
  </w:style>
  <w:style w:type="paragraph" w:customStyle="1" w:styleId="139">
    <w:name w:val="正文段"/>
    <w:basedOn w:val="1"/>
    <w:qFormat/>
    <w:uiPriority w:val="0"/>
    <w:pPr>
      <w:widowControl/>
      <w:snapToGrid w:val="0"/>
      <w:spacing w:afterLines="50"/>
      <w:ind w:firstLine="200" w:firstLineChars="200"/>
    </w:pPr>
    <w:rPr>
      <w:kern w:val="0"/>
      <w:sz w:val="24"/>
      <w:szCs w:val="20"/>
    </w:rPr>
  </w:style>
  <w:style w:type="paragraph" w:customStyle="1" w:styleId="140">
    <w:name w:val="Normal Indent1"/>
    <w:basedOn w:val="1"/>
    <w:qFormat/>
    <w:uiPriority w:val="0"/>
    <w:pPr>
      <w:ind w:firstLine="420" w:firstLineChars="200"/>
    </w:pPr>
  </w:style>
  <w:style w:type="paragraph" w:customStyle="1" w:styleId="14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142">
    <w:name w:val="15"/>
    <w:basedOn w:val="40"/>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17222</Words>
  <Characters>18847</Characters>
  <Lines>578</Lines>
  <Paragraphs>162</Paragraphs>
  <TotalTime>0</TotalTime>
  <ScaleCrop>false</ScaleCrop>
  <LinksUpToDate>false</LinksUpToDate>
  <CharactersWithSpaces>19265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2021-03-01T07:14:00Z</dcterms:created>
  <dc:creator>Administrator</dc:creator>
  <cp:lastModifiedBy>CL~</cp:lastModifiedBy>
  <cp:lastPrinted>2025-06-11T02:43:00Z</cp:lastPrinted>
  <dcterms:modified xsi:type="dcterms:W3CDTF">2025-06-17T11:20:41Z</dcterms:modified>
  <dc:title>东阳市鑫盛工程咨询有限公司关于东阳市广福路以南、望江路以西地块-上王公寓</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2F298C46E53D4CCD95F450330E9A0FE2_13</vt:lpwstr>
  </property>
  <property fmtid="{D5CDD505-2E9C-101B-9397-08002B2CF9AE}" pid="4" name="KSOTemplateDocerSaveRecord">
    <vt:lpwstr>eyJoZGlkIjoiYmM5ZjEyMzliYzU1N2UyZmZiNmQ5NzM0NDYwOGM2YmEiLCJ1c2VySWQiOiI5MzA5MTk4MjYifQ==</vt:lpwstr>
  </property>
</Properties>
</file>