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720" w:lineRule="auto"/>
        <w:jc w:val="distribute"/>
        <w:rPr>
          <w:rFonts w:hint="eastAsia" w:ascii="宋体"/>
          <w:b/>
          <w:sz w:val="52"/>
          <w:szCs w:val="52"/>
        </w:rPr>
      </w:pPr>
      <w:r>
        <w:rPr>
          <w:rFonts w:hint="eastAsia" w:ascii="宋体"/>
          <w:b/>
          <w:sz w:val="52"/>
          <w:szCs w:val="52"/>
          <w:lang w:eastAsia="zh-CN"/>
        </w:rPr>
        <w:t>东阳市</w:t>
      </w:r>
      <w:r>
        <w:rPr>
          <w:rFonts w:hint="eastAsia" w:ascii="宋体"/>
          <w:b/>
          <w:sz w:val="52"/>
          <w:szCs w:val="52"/>
        </w:rPr>
        <w:t>江北街道</w:t>
      </w:r>
    </w:p>
    <w:p>
      <w:pPr>
        <w:spacing w:beforeLines="50" w:line="720" w:lineRule="auto"/>
        <w:jc w:val="distribute"/>
        <w:rPr>
          <w:rFonts w:hint="eastAsia" w:ascii="宋体" w:eastAsia="宋体"/>
          <w:b/>
          <w:color w:val="000000"/>
          <w:sz w:val="36"/>
          <w:szCs w:val="36"/>
          <w:lang w:eastAsia="zh-CN"/>
        </w:rPr>
      </w:pPr>
      <w:r>
        <w:rPr>
          <w:rFonts w:hint="eastAsia" w:ascii="宋体"/>
          <w:b/>
          <w:sz w:val="48"/>
          <w:szCs w:val="48"/>
        </w:rPr>
        <w:t>智慧垃圾分类系统</w:t>
      </w:r>
      <w:r>
        <w:rPr>
          <w:rFonts w:hint="eastAsia" w:ascii="宋体"/>
          <w:b/>
          <w:sz w:val="48"/>
          <w:szCs w:val="48"/>
          <w:lang w:eastAsia="zh-CN"/>
        </w:rPr>
        <w:t>建设</w:t>
      </w:r>
      <w:r>
        <w:rPr>
          <w:rFonts w:hint="eastAsia" w:ascii="宋体"/>
          <w:b/>
          <w:sz w:val="48"/>
          <w:szCs w:val="48"/>
        </w:rPr>
        <w:t>及运营服务</w:t>
      </w:r>
      <w:r>
        <w:rPr>
          <w:rFonts w:hint="eastAsia" w:ascii="宋体"/>
          <w:b/>
          <w:sz w:val="36"/>
          <w:szCs w:val="36"/>
          <w:lang w:eastAsia="zh-CN"/>
        </w:rPr>
        <w:t>（三期）</w:t>
      </w:r>
    </w:p>
    <w:p>
      <w:pPr>
        <w:spacing w:beforeLines="50" w:line="720" w:lineRule="auto"/>
        <w:jc w:val="center"/>
        <w:rPr>
          <w:rFonts w:hint="eastAsia" w:ascii="宋体" w:eastAsia="宋体"/>
          <w:b/>
          <w:color w:val="0D0D0D"/>
          <w:sz w:val="36"/>
          <w:szCs w:val="36"/>
          <w:lang w:eastAsia="zh-CN"/>
        </w:rPr>
      </w:pPr>
      <w:r>
        <w:rPr>
          <w:rFonts w:hint="eastAsia" w:ascii="宋体" w:hAnsi="宋体"/>
          <w:b/>
          <w:color w:val="0D0D0D"/>
          <w:sz w:val="72"/>
          <w:szCs w:val="72"/>
        </w:rPr>
        <w:t>公开招标采购文件</w:t>
      </w:r>
    </w:p>
    <w:p>
      <w:pPr>
        <w:snapToGrid w:val="0"/>
        <w:spacing w:beforeLines="50" w:line="360" w:lineRule="auto"/>
        <w:jc w:val="center"/>
        <w:rPr>
          <w:rFonts w:ascii="宋体"/>
          <w:color w:val="0D0D0D"/>
          <w:sz w:val="30"/>
          <w:szCs w:val="72"/>
        </w:rPr>
      </w:pPr>
      <w:r>
        <w:rPr>
          <w:rFonts w:ascii="宋体"/>
          <w:sz w:val="30"/>
          <w:szCs w:val="72"/>
        </w:rPr>
        <w:drawing>
          <wp:inline distT="0" distB="0" distL="0" distR="0">
            <wp:extent cx="2314575" cy="2095500"/>
            <wp:effectExtent l="19050" t="0" r="9525" b="0"/>
            <wp:docPr id="1" name="图片 1" descr="caig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igou"/>
                    <pic:cNvPicPr>
                      <a:picLocks noChangeAspect="1" noChangeArrowheads="1"/>
                    </pic:cNvPicPr>
                  </pic:nvPicPr>
                  <pic:blipFill>
                    <a:blip r:embed="rId23"/>
                    <a:srcRect/>
                    <a:stretch>
                      <a:fillRect/>
                    </a:stretch>
                  </pic:blipFill>
                  <pic:spPr>
                    <a:xfrm>
                      <a:off x="0" y="0"/>
                      <a:ext cx="2314575" cy="2095500"/>
                    </a:xfrm>
                    <a:prstGeom prst="rect">
                      <a:avLst/>
                    </a:prstGeom>
                    <a:noFill/>
                    <a:ln w="9525">
                      <a:noFill/>
                      <a:miter lim="800000"/>
                      <a:headEnd/>
                      <a:tailEnd/>
                    </a:ln>
                  </pic:spPr>
                </pic:pic>
              </a:graphicData>
            </a:graphic>
          </wp:inline>
        </w:drawing>
      </w:r>
    </w:p>
    <w:p>
      <w:pPr>
        <w:pStyle w:val="27"/>
        <w:snapToGrid w:val="0"/>
        <w:spacing w:before="166" w:after="166" w:line="480" w:lineRule="auto"/>
        <w:rPr>
          <w:rFonts w:hAnsi="宋体"/>
          <w:b/>
          <w:bCs/>
          <w:color w:val="0D0D0D"/>
          <w:sz w:val="30"/>
          <w:szCs w:val="30"/>
        </w:rPr>
      </w:pPr>
    </w:p>
    <w:p>
      <w:pPr>
        <w:pStyle w:val="27"/>
        <w:snapToGrid w:val="0"/>
        <w:spacing w:before="166" w:after="166" w:line="480" w:lineRule="auto"/>
        <w:rPr>
          <w:rFonts w:hint="eastAsia" w:hAnsi="宋体" w:eastAsia="宋体"/>
          <w:b/>
          <w:bCs/>
          <w:sz w:val="30"/>
          <w:szCs w:val="30"/>
          <w:lang w:eastAsia="zh-CN"/>
        </w:rPr>
      </w:pPr>
      <w:r>
        <w:rPr>
          <w:rFonts w:hint="eastAsia" w:hAnsi="宋体"/>
          <w:b/>
          <w:bCs/>
          <w:color w:val="0D0D0D"/>
          <w:sz w:val="30"/>
          <w:szCs w:val="30"/>
        </w:rPr>
        <w:t>项目编号：</w:t>
      </w:r>
      <w:r>
        <w:rPr>
          <w:rFonts w:hint="eastAsia" w:hAnsi="宋体"/>
          <w:b/>
          <w:bCs/>
          <w:sz w:val="30"/>
          <w:szCs w:val="30"/>
          <w:lang w:eastAsia="zh-CN"/>
        </w:rPr>
        <w:t>JCZFCG2022-Z29-A264</w:t>
      </w:r>
    </w:p>
    <w:p>
      <w:pPr>
        <w:pStyle w:val="27"/>
        <w:snapToGrid w:val="0"/>
        <w:spacing w:before="166" w:after="166" w:line="480" w:lineRule="auto"/>
        <w:ind w:left="1494" w:hanging="1494" w:hangingChars="496"/>
        <w:rPr>
          <w:rFonts w:hint="eastAsia" w:eastAsia="宋体"/>
          <w:b/>
          <w:sz w:val="30"/>
          <w:szCs w:val="30"/>
          <w:lang w:eastAsia="zh-CN"/>
        </w:rPr>
      </w:pPr>
      <w:r>
        <w:rPr>
          <w:rFonts w:hint="eastAsia"/>
          <w:b/>
          <w:bCs/>
          <w:sz w:val="30"/>
          <w:szCs w:val="30"/>
        </w:rPr>
        <w:t>项目名称：</w:t>
      </w:r>
      <w:r>
        <w:rPr>
          <w:rFonts w:hint="eastAsia"/>
          <w:b/>
          <w:sz w:val="30"/>
          <w:szCs w:val="30"/>
          <w:lang w:eastAsia="zh-CN"/>
        </w:rPr>
        <w:t>江北街道智慧垃圾分类系统建设及运营服务（三期）</w:t>
      </w:r>
    </w:p>
    <w:p>
      <w:pPr>
        <w:pStyle w:val="27"/>
        <w:snapToGrid w:val="0"/>
        <w:spacing w:before="166" w:after="166" w:line="480" w:lineRule="auto"/>
        <w:ind w:left="1494" w:hanging="1494" w:hangingChars="496"/>
        <w:rPr>
          <w:rFonts w:hAnsi="宋体" w:cs="宋体"/>
          <w:b/>
          <w:color w:val="000000"/>
          <w:sz w:val="30"/>
          <w:szCs w:val="30"/>
        </w:rPr>
      </w:pPr>
      <w:r>
        <w:rPr>
          <w:rFonts w:hint="eastAsia" w:hAnsi="宋体"/>
          <w:b/>
          <w:bCs/>
          <w:color w:val="0D0D0D"/>
          <w:sz w:val="30"/>
          <w:szCs w:val="30"/>
        </w:rPr>
        <w:t>采购单位：</w:t>
      </w:r>
      <w:r>
        <w:rPr>
          <w:rFonts w:hAnsi="宋体"/>
          <w:b/>
          <w:bCs/>
          <w:color w:val="0D0D0D"/>
          <w:sz w:val="30"/>
          <w:szCs w:val="30"/>
        </w:rPr>
        <w:t>东阳市江北街道办事处</w:t>
      </w:r>
    </w:p>
    <w:p>
      <w:pPr>
        <w:pStyle w:val="27"/>
        <w:snapToGrid w:val="0"/>
        <w:spacing w:before="166" w:after="166" w:line="480" w:lineRule="auto"/>
        <w:rPr>
          <w:rFonts w:hAnsi="宋体"/>
          <w:b/>
          <w:color w:val="0D0D0D"/>
          <w:sz w:val="30"/>
          <w:szCs w:val="48"/>
        </w:rPr>
      </w:pPr>
      <w:r>
        <w:rPr>
          <w:rFonts w:hint="eastAsia" w:hAnsi="宋体"/>
          <w:b/>
          <w:bCs/>
          <w:color w:val="0D0D0D"/>
          <w:w w:val="95"/>
          <w:sz w:val="30"/>
          <w:szCs w:val="30"/>
        </w:rPr>
        <w:t>招标机构：</w:t>
      </w:r>
      <w:r>
        <w:rPr>
          <w:rFonts w:hint="eastAsia" w:hAnsi="宋体"/>
          <w:b/>
          <w:color w:val="0D0D0D"/>
          <w:sz w:val="30"/>
          <w:szCs w:val="48"/>
        </w:rPr>
        <w:t>金华市金诚招投标代理有限公司</w:t>
      </w:r>
    </w:p>
    <w:p>
      <w:pPr>
        <w:snapToGrid w:val="0"/>
        <w:spacing w:beforeLines="50" w:line="360" w:lineRule="auto"/>
        <w:ind w:left="2709" w:leftChars="1290" w:firstLine="2623" w:firstLineChars="863"/>
        <w:rPr>
          <w:color w:val="0D0D0D"/>
          <w:w w:val="95"/>
          <w:sz w:val="32"/>
          <w:szCs w:val="32"/>
        </w:rPr>
      </w:pPr>
    </w:p>
    <w:p>
      <w:pPr>
        <w:snapToGrid w:val="0"/>
        <w:spacing w:beforeLines="50" w:line="360" w:lineRule="auto"/>
        <w:ind w:firstLine="5800" w:firstLineChars="1900"/>
        <w:jc w:val="center"/>
        <w:rPr>
          <w:rFonts w:ascii="创艺简标宋" w:hAnsi="宋体" w:eastAsia="创艺简标宋"/>
          <w:color w:val="0D0D0D"/>
          <w:sz w:val="44"/>
          <w:szCs w:val="44"/>
        </w:rPr>
      </w:pPr>
      <w:r>
        <w:rPr>
          <w:rFonts w:hint="eastAsia" w:ascii="宋体" w:hAnsi="宋体" w:eastAsia="宋体" w:cs="宋体"/>
          <w:b/>
          <w:bCs/>
          <w:color w:val="0D0D0D"/>
          <w:w w:val="95"/>
          <w:sz w:val="32"/>
          <w:szCs w:val="32"/>
        </w:rPr>
        <w:t>202</w:t>
      </w:r>
      <w:r>
        <w:rPr>
          <w:rFonts w:hint="eastAsia" w:ascii="宋体" w:hAnsi="宋体" w:eastAsia="宋体" w:cs="宋体"/>
          <w:b/>
          <w:bCs/>
          <w:color w:val="0D0D0D"/>
          <w:w w:val="95"/>
          <w:sz w:val="32"/>
          <w:szCs w:val="32"/>
          <w:lang w:val="en-US" w:eastAsia="zh-CN"/>
        </w:rPr>
        <w:t>2</w:t>
      </w:r>
      <w:r>
        <w:rPr>
          <w:rFonts w:hint="eastAsia" w:ascii="宋体" w:hAnsi="宋体" w:eastAsia="宋体" w:cs="宋体"/>
          <w:b/>
          <w:bCs/>
          <w:color w:val="0D0D0D"/>
          <w:w w:val="95"/>
          <w:sz w:val="32"/>
          <w:szCs w:val="32"/>
        </w:rPr>
        <w:t>年</w:t>
      </w:r>
      <w:r>
        <w:rPr>
          <w:rFonts w:hint="eastAsia" w:ascii="宋体" w:hAnsi="宋体" w:cs="宋体"/>
          <w:b/>
          <w:bCs/>
          <w:color w:val="0D0D0D"/>
          <w:w w:val="95"/>
          <w:sz w:val="32"/>
          <w:szCs w:val="32"/>
          <w:lang w:val="en-US" w:eastAsia="zh-CN"/>
        </w:rPr>
        <w:t>8</w:t>
      </w:r>
      <w:r>
        <w:rPr>
          <w:rFonts w:hint="eastAsia" w:ascii="宋体" w:hAnsi="宋体" w:eastAsia="宋体" w:cs="宋体"/>
          <w:b/>
          <w:bCs/>
          <w:color w:val="0D0D0D"/>
          <w:w w:val="95"/>
          <w:sz w:val="32"/>
          <w:szCs w:val="32"/>
        </w:rPr>
        <w:t>月</w:t>
      </w:r>
      <w:r>
        <w:rPr>
          <w:rFonts w:hint="eastAsia" w:ascii="宋体" w:hAnsi="宋体" w:cs="宋体"/>
          <w:b/>
          <w:bCs/>
          <w:color w:val="0D0D0D"/>
          <w:w w:val="95"/>
          <w:sz w:val="32"/>
          <w:szCs w:val="32"/>
          <w:lang w:val="en-US" w:eastAsia="zh-CN"/>
        </w:rPr>
        <w:t>1</w:t>
      </w:r>
      <w:r>
        <w:rPr>
          <w:rFonts w:hint="eastAsia" w:ascii="宋体" w:hAnsi="宋体" w:eastAsia="宋体" w:cs="宋体"/>
          <w:b/>
          <w:bCs/>
          <w:color w:val="0D0D0D"/>
          <w:w w:val="95"/>
          <w:sz w:val="32"/>
          <w:szCs w:val="32"/>
        </w:rPr>
        <w:t>日</w:t>
      </w:r>
      <w:r>
        <w:rPr>
          <w:b/>
          <w:bCs/>
          <w:color w:val="0D0D0D"/>
        </w:rPr>
        <w:br w:type="page"/>
      </w:r>
      <w:r>
        <w:rPr>
          <w:rFonts w:hint="eastAsia" w:ascii="创艺简标宋" w:hAnsi="宋体" w:eastAsia="创艺简标宋"/>
          <w:color w:val="0D0D0D"/>
          <w:sz w:val="44"/>
          <w:szCs w:val="44"/>
        </w:rPr>
        <w:t>目   录</w:t>
      </w:r>
    </w:p>
    <w:p>
      <w:pPr>
        <w:pStyle w:val="27"/>
        <w:spacing w:before="166" w:after="166" w:line="360" w:lineRule="auto"/>
        <w:jc w:val="center"/>
        <w:rPr>
          <w:rFonts w:ascii="创艺简标宋" w:hAnsi="宋体" w:eastAsia="创艺简标宋"/>
          <w:color w:val="0D0D0D"/>
          <w:sz w:val="44"/>
          <w:szCs w:val="44"/>
        </w:rPr>
      </w:pPr>
    </w:p>
    <w:p>
      <w:pPr>
        <w:numPr>
          <w:ilvl w:val="0"/>
          <w:numId w:val="2"/>
        </w:numPr>
        <w:spacing w:beforeLines="50" w:line="360" w:lineRule="auto"/>
        <w:rPr>
          <w:rFonts w:ascii="宋体"/>
          <w:color w:val="0D0D0D"/>
          <w:sz w:val="30"/>
          <w:szCs w:val="20"/>
        </w:rPr>
      </w:pPr>
      <w:r>
        <w:rPr>
          <w:rFonts w:hint="eastAsia" w:ascii="宋体" w:hAnsi="宋体"/>
          <w:color w:val="0D0D0D"/>
          <w:sz w:val="30"/>
        </w:rPr>
        <w:t>公开招标采购公告</w:t>
      </w:r>
    </w:p>
    <w:p>
      <w:pPr>
        <w:numPr>
          <w:ilvl w:val="0"/>
          <w:numId w:val="2"/>
        </w:numPr>
        <w:spacing w:beforeLines="50" w:line="360" w:lineRule="auto"/>
        <w:rPr>
          <w:rFonts w:ascii="宋体"/>
          <w:color w:val="0D0D0D"/>
          <w:sz w:val="30"/>
          <w:szCs w:val="20"/>
        </w:rPr>
      </w:pPr>
      <w:r>
        <w:rPr>
          <w:rFonts w:hint="eastAsia" w:ascii="宋体" w:hAnsi="宋体"/>
          <w:color w:val="0D0D0D"/>
          <w:sz w:val="30"/>
        </w:rPr>
        <w:t>招标需求</w:t>
      </w:r>
    </w:p>
    <w:p>
      <w:pPr>
        <w:numPr>
          <w:ilvl w:val="0"/>
          <w:numId w:val="2"/>
        </w:numPr>
        <w:spacing w:beforeLines="50" w:line="360" w:lineRule="auto"/>
        <w:rPr>
          <w:rFonts w:ascii="宋体"/>
          <w:color w:val="0D0D0D"/>
          <w:sz w:val="30"/>
          <w:szCs w:val="20"/>
        </w:rPr>
      </w:pPr>
      <w:r>
        <w:rPr>
          <w:rFonts w:hint="eastAsia" w:ascii="宋体" w:hAnsi="宋体"/>
          <w:color w:val="0D0D0D"/>
          <w:sz w:val="30"/>
        </w:rPr>
        <w:t>投标人须知</w:t>
      </w:r>
    </w:p>
    <w:p>
      <w:pPr>
        <w:numPr>
          <w:ilvl w:val="0"/>
          <w:numId w:val="2"/>
        </w:numPr>
        <w:spacing w:beforeLines="50" w:line="360" w:lineRule="auto"/>
        <w:rPr>
          <w:rFonts w:ascii="宋体"/>
          <w:color w:val="0D0D0D"/>
          <w:sz w:val="30"/>
          <w:szCs w:val="20"/>
        </w:rPr>
      </w:pPr>
      <w:r>
        <w:rPr>
          <w:rFonts w:hint="eastAsia" w:ascii="宋体" w:hAnsi="宋体"/>
          <w:color w:val="0D0D0D"/>
          <w:sz w:val="30"/>
        </w:rPr>
        <w:t>评标办法及评分标准</w:t>
      </w:r>
    </w:p>
    <w:p>
      <w:pPr>
        <w:numPr>
          <w:ilvl w:val="0"/>
          <w:numId w:val="2"/>
        </w:numPr>
        <w:spacing w:beforeLines="50" w:line="360" w:lineRule="auto"/>
        <w:rPr>
          <w:rFonts w:ascii="宋体"/>
          <w:color w:val="0D0D0D"/>
          <w:sz w:val="30"/>
          <w:szCs w:val="20"/>
        </w:rPr>
      </w:pPr>
      <w:r>
        <w:rPr>
          <w:rFonts w:hint="eastAsia" w:ascii="宋体" w:hAnsi="宋体"/>
          <w:color w:val="0D0D0D"/>
          <w:sz w:val="30"/>
        </w:rPr>
        <w:t>政府采购合同主要条款</w:t>
      </w:r>
    </w:p>
    <w:p>
      <w:pPr>
        <w:numPr>
          <w:ilvl w:val="0"/>
          <w:numId w:val="2"/>
        </w:numPr>
        <w:spacing w:beforeLines="50" w:line="360" w:lineRule="auto"/>
        <w:rPr>
          <w:rFonts w:ascii="宋体"/>
          <w:color w:val="0D0D0D"/>
          <w:sz w:val="30"/>
          <w:szCs w:val="20"/>
        </w:rPr>
      </w:pPr>
      <w:r>
        <w:rPr>
          <w:rFonts w:hint="eastAsia" w:ascii="宋体" w:hAnsi="宋体"/>
          <w:color w:val="0D0D0D"/>
          <w:sz w:val="30"/>
        </w:rPr>
        <w:t>投标文件格式</w:t>
      </w:r>
    </w:p>
    <w:p>
      <w:pPr>
        <w:pStyle w:val="27"/>
        <w:snapToGrid w:val="0"/>
        <w:spacing w:before="166" w:after="166" w:line="360" w:lineRule="auto"/>
        <w:outlineLvl w:val="0"/>
        <w:rPr>
          <w:rFonts w:hAnsi="宋体"/>
          <w:color w:val="0D0D0D"/>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numberInDash"/>
          <w:cols w:space="720" w:num="1"/>
          <w:titlePg/>
          <w:docGrid w:type="lines" w:linePitch="332" w:charSpace="0"/>
        </w:sectPr>
      </w:pPr>
    </w:p>
    <w:p>
      <w:pPr>
        <w:pStyle w:val="27"/>
        <w:snapToGrid w:val="0"/>
        <w:spacing w:before="156" w:after="156" w:line="360" w:lineRule="auto"/>
        <w:outlineLvl w:val="0"/>
        <w:rPr>
          <w:rFonts w:hAnsi="宋体"/>
          <w:color w:val="0D0D0D"/>
        </w:rPr>
      </w:pPr>
    </w:p>
    <w:p/>
    <w:p/>
    <w:p/>
    <w:p/>
    <w:p/>
    <w:p/>
    <w:p/>
    <w:p/>
    <w:p/>
    <w:p/>
    <w:p/>
    <w:p/>
    <w:p>
      <w:pPr>
        <w:spacing w:line="360" w:lineRule="auto"/>
        <w:rPr>
          <w:bCs/>
          <w:sz w:val="30"/>
        </w:rPr>
      </w:pPr>
      <w:r>
        <w:rPr>
          <w:rFonts w:hint="eastAsia"/>
          <w:bCs/>
          <w:sz w:val="30"/>
        </w:rPr>
        <w:t>温馨提示：</w:t>
      </w:r>
    </w:p>
    <w:p>
      <w:pPr>
        <w:spacing w:line="360" w:lineRule="auto"/>
        <w:ind w:firstLine="600" w:firstLineChars="200"/>
        <w:rPr>
          <w:bCs/>
          <w:sz w:val="30"/>
        </w:rPr>
      </w:pPr>
      <w:r>
        <w:rPr>
          <w:rFonts w:hint="eastAsia"/>
          <w:bCs/>
          <w:sz w:val="30"/>
        </w:rPr>
        <w:t>请认真阅读此招标文件，并按规定制作投标文件。投标供应商不得向采购人、代理公司工作人员、评标专家行贿，违者一经查实，将列入政府采购黑名单！</w:t>
      </w:r>
    </w:p>
    <w:p>
      <w:pPr>
        <w:pStyle w:val="27"/>
        <w:snapToGrid w:val="0"/>
        <w:spacing w:before="156" w:after="156" w:line="360" w:lineRule="auto"/>
        <w:outlineLvl w:val="0"/>
        <w:rPr>
          <w:rFonts w:hAnsi="宋体"/>
          <w:color w:val="0D0D0D"/>
        </w:rPr>
        <w:sectPr>
          <w:headerReference r:id="rId9" w:type="first"/>
          <w:footerReference r:id="rId12" w:type="first"/>
          <w:headerReference r:id="rId8" w:type="default"/>
          <w:footerReference r:id="rId10" w:type="default"/>
          <w:footerReference r:id="rId11" w:type="even"/>
          <w:type w:val="continuous"/>
          <w:pgSz w:w="11906" w:h="16838"/>
          <w:pgMar w:top="1440" w:right="1797" w:bottom="1440" w:left="1797" w:header="851" w:footer="992" w:gutter="0"/>
          <w:pgNumType w:fmt="numberInDash"/>
          <w:cols w:space="720" w:num="1"/>
          <w:docGrid w:type="linesAndChars" w:linePitch="312" w:charSpace="0"/>
        </w:sectPr>
      </w:pPr>
    </w:p>
    <w:p>
      <w:pPr>
        <w:pStyle w:val="27"/>
        <w:numPr>
          <w:ilvl w:val="0"/>
          <w:numId w:val="3"/>
        </w:numPr>
        <w:snapToGrid w:val="0"/>
        <w:spacing w:beforeLines="0" w:afterLines="0" w:line="360" w:lineRule="auto"/>
        <w:jc w:val="center"/>
        <w:outlineLvl w:val="0"/>
        <w:rPr>
          <w:rFonts w:hint="eastAsia" w:ascii="黑体" w:hAnsi="黑体" w:eastAsia="黑体" w:cs="宋体"/>
          <w:b/>
          <w:bCs/>
          <w:color w:val="0D0D0D"/>
          <w:sz w:val="32"/>
          <w:szCs w:val="32"/>
        </w:rPr>
      </w:pPr>
      <w:r>
        <w:rPr>
          <w:rFonts w:hint="eastAsia" w:ascii="黑体" w:hAnsi="黑体" w:eastAsia="黑体" w:cs="宋体"/>
          <w:b/>
          <w:bCs/>
          <w:color w:val="0D0D0D"/>
          <w:sz w:val="32"/>
          <w:szCs w:val="32"/>
          <w:lang w:val="en-US" w:eastAsia="zh-CN"/>
        </w:rPr>
        <w:t xml:space="preserve">  </w:t>
      </w:r>
      <w:r>
        <w:rPr>
          <w:rFonts w:hint="eastAsia" w:ascii="黑体" w:hAnsi="黑体" w:eastAsia="黑体" w:cs="宋体"/>
          <w:b/>
          <w:bCs/>
          <w:color w:val="0D0D0D"/>
          <w:sz w:val="32"/>
          <w:szCs w:val="32"/>
        </w:rPr>
        <w:t>公开招标采购公告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rPr>
      </w:pPr>
      <w:r>
        <w:rPr>
          <w:rFonts w:hint="eastAsia" w:ascii="仿宋" w:hAnsi="仿宋" w:eastAsia="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rPr>
      </w:pPr>
      <w:r>
        <w:rPr>
          <w:rFonts w:hint="eastAsia" w:ascii="仿宋" w:hAnsi="仿宋" w:eastAsia="仿宋"/>
          <w:sz w:val="24"/>
          <w:u w:val="single"/>
        </w:rPr>
        <w:t>根据《中华人民共和国政府采购法》、《政府采购货物和服务招标投标管理办法》</w:t>
      </w:r>
      <w:r>
        <w:rPr>
          <w:rFonts w:hint="eastAsia" w:ascii="仿宋" w:hAnsi="仿宋" w:eastAsia="仿宋"/>
          <w:sz w:val="24"/>
          <w:u w:val="single"/>
          <w:lang w:eastAsia="zh-CN"/>
        </w:rPr>
        <w:t>、</w:t>
      </w:r>
      <w:r>
        <w:rPr>
          <w:rFonts w:hint="eastAsia" w:ascii="仿宋" w:hAnsi="仿宋" w:eastAsia="仿宋"/>
          <w:sz w:val="24"/>
          <w:u w:val="single"/>
        </w:rPr>
        <w:t>《浙江省财政厅关于印发浙江省政府采购项目电子交易管理暂行办法的通知》等规定，经</w:t>
      </w:r>
      <w:r>
        <w:rPr>
          <w:rFonts w:hint="eastAsia" w:ascii="仿宋" w:hAnsi="仿宋" w:eastAsia="仿宋"/>
          <w:b/>
          <w:bCs/>
          <w:sz w:val="24"/>
          <w:u w:val="single"/>
        </w:rPr>
        <w:t>东阳市财政局临[202</w:t>
      </w:r>
      <w:r>
        <w:rPr>
          <w:rFonts w:hint="eastAsia" w:ascii="仿宋" w:hAnsi="仿宋" w:eastAsia="仿宋"/>
          <w:b/>
          <w:bCs/>
          <w:sz w:val="24"/>
          <w:u w:val="single"/>
          <w:lang w:val="en-US" w:eastAsia="zh-CN"/>
        </w:rPr>
        <w:t>2</w:t>
      </w:r>
      <w:r>
        <w:rPr>
          <w:rFonts w:hint="eastAsia" w:ascii="仿宋" w:hAnsi="仿宋" w:eastAsia="仿宋"/>
          <w:b/>
          <w:bCs/>
          <w:sz w:val="24"/>
          <w:u w:val="single"/>
        </w:rPr>
        <w:t>]</w:t>
      </w:r>
      <w:r>
        <w:rPr>
          <w:rFonts w:hint="eastAsia" w:ascii="仿宋" w:hAnsi="仿宋" w:eastAsia="仿宋"/>
          <w:b/>
          <w:bCs/>
          <w:sz w:val="24"/>
          <w:u w:val="single"/>
          <w:lang w:val="en-US" w:eastAsia="zh-CN"/>
        </w:rPr>
        <w:t>1256</w:t>
      </w:r>
      <w:r>
        <w:rPr>
          <w:rFonts w:hint="eastAsia" w:ascii="仿宋" w:hAnsi="仿宋" w:eastAsia="仿宋"/>
          <w:b/>
          <w:bCs/>
          <w:sz w:val="24"/>
          <w:u w:val="single"/>
        </w:rPr>
        <w:t>号</w:t>
      </w:r>
      <w:r>
        <w:rPr>
          <w:rFonts w:hint="eastAsia" w:ascii="仿宋" w:hAnsi="仿宋" w:eastAsia="仿宋"/>
          <w:b/>
          <w:bCs/>
          <w:sz w:val="24"/>
          <w:u w:val="single"/>
          <w:lang w:eastAsia="zh-CN"/>
        </w:rPr>
        <w:t>政府采购计划书</w:t>
      </w:r>
      <w:r>
        <w:rPr>
          <w:rFonts w:hint="eastAsia" w:ascii="仿宋" w:hAnsi="仿宋" w:eastAsia="仿宋"/>
          <w:sz w:val="24"/>
          <w:u w:val="single"/>
        </w:rPr>
        <w:t>批准。现就</w:t>
      </w:r>
      <w:r>
        <w:rPr>
          <w:rFonts w:hint="eastAsia" w:ascii="仿宋" w:hAnsi="仿宋" w:eastAsia="仿宋"/>
          <w:b/>
          <w:sz w:val="24"/>
          <w:u w:val="single"/>
          <w:lang w:eastAsia="zh-CN"/>
        </w:rPr>
        <w:t>江北街道智慧垃圾分类系统建设及运营服务（三期）</w:t>
      </w:r>
      <w:r>
        <w:rPr>
          <w:rFonts w:hint="eastAsia" w:ascii="仿宋" w:hAnsi="仿宋" w:eastAsia="仿宋"/>
          <w:b/>
          <w:sz w:val="24"/>
          <w:u w:val="single"/>
        </w:rPr>
        <w:t>项目</w:t>
      </w:r>
      <w:r>
        <w:rPr>
          <w:rFonts w:hint="eastAsia" w:ascii="仿宋" w:hAnsi="仿宋" w:eastAsia="仿宋"/>
          <w:sz w:val="24"/>
          <w:u w:val="single"/>
        </w:rPr>
        <w:t>进行公开招标采购。（</w:t>
      </w:r>
      <w:r>
        <w:rPr>
          <w:rFonts w:hint="eastAsia" w:ascii="仿宋" w:hAnsi="仿宋" w:eastAsia="仿宋"/>
          <w:b/>
          <w:sz w:val="24"/>
          <w:u w:val="single"/>
          <w:lang w:eastAsia="zh-CN"/>
        </w:rPr>
        <w:t>江北街道智慧垃圾分类系统建设及运营服务（三期）</w:t>
      </w:r>
      <w:r>
        <w:rPr>
          <w:rFonts w:hint="eastAsia" w:ascii="仿宋" w:hAnsi="仿宋" w:eastAsia="仿宋"/>
          <w:b/>
          <w:sz w:val="24"/>
          <w:u w:val="single"/>
        </w:rPr>
        <w:t>项目</w:t>
      </w:r>
      <w:r>
        <w:rPr>
          <w:rFonts w:ascii="仿宋" w:hAnsi="仿宋" w:eastAsia="仿宋"/>
          <w:sz w:val="24"/>
          <w:u w:val="single"/>
        </w:rPr>
        <w:t>)</w:t>
      </w:r>
      <w:r>
        <w:rPr>
          <w:rFonts w:hint="eastAsia" w:ascii="仿宋" w:hAnsi="仿宋" w:eastAsia="仿宋"/>
          <w:sz w:val="24"/>
        </w:rPr>
        <w:t xml:space="preserve"> 招标项目的潜在投标人应在</w:t>
      </w:r>
      <w:r>
        <w:rPr>
          <w:rFonts w:hint="eastAsia" w:ascii="仿宋" w:hAnsi="仿宋" w:eastAsia="仿宋"/>
          <w:sz w:val="24"/>
          <w:u w:val="single"/>
        </w:rPr>
        <w:t xml:space="preserve">（网址： </w:t>
      </w:r>
      <w:r>
        <w:rPr>
          <w:rFonts w:hint="eastAsia" w:ascii="仿宋" w:hAnsi="仿宋" w:eastAsia="仿宋" w:cs="Times New Roman"/>
          <w:b/>
          <w:sz w:val="24"/>
          <w:u w:val="single"/>
        </w:rPr>
        <w:t>浙江政府采购网(www.zjzfcg.gov.cn/)</w:t>
      </w:r>
      <w:r>
        <w:rPr>
          <w:rFonts w:hint="eastAsia" w:ascii="仿宋" w:hAnsi="仿宋" w:eastAsia="仿宋" w:cs="Times New Roman"/>
          <w:b/>
          <w:sz w:val="24"/>
          <w:u w:val="single"/>
          <w:lang w:eastAsia="zh-CN"/>
        </w:rPr>
        <w:t>、</w:t>
      </w:r>
      <w:r>
        <w:rPr>
          <w:rFonts w:hint="eastAsia" w:ascii="仿宋" w:hAnsi="仿宋" w:eastAsia="仿宋" w:cs="Times New Roman"/>
          <w:b/>
          <w:sz w:val="24"/>
          <w:u w:val="single"/>
        </w:rPr>
        <w:t>东阳市公共资源交易网(http://ggzyjy.dongyang.gov.cn/)</w:t>
      </w:r>
      <w:r>
        <w:rPr>
          <w:rFonts w:hint="eastAsia" w:ascii="仿宋" w:hAnsi="仿宋" w:eastAsia="仿宋"/>
          <w:sz w:val="24"/>
          <w:u w:val="single"/>
        </w:rPr>
        <w:t>）</w:t>
      </w:r>
      <w:r>
        <w:rPr>
          <w:rFonts w:hint="eastAsia" w:ascii="仿宋" w:hAnsi="仿宋" w:eastAsia="仿宋"/>
          <w:sz w:val="24"/>
        </w:rPr>
        <w:t>获取招标文件，并于</w:t>
      </w:r>
      <w:r>
        <w:rPr>
          <w:rFonts w:hint="eastAsia" w:ascii="仿宋" w:hAnsi="仿宋" w:eastAsia="仿宋"/>
          <w:sz w:val="24"/>
          <w:u w:val="single"/>
        </w:rPr>
        <w:t>202</w:t>
      </w:r>
      <w:r>
        <w:rPr>
          <w:rFonts w:hint="eastAsia" w:ascii="仿宋" w:hAnsi="仿宋" w:eastAsia="仿宋"/>
          <w:sz w:val="24"/>
          <w:u w:val="single"/>
          <w:lang w:val="en-US" w:eastAsia="zh-CN"/>
        </w:rPr>
        <w:t>2</w:t>
      </w:r>
      <w:r>
        <w:rPr>
          <w:rFonts w:hint="eastAsia" w:ascii="仿宋" w:hAnsi="仿宋" w:eastAsia="仿宋"/>
          <w:bCs/>
          <w:sz w:val="24"/>
          <w:u w:val="single"/>
        </w:rPr>
        <w:t>年</w:t>
      </w:r>
      <w:r>
        <w:rPr>
          <w:rFonts w:hint="eastAsia" w:ascii="仿宋" w:hAnsi="仿宋" w:eastAsia="仿宋"/>
          <w:bCs/>
          <w:sz w:val="24"/>
          <w:u w:val="single"/>
          <w:lang w:val="en-US" w:eastAsia="zh-CN"/>
        </w:rPr>
        <w:t>8</w:t>
      </w:r>
      <w:r>
        <w:rPr>
          <w:rFonts w:hint="eastAsia" w:ascii="仿宋" w:hAnsi="仿宋" w:eastAsia="仿宋"/>
          <w:bCs/>
          <w:sz w:val="24"/>
          <w:u w:val="single"/>
        </w:rPr>
        <w:t>月</w:t>
      </w:r>
      <w:r>
        <w:rPr>
          <w:rFonts w:hint="eastAsia" w:ascii="仿宋" w:hAnsi="仿宋" w:eastAsia="仿宋"/>
          <w:bCs/>
          <w:sz w:val="24"/>
          <w:u w:val="single"/>
          <w:lang w:val="en-US" w:eastAsia="zh-CN"/>
        </w:rPr>
        <w:t>25</w:t>
      </w:r>
      <w:r>
        <w:rPr>
          <w:rFonts w:hint="eastAsia" w:ascii="仿宋" w:hAnsi="仿宋" w:eastAsia="仿宋"/>
          <w:bCs/>
          <w:sz w:val="24"/>
          <w:u w:val="single"/>
        </w:rPr>
        <w:t>日</w:t>
      </w:r>
      <w:r>
        <w:rPr>
          <w:rFonts w:hint="eastAsia" w:ascii="仿宋" w:hAnsi="仿宋" w:eastAsia="仿宋"/>
          <w:bCs/>
          <w:sz w:val="24"/>
          <w:u w:val="single"/>
          <w:lang w:val="en-US" w:eastAsia="zh-CN"/>
        </w:rPr>
        <w:t>13</w:t>
      </w:r>
      <w:r>
        <w:rPr>
          <w:rFonts w:hint="eastAsia" w:ascii="仿宋" w:hAnsi="仿宋" w:eastAsia="仿宋"/>
          <w:bCs/>
          <w:sz w:val="24"/>
          <w:u w:val="single"/>
        </w:rPr>
        <w:t>点</w:t>
      </w:r>
      <w:r>
        <w:rPr>
          <w:rFonts w:hint="default" w:ascii="仿宋" w:hAnsi="仿宋" w:eastAsia="仿宋"/>
          <w:bCs/>
          <w:sz w:val="24"/>
          <w:u w:val="single"/>
          <w:lang w:val="en-US"/>
        </w:rPr>
        <w:t>3</w:t>
      </w:r>
      <w:r>
        <w:rPr>
          <w:rFonts w:hint="eastAsia" w:ascii="仿宋" w:hAnsi="仿宋" w:eastAsia="仿宋"/>
          <w:bCs/>
          <w:sz w:val="24"/>
          <w:u w:val="single"/>
        </w:rPr>
        <w:t>0分</w:t>
      </w:r>
      <w:r>
        <w:rPr>
          <w:rFonts w:hint="eastAsia" w:ascii="仿宋" w:hAnsi="仿宋" w:eastAsia="仿宋"/>
          <w:bCs/>
          <w:sz w:val="24"/>
        </w:rPr>
        <w:t>（北京时间）前递交投标</w:t>
      </w:r>
      <w:r>
        <w:rPr>
          <w:rFonts w:ascii="仿宋" w:hAnsi="仿宋" w:eastAsia="仿宋"/>
          <w:bCs/>
          <w:sz w:val="24"/>
        </w:rPr>
        <w:t>文件</w:t>
      </w:r>
      <w:r>
        <w:rPr>
          <w:rFonts w:hint="eastAsia" w:ascii="仿宋" w:hAnsi="仿宋" w:eastAsia="仿宋"/>
          <w:sz w:val="24"/>
        </w:rPr>
        <w:t>。</w:t>
      </w:r>
    </w:p>
    <w:p>
      <w:pPr>
        <w:numPr>
          <w:ilvl w:val="0"/>
          <w:numId w:val="0"/>
        </w:numPr>
      </w:pPr>
    </w:p>
    <w:p>
      <w:pPr>
        <w:pStyle w:val="243"/>
        <w:keepNext w:val="0"/>
        <w:keepLines w:val="0"/>
        <w:pageBreakBefore w:val="0"/>
        <w:kinsoku/>
        <w:overflowPunct/>
        <w:topLinePunct w:val="0"/>
        <w:autoSpaceDE/>
        <w:autoSpaceDN/>
        <w:bidi w:val="0"/>
        <w:adjustRightInd/>
        <w:snapToGrid/>
        <w:spacing w:afterLines="0" w:line="360" w:lineRule="auto"/>
        <w:ind w:left="0" w:leftChars="0" w:firstLine="0" w:firstLineChars="0"/>
        <w:textAlignment w:val="auto"/>
        <w:rPr>
          <w:rFonts w:hint="eastAsia" w:ascii="宋体" w:hAnsi="宋体" w:eastAsia="宋体" w:cs="宋体"/>
          <w:b/>
          <w:bCs/>
          <w:sz w:val="24"/>
          <w:szCs w:val="24"/>
          <w:u w:val="none"/>
          <w:lang w:eastAsia="zh-CN"/>
        </w:rPr>
      </w:pPr>
      <w:r>
        <w:rPr>
          <w:rFonts w:hint="eastAsia" w:ascii="宋体" w:hAnsi="宋体" w:eastAsia="宋体" w:cs="宋体"/>
          <w:b/>
          <w:bCs/>
          <w:sz w:val="24"/>
          <w:szCs w:val="24"/>
          <w:u w:val="none"/>
          <w:lang w:eastAsia="zh-CN"/>
        </w:rPr>
        <w:t>一、项目基本情况</w:t>
      </w:r>
    </w:p>
    <w:p>
      <w:pPr>
        <w:keepNext w:val="0"/>
        <w:keepLines w:val="0"/>
        <w:pageBreakBefore w:val="0"/>
        <w:kinsoku/>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eastAsia="宋体" w:cs="宋体"/>
          <w:b w:val="0"/>
          <w:bCs w:val="0"/>
          <w:sz w:val="24"/>
          <w:szCs w:val="24"/>
          <w:u w:val="none"/>
          <w:lang w:eastAsia="zh-CN"/>
        </w:rPr>
      </w:pPr>
      <w:r>
        <w:rPr>
          <w:rFonts w:hint="eastAsia" w:ascii="宋体" w:hAnsi="宋体" w:eastAsia="宋体" w:cs="宋体"/>
          <w:b/>
          <w:bCs/>
          <w:kern w:val="0"/>
          <w:sz w:val="24"/>
          <w:szCs w:val="24"/>
          <w:u w:val="none"/>
          <w:lang w:val="en-US" w:eastAsia="zh-CN" w:bidi="ar-SA"/>
        </w:rPr>
        <w:t>项目编号：</w:t>
      </w:r>
      <w:r>
        <w:rPr>
          <w:rFonts w:hint="eastAsia" w:ascii="宋体" w:hAnsi="宋体" w:cs="宋体"/>
          <w:bCs/>
          <w:color w:val="0D0D0D"/>
          <w:sz w:val="24"/>
          <w:szCs w:val="24"/>
          <w:lang w:eastAsia="zh-CN"/>
        </w:rPr>
        <w:t>JCZFCG2022-Z29-A264</w:t>
      </w:r>
    </w:p>
    <w:p>
      <w:pPr>
        <w:pStyle w:val="243"/>
        <w:keepNext w:val="0"/>
        <w:keepLines w:val="0"/>
        <w:pageBreakBefore w:val="0"/>
        <w:kinsoku/>
        <w:overflowPunct/>
        <w:topLinePunct w:val="0"/>
        <w:autoSpaceDE/>
        <w:autoSpaceDN/>
        <w:bidi w:val="0"/>
        <w:adjustRightInd/>
        <w:snapToGrid/>
        <w:spacing w:afterLines="0" w:line="360" w:lineRule="auto"/>
        <w:ind w:left="0" w:leftChars="0"/>
        <w:textAlignment w:val="auto"/>
        <w:rPr>
          <w:rFonts w:hint="eastAsia" w:ascii="宋体" w:hAnsi="宋体" w:eastAsia="宋体" w:cs="宋体"/>
          <w:b w:val="0"/>
          <w:bCs w:val="0"/>
          <w:sz w:val="24"/>
          <w:szCs w:val="24"/>
          <w:u w:val="none"/>
          <w:lang w:eastAsia="zh-CN"/>
        </w:rPr>
      </w:pPr>
      <w:r>
        <w:rPr>
          <w:rFonts w:hint="eastAsia" w:ascii="宋体" w:hAnsi="宋体" w:eastAsia="宋体" w:cs="宋体"/>
          <w:b/>
          <w:bCs/>
          <w:sz w:val="24"/>
          <w:szCs w:val="24"/>
          <w:u w:val="none"/>
          <w:lang w:eastAsia="zh-CN"/>
        </w:rPr>
        <w:t>项目名称</w:t>
      </w:r>
      <w:r>
        <w:rPr>
          <w:rFonts w:hint="eastAsia" w:ascii="宋体" w:hAnsi="宋体" w:eastAsia="宋体" w:cs="宋体"/>
          <w:b w:val="0"/>
          <w:bCs w:val="0"/>
          <w:sz w:val="24"/>
          <w:szCs w:val="24"/>
          <w:u w:val="none"/>
          <w:lang w:eastAsia="zh-CN"/>
        </w:rPr>
        <w:t>：</w:t>
      </w:r>
      <w:r>
        <w:rPr>
          <w:rFonts w:hint="eastAsia" w:ascii="宋体" w:hAnsi="宋体" w:cs="宋体"/>
          <w:bCs/>
          <w:color w:val="0D0D0D"/>
          <w:kern w:val="2"/>
          <w:sz w:val="24"/>
          <w:szCs w:val="24"/>
          <w:lang w:val="en-US" w:eastAsia="zh-CN" w:bidi="ar-SA"/>
        </w:rPr>
        <w:t>江北街道智慧垃圾分类系统建设及运营服务（三期）</w:t>
      </w:r>
    </w:p>
    <w:p>
      <w:pPr>
        <w:pStyle w:val="243"/>
        <w:keepNext w:val="0"/>
        <w:keepLines w:val="0"/>
        <w:pageBreakBefore w:val="0"/>
        <w:kinsoku/>
        <w:overflowPunct/>
        <w:topLinePunct w:val="0"/>
        <w:autoSpaceDE/>
        <w:autoSpaceDN/>
        <w:bidi w:val="0"/>
        <w:adjustRightInd/>
        <w:snapToGrid/>
        <w:spacing w:afterLines="0" w:line="360" w:lineRule="auto"/>
        <w:ind w:left="0" w:lef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bCs/>
          <w:sz w:val="24"/>
          <w:szCs w:val="24"/>
          <w:u w:val="none"/>
          <w:lang w:eastAsia="zh-CN"/>
        </w:rPr>
        <w:t>预算金额</w:t>
      </w:r>
      <w:r>
        <w:rPr>
          <w:rFonts w:hint="eastAsia" w:ascii="宋体" w:hAnsi="宋体" w:eastAsia="宋体" w:cs="宋体"/>
          <w:b w:val="0"/>
          <w:bCs w:val="0"/>
          <w:sz w:val="24"/>
          <w:szCs w:val="24"/>
          <w:u w:val="none"/>
          <w:lang w:eastAsia="zh-CN"/>
        </w:rPr>
        <w:t>：</w:t>
      </w:r>
      <w:r>
        <w:rPr>
          <w:rFonts w:hint="eastAsia" w:ascii="宋体" w:hAnsi="宋体" w:cs="宋体"/>
          <w:b w:val="0"/>
          <w:bCs w:val="0"/>
          <w:color w:val="auto"/>
          <w:sz w:val="24"/>
          <w:szCs w:val="24"/>
          <w:u w:val="none"/>
          <w:lang w:val="en-US" w:eastAsia="zh-CN"/>
        </w:rPr>
        <w:t>500</w:t>
      </w:r>
      <w:r>
        <w:rPr>
          <w:rFonts w:hint="eastAsia" w:ascii="宋体" w:hAnsi="宋体" w:eastAsia="宋体" w:cs="宋体"/>
          <w:b w:val="0"/>
          <w:bCs w:val="0"/>
          <w:sz w:val="24"/>
          <w:szCs w:val="24"/>
          <w:u w:val="none"/>
          <w:lang w:val="en-US" w:eastAsia="zh-CN"/>
        </w:rPr>
        <w:t>万元；</w:t>
      </w:r>
    </w:p>
    <w:p>
      <w:pPr>
        <w:pStyle w:val="243"/>
        <w:keepNext w:val="0"/>
        <w:keepLines w:val="0"/>
        <w:pageBreakBefore w:val="0"/>
        <w:kinsoku/>
        <w:overflowPunct/>
        <w:topLinePunct w:val="0"/>
        <w:autoSpaceDE/>
        <w:autoSpaceDN/>
        <w:bidi w:val="0"/>
        <w:adjustRightInd/>
        <w:snapToGrid/>
        <w:spacing w:afterLines="0" w:line="360" w:lineRule="auto"/>
        <w:ind w:left="0" w:leftChars="0" w:firstLine="482"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bCs/>
          <w:sz w:val="24"/>
          <w:szCs w:val="24"/>
          <w:u w:val="none"/>
          <w:lang w:eastAsia="zh-CN"/>
        </w:rPr>
        <w:t>最高限价</w:t>
      </w:r>
      <w:r>
        <w:rPr>
          <w:rFonts w:hint="eastAsia" w:ascii="宋体" w:hAnsi="宋体" w:eastAsia="宋体" w:cs="宋体"/>
          <w:b w:val="0"/>
          <w:bCs w:val="0"/>
          <w:sz w:val="24"/>
          <w:szCs w:val="24"/>
          <w:u w:val="none"/>
          <w:lang w:eastAsia="zh-CN"/>
        </w:rPr>
        <w:t>：</w:t>
      </w:r>
      <w:r>
        <w:rPr>
          <w:rFonts w:hint="eastAsia" w:ascii="宋体" w:hAnsi="宋体" w:cs="宋体"/>
          <w:b w:val="0"/>
          <w:bCs w:val="0"/>
          <w:color w:val="auto"/>
          <w:sz w:val="24"/>
          <w:szCs w:val="24"/>
          <w:u w:val="none"/>
          <w:lang w:val="en-US" w:eastAsia="zh-CN"/>
        </w:rPr>
        <w:t>500</w:t>
      </w:r>
      <w:r>
        <w:rPr>
          <w:rFonts w:hint="eastAsia" w:ascii="宋体" w:hAnsi="宋体" w:eastAsia="宋体" w:cs="宋体"/>
          <w:b w:val="0"/>
          <w:bCs w:val="0"/>
          <w:sz w:val="24"/>
          <w:szCs w:val="24"/>
          <w:u w:val="none"/>
          <w:lang w:val="en-US" w:eastAsia="zh-CN"/>
        </w:rPr>
        <w:t>万元；</w:t>
      </w:r>
    </w:p>
    <w:p>
      <w:pPr>
        <w:pStyle w:val="243"/>
        <w:keepNext w:val="0"/>
        <w:keepLines w:val="0"/>
        <w:pageBreakBefore w:val="0"/>
        <w:kinsoku/>
        <w:overflowPunct/>
        <w:topLinePunct w:val="0"/>
        <w:autoSpaceDE/>
        <w:autoSpaceDN/>
        <w:bidi w:val="0"/>
        <w:adjustRightInd/>
        <w:snapToGrid/>
        <w:spacing w:afterLines="0" w:line="360" w:lineRule="auto"/>
        <w:ind w:left="0" w:leftChars="0"/>
        <w:textAlignment w:val="auto"/>
        <w:rPr>
          <w:rFonts w:hint="eastAsia" w:ascii="宋体" w:hAnsi="宋体" w:eastAsia="宋体" w:cs="宋体"/>
          <w:b/>
          <w:bCs/>
          <w:sz w:val="24"/>
          <w:szCs w:val="24"/>
          <w:u w:val="none"/>
          <w:lang w:eastAsia="zh-CN"/>
        </w:rPr>
      </w:pPr>
      <w:r>
        <w:rPr>
          <w:rFonts w:hint="eastAsia" w:ascii="宋体" w:hAnsi="宋体" w:eastAsia="宋体" w:cs="宋体"/>
          <w:b/>
          <w:bCs/>
          <w:sz w:val="24"/>
          <w:szCs w:val="24"/>
          <w:u w:val="none"/>
          <w:lang w:eastAsia="zh-CN"/>
        </w:rPr>
        <w:t>采购需求：</w:t>
      </w:r>
    </w:p>
    <w:p>
      <w:pPr>
        <w:pStyle w:val="243"/>
        <w:keepNext w:val="0"/>
        <w:keepLines w:val="0"/>
        <w:pageBreakBefore w:val="0"/>
        <w:kinsoku/>
        <w:overflowPunct/>
        <w:topLinePunct w:val="0"/>
        <w:autoSpaceDE/>
        <w:autoSpaceDN/>
        <w:bidi w:val="0"/>
        <w:adjustRightInd/>
        <w:snapToGrid/>
        <w:spacing w:afterLines="0" w:line="360" w:lineRule="auto"/>
        <w:ind w:left="0" w:leftChars="0"/>
        <w:textAlignment w:val="auto"/>
        <w:rPr>
          <w:rFonts w:hint="eastAsia" w:ascii="宋体" w:hAnsi="宋体" w:eastAsia="宋体" w:cs="宋体"/>
          <w:b w:val="0"/>
          <w:bCs w:val="0"/>
          <w:sz w:val="24"/>
          <w:szCs w:val="24"/>
          <w:u w:val="none"/>
          <w:lang w:eastAsia="zh-CN"/>
        </w:rPr>
      </w:pPr>
      <w:r>
        <w:rPr>
          <w:rFonts w:hint="eastAsia" w:ascii="宋体" w:hAnsi="宋体" w:eastAsia="宋体" w:cs="宋体"/>
          <w:b w:val="0"/>
          <w:bCs w:val="0"/>
          <w:sz w:val="24"/>
          <w:szCs w:val="24"/>
          <w:u w:val="none"/>
          <w:lang w:eastAsia="zh-CN"/>
        </w:rPr>
        <w:t>标项一：</w:t>
      </w:r>
    </w:p>
    <w:p>
      <w:pPr>
        <w:pStyle w:val="243"/>
        <w:keepNext w:val="0"/>
        <w:keepLines w:val="0"/>
        <w:pageBreakBefore w:val="0"/>
        <w:kinsoku/>
        <w:overflowPunct/>
        <w:topLinePunct w:val="0"/>
        <w:autoSpaceDE/>
        <w:autoSpaceDN/>
        <w:bidi w:val="0"/>
        <w:adjustRightInd/>
        <w:snapToGrid/>
        <w:spacing w:afterLines="0" w:line="360" w:lineRule="auto"/>
        <w:ind w:left="0" w:leftChars="0"/>
        <w:textAlignment w:val="auto"/>
        <w:rPr>
          <w:rFonts w:hint="eastAsia" w:ascii="宋体" w:hAnsi="宋体" w:eastAsia="宋体" w:cs="宋体"/>
          <w:b w:val="0"/>
          <w:bCs w:val="0"/>
          <w:sz w:val="24"/>
          <w:szCs w:val="24"/>
          <w:u w:val="none"/>
          <w:lang w:eastAsia="zh-CN"/>
        </w:rPr>
      </w:pPr>
      <w:r>
        <w:rPr>
          <w:rFonts w:hint="eastAsia" w:ascii="宋体" w:hAnsi="宋体" w:eastAsia="宋体" w:cs="宋体"/>
          <w:b w:val="0"/>
          <w:bCs w:val="0"/>
          <w:sz w:val="24"/>
          <w:szCs w:val="24"/>
          <w:u w:val="none"/>
          <w:lang w:eastAsia="zh-CN"/>
        </w:rPr>
        <w:t>标项名称：</w:t>
      </w:r>
      <w:r>
        <w:rPr>
          <w:rFonts w:hint="eastAsia" w:ascii="宋体" w:hAnsi="宋体" w:cs="宋体"/>
          <w:bCs/>
          <w:color w:val="0D0D0D"/>
          <w:kern w:val="2"/>
          <w:sz w:val="24"/>
          <w:szCs w:val="24"/>
          <w:lang w:val="en-US" w:eastAsia="zh-CN" w:bidi="ar-SA"/>
        </w:rPr>
        <w:t>江北街道智慧垃圾分类系统建设及运营服务（三期）</w:t>
      </w:r>
    </w:p>
    <w:p>
      <w:pPr>
        <w:pStyle w:val="243"/>
        <w:keepNext w:val="0"/>
        <w:keepLines w:val="0"/>
        <w:pageBreakBefore w:val="0"/>
        <w:kinsoku/>
        <w:overflowPunct/>
        <w:topLinePunct w:val="0"/>
        <w:autoSpaceDE/>
        <w:autoSpaceDN/>
        <w:bidi w:val="0"/>
        <w:adjustRightInd/>
        <w:snapToGrid/>
        <w:spacing w:afterLines="0" w:line="360" w:lineRule="auto"/>
        <w:ind w:left="0" w:leftChars="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eastAsia="zh-CN"/>
        </w:rPr>
        <w:t>数量：</w:t>
      </w:r>
      <w:r>
        <w:rPr>
          <w:rFonts w:hint="eastAsia" w:ascii="宋体" w:hAnsi="宋体" w:eastAsia="宋体" w:cs="宋体"/>
          <w:b w:val="0"/>
          <w:bCs w:val="0"/>
          <w:sz w:val="24"/>
          <w:szCs w:val="24"/>
          <w:u w:val="none"/>
          <w:lang w:val="en-US" w:eastAsia="zh-CN"/>
        </w:rPr>
        <w:t>1项</w:t>
      </w:r>
    </w:p>
    <w:p>
      <w:pPr>
        <w:pStyle w:val="27"/>
        <w:keepNext w:val="0"/>
        <w:keepLines w:val="0"/>
        <w:pageBreakBefore w:val="0"/>
        <w:kinsoku/>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sz w:val="24"/>
          <w:szCs w:val="24"/>
          <w:lang w:val="en-US" w:eastAsia="zh-CN"/>
        </w:rPr>
        <w:t xml:space="preserve">    预算金额：</w:t>
      </w:r>
      <w:r>
        <w:rPr>
          <w:rFonts w:hint="eastAsia" w:ascii="宋体" w:hAnsi="宋体" w:cs="宋体"/>
          <w:b w:val="0"/>
          <w:bCs w:val="0"/>
          <w:color w:val="auto"/>
          <w:sz w:val="24"/>
          <w:szCs w:val="24"/>
          <w:u w:val="none"/>
          <w:lang w:val="en-US" w:eastAsia="zh-CN"/>
        </w:rPr>
        <w:t>500</w:t>
      </w:r>
      <w:r>
        <w:rPr>
          <w:rFonts w:hint="eastAsia" w:ascii="宋体" w:hAnsi="宋体" w:eastAsia="宋体" w:cs="宋体"/>
          <w:b w:val="0"/>
          <w:bCs w:val="0"/>
          <w:color w:val="000000"/>
          <w:sz w:val="24"/>
          <w:szCs w:val="24"/>
          <w:lang w:val="en-US" w:eastAsia="zh-CN"/>
        </w:rPr>
        <w:t>万元</w:t>
      </w:r>
    </w:p>
    <w:p>
      <w:pPr>
        <w:keepNext w:val="0"/>
        <w:keepLines w:val="0"/>
        <w:pageBreakBefore w:val="0"/>
        <w:kinsoku/>
        <w:overflowPunct/>
        <w:topLinePunct w:val="0"/>
        <w:autoSpaceDE/>
        <w:autoSpaceDN/>
        <w:bidi w:val="0"/>
        <w:adjustRightInd/>
        <w:snapToGrid/>
        <w:spacing w:line="360" w:lineRule="auto"/>
        <w:ind w:left="479" w:leftChars="228" w:firstLine="0" w:firstLineChars="0"/>
        <w:jc w:val="left"/>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auto"/>
          <w:sz w:val="24"/>
          <w:szCs w:val="24"/>
          <w:highlight w:val="none"/>
        </w:rPr>
        <w:t>简要规格描述或项目基本概况介绍、用途：具体要求详见第二章招标需求</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br w:type="textWrapping"/>
      </w:r>
      <w:r>
        <w:rPr>
          <w:rFonts w:hint="eastAsia" w:ascii="宋体" w:hAnsi="宋体" w:eastAsia="宋体" w:cs="宋体"/>
          <w:b w:val="0"/>
          <w:bCs w:val="0"/>
          <w:color w:val="auto"/>
          <w:sz w:val="24"/>
          <w:szCs w:val="24"/>
          <w:highlight w:val="none"/>
          <w:lang w:eastAsia="zh-CN"/>
        </w:rPr>
        <w:t>备注：</w:t>
      </w:r>
    </w:p>
    <w:p>
      <w:pPr>
        <w:keepNext w:val="0"/>
        <w:keepLines w:val="0"/>
        <w:pageBreakBefore w:val="0"/>
        <w:tabs>
          <w:tab w:val="left" w:pos="901"/>
        </w:tabs>
        <w:kinsoku/>
        <w:overflowPunct/>
        <w:topLinePunct w:val="0"/>
        <w:autoSpaceDE/>
        <w:autoSpaceDN/>
        <w:bidi w:val="0"/>
        <w:adjustRightInd/>
        <w:snapToGrid/>
        <w:spacing w:line="360" w:lineRule="auto"/>
        <w:ind w:left="0" w:leftChars="0" w:firstLine="465"/>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color w:val="000000"/>
          <w:sz w:val="24"/>
          <w:szCs w:val="24"/>
          <w:lang w:eastAsia="zh-CN"/>
        </w:rPr>
        <w:t>合同履约期限：</w:t>
      </w:r>
      <w:r>
        <w:rPr>
          <w:rFonts w:hint="eastAsia" w:ascii="宋体" w:hAnsi="宋体" w:eastAsia="宋体" w:cs="宋体"/>
          <w:color w:val="auto"/>
          <w:sz w:val="24"/>
          <w:szCs w:val="24"/>
        </w:rPr>
        <w:t>接到采购人的安装指</w:t>
      </w:r>
      <w:r>
        <w:rPr>
          <w:rFonts w:hint="eastAsia" w:ascii="宋体" w:hAnsi="宋体" w:eastAsia="宋体" w:cs="宋体"/>
          <w:color w:val="000000" w:themeColor="text1"/>
          <w:sz w:val="24"/>
          <w:szCs w:val="24"/>
          <w14:textFill>
            <w14:solidFill>
              <w14:schemeClr w14:val="tx1"/>
            </w14:solidFill>
          </w14:textFill>
        </w:rPr>
        <w:t>令后，</w:t>
      </w:r>
      <w:r>
        <w:rPr>
          <w:rFonts w:hint="eastAsia" w:ascii="宋体" w:hAnsi="宋体" w:cs="宋体"/>
          <w:color w:val="000000" w:themeColor="text1"/>
          <w:sz w:val="24"/>
          <w:szCs w:val="24"/>
          <w:u w:val="single"/>
          <w:lang w:val="en-US" w:eastAsia="zh-CN"/>
          <w14:textFill>
            <w14:solidFill>
              <w14:schemeClr w14:val="tx1"/>
            </w14:solidFill>
          </w14:textFill>
        </w:rPr>
        <w:t>6</w:t>
      </w:r>
      <w:r>
        <w:rPr>
          <w:rFonts w:hint="eastAsia" w:ascii="宋体" w:hAnsi="宋体" w:eastAsia="宋体" w:cs="宋体"/>
          <w:color w:val="000000" w:themeColor="text1"/>
          <w:sz w:val="24"/>
          <w:szCs w:val="24"/>
          <w:u w:val="single"/>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天内安装</w:t>
      </w:r>
      <w:r>
        <w:rPr>
          <w:rFonts w:hint="eastAsia" w:ascii="宋体" w:hAnsi="宋体" w:eastAsia="宋体" w:cs="宋体"/>
          <w:color w:val="auto"/>
          <w:sz w:val="24"/>
          <w:szCs w:val="24"/>
        </w:rPr>
        <w:t>调试完毕；服务期为</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年。</w:t>
      </w:r>
    </w:p>
    <w:p>
      <w:pPr>
        <w:keepNext w:val="0"/>
        <w:keepLines w:val="0"/>
        <w:pageBreakBefore w:val="0"/>
        <w:kinsoku/>
        <w:overflowPunct/>
        <w:topLinePunct w:val="0"/>
        <w:autoSpaceDE/>
        <w:autoSpaceDN/>
        <w:bidi w:val="0"/>
        <w:adjustRightInd/>
        <w:snapToGrid/>
        <w:spacing w:line="360" w:lineRule="auto"/>
        <w:ind w:left="0" w:leftChars="0" w:firstLine="470" w:firstLineChars="196"/>
        <w:jc w:val="left"/>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本项目接受联合体投标</w:t>
      </w:r>
      <w:r>
        <w:rPr>
          <w:rFonts w:hint="eastAsia" w:ascii="宋体" w:hAnsi="宋体" w:cs="宋体"/>
          <w:b w:val="0"/>
          <w:bCs w:val="0"/>
          <w:color w:val="000000"/>
          <w:sz w:val="24"/>
          <w:szCs w:val="24"/>
          <w:lang w:eastAsia="zh-CN"/>
        </w:rPr>
        <w:t>。</w:t>
      </w:r>
    </w:p>
    <w:p>
      <w:pPr>
        <w:keepNext w:val="0"/>
        <w:keepLines w:val="0"/>
        <w:pageBreakBefore w:val="0"/>
        <w:numPr>
          <w:ilvl w:val="0"/>
          <w:numId w:val="0"/>
        </w:numPr>
        <w:kinsoku/>
        <w:overflowPunct/>
        <w:topLinePunct w:val="0"/>
        <w:autoSpaceDE/>
        <w:autoSpaceDN/>
        <w:bidi w:val="0"/>
        <w:adjustRightInd/>
        <w:snapToGrid/>
        <w:spacing w:line="360" w:lineRule="auto"/>
        <w:ind w:left="0" w:leftChars="0"/>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sz w:val="24"/>
          <w:szCs w:val="24"/>
        </w:rPr>
        <w:t>▲</w:t>
      </w:r>
      <w:r>
        <w:rPr>
          <w:rFonts w:hint="eastAsia" w:ascii="宋体" w:hAnsi="宋体" w:eastAsia="宋体" w:cs="宋体"/>
          <w:b/>
          <w:bCs/>
          <w:color w:val="000000"/>
          <w:sz w:val="24"/>
          <w:szCs w:val="24"/>
          <w:highlight w:val="none"/>
          <w:lang w:val="en-US" w:eastAsia="zh-CN"/>
        </w:rPr>
        <w:t>二、申请人的资格要求：</w:t>
      </w:r>
    </w:p>
    <w:p>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pPr>
        <w:keepNext w:val="0"/>
        <w:keepLines w:val="0"/>
        <w:pageBreakBefore w:val="0"/>
        <w:kinsoku/>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sz w:val="24"/>
          <w:szCs w:val="24"/>
        </w:rPr>
        <w:t>2.落实政府采购政策需满足的资格要求：</w:t>
      </w:r>
      <w:r>
        <w:rPr>
          <w:rFonts w:hint="eastAsia" w:ascii="宋体" w:hAnsi="宋体" w:eastAsia="宋体" w:cs="宋体"/>
          <w:b w:val="0"/>
          <w:bCs w:val="0"/>
          <w:color w:val="000000"/>
          <w:sz w:val="24"/>
          <w:szCs w:val="24"/>
          <w:highlight w:val="none"/>
          <w:lang w:val="en-US" w:eastAsia="zh-CN"/>
        </w:rPr>
        <w:t xml:space="preserve">根据《政府采购促进中小企业发展管理办法》有关规定，如投标供应商为非中小微企业，则需采用下列B或C选项规定的方式投标。 </w:t>
      </w:r>
    </w:p>
    <w:p>
      <w:pPr>
        <w:keepNext w:val="0"/>
        <w:keepLines w:val="0"/>
        <w:pageBreakBefore w:val="0"/>
        <w:kinsoku/>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A、如果供应商本身提供所有标的均由中小企业制造、承建或承接，视同符合了资格条件，无需再向中小企业分包，无需提供分包意向协议；也无需再与小微企业组成联合体投标。</w:t>
      </w:r>
    </w:p>
    <w:p>
      <w:pPr>
        <w:keepNext w:val="0"/>
        <w:keepLines w:val="0"/>
        <w:pageBreakBefore w:val="0"/>
        <w:kinsoku/>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B、组成联合体投标的：联合体成员须由大型企业与中小微企业组成，提供联合协议和中小企业声明函，且联合协议中小微企业合同份额应当达到合同总金额的40%；</w:t>
      </w:r>
    </w:p>
    <w:p>
      <w:pPr>
        <w:keepNext w:val="0"/>
        <w:keepLines w:val="0"/>
        <w:pageBreakBefore w:val="0"/>
        <w:kinsoku/>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C、向中小微企业合理分包的：提供分包意向协议和中小企业声明函，分包意向协议中小微企业合同份额应当达到合同总金额的40%。</w:t>
      </w:r>
    </w:p>
    <w:p>
      <w:pPr>
        <w:keepNext w:val="0"/>
        <w:keepLines w:val="0"/>
        <w:pageBreakBefore w:val="0"/>
        <w:kinsoku/>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D、监狱企业、残疾人福利性单位视同小微企业。</w:t>
      </w:r>
    </w:p>
    <w:p>
      <w:pPr>
        <w:keepNext w:val="0"/>
        <w:keepLines w:val="0"/>
        <w:pageBreakBefore w:val="0"/>
        <w:kinsoku/>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b w:val="0"/>
          <w:bCs w:val="0"/>
          <w:color w:val="000000"/>
          <w:sz w:val="24"/>
          <w:szCs w:val="24"/>
          <w:highlight w:val="none"/>
          <w:lang w:val="en-US" w:eastAsia="zh-CN"/>
        </w:rPr>
        <w:t>3.</w:t>
      </w:r>
      <w:r>
        <w:rPr>
          <w:rFonts w:hint="eastAsia" w:ascii="宋体" w:hAnsi="宋体" w:eastAsia="宋体" w:cs="宋体"/>
          <w:sz w:val="24"/>
          <w:szCs w:val="24"/>
        </w:rPr>
        <w:t>本项目接受联合体投标。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cs="宋体"/>
          <w:kern w:val="0"/>
          <w:sz w:val="24"/>
          <w:szCs w:val="24"/>
          <w:lang w:val="en-US" w:eastAsia="zh-CN"/>
        </w:rPr>
        <w:t>4.</w:t>
      </w:r>
      <w:r>
        <w:rPr>
          <w:rFonts w:hint="eastAsia" w:ascii="宋体" w:hAnsi="宋体" w:eastAsia="宋体" w:cs="宋体"/>
          <w:kern w:val="0"/>
          <w:sz w:val="24"/>
          <w:szCs w:val="24"/>
        </w:rPr>
        <w:t>投标人注册：非浙江政府采购网注册或发生变更且未及时更新的投标人，应当在规定时间内按照《浙江省政府采购供应商注册及诚信管理暂行办法》（浙财采监字［2009］28号）的相关规定及时办理更新或投标人注册事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投标人应未被列入失信被执行人名单、重大税收违法案件当事人名单、政府采购严重违法失信行为记录名单，信用信息以投标截止日信用中国网站（https://www.creditchina.gov.cn/）、中国政府采购网（http://www.ccgp.gov.cn/）公布为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eastAsia="zh-CN"/>
        </w:rPr>
        <w:t>三</w:t>
      </w:r>
      <w:r>
        <w:rPr>
          <w:rFonts w:hint="eastAsia" w:ascii="宋体" w:hAnsi="宋体" w:eastAsia="宋体" w:cs="宋体"/>
          <w:b/>
          <w:bCs/>
          <w:sz w:val="24"/>
          <w:szCs w:val="24"/>
        </w:rPr>
        <w:t>、招标文件的获取：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时间：/至202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时</w:t>
      </w:r>
      <w:r>
        <w:rPr>
          <w:rFonts w:hint="default" w:ascii="宋体" w:hAnsi="宋体" w:cs="宋体"/>
          <w:color w:val="auto"/>
          <w:sz w:val="24"/>
          <w:szCs w:val="24"/>
          <w:highlight w:val="none"/>
          <w:lang w:val="en-US"/>
        </w:rPr>
        <w:t>3</w:t>
      </w:r>
      <w:r>
        <w:rPr>
          <w:rFonts w:hint="eastAsia" w:ascii="宋体" w:hAnsi="宋体" w:eastAsia="宋体" w:cs="宋体"/>
          <w:color w:val="auto"/>
          <w:sz w:val="24"/>
          <w:szCs w:val="24"/>
          <w:highlight w:val="none"/>
        </w:rPr>
        <w:t>0分，每天上午00：00至12:00，下午12:00至23:59（北京时间，线上获取法定节假日均可，线下获取文件法定节假日除外）</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地点（网址）：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浙江政府采购网（</w:t>
      </w:r>
      <w:r>
        <w:rPr>
          <w:rFonts w:hint="eastAsia" w:ascii="宋体" w:hAnsi="宋体" w:eastAsia="宋体" w:cs="宋体"/>
          <w:sz w:val="24"/>
          <w:szCs w:val="24"/>
        </w:rPr>
        <w:t>https://zfcg.czt.zj.gov.cn/</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东阳市公共资源交易网</w:t>
      </w:r>
      <w:r>
        <w:rPr>
          <w:rFonts w:hint="eastAsia" w:ascii="宋体" w:hAnsi="宋体" w:cs="宋体"/>
          <w:color w:val="auto"/>
          <w:sz w:val="24"/>
          <w:szCs w:val="24"/>
          <w:highlight w:val="none"/>
          <w:lang w:eastAsia="zh-CN"/>
        </w:rPr>
        <w:t>（</w:t>
      </w:r>
      <w:r>
        <w:rPr>
          <w:rFonts w:hint="eastAsia" w:ascii="宋体" w:hAnsi="宋体" w:eastAsia="宋体" w:cs="宋体"/>
          <w:sz w:val="24"/>
          <w:szCs w:val="24"/>
        </w:rPr>
        <w:t>http://www.dongyang.gov.cn/ggzyjy/</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3、获取方式：由投标单位通过浙江省政府采购网(</w:t>
      </w:r>
      <w:r>
        <w:rPr>
          <w:rFonts w:hint="eastAsia" w:ascii="宋体" w:hAnsi="宋体" w:eastAsia="宋体" w:cs="宋体"/>
          <w:b/>
          <w:sz w:val="24"/>
          <w:szCs w:val="24"/>
          <w:u w:val="single"/>
        </w:rPr>
        <w:t>https://zfcg.czt.zj.gov.cn/</w:t>
      </w:r>
      <w:r>
        <w:rPr>
          <w:rFonts w:hint="eastAsia" w:ascii="宋体" w:hAnsi="宋体" w:eastAsia="宋体" w:cs="宋体"/>
          <w:b/>
          <w:bCs/>
          <w:sz w:val="24"/>
          <w:szCs w:val="24"/>
        </w:rPr>
        <w:t>)上的政采云获取系统进行获取（首次参加投标的单位应先登录浙江省政府采购网(</w:t>
      </w:r>
      <w:r>
        <w:rPr>
          <w:rFonts w:hint="eastAsia" w:ascii="宋体" w:hAnsi="宋体" w:eastAsia="宋体" w:cs="宋体"/>
          <w:b/>
          <w:sz w:val="24"/>
          <w:szCs w:val="24"/>
          <w:u w:val="single"/>
        </w:rPr>
        <w:t>https://zfcg.czt.zj.gov.cn/</w:t>
      </w:r>
      <w:r>
        <w:rPr>
          <w:rFonts w:hint="eastAsia" w:ascii="宋体" w:hAnsi="宋体" w:eastAsia="宋体" w:cs="宋体"/>
          <w:b/>
          <w:bCs/>
          <w:sz w:val="24"/>
          <w:szCs w:val="24"/>
        </w:rPr>
        <w:t>)进行账户注册，注册完毕待审核成功后方可登录获取，注册咨询电话：400-881-7190；注册流程见网址</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b/>
          <w:bCs/>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"https://middle.zcygov.cn/v-settle-front/registry" </w:instrText>
      </w:r>
      <w:r>
        <w:rPr>
          <w:rFonts w:hint="eastAsia" w:ascii="宋体" w:hAnsi="宋体" w:eastAsia="宋体" w:cs="宋体"/>
          <w:sz w:val="24"/>
          <w:szCs w:val="24"/>
        </w:rPr>
        <w:fldChar w:fldCharType="separate"/>
      </w:r>
      <w:r>
        <w:rPr>
          <w:rFonts w:hint="eastAsia" w:ascii="宋体" w:hAnsi="宋体" w:eastAsia="宋体" w:cs="宋体"/>
          <w:b/>
          <w:bCs/>
          <w:sz w:val="24"/>
          <w:szCs w:val="24"/>
        </w:rPr>
        <w:t>https://middle.zcygov.cn/v-settle-front/registry</w:t>
      </w:r>
      <w:r>
        <w:rPr>
          <w:rFonts w:hint="eastAsia" w:ascii="宋体" w:hAnsi="宋体" w:eastAsia="宋体" w:cs="宋体"/>
          <w:b/>
          <w:bCs/>
          <w:sz w:val="24"/>
          <w:szCs w:val="24"/>
        </w:rPr>
        <w:fldChar w:fldCharType="end"/>
      </w:r>
      <w:r>
        <w:rPr>
          <w:rFonts w:hint="eastAsia" w:ascii="宋体" w:hAnsi="宋体" w:eastAsia="宋体" w:cs="宋体"/>
          <w:b/>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4、获取流程：浙江政府采购网-政采云用户登录-用户中心-项目采购-获取采购文件管理，电子版采购文件免费获取。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5、浙江政府采购网上以“游客”身份获取的采购文件仅供阅览；潜在供应商应按上述方式获取采购文件；未按上述方式获取采购文件的，不得对采购文件提起质疑投诉。</w:t>
      </w:r>
    </w:p>
    <w:p>
      <w:pPr>
        <w:keepNext w:val="0"/>
        <w:keepLines w:val="0"/>
        <w:pageBreakBefore w:val="0"/>
        <w:numPr>
          <w:ilvl w:val="0"/>
          <w:numId w:val="0"/>
        </w:numPr>
        <w:kinsoku/>
        <w:overflowPunct/>
        <w:topLinePunct w:val="0"/>
        <w:autoSpaceDE/>
        <w:autoSpaceDN/>
        <w:bidi w:val="0"/>
        <w:adjustRightInd/>
        <w:snapToGrid/>
        <w:spacing w:line="360" w:lineRule="auto"/>
        <w:ind w:left="0" w:left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000000"/>
          <w:sz w:val="24"/>
          <w:szCs w:val="24"/>
          <w:highlight w:val="none"/>
          <w:lang w:val="en-US" w:eastAsia="zh-CN"/>
        </w:rPr>
        <w:t>四、</w:t>
      </w:r>
      <w:r>
        <w:rPr>
          <w:rFonts w:hint="eastAsia" w:ascii="宋体" w:hAnsi="宋体" w:eastAsia="宋体" w:cs="宋体"/>
          <w:b/>
          <w:bCs/>
          <w:color w:val="auto"/>
          <w:sz w:val="24"/>
          <w:szCs w:val="24"/>
          <w:highlight w:val="none"/>
          <w:lang w:val="en-US" w:eastAsia="zh-CN"/>
        </w:rPr>
        <w:t>提交投标文件截止时间、开标时间和地点</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提交投标文件截止时间：202</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年</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月</w:t>
      </w:r>
      <w:r>
        <w:rPr>
          <w:rFonts w:hint="eastAsia" w:ascii="宋体" w:hAnsi="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lang w:val="en-US" w:eastAsia="zh-CN"/>
        </w:rPr>
        <w:t>日</w:t>
      </w:r>
      <w:r>
        <w:rPr>
          <w:rFonts w:hint="eastAsia" w:ascii="宋体" w:hAnsi="宋体" w:cs="宋体"/>
          <w:b/>
          <w:bCs/>
          <w:color w:val="auto"/>
          <w:sz w:val="24"/>
          <w:szCs w:val="24"/>
          <w:highlight w:val="none"/>
          <w:lang w:val="en-US" w:eastAsia="zh-CN"/>
        </w:rPr>
        <w:t>13</w:t>
      </w:r>
      <w:r>
        <w:rPr>
          <w:rFonts w:hint="eastAsia" w:ascii="宋体" w:hAnsi="宋体" w:eastAsia="宋体" w:cs="宋体"/>
          <w:b/>
          <w:bCs/>
          <w:color w:val="auto"/>
          <w:sz w:val="24"/>
          <w:szCs w:val="24"/>
          <w:highlight w:val="none"/>
          <w:lang w:val="en-US" w:eastAsia="zh-CN"/>
        </w:rPr>
        <w:t>时</w:t>
      </w:r>
      <w:r>
        <w:rPr>
          <w:rFonts w:hint="default"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0分 （北京时间）</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投标地点（网址）：政采云平台</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开标时间：202</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年</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月</w:t>
      </w:r>
      <w:r>
        <w:rPr>
          <w:rFonts w:hint="eastAsia" w:ascii="宋体" w:hAnsi="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lang w:val="en-US" w:eastAsia="zh-CN"/>
        </w:rPr>
        <w:t>日</w:t>
      </w:r>
      <w:r>
        <w:rPr>
          <w:rFonts w:hint="eastAsia" w:ascii="宋体" w:hAnsi="宋体" w:cs="宋体"/>
          <w:b/>
          <w:bCs/>
          <w:color w:val="auto"/>
          <w:sz w:val="24"/>
          <w:szCs w:val="24"/>
          <w:highlight w:val="none"/>
          <w:lang w:val="en-US" w:eastAsia="zh-CN"/>
        </w:rPr>
        <w:t>13</w:t>
      </w:r>
      <w:r>
        <w:rPr>
          <w:rFonts w:hint="eastAsia" w:ascii="宋体" w:hAnsi="宋体" w:eastAsia="宋体" w:cs="宋体"/>
          <w:b/>
          <w:bCs/>
          <w:color w:val="auto"/>
          <w:sz w:val="24"/>
          <w:szCs w:val="24"/>
          <w:highlight w:val="none"/>
          <w:lang w:val="en-US" w:eastAsia="zh-CN"/>
        </w:rPr>
        <w:t>时</w:t>
      </w:r>
      <w:r>
        <w:rPr>
          <w:rFonts w:hint="default"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0分</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开标地点（网址）：政采云平台</w:t>
      </w:r>
    </w:p>
    <w:p>
      <w:pPr>
        <w:keepNext w:val="0"/>
        <w:keepLines w:val="0"/>
        <w:pageBreakBefore w:val="0"/>
        <w:widowControl w:val="0"/>
        <w:kinsoku/>
        <w:overflowPunct/>
        <w:topLinePunct w:val="0"/>
        <w:autoSpaceDE/>
        <w:autoSpaceDN/>
        <w:bidi w:val="0"/>
        <w:adjustRightInd/>
        <w:snapToGrid/>
        <w:spacing w:line="420" w:lineRule="exact"/>
        <w:ind w:left="0" w:leftChars="0"/>
        <w:textAlignment w:val="auto"/>
        <w:rPr>
          <w:rFonts w:hint="eastAsia" w:ascii="宋体" w:hAnsi="宋体" w:eastAsia="宋体" w:cs="宋体"/>
          <w:b/>
          <w:bCs/>
          <w:sz w:val="24"/>
          <w:szCs w:val="24"/>
        </w:rPr>
      </w:pPr>
      <w:r>
        <w:rPr>
          <w:rFonts w:hint="eastAsia" w:ascii="宋体" w:hAnsi="宋体" w:eastAsia="宋体" w:cs="宋体"/>
          <w:b/>
          <w:bCs/>
          <w:sz w:val="24"/>
          <w:szCs w:val="24"/>
        </w:rPr>
        <w:t>五、公告期限</w:t>
      </w:r>
    </w:p>
    <w:p>
      <w:pPr>
        <w:keepNext w:val="0"/>
        <w:keepLines w:val="0"/>
        <w:pageBreakBefore w:val="0"/>
        <w:widowControl w:val="0"/>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自本公告发布之日起5个工作日</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420" w:lineRule="exact"/>
        <w:ind w:left="0" w:left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其他补充事宜</w:t>
      </w:r>
    </w:p>
    <w:p>
      <w:pPr>
        <w:pStyle w:val="4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both"/>
        <w:textAlignment w:val="auto"/>
        <w:rPr>
          <w:rFonts w:hint="eastAsia" w:ascii="宋体" w:hAnsi="宋体" w:eastAsia="宋体" w:cs="宋体"/>
          <w:b w:val="0"/>
          <w:bCs w:val="0"/>
          <w:i w:val="0"/>
          <w:caps w:val="0"/>
          <w:color w:val="auto"/>
          <w:spacing w:val="0"/>
          <w:sz w:val="24"/>
          <w:szCs w:val="24"/>
        </w:rPr>
      </w:pPr>
      <w:r>
        <w:rPr>
          <w:rFonts w:hint="eastAsia" w:ascii="宋体" w:hAnsi="宋体" w:eastAsia="宋体" w:cs="宋体"/>
          <w:i w:val="0"/>
          <w:caps w:val="0"/>
          <w:color w:val="000000"/>
          <w:spacing w:val="0"/>
          <w:sz w:val="24"/>
          <w:szCs w:val="24"/>
          <w:lang w:val="en-US" w:eastAsia="zh-CN"/>
        </w:rPr>
        <w:t>1、</w:t>
      </w:r>
      <w:r>
        <w:rPr>
          <w:rFonts w:hint="eastAsia" w:ascii="宋体" w:hAnsi="宋体" w:eastAsia="宋体" w:cs="宋体"/>
          <w:b w:val="0"/>
          <w:bCs w:val="0"/>
          <w:i w:val="0"/>
          <w:caps w:val="0"/>
          <w:color w:val="auto"/>
          <w:spacing w:val="0"/>
          <w:sz w:val="24"/>
          <w:szCs w:val="24"/>
        </w:rPr>
        <w:t>《浙江省财政厅关于进一步发挥政府采购政策功能全力推动经济稳进提质的通知》 （浙财采监（〔2022〕3号）、《浙江省财政厅关于进一步促进政府采购公平竞争打造最优营商环境的通知》（浙财采监〔202</w:t>
      </w:r>
      <w:r>
        <w:rPr>
          <w:rFonts w:hint="eastAsia" w:ascii="宋体" w:hAnsi="宋体" w:eastAsia="宋体" w:cs="宋体"/>
          <w:b w:val="0"/>
          <w:bCs w:val="0"/>
          <w:i w:val="0"/>
          <w:caps w:val="0"/>
          <w:color w:val="auto"/>
          <w:spacing w:val="0"/>
          <w:sz w:val="24"/>
          <w:szCs w:val="24"/>
          <w:lang w:val="en-US" w:eastAsia="zh-CN"/>
        </w:rPr>
        <w:t>1</w:t>
      </w:r>
      <w:r>
        <w:rPr>
          <w:rFonts w:hint="eastAsia" w:ascii="宋体" w:hAnsi="宋体" w:eastAsia="宋体" w:cs="宋体"/>
          <w:b w:val="0"/>
          <w:bCs w:val="0"/>
          <w:i w:val="0"/>
          <w:caps w:val="0"/>
          <w:color w:val="auto"/>
          <w:spacing w:val="0"/>
          <w:sz w:val="24"/>
          <w:szCs w:val="24"/>
        </w:rPr>
        <w:t>〕22号）</w:t>
      </w:r>
      <w:r>
        <w:rPr>
          <w:rFonts w:hint="eastAsia" w:ascii="宋体" w:hAnsi="宋体" w:eastAsia="宋体" w:cs="宋体"/>
          <w:b w:val="0"/>
          <w:bCs w:val="0"/>
          <w:i w:val="0"/>
          <w:caps w:val="0"/>
          <w:color w:val="auto"/>
          <w:spacing w:val="0"/>
          <w:sz w:val="24"/>
          <w:szCs w:val="24"/>
          <w:lang w:eastAsia="zh-CN"/>
        </w:rPr>
        <w:t>、《浙江省财政厅关于进一步加大政府采购支持中小企业力度 助力扎实稳住经济的通知》</w:t>
      </w:r>
      <w:r>
        <w:rPr>
          <w:rFonts w:hint="eastAsia" w:ascii="宋体" w:hAnsi="宋体" w:eastAsia="宋体" w:cs="宋体"/>
          <w:b w:val="0"/>
          <w:bCs w:val="0"/>
          <w:i w:val="0"/>
          <w:caps w:val="0"/>
          <w:color w:val="auto"/>
          <w:spacing w:val="0"/>
          <w:sz w:val="24"/>
          <w:szCs w:val="24"/>
        </w:rPr>
        <w:t>（浙财采监〔2022〕</w:t>
      </w:r>
      <w:r>
        <w:rPr>
          <w:rFonts w:hint="eastAsia" w:ascii="宋体" w:hAnsi="宋体" w:eastAsia="宋体" w:cs="宋体"/>
          <w:b w:val="0"/>
          <w:bCs w:val="0"/>
          <w:i w:val="0"/>
          <w:caps w:val="0"/>
          <w:color w:val="auto"/>
          <w:spacing w:val="0"/>
          <w:sz w:val="24"/>
          <w:szCs w:val="24"/>
          <w:lang w:val="en-US" w:eastAsia="zh-CN"/>
        </w:rPr>
        <w:t>8</w:t>
      </w:r>
      <w:r>
        <w:rPr>
          <w:rFonts w:hint="eastAsia" w:ascii="宋体" w:hAnsi="宋体" w:eastAsia="宋体" w:cs="宋体"/>
          <w:b w:val="0"/>
          <w:bCs w:val="0"/>
          <w:i w:val="0"/>
          <w:caps w:val="0"/>
          <w:color w:val="auto"/>
          <w:spacing w:val="0"/>
          <w:sz w:val="24"/>
          <w:szCs w:val="24"/>
        </w:rPr>
        <w:t>号）已分别于2022年1月29日</w:t>
      </w:r>
      <w:r>
        <w:rPr>
          <w:rFonts w:hint="eastAsia" w:ascii="宋体" w:hAnsi="宋体" w:eastAsia="宋体" w:cs="宋体"/>
          <w:b w:val="0"/>
          <w:bCs w:val="0"/>
          <w:i w:val="0"/>
          <w:caps w:val="0"/>
          <w:color w:val="auto"/>
          <w:spacing w:val="0"/>
          <w:sz w:val="24"/>
          <w:szCs w:val="24"/>
          <w:lang w:eastAsia="zh-CN"/>
        </w:rPr>
        <w:t>、</w:t>
      </w:r>
      <w:r>
        <w:rPr>
          <w:rFonts w:hint="eastAsia" w:ascii="宋体" w:hAnsi="宋体" w:eastAsia="宋体" w:cs="宋体"/>
          <w:b w:val="0"/>
          <w:bCs w:val="0"/>
          <w:i w:val="0"/>
          <w:caps w:val="0"/>
          <w:color w:val="auto"/>
          <w:spacing w:val="0"/>
          <w:sz w:val="24"/>
          <w:szCs w:val="24"/>
        </w:rPr>
        <w:t>2022年2月1日</w:t>
      </w:r>
      <w:r>
        <w:rPr>
          <w:rFonts w:hint="eastAsia" w:ascii="宋体" w:hAnsi="宋体" w:eastAsia="宋体" w:cs="宋体"/>
          <w:b w:val="0"/>
          <w:bCs w:val="0"/>
          <w:i w:val="0"/>
          <w:caps w:val="0"/>
          <w:color w:val="auto"/>
          <w:spacing w:val="0"/>
          <w:sz w:val="24"/>
          <w:szCs w:val="24"/>
          <w:lang w:eastAsia="zh-CN"/>
        </w:rPr>
        <w:t>和</w:t>
      </w:r>
      <w:r>
        <w:rPr>
          <w:rFonts w:hint="eastAsia" w:ascii="宋体" w:hAnsi="宋体" w:eastAsia="宋体" w:cs="宋体"/>
          <w:b w:val="0"/>
          <w:bCs w:val="0"/>
          <w:i w:val="0"/>
          <w:caps w:val="0"/>
          <w:color w:val="auto"/>
          <w:spacing w:val="0"/>
          <w:sz w:val="24"/>
          <w:szCs w:val="24"/>
        </w:rPr>
        <w:t>2022年</w:t>
      </w:r>
      <w:r>
        <w:rPr>
          <w:rFonts w:hint="eastAsia" w:ascii="宋体" w:hAnsi="宋体" w:eastAsia="宋体" w:cs="宋体"/>
          <w:b w:val="0"/>
          <w:bCs w:val="0"/>
          <w:i w:val="0"/>
          <w:caps w:val="0"/>
          <w:color w:val="auto"/>
          <w:spacing w:val="0"/>
          <w:sz w:val="24"/>
          <w:szCs w:val="24"/>
          <w:lang w:val="en-US" w:eastAsia="zh-CN"/>
        </w:rPr>
        <w:t>7</w:t>
      </w:r>
      <w:r>
        <w:rPr>
          <w:rFonts w:hint="eastAsia" w:ascii="宋体" w:hAnsi="宋体" w:eastAsia="宋体" w:cs="宋体"/>
          <w:b w:val="0"/>
          <w:bCs w:val="0"/>
          <w:i w:val="0"/>
          <w:caps w:val="0"/>
          <w:color w:val="auto"/>
          <w:spacing w:val="0"/>
          <w:sz w:val="24"/>
          <w:szCs w:val="24"/>
        </w:rPr>
        <w:t>月1日开始实施，此前有关规定与上述文件内容不一致的，按上述文件要求执行。</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、供应商认为采购文件使自己的权益受到损害的，可以自获取采购文件之日或者采购文件公告期限届满之日（公告期限届满后获取采购文件的，以公告期限届满之日为</w:t>
      </w:r>
      <w:r>
        <w:rPr>
          <w:rFonts w:hint="eastAsia" w:ascii="宋体" w:hAnsi="宋体" w:eastAsia="宋体" w:cs="宋体"/>
          <w:sz w:val="24"/>
          <w:szCs w:val="24"/>
          <w:highlight w:val="none"/>
        </w:rPr>
        <w:t>准）起7个工作日内，以书面形式向采购人和采购代理机构提出质疑,或在政采云平台线上质疑。质疑供应商对采购人、采购代理机构的答复不满意或者采购人、采购代理机构未在规定的时间内作出答复的，可以在答复期满后十五个工作日内向同级政府采购监督管理部门投诉（投诉网址：http://www.zjzwfw.gov.cn/zjservice/item/detail/index.do?localInnerCode=2ca19a7a-aa2d-4cca-a191-a5edf3bf69f8）。质疑函范本、投诉书范本请到浙江政府采购网下载专区下载。</w:t>
      </w:r>
    </w:p>
    <w:p>
      <w:pPr>
        <w:keepNext w:val="0"/>
        <w:keepLines w:val="0"/>
        <w:pageBreakBefore w:val="0"/>
        <w:widowControl w:val="0"/>
        <w:kinsoku/>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3</w:t>
      </w:r>
      <w:r>
        <w:rPr>
          <w:rFonts w:hint="eastAsia" w:ascii="宋体" w:hAnsi="宋体" w:eastAsia="宋体" w:cs="宋体"/>
          <w:b/>
          <w:bCs/>
          <w:sz w:val="24"/>
          <w:szCs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宋体" w:hAnsi="宋体" w:cs="宋体"/>
          <w:b/>
          <w:bCs/>
          <w:sz w:val="24"/>
          <w:szCs w:val="24"/>
          <w:highlight w:val="none"/>
          <w:lang w:eastAsia="zh-CN"/>
        </w:rPr>
        <w:t>；</w:t>
      </w:r>
      <w:r>
        <w:rPr>
          <w:rFonts w:hint="eastAsia" w:ascii="宋体" w:hAnsi="宋体" w:eastAsia="宋体" w:cs="宋体"/>
          <w:b/>
          <w:bCs/>
          <w:sz w:val="24"/>
          <w:szCs w:val="24"/>
          <w:highlight w:val="none"/>
        </w:rPr>
        <w:t>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本项目实行电子投标，投标文件应按照本项目招标文件和政采云平台的要求编制、加密并递交。投标人在使用系统进行投标的过程中遇到涉及平台使用的任何问题，可致电政采云平台技术支持热线咨询，联系方式：400-881-7190。</w:t>
      </w:r>
    </w:p>
    <w:p>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、投 标 人 应 在 开 标 前 完 成 CA 数 字 证 书 办 理 。 （ 办 理 流 程 详 见http://zfcg.czt.zj.gov.cn/bidClientTemplate/2019-05-27/12945.html）。完成 CA 数字证书办理预计一周左右，因未办理CA数字证书等原因造成无法投标或投标失败等后果由供应商自行承担。</w:t>
      </w:r>
    </w:p>
    <w:p>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、投标人通过政采云平台电子投标工具制作投标文件，电子投标工具请供应商自行前往浙江省政府采购网下载并安装，（下载网址：https://zfcg.czt.zj.gov.cn/bidClientTemplate/2021-01-07/12975.html），（ 电 子 投 标 相 关 学 习 网 址 ：https://edu.zcygov.cn/luban/e-biding?utm=a0004.2ef5001f.0001.0109.2d44db10df9111e9b92b0f36d4889416）。</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i w:val="0"/>
          <w:caps w:val="0"/>
          <w:color w:val="auto"/>
          <w:spacing w:val="0"/>
          <w:kern w:val="0"/>
          <w:sz w:val="24"/>
          <w:szCs w:val="24"/>
          <w:lang w:val="en-US" w:eastAsia="zh-CN" w:bidi="ar"/>
        </w:rPr>
        <w:t>7、根据《浙江省财政厅关于进一步加大政府采购支持中小企业力度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pPr>
        <w:keepNext w:val="0"/>
        <w:keepLines w:val="0"/>
        <w:pageBreakBefore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为确保招投标活动的公开、公平、公正，切实维护各方合法权益，凡在招标投标、开标评标过程中，受到敲诈、勒索或发现围标串标、虚假投标、恶意竞标等涉黑涉恶线索者，请及时保留相关证据并向有关部门举报。举报电话：</w:t>
      </w:r>
    </w:p>
    <w:p>
      <w:pPr>
        <w:keepNext w:val="0"/>
        <w:keepLines w:val="0"/>
        <w:pageBreakBefore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市扫黑办：0579-86655381             市公安局：110、0579-86096000</w:t>
      </w:r>
    </w:p>
    <w:p>
      <w:pPr>
        <w:keepNext w:val="0"/>
        <w:keepLines w:val="0"/>
        <w:pageBreakBefore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市检察院: 0579-86642000             市 法 院：0579-86620148</w:t>
      </w:r>
    </w:p>
    <w:p>
      <w:pPr>
        <w:keepNext w:val="0"/>
        <w:keepLines w:val="0"/>
        <w:pageBreakBefore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市公共资源办:0579-86691835          市公共资源交易中心:0579-86691729</w:t>
      </w:r>
    </w:p>
    <w:p>
      <w:pPr>
        <w:pStyle w:val="44"/>
        <w:keepNext w:val="0"/>
        <w:keepLines w:val="0"/>
        <w:pageBreakBefore w:val="0"/>
        <w:widowControl w:val="0"/>
        <w:kinsoku/>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sz w:val="24"/>
          <w:szCs w:val="24"/>
        </w:rPr>
      </w:pPr>
      <w:r>
        <w:rPr>
          <w:rFonts w:hint="eastAsia" w:ascii="宋体" w:hAnsi="宋体" w:eastAsia="宋体" w:cs="宋体"/>
          <w:b/>
          <w:bCs/>
          <w:color w:val="000000"/>
          <w:sz w:val="24"/>
          <w:szCs w:val="24"/>
          <w:lang w:eastAsia="zh-CN"/>
        </w:rPr>
        <w:t>七</w:t>
      </w:r>
      <w:r>
        <w:rPr>
          <w:rFonts w:hint="eastAsia" w:ascii="宋体" w:hAnsi="宋体" w:eastAsia="宋体" w:cs="宋体"/>
          <w:b/>
          <w:bCs/>
          <w:color w:val="000000"/>
          <w:sz w:val="24"/>
          <w:szCs w:val="24"/>
        </w:rPr>
        <w:t>、</w:t>
      </w:r>
      <w:r>
        <w:rPr>
          <w:rFonts w:hint="eastAsia" w:ascii="宋体" w:hAnsi="宋体" w:eastAsia="宋体" w:cs="宋体"/>
          <w:b/>
          <w:bCs/>
          <w:sz w:val="24"/>
          <w:szCs w:val="24"/>
        </w:rPr>
        <w:t>对本次采购提出询问、质疑、投诉，请按以下方式联系：</w:t>
      </w:r>
    </w:p>
    <w:p>
      <w:pPr>
        <w:keepNext w:val="0"/>
        <w:keepLines w:val="0"/>
        <w:pageBreakBefore w:val="0"/>
        <w:widowControl w:val="0"/>
        <w:kinsoku/>
        <w:overflowPunct/>
        <w:topLinePunct w:val="0"/>
        <w:autoSpaceDE/>
        <w:autoSpaceDN/>
        <w:bidi w:val="0"/>
        <w:adjustRightInd/>
        <w:snapToGrid/>
        <w:spacing w:line="420" w:lineRule="exact"/>
        <w:ind w:left="0" w:leftChars="0"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1、采购人信息</w:t>
      </w:r>
    </w:p>
    <w:p>
      <w:pPr>
        <w:keepNext w:val="0"/>
        <w:keepLines w:val="0"/>
        <w:pageBreakBefore w:val="0"/>
        <w:widowControl w:val="0"/>
        <w:kinsoku/>
        <w:overflowPunct/>
        <w:topLinePunct w:val="0"/>
        <w:autoSpaceDE/>
        <w:autoSpaceDN/>
        <w:bidi w:val="0"/>
        <w:adjustRightInd/>
        <w:snapToGrid/>
        <w:spacing w:line="420" w:lineRule="exact"/>
        <w:ind w:left="0" w:leftChars="0" w:firstLine="540" w:firstLineChars="225"/>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名称：</w:t>
      </w:r>
      <w:r>
        <w:rPr>
          <w:rFonts w:hint="eastAsia" w:ascii="宋体" w:hAnsi="宋体" w:eastAsia="宋体" w:cs="宋体"/>
          <w:sz w:val="24"/>
          <w:szCs w:val="24"/>
        </w:rPr>
        <w:t>东阳市江北街道办事处</w:t>
      </w:r>
    </w:p>
    <w:p>
      <w:pPr>
        <w:keepNext w:val="0"/>
        <w:keepLines w:val="0"/>
        <w:pageBreakBefore w:val="0"/>
        <w:widowControl w:val="0"/>
        <w:kinsoku/>
        <w:overflowPunct/>
        <w:topLinePunct w:val="0"/>
        <w:autoSpaceDE/>
        <w:autoSpaceDN/>
        <w:bidi w:val="0"/>
        <w:adjustRightInd/>
        <w:snapToGrid/>
        <w:spacing w:line="420" w:lineRule="exact"/>
        <w:ind w:left="0" w:leftChars="0" w:firstLine="540" w:firstLineChars="225"/>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地址：东阳市</w:t>
      </w:r>
      <w:r>
        <w:rPr>
          <w:rFonts w:hint="eastAsia" w:ascii="宋体" w:hAnsi="宋体" w:cs="宋体"/>
          <w:color w:val="000000"/>
          <w:sz w:val="24"/>
          <w:szCs w:val="24"/>
          <w:lang w:eastAsia="zh-CN"/>
        </w:rPr>
        <w:t>江北街道</w:t>
      </w:r>
    </w:p>
    <w:p>
      <w:pPr>
        <w:keepNext w:val="0"/>
        <w:keepLines w:val="0"/>
        <w:pageBreakBefore w:val="0"/>
        <w:widowControl w:val="0"/>
        <w:kinsoku/>
        <w:overflowPunct/>
        <w:topLinePunct w:val="0"/>
        <w:autoSpaceDE/>
        <w:autoSpaceDN/>
        <w:bidi w:val="0"/>
        <w:adjustRightInd/>
        <w:snapToGrid/>
        <w:spacing w:line="420" w:lineRule="exact"/>
        <w:ind w:left="0" w:leftChars="0"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项目联系人（询问）</w:t>
      </w:r>
      <w:r>
        <w:rPr>
          <w:rFonts w:hint="eastAsia" w:ascii="宋体" w:hAnsi="宋体" w:eastAsia="宋体" w:cs="宋体"/>
          <w:color w:val="000000"/>
          <w:sz w:val="24"/>
          <w:szCs w:val="24"/>
        </w:rPr>
        <w:t>：</w:t>
      </w:r>
      <w:r>
        <w:rPr>
          <w:rFonts w:hint="eastAsia" w:ascii="宋体" w:hAnsi="宋体" w:eastAsia="宋体" w:cs="宋体"/>
          <w:sz w:val="24"/>
          <w:szCs w:val="24"/>
        </w:rPr>
        <w:t>朱康康</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overflowPunct/>
        <w:topLinePunct w:val="0"/>
        <w:autoSpaceDE/>
        <w:autoSpaceDN/>
        <w:bidi w:val="0"/>
        <w:adjustRightInd/>
        <w:snapToGrid/>
        <w:spacing w:line="420" w:lineRule="exact"/>
        <w:ind w:left="0" w:leftChars="0" w:firstLine="540" w:firstLineChars="225"/>
        <w:textAlignment w:val="auto"/>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项目联系方式（询问）</w:t>
      </w:r>
      <w:r>
        <w:rPr>
          <w:rFonts w:hint="eastAsia" w:ascii="宋体" w:hAnsi="宋体" w:eastAsia="宋体" w:cs="宋体"/>
          <w:color w:val="000000"/>
          <w:sz w:val="24"/>
          <w:szCs w:val="24"/>
        </w:rPr>
        <w:t>：</w:t>
      </w:r>
      <w:r>
        <w:rPr>
          <w:rFonts w:hint="eastAsia" w:ascii="宋体" w:hAnsi="宋体" w:eastAsia="宋体" w:cs="宋体"/>
          <w:sz w:val="24"/>
          <w:szCs w:val="24"/>
        </w:rPr>
        <w:t>18258960307</w:t>
      </w:r>
      <w:r>
        <w:rPr>
          <w:rFonts w:hint="eastAsia" w:ascii="宋体" w:hAnsi="宋体" w:eastAsia="宋体" w:cs="宋体"/>
          <w:color w:val="000000"/>
          <w:sz w:val="24"/>
          <w:szCs w:val="24"/>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质疑联系人：</w:t>
      </w:r>
      <w:r>
        <w:rPr>
          <w:rFonts w:hint="eastAsia" w:ascii="宋体" w:hAnsi="宋体" w:eastAsia="宋体" w:cs="宋体"/>
          <w:color w:val="auto"/>
          <w:sz w:val="24"/>
          <w:szCs w:val="24"/>
          <w:highlight w:val="none"/>
          <w:lang w:eastAsia="zh-CN"/>
        </w:rPr>
        <w:t>蔡燕</w:t>
      </w:r>
      <w:r>
        <w:rPr>
          <w:rFonts w:hint="eastAsia" w:ascii="宋体" w:hAnsi="宋体" w:eastAsia="宋体" w:cs="宋体"/>
          <w:color w:val="auto"/>
          <w:sz w:val="24"/>
          <w:szCs w:val="24"/>
          <w:highlight w:val="none"/>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color w:val="auto"/>
          <w:sz w:val="24"/>
          <w:szCs w:val="24"/>
          <w:highlight w:val="none"/>
        </w:rPr>
        <w:t>质疑联系方式：</w:t>
      </w:r>
      <w:r>
        <w:rPr>
          <w:rFonts w:hint="eastAsia" w:ascii="宋体" w:hAnsi="宋体" w:eastAsia="宋体" w:cs="宋体"/>
          <w:color w:val="auto"/>
          <w:sz w:val="24"/>
          <w:szCs w:val="24"/>
          <w:highlight w:val="none"/>
          <w:lang w:val="en-US" w:eastAsia="zh-CN"/>
        </w:rPr>
        <w:t>13858969736</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采购代理机构信息</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名称</w:t>
      </w:r>
      <w:r>
        <w:rPr>
          <w:rFonts w:hint="eastAsia" w:ascii="宋体" w:hAnsi="宋体" w:eastAsia="宋体" w:cs="宋体"/>
          <w:color w:val="000000"/>
          <w:sz w:val="24"/>
          <w:szCs w:val="24"/>
        </w:rPr>
        <w:t>：</w:t>
      </w:r>
      <w:r>
        <w:rPr>
          <w:rFonts w:hint="eastAsia" w:ascii="宋体" w:hAnsi="宋体" w:eastAsia="宋体" w:cs="宋体"/>
          <w:sz w:val="24"/>
          <w:szCs w:val="24"/>
        </w:rPr>
        <w:t>金华市金诚招投标代理有限公司</w:t>
      </w:r>
    </w:p>
    <w:p>
      <w:pPr>
        <w:keepNext w:val="0"/>
        <w:keepLines w:val="0"/>
        <w:pageBreakBefore w:val="0"/>
        <w:widowControl w:val="0"/>
        <w:kinsoku/>
        <w:overflowPunct/>
        <w:topLinePunct w:val="0"/>
        <w:autoSpaceDE/>
        <w:autoSpaceDN/>
        <w:bidi w:val="0"/>
        <w:adjustRightInd/>
        <w:snapToGrid/>
        <w:spacing w:line="420" w:lineRule="exact"/>
        <w:ind w:left="0" w:leftChars="0" w:firstLine="540" w:firstLineChars="225"/>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地址：东阳市江北街道关山北路</w:t>
      </w:r>
      <w:r>
        <w:rPr>
          <w:rFonts w:hint="eastAsia" w:ascii="宋体" w:hAnsi="宋体" w:eastAsia="宋体" w:cs="宋体"/>
          <w:color w:val="000000"/>
          <w:sz w:val="24"/>
          <w:szCs w:val="24"/>
          <w:lang w:val="en-US" w:eastAsia="zh-CN"/>
        </w:rPr>
        <w:t>20号</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000000"/>
          <w:sz w:val="24"/>
          <w:szCs w:val="24"/>
          <w:lang w:val="en-US" w:eastAsia="zh-CN"/>
        </w:rPr>
        <w:t>项目联系人</w:t>
      </w:r>
      <w:r>
        <w:rPr>
          <w:rFonts w:hint="eastAsia" w:ascii="宋体" w:hAnsi="宋体" w:eastAsia="宋体" w:cs="宋体"/>
          <w:color w:val="auto"/>
          <w:sz w:val="24"/>
          <w:szCs w:val="24"/>
          <w:highlight w:val="none"/>
        </w:rPr>
        <w:t>（询问）</w:t>
      </w:r>
      <w:r>
        <w:rPr>
          <w:rFonts w:hint="eastAsia" w:ascii="宋体" w:hAnsi="宋体" w:eastAsia="宋体" w:cs="宋体"/>
          <w:b w:val="0"/>
          <w:bCs w:val="0"/>
          <w:color w:val="000000"/>
          <w:sz w:val="24"/>
          <w:szCs w:val="24"/>
          <w:lang w:val="en-US" w:eastAsia="zh-CN"/>
        </w:rPr>
        <w:t>：张</w:t>
      </w:r>
      <w:r>
        <w:rPr>
          <w:rFonts w:hint="eastAsia" w:ascii="宋体" w:hAnsi="宋体" w:cs="宋体"/>
          <w:b w:val="0"/>
          <w:bCs w:val="0"/>
          <w:color w:val="000000"/>
          <w:sz w:val="24"/>
          <w:szCs w:val="24"/>
          <w:lang w:val="en-US" w:eastAsia="zh-CN"/>
        </w:rPr>
        <w:t>工</w:t>
      </w:r>
      <w:r>
        <w:rPr>
          <w:rFonts w:hint="eastAsia" w:ascii="宋体" w:hAnsi="宋体" w:eastAsia="宋体" w:cs="宋体"/>
          <w:b w:val="0"/>
          <w:bCs w:val="0"/>
          <w:color w:val="000000"/>
          <w:sz w:val="24"/>
          <w:szCs w:val="24"/>
          <w:lang w:val="en-US" w:eastAsia="zh-CN"/>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color w:val="auto"/>
          <w:sz w:val="24"/>
          <w:szCs w:val="24"/>
          <w:highlight w:val="none"/>
        </w:rPr>
        <w:t>项目联系方式（询问）</w:t>
      </w:r>
      <w:r>
        <w:rPr>
          <w:rFonts w:hint="eastAsia" w:ascii="宋体" w:hAnsi="宋体" w:eastAsia="宋体" w:cs="宋体"/>
          <w:b w:val="0"/>
          <w:bCs w:val="0"/>
          <w:color w:val="000000"/>
          <w:sz w:val="24"/>
          <w:szCs w:val="24"/>
          <w:lang w:val="en-US" w:eastAsia="zh-CN"/>
        </w:rPr>
        <w:t>：</w:t>
      </w:r>
      <w:r>
        <w:rPr>
          <w:rFonts w:hint="eastAsia" w:ascii="宋体" w:hAnsi="宋体" w:eastAsia="宋体" w:cs="宋体"/>
          <w:sz w:val="24"/>
          <w:szCs w:val="24"/>
        </w:rPr>
        <w:t>13505890861</w:t>
      </w:r>
      <w:r>
        <w:rPr>
          <w:rFonts w:hint="eastAsia" w:ascii="宋体" w:hAnsi="宋体" w:eastAsia="宋体" w:cs="宋体"/>
          <w:b w:val="0"/>
          <w:bCs w:val="0"/>
          <w:color w:val="000000"/>
          <w:sz w:val="24"/>
          <w:szCs w:val="24"/>
          <w:lang w:val="en-US" w:eastAsia="zh-CN"/>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质疑联系人：</w:t>
      </w:r>
      <w:r>
        <w:rPr>
          <w:rFonts w:hint="eastAsia" w:ascii="宋体" w:hAnsi="宋体" w:cs="宋体"/>
          <w:color w:val="auto"/>
          <w:sz w:val="24"/>
          <w:szCs w:val="24"/>
          <w:highlight w:val="none"/>
          <w:lang w:eastAsia="zh-CN"/>
        </w:rPr>
        <w:t>黄老师</w:t>
      </w:r>
      <w:r>
        <w:rPr>
          <w:rFonts w:hint="eastAsia" w:ascii="宋体" w:hAnsi="宋体" w:eastAsia="宋体" w:cs="宋体"/>
          <w:color w:val="auto"/>
          <w:sz w:val="24"/>
          <w:szCs w:val="24"/>
          <w:highlight w:val="none"/>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color w:val="auto"/>
          <w:sz w:val="24"/>
          <w:szCs w:val="24"/>
          <w:highlight w:val="none"/>
        </w:rPr>
        <w:t>质疑联系方式：</w:t>
      </w:r>
      <w:r>
        <w:rPr>
          <w:rFonts w:hint="eastAsia" w:ascii="宋体" w:hAnsi="宋体" w:cs="宋体"/>
          <w:sz w:val="24"/>
          <w:lang w:val="en-US" w:eastAsia="zh-CN"/>
        </w:rPr>
        <w:t>0579-89311055</w:t>
      </w:r>
      <w:r>
        <w:rPr>
          <w:rFonts w:hint="eastAsia" w:ascii="宋体" w:hAnsi="宋体" w:cs="宋体"/>
          <w:sz w:val="24"/>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3、同级政府采购监督管理部门：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名称：东阳市财政局采购办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地址：东阳市人民北路8号     </w:t>
      </w:r>
    </w:p>
    <w:p>
      <w:pPr>
        <w:keepNext w:val="0"/>
        <w:keepLines w:val="0"/>
        <w:pageBreakBefore w:val="0"/>
        <w:widowControl w:val="0"/>
        <w:numPr>
          <w:ilvl w:val="0"/>
          <w:numId w:val="0"/>
        </w:numPr>
        <w:kinsoku/>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b/>
          <w:sz w:val="24"/>
          <w:szCs w:val="24"/>
        </w:rPr>
      </w:pPr>
      <w:r>
        <w:rPr>
          <w:rFonts w:hint="eastAsia" w:ascii="宋体" w:hAnsi="宋体" w:eastAsia="宋体" w:cs="宋体"/>
          <w:b w:val="0"/>
          <w:bCs w:val="0"/>
          <w:color w:val="000000"/>
          <w:sz w:val="24"/>
          <w:szCs w:val="24"/>
          <w:lang w:val="en-US" w:eastAsia="zh-CN"/>
        </w:rPr>
        <w:t>监督投诉电话：0579-86662677</w:t>
      </w:r>
    </w:p>
    <w:p>
      <w:pPr>
        <w:keepNext w:val="0"/>
        <w:keepLines w:val="0"/>
        <w:pageBreakBefore w:val="0"/>
        <w:widowControl w:val="0"/>
        <w:kinsoku/>
        <w:overflowPunct/>
        <w:topLinePunct w:val="0"/>
        <w:autoSpaceDE/>
        <w:autoSpaceDN/>
        <w:bidi w:val="0"/>
        <w:adjustRightInd/>
        <w:snapToGrid/>
        <w:spacing w:line="420" w:lineRule="exact"/>
        <w:ind w:left="0" w:leftChars="0"/>
        <w:textAlignment w:val="auto"/>
        <w:rPr>
          <w:rFonts w:hint="eastAsia" w:ascii="宋体" w:hAnsi="宋体" w:eastAsia="宋体" w:cs="宋体"/>
          <w:sz w:val="24"/>
          <w:szCs w:val="24"/>
        </w:rPr>
      </w:pPr>
    </w:p>
    <w:p>
      <w:pPr>
        <w:pStyle w:val="44"/>
        <w:keepNext w:val="0"/>
        <w:keepLines w:val="0"/>
        <w:pageBreakBefore w:val="0"/>
        <w:widowControl w:val="0"/>
        <w:kinsoku/>
        <w:overflowPunct/>
        <w:topLinePunct w:val="0"/>
        <w:autoSpaceDE/>
        <w:autoSpaceDN/>
        <w:bidi w:val="0"/>
        <w:adjustRightInd/>
        <w:snapToGrid/>
        <w:spacing w:line="420" w:lineRule="exact"/>
        <w:ind w:left="0" w:leftChars="0" w:firstLine="344"/>
        <w:textAlignment w:val="auto"/>
        <w:rPr>
          <w:rFonts w:hint="eastAsia" w:ascii="宋体" w:hAnsi="宋体" w:eastAsia="宋体" w:cs="宋体"/>
          <w:sz w:val="24"/>
          <w:szCs w:val="24"/>
        </w:rPr>
      </w:pPr>
    </w:p>
    <w:p>
      <w:pPr>
        <w:pStyle w:val="44"/>
        <w:keepNext w:val="0"/>
        <w:keepLines w:val="0"/>
        <w:pageBreakBefore w:val="0"/>
        <w:widowControl w:val="0"/>
        <w:kinsoku/>
        <w:overflowPunct/>
        <w:topLinePunct w:val="0"/>
        <w:autoSpaceDE/>
        <w:autoSpaceDN/>
        <w:bidi w:val="0"/>
        <w:adjustRightInd/>
        <w:snapToGrid/>
        <w:spacing w:line="420" w:lineRule="exact"/>
        <w:ind w:left="0" w:leftChars="0" w:firstLine="344"/>
        <w:textAlignment w:val="auto"/>
        <w:rPr>
          <w:rFonts w:hint="eastAsia" w:ascii="宋体" w:hAnsi="宋体" w:eastAsia="宋体" w:cs="宋体"/>
          <w:sz w:val="24"/>
          <w:szCs w:val="24"/>
        </w:rPr>
      </w:pPr>
    </w:p>
    <w:p>
      <w:pPr>
        <w:keepNext w:val="0"/>
        <w:keepLines w:val="0"/>
        <w:pageBreakBefore w:val="0"/>
        <w:widowControl w:val="0"/>
        <w:kinsoku/>
        <w:overflowPunct/>
        <w:topLinePunct w:val="0"/>
        <w:autoSpaceDE/>
        <w:autoSpaceDN/>
        <w:bidi w:val="0"/>
        <w:adjustRightInd/>
        <w:snapToGrid/>
        <w:spacing w:line="420" w:lineRule="exact"/>
        <w:ind w:firstLine="6720" w:firstLineChars="2800"/>
        <w:textAlignment w:val="auto"/>
        <w:rPr>
          <w:rFonts w:hint="eastAsia" w:ascii="宋体" w:hAnsi="宋体" w:eastAsia="宋体" w:cs="宋体"/>
          <w:sz w:val="24"/>
          <w:szCs w:val="24"/>
        </w:rPr>
      </w:pPr>
      <w:r>
        <w:rPr>
          <w:rFonts w:hint="eastAsia" w:ascii="宋体" w:hAnsi="宋体" w:eastAsia="宋体" w:cs="宋体"/>
          <w:sz w:val="24"/>
          <w:szCs w:val="24"/>
        </w:rPr>
        <w:t>东阳市江北街道办事处</w:t>
      </w:r>
    </w:p>
    <w:p>
      <w:pPr>
        <w:keepNext w:val="0"/>
        <w:keepLines w:val="0"/>
        <w:pageBreakBefore w:val="0"/>
        <w:widowControl w:val="0"/>
        <w:kinsoku/>
        <w:overflowPunct/>
        <w:topLinePunct w:val="0"/>
        <w:autoSpaceDE/>
        <w:autoSpaceDN/>
        <w:bidi w:val="0"/>
        <w:adjustRightInd/>
        <w:snapToGrid/>
        <w:spacing w:line="420" w:lineRule="exact"/>
        <w:ind w:left="0" w:leftChars="0"/>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金华市金诚招投标代理有限公司</w:t>
      </w:r>
    </w:p>
    <w:p>
      <w:pPr>
        <w:keepNext w:val="0"/>
        <w:keepLines w:val="0"/>
        <w:pageBreakBefore w:val="0"/>
        <w:widowControl w:val="0"/>
        <w:kinsoku/>
        <w:overflowPunct/>
        <w:topLinePunct w:val="0"/>
        <w:autoSpaceDE/>
        <w:autoSpaceDN/>
        <w:bidi w:val="0"/>
        <w:adjustRightInd/>
        <w:snapToGrid/>
        <w:spacing w:line="420" w:lineRule="exact"/>
        <w:ind w:left="0" w:leftChars="0"/>
        <w:jc w:val="center"/>
        <w:textAlignment w:val="auto"/>
        <w:rPr>
          <w:rFonts w:ascii="宋体" w:hAnsi="宋体"/>
          <w:b/>
          <w:sz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202</w:t>
      </w:r>
      <w:r>
        <w:rPr>
          <w:rFonts w:hint="eastAsia" w:ascii="宋体" w:hAnsi="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1</w:t>
      </w:r>
      <w:r>
        <w:rPr>
          <w:rFonts w:hint="eastAsia" w:ascii="宋体" w:hAnsi="宋体" w:eastAsia="宋体" w:cs="宋体"/>
          <w:sz w:val="24"/>
          <w:szCs w:val="24"/>
        </w:rPr>
        <w:t>日</w:t>
      </w: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rPr>
          <w:rFonts w:hint="eastAsia" w:ascii="黑体" w:eastAsia="黑体"/>
          <w:sz w:val="28"/>
          <w:szCs w:val="28"/>
        </w:rPr>
      </w:pPr>
    </w:p>
    <w:p>
      <w:pPr>
        <w:spacing w:line="360" w:lineRule="auto"/>
        <w:rPr>
          <w:rFonts w:ascii="黑体" w:eastAsia="黑体"/>
          <w:sz w:val="30"/>
          <w:szCs w:val="30"/>
        </w:rPr>
        <w:sectPr>
          <w:footerReference r:id="rId14" w:type="first"/>
          <w:footerReference r:id="rId13" w:type="default"/>
          <w:pgSz w:w="11906" w:h="16838"/>
          <w:pgMar w:top="1474" w:right="1274" w:bottom="1247" w:left="1276" w:header="851" w:footer="851" w:gutter="0"/>
          <w:pgNumType w:start="1"/>
          <w:cols w:space="720" w:num="1"/>
          <w:docGrid w:linePitch="312" w:charSpace="0"/>
        </w:sectPr>
      </w:pPr>
    </w:p>
    <w:p>
      <w:pPr>
        <w:pStyle w:val="27"/>
        <w:snapToGrid w:val="0"/>
        <w:spacing w:beforeLines="0" w:afterLines="0" w:line="360" w:lineRule="auto"/>
        <w:jc w:val="both"/>
        <w:outlineLvl w:val="0"/>
        <w:rPr>
          <w:rFonts w:ascii="黑体" w:hAnsi="黑体" w:eastAsia="黑体" w:cs="宋体"/>
          <w:b/>
          <w:bCs/>
          <w:sz w:val="32"/>
          <w:szCs w:val="32"/>
        </w:rPr>
      </w:pPr>
    </w:p>
    <w:p>
      <w:pPr>
        <w:pStyle w:val="27"/>
        <w:keepNext w:val="0"/>
        <w:keepLines w:val="0"/>
        <w:pageBreakBefore w:val="0"/>
        <w:kinsoku/>
        <w:wordWrap/>
        <w:overflowPunct/>
        <w:topLinePunct w:val="0"/>
        <w:bidi w:val="0"/>
        <w:snapToGrid w:val="0"/>
        <w:spacing w:beforeLines="0" w:afterLines="0" w:line="360" w:lineRule="auto"/>
        <w:jc w:val="center"/>
        <w:outlineLvl w:val="0"/>
        <w:rPr>
          <w:rFonts w:ascii="黑体" w:hAnsi="黑体" w:eastAsia="黑体" w:cs="宋体"/>
          <w:b/>
          <w:bCs/>
          <w:sz w:val="32"/>
          <w:szCs w:val="32"/>
        </w:rPr>
      </w:pPr>
      <w:r>
        <w:rPr>
          <w:rFonts w:hint="eastAsia" w:ascii="黑体" w:hAnsi="黑体" w:eastAsia="黑体" w:cs="宋体"/>
          <w:b/>
          <w:bCs/>
          <w:sz w:val="32"/>
          <w:szCs w:val="32"/>
        </w:rPr>
        <w:t>第二章   招标需求</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outlineLvl w:val="0"/>
        <w:rPr>
          <w:rFonts w:hint="eastAsia" w:hAnsi="宋体" w:eastAsia="宋体" w:cs="宋体"/>
          <w:bCs/>
          <w:color w:val="0D0D0D"/>
          <w:szCs w:val="24"/>
          <w:lang w:eastAsia="zh-CN"/>
        </w:rPr>
      </w:pPr>
      <w:r>
        <w:rPr>
          <w:rFonts w:hint="eastAsia" w:hAnsi="宋体" w:cs="宋体"/>
          <w:b/>
          <w:bCs/>
          <w:color w:val="0D0D0D"/>
          <w:szCs w:val="24"/>
        </w:rPr>
        <w:t>一、项目编号：</w:t>
      </w:r>
      <w:r>
        <w:rPr>
          <w:rFonts w:hint="eastAsia" w:hAnsi="宋体"/>
          <w:bCs/>
          <w:color w:val="0D0D0D"/>
          <w:szCs w:val="24"/>
          <w:lang w:eastAsia="zh-CN"/>
        </w:rPr>
        <w:t>JCZFCG2022-Z29-A264</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outlineLvl w:val="0"/>
        <w:rPr>
          <w:rFonts w:hint="eastAsia" w:hAnsi="宋体" w:eastAsia="宋体" w:cs="宋体"/>
          <w:bCs/>
          <w:szCs w:val="24"/>
          <w:lang w:eastAsia="zh-CN"/>
        </w:rPr>
      </w:pPr>
      <w:r>
        <w:rPr>
          <w:rFonts w:hint="eastAsia" w:hAnsi="宋体" w:cs="宋体"/>
          <w:b/>
          <w:szCs w:val="24"/>
        </w:rPr>
        <w:t>二、项目名称：</w:t>
      </w:r>
      <w:r>
        <w:rPr>
          <w:rFonts w:hint="eastAsia" w:hAnsi="宋体" w:cs="Arial"/>
          <w:color w:val="000000"/>
          <w:szCs w:val="24"/>
          <w:lang w:eastAsia="zh-CN"/>
        </w:rPr>
        <w:t>江北街道智慧垃圾分类系统建设及运营服务（三期）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cs="宋体"/>
          <w:sz w:val="24"/>
        </w:rPr>
      </w:pPr>
      <w:r>
        <w:rPr>
          <w:rFonts w:hint="eastAsia" w:ascii="宋体" w:hAnsi="宋体"/>
          <w:b/>
          <w:bCs/>
          <w:color w:val="000000"/>
          <w:kern w:val="0"/>
          <w:sz w:val="24"/>
        </w:rPr>
        <w:t>三、</w:t>
      </w:r>
      <w:r>
        <w:rPr>
          <w:rFonts w:hint="eastAsia" w:ascii="宋体" w:hAnsi="宋体" w:cs="宋体"/>
          <w:b/>
          <w:bCs/>
          <w:sz w:val="24"/>
        </w:rPr>
        <w:t>项目需求概况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rPr>
      </w:pPr>
      <w:r>
        <w:rPr>
          <w:rFonts w:hint="eastAsia" w:ascii="宋体" w:hAnsi="宋体"/>
          <w:sz w:val="24"/>
        </w:rPr>
        <w:t>1、项目需求基本内容</w:t>
      </w:r>
    </w:p>
    <w:p>
      <w:pPr>
        <w:keepNext w:val="0"/>
        <w:keepLines w:val="0"/>
        <w:pageBreakBefore w:val="0"/>
        <w:widowControl w:val="0"/>
        <w:tabs>
          <w:tab w:val="left" w:pos="7830"/>
        </w:tabs>
        <w:kinsoku/>
        <w:wordWrap/>
        <w:overflowPunct/>
        <w:topLinePunct w:val="0"/>
        <w:autoSpaceDE/>
        <w:autoSpaceDN/>
        <w:bidi w:val="0"/>
        <w:adjustRightInd/>
        <w:snapToGrid/>
        <w:spacing w:line="360" w:lineRule="auto"/>
        <w:ind w:firstLine="480" w:firstLineChars="200"/>
        <w:textAlignment w:val="auto"/>
        <w:rPr>
          <w:rFonts w:ascii="宋体" w:hAnsi="宋体"/>
          <w:sz w:val="24"/>
        </w:rPr>
      </w:pPr>
      <w:r>
        <w:rPr>
          <w:rFonts w:hint="eastAsia" w:ascii="宋体" w:hAnsi="宋体"/>
          <w:sz w:val="24"/>
        </w:rPr>
        <w:t>本项目为在东阳市</w:t>
      </w:r>
      <w:r>
        <w:rPr>
          <w:rFonts w:hint="eastAsia" w:hAnsi="宋体" w:cs="Arial"/>
          <w:color w:val="000000"/>
          <w:sz w:val="24"/>
        </w:rPr>
        <w:t>江北街道</w:t>
      </w:r>
      <w:r>
        <w:rPr>
          <w:rFonts w:hint="eastAsia" w:ascii="宋体" w:hAnsi="宋体"/>
          <w:sz w:val="24"/>
        </w:rPr>
        <w:t>范围内建设安装</w:t>
      </w:r>
      <w:r>
        <w:rPr>
          <w:rFonts w:hint="eastAsia" w:ascii="宋体" w:cs="Arial"/>
          <w:sz w:val="24"/>
        </w:rPr>
        <w:t>智慧垃圾分类投放亭</w:t>
      </w:r>
      <w:r>
        <w:rPr>
          <w:rFonts w:hint="eastAsia" w:ascii="宋体" w:hAnsi="宋体"/>
          <w:sz w:val="24"/>
        </w:rPr>
        <w:t>，对建成的</w:t>
      </w:r>
      <w:r>
        <w:rPr>
          <w:rFonts w:hint="eastAsia" w:ascii="宋体" w:cs="Arial"/>
          <w:sz w:val="24"/>
        </w:rPr>
        <w:t>智慧垃圾分类投放亭</w:t>
      </w:r>
      <w:r>
        <w:rPr>
          <w:rFonts w:hint="eastAsia" w:ascii="宋体" w:hAnsi="宋体"/>
          <w:sz w:val="24"/>
        </w:rPr>
        <w:t>进行智慧垃圾分类</w:t>
      </w:r>
      <w:r>
        <w:rPr>
          <w:rFonts w:hint="eastAsia" w:ascii="宋体" w:hAnsi="宋体"/>
          <w:sz w:val="24"/>
          <w:lang w:eastAsia="zh-CN"/>
        </w:rPr>
        <w:t>监督并进行</w:t>
      </w:r>
      <w:r>
        <w:rPr>
          <w:rFonts w:hint="eastAsia" w:ascii="宋体" w:hAnsi="宋体"/>
          <w:sz w:val="24"/>
        </w:rPr>
        <w:t>运营管理。</w:t>
      </w:r>
      <w:r>
        <w:rPr>
          <w:rFonts w:hint="eastAsia" w:ascii="宋体" w:hAnsi="宋体" w:cs="Arial"/>
          <w:sz w:val="24"/>
        </w:rPr>
        <w:t>采购人通过公开招标确定一家中标供应商，中标供应商受采购人委托</w:t>
      </w:r>
      <w:r>
        <w:rPr>
          <w:rFonts w:hint="eastAsia" w:ascii="宋体" w:hAnsi="宋体"/>
          <w:sz w:val="24"/>
        </w:rPr>
        <w:t>在</w:t>
      </w:r>
      <w:r>
        <w:rPr>
          <w:rFonts w:hint="eastAsia" w:hAnsi="宋体" w:cs="Arial"/>
          <w:color w:val="000000"/>
          <w:sz w:val="24"/>
        </w:rPr>
        <w:t>江北街道</w:t>
      </w:r>
      <w:r>
        <w:rPr>
          <w:rFonts w:hint="eastAsia" w:ascii="宋体" w:hAnsi="宋体"/>
          <w:sz w:val="24"/>
        </w:rPr>
        <w:t>范围内</w:t>
      </w:r>
      <w:r>
        <w:rPr>
          <w:rFonts w:hint="eastAsia" w:ascii="宋体" w:hAnsi="宋体" w:cs="Arial"/>
          <w:sz w:val="24"/>
        </w:rPr>
        <w:t>进行</w:t>
      </w:r>
      <w:r>
        <w:rPr>
          <w:rFonts w:hint="eastAsia" w:ascii="宋体" w:cs="Arial"/>
          <w:sz w:val="24"/>
        </w:rPr>
        <w:t>智慧垃圾分类投放亭</w:t>
      </w:r>
      <w:r>
        <w:rPr>
          <w:rFonts w:hint="eastAsia" w:ascii="宋体" w:hAnsi="宋体"/>
          <w:sz w:val="24"/>
        </w:rPr>
        <w:t>的建设安装，投放亭经验收合格后，交由</w:t>
      </w:r>
      <w:r>
        <w:rPr>
          <w:rFonts w:hint="eastAsia" w:ascii="宋体" w:hAnsi="宋体" w:cs="Arial"/>
          <w:sz w:val="24"/>
        </w:rPr>
        <w:t>中标供应商</w:t>
      </w:r>
      <w:r>
        <w:rPr>
          <w:rFonts w:hint="eastAsia" w:ascii="宋体" w:hAnsi="宋体"/>
          <w:sz w:val="24"/>
          <w:lang w:eastAsia="zh-CN"/>
        </w:rPr>
        <w:t>监督</w:t>
      </w:r>
      <w:r>
        <w:rPr>
          <w:rFonts w:hint="eastAsia" w:ascii="宋体" w:hAnsi="宋体"/>
          <w:sz w:val="24"/>
        </w:rPr>
        <w:t>垃圾分类</w:t>
      </w:r>
      <w:r>
        <w:rPr>
          <w:rFonts w:hint="eastAsia" w:ascii="宋体" w:hAnsi="宋体"/>
          <w:sz w:val="24"/>
          <w:lang w:eastAsia="zh-CN"/>
        </w:rPr>
        <w:t>并进行</w:t>
      </w:r>
      <w:r>
        <w:rPr>
          <w:rFonts w:hint="eastAsia" w:ascii="宋体" w:hAnsi="宋体"/>
          <w:sz w:val="24"/>
        </w:rPr>
        <w:t>运营</w:t>
      </w:r>
      <w:r>
        <w:rPr>
          <w:rFonts w:hint="eastAsia" w:ascii="宋体" w:hAnsi="宋体" w:cs="Arial"/>
          <w:sz w:val="24"/>
        </w:rPr>
        <w:t>管理。</w:t>
      </w:r>
    </w:p>
    <w:p>
      <w:pPr>
        <w:pStyle w:val="55"/>
        <w:keepNext w:val="0"/>
        <w:keepLines w:val="0"/>
        <w:pageBreakBefore w:val="0"/>
        <w:widowControl w:val="0"/>
        <w:kinsoku/>
        <w:wordWrap/>
        <w:overflowPunct/>
        <w:topLinePunct w:val="0"/>
        <w:autoSpaceDE/>
        <w:autoSpaceDN/>
        <w:bidi w:val="0"/>
        <w:adjustRightInd/>
        <w:snapToGrid/>
        <w:spacing w:beforeLines="0" w:after="0" w:line="360" w:lineRule="auto"/>
        <w:textAlignment w:val="auto"/>
        <w:rPr>
          <w:rFonts w:ascii="宋体" w:hAnsi="宋体"/>
        </w:rPr>
      </w:pPr>
      <w:r>
        <w:rPr>
          <w:rFonts w:hint="eastAsia" w:ascii="宋体" w:hAnsi="宋体"/>
        </w:rPr>
        <w:t>2、项目采购</w:t>
      </w:r>
      <w:r>
        <w:rPr>
          <w:rFonts w:hint="eastAsia" w:ascii="宋体" w:hAnsi="宋体"/>
          <w:bCs/>
        </w:rPr>
        <w:t>内容</w:t>
      </w:r>
      <w:r>
        <w:rPr>
          <w:rFonts w:hint="eastAsia" w:ascii="宋体" w:hAnsi="宋体"/>
          <w:bCs/>
          <w:lang w:eastAsia="zh-CN"/>
        </w:rPr>
        <w:t>清单</w:t>
      </w:r>
      <w:r>
        <w:rPr>
          <w:rFonts w:hint="eastAsia" w:ascii="宋体" w:hAnsi="宋体"/>
          <w:bCs/>
        </w:rPr>
        <w:t>及投标最高限价</w:t>
      </w:r>
    </w:p>
    <w:tbl>
      <w:tblPr>
        <w:tblStyle w:val="46"/>
        <w:tblpPr w:leftFromText="180" w:rightFromText="180" w:vertAnchor="text" w:horzAnchor="page" w:tblpX="1546" w:tblpY="152"/>
        <w:tblOverlap w:val="never"/>
        <w:tblW w:w="52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149"/>
        <w:gridCol w:w="1351"/>
        <w:gridCol w:w="1512"/>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pPr>
              <w:keepNext w:val="0"/>
              <w:keepLines w:val="0"/>
              <w:pageBreakBefore w:val="0"/>
              <w:kinsoku/>
              <w:wordWrap/>
              <w:overflowPunct/>
              <w:topLinePunct w:val="0"/>
              <w:bidi w:val="0"/>
              <w:spacing w:line="360" w:lineRule="auto"/>
              <w:jc w:val="center"/>
              <w:rPr>
                <w:rFonts w:ascii="宋体"/>
                <w:color w:val="auto"/>
                <w:sz w:val="24"/>
                <w:szCs w:val="24"/>
              </w:rPr>
            </w:pPr>
            <w:r>
              <w:rPr>
                <w:rFonts w:hint="eastAsia" w:ascii="宋体" w:hAnsi="宋体" w:cs="Arial"/>
                <w:color w:val="auto"/>
                <w:sz w:val="24"/>
                <w:szCs w:val="24"/>
              </w:rPr>
              <w:t>序号</w:t>
            </w:r>
          </w:p>
        </w:tc>
        <w:tc>
          <w:tcPr>
            <w:tcW w:w="1643" w:type="pct"/>
            <w:vAlign w:val="center"/>
          </w:tcPr>
          <w:p>
            <w:pPr>
              <w:keepNext w:val="0"/>
              <w:keepLines w:val="0"/>
              <w:pageBreakBefore w:val="0"/>
              <w:kinsoku/>
              <w:wordWrap/>
              <w:overflowPunct/>
              <w:topLinePunct w:val="0"/>
              <w:bidi w:val="0"/>
              <w:spacing w:line="360" w:lineRule="auto"/>
              <w:jc w:val="center"/>
              <w:rPr>
                <w:rFonts w:ascii="宋体" w:cs="Arial"/>
                <w:color w:val="auto"/>
                <w:sz w:val="24"/>
                <w:szCs w:val="24"/>
              </w:rPr>
            </w:pPr>
            <w:r>
              <w:rPr>
                <w:rFonts w:hint="eastAsia" w:ascii="宋体" w:hAnsi="宋体" w:cs="Arial"/>
                <w:color w:val="auto"/>
                <w:sz w:val="24"/>
                <w:szCs w:val="24"/>
              </w:rPr>
              <w:t>采购内容</w:t>
            </w:r>
          </w:p>
        </w:tc>
        <w:tc>
          <w:tcPr>
            <w:tcW w:w="705" w:type="pct"/>
            <w:vAlign w:val="center"/>
          </w:tcPr>
          <w:p>
            <w:pPr>
              <w:keepNext w:val="0"/>
              <w:keepLines w:val="0"/>
              <w:pageBreakBefore w:val="0"/>
              <w:kinsoku/>
              <w:wordWrap/>
              <w:overflowPunct/>
              <w:topLinePunct w:val="0"/>
              <w:bidi w:val="0"/>
              <w:spacing w:line="276" w:lineRule="auto"/>
              <w:jc w:val="center"/>
              <w:rPr>
                <w:rFonts w:hint="eastAsia" w:ascii="宋体" w:hAnsi="Times New Roman" w:cs="Arial"/>
                <w:color w:val="auto"/>
                <w:sz w:val="24"/>
                <w:szCs w:val="24"/>
              </w:rPr>
            </w:pPr>
            <w:r>
              <w:rPr>
                <w:rFonts w:hint="eastAsia" w:ascii="宋体" w:hAnsi="Times New Roman" w:cs="Arial"/>
                <w:color w:val="auto"/>
                <w:sz w:val="24"/>
                <w:szCs w:val="24"/>
              </w:rPr>
              <w:t>数量</w:t>
            </w:r>
          </w:p>
        </w:tc>
        <w:tc>
          <w:tcPr>
            <w:tcW w:w="789" w:type="pct"/>
            <w:vAlign w:val="center"/>
          </w:tcPr>
          <w:p>
            <w:pPr>
              <w:keepNext w:val="0"/>
              <w:keepLines w:val="0"/>
              <w:pageBreakBefore w:val="0"/>
              <w:kinsoku/>
              <w:wordWrap/>
              <w:overflowPunct/>
              <w:topLinePunct w:val="0"/>
              <w:bidi w:val="0"/>
              <w:spacing w:line="276" w:lineRule="auto"/>
              <w:jc w:val="both"/>
              <w:rPr>
                <w:rFonts w:ascii="宋体" w:cs="Arial"/>
                <w:color w:val="auto"/>
                <w:sz w:val="24"/>
                <w:szCs w:val="24"/>
              </w:rPr>
            </w:pPr>
            <w:r>
              <w:rPr>
                <w:rFonts w:hint="eastAsia" w:ascii="宋体" w:cs="Arial"/>
                <w:color w:val="auto"/>
                <w:sz w:val="24"/>
                <w:szCs w:val="24"/>
              </w:rPr>
              <w:t>投标</w:t>
            </w:r>
            <w:r>
              <w:rPr>
                <w:rFonts w:hint="eastAsia" w:ascii="宋体" w:cs="Arial"/>
                <w:color w:val="auto"/>
                <w:sz w:val="24"/>
                <w:szCs w:val="24"/>
                <w:lang w:val="en-US" w:eastAsia="zh-CN"/>
              </w:rPr>
              <w:t>单价</w:t>
            </w:r>
            <w:r>
              <w:rPr>
                <w:rFonts w:hint="eastAsia" w:ascii="宋体" w:cs="Arial"/>
                <w:color w:val="auto"/>
                <w:sz w:val="24"/>
                <w:szCs w:val="24"/>
              </w:rPr>
              <w:t>最高限价（元）</w:t>
            </w:r>
          </w:p>
        </w:tc>
        <w:tc>
          <w:tcPr>
            <w:tcW w:w="1496" w:type="pct"/>
            <w:vAlign w:val="center"/>
          </w:tcPr>
          <w:p>
            <w:pPr>
              <w:keepNext w:val="0"/>
              <w:keepLines w:val="0"/>
              <w:pageBreakBefore w:val="0"/>
              <w:kinsoku/>
              <w:wordWrap/>
              <w:overflowPunct/>
              <w:topLinePunct w:val="0"/>
              <w:bidi w:val="0"/>
              <w:spacing w:line="276" w:lineRule="auto"/>
              <w:ind w:firstLine="120" w:firstLineChars="50"/>
              <w:jc w:val="center"/>
              <w:rPr>
                <w:rFonts w:hint="default" w:ascii="宋体" w:eastAsia="宋体" w:cs="Arial"/>
                <w:color w:val="auto"/>
                <w:sz w:val="24"/>
                <w:szCs w:val="24"/>
                <w:lang w:val="en-US" w:eastAsia="zh-CN"/>
              </w:rPr>
            </w:pPr>
            <w:r>
              <w:rPr>
                <w:rFonts w:hint="eastAsia" w:ascii="宋体" w:cs="Arial"/>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65" w:type="pct"/>
            <w:vAlign w:val="center"/>
          </w:tcPr>
          <w:p>
            <w:pPr>
              <w:keepNext w:val="0"/>
              <w:keepLines w:val="0"/>
              <w:pageBreakBefore w:val="0"/>
              <w:kinsoku/>
              <w:wordWrap/>
              <w:overflowPunct/>
              <w:topLinePunct w:val="0"/>
              <w:bidi w:val="0"/>
              <w:spacing w:line="360" w:lineRule="auto"/>
              <w:jc w:val="center"/>
              <w:rPr>
                <w:rFonts w:hint="eastAsia" w:ascii="宋体" w:hAnsi="宋体" w:eastAsia="宋体" w:cs="Arial"/>
                <w:color w:val="auto"/>
                <w:sz w:val="24"/>
                <w:szCs w:val="24"/>
                <w:lang w:val="en-US" w:eastAsia="zh-CN"/>
              </w:rPr>
            </w:pPr>
            <w:r>
              <w:rPr>
                <w:rFonts w:hint="eastAsia" w:ascii="宋体" w:hAnsi="宋体" w:cs="Arial"/>
                <w:color w:val="auto"/>
                <w:sz w:val="24"/>
                <w:szCs w:val="24"/>
                <w:lang w:val="en-US" w:eastAsia="zh-CN"/>
              </w:rPr>
              <w:t>1</w:t>
            </w:r>
          </w:p>
        </w:tc>
        <w:tc>
          <w:tcPr>
            <w:tcW w:w="1643" w:type="pct"/>
            <w:vAlign w:val="center"/>
          </w:tcPr>
          <w:p>
            <w:pPr>
              <w:keepNext w:val="0"/>
              <w:keepLines w:val="0"/>
              <w:pageBreakBefore w:val="0"/>
              <w:kinsoku/>
              <w:wordWrap/>
              <w:overflowPunct/>
              <w:topLinePunct w:val="0"/>
              <w:bidi w:val="0"/>
              <w:spacing w:line="276" w:lineRule="auto"/>
              <w:jc w:val="center"/>
              <w:rPr>
                <w:rFonts w:hint="eastAsia" w:ascii="宋体" w:cs="Arial"/>
                <w:color w:val="auto"/>
                <w:sz w:val="24"/>
                <w:szCs w:val="24"/>
              </w:rPr>
            </w:pPr>
            <w:r>
              <w:rPr>
                <w:rFonts w:hint="eastAsia" w:ascii="宋体" w:cs="Arial"/>
                <w:color w:val="auto"/>
                <w:sz w:val="24"/>
                <w:szCs w:val="24"/>
              </w:rPr>
              <w:t>智慧垃圾分类投放亭</w:t>
            </w:r>
            <w:r>
              <w:rPr>
                <w:rFonts w:ascii="宋体" w:cs="Arial"/>
                <w:color w:val="auto"/>
                <w:sz w:val="24"/>
                <w:szCs w:val="24"/>
              </w:rPr>
              <w:t>(1</w:t>
            </w:r>
            <w:r>
              <w:rPr>
                <w:rFonts w:hint="eastAsia" w:ascii="宋体" w:cs="Arial"/>
                <w:color w:val="auto"/>
                <w:sz w:val="24"/>
                <w:szCs w:val="24"/>
              </w:rPr>
              <w:t>号）</w:t>
            </w:r>
          </w:p>
        </w:tc>
        <w:tc>
          <w:tcPr>
            <w:tcW w:w="705" w:type="pct"/>
            <w:vAlign w:val="center"/>
          </w:tcPr>
          <w:p>
            <w:pPr>
              <w:keepNext w:val="0"/>
              <w:keepLines w:val="0"/>
              <w:pageBreakBefore w:val="0"/>
              <w:kinsoku/>
              <w:wordWrap/>
              <w:overflowPunct/>
              <w:topLinePunct w:val="0"/>
              <w:bidi w:val="0"/>
              <w:spacing w:line="276" w:lineRule="auto"/>
              <w:ind w:firstLine="240" w:firstLineChars="100"/>
              <w:rPr>
                <w:rFonts w:hint="eastAsia" w:ascii="宋体" w:cs="Arial"/>
                <w:color w:val="auto"/>
                <w:sz w:val="24"/>
                <w:szCs w:val="24"/>
                <w:u w:val="single"/>
              </w:rPr>
            </w:pPr>
            <w:r>
              <w:rPr>
                <w:rFonts w:hint="eastAsia" w:ascii="宋体" w:cs="Arial"/>
                <w:color w:val="auto"/>
                <w:sz w:val="24"/>
                <w:szCs w:val="24"/>
                <w:u w:val="single"/>
                <w:lang w:val="en-US" w:eastAsia="zh-CN"/>
              </w:rPr>
              <w:t xml:space="preserve"> 5</w:t>
            </w:r>
            <w:r>
              <w:rPr>
                <w:rFonts w:hint="eastAsia" w:ascii="宋体" w:cs="Arial"/>
                <w:color w:val="auto"/>
                <w:sz w:val="24"/>
                <w:szCs w:val="24"/>
                <w:u w:val="single"/>
              </w:rPr>
              <w:t xml:space="preserve"> </w:t>
            </w:r>
            <w:r>
              <w:rPr>
                <w:rFonts w:hint="eastAsia" w:ascii="宋体" w:cs="Arial"/>
                <w:color w:val="auto"/>
                <w:sz w:val="24"/>
                <w:szCs w:val="24"/>
              </w:rPr>
              <w:t>套</w:t>
            </w:r>
          </w:p>
        </w:tc>
        <w:tc>
          <w:tcPr>
            <w:tcW w:w="789" w:type="pct"/>
            <w:vAlign w:val="center"/>
          </w:tcPr>
          <w:p>
            <w:pPr>
              <w:keepNext w:val="0"/>
              <w:keepLines w:val="0"/>
              <w:pageBreakBefore w:val="0"/>
              <w:kinsoku/>
              <w:wordWrap/>
              <w:overflowPunct/>
              <w:topLinePunct w:val="0"/>
              <w:bidi w:val="0"/>
              <w:spacing w:line="276" w:lineRule="auto"/>
              <w:jc w:val="center"/>
              <w:rPr>
                <w:rFonts w:hint="eastAsia" w:ascii="宋体" w:cs="Arial"/>
                <w:color w:val="auto"/>
                <w:sz w:val="24"/>
                <w:szCs w:val="24"/>
                <w:u w:val="single"/>
                <w:lang w:val="en-US" w:eastAsia="zh-CN"/>
              </w:rPr>
            </w:pPr>
            <w:r>
              <w:rPr>
                <w:rFonts w:hint="eastAsia" w:ascii="宋体" w:cs="Arial"/>
                <w:color w:val="auto"/>
                <w:sz w:val="24"/>
                <w:szCs w:val="24"/>
                <w:u w:val="single"/>
                <w:lang w:val="en-US" w:eastAsia="zh-CN"/>
              </w:rPr>
              <w:t>580</w:t>
            </w:r>
            <w:r>
              <w:rPr>
                <w:rFonts w:hint="eastAsia" w:ascii="宋体" w:cs="Arial"/>
                <w:color w:val="auto"/>
                <w:sz w:val="24"/>
                <w:szCs w:val="24"/>
                <w:u w:val="single"/>
              </w:rPr>
              <w:t>00</w:t>
            </w:r>
            <w:r>
              <w:rPr>
                <w:rFonts w:hint="eastAsia" w:ascii="宋体" w:cs="Arial"/>
                <w:color w:val="auto"/>
                <w:sz w:val="24"/>
                <w:szCs w:val="24"/>
              </w:rPr>
              <w:t>/套</w:t>
            </w:r>
          </w:p>
        </w:tc>
        <w:tc>
          <w:tcPr>
            <w:tcW w:w="1496" w:type="pct"/>
            <w:vAlign w:val="center"/>
          </w:tcPr>
          <w:p>
            <w:pPr>
              <w:numPr>
                <w:ilvl w:val="0"/>
                <w:numId w:val="0"/>
              </w:numPr>
              <w:rPr>
                <w:rFonts w:hint="eastAsia" w:ascii="宋体" w:cs="Arial"/>
                <w:color w:val="auto"/>
                <w:sz w:val="24"/>
                <w:szCs w:val="24"/>
                <w:u w:val="single"/>
              </w:rPr>
            </w:pPr>
            <w:r>
              <w:rPr>
                <w:rFonts w:hint="eastAsia"/>
                <w:color w:val="auto"/>
                <w:sz w:val="24"/>
                <w:szCs w:val="24"/>
              </w:rPr>
              <w:t>亭体材质：铝合金。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65" w:type="pct"/>
            <w:vAlign w:val="center"/>
          </w:tcPr>
          <w:p>
            <w:pPr>
              <w:keepNext w:val="0"/>
              <w:keepLines w:val="0"/>
              <w:pageBreakBefore w:val="0"/>
              <w:kinsoku/>
              <w:wordWrap/>
              <w:overflowPunct/>
              <w:topLinePunct w:val="0"/>
              <w:bidi w:val="0"/>
              <w:spacing w:line="360" w:lineRule="auto"/>
              <w:jc w:val="center"/>
              <w:rPr>
                <w:rFonts w:hint="eastAsia" w:ascii="宋体" w:eastAsia="宋体"/>
                <w:color w:val="auto"/>
                <w:sz w:val="24"/>
                <w:szCs w:val="24"/>
                <w:lang w:val="en-US" w:eastAsia="zh-CN"/>
              </w:rPr>
            </w:pPr>
            <w:r>
              <w:rPr>
                <w:rFonts w:hint="eastAsia" w:ascii="宋体"/>
                <w:color w:val="auto"/>
                <w:sz w:val="24"/>
                <w:szCs w:val="24"/>
                <w:lang w:val="en-US" w:eastAsia="zh-CN"/>
              </w:rPr>
              <w:t>2</w:t>
            </w:r>
          </w:p>
        </w:tc>
        <w:tc>
          <w:tcPr>
            <w:tcW w:w="1643" w:type="pct"/>
            <w:vAlign w:val="center"/>
          </w:tcPr>
          <w:p>
            <w:pPr>
              <w:keepNext w:val="0"/>
              <w:keepLines w:val="0"/>
              <w:pageBreakBefore w:val="0"/>
              <w:kinsoku/>
              <w:wordWrap/>
              <w:overflowPunct/>
              <w:topLinePunct w:val="0"/>
              <w:bidi w:val="0"/>
              <w:spacing w:line="276" w:lineRule="auto"/>
              <w:jc w:val="center"/>
              <w:rPr>
                <w:rFonts w:ascii="宋体" w:cs="Arial"/>
                <w:color w:val="auto"/>
                <w:sz w:val="24"/>
                <w:szCs w:val="24"/>
              </w:rPr>
            </w:pPr>
            <w:r>
              <w:rPr>
                <w:rFonts w:hint="eastAsia" w:ascii="宋体" w:cs="Arial"/>
                <w:color w:val="auto"/>
                <w:sz w:val="24"/>
                <w:szCs w:val="24"/>
              </w:rPr>
              <w:t>智慧垃圾分类投放亭</w:t>
            </w:r>
            <w:r>
              <w:rPr>
                <w:rFonts w:ascii="宋体" w:cs="Arial"/>
                <w:color w:val="auto"/>
                <w:sz w:val="24"/>
                <w:szCs w:val="24"/>
              </w:rPr>
              <w:t>(</w:t>
            </w:r>
            <w:r>
              <w:rPr>
                <w:rFonts w:hint="eastAsia" w:ascii="宋体" w:cs="Arial"/>
                <w:color w:val="auto"/>
                <w:sz w:val="24"/>
                <w:szCs w:val="24"/>
                <w:lang w:val="en-US" w:eastAsia="zh-CN"/>
              </w:rPr>
              <w:t>2</w:t>
            </w:r>
            <w:r>
              <w:rPr>
                <w:rFonts w:hint="eastAsia" w:ascii="宋体" w:cs="Arial"/>
                <w:color w:val="auto"/>
                <w:sz w:val="24"/>
                <w:szCs w:val="24"/>
              </w:rPr>
              <w:t>号）</w:t>
            </w:r>
          </w:p>
        </w:tc>
        <w:tc>
          <w:tcPr>
            <w:tcW w:w="705" w:type="pct"/>
            <w:vAlign w:val="center"/>
          </w:tcPr>
          <w:p>
            <w:pPr>
              <w:keepNext w:val="0"/>
              <w:keepLines w:val="0"/>
              <w:pageBreakBefore w:val="0"/>
              <w:kinsoku/>
              <w:wordWrap/>
              <w:overflowPunct/>
              <w:topLinePunct w:val="0"/>
              <w:bidi w:val="0"/>
              <w:spacing w:line="276" w:lineRule="auto"/>
              <w:rPr>
                <w:rFonts w:ascii="宋体" w:cs="Arial"/>
                <w:color w:val="auto"/>
                <w:sz w:val="24"/>
                <w:szCs w:val="24"/>
              </w:rPr>
            </w:pPr>
            <w:r>
              <w:rPr>
                <w:rFonts w:hint="eastAsia" w:ascii="宋体" w:cs="Arial"/>
                <w:color w:val="auto"/>
                <w:sz w:val="24"/>
                <w:szCs w:val="24"/>
                <w:u w:val="single"/>
              </w:rPr>
              <w:t xml:space="preserve">  </w:t>
            </w:r>
            <w:r>
              <w:rPr>
                <w:rFonts w:hint="eastAsia" w:ascii="宋体" w:cs="Arial"/>
                <w:color w:val="auto"/>
                <w:sz w:val="24"/>
                <w:szCs w:val="24"/>
                <w:u w:val="single"/>
                <w:lang w:val="en-US" w:eastAsia="zh-CN"/>
              </w:rPr>
              <w:t>40</w:t>
            </w:r>
            <w:r>
              <w:rPr>
                <w:rFonts w:hint="eastAsia" w:ascii="宋体" w:cs="Arial"/>
                <w:color w:val="auto"/>
                <w:sz w:val="24"/>
                <w:szCs w:val="24"/>
                <w:u w:val="single"/>
              </w:rPr>
              <w:t xml:space="preserve"> </w:t>
            </w:r>
            <w:r>
              <w:rPr>
                <w:rFonts w:hint="eastAsia" w:ascii="宋体" w:cs="Arial"/>
                <w:color w:val="auto"/>
                <w:sz w:val="24"/>
                <w:szCs w:val="24"/>
              </w:rPr>
              <w:t xml:space="preserve">套 </w:t>
            </w:r>
          </w:p>
        </w:tc>
        <w:tc>
          <w:tcPr>
            <w:tcW w:w="789" w:type="pct"/>
            <w:vAlign w:val="center"/>
          </w:tcPr>
          <w:p>
            <w:pPr>
              <w:keepNext w:val="0"/>
              <w:keepLines w:val="0"/>
              <w:pageBreakBefore w:val="0"/>
              <w:kinsoku/>
              <w:wordWrap/>
              <w:overflowPunct/>
              <w:topLinePunct w:val="0"/>
              <w:bidi w:val="0"/>
              <w:spacing w:line="276" w:lineRule="auto"/>
              <w:jc w:val="center"/>
              <w:rPr>
                <w:rFonts w:ascii="宋体" w:cs="Arial"/>
                <w:color w:val="auto"/>
                <w:sz w:val="24"/>
                <w:szCs w:val="24"/>
              </w:rPr>
            </w:pPr>
            <w:r>
              <w:rPr>
                <w:rFonts w:hint="eastAsia" w:ascii="宋体" w:cs="Arial"/>
                <w:color w:val="auto"/>
                <w:sz w:val="24"/>
                <w:szCs w:val="24"/>
                <w:u w:val="single"/>
                <w:lang w:val="en-US" w:eastAsia="zh-CN"/>
              </w:rPr>
              <w:t>520</w:t>
            </w:r>
            <w:r>
              <w:rPr>
                <w:rFonts w:hint="eastAsia" w:ascii="宋体" w:cs="Arial"/>
                <w:color w:val="auto"/>
                <w:sz w:val="24"/>
                <w:szCs w:val="24"/>
                <w:u w:val="single"/>
              </w:rPr>
              <w:t>00</w:t>
            </w:r>
            <w:r>
              <w:rPr>
                <w:rFonts w:hint="eastAsia" w:ascii="宋体" w:cs="Arial"/>
                <w:color w:val="auto"/>
                <w:sz w:val="24"/>
                <w:szCs w:val="24"/>
              </w:rPr>
              <w:t>/套</w:t>
            </w:r>
          </w:p>
        </w:tc>
        <w:tc>
          <w:tcPr>
            <w:tcW w:w="1496" w:type="pct"/>
            <w:vAlign w:val="center"/>
          </w:tcPr>
          <w:p>
            <w:pPr>
              <w:keepNext w:val="0"/>
              <w:keepLines w:val="0"/>
              <w:pageBreakBefore w:val="0"/>
              <w:kinsoku/>
              <w:wordWrap/>
              <w:overflowPunct/>
              <w:topLinePunct w:val="0"/>
              <w:bidi w:val="0"/>
              <w:spacing w:line="276" w:lineRule="auto"/>
              <w:jc w:val="both"/>
              <w:rPr>
                <w:rFonts w:hint="eastAsia" w:ascii="宋体" w:cs="Arial"/>
                <w:color w:val="auto"/>
                <w:sz w:val="24"/>
                <w:szCs w:val="24"/>
                <w:u w:val="single"/>
              </w:rPr>
            </w:pPr>
            <w:r>
              <w:rPr>
                <w:rFonts w:hint="eastAsia"/>
                <w:color w:val="auto"/>
                <w:sz w:val="24"/>
                <w:szCs w:val="24"/>
              </w:rPr>
              <w:t>亭体材质：铝合金。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65" w:type="pct"/>
            <w:vAlign w:val="center"/>
          </w:tcPr>
          <w:p>
            <w:pPr>
              <w:keepNext w:val="0"/>
              <w:keepLines w:val="0"/>
              <w:pageBreakBefore w:val="0"/>
              <w:kinsoku/>
              <w:wordWrap/>
              <w:overflowPunct/>
              <w:topLinePunct w:val="0"/>
              <w:bidi w:val="0"/>
              <w:spacing w:line="360" w:lineRule="auto"/>
              <w:jc w:val="center"/>
              <w:rPr>
                <w:rFonts w:hint="eastAsia" w:ascii="宋体" w:hAnsi="宋体" w:eastAsia="宋体" w:cs="Arial"/>
                <w:color w:val="auto"/>
                <w:sz w:val="24"/>
                <w:szCs w:val="24"/>
                <w:lang w:val="en-US" w:eastAsia="zh-CN"/>
              </w:rPr>
            </w:pPr>
            <w:r>
              <w:rPr>
                <w:rFonts w:hint="eastAsia" w:ascii="宋体" w:hAnsi="宋体" w:cs="Arial"/>
                <w:color w:val="auto"/>
                <w:sz w:val="24"/>
                <w:szCs w:val="24"/>
                <w:lang w:val="en-US" w:eastAsia="zh-CN"/>
              </w:rPr>
              <w:t>3</w:t>
            </w:r>
          </w:p>
        </w:tc>
        <w:tc>
          <w:tcPr>
            <w:tcW w:w="1643" w:type="pct"/>
            <w:vAlign w:val="center"/>
          </w:tcPr>
          <w:p>
            <w:pPr>
              <w:keepNext w:val="0"/>
              <w:keepLines w:val="0"/>
              <w:pageBreakBefore w:val="0"/>
              <w:kinsoku/>
              <w:wordWrap/>
              <w:overflowPunct/>
              <w:topLinePunct w:val="0"/>
              <w:bidi w:val="0"/>
              <w:spacing w:line="276" w:lineRule="auto"/>
              <w:jc w:val="center"/>
              <w:rPr>
                <w:rFonts w:ascii="宋体" w:cs="Arial"/>
                <w:color w:val="auto"/>
                <w:sz w:val="24"/>
                <w:szCs w:val="24"/>
              </w:rPr>
            </w:pPr>
            <w:r>
              <w:rPr>
                <w:rFonts w:hint="eastAsia" w:ascii="宋体" w:cs="Arial"/>
                <w:color w:val="auto"/>
                <w:sz w:val="24"/>
                <w:szCs w:val="24"/>
              </w:rPr>
              <w:t>智慧垃圾分类投放亭</w:t>
            </w:r>
            <w:r>
              <w:rPr>
                <w:rFonts w:ascii="宋体" w:cs="Arial"/>
                <w:color w:val="auto"/>
                <w:sz w:val="24"/>
                <w:szCs w:val="24"/>
              </w:rPr>
              <w:t>(</w:t>
            </w:r>
            <w:r>
              <w:rPr>
                <w:rFonts w:hint="eastAsia" w:ascii="宋体" w:cs="Arial"/>
                <w:color w:val="auto"/>
                <w:sz w:val="24"/>
                <w:szCs w:val="24"/>
                <w:lang w:val="en-US" w:eastAsia="zh-CN"/>
              </w:rPr>
              <w:t>3</w:t>
            </w:r>
            <w:r>
              <w:rPr>
                <w:rFonts w:hint="eastAsia" w:ascii="宋体" w:cs="Arial"/>
                <w:color w:val="auto"/>
                <w:sz w:val="24"/>
                <w:szCs w:val="24"/>
              </w:rPr>
              <w:t>号）</w:t>
            </w:r>
          </w:p>
        </w:tc>
        <w:tc>
          <w:tcPr>
            <w:tcW w:w="705" w:type="pct"/>
            <w:vAlign w:val="center"/>
          </w:tcPr>
          <w:p>
            <w:pPr>
              <w:keepNext w:val="0"/>
              <w:keepLines w:val="0"/>
              <w:pageBreakBefore w:val="0"/>
              <w:kinsoku/>
              <w:wordWrap/>
              <w:overflowPunct/>
              <w:topLinePunct w:val="0"/>
              <w:bidi w:val="0"/>
              <w:spacing w:line="276" w:lineRule="auto"/>
              <w:rPr>
                <w:rFonts w:ascii="宋体" w:cs="Arial"/>
                <w:color w:val="auto"/>
                <w:sz w:val="24"/>
                <w:szCs w:val="24"/>
              </w:rPr>
            </w:pPr>
            <w:r>
              <w:rPr>
                <w:rFonts w:hint="eastAsia" w:ascii="宋体" w:cs="Arial"/>
                <w:color w:val="auto"/>
                <w:sz w:val="24"/>
                <w:szCs w:val="24"/>
                <w:u w:val="single"/>
              </w:rPr>
              <w:t xml:space="preserve"> </w:t>
            </w:r>
            <w:r>
              <w:rPr>
                <w:rFonts w:hint="eastAsia" w:ascii="宋体" w:cs="Arial"/>
                <w:color w:val="auto"/>
                <w:sz w:val="24"/>
                <w:szCs w:val="24"/>
                <w:u w:val="single"/>
                <w:lang w:val="en-US" w:eastAsia="zh-CN"/>
              </w:rPr>
              <w:t xml:space="preserve"> 5</w:t>
            </w:r>
            <w:r>
              <w:rPr>
                <w:rFonts w:hint="eastAsia" w:ascii="宋体" w:cs="Arial"/>
                <w:color w:val="auto"/>
                <w:sz w:val="24"/>
                <w:szCs w:val="24"/>
                <w:u w:val="single"/>
              </w:rPr>
              <w:t xml:space="preserve"> </w:t>
            </w:r>
            <w:r>
              <w:rPr>
                <w:rFonts w:hint="eastAsia" w:ascii="宋体" w:cs="Arial"/>
                <w:color w:val="auto"/>
                <w:sz w:val="24"/>
                <w:szCs w:val="24"/>
              </w:rPr>
              <w:t>套</w:t>
            </w:r>
          </w:p>
        </w:tc>
        <w:tc>
          <w:tcPr>
            <w:tcW w:w="789" w:type="pct"/>
            <w:vAlign w:val="center"/>
          </w:tcPr>
          <w:p>
            <w:pPr>
              <w:keepNext w:val="0"/>
              <w:keepLines w:val="0"/>
              <w:pageBreakBefore w:val="0"/>
              <w:kinsoku/>
              <w:wordWrap/>
              <w:overflowPunct/>
              <w:topLinePunct w:val="0"/>
              <w:bidi w:val="0"/>
              <w:spacing w:line="276" w:lineRule="auto"/>
              <w:jc w:val="center"/>
              <w:rPr>
                <w:rFonts w:ascii="宋体" w:cs="Arial"/>
                <w:color w:val="auto"/>
                <w:sz w:val="24"/>
                <w:szCs w:val="24"/>
                <w:u w:val="single"/>
              </w:rPr>
            </w:pPr>
            <w:r>
              <w:rPr>
                <w:rFonts w:hint="eastAsia" w:ascii="宋体" w:cs="Arial"/>
                <w:color w:val="auto"/>
                <w:sz w:val="24"/>
                <w:szCs w:val="24"/>
                <w:u w:val="single"/>
                <w:lang w:val="en-US" w:eastAsia="zh-CN"/>
              </w:rPr>
              <w:t>5</w:t>
            </w:r>
            <w:r>
              <w:rPr>
                <w:rFonts w:ascii="宋体" w:cs="Arial"/>
                <w:color w:val="auto"/>
                <w:sz w:val="24"/>
                <w:szCs w:val="24"/>
                <w:u w:val="single"/>
              </w:rPr>
              <w:t>0</w:t>
            </w:r>
            <w:r>
              <w:rPr>
                <w:rFonts w:hint="eastAsia" w:ascii="宋体" w:cs="Arial"/>
                <w:color w:val="auto"/>
                <w:sz w:val="24"/>
                <w:szCs w:val="24"/>
                <w:u w:val="single"/>
              </w:rPr>
              <w:t>000</w:t>
            </w:r>
            <w:r>
              <w:rPr>
                <w:rFonts w:hint="eastAsia" w:ascii="宋体" w:cs="Arial"/>
                <w:color w:val="auto"/>
                <w:sz w:val="24"/>
                <w:szCs w:val="24"/>
              </w:rPr>
              <w:t>/套</w:t>
            </w:r>
          </w:p>
        </w:tc>
        <w:tc>
          <w:tcPr>
            <w:tcW w:w="1496" w:type="pct"/>
            <w:vAlign w:val="center"/>
          </w:tcPr>
          <w:p>
            <w:pPr>
              <w:keepNext w:val="0"/>
              <w:keepLines w:val="0"/>
              <w:pageBreakBefore w:val="0"/>
              <w:kinsoku/>
              <w:wordWrap/>
              <w:overflowPunct/>
              <w:topLinePunct w:val="0"/>
              <w:bidi w:val="0"/>
              <w:spacing w:line="276" w:lineRule="auto"/>
              <w:jc w:val="both"/>
              <w:rPr>
                <w:rFonts w:ascii="宋体" w:cs="Arial"/>
                <w:color w:val="auto"/>
                <w:sz w:val="24"/>
                <w:szCs w:val="24"/>
                <w:u w:val="single"/>
              </w:rPr>
            </w:pPr>
            <w:r>
              <w:rPr>
                <w:rFonts w:hint="eastAsia"/>
                <w:color w:val="auto"/>
                <w:sz w:val="24"/>
                <w:szCs w:val="24"/>
              </w:rPr>
              <w:t>亭体材质：铝合金。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65" w:type="pct"/>
            <w:vAlign w:val="center"/>
          </w:tcPr>
          <w:p>
            <w:pPr>
              <w:keepNext w:val="0"/>
              <w:keepLines w:val="0"/>
              <w:pageBreakBefore w:val="0"/>
              <w:kinsoku/>
              <w:wordWrap/>
              <w:overflowPunct/>
              <w:topLinePunct w:val="0"/>
              <w:bidi w:val="0"/>
              <w:spacing w:line="360" w:lineRule="auto"/>
              <w:jc w:val="center"/>
              <w:rPr>
                <w:rFonts w:hint="eastAsia" w:ascii="宋体" w:hAnsi="宋体" w:eastAsia="宋体" w:cs="Arial"/>
                <w:color w:val="auto"/>
                <w:sz w:val="24"/>
                <w:szCs w:val="24"/>
                <w:lang w:val="en-US" w:eastAsia="zh-CN"/>
              </w:rPr>
            </w:pPr>
            <w:r>
              <w:rPr>
                <w:rFonts w:hint="eastAsia" w:ascii="宋体" w:hAnsi="宋体" w:cs="Arial"/>
                <w:color w:val="auto"/>
                <w:sz w:val="24"/>
                <w:szCs w:val="24"/>
                <w:lang w:val="en-US" w:eastAsia="zh-CN"/>
              </w:rPr>
              <w:t>4</w:t>
            </w:r>
          </w:p>
        </w:tc>
        <w:tc>
          <w:tcPr>
            <w:tcW w:w="1643" w:type="pct"/>
            <w:vAlign w:val="center"/>
          </w:tcPr>
          <w:p>
            <w:pPr>
              <w:keepNext w:val="0"/>
              <w:keepLines w:val="0"/>
              <w:pageBreakBefore w:val="0"/>
              <w:kinsoku/>
              <w:wordWrap/>
              <w:overflowPunct/>
              <w:topLinePunct w:val="0"/>
              <w:bidi w:val="0"/>
              <w:spacing w:line="276" w:lineRule="auto"/>
              <w:jc w:val="center"/>
              <w:rPr>
                <w:rFonts w:hint="eastAsia" w:ascii="宋体" w:hAnsi="宋体" w:eastAsia="宋体"/>
                <w:color w:val="auto"/>
                <w:sz w:val="24"/>
                <w:szCs w:val="24"/>
                <w:lang w:eastAsia="zh-CN"/>
              </w:rPr>
            </w:pPr>
            <w:r>
              <w:rPr>
                <w:rFonts w:hint="eastAsia" w:ascii="宋体" w:hAnsi="宋体"/>
                <w:color w:val="auto"/>
                <w:sz w:val="24"/>
                <w:szCs w:val="24"/>
              </w:rPr>
              <w:t>智慧垃圾分类管理运营服务</w:t>
            </w:r>
          </w:p>
        </w:tc>
        <w:tc>
          <w:tcPr>
            <w:tcW w:w="705" w:type="pct"/>
            <w:vAlign w:val="center"/>
          </w:tcPr>
          <w:p>
            <w:pPr>
              <w:keepNext w:val="0"/>
              <w:keepLines w:val="0"/>
              <w:pageBreakBefore w:val="0"/>
              <w:kinsoku/>
              <w:wordWrap/>
              <w:overflowPunct/>
              <w:topLinePunct w:val="0"/>
              <w:bidi w:val="0"/>
              <w:spacing w:line="276" w:lineRule="auto"/>
              <w:rPr>
                <w:rFonts w:hint="eastAsia" w:ascii="宋体" w:eastAsia="宋体" w:cs="Arial"/>
                <w:color w:val="auto"/>
                <w:sz w:val="24"/>
                <w:szCs w:val="24"/>
                <w:lang w:eastAsia="zh-CN"/>
              </w:rPr>
            </w:pPr>
            <w:r>
              <w:rPr>
                <w:rFonts w:hint="eastAsia" w:ascii="宋体" w:hAnsi="宋体" w:cs="Arial"/>
                <w:color w:val="auto"/>
                <w:sz w:val="24"/>
                <w:szCs w:val="24"/>
                <w:u w:val="single"/>
                <w:lang w:val="en-US" w:eastAsia="zh-CN"/>
              </w:rPr>
              <w:t>600</w:t>
            </w:r>
            <w:r>
              <w:rPr>
                <w:rFonts w:hint="eastAsia" w:ascii="宋体" w:hAnsi="宋体" w:cs="Arial"/>
                <w:color w:val="auto"/>
                <w:sz w:val="24"/>
                <w:szCs w:val="24"/>
              </w:rPr>
              <w:t>点.月</w:t>
            </w:r>
          </w:p>
        </w:tc>
        <w:tc>
          <w:tcPr>
            <w:tcW w:w="789" w:type="pct"/>
            <w:vAlign w:val="center"/>
          </w:tcPr>
          <w:p>
            <w:pPr>
              <w:keepNext w:val="0"/>
              <w:keepLines w:val="0"/>
              <w:pageBreakBefore w:val="0"/>
              <w:kinsoku/>
              <w:wordWrap/>
              <w:overflowPunct/>
              <w:topLinePunct w:val="0"/>
              <w:bidi w:val="0"/>
              <w:spacing w:line="276" w:lineRule="auto"/>
              <w:jc w:val="center"/>
              <w:rPr>
                <w:rFonts w:ascii="宋体" w:hAnsi="宋体" w:cs="Arial"/>
                <w:color w:val="auto"/>
                <w:sz w:val="24"/>
                <w:szCs w:val="24"/>
              </w:rPr>
            </w:pPr>
            <w:r>
              <w:rPr>
                <w:rFonts w:hint="default" w:ascii="宋体" w:hAnsi="宋体" w:cs="Arial"/>
                <w:color w:val="auto"/>
                <w:sz w:val="24"/>
                <w:szCs w:val="24"/>
                <w:u w:val="single"/>
                <w:lang w:val="en-US"/>
              </w:rPr>
              <w:t>1050</w:t>
            </w:r>
            <w:r>
              <w:rPr>
                <w:rFonts w:hint="eastAsia" w:ascii="宋体" w:hAnsi="宋体" w:cs="Arial"/>
                <w:color w:val="auto"/>
                <w:sz w:val="24"/>
                <w:szCs w:val="24"/>
              </w:rPr>
              <w:t>/点.月</w:t>
            </w:r>
          </w:p>
        </w:tc>
        <w:tc>
          <w:tcPr>
            <w:tcW w:w="1496" w:type="pct"/>
            <w:vAlign w:val="center"/>
          </w:tcPr>
          <w:p>
            <w:pPr>
              <w:keepNext w:val="0"/>
              <w:keepLines w:val="0"/>
              <w:pageBreakBefore w:val="0"/>
              <w:kinsoku/>
              <w:wordWrap/>
              <w:overflowPunct/>
              <w:topLinePunct w:val="0"/>
              <w:bidi w:val="0"/>
              <w:spacing w:line="276" w:lineRule="auto"/>
              <w:jc w:val="both"/>
              <w:rPr>
                <w:rFonts w:hint="default" w:ascii="宋体" w:hAnsi="宋体" w:eastAsia="宋体" w:cs="Arial"/>
                <w:color w:val="auto"/>
                <w:sz w:val="24"/>
                <w:szCs w:val="24"/>
                <w:u w:val="none"/>
                <w:lang w:val="en-US" w:eastAsia="zh-CN"/>
              </w:rPr>
            </w:pPr>
            <w:r>
              <w:rPr>
                <w:rFonts w:hint="eastAsia" w:ascii="宋体" w:hAnsi="宋体" w:cs="Arial"/>
                <w:color w:val="auto"/>
                <w:sz w:val="24"/>
                <w:szCs w:val="24"/>
                <w:u w:val="none"/>
                <w:lang w:val="en-US" w:eastAsia="zh-CN"/>
              </w:rPr>
              <w:t>每10个投放亭位配置的运营管理人员不得少于1人，另提供成熟的运营管理平台系统。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65" w:type="pct"/>
            <w:vAlign w:val="center"/>
          </w:tcPr>
          <w:p>
            <w:pPr>
              <w:keepNext w:val="0"/>
              <w:keepLines w:val="0"/>
              <w:pageBreakBefore w:val="0"/>
              <w:kinsoku/>
              <w:wordWrap/>
              <w:overflowPunct/>
              <w:topLinePunct w:val="0"/>
              <w:bidi w:val="0"/>
              <w:spacing w:line="360" w:lineRule="auto"/>
              <w:jc w:val="center"/>
              <w:rPr>
                <w:rFonts w:hint="eastAsia" w:ascii="宋体" w:hAnsi="宋体" w:eastAsia="宋体" w:cs="Arial"/>
                <w:color w:val="auto"/>
                <w:sz w:val="24"/>
                <w:szCs w:val="24"/>
                <w:lang w:val="en-US" w:eastAsia="zh-CN"/>
              </w:rPr>
            </w:pPr>
            <w:r>
              <w:rPr>
                <w:rFonts w:hint="eastAsia" w:ascii="宋体" w:hAnsi="宋体" w:cs="Arial"/>
                <w:color w:val="auto"/>
                <w:sz w:val="24"/>
                <w:szCs w:val="24"/>
                <w:lang w:val="en-US" w:eastAsia="zh-CN"/>
              </w:rPr>
              <w:t>5</w:t>
            </w:r>
          </w:p>
        </w:tc>
        <w:tc>
          <w:tcPr>
            <w:tcW w:w="1643" w:type="pct"/>
            <w:vAlign w:val="center"/>
          </w:tcPr>
          <w:p>
            <w:pPr>
              <w:keepNext w:val="0"/>
              <w:keepLines w:val="0"/>
              <w:pageBreakBefore w:val="0"/>
              <w:kinsoku/>
              <w:wordWrap/>
              <w:overflowPunct/>
              <w:topLinePunct w:val="0"/>
              <w:bidi w:val="0"/>
              <w:spacing w:line="276" w:lineRule="auto"/>
              <w:jc w:val="center"/>
              <w:rPr>
                <w:rFonts w:hint="eastAsia" w:ascii="宋体" w:hAnsi="宋体" w:eastAsia="宋体"/>
                <w:color w:val="auto"/>
                <w:sz w:val="24"/>
                <w:szCs w:val="24"/>
                <w:lang w:eastAsia="zh-CN"/>
              </w:rPr>
            </w:pPr>
            <w:r>
              <w:rPr>
                <w:rFonts w:hint="eastAsia" w:ascii="宋体" w:hAnsi="宋体"/>
                <w:color w:val="auto"/>
                <w:sz w:val="24"/>
                <w:szCs w:val="24"/>
              </w:rPr>
              <w:t>智慧垃圾分类</w:t>
            </w:r>
            <w:r>
              <w:rPr>
                <w:rFonts w:hint="eastAsia" w:ascii="宋体" w:hAnsi="宋体"/>
                <w:color w:val="auto"/>
                <w:sz w:val="24"/>
                <w:szCs w:val="24"/>
                <w:lang w:eastAsia="zh-CN"/>
              </w:rPr>
              <w:t>监督</w:t>
            </w:r>
            <w:r>
              <w:rPr>
                <w:rFonts w:hint="eastAsia" w:ascii="宋体" w:hAnsi="宋体"/>
                <w:color w:val="auto"/>
                <w:sz w:val="24"/>
                <w:szCs w:val="24"/>
              </w:rPr>
              <w:t>服务</w:t>
            </w:r>
          </w:p>
        </w:tc>
        <w:tc>
          <w:tcPr>
            <w:tcW w:w="705" w:type="pct"/>
            <w:vAlign w:val="center"/>
          </w:tcPr>
          <w:p>
            <w:pPr>
              <w:keepNext w:val="0"/>
              <w:keepLines w:val="0"/>
              <w:pageBreakBefore w:val="0"/>
              <w:kinsoku/>
              <w:wordWrap/>
              <w:overflowPunct/>
              <w:topLinePunct w:val="0"/>
              <w:bidi w:val="0"/>
              <w:spacing w:line="276" w:lineRule="auto"/>
              <w:rPr>
                <w:rFonts w:ascii="宋体" w:cs="Arial"/>
                <w:color w:val="auto"/>
                <w:sz w:val="24"/>
                <w:szCs w:val="24"/>
              </w:rPr>
            </w:pPr>
            <w:r>
              <w:rPr>
                <w:rFonts w:hint="eastAsia" w:ascii="宋体" w:cs="Arial"/>
                <w:color w:val="auto"/>
                <w:sz w:val="24"/>
                <w:szCs w:val="24"/>
                <w:u w:val="single"/>
                <w:lang w:val="en-US" w:eastAsia="zh-CN"/>
              </w:rPr>
              <w:t>600</w:t>
            </w:r>
            <w:r>
              <w:rPr>
                <w:rFonts w:hint="eastAsia" w:ascii="宋体" w:hAnsi="宋体" w:cs="Arial"/>
                <w:color w:val="auto"/>
                <w:sz w:val="24"/>
                <w:szCs w:val="24"/>
              </w:rPr>
              <w:t>点.月</w:t>
            </w:r>
          </w:p>
        </w:tc>
        <w:tc>
          <w:tcPr>
            <w:tcW w:w="789" w:type="pct"/>
            <w:vAlign w:val="center"/>
          </w:tcPr>
          <w:p>
            <w:pPr>
              <w:keepNext w:val="0"/>
              <w:keepLines w:val="0"/>
              <w:pageBreakBefore w:val="0"/>
              <w:kinsoku/>
              <w:wordWrap/>
              <w:overflowPunct/>
              <w:topLinePunct w:val="0"/>
              <w:bidi w:val="0"/>
              <w:spacing w:line="276" w:lineRule="auto"/>
              <w:jc w:val="center"/>
              <w:rPr>
                <w:rFonts w:ascii="宋体" w:hAnsi="宋体" w:cs="Arial"/>
                <w:color w:val="auto"/>
                <w:sz w:val="24"/>
                <w:szCs w:val="24"/>
                <w:u w:val="single"/>
              </w:rPr>
            </w:pPr>
            <w:r>
              <w:rPr>
                <w:rFonts w:hint="default" w:ascii="宋体" w:hAnsi="宋体" w:cs="Arial"/>
                <w:color w:val="auto"/>
                <w:sz w:val="24"/>
                <w:szCs w:val="24"/>
                <w:u w:val="single"/>
                <w:lang w:val="en-US"/>
              </w:rPr>
              <w:t>28</w:t>
            </w:r>
            <w:r>
              <w:rPr>
                <w:rFonts w:hint="eastAsia" w:ascii="宋体" w:hAnsi="宋体" w:cs="Arial"/>
                <w:color w:val="auto"/>
                <w:sz w:val="24"/>
                <w:szCs w:val="24"/>
                <w:u w:val="single"/>
                <w:lang w:val="en-US" w:eastAsia="zh-CN"/>
              </w:rPr>
              <w:t>50</w:t>
            </w:r>
            <w:r>
              <w:rPr>
                <w:rFonts w:hint="eastAsia" w:ascii="宋体" w:hAnsi="宋体" w:cs="Arial"/>
                <w:color w:val="auto"/>
                <w:sz w:val="24"/>
                <w:szCs w:val="24"/>
              </w:rPr>
              <w:t>/点.月</w:t>
            </w:r>
          </w:p>
        </w:tc>
        <w:tc>
          <w:tcPr>
            <w:tcW w:w="1496" w:type="pct"/>
            <w:vAlign w:val="center"/>
          </w:tcPr>
          <w:p>
            <w:pPr>
              <w:keepNext w:val="0"/>
              <w:keepLines w:val="0"/>
              <w:pageBreakBefore w:val="0"/>
              <w:kinsoku/>
              <w:wordWrap/>
              <w:overflowPunct/>
              <w:topLinePunct w:val="0"/>
              <w:bidi w:val="0"/>
              <w:spacing w:line="276" w:lineRule="auto"/>
              <w:rPr>
                <w:rFonts w:hint="default" w:ascii="宋体" w:hAnsi="宋体" w:cs="Arial"/>
                <w:color w:val="auto"/>
                <w:sz w:val="24"/>
                <w:szCs w:val="24"/>
                <w:u w:val="single"/>
                <w:lang w:val="en-US"/>
              </w:rPr>
            </w:pPr>
            <w:r>
              <w:rPr>
                <w:rFonts w:hint="eastAsia" w:ascii="宋体" w:hAnsi="宋体"/>
                <w:color w:val="auto"/>
                <w:sz w:val="24"/>
                <w:szCs w:val="24"/>
                <w:lang w:val="en-US" w:eastAsia="zh-CN"/>
              </w:rPr>
              <w:t>每个</w:t>
            </w:r>
            <w:r>
              <w:rPr>
                <w:rFonts w:hint="eastAsia" w:ascii="宋体" w:hAnsi="宋体" w:cs="Arial"/>
                <w:color w:val="auto"/>
                <w:sz w:val="24"/>
                <w:szCs w:val="24"/>
                <w:u w:val="none"/>
                <w:lang w:val="en-US" w:eastAsia="zh-CN"/>
              </w:rPr>
              <w:t>投放亭位</w:t>
            </w:r>
            <w:r>
              <w:rPr>
                <w:rFonts w:hint="eastAsia" w:ascii="宋体" w:hAnsi="宋体"/>
                <w:color w:val="auto"/>
                <w:sz w:val="24"/>
                <w:szCs w:val="24"/>
                <w:lang w:val="en-US" w:eastAsia="zh-CN"/>
              </w:rPr>
              <w:t>，配置1名监督员（含工资、保险等）</w:t>
            </w:r>
          </w:p>
        </w:tc>
      </w:tr>
    </w:tbl>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b/>
          <w:sz w:val="24"/>
        </w:rPr>
      </w:pPr>
      <w:r>
        <w:rPr>
          <w:rStyle w:val="52"/>
          <w:rFonts w:hint="eastAsia" w:hAnsi="宋体"/>
          <w:b/>
          <w:i w:val="0"/>
          <w:sz w:val="24"/>
        </w:rPr>
        <w:t>四、项目采购基本要求：</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ascii="宋体" w:hAnsi="宋体" w:cs="宋体"/>
          <w:b/>
          <w:bCs/>
          <w:sz w:val="24"/>
        </w:rPr>
      </w:pPr>
      <w:r>
        <w:rPr>
          <w:rFonts w:hint="eastAsia" w:ascii="宋体" w:hAnsi="宋体"/>
          <w:b/>
          <w:bCs/>
          <w:sz w:val="24"/>
        </w:rPr>
        <w:t>(一）智慧垃圾分类投放亭</w:t>
      </w:r>
      <w:r>
        <w:rPr>
          <w:rFonts w:hint="eastAsia" w:ascii="宋体" w:hAnsi="宋体" w:cs="宋体"/>
          <w:b/>
          <w:bCs/>
          <w:sz w:val="24"/>
        </w:rPr>
        <w:t>技术参数及相关要求</w:t>
      </w:r>
    </w:p>
    <w:p>
      <w:pPr>
        <w:keepNext w:val="0"/>
        <w:keepLines w:val="0"/>
        <w:pageBreakBefore w:val="0"/>
        <w:widowControl w:val="0"/>
        <w:kinsoku/>
        <w:wordWrap/>
        <w:overflowPunct/>
        <w:topLinePunct w:val="0"/>
        <w:autoSpaceDE/>
        <w:autoSpaceDN/>
        <w:bidi w:val="0"/>
        <w:adjustRightInd/>
        <w:snapToGrid/>
        <w:spacing w:line="360" w:lineRule="auto"/>
        <w:ind w:left="842" w:leftChars="229" w:hanging="361" w:hangingChars="150"/>
        <w:jc w:val="left"/>
        <w:textAlignment w:val="auto"/>
        <w:rPr>
          <w:rFonts w:ascii="宋体" w:hAnsi="宋体" w:cs="宋体"/>
          <w:b/>
          <w:bCs/>
          <w:sz w:val="24"/>
        </w:rPr>
      </w:pPr>
      <w:r>
        <w:rPr>
          <w:rFonts w:ascii="宋体" w:hAnsi="宋体" w:cs="宋体"/>
          <w:b/>
          <w:bCs/>
          <w:sz w:val="24"/>
        </w:rPr>
        <w:t>1</w:t>
      </w:r>
      <w:r>
        <w:rPr>
          <w:rFonts w:hint="eastAsia" w:ascii="宋体" w:hAnsi="宋体" w:cs="宋体"/>
          <w:b/>
          <w:bCs/>
          <w:sz w:val="24"/>
        </w:rPr>
        <w:t>、亭体实景效果图（供参考）</w:t>
      </w:r>
      <w:r>
        <w:drawing>
          <wp:inline distT="0" distB="0" distL="114300" distR="114300">
            <wp:extent cx="4602480" cy="2124075"/>
            <wp:effectExtent l="0" t="0" r="762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stretch>
                      <a:fillRect/>
                    </a:stretch>
                  </pic:blipFill>
                  <pic:spPr>
                    <a:xfrm>
                      <a:off x="0" y="0"/>
                      <a:ext cx="4602480" cy="21240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4653915" cy="2700020"/>
            <wp:effectExtent l="0" t="0" r="1333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4653915" cy="270002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2" w:firstLineChars="200"/>
        <w:rPr>
          <w:rFonts w:ascii="宋体" w:hAnsi="宋体" w:cs="宋体"/>
          <w:b/>
          <w:bCs/>
          <w:sz w:val="24"/>
        </w:rPr>
      </w:pPr>
      <w:r>
        <w:rPr>
          <w:rFonts w:hint="eastAsia" w:ascii="宋体" w:hAnsi="宋体" w:cs="宋体"/>
          <w:b/>
          <w:bCs/>
          <w:sz w:val="24"/>
        </w:rPr>
        <w:t>2、垃圾投放亭施工设计图</w:t>
      </w:r>
    </w:p>
    <w:p>
      <w:pPr>
        <w:pStyle w:val="252"/>
        <w:keepNext w:val="0"/>
        <w:keepLines w:val="0"/>
        <w:pageBreakBefore w:val="0"/>
        <w:kinsoku/>
        <w:wordWrap/>
        <w:overflowPunct/>
        <w:topLinePunct w:val="0"/>
        <w:bidi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分</w:t>
      </w:r>
      <w:r>
        <w:rPr>
          <w:rFonts w:hint="eastAsia" w:ascii="宋体" w:hAnsi="宋体" w:cs="宋体"/>
          <w:b/>
          <w:bCs/>
          <w:color w:val="auto"/>
          <w:sz w:val="24"/>
          <w:lang w:eastAsia="zh-CN"/>
        </w:rPr>
        <w:t>叁</w:t>
      </w:r>
      <w:r>
        <w:rPr>
          <w:rFonts w:hint="eastAsia" w:ascii="宋体" w:hAnsi="宋体" w:cs="宋体"/>
          <w:b/>
          <w:bCs/>
          <w:color w:val="auto"/>
          <w:sz w:val="24"/>
        </w:rPr>
        <w:t>种方案，适应不同场地要求时使用。</w:t>
      </w:r>
    </w:p>
    <w:p>
      <w:pPr>
        <w:pStyle w:val="252"/>
        <w:keepNext w:val="0"/>
        <w:keepLines w:val="0"/>
        <w:pageBreakBefore w:val="0"/>
        <w:kinsoku/>
        <w:wordWrap/>
        <w:overflowPunct/>
        <w:topLinePunct w:val="0"/>
        <w:bidi w:val="0"/>
        <w:spacing w:line="360" w:lineRule="auto"/>
        <w:ind w:left="0" w:leftChars="0" w:firstLine="0" w:firstLineChars="0"/>
        <w:rPr>
          <w:rFonts w:ascii="宋体" w:hAnsi="宋体" w:cs="宋体"/>
          <w:b/>
          <w:bCs/>
          <w:color w:val="auto"/>
          <w:sz w:val="24"/>
        </w:rPr>
      </w:pPr>
      <w:r>
        <w:rPr>
          <w:rFonts w:hint="eastAsia" w:ascii="宋体" w:hAnsi="宋体" w:cs="宋体"/>
          <w:b/>
          <w:bCs/>
          <w:color w:val="auto"/>
          <w:sz w:val="24"/>
        </w:rPr>
        <w:t>智慧垃圾分类投放亭(1号）：亭体长5.</w:t>
      </w:r>
      <w:r>
        <w:rPr>
          <w:rFonts w:hint="eastAsia" w:ascii="宋体" w:hAnsi="宋体" w:cs="宋体"/>
          <w:b/>
          <w:bCs/>
          <w:color w:val="auto"/>
          <w:sz w:val="24"/>
          <w:lang w:val="en-US" w:eastAsia="zh-CN"/>
        </w:rPr>
        <w:t>4</w:t>
      </w:r>
      <w:r>
        <w:rPr>
          <w:rFonts w:hint="eastAsia" w:ascii="宋体" w:hAnsi="宋体" w:cs="宋体"/>
          <w:b/>
          <w:bCs/>
          <w:color w:val="auto"/>
          <w:sz w:val="24"/>
        </w:rPr>
        <w:t>m*宽1.</w:t>
      </w:r>
      <w:r>
        <w:rPr>
          <w:rFonts w:hint="eastAsia" w:ascii="宋体" w:hAnsi="宋体" w:cs="宋体"/>
          <w:b/>
          <w:bCs/>
          <w:color w:val="auto"/>
          <w:sz w:val="24"/>
          <w:lang w:val="en-US" w:eastAsia="zh-CN"/>
        </w:rPr>
        <w:t>9</w:t>
      </w:r>
      <w:r>
        <w:rPr>
          <w:rFonts w:hint="eastAsia" w:ascii="宋体" w:hAnsi="宋体" w:cs="宋体"/>
          <w:b/>
          <w:bCs/>
          <w:color w:val="auto"/>
          <w:sz w:val="24"/>
        </w:rPr>
        <w:t>m*高2.72m</w:t>
      </w:r>
    </w:p>
    <w:p>
      <w:pPr>
        <w:pStyle w:val="252"/>
        <w:keepNext w:val="0"/>
        <w:keepLines w:val="0"/>
        <w:pageBreakBefore w:val="0"/>
        <w:kinsoku/>
        <w:wordWrap/>
        <w:overflowPunct/>
        <w:topLinePunct w:val="0"/>
        <w:bidi w:val="0"/>
        <w:spacing w:line="360" w:lineRule="auto"/>
        <w:ind w:firstLine="480" w:firstLineChars="200"/>
        <w:rPr>
          <w:rFonts w:ascii="宋体" w:hAnsi="宋体" w:cs="宋体"/>
          <w:color w:val="auto"/>
          <w:sz w:val="24"/>
        </w:rPr>
      </w:pPr>
      <w:r>
        <w:rPr>
          <w:rFonts w:hint="eastAsia" w:ascii="宋体" w:hAnsi="宋体" w:cs="宋体"/>
          <w:color w:val="auto"/>
          <w:sz w:val="24"/>
        </w:rPr>
        <w:t>（1）亭体基础图</w:t>
      </w:r>
    </w:p>
    <w:p>
      <w:pPr>
        <w:pStyle w:val="252"/>
        <w:keepNext w:val="0"/>
        <w:keepLines w:val="0"/>
        <w:pageBreakBefore w:val="0"/>
        <w:kinsoku/>
        <w:wordWrap/>
        <w:overflowPunct/>
        <w:topLinePunct w:val="0"/>
        <w:bidi w:val="0"/>
        <w:spacing w:line="360" w:lineRule="auto"/>
        <w:ind w:firstLine="420" w:firstLineChars="200"/>
        <w:rPr>
          <w:rFonts w:ascii="宋体" w:hAnsi="宋体" w:cs="宋体"/>
          <w:b/>
          <w:bCs/>
          <w:color w:val="FF0000"/>
          <w:sz w:val="24"/>
        </w:rPr>
      </w:pPr>
      <w:r>
        <w:rPr>
          <w:color w:val="FF0000"/>
        </w:rPr>
        <w:drawing>
          <wp:inline distT="0" distB="0" distL="114300" distR="114300">
            <wp:extent cx="5663565" cy="3096895"/>
            <wp:effectExtent l="0" t="0" r="1333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5663565" cy="3096895"/>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20" w:firstLineChars="200"/>
        <w:rPr>
          <w:color w:val="FF0000"/>
        </w:rPr>
      </w:pPr>
      <w:r>
        <w:rPr>
          <w:color w:val="FF0000"/>
        </w:rPr>
        <w:drawing>
          <wp:inline distT="0" distB="0" distL="114300" distR="114300">
            <wp:extent cx="4685030" cy="16656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a:stretch>
                      <a:fillRect/>
                    </a:stretch>
                  </pic:blipFill>
                  <pic:spPr>
                    <a:xfrm>
                      <a:off x="0" y="0"/>
                      <a:ext cx="4685030" cy="1665605"/>
                    </a:xfrm>
                    <a:prstGeom prst="rect">
                      <a:avLst/>
                    </a:prstGeom>
                    <a:noFill/>
                    <a:ln>
                      <a:noFill/>
                    </a:ln>
                  </pic:spPr>
                </pic:pic>
              </a:graphicData>
            </a:graphic>
          </wp:inline>
        </w:drawing>
      </w:r>
    </w:p>
    <w:p>
      <w:pPr>
        <w:pStyle w:val="252"/>
        <w:keepNext w:val="0"/>
        <w:keepLines w:val="0"/>
        <w:pageBreakBefore w:val="0"/>
        <w:numPr>
          <w:ilvl w:val="0"/>
          <w:numId w:val="5"/>
        </w:numPr>
        <w:kinsoku/>
        <w:wordWrap/>
        <w:overflowPunct/>
        <w:topLinePunct w:val="0"/>
        <w:bidi w:val="0"/>
        <w:spacing w:line="360" w:lineRule="auto"/>
        <w:ind w:firstLine="480" w:firstLineChars="200"/>
        <w:rPr>
          <w:rFonts w:hint="eastAsia" w:ascii="宋体" w:hAnsi="宋体"/>
          <w:color w:val="auto"/>
          <w:sz w:val="24"/>
        </w:rPr>
      </w:pPr>
      <w:r>
        <w:rPr>
          <w:rFonts w:hint="eastAsia" w:ascii="宋体" w:hAnsi="宋体"/>
          <w:color w:val="auto"/>
          <w:sz w:val="24"/>
        </w:rPr>
        <w:t>亭体雨棚图</w:t>
      </w:r>
    </w:p>
    <w:p>
      <w:pPr>
        <w:pStyle w:val="252"/>
        <w:keepNext w:val="0"/>
        <w:keepLines w:val="0"/>
        <w:pageBreakBefore w:val="0"/>
        <w:numPr>
          <w:ilvl w:val="0"/>
          <w:numId w:val="0"/>
        </w:numPr>
        <w:kinsoku/>
        <w:wordWrap/>
        <w:overflowPunct/>
        <w:topLinePunct w:val="0"/>
        <w:bidi w:val="0"/>
        <w:spacing w:line="360" w:lineRule="auto"/>
        <w:rPr>
          <w:rFonts w:hint="eastAsia" w:ascii="宋体" w:hAnsi="宋体" w:cs="宋体"/>
          <w:b/>
          <w:bCs/>
          <w:color w:val="FF0000"/>
          <w:sz w:val="24"/>
        </w:rPr>
      </w:pPr>
      <w:r>
        <w:rPr>
          <w:color w:val="FF0000"/>
        </w:rPr>
        <w:drawing>
          <wp:inline distT="0" distB="0" distL="114300" distR="114300">
            <wp:extent cx="5662930" cy="2894965"/>
            <wp:effectExtent l="0" t="0" r="1397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8"/>
                    <a:stretch>
                      <a:fillRect/>
                    </a:stretch>
                  </pic:blipFill>
                  <pic:spPr>
                    <a:xfrm>
                      <a:off x="0" y="0"/>
                      <a:ext cx="5662930" cy="2894965"/>
                    </a:xfrm>
                    <a:prstGeom prst="rect">
                      <a:avLst/>
                    </a:prstGeom>
                    <a:noFill/>
                    <a:ln>
                      <a:noFill/>
                    </a:ln>
                  </pic:spPr>
                </pic:pic>
              </a:graphicData>
            </a:graphic>
          </wp:inline>
        </w:drawing>
      </w: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s="宋体"/>
          <w:b/>
          <w:bCs/>
          <w:color w:val="auto"/>
          <w:sz w:val="24"/>
        </w:rPr>
      </w:pPr>
      <w:r>
        <w:rPr>
          <w:rFonts w:hint="eastAsia" w:ascii="宋体" w:hAnsi="宋体"/>
          <w:color w:val="auto"/>
          <w:sz w:val="24"/>
          <w:lang w:eastAsia="zh-CN"/>
        </w:rPr>
        <w:t>（</w:t>
      </w:r>
      <w:r>
        <w:rPr>
          <w:rFonts w:hint="eastAsia" w:ascii="宋体" w:hAnsi="宋体"/>
          <w:color w:val="auto"/>
          <w:sz w:val="24"/>
          <w:lang w:val="en-US" w:eastAsia="zh-CN"/>
        </w:rPr>
        <w:t>3</w:t>
      </w:r>
      <w:r>
        <w:rPr>
          <w:rFonts w:hint="eastAsia" w:ascii="宋体" w:hAnsi="宋体"/>
          <w:color w:val="auto"/>
          <w:sz w:val="24"/>
          <w:lang w:eastAsia="zh-CN"/>
        </w:rPr>
        <w:t>）</w:t>
      </w:r>
      <w:r>
        <w:rPr>
          <w:rFonts w:hint="eastAsia" w:ascii="宋体" w:hAnsi="宋体"/>
          <w:color w:val="auto"/>
          <w:sz w:val="24"/>
        </w:rPr>
        <w:t>亭体立面图</w:t>
      </w:r>
    </w:p>
    <w:p>
      <w:pPr>
        <w:pStyle w:val="252"/>
        <w:keepNext w:val="0"/>
        <w:keepLines w:val="0"/>
        <w:pageBreakBefore w:val="0"/>
        <w:numPr>
          <w:ilvl w:val="0"/>
          <w:numId w:val="0"/>
        </w:numPr>
        <w:kinsoku/>
        <w:wordWrap/>
        <w:overflowPunct/>
        <w:topLinePunct w:val="0"/>
        <w:bidi w:val="0"/>
        <w:spacing w:line="360" w:lineRule="auto"/>
        <w:rPr>
          <w:color w:val="FF0000"/>
        </w:rPr>
      </w:pPr>
      <w:r>
        <w:rPr>
          <w:color w:val="FF0000"/>
        </w:rPr>
        <w:drawing>
          <wp:inline distT="0" distB="0" distL="114300" distR="114300">
            <wp:extent cx="5664835" cy="3398520"/>
            <wp:effectExtent l="0" t="0" r="12065" b="1143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9"/>
                    <a:stretch>
                      <a:fillRect/>
                    </a:stretch>
                  </pic:blipFill>
                  <pic:spPr>
                    <a:xfrm>
                      <a:off x="0" y="0"/>
                      <a:ext cx="5664835" cy="3398520"/>
                    </a:xfrm>
                    <a:prstGeom prst="rect">
                      <a:avLst/>
                    </a:prstGeom>
                    <a:noFill/>
                    <a:ln>
                      <a:noFill/>
                    </a:ln>
                  </pic:spPr>
                </pic:pic>
              </a:graphicData>
            </a:graphic>
          </wp:inline>
        </w:drawing>
      </w: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olor w:val="auto"/>
          <w:sz w:val="24"/>
          <w:lang w:eastAsia="zh-CN"/>
        </w:rPr>
      </w:pP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olor w:val="auto"/>
          <w:sz w:val="24"/>
          <w:lang w:eastAsia="zh-CN"/>
        </w:rPr>
      </w:pP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olor w:val="auto"/>
          <w:sz w:val="24"/>
          <w:lang w:eastAsia="zh-CN"/>
        </w:rPr>
      </w:pP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olor w:val="auto"/>
          <w:sz w:val="24"/>
          <w:lang w:eastAsia="zh-CN"/>
        </w:rPr>
      </w:pP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olor w:val="auto"/>
          <w:sz w:val="24"/>
          <w:lang w:eastAsia="zh-CN"/>
        </w:rPr>
      </w:pPr>
    </w:p>
    <w:p>
      <w:pPr>
        <w:pStyle w:val="252"/>
        <w:keepNext w:val="0"/>
        <w:keepLines w:val="0"/>
        <w:pageBreakBefore w:val="0"/>
        <w:numPr>
          <w:ilvl w:val="0"/>
          <w:numId w:val="0"/>
        </w:numPr>
        <w:kinsoku/>
        <w:wordWrap/>
        <w:overflowPunct/>
        <w:topLinePunct w:val="0"/>
        <w:bidi w:val="0"/>
        <w:spacing w:line="360" w:lineRule="auto"/>
        <w:ind w:firstLine="480" w:firstLineChars="200"/>
        <w:rPr>
          <w:rFonts w:hint="eastAsia" w:ascii="宋体" w:hAnsi="宋体"/>
          <w:color w:val="auto"/>
          <w:sz w:val="24"/>
          <w:lang w:eastAsia="zh-CN"/>
        </w:rPr>
      </w:pPr>
    </w:p>
    <w:p>
      <w:pPr>
        <w:pStyle w:val="252"/>
        <w:keepNext w:val="0"/>
        <w:keepLines w:val="0"/>
        <w:pageBreakBefore w:val="0"/>
        <w:numPr>
          <w:ilvl w:val="0"/>
          <w:numId w:val="0"/>
        </w:numPr>
        <w:kinsoku/>
        <w:wordWrap/>
        <w:overflowPunct/>
        <w:topLinePunct w:val="0"/>
        <w:bidi w:val="0"/>
        <w:spacing w:line="360" w:lineRule="auto"/>
        <w:ind w:firstLine="480" w:firstLineChars="200"/>
        <w:rPr>
          <w:color w:val="FF0000"/>
        </w:rPr>
      </w:pPr>
      <w:r>
        <w:rPr>
          <w:rFonts w:hint="eastAsia" w:ascii="宋体" w:hAnsi="宋体"/>
          <w:color w:val="auto"/>
          <w:sz w:val="24"/>
          <w:lang w:eastAsia="zh-CN"/>
        </w:rPr>
        <w:t>（</w:t>
      </w:r>
      <w:r>
        <w:rPr>
          <w:rFonts w:hint="eastAsia" w:ascii="宋体" w:hAnsi="宋体"/>
          <w:color w:val="auto"/>
          <w:sz w:val="24"/>
          <w:lang w:val="en-US" w:eastAsia="zh-CN"/>
        </w:rPr>
        <w:t>4</w:t>
      </w:r>
      <w:r>
        <w:rPr>
          <w:rFonts w:hint="eastAsia" w:ascii="宋体" w:hAnsi="宋体"/>
          <w:color w:val="auto"/>
          <w:sz w:val="24"/>
          <w:lang w:eastAsia="zh-CN"/>
        </w:rPr>
        <w:t>）</w:t>
      </w:r>
      <w:r>
        <w:rPr>
          <w:rFonts w:hint="eastAsia" w:ascii="宋体" w:hAnsi="宋体"/>
          <w:color w:val="auto"/>
          <w:sz w:val="24"/>
        </w:rPr>
        <w:t>亭体</w:t>
      </w:r>
      <w:r>
        <w:rPr>
          <w:rFonts w:hint="eastAsia" w:ascii="宋体" w:hAnsi="宋体"/>
          <w:color w:val="auto"/>
          <w:sz w:val="24"/>
          <w:lang w:eastAsia="zh-CN"/>
        </w:rPr>
        <w:t>侧</w:t>
      </w:r>
      <w:r>
        <w:rPr>
          <w:rFonts w:hint="eastAsia" w:ascii="宋体" w:hAnsi="宋体"/>
          <w:color w:val="auto"/>
          <w:sz w:val="24"/>
        </w:rPr>
        <w:t>立面图</w:t>
      </w:r>
    </w:p>
    <w:p>
      <w:pPr>
        <w:pStyle w:val="252"/>
        <w:keepNext w:val="0"/>
        <w:keepLines w:val="0"/>
        <w:pageBreakBefore w:val="0"/>
        <w:numPr>
          <w:ilvl w:val="0"/>
          <w:numId w:val="0"/>
        </w:numPr>
        <w:kinsoku/>
        <w:wordWrap/>
        <w:overflowPunct/>
        <w:topLinePunct w:val="0"/>
        <w:bidi w:val="0"/>
        <w:spacing w:line="360" w:lineRule="auto"/>
        <w:rPr>
          <w:rFonts w:hint="eastAsia" w:ascii="宋体" w:hAnsi="宋体" w:cs="宋体"/>
          <w:b/>
          <w:bCs/>
          <w:color w:val="FF0000"/>
          <w:sz w:val="24"/>
        </w:rPr>
      </w:pPr>
      <w:r>
        <w:rPr>
          <w:color w:val="FF0000"/>
        </w:rPr>
        <w:drawing>
          <wp:inline distT="0" distB="0" distL="114300" distR="114300">
            <wp:extent cx="4326255" cy="3524250"/>
            <wp:effectExtent l="0" t="0" r="1714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0"/>
                    <a:stretch>
                      <a:fillRect/>
                    </a:stretch>
                  </pic:blipFill>
                  <pic:spPr>
                    <a:xfrm>
                      <a:off x="0" y="0"/>
                      <a:ext cx="4326255" cy="3524250"/>
                    </a:xfrm>
                    <a:prstGeom prst="rect">
                      <a:avLst/>
                    </a:prstGeom>
                    <a:noFill/>
                    <a:ln>
                      <a:noFill/>
                    </a:ln>
                  </pic:spPr>
                </pic:pic>
              </a:graphicData>
            </a:graphic>
          </wp:inline>
        </w:drawing>
      </w:r>
    </w:p>
    <w:p>
      <w:pPr>
        <w:pStyle w:val="252"/>
        <w:keepNext w:val="0"/>
        <w:keepLines w:val="0"/>
        <w:pageBreakBefore w:val="0"/>
        <w:numPr>
          <w:ilvl w:val="0"/>
          <w:numId w:val="6"/>
        </w:numPr>
        <w:kinsoku/>
        <w:wordWrap/>
        <w:overflowPunct/>
        <w:topLinePunct w:val="0"/>
        <w:bidi w:val="0"/>
        <w:spacing w:line="360" w:lineRule="auto"/>
        <w:ind w:left="0" w:leftChars="0" w:firstLineChars="0"/>
        <w:rPr>
          <w:rFonts w:hint="eastAsia" w:ascii="宋体" w:hAnsi="宋体"/>
          <w:color w:val="FF0000"/>
          <w:sz w:val="24"/>
        </w:rPr>
      </w:pPr>
      <w:r>
        <w:rPr>
          <w:rFonts w:hint="eastAsia" w:ascii="宋体" w:hAnsi="宋体"/>
          <w:color w:val="auto"/>
          <w:sz w:val="24"/>
        </w:rPr>
        <w:t>工具房</w:t>
      </w:r>
      <w:r>
        <w:rPr>
          <w:rFonts w:hint="eastAsia" w:ascii="宋体" w:hAnsi="宋体"/>
          <w:color w:val="auto"/>
          <w:sz w:val="24"/>
          <w:lang w:eastAsia="zh-CN"/>
        </w:rPr>
        <w:t>、</w:t>
      </w:r>
    </w:p>
    <w:p>
      <w:pPr>
        <w:pStyle w:val="252"/>
        <w:keepNext w:val="0"/>
        <w:keepLines w:val="0"/>
        <w:pageBreakBefore w:val="0"/>
        <w:numPr>
          <w:ilvl w:val="0"/>
          <w:numId w:val="0"/>
        </w:numPr>
        <w:kinsoku/>
        <w:wordWrap/>
        <w:overflowPunct/>
        <w:topLinePunct w:val="0"/>
        <w:bidi w:val="0"/>
        <w:spacing w:line="360" w:lineRule="auto"/>
        <w:rPr>
          <w:rFonts w:hint="eastAsia" w:ascii="宋体" w:hAnsi="宋体"/>
          <w:color w:val="FF0000"/>
          <w:sz w:val="24"/>
        </w:rPr>
      </w:pPr>
      <w:r>
        <w:rPr>
          <w:color w:val="FF0000"/>
        </w:rPr>
        <w:drawing>
          <wp:inline distT="0" distB="0" distL="114300" distR="114300">
            <wp:extent cx="5663565" cy="3480435"/>
            <wp:effectExtent l="0" t="0" r="13335" b="571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1"/>
                    <a:stretch>
                      <a:fillRect/>
                    </a:stretch>
                  </pic:blipFill>
                  <pic:spPr>
                    <a:xfrm>
                      <a:off x="0" y="0"/>
                      <a:ext cx="5663565" cy="3480435"/>
                    </a:xfrm>
                    <a:prstGeom prst="rect">
                      <a:avLst/>
                    </a:prstGeom>
                    <a:noFill/>
                    <a:ln>
                      <a:noFill/>
                    </a:ln>
                  </pic:spPr>
                </pic:pic>
              </a:graphicData>
            </a:graphic>
          </wp:inline>
        </w:drawing>
      </w:r>
    </w:p>
    <w:p>
      <w:pPr>
        <w:pStyle w:val="252"/>
        <w:keepNext w:val="0"/>
        <w:keepLines w:val="0"/>
        <w:pageBreakBefore w:val="0"/>
        <w:numPr>
          <w:ilvl w:val="0"/>
          <w:numId w:val="0"/>
        </w:numPr>
        <w:kinsoku/>
        <w:wordWrap/>
        <w:overflowPunct/>
        <w:topLinePunct w:val="0"/>
        <w:bidi w:val="0"/>
        <w:spacing w:line="360" w:lineRule="auto"/>
        <w:rPr>
          <w:rFonts w:hint="eastAsia" w:ascii="宋体" w:hAnsi="宋体" w:cs="宋体"/>
          <w:b/>
          <w:bCs/>
          <w:color w:val="FF0000"/>
          <w:sz w:val="24"/>
        </w:rPr>
      </w:pPr>
    </w:p>
    <w:p>
      <w:pPr>
        <w:pStyle w:val="252"/>
        <w:keepNext w:val="0"/>
        <w:keepLines w:val="0"/>
        <w:pageBreakBefore w:val="0"/>
        <w:numPr>
          <w:ilvl w:val="0"/>
          <w:numId w:val="0"/>
        </w:numPr>
        <w:kinsoku/>
        <w:wordWrap/>
        <w:overflowPunct/>
        <w:topLinePunct w:val="0"/>
        <w:bidi w:val="0"/>
        <w:spacing w:line="360" w:lineRule="auto"/>
        <w:rPr>
          <w:rFonts w:hint="eastAsia" w:ascii="宋体" w:hAnsi="宋体" w:cs="宋体"/>
          <w:b/>
          <w:bCs/>
          <w:color w:val="FF0000"/>
          <w:sz w:val="24"/>
        </w:rPr>
      </w:pPr>
    </w:p>
    <w:p>
      <w:pPr>
        <w:pStyle w:val="252"/>
        <w:keepNext w:val="0"/>
        <w:keepLines w:val="0"/>
        <w:pageBreakBefore w:val="0"/>
        <w:numPr>
          <w:ilvl w:val="0"/>
          <w:numId w:val="0"/>
        </w:numPr>
        <w:kinsoku/>
        <w:wordWrap/>
        <w:overflowPunct/>
        <w:topLinePunct w:val="0"/>
        <w:bidi w:val="0"/>
        <w:spacing w:line="360" w:lineRule="auto"/>
        <w:rPr>
          <w:rFonts w:hint="eastAsia" w:ascii="宋体" w:hAnsi="宋体" w:cs="宋体"/>
          <w:b/>
          <w:bCs/>
          <w:color w:val="FF0000"/>
          <w:sz w:val="24"/>
        </w:rPr>
      </w:pPr>
    </w:p>
    <w:p>
      <w:pPr>
        <w:pStyle w:val="252"/>
        <w:keepNext w:val="0"/>
        <w:keepLines w:val="0"/>
        <w:pageBreakBefore w:val="0"/>
        <w:numPr>
          <w:ilvl w:val="0"/>
          <w:numId w:val="0"/>
        </w:numPr>
        <w:kinsoku/>
        <w:wordWrap/>
        <w:overflowPunct/>
        <w:topLinePunct w:val="0"/>
        <w:bidi w:val="0"/>
        <w:spacing w:line="360" w:lineRule="auto"/>
        <w:rPr>
          <w:rFonts w:hint="eastAsia" w:ascii="宋体" w:hAnsi="宋体" w:cs="宋体"/>
          <w:b/>
          <w:bCs/>
          <w:sz w:val="24"/>
        </w:rPr>
      </w:pPr>
    </w:p>
    <w:p>
      <w:pPr>
        <w:pStyle w:val="252"/>
        <w:keepNext w:val="0"/>
        <w:keepLines w:val="0"/>
        <w:pageBreakBefore w:val="0"/>
        <w:numPr>
          <w:ilvl w:val="0"/>
          <w:numId w:val="0"/>
        </w:numPr>
        <w:kinsoku/>
        <w:wordWrap/>
        <w:overflowPunct/>
        <w:topLinePunct w:val="0"/>
        <w:bidi w:val="0"/>
        <w:spacing w:line="360" w:lineRule="auto"/>
        <w:rPr>
          <w:rFonts w:ascii="宋体" w:hAnsi="宋体" w:cs="宋体"/>
          <w:b/>
          <w:bCs/>
          <w:sz w:val="24"/>
        </w:rPr>
      </w:pPr>
      <w:r>
        <w:rPr>
          <w:rFonts w:hint="eastAsia" w:ascii="宋体" w:hAnsi="宋体" w:cs="宋体"/>
          <w:b/>
          <w:bCs/>
          <w:sz w:val="24"/>
        </w:rPr>
        <w:t>智慧垃圾分类投放亭(</w:t>
      </w:r>
      <w:r>
        <w:rPr>
          <w:rFonts w:hint="eastAsia" w:ascii="宋体" w:hAnsi="宋体" w:cs="宋体"/>
          <w:b/>
          <w:bCs/>
          <w:sz w:val="24"/>
          <w:lang w:val="en-US" w:eastAsia="zh-CN"/>
        </w:rPr>
        <w:t>2</w:t>
      </w:r>
      <w:r>
        <w:rPr>
          <w:rFonts w:hint="eastAsia" w:ascii="宋体" w:hAnsi="宋体" w:cs="宋体"/>
          <w:b/>
          <w:bCs/>
          <w:sz w:val="24"/>
        </w:rPr>
        <w:t>号）：亭体长5.4m*宽1.56m*高2.72m</w:t>
      </w:r>
    </w:p>
    <w:p>
      <w:pPr>
        <w:pStyle w:val="252"/>
        <w:keepNext w:val="0"/>
        <w:keepLines w:val="0"/>
        <w:pageBreakBefore w:val="0"/>
        <w:kinsoku/>
        <w:wordWrap/>
        <w:overflowPunct/>
        <w:topLinePunct w:val="0"/>
        <w:bidi w:val="0"/>
        <w:spacing w:line="360" w:lineRule="auto"/>
        <w:ind w:firstLine="480" w:firstLineChars="200"/>
        <w:rPr>
          <w:rFonts w:ascii="宋体" w:hAnsi="宋体" w:cs="宋体"/>
          <w:sz w:val="24"/>
        </w:rPr>
      </w:pPr>
      <w:r>
        <w:rPr>
          <w:rFonts w:hint="eastAsia" w:ascii="宋体" w:hAnsi="宋体" w:cs="宋体"/>
          <w:sz w:val="24"/>
        </w:rPr>
        <w:t>（1）亭体基础图</w:t>
      </w:r>
    </w:p>
    <w:p>
      <w:pPr>
        <w:keepNext w:val="0"/>
        <w:keepLines w:val="0"/>
        <w:pageBreakBefore w:val="0"/>
        <w:kinsoku/>
        <w:wordWrap/>
        <w:overflowPunct/>
        <w:topLinePunct w:val="0"/>
        <w:bidi w:val="0"/>
        <w:rPr>
          <w:rFonts w:ascii="宋体" w:hAnsi="宋体"/>
          <w:b/>
          <w:bCs/>
          <w:sz w:val="24"/>
        </w:rPr>
      </w:pPr>
      <w:r>
        <w:drawing>
          <wp:inline distT="0" distB="0" distL="114300" distR="114300">
            <wp:extent cx="5658485" cy="2439035"/>
            <wp:effectExtent l="0" t="0" r="18415"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2"/>
                    <a:stretch>
                      <a:fillRect/>
                    </a:stretch>
                  </pic:blipFill>
                  <pic:spPr>
                    <a:xfrm>
                      <a:off x="0" y="0"/>
                      <a:ext cx="5658485" cy="2439035"/>
                    </a:xfrm>
                    <a:prstGeom prst="rect">
                      <a:avLst/>
                    </a:prstGeom>
                    <a:noFill/>
                    <a:ln>
                      <a:noFill/>
                    </a:ln>
                  </pic:spPr>
                </pic:pic>
              </a:graphicData>
            </a:graphic>
          </wp:inline>
        </w:drawing>
      </w:r>
      <w:r>
        <w:drawing>
          <wp:inline distT="0" distB="0" distL="114300" distR="114300">
            <wp:extent cx="6009640" cy="2330450"/>
            <wp:effectExtent l="0" t="0" r="1016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3"/>
                    <a:stretch>
                      <a:fillRect/>
                    </a:stretch>
                  </pic:blipFill>
                  <pic:spPr>
                    <a:xfrm>
                      <a:off x="0" y="0"/>
                      <a:ext cx="6009640" cy="233045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0" w:firstLineChars="200"/>
        <w:jc w:val="left"/>
        <w:rPr>
          <w:rFonts w:ascii="宋体" w:hAnsi="宋体"/>
          <w:b/>
          <w:bCs/>
          <w:sz w:val="24"/>
        </w:rPr>
      </w:pPr>
      <w:r>
        <w:rPr>
          <w:rFonts w:hint="eastAsia" w:ascii="宋体" w:hAnsi="宋体"/>
          <w:sz w:val="24"/>
        </w:rPr>
        <w:t>（2）亭体雨棚图</w:t>
      </w:r>
      <w:r>
        <w:drawing>
          <wp:inline distT="0" distB="0" distL="114300" distR="114300">
            <wp:extent cx="5662930" cy="2462530"/>
            <wp:effectExtent l="0" t="0" r="13970" b="139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4"/>
                    <a:stretch>
                      <a:fillRect/>
                    </a:stretch>
                  </pic:blipFill>
                  <pic:spPr>
                    <a:xfrm>
                      <a:off x="0" y="0"/>
                      <a:ext cx="5662930" cy="246253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0" w:firstLineChars="200"/>
        <w:jc w:val="left"/>
        <w:rPr>
          <w:rFonts w:hint="eastAsia" w:ascii="宋体" w:hAnsi="宋体"/>
          <w:sz w:val="24"/>
        </w:rPr>
      </w:pPr>
    </w:p>
    <w:p>
      <w:pPr>
        <w:pStyle w:val="252"/>
        <w:keepNext w:val="0"/>
        <w:keepLines w:val="0"/>
        <w:pageBreakBefore w:val="0"/>
        <w:kinsoku/>
        <w:wordWrap/>
        <w:overflowPunct/>
        <w:topLinePunct w:val="0"/>
        <w:bidi w:val="0"/>
        <w:spacing w:line="360" w:lineRule="auto"/>
        <w:ind w:firstLine="480" w:firstLineChars="200"/>
        <w:jc w:val="left"/>
        <w:rPr>
          <w:rFonts w:hint="eastAsia" w:ascii="宋体" w:hAnsi="宋体"/>
          <w:sz w:val="24"/>
        </w:rPr>
      </w:pPr>
    </w:p>
    <w:p>
      <w:pPr>
        <w:pStyle w:val="252"/>
        <w:keepNext w:val="0"/>
        <w:keepLines w:val="0"/>
        <w:pageBreakBefore w:val="0"/>
        <w:kinsoku/>
        <w:wordWrap/>
        <w:overflowPunct/>
        <w:topLinePunct w:val="0"/>
        <w:bidi w:val="0"/>
        <w:spacing w:line="360" w:lineRule="auto"/>
        <w:ind w:firstLine="480" w:firstLineChars="200"/>
        <w:jc w:val="left"/>
        <w:rPr>
          <w:rFonts w:hint="eastAsia" w:ascii="宋体" w:hAnsi="宋体"/>
          <w:sz w:val="24"/>
        </w:rPr>
      </w:pPr>
    </w:p>
    <w:p>
      <w:pPr>
        <w:pStyle w:val="252"/>
        <w:keepNext w:val="0"/>
        <w:keepLines w:val="0"/>
        <w:pageBreakBefore w:val="0"/>
        <w:numPr>
          <w:ilvl w:val="0"/>
          <w:numId w:val="0"/>
        </w:numPr>
        <w:kinsoku/>
        <w:wordWrap/>
        <w:overflowPunct/>
        <w:topLinePunct w:val="0"/>
        <w:bidi w:val="0"/>
        <w:spacing w:line="360" w:lineRule="auto"/>
        <w:ind w:left="840" w:leftChars="0"/>
        <w:jc w:val="left"/>
      </w:pPr>
      <w:r>
        <w:rPr>
          <w:rFonts w:hint="eastAsia" w:ascii="宋体" w:hAnsi="宋体"/>
          <w:sz w:val="24"/>
          <w:lang w:eastAsia="zh-CN"/>
        </w:rPr>
        <w:t>（</w:t>
      </w:r>
      <w:r>
        <w:rPr>
          <w:rFonts w:hint="eastAsia" w:ascii="宋体" w:hAnsi="宋体"/>
          <w:sz w:val="24"/>
          <w:lang w:val="en-US" w:eastAsia="zh-CN"/>
        </w:rPr>
        <w:t>3</w:t>
      </w:r>
      <w:r>
        <w:rPr>
          <w:rFonts w:hint="eastAsia" w:ascii="宋体" w:hAnsi="宋体"/>
          <w:sz w:val="24"/>
          <w:lang w:eastAsia="zh-CN"/>
        </w:rPr>
        <w:t>）</w:t>
      </w:r>
      <w:r>
        <w:rPr>
          <w:rFonts w:hint="eastAsia" w:ascii="宋体" w:hAnsi="宋体"/>
          <w:sz w:val="24"/>
        </w:rPr>
        <w:t>亭体正立面图</w:t>
      </w:r>
      <w:r>
        <w:drawing>
          <wp:inline distT="0" distB="0" distL="114300" distR="114300">
            <wp:extent cx="5663565" cy="2963545"/>
            <wp:effectExtent l="0" t="0" r="13335" b="825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5"/>
                    <a:stretch>
                      <a:fillRect/>
                    </a:stretch>
                  </pic:blipFill>
                  <pic:spPr>
                    <a:xfrm>
                      <a:off x="0" y="0"/>
                      <a:ext cx="5663565" cy="2963545"/>
                    </a:xfrm>
                    <a:prstGeom prst="rect">
                      <a:avLst/>
                    </a:prstGeom>
                    <a:noFill/>
                    <a:ln>
                      <a:noFill/>
                    </a:ln>
                  </pic:spPr>
                </pic:pic>
              </a:graphicData>
            </a:graphic>
          </wp:inline>
        </w:drawing>
      </w:r>
    </w:p>
    <w:p>
      <w:pPr>
        <w:pStyle w:val="252"/>
        <w:keepNext w:val="0"/>
        <w:keepLines w:val="0"/>
        <w:pageBreakBefore w:val="0"/>
        <w:numPr>
          <w:ilvl w:val="0"/>
          <w:numId w:val="0"/>
        </w:numPr>
        <w:kinsoku/>
        <w:wordWrap/>
        <w:overflowPunct/>
        <w:topLinePunct w:val="0"/>
        <w:bidi w:val="0"/>
        <w:spacing w:line="360" w:lineRule="auto"/>
        <w:jc w:val="left"/>
        <w:rPr>
          <w:rFonts w:hint="eastAsia" w:ascii="宋体" w:hAnsi="宋体"/>
          <w:sz w:val="24"/>
        </w:rPr>
      </w:pPr>
    </w:p>
    <w:p>
      <w:pPr>
        <w:pStyle w:val="252"/>
        <w:keepNext w:val="0"/>
        <w:keepLines w:val="0"/>
        <w:pageBreakBefore w:val="0"/>
        <w:numPr>
          <w:ilvl w:val="0"/>
          <w:numId w:val="0"/>
        </w:numPr>
        <w:kinsoku/>
        <w:wordWrap/>
        <w:overflowPunct/>
        <w:topLinePunct w:val="0"/>
        <w:bidi w:val="0"/>
        <w:spacing w:line="360" w:lineRule="auto"/>
        <w:ind w:firstLine="480" w:firstLineChars="200"/>
        <w:jc w:val="left"/>
      </w:pPr>
      <w:r>
        <w:rPr>
          <w:rFonts w:hint="eastAsia" w:ascii="宋体" w:hAnsi="宋体"/>
          <w:sz w:val="24"/>
        </w:rPr>
        <w:t>（4）亭体侧立面图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662295" cy="4511675"/>
            <wp:effectExtent l="0" t="0" r="14605" b="31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6"/>
                    <a:stretch>
                      <a:fillRect/>
                    </a:stretch>
                  </pic:blipFill>
                  <pic:spPr>
                    <a:xfrm>
                      <a:off x="0" y="0"/>
                      <a:ext cx="5662295" cy="4511675"/>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0" w:firstLineChars="200"/>
        <w:jc w:val="left"/>
        <w:rPr>
          <w:rFonts w:ascii="宋体" w:hAnsi="宋体"/>
          <w:sz w:val="24"/>
        </w:rPr>
      </w:pPr>
      <w:r>
        <w:rPr>
          <w:rFonts w:hint="eastAsia" w:ascii="宋体" w:hAnsi="宋体"/>
          <w:sz w:val="24"/>
        </w:rPr>
        <w:t>（5）工具房正立面和侧立图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662930" cy="3590290"/>
            <wp:effectExtent l="0" t="0" r="1397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7"/>
                    <a:stretch>
                      <a:fillRect/>
                    </a:stretch>
                  </pic:blipFill>
                  <pic:spPr>
                    <a:xfrm>
                      <a:off x="0" y="0"/>
                      <a:ext cx="5662930" cy="359029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0" w:firstLineChars="200"/>
        <w:jc w:val="left"/>
        <w:rPr>
          <w:rFonts w:ascii="宋体" w:hAnsi="宋体"/>
          <w:sz w:val="24"/>
        </w:rPr>
      </w:pPr>
      <w:r>
        <w:rPr>
          <w:rFonts w:hint="eastAsia" w:ascii="宋体" w:hAnsi="宋体"/>
          <w:sz w:val="24"/>
        </w:rPr>
        <w:t>（6）工具房后立面和后立图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665470" cy="3473450"/>
            <wp:effectExtent l="0" t="0" r="11430" b="1270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8"/>
                    <a:stretch>
                      <a:fillRect/>
                    </a:stretch>
                  </pic:blipFill>
                  <pic:spPr>
                    <a:xfrm>
                      <a:off x="0" y="0"/>
                      <a:ext cx="5665470" cy="347345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0" w:firstLineChars="200"/>
        <w:jc w:val="left"/>
        <w:rPr>
          <w:rFonts w:hint="eastAsia" w:ascii="宋体" w:hAnsi="宋体"/>
          <w:sz w:val="24"/>
        </w:rPr>
      </w:pPr>
    </w:p>
    <w:p>
      <w:pPr>
        <w:pStyle w:val="252"/>
        <w:keepNext w:val="0"/>
        <w:keepLines w:val="0"/>
        <w:pageBreakBefore w:val="0"/>
        <w:kinsoku/>
        <w:wordWrap/>
        <w:overflowPunct/>
        <w:topLinePunct w:val="0"/>
        <w:bidi w:val="0"/>
        <w:spacing w:line="360" w:lineRule="auto"/>
        <w:ind w:firstLine="480" w:firstLineChars="200"/>
        <w:jc w:val="left"/>
        <w:rPr>
          <w:rFonts w:ascii="宋体" w:hAnsi="宋体"/>
          <w:sz w:val="24"/>
        </w:rPr>
      </w:pPr>
      <w:r>
        <w:rPr>
          <w:rFonts w:hint="eastAsia" w:ascii="宋体" w:hAnsi="宋体"/>
          <w:sz w:val="24"/>
        </w:rPr>
        <w:t>（7）工具房顶棚平面图和立面图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662930" cy="3148965"/>
            <wp:effectExtent l="0" t="0" r="13970" b="133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9"/>
                    <a:stretch>
                      <a:fillRect/>
                    </a:stretch>
                  </pic:blipFill>
                  <pic:spPr>
                    <a:xfrm>
                      <a:off x="0" y="0"/>
                      <a:ext cx="5662930" cy="3148965"/>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left="0" w:leftChars="0" w:firstLine="0" w:firstLineChars="0"/>
        <w:rPr>
          <w:color w:val="FF0000"/>
        </w:rPr>
      </w:pPr>
      <w:r>
        <w:rPr>
          <w:rFonts w:hint="eastAsia" w:ascii="宋体" w:hAnsi="宋体" w:cs="宋体"/>
          <w:b/>
          <w:bCs/>
          <w:sz w:val="24"/>
        </w:rPr>
        <w:t>智慧垃圾分类投放亭(</w:t>
      </w:r>
      <w:r>
        <w:rPr>
          <w:rFonts w:hint="eastAsia" w:ascii="宋体" w:hAnsi="宋体" w:cs="宋体"/>
          <w:b/>
          <w:bCs/>
          <w:sz w:val="24"/>
          <w:lang w:val="en-US" w:eastAsia="zh-CN"/>
        </w:rPr>
        <w:t>3</w:t>
      </w:r>
      <w:r>
        <w:rPr>
          <w:rFonts w:hint="eastAsia" w:ascii="宋体" w:hAnsi="宋体" w:cs="宋体"/>
          <w:b/>
          <w:bCs/>
          <w:sz w:val="24"/>
        </w:rPr>
        <w:t>号）：亭体长4m*宽1.56m*高2.72m</w:t>
      </w:r>
    </w:p>
    <w:p>
      <w:pPr>
        <w:keepNext w:val="0"/>
        <w:keepLines w:val="0"/>
        <w:pageBreakBefore w:val="0"/>
        <w:kinsoku/>
        <w:wordWrap/>
        <w:overflowPunct/>
        <w:topLinePunct w:val="0"/>
        <w:bidi w:val="0"/>
        <w:spacing w:line="360" w:lineRule="auto"/>
        <w:ind w:firstLine="480" w:firstLineChars="200"/>
        <w:rPr>
          <w:rFonts w:ascii="宋体" w:hAnsi="宋体" w:cs="宋体"/>
          <w:sz w:val="24"/>
        </w:rPr>
      </w:pPr>
      <w:r>
        <w:rPr>
          <w:rFonts w:hint="eastAsia" w:ascii="宋体" w:hAnsi="宋体" w:cs="宋体"/>
          <w:sz w:val="24"/>
        </w:rPr>
        <w:t>（1）亭体基础平面图</w:t>
      </w:r>
    </w:p>
    <w:p>
      <w:pPr>
        <w:keepNext w:val="0"/>
        <w:keepLines w:val="0"/>
        <w:pageBreakBefore w:val="0"/>
        <w:kinsoku/>
        <w:wordWrap/>
        <w:overflowPunct/>
        <w:topLinePunct w:val="0"/>
        <w:bidi w:val="0"/>
      </w:pPr>
      <w:r>
        <w:drawing>
          <wp:inline distT="0" distB="0" distL="114300" distR="114300">
            <wp:extent cx="6025515" cy="2606040"/>
            <wp:effectExtent l="0" t="0" r="1333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0"/>
                    <a:stretch>
                      <a:fillRect/>
                    </a:stretch>
                  </pic:blipFill>
                  <pic:spPr>
                    <a:xfrm>
                      <a:off x="0" y="0"/>
                      <a:ext cx="6025515" cy="2606040"/>
                    </a:xfrm>
                    <a:prstGeom prst="rect">
                      <a:avLst/>
                    </a:prstGeom>
                    <a:noFill/>
                    <a:ln>
                      <a:noFill/>
                    </a:ln>
                  </pic:spPr>
                </pic:pic>
              </a:graphicData>
            </a:graphic>
          </wp:inline>
        </w:drawing>
      </w:r>
    </w:p>
    <w:p>
      <w:pPr>
        <w:keepNext w:val="0"/>
        <w:keepLines w:val="0"/>
        <w:pageBreakBefore w:val="0"/>
        <w:kinsoku/>
        <w:wordWrap/>
        <w:overflowPunct/>
        <w:topLinePunct w:val="0"/>
        <w:bidi w:val="0"/>
      </w:pPr>
      <w:r>
        <w:drawing>
          <wp:inline distT="0" distB="0" distL="114300" distR="114300">
            <wp:extent cx="5267960" cy="372554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a:stretch>
                      <a:fillRect/>
                    </a:stretch>
                  </pic:blipFill>
                  <pic:spPr>
                    <a:xfrm>
                      <a:off x="0" y="0"/>
                      <a:ext cx="5267960" cy="3725545"/>
                    </a:xfrm>
                    <a:prstGeom prst="rect">
                      <a:avLst/>
                    </a:prstGeom>
                    <a:noFill/>
                    <a:ln>
                      <a:noFill/>
                    </a:ln>
                  </pic:spPr>
                </pic:pic>
              </a:graphicData>
            </a:graphic>
          </wp:inline>
        </w:drawing>
      </w:r>
    </w:p>
    <w:p>
      <w:pPr>
        <w:keepNext w:val="0"/>
        <w:keepLines w:val="0"/>
        <w:pageBreakBefore w:val="0"/>
        <w:kinsoku/>
        <w:wordWrap/>
        <w:overflowPunct/>
        <w:topLinePunct w:val="0"/>
        <w:bidi w:val="0"/>
      </w:pPr>
    </w:p>
    <w:p>
      <w:pPr>
        <w:keepNext w:val="0"/>
        <w:keepLines w:val="0"/>
        <w:pageBreakBefore w:val="0"/>
        <w:kinsoku/>
        <w:wordWrap/>
        <w:overflowPunct/>
        <w:topLinePunct w:val="0"/>
        <w:bidi w:val="0"/>
      </w:pPr>
    </w:p>
    <w:p>
      <w:pPr>
        <w:pStyle w:val="43"/>
        <w:keepNext w:val="0"/>
        <w:keepLines w:val="0"/>
        <w:pageBreakBefore w:val="0"/>
        <w:kinsoku/>
        <w:wordWrap/>
        <w:overflowPunct/>
        <w:topLinePunct w:val="0"/>
        <w:bidi w:val="0"/>
        <w:spacing w:after="0"/>
        <w:ind w:firstLine="480"/>
      </w:pPr>
    </w:p>
    <w:p>
      <w:pPr>
        <w:pStyle w:val="43"/>
        <w:keepNext w:val="0"/>
        <w:keepLines w:val="0"/>
        <w:pageBreakBefore w:val="0"/>
        <w:kinsoku/>
        <w:wordWrap/>
        <w:overflowPunct/>
        <w:topLinePunct w:val="0"/>
        <w:bidi w:val="0"/>
        <w:spacing w:after="0"/>
        <w:ind w:firstLine="480"/>
      </w:pPr>
    </w:p>
    <w:p>
      <w:pPr>
        <w:pStyle w:val="43"/>
        <w:keepNext w:val="0"/>
        <w:keepLines w:val="0"/>
        <w:pageBreakBefore w:val="0"/>
        <w:kinsoku/>
        <w:wordWrap/>
        <w:overflowPunct/>
        <w:topLinePunct w:val="0"/>
        <w:bidi w:val="0"/>
        <w:spacing w:after="0"/>
        <w:ind w:firstLine="480"/>
      </w:pPr>
    </w:p>
    <w:p>
      <w:pPr>
        <w:pStyle w:val="43"/>
        <w:keepNext w:val="0"/>
        <w:keepLines w:val="0"/>
        <w:pageBreakBefore w:val="0"/>
        <w:kinsoku/>
        <w:wordWrap/>
        <w:overflowPunct/>
        <w:topLinePunct w:val="0"/>
        <w:bidi w:val="0"/>
        <w:spacing w:after="0"/>
        <w:ind w:firstLine="480"/>
      </w:pPr>
    </w:p>
    <w:p>
      <w:pPr>
        <w:keepNext w:val="0"/>
        <w:keepLines w:val="0"/>
        <w:pageBreakBefore w:val="0"/>
        <w:kinsoku/>
        <w:wordWrap/>
        <w:overflowPunct/>
        <w:topLinePunct w:val="0"/>
        <w:bidi w:val="0"/>
        <w:ind w:firstLine="480" w:firstLineChars="200"/>
      </w:pPr>
      <w:r>
        <w:rPr>
          <w:rFonts w:hint="eastAsia" w:ascii="宋体" w:hAnsi="宋体" w:cs="宋体"/>
          <w:sz w:val="24"/>
        </w:rPr>
        <w:t>（2）亭体正立面图</w:t>
      </w:r>
    </w:p>
    <w:p>
      <w:pPr>
        <w:keepNext w:val="0"/>
        <w:keepLines w:val="0"/>
        <w:pageBreakBefore w:val="0"/>
        <w:kinsoku/>
        <w:wordWrap/>
        <w:overflowPunct/>
        <w:topLinePunct w:val="0"/>
        <w:bidi w:val="0"/>
      </w:pPr>
      <w:r>
        <w:drawing>
          <wp:inline distT="0" distB="0" distL="114300" distR="114300">
            <wp:extent cx="5844540" cy="3209925"/>
            <wp:effectExtent l="0" t="0" r="381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tretch>
                      <a:fillRect/>
                    </a:stretch>
                  </pic:blipFill>
                  <pic:spPr>
                    <a:xfrm>
                      <a:off x="0" y="0"/>
                      <a:ext cx="5844540" cy="3209925"/>
                    </a:xfrm>
                    <a:prstGeom prst="rect">
                      <a:avLst/>
                    </a:prstGeom>
                    <a:noFill/>
                    <a:ln>
                      <a:noFill/>
                    </a:ln>
                  </pic:spPr>
                </pic:pic>
              </a:graphicData>
            </a:graphic>
          </wp:inline>
        </w:drawing>
      </w:r>
    </w:p>
    <w:p>
      <w:pPr>
        <w:keepNext w:val="0"/>
        <w:keepLines w:val="0"/>
        <w:pageBreakBefore w:val="0"/>
        <w:kinsoku/>
        <w:wordWrap/>
        <w:overflowPunct/>
        <w:topLinePunct w:val="0"/>
        <w:bidi w:val="0"/>
      </w:pPr>
    </w:p>
    <w:p>
      <w:pPr>
        <w:keepNext w:val="0"/>
        <w:keepLines w:val="0"/>
        <w:pageBreakBefore w:val="0"/>
        <w:kinsoku/>
        <w:wordWrap/>
        <w:overflowPunct/>
        <w:topLinePunct w:val="0"/>
        <w:bidi w:val="0"/>
      </w:pPr>
    </w:p>
    <w:p>
      <w:pPr>
        <w:keepNext w:val="0"/>
        <w:keepLines w:val="0"/>
        <w:pageBreakBefore w:val="0"/>
        <w:kinsoku/>
        <w:wordWrap/>
        <w:overflowPunct/>
        <w:topLinePunct w:val="0"/>
        <w:bidi w:val="0"/>
        <w:ind w:firstLine="480" w:firstLineChars="200"/>
        <w:rPr>
          <w:rFonts w:ascii="宋体" w:hAnsi="宋体" w:cs="宋体"/>
          <w:sz w:val="24"/>
        </w:rPr>
      </w:pPr>
      <w:r>
        <w:rPr>
          <w:rFonts w:hint="eastAsia" w:ascii="宋体" w:hAnsi="宋体" w:cs="宋体"/>
          <w:sz w:val="24"/>
        </w:rPr>
        <w:t>（3）亭体侧立面图</w:t>
      </w:r>
    </w:p>
    <w:p>
      <w:pPr>
        <w:keepNext w:val="0"/>
        <w:keepLines w:val="0"/>
        <w:pageBreakBefore w:val="0"/>
        <w:kinsoku/>
        <w:wordWrap/>
        <w:overflowPunct/>
        <w:topLinePunct w:val="0"/>
        <w:bidi w:val="0"/>
      </w:pPr>
      <w:r>
        <w:drawing>
          <wp:inline distT="0" distB="0" distL="114300" distR="114300">
            <wp:extent cx="4709160" cy="4013200"/>
            <wp:effectExtent l="0" t="0" r="152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4709160" cy="4013200"/>
                    </a:xfrm>
                    <a:prstGeom prst="rect">
                      <a:avLst/>
                    </a:prstGeom>
                    <a:noFill/>
                    <a:ln>
                      <a:noFill/>
                    </a:ln>
                  </pic:spPr>
                </pic:pic>
              </a:graphicData>
            </a:graphic>
          </wp:inline>
        </w:drawing>
      </w:r>
    </w:p>
    <w:p>
      <w:pPr>
        <w:keepNext w:val="0"/>
        <w:keepLines w:val="0"/>
        <w:pageBreakBefore w:val="0"/>
        <w:kinsoku/>
        <w:wordWrap/>
        <w:overflowPunct/>
        <w:topLinePunct w:val="0"/>
        <w:bidi w:val="0"/>
      </w:pPr>
    </w:p>
    <w:p>
      <w:pPr>
        <w:keepNext w:val="0"/>
        <w:keepLines w:val="0"/>
        <w:pageBreakBefore w:val="0"/>
        <w:kinsoku/>
        <w:wordWrap/>
        <w:overflowPunct/>
        <w:topLinePunct w:val="0"/>
        <w:bidi w:val="0"/>
      </w:pPr>
    </w:p>
    <w:p>
      <w:pPr>
        <w:keepNext w:val="0"/>
        <w:keepLines w:val="0"/>
        <w:pageBreakBefore w:val="0"/>
        <w:kinsoku/>
        <w:wordWrap/>
        <w:overflowPunct/>
        <w:topLinePunct w:val="0"/>
        <w:bidi w:val="0"/>
        <w:ind w:firstLine="480" w:firstLineChars="200"/>
        <w:rPr>
          <w:rFonts w:hint="eastAsia" w:ascii="宋体" w:hAnsi="宋体" w:cs="宋体"/>
          <w:sz w:val="24"/>
        </w:rPr>
      </w:pPr>
    </w:p>
    <w:p>
      <w:pPr>
        <w:keepNext w:val="0"/>
        <w:keepLines w:val="0"/>
        <w:pageBreakBefore w:val="0"/>
        <w:kinsoku/>
        <w:wordWrap/>
        <w:overflowPunct/>
        <w:topLinePunct w:val="0"/>
        <w:bidi w:val="0"/>
        <w:ind w:firstLine="480" w:firstLineChars="200"/>
      </w:pPr>
      <w:r>
        <w:rPr>
          <w:rFonts w:hint="eastAsia" w:ascii="宋体" w:hAnsi="宋体" w:cs="宋体"/>
          <w:sz w:val="24"/>
        </w:rPr>
        <w:t>（4）亭体雨棚平面图</w:t>
      </w:r>
    </w:p>
    <w:p>
      <w:pPr>
        <w:keepNext w:val="0"/>
        <w:keepLines w:val="0"/>
        <w:pageBreakBefore w:val="0"/>
        <w:kinsoku/>
        <w:wordWrap/>
        <w:overflowPunct/>
        <w:topLinePunct w:val="0"/>
        <w:bidi w:val="0"/>
      </w:pPr>
      <w:r>
        <w:drawing>
          <wp:inline distT="0" distB="0" distL="114300" distR="114300">
            <wp:extent cx="6036310" cy="298132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a:stretch>
                      <a:fillRect/>
                    </a:stretch>
                  </pic:blipFill>
                  <pic:spPr>
                    <a:xfrm>
                      <a:off x="0" y="0"/>
                      <a:ext cx="6036310" cy="2981325"/>
                    </a:xfrm>
                    <a:prstGeom prst="rect">
                      <a:avLst/>
                    </a:prstGeom>
                    <a:noFill/>
                    <a:ln>
                      <a:noFill/>
                    </a:ln>
                  </pic:spPr>
                </pic:pic>
              </a:graphicData>
            </a:graphic>
          </wp:inline>
        </w:drawing>
      </w:r>
    </w:p>
    <w:p>
      <w:pPr>
        <w:keepNext w:val="0"/>
        <w:keepLines w:val="0"/>
        <w:pageBreakBefore w:val="0"/>
        <w:kinsoku/>
        <w:wordWrap/>
        <w:overflowPunct/>
        <w:topLinePunct w:val="0"/>
        <w:bidi w:val="0"/>
      </w:pPr>
    </w:p>
    <w:p>
      <w:pPr>
        <w:keepNext w:val="0"/>
        <w:keepLines w:val="0"/>
        <w:pageBreakBefore w:val="0"/>
        <w:kinsoku/>
        <w:wordWrap/>
        <w:overflowPunct/>
        <w:topLinePunct w:val="0"/>
        <w:bidi w:val="0"/>
      </w:pPr>
    </w:p>
    <w:p>
      <w:pPr>
        <w:pStyle w:val="43"/>
        <w:keepNext w:val="0"/>
        <w:keepLines w:val="0"/>
        <w:pageBreakBefore w:val="0"/>
        <w:kinsoku/>
        <w:wordWrap/>
        <w:overflowPunct/>
        <w:topLinePunct w:val="0"/>
        <w:bidi w:val="0"/>
        <w:spacing w:after="0"/>
        <w:ind w:firstLine="480"/>
      </w:pPr>
    </w:p>
    <w:p>
      <w:pPr>
        <w:pStyle w:val="252"/>
        <w:keepNext w:val="0"/>
        <w:keepLines w:val="0"/>
        <w:pageBreakBefore w:val="0"/>
        <w:kinsoku/>
        <w:wordWrap/>
        <w:overflowPunct/>
        <w:topLinePunct w:val="0"/>
        <w:bidi w:val="0"/>
        <w:spacing w:line="360" w:lineRule="auto"/>
        <w:ind w:firstLine="480" w:firstLineChars="200"/>
        <w:jc w:val="left"/>
        <w:rPr>
          <w:rFonts w:ascii="宋体" w:hAnsi="宋体" w:cs="宋体"/>
          <w:sz w:val="24"/>
        </w:rPr>
      </w:pPr>
      <w:r>
        <w:rPr>
          <w:rFonts w:hint="eastAsia" w:ascii="宋体" w:hAnsi="宋体" w:cs="宋体"/>
          <w:sz w:val="24"/>
        </w:rPr>
        <w:t>（5）工具房正立面和侧立图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654675" cy="3585210"/>
            <wp:effectExtent l="0" t="0" r="3175" b="152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7"/>
                    <a:stretch>
                      <a:fillRect/>
                    </a:stretch>
                  </pic:blipFill>
                  <pic:spPr>
                    <a:xfrm>
                      <a:off x="0" y="0"/>
                      <a:ext cx="5654675" cy="358521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0" w:firstLineChars="0"/>
      </w:pPr>
    </w:p>
    <w:p>
      <w:pPr>
        <w:pStyle w:val="252"/>
        <w:keepNext w:val="0"/>
        <w:keepLines w:val="0"/>
        <w:pageBreakBefore w:val="0"/>
        <w:kinsoku/>
        <w:wordWrap/>
        <w:overflowPunct/>
        <w:topLinePunct w:val="0"/>
        <w:bidi w:val="0"/>
        <w:spacing w:line="360" w:lineRule="auto"/>
        <w:ind w:firstLine="480" w:firstLineChars="200"/>
        <w:jc w:val="left"/>
        <w:rPr>
          <w:rFonts w:ascii="宋体" w:hAnsi="宋体" w:cs="宋体"/>
          <w:sz w:val="24"/>
        </w:rPr>
      </w:pPr>
      <w:r>
        <w:rPr>
          <w:rFonts w:hint="eastAsia" w:ascii="宋体" w:hAnsi="宋体" w:cs="宋体"/>
          <w:sz w:val="24"/>
        </w:rPr>
        <w:t>（6）工具房后立面和后立图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741670" cy="3520440"/>
            <wp:effectExtent l="0" t="0" r="11430" b="38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8"/>
                    <a:stretch>
                      <a:fillRect/>
                    </a:stretch>
                  </pic:blipFill>
                  <pic:spPr>
                    <a:xfrm>
                      <a:off x="0" y="0"/>
                      <a:ext cx="5741670" cy="352044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0" w:firstLineChars="0"/>
      </w:pPr>
    </w:p>
    <w:p>
      <w:pPr>
        <w:pStyle w:val="252"/>
        <w:keepNext w:val="0"/>
        <w:keepLines w:val="0"/>
        <w:pageBreakBefore w:val="0"/>
        <w:kinsoku/>
        <w:wordWrap/>
        <w:overflowPunct/>
        <w:topLinePunct w:val="0"/>
        <w:bidi w:val="0"/>
        <w:spacing w:line="360" w:lineRule="auto"/>
        <w:ind w:firstLine="480" w:firstLineChars="200"/>
        <w:jc w:val="left"/>
        <w:rPr>
          <w:rFonts w:ascii="宋体" w:hAnsi="宋体" w:cs="宋体"/>
          <w:sz w:val="24"/>
        </w:rPr>
      </w:pPr>
      <w:r>
        <w:rPr>
          <w:rFonts w:hint="eastAsia" w:ascii="宋体" w:hAnsi="宋体" w:cs="宋体"/>
          <w:sz w:val="24"/>
        </w:rPr>
        <w:t>（7）工具房顶棚平面图和立面图</w:t>
      </w:r>
    </w:p>
    <w:p>
      <w:pPr>
        <w:pStyle w:val="252"/>
        <w:keepNext w:val="0"/>
        <w:keepLines w:val="0"/>
        <w:pageBreakBefore w:val="0"/>
        <w:kinsoku/>
        <w:wordWrap/>
        <w:overflowPunct/>
        <w:topLinePunct w:val="0"/>
        <w:bidi w:val="0"/>
        <w:spacing w:line="360" w:lineRule="auto"/>
        <w:ind w:firstLine="0" w:firstLineChars="0"/>
      </w:pPr>
      <w:r>
        <w:drawing>
          <wp:inline distT="0" distB="0" distL="114300" distR="114300">
            <wp:extent cx="5662930" cy="2569210"/>
            <wp:effectExtent l="0" t="0" r="13970" b="25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9"/>
                    <a:stretch>
                      <a:fillRect/>
                    </a:stretch>
                  </pic:blipFill>
                  <pic:spPr>
                    <a:xfrm>
                      <a:off x="0" y="0"/>
                      <a:ext cx="5662930" cy="2569210"/>
                    </a:xfrm>
                    <a:prstGeom prst="rect">
                      <a:avLst/>
                    </a:prstGeom>
                    <a:noFill/>
                    <a:ln>
                      <a:noFill/>
                    </a:ln>
                  </pic:spPr>
                </pic:pic>
              </a:graphicData>
            </a:graphic>
          </wp:inline>
        </w:drawing>
      </w:r>
    </w:p>
    <w:p>
      <w:pPr>
        <w:pStyle w:val="252"/>
        <w:keepNext w:val="0"/>
        <w:keepLines w:val="0"/>
        <w:pageBreakBefore w:val="0"/>
        <w:kinsoku/>
        <w:wordWrap/>
        <w:overflowPunct/>
        <w:topLinePunct w:val="0"/>
        <w:bidi w:val="0"/>
        <w:spacing w:line="360" w:lineRule="auto"/>
        <w:ind w:firstLine="482" w:firstLineChars="200"/>
        <w:rPr>
          <w:rFonts w:ascii="宋体" w:hAnsi="宋体" w:cs="宋体"/>
          <w:b/>
          <w:bCs/>
          <w:sz w:val="24"/>
        </w:rPr>
      </w:pPr>
      <w:r>
        <w:rPr>
          <w:rFonts w:hint="eastAsia" w:ascii="宋体" w:hAnsi="宋体" w:cs="宋体"/>
          <w:b/>
          <w:bCs/>
          <w:sz w:val="24"/>
        </w:rPr>
        <w:t>3、</w:t>
      </w:r>
      <w:r>
        <w:rPr>
          <w:rFonts w:hint="eastAsia" w:ascii="宋体" w:cs="Arial"/>
          <w:b/>
          <w:bCs/>
          <w:sz w:val="24"/>
        </w:rPr>
        <w:t>智慧垃圾分类投放亭</w:t>
      </w:r>
      <w:r>
        <w:rPr>
          <w:rFonts w:hint="eastAsia" w:ascii="宋体" w:cs="Arial"/>
          <w:b/>
          <w:bCs/>
          <w:sz w:val="24"/>
          <w:lang w:eastAsia="zh-CN"/>
        </w:rPr>
        <w:t>（</w:t>
      </w:r>
      <w:r>
        <w:rPr>
          <w:rFonts w:hint="eastAsia" w:ascii="宋体" w:cs="Arial"/>
          <w:b/>
          <w:bCs/>
          <w:sz w:val="24"/>
          <w:lang w:val="en-US" w:eastAsia="zh-CN"/>
        </w:rPr>
        <w:t>单套</w:t>
      </w:r>
      <w:r>
        <w:rPr>
          <w:rFonts w:hint="eastAsia" w:ascii="宋体" w:cs="Arial"/>
          <w:b/>
          <w:bCs/>
          <w:sz w:val="24"/>
          <w:lang w:eastAsia="zh-CN"/>
        </w:rPr>
        <w:t>）</w:t>
      </w:r>
      <w:r>
        <w:rPr>
          <w:rFonts w:hint="eastAsia" w:ascii="宋体" w:hAnsi="宋体" w:cs="宋体"/>
          <w:b/>
          <w:bCs/>
          <w:sz w:val="24"/>
        </w:rPr>
        <w:t>设施设备清单</w:t>
      </w:r>
    </w:p>
    <w:tbl>
      <w:tblPr>
        <w:tblStyle w:val="46"/>
        <w:tblW w:w="5210" w:type="pct"/>
        <w:tblInd w:w="-109" w:type="dxa"/>
        <w:tblLayout w:type="fixed"/>
        <w:tblCellMar>
          <w:top w:w="0" w:type="dxa"/>
          <w:left w:w="108" w:type="dxa"/>
          <w:bottom w:w="0" w:type="dxa"/>
          <w:right w:w="108" w:type="dxa"/>
        </w:tblCellMar>
      </w:tblPr>
      <w:tblGrid>
        <w:gridCol w:w="450"/>
        <w:gridCol w:w="1275"/>
        <w:gridCol w:w="1110"/>
        <w:gridCol w:w="5925"/>
        <w:gridCol w:w="405"/>
        <w:gridCol w:w="359"/>
      </w:tblGrid>
      <w:tr>
        <w:tblPrEx>
          <w:tblCellMar>
            <w:top w:w="0" w:type="dxa"/>
            <w:left w:w="108" w:type="dxa"/>
            <w:bottom w:w="0" w:type="dxa"/>
            <w:right w:w="108" w:type="dxa"/>
          </w:tblCellMar>
        </w:tblPrEx>
        <w:trPr>
          <w:trHeight w:val="270" w:hRule="atLeast"/>
        </w:trPr>
        <w:tc>
          <w:tcPr>
            <w:tcW w:w="2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669"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项目</w:t>
            </w:r>
          </w:p>
        </w:tc>
        <w:tc>
          <w:tcPr>
            <w:tcW w:w="582"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品牌</w:t>
            </w:r>
          </w:p>
        </w:tc>
        <w:tc>
          <w:tcPr>
            <w:tcW w:w="311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内容</w:t>
            </w:r>
          </w:p>
        </w:tc>
        <w:tc>
          <w:tcPr>
            <w:tcW w:w="212"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数量</w:t>
            </w:r>
          </w:p>
        </w:tc>
        <w:tc>
          <w:tcPr>
            <w:tcW w:w="188"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单位</w:t>
            </w:r>
          </w:p>
        </w:tc>
      </w:tr>
      <w:tr>
        <w:tblPrEx>
          <w:tblCellMar>
            <w:top w:w="0" w:type="dxa"/>
            <w:left w:w="108" w:type="dxa"/>
            <w:bottom w:w="0" w:type="dxa"/>
            <w:right w:w="108" w:type="dxa"/>
          </w:tblCellMar>
        </w:tblPrEx>
        <w:trPr>
          <w:trHeight w:val="327"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垃圾投放亭</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按采购人要求标准定制</w:t>
            </w:r>
          </w:p>
        </w:tc>
        <w:tc>
          <w:tcPr>
            <w:tcW w:w="3110" w:type="pct"/>
            <w:tcBorders>
              <w:top w:val="nil"/>
              <w:left w:val="nil"/>
              <w:bottom w:val="single" w:color="auto" w:sz="4" w:space="0"/>
              <w:right w:val="single" w:color="auto" w:sz="4" w:space="0"/>
            </w:tcBorders>
            <w:noWrap/>
            <w:vAlign w:val="center"/>
          </w:tcPr>
          <w:p>
            <w:pPr>
              <w:numPr>
                <w:ilvl w:val="0"/>
                <w:numId w:val="7"/>
              </w:numPr>
              <w:rPr>
                <w:rFonts w:hint="eastAsia" w:ascii="宋体" w:hAnsi="宋体" w:eastAsia="宋体" w:cs="宋体"/>
                <w:color w:val="auto"/>
                <w:sz w:val="24"/>
                <w:szCs w:val="24"/>
              </w:rPr>
            </w:pPr>
            <w:r>
              <w:rPr>
                <w:rFonts w:hint="eastAsia" w:ascii="宋体" w:hAnsi="宋体" w:eastAsia="宋体" w:cs="宋体"/>
                <w:sz w:val="24"/>
                <w:szCs w:val="24"/>
              </w:rPr>
              <w:t>投放亭</w:t>
            </w:r>
            <w:r>
              <w:rPr>
                <w:rFonts w:hint="eastAsia" w:ascii="宋体" w:hAnsi="宋体" w:eastAsia="宋体" w:cs="宋体"/>
                <w:color w:val="auto"/>
                <w:sz w:val="24"/>
                <w:szCs w:val="24"/>
              </w:rPr>
              <w:t>体材质：铝合金。</w:t>
            </w:r>
          </w:p>
          <w:p>
            <w:pPr>
              <w:rPr>
                <w:rFonts w:hint="eastAsia" w:ascii="宋体" w:hAnsi="宋体" w:eastAsia="宋体" w:cs="宋体"/>
                <w:color w:val="auto"/>
                <w:sz w:val="24"/>
                <w:szCs w:val="24"/>
              </w:rPr>
            </w:pPr>
            <w:r>
              <w:rPr>
                <w:rFonts w:hint="eastAsia" w:ascii="宋体" w:hAnsi="宋体" w:eastAsia="宋体" w:cs="宋体"/>
                <w:color w:val="auto"/>
                <w:sz w:val="24"/>
                <w:szCs w:val="24"/>
              </w:rPr>
              <w:t>1号亭：亭体+工具房；亭体规格：长5.4m*宽1.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m*高2.72m，；工具房规格：长1.2m*宽1m*高2m；基础：C20 ， 厚度250+50砂灰找平层+面层，基础规格：长7.2m*宽2.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5m。</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号亭：亭体+工具房；亭体规格：长5.4m*宽1.56m*高2.72m，；工具房规格：长1.2m*宽1m*高2m；基础：C20 ， 厚度250+50砂灰找平层+面层，基础规格：长7.2m*宽2.05m。</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号亭：亭体+工具房；亭体规格：长4m*宽1.56m*高2.72m，；工具房规格：长1.2m*宽1m*高2m；基础：C20， 厚度250+50砂灰找平层+面层，基础规格：长6m*宽2.05m。</w:t>
            </w:r>
          </w:p>
          <w:p>
            <w:pPr>
              <w:rPr>
                <w:rFonts w:hint="eastAsia" w:ascii="宋体" w:hAnsi="宋体" w:eastAsia="宋体" w:cs="宋体"/>
                <w:color w:val="auto"/>
                <w:sz w:val="24"/>
                <w:szCs w:val="24"/>
              </w:rPr>
            </w:pPr>
            <w:r>
              <w:rPr>
                <w:rFonts w:hint="eastAsia" w:ascii="宋体" w:hAnsi="宋体" w:eastAsia="宋体" w:cs="宋体"/>
                <w:color w:val="auto"/>
                <w:sz w:val="24"/>
                <w:szCs w:val="24"/>
              </w:rPr>
              <w:t>2、亭体配套：广告设计、制作、安装，水晶字，排水沟、拖把池及下水、水龙头、配电箱、LED照明灯等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亭体</w:t>
            </w:r>
            <w:r>
              <w:rPr>
                <w:rFonts w:hint="eastAsia" w:ascii="宋体" w:hAnsi="宋体" w:eastAsia="宋体" w:cs="宋体"/>
                <w:color w:val="auto"/>
                <w:sz w:val="24"/>
                <w:szCs w:val="24"/>
                <w:lang w:eastAsia="zh-CN"/>
              </w:rPr>
              <w:t>前方根据现场的实际做好地坪硬化，硬化地坪的面积必须能满足</w:t>
            </w:r>
            <w:r>
              <w:rPr>
                <w:rFonts w:hint="eastAsia" w:ascii="宋体" w:hAnsi="宋体" w:eastAsia="宋体" w:cs="宋体"/>
                <w:color w:val="auto"/>
                <w:sz w:val="24"/>
                <w:szCs w:val="24"/>
              </w:rPr>
              <w:t>投放亭</w:t>
            </w:r>
            <w:r>
              <w:rPr>
                <w:rFonts w:hint="eastAsia" w:ascii="宋体" w:hAnsi="宋体" w:eastAsia="宋体" w:cs="宋体"/>
                <w:color w:val="auto"/>
                <w:sz w:val="24"/>
                <w:szCs w:val="24"/>
                <w:lang w:eastAsia="zh-CN"/>
              </w:rPr>
              <w:t>的正常使用及场地与周边的一体化协调</w:t>
            </w:r>
            <w:r>
              <w:rPr>
                <w:rFonts w:hint="eastAsia" w:ascii="宋体" w:hAnsi="宋体" w:eastAsia="宋体" w:cs="宋体"/>
                <w:color w:val="auto"/>
                <w:sz w:val="24"/>
                <w:szCs w:val="24"/>
              </w:rPr>
              <w:t>。</w:t>
            </w:r>
          </w:p>
          <w:p>
            <w:pPr>
              <w:rPr>
                <w:rFonts w:hint="eastAsia" w:ascii="宋体" w:hAnsi="宋体" w:eastAsia="宋体" w:cs="宋体"/>
                <w:sz w:val="24"/>
                <w:szCs w:val="24"/>
              </w:rPr>
            </w:pPr>
            <w:r>
              <w:rPr>
                <w:rFonts w:hint="eastAsia" w:ascii="宋体" w:hAnsi="宋体" w:eastAsia="宋体" w:cs="宋体"/>
                <w:color w:val="auto"/>
                <w:sz w:val="24"/>
                <w:szCs w:val="24"/>
              </w:rPr>
              <w:t>3、10年亭体维护（</w:t>
            </w:r>
            <w:r>
              <w:rPr>
                <w:rFonts w:hint="eastAsia" w:ascii="宋体" w:hAnsi="宋体" w:eastAsia="宋体" w:cs="宋体"/>
                <w:sz w:val="24"/>
                <w:szCs w:val="24"/>
              </w:rPr>
              <w:t>不含易损耗品：拖把池、水龙头、灯具、PC阳光板、清洁卫生用品、广告内容更换等）。</w:t>
            </w:r>
          </w:p>
          <w:p>
            <w:pPr>
              <w:pStyle w:val="2"/>
              <w:spacing w:before="0" w:after="0" w:line="240" w:lineRule="auto"/>
              <w:rPr>
                <w:rFonts w:hint="eastAsia" w:ascii="宋体" w:hAnsi="宋体" w:eastAsia="宋体" w:cs="宋体"/>
                <w:b w:val="0"/>
                <w:bCs/>
                <w:sz w:val="24"/>
                <w:szCs w:val="24"/>
              </w:rPr>
            </w:pPr>
            <w:r>
              <w:rPr>
                <w:rFonts w:hint="eastAsia" w:ascii="宋体" w:hAnsi="宋体" w:eastAsia="宋体" w:cs="宋体"/>
                <w:b w:val="0"/>
                <w:bCs/>
                <w:sz w:val="24"/>
                <w:szCs w:val="24"/>
              </w:rPr>
              <w:t>注：鉴于亭体建在路面上，若水泥混凝土厚度达25 CM以上，则符合要求无需开挖，原则上借原路基进行施工。</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45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网络摄像机（普通摄像机）</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海康、大华或其它同档及以上品牌</w:t>
            </w:r>
          </w:p>
        </w:tc>
        <w:tc>
          <w:tcPr>
            <w:tcW w:w="311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200万星光级红外阵列筒型网络摄像机，镜头: 4mm</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存储功能: 支持Micro SD(即TF卡)/Micro SDHC/Micro SDXC卡(128G)断网本地存储及断网续传。</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45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网络摄像机（24小时智能警戒机）</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海康、大华或其它同档及以上品牌</w:t>
            </w:r>
          </w:p>
        </w:tc>
        <w:tc>
          <w:tcPr>
            <w:tcW w:w="311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200万1/2.8"CMOS 智能全彩筒型网络摄像机</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智能侦测：采用深度学习硬件及算法，提供精准的人车分类侦测，支持越界侦测，区域入侵侦测，进入区域侦测和离开区域侦测。</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支持联动声音报警，支持PoE供电。</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全彩级高灵敏度感器，F1.6超大光圈镜头，为智能应用提供更清晰的视频流输入，全面提升智能业务处理的准确度</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最低照度:彩色：0.002Lux 黑白</w:t>
            </w:r>
            <w:r>
              <w:rPr>
                <w:rFonts w:hint="eastAsia" w:ascii="宋体" w:hAnsi="宋体" w:eastAsia="宋体" w:cs="宋体"/>
                <w:sz w:val="24"/>
                <w:szCs w:val="24"/>
              </w:rPr>
              <w:t>0.0002</w:t>
            </w:r>
            <w:r>
              <w:rPr>
                <w:rFonts w:hint="eastAsia" w:ascii="宋体" w:hAnsi="宋体" w:eastAsia="宋体" w:cs="宋体"/>
                <w:kern w:val="0"/>
                <w:sz w:val="24"/>
                <w:szCs w:val="24"/>
              </w:rPr>
              <w:t>Lux，0 Lux with Light</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存储功能:NAS(NFS，SMB/CIFS均支持)，支持Micro SD(即TF卡)/Micro SDHC/Micro SDXC卡(最大256 GB)</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★内置GPU芯片。（公安部检验报告证明）</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★内置麦克风和喇叭。（公安部检验报告证明）</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★支持声音报警功能，报警声音类型不小于1种，报警声级及报警次数可设置。（公安部检验报告证明）</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★需具备智能分析抗干扰功能，当篮球、小狗、树叶等非人或车辆目标经过检测区域时，不会触发报警。（公安部检验报告证明）</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45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网络摄像机（变焦半球摄像机）</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海康、大华或其它同档及以上品牌</w:t>
            </w:r>
          </w:p>
        </w:tc>
        <w:tc>
          <w:tcPr>
            <w:tcW w:w="311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200万变焦半球型网络摄像机</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镜头:2.7-8mm，支持电动镜头，支持PoE供电。</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调整角度:水平0-355°,垂直0-75°。</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存储功能:支持Micro SD(即TF卡)/Micro SDHC/Micro SDXC卡(128G)断网本地存储及断网续传。</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★需具有2路报警输入、2路报警输出、1个音频输入、1个音频输出接口。（公安部检验报告证明）</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★同一静止场景相同图像质量下，设备在H.265编码方式时，开启智能编码功能和不开启智能编码相比，码率节约1/2。（公安部检验报告证明）</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★支持对存储卡进行读写锁定，锁定后的存储卡在移动终端需要密码才能访问。（公安部检验报告证明）</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27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669" w:type="pct"/>
            <w:tcBorders>
              <w:top w:val="nil"/>
              <w:left w:val="nil"/>
              <w:bottom w:val="single" w:color="auto" w:sz="4" w:space="0"/>
              <w:right w:val="single" w:color="auto" w:sz="4" w:space="0"/>
            </w:tcBorders>
            <w:noWrap/>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网络电视机</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市面主流品牌</w:t>
            </w:r>
          </w:p>
        </w:tc>
        <w:tc>
          <w:tcPr>
            <w:tcW w:w="311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43英寸，人工智能电视，全高清（1920*1080），网络连接支持无线，蓝牙遥控。</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r>
      <w:tr>
        <w:tblPrEx>
          <w:tblCellMar>
            <w:top w:w="0" w:type="dxa"/>
            <w:left w:w="108" w:type="dxa"/>
            <w:bottom w:w="0" w:type="dxa"/>
            <w:right w:w="108" w:type="dxa"/>
          </w:tblCellMar>
        </w:tblPrEx>
        <w:trPr>
          <w:trHeight w:val="27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扬声器</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海康、大华或其它同档及以上品牌</w:t>
            </w:r>
          </w:p>
        </w:tc>
        <w:tc>
          <w:tcPr>
            <w:tcW w:w="3110"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45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8口百兆交换机</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海康、大华或其它同档及以上品牌</w:t>
            </w:r>
          </w:p>
        </w:tc>
        <w:tc>
          <w:tcPr>
            <w:tcW w:w="311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1~8口支持IEEE 802.3at/af PoE供电</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1~8口支持250米远距离传输</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所有RJ45端口均采用4kV防雷设计</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支持端口自动翻转</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存储转发交换模式</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支持MAC地址自动学习和老化</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智能缓存优化</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支持壁挂和桌面两种安装方式</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45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物联网设备安装调试</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定制服务</w:t>
            </w:r>
          </w:p>
        </w:tc>
        <w:tc>
          <w:tcPr>
            <w:tcW w:w="3110" w:type="pct"/>
            <w:tcBorders>
              <w:top w:val="nil"/>
              <w:left w:val="nil"/>
              <w:bottom w:val="single" w:color="auto" w:sz="4" w:space="0"/>
              <w:right w:val="single" w:color="auto" w:sz="4" w:space="0"/>
            </w:tcBorders>
            <w:noWrap/>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摄像头及物联网设备安装调试（含材料）</w:t>
            </w: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r>
      <w:tr>
        <w:tblPrEx>
          <w:tblCellMar>
            <w:top w:w="0" w:type="dxa"/>
            <w:left w:w="108" w:type="dxa"/>
            <w:bottom w:w="0" w:type="dxa"/>
            <w:right w:w="108" w:type="dxa"/>
          </w:tblCellMar>
        </w:tblPrEx>
        <w:trPr>
          <w:trHeight w:val="90" w:hRule="atLeast"/>
        </w:trPr>
        <w:tc>
          <w:tcPr>
            <w:tcW w:w="2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669"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200W投光灯</w:t>
            </w:r>
          </w:p>
        </w:tc>
        <w:tc>
          <w:tcPr>
            <w:tcW w:w="582"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市面主流品牌</w:t>
            </w:r>
          </w:p>
        </w:tc>
        <w:tc>
          <w:tcPr>
            <w:tcW w:w="3110"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p>
        </w:tc>
        <w:tc>
          <w:tcPr>
            <w:tcW w:w="212"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nil"/>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158" w:hRule="atLeast"/>
        </w:trPr>
        <w:tc>
          <w:tcPr>
            <w:tcW w:w="2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69"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IC卡刷卡器</w:t>
            </w:r>
          </w:p>
        </w:tc>
        <w:tc>
          <w:tcPr>
            <w:tcW w:w="582"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定制</w:t>
            </w:r>
          </w:p>
        </w:tc>
        <w:tc>
          <w:tcPr>
            <w:tcW w:w="311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p>
        </w:tc>
        <w:tc>
          <w:tcPr>
            <w:tcW w:w="212"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r>
      <w:tr>
        <w:tblPrEx>
          <w:tblCellMar>
            <w:top w:w="0" w:type="dxa"/>
            <w:left w:w="108" w:type="dxa"/>
            <w:bottom w:w="0" w:type="dxa"/>
            <w:right w:w="108" w:type="dxa"/>
          </w:tblCellMar>
        </w:tblPrEx>
        <w:trPr>
          <w:trHeight w:val="157" w:hRule="atLeast"/>
        </w:trPr>
        <w:tc>
          <w:tcPr>
            <w:tcW w:w="2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669"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物联网IC卡</w:t>
            </w:r>
          </w:p>
        </w:tc>
        <w:tc>
          <w:tcPr>
            <w:tcW w:w="582"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定制</w:t>
            </w:r>
          </w:p>
        </w:tc>
        <w:tc>
          <w:tcPr>
            <w:tcW w:w="3110"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p>
        </w:tc>
        <w:tc>
          <w:tcPr>
            <w:tcW w:w="212"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r>
      <w:tr>
        <w:tblPrEx>
          <w:tblCellMar>
            <w:top w:w="0" w:type="dxa"/>
            <w:left w:w="108" w:type="dxa"/>
            <w:bottom w:w="0" w:type="dxa"/>
            <w:right w:w="108" w:type="dxa"/>
          </w:tblCellMar>
        </w:tblPrEx>
        <w:trPr>
          <w:trHeight w:val="157" w:hRule="atLeast"/>
        </w:trPr>
        <w:tc>
          <w:tcPr>
            <w:tcW w:w="2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669"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100兆宽带</w:t>
            </w:r>
          </w:p>
        </w:tc>
        <w:tc>
          <w:tcPr>
            <w:tcW w:w="582" w:type="pct"/>
            <w:tcBorders>
              <w:top w:val="single" w:color="auto" w:sz="4" w:space="0"/>
              <w:left w:val="nil"/>
              <w:bottom w:val="single" w:color="auto" w:sz="4" w:space="0"/>
              <w:right w:val="single" w:color="auto" w:sz="4" w:space="0"/>
            </w:tcBorders>
            <w:noWrap/>
          </w:tcPr>
          <w:p>
            <w:pPr>
              <w:widowControl/>
              <w:rPr>
                <w:rFonts w:hint="eastAsia" w:ascii="宋体" w:hAnsi="宋体" w:eastAsia="宋体" w:cs="宋体"/>
                <w:kern w:val="0"/>
                <w:sz w:val="24"/>
                <w:szCs w:val="24"/>
              </w:rPr>
            </w:pPr>
            <w:r>
              <w:rPr>
                <w:rFonts w:hint="eastAsia" w:ascii="宋体" w:hAnsi="宋体" w:eastAsia="宋体" w:cs="宋体"/>
                <w:kern w:val="0"/>
                <w:sz w:val="24"/>
                <w:szCs w:val="24"/>
              </w:rPr>
              <w:t>国内主流运营商</w:t>
            </w:r>
          </w:p>
        </w:tc>
        <w:tc>
          <w:tcPr>
            <w:tcW w:w="311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上行20M</w:t>
            </w:r>
          </w:p>
        </w:tc>
        <w:tc>
          <w:tcPr>
            <w:tcW w:w="212"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条</w:t>
            </w:r>
          </w:p>
        </w:tc>
      </w:tr>
      <w:tr>
        <w:tblPrEx>
          <w:tblCellMar>
            <w:top w:w="0" w:type="dxa"/>
            <w:left w:w="108" w:type="dxa"/>
            <w:bottom w:w="0" w:type="dxa"/>
            <w:right w:w="108" w:type="dxa"/>
          </w:tblCellMar>
        </w:tblPrEx>
        <w:trPr>
          <w:trHeight w:val="157" w:hRule="atLeast"/>
        </w:trPr>
        <w:tc>
          <w:tcPr>
            <w:tcW w:w="2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669"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亭体市电接入线路及铺设（含接电）</w:t>
            </w:r>
          </w:p>
        </w:tc>
        <w:tc>
          <w:tcPr>
            <w:tcW w:w="582"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p>
        </w:tc>
        <w:tc>
          <w:tcPr>
            <w:tcW w:w="3110"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p>
        </w:tc>
        <w:tc>
          <w:tcPr>
            <w:tcW w:w="212"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r>
      <w:tr>
        <w:tblPrEx>
          <w:tblCellMar>
            <w:top w:w="0" w:type="dxa"/>
            <w:left w:w="108" w:type="dxa"/>
            <w:bottom w:w="0" w:type="dxa"/>
            <w:right w:w="108" w:type="dxa"/>
          </w:tblCellMar>
        </w:tblPrEx>
        <w:trPr>
          <w:trHeight w:val="157" w:hRule="atLeast"/>
        </w:trPr>
        <w:tc>
          <w:tcPr>
            <w:tcW w:w="2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14</w:t>
            </w:r>
          </w:p>
        </w:tc>
        <w:tc>
          <w:tcPr>
            <w:tcW w:w="669"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亭体自来水及污水管线及铺设</w:t>
            </w:r>
          </w:p>
        </w:tc>
        <w:tc>
          <w:tcPr>
            <w:tcW w:w="582"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p>
        </w:tc>
        <w:tc>
          <w:tcPr>
            <w:tcW w:w="3110" w:type="pct"/>
            <w:tcBorders>
              <w:top w:val="single" w:color="auto" w:sz="4" w:space="0"/>
              <w:left w:val="nil"/>
              <w:bottom w:val="single" w:color="auto" w:sz="4" w:space="0"/>
              <w:right w:val="single" w:color="auto" w:sz="4" w:space="0"/>
            </w:tcBorders>
            <w:noWrap/>
          </w:tcPr>
          <w:p>
            <w:pPr>
              <w:widowControl/>
              <w:jc w:val="center"/>
              <w:rPr>
                <w:rFonts w:hint="eastAsia" w:ascii="宋体" w:hAnsi="宋体" w:eastAsia="宋体" w:cs="宋体"/>
                <w:kern w:val="0"/>
                <w:sz w:val="24"/>
                <w:szCs w:val="24"/>
              </w:rPr>
            </w:pPr>
          </w:p>
        </w:tc>
        <w:tc>
          <w:tcPr>
            <w:tcW w:w="212"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88" w:type="pct"/>
            <w:tcBorders>
              <w:top w:val="single" w:color="auto" w:sz="4" w:space="0"/>
              <w:left w:val="nil"/>
              <w:bottom w:val="single" w:color="auto" w:sz="4" w:space="0"/>
              <w:right w:val="single" w:color="auto" w:sz="4" w:space="0"/>
            </w:tcBorders>
            <w:noWrap/>
            <w:vAlign w:val="center"/>
          </w:tcPr>
          <w:p>
            <w:pPr>
              <w:widowControl/>
              <w:ind w:right="105" w:rightChars="50"/>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r>
    </w:tbl>
    <w:p>
      <w:pPr>
        <w:numPr>
          <w:ilvl w:val="0"/>
          <w:numId w:val="0"/>
        </w:numPr>
        <w:spacing w:line="360" w:lineRule="auto"/>
        <w:ind w:firstLine="482" w:firstLineChars="200"/>
        <w:rPr>
          <w:rFonts w:hint="eastAsia" w:ascii="宋体" w:hAnsi="宋体" w:eastAsia="宋体" w:cs="宋体"/>
          <w:sz w:val="24"/>
          <w:szCs w:val="24"/>
        </w:rPr>
      </w:pPr>
      <w:r>
        <w:rPr>
          <w:rFonts w:hint="eastAsia" w:ascii="宋体" w:hAnsi="宋体" w:cs="宋体"/>
          <w:b/>
          <w:bCs/>
          <w:kern w:val="0"/>
          <w:sz w:val="24"/>
          <w:lang w:val="en-US" w:eastAsia="zh-CN"/>
        </w:rPr>
        <w:t>4、</w:t>
      </w:r>
      <w:r>
        <w:rPr>
          <w:rFonts w:hint="eastAsia" w:ascii="宋体" w:hAnsi="宋体" w:cs="宋体"/>
          <w:b/>
          <w:bCs/>
          <w:kern w:val="0"/>
          <w:sz w:val="24"/>
        </w:rPr>
        <w:t>项目实施要求：</w:t>
      </w:r>
      <w:r>
        <w:rPr>
          <w:rFonts w:hint="eastAsia" w:ascii="宋体" w:hAnsi="宋体" w:cs="宋体"/>
          <w:sz w:val="24"/>
        </w:rPr>
        <w:t>以上项目的系统配置只列出了项目实现的主要基本设备，其他设备、配件和辅材等如有缺失请按项目建设方案需求自行补齐</w:t>
      </w:r>
      <w:r>
        <w:rPr>
          <w:rFonts w:ascii="宋体" w:cs="宋体"/>
          <w:sz w:val="24"/>
        </w:rPr>
        <w:t>,</w:t>
      </w:r>
      <w:r>
        <w:rPr>
          <w:rFonts w:hint="eastAsia" w:ascii="宋体" w:hAnsi="宋体" w:cs="宋体"/>
          <w:kern w:val="0"/>
          <w:sz w:val="24"/>
        </w:rPr>
        <w:t>中标方负责完成以上设备</w:t>
      </w:r>
      <w:r>
        <w:rPr>
          <w:rFonts w:hint="eastAsia" w:ascii="宋体" w:hAnsi="宋体" w:eastAsia="宋体" w:cs="宋体"/>
          <w:kern w:val="0"/>
          <w:sz w:val="24"/>
          <w:szCs w:val="24"/>
        </w:rPr>
        <w:t>的安装调试，电源、相关缆线（网线等）必须齐全并满足</w:t>
      </w:r>
      <w:r>
        <w:rPr>
          <w:rFonts w:hint="eastAsia" w:ascii="宋体" w:hAnsi="宋体" w:cs="宋体"/>
          <w:kern w:val="0"/>
          <w:sz w:val="24"/>
        </w:rPr>
        <w:t>水、电计量表前表后连接的要求，</w:t>
      </w:r>
      <w:r>
        <w:rPr>
          <w:rFonts w:hint="eastAsia" w:ascii="宋体" w:hAnsi="宋体" w:cs="宋体"/>
          <w:sz w:val="24"/>
        </w:rPr>
        <w:t>费用由中标单位承担（若涉及水表、电表开户，申请及开户费用由采购单位承担），请</w:t>
      </w:r>
      <w:r>
        <w:rPr>
          <w:rFonts w:hint="eastAsia" w:ascii="宋体" w:hAnsi="宋体" w:cs="宋体"/>
          <w:sz w:val="24"/>
          <w:lang w:eastAsia="zh-CN"/>
        </w:rPr>
        <w:t>投标人</w:t>
      </w:r>
      <w:r>
        <w:rPr>
          <w:rFonts w:hint="eastAsia" w:ascii="宋体" w:hAnsi="宋体" w:cs="宋体"/>
          <w:sz w:val="24"/>
        </w:rPr>
        <w:t>在报价时考虑在内。</w:t>
      </w:r>
      <w:r>
        <w:rPr>
          <w:rFonts w:hint="eastAsia" w:ascii="宋体" w:hAnsi="宋体" w:cs="宋体"/>
          <w:sz w:val="24"/>
          <w:lang w:eastAsia="zh-CN"/>
        </w:rPr>
        <w:t>投标人</w:t>
      </w:r>
      <w:r>
        <w:rPr>
          <w:rFonts w:hint="eastAsia" w:ascii="宋体" w:hAnsi="宋体" w:cs="宋体"/>
          <w:sz w:val="24"/>
        </w:rPr>
        <w:t>不得随意扩大所投产品的技术功能及性能，产品技术功能和性能以官网公布的资料为准。否则所有损失由中标人负责，并上报有关政府采购部门，作为虚假应标处理。</w:t>
      </w:r>
    </w:p>
    <w:p>
      <w:pPr>
        <w:keepNext w:val="0"/>
        <w:keepLines w:val="0"/>
        <w:pageBreakBefore w:val="0"/>
        <w:tabs>
          <w:tab w:val="left" w:pos="7830"/>
        </w:tabs>
        <w:kinsoku/>
        <w:wordWrap/>
        <w:overflowPunct/>
        <w:topLinePunct w:val="0"/>
        <w:bidi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sz w:val="24"/>
          <w:szCs w:val="24"/>
        </w:rPr>
        <w:t>（二）</w:t>
      </w:r>
      <w:r>
        <w:rPr>
          <w:rFonts w:hint="eastAsia" w:ascii="宋体" w:hAnsi="宋体" w:eastAsia="宋体" w:cs="宋体"/>
          <w:b/>
          <w:bCs/>
          <w:sz w:val="24"/>
          <w:szCs w:val="24"/>
        </w:rPr>
        <w:t>垃圾分类</w:t>
      </w:r>
      <w:r>
        <w:rPr>
          <w:rFonts w:hint="eastAsia" w:ascii="宋体" w:hAnsi="宋体" w:eastAsia="宋体" w:cs="宋体"/>
          <w:b/>
          <w:bCs/>
          <w:sz w:val="24"/>
          <w:szCs w:val="24"/>
          <w:lang w:eastAsia="zh-CN"/>
        </w:rPr>
        <w:t>监督、</w:t>
      </w:r>
      <w:r>
        <w:rPr>
          <w:rFonts w:hint="eastAsia" w:ascii="宋体" w:hAnsi="宋体" w:eastAsia="宋体" w:cs="宋体"/>
          <w:b/>
          <w:bCs/>
          <w:sz w:val="24"/>
          <w:szCs w:val="24"/>
        </w:rPr>
        <w:t>智慧运营服务</w:t>
      </w:r>
      <w:r>
        <w:rPr>
          <w:rFonts w:hint="eastAsia" w:ascii="宋体" w:hAnsi="宋体" w:eastAsia="宋体" w:cs="宋体"/>
          <w:b/>
          <w:sz w:val="24"/>
          <w:szCs w:val="24"/>
        </w:rPr>
        <w:t>基本内容</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通过“两定四分”智慧运营解决方案为居民生活垃圾分类提供运营服务，有效达成垃圾分类管理的“两定四分”考核目标，从而更好地完成生活垃圾“减量化、资源化、无害化”的目标。</w:t>
      </w:r>
    </w:p>
    <w:p>
      <w:pPr>
        <w:keepNext w:val="0"/>
        <w:keepLines w:val="0"/>
        <w:pageBreakBefore w:val="0"/>
        <w:kinsoku/>
        <w:wordWrap/>
        <w:overflowPunct/>
        <w:topLinePunct w:val="0"/>
        <w:bidi w:val="0"/>
        <w:spacing w:line="360" w:lineRule="auto"/>
        <w:ind w:firstLine="482" w:firstLineChars="200"/>
        <w:jc w:val="both"/>
        <w:rPr>
          <w:rFonts w:hint="eastAsia" w:ascii="宋体" w:hAnsi="宋体" w:cs="宋体"/>
          <w:b/>
          <w:color w:val="auto"/>
          <w:sz w:val="24"/>
          <w:szCs w:val="24"/>
          <w:lang w:val="en-US" w:eastAsia="zh-CN"/>
        </w:rPr>
      </w:pPr>
      <w:r>
        <w:rPr>
          <w:rFonts w:hint="eastAsia" w:ascii="宋体" w:hAnsi="宋体" w:eastAsia="宋体" w:cs="宋体"/>
          <w:b/>
          <w:color w:val="auto"/>
          <w:sz w:val="24"/>
          <w:szCs w:val="24"/>
        </w:rPr>
        <w:t>一）垃圾分类点位监督员</w:t>
      </w:r>
      <w:r>
        <w:rPr>
          <w:rFonts w:hint="eastAsia" w:ascii="宋体" w:hAnsi="宋体" w:cs="宋体"/>
          <w:b/>
          <w:color w:val="auto"/>
          <w:sz w:val="24"/>
          <w:szCs w:val="24"/>
          <w:lang w:val="en-US" w:eastAsia="zh-CN"/>
        </w:rPr>
        <w:t>管理</w:t>
      </w:r>
    </w:p>
    <w:p>
      <w:pPr>
        <w:keepNext w:val="0"/>
        <w:keepLines w:val="0"/>
        <w:pageBreakBefore w:val="0"/>
        <w:kinsoku/>
        <w:wordWrap/>
        <w:overflowPunct/>
        <w:topLinePunct w:val="0"/>
        <w:bidi w:val="0"/>
        <w:spacing w:line="360" w:lineRule="auto"/>
        <w:ind w:firstLine="482" w:firstLineChars="200"/>
        <w:jc w:val="both"/>
        <w:rPr>
          <w:rFonts w:hint="eastAsia" w:ascii="宋体" w:hAnsi="宋体" w:eastAsia="宋体" w:cs="宋体"/>
          <w:b/>
          <w:color w:val="auto"/>
          <w:sz w:val="24"/>
          <w:szCs w:val="24"/>
          <w:lang w:eastAsia="zh-CN"/>
        </w:rPr>
      </w:pPr>
      <w:r>
        <w:rPr>
          <w:rFonts w:hint="eastAsia" w:ascii="宋体" w:hAnsi="宋体" w:cs="宋体"/>
          <w:b/>
          <w:color w:val="auto"/>
          <w:sz w:val="24"/>
          <w:szCs w:val="24"/>
          <w:lang w:val="en-US" w:eastAsia="zh-CN"/>
        </w:rPr>
        <w:t>1、监督员招聘管理、岗位职责要求</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387"/>
        <w:gridCol w:w="6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58" w:type="pct"/>
            <w:tcBorders>
              <w:bottom w:val="single" w:color="auto" w:sz="4" w:space="0"/>
            </w:tcBorders>
            <w:vAlign w:val="center"/>
          </w:tcPr>
          <w:p>
            <w:pPr>
              <w:spacing w:line="440" w:lineRule="exact"/>
              <w:jc w:val="center"/>
              <w:rPr>
                <w:rFonts w:ascii="宋体" w:hAnsi="宋体"/>
                <w:sz w:val="24"/>
              </w:rPr>
            </w:pPr>
            <w:r>
              <w:rPr>
                <w:rFonts w:ascii="宋体" w:hAnsi="宋体"/>
                <w:sz w:val="24"/>
              </w:rPr>
              <w:t>序号</w:t>
            </w:r>
          </w:p>
        </w:tc>
        <w:tc>
          <w:tcPr>
            <w:tcW w:w="759" w:type="pct"/>
            <w:tcBorders>
              <w:bottom w:val="single" w:color="auto" w:sz="4" w:space="0"/>
            </w:tcBorders>
            <w:vAlign w:val="center"/>
          </w:tcPr>
          <w:p>
            <w:pPr>
              <w:spacing w:line="440" w:lineRule="exact"/>
              <w:jc w:val="center"/>
              <w:rPr>
                <w:rFonts w:ascii="宋体" w:hAnsi="宋体"/>
                <w:sz w:val="24"/>
              </w:rPr>
            </w:pPr>
            <w:r>
              <w:rPr>
                <w:rFonts w:ascii="宋体" w:hAnsi="宋体"/>
                <w:sz w:val="24"/>
              </w:rPr>
              <w:t>内  容</w:t>
            </w:r>
          </w:p>
        </w:tc>
        <w:tc>
          <w:tcPr>
            <w:tcW w:w="3682" w:type="pct"/>
            <w:tcBorders>
              <w:bottom w:val="single" w:color="auto" w:sz="4" w:space="0"/>
            </w:tcBorders>
            <w:vAlign w:val="center"/>
          </w:tcPr>
          <w:p>
            <w:pPr>
              <w:spacing w:line="440" w:lineRule="exact"/>
              <w:jc w:val="center"/>
              <w:rPr>
                <w:rFonts w:ascii="宋体" w:hAnsi="宋体"/>
                <w:sz w:val="24"/>
              </w:rPr>
            </w:pPr>
            <w:r>
              <w:rPr>
                <w:rFonts w:hint="eastAsia" w:ascii="宋体" w:hAnsi="宋体"/>
                <w:sz w:val="24"/>
              </w:rPr>
              <w:t>服务</w:t>
            </w:r>
            <w:r>
              <w:rPr>
                <w:rFonts w:ascii="宋体" w:hAnsi="宋体"/>
                <w:sz w:val="24"/>
              </w:rPr>
              <w:t>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558" w:type="pct"/>
            <w:vAlign w:val="center"/>
          </w:tcPr>
          <w:p>
            <w:pPr>
              <w:spacing w:line="440" w:lineRule="exact"/>
              <w:jc w:val="center"/>
              <w:rPr>
                <w:rFonts w:ascii="宋体" w:hAnsi="宋体"/>
                <w:sz w:val="24"/>
              </w:rPr>
            </w:pPr>
            <w:r>
              <w:rPr>
                <w:rFonts w:hint="eastAsia" w:ascii="宋体" w:hAnsi="宋体"/>
                <w:sz w:val="24"/>
              </w:rPr>
              <w:t>1</w:t>
            </w:r>
          </w:p>
        </w:tc>
        <w:tc>
          <w:tcPr>
            <w:tcW w:w="759" w:type="pct"/>
            <w:vAlign w:val="center"/>
          </w:tcPr>
          <w:p>
            <w:pPr>
              <w:spacing w:line="440" w:lineRule="exact"/>
              <w:rPr>
                <w:rFonts w:ascii="宋体" w:hAnsi="宋体" w:cs="宋体"/>
                <w:sz w:val="24"/>
                <w:lang w:bidi="zh-CN"/>
              </w:rPr>
            </w:pPr>
            <w:r>
              <w:rPr>
                <w:rFonts w:hint="eastAsia" w:ascii="宋体" w:hAnsi="宋体" w:cs="宋体"/>
                <w:sz w:val="24"/>
                <w:lang w:bidi="zh-CN"/>
              </w:rPr>
              <w:t>垃圾分类点位监督员招聘及管理</w:t>
            </w:r>
          </w:p>
        </w:tc>
        <w:tc>
          <w:tcPr>
            <w:tcW w:w="3682" w:type="pct"/>
            <w:vAlign w:val="center"/>
          </w:tcPr>
          <w:p>
            <w:pPr>
              <w:spacing w:line="440" w:lineRule="exact"/>
              <w:rPr>
                <w:rFonts w:ascii="宋体" w:hAnsi="宋体" w:cs="宋体"/>
                <w:sz w:val="24"/>
                <w:lang w:bidi="zh-CN"/>
              </w:rPr>
            </w:pPr>
            <w:r>
              <w:rPr>
                <w:rFonts w:hint="eastAsia" w:ascii="宋体" w:hAnsi="宋体" w:cs="宋体"/>
                <w:sz w:val="24"/>
                <w:lang w:bidi="zh-CN"/>
              </w:rPr>
              <w:t>供应商负责垃圾分类点位监督员的招聘、培训、考核、管理等工作，负责监督员薪资发放，并承担监督人员人身意外险及意外伤亡风险（监督员人数配置标准：每个垃圾投放亭点位配置1名监督员）。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558" w:type="pct"/>
            <w:vAlign w:val="center"/>
          </w:tcPr>
          <w:p>
            <w:pPr>
              <w:spacing w:line="440" w:lineRule="exact"/>
              <w:jc w:val="center"/>
              <w:rPr>
                <w:rFonts w:ascii="宋体" w:hAnsi="宋体"/>
                <w:sz w:val="24"/>
              </w:rPr>
            </w:pPr>
            <w:r>
              <w:rPr>
                <w:rFonts w:hint="eastAsia" w:ascii="宋体" w:hAnsi="宋体"/>
                <w:sz w:val="24"/>
              </w:rPr>
              <w:t>2</w:t>
            </w:r>
          </w:p>
        </w:tc>
        <w:tc>
          <w:tcPr>
            <w:tcW w:w="759" w:type="pct"/>
            <w:vAlign w:val="center"/>
          </w:tcPr>
          <w:p>
            <w:pPr>
              <w:spacing w:line="440" w:lineRule="exact"/>
              <w:rPr>
                <w:rFonts w:ascii="宋体" w:hAnsi="宋体" w:cs="宋体"/>
                <w:sz w:val="24"/>
                <w:lang w:bidi="zh-CN"/>
              </w:rPr>
            </w:pPr>
            <w:r>
              <w:rPr>
                <w:rFonts w:hint="eastAsia" w:ascii="宋体" w:hAnsi="宋体" w:cs="宋体"/>
                <w:sz w:val="24"/>
                <w:lang w:bidi="zh-CN"/>
              </w:rPr>
              <w:t>垃圾分类点位监督员岗位职责要求</w:t>
            </w:r>
          </w:p>
        </w:tc>
        <w:tc>
          <w:tcPr>
            <w:tcW w:w="3682" w:type="pct"/>
            <w:vAlign w:val="center"/>
          </w:tcPr>
          <w:p>
            <w:pPr>
              <w:spacing w:line="440" w:lineRule="exact"/>
              <w:rPr>
                <w:rFonts w:ascii="宋体" w:hAnsi="宋体" w:cs="宋体"/>
                <w:sz w:val="24"/>
                <w:lang w:bidi="zh-CN"/>
              </w:rPr>
            </w:pPr>
            <w:r>
              <w:rPr>
                <w:rFonts w:hint="eastAsia" w:ascii="宋体" w:hAnsi="宋体" w:cs="宋体"/>
                <w:sz w:val="24"/>
                <w:lang w:bidi="zh-CN"/>
              </w:rPr>
              <w:t>供应商负责管理好监督员，至少满足以下要求：</w:t>
            </w:r>
          </w:p>
          <w:p>
            <w:pPr>
              <w:spacing w:line="440" w:lineRule="exact"/>
              <w:rPr>
                <w:rFonts w:ascii="宋体" w:hAnsi="宋体" w:cs="宋体"/>
                <w:sz w:val="24"/>
                <w:lang w:val="zh-CN" w:bidi="zh-CN"/>
              </w:rPr>
            </w:pPr>
            <w:r>
              <w:rPr>
                <w:rFonts w:hint="eastAsia" w:ascii="宋体" w:hAnsi="宋体" w:cs="宋体"/>
                <w:sz w:val="24"/>
                <w:lang w:bidi="zh-CN"/>
              </w:rPr>
              <w:t>1）</w:t>
            </w:r>
            <w:r>
              <w:rPr>
                <w:rFonts w:hint="eastAsia" w:ascii="宋体" w:hAnsi="宋体" w:cs="宋体"/>
                <w:sz w:val="24"/>
                <w:lang w:val="zh-CN" w:bidi="zh-CN"/>
              </w:rPr>
              <w:t>穿戴好工作服，提前10分钟到岗，检查各项设施是否正常。</w:t>
            </w:r>
          </w:p>
          <w:p>
            <w:pPr>
              <w:spacing w:line="440" w:lineRule="exact"/>
              <w:rPr>
                <w:rFonts w:ascii="宋体" w:hAnsi="宋体" w:cs="宋体"/>
                <w:sz w:val="24"/>
                <w:lang w:val="zh-CN" w:bidi="zh-CN"/>
              </w:rPr>
            </w:pPr>
            <w:r>
              <w:rPr>
                <w:rFonts w:hint="eastAsia" w:ascii="宋体" w:hAnsi="宋体" w:cs="宋体"/>
                <w:sz w:val="24"/>
                <w:lang w:bidi="zh-CN"/>
              </w:rPr>
              <w:t>2）</w:t>
            </w:r>
            <w:r>
              <w:rPr>
                <w:rFonts w:hint="eastAsia" w:ascii="宋体" w:hAnsi="宋体" w:cs="宋体"/>
                <w:sz w:val="24"/>
                <w:lang w:val="zh-CN" w:bidi="zh-CN"/>
              </w:rPr>
              <w:t>上班后对部分住户在非投递时间投放在岗亭上的垃圾未分类的进行分拣，未入桶的及时入桶，保证分类正确率及岗亭的环境卫生。</w:t>
            </w:r>
          </w:p>
          <w:p>
            <w:pPr>
              <w:spacing w:line="440" w:lineRule="exact"/>
              <w:rPr>
                <w:rFonts w:ascii="宋体" w:hAnsi="宋体" w:cs="宋体"/>
                <w:sz w:val="24"/>
                <w:lang w:val="zh-CN" w:bidi="zh-CN"/>
              </w:rPr>
            </w:pPr>
            <w:r>
              <w:rPr>
                <w:rFonts w:hint="eastAsia" w:ascii="宋体" w:hAnsi="宋体" w:cs="宋体"/>
                <w:sz w:val="24"/>
                <w:lang w:bidi="zh-CN"/>
              </w:rPr>
              <w:t>3）</w:t>
            </w:r>
            <w:r>
              <w:rPr>
                <w:rFonts w:hint="eastAsia" w:ascii="宋体" w:hAnsi="宋体" w:cs="宋体"/>
                <w:sz w:val="24"/>
                <w:lang w:val="zh-CN" w:bidi="zh-CN"/>
              </w:rPr>
              <w:t>对未分类的住户进行岗亭内宣教。</w:t>
            </w:r>
          </w:p>
          <w:p>
            <w:pPr>
              <w:spacing w:line="440" w:lineRule="exact"/>
              <w:rPr>
                <w:rFonts w:ascii="宋体" w:hAnsi="宋体" w:cs="宋体"/>
                <w:sz w:val="24"/>
                <w:lang w:val="zh-CN" w:bidi="zh-CN"/>
              </w:rPr>
            </w:pPr>
            <w:r>
              <w:rPr>
                <w:rFonts w:hint="eastAsia" w:ascii="宋体" w:hAnsi="宋体" w:cs="宋体"/>
                <w:sz w:val="24"/>
                <w:lang w:bidi="zh-CN"/>
              </w:rPr>
              <w:t>4）</w:t>
            </w:r>
            <w:r>
              <w:rPr>
                <w:rFonts w:hint="eastAsia" w:ascii="宋体" w:hAnsi="宋体" w:cs="宋体"/>
                <w:sz w:val="24"/>
                <w:lang w:val="zh-CN" w:bidi="zh-CN"/>
              </w:rPr>
              <w:t>分类垃圾清运车到达时，准备好水管冲洗垃圾桶，脏水倒入垃圾清运车。</w:t>
            </w:r>
          </w:p>
          <w:p>
            <w:pPr>
              <w:spacing w:line="440" w:lineRule="exact"/>
              <w:rPr>
                <w:rFonts w:ascii="宋体" w:hAnsi="宋体" w:cs="宋体"/>
                <w:sz w:val="24"/>
                <w:lang w:val="zh-CN" w:bidi="zh-CN"/>
              </w:rPr>
            </w:pPr>
            <w:r>
              <w:rPr>
                <w:rFonts w:hint="eastAsia" w:ascii="宋体" w:hAnsi="宋体" w:cs="宋体"/>
                <w:sz w:val="24"/>
                <w:lang w:bidi="zh-CN"/>
              </w:rPr>
              <w:t>5）</w:t>
            </w:r>
            <w:r>
              <w:rPr>
                <w:rFonts w:hint="eastAsia" w:ascii="宋体" w:hAnsi="宋体" w:cs="宋体"/>
                <w:sz w:val="24"/>
                <w:lang w:val="zh-CN" w:bidi="zh-CN"/>
              </w:rPr>
              <w:t>垃圾桶</w:t>
            </w:r>
            <w:r>
              <w:rPr>
                <w:rFonts w:hint="eastAsia" w:ascii="宋体" w:hAnsi="宋体" w:cs="宋体"/>
                <w:sz w:val="24"/>
                <w:lang w:bidi="zh-CN"/>
              </w:rPr>
              <w:t>必须</w:t>
            </w:r>
            <w:r>
              <w:rPr>
                <w:rFonts w:hint="eastAsia" w:ascii="宋体" w:hAnsi="宋体" w:cs="宋体"/>
                <w:sz w:val="24"/>
                <w:lang w:val="zh-CN" w:bidi="zh-CN"/>
              </w:rPr>
              <w:t>清洗干净并摆放整齐，整个垃圾分类智慧亭保持干净整洁。</w:t>
            </w:r>
          </w:p>
          <w:p>
            <w:pPr>
              <w:spacing w:line="440" w:lineRule="exact"/>
              <w:rPr>
                <w:rFonts w:ascii="宋体" w:hAnsi="宋体" w:cs="宋体"/>
                <w:sz w:val="24"/>
                <w:lang w:val="zh-CN" w:bidi="zh-CN"/>
              </w:rPr>
            </w:pPr>
            <w:r>
              <w:rPr>
                <w:rFonts w:hint="eastAsia" w:ascii="宋体" w:hAnsi="宋体" w:cs="宋体"/>
                <w:sz w:val="24"/>
                <w:lang w:bidi="zh-CN"/>
              </w:rPr>
              <w:t>6）</w:t>
            </w:r>
            <w:r>
              <w:rPr>
                <w:rFonts w:hint="eastAsia" w:ascii="宋体" w:hAnsi="宋体" w:cs="宋体"/>
                <w:sz w:val="24"/>
                <w:lang w:val="zh-CN" w:bidi="zh-CN"/>
              </w:rPr>
              <w:t>低价值的可回收物应就近放在回收箱内或者自行处理。</w:t>
            </w:r>
          </w:p>
          <w:p>
            <w:pPr>
              <w:spacing w:line="440" w:lineRule="exact"/>
              <w:rPr>
                <w:rFonts w:ascii="宋体" w:hAnsi="宋体" w:cs="宋体"/>
                <w:sz w:val="24"/>
                <w:lang w:val="zh-CN" w:bidi="zh-CN"/>
              </w:rPr>
            </w:pPr>
            <w:r>
              <w:rPr>
                <w:rFonts w:hint="eastAsia" w:ascii="宋体" w:hAnsi="宋体" w:cs="宋体"/>
                <w:sz w:val="24"/>
                <w:lang w:bidi="zh-CN"/>
              </w:rPr>
              <w:t>7）</w:t>
            </w:r>
            <w:r>
              <w:rPr>
                <w:rFonts w:hint="eastAsia" w:ascii="宋体" w:hAnsi="宋体" w:cs="宋体"/>
                <w:sz w:val="24"/>
                <w:lang w:val="zh-CN" w:bidi="zh-CN"/>
              </w:rPr>
              <w:t>如发现有人未按规定时间投放垃圾或者分类不正确，第一次进行劝导，第二次笔记本上记录下来，日期和时间。</w:t>
            </w:r>
          </w:p>
          <w:p>
            <w:pPr>
              <w:spacing w:line="440" w:lineRule="exact"/>
              <w:rPr>
                <w:rFonts w:ascii="宋体" w:hAnsi="宋体" w:cs="宋体"/>
                <w:sz w:val="24"/>
                <w:lang w:val="zh-CN" w:bidi="zh-CN"/>
              </w:rPr>
            </w:pPr>
            <w:r>
              <w:rPr>
                <w:rFonts w:hint="eastAsia" w:ascii="宋体" w:hAnsi="宋体" w:cs="宋体"/>
                <w:sz w:val="24"/>
                <w:lang w:bidi="zh-CN"/>
              </w:rPr>
              <w:t>8）</w:t>
            </w:r>
            <w:r>
              <w:rPr>
                <w:rFonts w:hint="eastAsia" w:ascii="宋体" w:hAnsi="宋体" w:cs="宋体"/>
                <w:sz w:val="24"/>
                <w:lang w:val="zh-CN" w:bidi="zh-CN"/>
              </w:rPr>
              <w:t>对住户投放的垃圾每次都需开袋检查，监督仪拍照上传打分。</w:t>
            </w:r>
          </w:p>
          <w:p>
            <w:pPr>
              <w:spacing w:line="440" w:lineRule="exact"/>
              <w:rPr>
                <w:rFonts w:ascii="宋体" w:hAnsi="宋体" w:cs="宋体"/>
                <w:sz w:val="24"/>
                <w:lang w:val="zh-CN" w:bidi="zh-CN"/>
              </w:rPr>
            </w:pPr>
            <w:r>
              <w:rPr>
                <w:rFonts w:hint="eastAsia" w:ascii="宋体" w:hAnsi="宋体" w:cs="宋体"/>
                <w:sz w:val="24"/>
                <w:lang w:bidi="zh-CN"/>
              </w:rPr>
              <w:t>9）</w:t>
            </w:r>
            <w:r>
              <w:rPr>
                <w:rFonts w:hint="eastAsia" w:ascii="宋体" w:hAnsi="宋体" w:cs="宋体"/>
                <w:sz w:val="24"/>
                <w:lang w:val="zh-CN" w:bidi="zh-CN"/>
              </w:rPr>
              <w:t>投递时间内保洁公司清扫的垃圾，分类正确的应允许其投放，树叶及沙石土粒等垃圾投入岗亭内指定的垃圾桶。</w:t>
            </w:r>
          </w:p>
        </w:tc>
      </w:tr>
    </w:tbl>
    <w:p>
      <w:pPr>
        <w:keepNext w:val="0"/>
        <w:keepLines w:val="0"/>
        <w:pageBreakBefore w:val="0"/>
        <w:kinsoku/>
        <w:wordWrap/>
        <w:overflowPunct/>
        <w:topLinePunct w:val="0"/>
        <w:bidi w:val="0"/>
        <w:spacing w:line="460" w:lineRule="exact"/>
        <w:ind w:firstLine="482" w:firstLineChars="200"/>
        <w:rPr>
          <w:rFonts w:hint="eastAsia" w:ascii="宋体" w:hAnsi="宋体"/>
          <w:b/>
          <w:color w:val="auto"/>
          <w:sz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监督员</w:t>
      </w:r>
      <w:r>
        <w:rPr>
          <w:rFonts w:hint="eastAsia" w:ascii="宋体" w:hAnsi="宋体" w:eastAsia="宋体" w:cs="宋体"/>
          <w:b/>
          <w:bCs/>
          <w:color w:val="auto"/>
          <w:sz w:val="24"/>
          <w:szCs w:val="24"/>
          <w:lang w:val="en-US" w:eastAsia="zh-CN"/>
        </w:rPr>
        <w:t>月度考核表</w:t>
      </w:r>
    </w:p>
    <w:tbl>
      <w:tblPr>
        <w:tblStyle w:val="46"/>
        <w:tblW w:w="5025"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44"/>
        <w:gridCol w:w="1145"/>
        <w:gridCol w:w="1310"/>
        <w:gridCol w:w="3684"/>
        <w:gridCol w:w="23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5000" w:type="pct"/>
            <w:gridSpan w:val="5"/>
          </w:tcPr>
          <w:p>
            <w:pPr>
              <w:pStyle w:val="268"/>
              <w:ind w:right="3317"/>
              <w:jc w:val="center"/>
              <w:rPr>
                <w:rFonts w:ascii="宋体" w:hAnsi="宋体" w:eastAsia="宋体" w:cs="宋体"/>
                <w:sz w:val="24"/>
                <w:lang w:val="en-US"/>
              </w:rPr>
            </w:pPr>
            <w:r>
              <w:rPr>
                <w:rFonts w:hint="eastAsia" w:ascii="宋体" w:hAnsi="宋体" w:eastAsia="宋体" w:cs="宋体"/>
                <w:b/>
                <w:bCs/>
                <w:sz w:val="24"/>
              </w:rPr>
              <w:t>监督员</w:t>
            </w:r>
            <w:r>
              <w:rPr>
                <w:rFonts w:hint="eastAsia" w:ascii="宋体" w:hAnsi="宋体" w:eastAsia="宋体" w:cs="宋体"/>
                <w:b/>
                <w:bCs/>
                <w:sz w:val="24"/>
                <w:lang w:val="en-US"/>
              </w:rPr>
              <w:t>月度考核表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303" w:type="pct"/>
          </w:tcPr>
          <w:p>
            <w:pPr>
              <w:pStyle w:val="268"/>
              <w:ind w:left="32" w:right="17"/>
              <w:jc w:val="center"/>
              <w:rPr>
                <w:rFonts w:ascii="宋体" w:hAnsi="宋体" w:eastAsia="宋体" w:cs="宋体"/>
                <w:sz w:val="24"/>
              </w:rPr>
            </w:pPr>
            <w:r>
              <w:rPr>
                <w:rFonts w:hint="eastAsia" w:ascii="宋体" w:hAnsi="宋体" w:eastAsia="宋体" w:cs="宋体"/>
                <w:sz w:val="24"/>
              </w:rPr>
              <w:t>序号</w:t>
            </w:r>
          </w:p>
        </w:tc>
        <w:tc>
          <w:tcPr>
            <w:tcW w:w="637" w:type="pct"/>
            <w:vAlign w:val="center"/>
          </w:tcPr>
          <w:p>
            <w:pPr>
              <w:pStyle w:val="268"/>
              <w:ind w:left="82"/>
              <w:jc w:val="center"/>
              <w:rPr>
                <w:rFonts w:ascii="宋体" w:hAnsi="宋体" w:eastAsia="宋体" w:cs="宋体"/>
                <w:sz w:val="24"/>
              </w:rPr>
            </w:pPr>
            <w:r>
              <w:rPr>
                <w:rFonts w:hint="eastAsia" w:ascii="宋体" w:hAnsi="宋体" w:eastAsia="宋体" w:cs="宋体"/>
                <w:sz w:val="24"/>
              </w:rPr>
              <w:t>工作分类</w:t>
            </w:r>
          </w:p>
        </w:tc>
        <w:tc>
          <w:tcPr>
            <w:tcW w:w="729" w:type="pct"/>
            <w:vAlign w:val="center"/>
          </w:tcPr>
          <w:p>
            <w:pPr>
              <w:pStyle w:val="268"/>
              <w:ind w:left="62" w:right="47"/>
              <w:jc w:val="center"/>
              <w:rPr>
                <w:rFonts w:ascii="宋体" w:hAnsi="宋体" w:eastAsia="宋体" w:cs="宋体"/>
                <w:sz w:val="24"/>
              </w:rPr>
            </w:pPr>
            <w:r>
              <w:rPr>
                <w:rFonts w:hint="eastAsia" w:ascii="宋体" w:hAnsi="宋体" w:eastAsia="宋体" w:cs="宋体"/>
                <w:sz w:val="24"/>
              </w:rPr>
              <w:t>岗位职责</w:t>
            </w:r>
          </w:p>
        </w:tc>
        <w:tc>
          <w:tcPr>
            <w:tcW w:w="2050" w:type="pct"/>
          </w:tcPr>
          <w:p>
            <w:pPr>
              <w:pStyle w:val="268"/>
              <w:ind w:left="907"/>
              <w:rPr>
                <w:rFonts w:ascii="宋体" w:hAnsi="宋体" w:eastAsia="宋体" w:cs="宋体"/>
                <w:sz w:val="24"/>
              </w:rPr>
            </w:pPr>
            <w:r>
              <w:rPr>
                <w:rFonts w:hint="eastAsia" w:ascii="宋体" w:hAnsi="宋体" w:eastAsia="宋体" w:cs="宋体"/>
                <w:sz w:val="24"/>
              </w:rPr>
              <w:t>考核细则及扣分标准</w:t>
            </w:r>
          </w:p>
        </w:tc>
        <w:tc>
          <w:tcPr>
            <w:tcW w:w="1278" w:type="pct"/>
          </w:tcPr>
          <w:p>
            <w:pPr>
              <w:pStyle w:val="268"/>
              <w:ind w:left="652"/>
              <w:rPr>
                <w:rFonts w:ascii="宋体" w:hAnsi="宋体" w:eastAsia="宋体" w:cs="宋体"/>
                <w:sz w:val="24"/>
              </w:rPr>
            </w:pPr>
            <w:r>
              <w:rPr>
                <w:rFonts w:hint="eastAsia" w:ascii="宋体" w:hAnsi="宋体" w:eastAsia="宋体" w:cs="宋体"/>
                <w:sz w:val="24"/>
              </w:rPr>
              <w:t>考核方式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1</w:t>
            </w:r>
          </w:p>
        </w:tc>
        <w:tc>
          <w:tcPr>
            <w:tcW w:w="637" w:type="pct"/>
            <w:vMerge w:val="restar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322"/>
              <w:jc w:val="center"/>
              <w:rPr>
                <w:rFonts w:ascii="宋体" w:hAnsi="宋体" w:eastAsia="宋体" w:cs="宋体"/>
                <w:sz w:val="24"/>
              </w:rPr>
            </w:pPr>
            <w:r>
              <w:rPr>
                <w:rFonts w:hint="eastAsia" w:ascii="宋体" w:hAnsi="宋体" w:eastAsia="宋体" w:cs="宋体"/>
                <w:sz w:val="24"/>
              </w:rPr>
              <w:t>上岗</w:t>
            </w:r>
          </w:p>
        </w:tc>
        <w:tc>
          <w:tcPr>
            <w:tcW w:w="729" w:type="pct"/>
            <w:vAlign w:val="center"/>
          </w:tcPr>
          <w:p>
            <w:pPr>
              <w:pStyle w:val="268"/>
              <w:ind w:right="47" w:firstLine="240" w:firstLineChars="100"/>
              <w:jc w:val="center"/>
              <w:rPr>
                <w:rFonts w:ascii="宋体" w:hAnsi="宋体" w:eastAsia="宋体" w:cs="宋体"/>
                <w:sz w:val="24"/>
              </w:rPr>
            </w:pPr>
            <w:r>
              <w:rPr>
                <w:rFonts w:hint="eastAsia" w:ascii="宋体" w:hAnsi="宋体" w:eastAsia="宋体" w:cs="宋体"/>
                <w:sz w:val="24"/>
              </w:rPr>
              <w:t>按时上岗</w:t>
            </w:r>
          </w:p>
        </w:tc>
        <w:tc>
          <w:tcPr>
            <w:tcW w:w="2050" w:type="pct"/>
          </w:tcPr>
          <w:p>
            <w:pPr>
              <w:pStyle w:val="268"/>
              <w:ind w:right="28"/>
              <w:rPr>
                <w:rFonts w:ascii="宋体" w:hAnsi="宋体" w:eastAsia="宋体" w:cs="宋体"/>
                <w:sz w:val="24"/>
              </w:rPr>
            </w:pPr>
            <w:r>
              <w:rPr>
                <w:rFonts w:hint="eastAsia" w:ascii="宋体" w:hAnsi="宋体" w:eastAsia="宋体" w:cs="宋体"/>
                <w:sz w:val="24"/>
              </w:rPr>
              <w:t>以定时定点投递时间为基准，提前10 分钟到岗；每次未按时到岗-2分。</w:t>
            </w:r>
          </w:p>
        </w:tc>
        <w:tc>
          <w:tcPr>
            <w:tcW w:w="1278" w:type="pct"/>
          </w:tcPr>
          <w:p>
            <w:pPr>
              <w:pStyle w:val="268"/>
              <w:ind w:right="65"/>
              <w:rPr>
                <w:rFonts w:ascii="宋体" w:hAnsi="宋体" w:eastAsia="宋体" w:cs="宋体"/>
                <w:sz w:val="24"/>
              </w:rPr>
            </w:pPr>
            <w:r>
              <w:rPr>
                <w:rFonts w:hint="eastAsia" w:ascii="宋体" w:hAnsi="宋体" w:eastAsia="宋体" w:cs="宋体"/>
                <w:sz w:val="24"/>
              </w:rPr>
              <w:t>管理员通过后台数据检查监督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2</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ind w:right="65"/>
              <w:jc w:val="center"/>
              <w:rPr>
                <w:rFonts w:ascii="宋体" w:hAnsi="宋体" w:eastAsia="宋体" w:cs="宋体"/>
                <w:sz w:val="24"/>
              </w:rPr>
            </w:pPr>
            <w:r>
              <w:rPr>
                <w:rFonts w:hint="eastAsia" w:ascii="宋体" w:hAnsi="宋体" w:eastAsia="宋体" w:cs="宋体"/>
                <w:sz w:val="24"/>
              </w:rPr>
              <w:t>按要求穿戴工作服上岗</w:t>
            </w:r>
          </w:p>
        </w:tc>
        <w:tc>
          <w:tcPr>
            <w:tcW w:w="2050" w:type="pct"/>
          </w:tcPr>
          <w:p>
            <w:pPr>
              <w:pStyle w:val="268"/>
              <w:ind w:right="95"/>
              <w:rPr>
                <w:rFonts w:ascii="宋体" w:hAnsi="宋体" w:eastAsia="宋体" w:cs="宋体"/>
                <w:sz w:val="24"/>
              </w:rPr>
            </w:pPr>
            <w:r>
              <w:rPr>
                <w:rFonts w:hint="eastAsia" w:ascii="宋体" w:hAnsi="宋体" w:eastAsia="宋体" w:cs="宋体"/>
                <w:sz w:val="24"/>
              </w:rPr>
              <w:t xml:space="preserve">按照标准穿戴监督员马甲或袖标上 </w:t>
            </w:r>
            <w:r>
              <w:rPr>
                <w:rFonts w:hint="eastAsia" w:ascii="宋体" w:hAnsi="宋体" w:eastAsia="宋体" w:cs="宋体"/>
                <w:spacing w:val="-1"/>
                <w:sz w:val="24"/>
              </w:rPr>
              <w:t>岗；每次未按要求穿戴工作服-</w:t>
            </w:r>
            <w:r>
              <w:rPr>
                <w:rFonts w:hint="eastAsia" w:ascii="宋体" w:hAnsi="宋体" w:eastAsia="宋体" w:cs="宋体"/>
                <w:spacing w:val="-3"/>
                <w:sz w:val="24"/>
              </w:rPr>
              <w:t>2</w:t>
            </w:r>
            <w:r>
              <w:rPr>
                <w:rFonts w:hint="eastAsia" w:ascii="宋体" w:hAnsi="宋体" w:eastAsia="宋体" w:cs="宋体"/>
                <w:spacing w:val="-9"/>
                <w:sz w:val="24"/>
              </w:rPr>
              <w:t>分。</w:t>
            </w:r>
          </w:p>
        </w:tc>
        <w:tc>
          <w:tcPr>
            <w:tcW w:w="1278" w:type="pct"/>
          </w:tcPr>
          <w:p>
            <w:pPr>
              <w:pStyle w:val="268"/>
              <w:ind w:left="37" w:right="65"/>
              <w:rPr>
                <w:rFonts w:ascii="宋体" w:hAnsi="宋体" w:eastAsia="宋体" w:cs="宋体"/>
                <w:sz w:val="24"/>
              </w:rPr>
            </w:pPr>
            <w:r>
              <w:rPr>
                <w:rFonts w:hint="eastAsia" w:ascii="宋体" w:hAnsi="宋体" w:eastAsia="宋体" w:cs="宋体"/>
                <w:sz w:val="24"/>
              </w:rPr>
              <w:t xml:space="preserve">管理员通过视频监 </w:t>
            </w:r>
            <w:r>
              <w:rPr>
                <w:rFonts w:hint="eastAsia" w:ascii="宋体" w:hAnsi="宋体" w:eastAsia="宋体" w:cs="宋体"/>
                <w:spacing w:val="-2"/>
                <w:sz w:val="24"/>
              </w:rPr>
              <w:t>控，现场巡查检查监</w:t>
            </w:r>
            <w:r>
              <w:rPr>
                <w:rFonts w:hint="eastAsia" w:ascii="宋体" w:hAnsi="宋体" w:eastAsia="宋体" w:cs="宋体"/>
                <w:sz w:val="24"/>
              </w:rPr>
              <w:t>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3</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ind w:right="47"/>
              <w:jc w:val="center"/>
              <w:rPr>
                <w:rFonts w:ascii="宋体" w:hAnsi="宋体" w:eastAsia="宋体" w:cs="宋体"/>
                <w:sz w:val="24"/>
              </w:rPr>
            </w:pPr>
            <w:r>
              <w:rPr>
                <w:rFonts w:hint="eastAsia" w:ascii="宋体" w:hAnsi="宋体" w:eastAsia="宋体" w:cs="宋体"/>
                <w:sz w:val="24"/>
              </w:rPr>
              <w:t>上岗打卡</w:t>
            </w:r>
          </w:p>
        </w:tc>
        <w:tc>
          <w:tcPr>
            <w:tcW w:w="2050" w:type="pct"/>
          </w:tcPr>
          <w:p>
            <w:pPr>
              <w:pStyle w:val="268"/>
              <w:ind w:right="95"/>
              <w:rPr>
                <w:rFonts w:ascii="宋体" w:hAnsi="宋体" w:eastAsia="宋体" w:cs="宋体"/>
                <w:sz w:val="24"/>
              </w:rPr>
            </w:pPr>
            <w:r>
              <w:rPr>
                <w:rFonts w:hint="eastAsia" w:ascii="宋体" w:hAnsi="宋体" w:eastAsia="宋体" w:cs="宋体"/>
                <w:sz w:val="24"/>
              </w:rPr>
              <w:t>用手机小程序，或者监督员专用IC卡进行上岗打卡；每次未打卡-2分。</w:t>
            </w:r>
          </w:p>
        </w:tc>
        <w:tc>
          <w:tcPr>
            <w:tcW w:w="1278" w:type="pct"/>
          </w:tcPr>
          <w:p>
            <w:pPr>
              <w:pStyle w:val="268"/>
              <w:ind w:right="65"/>
              <w:rPr>
                <w:rFonts w:ascii="宋体" w:hAnsi="宋体" w:eastAsia="宋体" w:cs="宋体"/>
                <w:sz w:val="24"/>
              </w:rPr>
            </w:pPr>
            <w:r>
              <w:rPr>
                <w:rFonts w:hint="eastAsia" w:ascii="宋体" w:hAnsi="宋体" w:eastAsia="宋体" w:cs="宋体"/>
                <w:sz w:val="24"/>
              </w:rPr>
              <w:t>管理员通过后台数据检查监督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4</w:t>
            </w:r>
          </w:p>
        </w:tc>
        <w:tc>
          <w:tcPr>
            <w:tcW w:w="637" w:type="pct"/>
            <w:vMerge w:val="restar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82"/>
              <w:jc w:val="center"/>
              <w:rPr>
                <w:rFonts w:ascii="宋体" w:hAnsi="宋体" w:eastAsia="宋体" w:cs="宋体"/>
                <w:sz w:val="24"/>
              </w:rPr>
            </w:pPr>
            <w:r>
              <w:rPr>
                <w:rFonts w:hint="eastAsia" w:ascii="宋体" w:hAnsi="宋体" w:eastAsia="宋体" w:cs="宋体"/>
                <w:sz w:val="24"/>
              </w:rPr>
              <w:t>硬件检查</w:t>
            </w:r>
          </w:p>
        </w:tc>
        <w:tc>
          <w:tcPr>
            <w:tcW w:w="729" w:type="pct"/>
            <w:vAlign w:val="center"/>
          </w:tcPr>
          <w:p>
            <w:pPr>
              <w:pStyle w:val="268"/>
              <w:ind w:right="47"/>
              <w:jc w:val="center"/>
              <w:rPr>
                <w:rFonts w:ascii="宋体" w:hAnsi="宋体" w:eastAsia="宋体" w:cs="宋体"/>
                <w:sz w:val="24"/>
              </w:rPr>
            </w:pPr>
            <w:r>
              <w:rPr>
                <w:rFonts w:hint="eastAsia" w:ascii="宋体" w:hAnsi="宋体" w:eastAsia="宋体" w:cs="宋体"/>
                <w:sz w:val="24"/>
              </w:rPr>
              <w:t>检查灯光</w:t>
            </w:r>
          </w:p>
        </w:tc>
        <w:tc>
          <w:tcPr>
            <w:tcW w:w="2050" w:type="pct"/>
          </w:tcPr>
          <w:p>
            <w:pPr>
              <w:pStyle w:val="268"/>
              <w:ind w:right="95"/>
              <w:jc w:val="left"/>
              <w:rPr>
                <w:rFonts w:ascii="宋体" w:hAnsi="宋体" w:eastAsia="宋体" w:cs="宋体"/>
                <w:sz w:val="24"/>
              </w:rPr>
            </w:pPr>
            <w:r>
              <w:rPr>
                <w:rFonts w:hint="eastAsia" w:ascii="宋体" w:hAnsi="宋体" w:eastAsia="宋体" w:cs="宋体"/>
                <w:spacing w:val="-2"/>
                <w:sz w:val="24"/>
              </w:rPr>
              <w:t xml:space="preserve">到岗时，查看投递亭的灯光照明系统是否正常，并对异常情况及时上报； </w:t>
            </w:r>
            <w:r>
              <w:rPr>
                <w:rFonts w:hint="eastAsia" w:ascii="宋体" w:hAnsi="宋体" w:eastAsia="宋体" w:cs="宋体"/>
                <w:spacing w:val="-1"/>
                <w:sz w:val="24"/>
              </w:rPr>
              <w:t>灯光故障且未及时进行上报每次-</w:t>
            </w:r>
            <w:r>
              <w:rPr>
                <w:rFonts w:hint="eastAsia" w:ascii="宋体" w:hAnsi="宋体" w:eastAsia="宋体" w:cs="宋体"/>
                <w:spacing w:val="-3"/>
                <w:sz w:val="24"/>
              </w:rPr>
              <w:t>3</w:t>
            </w:r>
            <w:r>
              <w:rPr>
                <w:rFonts w:hint="eastAsia" w:ascii="宋体" w:hAnsi="宋体" w:eastAsia="宋体" w:cs="宋体"/>
                <w:spacing w:val="-17"/>
                <w:sz w:val="24"/>
              </w:rPr>
              <w:t>分</w:t>
            </w:r>
          </w:p>
        </w:tc>
        <w:tc>
          <w:tcPr>
            <w:tcW w:w="1278" w:type="pct"/>
            <w:vMerge w:val="restart"/>
          </w:tcPr>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ind w:left="37"/>
              <w:rPr>
                <w:rFonts w:ascii="宋体" w:hAnsi="宋体" w:eastAsia="宋体" w:cs="宋体"/>
                <w:sz w:val="24"/>
              </w:rPr>
            </w:pPr>
            <w:r>
              <w:rPr>
                <w:rFonts w:hint="eastAsia" w:ascii="宋体" w:hAnsi="宋体" w:eastAsia="宋体" w:cs="宋体"/>
                <w:sz w:val="24"/>
              </w:rPr>
              <w:t>管理员通过视频监控</w:t>
            </w:r>
          </w:p>
          <w:p>
            <w:pPr>
              <w:pStyle w:val="268"/>
              <w:ind w:left="37"/>
              <w:rPr>
                <w:rFonts w:ascii="宋体" w:hAnsi="宋体" w:eastAsia="宋体" w:cs="宋体"/>
                <w:sz w:val="24"/>
              </w:rPr>
            </w:pPr>
            <w:r>
              <w:rPr>
                <w:rFonts w:hint="eastAsia" w:ascii="宋体" w:hAnsi="宋体" w:eastAsia="宋体" w:cs="宋体"/>
                <w:sz w:val="24"/>
              </w:rPr>
              <w:t>、现场巡查检查监督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0"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5</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ind w:left="62" w:right="47"/>
              <w:jc w:val="center"/>
              <w:rPr>
                <w:rFonts w:ascii="宋体" w:hAnsi="宋体" w:eastAsia="宋体" w:cs="宋体"/>
                <w:sz w:val="24"/>
              </w:rPr>
            </w:pPr>
            <w:r>
              <w:rPr>
                <w:rFonts w:hint="eastAsia" w:ascii="宋体" w:hAnsi="宋体" w:eastAsia="宋体" w:cs="宋体"/>
                <w:sz w:val="24"/>
              </w:rPr>
              <w:t>检查语音播报</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到岗时，查看投递亭的语音播报是否正常，包括音量、内容，并对异常情况及时上报；语音播报故障且未及时进行上报每次-3分</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30" w:hRule="atLeast"/>
        </w:trPr>
        <w:tc>
          <w:tcPr>
            <w:tcW w:w="303" w:type="pct"/>
          </w:tcPr>
          <w:p>
            <w:pPr>
              <w:pStyle w:val="268"/>
              <w:rPr>
                <w:rFonts w:ascii="宋体" w:hAnsi="宋体" w:eastAsia="宋体" w:cs="宋体"/>
                <w:sz w:val="24"/>
              </w:rPr>
            </w:pPr>
          </w:p>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6</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62" w:right="47"/>
              <w:jc w:val="center"/>
              <w:rPr>
                <w:rFonts w:ascii="宋体" w:hAnsi="宋体" w:eastAsia="宋体" w:cs="宋体"/>
                <w:sz w:val="24"/>
              </w:rPr>
            </w:pPr>
            <w:r>
              <w:rPr>
                <w:rFonts w:hint="eastAsia" w:ascii="宋体" w:hAnsi="宋体" w:eastAsia="宋体" w:cs="宋体"/>
                <w:sz w:val="24"/>
              </w:rPr>
              <w:t>检查垃圾桶</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到岗时，查看垃圾桶摆放数量、顺序是否正确。以一排六桶的规格为例， 从左到右的桶位摆放顺序应为绿、灰、灰、灰、蓝、红。高于六桶的，可以按实际情况放置二至三排；垃圾桶摆放错误每次-2分。</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7</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ind w:left="62" w:right="47"/>
              <w:jc w:val="center"/>
              <w:rPr>
                <w:rFonts w:ascii="宋体" w:hAnsi="宋体" w:eastAsia="宋体" w:cs="宋体"/>
                <w:sz w:val="24"/>
                <w:lang w:val="en-US"/>
              </w:rPr>
            </w:pPr>
            <w:r>
              <w:rPr>
                <w:rFonts w:hint="eastAsia" w:ascii="宋体" w:hAnsi="宋体" w:eastAsia="宋体" w:cs="宋体"/>
                <w:sz w:val="24"/>
              </w:rPr>
              <w:t>检查</w:t>
            </w:r>
            <w:r>
              <w:rPr>
                <w:rFonts w:hint="eastAsia" w:ascii="宋体" w:hAnsi="宋体" w:eastAsia="宋体" w:cs="宋体"/>
                <w:sz w:val="24"/>
                <w:lang w:val="en-US"/>
              </w:rPr>
              <w:t>监督仪</w:t>
            </w:r>
          </w:p>
        </w:tc>
        <w:tc>
          <w:tcPr>
            <w:tcW w:w="2050" w:type="pct"/>
          </w:tcPr>
          <w:p>
            <w:pPr>
              <w:pStyle w:val="268"/>
              <w:ind w:left="37" w:right="95"/>
              <w:rPr>
                <w:rFonts w:ascii="宋体" w:hAnsi="宋体" w:eastAsia="宋体" w:cs="宋体"/>
                <w:sz w:val="24"/>
              </w:rPr>
            </w:pPr>
            <w:r>
              <w:rPr>
                <w:rFonts w:hint="eastAsia" w:ascii="宋体" w:hAnsi="宋体" w:eastAsia="宋体" w:cs="宋体"/>
                <w:spacing w:val="-2"/>
                <w:sz w:val="24"/>
              </w:rPr>
              <w:t>到岗时，检查</w:t>
            </w:r>
            <w:r>
              <w:rPr>
                <w:rFonts w:hint="eastAsia" w:ascii="宋体" w:hAnsi="宋体" w:eastAsia="宋体" w:cs="宋体"/>
                <w:spacing w:val="-2"/>
                <w:sz w:val="24"/>
                <w:lang w:val="en-US"/>
              </w:rPr>
              <w:t>监督仪</w:t>
            </w:r>
            <w:r>
              <w:rPr>
                <w:rFonts w:hint="eastAsia" w:ascii="宋体" w:hAnsi="宋体" w:eastAsia="宋体" w:cs="宋体"/>
                <w:spacing w:val="-2"/>
                <w:sz w:val="24"/>
              </w:rPr>
              <w:t xml:space="preserve">，并对异常情况及时上报； </w:t>
            </w:r>
            <w:r>
              <w:rPr>
                <w:rFonts w:hint="eastAsia" w:ascii="宋体" w:hAnsi="宋体" w:eastAsia="宋体" w:cs="宋体"/>
                <w:spacing w:val="-1"/>
                <w:sz w:val="24"/>
              </w:rPr>
              <w:t>监督仪故障且未及时上报每次-</w:t>
            </w:r>
            <w:r>
              <w:rPr>
                <w:rFonts w:hint="eastAsia" w:ascii="宋体" w:hAnsi="宋体" w:eastAsia="宋体" w:cs="宋体"/>
                <w:spacing w:val="-3"/>
                <w:sz w:val="24"/>
              </w:rPr>
              <w:t>3</w:t>
            </w:r>
            <w:r>
              <w:rPr>
                <w:rFonts w:hint="eastAsia" w:ascii="宋体" w:hAnsi="宋体" w:eastAsia="宋体" w:cs="宋体"/>
                <w:spacing w:val="-9"/>
                <w:sz w:val="24"/>
              </w:rPr>
              <w:t>分。</w:t>
            </w:r>
          </w:p>
        </w:tc>
        <w:tc>
          <w:tcPr>
            <w:tcW w:w="1278" w:type="pct"/>
          </w:tcPr>
          <w:p>
            <w:pPr>
              <w:pStyle w:val="268"/>
              <w:ind w:right="65"/>
              <w:rPr>
                <w:rFonts w:ascii="宋体" w:hAnsi="宋体" w:eastAsia="宋体" w:cs="宋体"/>
                <w:sz w:val="24"/>
              </w:rPr>
            </w:pPr>
            <w:r>
              <w:rPr>
                <w:rFonts w:hint="eastAsia" w:ascii="宋体" w:hAnsi="宋体" w:eastAsia="宋体" w:cs="宋体"/>
                <w:sz w:val="24"/>
              </w:rPr>
              <w:t>管理员通过现场巡查检查监督，以及后台刷卡记录进行核实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5" w:hRule="atLeast"/>
        </w:trPr>
        <w:tc>
          <w:tcPr>
            <w:tcW w:w="303" w:type="pct"/>
          </w:tcPr>
          <w:p>
            <w:pPr>
              <w:pStyle w:val="268"/>
              <w:rPr>
                <w:rFonts w:ascii="宋体" w:hAnsi="宋体" w:eastAsia="宋体" w:cs="宋体"/>
                <w:sz w:val="24"/>
              </w:rPr>
            </w:pPr>
          </w:p>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8</w:t>
            </w:r>
          </w:p>
        </w:tc>
        <w:tc>
          <w:tcPr>
            <w:tcW w:w="637" w:type="pct"/>
            <w:vMerge w:val="restar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82"/>
              <w:jc w:val="center"/>
              <w:rPr>
                <w:rFonts w:ascii="宋体" w:hAnsi="宋体" w:eastAsia="宋体" w:cs="宋体"/>
                <w:sz w:val="24"/>
              </w:rPr>
            </w:pPr>
            <w:r>
              <w:rPr>
                <w:rFonts w:hint="eastAsia" w:ascii="宋体" w:hAnsi="宋体" w:eastAsia="宋体" w:cs="宋体"/>
                <w:sz w:val="24"/>
              </w:rPr>
              <w:t>卫生管理</w:t>
            </w:r>
          </w:p>
        </w:tc>
        <w:tc>
          <w:tcPr>
            <w:tcW w:w="729" w:type="pc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82"/>
              <w:jc w:val="center"/>
              <w:rPr>
                <w:rFonts w:ascii="宋体" w:hAnsi="宋体" w:eastAsia="宋体" w:cs="宋体"/>
                <w:sz w:val="24"/>
              </w:rPr>
            </w:pPr>
            <w:r>
              <w:rPr>
                <w:rFonts w:hint="eastAsia" w:ascii="宋体" w:hAnsi="宋体" w:eastAsia="宋体" w:cs="宋体"/>
                <w:sz w:val="24"/>
              </w:rPr>
              <w:t>岗亭卫生管理</w:t>
            </w:r>
          </w:p>
        </w:tc>
        <w:tc>
          <w:tcPr>
            <w:tcW w:w="2050" w:type="pct"/>
          </w:tcPr>
          <w:p>
            <w:pPr>
              <w:pStyle w:val="268"/>
              <w:ind w:left="37" w:right="14"/>
              <w:rPr>
                <w:rFonts w:ascii="宋体" w:hAnsi="宋体" w:eastAsia="宋体" w:cs="宋体"/>
                <w:sz w:val="24"/>
              </w:rPr>
            </w:pPr>
            <w:r>
              <w:rPr>
                <w:rFonts w:hint="eastAsia" w:ascii="宋体" w:hAnsi="宋体" w:eastAsia="宋体" w:cs="宋体"/>
                <w:sz w:val="24"/>
              </w:rPr>
              <w:t>检查岗亭内是否有异味，地面是否有垃圾、污渍残留，并及时进行清理， 保障投递亭的卫生情况达标；投递亭有异味或污渍，视严重程度每次-3~6 分。</w:t>
            </w:r>
          </w:p>
        </w:tc>
        <w:tc>
          <w:tcPr>
            <w:tcW w:w="1278" w:type="pct"/>
            <w:vMerge w:val="restart"/>
          </w:tcPr>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ind w:left="37"/>
              <w:rPr>
                <w:rFonts w:ascii="宋体" w:hAnsi="宋体" w:eastAsia="宋体" w:cs="宋体"/>
                <w:sz w:val="24"/>
              </w:rPr>
            </w:pPr>
            <w:r>
              <w:rPr>
                <w:rFonts w:hint="eastAsia" w:ascii="宋体" w:hAnsi="宋体" w:eastAsia="宋体" w:cs="宋体"/>
                <w:sz w:val="24"/>
              </w:rPr>
              <w:t>管理员通过视频监控</w:t>
            </w:r>
          </w:p>
          <w:p>
            <w:pPr>
              <w:pStyle w:val="268"/>
              <w:ind w:left="37"/>
              <w:rPr>
                <w:rFonts w:ascii="宋体" w:hAnsi="宋体" w:eastAsia="宋体" w:cs="宋体"/>
                <w:sz w:val="24"/>
              </w:rPr>
            </w:pPr>
            <w:r>
              <w:rPr>
                <w:rFonts w:hint="eastAsia" w:ascii="宋体" w:hAnsi="宋体" w:eastAsia="宋体" w:cs="宋体"/>
                <w:sz w:val="24"/>
              </w:rPr>
              <w:t>、现场巡查检查监督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03" w:type="pct"/>
          </w:tcPr>
          <w:p>
            <w:pPr>
              <w:pStyle w:val="268"/>
              <w:rPr>
                <w:rFonts w:ascii="宋体" w:hAnsi="宋体" w:eastAsia="宋体" w:cs="宋体"/>
                <w:sz w:val="24"/>
              </w:rPr>
            </w:pPr>
          </w:p>
          <w:p>
            <w:pPr>
              <w:pStyle w:val="268"/>
              <w:ind w:left="35"/>
              <w:jc w:val="center"/>
              <w:rPr>
                <w:rFonts w:ascii="宋体" w:hAnsi="宋体" w:eastAsia="宋体" w:cs="宋体"/>
                <w:sz w:val="24"/>
              </w:rPr>
            </w:pPr>
            <w:r>
              <w:rPr>
                <w:rFonts w:hint="eastAsia" w:ascii="宋体" w:hAnsi="宋体" w:eastAsia="宋体" w:cs="宋体"/>
                <w:sz w:val="24"/>
              </w:rPr>
              <w:t>9</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ind w:right="65"/>
              <w:jc w:val="center"/>
              <w:rPr>
                <w:rFonts w:ascii="宋体" w:hAnsi="宋体" w:eastAsia="宋体" w:cs="宋体"/>
                <w:sz w:val="24"/>
              </w:rPr>
            </w:pPr>
            <w:r>
              <w:rPr>
                <w:rFonts w:hint="eastAsia" w:ascii="宋体" w:hAnsi="宋体" w:eastAsia="宋体" w:cs="宋体"/>
                <w:sz w:val="24"/>
              </w:rPr>
              <w:t>垃圾桶卫生管理</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检查垃圾桶外表面是否有垃圾残留、有异味，并对垃圾桶外表面进行日常冲洗；垃圾桶有异味或污渍，视严重程度每次-3~6分。</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0" w:hRule="atLeast"/>
        </w:trPr>
        <w:tc>
          <w:tcPr>
            <w:tcW w:w="303" w:type="pct"/>
          </w:tcPr>
          <w:p>
            <w:pPr>
              <w:pStyle w:val="268"/>
              <w:rPr>
                <w:rFonts w:ascii="宋体" w:hAnsi="宋体" w:eastAsia="宋体" w:cs="宋体"/>
                <w:sz w:val="24"/>
              </w:rPr>
            </w:pPr>
          </w:p>
          <w:p>
            <w:pPr>
              <w:pStyle w:val="268"/>
              <w:ind w:left="32" w:right="12"/>
              <w:jc w:val="center"/>
              <w:rPr>
                <w:rFonts w:ascii="宋体" w:hAnsi="宋体" w:eastAsia="宋体" w:cs="宋体"/>
                <w:sz w:val="24"/>
              </w:rPr>
            </w:pPr>
            <w:r>
              <w:rPr>
                <w:rFonts w:hint="eastAsia" w:ascii="宋体" w:hAnsi="宋体" w:eastAsia="宋体" w:cs="宋体"/>
                <w:sz w:val="24"/>
              </w:rPr>
              <w:t>10</w:t>
            </w:r>
          </w:p>
        </w:tc>
        <w:tc>
          <w:tcPr>
            <w:tcW w:w="637" w:type="pct"/>
            <w:vMerge w:val="restar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322" w:right="65" w:hanging="240"/>
              <w:jc w:val="center"/>
              <w:rPr>
                <w:rFonts w:ascii="宋体" w:hAnsi="宋体" w:eastAsia="宋体" w:cs="宋体"/>
                <w:sz w:val="24"/>
              </w:rPr>
            </w:pPr>
            <w:r>
              <w:rPr>
                <w:rFonts w:hint="eastAsia" w:ascii="宋体" w:hAnsi="宋体" w:eastAsia="宋体" w:cs="宋体"/>
                <w:sz w:val="24"/>
              </w:rPr>
              <w:t>点位监督管理</w:t>
            </w:r>
          </w:p>
        </w:tc>
        <w:tc>
          <w:tcPr>
            <w:tcW w:w="729" w:type="pct"/>
            <w:vAlign w:val="center"/>
          </w:tcPr>
          <w:p>
            <w:pPr>
              <w:pStyle w:val="268"/>
              <w:jc w:val="center"/>
              <w:rPr>
                <w:rFonts w:ascii="宋体" w:hAnsi="宋体" w:eastAsia="宋体" w:cs="宋体"/>
                <w:sz w:val="24"/>
              </w:rPr>
            </w:pPr>
          </w:p>
          <w:p>
            <w:pPr>
              <w:pStyle w:val="268"/>
              <w:ind w:right="65"/>
              <w:jc w:val="center"/>
              <w:rPr>
                <w:rFonts w:ascii="宋体" w:hAnsi="宋体" w:eastAsia="宋体" w:cs="宋体"/>
                <w:sz w:val="24"/>
              </w:rPr>
            </w:pPr>
            <w:r>
              <w:rPr>
                <w:rFonts w:hint="eastAsia" w:ascii="宋体" w:hAnsi="宋体" w:eastAsia="宋体" w:cs="宋体"/>
                <w:sz w:val="24"/>
              </w:rPr>
              <w:t>无人投递时监督标准</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监督员在无人投递时，应处在岗亭视线范围3米内，做好随时对投递人员进行监督检查的准备；无特殊情况， 未按要求就位每次-2分。</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5" w:hRule="atLeast"/>
        </w:trPr>
        <w:tc>
          <w:tcPr>
            <w:tcW w:w="303" w:type="pct"/>
          </w:tcPr>
          <w:p>
            <w:pPr>
              <w:pStyle w:val="268"/>
              <w:rPr>
                <w:rFonts w:ascii="宋体" w:hAnsi="宋体" w:eastAsia="宋体" w:cs="宋体"/>
                <w:sz w:val="24"/>
              </w:rPr>
            </w:pPr>
          </w:p>
          <w:p>
            <w:pPr>
              <w:pStyle w:val="268"/>
              <w:ind w:left="32" w:right="12"/>
              <w:jc w:val="center"/>
              <w:rPr>
                <w:rFonts w:ascii="宋体" w:hAnsi="宋体" w:eastAsia="宋体" w:cs="宋体"/>
                <w:sz w:val="24"/>
              </w:rPr>
            </w:pPr>
            <w:r>
              <w:rPr>
                <w:rFonts w:hint="eastAsia" w:ascii="宋体" w:hAnsi="宋体" w:eastAsia="宋体" w:cs="宋体"/>
                <w:sz w:val="24"/>
              </w:rPr>
              <w:t>11</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ind w:right="65"/>
              <w:jc w:val="center"/>
              <w:rPr>
                <w:rFonts w:ascii="宋体" w:hAnsi="宋体" w:eastAsia="宋体" w:cs="宋体"/>
                <w:sz w:val="24"/>
              </w:rPr>
            </w:pPr>
            <w:r>
              <w:rPr>
                <w:rFonts w:hint="eastAsia" w:ascii="宋体" w:hAnsi="宋体" w:eastAsia="宋体" w:cs="宋体"/>
                <w:sz w:val="24"/>
              </w:rPr>
              <w:t>有人投递时监督标准</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监督员在有人投递时，应主动上前做好监督、检查、指导工作。未按要求指导投递的，每次-2分。</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5" w:hRule="atLeast"/>
        </w:trPr>
        <w:tc>
          <w:tcPr>
            <w:tcW w:w="303" w:type="pct"/>
          </w:tcPr>
          <w:p>
            <w:pPr>
              <w:pStyle w:val="268"/>
              <w:rPr>
                <w:rFonts w:ascii="宋体" w:hAnsi="宋体" w:eastAsia="宋体" w:cs="宋体"/>
                <w:sz w:val="24"/>
              </w:rPr>
            </w:pP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right="65"/>
              <w:jc w:val="center"/>
              <w:rPr>
                <w:rFonts w:ascii="宋体" w:hAnsi="宋体" w:eastAsia="宋体" w:cs="宋体"/>
                <w:sz w:val="24"/>
              </w:rPr>
            </w:pPr>
            <w:r>
              <w:rPr>
                <w:rFonts w:hint="eastAsia" w:ascii="宋体" w:hAnsi="宋体" w:eastAsia="宋体" w:cs="宋体"/>
                <w:sz w:val="24"/>
              </w:rPr>
              <w:t>投递时垃圾桶管理</w:t>
            </w:r>
          </w:p>
        </w:tc>
        <w:tc>
          <w:tcPr>
            <w:tcW w:w="2050" w:type="pct"/>
          </w:tcPr>
          <w:p>
            <w:pPr>
              <w:pStyle w:val="268"/>
              <w:ind w:left="37" w:right="95"/>
              <w:rPr>
                <w:rFonts w:ascii="宋体" w:hAnsi="宋体" w:eastAsia="宋体" w:cs="宋体"/>
                <w:sz w:val="24"/>
              </w:rPr>
            </w:pPr>
            <w:r>
              <w:rPr>
                <w:rFonts w:hint="eastAsia" w:ascii="宋体" w:hAnsi="宋体" w:eastAsia="宋体" w:cs="宋体"/>
                <w:spacing w:val="-2"/>
                <w:sz w:val="24"/>
              </w:rPr>
              <w:t>监督员在定时定点投递时间段内，应时刻保持桶内垃圾分类的准确性，易</w:t>
            </w:r>
            <w:r>
              <w:rPr>
                <w:rFonts w:hint="eastAsia" w:ascii="宋体" w:hAnsi="宋体" w:eastAsia="宋体" w:cs="宋体"/>
                <w:sz w:val="24"/>
              </w:rPr>
              <w:t>腐垃圾正确率为</w:t>
            </w:r>
            <w:r>
              <w:rPr>
                <w:rFonts w:hint="eastAsia" w:ascii="宋体" w:hAnsi="宋体" w:eastAsia="宋体" w:cs="宋体"/>
                <w:spacing w:val="-5"/>
                <w:sz w:val="24"/>
              </w:rPr>
              <w:t>100</w:t>
            </w:r>
            <w:r>
              <w:rPr>
                <w:rFonts w:hint="eastAsia" w:ascii="宋体" w:hAnsi="宋体" w:eastAsia="宋体" w:cs="宋体"/>
                <w:spacing w:val="-3"/>
                <w:sz w:val="24"/>
              </w:rPr>
              <w:t>%，并对误投的</w:t>
            </w:r>
            <w:r>
              <w:rPr>
                <w:rFonts w:hint="eastAsia" w:ascii="宋体" w:hAnsi="宋体" w:eastAsia="宋体" w:cs="宋体"/>
                <w:spacing w:val="-4"/>
                <w:sz w:val="24"/>
              </w:rPr>
              <w:t>垃圾及时进行分类；每次检查垃圾桶</w:t>
            </w:r>
            <w:r>
              <w:rPr>
                <w:rFonts w:hint="eastAsia" w:ascii="宋体" w:hAnsi="宋体" w:eastAsia="宋体" w:cs="宋体"/>
                <w:spacing w:val="-1"/>
                <w:sz w:val="24"/>
              </w:rPr>
              <w:t>内分类不合格且未处理的，一次-</w:t>
            </w:r>
            <w:r>
              <w:rPr>
                <w:rFonts w:hint="eastAsia" w:ascii="宋体" w:hAnsi="宋体" w:eastAsia="宋体" w:cs="宋体"/>
                <w:spacing w:val="-3"/>
                <w:sz w:val="24"/>
              </w:rPr>
              <w:t>5</w:t>
            </w:r>
            <w:r>
              <w:rPr>
                <w:rFonts w:hint="eastAsia" w:ascii="宋体" w:hAnsi="宋体" w:eastAsia="宋体" w:cs="宋体"/>
                <w:spacing w:val="-17"/>
                <w:sz w:val="24"/>
              </w:rPr>
              <w:t>分</w:t>
            </w:r>
            <w:r>
              <w:rPr>
                <w:rFonts w:hint="eastAsia" w:ascii="宋体" w:hAnsi="宋体" w:eastAsia="宋体" w:cs="宋体"/>
                <w:sz w:val="24"/>
              </w:rPr>
              <w:t>。</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303" w:type="pct"/>
          </w:tcPr>
          <w:p>
            <w:pPr>
              <w:pStyle w:val="268"/>
              <w:rPr>
                <w:rFonts w:ascii="宋体" w:hAnsi="宋体" w:eastAsia="宋体" w:cs="宋体"/>
                <w:sz w:val="24"/>
              </w:rPr>
            </w:pPr>
          </w:p>
          <w:p>
            <w:pPr>
              <w:pStyle w:val="268"/>
              <w:rPr>
                <w:rFonts w:ascii="宋体" w:hAnsi="宋体" w:eastAsia="宋体" w:cs="宋体"/>
                <w:sz w:val="24"/>
              </w:rPr>
            </w:pPr>
          </w:p>
          <w:p>
            <w:pPr>
              <w:pStyle w:val="268"/>
              <w:rPr>
                <w:rFonts w:ascii="宋体" w:hAnsi="宋体" w:eastAsia="宋体" w:cs="宋体"/>
                <w:sz w:val="24"/>
              </w:rPr>
            </w:pPr>
          </w:p>
          <w:p>
            <w:pPr>
              <w:pStyle w:val="268"/>
              <w:ind w:left="32" w:right="12"/>
              <w:jc w:val="center"/>
              <w:rPr>
                <w:rFonts w:ascii="宋体" w:hAnsi="宋体" w:eastAsia="宋体" w:cs="宋体"/>
                <w:sz w:val="24"/>
              </w:rPr>
            </w:pPr>
            <w:r>
              <w:rPr>
                <w:rFonts w:hint="eastAsia" w:ascii="宋体" w:hAnsi="宋体" w:eastAsia="宋体" w:cs="宋体"/>
                <w:sz w:val="24"/>
              </w:rPr>
              <w:t>12</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right="65"/>
              <w:jc w:val="center"/>
              <w:rPr>
                <w:rFonts w:ascii="宋体" w:hAnsi="宋体" w:eastAsia="宋体" w:cs="宋体"/>
                <w:sz w:val="24"/>
              </w:rPr>
            </w:pPr>
            <w:r>
              <w:rPr>
                <w:rFonts w:hint="eastAsia" w:ascii="宋体" w:hAnsi="宋体" w:eastAsia="宋体" w:cs="宋体"/>
                <w:sz w:val="24"/>
              </w:rPr>
              <w:t>监督检查及教育标准</w:t>
            </w:r>
          </w:p>
        </w:tc>
        <w:tc>
          <w:tcPr>
            <w:tcW w:w="2050" w:type="pct"/>
          </w:tcPr>
          <w:p>
            <w:pPr>
              <w:pStyle w:val="268"/>
              <w:ind w:left="37"/>
              <w:rPr>
                <w:rFonts w:ascii="宋体" w:hAnsi="宋体" w:eastAsia="宋体" w:cs="宋体"/>
                <w:sz w:val="24"/>
              </w:rPr>
            </w:pPr>
            <w:r>
              <w:rPr>
                <w:rFonts w:hint="eastAsia" w:ascii="宋体" w:hAnsi="宋体" w:eastAsia="宋体" w:cs="宋体"/>
                <w:sz w:val="24"/>
              </w:rPr>
              <w:t>监督员在监督检查时，通过“看、翻</w:t>
            </w:r>
          </w:p>
          <w:p>
            <w:pPr>
              <w:pStyle w:val="268"/>
              <w:ind w:left="37" w:right="20"/>
              <w:rPr>
                <w:rFonts w:ascii="宋体" w:hAnsi="宋体" w:eastAsia="宋体" w:cs="宋体"/>
                <w:sz w:val="24"/>
              </w:rPr>
            </w:pPr>
            <w:r>
              <w:rPr>
                <w:rFonts w:hint="eastAsia" w:ascii="宋体" w:hAnsi="宋体" w:eastAsia="宋体" w:cs="宋体"/>
                <w:sz w:val="24"/>
              </w:rPr>
              <w:t>、查、问”的方式：看， 即初步判断垃圾的主要类别；翻、查，即打开塑料袋后，进一步检查分类是否 100% 合格；问，即询问正确分类的居民是否还有 其它困难，或是分类错误的居民问询其原因，并进行指导；指导方式错误或不合格的每次-2分。</w:t>
            </w:r>
          </w:p>
        </w:tc>
        <w:tc>
          <w:tcPr>
            <w:tcW w:w="1278" w:type="pct"/>
            <w:vMerge w:val="continue"/>
            <w:tcBorders>
              <w:top w:val="nil"/>
            </w:tcBorders>
          </w:tcPr>
          <w:p>
            <w:pPr>
              <w:rPr>
                <w:rFonts w:ascii="宋体" w:hAnsi="宋体" w:cs="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0" w:hRule="atLeast"/>
        </w:trPr>
        <w:tc>
          <w:tcPr>
            <w:tcW w:w="303" w:type="pct"/>
          </w:tcPr>
          <w:p>
            <w:pPr>
              <w:pStyle w:val="268"/>
              <w:rPr>
                <w:rFonts w:ascii="宋体" w:hAnsi="宋体" w:eastAsia="宋体" w:cs="宋体"/>
                <w:sz w:val="24"/>
              </w:rPr>
            </w:pPr>
          </w:p>
          <w:p>
            <w:pPr>
              <w:pStyle w:val="268"/>
              <w:rPr>
                <w:rFonts w:ascii="宋体" w:hAnsi="宋体" w:eastAsia="宋体" w:cs="宋体"/>
                <w:sz w:val="24"/>
              </w:rPr>
            </w:pPr>
          </w:p>
          <w:p>
            <w:pPr>
              <w:pStyle w:val="268"/>
              <w:ind w:left="32" w:right="12"/>
              <w:jc w:val="center"/>
              <w:rPr>
                <w:rFonts w:ascii="宋体" w:hAnsi="宋体" w:eastAsia="宋体" w:cs="宋体"/>
                <w:sz w:val="24"/>
              </w:rPr>
            </w:pPr>
            <w:r>
              <w:rPr>
                <w:rFonts w:hint="eastAsia" w:ascii="宋体" w:hAnsi="宋体" w:eastAsia="宋体" w:cs="宋体"/>
                <w:sz w:val="24"/>
              </w:rPr>
              <w:t>13</w:t>
            </w:r>
          </w:p>
        </w:tc>
        <w:tc>
          <w:tcPr>
            <w:tcW w:w="637" w:type="pct"/>
            <w:vMerge w:val="restar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322"/>
              <w:jc w:val="center"/>
              <w:rPr>
                <w:rFonts w:ascii="宋体" w:hAnsi="宋体" w:eastAsia="宋体" w:cs="宋体"/>
                <w:sz w:val="24"/>
              </w:rPr>
            </w:pPr>
            <w:r>
              <w:rPr>
                <w:rFonts w:hint="eastAsia" w:ascii="宋体" w:hAnsi="宋体" w:eastAsia="宋体" w:cs="宋体"/>
                <w:sz w:val="24"/>
              </w:rPr>
              <w:t>离岗</w:t>
            </w:r>
          </w:p>
        </w:tc>
        <w:tc>
          <w:tcPr>
            <w:tcW w:w="729" w:type="pct"/>
            <w:vAlign w:val="center"/>
          </w:tcPr>
          <w:p>
            <w:pPr>
              <w:pStyle w:val="268"/>
              <w:jc w:val="center"/>
              <w:rPr>
                <w:rFonts w:ascii="宋体" w:hAnsi="宋体" w:eastAsia="宋体" w:cs="宋体"/>
                <w:sz w:val="24"/>
              </w:rPr>
            </w:pPr>
          </w:p>
          <w:p>
            <w:pPr>
              <w:pStyle w:val="268"/>
              <w:jc w:val="center"/>
              <w:rPr>
                <w:rFonts w:ascii="宋体" w:hAnsi="宋体" w:eastAsia="宋体" w:cs="宋体"/>
                <w:sz w:val="24"/>
              </w:rPr>
            </w:pPr>
          </w:p>
          <w:p>
            <w:pPr>
              <w:pStyle w:val="268"/>
              <w:ind w:left="62" w:right="47"/>
              <w:jc w:val="center"/>
              <w:rPr>
                <w:rFonts w:ascii="宋体" w:hAnsi="宋体" w:eastAsia="宋体" w:cs="宋体"/>
                <w:sz w:val="24"/>
              </w:rPr>
            </w:pPr>
            <w:r>
              <w:rPr>
                <w:rFonts w:hint="eastAsia" w:ascii="宋体" w:hAnsi="宋体" w:eastAsia="宋体" w:cs="宋体"/>
                <w:sz w:val="24"/>
              </w:rPr>
              <w:t>离岗检查</w:t>
            </w:r>
          </w:p>
        </w:tc>
        <w:tc>
          <w:tcPr>
            <w:tcW w:w="2050" w:type="pct"/>
          </w:tcPr>
          <w:p>
            <w:pPr>
              <w:pStyle w:val="268"/>
              <w:ind w:left="37" w:right="95"/>
              <w:rPr>
                <w:rFonts w:ascii="宋体" w:hAnsi="宋体" w:eastAsia="宋体" w:cs="宋体"/>
                <w:sz w:val="24"/>
              </w:rPr>
            </w:pPr>
            <w:r>
              <w:rPr>
                <w:rFonts w:hint="eastAsia" w:ascii="宋体" w:hAnsi="宋体" w:eastAsia="宋体" w:cs="宋体"/>
                <w:spacing w:val="-2"/>
                <w:sz w:val="24"/>
              </w:rPr>
              <w:t>监督垃圾桶撤离情况，检查投递亭卫</w:t>
            </w:r>
            <w:r>
              <w:rPr>
                <w:rFonts w:hint="eastAsia" w:ascii="宋体" w:hAnsi="宋体" w:eastAsia="宋体" w:cs="宋体"/>
                <w:sz w:val="24"/>
              </w:rPr>
              <w:t xml:space="preserve">生情况，检查语音播报内容是否更 </w:t>
            </w:r>
            <w:r>
              <w:rPr>
                <w:rFonts w:hint="eastAsia" w:ascii="宋体" w:hAnsi="宋体" w:eastAsia="宋体" w:cs="宋体"/>
                <w:spacing w:val="-2"/>
                <w:sz w:val="24"/>
              </w:rPr>
              <w:t>换；检查灯光是否按时熄灭。有不合格的情况及时处理或上报；有以上内容出现故障且未及时上报的，按照投</w:t>
            </w:r>
            <w:r>
              <w:rPr>
                <w:rFonts w:hint="eastAsia" w:ascii="宋体" w:hAnsi="宋体" w:eastAsia="宋体" w:cs="宋体"/>
                <w:sz w:val="24"/>
              </w:rPr>
              <w:t>递时间段扣分标准扣分。</w:t>
            </w:r>
          </w:p>
        </w:tc>
        <w:tc>
          <w:tcPr>
            <w:tcW w:w="1278" w:type="pct"/>
          </w:tcPr>
          <w:p>
            <w:pPr>
              <w:pStyle w:val="268"/>
              <w:rPr>
                <w:rFonts w:ascii="宋体" w:hAnsi="宋体" w:eastAsia="宋体" w:cs="宋体"/>
                <w:sz w:val="24"/>
              </w:rPr>
            </w:pPr>
          </w:p>
          <w:p>
            <w:pPr>
              <w:pStyle w:val="268"/>
              <w:rPr>
                <w:rFonts w:ascii="宋体" w:hAnsi="宋体" w:eastAsia="宋体" w:cs="宋体"/>
                <w:sz w:val="24"/>
              </w:rPr>
            </w:pPr>
          </w:p>
          <w:p>
            <w:pPr>
              <w:pStyle w:val="268"/>
              <w:ind w:left="37" w:right="65"/>
              <w:rPr>
                <w:rFonts w:ascii="宋体" w:hAnsi="宋体" w:eastAsia="宋体" w:cs="宋体"/>
                <w:sz w:val="24"/>
              </w:rPr>
            </w:pPr>
            <w:r>
              <w:rPr>
                <w:rFonts w:hint="eastAsia" w:ascii="宋体" w:hAnsi="宋体" w:eastAsia="宋体" w:cs="宋体"/>
                <w:sz w:val="24"/>
              </w:rPr>
              <w:t>管理员通过视频监控进行复查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 w:hRule="atLeast"/>
        </w:trPr>
        <w:tc>
          <w:tcPr>
            <w:tcW w:w="303" w:type="pct"/>
          </w:tcPr>
          <w:p>
            <w:pPr>
              <w:pStyle w:val="268"/>
              <w:rPr>
                <w:rFonts w:ascii="宋体" w:hAnsi="宋体" w:eastAsia="宋体" w:cs="宋体"/>
                <w:sz w:val="24"/>
              </w:rPr>
            </w:pPr>
          </w:p>
          <w:p>
            <w:pPr>
              <w:pStyle w:val="268"/>
              <w:ind w:left="32" w:right="12"/>
              <w:jc w:val="center"/>
              <w:rPr>
                <w:rFonts w:ascii="宋体" w:hAnsi="宋体" w:eastAsia="宋体" w:cs="宋体"/>
                <w:sz w:val="24"/>
              </w:rPr>
            </w:pPr>
            <w:r>
              <w:rPr>
                <w:rFonts w:hint="eastAsia" w:ascii="宋体" w:hAnsi="宋体" w:eastAsia="宋体" w:cs="宋体"/>
                <w:sz w:val="24"/>
              </w:rPr>
              <w:t>14</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jc w:val="center"/>
              <w:rPr>
                <w:rFonts w:ascii="宋体" w:hAnsi="宋体" w:eastAsia="宋体" w:cs="宋体"/>
                <w:sz w:val="24"/>
              </w:rPr>
            </w:pPr>
          </w:p>
          <w:p>
            <w:pPr>
              <w:pStyle w:val="268"/>
              <w:ind w:left="62" w:right="47"/>
              <w:jc w:val="center"/>
              <w:rPr>
                <w:rFonts w:ascii="宋体" w:hAnsi="宋体" w:eastAsia="宋体" w:cs="宋体"/>
                <w:sz w:val="24"/>
              </w:rPr>
            </w:pPr>
            <w:r>
              <w:rPr>
                <w:rFonts w:hint="eastAsia" w:ascii="宋体" w:hAnsi="宋体" w:eastAsia="宋体" w:cs="宋体"/>
                <w:sz w:val="24"/>
              </w:rPr>
              <w:t>记录垃圾量</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 xml:space="preserve">每次投递结束，记录每种垃圾的总 </w:t>
            </w:r>
            <w:r>
              <w:rPr>
                <w:rFonts w:hint="eastAsia" w:ascii="宋体" w:hAnsi="宋体" w:eastAsia="宋体" w:cs="宋体"/>
                <w:spacing w:val="-2"/>
                <w:sz w:val="24"/>
              </w:rPr>
              <w:t xml:space="preserve">量，以桶为单位，并汇报到管理群； 每次漏记录或忘记上报应及时补报， </w:t>
            </w:r>
            <w:r>
              <w:rPr>
                <w:rFonts w:hint="eastAsia" w:ascii="宋体" w:hAnsi="宋体" w:eastAsia="宋体" w:cs="宋体"/>
                <w:spacing w:val="-1"/>
                <w:sz w:val="24"/>
              </w:rPr>
              <w:t>弱丢失记录的每次-</w:t>
            </w:r>
            <w:r>
              <w:rPr>
                <w:rFonts w:hint="eastAsia" w:ascii="宋体" w:hAnsi="宋体" w:eastAsia="宋体" w:cs="宋体"/>
                <w:spacing w:val="-3"/>
                <w:sz w:val="24"/>
              </w:rPr>
              <w:t>1</w:t>
            </w:r>
            <w:r>
              <w:rPr>
                <w:rFonts w:hint="eastAsia" w:ascii="宋体" w:hAnsi="宋体" w:eastAsia="宋体" w:cs="宋体"/>
                <w:sz w:val="24"/>
              </w:rPr>
              <w:t>分。</w:t>
            </w:r>
          </w:p>
        </w:tc>
        <w:tc>
          <w:tcPr>
            <w:tcW w:w="1278" w:type="pct"/>
          </w:tcPr>
          <w:p>
            <w:pPr>
              <w:pStyle w:val="268"/>
              <w:rPr>
                <w:rFonts w:ascii="宋体" w:hAnsi="宋体" w:eastAsia="宋体" w:cs="宋体"/>
                <w:sz w:val="24"/>
              </w:rPr>
            </w:pPr>
          </w:p>
          <w:p>
            <w:pPr>
              <w:pStyle w:val="268"/>
              <w:ind w:left="37" w:right="65"/>
              <w:rPr>
                <w:rFonts w:ascii="宋体" w:hAnsi="宋体" w:eastAsia="宋体" w:cs="宋体"/>
                <w:sz w:val="24"/>
              </w:rPr>
            </w:pPr>
            <w:r>
              <w:rPr>
                <w:rFonts w:hint="eastAsia" w:ascii="宋体" w:hAnsi="宋体" w:eastAsia="宋体" w:cs="宋体"/>
                <w:sz w:val="24"/>
              </w:rPr>
              <w:t>管理员通过现场巡查进行核实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0" w:hRule="atLeast"/>
        </w:trPr>
        <w:tc>
          <w:tcPr>
            <w:tcW w:w="303" w:type="pct"/>
          </w:tcPr>
          <w:p>
            <w:pPr>
              <w:pStyle w:val="268"/>
              <w:rPr>
                <w:rFonts w:ascii="宋体" w:hAnsi="宋体" w:eastAsia="宋体" w:cs="宋体"/>
                <w:sz w:val="24"/>
              </w:rPr>
            </w:pPr>
          </w:p>
          <w:p>
            <w:pPr>
              <w:pStyle w:val="268"/>
              <w:ind w:left="32" w:right="12"/>
              <w:jc w:val="center"/>
              <w:rPr>
                <w:rFonts w:ascii="宋体" w:hAnsi="宋体" w:eastAsia="宋体" w:cs="宋体"/>
                <w:sz w:val="24"/>
              </w:rPr>
            </w:pPr>
            <w:r>
              <w:rPr>
                <w:rFonts w:hint="eastAsia" w:ascii="宋体" w:hAnsi="宋体" w:eastAsia="宋体" w:cs="宋体"/>
                <w:sz w:val="24"/>
              </w:rPr>
              <w:t>15</w:t>
            </w:r>
          </w:p>
        </w:tc>
        <w:tc>
          <w:tcPr>
            <w:tcW w:w="637" w:type="pct"/>
            <w:vMerge w:val="continue"/>
            <w:tcBorders>
              <w:top w:val="nil"/>
            </w:tcBorders>
            <w:vAlign w:val="center"/>
          </w:tcPr>
          <w:p>
            <w:pPr>
              <w:jc w:val="center"/>
              <w:rPr>
                <w:rFonts w:ascii="宋体" w:hAnsi="宋体" w:cs="宋体"/>
                <w:sz w:val="24"/>
              </w:rPr>
            </w:pPr>
          </w:p>
        </w:tc>
        <w:tc>
          <w:tcPr>
            <w:tcW w:w="729" w:type="pct"/>
            <w:vAlign w:val="center"/>
          </w:tcPr>
          <w:p>
            <w:pPr>
              <w:pStyle w:val="268"/>
              <w:ind w:left="62" w:right="47"/>
              <w:jc w:val="center"/>
              <w:rPr>
                <w:rFonts w:ascii="宋体" w:hAnsi="宋体" w:eastAsia="宋体" w:cs="宋体"/>
                <w:sz w:val="24"/>
              </w:rPr>
            </w:pPr>
            <w:r>
              <w:rPr>
                <w:rFonts w:hint="eastAsia" w:ascii="宋体" w:hAnsi="宋体" w:eastAsia="宋体" w:cs="宋体"/>
                <w:sz w:val="24"/>
              </w:rPr>
              <w:t>离岗打卡</w:t>
            </w:r>
          </w:p>
        </w:tc>
        <w:tc>
          <w:tcPr>
            <w:tcW w:w="2050" w:type="pct"/>
          </w:tcPr>
          <w:p>
            <w:pPr>
              <w:pStyle w:val="268"/>
              <w:ind w:left="37" w:right="95"/>
              <w:rPr>
                <w:rFonts w:ascii="宋体" w:hAnsi="宋体" w:eastAsia="宋体" w:cs="宋体"/>
                <w:sz w:val="24"/>
              </w:rPr>
            </w:pPr>
            <w:r>
              <w:rPr>
                <w:rFonts w:hint="eastAsia" w:ascii="宋体" w:hAnsi="宋体" w:eastAsia="宋体" w:cs="宋体"/>
                <w:sz w:val="24"/>
              </w:rPr>
              <w:t>再次扫描岗位二维码，进行离岗打卡，每次未按要求打卡-2分。</w:t>
            </w:r>
          </w:p>
        </w:tc>
        <w:tc>
          <w:tcPr>
            <w:tcW w:w="1278" w:type="pct"/>
          </w:tcPr>
          <w:p>
            <w:pPr>
              <w:pStyle w:val="268"/>
              <w:ind w:left="37" w:right="95"/>
              <w:rPr>
                <w:rFonts w:ascii="宋体" w:hAnsi="宋体" w:eastAsia="宋体" w:cs="宋体"/>
                <w:sz w:val="24"/>
              </w:rPr>
            </w:pPr>
            <w:r>
              <w:rPr>
                <w:rFonts w:hint="eastAsia" w:ascii="宋体" w:hAnsi="宋体" w:eastAsia="宋体" w:cs="宋体"/>
                <w:sz w:val="24"/>
              </w:rPr>
              <w:t>管理员通过后台数据检查监督</w:t>
            </w:r>
          </w:p>
        </w:tc>
      </w:tr>
    </w:tbl>
    <w:p>
      <w:pPr>
        <w:keepNext w:val="0"/>
        <w:keepLines w:val="0"/>
        <w:pageBreakBefore w:val="0"/>
        <w:kinsoku/>
        <w:wordWrap/>
        <w:overflowPunct/>
        <w:topLinePunct w:val="0"/>
        <w:bidi w:val="0"/>
        <w:spacing w:line="360" w:lineRule="auto"/>
        <w:ind w:firstLine="482" w:firstLineChars="200"/>
        <w:rPr>
          <w:rFonts w:hint="eastAsia" w:ascii="宋体" w:hAnsi="宋体" w:eastAsia="宋体" w:cs="宋体"/>
          <w:b/>
          <w:sz w:val="24"/>
          <w:szCs w:val="24"/>
        </w:rPr>
      </w:pPr>
      <w:r>
        <w:rPr>
          <w:rFonts w:hint="eastAsia" w:ascii="宋体" w:hAnsi="宋体" w:cs="宋体"/>
          <w:b/>
          <w:bCs w:val="0"/>
          <w:sz w:val="24"/>
          <w:szCs w:val="24"/>
          <w:lang w:eastAsia="zh-CN"/>
        </w:rPr>
        <w:t>二</w:t>
      </w:r>
      <w:r>
        <w:rPr>
          <w:rFonts w:hint="eastAsia" w:ascii="宋体" w:hAnsi="宋体" w:eastAsia="宋体" w:cs="宋体"/>
          <w:b/>
          <w:bCs w:val="0"/>
          <w:sz w:val="24"/>
          <w:szCs w:val="24"/>
        </w:rPr>
        <w:t>）垃圾分类</w:t>
      </w:r>
      <w:r>
        <w:rPr>
          <w:rFonts w:hint="eastAsia" w:ascii="宋体" w:hAnsi="宋体" w:cs="宋体"/>
          <w:b/>
          <w:bCs w:val="0"/>
          <w:sz w:val="24"/>
          <w:szCs w:val="24"/>
          <w:lang w:val="en-US" w:eastAsia="zh-CN"/>
        </w:rPr>
        <w:t>智慧运营</w:t>
      </w:r>
      <w:r>
        <w:rPr>
          <w:rFonts w:hint="eastAsia" w:ascii="宋体" w:hAnsi="宋体" w:eastAsia="宋体" w:cs="宋体"/>
          <w:b/>
          <w:sz w:val="24"/>
          <w:szCs w:val="24"/>
        </w:rPr>
        <w:t>服务</w:t>
      </w:r>
      <w:r>
        <w:rPr>
          <w:rFonts w:hint="eastAsia" w:ascii="宋体" w:hAnsi="宋体" w:eastAsia="宋体" w:cs="宋体"/>
          <w:b/>
          <w:bCs/>
          <w:sz w:val="24"/>
          <w:szCs w:val="24"/>
        </w:rPr>
        <w:t>基本要求</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sz w:val="24"/>
          <w:szCs w:val="24"/>
          <w:lang w:eastAsia="zh-CN"/>
        </w:rPr>
        <w:t>中</w:t>
      </w:r>
      <w:r>
        <w:rPr>
          <w:rFonts w:hint="eastAsia" w:ascii="宋体" w:hAnsi="宋体" w:eastAsia="宋体" w:cs="宋体"/>
          <w:bCs/>
          <w:sz w:val="24"/>
          <w:szCs w:val="24"/>
        </w:rPr>
        <w:t>标人负责垃圾分类</w:t>
      </w:r>
      <w:r>
        <w:rPr>
          <w:rFonts w:hint="eastAsia" w:ascii="宋体" w:hAnsi="宋体" w:eastAsia="宋体" w:cs="宋体"/>
          <w:bCs/>
          <w:sz w:val="24"/>
          <w:szCs w:val="24"/>
          <w:lang w:eastAsia="zh-CN"/>
        </w:rPr>
        <w:t>巡检及</w:t>
      </w:r>
      <w:r>
        <w:rPr>
          <w:rFonts w:hint="eastAsia" w:ascii="宋体" w:hAnsi="宋体" w:eastAsia="宋体" w:cs="宋体"/>
          <w:bCs/>
          <w:sz w:val="24"/>
          <w:szCs w:val="24"/>
        </w:rPr>
        <w:t>运营管理服务，与采购人共同做好垃圾分类</w:t>
      </w:r>
      <w:r>
        <w:rPr>
          <w:rFonts w:hint="eastAsia" w:ascii="宋体" w:hAnsi="宋体" w:eastAsia="宋体" w:cs="宋体"/>
          <w:bCs/>
          <w:sz w:val="24"/>
          <w:szCs w:val="24"/>
          <w:lang w:eastAsia="zh-CN"/>
        </w:rPr>
        <w:t>巡检、</w:t>
      </w:r>
      <w:r>
        <w:rPr>
          <w:rFonts w:hint="eastAsia" w:ascii="宋体" w:hAnsi="宋体" w:eastAsia="宋体" w:cs="宋体"/>
          <w:bCs/>
          <w:sz w:val="24"/>
          <w:szCs w:val="24"/>
        </w:rPr>
        <w:t>管理、咨询、培训、督导、数据服务等工作，帮助解决垃圾分类工作中存在的监管难、</w:t>
      </w:r>
      <w:r>
        <w:rPr>
          <w:rFonts w:hint="eastAsia" w:ascii="宋体" w:hAnsi="宋体" w:eastAsia="宋体" w:cs="宋体"/>
          <w:bCs/>
          <w:color w:val="auto"/>
          <w:sz w:val="24"/>
          <w:szCs w:val="24"/>
        </w:rPr>
        <w:t>教育宣传不专业、管理流程不规范、监管考核缺乏支撑数据、执法取证难等难题。</w:t>
      </w:r>
    </w:p>
    <w:p>
      <w:pPr>
        <w:keepNext w:val="0"/>
        <w:keepLines w:val="0"/>
        <w:pageBreakBefore w:val="0"/>
        <w:kinsoku/>
        <w:wordWrap/>
        <w:overflowPunct/>
        <w:topLinePunct w:val="0"/>
        <w:bidi w:val="0"/>
        <w:spacing w:line="360" w:lineRule="auto"/>
        <w:ind w:firstLine="482" w:firstLineChars="200"/>
        <w:rPr>
          <w:rFonts w:hint="eastAsia" w:ascii="宋体" w:hAnsi="宋体" w:eastAsia="宋体" w:cs="宋体"/>
          <w:b/>
          <w:bCs w:val="0"/>
          <w:color w:val="auto"/>
          <w:sz w:val="24"/>
        </w:rPr>
      </w:pPr>
      <w:r>
        <w:rPr>
          <w:rFonts w:hint="eastAsia" w:ascii="宋体" w:hAnsi="宋体" w:eastAsia="宋体" w:cs="宋体"/>
          <w:b/>
          <w:bCs w:val="0"/>
          <w:color w:val="auto"/>
          <w:sz w:val="24"/>
          <w:lang w:val="en-US" w:eastAsia="zh-CN"/>
        </w:rPr>
        <w:t>1、</w:t>
      </w:r>
      <w:r>
        <w:rPr>
          <w:rFonts w:hint="eastAsia" w:ascii="宋体" w:hAnsi="宋体" w:eastAsia="宋体" w:cs="宋体"/>
          <w:b/>
          <w:bCs w:val="0"/>
          <w:color w:val="auto"/>
          <w:sz w:val="24"/>
        </w:rPr>
        <w:t>垃圾分类</w:t>
      </w:r>
      <w:r>
        <w:rPr>
          <w:rFonts w:hint="eastAsia" w:ascii="宋体" w:hAnsi="宋体" w:eastAsia="宋体" w:cs="宋体"/>
          <w:b/>
          <w:bCs w:val="0"/>
          <w:color w:val="auto"/>
          <w:sz w:val="24"/>
          <w:lang w:val="en-US" w:eastAsia="zh-CN"/>
        </w:rPr>
        <w:t>智慧运营服务及</w:t>
      </w:r>
      <w:r>
        <w:rPr>
          <w:rFonts w:hint="eastAsia" w:ascii="宋体" w:hAnsi="宋体" w:eastAsia="宋体" w:cs="宋体"/>
          <w:b/>
          <w:bCs w:val="0"/>
          <w:color w:val="auto"/>
          <w:sz w:val="24"/>
        </w:rPr>
        <w:t>运营管理平台系统功能</w:t>
      </w:r>
      <w:r>
        <w:rPr>
          <w:rFonts w:hint="eastAsia" w:ascii="宋体" w:hAnsi="宋体" w:eastAsia="宋体" w:cs="宋体"/>
          <w:b/>
          <w:bCs w:val="0"/>
          <w:color w:val="auto"/>
          <w:sz w:val="24"/>
          <w:lang w:eastAsia="zh-CN"/>
        </w:rPr>
        <w:t>、</w:t>
      </w:r>
      <w:r>
        <w:rPr>
          <w:rFonts w:hint="eastAsia" w:ascii="宋体" w:hAnsi="宋体" w:eastAsia="宋体" w:cs="宋体"/>
          <w:b/>
          <w:bCs w:val="0"/>
          <w:color w:val="auto"/>
          <w:sz w:val="24"/>
        </w:rPr>
        <w:t>技术要求如下：</w:t>
      </w:r>
    </w:p>
    <w:tbl>
      <w:tblPr>
        <w:tblStyle w:val="46"/>
        <w:tblW w:w="9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2387"/>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项目</w:t>
            </w:r>
          </w:p>
        </w:tc>
        <w:tc>
          <w:tcPr>
            <w:tcW w:w="6796"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技术、服务规范要求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9183" w:type="dxa"/>
            <w:gridSpan w:val="2"/>
            <w:shd w:val="clear" w:color="auto" w:fill="FFFFFF" w:themeFill="background1"/>
            <w:tcMar>
              <w:top w:w="15" w:type="dxa"/>
              <w:left w:w="70" w:type="dxa"/>
              <w:bottom w:w="0" w:type="dxa"/>
              <w:right w:w="70" w:type="dxa"/>
            </w:tcMar>
            <w:vAlign w:val="center"/>
          </w:tcPr>
          <w:p>
            <w:pPr>
              <w:spacing w:line="360" w:lineRule="auto"/>
              <w:rPr>
                <w:rFonts w:ascii="宋体" w:hAnsi="宋体" w:cs="宋体"/>
                <w:b/>
                <w:bCs/>
                <w:sz w:val="24"/>
              </w:rPr>
            </w:pPr>
            <w:r>
              <w:rPr>
                <w:rFonts w:hint="eastAsia" w:ascii="宋体" w:hAnsi="宋体" w:cs="宋体"/>
                <w:b/>
                <w:bCs/>
                <w:sz w:val="24"/>
              </w:rPr>
              <w:t>1、智慧运营服务要求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bCs/>
                <w:sz w:val="24"/>
              </w:rPr>
              <w:t>供应商运营服务人员配比要求</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bCs/>
                <w:sz w:val="24"/>
              </w:rPr>
              <w:t>运营服务人员配比（运营人员数量</w:t>
            </w:r>
            <w:r>
              <w:rPr>
                <w:rFonts w:hint="eastAsia" w:ascii="宋体" w:hAnsi="宋体" w:cs="宋体"/>
                <w:b/>
                <w:bCs/>
                <w:sz w:val="24"/>
              </w:rPr>
              <w:t>:</w:t>
            </w:r>
            <w:r>
              <w:rPr>
                <w:rFonts w:hint="eastAsia" w:ascii="宋体" w:hAnsi="宋体" w:cs="宋体"/>
                <w:bCs/>
                <w:sz w:val="24"/>
              </w:rPr>
              <w:t>投放亭数量），确保不低于1:10。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咨询服务培训服务</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1）撤桶并点策略咨询      2) 垃圾桶管理策略咨询</w:t>
            </w:r>
          </w:p>
          <w:p>
            <w:pPr>
              <w:spacing w:line="360" w:lineRule="auto"/>
              <w:jc w:val="left"/>
              <w:rPr>
                <w:rFonts w:ascii="宋体" w:hAnsi="宋体" w:cs="宋体"/>
                <w:sz w:val="24"/>
              </w:rPr>
            </w:pPr>
            <w:r>
              <w:rPr>
                <w:rFonts w:hint="eastAsia" w:ascii="宋体" w:hAnsi="宋体" w:cs="宋体"/>
                <w:sz w:val="24"/>
              </w:rPr>
              <w:t>3）垃圾投递点规划选址    4) 长效管理机制建设咨询</w:t>
            </w:r>
          </w:p>
          <w:p>
            <w:pPr>
              <w:spacing w:line="360" w:lineRule="auto"/>
              <w:jc w:val="left"/>
              <w:rPr>
                <w:rFonts w:ascii="宋体" w:hAnsi="宋体" w:cs="宋体"/>
                <w:sz w:val="24"/>
              </w:rPr>
            </w:pPr>
            <w:r>
              <w:rPr>
                <w:rFonts w:hint="eastAsia" w:ascii="宋体" w:hAnsi="宋体" w:cs="宋体"/>
                <w:sz w:val="24"/>
              </w:rPr>
              <w:t>5）人员配置、组织咨询    6) 驻点式居民宣传教育</w:t>
            </w:r>
          </w:p>
          <w:p>
            <w:pPr>
              <w:spacing w:line="360" w:lineRule="auto"/>
              <w:jc w:val="left"/>
              <w:rPr>
                <w:rFonts w:ascii="宋体" w:hAnsi="宋体" w:cs="宋体"/>
                <w:sz w:val="24"/>
              </w:rPr>
            </w:pPr>
            <w:r>
              <w:rPr>
                <w:rFonts w:hint="eastAsia" w:ascii="宋体" w:hAnsi="宋体" w:cs="宋体"/>
                <w:sz w:val="24"/>
              </w:rPr>
              <w:t>7）小区综合管理培训服务  8）值守人员实操培训服务</w:t>
            </w:r>
          </w:p>
          <w:p>
            <w:pPr>
              <w:spacing w:line="360" w:lineRule="auto"/>
              <w:jc w:val="left"/>
              <w:rPr>
                <w:rFonts w:ascii="宋体" w:hAnsi="宋体" w:cs="宋体"/>
                <w:sz w:val="24"/>
              </w:rPr>
            </w:pPr>
            <w:r>
              <w:rPr>
                <w:rFonts w:hint="eastAsia" w:ascii="宋体" w:hAnsi="宋体" w:cs="宋体"/>
                <w:sz w:val="24"/>
              </w:rPr>
              <w:t xml:space="preserve">9）网路社群在线培训服务  10）云平台管理系统使用培训 </w:t>
            </w:r>
          </w:p>
          <w:p>
            <w:pPr>
              <w:spacing w:line="360" w:lineRule="auto"/>
              <w:jc w:val="left"/>
              <w:rPr>
                <w:rFonts w:ascii="宋体" w:hAnsi="宋体" w:cs="宋体"/>
                <w:sz w:val="24"/>
              </w:rPr>
            </w:pPr>
            <w:r>
              <w:rPr>
                <w:rFonts w:hint="eastAsia" w:ascii="宋体" w:hAnsi="宋体" w:cs="宋体"/>
                <w:sz w:val="24"/>
              </w:rPr>
              <w:t>11）居民代表集中式讲座培训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值守人员组织和管理</w:t>
            </w:r>
          </w:p>
          <w:p>
            <w:pPr>
              <w:spacing w:line="360" w:lineRule="auto"/>
              <w:jc w:val="center"/>
              <w:rPr>
                <w:rFonts w:ascii="宋体" w:hAnsi="宋体" w:cs="宋体"/>
                <w:sz w:val="24"/>
              </w:rPr>
            </w:pPr>
            <w:r>
              <w:rPr>
                <w:rFonts w:hint="eastAsia" w:ascii="宋体" w:hAnsi="宋体" w:cs="宋体"/>
                <w:sz w:val="24"/>
              </w:rPr>
              <w:t>每天的巡查督导服务</w:t>
            </w:r>
          </w:p>
          <w:p>
            <w:pPr>
              <w:spacing w:line="360" w:lineRule="auto"/>
              <w:jc w:val="center"/>
              <w:rPr>
                <w:rFonts w:ascii="宋体" w:hAnsi="宋体" w:cs="宋体"/>
                <w:sz w:val="24"/>
              </w:rPr>
            </w:pPr>
          </w:p>
        </w:tc>
        <w:tc>
          <w:tcPr>
            <w:tcW w:w="6796" w:type="dxa"/>
            <w:shd w:val="clear" w:color="auto" w:fill="FFFFFF" w:themeFill="background1"/>
            <w:tcMar>
              <w:top w:w="15" w:type="dxa"/>
              <w:left w:w="70" w:type="dxa"/>
              <w:bottom w:w="0" w:type="dxa"/>
              <w:right w:w="70" w:type="dxa"/>
            </w:tcMar>
            <w:vAlign w:val="center"/>
          </w:tcPr>
          <w:p>
            <w:pPr>
              <w:numPr>
                <w:ilvl w:val="0"/>
                <w:numId w:val="8"/>
              </w:numPr>
              <w:spacing w:line="360" w:lineRule="auto"/>
              <w:jc w:val="left"/>
              <w:rPr>
                <w:rFonts w:ascii="宋体" w:hAnsi="宋体" w:cs="宋体"/>
                <w:sz w:val="24"/>
              </w:rPr>
            </w:pPr>
            <w:r>
              <w:rPr>
                <w:rFonts w:hint="eastAsia" w:ascii="宋体" w:hAnsi="宋体" w:cs="宋体"/>
                <w:sz w:val="24"/>
              </w:rPr>
              <w:t>值守人员（监督员）招聘、管理、培训、考核</w:t>
            </w:r>
          </w:p>
          <w:p>
            <w:pPr>
              <w:spacing w:line="360" w:lineRule="auto"/>
              <w:jc w:val="left"/>
              <w:rPr>
                <w:rFonts w:ascii="宋体" w:hAnsi="宋体" w:cs="宋体"/>
                <w:sz w:val="24"/>
              </w:rPr>
            </w:pPr>
            <w:r>
              <w:rPr>
                <w:rFonts w:hint="eastAsia" w:ascii="宋体" w:hAnsi="宋体" w:cs="宋体"/>
                <w:sz w:val="24"/>
              </w:rPr>
              <w:t>2）每个亭体每天不少4次巡查，巡查内容包括：亭体、智能设备、通信、值守人员值守状态、卫生状况、亭体运转状态</w:t>
            </w:r>
          </w:p>
          <w:p>
            <w:pPr>
              <w:spacing w:line="360" w:lineRule="auto"/>
              <w:jc w:val="left"/>
              <w:rPr>
                <w:rFonts w:ascii="宋体" w:hAnsi="宋体" w:cs="宋体"/>
                <w:sz w:val="24"/>
              </w:rPr>
            </w:pPr>
            <w:r>
              <w:rPr>
                <w:rFonts w:hint="eastAsia" w:ascii="宋体" w:hAnsi="宋体" w:cs="宋体"/>
                <w:sz w:val="24"/>
              </w:rPr>
              <w:t>3）应急处理服务</w:t>
            </w:r>
          </w:p>
          <w:p>
            <w:pPr>
              <w:spacing w:line="360" w:lineRule="auto"/>
              <w:jc w:val="left"/>
              <w:rPr>
                <w:rFonts w:ascii="宋体" w:hAnsi="宋体" w:cs="宋体"/>
                <w:sz w:val="24"/>
              </w:rPr>
            </w:pPr>
            <w:r>
              <w:rPr>
                <w:rFonts w:hint="eastAsia" w:ascii="宋体" w:hAnsi="宋体" w:cs="宋体"/>
                <w:sz w:val="24"/>
              </w:rPr>
              <w:t>4）联络物业、村委、社区和街道</w:t>
            </w:r>
          </w:p>
          <w:p>
            <w:pPr>
              <w:spacing w:line="360" w:lineRule="auto"/>
              <w:jc w:val="left"/>
              <w:rPr>
                <w:rFonts w:ascii="宋体" w:hAnsi="宋体" w:cs="宋体"/>
                <w:sz w:val="24"/>
              </w:rPr>
            </w:pPr>
            <w:r>
              <w:rPr>
                <w:rFonts w:hint="eastAsia" w:ascii="宋体" w:hAnsi="宋体" w:cs="宋体"/>
                <w:sz w:val="24"/>
              </w:rPr>
              <w:t>5）组织和管理各类运营活动</w:t>
            </w:r>
          </w:p>
          <w:p>
            <w:pPr>
              <w:spacing w:line="360" w:lineRule="auto"/>
              <w:jc w:val="left"/>
              <w:rPr>
                <w:rFonts w:ascii="宋体" w:hAnsi="宋体" w:cs="宋体"/>
                <w:sz w:val="24"/>
              </w:rPr>
            </w:pPr>
            <w:r>
              <w:rPr>
                <w:rFonts w:hint="eastAsia" w:ascii="宋体" w:hAnsi="宋体" w:cs="宋体"/>
                <w:sz w:val="24"/>
              </w:rPr>
              <w:t>6）设备、设施维护人工费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数据服务</w:t>
            </w:r>
          </w:p>
          <w:p>
            <w:pPr>
              <w:spacing w:line="360" w:lineRule="auto"/>
              <w:jc w:val="center"/>
              <w:rPr>
                <w:rFonts w:ascii="宋体" w:hAnsi="宋体" w:cs="宋体"/>
                <w:sz w:val="24"/>
              </w:rPr>
            </w:pPr>
          </w:p>
        </w:tc>
        <w:tc>
          <w:tcPr>
            <w:tcW w:w="6796"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sz w:val="24"/>
              </w:rPr>
              <w:t>1）违规证据链收集、整理</w:t>
            </w:r>
          </w:p>
          <w:p>
            <w:pPr>
              <w:spacing w:line="360" w:lineRule="auto"/>
              <w:rPr>
                <w:rFonts w:ascii="宋体" w:hAnsi="宋体" w:cs="宋体"/>
                <w:sz w:val="24"/>
              </w:rPr>
            </w:pPr>
            <w:r>
              <w:rPr>
                <w:rFonts w:hint="eastAsia" w:ascii="宋体" w:hAnsi="宋体" w:cs="宋体"/>
                <w:sz w:val="24"/>
              </w:rPr>
              <w:t>2）垃圾分类量化分析报告</w:t>
            </w:r>
          </w:p>
          <w:p>
            <w:pPr>
              <w:spacing w:line="360" w:lineRule="auto"/>
              <w:rPr>
                <w:rFonts w:ascii="宋体" w:hAnsi="宋体" w:cs="宋体"/>
                <w:sz w:val="24"/>
              </w:rPr>
            </w:pPr>
            <w:r>
              <w:rPr>
                <w:rFonts w:hint="eastAsia" w:ascii="宋体" w:hAnsi="宋体" w:cs="宋体"/>
                <w:sz w:val="24"/>
              </w:rPr>
              <w:t>3）实名实户制的居民投递数据服务</w:t>
            </w:r>
          </w:p>
          <w:p>
            <w:pPr>
              <w:spacing w:line="360" w:lineRule="auto"/>
              <w:jc w:val="left"/>
              <w:rPr>
                <w:rFonts w:ascii="宋体" w:hAnsi="宋体" w:cs="宋体"/>
                <w:sz w:val="24"/>
              </w:rPr>
            </w:pPr>
            <w:r>
              <w:rPr>
                <w:rFonts w:hint="eastAsia" w:ascii="宋体" w:hAnsi="宋体" w:cs="宋体"/>
                <w:sz w:val="24"/>
              </w:rPr>
              <w:t>4）配合街道社区要求，帮助提供分类优秀的居民名单，进行积分奖励、礼品兑换等。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全年无休后台人工服务</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1）平台系统后台运转服务</w:t>
            </w:r>
          </w:p>
          <w:p>
            <w:pPr>
              <w:spacing w:line="360" w:lineRule="auto"/>
              <w:jc w:val="left"/>
              <w:rPr>
                <w:rFonts w:ascii="宋体" w:hAnsi="宋体" w:cs="宋体"/>
                <w:sz w:val="24"/>
              </w:rPr>
            </w:pPr>
            <w:r>
              <w:rPr>
                <w:rFonts w:hint="eastAsia" w:ascii="宋体" w:hAnsi="宋体" w:cs="宋体"/>
                <w:sz w:val="24"/>
              </w:rPr>
              <w:t>2）7*24小时电话、线上服务</w:t>
            </w:r>
          </w:p>
          <w:p>
            <w:pPr>
              <w:spacing w:line="360" w:lineRule="auto"/>
              <w:jc w:val="left"/>
              <w:rPr>
                <w:rFonts w:ascii="宋体" w:hAnsi="宋体" w:cs="宋体"/>
                <w:sz w:val="24"/>
              </w:rPr>
            </w:pPr>
            <w:r>
              <w:rPr>
                <w:rFonts w:hint="eastAsia" w:ascii="宋体" w:hAnsi="宋体" w:cs="宋体"/>
                <w:sz w:val="24"/>
              </w:rPr>
              <w:t>3）异常信息及时通报服务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提供智慧管理平台服务</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供应商运营服务满3年，通过各相关部门、组织的齐抓共管，并针对居民违规投递行政执法及违规曝光措施的同步实施，基本实现早晚垃圾投放亭定时时段的相对无人值守，平均每5个投放亭配备1-2名监督值守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9183" w:type="dxa"/>
            <w:gridSpan w:val="2"/>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b/>
                <w:sz w:val="24"/>
              </w:rPr>
              <w:t>2、运营管理平台系统功能、技术要求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云存储服务</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1）警戒机设备数据云存储，2）行为摄像机设备数据云存储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▲数据信息存储</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数据信息必须采用国内优质云服务商提供的云平台存储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kern w:val="0"/>
                <w:sz w:val="24"/>
              </w:rPr>
              <w:t>智慧垃圾分类运营管理平台系统</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kern w:val="0"/>
                <w:sz w:val="24"/>
              </w:rPr>
              <w:t>供应商须提供成熟的智慧垃圾分类运营管理平台系统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sz w:val="24"/>
              </w:rPr>
              <w:t>系统软件维护和升级</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垃圾分类管理平台系统维护升级，人工智能分析平台维护升级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kern w:val="0"/>
                <w:sz w:val="24"/>
              </w:rPr>
              <w:t>垃圾分类管理平台系统主要管理功能</w:t>
            </w:r>
          </w:p>
        </w:tc>
        <w:tc>
          <w:tcPr>
            <w:tcW w:w="6796" w:type="dxa"/>
            <w:shd w:val="clear" w:color="auto" w:fill="FFFFFF" w:themeFill="background1"/>
            <w:tcMar>
              <w:top w:w="15" w:type="dxa"/>
              <w:left w:w="70" w:type="dxa"/>
              <w:bottom w:w="0" w:type="dxa"/>
              <w:right w:w="70" w:type="dxa"/>
            </w:tcMar>
            <w:vAlign w:val="center"/>
          </w:tcPr>
          <w:p>
            <w:pPr>
              <w:pStyle w:val="27"/>
              <w:snapToGrid w:val="0"/>
              <w:spacing w:beforeLines="0" w:afterLines="0" w:line="360" w:lineRule="auto"/>
              <w:rPr>
                <w:rFonts w:hAnsi="宋体" w:cs="宋体"/>
                <w:bCs/>
                <w:szCs w:val="24"/>
              </w:rPr>
            </w:pPr>
            <w:r>
              <w:rPr>
                <w:rFonts w:hint="eastAsia" w:hAnsi="宋体" w:cs="宋体"/>
                <w:bCs/>
                <w:szCs w:val="24"/>
              </w:rPr>
              <w:t>1）垃圾分类指挥中心数据服务平台。实时大屏显示：运营点位地图、垃圾量统计数据、运营岗亭数量、覆盖户数、岗亭运营状况、各地运营情况、垃圾分类排行、政府活动统计，等等)。</w:t>
            </w:r>
          </w:p>
          <w:p>
            <w:pPr>
              <w:pStyle w:val="27"/>
              <w:snapToGrid w:val="0"/>
              <w:spacing w:beforeLines="0" w:afterLines="0" w:line="360" w:lineRule="auto"/>
              <w:rPr>
                <w:rFonts w:hAnsi="宋体" w:cs="宋体"/>
                <w:bCs/>
                <w:szCs w:val="24"/>
              </w:rPr>
            </w:pPr>
            <w:r>
              <w:rPr>
                <w:rFonts w:hint="eastAsia" w:hAnsi="宋体" w:cs="宋体"/>
                <w:bCs/>
                <w:szCs w:val="24"/>
              </w:rPr>
              <w:t>2）垃圾分类实时动态。包括：运营时长、居民注册率、居民参与率、投递合格率、垃圾桶数统计、垃圾重量统计等等。</w:t>
            </w:r>
          </w:p>
          <w:p>
            <w:pPr>
              <w:pStyle w:val="27"/>
              <w:snapToGrid w:val="0"/>
              <w:spacing w:beforeLines="0" w:afterLines="0" w:line="360" w:lineRule="auto"/>
              <w:rPr>
                <w:rFonts w:hAnsi="宋体" w:cs="宋体"/>
                <w:bCs/>
                <w:szCs w:val="24"/>
              </w:rPr>
            </w:pPr>
            <w:r>
              <w:rPr>
                <w:rFonts w:hint="eastAsia" w:hAnsi="宋体" w:cs="宋体"/>
                <w:bCs/>
                <w:szCs w:val="24"/>
              </w:rPr>
              <w:t>3）信息查询功能。包括：智能投递统计、系统自动抓拍违规记录、数据汇总、参与详情、垃圾统计、投递记录、积分记录等功能。</w:t>
            </w:r>
          </w:p>
          <w:p>
            <w:pPr>
              <w:pStyle w:val="27"/>
              <w:snapToGrid w:val="0"/>
              <w:spacing w:beforeLines="0" w:afterLines="0" w:line="360" w:lineRule="auto"/>
              <w:rPr>
                <w:rFonts w:hAnsi="宋体" w:cs="宋体"/>
                <w:bCs/>
                <w:szCs w:val="24"/>
              </w:rPr>
            </w:pPr>
            <w:r>
              <w:rPr>
                <w:rFonts w:hint="eastAsia" w:hAnsi="宋体" w:cs="宋体"/>
                <w:bCs/>
                <w:szCs w:val="24"/>
              </w:rPr>
              <w:t>4）运营管理功能。包括：住户管理、IC卡管理 、手机用户管理、运营汇总、设备检测、违规标记、智能统计检查、监控实时查看及回放等功能。</w:t>
            </w:r>
          </w:p>
          <w:p>
            <w:pPr>
              <w:pStyle w:val="27"/>
              <w:snapToGrid w:val="0"/>
              <w:spacing w:beforeLines="0" w:afterLines="0" w:line="360" w:lineRule="auto"/>
              <w:rPr>
                <w:rFonts w:hAnsi="宋体" w:cs="宋体"/>
                <w:szCs w:val="24"/>
              </w:rPr>
            </w:pPr>
            <w:r>
              <w:rPr>
                <w:rFonts w:hint="eastAsia" w:hAnsi="宋体" w:cs="宋体"/>
                <w:bCs/>
                <w:szCs w:val="24"/>
              </w:rPr>
              <w:t>5）运营设备管理。包括：垃圾投放亭、居民投递记录设备、智能监控设备。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1322" w:hRule="atLeast"/>
        </w:trPr>
        <w:tc>
          <w:tcPr>
            <w:tcW w:w="2387"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kern w:val="0"/>
                <w:sz w:val="24"/>
              </w:rPr>
            </w:pPr>
            <w:r>
              <w:rPr>
                <w:rFonts w:hint="eastAsia" w:ascii="宋体" w:hAnsi="宋体" w:cs="宋体"/>
                <w:sz w:val="24"/>
              </w:rPr>
              <w:t>技术实现方案</w:t>
            </w:r>
          </w:p>
        </w:tc>
        <w:tc>
          <w:tcPr>
            <w:tcW w:w="6796" w:type="dxa"/>
            <w:shd w:val="clear" w:color="auto" w:fill="FFFFFF" w:themeFill="background1"/>
            <w:tcMar>
              <w:top w:w="15" w:type="dxa"/>
              <w:left w:w="70" w:type="dxa"/>
              <w:bottom w:w="0" w:type="dxa"/>
              <w:right w:w="70" w:type="dxa"/>
            </w:tcMar>
            <w:vAlign w:val="center"/>
          </w:tcPr>
          <w:p>
            <w:pPr>
              <w:pStyle w:val="27"/>
              <w:snapToGrid w:val="0"/>
              <w:spacing w:beforeLines="0" w:afterLines="0" w:line="360" w:lineRule="auto"/>
              <w:rPr>
                <w:rFonts w:hAnsi="宋体" w:cs="宋体"/>
                <w:bCs/>
                <w:szCs w:val="24"/>
              </w:rPr>
            </w:pPr>
            <w:r>
              <w:rPr>
                <w:rFonts w:hint="eastAsia" w:hAnsi="宋体" w:cs="宋体"/>
                <w:szCs w:val="24"/>
              </w:rPr>
              <w:t>充分体现利用互联网、人工智能、大数据和云平台等技术手段，以“机器代人”方式进行监督管理，逐步实现垃圾投放亭从“有人值守”到“无人值守”。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sz w:val="24"/>
              </w:rPr>
              <w:t>系统实施及响应要求</w:t>
            </w:r>
          </w:p>
        </w:tc>
        <w:tc>
          <w:tcPr>
            <w:tcW w:w="6796"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sz w:val="24"/>
              </w:rPr>
              <w:t>投标方中标签订合同后，需要承诺可将成熟的软件平台系统方案在10天内完成安装部署。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sz w:val="24"/>
              </w:rPr>
              <w:t>系统部署环境</w:t>
            </w:r>
          </w:p>
        </w:tc>
        <w:tc>
          <w:tcPr>
            <w:tcW w:w="6796"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r>
              <w:rPr>
                <w:rFonts w:hint="eastAsia" w:ascii="宋体" w:hAnsi="宋体" w:cs="宋体"/>
                <w:sz w:val="24"/>
              </w:rPr>
              <w:t>提供系统部署环境（包括后台服务器、云存储服务等）、系统安全性、数据安全性相关设计。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投标人需提供实际系统的视频演示文件（U盘存储，播放时间控制在10分钟以内），演示内容以客户实际运营数据为准。</w:t>
            </w:r>
          </w:p>
          <w:p>
            <w:pPr>
              <w:spacing w:line="360" w:lineRule="auto"/>
              <w:rPr>
                <w:rFonts w:ascii="宋体" w:hAnsi="宋体" w:cs="宋体"/>
                <w:sz w:val="24"/>
              </w:rPr>
            </w:pPr>
            <w:r>
              <w:rPr>
                <w:rFonts w:hint="eastAsia" w:ascii="宋体" w:hAnsi="宋体" w:cs="宋体"/>
                <w:b/>
                <w:bCs/>
                <w:sz w:val="24"/>
              </w:rPr>
              <w:t>（其中序号1--3为关键功能需求。）</w:t>
            </w:r>
          </w:p>
        </w:tc>
        <w:tc>
          <w:tcPr>
            <w:tcW w:w="6796" w:type="dxa"/>
            <w:shd w:val="clear" w:color="auto" w:fill="FFFFFF" w:themeFill="background1"/>
            <w:tcMar>
              <w:top w:w="15" w:type="dxa"/>
              <w:left w:w="70" w:type="dxa"/>
              <w:bottom w:w="0" w:type="dxa"/>
              <w:right w:w="70" w:type="dxa"/>
            </w:tcMar>
            <w:vAlign w:val="center"/>
          </w:tcPr>
          <w:p>
            <w:pPr>
              <w:pStyle w:val="27"/>
              <w:snapToGrid w:val="0"/>
              <w:spacing w:beforeLines="0" w:afterLines="0" w:line="360" w:lineRule="auto"/>
              <w:rPr>
                <w:rFonts w:hAnsi="宋体" w:cs="宋体"/>
                <w:bCs/>
                <w:szCs w:val="24"/>
              </w:rPr>
            </w:pPr>
            <w:r>
              <w:rPr>
                <w:rFonts w:hint="eastAsia" w:hAnsi="宋体" w:cs="宋体"/>
                <w:bCs/>
                <w:szCs w:val="24"/>
              </w:rPr>
              <w:t>1）系统提供相应的功能和方案，快速解决居民生活垃圾分类问题。即在短时间内达到较好的分类效果，快速提升居民的参与率、分类准确率等。</w:t>
            </w:r>
          </w:p>
          <w:p>
            <w:pPr>
              <w:pStyle w:val="27"/>
              <w:snapToGrid w:val="0"/>
              <w:spacing w:beforeLines="0" w:afterLines="0" w:line="360" w:lineRule="auto"/>
              <w:rPr>
                <w:rFonts w:hAnsi="宋体" w:cs="宋体"/>
                <w:bCs/>
                <w:szCs w:val="24"/>
              </w:rPr>
            </w:pPr>
            <w:r>
              <w:rPr>
                <w:rFonts w:hint="eastAsia" w:hAnsi="宋体" w:cs="宋体"/>
                <w:bCs/>
                <w:szCs w:val="24"/>
              </w:rPr>
              <w:t>2）系统为解决垃圾分类长效管理机制问题提供相应功能和方案。通过科学管理，推动居民习惯养成。即通过系统方案的实施，推动居民主动长期参与垃圾分类活动。</w:t>
            </w:r>
          </w:p>
          <w:p>
            <w:pPr>
              <w:pStyle w:val="27"/>
              <w:snapToGrid w:val="0"/>
              <w:spacing w:beforeLines="0" w:afterLines="0" w:line="360" w:lineRule="auto"/>
              <w:rPr>
                <w:rFonts w:hAnsi="宋体" w:cs="宋体"/>
                <w:bCs/>
                <w:szCs w:val="24"/>
              </w:rPr>
            </w:pPr>
            <w:r>
              <w:rPr>
                <w:rFonts w:hint="eastAsia" w:hAnsi="宋体" w:cs="宋体"/>
                <w:bCs/>
                <w:szCs w:val="24"/>
              </w:rPr>
              <w:t>3）系统为逐年降低垃圾分类财政投入提供相关功能和解决方案。在财政投入逐年下降的情况下，仍能确保居民垃圾分类效果的持续性和正确性。</w:t>
            </w:r>
          </w:p>
          <w:p>
            <w:pPr>
              <w:pStyle w:val="27"/>
              <w:snapToGrid w:val="0"/>
              <w:spacing w:beforeLines="0" w:afterLines="0" w:line="360" w:lineRule="auto"/>
              <w:rPr>
                <w:rFonts w:hAnsi="宋体" w:cs="宋体"/>
                <w:bCs/>
                <w:szCs w:val="24"/>
              </w:rPr>
            </w:pPr>
            <w:r>
              <w:rPr>
                <w:rFonts w:hint="eastAsia" w:hAnsi="宋体" w:cs="宋体"/>
                <w:bCs/>
                <w:szCs w:val="24"/>
              </w:rPr>
              <w:t>4）系统为城镇沿街店铺、风景区等应用场景的垃圾分类提供相应的功能和解决方案。</w:t>
            </w:r>
          </w:p>
          <w:p>
            <w:pPr>
              <w:pStyle w:val="27"/>
              <w:snapToGrid w:val="0"/>
              <w:spacing w:beforeLines="0" w:afterLines="0" w:line="360" w:lineRule="auto"/>
              <w:rPr>
                <w:rFonts w:hAnsi="宋体" w:cs="宋体"/>
                <w:bCs/>
                <w:szCs w:val="24"/>
              </w:rPr>
            </w:pPr>
            <w:r>
              <w:rPr>
                <w:rFonts w:hint="eastAsia" w:hAnsi="宋体" w:cs="宋体"/>
                <w:bCs/>
                <w:szCs w:val="24"/>
              </w:rPr>
              <w:t>5）系统针对垃圾投放亭运营管理，提供相应的功能和解决方案，确保垃圾分类“两定四分”模式落地。</w:t>
            </w:r>
          </w:p>
          <w:p>
            <w:pPr>
              <w:pStyle w:val="27"/>
              <w:snapToGrid w:val="0"/>
              <w:spacing w:beforeLines="0" w:afterLines="0" w:line="360" w:lineRule="auto"/>
              <w:rPr>
                <w:rFonts w:hAnsi="宋体" w:cs="宋体"/>
                <w:szCs w:val="24"/>
              </w:rPr>
            </w:pPr>
            <w:r>
              <w:rPr>
                <w:rFonts w:hint="eastAsia" w:hAnsi="宋体" w:cs="宋体"/>
                <w:bCs/>
                <w:szCs w:val="24"/>
              </w:rPr>
              <w:t>6）系统为社会各届力量齐抓共管垃圾分类提供相应的功能和解决方案。</w:t>
            </w:r>
          </w:p>
        </w:tc>
      </w:tr>
    </w:tbl>
    <w:p>
      <w:pPr>
        <w:pStyle w:val="27"/>
        <w:keepNext w:val="0"/>
        <w:keepLines w:val="0"/>
        <w:pageBreakBefore w:val="0"/>
        <w:kinsoku/>
        <w:wordWrap/>
        <w:overflowPunct/>
        <w:topLinePunct w:val="0"/>
        <w:bidi w:val="0"/>
        <w:snapToGrid w:val="0"/>
        <w:spacing w:beforeLines="0" w:afterLines="0" w:line="360" w:lineRule="auto"/>
        <w:ind w:firstLine="482" w:firstLineChars="200"/>
        <w:rPr>
          <w:rFonts w:hAnsi="宋体" w:cs="宋体"/>
          <w:b/>
          <w:bCs/>
          <w:color w:val="auto"/>
          <w:szCs w:val="24"/>
        </w:rPr>
      </w:pPr>
      <w:r>
        <w:rPr>
          <w:rFonts w:hint="eastAsia" w:hAnsi="宋体" w:cs="宋体"/>
          <w:b/>
          <w:bCs/>
          <w:color w:val="auto"/>
          <w:szCs w:val="24"/>
        </w:rPr>
        <w:t>2、垃圾分类智慧运营服务具体要求</w:t>
      </w:r>
    </w:p>
    <w:tbl>
      <w:tblPr>
        <w:tblStyle w:val="46"/>
        <w:tblW w:w="9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2387"/>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项目</w:t>
            </w:r>
          </w:p>
        </w:tc>
        <w:tc>
          <w:tcPr>
            <w:tcW w:w="6796"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服务规范要求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投标人运营服务团队</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投标人应根据招标文件要求及自身运营经验能力，组建高效的运营服务团队。通过管理系统为街道社区提供实时、高效、便捷的自动化、可视化、数据化服务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sz w:val="24"/>
              </w:rPr>
              <w:t>投标人需提供完善的运营服务方案</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sz w:val="24"/>
              </w:rPr>
              <w:t>方案包括但不限于以下内容：运营实施计划、方法及目标，针对本项目组建技术力量及运营力量，运营</w:t>
            </w:r>
            <w:r>
              <w:rPr>
                <w:rFonts w:hint="eastAsia" w:ascii="宋体" w:hAnsi="宋体" w:cs="宋体"/>
                <w:bCs/>
                <w:sz w:val="24"/>
              </w:rPr>
              <w:t>人员配比（运营人员数量:投递亭数量）确保不低于1:10，</w:t>
            </w:r>
            <w:r>
              <w:rPr>
                <w:rFonts w:hint="eastAsia" w:ascii="宋体" w:hAnsi="宋体" w:cs="宋体"/>
                <w:sz w:val="24"/>
              </w:rPr>
              <w:t>运营组织责任分工与管理方法等。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bCs/>
                <w:sz w:val="24"/>
              </w:rPr>
              <w:t>投标人配合采购人做好垃圾分类智慧运营服务具体内容</w:t>
            </w:r>
          </w:p>
        </w:tc>
        <w:tc>
          <w:tcPr>
            <w:tcW w:w="6796" w:type="dxa"/>
            <w:shd w:val="clear" w:color="auto" w:fill="FFFFFF" w:themeFill="background1"/>
            <w:tcMar>
              <w:top w:w="15" w:type="dxa"/>
              <w:left w:w="70" w:type="dxa"/>
              <w:bottom w:w="0" w:type="dxa"/>
              <w:right w:w="70" w:type="dxa"/>
            </w:tcMar>
            <w:vAlign w:val="center"/>
          </w:tcPr>
          <w:p>
            <w:pPr>
              <w:spacing w:line="360" w:lineRule="auto"/>
              <w:rPr>
                <w:rFonts w:ascii="宋体" w:hAnsi="宋体" w:cs="宋体"/>
                <w:bCs/>
                <w:sz w:val="24"/>
              </w:rPr>
            </w:pPr>
            <w:r>
              <w:rPr>
                <w:rFonts w:hint="eastAsia" w:ascii="宋体" w:hAnsi="宋体" w:cs="宋体"/>
                <w:bCs/>
                <w:sz w:val="24"/>
              </w:rPr>
              <w:t>1）人员管理：针对监督人员、运营人员的招聘、培训、考勤、考核和管理等。</w:t>
            </w:r>
          </w:p>
          <w:p>
            <w:pPr>
              <w:spacing w:line="360" w:lineRule="auto"/>
              <w:rPr>
                <w:rFonts w:ascii="宋体" w:hAnsi="宋体" w:cs="宋体"/>
                <w:bCs/>
                <w:sz w:val="24"/>
              </w:rPr>
            </w:pPr>
            <w:r>
              <w:rPr>
                <w:rFonts w:hint="eastAsia" w:ascii="宋体" w:hAnsi="宋体" w:cs="宋体"/>
                <w:bCs/>
                <w:sz w:val="24"/>
              </w:rPr>
              <w:t>2）咨询培训：提供垃圾分类指导咨询、知识培训、岗前培训、实操培训，以及针对定时定点值守人员的专项指导和培训（多次培训、长效管理），云平台系统使用培训，提供撤桶并点策略咨询、垃圾桶管理策略咨询以及长效管理机制建设咨询等相关服务。</w:t>
            </w:r>
          </w:p>
          <w:p>
            <w:pPr>
              <w:spacing w:line="360" w:lineRule="auto"/>
              <w:rPr>
                <w:rFonts w:ascii="宋体" w:hAnsi="宋体" w:cs="宋体"/>
                <w:bCs/>
                <w:sz w:val="24"/>
              </w:rPr>
            </w:pPr>
            <w:r>
              <w:rPr>
                <w:rFonts w:hint="eastAsia" w:ascii="宋体" w:hAnsi="宋体" w:cs="宋体"/>
                <w:bCs/>
                <w:sz w:val="24"/>
              </w:rPr>
              <w:t>3）宣教督导：提供垃圾分类宣传教育、巡检督导等服务。</w:t>
            </w:r>
          </w:p>
          <w:p>
            <w:pPr>
              <w:spacing w:line="360" w:lineRule="auto"/>
              <w:rPr>
                <w:rFonts w:ascii="宋体" w:hAnsi="宋体" w:cs="宋体"/>
                <w:bCs/>
                <w:sz w:val="24"/>
              </w:rPr>
            </w:pPr>
            <w:r>
              <w:rPr>
                <w:rFonts w:hint="eastAsia" w:ascii="宋体" w:hAnsi="宋体" w:cs="宋体"/>
                <w:bCs/>
                <w:sz w:val="24"/>
              </w:rPr>
              <w:t>4）制度流程：</w:t>
            </w:r>
            <w:r>
              <w:rPr>
                <w:rFonts w:hint="eastAsia" w:ascii="宋体" w:hAnsi="宋体" w:cs="宋体"/>
                <w:sz w:val="24"/>
              </w:rPr>
              <w:t>具备完善的规章制度、考核制度、培训体系，</w:t>
            </w:r>
            <w:r>
              <w:rPr>
                <w:rFonts w:hint="eastAsia" w:ascii="宋体" w:hAnsi="宋体" w:cs="宋体"/>
                <w:bCs/>
                <w:sz w:val="24"/>
              </w:rPr>
              <w:t xml:space="preserve">就垃圾分类内部管理制度与流程建设提供指导服务。 </w:t>
            </w:r>
          </w:p>
          <w:p>
            <w:pPr>
              <w:spacing w:line="360" w:lineRule="auto"/>
              <w:rPr>
                <w:rFonts w:ascii="宋体" w:hAnsi="宋体" w:cs="宋体"/>
                <w:bCs/>
                <w:sz w:val="24"/>
              </w:rPr>
            </w:pPr>
            <w:r>
              <w:rPr>
                <w:rFonts w:hint="eastAsia" w:ascii="宋体" w:hAnsi="宋体" w:cs="宋体"/>
                <w:bCs/>
                <w:sz w:val="24"/>
              </w:rPr>
              <w:t>5）考核协助：协助采购人对合作小区（或村）的垃圾分类工作进行有效管理和考核，为考核管理提供数据依据。包括网格/小区/社区评比考核，为党员网格员管理提供管理工具及数据服务等。</w:t>
            </w:r>
          </w:p>
          <w:p>
            <w:pPr>
              <w:spacing w:line="360" w:lineRule="auto"/>
              <w:rPr>
                <w:rFonts w:ascii="宋体" w:hAnsi="宋体" w:cs="宋体"/>
                <w:sz w:val="24"/>
              </w:rPr>
            </w:pPr>
            <w:r>
              <w:rPr>
                <w:rFonts w:hint="eastAsia" w:ascii="宋体" w:hAnsi="宋体" w:cs="宋体"/>
                <w:bCs/>
                <w:sz w:val="24"/>
              </w:rPr>
              <w:t>6）提供智慧管理平台服务：包括垃圾分类实时动态、垃圾分类指挥中心数据服务平台、人工智能分析系统、信息查询、云巡视等功能。让居民在垃圾分类习惯养成的过程中，享受到专业、完善的服务，最终实现垃圾投放亭从“有人值守”走向“无人值守”</w:t>
            </w:r>
            <w:r>
              <w:rPr>
                <w:rFonts w:hint="eastAsia" w:ascii="宋体" w:hAnsi="宋体" w:cs="宋体"/>
                <w:sz w:val="24"/>
              </w:rPr>
              <w:t>（注：运营服务满3年，通过各相关部门、组织的齐抓共管，并针对居民违规投递行政执法及违规曝光措施的同步实施，基本实现早晚垃圾投放亭定时时段的相对无人值守，平均每5个投放亭配备1-2名值守人员）。</w:t>
            </w:r>
          </w:p>
          <w:p>
            <w:pPr>
              <w:spacing w:line="360" w:lineRule="auto"/>
              <w:rPr>
                <w:rFonts w:ascii="宋体" w:hAnsi="宋体" w:cs="宋体"/>
                <w:sz w:val="24"/>
              </w:rPr>
            </w:pPr>
            <w:r>
              <w:rPr>
                <w:rFonts w:hint="eastAsia" w:ascii="宋体" w:hAnsi="宋体" w:cs="宋体"/>
                <w:sz w:val="24"/>
              </w:rPr>
              <w:t>7）投标人需提供针对中低价值可回收物的有效合理解决方案。</w:t>
            </w:r>
          </w:p>
          <w:p>
            <w:pPr>
              <w:spacing w:line="360" w:lineRule="auto"/>
              <w:rPr>
                <w:rFonts w:ascii="宋体" w:hAnsi="宋体" w:cs="宋体"/>
                <w:bCs/>
                <w:sz w:val="24"/>
              </w:rPr>
            </w:pPr>
            <w:r>
              <w:rPr>
                <w:rFonts w:hint="eastAsia" w:ascii="宋体" w:hAnsi="宋体" w:cs="宋体"/>
                <w:bCs/>
                <w:sz w:val="24"/>
              </w:rPr>
              <w:t>8）服务人员安排要求：</w:t>
            </w:r>
          </w:p>
          <w:p>
            <w:pPr>
              <w:spacing w:line="360" w:lineRule="auto"/>
              <w:rPr>
                <w:rFonts w:ascii="宋体" w:hAnsi="宋体" w:cs="宋体"/>
                <w:bCs/>
                <w:sz w:val="24"/>
              </w:rPr>
            </w:pPr>
            <w:r>
              <w:rPr>
                <w:rFonts w:hint="eastAsia" w:ascii="宋体" w:hAnsi="宋体" w:cs="宋体"/>
                <w:bCs/>
                <w:sz w:val="24"/>
              </w:rPr>
              <w:t>A、人员配比（运营人员数量</w:t>
            </w:r>
            <w:r>
              <w:rPr>
                <w:rFonts w:hint="eastAsia" w:ascii="宋体" w:hAnsi="宋体" w:cs="宋体"/>
                <w:b/>
                <w:bCs/>
                <w:sz w:val="24"/>
              </w:rPr>
              <w:t>:</w:t>
            </w:r>
            <w:r>
              <w:rPr>
                <w:rFonts w:hint="eastAsia" w:ascii="宋体" w:hAnsi="宋体" w:cs="宋体"/>
                <w:bCs/>
                <w:sz w:val="24"/>
              </w:rPr>
              <w:t>投放亭数量）：确保人员配比不低于1:10。</w:t>
            </w:r>
          </w:p>
          <w:p>
            <w:pPr>
              <w:spacing w:line="360" w:lineRule="auto"/>
              <w:rPr>
                <w:rFonts w:ascii="宋体" w:hAnsi="宋体" w:cs="宋体"/>
                <w:bCs/>
                <w:sz w:val="24"/>
              </w:rPr>
            </w:pPr>
            <w:r>
              <w:rPr>
                <w:rFonts w:hint="eastAsia" w:ascii="宋体" w:hAnsi="宋体" w:cs="宋体"/>
                <w:bCs/>
                <w:sz w:val="24"/>
              </w:rPr>
              <w:t>B、巡查安排：确保有专职指导人员负责所有投递点日常巡查督导，每个投放亭每天巡查不低于4人次。</w:t>
            </w:r>
          </w:p>
          <w:p>
            <w:pPr>
              <w:spacing w:line="360" w:lineRule="auto"/>
              <w:rPr>
                <w:rFonts w:ascii="宋体" w:hAnsi="宋体" w:cs="宋体"/>
                <w:bCs/>
                <w:sz w:val="24"/>
              </w:rPr>
            </w:pPr>
            <w:r>
              <w:rPr>
                <w:rFonts w:hint="eastAsia" w:ascii="宋体" w:hAnsi="宋体" w:cs="宋体"/>
                <w:bCs/>
                <w:sz w:val="24"/>
              </w:rPr>
              <w:t>C、运营报告呈报安排：每周向采购人呈报电子版运营周报，每月向采购人呈报书面运营月报。</w:t>
            </w:r>
          </w:p>
          <w:p>
            <w:pPr>
              <w:spacing w:line="360" w:lineRule="auto"/>
              <w:rPr>
                <w:rFonts w:ascii="宋体" w:hAnsi="宋体" w:cs="宋体"/>
                <w:bCs/>
                <w:sz w:val="24"/>
              </w:rPr>
            </w:pPr>
            <w:r>
              <w:rPr>
                <w:rFonts w:hint="eastAsia" w:ascii="宋体" w:hAnsi="宋体" w:cs="宋体"/>
                <w:bCs/>
                <w:sz w:val="24"/>
              </w:rPr>
              <w:t>D、违规行为报告：通过人工智能系统分析违规行为，3天之内向采购人主管部门呈报违规行为证据链。</w:t>
            </w:r>
          </w:p>
          <w:p>
            <w:pPr>
              <w:spacing w:line="360" w:lineRule="auto"/>
              <w:rPr>
                <w:rFonts w:ascii="宋体" w:hAnsi="宋体" w:cs="宋体"/>
                <w:bCs/>
                <w:sz w:val="24"/>
              </w:rPr>
            </w:pPr>
            <w:r>
              <w:rPr>
                <w:rFonts w:hint="eastAsia" w:ascii="宋体" w:hAnsi="宋体" w:cs="宋体"/>
                <w:bCs/>
                <w:sz w:val="24"/>
              </w:rPr>
              <w:t>E、根据运营需要，开展相关咨询培训等服务。</w:t>
            </w:r>
          </w:p>
          <w:p>
            <w:pPr>
              <w:spacing w:line="360" w:lineRule="auto"/>
              <w:rPr>
                <w:rFonts w:ascii="宋体" w:hAnsi="宋体" w:cs="宋体"/>
                <w:bCs/>
                <w:sz w:val="24"/>
              </w:rPr>
            </w:pPr>
            <w:r>
              <w:rPr>
                <w:rFonts w:hint="eastAsia" w:ascii="宋体" w:hAnsi="宋体" w:cs="宋体"/>
                <w:bCs/>
                <w:sz w:val="24"/>
              </w:rPr>
              <w:t>F、基于垃圾分类网络社群建设服务：为了建立垃圾分类长效管理机制，中标供应商有义务建立基于垃圾分类的网络社群，通过网络社群对居民进行情况通报、教育培训等，帮助居民逐步养成良好的垃圾分类习惯。</w:t>
            </w:r>
          </w:p>
          <w:p>
            <w:pPr>
              <w:spacing w:line="360" w:lineRule="auto"/>
              <w:rPr>
                <w:rFonts w:ascii="宋体" w:hAnsi="宋体" w:cs="宋体"/>
                <w:sz w:val="24"/>
              </w:rPr>
            </w:pPr>
            <w:r>
              <w:rPr>
                <w:rFonts w:hint="eastAsia" w:ascii="宋体" w:hAnsi="宋体" w:cs="宋体"/>
                <w:bCs/>
                <w:sz w:val="24"/>
              </w:rPr>
              <w:t>G、垃圾减量化服务：中标供应商有义务提供设备和服务，不断引导居民将低价值废品分类投放，不断提升低价值废品资源化利用率。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387" w:type="dxa"/>
            <w:shd w:val="clear" w:color="auto" w:fill="FFFFFF" w:themeFill="background1"/>
            <w:tcMar>
              <w:top w:w="15" w:type="dxa"/>
              <w:left w:w="70" w:type="dxa"/>
              <w:bottom w:w="0" w:type="dxa"/>
              <w:right w:w="70" w:type="dxa"/>
            </w:tcMar>
            <w:vAlign w:val="center"/>
          </w:tcPr>
          <w:p>
            <w:pPr>
              <w:spacing w:line="360" w:lineRule="auto"/>
              <w:jc w:val="center"/>
              <w:rPr>
                <w:rFonts w:ascii="宋体" w:hAnsi="宋体" w:cs="宋体"/>
                <w:sz w:val="24"/>
              </w:rPr>
            </w:pPr>
            <w:r>
              <w:rPr>
                <w:rFonts w:hint="eastAsia" w:ascii="宋体" w:hAnsi="宋体" w:cs="宋体"/>
                <w:bCs/>
                <w:sz w:val="24"/>
              </w:rPr>
              <w:t>投标人需要提供的其它服务</w:t>
            </w:r>
          </w:p>
        </w:tc>
        <w:tc>
          <w:tcPr>
            <w:tcW w:w="6796" w:type="dxa"/>
            <w:shd w:val="clear" w:color="auto" w:fill="FFFFFF" w:themeFill="background1"/>
            <w:tcMar>
              <w:top w:w="15" w:type="dxa"/>
              <w:left w:w="70" w:type="dxa"/>
              <w:bottom w:w="0" w:type="dxa"/>
              <w:right w:w="70" w:type="dxa"/>
            </w:tcMar>
            <w:vAlign w:val="center"/>
          </w:tcPr>
          <w:p>
            <w:pPr>
              <w:spacing w:line="360" w:lineRule="auto"/>
              <w:jc w:val="left"/>
              <w:rPr>
                <w:rFonts w:ascii="宋体" w:hAnsi="宋体" w:cs="宋体"/>
                <w:sz w:val="24"/>
              </w:rPr>
            </w:pPr>
            <w:r>
              <w:rPr>
                <w:rFonts w:hint="eastAsia" w:ascii="宋体" w:hAnsi="宋体" w:cs="宋体"/>
                <w:bCs/>
                <w:sz w:val="24"/>
              </w:rPr>
              <w:t>投标人承诺在服务期内向采购人赠送智慧投放亭网络及计算资源费，包括网络通信费、监控设备的云存储费、云服务器租用费、软件维护及升级费等。出现以下情况，投标人需为采购人提供有偿服务，收取适当的材料成本费。1）亭体、工具房及附属设施设备因不可抗力原因损毁、损坏或出现故障；2）智能监控、灯具等电子设施设备维修和更换(免费质保期以后）；3）应采购人要求，需要中标供应商提供亭体搬迁服务等。</w:t>
            </w:r>
          </w:p>
        </w:tc>
      </w:tr>
    </w:tbl>
    <w:p>
      <w:pPr>
        <w:pStyle w:val="27"/>
        <w:keepNext w:val="0"/>
        <w:keepLines w:val="0"/>
        <w:pageBreakBefore w:val="0"/>
        <w:kinsoku/>
        <w:wordWrap/>
        <w:overflowPunct/>
        <w:topLinePunct w:val="0"/>
        <w:bidi w:val="0"/>
        <w:snapToGrid w:val="0"/>
        <w:spacing w:beforeLines="0" w:afterLines="0" w:line="360" w:lineRule="auto"/>
        <w:ind w:firstLine="482" w:firstLineChars="200"/>
        <w:rPr>
          <w:rFonts w:hint="eastAsia" w:ascii="宋体" w:hAnsi="宋体" w:eastAsia="宋体" w:cs="宋体"/>
          <w:b/>
          <w:bCs/>
          <w:szCs w:val="24"/>
          <w:lang w:val="en-US" w:eastAsia="zh-CN"/>
        </w:rPr>
      </w:pPr>
      <w:r>
        <w:rPr>
          <w:rFonts w:hint="eastAsia" w:ascii="宋体" w:hAnsi="宋体" w:eastAsia="宋体" w:cs="宋体"/>
          <w:b/>
          <w:bCs/>
          <w:szCs w:val="24"/>
          <w:lang w:val="en-US" w:eastAsia="zh-CN"/>
        </w:rPr>
        <w:t>3、</w:t>
      </w:r>
      <w:r>
        <w:rPr>
          <w:rFonts w:hint="eastAsia" w:ascii="宋体" w:hAnsi="宋体" w:cs="宋体"/>
          <w:b/>
          <w:bCs/>
          <w:color w:val="000000"/>
          <w:kern w:val="0"/>
          <w:sz w:val="24"/>
        </w:rPr>
        <w:t>垃圾分类运营服务考核评分标准</w:t>
      </w:r>
    </w:p>
    <w:tbl>
      <w:tblPr>
        <w:tblStyle w:val="46"/>
        <w:tblW w:w="9126" w:type="dxa"/>
        <w:tblInd w:w="0" w:type="dxa"/>
        <w:tblLayout w:type="fixed"/>
        <w:tblCellMar>
          <w:top w:w="0" w:type="dxa"/>
          <w:left w:w="0" w:type="dxa"/>
          <w:bottom w:w="0" w:type="dxa"/>
          <w:right w:w="0" w:type="dxa"/>
        </w:tblCellMar>
      </w:tblPr>
      <w:tblGrid>
        <w:gridCol w:w="660"/>
        <w:gridCol w:w="1176"/>
        <w:gridCol w:w="1650"/>
        <w:gridCol w:w="5640"/>
      </w:tblGrid>
      <w:tr>
        <w:tblPrEx>
          <w:tblCellMar>
            <w:top w:w="0" w:type="dxa"/>
            <w:left w:w="0" w:type="dxa"/>
            <w:bottom w:w="0" w:type="dxa"/>
            <w:right w:w="0" w:type="dxa"/>
          </w:tblCellMar>
        </w:tblPrEx>
        <w:trPr>
          <w:trHeight w:val="164" w:hRule="atLeast"/>
        </w:trPr>
        <w:tc>
          <w:tcPr>
            <w:tcW w:w="912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垃圾分类·两定四分运营服务考核评分标准</w:t>
            </w:r>
          </w:p>
        </w:tc>
      </w:tr>
      <w:tr>
        <w:tblPrEx>
          <w:tblCellMar>
            <w:top w:w="0" w:type="dxa"/>
            <w:left w:w="0" w:type="dxa"/>
            <w:bottom w:w="0" w:type="dxa"/>
            <w:right w:w="0" w:type="dxa"/>
          </w:tblCellMar>
        </w:tblPrEx>
        <w:trPr>
          <w:trHeight w:val="4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序号</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考核模块</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考核细则</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评分标准</w:t>
            </w:r>
          </w:p>
        </w:tc>
      </w:tr>
      <w:tr>
        <w:tblPrEx>
          <w:tblCellMar>
            <w:top w:w="0" w:type="dxa"/>
            <w:left w:w="0" w:type="dxa"/>
            <w:bottom w:w="0" w:type="dxa"/>
            <w:right w:w="0" w:type="dxa"/>
          </w:tblCellMar>
        </w:tblPrEx>
        <w:trPr>
          <w:trHeight w:val="394"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w:t>
            </w:r>
          </w:p>
        </w:tc>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设施设备</w:t>
            </w:r>
            <w:r>
              <w:rPr>
                <w:rFonts w:hint="eastAsia" w:ascii="宋体" w:hAnsi="宋体" w:cs="宋体"/>
                <w:color w:val="000000"/>
                <w:kern w:val="0"/>
                <w:sz w:val="24"/>
              </w:rPr>
              <w:br w:type="textWrapping"/>
            </w:r>
            <w:r>
              <w:rPr>
                <w:rFonts w:hint="eastAsia" w:ascii="宋体" w:hAnsi="宋体" w:cs="宋体"/>
                <w:color w:val="000000"/>
                <w:kern w:val="0"/>
                <w:sz w:val="24"/>
              </w:rPr>
              <w:t>（25分）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基础设施整洁卫生（10分）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投放点的水、电、亭体、工具房、排污沟、地面等整洁卫生达到要求得10分；否则，每项酌情扣1-2分。</w:t>
            </w:r>
          </w:p>
        </w:tc>
      </w:tr>
      <w:tr>
        <w:tblPrEx>
          <w:tblCellMar>
            <w:top w:w="0" w:type="dxa"/>
            <w:left w:w="0" w:type="dxa"/>
            <w:bottom w:w="0" w:type="dxa"/>
            <w:right w:w="0" w:type="dxa"/>
          </w:tblCellMar>
        </w:tblPrEx>
        <w:trPr>
          <w:trHeight w:val="47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2</w:t>
            </w: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智能设施设备正常运作（10分）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投放点的监控设备、智能音箱、交换机、网络通信等设施设备正常运作得10分；否则，每项酌情扣1-2分。</w:t>
            </w:r>
          </w:p>
        </w:tc>
      </w:tr>
      <w:tr>
        <w:tblPrEx>
          <w:tblCellMar>
            <w:top w:w="0" w:type="dxa"/>
            <w:left w:w="0" w:type="dxa"/>
            <w:bottom w:w="0" w:type="dxa"/>
            <w:right w:w="0" w:type="dxa"/>
          </w:tblCellMar>
        </w:tblPrEx>
        <w:trPr>
          <w:trHeight w:val="461"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w:t>
            </w: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垃圾分类桶及清洁工具（5分）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投放点的垃圾桶数量、颜色、摆放顺序、卫生状态及清洁工具放置合理符合要求得5分；否则，每项酌情扣1-2分。</w:t>
            </w:r>
          </w:p>
        </w:tc>
      </w:tr>
      <w:tr>
        <w:tblPrEx>
          <w:tblCellMar>
            <w:top w:w="0" w:type="dxa"/>
            <w:left w:w="0" w:type="dxa"/>
            <w:bottom w:w="0" w:type="dxa"/>
            <w:right w:w="0" w:type="dxa"/>
          </w:tblCellMar>
        </w:tblPrEx>
        <w:trPr>
          <w:trHeight w:val="8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4</w:t>
            </w:r>
          </w:p>
        </w:tc>
        <w:tc>
          <w:tcPr>
            <w:tcW w:w="117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宣传教育</w:t>
            </w:r>
            <w:r>
              <w:rPr>
                <w:rFonts w:hint="eastAsia" w:ascii="宋体" w:hAnsi="宋体" w:cs="宋体"/>
                <w:color w:val="000000"/>
                <w:kern w:val="0"/>
                <w:sz w:val="24"/>
              </w:rPr>
              <w:br w:type="textWrapping"/>
            </w:r>
            <w:r>
              <w:rPr>
                <w:rFonts w:hint="eastAsia" w:ascii="宋体" w:hAnsi="宋体" w:cs="宋体"/>
                <w:color w:val="000000"/>
                <w:kern w:val="0"/>
                <w:sz w:val="24"/>
              </w:rPr>
              <w:t>（30分）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宣传覆盖（10分）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做到垃圾分类的宣传覆盖。覆盖率低于50%不得分；达到50%-70%得5分；达到70%-80%得8分；达到80%以上得10分。</w:t>
            </w:r>
          </w:p>
        </w:tc>
      </w:tr>
      <w:tr>
        <w:tblPrEx>
          <w:tblCellMar>
            <w:top w:w="0" w:type="dxa"/>
            <w:left w:w="0" w:type="dxa"/>
            <w:bottom w:w="0" w:type="dxa"/>
            <w:right w:w="0" w:type="dxa"/>
          </w:tblCellMar>
        </w:tblPrEx>
        <w:trPr>
          <w:trHeight w:val="10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5</w:t>
            </w:r>
          </w:p>
        </w:tc>
        <w:tc>
          <w:tcPr>
            <w:tcW w:w="11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培训教育（10分）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对启动运营的小区/村，积极做入户宣传，有序组织培训讲座，工作人员知识培训，值守人员操作培训、监督考核等均按要求组织开展的得10分；否则，每项酌情扣1-2分。</w:t>
            </w:r>
          </w:p>
        </w:tc>
      </w:tr>
      <w:tr>
        <w:tblPrEx>
          <w:tblCellMar>
            <w:top w:w="0" w:type="dxa"/>
            <w:left w:w="0" w:type="dxa"/>
            <w:bottom w:w="0" w:type="dxa"/>
            <w:right w:w="0" w:type="dxa"/>
          </w:tblCellMar>
        </w:tblPrEx>
        <w:trPr>
          <w:trHeight w:val="10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6</w:t>
            </w:r>
          </w:p>
        </w:tc>
        <w:tc>
          <w:tcPr>
            <w:tcW w:w="117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巡检督导（10分）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sz w:val="24"/>
              </w:rPr>
            </w:pPr>
            <w:r>
              <w:rPr>
                <w:rFonts w:hint="eastAsia" w:ascii="宋体" w:hAnsi="宋体" w:cs="宋体"/>
                <w:color w:val="000000"/>
                <w:kern w:val="0"/>
                <w:sz w:val="24"/>
              </w:rPr>
              <w:t>每个亭体每天不少于2次巡检，巡检内容包括：投递亭、智能设备及网络通信运转状况、值守人员值守状态、督导正确分类、违规投递行为纠正、亭体以外的乱投乱放行为纠正等，按要求巡检的得10分；否则，根据实际情况酌情扣分。</w:t>
            </w:r>
          </w:p>
        </w:tc>
      </w:tr>
      <w:tr>
        <w:tblPrEx>
          <w:tblCellMar>
            <w:top w:w="0" w:type="dxa"/>
            <w:left w:w="0" w:type="dxa"/>
            <w:bottom w:w="0" w:type="dxa"/>
            <w:right w:w="0" w:type="dxa"/>
          </w:tblCellMar>
        </w:tblPrEx>
        <w:trPr>
          <w:trHeight w:val="69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7</w:t>
            </w:r>
          </w:p>
        </w:tc>
        <w:tc>
          <w:tcPr>
            <w:tcW w:w="1176"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运营汇报</w:t>
            </w:r>
          </w:p>
          <w:p>
            <w:pPr>
              <w:widowControl/>
              <w:jc w:val="center"/>
              <w:textAlignment w:val="center"/>
              <w:rPr>
                <w:rFonts w:ascii="宋体" w:hAnsi="宋体" w:cs="宋体"/>
                <w:sz w:val="24"/>
              </w:rPr>
            </w:pPr>
            <w:r>
              <w:rPr>
                <w:rFonts w:hint="eastAsia" w:ascii="宋体" w:hAnsi="宋体" w:cs="宋体"/>
                <w:color w:val="000000"/>
                <w:kern w:val="0"/>
                <w:sz w:val="24"/>
              </w:rPr>
              <w:t>（20分）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运营规范（10分）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运营服务职责及流程规范、培训体系健全，建立了运营服务保障应急预案，以上均有得10分；否则，酌情扣1-2分。</w:t>
            </w:r>
          </w:p>
        </w:tc>
      </w:tr>
      <w:tr>
        <w:tblPrEx>
          <w:tblCellMar>
            <w:top w:w="0" w:type="dxa"/>
            <w:left w:w="0" w:type="dxa"/>
            <w:bottom w:w="0" w:type="dxa"/>
            <w:right w:w="0" w:type="dxa"/>
          </w:tblCellMar>
        </w:tblPrEx>
        <w:trPr>
          <w:trHeight w:val="10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8</w:t>
            </w:r>
          </w:p>
        </w:tc>
        <w:tc>
          <w:tcPr>
            <w:tcW w:w="117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sz w:val="24"/>
              </w:rPr>
            </w:pPr>
            <w:r>
              <w:rPr>
                <w:rFonts w:hint="eastAsia" w:ascii="宋体" w:hAnsi="宋体" w:cs="宋体"/>
                <w:color w:val="000000"/>
                <w:kern w:val="0"/>
                <w:sz w:val="24"/>
              </w:rPr>
              <w:t>汇报机制（10分）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联络村委/社区和街道，日常保持沟通汇报，每周每月信息统计报送，并做好资料归档工作，配合街道社区需求，帮助提供分类优秀的居民名单。均按要求组织开展的得10分；否则，每项酌情扣1-2分。</w:t>
            </w:r>
          </w:p>
        </w:tc>
      </w:tr>
      <w:tr>
        <w:tblPrEx>
          <w:tblCellMar>
            <w:top w:w="0" w:type="dxa"/>
            <w:left w:w="0" w:type="dxa"/>
            <w:bottom w:w="0" w:type="dxa"/>
            <w:right w:w="0" w:type="dxa"/>
          </w:tblCellMar>
        </w:tblPrEx>
        <w:trPr>
          <w:trHeight w:val="10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9</w:t>
            </w:r>
          </w:p>
        </w:tc>
        <w:tc>
          <w:tcPr>
            <w:tcW w:w="1176"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r>
              <w:rPr>
                <w:rFonts w:hint="eastAsia" w:ascii="宋体" w:hAnsi="宋体" w:cs="宋体"/>
                <w:color w:val="000000"/>
                <w:kern w:val="0"/>
                <w:sz w:val="24"/>
              </w:rPr>
              <w:t>分类效果</w:t>
            </w:r>
            <w:r>
              <w:rPr>
                <w:rFonts w:hint="eastAsia" w:ascii="宋体" w:hAnsi="宋体" w:cs="宋体"/>
                <w:color w:val="000000"/>
                <w:kern w:val="0"/>
                <w:sz w:val="24"/>
              </w:rPr>
              <w:br w:type="textWrapping"/>
            </w:r>
            <w:r>
              <w:rPr>
                <w:rFonts w:hint="eastAsia" w:ascii="宋体" w:hAnsi="宋体" w:cs="宋体"/>
                <w:color w:val="000000"/>
                <w:kern w:val="0"/>
                <w:sz w:val="24"/>
              </w:rPr>
              <w:t>（25分）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sz w:val="24"/>
              </w:rPr>
            </w:pPr>
            <w:r>
              <w:rPr>
                <w:rFonts w:hint="eastAsia" w:ascii="宋体" w:hAnsi="宋体" w:cs="宋体"/>
                <w:color w:val="000000"/>
                <w:kern w:val="0"/>
                <w:sz w:val="24"/>
              </w:rPr>
              <w:t>易腐垃圾分类情况（10分）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易腐垃圾分类重点监管，系统自动采集违规投递证据链，根据社区街道及执法部门需要提交相关资料得10分；否则，根据实际情况酌情扣分。</w:t>
            </w:r>
          </w:p>
        </w:tc>
      </w:tr>
      <w:tr>
        <w:tblPrEx>
          <w:tblCellMar>
            <w:top w:w="0" w:type="dxa"/>
            <w:left w:w="0" w:type="dxa"/>
            <w:bottom w:w="0" w:type="dxa"/>
            <w:right w:w="0" w:type="dxa"/>
          </w:tblCellMar>
        </w:tblPrEx>
        <w:trPr>
          <w:trHeight w:val="284"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11</w:t>
            </w:r>
          </w:p>
        </w:tc>
        <w:tc>
          <w:tcPr>
            <w:tcW w:w="11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居民参与率</w:t>
            </w:r>
          </w:p>
          <w:p>
            <w:pPr>
              <w:widowControl/>
              <w:textAlignment w:val="center"/>
              <w:rPr>
                <w:rFonts w:ascii="宋体" w:hAnsi="宋体" w:cs="宋体"/>
                <w:sz w:val="24"/>
              </w:rPr>
            </w:pPr>
            <w:r>
              <w:rPr>
                <w:rFonts w:hint="eastAsia" w:ascii="宋体" w:hAnsi="宋体" w:cs="宋体"/>
                <w:color w:val="000000"/>
                <w:kern w:val="0"/>
                <w:sz w:val="24"/>
              </w:rPr>
              <w:t>（</w:t>
            </w:r>
            <w:r>
              <w:rPr>
                <w:rFonts w:hint="eastAsia" w:ascii="宋体" w:hAnsi="宋体" w:cs="宋体"/>
                <w:color w:val="000000"/>
                <w:kern w:val="0"/>
                <w:sz w:val="24"/>
                <w:lang w:val="en-US" w:eastAsia="zh-CN"/>
              </w:rPr>
              <w:t>10</w:t>
            </w:r>
            <w:r>
              <w:rPr>
                <w:rFonts w:hint="eastAsia" w:ascii="宋体" w:hAnsi="宋体" w:cs="宋体"/>
                <w:color w:val="000000"/>
                <w:kern w:val="0"/>
                <w:sz w:val="24"/>
              </w:rPr>
              <w:t>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小区/村内参与率未达</w:t>
            </w:r>
            <w:r>
              <w:rPr>
                <w:rFonts w:hint="eastAsia" w:ascii="宋体" w:hAnsi="宋体" w:cs="宋体"/>
                <w:color w:val="000000"/>
                <w:kern w:val="0"/>
                <w:sz w:val="24"/>
                <w:lang w:val="en-US" w:eastAsia="zh-CN"/>
              </w:rPr>
              <w:t>3</w:t>
            </w:r>
            <w:r>
              <w:rPr>
                <w:rFonts w:hint="eastAsia" w:ascii="宋体" w:hAnsi="宋体" w:cs="宋体"/>
                <w:color w:val="000000"/>
                <w:kern w:val="0"/>
                <w:sz w:val="24"/>
              </w:rPr>
              <w:t>0%的不得分；达</w:t>
            </w:r>
            <w:r>
              <w:rPr>
                <w:rFonts w:hint="eastAsia" w:ascii="宋体" w:hAnsi="宋体" w:cs="宋体"/>
                <w:color w:val="000000"/>
                <w:kern w:val="0"/>
                <w:sz w:val="24"/>
                <w:lang w:val="en-US" w:eastAsia="zh-CN"/>
              </w:rPr>
              <w:t>3</w:t>
            </w:r>
            <w:r>
              <w:rPr>
                <w:rFonts w:hint="eastAsia" w:ascii="宋体" w:hAnsi="宋体" w:cs="宋体"/>
                <w:color w:val="000000"/>
                <w:kern w:val="0"/>
                <w:sz w:val="24"/>
              </w:rPr>
              <w:t>0-</w:t>
            </w:r>
            <w:r>
              <w:rPr>
                <w:rFonts w:hint="eastAsia" w:ascii="宋体" w:hAnsi="宋体" w:cs="宋体"/>
                <w:color w:val="000000"/>
                <w:kern w:val="0"/>
                <w:sz w:val="24"/>
                <w:lang w:val="en-US" w:eastAsia="zh-CN"/>
              </w:rPr>
              <w:t>5</w:t>
            </w:r>
            <w:r>
              <w:rPr>
                <w:rFonts w:hint="eastAsia" w:ascii="宋体" w:hAnsi="宋体" w:cs="宋体"/>
                <w:color w:val="000000"/>
                <w:kern w:val="0"/>
                <w:sz w:val="24"/>
              </w:rPr>
              <w:t>0%，得</w:t>
            </w:r>
            <w:r>
              <w:rPr>
                <w:rFonts w:hint="eastAsia" w:ascii="宋体" w:hAnsi="宋体" w:cs="宋体"/>
                <w:color w:val="000000"/>
                <w:kern w:val="0"/>
                <w:sz w:val="24"/>
                <w:lang w:val="en-US" w:eastAsia="zh-CN"/>
              </w:rPr>
              <w:t>3</w:t>
            </w:r>
            <w:r>
              <w:rPr>
                <w:rFonts w:hint="eastAsia" w:ascii="宋体" w:hAnsi="宋体" w:cs="宋体"/>
                <w:color w:val="000000"/>
                <w:kern w:val="0"/>
                <w:sz w:val="24"/>
              </w:rPr>
              <w:t>分；达</w:t>
            </w:r>
            <w:r>
              <w:rPr>
                <w:rFonts w:hint="eastAsia" w:ascii="宋体" w:hAnsi="宋体" w:cs="宋体"/>
                <w:color w:val="000000"/>
                <w:kern w:val="0"/>
                <w:sz w:val="24"/>
                <w:lang w:val="en-US" w:eastAsia="zh-CN"/>
              </w:rPr>
              <w:t>5</w:t>
            </w:r>
            <w:r>
              <w:rPr>
                <w:rFonts w:hint="eastAsia" w:ascii="宋体" w:hAnsi="宋体" w:cs="宋体"/>
                <w:color w:val="000000"/>
                <w:kern w:val="0"/>
                <w:sz w:val="24"/>
              </w:rPr>
              <w:t>0-70%得</w:t>
            </w:r>
            <w:r>
              <w:rPr>
                <w:rFonts w:hint="eastAsia" w:ascii="宋体" w:hAnsi="宋体" w:cs="宋体"/>
                <w:color w:val="000000"/>
                <w:kern w:val="0"/>
                <w:sz w:val="24"/>
                <w:lang w:val="en-US" w:eastAsia="zh-CN"/>
              </w:rPr>
              <w:t>5</w:t>
            </w:r>
            <w:r>
              <w:rPr>
                <w:rFonts w:hint="eastAsia" w:ascii="宋体" w:hAnsi="宋体" w:cs="宋体"/>
                <w:color w:val="000000"/>
                <w:kern w:val="0"/>
                <w:sz w:val="24"/>
              </w:rPr>
              <w:t>分；达70-</w:t>
            </w:r>
            <w:r>
              <w:rPr>
                <w:rFonts w:hint="eastAsia" w:ascii="宋体" w:hAnsi="宋体" w:cs="宋体"/>
                <w:color w:val="000000"/>
                <w:kern w:val="0"/>
                <w:sz w:val="24"/>
                <w:lang w:val="en-US" w:eastAsia="zh-CN"/>
              </w:rPr>
              <w:t>9</w:t>
            </w:r>
            <w:r>
              <w:rPr>
                <w:rFonts w:hint="eastAsia" w:ascii="宋体" w:hAnsi="宋体" w:cs="宋体"/>
                <w:color w:val="000000"/>
                <w:kern w:val="0"/>
                <w:sz w:val="24"/>
              </w:rPr>
              <w:t>0%得</w:t>
            </w:r>
            <w:r>
              <w:rPr>
                <w:rFonts w:hint="eastAsia" w:ascii="宋体" w:hAnsi="宋体" w:cs="宋体"/>
                <w:color w:val="000000"/>
                <w:kern w:val="0"/>
                <w:sz w:val="24"/>
                <w:lang w:val="en-US" w:eastAsia="zh-CN"/>
              </w:rPr>
              <w:t>7</w:t>
            </w:r>
            <w:r>
              <w:rPr>
                <w:rFonts w:hint="eastAsia" w:ascii="宋体" w:hAnsi="宋体" w:cs="宋体"/>
                <w:color w:val="000000"/>
                <w:kern w:val="0"/>
                <w:sz w:val="24"/>
              </w:rPr>
              <w:t>分；达</w:t>
            </w:r>
            <w:r>
              <w:rPr>
                <w:rFonts w:hint="eastAsia" w:ascii="宋体" w:hAnsi="宋体" w:cs="宋体"/>
                <w:color w:val="000000"/>
                <w:kern w:val="0"/>
                <w:sz w:val="24"/>
                <w:lang w:val="en-US" w:eastAsia="zh-CN"/>
              </w:rPr>
              <w:t>9</w:t>
            </w:r>
            <w:r>
              <w:rPr>
                <w:rFonts w:hint="eastAsia" w:ascii="宋体" w:hAnsi="宋体" w:cs="宋体"/>
                <w:color w:val="000000"/>
                <w:kern w:val="0"/>
                <w:sz w:val="24"/>
              </w:rPr>
              <w:t>0%以上得</w:t>
            </w:r>
            <w:r>
              <w:rPr>
                <w:rFonts w:hint="eastAsia" w:ascii="宋体" w:hAnsi="宋体" w:cs="宋体"/>
                <w:color w:val="000000"/>
                <w:kern w:val="0"/>
                <w:sz w:val="24"/>
                <w:lang w:val="en-US" w:eastAsia="zh-CN"/>
              </w:rPr>
              <w:t>10</w:t>
            </w:r>
            <w:r>
              <w:rPr>
                <w:rFonts w:hint="eastAsia" w:ascii="宋体" w:hAnsi="宋体" w:cs="宋体"/>
                <w:color w:val="000000"/>
                <w:kern w:val="0"/>
                <w:sz w:val="24"/>
              </w:rPr>
              <w:t>分。</w:t>
            </w:r>
          </w:p>
        </w:tc>
      </w:tr>
      <w:tr>
        <w:tblPrEx>
          <w:tblCellMar>
            <w:top w:w="0" w:type="dxa"/>
            <w:left w:w="0" w:type="dxa"/>
            <w:bottom w:w="0" w:type="dxa"/>
            <w:right w:w="0" w:type="dxa"/>
          </w:tblCellMar>
        </w:tblPrEx>
        <w:trPr>
          <w:trHeight w:val="284"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12</w:t>
            </w:r>
          </w:p>
        </w:tc>
        <w:tc>
          <w:tcPr>
            <w:tcW w:w="117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分类合格率</w:t>
            </w:r>
          </w:p>
          <w:p>
            <w:pPr>
              <w:widowControl/>
              <w:textAlignment w:val="center"/>
              <w:rPr>
                <w:rFonts w:ascii="宋体" w:hAnsi="宋体" w:cs="宋体"/>
                <w:color w:val="000000"/>
                <w:sz w:val="24"/>
              </w:rPr>
            </w:pPr>
            <w:r>
              <w:rPr>
                <w:rFonts w:hint="eastAsia" w:ascii="宋体" w:hAnsi="宋体" w:cs="宋体"/>
                <w:color w:val="000000"/>
                <w:kern w:val="0"/>
                <w:sz w:val="24"/>
              </w:rPr>
              <w:t>（5分）</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rPr>
              <w:t>小区/村内垃圾分类投放的合格率低于50%不得分；达50-60%得2分；达60-70%得3分；达70-80%得4分；达80%以上得5分</w:t>
            </w:r>
          </w:p>
        </w:tc>
      </w:tr>
      <w:tr>
        <w:tblPrEx>
          <w:tblCellMar>
            <w:top w:w="0" w:type="dxa"/>
            <w:left w:w="0" w:type="dxa"/>
            <w:bottom w:w="0" w:type="dxa"/>
            <w:right w:w="0" w:type="dxa"/>
          </w:tblCellMar>
        </w:tblPrEx>
        <w:trPr>
          <w:trHeight w:val="37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13</w:t>
            </w:r>
          </w:p>
        </w:tc>
        <w:tc>
          <w:tcPr>
            <w:tcW w:w="117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w:t>
            </w:r>
          </w:p>
          <w:p>
            <w:pPr>
              <w:widowControl/>
              <w:jc w:val="center"/>
              <w:textAlignment w:val="center"/>
              <w:rPr>
                <w:rFonts w:ascii="宋体" w:hAnsi="宋体" w:cs="宋体"/>
                <w:color w:val="000000"/>
                <w:sz w:val="24"/>
              </w:rPr>
            </w:pPr>
            <w:r>
              <w:rPr>
                <w:rFonts w:hint="eastAsia" w:ascii="宋体" w:hAnsi="宋体" w:cs="宋体"/>
                <w:color w:val="000000"/>
                <w:kern w:val="0"/>
                <w:sz w:val="24"/>
              </w:rPr>
              <w:t>加减分项</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宣传报道</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val="zh-CN"/>
              </w:rPr>
              <w:t>利用电视、报纸、公众号、美篇等公共媒介</w:t>
            </w:r>
            <w:r>
              <w:rPr>
                <w:rFonts w:hint="eastAsia" w:ascii="宋体" w:hAnsi="宋体" w:cs="宋体"/>
                <w:color w:val="000000"/>
                <w:kern w:val="0"/>
                <w:sz w:val="24"/>
              </w:rPr>
              <w:t>或抖音自媒体等</w:t>
            </w:r>
            <w:r>
              <w:rPr>
                <w:rFonts w:hint="eastAsia" w:ascii="宋体" w:hAnsi="宋体" w:cs="宋体"/>
                <w:color w:val="000000"/>
                <w:kern w:val="0"/>
                <w:sz w:val="24"/>
                <w:lang w:val="zh-CN"/>
              </w:rPr>
              <w:t>，</w:t>
            </w:r>
            <w:r>
              <w:rPr>
                <w:rFonts w:hint="eastAsia" w:ascii="宋体" w:hAnsi="宋体" w:cs="宋体"/>
                <w:color w:val="000000"/>
                <w:kern w:val="0"/>
                <w:sz w:val="24"/>
              </w:rPr>
              <w:t>进行</w:t>
            </w:r>
            <w:r>
              <w:rPr>
                <w:rFonts w:hint="eastAsia" w:ascii="宋体" w:hAnsi="宋体" w:cs="宋体"/>
                <w:color w:val="000000"/>
                <w:kern w:val="0"/>
                <w:sz w:val="24"/>
                <w:lang w:val="zh-CN"/>
              </w:rPr>
              <w:t>垃圾分类</w:t>
            </w:r>
            <w:r>
              <w:rPr>
                <w:rFonts w:hint="eastAsia" w:ascii="宋体" w:hAnsi="宋体" w:cs="宋体"/>
                <w:color w:val="000000"/>
                <w:kern w:val="0"/>
                <w:sz w:val="24"/>
              </w:rPr>
              <w:t>宣传</w:t>
            </w:r>
            <w:r>
              <w:rPr>
                <w:rFonts w:hint="eastAsia" w:ascii="宋体" w:hAnsi="宋体" w:cs="宋体"/>
                <w:color w:val="000000"/>
                <w:kern w:val="0"/>
                <w:sz w:val="24"/>
                <w:lang w:val="zh-CN"/>
              </w:rPr>
              <w:t>报道。</w:t>
            </w:r>
            <w:r>
              <w:rPr>
                <w:rFonts w:hint="eastAsia" w:ascii="宋体" w:hAnsi="宋体" w:cs="宋体"/>
                <w:color w:val="000000"/>
                <w:kern w:val="0"/>
                <w:sz w:val="24"/>
              </w:rPr>
              <w:t>每正面报道（或被报道）1篇加2分；如果被新闻媒体负面报道，每</w:t>
            </w:r>
            <w:r>
              <w:rPr>
                <w:rFonts w:hint="eastAsia" w:ascii="宋体" w:hAnsi="宋体" w:cs="宋体"/>
                <w:kern w:val="0"/>
                <w:sz w:val="24"/>
              </w:rPr>
              <w:t>报道1篇扣4分</w:t>
            </w:r>
            <w:r>
              <w:rPr>
                <w:rFonts w:hint="eastAsia" w:ascii="宋体" w:hAnsi="宋体" w:cs="宋体"/>
                <w:color w:val="000000"/>
                <w:kern w:val="0"/>
                <w:sz w:val="24"/>
              </w:rPr>
              <w:t>。</w:t>
            </w:r>
          </w:p>
        </w:tc>
      </w:tr>
      <w:tr>
        <w:tblPrEx>
          <w:tblCellMar>
            <w:top w:w="0" w:type="dxa"/>
            <w:left w:w="0" w:type="dxa"/>
            <w:bottom w:w="0" w:type="dxa"/>
            <w:right w:w="0" w:type="dxa"/>
          </w:tblCellMar>
        </w:tblPrEx>
        <w:trPr>
          <w:trHeight w:val="10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14</w:t>
            </w:r>
          </w:p>
        </w:tc>
        <w:tc>
          <w:tcPr>
            <w:tcW w:w="117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4"/>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rPr>
              <w:t>突击任务</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bCs/>
                <w:sz w:val="24"/>
              </w:rPr>
            </w:pPr>
            <w:r>
              <w:rPr>
                <w:rFonts w:hint="eastAsia" w:ascii="宋体" w:hAnsi="宋体" w:cs="宋体"/>
                <w:bCs/>
                <w:sz w:val="24"/>
              </w:rPr>
              <w:t>服</w:t>
            </w:r>
            <w:r>
              <w:rPr>
                <w:rFonts w:hint="eastAsia" w:ascii="宋体" w:hAnsi="宋体" w:cs="宋体"/>
                <w:color w:val="000000"/>
                <w:kern w:val="0"/>
                <w:sz w:val="24"/>
              </w:rPr>
              <w:t>从各项突击性任务和指令，如遇重大活动和重要检查，听从政府统一安排和调度，并在规定时间内完成所指定的任务和指令。每参与一次加2分，否则扣2分。</w:t>
            </w:r>
          </w:p>
        </w:tc>
      </w:tr>
    </w:tbl>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right="0" w:firstLine="482" w:firstLineChars="200"/>
        <w:textAlignment w:val="auto"/>
        <w:rPr>
          <w:rFonts w:hint="eastAsia" w:ascii="宋体" w:hAnsi="宋体" w:eastAsia="宋体" w:cs="宋体"/>
          <w:b/>
          <w:bCs/>
          <w:szCs w:val="24"/>
          <w:lang w:val="en-US" w:eastAsia="zh-CN"/>
        </w:rPr>
      </w:pPr>
      <w:r>
        <w:rPr>
          <w:rFonts w:hint="eastAsia" w:ascii="宋体" w:hAnsi="宋体" w:eastAsia="宋体" w:cs="宋体"/>
          <w:b/>
          <w:bCs/>
          <w:szCs w:val="24"/>
          <w:lang w:val="en-US" w:eastAsia="zh-CN"/>
        </w:rPr>
        <w:t>4、考核办法：</w:t>
      </w:r>
    </w:p>
    <w:p>
      <w:pPr>
        <w:pStyle w:val="252"/>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宋体" w:hAnsi="宋体" w:eastAsia="宋体" w:cs="宋体"/>
          <w:sz w:val="24"/>
          <w:lang w:val="en-US" w:eastAsia="zh-CN"/>
        </w:rPr>
      </w:pPr>
      <w:r>
        <w:rPr>
          <w:rFonts w:hint="eastAsia" w:ascii="宋体" w:hAnsi="宋体" w:cs="宋体"/>
          <w:sz w:val="24"/>
        </w:rPr>
        <w:t>（1）按季度考核并支付运营服务费</w:t>
      </w:r>
      <w:r>
        <w:rPr>
          <w:rFonts w:hint="eastAsia" w:ascii="宋体" w:hAnsi="宋体" w:cs="宋体"/>
          <w:sz w:val="24"/>
          <w:lang w:val="en-US" w:eastAsia="zh-CN"/>
        </w:rPr>
        <w:t>和监督服务费用。</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宋体" w:cs="宋体"/>
          <w:sz w:val="24"/>
        </w:rPr>
      </w:pPr>
      <w:r>
        <w:rPr>
          <w:rFonts w:hint="eastAsia" w:ascii="宋体" w:hAnsi="宋体" w:cs="宋体"/>
          <w:sz w:val="24"/>
        </w:rPr>
        <w:t>（2）服务费总金额的20%作为政府对受托方的绩效考核金额。其中，考核评分不满60分的，全额扣除绩效考核金额；考核评分为60（含）-80分的，扣除绩效考核金额的30%；考核评分为80分（含）以上的，不进行扣款。</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宋体" w:cs="宋体"/>
          <w:sz w:val="24"/>
        </w:rPr>
      </w:pPr>
      <w:r>
        <w:rPr>
          <w:rFonts w:hint="eastAsia" w:ascii="宋体" w:hAnsi="宋体" w:cs="宋体"/>
          <w:sz w:val="24"/>
        </w:rPr>
        <w:t>（3）若受托方管理运营的小区/村或点位，被市分类办考评为最差评，则该小区/村或点位的本季度运营服务费用全部扣除。</w:t>
      </w:r>
    </w:p>
    <w:p>
      <w:pPr>
        <w:keepNext w:val="0"/>
        <w:keepLines w:val="0"/>
        <w:pageBreakBefore w:val="0"/>
        <w:widowControl/>
        <w:kinsoku/>
        <w:wordWrap/>
        <w:overflowPunct/>
        <w:topLinePunct w:val="0"/>
        <w:bidi w:val="0"/>
        <w:adjustRightInd/>
        <w:snapToGrid/>
        <w:spacing w:line="360" w:lineRule="auto"/>
        <w:ind w:right="0"/>
        <w:jc w:val="left"/>
        <w:rPr>
          <w:rFonts w:ascii="宋体" w:hAnsi="宋体" w:cs="宋体"/>
          <w:sz w:val="24"/>
        </w:rPr>
      </w:pPr>
      <w:r>
        <w:rPr>
          <w:rFonts w:hint="eastAsia" w:ascii="宋体" w:hAnsi="宋体"/>
          <w:b/>
          <w:sz w:val="24"/>
        </w:rPr>
        <w:t>五、商务及其他相关要求</w:t>
      </w:r>
    </w:p>
    <w:p>
      <w:pPr>
        <w:keepNext w:val="0"/>
        <w:keepLines w:val="0"/>
        <w:pageBreakBefore w:val="0"/>
        <w:kinsoku/>
        <w:wordWrap/>
        <w:overflowPunct/>
        <w:topLinePunct w:val="0"/>
        <w:bidi w:val="0"/>
        <w:adjustRightInd/>
        <w:snapToGrid/>
        <w:spacing w:line="360" w:lineRule="auto"/>
        <w:ind w:right="0" w:firstLine="482" w:firstLineChars="200"/>
        <w:rPr>
          <w:rStyle w:val="52"/>
          <w:rFonts w:ascii="宋体" w:hAnsi="宋体" w:cs="宋体"/>
          <w:b/>
          <w:bCs/>
          <w:i w:val="0"/>
          <w:iCs w:val="0"/>
          <w:sz w:val="24"/>
        </w:rPr>
      </w:pPr>
      <w:r>
        <w:rPr>
          <w:rFonts w:hint="eastAsia" w:ascii="宋体" w:hAnsi="宋体" w:cs="宋体"/>
          <w:b/>
          <w:bCs/>
          <w:kern w:val="0"/>
          <w:sz w:val="24"/>
        </w:rPr>
        <w:t>1、本招标文件购出以后至供应商向用户供货期间，如投标产品已经停产，供应商提供的替代产品必须相当于或高于原产品的要求配置水平，该替代产品将需经用户及有关部门审核通过，否则将视作无效标。</w:t>
      </w:r>
    </w:p>
    <w:p>
      <w:pPr>
        <w:keepNext w:val="0"/>
        <w:keepLines w:val="0"/>
        <w:pageBreakBefore w:val="0"/>
        <w:kinsoku/>
        <w:wordWrap/>
        <w:overflowPunct/>
        <w:topLinePunct w:val="0"/>
        <w:bidi w:val="0"/>
        <w:adjustRightInd/>
        <w:snapToGrid/>
        <w:spacing w:line="360" w:lineRule="auto"/>
        <w:ind w:right="0" w:firstLine="482" w:firstLineChars="200"/>
        <w:rPr>
          <w:rFonts w:ascii="宋体" w:hAnsi="宋体" w:cs="宋体"/>
          <w:b/>
          <w:bCs/>
          <w:sz w:val="24"/>
        </w:rPr>
      </w:pPr>
      <w:r>
        <w:rPr>
          <w:rFonts w:hint="eastAsia" w:ascii="宋体" w:hAnsi="宋体" w:cs="宋体"/>
          <w:b/>
          <w:bCs/>
          <w:sz w:val="24"/>
        </w:rPr>
        <w:t>2、项目投标报价要求</w:t>
      </w:r>
    </w:p>
    <w:p>
      <w:pPr>
        <w:keepNext w:val="0"/>
        <w:keepLines w:val="0"/>
        <w:pageBreakBefore w:val="0"/>
        <w:kinsoku/>
        <w:wordWrap/>
        <w:overflowPunct/>
        <w:topLinePunct w:val="0"/>
        <w:bidi w:val="0"/>
        <w:adjustRightInd/>
        <w:snapToGrid/>
        <w:spacing w:line="360" w:lineRule="auto"/>
        <w:ind w:right="0" w:firstLine="480" w:firstLineChars="200"/>
        <w:rPr>
          <w:rFonts w:ascii="宋体" w:hAnsi="宋体" w:cs="宋体"/>
          <w:b/>
          <w:sz w:val="24"/>
        </w:rPr>
      </w:pPr>
      <w:r>
        <w:rPr>
          <w:rFonts w:hint="eastAsia" w:ascii="宋体" w:hAnsi="宋体" w:cs="宋体"/>
          <w:sz w:val="24"/>
        </w:rPr>
        <w:t>（1）投标报价包括</w:t>
      </w:r>
      <w:r>
        <w:rPr>
          <w:rFonts w:hint="eastAsia" w:ascii="宋体" w:hAnsi="宋体" w:cs="宋体"/>
          <w:b/>
          <w:bCs/>
          <w:sz w:val="24"/>
        </w:rPr>
        <w:t>设备购置费、运输费、培训费、安装调试费、技术支持、质保期服务、运营期网络、</w:t>
      </w:r>
      <w:r>
        <w:rPr>
          <w:rFonts w:hint="eastAsia" w:ascii="宋体" w:hAnsi="宋体"/>
          <w:b/>
          <w:bCs/>
          <w:sz w:val="24"/>
        </w:rPr>
        <w:t>垃圾分类</w:t>
      </w:r>
      <w:r>
        <w:rPr>
          <w:rFonts w:hint="eastAsia" w:ascii="宋体" w:hAnsi="宋体"/>
          <w:b/>
          <w:bCs/>
          <w:sz w:val="24"/>
          <w:lang w:eastAsia="zh-CN"/>
        </w:rPr>
        <w:t>监督</w:t>
      </w:r>
      <w:r>
        <w:rPr>
          <w:rFonts w:hint="eastAsia" w:ascii="宋体" w:hAnsi="宋体"/>
          <w:b/>
          <w:bCs/>
          <w:sz w:val="24"/>
        </w:rPr>
        <w:t>服务</w:t>
      </w:r>
      <w:r>
        <w:rPr>
          <w:rFonts w:hint="eastAsia" w:ascii="宋体" w:hAnsi="宋体"/>
          <w:b/>
          <w:bCs/>
          <w:sz w:val="24"/>
          <w:lang w:eastAsia="zh-CN"/>
        </w:rPr>
        <w:t>费用（</w:t>
      </w:r>
      <w:r>
        <w:rPr>
          <w:rFonts w:hint="eastAsia" w:ascii="宋体" w:hAnsi="宋体" w:cs="宋体"/>
          <w:b/>
          <w:bCs/>
          <w:sz w:val="24"/>
        </w:rPr>
        <w:t>含监督员工资、</w:t>
      </w:r>
      <w:r>
        <w:rPr>
          <w:rFonts w:hint="eastAsia"/>
          <w:b/>
          <w:bCs/>
          <w:sz w:val="24"/>
          <w:lang w:eastAsia="zh-CN"/>
        </w:rPr>
        <w:t>洗衣粉、拖把、抹布、</w:t>
      </w:r>
      <w:r>
        <w:rPr>
          <w:rFonts w:hint="eastAsia"/>
          <w:b/>
          <w:bCs/>
          <w:sz w:val="24"/>
          <w:lang w:val="en-US" w:eastAsia="zh-CN"/>
        </w:rPr>
        <w:t>凳子、</w:t>
      </w:r>
      <w:r>
        <w:rPr>
          <w:rFonts w:hint="eastAsia"/>
          <w:b/>
          <w:bCs/>
          <w:sz w:val="24"/>
          <w:lang w:eastAsia="zh-CN"/>
        </w:rPr>
        <w:t>水桶、防虫除臭药剂等卫生保洁易耗品及卫生消杀防疫物品</w:t>
      </w:r>
      <w:r>
        <w:rPr>
          <w:rFonts w:hint="eastAsia"/>
          <w:b/>
          <w:bCs/>
          <w:sz w:val="24"/>
        </w:rPr>
        <w:t>的添置</w:t>
      </w:r>
      <w:r>
        <w:rPr>
          <w:rFonts w:hint="eastAsia"/>
          <w:b/>
          <w:bCs/>
          <w:sz w:val="24"/>
          <w:lang w:eastAsia="zh-CN"/>
        </w:rPr>
        <w:t>费用</w:t>
      </w:r>
      <w:r>
        <w:rPr>
          <w:rFonts w:hint="eastAsia" w:ascii="宋体" w:hAnsi="宋体"/>
          <w:b/>
          <w:bCs/>
          <w:sz w:val="24"/>
          <w:lang w:eastAsia="zh-CN"/>
        </w:rPr>
        <w:t>）、</w:t>
      </w:r>
      <w:r>
        <w:rPr>
          <w:rFonts w:hint="eastAsia" w:ascii="宋体" w:hAnsi="宋体" w:cs="宋体"/>
          <w:b/>
          <w:bCs/>
          <w:sz w:val="24"/>
        </w:rPr>
        <w:t>运营服务费用（不含</w:t>
      </w:r>
      <w:r>
        <w:rPr>
          <w:rFonts w:hint="eastAsia"/>
          <w:b/>
          <w:bCs/>
          <w:sz w:val="24"/>
        </w:rPr>
        <w:t>运营期亭体所产生的水电费</w:t>
      </w:r>
      <w:r>
        <w:rPr>
          <w:rFonts w:hint="eastAsia" w:ascii="宋体" w:hAnsi="宋体" w:cs="宋体"/>
          <w:b/>
          <w:bCs/>
          <w:sz w:val="24"/>
        </w:rPr>
        <w:t>）和税金等所有费用。</w:t>
      </w:r>
      <w:r>
        <w:rPr>
          <w:rFonts w:hint="eastAsia" w:ascii="宋体" w:hAnsi="宋体" w:cs="宋体"/>
          <w:sz w:val="24"/>
        </w:rPr>
        <w:t>投标人所投报的投标报价为投标人所能承受的整个项目的最终最低报价，如有漏项，视同已包含在其它项目中，合同价不作调整。</w:t>
      </w:r>
    </w:p>
    <w:p>
      <w:pPr>
        <w:keepNext w:val="0"/>
        <w:keepLines w:val="0"/>
        <w:pageBreakBefore w:val="0"/>
        <w:kinsoku/>
        <w:wordWrap/>
        <w:overflowPunct/>
        <w:topLinePunct w:val="0"/>
        <w:bidi w:val="0"/>
        <w:adjustRightInd/>
        <w:snapToGrid/>
        <w:spacing w:line="360" w:lineRule="auto"/>
        <w:ind w:right="0" w:firstLine="480" w:firstLineChars="200"/>
        <w:rPr>
          <w:rFonts w:ascii="宋体" w:hAnsi="宋体" w:cs="宋体"/>
          <w:b/>
          <w:sz w:val="24"/>
        </w:rPr>
      </w:pPr>
      <w:r>
        <w:rPr>
          <w:rFonts w:hint="eastAsia" w:ascii="宋体" w:hAnsi="宋体" w:cs="宋体"/>
          <w:sz w:val="24"/>
        </w:rPr>
        <w:t>（2）</w:t>
      </w:r>
      <w:r>
        <w:rPr>
          <w:rFonts w:hint="eastAsia" w:ascii="宋体" w:hAnsi="宋体" w:cs="宋体"/>
          <w:b/>
          <w:sz w:val="24"/>
        </w:rPr>
        <w:t>投标人应根据采购人所提供的采购清单，提交报价清单。项目实施前，中标人必须和采购人就采购清单中的采购安装内容作进一步确认，在实施过程中，如果采购人根据项目的实际，对项目内容作适当变更，中标单位应予以配合。</w:t>
      </w:r>
    </w:p>
    <w:p>
      <w:pPr>
        <w:keepNext w:val="0"/>
        <w:keepLines w:val="0"/>
        <w:pageBreakBefore w:val="0"/>
        <w:kinsoku/>
        <w:wordWrap/>
        <w:overflowPunct/>
        <w:topLinePunct w:val="0"/>
        <w:bidi w:val="0"/>
        <w:adjustRightInd/>
        <w:snapToGrid/>
        <w:spacing w:line="360" w:lineRule="auto"/>
        <w:ind w:right="0" w:firstLine="482" w:firstLineChars="200"/>
        <w:rPr>
          <w:sz w:val="24"/>
        </w:rPr>
      </w:pPr>
      <w:r>
        <w:rPr>
          <w:rFonts w:hint="eastAsia" w:ascii="宋体" w:hAnsi="宋体" w:cs="宋体"/>
          <w:b/>
          <w:bCs/>
          <w:sz w:val="24"/>
        </w:rPr>
        <w:t>▲</w:t>
      </w:r>
      <w:r>
        <w:rPr>
          <w:rFonts w:hint="eastAsia" w:ascii="宋体" w:hAnsi="宋体" w:cs="宋体"/>
          <w:b/>
          <w:sz w:val="24"/>
        </w:rPr>
        <w:t>(3)投标人须按报价单的格式报价，报价单上的采购数量为</w:t>
      </w:r>
      <w:r>
        <w:rPr>
          <w:rFonts w:hint="eastAsia" w:ascii="宋体" w:hAnsi="宋体" w:cs="宋体"/>
          <w:b/>
          <w:sz w:val="24"/>
          <w:lang w:eastAsia="zh-CN"/>
        </w:rPr>
        <w:t>估计采购安装</w:t>
      </w:r>
      <w:r>
        <w:rPr>
          <w:rFonts w:hint="eastAsia" w:ascii="宋体" w:hAnsi="宋体" w:cs="宋体"/>
          <w:b/>
          <w:sz w:val="24"/>
        </w:rPr>
        <w:t>数量</w:t>
      </w:r>
      <w:r>
        <w:rPr>
          <w:rFonts w:hint="eastAsia" w:ascii="宋体" w:hAnsi="宋体" w:cs="宋体"/>
          <w:b/>
          <w:sz w:val="24"/>
          <w:lang w:eastAsia="zh-CN"/>
        </w:rPr>
        <w:t>（仅作为共同投标的依据）</w:t>
      </w:r>
      <w:r>
        <w:rPr>
          <w:rFonts w:hint="eastAsia" w:ascii="宋体" w:hAnsi="宋体" w:cs="宋体"/>
          <w:b/>
          <w:sz w:val="24"/>
        </w:rPr>
        <w:t>，本项目以单价中标，以中标单价和实际采购安装数量以及实际运行管理的数量、时间和运营服务单价为最终结算金额；投标人的报价超过或等于最高限价将作废标处理。</w:t>
      </w:r>
    </w:p>
    <w:p>
      <w:pPr>
        <w:keepNext w:val="0"/>
        <w:keepLines w:val="0"/>
        <w:pageBreakBefore w:val="0"/>
        <w:kinsoku/>
        <w:wordWrap/>
        <w:overflowPunct/>
        <w:topLinePunct w:val="0"/>
        <w:bidi w:val="0"/>
        <w:adjustRightInd/>
        <w:snapToGrid/>
        <w:spacing w:line="360" w:lineRule="auto"/>
        <w:ind w:right="0" w:firstLine="482" w:firstLineChars="200"/>
        <w:rPr>
          <w:rFonts w:ascii="宋体" w:hAnsi="宋体" w:cs="宋体"/>
          <w:b/>
          <w:bCs/>
          <w:sz w:val="24"/>
        </w:rPr>
      </w:pPr>
      <w:r>
        <w:rPr>
          <w:rFonts w:hint="eastAsia" w:ascii="宋体" w:hAnsi="宋体" w:cs="宋体"/>
          <w:b/>
          <w:sz w:val="24"/>
        </w:rPr>
        <w:t>最终结算金额=实际安装亭体数量*亭体中标单价+实际运行管理亭体的数量*运行管理时间*运行管理服务费单价+</w:t>
      </w:r>
      <w:r>
        <w:rPr>
          <w:rFonts w:hint="eastAsia" w:ascii="宋体" w:hAnsi="宋体"/>
          <w:b/>
          <w:bCs/>
          <w:sz w:val="24"/>
        </w:rPr>
        <w:t>监督员人数*监督</w:t>
      </w:r>
      <w:r>
        <w:rPr>
          <w:rFonts w:hint="eastAsia" w:ascii="宋体" w:hAnsi="宋体"/>
          <w:b/>
          <w:bCs/>
          <w:sz w:val="24"/>
          <w:lang w:eastAsia="zh-CN"/>
        </w:rPr>
        <w:t>服务</w:t>
      </w:r>
      <w:r>
        <w:rPr>
          <w:rFonts w:hint="eastAsia" w:ascii="宋体" w:hAnsi="宋体"/>
          <w:b/>
          <w:bCs/>
          <w:sz w:val="24"/>
        </w:rPr>
        <w:t>费单价</w:t>
      </w:r>
    </w:p>
    <w:p>
      <w:pPr>
        <w:keepNext w:val="0"/>
        <w:keepLines w:val="0"/>
        <w:pageBreakBefore w:val="0"/>
        <w:kinsoku/>
        <w:wordWrap/>
        <w:overflowPunct/>
        <w:topLinePunct w:val="0"/>
        <w:bidi w:val="0"/>
        <w:adjustRightInd/>
        <w:snapToGrid/>
        <w:spacing w:line="360" w:lineRule="auto"/>
        <w:ind w:right="0" w:firstLine="482" w:firstLineChars="200"/>
        <w:rPr>
          <w:rFonts w:ascii="宋体" w:hAnsi="宋体" w:cs="宋体"/>
          <w:b/>
          <w:bCs/>
          <w:sz w:val="24"/>
        </w:rPr>
      </w:pPr>
      <w:r>
        <w:rPr>
          <w:rFonts w:hint="eastAsia" w:ascii="宋体" w:hAnsi="宋体" w:cs="宋体"/>
          <w:b/>
          <w:bCs/>
          <w:sz w:val="24"/>
        </w:rPr>
        <w:t>3、交货时间及地点</w:t>
      </w:r>
    </w:p>
    <w:p>
      <w:pPr>
        <w:keepNext w:val="0"/>
        <w:keepLines w:val="0"/>
        <w:pageBreakBefore w:val="0"/>
        <w:kinsoku/>
        <w:wordWrap/>
        <w:overflowPunct/>
        <w:topLinePunct w:val="0"/>
        <w:bidi w:val="0"/>
        <w:adjustRightInd/>
        <w:snapToGrid/>
        <w:spacing w:line="360" w:lineRule="auto"/>
        <w:ind w:right="0" w:firstLine="480" w:firstLineChars="200"/>
        <w:rPr>
          <w:rFonts w:ascii="宋体" w:hAnsi="宋体" w:cs="宋体"/>
          <w:sz w:val="24"/>
        </w:rPr>
      </w:pPr>
      <w:r>
        <w:rPr>
          <w:rFonts w:hint="eastAsia" w:ascii="宋体" w:hAnsi="宋体" w:cs="宋体"/>
          <w:sz w:val="24"/>
        </w:rPr>
        <w:t>接到采购人的安装指令后，</w:t>
      </w:r>
      <w:r>
        <w:rPr>
          <w:rFonts w:hint="eastAsia" w:ascii="宋体" w:hAnsi="宋体" w:cs="宋体"/>
          <w:sz w:val="24"/>
          <w:u w:val="single"/>
          <w:lang w:val="en-US" w:eastAsia="zh-CN"/>
        </w:rPr>
        <w:t>6</w:t>
      </w:r>
      <w:r>
        <w:rPr>
          <w:rFonts w:hint="eastAsia" w:ascii="宋体" w:hAnsi="宋体" w:cs="宋体"/>
          <w:sz w:val="24"/>
          <w:u w:val="single"/>
        </w:rPr>
        <w:t>0</w:t>
      </w:r>
      <w:r>
        <w:rPr>
          <w:rFonts w:hint="eastAsia" w:ascii="宋体" w:hAnsi="宋体" w:cs="宋体"/>
          <w:sz w:val="24"/>
        </w:rPr>
        <w:t>天内安装调试完毕；安装交货地点为采购人指定。</w:t>
      </w:r>
    </w:p>
    <w:p>
      <w:pPr>
        <w:keepNext w:val="0"/>
        <w:keepLines w:val="0"/>
        <w:pageBreakBefore w:val="0"/>
        <w:kinsoku/>
        <w:wordWrap/>
        <w:overflowPunct/>
        <w:topLinePunct w:val="0"/>
        <w:bidi w:val="0"/>
        <w:adjustRightInd/>
        <w:snapToGrid/>
        <w:spacing w:line="360" w:lineRule="auto"/>
        <w:ind w:right="0" w:firstLine="482" w:firstLineChars="200"/>
        <w:rPr>
          <w:rFonts w:ascii="宋体"/>
          <w:b/>
          <w:bCs/>
          <w:sz w:val="24"/>
        </w:rPr>
      </w:pPr>
      <w:r>
        <w:rPr>
          <w:rFonts w:hint="eastAsia" w:ascii="宋体" w:hAnsi="宋体"/>
          <w:b/>
          <w:bCs/>
          <w:sz w:val="24"/>
        </w:rPr>
        <w:t>4、付款方式</w:t>
      </w:r>
    </w:p>
    <w:p>
      <w:pPr>
        <w:pStyle w:val="14"/>
        <w:keepNext w:val="0"/>
        <w:keepLines w:val="0"/>
        <w:pageBreakBefore w:val="0"/>
        <w:tabs>
          <w:tab w:val="left" w:pos="10256"/>
        </w:tabs>
        <w:kinsoku/>
        <w:wordWrap/>
        <w:overflowPunct/>
        <w:topLinePunct w:val="0"/>
        <w:bidi w:val="0"/>
        <w:adjustRightInd/>
        <w:snapToGrid/>
        <w:spacing w:after="0" w:line="360" w:lineRule="auto"/>
        <w:ind w:right="0" w:firstLine="480" w:firstLineChars="200"/>
        <w:rPr>
          <w:rFonts w:ascii="宋体" w:hAnsi="宋体"/>
          <w:szCs w:val="24"/>
        </w:rPr>
      </w:pPr>
      <w:r>
        <w:rPr>
          <w:rFonts w:hint="eastAsia" w:ascii="宋体" w:hAnsi="宋体" w:cs="宋体"/>
          <w:color w:val="0D0D0D"/>
          <w:szCs w:val="24"/>
        </w:rPr>
        <w:t>（1）合同签订后，</w:t>
      </w:r>
      <w:r>
        <w:rPr>
          <w:rFonts w:hint="eastAsia" w:ascii="宋体" w:hAnsi="宋体" w:cs="宋体"/>
          <w:color w:val="auto"/>
          <w:sz w:val="24"/>
        </w:rPr>
        <w:t>采购人根据需要中标人提供足额预付款保函（保函可在政采云平台线上申请）；7天内采购人付至</w:t>
      </w:r>
      <w:r>
        <w:rPr>
          <w:rFonts w:hint="eastAsia" w:ascii="宋体" w:hAnsi="宋体" w:cs="宋体"/>
          <w:color w:val="0D0D0D"/>
          <w:szCs w:val="24"/>
        </w:rPr>
        <w:t>亭体安装合同款的</w:t>
      </w:r>
      <w:r>
        <w:rPr>
          <w:rFonts w:hint="eastAsia" w:ascii="宋体" w:hAnsi="宋体" w:cs="宋体"/>
          <w:color w:val="0D0D0D"/>
          <w:szCs w:val="24"/>
          <w:lang w:val="en-US" w:eastAsia="zh-CN"/>
        </w:rPr>
        <w:t>3</w:t>
      </w:r>
      <w:r>
        <w:rPr>
          <w:rFonts w:hint="eastAsia" w:ascii="宋体" w:hAnsi="宋体" w:cs="宋体"/>
          <w:color w:val="auto"/>
          <w:sz w:val="24"/>
        </w:rPr>
        <w:t>0%</w:t>
      </w:r>
      <w:r>
        <w:rPr>
          <w:rFonts w:hint="eastAsia" w:ascii="宋体" w:hAnsi="宋体" w:cs="宋体"/>
          <w:color w:val="0D0D0D"/>
          <w:szCs w:val="24"/>
        </w:rPr>
        <w:t>；</w:t>
      </w:r>
      <w:r>
        <w:rPr>
          <w:rFonts w:hint="eastAsia" w:ascii="宋体" w:hAnsi="宋体"/>
          <w:szCs w:val="24"/>
        </w:rPr>
        <w:t>全部货物</w:t>
      </w:r>
      <w:r>
        <w:rPr>
          <w:rFonts w:hint="eastAsia" w:ascii="宋体" w:hAnsi="宋体" w:cs="宋体"/>
          <w:color w:val="0D0D0D"/>
          <w:szCs w:val="24"/>
        </w:rPr>
        <w:t>交付</w:t>
      </w:r>
      <w:r>
        <w:rPr>
          <w:rFonts w:hint="eastAsia" w:ascii="宋体" w:hAnsi="宋体"/>
          <w:szCs w:val="24"/>
        </w:rPr>
        <w:t>安装完毕并验收合格后</w:t>
      </w:r>
      <w:r>
        <w:rPr>
          <w:rFonts w:hint="eastAsia" w:ascii="宋体" w:hAnsi="宋体"/>
          <w:szCs w:val="24"/>
          <w:lang w:val="en-US" w:eastAsia="zh-CN"/>
        </w:rPr>
        <w:t>7</w:t>
      </w:r>
      <w:r>
        <w:rPr>
          <w:rFonts w:hint="eastAsia" w:ascii="宋体" w:hAnsi="宋体"/>
          <w:szCs w:val="24"/>
        </w:rPr>
        <w:t>个工作日内</w:t>
      </w:r>
      <w:r>
        <w:rPr>
          <w:rFonts w:hint="eastAsia" w:ascii="宋体" w:hAnsi="宋体" w:cs="宋体"/>
          <w:color w:val="0D0D0D"/>
        </w:rPr>
        <w:t>付清</w:t>
      </w:r>
      <w:r>
        <w:rPr>
          <w:rFonts w:hint="eastAsia" w:ascii="宋体" w:hAnsi="宋体" w:cs="宋体"/>
          <w:color w:val="0D0D0D"/>
          <w:szCs w:val="24"/>
        </w:rPr>
        <w:t>亭体</w:t>
      </w:r>
      <w:r>
        <w:rPr>
          <w:rFonts w:hint="eastAsia" w:ascii="宋体" w:hAnsi="宋体" w:cs="宋体"/>
          <w:color w:val="0D0D0D"/>
          <w:szCs w:val="24"/>
          <w:lang w:val="en-US" w:eastAsia="zh-CN"/>
        </w:rPr>
        <w:t>实际</w:t>
      </w:r>
      <w:r>
        <w:rPr>
          <w:rFonts w:hint="eastAsia" w:ascii="宋体" w:hAnsi="宋体" w:cs="宋体"/>
          <w:color w:val="0D0D0D"/>
          <w:szCs w:val="24"/>
        </w:rPr>
        <w:t>安装</w:t>
      </w:r>
      <w:r>
        <w:rPr>
          <w:rFonts w:hint="eastAsia" w:ascii="宋体" w:hAnsi="宋体"/>
          <w:szCs w:val="24"/>
        </w:rPr>
        <w:t>总额的</w:t>
      </w:r>
      <w:r>
        <w:rPr>
          <w:rFonts w:hint="eastAsia" w:ascii="宋体" w:hAnsi="宋体"/>
          <w:szCs w:val="24"/>
          <w:lang w:eastAsia="zh-CN"/>
        </w:rPr>
        <w:t>剩余合同款</w:t>
      </w:r>
      <w:r>
        <w:rPr>
          <w:rFonts w:hint="eastAsia" w:ascii="宋体" w:hAnsi="宋体"/>
          <w:szCs w:val="24"/>
        </w:rPr>
        <w:t>。</w:t>
      </w:r>
    </w:p>
    <w:p>
      <w:pPr>
        <w:spacing w:line="360" w:lineRule="auto"/>
        <w:rPr>
          <w:rFonts w:ascii="宋体" w:hAnsi="宋体"/>
          <w:sz w:val="24"/>
        </w:rPr>
      </w:pPr>
      <w:r>
        <w:rPr>
          <w:rFonts w:hint="eastAsia" w:ascii="宋体" w:hAnsi="宋体"/>
          <w:sz w:val="24"/>
        </w:rPr>
        <w:t xml:space="preserve">   （2）投放亭运行管理服务费，按照</w:t>
      </w:r>
      <w:r>
        <w:rPr>
          <w:rFonts w:hint="eastAsia" w:ascii="宋体" w:hAnsi="宋体"/>
          <w:bCs/>
          <w:sz w:val="24"/>
        </w:rPr>
        <w:t>先服务后付费，按季度支付，每季度首月15日前采购人支付上季度管理服务费。</w:t>
      </w:r>
      <w:r>
        <w:rPr>
          <w:rFonts w:hint="eastAsia" w:ascii="宋体" w:hAnsi="宋体"/>
          <w:sz w:val="24"/>
        </w:rPr>
        <w:t xml:space="preserve">  </w:t>
      </w:r>
    </w:p>
    <w:p>
      <w:pPr>
        <w:spacing w:line="360" w:lineRule="auto"/>
        <w:ind w:firstLine="240" w:firstLineChars="100"/>
        <w:rPr>
          <w:rFonts w:ascii="宋体" w:hAnsi="宋体"/>
          <w:sz w:val="24"/>
        </w:rPr>
      </w:pPr>
      <w:r>
        <w:rPr>
          <w:rFonts w:hint="eastAsia" w:ascii="宋体" w:hAnsi="宋体"/>
          <w:sz w:val="24"/>
        </w:rPr>
        <w:t xml:space="preserve"> （</w:t>
      </w:r>
      <w:r>
        <w:rPr>
          <w:rFonts w:ascii="宋体" w:hAnsi="宋体"/>
          <w:sz w:val="24"/>
        </w:rPr>
        <w:t>3</w:t>
      </w:r>
      <w:r>
        <w:rPr>
          <w:rFonts w:hint="eastAsia" w:ascii="宋体" w:hAnsi="宋体"/>
          <w:sz w:val="24"/>
        </w:rPr>
        <w:t>）投放亭智慧垃圾分类监督服务费，按月度支付，每月</w:t>
      </w:r>
      <w:r>
        <w:rPr>
          <w:rFonts w:hint="eastAsia" w:ascii="宋体" w:hAnsi="宋体"/>
          <w:bCs/>
          <w:sz w:val="24"/>
        </w:rPr>
        <w:t>15日前采购人支付上个月的</w:t>
      </w:r>
      <w:r>
        <w:rPr>
          <w:rFonts w:hint="eastAsia" w:ascii="宋体" w:hAnsi="宋体"/>
          <w:sz w:val="24"/>
        </w:rPr>
        <w:t>监督服务</w:t>
      </w:r>
      <w:r>
        <w:rPr>
          <w:rFonts w:hint="eastAsia" w:ascii="宋体" w:hAnsi="宋体"/>
          <w:bCs/>
          <w:sz w:val="24"/>
        </w:rPr>
        <w:t>费用。</w:t>
      </w:r>
    </w:p>
    <w:p>
      <w:pPr>
        <w:keepNext w:val="0"/>
        <w:keepLines w:val="0"/>
        <w:pageBreakBefore w:val="0"/>
        <w:kinsoku/>
        <w:wordWrap/>
        <w:overflowPunct/>
        <w:topLinePunct w:val="0"/>
        <w:autoSpaceDE w:val="0"/>
        <w:autoSpaceDN w:val="0"/>
        <w:bidi w:val="0"/>
        <w:adjustRightInd/>
        <w:snapToGrid/>
        <w:spacing w:line="360" w:lineRule="auto"/>
        <w:ind w:right="0" w:firstLine="482" w:firstLineChars="200"/>
        <w:textAlignment w:val="bottom"/>
        <w:rPr>
          <w:rFonts w:ascii="宋体" w:hAnsi="宋体"/>
          <w:b/>
          <w:sz w:val="24"/>
        </w:rPr>
      </w:pPr>
      <w:r>
        <w:rPr>
          <w:rFonts w:hint="eastAsia" w:ascii="宋体" w:hAnsi="宋体"/>
          <w:b/>
          <w:sz w:val="24"/>
        </w:rPr>
        <w:t>5、服务期</w:t>
      </w:r>
    </w:p>
    <w:p>
      <w:pPr>
        <w:keepNext w:val="0"/>
        <w:keepLines w:val="0"/>
        <w:pageBreakBefore w:val="0"/>
        <w:tabs>
          <w:tab w:val="left" w:pos="7830"/>
        </w:tabs>
        <w:kinsoku/>
        <w:wordWrap/>
        <w:overflowPunct/>
        <w:topLinePunct w:val="0"/>
        <w:bidi w:val="0"/>
        <w:adjustRightInd/>
        <w:snapToGrid/>
        <w:spacing w:line="360" w:lineRule="auto"/>
        <w:ind w:right="0" w:firstLine="359" w:firstLineChars="149"/>
        <w:rPr>
          <w:rFonts w:ascii="宋体" w:hAnsi="宋体"/>
          <w:b/>
          <w:bCs/>
          <w:sz w:val="24"/>
        </w:rPr>
      </w:pPr>
      <w:r>
        <w:rPr>
          <w:rFonts w:hint="eastAsia" w:ascii="宋体" w:hAnsi="宋体" w:cs="Arial"/>
          <w:b/>
          <w:bCs/>
          <w:sz w:val="24"/>
        </w:rPr>
        <w:t>本项目运营管理服务期为</w:t>
      </w:r>
      <w:r>
        <w:rPr>
          <w:rFonts w:hint="eastAsia" w:ascii="宋体" w:hAnsi="宋体" w:cs="Arial"/>
          <w:b/>
          <w:bCs/>
          <w:sz w:val="24"/>
          <w:lang w:val="en-US" w:eastAsia="zh-CN"/>
        </w:rPr>
        <w:t>1</w:t>
      </w:r>
      <w:r>
        <w:rPr>
          <w:rFonts w:hint="eastAsia" w:ascii="宋体" w:hAnsi="宋体" w:cs="Arial"/>
          <w:b/>
          <w:bCs/>
          <w:sz w:val="24"/>
        </w:rPr>
        <w:t>年。</w:t>
      </w:r>
    </w:p>
    <w:p>
      <w:pPr>
        <w:keepNext w:val="0"/>
        <w:keepLines w:val="0"/>
        <w:pageBreakBefore w:val="0"/>
        <w:kinsoku/>
        <w:wordWrap/>
        <w:overflowPunct/>
        <w:topLinePunct w:val="0"/>
        <w:bidi w:val="0"/>
        <w:adjustRightInd/>
        <w:snapToGrid/>
        <w:spacing w:line="360" w:lineRule="auto"/>
        <w:ind w:right="0" w:firstLine="482" w:firstLineChars="200"/>
        <w:rPr>
          <w:rFonts w:ascii="宋体" w:hAnsi="宋体" w:cs="宋体"/>
          <w:b/>
          <w:bCs/>
          <w:sz w:val="24"/>
        </w:rPr>
      </w:pPr>
      <w:r>
        <w:rPr>
          <w:rFonts w:hint="eastAsia" w:ascii="宋体" w:hAnsi="宋体" w:cs="宋体"/>
          <w:b/>
          <w:bCs/>
          <w:sz w:val="24"/>
        </w:rPr>
        <w:t>6</w:t>
      </w:r>
      <w:r>
        <w:rPr>
          <w:rFonts w:hint="eastAsia" w:ascii="宋体" w:hAnsi="宋体" w:cs="宋体"/>
          <w:b/>
          <w:bCs/>
          <w:sz w:val="24"/>
          <w:lang w:eastAsia="zh-CN"/>
        </w:rPr>
        <w:t>、</w:t>
      </w:r>
      <w:r>
        <w:rPr>
          <w:rFonts w:hint="eastAsia" w:ascii="宋体" w:hAnsi="宋体" w:cs="宋体"/>
          <w:b/>
          <w:bCs/>
          <w:sz w:val="24"/>
        </w:rPr>
        <w:t>售后服务</w:t>
      </w:r>
    </w:p>
    <w:p>
      <w:pPr>
        <w:keepNext w:val="0"/>
        <w:keepLines w:val="0"/>
        <w:pageBreakBefore w:val="0"/>
        <w:kinsoku/>
        <w:wordWrap/>
        <w:overflowPunct/>
        <w:topLinePunct w:val="0"/>
        <w:bidi w:val="0"/>
        <w:adjustRightInd/>
        <w:snapToGrid/>
        <w:spacing w:line="360" w:lineRule="auto"/>
        <w:ind w:right="0" w:firstLine="480" w:firstLineChars="200"/>
        <w:rPr>
          <w:rFonts w:ascii="宋体" w:hAnsi="宋体" w:cs="宋体"/>
          <w:b/>
          <w:bCs/>
          <w:color w:val="000000"/>
          <w:sz w:val="24"/>
        </w:rPr>
      </w:pPr>
      <w:r>
        <w:rPr>
          <w:rFonts w:hint="eastAsia" w:ascii="宋体" w:hAnsi="宋体" w:cs="宋体"/>
          <w:sz w:val="24"/>
        </w:rPr>
        <w:t>▲</w:t>
      </w:r>
      <w:r>
        <w:rPr>
          <w:rFonts w:hint="eastAsia" w:ascii="宋体" w:hAnsi="宋体" w:cs="宋体"/>
          <w:b/>
          <w:bCs/>
          <w:sz w:val="24"/>
        </w:rPr>
        <w:t>（1）亭体须提供10年质保期，亭体内信息化系统设备的质保期为3年；质保</w:t>
      </w:r>
      <w:r>
        <w:rPr>
          <w:rFonts w:hint="eastAsia" w:ascii="宋体" w:hAnsi="宋体" w:cs="宋体"/>
          <w:b/>
          <w:bCs/>
          <w:color w:val="000000"/>
          <w:sz w:val="24"/>
        </w:rPr>
        <w:t>期内与维修相关的所有费用由中标方负责。 质保期从安装完毕，最终验收合格之日开始计算。除非采购人另有要求，保质期内的服务均为免费上门服务。本项目的运营管理在</w:t>
      </w:r>
      <w:r>
        <w:rPr>
          <w:rFonts w:hint="eastAsia" w:ascii="宋体" w:hAnsi="宋体" w:cs="宋体"/>
          <w:b/>
          <w:bCs/>
          <w:color w:val="000000"/>
          <w:sz w:val="24"/>
          <w:lang w:val="en-US" w:eastAsia="zh-CN"/>
        </w:rPr>
        <w:t>5</w:t>
      </w:r>
      <w:r>
        <w:rPr>
          <w:rFonts w:hint="eastAsia" w:ascii="宋体" w:hAnsi="宋体" w:cs="宋体"/>
          <w:b/>
          <w:bCs/>
          <w:color w:val="000000"/>
          <w:sz w:val="24"/>
        </w:rPr>
        <w:t>年服务期结束后，运营管理方在亭体质保期内应当提供免费的后续运营管理服务（免费后续运营管理服务期间，</w:t>
      </w:r>
      <w:r>
        <w:rPr>
          <w:rFonts w:hint="eastAsia" w:ascii="宋体" w:hAnsi="宋体" w:cs="宋体"/>
          <w:b/>
          <w:bCs/>
          <w:sz w:val="24"/>
        </w:rPr>
        <w:t>网络资源费用由采购单位支付</w:t>
      </w:r>
      <w:r>
        <w:rPr>
          <w:rFonts w:hint="eastAsia" w:ascii="宋体" w:hAnsi="宋体" w:cs="宋体"/>
          <w:b/>
          <w:bCs/>
          <w:color w:val="000000"/>
          <w:sz w:val="24"/>
        </w:rPr>
        <w:t>）。</w:t>
      </w:r>
    </w:p>
    <w:p>
      <w:pPr>
        <w:keepNext w:val="0"/>
        <w:keepLines w:val="0"/>
        <w:pageBreakBefore w:val="0"/>
        <w:kinsoku/>
        <w:wordWrap/>
        <w:overflowPunct/>
        <w:topLinePunct w:val="0"/>
        <w:bidi w:val="0"/>
        <w:adjustRightInd/>
        <w:snapToGrid/>
        <w:spacing w:line="360" w:lineRule="auto"/>
        <w:ind w:right="0" w:firstLine="480" w:firstLineChars="200"/>
        <w:jc w:val="left"/>
        <w:rPr>
          <w:rFonts w:ascii="宋体" w:hAnsi="宋体" w:cs="宋体"/>
          <w:sz w:val="24"/>
        </w:rPr>
      </w:pPr>
      <w:r>
        <w:rPr>
          <w:rFonts w:hint="eastAsia" w:ascii="宋体" w:hAnsi="宋体" w:cs="宋体"/>
          <w:sz w:val="24"/>
        </w:rPr>
        <w:t>（2）质量保证期内发生的质量问题（包括设备缺陷），由中标人负责免费解决（因采购人使用不当或其他人为因素造成的故障除外）；</w:t>
      </w:r>
    </w:p>
    <w:p>
      <w:pPr>
        <w:keepNext w:val="0"/>
        <w:keepLines w:val="0"/>
        <w:pageBreakBefore w:val="0"/>
        <w:kinsoku/>
        <w:wordWrap/>
        <w:overflowPunct/>
        <w:topLinePunct w:val="0"/>
        <w:bidi w:val="0"/>
        <w:adjustRightInd/>
        <w:snapToGrid/>
        <w:spacing w:line="360" w:lineRule="auto"/>
        <w:ind w:right="0" w:firstLine="480" w:firstLineChars="200"/>
        <w:jc w:val="left"/>
        <w:rPr>
          <w:rFonts w:ascii="宋体" w:hAnsi="宋体" w:cs="宋体"/>
          <w:sz w:val="24"/>
        </w:rPr>
      </w:pPr>
      <w:r>
        <w:rPr>
          <w:rFonts w:hint="eastAsia" w:ascii="宋体" w:hAnsi="宋体" w:cs="宋体"/>
          <w:sz w:val="24"/>
        </w:rPr>
        <w:t>（3）在质保期内提供7*24小时（不分节假日）技术支持热线电话（固话、手机）服务。如电话响应无法解决，则24小时内响应、48小时内修复。</w:t>
      </w:r>
    </w:p>
    <w:p>
      <w:pPr>
        <w:keepNext w:val="0"/>
        <w:keepLines w:val="0"/>
        <w:pageBreakBefore w:val="0"/>
        <w:kinsoku/>
        <w:wordWrap/>
        <w:overflowPunct/>
        <w:topLinePunct w:val="0"/>
        <w:bidi w:val="0"/>
        <w:adjustRightInd/>
        <w:snapToGrid/>
        <w:spacing w:line="360" w:lineRule="auto"/>
        <w:ind w:right="0" w:firstLine="480" w:firstLineChars="200"/>
        <w:jc w:val="left"/>
        <w:rPr>
          <w:rFonts w:ascii="宋体" w:hAnsi="宋体" w:cs="宋体"/>
          <w:sz w:val="24"/>
        </w:rPr>
      </w:pPr>
      <w:r>
        <w:rPr>
          <w:rFonts w:hint="eastAsia" w:ascii="宋体" w:hAnsi="宋体" w:cs="宋体"/>
          <w:sz w:val="24"/>
        </w:rPr>
        <w:t>（4）</w:t>
      </w:r>
      <w:r>
        <w:rPr>
          <w:rFonts w:hint="eastAsia" w:ascii="宋体" w:hAnsi="宋体" w:cs="宋体"/>
          <w:color w:val="000000"/>
          <w:sz w:val="24"/>
        </w:rPr>
        <w:t>牌面、立杆及支架等非人为因素出现质量问题（如断裂、褪色、掉漆、锈蚀等），免费维修更换；中标人对本项目另有特殊优惠条件的，应作出书面承诺。</w:t>
      </w:r>
    </w:p>
    <w:p>
      <w:pPr>
        <w:keepNext w:val="0"/>
        <w:keepLines w:val="0"/>
        <w:pageBreakBefore w:val="0"/>
        <w:kinsoku/>
        <w:wordWrap/>
        <w:overflowPunct/>
        <w:topLinePunct w:val="0"/>
        <w:bidi w:val="0"/>
        <w:adjustRightInd/>
        <w:snapToGrid/>
        <w:spacing w:line="360" w:lineRule="auto"/>
        <w:ind w:right="0" w:firstLine="480" w:firstLineChars="200"/>
        <w:rPr>
          <w:rFonts w:ascii="宋体" w:hAnsi="宋体" w:cs="宋体"/>
          <w:sz w:val="24"/>
        </w:rPr>
      </w:pPr>
      <w:r>
        <w:rPr>
          <w:rFonts w:hint="eastAsia" w:ascii="宋体" w:hAnsi="宋体" w:cs="宋体"/>
          <w:sz w:val="24"/>
        </w:rPr>
        <w:t>（5）提供关于产品质量保证承诺；免费保修期的承诺；免费保修期外的服务承诺；免费提供终身技术支持服务承诺；免费提供终身设备软件升级服务。</w:t>
      </w:r>
    </w:p>
    <w:p>
      <w:pPr>
        <w:keepNext w:val="0"/>
        <w:keepLines w:val="0"/>
        <w:pageBreakBefore w:val="0"/>
        <w:kinsoku/>
        <w:wordWrap/>
        <w:overflowPunct/>
        <w:topLinePunct w:val="0"/>
        <w:bidi w:val="0"/>
        <w:adjustRightInd/>
        <w:snapToGrid/>
        <w:spacing w:line="360" w:lineRule="auto"/>
        <w:ind w:right="0" w:firstLine="482" w:firstLineChars="200"/>
        <w:rPr>
          <w:rFonts w:ascii="宋体"/>
          <w:b/>
          <w:bCs/>
          <w:sz w:val="24"/>
        </w:rPr>
      </w:pPr>
      <w:r>
        <w:rPr>
          <w:rFonts w:hint="eastAsia" w:ascii="宋体" w:hAnsi="宋体"/>
          <w:b/>
          <w:bCs/>
          <w:sz w:val="24"/>
        </w:rPr>
        <w:t>7、技术培训</w:t>
      </w:r>
    </w:p>
    <w:p>
      <w:pPr>
        <w:keepNext w:val="0"/>
        <w:keepLines w:val="0"/>
        <w:pageBreakBefore w:val="0"/>
        <w:kinsoku/>
        <w:wordWrap/>
        <w:overflowPunct/>
        <w:topLinePunct w:val="0"/>
        <w:bidi w:val="0"/>
        <w:adjustRightInd/>
        <w:snapToGrid/>
        <w:spacing w:line="360" w:lineRule="auto"/>
        <w:ind w:right="0" w:firstLine="435"/>
        <w:jc w:val="left"/>
        <w:rPr>
          <w:rFonts w:ascii="宋体"/>
          <w:sz w:val="24"/>
        </w:rPr>
      </w:pPr>
      <w:r>
        <w:rPr>
          <w:rFonts w:hint="eastAsia" w:ascii="宋体" w:hAnsi="宋体" w:cs="宋体"/>
          <w:sz w:val="24"/>
        </w:rPr>
        <w:t>中标人须派遣有经验的技术人员到采购人现场对采购人进行优质的培训服务，具体要求如下：</w:t>
      </w:r>
    </w:p>
    <w:p>
      <w:pPr>
        <w:keepNext w:val="0"/>
        <w:keepLines w:val="0"/>
        <w:pageBreakBefore w:val="0"/>
        <w:kinsoku/>
        <w:wordWrap/>
        <w:overflowPunct/>
        <w:topLinePunct w:val="0"/>
        <w:bidi w:val="0"/>
        <w:adjustRightInd/>
        <w:snapToGrid/>
        <w:spacing w:line="360" w:lineRule="auto"/>
        <w:ind w:right="0" w:firstLine="480" w:firstLineChars="200"/>
        <w:jc w:val="left"/>
        <w:rPr>
          <w:rFonts w:ascii="宋体"/>
          <w:sz w:val="24"/>
        </w:rPr>
      </w:pPr>
      <w:r>
        <w:rPr>
          <w:rFonts w:hint="eastAsia" w:ascii="宋体" w:hAnsi="宋体" w:cs="宋体"/>
          <w:sz w:val="24"/>
        </w:rPr>
        <w:t>（1）对设备的使用、操作、维修进行免费培训，并提供安装使用维护说明书，培训所需一切资料由中标人免费提供。</w:t>
      </w:r>
    </w:p>
    <w:p>
      <w:pPr>
        <w:keepNext w:val="0"/>
        <w:keepLines w:val="0"/>
        <w:pageBreakBefore w:val="0"/>
        <w:kinsoku/>
        <w:wordWrap/>
        <w:overflowPunct/>
        <w:topLinePunct w:val="0"/>
        <w:bidi w:val="0"/>
        <w:adjustRightInd/>
        <w:snapToGrid/>
        <w:spacing w:line="360" w:lineRule="auto"/>
        <w:ind w:right="0" w:firstLine="480" w:firstLineChars="200"/>
        <w:jc w:val="left"/>
        <w:rPr>
          <w:rFonts w:ascii="宋体"/>
          <w:sz w:val="24"/>
        </w:rPr>
      </w:pPr>
      <w:r>
        <w:rPr>
          <w:rFonts w:hint="eastAsia" w:ascii="宋体" w:hAnsi="宋体" w:cs="宋体"/>
          <w:sz w:val="24"/>
        </w:rPr>
        <w:t>（2）负责免费提供操作人员培训，培训人数不少于两人。</w:t>
      </w:r>
    </w:p>
    <w:p>
      <w:pPr>
        <w:keepNext w:val="0"/>
        <w:keepLines w:val="0"/>
        <w:pageBreakBefore w:val="0"/>
        <w:kinsoku/>
        <w:wordWrap/>
        <w:overflowPunct/>
        <w:topLinePunct w:val="0"/>
        <w:bidi w:val="0"/>
        <w:adjustRightInd/>
        <w:snapToGrid/>
        <w:spacing w:line="360" w:lineRule="auto"/>
        <w:ind w:right="0" w:firstLine="480" w:firstLineChars="200"/>
        <w:jc w:val="left"/>
        <w:rPr>
          <w:rFonts w:ascii="宋体"/>
          <w:sz w:val="24"/>
        </w:rPr>
      </w:pPr>
      <w:r>
        <w:rPr>
          <w:rFonts w:hint="eastAsia" w:ascii="宋体" w:hAnsi="宋体" w:cs="宋体"/>
          <w:sz w:val="24"/>
        </w:rPr>
        <w:t>（3）培训内容：确保用户能够对设备、系统有足够的了解和熟悉，能够独立进行设备、系统的日常运营、管理和维护，培训所需一切资料由中标人免费提供。</w:t>
      </w:r>
    </w:p>
    <w:p>
      <w:pPr>
        <w:keepNext w:val="0"/>
        <w:keepLines w:val="0"/>
        <w:pageBreakBefore w:val="0"/>
        <w:kinsoku/>
        <w:wordWrap/>
        <w:overflowPunct/>
        <w:topLinePunct w:val="0"/>
        <w:bidi w:val="0"/>
        <w:adjustRightInd/>
        <w:snapToGrid/>
        <w:spacing w:line="360" w:lineRule="auto"/>
        <w:ind w:right="0" w:firstLine="482" w:firstLineChars="200"/>
        <w:rPr>
          <w:rFonts w:ascii="宋体" w:hAnsi="宋体"/>
          <w:b/>
          <w:bCs/>
          <w:sz w:val="24"/>
        </w:rPr>
      </w:pPr>
      <w:r>
        <w:rPr>
          <w:rFonts w:hint="eastAsia" w:ascii="宋体" w:hAnsi="宋体"/>
          <w:b/>
          <w:bCs/>
          <w:sz w:val="24"/>
        </w:rPr>
        <w:t>8、验收标准</w:t>
      </w:r>
    </w:p>
    <w:p>
      <w:pPr>
        <w:keepNext w:val="0"/>
        <w:keepLines w:val="0"/>
        <w:pageBreakBefore w:val="0"/>
        <w:kinsoku/>
        <w:wordWrap/>
        <w:overflowPunct/>
        <w:topLinePunct w:val="0"/>
        <w:bidi w:val="0"/>
        <w:adjustRightInd/>
        <w:snapToGrid/>
        <w:spacing w:line="360" w:lineRule="auto"/>
        <w:ind w:right="0" w:firstLine="480" w:firstLineChars="200"/>
        <w:rPr>
          <w:rFonts w:ascii="宋体" w:hAnsi="宋体"/>
          <w:color w:val="0D0D0D"/>
          <w:sz w:val="24"/>
        </w:rPr>
      </w:pPr>
      <w:r>
        <w:rPr>
          <w:rFonts w:hint="eastAsia" w:ascii="宋体" w:hAnsi="宋体"/>
          <w:color w:val="0D0D0D"/>
          <w:sz w:val="24"/>
        </w:rPr>
        <w:t>根据中华人民共和国现行技术标准，按招标文件以及合同规定的验收评定标准等规范，</w:t>
      </w:r>
      <w:r>
        <w:rPr>
          <w:rFonts w:hint="eastAsia" w:ascii="宋体" w:hAnsi="宋体"/>
          <w:b/>
          <w:sz w:val="24"/>
        </w:rPr>
        <w:t>由用户组织验收。</w:t>
      </w:r>
    </w:p>
    <w:p>
      <w:pPr>
        <w:keepNext w:val="0"/>
        <w:keepLines w:val="0"/>
        <w:pageBreakBefore w:val="0"/>
        <w:kinsoku/>
        <w:wordWrap/>
        <w:overflowPunct/>
        <w:topLinePunct w:val="0"/>
        <w:bidi w:val="0"/>
        <w:adjustRightInd/>
        <w:snapToGrid/>
        <w:spacing w:line="360" w:lineRule="auto"/>
        <w:ind w:right="0" w:firstLine="480" w:firstLineChars="200"/>
        <w:rPr>
          <w:rFonts w:hint="eastAsia" w:ascii="宋体" w:hAnsi="宋体"/>
          <w:b/>
          <w:color w:val="0D0D0D"/>
          <w:sz w:val="24"/>
        </w:rPr>
      </w:pPr>
      <w:r>
        <w:rPr>
          <w:rFonts w:hint="eastAsia" w:ascii="宋体" w:hAnsi="宋体"/>
          <w:color w:val="0D0D0D"/>
          <w:sz w:val="24"/>
        </w:rPr>
        <w:t>用户对货物验收合格后，双方共同签署验收合格证书，验收中发现货物达不到验收标准或合同规定的性能指标，中标方必须免费更换，并且赔偿由此给用户造成的损失，直到验收合格为止。</w:t>
      </w:r>
      <w:r>
        <w:rPr>
          <w:rFonts w:hint="eastAsia" w:ascii="宋体" w:hAnsi="宋体"/>
          <w:b/>
          <w:color w:val="0D0D0D"/>
          <w:sz w:val="24"/>
        </w:rPr>
        <w:t>项目验收合格后的验收报告，</w:t>
      </w:r>
      <w:r>
        <w:rPr>
          <w:rFonts w:hint="eastAsia" w:ascii="宋体" w:hAnsi="宋体"/>
          <w:b/>
          <w:sz w:val="24"/>
        </w:rPr>
        <w:t>代理机构按规定</w:t>
      </w:r>
      <w:r>
        <w:rPr>
          <w:rFonts w:hint="eastAsia" w:ascii="宋体" w:hAnsi="宋体"/>
          <w:b/>
          <w:color w:val="0D0D0D"/>
          <w:sz w:val="24"/>
        </w:rPr>
        <w:t>备案存查，验收费用由中标单位支付。验收表格见附件6。</w:t>
      </w:r>
    </w:p>
    <w:p>
      <w:pPr>
        <w:keepNext w:val="0"/>
        <w:keepLines w:val="0"/>
        <w:pageBreakBefore w:val="0"/>
        <w:kinsoku/>
        <w:wordWrap/>
        <w:overflowPunct/>
        <w:topLinePunct w:val="0"/>
        <w:bidi w:val="0"/>
        <w:adjustRightInd/>
        <w:snapToGrid/>
        <w:spacing w:line="360" w:lineRule="auto"/>
        <w:ind w:right="0" w:firstLine="482" w:firstLineChars="200"/>
        <w:rPr>
          <w:rFonts w:ascii="宋体" w:hAnsi="宋体"/>
          <w:b/>
          <w:bCs/>
          <w:sz w:val="24"/>
        </w:rPr>
      </w:pPr>
      <w:r>
        <w:rPr>
          <w:rFonts w:hint="eastAsia" w:ascii="宋体" w:hAnsi="宋体"/>
          <w:b/>
          <w:bCs/>
          <w:sz w:val="24"/>
        </w:rPr>
        <w:t>9、其他</w:t>
      </w:r>
    </w:p>
    <w:p>
      <w:pPr>
        <w:keepNext w:val="0"/>
        <w:keepLines w:val="0"/>
        <w:pageBreakBefore w:val="0"/>
        <w:kinsoku/>
        <w:wordWrap/>
        <w:overflowPunct/>
        <w:topLinePunct w:val="0"/>
        <w:bidi w:val="0"/>
        <w:adjustRightInd/>
        <w:snapToGrid/>
        <w:spacing w:line="360" w:lineRule="auto"/>
        <w:ind w:right="0" w:firstLine="480" w:firstLineChars="200"/>
        <w:rPr>
          <w:rFonts w:ascii="宋体"/>
          <w:sz w:val="24"/>
        </w:rPr>
      </w:pPr>
      <w:r>
        <w:rPr>
          <w:rFonts w:hint="eastAsia" w:ascii="宋体" w:hAnsi="宋体"/>
          <w:sz w:val="24"/>
        </w:rPr>
        <w:t>（1）</w:t>
      </w:r>
      <w:r>
        <w:rPr>
          <w:rFonts w:hint="eastAsia" w:ascii="宋体" w:hAnsi="宋体"/>
          <w:sz w:val="24"/>
          <w:lang w:eastAsia="zh-CN"/>
        </w:rPr>
        <w:t>投标人</w:t>
      </w:r>
      <w:r>
        <w:rPr>
          <w:rFonts w:hint="eastAsia" w:ascii="宋体" w:hAnsi="宋体"/>
          <w:sz w:val="24"/>
        </w:rPr>
        <w:t>须对项目所在地进行现场踏勘，充分了解项目实际、交通、周边状况等。</w:t>
      </w:r>
    </w:p>
    <w:p>
      <w:pPr>
        <w:pStyle w:val="27"/>
        <w:keepNext w:val="0"/>
        <w:keepLines w:val="0"/>
        <w:pageBreakBefore w:val="0"/>
        <w:kinsoku/>
        <w:wordWrap/>
        <w:overflowPunct/>
        <w:topLinePunct w:val="0"/>
        <w:bidi w:val="0"/>
        <w:adjustRightInd/>
        <w:snapToGrid/>
        <w:spacing w:beforeLines="0" w:afterLines="0" w:line="360" w:lineRule="auto"/>
        <w:ind w:right="0" w:firstLine="480" w:firstLineChars="200"/>
        <w:rPr>
          <w:rFonts w:hAnsi="宋体" w:cs="宋体"/>
          <w:szCs w:val="24"/>
        </w:rPr>
      </w:pPr>
      <w:r>
        <w:rPr>
          <w:rFonts w:hint="eastAsia" w:hAnsi="宋体" w:cs="宋体"/>
          <w:szCs w:val="24"/>
        </w:rPr>
        <w:t>（2）招投标双方应分别为对方在</w:t>
      </w:r>
      <w:r>
        <w:rPr>
          <w:rFonts w:hint="eastAsia" w:hAnsi="宋体" w:cs="宋体"/>
          <w:szCs w:val="24"/>
          <w:lang w:eastAsia="zh-CN"/>
        </w:rPr>
        <w:t>招标</w:t>
      </w:r>
      <w:r>
        <w:rPr>
          <w:rFonts w:hint="eastAsia" w:hAnsi="宋体" w:cs="宋体"/>
          <w:szCs w:val="24"/>
        </w:rPr>
        <w:t>文件和</w:t>
      </w:r>
      <w:r>
        <w:rPr>
          <w:rFonts w:hint="eastAsia" w:hAnsi="宋体" w:cs="宋体"/>
          <w:szCs w:val="24"/>
          <w:lang w:eastAsia="zh-CN"/>
        </w:rPr>
        <w:t>投标</w:t>
      </w:r>
      <w:r>
        <w:rPr>
          <w:rFonts w:hint="eastAsia" w:hAnsi="宋体" w:cs="宋体"/>
          <w:szCs w:val="24"/>
        </w:rPr>
        <w:t>文件中涉及的商业和技术等秘密保密，违者应对由此造成的后果承担责任。中标单位在项目整个活动中，要注意安全生产，项目服务期间发生的所有安全责任事故，由中标单位负全部责任。</w:t>
      </w:r>
    </w:p>
    <w:p>
      <w:pPr>
        <w:keepNext w:val="0"/>
        <w:keepLines w:val="0"/>
        <w:pageBreakBefore w:val="0"/>
        <w:kinsoku/>
        <w:wordWrap/>
        <w:overflowPunct/>
        <w:topLinePunct w:val="0"/>
        <w:bidi w:val="0"/>
        <w:adjustRightInd/>
        <w:snapToGrid/>
        <w:spacing w:line="360" w:lineRule="auto"/>
        <w:ind w:right="0" w:firstLine="482" w:firstLineChars="200"/>
        <w:rPr>
          <w:rFonts w:ascii="黑体" w:hAnsi="黑体" w:eastAsia="黑体" w:cs="宋体"/>
          <w:b/>
          <w:bCs/>
          <w:color w:val="0D0D0D"/>
          <w:sz w:val="32"/>
          <w:szCs w:val="32"/>
        </w:rPr>
        <w:sectPr>
          <w:headerReference r:id="rId15" w:type="default"/>
          <w:footerReference r:id="rId16" w:type="default"/>
          <w:type w:val="continuous"/>
          <w:pgSz w:w="11906" w:h="16838"/>
          <w:pgMar w:top="1327" w:right="1349" w:bottom="1327" w:left="1633" w:header="851" w:footer="992" w:gutter="0"/>
          <w:cols w:space="0" w:num="1"/>
          <w:docGrid w:type="lines" w:linePitch="312" w:charSpace="0"/>
        </w:sectPr>
      </w:pPr>
      <w:r>
        <w:rPr>
          <w:rFonts w:hint="eastAsia" w:ascii="宋体" w:hAnsi="宋体" w:cs="宋体"/>
          <w:b/>
          <w:bCs/>
          <w:sz w:val="24"/>
        </w:rPr>
        <w:t>（3）本</w:t>
      </w:r>
      <w:r>
        <w:rPr>
          <w:rFonts w:hint="eastAsia" w:ascii="宋体" w:hAnsi="宋体" w:eastAsia="宋体" w:cs="宋体"/>
          <w:b/>
          <w:bCs/>
          <w:sz w:val="24"/>
        </w:rPr>
        <w:t>项目是江北街道智慧垃圾分类系统(</w:t>
      </w:r>
      <w:r>
        <w:rPr>
          <w:rFonts w:hint="eastAsia" w:ascii="宋体" w:hAnsi="宋体" w:eastAsia="宋体" w:cs="宋体"/>
          <w:b/>
          <w:bCs/>
          <w:sz w:val="24"/>
          <w:lang w:eastAsia="zh-CN"/>
        </w:rPr>
        <w:t>三</w:t>
      </w:r>
      <w:r>
        <w:rPr>
          <w:rFonts w:hint="eastAsia" w:ascii="宋体" w:hAnsi="宋体" w:eastAsia="宋体" w:cs="宋体"/>
          <w:b/>
          <w:bCs/>
          <w:sz w:val="24"/>
        </w:rPr>
        <w:t>期)</w:t>
      </w:r>
      <w:r>
        <w:rPr>
          <w:rFonts w:hint="eastAsia" w:ascii="宋体" w:hAnsi="宋体" w:eastAsia="宋体" w:cs="宋体"/>
          <w:b/>
          <w:bCs/>
          <w:sz w:val="24"/>
          <w:lang w:eastAsia="zh-CN"/>
        </w:rPr>
        <w:t>建设</w:t>
      </w:r>
      <w:r>
        <w:rPr>
          <w:rFonts w:hint="eastAsia" w:ascii="宋体" w:hAnsi="宋体" w:eastAsia="宋体" w:cs="宋体"/>
          <w:b/>
          <w:bCs/>
          <w:sz w:val="24"/>
        </w:rPr>
        <w:t>及运营服务项目。鉴于江北街道智慧垃圾分类系统一</w:t>
      </w:r>
      <w:r>
        <w:rPr>
          <w:rFonts w:hint="eastAsia" w:ascii="宋体" w:hAnsi="宋体" w:eastAsia="宋体" w:cs="宋体"/>
          <w:b/>
          <w:bCs/>
          <w:sz w:val="24"/>
          <w:lang w:eastAsia="zh-CN"/>
        </w:rPr>
        <w:t>、二</w:t>
      </w:r>
      <w:r>
        <w:rPr>
          <w:rFonts w:hint="eastAsia" w:ascii="宋体" w:hAnsi="宋体" w:eastAsia="宋体" w:cs="宋体"/>
          <w:b/>
          <w:bCs/>
          <w:sz w:val="24"/>
        </w:rPr>
        <w:t>期项目已经实施，因此要求</w:t>
      </w:r>
      <w:r>
        <w:rPr>
          <w:rFonts w:hint="eastAsia" w:ascii="宋体" w:hAnsi="宋体" w:eastAsia="宋体" w:cs="宋体"/>
          <w:b/>
          <w:bCs/>
          <w:sz w:val="24"/>
          <w:lang w:eastAsia="zh-CN"/>
        </w:rPr>
        <w:t>投标人</w:t>
      </w:r>
      <w:r>
        <w:rPr>
          <w:rFonts w:hint="eastAsia" w:ascii="宋体" w:hAnsi="宋体" w:eastAsia="宋体" w:cs="宋体"/>
          <w:b/>
          <w:bCs/>
          <w:sz w:val="24"/>
        </w:rPr>
        <w:t>必须具备江北街道智慧垃圾分类系统平台</w:t>
      </w:r>
      <w:r>
        <w:rPr>
          <w:rFonts w:hint="eastAsia" w:ascii="宋体" w:hAnsi="宋体" w:eastAsia="宋体" w:cs="宋体"/>
          <w:b/>
          <w:bCs/>
          <w:sz w:val="24"/>
          <w:lang w:eastAsia="zh-CN"/>
        </w:rPr>
        <w:t>运营能力，并具备与东阳市级</w:t>
      </w:r>
      <w:r>
        <w:rPr>
          <w:rFonts w:hint="eastAsia" w:ascii="宋体" w:hAnsi="宋体" w:eastAsia="宋体" w:cs="宋体"/>
          <w:b/>
          <w:bCs/>
          <w:sz w:val="24"/>
        </w:rPr>
        <w:t>智慧垃圾分类系统运营</w:t>
      </w:r>
      <w:r>
        <w:rPr>
          <w:rFonts w:hint="eastAsia" w:ascii="宋体" w:hAnsi="宋体" w:eastAsia="宋体" w:cs="宋体"/>
          <w:b/>
          <w:bCs/>
          <w:sz w:val="24"/>
          <w:lang w:eastAsia="zh-CN"/>
        </w:rPr>
        <w:t>平台</w:t>
      </w:r>
      <w:r>
        <w:rPr>
          <w:rFonts w:hint="eastAsia" w:ascii="宋体" w:hAnsi="宋体" w:eastAsia="宋体" w:cs="宋体"/>
          <w:b/>
          <w:bCs/>
          <w:sz w:val="24"/>
        </w:rPr>
        <w:t>的无缝对接能力（</w:t>
      </w:r>
      <w:r>
        <w:rPr>
          <w:rFonts w:hint="eastAsia" w:ascii="宋体" w:hAnsi="宋体" w:eastAsia="宋体" w:cs="宋体"/>
          <w:b/>
          <w:bCs/>
          <w:sz w:val="24"/>
          <w:lang w:eastAsia="zh-CN"/>
        </w:rPr>
        <w:t>投标人</w:t>
      </w:r>
      <w:r>
        <w:rPr>
          <w:rFonts w:hint="eastAsia" w:ascii="宋体" w:hAnsi="宋体" w:eastAsia="宋体" w:cs="宋体"/>
          <w:b/>
          <w:bCs/>
          <w:sz w:val="24"/>
        </w:rPr>
        <w:t>须提供相关对接方案及证明材料</w:t>
      </w:r>
      <w:r>
        <w:rPr>
          <w:rFonts w:hint="eastAsia" w:ascii="宋体" w:hAnsi="宋体" w:cs="宋体"/>
          <w:b/>
          <w:bCs/>
          <w:sz w:val="24"/>
        </w:rPr>
        <w:t>）。</w:t>
      </w:r>
    </w:p>
    <w:p>
      <w:pPr>
        <w:pStyle w:val="55"/>
        <w:ind w:left="0" w:leftChars="0" w:firstLine="0" w:firstLineChars="0"/>
        <w:rPr>
          <w:rFonts w:hint="eastAsia"/>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黑体" w:hAnsi="黑体" w:eastAsia="黑体" w:cs="宋体"/>
          <w:b/>
          <w:bCs/>
          <w:color w:val="0D0D0D"/>
          <w:sz w:val="32"/>
          <w:szCs w:val="32"/>
        </w:rPr>
      </w:pPr>
      <w:r>
        <w:rPr>
          <w:rFonts w:hint="eastAsia" w:ascii="黑体" w:hAnsi="黑体" w:eastAsia="黑体" w:cs="宋体"/>
          <w:b/>
          <w:bCs/>
          <w:color w:val="0D0D0D"/>
          <w:sz w:val="32"/>
          <w:szCs w:val="32"/>
        </w:rPr>
        <w:t>第三章   投标人须知</w:t>
      </w:r>
    </w:p>
    <w:p>
      <w:pPr>
        <w:snapToGrid w:val="0"/>
        <w:spacing w:line="360" w:lineRule="auto"/>
        <w:jc w:val="right"/>
        <w:outlineLvl w:val="1"/>
        <w:rPr>
          <w:rFonts w:ascii="宋体" w:cs="宋体"/>
          <w:sz w:val="24"/>
        </w:rPr>
      </w:pPr>
      <w:r>
        <w:rPr>
          <w:rFonts w:hint="eastAsia" w:ascii="宋体" w:hAnsi="宋体" w:cs="宋体"/>
          <w:sz w:val="24"/>
        </w:rPr>
        <w:t>前附表</w:t>
      </w:r>
    </w:p>
    <w:tbl>
      <w:tblPr>
        <w:tblStyle w:val="46"/>
        <w:tblW w:w="957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4"/>
        <w:gridCol w:w="88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hint="eastAsia" w:ascii="宋体" w:hAnsi="宋体" w:cs="宋体"/>
                <w:sz w:val="24"/>
              </w:rPr>
              <w:t>序号</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hint="eastAsia" w:ascii="宋体" w:hAnsi="宋体" w:cs="宋体"/>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w:t>
            </w:r>
          </w:p>
        </w:tc>
        <w:tc>
          <w:tcPr>
            <w:tcW w:w="8822" w:type="dxa"/>
            <w:tcBorders>
              <w:top w:val="single" w:color="auto" w:sz="4" w:space="0"/>
              <w:left w:val="single" w:color="auto" w:sz="4" w:space="0"/>
              <w:bottom w:val="single" w:color="auto" w:sz="4" w:space="0"/>
            </w:tcBorders>
            <w:vAlign w:val="center"/>
          </w:tcPr>
          <w:p>
            <w:pPr>
              <w:pStyle w:val="27"/>
              <w:keepNext w:val="0"/>
              <w:keepLines w:val="0"/>
              <w:pageBreakBefore w:val="0"/>
              <w:widowControl w:val="0"/>
              <w:kinsoku/>
              <w:wordWrap/>
              <w:overflowPunct/>
              <w:topLinePunct w:val="0"/>
              <w:bidi w:val="0"/>
              <w:adjustRightInd/>
              <w:snapToGrid/>
              <w:spacing w:beforeLines="0" w:afterLines="0" w:line="400" w:lineRule="exact"/>
              <w:ind w:left="0" w:hanging="1190" w:hangingChars="496"/>
              <w:rPr>
                <w:rFonts w:hint="eastAsia" w:eastAsia="宋体"/>
                <w:lang w:eastAsia="zh-CN"/>
              </w:rPr>
            </w:pPr>
            <w:r>
              <w:rPr>
                <w:rFonts w:hint="eastAsia"/>
              </w:rPr>
              <w:t>项目名称：</w:t>
            </w:r>
            <w:r>
              <w:rPr>
                <w:rFonts w:hint="eastAsia"/>
                <w:lang w:eastAsia="zh-CN"/>
              </w:rPr>
              <w:t>江北街道智慧垃圾分类系统建设及运营服务（三期）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2</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sz w:val="24"/>
              </w:rPr>
            </w:pPr>
            <w:r>
              <w:rPr>
                <w:rFonts w:hint="eastAsia" w:ascii="宋体" w:hAnsi="宋体" w:cs="宋体"/>
                <w:sz w:val="24"/>
              </w:rPr>
              <w:t>投标报价及费用：</w:t>
            </w:r>
          </w:p>
          <w:p>
            <w:pPr>
              <w:keepNext w:val="0"/>
              <w:keepLines w:val="0"/>
              <w:pageBreakBefore w:val="0"/>
              <w:widowControl w:val="0"/>
              <w:kinsoku/>
              <w:wordWrap/>
              <w:overflowPunct/>
              <w:topLinePunct w:val="0"/>
              <w:bidi w:val="0"/>
              <w:adjustRightInd/>
              <w:snapToGrid/>
              <w:spacing w:line="400" w:lineRule="exact"/>
              <w:ind w:left="0"/>
              <w:rPr>
                <w:rFonts w:ascii="宋体" w:cs="宋体"/>
                <w:sz w:val="24"/>
              </w:rPr>
            </w:pPr>
            <w:r>
              <w:rPr>
                <w:rFonts w:ascii="宋体" w:hAnsi="宋体" w:cs="宋体"/>
                <w:sz w:val="24"/>
              </w:rPr>
              <w:t>1</w:t>
            </w:r>
            <w:r>
              <w:rPr>
                <w:rFonts w:hint="eastAsia" w:ascii="宋体" w:hAnsi="宋体" w:cs="宋体"/>
                <w:sz w:val="24"/>
              </w:rPr>
              <w:t>、本项目投标应以人民币报价。</w:t>
            </w:r>
          </w:p>
          <w:p>
            <w:pPr>
              <w:keepNext w:val="0"/>
              <w:keepLines w:val="0"/>
              <w:pageBreakBefore w:val="0"/>
              <w:widowControl w:val="0"/>
              <w:kinsoku/>
              <w:wordWrap/>
              <w:overflowPunct/>
              <w:topLinePunct w:val="0"/>
              <w:bidi w:val="0"/>
              <w:adjustRightInd/>
              <w:snapToGrid/>
              <w:spacing w:line="400" w:lineRule="exact"/>
              <w:ind w:left="0"/>
              <w:rPr>
                <w:rFonts w:ascii="宋体" w:cs="宋体"/>
                <w:sz w:val="24"/>
              </w:rPr>
            </w:pPr>
            <w:r>
              <w:rPr>
                <w:rFonts w:ascii="宋体" w:hAnsi="宋体" w:cs="宋体"/>
                <w:sz w:val="24"/>
              </w:rPr>
              <w:t>2</w:t>
            </w:r>
            <w:r>
              <w:rPr>
                <w:rFonts w:hint="eastAsia" w:ascii="宋体" w:hAnsi="宋体" w:cs="宋体"/>
                <w:sz w:val="24"/>
              </w:rPr>
              <w:t>、</w:t>
            </w:r>
            <w:r>
              <w:rPr>
                <w:rFonts w:hint="eastAsia" w:ascii="宋体" w:hAnsi="宋体" w:cs="宋体"/>
                <w:b/>
                <w:sz w:val="24"/>
              </w:rPr>
              <w:t>本项目最高限价：详见招标需求。</w:t>
            </w:r>
            <w:r>
              <w:rPr>
                <w:rFonts w:hint="eastAsia" w:ascii="宋体" w:hAnsi="宋体" w:cs="宋体"/>
                <w:sz w:val="24"/>
              </w:rPr>
              <w:t>投标单位必须按招标需求的要求报价，并且报价不得高于或等于最高限价，否则作废标处理。</w:t>
            </w:r>
          </w:p>
          <w:p>
            <w:pPr>
              <w:keepNext w:val="0"/>
              <w:keepLines w:val="0"/>
              <w:pageBreakBefore w:val="0"/>
              <w:widowControl w:val="0"/>
              <w:kinsoku/>
              <w:wordWrap/>
              <w:overflowPunct/>
              <w:topLinePunct w:val="0"/>
              <w:bidi w:val="0"/>
              <w:adjustRightInd/>
              <w:snapToGrid/>
              <w:spacing w:line="400" w:lineRule="exact"/>
              <w:ind w:left="0"/>
              <w:rPr>
                <w:rFonts w:ascii="宋体" w:cs="宋体"/>
                <w:sz w:val="24"/>
              </w:rPr>
            </w:pPr>
            <w:r>
              <w:rPr>
                <w:rFonts w:ascii="宋体" w:hAnsi="宋体" w:cs="宋体"/>
                <w:sz w:val="24"/>
              </w:rPr>
              <w:t>3</w:t>
            </w:r>
            <w:r>
              <w:rPr>
                <w:rFonts w:hint="eastAsia" w:ascii="宋体" w:hAnsi="宋体" w:cs="宋体"/>
                <w:sz w:val="24"/>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3</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color w:val="0D0D0D"/>
                <w:sz w:val="24"/>
              </w:rPr>
              <w:t>答疑与澄清：投标人如认为招标文件表述不清晰、存在歧视性、排他性或者其他违法内容的，应当于</w:t>
            </w:r>
            <w:r>
              <w:rPr>
                <w:rFonts w:ascii="宋体" w:hAnsi="宋体" w:cs="宋体"/>
                <w:color w:val="0D0D0D"/>
                <w:sz w:val="24"/>
              </w:rPr>
              <w:t>20</w:t>
            </w:r>
            <w:r>
              <w:rPr>
                <w:rFonts w:hint="eastAsia" w:ascii="宋体" w:hAnsi="宋体" w:cs="宋体"/>
                <w:color w:val="0D0D0D"/>
                <w:sz w:val="24"/>
              </w:rPr>
              <w:t>2</w:t>
            </w:r>
            <w:r>
              <w:rPr>
                <w:rFonts w:hint="eastAsia" w:ascii="宋体" w:hAnsi="宋体" w:cs="宋体"/>
                <w:color w:val="0D0D0D"/>
                <w:sz w:val="24"/>
                <w:lang w:val="en-US" w:eastAsia="zh-CN"/>
              </w:rPr>
              <w:t>2</w:t>
            </w:r>
            <w:r>
              <w:rPr>
                <w:rFonts w:hint="eastAsia" w:ascii="宋体" w:hAnsi="宋体" w:cs="宋体"/>
                <w:color w:val="0D0D0D"/>
                <w:sz w:val="24"/>
              </w:rPr>
              <w:t>年</w:t>
            </w:r>
            <w:r>
              <w:rPr>
                <w:rFonts w:hint="eastAsia" w:ascii="宋体" w:hAnsi="宋体" w:cs="宋体"/>
                <w:color w:val="0D0D0D"/>
                <w:sz w:val="24"/>
                <w:lang w:val="en-US" w:eastAsia="zh-CN"/>
              </w:rPr>
              <w:t>8</w:t>
            </w:r>
            <w:r>
              <w:rPr>
                <w:rFonts w:hint="eastAsia" w:ascii="宋体" w:hAnsi="宋体" w:cs="宋体"/>
                <w:color w:val="0D0D0D"/>
                <w:sz w:val="24"/>
              </w:rPr>
              <w:t>月</w:t>
            </w:r>
            <w:r>
              <w:rPr>
                <w:rFonts w:hint="eastAsia" w:ascii="宋体" w:hAnsi="宋体" w:cs="宋体"/>
                <w:color w:val="0D0D0D"/>
                <w:sz w:val="24"/>
                <w:lang w:val="en-US" w:eastAsia="zh-CN"/>
              </w:rPr>
              <w:t>22</w:t>
            </w:r>
            <w:r>
              <w:rPr>
                <w:rFonts w:hint="eastAsia" w:ascii="宋体" w:hAnsi="宋体" w:cs="宋体"/>
                <w:color w:val="0D0D0D"/>
                <w:sz w:val="24"/>
              </w:rPr>
              <w:t>日</w:t>
            </w:r>
            <w:r>
              <w:rPr>
                <w:rFonts w:ascii="宋体" w:hAnsi="宋体" w:cs="宋体"/>
                <w:color w:val="0D0D0D"/>
                <w:sz w:val="24"/>
              </w:rPr>
              <w:t>16:00</w:t>
            </w:r>
            <w:r>
              <w:rPr>
                <w:rFonts w:hint="eastAsia" w:ascii="宋体" w:hAnsi="宋体" w:cs="宋体"/>
                <w:color w:val="0D0D0D"/>
                <w:sz w:val="24"/>
              </w:rPr>
              <w:t>前，以书面形式要求招标采购单位作出书面解释、澄清或者向招标采购单位提出书面质疑（超过此规定时间的质疑函将不予受理）。答疑内容将于投标截止日期</w:t>
            </w:r>
            <w:r>
              <w:rPr>
                <w:rFonts w:ascii="宋体" w:hAnsi="宋体" w:cs="宋体"/>
                <w:color w:val="0D0D0D"/>
                <w:sz w:val="24"/>
              </w:rPr>
              <w:t>5</w:t>
            </w:r>
            <w:r>
              <w:rPr>
                <w:rFonts w:hint="eastAsia" w:ascii="宋体" w:hAnsi="宋体" w:cs="宋体"/>
                <w:color w:val="0D0D0D"/>
                <w:sz w:val="24"/>
              </w:rPr>
              <w:t>天前以网上发布公告的形式通知；如果答疑、澄清或修改的内容可能影响投标文件编制的，招标采购单位将于投标截止日期</w:t>
            </w:r>
            <w:r>
              <w:rPr>
                <w:rFonts w:ascii="宋体" w:hAnsi="宋体" w:cs="宋体"/>
                <w:color w:val="0D0D0D"/>
                <w:sz w:val="24"/>
              </w:rPr>
              <w:t>15</w:t>
            </w:r>
            <w:r>
              <w:rPr>
                <w:rFonts w:hint="eastAsia" w:ascii="宋体" w:hAnsi="宋体" w:cs="宋体"/>
                <w:color w:val="0D0D0D"/>
                <w:sz w:val="24"/>
              </w:rPr>
              <w:t>天前以网上公告的形式通知所有已报名的投标人，答疑内容是招标文件的组成部分。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4</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textAlignment w:val="bottom"/>
              <w:rPr>
                <w:rFonts w:ascii="宋体" w:hAnsi="宋体" w:cs="宋体"/>
                <w:sz w:val="24"/>
              </w:rPr>
            </w:pPr>
            <w:r>
              <w:rPr>
                <w:rFonts w:hint="eastAsia" w:ascii="宋体" w:hAnsi="宋体" w:cs="宋体"/>
                <w:sz w:val="24"/>
              </w:rPr>
              <w:t>投标文件组成：▲1、本项目实行“网上投标、电子评标”，投标人应于投标截止时间前在“政采云”（电子交易平台）上传输、递交电子版投标文件（包括资格审查文件、商务技术文件和报价文件）；</w:t>
            </w:r>
          </w:p>
          <w:p>
            <w:pPr>
              <w:keepNext w:val="0"/>
              <w:keepLines w:val="0"/>
              <w:pageBreakBefore w:val="0"/>
              <w:widowControl w:val="0"/>
              <w:numPr>
                <w:ilvl w:val="0"/>
                <w:numId w:val="9"/>
              </w:numPr>
              <w:kinsoku/>
              <w:wordWrap/>
              <w:overflowPunct/>
              <w:topLinePunct w:val="0"/>
              <w:autoSpaceDE w:val="0"/>
              <w:autoSpaceDN w:val="0"/>
              <w:bidi w:val="0"/>
              <w:adjustRightInd/>
              <w:snapToGrid/>
              <w:spacing w:line="400" w:lineRule="exact"/>
              <w:ind w:left="0"/>
              <w:textAlignment w:val="bottom"/>
              <w:rPr>
                <w:rFonts w:ascii="宋体" w:hAnsi="宋体" w:cs="宋体"/>
                <w:sz w:val="24"/>
              </w:rPr>
            </w:pPr>
            <w:r>
              <w:rPr>
                <w:rFonts w:hint="eastAsia" w:ascii="宋体" w:hAnsi="宋体" w:cs="宋体"/>
                <w:sz w:val="24"/>
              </w:rPr>
              <w:t>为了避免由于电子交易平台无法正常运行等技术、安全故障原因造成投标文件无法解密或解密失败，导致投标无效的情况，投标人可以在投标截止时间前将电子备份投标文件（经政采云电子交易客户端和CA驱动制作出的后缀名为“bfbs”的加密电子备份投标文件）发送至金华市金诚招投标代理有限公司邮箱：284875264@qq.com，逾期发送或发错后缀名的备份投标文件将被视为无效；</w:t>
            </w:r>
          </w:p>
          <w:p>
            <w:pPr>
              <w:keepNext w:val="0"/>
              <w:keepLines w:val="0"/>
              <w:pageBreakBefore w:val="0"/>
              <w:widowControl w:val="0"/>
              <w:kinsoku/>
              <w:wordWrap/>
              <w:overflowPunct/>
              <w:topLinePunct w:val="0"/>
              <w:autoSpaceDE w:val="0"/>
              <w:autoSpaceDN w:val="0"/>
              <w:bidi w:val="0"/>
              <w:adjustRightInd/>
              <w:snapToGrid/>
              <w:spacing w:line="400" w:lineRule="exact"/>
              <w:ind w:left="0"/>
              <w:textAlignment w:val="bottom"/>
              <w:rPr>
                <w:rFonts w:ascii="宋体" w:hAnsi="宋体" w:cs="宋体"/>
                <w:sz w:val="24"/>
              </w:rPr>
            </w:pPr>
            <w:r>
              <w:rPr>
                <w:rFonts w:hint="eastAsia" w:ascii="宋体" w:hAnsi="宋体" w:cs="宋体"/>
                <w:sz w:val="24"/>
              </w:rPr>
              <w:t>3、投标人仅提交电子备份投标文件的，投标无效；</w:t>
            </w:r>
          </w:p>
          <w:p>
            <w:pPr>
              <w:keepNext w:val="0"/>
              <w:keepLines w:val="0"/>
              <w:pageBreakBefore w:val="0"/>
              <w:widowControl w:val="0"/>
              <w:kinsoku/>
              <w:wordWrap/>
              <w:overflowPunct/>
              <w:topLinePunct w:val="0"/>
              <w:autoSpaceDE w:val="0"/>
              <w:autoSpaceDN w:val="0"/>
              <w:bidi w:val="0"/>
              <w:adjustRightInd/>
              <w:snapToGrid/>
              <w:spacing w:line="400" w:lineRule="exact"/>
              <w:ind w:left="0"/>
              <w:textAlignment w:val="bottom"/>
              <w:rPr>
                <w:rFonts w:ascii="宋体" w:hAnsi="宋体" w:cs="宋体"/>
                <w:color w:val="0D0D0D"/>
                <w:sz w:val="24"/>
              </w:rPr>
            </w:pPr>
            <w:r>
              <w:rPr>
                <w:rFonts w:hint="eastAsia" w:ascii="宋体" w:hAnsi="宋体" w:cs="宋体"/>
                <w:sz w:val="24"/>
              </w:rPr>
              <w:t>4、本项目不强制投标人提交电子备份投标文件；如在开评标时出现电子投标文件无法解密或解密失败等情况，因投标人未提供电子备份投标文件而造成投标无效等一切后果和风险由投标人自行承担。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5</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sz w:val="24"/>
              </w:rPr>
            </w:pPr>
            <w:r>
              <w:rPr>
                <w:rFonts w:hint="eastAsia" w:ascii="宋体" w:hAnsi="宋体" w:cs="宋体"/>
                <w:sz w:val="24"/>
              </w:rPr>
              <w:t>投标截止时间及地点：</w:t>
            </w:r>
          </w:p>
          <w:p>
            <w:pPr>
              <w:keepNext w:val="0"/>
              <w:keepLines w:val="0"/>
              <w:pageBreakBefore w:val="0"/>
              <w:widowControl w:val="0"/>
              <w:kinsoku/>
              <w:wordWrap/>
              <w:overflowPunct/>
              <w:topLinePunct w:val="0"/>
              <w:bidi w:val="0"/>
              <w:adjustRightInd/>
              <w:snapToGrid/>
              <w:spacing w:line="400" w:lineRule="exact"/>
              <w:ind w:left="0"/>
              <w:rPr>
                <w:rFonts w:ascii="宋体" w:hAnsi="宋体" w:cs="宋体"/>
                <w:sz w:val="24"/>
              </w:rPr>
            </w:pPr>
            <w:r>
              <w:rPr>
                <w:rFonts w:hint="eastAsia" w:ascii="宋体" w:hAnsi="宋体" w:cs="宋体"/>
                <w:sz w:val="24"/>
              </w:rPr>
              <w:t>1、投标人应当在202</w:t>
            </w:r>
            <w:r>
              <w:rPr>
                <w:rFonts w:hint="eastAsia" w:ascii="宋体" w:hAnsi="宋体" w:cs="宋体"/>
                <w:sz w:val="24"/>
                <w:lang w:val="en-US" w:eastAsia="zh-CN"/>
              </w:rPr>
              <w:t>2</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w:t>
            </w:r>
            <w:r>
              <w:rPr>
                <w:rFonts w:hint="eastAsia" w:ascii="宋体" w:hAnsi="宋体" w:cs="宋体"/>
                <w:sz w:val="24"/>
                <w:lang w:val="en-US" w:eastAsia="zh-CN"/>
              </w:rPr>
              <w:t>13</w:t>
            </w:r>
            <w:r>
              <w:rPr>
                <w:rFonts w:hint="eastAsia" w:ascii="宋体" w:hAnsi="宋体" w:cs="宋体"/>
                <w:sz w:val="24"/>
              </w:rPr>
              <w:t>时</w:t>
            </w:r>
            <w:r>
              <w:rPr>
                <w:rFonts w:hint="default" w:ascii="宋体" w:hAnsi="宋体" w:cs="宋体"/>
                <w:sz w:val="24"/>
                <w:lang w:val="en-US"/>
              </w:rPr>
              <w:t>3</w:t>
            </w:r>
            <w:r>
              <w:rPr>
                <w:rFonts w:hint="eastAsia" w:ascii="宋体" w:hAnsi="宋体" w:cs="宋体"/>
                <w:sz w:val="24"/>
              </w:rPr>
              <w:t>0分前在“政采云”（电子交易平台）上自行上传加密的电子投标文件。投标截止时间后递交的电子投标文件，将被政采云平台拒收。</w:t>
            </w:r>
          </w:p>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rPr>
              <w:t>2、电子备份投标文件的递交时间：投标人应当在202</w:t>
            </w:r>
            <w:r>
              <w:rPr>
                <w:rFonts w:hint="eastAsia" w:ascii="宋体" w:hAnsi="宋体" w:cs="宋体"/>
                <w:sz w:val="24"/>
                <w:lang w:val="en-US" w:eastAsia="zh-CN"/>
              </w:rPr>
              <w:t>2</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w:t>
            </w:r>
            <w:r>
              <w:rPr>
                <w:rFonts w:hint="eastAsia" w:ascii="宋体" w:hAnsi="宋体" w:cs="宋体"/>
                <w:sz w:val="24"/>
                <w:lang w:val="en-US" w:eastAsia="zh-CN"/>
              </w:rPr>
              <w:t>13</w:t>
            </w:r>
            <w:r>
              <w:rPr>
                <w:rFonts w:hint="eastAsia" w:ascii="宋体" w:hAnsi="宋体" w:cs="宋体"/>
                <w:sz w:val="24"/>
              </w:rPr>
              <w:t>时</w:t>
            </w:r>
            <w:r>
              <w:rPr>
                <w:rFonts w:hint="default" w:ascii="宋体" w:hAnsi="宋体" w:cs="宋体"/>
                <w:sz w:val="24"/>
                <w:lang w:val="en-US"/>
              </w:rPr>
              <w:t>3</w:t>
            </w:r>
            <w:r>
              <w:rPr>
                <w:rFonts w:hint="eastAsia" w:ascii="宋体" w:hAnsi="宋体" w:cs="宋体"/>
                <w:sz w:val="24"/>
              </w:rPr>
              <w:t>0分前，逾期未递交的视为自动放弃。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6</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sz w:val="24"/>
              </w:rPr>
            </w:pPr>
            <w:r>
              <w:rPr>
                <w:rFonts w:hint="eastAsia" w:ascii="宋体" w:hAnsi="宋体" w:cs="宋体"/>
                <w:sz w:val="24"/>
              </w:rPr>
              <w:t>开标时间：202</w:t>
            </w:r>
            <w:r>
              <w:rPr>
                <w:rFonts w:hint="eastAsia" w:ascii="宋体" w:hAnsi="宋体" w:cs="宋体"/>
                <w:sz w:val="24"/>
                <w:lang w:val="en-US" w:eastAsia="zh-CN"/>
              </w:rPr>
              <w:t>2</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w:t>
            </w:r>
            <w:r>
              <w:rPr>
                <w:rFonts w:hint="eastAsia" w:ascii="宋体" w:hAnsi="宋体" w:cs="宋体"/>
                <w:sz w:val="24"/>
                <w:lang w:val="en-US" w:eastAsia="zh-CN"/>
              </w:rPr>
              <w:t>13</w:t>
            </w:r>
            <w:r>
              <w:rPr>
                <w:rFonts w:hint="eastAsia" w:ascii="宋体" w:hAnsi="宋体" w:cs="宋体"/>
                <w:sz w:val="24"/>
              </w:rPr>
              <w:t>时</w:t>
            </w:r>
            <w:r>
              <w:rPr>
                <w:rFonts w:hint="default" w:ascii="宋体" w:hAnsi="宋体" w:cs="宋体"/>
                <w:sz w:val="24"/>
                <w:lang w:val="en-US"/>
              </w:rPr>
              <w:t>3</w:t>
            </w:r>
            <w:r>
              <w:rPr>
                <w:rFonts w:hint="eastAsia" w:ascii="宋体" w:hAnsi="宋体" w:cs="宋体"/>
                <w:sz w:val="24"/>
              </w:rPr>
              <w:t>0分</w:t>
            </w:r>
          </w:p>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rPr>
              <w:t>截止开标时间，政采云（电子交易平台）自动提取所有投标文件，投标人须在开标时间截止后</w:t>
            </w:r>
            <w:r>
              <w:rPr>
                <w:rFonts w:hint="eastAsia" w:ascii="宋体" w:hAnsi="宋体" w:cs="宋体"/>
                <w:sz w:val="24"/>
                <w:lang w:val="en-US" w:eastAsia="zh-CN"/>
              </w:rPr>
              <w:t>30</w:t>
            </w:r>
            <w:r>
              <w:rPr>
                <w:rFonts w:hint="eastAsia" w:ascii="宋体" w:hAnsi="宋体" w:cs="宋体"/>
                <w:sz w:val="24"/>
              </w:rPr>
              <w:t>分钟内对上传政采云的投标文件进行解密，所有投标人在规定的解密时限内解密完成或解密时限到后，采购代理机构开启投标文件；投标人超过解密时限的，系统默认自动放弃。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7</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color w:val="0D0D0D"/>
                <w:sz w:val="24"/>
              </w:rPr>
              <w:t>评标办法：综合评分法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8</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rPr>
              <w:t>现场踏勘：投标人自行组织现场踏勘。现场踏勘所发生费用由投标方自行承担，踏勘期间发生人身或交通安全等大小事故，一切责任和经济补偿均由投标单位负责。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9</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color w:val="0D0D0D"/>
                <w:sz w:val="24"/>
              </w:rPr>
              <w:t>中标结果公告：评标结束后2天内，中标结果公告于浙江省政府采购网(</w:t>
            </w:r>
            <w:r>
              <w:rPr>
                <w:rStyle w:val="53"/>
                <w:rFonts w:hint="eastAsia" w:ascii="宋体" w:hAnsi="宋体" w:cs="宋体"/>
                <w:color w:val="auto"/>
                <w:sz w:val="24"/>
                <w:szCs w:val="22"/>
              </w:rPr>
              <w:t>https://zfcg.czt.zj.gov.cn/</w:t>
            </w:r>
            <w:r>
              <w:rPr>
                <w:rFonts w:hint="eastAsia" w:ascii="宋体" w:hAnsi="宋体" w:cs="宋体"/>
                <w:color w:val="0D0D0D"/>
                <w:sz w:val="24"/>
              </w:rPr>
              <w:t>)、东阳市公共资源交易网(</w:t>
            </w:r>
            <w:r>
              <w:rPr>
                <w:rStyle w:val="53"/>
                <w:rFonts w:hint="eastAsia" w:ascii="宋体" w:hAnsi="宋体" w:cs="宋体"/>
                <w:color w:val="auto"/>
                <w:sz w:val="24"/>
                <w:szCs w:val="22"/>
              </w:rPr>
              <w:t>http://www.dongyang.gov.cn/ggzyjy/</w:t>
            </w:r>
            <w:r>
              <w:rPr>
                <w:rFonts w:hint="eastAsia" w:ascii="宋体" w:hAnsi="宋体" w:cs="宋体"/>
                <w:color w:val="0D0D0D"/>
                <w:sz w:val="24"/>
              </w:rPr>
              <w:t>)；</w:t>
            </w:r>
            <w:r>
              <w:rPr>
                <w:rFonts w:hint="eastAsia" w:ascii="宋体" w:hAnsi="宋体" w:cs="宋体"/>
                <w:sz w:val="24"/>
              </w:rPr>
              <w:t>公告1个工作日。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10</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rPr>
              <w:t>中标通知书：确定中标人后，中标人应在三个工作日内，向招标人领取《中标通知书》，否则按放弃中标资格处理。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11</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highlight w:val="none"/>
              </w:rPr>
              <w:t>履约保证金：本项目的履约保证金为中标金额的</w:t>
            </w:r>
            <w:r>
              <w:rPr>
                <w:rFonts w:hint="eastAsia" w:ascii="宋体" w:hAnsi="宋体" w:cs="宋体"/>
                <w:sz w:val="24"/>
                <w:highlight w:val="none"/>
                <w:lang w:val="en-US" w:eastAsia="zh-CN"/>
              </w:rPr>
              <w:t>1.0</w:t>
            </w:r>
            <w:r>
              <w:rPr>
                <w:rFonts w:hint="eastAsia" w:ascii="宋体" w:hAnsi="宋体" w:cs="宋体"/>
                <w:sz w:val="24"/>
                <w:highlight w:val="none"/>
              </w:rPr>
              <w:t>%，中标人应在合同签订</w:t>
            </w:r>
            <w:r>
              <w:rPr>
                <w:rFonts w:hint="eastAsia" w:ascii="宋体" w:hAnsi="宋体" w:cs="宋体"/>
                <w:sz w:val="24"/>
                <w:highlight w:val="none"/>
                <w:lang w:eastAsia="zh-CN"/>
              </w:rPr>
              <w:t>后</w:t>
            </w:r>
            <w:r>
              <w:rPr>
                <w:rFonts w:hint="eastAsia" w:ascii="宋体" w:hAnsi="宋体" w:cs="宋体"/>
                <w:sz w:val="24"/>
                <w:highlight w:val="none"/>
              </w:rPr>
              <w:t>交纳（可以用保函的形式提交</w:t>
            </w:r>
            <w:r>
              <w:rPr>
                <w:rFonts w:ascii="宋体" w:hAnsi="宋体" w:cs="宋体"/>
                <w:sz w:val="24"/>
                <w:highlight w:val="none"/>
              </w:rPr>
              <w:t>,</w:t>
            </w:r>
            <w:r>
              <w:rPr>
                <w:rFonts w:hint="eastAsia" w:ascii="宋体" w:hAnsi="宋体" w:cs="宋体"/>
                <w:sz w:val="24"/>
                <w:highlight w:val="none"/>
              </w:rPr>
              <w:t>保函可在政采云平台线上申请办理），在本项目服务期结束后7个工作日内由采购单位无息退还。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12</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rPr>
              <w:t>签订合同时间：中标通知书发出后</w:t>
            </w:r>
            <w:r>
              <w:rPr>
                <w:rFonts w:hint="eastAsia" w:ascii="宋体" w:hAnsi="宋体" w:cs="宋体"/>
                <w:sz w:val="24"/>
                <w:lang w:val="en-US" w:eastAsia="zh-CN"/>
              </w:rPr>
              <w:t>2</w:t>
            </w:r>
            <w:r>
              <w:rPr>
                <w:rFonts w:hint="eastAsia" w:ascii="宋体" w:hAnsi="宋体" w:cs="宋体"/>
                <w:sz w:val="24"/>
              </w:rPr>
              <w:t>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13</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szCs w:val="24"/>
                <w:highlight w:val="none"/>
              </w:rPr>
              <w:t>中标人须</w:t>
            </w:r>
            <w:r>
              <w:rPr>
                <w:rFonts w:hint="eastAsia" w:ascii="宋体" w:hAnsi="宋体" w:cs="宋体"/>
                <w:color w:val="000000"/>
                <w:sz w:val="24"/>
                <w:szCs w:val="24"/>
                <w:highlight w:val="none"/>
              </w:rPr>
              <w:t>在领取中标通知书前</w:t>
            </w:r>
            <w:r>
              <w:rPr>
                <w:rFonts w:hint="eastAsia" w:ascii="宋体" w:hAnsi="宋体" w:cs="宋体"/>
                <w:sz w:val="24"/>
                <w:szCs w:val="24"/>
                <w:highlight w:val="none"/>
              </w:rPr>
              <w:t>向招标代理机构交纳中标服务费，</w:t>
            </w:r>
            <w:r>
              <w:rPr>
                <w:rFonts w:hint="eastAsia" w:ascii="宋体" w:hAnsi="宋体" w:cs="宋体"/>
                <w:sz w:val="24"/>
                <w:szCs w:val="24"/>
                <w:highlight w:val="none"/>
                <w:lang w:eastAsia="zh-CN"/>
              </w:rPr>
              <w:t>招标代理机构开具增值税普通发票，</w:t>
            </w:r>
            <w:r>
              <w:rPr>
                <w:rFonts w:hint="eastAsia" w:ascii="宋体" w:hAnsi="宋体" w:cs="宋体"/>
                <w:sz w:val="24"/>
                <w:szCs w:val="24"/>
                <w:highlight w:val="none"/>
              </w:rPr>
              <w:t>中标服务费参照本投标人须知总则第五条相关约定执行计取。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14</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textAlignment w:val="bottom"/>
              <w:rPr>
                <w:rFonts w:ascii="宋体" w:hAnsi="宋体" w:cs="宋体"/>
                <w:sz w:val="24"/>
              </w:rPr>
            </w:pPr>
            <w:r>
              <w:rPr>
                <w:rFonts w:hint="eastAsia" w:ascii="宋体" w:hAnsi="宋体" w:cs="宋体"/>
                <w:sz w:val="24"/>
              </w:rPr>
              <w:t>付款方式：</w:t>
            </w:r>
            <w:r>
              <w:rPr>
                <w:rFonts w:hint="eastAsia" w:ascii="宋体" w:hAnsi="宋体" w:cs="宋体"/>
                <w:b/>
                <w:bCs/>
                <w:color w:val="0D0D0D"/>
                <w:sz w:val="24"/>
              </w:rPr>
              <w:t>详见招标需求</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ascii="宋体" w:cs="宋体"/>
                <w:sz w:val="24"/>
              </w:rPr>
            </w:pPr>
            <w:r>
              <w:rPr>
                <w:rFonts w:ascii="宋体" w:hAnsi="宋体" w:cs="宋体"/>
                <w:sz w:val="24"/>
              </w:rPr>
              <w:t>15</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sz w:val="24"/>
              </w:rPr>
            </w:pPr>
            <w:r>
              <w:rPr>
                <w:rFonts w:hint="eastAsia" w:ascii="宋体" w:hAnsi="宋体" w:cs="宋体"/>
                <w:sz w:val="24"/>
              </w:rPr>
              <w:t>投标有效期：60天。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hint="eastAsia" w:ascii="宋体" w:hAnsi="宋体" w:eastAsia="宋体" w:cs="宋体"/>
                <w:sz w:val="24"/>
                <w:lang w:val="en-US" w:eastAsia="zh-CN"/>
              </w:rPr>
            </w:pPr>
            <w:r>
              <w:rPr>
                <w:rFonts w:ascii="宋体" w:hAnsi="宋体" w:cs="宋体"/>
                <w:sz w:val="24"/>
              </w:rPr>
              <w:t>1</w:t>
            </w:r>
            <w:r>
              <w:rPr>
                <w:rFonts w:hint="eastAsia" w:ascii="宋体" w:hAnsi="宋体" w:cs="宋体"/>
                <w:sz w:val="24"/>
                <w:lang w:val="en-US" w:eastAsia="zh-CN"/>
              </w:rPr>
              <w:t>6</w:t>
            </w:r>
          </w:p>
        </w:tc>
        <w:tc>
          <w:tcPr>
            <w:tcW w:w="8822" w:type="dxa"/>
            <w:tcBorders>
              <w:top w:val="single" w:color="auto" w:sz="4" w:space="0"/>
              <w:left w:val="single" w:color="auto" w:sz="4" w:space="0"/>
              <w:bottom w:val="single" w:color="auto" w:sz="4" w:space="0"/>
            </w:tcBorders>
            <w:vAlign w:val="center"/>
          </w:tcPr>
          <w:p>
            <w:pPr>
              <w:snapToGrid w:val="0"/>
              <w:spacing w:line="400" w:lineRule="exact"/>
              <w:rPr>
                <w:rFonts w:ascii="宋体" w:hAnsi="宋体" w:cs="宋体"/>
                <w:sz w:val="24"/>
                <w:highlight w:val="none"/>
              </w:rPr>
            </w:pPr>
            <w:r>
              <w:rPr>
                <w:rFonts w:hint="eastAsia" w:ascii="宋体" w:hAnsi="宋体" w:cs="宋体"/>
                <w:sz w:val="24"/>
                <w:highlight w:val="none"/>
              </w:rPr>
              <w:t xml:space="preserve">中标人如因资金问题需贷款，可登录政采云平台“金融服务模块”查看各相关银行服务方案，具体执行可与相关银行东阳分行联系或“政采云”线上申请。为扩大政府采购金融服务面，除政采云网上金融服务合作银行外，东阳市范围内增加浙商银行金华分行东阳支行作为线下合作银行。   </w:t>
            </w:r>
          </w:p>
          <w:p>
            <w:pPr>
              <w:keepNext w:val="0"/>
              <w:keepLines w:val="0"/>
              <w:pageBreakBefore w:val="0"/>
              <w:widowControl w:val="0"/>
              <w:kinsoku/>
              <w:wordWrap/>
              <w:overflowPunct/>
              <w:topLinePunct w:val="0"/>
              <w:bidi w:val="0"/>
              <w:adjustRightInd/>
              <w:snapToGrid/>
              <w:spacing w:line="400" w:lineRule="exact"/>
              <w:ind w:left="0"/>
              <w:rPr>
                <w:rFonts w:ascii="宋体" w:hAnsi="宋体" w:cs="宋体"/>
                <w:sz w:val="24"/>
              </w:rPr>
            </w:pPr>
            <w:r>
              <w:rPr>
                <w:rFonts w:hint="eastAsia" w:ascii="宋体" w:hAnsi="宋体" w:cs="宋体"/>
                <w:sz w:val="24"/>
                <w:highlight w:val="none"/>
                <w:lang w:val="en-US" w:eastAsia="zh-CN"/>
              </w:rPr>
              <w:t>浙商银行金华东阳支行联系人：许燕  联系电话：13967983441    0579-86222992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hint="eastAsia" w:ascii="宋体" w:eastAsia="宋体" w:cs="宋体"/>
                <w:sz w:val="24"/>
                <w:lang w:val="en-US" w:eastAsia="zh-CN"/>
              </w:rPr>
            </w:pPr>
            <w:r>
              <w:rPr>
                <w:rFonts w:ascii="宋体" w:hAnsi="宋体" w:cs="宋体"/>
                <w:sz w:val="24"/>
              </w:rPr>
              <w:t>1</w:t>
            </w:r>
            <w:r>
              <w:rPr>
                <w:rFonts w:hint="eastAsia" w:ascii="宋体" w:hAnsi="宋体" w:cs="宋体"/>
                <w:sz w:val="24"/>
                <w:lang w:val="en-US" w:eastAsia="zh-CN"/>
              </w:rPr>
              <w:t>7</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ascii="宋体" w:hAnsi="宋体" w:cs="宋体"/>
                <w:color w:val="0D0D0D"/>
                <w:sz w:val="24"/>
              </w:rPr>
            </w:pPr>
            <w:r>
              <w:rPr>
                <w:rFonts w:hint="eastAsia" w:ascii="宋体" w:hAnsi="宋体" w:cs="宋体"/>
                <w:sz w:val="24"/>
              </w:rPr>
              <w:t>解释：本招标文件的解释权归招标采购单位。招标人对投标人的落选不作任何解释。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54"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jc w:val="center"/>
              <w:rPr>
                <w:rFonts w:hint="default" w:ascii="宋体" w:hAnsi="宋体" w:eastAsia="宋体" w:cs="宋体"/>
                <w:sz w:val="24"/>
                <w:lang w:val="en-US" w:eastAsia="zh-CN"/>
              </w:rPr>
            </w:pPr>
            <w:r>
              <w:rPr>
                <w:rFonts w:hint="eastAsia" w:ascii="宋体" w:hAnsi="宋体" w:cs="宋体"/>
                <w:sz w:val="24"/>
                <w:lang w:val="en-US" w:eastAsia="zh-CN"/>
              </w:rPr>
              <w:t>18</w:t>
            </w:r>
          </w:p>
        </w:tc>
        <w:tc>
          <w:tcPr>
            <w:tcW w:w="8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bidi w:val="0"/>
              <w:adjustRightInd/>
              <w:snapToGrid/>
              <w:spacing w:line="400" w:lineRule="exact"/>
              <w:ind w:left="0"/>
              <w:rPr>
                <w:rFonts w:hint="eastAsia" w:ascii="宋体" w:hAnsi="宋体" w:cs="宋体"/>
                <w:sz w:val="24"/>
              </w:rPr>
            </w:pPr>
            <w:r>
              <w:rPr>
                <w:rFonts w:hint="eastAsia" w:ascii="宋体" w:hAnsi="宋体" w:cs="宋体"/>
                <w:sz w:val="24"/>
                <w:szCs w:val="24"/>
                <w:lang w:val="en-US" w:eastAsia="zh-CN"/>
              </w:rPr>
              <w:t>本项目的</w:t>
            </w:r>
            <w:r>
              <w:rPr>
                <w:rFonts w:hint="eastAsia" w:ascii="宋体" w:hAnsi="宋体" w:cs="宋体"/>
                <w:sz w:val="24"/>
                <w:szCs w:val="24"/>
                <w:lang w:eastAsia="zh-CN"/>
              </w:rPr>
              <w:t>中小</w:t>
            </w:r>
            <w:r>
              <w:rPr>
                <w:rFonts w:hint="eastAsia" w:ascii="宋体" w:hAnsi="宋体" w:cs="宋体"/>
                <w:sz w:val="24"/>
                <w:szCs w:val="24"/>
                <w:lang w:val="en-US" w:eastAsia="zh-CN"/>
              </w:rPr>
              <w:t>企业行业</w:t>
            </w:r>
            <w:r>
              <w:rPr>
                <w:rFonts w:hint="eastAsia" w:ascii="宋体" w:hAnsi="宋体" w:cs="宋体"/>
                <w:sz w:val="24"/>
                <w:szCs w:val="24"/>
              </w:rPr>
              <w:t>属于</w:t>
            </w:r>
            <w:r>
              <w:rPr>
                <w:rFonts w:hint="eastAsia" w:ascii="宋体" w:hAnsi="宋体" w:cs="宋体"/>
                <w:sz w:val="24"/>
                <w:szCs w:val="24"/>
                <w:lang w:eastAsia="zh-CN"/>
              </w:rPr>
              <w:t>工业、信息传输业、</w:t>
            </w:r>
            <w:r>
              <w:rPr>
                <w:rFonts w:hint="eastAsia" w:ascii="宋体" w:hAnsi="宋体" w:cs="宋体"/>
                <w:color w:val="auto"/>
                <w:sz w:val="24"/>
                <w:szCs w:val="24"/>
              </w:rPr>
              <w:t>软件和信息技术服务业</w:t>
            </w:r>
            <w:r>
              <w:rPr>
                <w:rFonts w:hint="eastAsia" w:ascii="宋体" w:hAnsi="宋体" w:cs="宋体"/>
                <w:sz w:val="24"/>
                <w:szCs w:val="24"/>
                <w:lang w:eastAsia="zh-CN"/>
              </w:rPr>
              <w:t>及其他未列明</w:t>
            </w:r>
            <w:r>
              <w:rPr>
                <w:rFonts w:hint="eastAsia" w:ascii="宋体" w:hAnsi="宋体" w:cs="宋体"/>
                <w:sz w:val="24"/>
                <w:szCs w:val="24"/>
              </w:rPr>
              <w:t>行业</w:t>
            </w:r>
            <w:r>
              <w:rPr>
                <w:rFonts w:hint="eastAsia" w:ascii="宋体" w:hAnsi="宋体" w:cs="宋体"/>
                <w:sz w:val="24"/>
                <w:szCs w:val="24"/>
                <w:lang w:eastAsia="zh-CN"/>
              </w:rPr>
              <w:t>等</w:t>
            </w:r>
            <w:r>
              <w:rPr>
                <w:rFonts w:hint="eastAsia" w:ascii="宋体" w:hAnsi="宋体" w:cs="宋体"/>
                <w:color w:val="auto"/>
                <w:sz w:val="24"/>
                <w:szCs w:val="24"/>
                <w:lang w:eastAsia="zh-CN"/>
              </w:rPr>
              <w:t>。（此项行业设定仅供</w:t>
            </w:r>
            <w:r>
              <w:rPr>
                <w:rFonts w:hint="eastAsia" w:ascii="宋体" w:hAnsi="宋体"/>
                <w:bCs/>
                <w:color w:val="auto"/>
                <w:spacing w:val="-4"/>
                <w:sz w:val="24"/>
              </w:rPr>
              <w:t>小微企业</w:t>
            </w:r>
            <w:r>
              <w:rPr>
                <w:rFonts w:hint="eastAsia" w:ascii="宋体" w:hAnsi="宋体"/>
                <w:bCs/>
                <w:color w:val="auto"/>
                <w:spacing w:val="-4"/>
                <w:sz w:val="24"/>
                <w:lang w:eastAsia="zh-CN"/>
              </w:rPr>
              <w:t>价格政策评审参考</w:t>
            </w:r>
            <w:r>
              <w:rPr>
                <w:rFonts w:hint="eastAsia" w:ascii="宋体" w:hAnsi="宋体" w:cs="宋体"/>
                <w:color w:val="auto"/>
                <w:sz w:val="24"/>
                <w:szCs w:val="24"/>
                <w:lang w:eastAsia="zh-CN"/>
              </w:rPr>
              <w:t>）。</w:t>
            </w:r>
          </w:p>
        </w:tc>
      </w:tr>
    </w:tbl>
    <w:p>
      <w:pPr>
        <w:pStyle w:val="27"/>
        <w:keepNext w:val="0"/>
        <w:keepLines w:val="0"/>
        <w:pageBreakBefore w:val="0"/>
        <w:kinsoku/>
        <w:wordWrap/>
        <w:overflowPunct/>
        <w:topLinePunct w:val="0"/>
        <w:bidi w:val="0"/>
        <w:adjustRightInd/>
        <w:snapToGrid/>
        <w:spacing w:beforeLines="0" w:afterLines="0" w:line="360" w:lineRule="auto"/>
        <w:ind w:left="0" w:leftChars="0"/>
        <w:textAlignment w:val="auto"/>
        <w:outlineLvl w:val="1"/>
        <w:rPr>
          <w:rFonts w:hint="eastAsia" w:ascii="宋体" w:hAnsi="宋体" w:eastAsia="宋体" w:cs="宋体"/>
          <w:b/>
          <w:sz w:val="24"/>
          <w:szCs w:val="24"/>
        </w:rPr>
      </w:pPr>
      <w:r>
        <w:rPr>
          <w:rFonts w:hint="eastAsia" w:ascii="宋体" w:hAnsi="宋体" w:eastAsia="宋体" w:cs="宋体"/>
          <w:b/>
          <w:sz w:val="24"/>
          <w:szCs w:val="24"/>
        </w:rPr>
        <w:t>一、总则</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（一）适用范围</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本招标文件仅适用于</w:t>
      </w:r>
      <w:r>
        <w:rPr>
          <w:rFonts w:hint="eastAsia" w:ascii="宋体" w:hAnsi="宋体" w:cs="宋体"/>
          <w:bCs/>
          <w:sz w:val="24"/>
          <w:szCs w:val="24"/>
          <w:u w:val="single"/>
          <w:lang w:eastAsia="zh-CN"/>
        </w:rPr>
        <w:t>江北街道智慧垃圾分类系统建设及运营服务（三期）</w:t>
      </w:r>
      <w:r>
        <w:rPr>
          <w:rFonts w:hint="eastAsia" w:ascii="宋体" w:hAnsi="宋体" w:eastAsia="宋体" w:cs="宋体"/>
          <w:bCs/>
          <w:sz w:val="24"/>
          <w:szCs w:val="24"/>
          <w:u w:val="single"/>
        </w:rPr>
        <w:t>项目</w:t>
      </w:r>
      <w:r>
        <w:rPr>
          <w:rFonts w:hint="eastAsia" w:ascii="宋体" w:hAnsi="宋体" w:eastAsia="宋体" w:cs="宋体"/>
          <w:sz w:val="24"/>
          <w:szCs w:val="24"/>
        </w:rPr>
        <w:t>的招标采购。</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（二）定义</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1.招标采购单位系指组织本次招标的</w:t>
      </w:r>
      <w:r>
        <w:rPr>
          <w:rFonts w:hint="eastAsia" w:ascii="宋体" w:hAnsi="宋体" w:eastAsia="宋体" w:cs="宋体"/>
          <w:bCs/>
          <w:sz w:val="24"/>
          <w:szCs w:val="24"/>
        </w:rPr>
        <w:t>东阳市江北街道办事处</w:t>
      </w:r>
      <w:r>
        <w:rPr>
          <w:rFonts w:hint="eastAsia" w:ascii="宋体" w:hAnsi="宋体" w:eastAsia="宋体" w:cs="宋体"/>
          <w:sz w:val="24"/>
          <w:szCs w:val="24"/>
        </w:rPr>
        <w:t>(采购人)和金华市金诚招投标代理有限公司（招标方）。</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2.“投标人”系指向招标方提交投标文件的单位。</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3.“产品”系指供方按招标文件规定，须向采购人提供的一切设备、保险、税金、备品备件、工具、手册及其它有关技术资料和材料。</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4.“服务”系指招标文件规定投标人须承担的安装、调试、运行管理、</w:t>
      </w:r>
      <w:r>
        <w:rPr>
          <w:rFonts w:hint="eastAsia" w:ascii="宋体" w:hAnsi="宋体" w:eastAsia="宋体" w:cs="宋体"/>
          <w:bCs/>
          <w:sz w:val="24"/>
          <w:szCs w:val="24"/>
        </w:rPr>
        <w:t>运营服务、</w:t>
      </w:r>
      <w:r>
        <w:rPr>
          <w:rFonts w:hint="eastAsia" w:ascii="宋体" w:hAnsi="宋体" w:eastAsia="宋体" w:cs="宋体"/>
          <w:sz w:val="24"/>
          <w:szCs w:val="24"/>
        </w:rPr>
        <w:t>技术协助、培训、技术指导以及其他类似的义务。</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5.“项目”系指投标人按招标文件规定向采购人提供的产品和服务。</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6.“书面形式”包括信函、传真、电报等。</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7.“▲”系指实质性要求条款。</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（三）招标方式</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本次招标采用公开招标方式进行。</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（四）投标委托</w:t>
      </w:r>
    </w:p>
    <w:p>
      <w:pPr>
        <w:pStyle w:val="6"/>
        <w:keepNext w:val="0"/>
        <w:keepLines w:val="0"/>
        <w:pageBreakBefore w:val="0"/>
        <w:kinsoku/>
        <w:wordWrap/>
        <w:overflowPunct/>
        <w:topLinePunct w:val="0"/>
        <w:bidi w:val="0"/>
        <w:adjustRightInd/>
        <w:snapToGrid/>
        <w:spacing w:line="360" w:lineRule="auto"/>
        <w:ind w:left="0" w:leftChars="0" w:firstLine="464"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投标人代表须携带有效身份证件等有效证明。如投标人代表不是法定代表人，须有法定代表人出具的授权委托书。</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（五）投标费用</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不论投标结果如何，投标人均应自行承担所有与投标有关的全部费用（招标文件有相反规定除外）。</w:t>
      </w:r>
      <w:r>
        <w:rPr>
          <w:rFonts w:hint="eastAsia" w:ascii="宋体" w:hAnsi="宋体" w:eastAsia="宋体" w:cs="宋体"/>
          <w:color w:val="000000"/>
          <w:sz w:val="24"/>
          <w:szCs w:val="24"/>
        </w:rPr>
        <w:t>中标人须在领取中标通知书前向招标代理机构交纳中标服务费，中标服务费按以下标准计算收取。</w:t>
      </w:r>
    </w:p>
    <w:p>
      <w:pPr>
        <w:keepNext w:val="0"/>
        <w:keepLines w:val="0"/>
        <w:pageBreakBefore w:val="0"/>
        <w:widowControl/>
        <w:kinsoku/>
        <w:wordWrap/>
        <w:overflowPunct/>
        <w:topLinePunct w:val="0"/>
        <w:bidi w:val="0"/>
        <w:adjustRightInd/>
        <w:snapToGrid/>
        <w:spacing w:line="360" w:lineRule="auto"/>
        <w:ind w:left="0" w:leftChars="0" w:firstLine="2650" w:firstLineChars="1100"/>
        <w:textAlignment w:val="auto"/>
        <w:rPr>
          <w:rFonts w:hint="eastAsia" w:ascii="宋体" w:hAnsi="宋体" w:eastAsia="宋体" w:cs="宋体"/>
          <w:kern w:val="0"/>
          <w:sz w:val="24"/>
          <w:szCs w:val="24"/>
        </w:rPr>
      </w:pPr>
      <w:r>
        <w:rPr>
          <w:rFonts w:hint="eastAsia" w:ascii="宋体" w:hAnsi="宋体" w:eastAsia="宋体" w:cs="宋体"/>
          <w:b/>
          <w:bCs/>
          <w:kern w:val="0"/>
          <w:sz w:val="24"/>
          <w:szCs w:val="24"/>
        </w:rPr>
        <w:t>招标代理服务收费标准</w:t>
      </w:r>
    </w:p>
    <w:tbl>
      <w:tblPr>
        <w:tblStyle w:val="46"/>
        <w:tblW w:w="4999" w:type="pct"/>
        <w:tblCellSpacing w:w="15" w:type="dxa"/>
        <w:tblInd w:w="0" w:type="dxa"/>
        <w:tblLayout w:type="autofit"/>
        <w:tblCellMar>
          <w:top w:w="15" w:type="dxa"/>
          <w:left w:w="15" w:type="dxa"/>
          <w:bottom w:w="15" w:type="dxa"/>
          <w:right w:w="15" w:type="dxa"/>
        </w:tblCellMar>
      </w:tblPr>
      <w:tblGrid>
        <w:gridCol w:w="5001"/>
        <w:gridCol w:w="4011"/>
      </w:tblGrid>
      <w:tr>
        <w:tblPrEx>
          <w:tblCellMar>
            <w:top w:w="15" w:type="dxa"/>
            <w:left w:w="15" w:type="dxa"/>
            <w:bottom w:w="15" w:type="dxa"/>
            <w:right w:w="15" w:type="dxa"/>
          </w:tblCellMar>
        </w:tblPrEx>
        <w:trPr>
          <w:trHeight w:val="300" w:hRule="atLeast"/>
          <w:tblCellSpacing w:w="15" w:type="dxa"/>
        </w:trPr>
        <w:tc>
          <w:tcPr>
            <w:tcW w:w="2749" w:type="pct"/>
            <w:tcBorders>
              <w:top w:val="inset" w:color="000000" w:sz="6" w:space="0"/>
              <w:left w:val="inset" w:color="000000" w:sz="6" w:space="0"/>
              <w:bottom w:val="inset" w:color="000000" w:sz="6" w:space="0"/>
              <w:right w:val="inset" w:color="000000" w:sz="6" w:space="0"/>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snapToGrid/>
              <w:spacing w:line="360" w:lineRule="auto"/>
              <w:ind w:left="0" w:leftChars="0" w:firstLine="482" w:firstLineChars="200"/>
              <w:textAlignment w:val="auto"/>
              <w:rPr>
                <w:rFonts w:hint="eastAsia" w:ascii="宋体" w:hAnsi="宋体" w:eastAsia="宋体" w:cs="宋体"/>
                <w:kern w:val="0"/>
                <w:sz w:val="24"/>
                <w:szCs w:val="24"/>
              </w:rPr>
            </w:pPr>
            <w:r>
              <w:rPr>
                <w:rFonts w:hint="eastAsia" w:ascii="宋体" w:hAnsi="宋体" w:eastAsia="宋体" w:cs="宋体"/>
                <w:b/>
                <w:bCs/>
                <w:kern w:val="0"/>
                <w:sz w:val="24"/>
                <w:szCs w:val="24"/>
              </w:rPr>
              <w:t>中标金额（万元）</w:t>
            </w:r>
          </w:p>
        </w:tc>
        <w:tc>
          <w:tcPr>
            <w:tcW w:w="2200" w:type="pct"/>
            <w:tcBorders>
              <w:top w:val="inset" w:color="000000" w:sz="6" w:space="0"/>
              <w:left w:val="nil"/>
              <w:bottom w:val="inset" w:color="000000" w:sz="6" w:space="0"/>
              <w:right w:val="inset" w:color="000000" w:sz="6" w:space="0"/>
            </w:tcBorders>
            <w:tcMar>
              <w:top w:w="0" w:type="dxa"/>
              <w:left w:w="0" w:type="dxa"/>
              <w:bottom w:w="0" w:type="dxa"/>
              <w:right w:w="0" w:type="dxa"/>
            </w:tcMar>
            <w:vAlign w:val="center"/>
          </w:tcPr>
          <w:p>
            <w:pPr>
              <w:keepNext w:val="0"/>
              <w:keepLines w:val="0"/>
              <w:pageBreakBefore w:val="0"/>
              <w:widowControl/>
              <w:kinsoku/>
              <w:wordWrap/>
              <w:overflowPunct/>
              <w:topLinePunct w:val="0"/>
              <w:bidi w:val="0"/>
              <w:adjustRightInd/>
              <w:snapToGrid/>
              <w:spacing w:line="360" w:lineRule="auto"/>
              <w:ind w:left="0" w:leftChars="0"/>
              <w:jc w:val="center"/>
              <w:textAlignment w:val="auto"/>
              <w:rPr>
                <w:rFonts w:hint="eastAsia" w:ascii="宋体" w:hAnsi="宋体" w:eastAsia="宋体" w:cs="宋体"/>
                <w:kern w:val="0"/>
                <w:sz w:val="24"/>
                <w:szCs w:val="24"/>
                <w:lang w:eastAsia="zh-CN"/>
              </w:rPr>
            </w:pPr>
            <w:r>
              <w:rPr>
                <w:rFonts w:hint="eastAsia" w:ascii="宋体" w:hAnsi="宋体" w:eastAsia="宋体" w:cs="宋体"/>
                <w:b/>
                <w:bCs/>
                <w:kern w:val="0"/>
                <w:sz w:val="24"/>
                <w:szCs w:val="24"/>
              </w:rPr>
              <w:t>服务招标</w:t>
            </w:r>
          </w:p>
        </w:tc>
      </w:tr>
      <w:tr>
        <w:tblPrEx>
          <w:tblCellMar>
            <w:top w:w="15" w:type="dxa"/>
            <w:left w:w="15" w:type="dxa"/>
            <w:bottom w:w="15" w:type="dxa"/>
            <w:right w:w="15" w:type="dxa"/>
          </w:tblCellMar>
        </w:tblPrEx>
        <w:trPr>
          <w:trHeight w:val="210" w:hRule="atLeast"/>
          <w:tblCellSpacing w:w="15" w:type="dxa"/>
        </w:trPr>
        <w:tc>
          <w:tcPr>
            <w:tcW w:w="2749" w:type="pct"/>
            <w:tcBorders>
              <w:top w:val="single" w:color="auto" w:sz="0" w:space="0"/>
              <w:left w:val="inset" w:color="000000" w:sz="6" w:space="0"/>
              <w:bottom w:val="single" w:color="auto" w:sz="0" w:space="0"/>
              <w:right w:val="inset" w:color="000000" w:sz="6" w:space="0"/>
            </w:tcBorders>
            <w:noWrap/>
            <w:tcMar>
              <w:top w:w="0" w:type="dxa"/>
              <w:left w:w="0" w:type="dxa"/>
              <w:bottom w:w="0" w:type="dxa"/>
              <w:right w:w="0" w:type="dxa"/>
            </w:tcMar>
            <w:vAlign w:val="center"/>
          </w:tcPr>
          <w:p>
            <w:pPr>
              <w:keepNext w:val="0"/>
              <w:keepLines w:val="0"/>
              <w:pageBreakBefore w:val="0"/>
              <w:widowControl/>
              <w:kinsoku/>
              <w:wordWrap/>
              <w:overflowPunct/>
              <w:topLinePunct w:val="0"/>
              <w:bidi w:val="0"/>
              <w:adjustRightInd/>
              <w:snapToGrid/>
              <w:spacing w:line="360" w:lineRule="auto"/>
              <w:ind w:left="0" w:lef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100以下</w:t>
            </w:r>
          </w:p>
        </w:tc>
        <w:tc>
          <w:tcPr>
            <w:tcW w:w="2200" w:type="pct"/>
            <w:tcBorders>
              <w:top w:val="single" w:color="auto" w:sz="0" w:space="0"/>
              <w:left w:val="single" w:color="auto" w:sz="0" w:space="0"/>
              <w:bottom w:val="single" w:color="auto" w:sz="0" w:space="0"/>
              <w:right w:val="inset" w:color="000000" w:sz="6" w:space="0"/>
            </w:tcBorders>
            <w:noWrap/>
            <w:tcMar>
              <w:top w:w="0" w:type="dxa"/>
              <w:left w:w="0" w:type="dxa"/>
              <w:bottom w:w="0" w:type="dxa"/>
              <w:right w:w="0" w:type="dxa"/>
            </w:tcMar>
            <w:vAlign w:val="center"/>
          </w:tcPr>
          <w:p>
            <w:pPr>
              <w:keepNext w:val="0"/>
              <w:keepLines w:val="0"/>
              <w:pageBreakBefore w:val="0"/>
              <w:widowControl/>
              <w:kinsoku/>
              <w:wordWrap/>
              <w:overflowPunct/>
              <w:topLinePunct w:val="0"/>
              <w:bidi w:val="0"/>
              <w:adjustRightInd/>
              <w:snapToGrid/>
              <w:spacing w:line="360" w:lineRule="auto"/>
              <w:ind w:left="0" w:lef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1.5％</w:t>
            </w:r>
          </w:p>
        </w:tc>
      </w:tr>
      <w:tr>
        <w:tblPrEx>
          <w:tblCellMar>
            <w:top w:w="15" w:type="dxa"/>
            <w:left w:w="15" w:type="dxa"/>
            <w:bottom w:w="15" w:type="dxa"/>
            <w:right w:w="15" w:type="dxa"/>
          </w:tblCellMar>
        </w:tblPrEx>
        <w:trPr>
          <w:trHeight w:val="210" w:hRule="atLeast"/>
          <w:tblCellSpacing w:w="15" w:type="dxa"/>
        </w:trPr>
        <w:tc>
          <w:tcPr>
            <w:tcW w:w="2749" w:type="pct"/>
            <w:tcBorders>
              <w:top w:val="single" w:color="auto" w:sz="0" w:space="0"/>
              <w:left w:val="inset" w:color="000000" w:sz="6" w:space="0"/>
              <w:bottom w:val="single" w:color="auto" w:sz="0" w:space="0"/>
              <w:right w:val="inset" w:color="000000" w:sz="6" w:space="0"/>
            </w:tcBorders>
            <w:noWrap/>
            <w:tcMar>
              <w:top w:w="0" w:type="dxa"/>
              <w:left w:w="0" w:type="dxa"/>
              <w:bottom w:w="0" w:type="dxa"/>
              <w:right w:w="0" w:type="dxa"/>
            </w:tcMar>
            <w:vAlign w:val="center"/>
          </w:tcPr>
          <w:p>
            <w:pPr>
              <w:keepNext w:val="0"/>
              <w:keepLines w:val="0"/>
              <w:pageBreakBefore w:val="0"/>
              <w:widowControl/>
              <w:kinsoku/>
              <w:wordWrap/>
              <w:overflowPunct/>
              <w:topLinePunct w:val="0"/>
              <w:bidi w:val="0"/>
              <w:adjustRightInd/>
              <w:snapToGrid/>
              <w:spacing w:line="360" w:lineRule="auto"/>
              <w:ind w:left="0" w:lef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100—500</w:t>
            </w:r>
          </w:p>
        </w:tc>
        <w:tc>
          <w:tcPr>
            <w:tcW w:w="2200" w:type="pct"/>
            <w:tcBorders>
              <w:top w:val="single" w:color="auto" w:sz="0" w:space="0"/>
              <w:left w:val="single" w:color="auto" w:sz="0" w:space="0"/>
              <w:bottom w:val="single" w:color="auto" w:sz="0" w:space="0"/>
              <w:right w:val="inset" w:color="000000" w:sz="6" w:space="0"/>
            </w:tcBorders>
            <w:noWrap/>
            <w:tcMar>
              <w:top w:w="0" w:type="dxa"/>
              <w:left w:w="0" w:type="dxa"/>
              <w:bottom w:w="0" w:type="dxa"/>
              <w:right w:w="0" w:type="dxa"/>
            </w:tcMar>
            <w:vAlign w:val="center"/>
          </w:tcPr>
          <w:p>
            <w:pPr>
              <w:keepNext w:val="0"/>
              <w:keepLines w:val="0"/>
              <w:pageBreakBefore w:val="0"/>
              <w:widowControl/>
              <w:kinsoku/>
              <w:wordWrap/>
              <w:overflowPunct/>
              <w:topLinePunct w:val="0"/>
              <w:bidi w:val="0"/>
              <w:adjustRightInd/>
              <w:snapToGrid/>
              <w:spacing w:line="360" w:lineRule="auto"/>
              <w:ind w:left="0" w:lef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0.8％</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（六）联合体投标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本项目接受联合体投标。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196"/>
        <w:jc w:val="left"/>
        <w:textAlignment w:val="auto"/>
        <w:rPr>
          <w:rFonts w:hint="eastAsia" w:ascii="宋体" w:hAnsi="宋体" w:eastAsia="宋体" w:cs="宋体"/>
          <w:b/>
          <w:sz w:val="24"/>
          <w:szCs w:val="24"/>
        </w:rPr>
      </w:pPr>
      <w:r>
        <w:rPr>
          <w:rFonts w:hint="eastAsia" w:ascii="宋体" w:hAnsi="宋体" w:eastAsia="宋体" w:cs="宋体"/>
          <w:b/>
          <w:sz w:val="24"/>
          <w:szCs w:val="24"/>
        </w:rPr>
        <w:t>（七）转包与分包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rPr>
      </w:pPr>
      <w:r>
        <w:rPr>
          <w:rFonts w:hint="eastAsia" w:ascii="宋体" w:hAnsi="宋体" w:eastAsia="宋体" w:cs="宋体"/>
          <w:sz w:val="24"/>
        </w:rPr>
        <w:t>1.本项目不允许转包。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rPr>
        <w:t>2.本项目可以分包</w:t>
      </w:r>
      <w:r>
        <w:rPr>
          <w:rFonts w:hint="eastAsia" w:ascii="宋体" w:hAnsi="宋体" w:eastAsia="宋体" w:cs="宋体"/>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（八）特别说明：</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多家供应商参加同一政府采购项目竞争的，如其中两家或两家以上供应商的法定代表人为同一人或相互之间存在投资关系且达到控股的，同时提供的是同一品牌的产品的，应当按一家供应商认定。评审时，取其中通过资格审查后报价最低一家为有效供应商；当报价相同时，则以技术标最优一家为有效供应商；均相同时，由评审小组集体决定。</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非单一产品采购项目中，作为关键核心部分的单一产品品牌、型号均相同且报价占项目总报价50%以上（含本数，下同）的，视为提供的是同品牌的产品；多家供应商中，有一家供应商的报价达到50%以上，提供同品牌同型号产品的供应商均按一家供应商认定。</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2.（1）投标人投标所使用的资格、信誉、荣誉、业绩与企业认证必须为本法人所拥有。</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▲（2）投标人投标所使用的采购项目实施人员必须为本法人员工（或必须为本法人或控股公司正式员工）。</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▲3.投标人应仔细阅读招标文件的所有内容，按照招标文件的要求提交投标文件，并对所提供的全部资料的真实性承担法律责任。</w:t>
      </w:r>
    </w:p>
    <w:p>
      <w:pPr>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▲4.投标人在投标活动中提供任何虚假材料,其投标无效，并报监管部门查处。</w:t>
      </w:r>
    </w:p>
    <w:p>
      <w:pPr>
        <w:pStyle w:val="27"/>
        <w:keepNext w:val="0"/>
        <w:keepLines w:val="0"/>
        <w:pageBreakBefore w:val="0"/>
        <w:kinsoku/>
        <w:wordWrap/>
        <w:overflowPunct/>
        <w:topLinePunct w:val="0"/>
        <w:bidi w:val="0"/>
        <w:adjustRightInd/>
        <w:snapToGrid/>
        <w:spacing w:beforeLines="0" w:afterLines="0" w:line="360" w:lineRule="auto"/>
        <w:ind w:left="0" w:leftChars="0" w:firstLine="472" w:firstLineChars="196"/>
        <w:jc w:val="left"/>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（九）质疑和投诉</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1.投标人认为招标文件、招标过程或中标结果使自己的合法权益受到损害的，应当在知道或者应知其权益受到损害之日起七个工作日内，以书面形式向采购人、招标方提出质疑。</w:t>
      </w:r>
      <w:r>
        <w:rPr>
          <w:rFonts w:hint="eastAsia" w:ascii="宋体" w:hAnsi="宋体" w:eastAsia="宋体" w:cs="宋体"/>
          <w:sz w:val="24"/>
          <w:szCs w:val="24"/>
        </w:rPr>
        <w:t>投标人对招标采购单位的质疑答复不满意或者招标采购单位未在规定时间内作出答复的，可以在答复期满后十五个工作日内向同级采购监管部门投诉。</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27"/>
        <w:keepNext w:val="0"/>
        <w:keepLines w:val="0"/>
        <w:pageBreakBefore w:val="0"/>
        <w:kinsoku/>
        <w:wordWrap/>
        <w:overflowPunct/>
        <w:topLinePunct w:val="0"/>
        <w:bidi w:val="0"/>
        <w:adjustRightInd/>
        <w:snapToGrid/>
        <w:spacing w:beforeLines="0" w:afterLines="0" w:line="360" w:lineRule="auto"/>
        <w:textAlignment w:val="auto"/>
        <w:outlineLvl w:val="1"/>
        <w:rPr>
          <w:rFonts w:hint="eastAsia" w:ascii="宋体" w:hAnsi="宋体" w:eastAsia="宋体" w:cs="宋体"/>
          <w:b/>
          <w:sz w:val="24"/>
          <w:szCs w:val="24"/>
        </w:rPr>
      </w:pPr>
      <w:r>
        <w:rPr>
          <w:rFonts w:hint="eastAsia" w:ascii="宋体" w:hAnsi="宋体" w:eastAsia="宋体" w:cs="宋体"/>
          <w:b/>
          <w:sz w:val="24"/>
          <w:szCs w:val="24"/>
        </w:rPr>
        <w:t>二、招标文件</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（一）招标文件的构成。本招标文件由以下部分组成：</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1.招标公告</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2.招标需求</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3.投标人须知</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4.评标办法及标准</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5.合同主要条款</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6.投标文件格式</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7.本项目招标文件的澄清、答复、修改、补充的内容</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2"/>
        <w:rPr>
          <w:rFonts w:hint="eastAsia" w:ascii="宋体" w:hAnsi="宋体" w:eastAsia="宋体" w:cs="宋体"/>
          <w:b/>
          <w:sz w:val="24"/>
          <w:szCs w:val="24"/>
        </w:rPr>
      </w:pPr>
      <w:r>
        <w:rPr>
          <w:rFonts w:hint="eastAsia" w:ascii="宋体" w:hAnsi="宋体" w:eastAsia="宋体" w:cs="宋体"/>
          <w:b/>
          <w:sz w:val="24"/>
          <w:szCs w:val="24"/>
        </w:rPr>
        <w:t>（二）投标人的风险</w:t>
      </w:r>
    </w:p>
    <w:p>
      <w:pPr>
        <w:pStyle w:val="37"/>
        <w:keepNext w:val="0"/>
        <w:keepLines w:val="0"/>
        <w:pageBreakBefore w:val="0"/>
        <w:kinsoku/>
        <w:wordWrap/>
        <w:overflowPunct/>
        <w:topLinePunct w:val="0"/>
        <w:bidi w:val="0"/>
        <w:adjustRightInd/>
        <w:snapToGri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投标人没有按照招标文件要求提供全部资料，或者投标人没有对招标文件在各方面作出实质性响应是投标人的风险，并可能导致其投标被拒绝。</w:t>
      </w:r>
    </w:p>
    <w:p>
      <w:pPr>
        <w:pStyle w:val="13"/>
        <w:keepNext w:val="0"/>
        <w:keepLines w:val="0"/>
        <w:pageBreakBefore w:val="0"/>
        <w:widowControl w:val="0"/>
        <w:tabs>
          <w:tab w:val="clear" w:pos="454"/>
        </w:tabs>
        <w:kinsoku/>
        <w:wordWrap/>
        <w:overflowPunct/>
        <w:topLinePunct w:val="0"/>
        <w:bidi w:val="0"/>
        <w:adjustRightInd/>
        <w:snapToGrid/>
        <w:spacing w:afterLines="0" w:line="360" w:lineRule="auto"/>
        <w:ind w:left="0" w:leftChars="0" w:firstLine="472" w:firstLineChars="196"/>
        <w:textAlignment w:val="auto"/>
        <w:outlineLvl w:val="2"/>
        <w:rPr>
          <w:rFonts w:hint="eastAsia" w:ascii="宋体" w:hAnsi="宋体" w:eastAsia="宋体" w:cs="宋体"/>
          <w:b/>
          <w:sz w:val="24"/>
          <w:szCs w:val="24"/>
        </w:rPr>
      </w:pPr>
      <w:r>
        <w:rPr>
          <w:rFonts w:hint="eastAsia" w:ascii="宋体" w:hAnsi="宋体" w:eastAsia="宋体" w:cs="宋体"/>
          <w:b/>
          <w:sz w:val="24"/>
          <w:szCs w:val="24"/>
        </w:rPr>
        <w:t>（三）招标文件的澄清与修改</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Cs/>
          <w:sz w:val="24"/>
          <w:szCs w:val="24"/>
        </w:rPr>
        <w:t>投标人应认真阅读本招标文件，发现其中有误或有不合理要求的，投标人必须在</w:t>
      </w:r>
      <w:r>
        <w:rPr>
          <w:rFonts w:hint="eastAsia" w:ascii="宋体" w:hAnsi="宋体" w:eastAsia="宋体" w:cs="宋体"/>
          <w:bCs/>
          <w:sz w:val="24"/>
          <w:szCs w:val="24"/>
          <w:u w:val="single"/>
        </w:rPr>
        <w:t>202</w:t>
      </w:r>
      <w:r>
        <w:rPr>
          <w:rFonts w:hint="eastAsia" w:ascii="宋体" w:hAnsi="宋体" w:eastAsia="宋体" w:cs="宋体"/>
          <w:bCs/>
          <w:sz w:val="24"/>
          <w:szCs w:val="24"/>
          <w:u w:val="single"/>
          <w:lang w:val="en-US" w:eastAsia="zh-CN"/>
        </w:rPr>
        <w:t>2</w:t>
      </w:r>
      <w:r>
        <w:rPr>
          <w:rFonts w:hint="eastAsia" w:ascii="宋体" w:hAnsi="宋体" w:eastAsia="宋体" w:cs="宋体"/>
          <w:bCs/>
          <w:sz w:val="24"/>
          <w:szCs w:val="24"/>
          <w:u w:val="single"/>
        </w:rPr>
        <w:t>年</w:t>
      </w:r>
      <w:r>
        <w:rPr>
          <w:rFonts w:hint="eastAsia" w:hAnsi="宋体" w:cs="宋体"/>
          <w:bCs/>
          <w:sz w:val="24"/>
          <w:szCs w:val="24"/>
          <w:u w:val="single"/>
          <w:lang w:val="en-US" w:eastAsia="zh-CN"/>
        </w:rPr>
        <w:t>8</w:t>
      </w:r>
      <w:r>
        <w:rPr>
          <w:rFonts w:hint="eastAsia" w:ascii="宋体" w:hAnsi="宋体" w:eastAsia="宋体" w:cs="宋体"/>
          <w:bCs/>
          <w:sz w:val="24"/>
          <w:szCs w:val="24"/>
          <w:u w:val="single"/>
        </w:rPr>
        <w:t>月</w:t>
      </w:r>
      <w:r>
        <w:rPr>
          <w:rFonts w:hint="eastAsia" w:hAnsi="宋体" w:cs="宋体"/>
          <w:bCs/>
          <w:sz w:val="24"/>
          <w:szCs w:val="24"/>
          <w:u w:val="single"/>
          <w:lang w:val="en-US" w:eastAsia="zh-CN"/>
        </w:rPr>
        <w:t>22</w:t>
      </w:r>
      <w:bookmarkStart w:id="24" w:name="_GoBack"/>
      <w:bookmarkEnd w:id="24"/>
      <w:r>
        <w:rPr>
          <w:rFonts w:hint="eastAsia" w:ascii="宋体" w:hAnsi="宋体" w:eastAsia="宋体" w:cs="宋体"/>
          <w:bCs/>
          <w:sz w:val="24"/>
          <w:szCs w:val="24"/>
          <w:u w:val="single"/>
        </w:rPr>
        <w:t>日</w:t>
      </w:r>
      <w:r>
        <w:rPr>
          <w:rFonts w:hint="eastAsia" w:ascii="宋体" w:hAnsi="宋体" w:eastAsia="宋体" w:cs="宋体"/>
          <w:bCs/>
          <w:sz w:val="24"/>
          <w:szCs w:val="24"/>
        </w:rPr>
        <w:t>16：00前以书面形式要求招标采购单位澄清</w:t>
      </w:r>
      <w:r>
        <w:rPr>
          <w:rFonts w:hint="eastAsia" w:ascii="宋体" w:hAnsi="宋体" w:eastAsia="宋体" w:cs="宋体"/>
          <w:sz w:val="24"/>
          <w:szCs w:val="24"/>
        </w:rPr>
        <w:t>。招标方对已发出的招标文件进行必要澄清、答复、修改或补充的，将于投标截止日期5天前在财政部门指定的政府采购信息发布媒体上发布更正公告，不另作通知。如果答疑、澄清或修改的内容可能影响投标文件编制的，招标采购单位将于投标截止日期15天前以网上公告的形式通知所有已报名的投标人，答疑内容是招标文件的组成部分。</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2.招标方必须以书面形式答复投标人要求澄清的问题，并将不包含问题来源的答复书面通知所有购买招标文件的投标人，除书面答复以外的其他澄清方式及澄清内容均无效。</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3.招标文件澄清、答复、修改、补充的内容为招标文件的组成部分。当招标文件与招标文件的答复、澄清、修改、补充通知就同一内容的表述不一致时，以最后发出的书面文件为准。</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jc w:val="left"/>
        <w:textAlignment w:val="auto"/>
        <w:outlineLvl w:val="1"/>
        <w:rPr>
          <w:rFonts w:hint="eastAsia" w:ascii="宋体" w:hAnsi="宋体" w:eastAsia="宋体" w:cs="宋体"/>
          <w:sz w:val="24"/>
          <w:szCs w:val="24"/>
        </w:rPr>
      </w:pPr>
      <w:r>
        <w:rPr>
          <w:rFonts w:hint="eastAsia" w:ascii="宋体" w:hAnsi="宋体" w:eastAsia="宋体" w:cs="宋体"/>
          <w:sz w:val="24"/>
          <w:szCs w:val="24"/>
        </w:rPr>
        <w:t>4.招标文件的澄清、答复、修改或补充都应该通过本招标机构以法定形式发布，采购人非通过本机构，不得擅自澄清、答复、修改或补充招标文件。</w:t>
      </w:r>
    </w:p>
    <w:p>
      <w:pPr>
        <w:pStyle w:val="27"/>
        <w:keepNext w:val="0"/>
        <w:keepLines w:val="0"/>
        <w:pageBreakBefore w:val="0"/>
        <w:kinsoku/>
        <w:wordWrap/>
        <w:overflowPunct/>
        <w:topLinePunct w:val="0"/>
        <w:bidi w:val="0"/>
        <w:adjustRightInd/>
        <w:snapToGrid/>
        <w:spacing w:beforeLines="0" w:afterLines="0"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三、投标文件的编制</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0"/>
        <w:rPr>
          <w:rFonts w:hint="eastAsia" w:ascii="宋体" w:hAnsi="宋体" w:eastAsia="宋体" w:cs="宋体"/>
          <w:b/>
          <w:sz w:val="24"/>
          <w:szCs w:val="24"/>
        </w:rPr>
      </w:pPr>
      <w:r>
        <w:rPr>
          <w:rFonts w:hint="eastAsia" w:ascii="宋体" w:hAnsi="宋体" w:eastAsia="宋体" w:cs="宋体"/>
          <w:b/>
          <w:sz w:val="24"/>
          <w:szCs w:val="24"/>
        </w:rPr>
        <w:t>（一）投标文件的组成</w:t>
      </w:r>
    </w:p>
    <w:p>
      <w:pPr>
        <w:keepNext w:val="0"/>
        <w:keepLines w:val="0"/>
        <w:pageBreakBefore w:val="0"/>
        <w:kinsoku/>
        <w:wordWrap/>
        <w:overflowPunct/>
        <w:topLinePunct w:val="0"/>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投标文件</w:t>
      </w:r>
      <w:r>
        <w:rPr>
          <w:rFonts w:hint="eastAsia" w:ascii="宋体" w:hAnsi="宋体" w:eastAsia="宋体" w:cs="宋体"/>
          <w:sz w:val="24"/>
          <w:szCs w:val="24"/>
        </w:rPr>
        <w:t>（</w:t>
      </w:r>
      <w:r>
        <w:rPr>
          <w:rFonts w:hint="eastAsia" w:ascii="宋体" w:hAnsi="宋体" w:eastAsia="宋体" w:cs="宋体"/>
          <w:b/>
          <w:sz w:val="24"/>
          <w:szCs w:val="24"/>
        </w:rPr>
        <w:t>包含电子投标文件和电子备份投标文件</w:t>
      </w:r>
      <w:r>
        <w:rPr>
          <w:rFonts w:hint="eastAsia" w:ascii="宋体" w:hAnsi="宋体" w:eastAsia="宋体" w:cs="宋体"/>
          <w:sz w:val="24"/>
          <w:szCs w:val="24"/>
        </w:rPr>
        <w:t>）</w:t>
      </w:r>
      <w:r>
        <w:rPr>
          <w:rFonts w:hint="eastAsia" w:ascii="宋体" w:hAnsi="宋体" w:eastAsia="宋体" w:cs="宋体"/>
          <w:b/>
          <w:sz w:val="24"/>
          <w:szCs w:val="24"/>
        </w:rPr>
        <w:t>由资格审查资料、资信商务及技术文件、投标报价文件三部份组成。其中电子投标文件中所须加盖公章部分均采用CA签章。</w:t>
      </w:r>
    </w:p>
    <w:p>
      <w:pPr>
        <w:keepNext w:val="0"/>
        <w:keepLines w:val="0"/>
        <w:pageBreakBefore w:val="0"/>
        <w:kinsoku/>
        <w:wordWrap/>
        <w:overflowPunct/>
        <w:topLinePunct w:val="0"/>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1、资格审查资料：</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1）有效的企业法人营业执照副本原件及复印件；</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法定代表人授权委托书及经办人身份证原件及复印件；</w:t>
      </w:r>
    </w:p>
    <w:p>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合格投标人资格要求的相关文件及复印件；</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4）投标人认为有必要提供的其它文件</w:t>
      </w:r>
      <w:r>
        <w:rPr>
          <w:rFonts w:hint="eastAsia" w:ascii="宋体" w:hAnsi="宋体" w:eastAsia="宋体" w:cs="宋体"/>
          <w:sz w:val="24"/>
          <w:szCs w:val="24"/>
          <w:lang w:eastAsia="zh-CN"/>
        </w:rPr>
        <w:t>。</w:t>
      </w:r>
    </w:p>
    <w:p>
      <w:pPr>
        <w:keepNext w:val="0"/>
        <w:keepLines w:val="0"/>
        <w:pageBreakBefore w:val="0"/>
        <w:kinsoku/>
        <w:wordWrap/>
        <w:overflowPunct/>
        <w:topLinePunct w:val="0"/>
        <w:bidi w:val="0"/>
        <w:adjustRightInd/>
        <w:snapToGrid/>
        <w:spacing w:line="360" w:lineRule="auto"/>
        <w:ind w:left="0" w:leftChars="0"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备注：</w:t>
      </w:r>
    </w:p>
    <w:p>
      <w:pPr>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kern w:val="0"/>
          <w:sz w:val="24"/>
          <w:szCs w:val="24"/>
        </w:rPr>
        <w:t>投标人的资格审查由招标代理机构和采购人在评标委员会评标以前进行。</w:t>
      </w:r>
      <w:r>
        <w:rPr>
          <w:rFonts w:hint="eastAsia" w:ascii="宋体" w:hAnsi="宋体" w:eastAsia="宋体" w:cs="宋体"/>
          <w:sz w:val="24"/>
          <w:szCs w:val="24"/>
        </w:rPr>
        <w:t>投标人应未被列入失信被执行人名单、重大税收违法案件当事人名单、政府采购严重违法失信行为记录名单，信用信息以投标截止日信用中国网站（https://www.creditchina.gov.cn/）、中国政府采购网（（http://www.ccgp.gov.cn/）公布为准；</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rPr>
          <w:rFonts w:hint="eastAsia" w:ascii="宋体" w:hAnsi="宋体" w:eastAsia="宋体" w:cs="宋体"/>
          <w:b/>
          <w:sz w:val="24"/>
          <w:szCs w:val="24"/>
        </w:rPr>
      </w:pPr>
      <w:r>
        <w:rPr>
          <w:rFonts w:hint="eastAsia" w:ascii="宋体" w:hAnsi="宋体" w:eastAsia="宋体" w:cs="宋体"/>
          <w:b/>
          <w:sz w:val="24"/>
          <w:szCs w:val="24"/>
        </w:rPr>
        <w:t>2、资信商务及技术文件：</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（1）评分响应表（格式见附件2.1）；</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（2）投标声明书(格式见附件2.2)；</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（3）法定代表人授权委托书(格式见附件2.3)；</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（4）投标单位情况表(格式见附件2.4)；</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5</w:t>
      </w:r>
      <w:r>
        <w:rPr>
          <w:rFonts w:hint="eastAsia" w:ascii="宋体" w:hAnsi="宋体" w:eastAsia="宋体" w:cs="宋体"/>
          <w:sz w:val="24"/>
          <w:szCs w:val="24"/>
        </w:rPr>
        <w:t>）营业执照副本复印件；</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）中小企业声明函(</w:t>
      </w:r>
      <w:r>
        <w:rPr>
          <w:rFonts w:hint="eastAsia" w:ascii="宋体" w:hAnsi="宋体" w:eastAsia="宋体" w:cs="宋体"/>
          <w:b/>
          <w:sz w:val="24"/>
          <w:szCs w:val="24"/>
        </w:rPr>
        <w:t>如有</w:t>
      </w:r>
      <w:r>
        <w:rPr>
          <w:rFonts w:hint="eastAsia" w:ascii="宋体" w:hAnsi="宋体" w:eastAsia="宋体" w:cs="宋体"/>
          <w:sz w:val="24"/>
          <w:szCs w:val="24"/>
        </w:rPr>
        <w:t>)(格式见附件2.5)；</w:t>
      </w:r>
    </w:p>
    <w:p>
      <w:pPr>
        <w:keepNext w:val="0"/>
        <w:keepLines w:val="0"/>
        <w:pageBreakBefore w:val="0"/>
        <w:kinsoku/>
        <w:wordWrap/>
        <w:overflowPunct/>
        <w:topLinePunct w:val="0"/>
        <w:bidi w:val="0"/>
        <w:adjustRightInd/>
        <w:snapToGrid/>
        <w:spacing w:line="360" w:lineRule="auto"/>
        <w:ind w:left="0" w:leftChars="0" w:firstLine="504" w:firstLineChars="200"/>
        <w:jc w:val="left"/>
        <w:textAlignment w:val="auto"/>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cs="宋体"/>
          <w:spacing w:val="6"/>
          <w:sz w:val="24"/>
          <w:szCs w:val="24"/>
          <w:lang w:val="en-US" w:eastAsia="zh-CN"/>
        </w:rPr>
        <w:t>7</w:t>
      </w:r>
      <w:r>
        <w:rPr>
          <w:rFonts w:hint="eastAsia" w:ascii="宋体" w:hAnsi="宋体" w:eastAsia="宋体" w:cs="宋体"/>
          <w:spacing w:val="6"/>
          <w:sz w:val="24"/>
          <w:szCs w:val="24"/>
        </w:rPr>
        <w:t>）残疾人福利性单位声明函（</w:t>
      </w:r>
      <w:r>
        <w:rPr>
          <w:rFonts w:hint="eastAsia" w:ascii="宋体" w:hAnsi="宋体" w:eastAsia="宋体" w:cs="宋体"/>
          <w:b/>
          <w:spacing w:val="6"/>
          <w:sz w:val="24"/>
          <w:szCs w:val="24"/>
        </w:rPr>
        <w:t>如有</w:t>
      </w:r>
      <w:r>
        <w:rPr>
          <w:rFonts w:hint="eastAsia" w:ascii="宋体" w:hAnsi="宋体" w:eastAsia="宋体" w:cs="宋体"/>
          <w:spacing w:val="6"/>
          <w:sz w:val="24"/>
          <w:szCs w:val="24"/>
        </w:rPr>
        <w:t>）</w:t>
      </w:r>
      <w:r>
        <w:rPr>
          <w:rFonts w:hint="eastAsia" w:ascii="宋体" w:hAnsi="宋体" w:eastAsia="宋体" w:cs="宋体"/>
          <w:sz w:val="24"/>
          <w:szCs w:val="24"/>
        </w:rPr>
        <w:t>(格式见附件2.6)；</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8</w:t>
      </w:r>
      <w:r>
        <w:rPr>
          <w:rFonts w:hint="eastAsia" w:ascii="宋体" w:hAnsi="宋体" w:eastAsia="宋体" w:cs="宋体"/>
          <w:sz w:val="24"/>
          <w:szCs w:val="24"/>
        </w:rPr>
        <w:t>）监狱企业证明文件</w:t>
      </w:r>
      <w:r>
        <w:rPr>
          <w:rFonts w:hint="eastAsia" w:ascii="宋体" w:hAnsi="宋体" w:eastAsia="宋体" w:cs="宋体"/>
          <w:spacing w:val="6"/>
          <w:sz w:val="24"/>
          <w:szCs w:val="24"/>
        </w:rPr>
        <w:t>（</w:t>
      </w:r>
      <w:r>
        <w:rPr>
          <w:rFonts w:hint="eastAsia" w:ascii="宋体" w:hAnsi="宋体" w:eastAsia="宋体" w:cs="宋体"/>
          <w:b/>
          <w:spacing w:val="6"/>
          <w:sz w:val="24"/>
          <w:szCs w:val="24"/>
        </w:rPr>
        <w:t>如有</w:t>
      </w:r>
      <w:r>
        <w:rPr>
          <w:rFonts w:hint="eastAsia" w:ascii="宋体" w:hAnsi="宋体" w:eastAsia="宋体" w:cs="宋体"/>
          <w:spacing w:val="6"/>
          <w:sz w:val="24"/>
          <w:szCs w:val="24"/>
        </w:rPr>
        <w:t>）</w:t>
      </w:r>
      <w:r>
        <w:rPr>
          <w:rFonts w:hint="eastAsia" w:ascii="宋体" w:hAnsi="宋体" w:eastAsia="宋体" w:cs="宋体"/>
          <w:sz w:val="24"/>
          <w:szCs w:val="24"/>
        </w:rPr>
        <w:t>(格式自拟)；</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9</w:t>
      </w:r>
      <w:r>
        <w:rPr>
          <w:rFonts w:hint="eastAsia" w:ascii="宋体" w:hAnsi="宋体" w:eastAsia="宋体" w:cs="宋体"/>
          <w:sz w:val="24"/>
          <w:szCs w:val="24"/>
        </w:rPr>
        <w:t>）投标人过往投标产品销售合同业绩复印件（格式见附件2.7）；</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0</w:t>
      </w:r>
      <w:r>
        <w:rPr>
          <w:rFonts w:hint="eastAsia" w:ascii="宋体" w:hAnsi="宋体" w:eastAsia="宋体" w:cs="宋体"/>
          <w:sz w:val="24"/>
          <w:szCs w:val="24"/>
        </w:rPr>
        <w:t>）商务响应表（格式见附件2.8）；</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）投标产品服务计划表（格式见附件2.9）；</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2</w:t>
      </w:r>
      <w:r>
        <w:rPr>
          <w:rFonts w:hint="eastAsia" w:ascii="宋体" w:hAnsi="宋体" w:eastAsia="宋体" w:cs="宋体"/>
          <w:sz w:val="24"/>
          <w:szCs w:val="24"/>
        </w:rPr>
        <w:t>）技术响应表（格式见附件2.10）；</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3</w:t>
      </w:r>
      <w:r>
        <w:rPr>
          <w:rFonts w:hint="eastAsia" w:ascii="宋体" w:hAnsi="宋体" w:eastAsia="宋体" w:cs="宋体"/>
          <w:sz w:val="24"/>
          <w:szCs w:val="24"/>
        </w:rPr>
        <w:t>）投标人拟派项目负责人、技术负责人及其他主要人员个人证书及身份证(格式见附件2.11)；</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4</w:t>
      </w:r>
      <w:r>
        <w:rPr>
          <w:rFonts w:hint="eastAsia" w:ascii="宋体" w:hAnsi="宋体" w:eastAsia="宋体" w:cs="宋体"/>
          <w:sz w:val="24"/>
          <w:szCs w:val="24"/>
        </w:rPr>
        <w:t>）货物主要技术指标、功能及配置的详细说明（格式见附件2.12）；</w:t>
      </w:r>
    </w:p>
    <w:p>
      <w:pPr>
        <w:keepNext w:val="0"/>
        <w:keepLines w:val="0"/>
        <w:pageBreakBefore w:val="0"/>
        <w:kinsoku/>
        <w:wordWrap/>
        <w:overflowPunct/>
        <w:topLinePunct w:val="0"/>
        <w:bidi w:val="0"/>
        <w:adjustRightInd/>
        <w:snapToGrid/>
        <w:spacing w:line="360" w:lineRule="auto"/>
        <w:ind w:left="0" w:leftChars="0" w:firstLine="470" w:firstLineChars="196"/>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5</w:t>
      </w:r>
      <w:r>
        <w:rPr>
          <w:rFonts w:hint="eastAsia" w:ascii="宋体" w:hAnsi="宋体" w:eastAsia="宋体" w:cs="宋体"/>
          <w:sz w:val="24"/>
          <w:szCs w:val="24"/>
        </w:rPr>
        <w:t>）投标货物的彩图；</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6</w:t>
      </w:r>
      <w:r>
        <w:rPr>
          <w:rFonts w:hint="eastAsia" w:ascii="宋体" w:hAnsi="宋体" w:eastAsia="宋体" w:cs="宋体"/>
          <w:sz w:val="24"/>
          <w:szCs w:val="24"/>
        </w:rPr>
        <w:t>）主要材料的质检报告；</w:t>
      </w:r>
    </w:p>
    <w:p>
      <w:pPr>
        <w:pStyle w:val="27"/>
        <w:keepNext w:val="0"/>
        <w:keepLines w:val="0"/>
        <w:pageBreakBefore w:val="0"/>
        <w:kinsoku/>
        <w:wordWrap/>
        <w:overflowPunct/>
        <w:topLinePunct w:val="0"/>
        <w:bidi w:val="0"/>
        <w:adjustRightInd/>
        <w:snapToGrid/>
        <w:spacing w:beforeLines="0" w:afterLines="0" w:line="360" w:lineRule="auto"/>
        <w:ind w:left="0" w:leftChars="0" w:firstLine="600" w:firstLineChars="25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hAnsi="宋体" w:cs="宋体"/>
          <w:sz w:val="24"/>
          <w:szCs w:val="24"/>
          <w:lang w:val="en-US" w:eastAsia="zh-CN"/>
        </w:rPr>
        <w:t>7</w:t>
      </w:r>
      <w:r>
        <w:rPr>
          <w:rFonts w:hint="eastAsia" w:ascii="宋体" w:hAnsi="宋体" w:eastAsia="宋体" w:cs="宋体"/>
          <w:sz w:val="24"/>
          <w:szCs w:val="24"/>
        </w:rPr>
        <w:t>) 投标该项目的优势及自我评价；</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8</w:t>
      </w:r>
      <w:r>
        <w:rPr>
          <w:rFonts w:hint="eastAsia" w:ascii="宋体" w:hAnsi="宋体" w:eastAsia="宋体" w:cs="宋体"/>
          <w:sz w:val="24"/>
          <w:szCs w:val="24"/>
        </w:rPr>
        <w:t>）技术服务方案；</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19</w:t>
      </w:r>
      <w:r>
        <w:rPr>
          <w:rFonts w:hint="eastAsia" w:ascii="宋体" w:hAnsi="宋体" w:eastAsia="宋体" w:cs="宋体"/>
          <w:sz w:val="24"/>
          <w:szCs w:val="24"/>
        </w:rPr>
        <w:t>）优惠条件：投标人承诺给予招标人的各种优惠条件，包括售后服务、服务网点、备品备件、专用耗材等方面的优惠；</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color w:val="0D0D0D"/>
          <w:sz w:val="24"/>
          <w:szCs w:val="24"/>
          <w:lang w:val="en-US" w:eastAsia="zh-CN"/>
        </w:rPr>
      </w:pPr>
      <w:r>
        <w:rPr>
          <w:rFonts w:hint="eastAsia" w:ascii="宋体" w:hAnsi="宋体" w:eastAsia="宋体" w:cs="宋体"/>
          <w:sz w:val="24"/>
          <w:szCs w:val="24"/>
        </w:rPr>
        <w:t>（2</w:t>
      </w:r>
      <w:r>
        <w:rPr>
          <w:rFonts w:hint="eastAsia" w:ascii="宋体" w:hAnsi="宋体" w:cs="宋体"/>
          <w:sz w:val="24"/>
          <w:szCs w:val="24"/>
          <w:lang w:val="en-US" w:eastAsia="zh-CN"/>
        </w:rPr>
        <w:t>0</w:t>
      </w:r>
      <w:r>
        <w:rPr>
          <w:rFonts w:hint="eastAsia" w:ascii="宋体" w:hAnsi="宋体" w:eastAsia="宋体" w:cs="宋体"/>
          <w:sz w:val="24"/>
          <w:szCs w:val="24"/>
        </w:rPr>
        <w:t>）</w:t>
      </w:r>
      <w:r>
        <w:rPr>
          <w:rFonts w:hint="eastAsia" w:ascii="宋体" w:hAnsi="宋体" w:eastAsia="宋体" w:cs="宋体"/>
          <w:color w:val="0D0D0D"/>
          <w:sz w:val="24"/>
          <w:szCs w:val="24"/>
          <w:lang w:val="en-US" w:eastAsia="zh-CN"/>
        </w:rPr>
        <w:t>政府采购代理机构社会评价表（附件2.1</w:t>
      </w:r>
      <w:r>
        <w:rPr>
          <w:rFonts w:hint="eastAsia" w:ascii="宋体" w:hAnsi="宋体" w:cs="宋体"/>
          <w:color w:val="0D0D0D"/>
          <w:sz w:val="24"/>
          <w:szCs w:val="24"/>
          <w:lang w:val="en-US" w:eastAsia="zh-CN"/>
        </w:rPr>
        <w:t>3</w:t>
      </w:r>
      <w:r>
        <w:rPr>
          <w:rFonts w:hint="eastAsia" w:ascii="宋体" w:hAnsi="宋体" w:eastAsia="宋体" w:cs="宋体"/>
          <w:color w:val="0D0D0D"/>
          <w:sz w:val="24"/>
          <w:szCs w:val="24"/>
          <w:lang w:val="en-US" w:eastAsia="zh-CN"/>
        </w:rPr>
        <w:t>）；</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cs="宋体"/>
          <w:color w:val="0D0D0D"/>
          <w:sz w:val="24"/>
          <w:szCs w:val="24"/>
          <w:lang w:val="en-US" w:eastAsia="zh-CN"/>
        </w:rPr>
        <w:t>（21）</w:t>
      </w:r>
      <w:r>
        <w:rPr>
          <w:rFonts w:hint="eastAsia" w:ascii="宋体" w:hAnsi="宋体" w:eastAsia="宋体" w:cs="宋体"/>
          <w:sz w:val="24"/>
          <w:szCs w:val="24"/>
        </w:rPr>
        <w:t>投标人需要说明的其他文件和说明。</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rPr>
          <w:rFonts w:hint="eastAsia" w:ascii="宋体" w:hAnsi="宋体" w:eastAsia="宋体" w:cs="宋体"/>
          <w:b/>
          <w:sz w:val="24"/>
          <w:szCs w:val="24"/>
        </w:rPr>
      </w:pPr>
      <w:r>
        <w:rPr>
          <w:rFonts w:hint="eastAsia" w:ascii="宋体" w:hAnsi="宋体" w:eastAsia="宋体" w:cs="宋体"/>
          <w:b/>
          <w:sz w:val="24"/>
          <w:szCs w:val="24"/>
        </w:rPr>
        <w:t>3、报价文件</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（1）投标函（格式见附件3.1）；</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（2）开标一览表（格式见附件3.2）；</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（3）投标人针对报价需要说明的其他文件和说明。</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0"/>
        <w:rPr>
          <w:rFonts w:hint="eastAsia" w:ascii="宋体" w:hAnsi="宋体" w:eastAsia="宋体" w:cs="宋体"/>
          <w:b/>
          <w:sz w:val="24"/>
          <w:szCs w:val="24"/>
        </w:rPr>
      </w:pPr>
      <w:r>
        <w:rPr>
          <w:rFonts w:hint="eastAsia" w:ascii="宋体" w:hAnsi="宋体" w:eastAsia="宋体" w:cs="宋体"/>
          <w:b/>
          <w:sz w:val="24"/>
          <w:szCs w:val="24"/>
        </w:rPr>
        <w:t>（二）投标文件的语言及计量</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▲1投标文件以及投标方与招标方就有关投标事宜的所有来往函电，均应以中文汉语书写。除签名、盖章、专用名称等特殊情形外，以中文汉语以外的文字表述的投标文件视同未提供。</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▲2投标计量单位，应采用中华人民共和国法定计量单位（货币单位：人民币元），否则视同未响应。</w:t>
      </w:r>
    </w:p>
    <w:p>
      <w:pPr>
        <w:pStyle w:val="27"/>
        <w:keepNext w:val="0"/>
        <w:keepLines w:val="0"/>
        <w:pageBreakBefore w:val="0"/>
        <w:kinsoku/>
        <w:wordWrap/>
        <w:overflowPunct/>
        <w:topLinePunct w:val="0"/>
        <w:bidi w:val="0"/>
        <w:adjustRightInd/>
        <w:snapToGrid/>
        <w:spacing w:beforeLines="0" w:afterLines="0" w:line="360" w:lineRule="auto"/>
        <w:ind w:left="0" w:leftChars="0"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（三）投标报价</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▲1.投标报价应按招标文件中招标需求的要求，按照相关附表格式填写。</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▲2.投标报价是履行合同的最终价格，应包括完成本项目所需的人工、设备、材料、差旅费及其他等一切费用开支及税金。</w:t>
      </w:r>
    </w:p>
    <w:p>
      <w:pPr>
        <w:keepNext w:val="0"/>
        <w:keepLines w:val="0"/>
        <w:pageBreakBefore w:val="0"/>
        <w:tabs>
          <w:tab w:val="left" w:pos="525"/>
        </w:tabs>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▲3.投标文件只允许有一个报价，有选择的或有条件的报价将不予接受。唱标价格为报价文件正本中开标一览表的报价。</w:t>
      </w:r>
    </w:p>
    <w:p>
      <w:pPr>
        <w:keepNext w:val="0"/>
        <w:keepLines w:val="0"/>
        <w:pageBreakBefore w:val="0"/>
        <w:tabs>
          <w:tab w:val="left" w:pos="525"/>
        </w:tabs>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▲4.投标人的报价超出或等于限价都将做废标处理。</w:t>
      </w:r>
    </w:p>
    <w:p>
      <w:pPr>
        <w:pStyle w:val="13"/>
        <w:keepNext w:val="0"/>
        <w:keepLines w:val="0"/>
        <w:pageBreakBefore w:val="0"/>
        <w:widowControl w:val="0"/>
        <w:tabs>
          <w:tab w:val="clear" w:pos="454"/>
        </w:tabs>
        <w:kinsoku/>
        <w:wordWrap/>
        <w:overflowPunct/>
        <w:topLinePunct w:val="0"/>
        <w:bidi w:val="0"/>
        <w:adjustRightInd/>
        <w:snapToGrid/>
        <w:spacing w:afterLines="0" w:line="360" w:lineRule="auto"/>
        <w:ind w:left="0" w:leftChars="0" w:firstLine="472" w:firstLineChars="196"/>
        <w:textAlignment w:val="auto"/>
        <w:rPr>
          <w:rFonts w:hint="eastAsia" w:ascii="宋体" w:hAnsi="宋体" w:eastAsia="宋体" w:cs="宋体"/>
          <w:b/>
          <w:sz w:val="24"/>
          <w:szCs w:val="24"/>
        </w:rPr>
      </w:pPr>
      <w:r>
        <w:rPr>
          <w:rFonts w:hint="eastAsia" w:ascii="宋体" w:hAnsi="宋体" w:eastAsia="宋体" w:cs="宋体"/>
          <w:b/>
          <w:sz w:val="24"/>
          <w:szCs w:val="24"/>
        </w:rPr>
        <w:t>（四）投标文件的有效期</w:t>
      </w:r>
    </w:p>
    <w:p>
      <w:pPr>
        <w:pStyle w:val="13"/>
        <w:keepNext w:val="0"/>
        <w:keepLines w:val="0"/>
        <w:pageBreakBefore w:val="0"/>
        <w:widowControl w:val="0"/>
        <w:tabs>
          <w:tab w:val="clear" w:pos="454"/>
        </w:tabs>
        <w:kinsoku/>
        <w:wordWrap/>
        <w:overflowPunct/>
        <w:topLinePunct w:val="0"/>
        <w:bidi w:val="0"/>
        <w:adjustRightInd/>
        <w:snapToGrid/>
        <w:spacing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▲1.自投标截止日起</w:t>
      </w:r>
      <w:r>
        <w:rPr>
          <w:rFonts w:hint="eastAsia" w:ascii="宋体" w:hAnsi="宋体" w:eastAsia="宋体" w:cs="宋体"/>
          <w:sz w:val="24"/>
          <w:szCs w:val="24"/>
          <w:u w:val="single"/>
        </w:rPr>
        <w:t>60</w:t>
      </w:r>
      <w:r>
        <w:rPr>
          <w:rFonts w:hint="eastAsia" w:ascii="宋体" w:hAnsi="宋体" w:eastAsia="宋体" w:cs="宋体"/>
          <w:sz w:val="24"/>
          <w:szCs w:val="24"/>
        </w:rPr>
        <w:t>天投标文件应保持有效。有效期不足的投标文件将被拒绝。</w:t>
      </w:r>
    </w:p>
    <w:p>
      <w:pPr>
        <w:pStyle w:val="13"/>
        <w:keepNext w:val="0"/>
        <w:keepLines w:val="0"/>
        <w:pageBreakBefore w:val="0"/>
        <w:widowControl w:val="0"/>
        <w:tabs>
          <w:tab w:val="clear" w:pos="454"/>
        </w:tabs>
        <w:kinsoku/>
        <w:wordWrap/>
        <w:overflowPunct/>
        <w:topLinePunct w:val="0"/>
        <w:bidi w:val="0"/>
        <w:adjustRightInd/>
        <w:snapToGrid/>
        <w:spacing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2.在特殊情况下，招标人可与投标人协商延长投标书的有效期，这种要求和答复均以书面形式进行。</w:t>
      </w:r>
    </w:p>
    <w:p>
      <w:pPr>
        <w:keepNext w:val="0"/>
        <w:keepLines w:val="0"/>
        <w:pageBreakBefore w:val="0"/>
        <w:kinsoku/>
        <w:wordWrap/>
        <w:overflowPunct/>
        <w:topLinePunct w:val="0"/>
        <w:bidi w:val="0"/>
        <w:adjustRightInd/>
        <w:snapToGrid/>
        <w:spacing w:line="360" w:lineRule="auto"/>
        <w:ind w:left="0" w:leftChars="0" w:firstLine="480" w:firstLineChars="200"/>
        <w:jc w:val="left"/>
        <w:textAlignment w:val="auto"/>
        <w:outlineLvl w:val="0"/>
        <w:rPr>
          <w:rFonts w:hint="eastAsia" w:ascii="宋体" w:hAnsi="宋体" w:eastAsia="宋体" w:cs="宋体"/>
          <w:b/>
          <w:sz w:val="24"/>
          <w:szCs w:val="24"/>
        </w:rPr>
      </w:pPr>
      <w:r>
        <w:rPr>
          <w:rFonts w:hint="eastAsia" w:ascii="宋体" w:hAnsi="宋体" w:eastAsia="宋体" w:cs="宋体"/>
          <w:sz w:val="24"/>
          <w:szCs w:val="24"/>
        </w:rPr>
        <w:t>3.中标人的投标文件自开标之日起至合同履行完毕止均应保持有效。</w:t>
      </w:r>
    </w:p>
    <w:p>
      <w:pPr>
        <w:keepNext w:val="0"/>
        <w:keepLines w:val="0"/>
        <w:pageBreakBefore w:val="0"/>
        <w:kinsoku/>
        <w:wordWrap/>
        <w:overflowPunct/>
        <w:topLinePunct w:val="0"/>
        <w:bidi w:val="0"/>
        <w:adjustRightInd/>
        <w:snapToGrid/>
        <w:spacing w:line="360" w:lineRule="auto"/>
        <w:ind w:left="0" w:leftChars="0" w:firstLine="472" w:firstLineChars="196"/>
        <w:jc w:val="left"/>
        <w:textAlignment w:val="auto"/>
        <w:outlineLvl w:val="0"/>
        <w:rPr>
          <w:rFonts w:hint="eastAsia" w:ascii="宋体" w:hAnsi="宋体" w:eastAsia="宋体" w:cs="宋体"/>
          <w:b/>
          <w:sz w:val="24"/>
          <w:szCs w:val="24"/>
        </w:rPr>
      </w:pPr>
      <w:r>
        <w:rPr>
          <w:rFonts w:hint="eastAsia" w:ascii="宋体" w:hAnsi="宋体" w:eastAsia="宋体" w:cs="宋体"/>
          <w:b/>
          <w:sz w:val="24"/>
          <w:szCs w:val="24"/>
        </w:rPr>
        <w:t>（五）投标文件的上传、递交、修改和撤回</w:t>
      </w:r>
    </w:p>
    <w:p>
      <w:pPr>
        <w:keepNext w:val="0"/>
        <w:keepLines w:val="0"/>
        <w:pageBreakBefore w:val="0"/>
        <w:kinsoku/>
        <w:wordWrap/>
        <w:overflowPunct/>
        <w:topLinePunct w:val="0"/>
        <w:bidi w:val="0"/>
        <w:adjustRightInd/>
        <w:snapToGrid/>
        <w:spacing w:line="360" w:lineRule="auto"/>
        <w:ind w:left="0" w:leftChars="0" w:firstLine="495"/>
        <w:textAlignment w:val="auto"/>
        <w:rPr>
          <w:rFonts w:hint="eastAsia" w:ascii="宋体" w:hAnsi="宋体" w:eastAsia="宋体" w:cs="宋体"/>
          <w:sz w:val="24"/>
          <w:szCs w:val="24"/>
        </w:rPr>
      </w:pPr>
      <w:r>
        <w:rPr>
          <w:rFonts w:hint="eastAsia" w:ascii="宋体" w:hAnsi="宋体" w:eastAsia="宋体" w:cs="宋体"/>
          <w:sz w:val="24"/>
          <w:szCs w:val="24"/>
        </w:rPr>
        <w:t>1.投标人应当在投标截止时间前在“政采云”（电子交易平台）上自行上传加密的电子投标文件。</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2.未按规定上传的投标文件将被拒绝，由此造成投标文件解密失败或被误投的风险由投标人承担。</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3.投标人未在“政采云”（电子交易平台）上自行上传加密的电子投标文件，仅提交电子备份投标文件的，投标无效。</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上传的投标响应文件，将被政采云平台拒收。</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人在投标截止时间之前，可以对已提交的电子备份投标文件进行修改或撤回，并书面通知招标采购单位；修改后重新递交的电子备份投标文件应当按本招标文件的要求签署、盖章。投标截止时间后，投标人不得撤回、修改电子备份投标文件。</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5.截止开标时间，政采云（电子交易平台）自动提取所有投标文件，投标人须在开标时间截止后</w:t>
      </w:r>
      <w:r>
        <w:rPr>
          <w:rFonts w:hint="eastAsia" w:ascii="宋体" w:hAnsi="宋体" w:eastAsia="宋体" w:cs="宋体"/>
          <w:sz w:val="24"/>
          <w:szCs w:val="24"/>
          <w:lang w:val="en-US" w:eastAsia="zh-CN"/>
        </w:rPr>
        <w:t>30</w:t>
      </w:r>
      <w:r>
        <w:rPr>
          <w:rFonts w:hint="eastAsia" w:ascii="宋体" w:hAnsi="宋体" w:eastAsia="宋体" w:cs="宋体"/>
          <w:sz w:val="24"/>
          <w:szCs w:val="24"/>
        </w:rPr>
        <w:t>分钟内对上传政采云的投标文件进行解密，所有投标人在规定的解密时限内解密完成或解密时限到后，采购代理机构开启投标文件；投标人超过解密时限的，系统默认自动放弃。</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6.电子投标文件无法解密或解密失败时，投标人提供了电子备份投标文件的，以电子备份投标文件作为评审依据，否则视为投标文件撤回。投标文件已按时解密的，电子备份投标文件自动失效。</w:t>
      </w:r>
    </w:p>
    <w:p>
      <w:pPr>
        <w:keepNext w:val="0"/>
        <w:keepLines w:val="0"/>
        <w:pageBreakBefore w:val="0"/>
        <w:kinsoku/>
        <w:wordWrap/>
        <w:overflowPunct/>
        <w:topLinePunct w:val="0"/>
        <w:bidi w:val="0"/>
        <w:adjustRightInd/>
        <w:snapToGrid/>
        <w:spacing w:line="360" w:lineRule="auto"/>
        <w:ind w:left="0" w:leftChars="0" w:firstLine="472" w:firstLineChars="196"/>
        <w:textAlignment w:val="auto"/>
        <w:outlineLvl w:val="2"/>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cs="宋体"/>
          <w:b/>
          <w:sz w:val="24"/>
          <w:szCs w:val="24"/>
          <w:lang w:eastAsia="zh-CN"/>
        </w:rPr>
        <w:t>六</w:t>
      </w:r>
      <w:r>
        <w:rPr>
          <w:rFonts w:hint="eastAsia" w:ascii="宋体" w:hAnsi="宋体" w:eastAsia="宋体" w:cs="宋体"/>
          <w:b/>
          <w:sz w:val="24"/>
          <w:szCs w:val="24"/>
        </w:rPr>
        <w:t>）投标无效的情形</w:t>
      </w:r>
    </w:p>
    <w:p>
      <w:pPr>
        <w:keepNext w:val="0"/>
        <w:keepLines w:val="0"/>
        <w:pageBreakBefore w:val="0"/>
        <w:kinsoku/>
        <w:wordWrap/>
        <w:overflowPunct/>
        <w:topLinePunct w:val="0"/>
        <w:bidi w:val="0"/>
        <w:adjustRightInd/>
        <w:snapToGrid/>
        <w:spacing w:line="360" w:lineRule="auto"/>
        <w:ind w:left="0" w:leftChars="0" w:firstLine="420"/>
        <w:jc w:val="left"/>
        <w:textAlignment w:val="auto"/>
        <w:rPr>
          <w:rFonts w:hint="eastAsia" w:ascii="宋体" w:hAnsi="宋体" w:eastAsia="宋体" w:cs="宋体"/>
          <w:sz w:val="24"/>
          <w:szCs w:val="24"/>
        </w:rPr>
      </w:pPr>
      <w:r>
        <w:rPr>
          <w:rFonts w:hint="eastAsia" w:ascii="宋体" w:hAnsi="宋体" w:eastAsia="宋体" w:cs="宋体"/>
          <w:sz w:val="24"/>
          <w:szCs w:val="24"/>
        </w:rPr>
        <w:t>实质上没有响应招标文件要求的投标将被视为无效投标。投标人不得通过修正或撤消不合要求的偏离或保留从而使其投标成为实质上响应的投标，但经评标委员会认定属于投标人疏忽、笔误所造成的差错（带▲的条款不得更正），应当允许其在评标结束之前进行修改或者补正，修改或者补正投标文件必须以书面形式进行。投标人修改、补正投标文件后，不影响评标委员会对其投标文件所作的评价和评分结果。</w:t>
      </w:r>
    </w:p>
    <w:p>
      <w:pPr>
        <w:keepNext w:val="0"/>
        <w:keepLines w:val="0"/>
        <w:pageBreakBefore w:val="0"/>
        <w:kinsoku/>
        <w:wordWrap/>
        <w:overflowPunct/>
        <w:topLinePunct w:val="0"/>
        <w:bidi w:val="0"/>
        <w:adjustRightInd/>
        <w:snapToGrid/>
        <w:spacing w:line="360" w:lineRule="auto"/>
        <w:ind w:left="0" w:leftChars="0" w:firstLine="472"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1.在符合性审查和商务评审时，如发现下列情形之一的，投标文件将被视为无效：</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（1）投标人仅提交电子备份投标文件的。</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（2）在开评标时出现电子投标文件无法解密或解密失败等情况，投标人未提供电子备份投标文件，无法对投标人继续进行评审的。</w:t>
      </w:r>
    </w:p>
    <w:p>
      <w:pPr>
        <w:keepNext w:val="0"/>
        <w:keepLines w:val="0"/>
        <w:pageBreakBefore w:val="0"/>
        <w:kinsoku/>
        <w:wordWrap/>
        <w:overflowPunct/>
        <w:topLinePunct w:val="0"/>
        <w:bidi w:val="0"/>
        <w:adjustRightInd/>
        <w:snapToGrid/>
        <w:spacing w:line="360" w:lineRule="auto"/>
        <w:ind w:left="0" w:leftChars="0"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（3）投标人未在规定的时间内对电子询标函进行澄清回复、拒绝澄清回复或澄清回复的内容改变了投标文件的实质性内容的。</w:t>
      </w:r>
    </w:p>
    <w:p>
      <w:pPr>
        <w:keepNext w:val="0"/>
        <w:keepLines w:val="0"/>
        <w:pageBreakBefore w:val="0"/>
        <w:kinsoku/>
        <w:wordWrap/>
        <w:overflowPunct/>
        <w:topLinePunct w:val="0"/>
        <w:bidi w:val="0"/>
        <w:adjustRightInd/>
        <w:snapToGrid/>
        <w:spacing w:line="360" w:lineRule="auto"/>
        <w:ind w:left="0" w:leftChars="0"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（4）资信及商务标内有商务报价出现的；</w:t>
      </w:r>
    </w:p>
    <w:p>
      <w:pPr>
        <w:keepNext w:val="0"/>
        <w:keepLines w:val="0"/>
        <w:pageBreakBefore w:val="0"/>
        <w:kinsoku/>
        <w:wordWrap/>
        <w:overflowPunct/>
        <w:topLinePunct w:val="0"/>
        <w:bidi w:val="0"/>
        <w:adjustRightInd/>
        <w:snapToGrid/>
        <w:spacing w:line="360" w:lineRule="auto"/>
        <w:ind w:left="0" w:leftChars="0"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5</w:t>
      </w:r>
      <w:r>
        <w:rPr>
          <w:rFonts w:hint="eastAsia" w:ascii="宋体" w:hAnsi="宋体" w:eastAsia="宋体" w:cs="宋体"/>
          <w:sz w:val="24"/>
          <w:szCs w:val="24"/>
        </w:rPr>
        <w:t>）资格证明文件不全的，或者不符合招标文件标明的资格要求的；</w:t>
      </w:r>
    </w:p>
    <w:p>
      <w:pPr>
        <w:keepNext w:val="0"/>
        <w:keepLines w:val="0"/>
        <w:pageBreakBefore w:val="0"/>
        <w:kinsoku/>
        <w:wordWrap/>
        <w:overflowPunct/>
        <w:topLinePunct w:val="0"/>
        <w:bidi w:val="0"/>
        <w:adjustRightInd/>
        <w:snapToGrid/>
        <w:spacing w:line="360" w:lineRule="auto"/>
        <w:ind w:left="0" w:leftChars="0" w:firstLine="470" w:firstLineChars="196"/>
        <w:textAlignment w:val="auto"/>
        <w:rPr>
          <w:rFonts w:hint="eastAsia" w:ascii="宋体" w:hAnsi="宋体" w:eastAsia="宋体" w:cs="宋体"/>
          <w:color w:val="0D0D0D"/>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）本招标文件明确规定投标文件需要投</w:t>
      </w:r>
      <w:r>
        <w:rPr>
          <w:rFonts w:hint="eastAsia" w:ascii="宋体" w:hAnsi="宋体" w:eastAsia="宋体" w:cs="宋体"/>
          <w:color w:val="0D0D0D"/>
          <w:sz w:val="24"/>
          <w:szCs w:val="24"/>
        </w:rPr>
        <w:t>标人签字、盖章的地方，投标人没有按招标文件的规定进行签字、盖章的,或未提供法定代表人授权委托书、投标声明书或者填写项目不齐全的，或则授权委托书无效的；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color w:val="0D0D0D"/>
          <w:sz w:val="24"/>
          <w:szCs w:val="24"/>
        </w:rPr>
      </w:pPr>
      <w:r>
        <w:rPr>
          <w:rFonts w:hint="eastAsia" w:ascii="宋体" w:hAnsi="宋体" w:eastAsia="宋体" w:cs="宋体"/>
          <w:color w:val="0D0D0D"/>
          <w:sz w:val="24"/>
          <w:szCs w:val="24"/>
        </w:rPr>
        <w:t>（</w:t>
      </w:r>
      <w:r>
        <w:rPr>
          <w:rFonts w:hint="eastAsia" w:hAnsi="宋体" w:cs="宋体"/>
          <w:color w:val="0D0D0D"/>
          <w:sz w:val="24"/>
          <w:szCs w:val="24"/>
          <w:lang w:val="en-US" w:eastAsia="zh-CN"/>
        </w:rPr>
        <w:t>7</w:t>
      </w:r>
      <w:r>
        <w:rPr>
          <w:rFonts w:hint="eastAsia" w:ascii="宋体" w:hAnsi="宋体" w:eastAsia="宋体" w:cs="宋体"/>
          <w:color w:val="0D0D0D"/>
          <w:sz w:val="24"/>
          <w:szCs w:val="24"/>
        </w:rPr>
        <w:t>）投标文件的实质性内容未使用中文表述、意思表述不明确、前后矛盾或者使用计量单位不符合招标文件要求的（经评标委员会认定并允许其当场更正的笔误除外）；</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napToGrid w:val="0"/>
          <w:sz w:val="24"/>
          <w:szCs w:val="24"/>
        </w:rPr>
      </w:pPr>
      <w:r>
        <w:rPr>
          <w:rFonts w:hint="eastAsia" w:ascii="宋体" w:hAnsi="宋体" w:eastAsia="宋体" w:cs="宋体"/>
          <w:sz w:val="24"/>
          <w:szCs w:val="24"/>
        </w:rPr>
        <w:t>（</w:t>
      </w:r>
      <w:r>
        <w:rPr>
          <w:rFonts w:hint="eastAsia" w:hAnsi="宋体" w:cs="宋体"/>
          <w:sz w:val="24"/>
          <w:szCs w:val="24"/>
          <w:lang w:val="en-US" w:eastAsia="zh-CN"/>
        </w:rPr>
        <w:t>8</w:t>
      </w:r>
      <w:r>
        <w:rPr>
          <w:rFonts w:hint="eastAsia" w:ascii="宋体" w:hAnsi="宋体" w:eastAsia="宋体" w:cs="宋体"/>
          <w:snapToGrid w:val="0"/>
          <w:sz w:val="24"/>
          <w:szCs w:val="24"/>
        </w:rPr>
        <w:t>）投标有效期等商务条款不能满足招标文件要求的；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hAnsi="宋体" w:cs="宋体"/>
          <w:sz w:val="24"/>
          <w:szCs w:val="24"/>
          <w:lang w:val="en-US" w:eastAsia="zh-CN"/>
        </w:rPr>
        <w:t>9</w:t>
      </w:r>
      <w:r>
        <w:rPr>
          <w:rFonts w:hint="eastAsia" w:ascii="宋体" w:hAnsi="宋体" w:eastAsia="宋体" w:cs="宋体"/>
          <w:sz w:val="24"/>
          <w:szCs w:val="24"/>
        </w:rPr>
        <w:t>）未实质性响应招标文件中标有“▲”条款要求的；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hAnsi="宋体" w:cs="宋体"/>
          <w:sz w:val="24"/>
          <w:szCs w:val="24"/>
          <w:lang w:val="en-US" w:eastAsia="zh-CN"/>
        </w:rPr>
        <w:t>0</w:t>
      </w:r>
      <w:r>
        <w:rPr>
          <w:rFonts w:hint="eastAsia" w:ascii="宋体" w:hAnsi="宋体" w:eastAsia="宋体" w:cs="宋体"/>
          <w:sz w:val="24"/>
          <w:szCs w:val="24"/>
        </w:rPr>
        <w:t>）投标文件有招标方不能接受的附加条件的。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hAnsi="宋体" w:cs="宋体"/>
          <w:sz w:val="24"/>
          <w:szCs w:val="24"/>
          <w:lang w:val="en-US" w:eastAsia="zh-CN"/>
        </w:rPr>
        <w:t>1</w:t>
      </w:r>
      <w:r>
        <w:rPr>
          <w:rFonts w:hint="eastAsia" w:ascii="宋体" w:hAnsi="宋体" w:eastAsia="宋体" w:cs="宋体"/>
          <w:sz w:val="24"/>
          <w:szCs w:val="24"/>
        </w:rPr>
        <w:t>）电子投标文件未按规定要求提供电子签章的。</w:t>
      </w:r>
    </w:p>
    <w:p>
      <w:pPr>
        <w:pStyle w:val="6"/>
        <w:keepNext w:val="0"/>
        <w:keepLines w:val="0"/>
        <w:pageBreakBefore w:val="0"/>
        <w:kinsoku/>
        <w:wordWrap/>
        <w:overflowPunct/>
        <w:topLinePunct w:val="0"/>
        <w:bidi w:val="0"/>
        <w:adjustRightInd/>
        <w:snapToGrid/>
        <w:spacing w:line="360" w:lineRule="auto"/>
        <w:ind w:left="0" w:leftChars="0" w:firstLine="457"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2.在技术评审时，如发现下列情形之一的，投标文件将被视为无效：</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（1）投标人未在规定的时间内对电子询标函进行澄清回复、拒绝澄清回复或澄清回复的内容改变了投标文件的实质性内容的。</w:t>
      </w:r>
    </w:p>
    <w:p>
      <w:pPr>
        <w:keepNext w:val="0"/>
        <w:keepLines w:val="0"/>
        <w:pageBreakBefore w:val="0"/>
        <w:kinsoku/>
        <w:wordWrap/>
        <w:overflowPunct/>
        <w:topLinePunct w:val="0"/>
        <w:bidi w:val="0"/>
        <w:adjustRightInd/>
        <w:snapToGrid/>
        <w:spacing w:line="360" w:lineRule="auto"/>
        <w:ind w:left="0" w:leftChars="0"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（2）技术标内有商务报价出现的；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（3）未提供技术服务方案的；</w:t>
      </w:r>
    </w:p>
    <w:p>
      <w:pPr>
        <w:pStyle w:val="5"/>
        <w:keepNext w:val="0"/>
        <w:keepLines w:val="0"/>
        <w:pageBreakBefore w:val="0"/>
        <w:kinsoku/>
        <w:wordWrap/>
        <w:overflowPunct/>
        <w:topLinePunct w:val="0"/>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t>（4）与其他参加本次投标供应商的投标文件（技术文件）的文字表述内容相同连续20行以上的。</w:t>
      </w:r>
    </w:p>
    <w:p>
      <w:pPr>
        <w:pStyle w:val="5"/>
        <w:keepNext w:val="0"/>
        <w:keepLines w:val="0"/>
        <w:pageBreakBefore w:val="0"/>
        <w:kinsoku/>
        <w:wordWrap/>
        <w:overflowPunct/>
        <w:topLinePunct w:val="0"/>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t>（5）电子投标文件未按规定要求提供电子签章的。</w:t>
      </w:r>
    </w:p>
    <w:p>
      <w:pPr>
        <w:pStyle w:val="6"/>
        <w:keepNext w:val="0"/>
        <w:keepLines w:val="0"/>
        <w:pageBreakBefore w:val="0"/>
        <w:kinsoku/>
        <w:wordWrap/>
        <w:overflowPunct/>
        <w:topLinePunct w:val="0"/>
        <w:bidi w:val="0"/>
        <w:adjustRightInd/>
        <w:snapToGrid/>
        <w:spacing w:line="360" w:lineRule="auto"/>
        <w:ind w:left="0" w:leftChars="0" w:firstLine="457"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3.在报价评审时，如发现下列情形之一的，投标文件将被视为无效：</w:t>
      </w:r>
    </w:p>
    <w:p>
      <w:pPr>
        <w:pStyle w:val="6"/>
        <w:keepNext w:val="0"/>
        <w:keepLines w:val="0"/>
        <w:pageBreakBefore w:val="0"/>
        <w:kinsoku/>
        <w:wordWrap/>
        <w:overflowPunct/>
        <w:topLinePunct w:val="0"/>
        <w:bidi w:val="0"/>
        <w:adjustRightInd/>
        <w:snapToGrid/>
        <w:spacing w:line="360" w:lineRule="auto"/>
        <w:ind w:left="0" w:leftChars="0" w:firstLine="464" w:firstLineChars="200"/>
        <w:textAlignment w:val="auto"/>
        <w:rPr>
          <w:rFonts w:hint="eastAsia" w:ascii="宋体" w:hAnsi="宋体" w:eastAsia="宋体" w:cs="宋体"/>
          <w:sz w:val="24"/>
          <w:szCs w:val="24"/>
        </w:rPr>
      </w:pPr>
      <w:r>
        <w:rPr>
          <w:rFonts w:hint="eastAsia" w:ascii="宋体" w:hAnsi="宋体" w:eastAsia="宋体" w:cs="宋体"/>
          <w:sz w:val="24"/>
          <w:szCs w:val="24"/>
        </w:rPr>
        <w:t>（1）投标人未在规定的时间内对电子询标函进行澄清回复、拒绝澄清回复或者澄清回复的内容改变了投标文件的实质性内容的。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（2）未按照招标文件标明的格式报价的；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（3）报价超出限价的；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（4）投标报价具有选择性的；</w:t>
      </w:r>
    </w:p>
    <w:p>
      <w:pPr>
        <w:pStyle w:val="5"/>
        <w:keepNext w:val="0"/>
        <w:keepLines w:val="0"/>
        <w:pageBreakBefore w:val="0"/>
        <w:kinsoku/>
        <w:wordWrap/>
        <w:overflowPunct/>
        <w:topLinePunct w:val="0"/>
        <w:bidi w:val="0"/>
        <w:adjustRightInd/>
        <w:snapToGrid/>
        <w:spacing w:line="360" w:lineRule="auto"/>
        <w:ind w:left="0" w:leftChars="0"/>
        <w:textAlignment w:val="auto"/>
        <w:rPr>
          <w:rFonts w:hint="eastAsia" w:ascii="宋体" w:hAnsi="宋体" w:eastAsia="宋体" w:cs="宋体"/>
          <w:b/>
          <w:sz w:val="24"/>
          <w:szCs w:val="24"/>
        </w:rPr>
      </w:pPr>
      <w:r>
        <w:rPr>
          <w:rFonts w:hint="eastAsia" w:ascii="宋体" w:hAnsi="宋体" w:eastAsia="宋体" w:cs="宋体"/>
          <w:b/>
          <w:sz w:val="24"/>
          <w:szCs w:val="24"/>
        </w:rPr>
        <w:t>（5）报价评审过程中，评标委员会发现投标人的报价明显低于其他投标报价，使得其投标报价可能低于其成本的，将要求该投标人当场作出书面说明并提供相关证明材料，投标人不能合理说明或不能提供证明材料，评标委员会可以认定投标人以低于成本价竞标，其投标应作废标处理。</w:t>
      </w:r>
    </w:p>
    <w:p>
      <w:pPr>
        <w:pStyle w:val="5"/>
        <w:keepNext w:val="0"/>
        <w:keepLines w:val="0"/>
        <w:pageBreakBefore w:val="0"/>
        <w:kinsoku/>
        <w:wordWrap/>
        <w:overflowPunct/>
        <w:topLinePunct w:val="0"/>
        <w:bidi w:val="0"/>
        <w:adjustRightInd/>
        <w:snapToGrid/>
        <w:spacing w:line="360" w:lineRule="auto"/>
        <w:ind w:left="0" w:leftChars="0"/>
        <w:textAlignment w:val="auto"/>
        <w:rPr>
          <w:rFonts w:hint="eastAsia" w:ascii="宋体" w:hAnsi="宋体" w:eastAsia="宋体" w:cs="宋体"/>
          <w:b/>
          <w:sz w:val="24"/>
          <w:szCs w:val="24"/>
        </w:rPr>
      </w:pPr>
      <w:r>
        <w:rPr>
          <w:rFonts w:hint="eastAsia" w:ascii="宋体" w:hAnsi="宋体" w:eastAsia="宋体" w:cs="宋体"/>
          <w:b/>
          <w:bCs/>
          <w:sz w:val="24"/>
          <w:szCs w:val="24"/>
        </w:rPr>
        <w:t>（6）电子投标文件未按规定要求提供电子签章的。</w:t>
      </w:r>
    </w:p>
    <w:p>
      <w:pPr>
        <w:pStyle w:val="6"/>
        <w:keepNext w:val="0"/>
        <w:keepLines w:val="0"/>
        <w:pageBreakBefore w:val="0"/>
        <w:kinsoku/>
        <w:wordWrap/>
        <w:overflowPunct/>
        <w:topLinePunct w:val="0"/>
        <w:bidi w:val="0"/>
        <w:adjustRightInd/>
        <w:snapToGrid/>
        <w:spacing w:line="360" w:lineRule="auto"/>
        <w:ind w:left="0" w:leftChars="0" w:firstLine="454" w:firstLineChars="196"/>
        <w:textAlignment w:val="auto"/>
        <w:rPr>
          <w:rFonts w:hint="eastAsia" w:ascii="宋体" w:hAnsi="宋体" w:eastAsia="宋体" w:cs="宋体"/>
          <w:sz w:val="24"/>
          <w:szCs w:val="24"/>
        </w:rPr>
      </w:pPr>
      <w:r>
        <w:rPr>
          <w:rFonts w:hint="eastAsia" w:ascii="宋体" w:hAnsi="宋体" w:eastAsia="宋体" w:cs="宋体"/>
          <w:sz w:val="24"/>
          <w:szCs w:val="24"/>
        </w:rPr>
        <w:t>4.资格审查资料未提供或提供不完整可在评标过程中补充后，不作无效标处理。被拒绝的投标文件为无效。</w:t>
      </w:r>
    </w:p>
    <w:p>
      <w:pPr>
        <w:pStyle w:val="6"/>
        <w:keepNext w:val="0"/>
        <w:keepLines w:val="0"/>
        <w:pageBreakBefore w:val="0"/>
        <w:kinsoku/>
        <w:wordWrap/>
        <w:overflowPunct/>
        <w:topLinePunct w:val="0"/>
        <w:bidi w:val="0"/>
        <w:adjustRightInd/>
        <w:snapToGrid/>
        <w:spacing w:line="360" w:lineRule="auto"/>
        <w:ind w:left="0" w:leftChars="0" w:firstLine="0" w:firstLineChars="0"/>
        <w:textAlignment w:val="auto"/>
        <w:outlineLvl w:val="1"/>
        <w:rPr>
          <w:rFonts w:hint="eastAsia" w:ascii="宋体" w:hAnsi="宋体" w:eastAsia="宋体" w:cs="宋体"/>
          <w:b/>
          <w:snapToGrid w:val="0"/>
          <w:sz w:val="24"/>
          <w:szCs w:val="24"/>
        </w:rPr>
      </w:pPr>
      <w:r>
        <w:rPr>
          <w:rFonts w:hint="eastAsia" w:ascii="宋体" w:hAnsi="宋体" w:eastAsia="宋体" w:cs="宋体"/>
          <w:b/>
          <w:sz w:val="24"/>
          <w:szCs w:val="24"/>
        </w:rPr>
        <w:t>四、开标</w:t>
      </w:r>
    </w:p>
    <w:p>
      <w:pPr>
        <w:pStyle w:val="27"/>
        <w:keepNext w:val="0"/>
        <w:keepLines w:val="0"/>
        <w:pageBreakBefore w:val="0"/>
        <w:kinsoku/>
        <w:wordWrap/>
        <w:overflowPunct/>
        <w:topLinePunct w:val="0"/>
        <w:bidi w:val="0"/>
        <w:adjustRightInd/>
        <w:snapToGrid/>
        <w:spacing w:beforeLines="0" w:afterLines="0" w:line="360" w:lineRule="auto"/>
        <w:ind w:left="0" w:leftChars="0" w:firstLine="472" w:firstLineChars="196"/>
        <w:textAlignment w:val="auto"/>
        <w:rPr>
          <w:rFonts w:hint="eastAsia" w:ascii="宋体" w:hAnsi="宋体" w:eastAsia="宋体" w:cs="宋体"/>
          <w:b/>
          <w:sz w:val="24"/>
          <w:szCs w:val="24"/>
        </w:rPr>
      </w:pPr>
      <w:r>
        <w:rPr>
          <w:rFonts w:hint="eastAsia" w:ascii="宋体" w:hAnsi="宋体" w:eastAsia="宋体" w:cs="宋体"/>
          <w:b/>
          <w:sz w:val="24"/>
          <w:szCs w:val="24"/>
        </w:rPr>
        <w:t>（一）开标准备</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采购代理机构将在规定的时间和地点进行电子开标，投标人的法定代表人或其委托代理人【委托代理人应当是投标人的在职正式职工（以投标人本单位缴纳社保花名册为准）】应做好投标准备，准时在线参加电子开标会议，随时关注开标进度。</w:t>
      </w:r>
    </w:p>
    <w:p>
      <w:pPr>
        <w:pStyle w:val="27"/>
        <w:keepNext w:val="0"/>
        <w:keepLines w:val="0"/>
        <w:pageBreakBefore w:val="0"/>
        <w:kinsoku/>
        <w:wordWrap/>
        <w:overflowPunct/>
        <w:topLinePunct w:val="0"/>
        <w:bidi w:val="0"/>
        <w:adjustRightInd/>
        <w:snapToGrid/>
        <w:spacing w:beforeLines="0" w:afterLines="0" w:line="360" w:lineRule="auto"/>
        <w:ind w:left="0" w:leftChars="0" w:firstLine="472"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（二）开标程序：</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1.开标会由招标方主持，主持人宣布开标会议开始；</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2.主持人介绍参加开标会的人员名单；</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3.主持人宣布评标期间的有关事项；</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告知应当回避的情形,提请有关人员回避，检查投标人代表的到会情况；</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4.开标及评审程序</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4.1在开标时间截止后</w:t>
      </w:r>
      <w:r>
        <w:rPr>
          <w:rFonts w:hint="eastAsia" w:ascii="宋体" w:hAnsi="宋体" w:eastAsia="宋体" w:cs="宋体"/>
          <w:sz w:val="24"/>
          <w:szCs w:val="24"/>
          <w:lang w:val="en-US" w:eastAsia="zh-CN"/>
        </w:rPr>
        <w:t>30</w:t>
      </w:r>
      <w:r>
        <w:rPr>
          <w:rFonts w:hint="eastAsia" w:ascii="宋体" w:hAnsi="宋体" w:eastAsia="宋体" w:cs="宋体"/>
          <w:sz w:val="24"/>
          <w:szCs w:val="24"/>
        </w:rPr>
        <w:t>分钟内由各投标人自行对投标文件进行解密；</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4.2由采购人或代理机构进行资格审查，通过资格审查的投标人进入商务技术响应文件进行评审；</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4.3系统对各投标人的商务技术进行汇总；</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4.4在系统上公开报价开标情况；</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4.5评标委员会对报价情况进行评审；</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4.6在系统上公布评审结果。</w:t>
      </w:r>
    </w:p>
    <w:p>
      <w:pPr>
        <w:keepNext w:val="0"/>
        <w:keepLines w:val="0"/>
        <w:pageBreakBefore w:val="0"/>
        <w:kinsoku/>
        <w:wordWrap/>
        <w:overflowPunct/>
        <w:topLinePunct w:val="0"/>
        <w:bidi w:val="0"/>
        <w:adjustRightInd/>
        <w:snapToGrid/>
        <w:spacing w:line="360" w:lineRule="auto"/>
        <w:ind w:left="0" w:leftChars="0"/>
        <w:textAlignment w:val="auto"/>
        <w:rPr>
          <w:rFonts w:hint="eastAsia" w:ascii="宋体" w:hAnsi="宋体" w:eastAsia="宋体" w:cs="宋体"/>
          <w:b/>
          <w:sz w:val="24"/>
          <w:szCs w:val="24"/>
        </w:rPr>
      </w:pPr>
      <w:r>
        <w:rPr>
          <w:rFonts w:hint="eastAsia" w:ascii="宋体" w:hAnsi="宋体" w:eastAsia="宋体" w:cs="宋体"/>
          <w:b/>
          <w:sz w:val="24"/>
          <w:szCs w:val="24"/>
        </w:rPr>
        <w:t>特别说明：政采云公司如对电子化开标及评审程序有调整的，按调整后的程序操作。</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5.本项目采用政采云电子招投标开标及评审程序，开评标时出现电子投标文件无法解密或解密失败等情况时，采购代理机构可上传投标人的电子备份投标文件继续评审。</w:t>
      </w:r>
    </w:p>
    <w:p>
      <w:pPr>
        <w:pStyle w:val="27"/>
        <w:keepNext w:val="0"/>
        <w:keepLines w:val="0"/>
        <w:pageBreakBefore w:val="0"/>
        <w:kinsoku/>
        <w:wordWrap/>
        <w:overflowPunct/>
        <w:topLinePunct w:val="0"/>
        <w:bidi w:val="0"/>
        <w:adjustRightInd/>
        <w:snapToGrid/>
        <w:spacing w:beforeLines="0" w:afterLines="0" w:line="360" w:lineRule="auto"/>
        <w:ind w:left="241" w:leftChars="0" w:hanging="241" w:hangingChars="100"/>
        <w:textAlignment w:val="auto"/>
        <w:outlineLvl w:val="1"/>
        <w:rPr>
          <w:rFonts w:hint="eastAsia" w:ascii="宋体" w:hAnsi="宋体" w:eastAsia="宋体" w:cs="宋体"/>
          <w:b/>
          <w:sz w:val="24"/>
          <w:szCs w:val="24"/>
        </w:rPr>
      </w:pPr>
      <w:r>
        <w:rPr>
          <w:rFonts w:hint="eastAsia" w:ascii="宋体" w:hAnsi="宋体" w:eastAsia="宋体" w:cs="宋体"/>
          <w:b/>
          <w:sz w:val="24"/>
          <w:szCs w:val="24"/>
        </w:rPr>
        <w:t>五、评标</w:t>
      </w:r>
    </w:p>
    <w:p>
      <w:pPr>
        <w:pStyle w:val="27"/>
        <w:keepNext w:val="0"/>
        <w:keepLines w:val="0"/>
        <w:pageBreakBefore w:val="0"/>
        <w:kinsoku/>
        <w:wordWrap/>
        <w:overflowPunct/>
        <w:topLinePunct w:val="0"/>
        <w:bidi w:val="0"/>
        <w:adjustRightInd/>
        <w:snapToGrid/>
        <w:spacing w:beforeLines="0" w:afterLines="0" w:line="360" w:lineRule="auto"/>
        <w:ind w:left="239" w:leftChars="114" w:firstLine="241" w:firstLineChars="100"/>
        <w:textAlignment w:val="auto"/>
        <w:rPr>
          <w:rFonts w:hint="eastAsia" w:ascii="宋体" w:hAnsi="宋体" w:eastAsia="宋体" w:cs="宋体"/>
          <w:b/>
          <w:sz w:val="24"/>
          <w:szCs w:val="24"/>
        </w:rPr>
      </w:pPr>
      <w:r>
        <w:rPr>
          <w:rFonts w:hint="eastAsia" w:ascii="宋体" w:hAnsi="宋体" w:eastAsia="宋体" w:cs="宋体"/>
          <w:b/>
          <w:sz w:val="24"/>
          <w:szCs w:val="24"/>
        </w:rPr>
        <w:t>（一）组建评标委员会</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本项目评标委员会由政府采购评审专家</w:t>
      </w:r>
      <w:r>
        <w:rPr>
          <w:rFonts w:hint="eastAsia" w:ascii="宋体" w:hAnsi="宋体" w:eastAsia="宋体" w:cs="宋体"/>
          <w:sz w:val="24"/>
          <w:szCs w:val="24"/>
          <w:u w:val="single"/>
        </w:rPr>
        <w:t>4</w:t>
      </w:r>
      <w:r>
        <w:rPr>
          <w:rFonts w:hint="eastAsia" w:ascii="宋体" w:hAnsi="宋体" w:eastAsia="宋体" w:cs="宋体"/>
          <w:sz w:val="24"/>
          <w:szCs w:val="24"/>
        </w:rPr>
        <w:t>人和采购人代表</w:t>
      </w:r>
      <w:r>
        <w:rPr>
          <w:rFonts w:hint="eastAsia" w:ascii="宋体" w:hAnsi="宋体" w:eastAsia="宋体" w:cs="宋体"/>
          <w:sz w:val="24"/>
          <w:szCs w:val="24"/>
          <w:u w:val="single"/>
        </w:rPr>
        <w:t>1</w:t>
      </w:r>
      <w:r>
        <w:rPr>
          <w:rFonts w:hint="eastAsia" w:ascii="宋体" w:hAnsi="宋体" w:eastAsia="宋体" w:cs="宋体"/>
          <w:sz w:val="24"/>
          <w:szCs w:val="24"/>
        </w:rPr>
        <w:t>人,共</w:t>
      </w:r>
      <w:r>
        <w:rPr>
          <w:rFonts w:hint="eastAsia" w:ascii="宋体" w:hAnsi="宋体" w:eastAsia="宋体" w:cs="宋体"/>
          <w:sz w:val="24"/>
          <w:szCs w:val="24"/>
          <w:u w:val="single"/>
        </w:rPr>
        <w:t>5</w:t>
      </w:r>
      <w:r>
        <w:rPr>
          <w:rFonts w:hint="eastAsia" w:ascii="宋体" w:hAnsi="宋体" w:eastAsia="宋体" w:cs="宋体"/>
          <w:sz w:val="24"/>
          <w:szCs w:val="24"/>
        </w:rPr>
        <w:t>人组成。</w:t>
      </w:r>
    </w:p>
    <w:p>
      <w:pPr>
        <w:pStyle w:val="27"/>
        <w:keepNext w:val="0"/>
        <w:keepLines w:val="0"/>
        <w:pageBreakBefore w:val="0"/>
        <w:kinsoku/>
        <w:wordWrap/>
        <w:overflowPunct/>
        <w:topLinePunct w:val="0"/>
        <w:bidi w:val="0"/>
        <w:adjustRightInd/>
        <w:snapToGrid/>
        <w:spacing w:beforeLines="0" w:afterLines="0" w:line="360" w:lineRule="auto"/>
        <w:ind w:left="239" w:leftChars="114" w:firstLine="241" w:firstLineChars="100"/>
        <w:textAlignment w:val="auto"/>
        <w:rPr>
          <w:rFonts w:hint="eastAsia" w:ascii="宋体" w:hAnsi="宋体" w:eastAsia="宋体" w:cs="宋体"/>
          <w:b/>
          <w:sz w:val="24"/>
          <w:szCs w:val="24"/>
        </w:rPr>
      </w:pPr>
      <w:r>
        <w:rPr>
          <w:rFonts w:hint="eastAsia" w:ascii="宋体" w:hAnsi="宋体" w:eastAsia="宋体" w:cs="宋体"/>
          <w:b/>
          <w:sz w:val="24"/>
          <w:szCs w:val="24"/>
        </w:rPr>
        <w:t>（二）评标的方式</w:t>
      </w:r>
    </w:p>
    <w:p>
      <w:pPr>
        <w:pStyle w:val="27"/>
        <w:keepNext w:val="0"/>
        <w:keepLines w:val="0"/>
        <w:pageBreakBefore w:val="0"/>
        <w:kinsoku/>
        <w:wordWrap/>
        <w:overflowPunct/>
        <w:topLinePunct w:val="0"/>
        <w:bidi w:val="0"/>
        <w:adjustRightInd/>
        <w:snapToGrid/>
        <w:spacing w:beforeLines="0" w:afterLines="0" w:line="360" w:lineRule="auto"/>
        <w:ind w:left="239" w:leftChars="114"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本项目采用不公开方式评标，评标的依据为招标文件和投标文件。</w:t>
      </w:r>
    </w:p>
    <w:p>
      <w:pPr>
        <w:pStyle w:val="27"/>
        <w:keepNext w:val="0"/>
        <w:keepLines w:val="0"/>
        <w:pageBreakBefore w:val="0"/>
        <w:kinsoku/>
        <w:wordWrap/>
        <w:overflowPunct/>
        <w:topLinePunct w:val="0"/>
        <w:bidi w:val="0"/>
        <w:adjustRightInd/>
        <w:snapToGrid/>
        <w:spacing w:beforeLines="0" w:afterLines="0" w:line="360" w:lineRule="auto"/>
        <w:ind w:left="239" w:leftChars="114" w:firstLine="241" w:firstLineChars="100"/>
        <w:textAlignment w:val="auto"/>
        <w:rPr>
          <w:rFonts w:hint="eastAsia" w:ascii="宋体" w:hAnsi="宋体" w:eastAsia="宋体" w:cs="宋体"/>
          <w:b/>
          <w:sz w:val="24"/>
          <w:szCs w:val="24"/>
        </w:rPr>
      </w:pPr>
      <w:r>
        <w:rPr>
          <w:rFonts w:hint="eastAsia" w:ascii="宋体" w:hAnsi="宋体" w:eastAsia="宋体" w:cs="宋体"/>
          <w:b/>
          <w:sz w:val="24"/>
          <w:szCs w:val="24"/>
        </w:rPr>
        <w:t>（三）</w:t>
      </w:r>
      <w:r>
        <w:rPr>
          <w:rFonts w:hint="eastAsia" w:ascii="宋体" w:hAnsi="宋体" w:eastAsia="宋体" w:cs="宋体"/>
          <w:b/>
          <w:bCs/>
          <w:sz w:val="24"/>
          <w:szCs w:val="24"/>
        </w:rPr>
        <w:t>评标程序</w:t>
      </w:r>
    </w:p>
    <w:p>
      <w:pPr>
        <w:keepNext w:val="0"/>
        <w:keepLines w:val="0"/>
        <w:pageBreakBefore w:val="0"/>
        <w:kinsoku/>
        <w:wordWrap/>
        <w:overflowPunct/>
        <w:topLinePunct w:val="0"/>
        <w:bidi w:val="0"/>
        <w:adjustRightInd/>
        <w:snapToGrid/>
        <w:spacing w:line="360" w:lineRule="auto"/>
        <w:ind w:left="0" w:leftChars="0" w:firstLine="472"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1.形式审查</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招标方工作人员对投标人的资格和投标文件的完整性、合法性等进行审查。</w:t>
      </w:r>
    </w:p>
    <w:p>
      <w:pPr>
        <w:keepNext w:val="0"/>
        <w:keepLines w:val="0"/>
        <w:pageBreakBefore w:val="0"/>
        <w:kinsoku/>
        <w:wordWrap/>
        <w:overflowPunct/>
        <w:topLinePunct w:val="0"/>
        <w:bidi w:val="0"/>
        <w:adjustRightInd/>
        <w:snapToGrid/>
        <w:spacing w:line="360" w:lineRule="auto"/>
        <w:ind w:left="0" w:leftChars="0" w:firstLine="472"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2.实质审查与比较</w:t>
      </w:r>
    </w:p>
    <w:p>
      <w:pPr>
        <w:spacing w:line="360" w:lineRule="auto"/>
        <w:ind w:firstLine="480" w:firstLineChars="200"/>
        <w:rPr>
          <w:rFonts w:hint="eastAsia" w:ascii="宋体" w:hAnsi="宋体" w:eastAsia="宋体" w:cs="宋体"/>
          <w:color w:val="0D0D0D"/>
          <w:sz w:val="24"/>
          <w:szCs w:val="24"/>
          <w:highlight w:val="none"/>
        </w:rPr>
      </w:pPr>
      <w:r>
        <w:rPr>
          <w:rFonts w:hint="eastAsia" w:ascii="宋体" w:hAnsi="宋体" w:eastAsia="宋体" w:cs="宋体"/>
          <w:color w:val="0D0D0D"/>
          <w:sz w:val="24"/>
          <w:szCs w:val="24"/>
          <w:highlight w:val="none"/>
        </w:rPr>
        <w:t>（1）评标委员会审查投标文件的实质性内容是否符合招标文件实质性要求。</w:t>
      </w:r>
    </w:p>
    <w:p>
      <w:pPr>
        <w:spacing w:line="360" w:lineRule="auto"/>
        <w:ind w:firstLine="480" w:firstLineChars="200"/>
        <w:rPr>
          <w:rFonts w:hint="eastAsia" w:ascii="宋体" w:hAnsi="宋体" w:eastAsia="宋体" w:cs="宋体"/>
          <w:color w:val="0D0D0D"/>
          <w:sz w:val="24"/>
          <w:szCs w:val="24"/>
          <w:highlight w:val="none"/>
        </w:rPr>
      </w:pPr>
      <w:r>
        <w:rPr>
          <w:rFonts w:hint="eastAsia" w:ascii="宋体" w:hAnsi="宋体" w:eastAsia="宋体" w:cs="宋体"/>
          <w:color w:val="0D0D0D"/>
          <w:sz w:val="24"/>
          <w:szCs w:val="24"/>
          <w:highlight w:val="none"/>
        </w:rPr>
        <w:t>（2）评标委员会将根据投标人的投标文件进行审查、核对,如有疑问,将对投标人进行询标,投标人要向评标委员会澄清有关问题,并最终以书面形式进行答复。</w:t>
      </w:r>
    </w:p>
    <w:p>
      <w:pPr>
        <w:spacing w:line="360" w:lineRule="auto"/>
        <w:ind w:firstLine="480" w:firstLineChars="200"/>
        <w:rPr>
          <w:rFonts w:hint="eastAsia" w:ascii="宋体" w:hAnsi="宋体" w:eastAsia="宋体" w:cs="宋体"/>
          <w:color w:val="0D0D0D"/>
          <w:sz w:val="24"/>
          <w:szCs w:val="24"/>
          <w:highlight w:val="none"/>
        </w:rPr>
      </w:pPr>
      <w:r>
        <w:rPr>
          <w:rFonts w:hint="eastAsia" w:ascii="宋体" w:hAnsi="宋体" w:eastAsia="宋体" w:cs="宋体"/>
          <w:color w:val="0D0D0D"/>
          <w:sz w:val="24"/>
          <w:szCs w:val="24"/>
          <w:highlight w:val="none"/>
        </w:rPr>
        <w:t>投标人代表未到场或者拒绝澄清或者澄清的内容改变了投标文件的实质性内容的，评标委员会有权对该投标文件作出不利于投标人的评判。</w:t>
      </w:r>
    </w:p>
    <w:p>
      <w:pPr>
        <w:spacing w:line="360" w:lineRule="auto"/>
        <w:ind w:firstLine="480" w:firstLineChars="200"/>
        <w:rPr>
          <w:rFonts w:hint="eastAsia" w:ascii="宋体" w:hAnsi="宋体" w:eastAsia="宋体" w:cs="宋体"/>
          <w:color w:val="0D0D0D"/>
          <w:sz w:val="24"/>
          <w:szCs w:val="24"/>
          <w:highlight w:val="none"/>
        </w:rPr>
      </w:pPr>
      <w:r>
        <w:rPr>
          <w:rFonts w:hint="eastAsia" w:ascii="宋体" w:hAnsi="宋体" w:eastAsia="宋体" w:cs="宋体"/>
          <w:color w:val="0D0D0D"/>
          <w:sz w:val="24"/>
          <w:szCs w:val="24"/>
          <w:highlight w:val="none"/>
        </w:rPr>
        <w:t>（3）技术、商务、资信及其他分按照评标委员会成员的独立评分结果的算术平均分计算，由指定专人进行计算复核。</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D0D0D"/>
          <w:sz w:val="24"/>
          <w:szCs w:val="24"/>
          <w:highlight w:val="none"/>
        </w:rPr>
      </w:pPr>
      <w:r>
        <w:rPr>
          <w:rFonts w:hint="eastAsia" w:ascii="宋体" w:hAnsi="宋体" w:eastAsia="宋体" w:cs="宋体"/>
          <w:color w:val="0D0D0D"/>
          <w:sz w:val="24"/>
          <w:szCs w:val="24"/>
          <w:highlight w:val="none"/>
        </w:rPr>
        <w:t>（4）招标方工作人员协助评标委员会审核投标报价有无计算错误，并根据本项目的评分标准计算各投标人的报价得分。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采购人、采购代理机构不得向评审委员会的评审专家作倾向性、误导性的解释或者说明。</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评审专家在评审过程中不得将自己的观点强加给其他评审专家，评审专家应自主发表见解，对评审意见承担个人责任。</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D0D0D"/>
          <w:sz w:val="24"/>
          <w:szCs w:val="24"/>
          <w:highlight w:val="none"/>
        </w:rPr>
      </w:pPr>
      <w:r>
        <w:rPr>
          <w:rFonts w:hint="eastAsia" w:ascii="宋体" w:hAnsi="宋体" w:eastAsia="宋体" w:cs="宋体"/>
          <w:color w:val="0D0D0D"/>
          <w:sz w:val="24"/>
          <w:szCs w:val="24"/>
          <w:highlight w:val="none"/>
        </w:rPr>
        <w:t>（</w:t>
      </w:r>
      <w:r>
        <w:rPr>
          <w:rFonts w:hint="eastAsia" w:ascii="宋体" w:hAnsi="宋体" w:eastAsia="宋体" w:cs="宋体"/>
          <w:color w:val="0D0D0D"/>
          <w:sz w:val="24"/>
          <w:szCs w:val="24"/>
          <w:highlight w:val="none"/>
          <w:lang w:val="en-US" w:eastAsia="zh-CN"/>
        </w:rPr>
        <w:t>8</w:t>
      </w:r>
      <w:r>
        <w:rPr>
          <w:rFonts w:hint="eastAsia" w:ascii="宋体" w:hAnsi="宋体" w:eastAsia="宋体" w:cs="宋体"/>
          <w:color w:val="0D0D0D"/>
          <w:sz w:val="24"/>
          <w:szCs w:val="24"/>
          <w:highlight w:val="none"/>
        </w:rPr>
        <w:t>）评标委员会完成评标后,招标方工作人员对各部分得分汇总,计算出本项目最终得分。评标委员会按评标原则推荐中标候选人并起草评标报告。</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w:t>
      </w:r>
      <w:r>
        <w:rPr>
          <w:rFonts w:hint="eastAsia" w:ascii="宋体" w:hAnsi="宋体" w:eastAsia="宋体" w:cs="宋体"/>
          <w:sz w:val="24"/>
          <w:szCs w:val="24"/>
          <w:highlight w:val="none"/>
        </w:rPr>
        <w:t>评审报告中须对其报价的合理性等进行分析和特别说明。</w:t>
      </w:r>
    </w:p>
    <w:p>
      <w:pPr>
        <w:keepNext w:val="0"/>
        <w:keepLines w:val="0"/>
        <w:pageBreakBefore w:val="0"/>
        <w:kinsoku/>
        <w:wordWrap/>
        <w:overflowPunct/>
        <w:topLinePunct w:val="0"/>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（四）澄清问题的形式</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投标文件中含义不明确、同类问题表述不一致或者有明显文字和计算错误的内容，评标委员会可要求投标人作出必要的澄清、说明或者纠正。投标人的澄清、说明（需盖CA电子签章或实体公章），并不得超出投标文件的范围或者改变投标文件的实质性内容。</w:t>
      </w:r>
    </w:p>
    <w:p>
      <w:pPr>
        <w:pStyle w:val="27"/>
        <w:keepNext w:val="0"/>
        <w:keepLines w:val="0"/>
        <w:pageBreakBefore w:val="0"/>
        <w:kinsoku/>
        <w:wordWrap/>
        <w:overflowPunct/>
        <w:topLinePunct w:val="0"/>
        <w:bidi w:val="0"/>
        <w:adjustRightInd/>
        <w:snapToGrid/>
        <w:spacing w:beforeLines="0" w:afterLines="0" w:line="360" w:lineRule="auto"/>
        <w:ind w:left="239" w:leftChars="114" w:firstLine="241" w:firstLineChars="100"/>
        <w:textAlignment w:val="auto"/>
        <w:rPr>
          <w:rFonts w:hint="eastAsia" w:ascii="宋体" w:hAnsi="宋体" w:eastAsia="宋体" w:cs="宋体"/>
          <w:b/>
          <w:sz w:val="24"/>
          <w:szCs w:val="24"/>
        </w:rPr>
      </w:pPr>
      <w:r>
        <w:rPr>
          <w:rFonts w:hint="eastAsia" w:ascii="宋体" w:hAnsi="宋体" w:eastAsia="宋体" w:cs="宋体"/>
          <w:b/>
          <w:sz w:val="24"/>
          <w:szCs w:val="24"/>
        </w:rPr>
        <w:t>（五）错误修正</w:t>
      </w:r>
    </w:p>
    <w:p>
      <w:pPr>
        <w:pStyle w:val="27"/>
        <w:keepNext w:val="0"/>
        <w:keepLines w:val="0"/>
        <w:pageBreakBefore w:val="0"/>
        <w:kinsoku/>
        <w:wordWrap/>
        <w:overflowPunct/>
        <w:topLinePunct w:val="0"/>
        <w:bidi w:val="0"/>
        <w:adjustRightInd/>
        <w:snapToGrid/>
        <w:spacing w:beforeLines="0" w:afterLines="0" w:line="360" w:lineRule="auto"/>
        <w:ind w:left="239" w:leftChars="114"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投标文件如果出现计算或表达上的错误，修正错误的原则如下：</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1.投标文件的大写金额和小写金额不一致的，以大写金额为准；</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2.总价金额与按单价汇总金额不一致的，以单价金额计算结果为准；</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3.对不同文字文本投标文件的解释发生异议的，以中文文本为准。</w:t>
      </w:r>
    </w:p>
    <w:p>
      <w:pPr>
        <w:pStyle w:val="27"/>
        <w:keepNext w:val="0"/>
        <w:keepLines w:val="0"/>
        <w:pageBreakBefore w:val="0"/>
        <w:kinsoku/>
        <w:wordWrap/>
        <w:overflowPunct/>
        <w:topLinePunct w:val="0"/>
        <w:bidi w:val="0"/>
        <w:adjustRightInd/>
        <w:snapToGrid/>
        <w:spacing w:beforeLines="0" w:afterLines="0"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27"/>
        <w:keepNext w:val="0"/>
        <w:keepLines w:val="0"/>
        <w:pageBreakBefore w:val="0"/>
        <w:tabs>
          <w:tab w:val="left" w:pos="630"/>
        </w:tabs>
        <w:kinsoku/>
        <w:wordWrap/>
        <w:overflowPunct/>
        <w:topLinePunct w:val="0"/>
        <w:bidi w:val="0"/>
        <w:adjustRightInd/>
        <w:snapToGrid/>
        <w:spacing w:beforeLines="0" w:afterLines="0" w:line="360" w:lineRule="auto"/>
        <w:ind w:left="0" w:leftChars="0" w:firstLine="472" w:firstLineChars="196"/>
        <w:textAlignment w:val="auto"/>
        <w:rPr>
          <w:rFonts w:hint="eastAsia" w:ascii="宋体" w:hAnsi="宋体" w:eastAsia="宋体" w:cs="宋体"/>
          <w:b/>
          <w:sz w:val="24"/>
          <w:szCs w:val="24"/>
        </w:rPr>
      </w:pPr>
      <w:r>
        <w:rPr>
          <w:rFonts w:hint="eastAsia" w:ascii="宋体" w:hAnsi="宋体" w:eastAsia="宋体" w:cs="宋体"/>
          <w:b/>
          <w:sz w:val="24"/>
          <w:szCs w:val="24"/>
        </w:rPr>
        <w:t>（六）评标原则、办法及依据</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2.评标办法。本项目评标办法是</w:t>
      </w:r>
      <w:r>
        <w:rPr>
          <w:rFonts w:hint="eastAsia" w:ascii="宋体" w:hAnsi="宋体" w:eastAsia="宋体" w:cs="宋体"/>
          <w:sz w:val="24"/>
          <w:szCs w:val="24"/>
          <w:u w:val="single"/>
        </w:rPr>
        <w:t>综合评分法</w:t>
      </w:r>
      <w:r>
        <w:rPr>
          <w:rFonts w:hint="eastAsia" w:ascii="宋体" w:hAnsi="宋体" w:eastAsia="宋体" w:cs="宋体"/>
          <w:sz w:val="24"/>
          <w:szCs w:val="24"/>
        </w:rPr>
        <w:t>，具体评标内容及评分标准等详见《第四章：评标办法及评分标准》。</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3.评标依据：评标委员会决定投标的响应性只根据投标文件的内容，而不寻求外部的证据。</w:t>
      </w:r>
    </w:p>
    <w:p>
      <w:pPr>
        <w:pStyle w:val="27"/>
        <w:keepNext w:val="0"/>
        <w:keepLines w:val="0"/>
        <w:pageBreakBefore w:val="0"/>
        <w:kinsoku/>
        <w:wordWrap/>
        <w:overflowPunct/>
        <w:topLinePunct w:val="0"/>
        <w:bidi w:val="0"/>
        <w:adjustRightInd/>
        <w:snapToGrid/>
        <w:spacing w:beforeLines="0" w:afterLines="0" w:line="360" w:lineRule="auto"/>
        <w:ind w:left="0" w:leftChars="0" w:firstLine="472" w:firstLineChars="196"/>
        <w:textAlignment w:val="auto"/>
        <w:rPr>
          <w:rFonts w:hint="eastAsia" w:ascii="宋体" w:hAnsi="宋体" w:eastAsia="宋体" w:cs="宋体"/>
          <w:b/>
          <w:sz w:val="24"/>
          <w:szCs w:val="24"/>
        </w:rPr>
      </w:pPr>
      <w:r>
        <w:rPr>
          <w:rFonts w:hint="eastAsia" w:ascii="宋体" w:hAnsi="宋体" w:eastAsia="宋体" w:cs="宋体"/>
          <w:b/>
          <w:sz w:val="24"/>
          <w:szCs w:val="24"/>
        </w:rPr>
        <w:t>（七）评标过程的监控</w:t>
      </w:r>
    </w:p>
    <w:p>
      <w:pPr>
        <w:pStyle w:val="27"/>
        <w:keepNext w:val="0"/>
        <w:keepLines w:val="0"/>
        <w:pageBreakBefore w:val="0"/>
        <w:kinsoku/>
        <w:wordWrap/>
        <w:overflowPunct/>
        <w:topLinePunct w:val="0"/>
        <w:bidi w:val="0"/>
        <w:adjustRightInd/>
        <w:snapToGrid/>
        <w:spacing w:beforeLines="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本项目评标过程实行全程录音、录像监控，投标人在评标过程中所进行的试图影响评标结果的不公正活动，可能导致其投标被拒绝。</w:t>
      </w:r>
    </w:p>
    <w:p>
      <w:pPr>
        <w:keepNext w:val="0"/>
        <w:keepLines w:val="0"/>
        <w:pageBreakBefore w:val="0"/>
        <w:kinsoku/>
        <w:wordWrap/>
        <w:overflowPunct/>
        <w:topLinePunct w:val="0"/>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（八）其他</w:t>
      </w:r>
    </w:p>
    <w:p>
      <w:pPr>
        <w:keepNext w:val="0"/>
        <w:keepLines w:val="0"/>
        <w:pageBreakBefore w:val="0"/>
        <w:kinsoku/>
        <w:wordWrap/>
        <w:overflowPunct/>
        <w:topLinePunct w:val="0"/>
        <w:bidi w:val="0"/>
        <w:adjustRightInd/>
        <w:snapToGrid/>
        <w:spacing w:line="360" w:lineRule="auto"/>
        <w:ind w:left="0" w:leftChars="0"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采购过程中出现以下情形，导致电子交易平台无法正常运行，或者无法保证电子交易的公平、公正和安全时，采购组织机构可中止电子交易活动：</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1、电子交易平台发生故障而无法登录访问的；</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2、电子交易平台应用或数据库出现错误，不能进行正常操作的；</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3、电子交易平台发现严重安全漏洞，有潜在泄密危险的；</w:t>
      </w:r>
    </w:p>
    <w:p>
      <w:pPr>
        <w:keepNext w:val="0"/>
        <w:keepLines w:val="0"/>
        <w:pageBreakBefore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4、病毒发作导致不能进行正常操作的；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5、其他无法保证电子交易的公平、公正和安全的情况。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出现前款规定情形，不影响采购公平、公正性的，采购组织机构可以待上述情形消除后继续组织电子交易活动；影响或可能影响采购公平、公正性的，应当重新采购。</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eastAsia" w:ascii="宋体" w:hAnsi="宋体" w:eastAsia="宋体" w:cs="宋体"/>
          <w:b/>
          <w:sz w:val="24"/>
          <w:szCs w:val="24"/>
        </w:rPr>
      </w:pPr>
      <w:r>
        <w:rPr>
          <w:rFonts w:hint="eastAsia" w:ascii="宋体" w:hAnsi="宋体" w:eastAsia="宋体" w:cs="宋体"/>
          <w:b/>
          <w:sz w:val="24"/>
          <w:szCs w:val="24"/>
        </w:rPr>
        <w:t>六、定标</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72" w:firstLineChars="196"/>
        <w:textAlignment w:val="auto"/>
        <w:rPr>
          <w:rFonts w:hint="eastAsia" w:ascii="宋体" w:hAnsi="宋体" w:eastAsia="宋体" w:cs="宋体"/>
          <w:b/>
          <w:bCs/>
          <w:sz w:val="24"/>
          <w:szCs w:val="24"/>
        </w:rPr>
      </w:pPr>
      <w:r>
        <w:rPr>
          <w:rFonts w:hint="eastAsia" w:ascii="宋体" w:hAnsi="宋体" w:eastAsia="宋体" w:cs="宋体"/>
          <w:b/>
          <w:bCs/>
          <w:sz w:val="24"/>
          <w:szCs w:val="24"/>
        </w:rPr>
        <w:t>（一）确定中标人。本项目由采购人授权评标委员会确定中标人。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1．出现下列情形之一的，</w:t>
      </w:r>
      <w:r>
        <w:rPr>
          <w:rFonts w:hint="eastAsia" w:ascii="宋体" w:hAnsi="宋体" w:cs="宋体"/>
          <w:sz w:val="24"/>
          <w:szCs w:val="24"/>
          <w:lang w:eastAsia="zh-CN"/>
        </w:rPr>
        <w:t>将重新进行招投标。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000000"/>
          <w:sz w:val="24"/>
          <w:szCs w:val="24"/>
        </w:rPr>
      </w:pPr>
      <w:r>
        <w:rPr>
          <w:rFonts w:hint="eastAsia" w:ascii="宋体" w:hAnsi="宋体" w:eastAsia="宋体" w:cs="宋体"/>
          <w:color w:val="000000"/>
          <w:sz w:val="24"/>
          <w:szCs w:val="24"/>
        </w:rPr>
        <w:t>（1）排名第一的候选供应商，因自身原因放弃中标成交或因不可抗力不能履行合同的；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D0D0D"/>
          <w:sz w:val="24"/>
          <w:szCs w:val="24"/>
        </w:rPr>
      </w:pPr>
      <w:r>
        <w:rPr>
          <w:rFonts w:hint="eastAsia" w:ascii="宋体" w:hAnsi="宋体" w:eastAsia="宋体" w:cs="宋体"/>
          <w:color w:val="000000"/>
          <w:sz w:val="24"/>
          <w:szCs w:val="24"/>
        </w:rPr>
        <w:t>（2）经质疑，采购组织机构审查确认因排名第一的候选供应商在本次采购活动中存在</w:t>
      </w:r>
      <w:r>
        <w:rPr>
          <w:rFonts w:hint="eastAsia" w:ascii="宋体" w:hAnsi="宋体" w:eastAsia="宋体" w:cs="宋体"/>
          <w:sz w:val="24"/>
          <w:szCs w:val="24"/>
        </w:rPr>
        <w:t>违法违规行为或其他原因使质疑成立的。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D0D0D"/>
          <w:sz w:val="24"/>
          <w:szCs w:val="24"/>
        </w:rPr>
        <w:t>2.招标方在评标结束后2个工作日内将评标报告交采购人确认，并在采购人确认</w:t>
      </w:r>
      <w:r>
        <w:rPr>
          <w:rFonts w:hint="eastAsia" w:ascii="宋体" w:hAnsi="宋体" w:eastAsia="宋体" w:cs="宋体"/>
          <w:sz w:val="24"/>
          <w:szCs w:val="24"/>
        </w:rPr>
        <w:t>中标人之日起2个工作日内，在发布招标公告的网站上对中标结果进行公告。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3.投标人对评标结果无异议的，采购人应在收到评标报告后</w:t>
      </w:r>
      <w:r>
        <w:rPr>
          <w:rFonts w:hint="eastAsia" w:ascii="宋体" w:hAnsi="宋体" w:cs="宋体"/>
          <w:sz w:val="24"/>
          <w:szCs w:val="24"/>
          <w:lang w:val="en-US" w:eastAsia="zh-CN"/>
        </w:rPr>
        <w:t>3</w:t>
      </w:r>
      <w:r>
        <w:rPr>
          <w:rFonts w:hint="eastAsia" w:ascii="宋体" w:hAnsi="宋体" w:eastAsia="宋体" w:cs="宋体"/>
          <w:sz w:val="24"/>
          <w:szCs w:val="24"/>
        </w:rPr>
        <w:t>个工作日内对评标结果进行确认。如有投标人对评标结果提出质疑的，采购人可在质疑处理完毕后确定中标人。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D0D0D"/>
          <w:sz w:val="24"/>
          <w:szCs w:val="24"/>
        </w:rPr>
      </w:pPr>
      <w:r>
        <w:rPr>
          <w:rFonts w:hint="eastAsia" w:ascii="宋体" w:hAnsi="宋体" w:eastAsia="宋体" w:cs="宋体"/>
          <w:color w:val="0D0D0D"/>
          <w:sz w:val="24"/>
          <w:szCs w:val="24"/>
        </w:rPr>
        <w:t>4.采购人或评委会依法确定中标人后2个工作日内，招标方以书面形式发出《中标通知书》。</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outlineLvl w:val="1"/>
        <w:rPr>
          <w:rFonts w:hint="eastAsia" w:ascii="宋体" w:hAnsi="宋体" w:eastAsia="宋体" w:cs="宋体"/>
          <w:b/>
          <w:sz w:val="24"/>
          <w:szCs w:val="24"/>
        </w:rPr>
      </w:pPr>
      <w:r>
        <w:rPr>
          <w:rFonts w:hint="eastAsia" w:ascii="宋体" w:hAnsi="宋体" w:eastAsia="宋体" w:cs="宋体"/>
          <w:b/>
          <w:sz w:val="24"/>
          <w:szCs w:val="24"/>
        </w:rPr>
        <w:t>七、合同授予</w:t>
      </w:r>
    </w:p>
    <w:p>
      <w:pPr>
        <w:keepNext w:val="0"/>
        <w:keepLines w:val="0"/>
        <w:pageBreakBefore w:val="0"/>
        <w:widowControl w:val="0"/>
        <w:tabs>
          <w:tab w:val="left" w:pos="6660"/>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1.招标方与中标人应当在《中标通知书》发出之日起</w:t>
      </w:r>
      <w:r>
        <w:rPr>
          <w:rFonts w:hint="eastAsia" w:ascii="宋体" w:hAnsi="宋体" w:cs="宋体"/>
          <w:sz w:val="24"/>
          <w:szCs w:val="24"/>
          <w:lang w:val="en-US" w:eastAsia="zh-CN"/>
        </w:rPr>
        <w:t>2</w:t>
      </w:r>
      <w:r>
        <w:rPr>
          <w:rFonts w:hint="eastAsia" w:ascii="宋体" w:hAnsi="宋体" w:eastAsia="宋体" w:cs="宋体"/>
          <w:sz w:val="24"/>
          <w:szCs w:val="24"/>
        </w:rPr>
        <w:t>0日内签订政府采购合同。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2.中标人拖延、拒签合同的,将被取消中标资格，并按有关规定报有关部门处罚。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3.招标人不承诺将合同授予报价最低的投标人。</w:t>
      </w:r>
    </w:p>
    <w:p>
      <w:pPr>
        <w:rPr>
          <w:rFonts w:ascii="黑体" w:hAnsi="黑体" w:eastAsia="黑体" w:cs="宋体"/>
          <w:b/>
          <w:bCs/>
          <w:color w:val="0D0D0D"/>
          <w:sz w:val="32"/>
          <w:szCs w:val="32"/>
        </w:rPr>
      </w:pPr>
    </w:p>
    <w:p>
      <w:pPr>
        <w:pStyle w:val="43"/>
        <w:ind w:firstLine="0" w:firstLineChars="0"/>
        <w:rPr>
          <w:rFonts w:ascii="黑体" w:hAnsi="黑体" w:eastAsia="黑体" w:cs="宋体"/>
          <w:b/>
          <w:bCs/>
          <w:color w:val="0D0D0D"/>
          <w:sz w:val="32"/>
          <w:szCs w:val="32"/>
        </w:rPr>
      </w:pPr>
    </w:p>
    <w:p>
      <w:pPr>
        <w:pStyle w:val="27"/>
        <w:keepNext w:val="0"/>
        <w:keepLines w:val="0"/>
        <w:pageBreakBefore/>
        <w:widowControl w:val="0"/>
        <w:kinsoku/>
        <w:wordWrap/>
        <w:overflowPunct/>
        <w:topLinePunct w:val="0"/>
        <w:autoSpaceDE/>
        <w:autoSpaceDN/>
        <w:bidi w:val="0"/>
        <w:adjustRightInd/>
        <w:snapToGrid w:val="0"/>
        <w:spacing w:before="156" w:after="156" w:line="360" w:lineRule="auto"/>
        <w:jc w:val="center"/>
        <w:textAlignment w:val="auto"/>
        <w:outlineLvl w:val="0"/>
        <w:rPr>
          <w:rFonts w:ascii="黑体" w:hAnsi="黑体" w:eastAsia="黑体" w:cs="宋体"/>
          <w:b/>
          <w:bCs/>
          <w:color w:val="auto"/>
          <w:sz w:val="32"/>
          <w:szCs w:val="32"/>
        </w:rPr>
      </w:pPr>
      <w:r>
        <w:rPr>
          <w:rFonts w:hint="eastAsia" w:ascii="黑体" w:hAnsi="黑体" w:eastAsia="黑体" w:cs="宋体"/>
          <w:b/>
          <w:bCs/>
          <w:color w:val="auto"/>
          <w:sz w:val="32"/>
          <w:szCs w:val="32"/>
        </w:rPr>
        <w:t>第四章    评标办法及评分标准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sz w:val="24"/>
          <w:szCs w:val="24"/>
        </w:rPr>
      </w:pPr>
      <w:r>
        <w:rPr>
          <w:rFonts w:hint="eastAsia" w:ascii="宋体"/>
          <w:sz w:val="24"/>
          <w:szCs w:val="24"/>
        </w:rPr>
        <w:t>为公正、公平、科学地选择中标人，根据《中华人民共和国政府采购法》等有关法律法规的规定，并结合本项目的实际，制定本办法。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cs="宋体"/>
          <w:sz w:val="24"/>
          <w:szCs w:val="24"/>
        </w:rPr>
      </w:pPr>
      <w:r>
        <w:rPr>
          <w:rFonts w:hint="eastAsia" w:ascii="宋体"/>
          <w:sz w:val="24"/>
          <w:szCs w:val="24"/>
        </w:rPr>
        <w:t>本办法仅适用于</w:t>
      </w:r>
      <w:r>
        <w:rPr>
          <w:rFonts w:hint="eastAsia" w:ascii="宋体" w:hAnsi="宋体" w:cs="Arial"/>
          <w:sz w:val="24"/>
          <w:szCs w:val="24"/>
          <w:u w:val="single"/>
          <w:lang w:eastAsia="zh-CN"/>
        </w:rPr>
        <w:t>江北街道智慧垃圾分类系统建设及运营服务（三期）</w:t>
      </w:r>
      <w:r>
        <w:rPr>
          <w:rFonts w:hint="eastAsia" w:ascii="宋体" w:hAnsi="宋体" w:cs="Arial"/>
          <w:sz w:val="24"/>
          <w:szCs w:val="24"/>
          <w:u w:val="single"/>
        </w:rPr>
        <w:t>项目</w:t>
      </w:r>
      <w:r>
        <w:rPr>
          <w:rFonts w:hint="eastAsia" w:ascii="宋体" w:hAnsi="宋体" w:cs="宋体"/>
          <w:sz w:val="24"/>
          <w:szCs w:val="24"/>
        </w:rPr>
        <w:t>的</w:t>
      </w:r>
      <w:r>
        <w:rPr>
          <w:rFonts w:hint="eastAsia" w:ascii="宋体"/>
          <w:bCs/>
          <w:sz w:val="24"/>
          <w:szCs w:val="24"/>
        </w:rPr>
        <w:t>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b/>
          <w:sz w:val="24"/>
          <w:szCs w:val="24"/>
        </w:rPr>
      </w:pPr>
      <w:r>
        <w:rPr>
          <w:rFonts w:hint="eastAsia" w:ascii="宋体"/>
          <w:b/>
          <w:sz w:val="24"/>
          <w:szCs w:val="24"/>
        </w:rPr>
        <w:t>一、总则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bCs/>
          <w:sz w:val="24"/>
          <w:szCs w:val="24"/>
        </w:rPr>
      </w:pPr>
      <w:r>
        <w:rPr>
          <w:rFonts w:hint="eastAsia" w:ascii="宋体"/>
          <w:sz w:val="24"/>
          <w:szCs w:val="24"/>
        </w:rPr>
        <w:t>本次评标采用综合评分法，总分为</w:t>
      </w:r>
      <w:r>
        <w:rPr>
          <w:rFonts w:ascii="宋体"/>
          <w:sz w:val="24"/>
          <w:szCs w:val="24"/>
        </w:rPr>
        <w:t>100</w:t>
      </w:r>
      <w:r>
        <w:rPr>
          <w:rFonts w:hint="eastAsia" w:ascii="宋体"/>
          <w:sz w:val="24"/>
          <w:szCs w:val="24"/>
        </w:rPr>
        <w:t>分，其中价格分</w:t>
      </w:r>
      <w:r>
        <w:rPr>
          <w:rFonts w:hint="eastAsia" w:ascii="宋体"/>
          <w:sz w:val="24"/>
          <w:szCs w:val="24"/>
          <w:lang w:val="en-US" w:eastAsia="zh-CN"/>
        </w:rPr>
        <w:t>30</w:t>
      </w:r>
      <w:r>
        <w:rPr>
          <w:rFonts w:hint="eastAsia" w:ascii="宋体"/>
          <w:sz w:val="24"/>
          <w:szCs w:val="24"/>
        </w:rPr>
        <w:t>分；技术、商务、资信及其他分共7</w:t>
      </w:r>
      <w:r>
        <w:rPr>
          <w:rFonts w:hint="eastAsia" w:ascii="宋体"/>
          <w:sz w:val="24"/>
          <w:szCs w:val="24"/>
          <w:lang w:val="en-US" w:eastAsia="zh-CN"/>
        </w:rPr>
        <w:t>0</w:t>
      </w:r>
      <w:r>
        <w:rPr>
          <w:rFonts w:hint="eastAsia" w:ascii="宋体"/>
          <w:sz w:val="24"/>
          <w:szCs w:val="24"/>
        </w:rPr>
        <w:t>分。合格投标人的评标得分为各项目汇总得分，中标候选资格按评标综合得分由高到低顺序排列，得分相同的，按投标报价由低到高顺序排列；得分且投标报价相同的，按技术得分由高到低顺序排列。排名第一的投标人为中标候选人</w:t>
      </w:r>
      <w:r>
        <w:rPr>
          <w:rFonts w:ascii="宋体"/>
          <w:sz w:val="24"/>
          <w:szCs w:val="24"/>
        </w:rPr>
        <w:t>,</w:t>
      </w:r>
      <w:r>
        <w:rPr>
          <w:rFonts w:hint="eastAsia" w:ascii="宋体"/>
          <w:sz w:val="24"/>
          <w:szCs w:val="24"/>
        </w:rPr>
        <w:t>排名第二的投标人为候补中标候选人……其他投标人中标候选资格依此类推。</w:t>
      </w:r>
      <w:r>
        <w:rPr>
          <w:rFonts w:hint="eastAsia" w:ascii="宋体"/>
          <w:bCs/>
          <w:sz w:val="24"/>
          <w:szCs w:val="24"/>
        </w:rPr>
        <w:t>评分过程中采用四舍五入法，并保留小数</w:t>
      </w:r>
      <w:r>
        <w:rPr>
          <w:rFonts w:ascii="宋体"/>
          <w:bCs/>
          <w:sz w:val="24"/>
          <w:szCs w:val="24"/>
        </w:rPr>
        <w:t>2</w:t>
      </w:r>
      <w:r>
        <w:rPr>
          <w:rFonts w:hint="eastAsia" w:ascii="宋体"/>
          <w:bCs/>
          <w:sz w:val="24"/>
          <w:szCs w:val="24"/>
        </w:rPr>
        <w:t>位。</w:t>
      </w:r>
    </w:p>
    <w:p>
      <w:pPr>
        <w:spacing w:beforeLines="30" w:afterLines="30" w:line="360" w:lineRule="auto"/>
        <w:ind w:firstLine="480" w:firstLineChars="200"/>
        <w:rPr>
          <w:rFonts w:ascii="宋体"/>
          <w:sz w:val="24"/>
          <w:szCs w:val="24"/>
        </w:rPr>
      </w:pPr>
      <w:r>
        <w:rPr>
          <w:rFonts w:hint="eastAsia" w:ascii="宋体"/>
          <w:sz w:val="24"/>
          <w:szCs w:val="24"/>
        </w:rPr>
        <w:t>投标人评标</w:t>
      </w:r>
      <w:r>
        <w:rPr>
          <w:rFonts w:hint="eastAsia" w:ascii="宋体"/>
          <w:bCs/>
          <w:sz w:val="24"/>
          <w:szCs w:val="24"/>
        </w:rPr>
        <w:t>综合得分</w:t>
      </w:r>
      <w:r>
        <w:rPr>
          <w:rFonts w:ascii="宋体"/>
          <w:bCs/>
          <w:sz w:val="24"/>
          <w:szCs w:val="24"/>
        </w:rPr>
        <w:t>=</w:t>
      </w:r>
      <w:r>
        <w:rPr>
          <w:rFonts w:hint="eastAsia" w:ascii="宋体"/>
          <w:bCs/>
          <w:sz w:val="24"/>
          <w:szCs w:val="24"/>
        </w:rPr>
        <w:t>价格分</w:t>
      </w:r>
      <w:r>
        <w:rPr>
          <w:rFonts w:ascii="宋体"/>
          <w:bCs/>
          <w:sz w:val="24"/>
          <w:szCs w:val="24"/>
        </w:rPr>
        <w:t>+(</w:t>
      </w:r>
      <w:r>
        <w:rPr>
          <w:rFonts w:hint="eastAsia" w:ascii="宋体"/>
          <w:bCs/>
          <w:sz w:val="24"/>
          <w:szCs w:val="24"/>
        </w:rPr>
        <w:t>技术分</w:t>
      </w:r>
      <w:r>
        <w:rPr>
          <w:rFonts w:ascii="宋体"/>
          <w:bCs/>
          <w:sz w:val="24"/>
          <w:szCs w:val="24"/>
        </w:rPr>
        <w:t>+</w:t>
      </w:r>
      <w:r>
        <w:rPr>
          <w:rFonts w:hint="eastAsia" w:ascii="宋体"/>
          <w:bCs/>
          <w:sz w:val="24"/>
          <w:szCs w:val="24"/>
        </w:rPr>
        <w:t>商务资信分</w:t>
      </w:r>
      <w:r>
        <w:rPr>
          <w:rFonts w:ascii="宋体"/>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b/>
          <w:sz w:val="24"/>
          <w:szCs w:val="24"/>
        </w:rPr>
      </w:pPr>
      <w:r>
        <w:rPr>
          <w:rFonts w:hint="eastAsia" w:ascii="宋体"/>
          <w:b/>
          <w:sz w:val="24"/>
          <w:szCs w:val="24"/>
        </w:rPr>
        <w:t>二、评标内容及标准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b/>
          <w:bCs/>
          <w:sz w:val="24"/>
          <w:szCs w:val="24"/>
        </w:rPr>
      </w:pPr>
      <w:r>
        <w:rPr>
          <w:rFonts w:ascii="宋体" w:hAnsi="宋体"/>
          <w:b/>
          <w:bCs/>
          <w:sz w:val="24"/>
          <w:szCs w:val="24"/>
        </w:rPr>
        <w:t>1</w:t>
      </w:r>
      <w:r>
        <w:rPr>
          <w:rFonts w:hint="eastAsia" w:ascii="宋体" w:hAnsi="宋体"/>
          <w:b/>
          <w:bCs/>
          <w:sz w:val="24"/>
          <w:szCs w:val="24"/>
        </w:rPr>
        <w:t>、资信商务</w:t>
      </w:r>
      <w:r>
        <w:rPr>
          <w:rFonts w:ascii="宋体" w:hAnsi="宋体"/>
          <w:b/>
          <w:bCs/>
          <w:sz w:val="24"/>
          <w:szCs w:val="24"/>
        </w:rPr>
        <w:t>/</w:t>
      </w:r>
      <w:r>
        <w:rPr>
          <w:rFonts w:hint="eastAsia" w:ascii="宋体" w:hAnsi="宋体"/>
          <w:b/>
          <w:bCs/>
          <w:sz w:val="24"/>
          <w:szCs w:val="24"/>
        </w:rPr>
        <w:t>技术分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sz w:val="24"/>
          <w:szCs w:val="24"/>
        </w:rPr>
      </w:pPr>
      <w:r>
        <w:rPr>
          <w:rFonts w:hint="eastAsia" w:ascii="宋体" w:hAnsi="宋体"/>
          <w:sz w:val="24"/>
          <w:szCs w:val="24"/>
        </w:rPr>
        <w:t>评分标准中的国家标准如有新版时，以新版标准为准。</w:t>
      </w:r>
      <w:r>
        <w:rPr>
          <w:rFonts w:hint="eastAsia" w:ascii="宋体" w:hAnsi="宋体" w:cs="宋体"/>
          <w:bCs/>
          <w:sz w:val="24"/>
          <w:szCs w:val="24"/>
        </w:rPr>
        <w:t>有关评分的证书资料等原件请投标人单独装在档案袋中，统一递交</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b/>
          <w:sz w:val="24"/>
          <w:szCs w:val="24"/>
        </w:rPr>
      </w:pPr>
      <w:r>
        <w:rPr>
          <w:rFonts w:ascii="宋体" w:hAnsi="宋体"/>
          <w:b/>
          <w:bCs/>
          <w:sz w:val="24"/>
          <w:szCs w:val="24"/>
        </w:rPr>
        <w:t>2</w:t>
      </w:r>
      <w:r>
        <w:rPr>
          <w:rFonts w:hint="eastAsia" w:ascii="宋体" w:hAnsi="宋体"/>
          <w:b/>
          <w:bCs/>
          <w:sz w:val="24"/>
          <w:szCs w:val="24"/>
        </w:rPr>
        <w:t>、资信商务</w:t>
      </w:r>
      <w:r>
        <w:rPr>
          <w:rFonts w:ascii="宋体" w:hAnsi="宋体"/>
          <w:b/>
          <w:bCs/>
          <w:sz w:val="24"/>
          <w:szCs w:val="24"/>
        </w:rPr>
        <w:t>/</w:t>
      </w:r>
      <w:r>
        <w:rPr>
          <w:rFonts w:hint="eastAsia" w:ascii="宋体" w:hAnsi="宋体"/>
          <w:b/>
          <w:bCs/>
          <w:sz w:val="24"/>
          <w:szCs w:val="24"/>
        </w:rPr>
        <w:t>技术分的</w:t>
      </w:r>
      <w:r>
        <w:rPr>
          <w:rFonts w:hint="eastAsia" w:ascii="宋体" w:hAnsi="宋体"/>
          <w:b/>
          <w:sz w:val="24"/>
          <w:szCs w:val="24"/>
        </w:rPr>
        <w:t>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按照评标委员会成员的独立评分结果的算术平均分，计算公式为：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sz w:val="24"/>
          <w:szCs w:val="24"/>
        </w:rPr>
      </w:pPr>
      <w:r>
        <w:rPr>
          <w:rFonts w:hint="eastAsia" w:ascii="宋体" w:hAnsi="宋体"/>
          <w:bCs/>
          <w:sz w:val="24"/>
          <w:szCs w:val="24"/>
        </w:rPr>
        <w:t>资信商务</w:t>
      </w:r>
      <w:r>
        <w:rPr>
          <w:rFonts w:ascii="宋体" w:hAnsi="宋体"/>
          <w:bCs/>
          <w:sz w:val="24"/>
          <w:szCs w:val="24"/>
        </w:rPr>
        <w:t>/</w:t>
      </w:r>
      <w:r>
        <w:rPr>
          <w:rFonts w:hint="eastAsia" w:ascii="宋体" w:hAnsi="宋体"/>
          <w:bCs/>
          <w:sz w:val="24"/>
          <w:szCs w:val="24"/>
        </w:rPr>
        <w:t>技术</w:t>
      </w:r>
      <w:r>
        <w:rPr>
          <w:rFonts w:hint="eastAsia" w:ascii="宋体" w:hAnsi="宋体"/>
          <w:sz w:val="24"/>
          <w:szCs w:val="24"/>
        </w:rPr>
        <w:t>分</w:t>
      </w:r>
      <w:r>
        <w:rPr>
          <w:rFonts w:ascii="宋体" w:hAnsi="宋体"/>
          <w:sz w:val="24"/>
          <w:szCs w:val="24"/>
        </w:rPr>
        <w:t>=</w:t>
      </w:r>
      <w:r>
        <w:rPr>
          <w:rFonts w:hint="eastAsia" w:ascii="宋体" w:hAnsi="宋体"/>
          <w:sz w:val="24"/>
          <w:szCs w:val="24"/>
        </w:rPr>
        <w:t>评标委员会所有成员评分合计数</w:t>
      </w:r>
      <w:r>
        <w:rPr>
          <w:rFonts w:ascii="宋体" w:hAnsi="宋体"/>
          <w:sz w:val="24"/>
          <w:szCs w:val="24"/>
        </w:rPr>
        <w:t>/</w:t>
      </w:r>
      <w:r>
        <w:rPr>
          <w:rFonts w:hint="eastAsia" w:ascii="宋体" w:hAnsi="宋体"/>
          <w:sz w:val="24"/>
          <w:szCs w:val="24"/>
        </w:rPr>
        <w:t>评标委员会组成人员数</w:t>
      </w:r>
    </w:p>
    <w:p>
      <w:pPr>
        <w:keepNext w:val="0"/>
        <w:keepLines w:val="0"/>
        <w:pageBreakBefore w:val="0"/>
        <w:widowControl w:val="0"/>
        <w:kinsoku/>
        <w:wordWrap/>
        <w:overflowPunct/>
        <w:topLinePunct w:val="0"/>
        <w:autoSpaceDE/>
        <w:autoSpaceDN/>
        <w:bidi w:val="0"/>
        <w:adjustRightInd/>
        <w:snapToGrid/>
        <w:spacing w:line="360" w:lineRule="auto"/>
        <w:ind w:firstLine="466" w:firstLineChars="200"/>
        <w:textAlignment w:val="auto"/>
        <w:rPr>
          <w:rFonts w:ascii="宋体"/>
          <w:b/>
          <w:bCs/>
          <w:spacing w:val="-4"/>
          <w:sz w:val="24"/>
          <w:szCs w:val="24"/>
        </w:rPr>
      </w:pPr>
      <w:r>
        <w:rPr>
          <w:rFonts w:ascii="宋体" w:hAnsi="宋体"/>
          <w:b/>
          <w:spacing w:val="-4"/>
          <w:sz w:val="24"/>
          <w:szCs w:val="24"/>
        </w:rPr>
        <w:t>3</w:t>
      </w:r>
      <w:r>
        <w:rPr>
          <w:rFonts w:hint="eastAsia" w:ascii="宋体" w:hAnsi="宋体"/>
          <w:b/>
          <w:spacing w:val="-4"/>
          <w:sz w:val="24"/>
          <w:szCs w:val="24"/>
        </w:rPr>
        <w:t>、</w:t>
      </w:r>
      <w:r>
        <w:rPr>
          <w:rFonts w:hint="eastAsia" w:ascii="宋体" w:hAnsi="宋体"/>
          <w:b/>
          <w:bCs/>
          <w:spacing w:val="-4"/>
          <w:sz w:val="24"/>
          <w:szCs w:val="24"/>
        </w:rPr>
        <w:t>价格分</w:t>
      </w:r>
    </w:p>
    <w:p>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ascii="宋体"/>
          <w:bCs/>
          <w:spacing w:val="-4"/>
          <w:sz w:val="24"/>
          <w:szCs w:val="24"/>
        </w:rPr>
      </w:pPr>
      <w:r>
        <w:rPr>
          <w:rFonts w:hint="eastAsia" w:ascii="宋体" w:hAnsi="宋体"/>
          <w:bCs/>
          <w:spacing w:val="-4"/>
          <w:sz w:val="24"/>
          <w:szCs w:val="24"/>
          <w:lang w:val="en-US" w:eastAsia="zh-CN"/>
        </w:rPr>
        <w:t>1、</w:t>
      </w:r>
      <w:r>
        <w:rPr>
          <w:rFonts w:hint="eastAsia" w:ascii="宋体" w:hAnsi="宋体"/>
          <w:bCs/>
          <w:spacing w:val="-4"/>
          <w:sz w:val="24"/>
          <w:szCs w:val="24"/>
        </w:rPr>
        <w:t>价格分采用低价优先法计算，取所有投标技术入围投标人中投标价格最低的投标报价为评标基准价，其他投标人的价格分按照下列公式计算：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sz w:val="24"/>
          <w:szCs w:val="24"/>
        </w:rPr>
      </w:pPr>
      <w:r>
        <w:rPr>
          <w:rFonts w:hint="eastAsia" w:ascii="宋体" w:hAnsi="宋体"/>
          <w:b/>
          <w:bCs/>
          <w:sz w:val="24"/>
          <w:szCs w:val="24"/>
        </w:rPr>
        <w:t>价格分</w:t>
      </w:r>
      <w:r>
        <w:rPr>
          <w:rFonts w:ascii="宋体" w:hAnsi="宋体"/>
          <w:sz w:val="24"/>
          <w:szCs w:val="24"/>
        </w:rPr>
        <w:t>=</w:t>
      </w:r>
      <w:r>
        <w:rPr>
          <w:rFonts w:hint="eastAsia" w:ascii="宋体" w:hAnsi="宋体"/>
          <w:sz w:val="24"/>
          <w:szCs w:val="24"/>
        </w:rPr>
        <w:t>（评标基准价</w:t>
      </w:r>
      <w:r>
        <w:rPr>
          <w:rFonts w:ascii="宋体" w:hAnsi="宋体"/>
          <w:sz w:val="24"/>
          <w:szCs w:val="24"/>
        </w:rPr>
        <w:t>/</w:t>
      </w:r>
      <w:r>
        <w:rPr>
          <w:rFonts w:hint="eastAsia" w:ascii="宋体" w:hAnsi="宋体"/>
          <w:sz w:val="24"/>
          <w:szCs w:val="24"/>
        </w:rPr>
        <w:t>投标报价）×</w:t>
      </w:r>
      <w:r>
        <w:rPr>
          <w:rFonts w:hint="eastAsia" w:ascii="宋体" w:hAnsi="宋体"/>
          <w:sz w:val="24"/>
          <w:szCs w:val="24"/>
          <w:lang w:val="en-US" w:eastAsia="zh-CN"/>
        </w:rPr>
        <w:t>3</w:t>
      </w:r>
      <w:r>
        <w:rPr>
          <w:rFonts w:hint="eastAsia" w:ascii="宋体" w:hAnsi="宋体"/>
          <w:sz w:val="24"/>
          <w:szCs w:val="24"/>
        </w:rPr>
        <w:t>0</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cs="仿宋_GB2312"/>
          <w:sz w:val="24"/>
          <w:szCs w:val="24"/>
        </w:rPr>
      </w:pPr>
      <w:r>
        <w:rPr>
          <w:rFonts w:hint="eastAsia" w:ascii="宋体" w:hAnsi="宋体" w:cs="仿宋_GB2312"/>
          <w:b/>
          <w:sz w:val="24"/>
          <w:szCs w:val="24"/>
          <w:lang w:val="en-US" w:eastAsia="zh-CN"/>
        </w:rPr>
        <w:t>2、</w:t>
      </w:r>
      <w:r>
        <w:rPr>
          <w:rFonts w:hint="eastAsia" w:ascii="宋体" w:hAnsi="宋体" w:cs="仿宋_GB2312"/>
          <w:b/>
          <w:sz w:val="24"/>
          <w:szCs w:val="24"/>
        </w:rPr>
        <w:t>价格扣除</w:t>
      </w:r>
      <w:r>
        <w:rPr>
          <w:rFonts w:hint="eastAsia" w:ascii="宋体" w:hAnsi="宋体" w:cs="仿宋_GB2312"/>
          <w:sz w:val="24"/>
          <w:szCs w:val="24"/>
        </w:rPr>
        <w:t>：根据工信部等部委发布的《关于印发中小企业划型标准规定的通知》（工信部联企业〔</w:t>
      </w:r>
      <w:r>
        <w:rPr>
          <w:rFonts w:ascii="宋体" w:hAnsi="宋体" w:cs="仿宋_GB2312"/>
          <w:sz w:val="24"/>
          <w:szCs w:val="24"/>
        </w:rPr>
        <w:t>2011</w:t>
      </w:r>
      <w:r>
        <w:rPr>
          <w:rFonts w:hint="eastAsia" w:ascii="宋体" w:hAnsi="宋体" w:cs="仿宋_GB2312"/>
          <w:sz w:val="24"/>
          <w:szCs w:val="24"/>
        </w:rPr>
        <w:t>〕</w:t>
      </w:r>
      <w:r>
        <w:rPr>
          <w:rFonts w:ascii="宋体" w:hAnsi="宋体" w:cs="仿宋_GB2312"/>
          <w:sz w:val="24"/>
          <w:szCs w:val="24"/>
        </w:rPr>
        <w:t>300</w:t>
      </w:r>
      <w:r>
        <w:rPr>
          <w:rFonts w:hint="eastAsia" w:ascii="宋体" w:hAnsi="宋体" w:cs="仿宋_GB2312"/>
          <w:sz w:val="24"/>
          <w:szCs w:val="24"/>
        </w:rPr>
        <w:t>号），根据具体品目确定相应标准。符合上述条件的中小微型企业应按照招标文件附件2</w:t>
      </w:r>
      <w:r>
        <w:rPr>
          <w:rFonts w:ascii="宋体" w:hAnsi="宋体" w:cs="仿宋_GB2312"/>
          <w:sz w:val="24"/>
          <w:szCs w:val="24"/>
        </w:rPr>
        <w:t>.</w:t>
      </w:r>
      <w:r>
        <w:rPr>
          <w:rFonts w:hint="eastAsia" w:ascii="宋体" w:hAnsi="宋体" w:cs="仿宋_GB2312"/>
          <w:sz w:val="24"/>
          <w:szCs w:val="24"/>
        </w:rPr>
        <w:t>5的格式要求提供《中小企业声明函》、</w:t>
      </w:r>
      <w:r>
        <w:rPr>
          <w:rFonts w:hint="eastAsia" w:ascii="宋体" w:hAnsi="宋体"/>
          <w:sz w:val="24"/>
          <w:szCs w:val="24"/>
        </w:rPr>
        <w:t>“国家企业信用信息公示系统</w:t>
      </w:r>
      <w:r>
        <w:rPr>
          <w:rFonts w:ascii="宋体" w:hAnsi="宋体"/>
          <w:sz w:val="24"/>
          <w:szCs w:val="24"/>
        </w:rPr>
        <w:t>—</w:t>
      </w:r>
      <w:r>
        <w:rPr>
          <w:rFonts w:hint="eastAsia" w:ascii="宋体" w:hAnsi="宋体"/>
          <w:sz w:val="24"/>
          <w:szCs w:val="24"/>
        </w:rPr>
        <w:t>小微企业名录”页面查询结果</w:t>
      </w:r>
      <w:r>
        <w:rPr>
          <w:rFonts w:hint="eastAsia" w:ascii="宋体" w:hAnsi="宋体" w:cs="仿宋_GB2312"/>
          <w:sz w:val="24"/>
          <w:szCs w:val="24"/>
        </w:rPr>
        <w:t>。符合《关于促进残疾人就业政府采购政策的通知》（财库〔</w:t>
      </w:r>
      <w:r>
        <w:rPr>
          <w:rFonts w:ascii="宋体" w:hAnsi="宋体" w:cs="仿宋_GB2312"/>
          <w:sz w:val="24"/>
          <w:szCs w:val="24"/>
        </w:rPr>
        <w:t>2017</w:t>
      </w:r>
      <w:r>
        <w:rPr>
          <w:rFonts w:hint="eastAsia" w:ascii="宋体" w:hAnsi="宋体" w:cs="仿宋_GB2312"/>
          <w:sz w:val="24"/>
          <w:szCs w:val="24"/>
        </w:rPr>
        <w:t>〕</w:t>
      </w:r>
      <w:r>
        <w:rPr>
          <w:rFonts w:ascii="宋体" w:hAnsi="宋体" w:cs="仿宋_GB2312"/>
          <w:sz w:val="24"/>
          <w:szCs w:val="24"/>
        </w:rPr>
        <w:t>141</w:t>
      </w:r>
      <w:r>
        <w:rPr>
          <w:rFonts w:hint="eastAsia" w:ascii="宋体" w:hAnsi="宋体" w:cs="仿宋_GB2312"/>
          <w:sz w:val="24"/>
          <w:szCs w:val="24"/>
        </w:rPr>
        <w:t>号）规定的条件并提供《残疾人福利性单位声明函》（附件2</w:t>
      </w:r>
      <w:r>
        <w:rPr>
          <w:rFonts w:ascii="宋体" w:hAnsi="宋体" w:cs="仿宋_GB2312"/>
          <w:sz w:val="24"/>
          <w:szCs w:val="24"/>
        </w:rPr>
        <w:t>.</w:t>
      </w:r>
      <w:r>
        <w:rPr>
          <w:rFonts w:hint="eastAsia" w:ascii="宋体" w:hAnsi="宋体" w:cs="仿宋_GB2312"/>
          <w:sz w:val="24"/>
          <w:szCs w:val="24"/>
        </w:rPr>
        <w:t>6）的残疾人福利性单位视同小型、微型企业；根据《关于政府采购支持监狱企业发展有关问题的通知》（财库</w:t>
      </w:r>
      <w:r>
        <w:rPr>
          <w:rFonts w:ascii="宋体" w:hAnsi="宋体" w:cs="仿宋_GB2312"/>
          <w:sz w:val="24"/>
          <w:szCs w:val="24"/>
        </w:rPr>
        <w:t>[2014]68</w:t>
      </w:r>
      <w:r>
        <w:rPr>
          <w:rFonts w:hint="eastAsia" w:ascii="宋体" w:hAnsi="宋体" w:cs="仿宋_GB2312"/>
          <w:sz w:val="24"/>
          <w:szCs w:val="24"/>
        </w:rPr>
        <w:t>号）的规定，投标人提供由省级以上监狱管理局、戒毒管理局（含新疆生产建设兵团）出具的属于监狱企业证明文件的，视同为小型和微型企业。</w:t>
      </w:r>
    </w:p>
    <w:p>
      <w:pPr>
        <w:widowControl/>
        <w:numPr>
          <w:ilvl w:val="0"/>
          <w:numId w:val="0"/>
        </w:numPr>
        <w:snapToGrid w:val="0"/>
        <w:spacing w:line="360" w:lineRule="auto"/>
        <w:ind w:firstLine="464" w:firstLineChars="200"/>
        <w:jc w:val="left"/>
        <w:rPr>
          <w:rFonts w:ascii="宋体" w:hAnsi="宋体"/>
          <w:bCs/>
          <w:sz w:val="24"/>
        </w:rPr>
      </w:pPr>
      <w:r>
        <w:rPr>
          <w:rFonts w:hint="eastAsia" w:ascii="宋体" w:hAnsi="宋体" w:eastAsia="宋体" w:cs="宋体"/>
          <w:bCs/>
          <w:spacing w:val="-4"/>
          <w:sz w:val="24"/>
        </w:rPr>
        <w:t>参照《关于印发&lt;政府采购促进中小企业发展管理办法&gt;的通知》(财库〔2020〕46号)文件、《财政</w:t>
      </w:r>
      <w:r>
        <w:rPr>
          <w:rFonts w:hint="eastAsia" w:ascii="宋体" w:hAnsi="宋体" w:eastAsia="宋体" w:cs="宋体"/>
          <w:bCs/>
          <w:spacing w:val="-4"/>
          <w:sz w:val="24"/>
          <w:highlight w:val="none"/>
        </w:rPr>
        <w:t>部、司法部关于政府采购支持监狱企业发展有关问题的通知》（财库〔2014〕68号）文件</w:t>
      </w:r>
      <w:r>
        <w:rPr>
          <w:rFonts w:hint="eastAsia" w:ascii="宋体" w:hAnsi="宋体" w:eastAsia="宋体" w:cs="宋体"/>
          <w:bCs/>
          <w:spacing w:val="-4"/>
          <w:sz w:val="24"/>
          <w:highlight w:val="none"/>
          <w:lang w:eastAsia="zh-CN"/>
        </w:rPr>
        <w:t>、</w:t>
      </w:r>
      <w:r>
        <w:rPr>
          <w:rFonts w:hint="eastAsia" w:ascii="宋体" w:hAnsi="宋体" w:eastAsia="宋体" w:cs="宋体"/>
          <w:bCs/>
          <w:spacing w:val="-4"/>
          <w:sz w:val="24"/>
          <w:highlight w:val="none"/>
        </w:rPr>
        <w:t>《财政部、民政部、中国残疾人联合会关于促进残疾人就业政府采购政策的通知》（财库〔2017〕141号）的规定</w:t>
      </w:r>
      <w:r>
        <w:rPr>
          <w:rFonts w:hint="eastAsia" w:ascii="宋体" w:hAnsi="宋体" w:eastAsia="宋体" w:cs="宋体"/>
          <w:bCs/>
          <w:spacing w:val="-4"/>
          <w:sz w:val="24"/>
          <w:highlight w:val="none"/>
          <w:lang w:eastAsia="zh-CN"/>
        </w:rPr>
        <w:t>以及</w:t>
      </w:r>
      <w:r>
        <w:rPr>
          <w:rFonts w:hint="eastAsia" w:ascii="宋体" w:hAnsi="宋体" w:eastAsia="宋体" w:cs="宋体"/>
          <w:color w:val="auto"/>
          <w:kern w:val="0"/>
          <w:sz w:val="24"/>
          <w:szCs w:val="24"/>
          <w:highlight w:val="none"/>
          <w:lang w:eastAsia="zh-CN"/>
        </w:rPr>
        <w:t>《浙江省财政厅关于进一步加大政府采购支持中小企业力度 助力扎实稳住经济的通知》</w:t>
      </w:r>
      <w:r>
        <w:rPr>
          <w:rFonts w:hint="eastAsia" w:ascii="宋体" w:hAnsi="宋体" w:eastAsia="宋体" w:cs="宋体"/>
          <w:color w:val="auto"/>
          <w:kern w:val="0"/>
          <w:sz w:val="24"/>
          <w:szCs w:val="24"/>
          <w:highlight w:val="none"/>
        </w:rPr>
        <w:t>（浙财采监〔2022〕</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号）</w:t>
      </w:r>
      <w:r>
        <w:rPr>
          <w:rFonts w:hint="eastAsia" w:ascii="宋体" w:hAnsi="宋体" w:eastAsia="宋体" w:cs="宋体"/>
          <w:color w:val="auto"/>
          <w:kern w:val="0"/>
          <w:sz w:val="24"/>
          <w:szCs w:val="24"/>
          <w:highlight w:val="none"/>
          <w:lang w:eastAsia="zh-CN"/>
        </w:rPr>
        <w:t>的</w:t>
      </w:r>
      <w:r>
        <w:rPr>
          <w:rFonts w:hint="eastAsia" w:ascii="宋体" w:hAnsi="宋体" w:eastAsia="宋体" w:cs="宋体"/>
          <w:color w:val="auto"/>
          <w:kern w:val="0"/>
          <w:sz w:val="24"/>
          <w:szCs w:val="24"/>
          <w:highlight w:val="none"/>
        </w:rPr>
        <w:t>规定</w:t>
      </w:r>
      <w:r>
        <w:rPr>
          <w:rFonts w:hint="eastAsia" w:ascii="宋体" w:hAnsi="宋体" w:eastAsia="宋体" w:cs="宋体"/>
          <w:color w:val="auto"/>
          <w:kern w:val="0"/>
          <w:sz w:val="24"/>
          <w:szCs w:val="24"/>
          <w:highlight w:val="none"/>
          <w:lang w:eastAsia="zh-CN"/>
        </w:rPr>
        <w:t>，</w:t>
      </w:r>
      <w:r>
        <w:rPr>
          <w:rFonts w:hint="eastAsia" w:ascii="宋体" w:hAnsi="宋体" w:eastAsia="宋体" w:cs="宋体"/>
          <w:bCs/>
          <w:spacing w:val="-4"/>
          <w:sz w:val="24"/>
          <w:highlight w:val="none"/>
        </w:rPr>
        <w:t>本项目对小型和微型企业、监狱企业、残疾人福利性单位生产的产品价格给予</w:t>
      </w:r>
      <w:r>
        <w:rPr>
          <w:rFonts w:hint="eastAsia" w:ascii="宋体" w:hAnsi="宋体" w:cs="宋体"/>
          <w:bCs/>
          <w:spacing w:val="-4"/>
          <w:sz w:val="24"/>
          <w:highlight w:val="none"/>
          <w:lang w:val="en-US" w:eastAsia="zh-CN"/>
        </w:rPr>
        <w:t>2</w:t>
      </w:r>
      <w:r>
        <w:rPr>
          <w:rFonts w:hint="eastAsia" w:ascii="宋体" w:hAnsi="宋体" w:eastAsia="宋体" w:cs="宋体"/>
          <w:bCs/>
          <w:spacing w:val="-4"/>
          <w:sz w:val="24"/>
          <w:highlight w:val="none"/>
          <w:lang w:val="en-US" w:eastAsia="zh-CN"/>
        </w:rPr>
        <w:t>0</w:t>
      </w:r>
      <w:r>
        <w:rPr>
          <w:rFonts w:hint="eastAsia" w:ascii="宋体" w:hAnsi="宋体" w:eastAsia="宋体" w:cs="宋体"/>
          <w:bCs/>
          <w:spacing w:val="-4"/>
          <w:sz w:val="24"/>
          <w:highlight w:val="none"/>
        </w:rPr>
        <w:t>%</w:t>
      </w:r>
      <w:r>
        <w:rPr>
          <w:rFonts w:hint="eastAsia" w:ascii="宋体" w:hAnsi="宋体" w:eastAsia="宋体" w:cs="宋体"/>
          <w:b w:val="0"/>
          <w:bCs/>
          <w:color w:val="auto"/>
          <w:spacing w:val="-4"/>
          <w:sz w:val="24"/>
          <w:highlight w:val="none"/>
        </w:rPr>
        <w:t>扣除，</w:t>
      </w:r>
      <w:r>
        <w:rPr>
          <w:rFonts w:hint="eastAsia" w:ascii="宋体" w:hAnsi="宋体" w:eastAsia="宋体" w:cs="宋体"/>
          <w:b w:val="0"/>
          <w:bCs/>
          <w:color w:val="auto"/>
          <w:kern w:val="0"/>
          <w:sz w:val="24"/>
          <w:szCs w:val="24"/>
          <w:highlight w:val="none"/>
        </w:rPr>
        <w:t>对于联合协议或者分包意向协议约定小微企业的合同份额占到合同总金额</w:t>
      </w:r>
      <w:r>
        <w:rPr>
          <w:rFonts w:hint="eastAsia" w:ascii="宋体" w:hAnsi="宋体" w:cs="宋体"/>
          <w:b w:val="0"/>
          <w:bCs/>
          <w:color w:val="auto"/>
          <w:kern w:val="0"/>
          <w:sz w:val="24"/>
          <w:szCs w:val="24"/>
          <w:highlight w:val="none"/>
          <w:lang w:val="en-US" w:eastAsia="zh-CN"/>
        </w:rPr>
        <w:t>3</w:t>
      </w:r>
      <w:r>
        <w:rPr>
          <w:rFonts w:hint="eastAsia" w:ascii="宋体" w:hAnsi="宋体" w:eastAsia="宋体" w:cs="宋体"/>
          <w:b w:val="0"/>
          <w:bCs/>
          <w:color w:val="auto"/>
          <w:kern w:val="0"/>
          <w:sz w:val="24"/>
          <w:szCs w:val="24"/>
          <w:highlight w:val="none"/>
        </w:rPr>
        <w:t>0%以上的，对联合体或者大中型企业的报价按</w:t>
      </w:r>
      <w:r>
        <w:rPr>
          <w:rFonts w:hint="eastAsia" w:ascii="宋体" w:hAnsi="宋体" w:cs="宋体"/>
          <w:b w:val="0"/>
          <w:bCs/>
          <w:color w:val="auto"/>
          <w:kern w:val="0"/>
          <w:sz w:val="24"/>
          <w:szCs w:val="24"/>
          <w:highlight w:val="none"/>
          <w:lang w:val="en-US" w:eastAsia="zh-CN"/>
        </w:rPr>
        <w:t xml:space="preserve">6 </w:t>
      </w:r>
      <w:r>
        <w:rPr>
          <w:rFonts w:hint="eastAsia" w:ascii="宋体" w:hAnsi="宋体" w:eastAsia="宋体" w:cs="宋体"/>
          <w:b w:val="0"/>
          <w:bCs/>
          <w:color w:val="auto"/>
          <w:kern w:val="0"/>
          <w:sz w:val="24"/>
          <w:szCs w:val="24"/>
          <w:highlight w:val="none"/>
        </w:rPr>
        <w:t>%给予扣除，用扣除后的价格参加评审</w:t>
      </w:r>
      <w:r>
        <w:rPr>
          <w:rFonts w:hint="eastAsia" w:ascii="宋体" w:hAnsi="宋体" w:eastAsia="宋体" w:cs="宋体"/>
          <w:b w:val="0"/>
          <w:bCs/>
          <w:color w:val="auto"/>
          <w:spacing w:val="-4"/>
          <w:sz w:val="24"/>
          <w:highlight w:val="none"/>
        </w:rPr>
        <w:t>，但不重复享受价格扣除。小型和微型企业是指投标文件中提供</w:t>
      </w:r>
      <w:r>
        <w:rPr>
          <w:rFonts w:hint="eastAsia" w:ascii="宋体" w:hAnsi="宋体"/>
          <w:bCs/>
          <w:spacing w:val="-4"/>
          <w:sz w:val="24"/>
        </w:rPr>
        <w:t>了中小企业声明函且符合《关于印发&lt;政府采购促进中小企业发展管理办法&gt;的通知》(财库〔2020〕46号)规定的要求。残疾人福利性单位是指投标文件中提供了残疾人福利性单位声明函且符合《财政部、民政部、中国残疾人联合会关于促进残疾人就业政府采购政策的通知》（财库〔2017〕141号）规定的企业。监狱企业是指投标文件中提供了由省级以上监狱管理局、戒毒管理局（含新疆生产建设兵团）出具的属于监狱企业的证明文件的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sz w:val="24"/>
        </w:rPr>
      </w:pPr>
      <w:r>
        <w:rPr>
          <w:rFonts w:hint="eastAsia" w:ascii="宋体" w:hAnsi="宋体"/>
          <w:sz w:val="24"/>
        </w:rPr>
        <w:t>小型、微型企业（或监狱企业或残疾人福利企业）待遇报价的计算方法：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sz w:val="24"/>
        </w:rPr>
      </w:pPr>
      <w:r>
        <w:rPr>
          <w:rFonts w:hint="eastAsia" w:ascii="宋体" w:hAnsi="宋体"/>
          <w:sz w:val="24"/>
        </w:rPr>
        <w:t>小型、微型企业（或监狱企业或残疾人福利企业）待遇报价=</w:t>
      </w:r>
      <w:r>
        <w:rPr>
          <w:rFonts w:hint="eastAsia" w:ascii="宋体" w:hAnsi="宋体"/>
          <w:spacing w:val="-4"/>
          <w:sz w:val="24"/>
          <w:szCs w:val="20"/>
        </w:rPr>
        <w:t>小型、微型企业（或监狱企业或残疾人福利企业）</w:t>
      </w:r>
      <w:r>
        <w:rPr>
          <w:rFonts w:hint="eastAsia" w:ascii="宋体" w:hAnsi="宋体"/>
          <w:sz w:val="24"/>
        </w:rPr>
        <w:t>投标人投标报价*（1</w:t>
      </w:r>
      <w:r>
        <w:rPr>
          <w:rFonts w:hint="eastAsia" w:ascii="宋体" w:hAnsi="宋体"/>
          <w:sz w:val="24"/>
          <w:lang w:val="en-US" w:eastAsia="zh-CN"/>
        </w:rPr>
        <w:t>-优惠折扣率</w:t>
      </w:r>
      <w:r>
        <w:rPr>
          <w:rFonts w:hint="eastAsia" w:ascii="宋体" w:hAnsi="宋体"/>
          <w:sz w:val="24"/>
        </w:rPr>
        <w:t>）</w:t>
      </w:r>
    </w:p>
    <w:p>
      <w:pPr>
        <w:spacing w:beforeLines="50" w:afterLines="50" w:line="360" w:lineRule="auto"/>
        <w:rPr>
          <w:rFonts w:ascii="宋体" w:hAnsi="宋体"/>
          <w:b/>
          <w:sz w:val="24"/>
          <w:szCs w:val="24"/>
        </w:rPr>
      </w:pPr>
      <w:r>
        <w:rPr>
          <w:rFonts w:hint="eastAsia" w:ascii="宋体" w:hAnsi="宋体"/>
          <w:b/>
          <w:sz w:val="24"/>
          <w:szCs w:val="24"/>
        </w:rPr>
        <w:t>附件：评分标准</w:t>
      </w:r>
    </w:p>
    <w:p>
      <w:pPr>
        <w:pStyle w:val="27"/>
        <w:snapToGrid w:val="0"/>
        <w:spacing w:before="156" w:after="156" w:line="360" w:lineRule="auto"/>
        <w:rPr>
          <w:rFonts w:hAnsi="宋体"/>
          <w:b/>
          <w:bCs/>
        </w:rPr>
      </w:pPr>
      <w:r>
        <w:rPr>
          <w:rFonts w:hAnsi="宋体" w:cs="Arial"/>
          <w:b/>
        </w:rPr>
        <w:t>江北街道智慧垃圾分类系统及运营服务</w:t>
      </w:r>
      <w:r>
        <w:rPr>
          <w:rFonts w:hint="eastAsia" w:hAnsi="宋体" w:cs="Arial"/>
          <w:b/>
        </w:rPr>
        <w:t>项目</w:t>
      </w:r>
      <w:r>
        <w:rPr>
          <w:rFonts w:hint="eastAsia" w:hAnsi="宋体"/>
          <w:b/>
        </w:rPr>
        <w:t>（</w:t>
      </w:r>
      <w:r>
        <w:rPr>
          <w:rFonts w:hint="eastAsia" w:hAnsi="宋体"/>
          <w:b/>
          <w:bCs/>
        </w:rPr>
        <w:t>商务资信/技术分</w:t>
      </w:r>
      <w:r>
        <w:rPr>
          <w:rFonts w:hint="eastAsia" w:hAnsi="宋体"/>
          <w:b/>
        </w:rPr>
        <w:t>，共70分）</w:t>
      </w:r>
    </w:p>
    <w:tbl>
      <w:tblPr>
        <w:tblStyle w:val="46"/>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30"/>
        <w:gridCol w:w="631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2" w:type="dxa"/>
            <w:gridSpan w:val="3"/>
            <w:vAlign w:val="center"/>
          </w:tcPr>
          <w:p>
            <w:pPr>
              <w:widowControl/>
              <w:spacing w:line="360" w:lineRule="auto"/>
              <w:jc w:val="center"/>
              <w:rPr>
                <w:rFonts w:hint="eastAsia" w:ascii="宋体" w:hAnsi="宋体" w:eastAsia="宋体" w:cs="宋体"/>
                <w:b/>
                <w:bCs/>
                <w:color w:val="auto"/>
                <w:kern w:val="0"/>
                <w:sz w:val="24"/>
                <w:szCs w:val="24"/>
              </w:rPr>
            </w:pPr>
            <w:r>
              <w:rPr>
                <w:rFonts w:hint="eastAsia" w:ascii="宋体" w:hAnsi="宋体" w:eastAsia="宋体" w:cs="宋体"/>
                <w:b/>
                <w:color w:val="auto"/>
                <w:sz w:val="24"/>
                <w:szCs w:val="24"/>
              </w:rPr>
              <w:t>评分内容和标准</w:t>
            </w:r>
          </w:p>
        </w:tc>
        <w:tc>
          <w:tcPr>
            <w:tcW w:w="739" w:type="dxa"/>
            <w:vAlign w:val="center"/>
          </w:tcPr>
          <w:p>
            <w:pPr>
              <w:widowControl/>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57" w:type="dxa"/>
            <w:vMerge w:val="restart"/>
            <w:vAlign w:val="center"/>
          </w:tcPr>
          <w:p>
            <w:pPr>
              <w:widowControl/>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资信商务（1</w:t>
            </w:r>
            <w:r>
              <w:rPr>
                <w:rFonts w:hint="eastAsia" w:ascii="宋体" w:hAnsi="宋体" w:cs="宋体"/>
                <w:b/>
                <w:color w:val="auto"/>
                <w:kern w:val="0"/>
                <w:sz w:val="24"/>
                <w:szCs w:val="24"/>
                <w:lang w:val="en-US" w:eastAsia="zh-CN"/>
              </w:rPr>
              <w:t>0</w:t>
            </w:r>
            <w:r>
              <w:rPr>
                <w:rFonts w:hint="eastAsia" w:ascii="宋体" w:hAnsi="宋体" w:eastAsia="宋体" w:cs="宋体"/>
                <w:b/>
                <w:color w:val="auto"/>
                <w:sz w:val="24"/>
                <w:szCs w:val="24"/>
              </w:rPr>
              <w:t>分）</w:t>
            </w: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企业认证</w:t>
            </w:r>
          </w:p>
        </w:tc>
        <w:tc>
          <w:tcPr>
            <w:tcW w:w="6315" w:type="dxa"/>
            <w:vAlign w:val="center"/>
          </w:tcPr>
          <w:p>
            <w:pPr>
              <w:pStyle w:val="27"/>
              <w:spacing w:before="156" w:after="156"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投标人提供ISO9001：20</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质量管理体系、ISO</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4001：20</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环境</w:t>
            </w:r>
            <w:r>
              <w:rPr>
                <w:rFonts w:hint="eastAsia" w:ascii="宋体" w:hAnsi="宋体" w:eastAsia="宋体" w:cs="宋体"/>
                <w:color w:val="auto"/>
                <w:sz w:val="24"/>
                <w:szCs w:val="24"/>
                <w:lang w:val="en-US" w:eastAsia="zh-CN"/>
              </w:rPr>
              <w:t>管理</w:t>
            </w:r>
            <w:r>
              <w:rPr>
                <w:rFonts w:hint="eastAsia" w:ascii="宋体" w:hAnsi="宋体" w:eastAsia="宋体" w:cs="宋体"/>
                <w:color w:val="auto"/>
                <w:sz w:val="24"/>
                <w:szCs w:val="24"/>
              </w:rPr>
              <w:t>体系、ISO</w:t>
            </w:r>
            <w:r>
              <w:rPr>
                <w:rFonts w:hint="eastAsia" w:ascii="宋体" w:hAnsi="宋体" w:eastAsia="宋体" w:cs="宋体"/>
                <w:color w:val="auto"/>
                <w:sz w:val="24"/>
                <w:szCs w:val="24"/>
                <w:lang w:val="en-US" w:eastAsia="zh-CN"/>
              </w:rPr>
              <w:t>450</w:t>
            </w:r>
            <w:r>
              <w:rPr>
                <w:rFonts w:hint="eastAsia" w:ascii="宋体" w:hAnsi="宋体" w:eastAsia="宋体" w:cs="宋体"/>
                <w:color w:val="auto"/>
                <w:sz w:val="24"/>
                <w:szCs w:val="24"/>
              </w:rPr>
              <w:t>01：20</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职业健康安全管理体系认证证书，每提供一项得1分，最高得3分。（原件备查）</w:t>
            </w:r>
          </w:p>
        </w:tc>
        <w:tc>
          <w:tcPr>
            <w:tcW w:w="739" w:type="dxa"/>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研发、创新实力</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投标人云服务产品具有可信云证书且必须含有云存储（对象存储）相关证书得</w:t>
            </w:r>
            <w:r>
              <w:rPr>
                <w:rFonts w:hint="eastAsia" w:hAnsi="宋体" w:cs="宋体"/>
                <w:color w:val="auto"/>
                <w:sz w:val="24"/>
                <w:szCs w:val="24"/>
                <w:lang w:val="en-US" w:eastAsia="zh-CN"/>
              </w:rPr>
              <w:t>2</w:t>
            </w:r>
            <w:r>
              <w:rPr>
                <w:rFonts w:hint="eastAsia" w:ascii="宋体" w:hAnsi="宋体" w:eastAsia="宋体" w:cs="宋体"/>
                <w:color w:val="auto"/>
                <w:sz w:val="24"/>
                <w:szCs w:val="24"/>
              </w:rPr>
              <w:t>分。（提供相关证明材料复印件）。投标人具有垃圾分类运营类软件著作权证书得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分。（提供相关证明复印件，原件备查）</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7" w:type="dxa"/>
            <w:vMerge w:val="continue"/>
            <w:vAlign w:val="center"/>
          </w:tcPr>
          <w:p>
            <w:pPr>
              <w:widowControl/>
              <w:spacing w:line="360" w:lineRule="auto"/>
              <w:jc w:val="center"/>
              <w:rPr>
                <w:rFonts w:hint="eastAsia" w:ascii="宋体" w:hAnsi="宋体" w:eastAsia="宋体" w:cs="宋体"/>
                <w:b/>
                <w:color w:val="auto"/>
                <w:kern w:val="0"/>
                <w:sz w:val="24"/>
                <w:szCs w:val="24"/>
              </w:rPr>
            </w:pP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业绩案例</w:t>
            </w:r>
          </w:p>
        </w:tc>
        <w:tc>
          <w:tcPr>
            <w:tcW w:w="6315" w:type="dxa"/>
            <w:vAlign w:val="center"/>
          </w:tcPr>
          <w:p>
            <w:pPr>
              <w:pStyle w:val="27"/>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投标人提供与本项目类似业绩案例，每个案例得1分，最高</w:t>
            </w:r>
            <w:r>
              <w:rPr>
                <w:rFonts w:hint="eastAsia" w:hAnsi="宋体" w:cs="宋体"/>
                <w:color w:val="auto"/>
                <w:sz w:val="24"/>
                <w:szCs w:val="24"/>
                <w:lang w:val="en-US" w:eastAsia="zh-CN"/>
              </w:rPr>
              <w:t>3</w:t>
            </w:r>
            <w:r>
              <w:rPr>
                <w:rFonts w:hint="eastAsia" w:ascii="宋体" w:hAnsi="宋体" w:eastAsia="宋体" w:cs="宋体"/>
                <w:color w:val="auto"/>
                <w:sz w:val="24"/>
                <w:szCs w:val="24"/>
              </w:rPr>
              <w:t>分。（提供项目合同和发票复印件，原件备查）。</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7" w:type="dxa"/>
            <w:vMerge w:val="restart"/>
            <w:vAlign w:val="center"/>
          </w:tcPr>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p>
          <w:p>
            <w:pPr>
              <w:widowControl/>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技术分（</w:t>
            </w:r>
            <w:r>
              <w:rPr>
                <w:rFonts w:hint="eastAsia" w:ascii="宋体" w:hAnsi="宋体" w:cs="宋体"/>
                <w:b/>
                <w:color w:val="auto"/>
                <w:kern w:val="0"/>
                <w:sz w:val="24"/>
                <w:szCs w:val="24"/>
                <w:lang w:val="en-US" w:eastAsia="zh-CN"/>
              </w:rPr>
              <w:t>60</w:t>
            </w:r>
            <w:r>
              <w:rPr>
                <w:rFonts w:hint="eastAsia" w:ascii="宋体" w:hAnsi="宋体" w:eastAsia="宋体" w:cs="宋体"/>
                <w:b/>
                <w:color w:val="auto"/>
                <w:sz w:val="24"/>
                <w:szCs w:val="24"/>
              </w:rPr>
              <w:t>分）</w:t>
            </w: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技术参数</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满足招标文件要求的</w:t>
            </w:r>
            <w:r>
              <w:rPr>
                <w:rFonts w:hint="eastAsia" w:ascii="宋体" w:hAnsi="宋体" w:eastAsia="宋体" w:cs="宋体"/>
                <w:color w:val="auto"/>
                <w:sz w:val="24"/>
                <w:szCs w:val="24"/>
                <w:lang w:eastAsia="zh-CN"/>
              </w:rPr>
              <w:t>得</w:t>
            </w: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分；一般性指标出现负偏离扣</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分</w:t>
            </w:r>
            <w:r>
              <w:rPr>
                <w:rFonts w:hint="eastAsia" w:ascii="宋体" w:hAnsi="宋体" w:cs="宋体"/>
                <w:color w:val="auto"/>
                <w:sz w:val="24"/>
                <w:szCs w:val="24"/>
                <w:lang w:val="en-US" w:eastAsia="zh-CN"/>
              </w:rPr>
              <w:t>/项</w:t>
            </w:r>
            <w:r>
              <w:rPr>
                <w:rFonts w:hint="eastAsia" w:ascii="宋体" w:hAnsi="宋体" w:eastAsia="宋体" w:cs="宋体"/>
                <w:color w:val="auto"/>
                <w:sz w:val="24"/>
                <w:szCs w:val="24"/>
              </w:rPr>
              <w:t>，</w:t>
            </w:r>
            <w:r>
              <w:rPr>
                <w:rFonts w:hint="eastAsia" w:ascii="宋体" w:hAnsi="宋体" w:cs="宋体"/>
                <w:color w:val="auto"/>
                <w:sz w:val="24"/>
                <w:szCs w:val="24"/>
                <w:lang w:eastAsia="zh-CN"/>
              </w:rPr>
              <w:t>最多扣</w:t>
            </w:r>
            <w:r>
              <w:rPr>
                <w:rFonts w:hint="eastAsia" w:ascii="宋体" w:hAnsi="宋体" w:cs="宋体"/>
                <w:color w:val="auto"/>
                <w:sz w:val="24"/>
                <w:szCs w:val="24"/>
                <w:lang w:val="en-US" w:eastAsia="zh-CN"/>
              </w:rPr>
              <w:t>14分</w:t>
            </w:r>
            <w:r>
              <w:rPr>
                <w:rFonts w:hint="eastAsia" w:ascii="宋体" w:hAnsi="宋体" w:eastAsia="宋体" w:cs="宋体"/>
                <w:color w:val="auto"/>
                <w:sz w:val="24"/>
                <w:szCs w:val="24"/>
              </w:rPr>
              <w:t>；打▲指标负偏离的按无效投标处理。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技术力量及设计</w:t>
            </w:r>
            <w:r>
              <w:rPr>
                <w:rFonts w:hint="eastAsia" w:ascii="宋体" w:hAnsi="宋体" w:cs="宋体"/>
                <w:color w:val="auto"/>
                <w:sz w:val="24"/>
                <w:szCs w:val="24"/>
                <w:lang w:eastAsia="zh-CN"/>
              </w:rPr>
              <w:t>、</w:t>
            </w:r>
            <w:r>
              <w:rPr>
                <w:rFonts w:hint="eastAsia" w:ascii="宋体" w:hAnsi="宋体" w:eastAsia="宋体" w:cs="宋体"/>
                <w:color w:val="auto"/>
                <w:sz w:val="24"/>
                <w:szCs w:val="24"/>
              </w:rPr>
              <w:t>生产能力</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投标人具有独立的项目设计团队及施工队伍，项目主要人员为本单位正式员工，并具有与本项目相关专业技术职称或技能证书得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分。（须提供最近3个月社保证明）</w:t>
            </w:r>
            <w:r>
              <w:rPr>
                <w:rFonts w:hint="eastAsia" w:ascii="宋体" w:hAnsi="宋体" w:eastAsia="宋体" w:cs="宋体"/>
                <w:color w:val="auto"/>
                <w:sz w:val="24"/>
                <w:szCs w:val="24"/>
                <w:lang w:eastAsia="zh-CN"/>
              </w:rPr>
              <w:t>。</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质保期特别承诺</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在满足招标文件质保年限要求的基础上，每延长质保期半年得</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分，最高得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智慧垃圾分类管理平台功能及演示</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投标人对招标文件中管理平台系统功能要求进行响应；并提供实际系统的演示文件（</w:t>
            </w:r>
            <w:r>
              <w:rPr>
                <w:rFonts w:hint="eastAsia" w:ascii="宋体" w:hAnsi="宋体" w:cs="宋体"/>
                <w:color w:val="auto"/>
                <w:sz w:val="24"/>
                <w:szCs w:val="24"/>
                <w:lang w:eastAsia="zh-CN"/>
              </w:rPr>
              <w:t>投标时提供</w:t>
            </w:r>
            <w:r>
              <w:rPr>
                <w:rFonts w:hint="eastAsia" w:ascii="宋体" w:hAnsi="宋体" w:eastAsia="宋体" w:cs="宋体"/>
                <w:color w:val="auto"/>
                <w:sz w:val="24"/>
                <w:szCs w:val="24"/>
              </w:rPr>
              <w:t>视频文件，U盘存储，播放时间控制10分钟内），重点展示关键功能需求。</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专家根据投标响应文件并结合系统演示，与招标文件中的功能要求进行匹配，作为评审依据。</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1、投标人对项目中管理平台系统6个功能需求进行响应，每个得0.5分，最高得3分。</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2、投标人须提供成熟的管理平台系统，并承诺合同签订后10天内完成系统的安装部署并投入运营，得3分，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cs="宋体"/>
                <w:color w:val="auto"/>
                <w:sz w:val="24"/>
                <w:szCs w:val="24"/>
                <w:lang w:eastAsia="zh-CN"/>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3、根据实际项目进行系统演示，演示内容以客户实际运营数据为准，且与本项目功能需求相符，体现功能的全面性、有效性、合理性得3分，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4、针对关键功能需求，演示展现明确，重点突出先进性、科学性、创新性得3分，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（注：设计页面演示和PPT演示等静态演示不得分）。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pStyle w:val="27"/>
              <w:adjustRightInd w:val="0"/>
              <w:snapToGrid w:val="0"/>
              <w:spacing w:before="156" w:after="156"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智慧垃圾分类投递亭技术实现方案</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投标人提供系统的技术实现方案，详细阐述技术线路、实施方案，对于关键技术和创新点着重阐述。1、技术实现方案体现适用性、可靠性、安全性得4分，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2、技术实现方案体现先进性、科学性、创新性得4分，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运营服务方案</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1、投标人的运营实施计划、方法及目标明确，与项目需求相符；针对项目投入的技术及运营团队力量合理，运营组织责任分工与管理方法科学，得3分，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2、投标人的运营服务内容全面完整,方案思路具有创新性、示范性、推广性得3分，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7" w:type="dxa"/>
            <w:vMerge w:val="continue"/>
            <w:vAlign w:val="center"/>
          </w:tcPr>
          <w:p>
            <w:pPr>
              <w:widowControl/>
              <w:spacing w:line="360" w:lineRule="auto"/>
              <w:rPr>
                <w:rFonts w:hint="eastAsia" w:ascii="宋体" w:hAnsi="宋体" w:eastAsia="宋体" w:cs="宋体"/>
                <w:b/>
                <w:color w:val="auto"/>
                <w:kern w:val="0"/>
                <w:sz w:val="24"/>
                <w:szCs w:val="24"/>
              </w:rPr>
            </w:pP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cs="宋体" w:asciiTheme="minorEastAsia" w:hAnsiTheme="minorEastAsia" w:eastAsiaTheme="minorEastAsia"/>
                <w:sz w:val="24"/>
              </w:rPr>
              <w:t>平台运营对接能力</w:t>
            </w:r>
          </w:p>
        </w:tc>
        <w:tc>
          <w:tcPr>
            <w:tcW w:w="6315" w:type="dxa"/>
            <w:vAlign w:val="center"/>
          </w:tcPr>
          <w:p>
            <w:pPr>
              <w:spacing w:line="360" w:lineRule="auto"/>
              <w:rPr>
                <w:rFonts w:hint="eastAsia" w:ascii="宋体" w:hAnsi="宋体" w:eastAsia="宋体" w:cs="宋体"/>
                <w:color w:val="auto"/>
                <w:sz w:val="24"/>
                <w:szCs w:val="24"/>
              </w:rPr>
            </w:pPr>
            <w:r>
              <w:rPr>
                <w:rFonts w:hint="eastAsia" w:cs="宋体" w:asciiTheme="minorEastAsia" w:hAnsiTheme="minorEastAsia" w:eastAsiaTheme="minorEastAsia"/>
                <w:sz w:val="24"/>
              </w:rPr>
              <w:t>鉴于江北街道智慧垃圾分类系统</w:t>
            </w:r>
            <w:r>
              <w:rPr>
                <w:rFonts w:hint="eastAsia" w:cs="宋体" w:asciiTheme="minorEastAsia" w:hAnsiTheme="minorEastAsia" w:eastAsiaTheme="minorEastAsia"/>
                <w:sz w:val="24"/>
                <w:lang w:val="en-US" w:eastAsia="zh-CN"/>
              </w:rPr>
              <w:t>1、2期</w:t>
            </w:r>
            <w:r>
              <w:rPr>
                <w:rFonts w:hint="eastAsia" w:cs="宋体" w:asciiTheme="minorEastAsia" w:hAnsiTheme="minorEastAsia" w:eastAsiaTheme="minorEastAsia"/>
                <w:sz w:val="24"/>
              </w:rPr>
              <w:t>项目已经实施，要求投标人具备智慧垃圾分类系统平台</w:t>
            </w:r>
            <w:r>
              <w:rPr>
                <w:rFonts w:hint="eastAsia" w:cs="宋体" w:asciiTheme="minorEastAsia" w:hAnsiTheme="minorEastAsia" w:eastAsiaTheme="minorEastAsia"/>
                <w:sz w:val="24"/>
                <w:lang w:eastAsia="zh-CN"/>
              </w:rPr>
              <w:t>运营能力，并具备与东阳市级</w:t>
            </w:r>
            <w:r>
              <w:rPr>
                <w:rFonts w:hint="eastAsia" w:cs="宋体" w:asciiTheme="minorEastAsia" w:hAnsiTheme="minorEastAsia" w:eastAsiaTheme="minorEastAsia"/>
                <w:sz w:val="24"/>
              </w:rPr>
              <w:t>智慧垃圾分类系统运营</w:t>
            </w:r>
            <w:r>
              <w:rPr>
                <w:rFonts w:hint="eastAsia" w:cs="宋体" w:asciiTheme="minorEastAsia" w:hAnsiTheme="minorEastAsia" w:eastAsiaTheme="minorEastAsia"/>
                <w:sz w:val="24"/>
                <w:lang w:eastAsia="zh-CN"/>
              </w:rPr>
              <w:t>平台</w:t>
            </w:r>
            <w:r>
              <w:rPr>
                <w:rFonts w:hint="eastAsia" w:cs="宋体" w:asciiTheme="minorEastAsia" w:hAnsiTheme="minorEastAsia" w:eastAsiaTheme="minorEastAsia"/>
                <w:sz w:val="24"/>
              </w:rPr>
              <w:t>的无缝对接能力（注：投标人须提供运营系统</w:t>
            </w:r>
            <w:r>
              <w:rPr>
                <w:rFonts w:hint="eastAsia" w:cs="宋体" w:asciiTheme="minorEastAsia" w:hAnsiTheme="minorEastAsia" w:eastAsiaTheme="minorEastAsia"/>
                <w:sz w:val="24"/>
                <w:lang w:eastAsia="zh-CN"/>
              </w:rPr>
              <w:t>平台</w:t>
            </w:r>
            <w:r>
              <w:rPr>
                <w:rFonts w:hint="eastAsia" w:cs="宋体" w:asciiTheme="minorEastAsia" w:hAnsiTheme="minorEastAsia" w:eastAsiaTheme="minorEastAsia"/>
                <w:sz w:val="24"/>
              </w:rPr>
              <w:t>与</w:t>
            </w:r>
            <w:r>
              <w:rPr>
                <w:rFonts w:hint="eastAsia" w:cs="宋体" w:asciiTheme="minorEastAsia" w:hAnsiTheme="minorEastAsia" w:eastAsiaTheme="minorEastAsia"/>
                <w:sz w:val="24"/>
                <w:lang w:eastAsia="zh-CN"/>
              </w:rPr>
              <w:t>东阳市级</w:t>
            </w:r>
            <w:r>
              <w:rPr>
                <w:rFonts w:hint="eastAsia" w:cs="宋体" w:asciiTheme="minorEastAsia" w:hAnsiTheme="minorEastAsia" w:eastAsiaTheme="minorEastAsia"/>
                <w:sz w:val="24"/>
              </w:rPr>
              <w:t>运营</w:t>
            </w:r>
            <w:r>
              <w:rPr>
                <w:rFonts w:hint="eastAsia" w:cs="宋体" w:asciiTheme="minorEastAsia" w:hAnsiTheme="minorEastAsia" w:eastAsiaTheme="minorEastAsia"/>
                <w:sz w:val="24"/>
                <w:lang w:eastAsia="zh-CN"/>
              </w:rPr>
              <w:t>平台</w:t>
            </w:r>
            <w:r>
              <w:rPr>
                <w:rFonts w:hint="eastAsia" w:cs="宋体" w:asciiTheme="minorEastAsia" w:hAnsiTheme="minorEastAsia" w:eastAsiaTheme="minorEastAsia"/>
                <w:sz w:val="24"/>
              </w:rPr>
              <w:t>的无缝对接方案，方案科学合理、有效可行、可操作性强，并提供</w:t>
            </w:r>
            <w:r>
              <w:rPr>
                <w:rFonts w:hint="eastAsia" w:cs="宋体" w:asciiTheme="minorEastAsia" w:hAnsiTheme="minorEastAsia" w:eastAsiaTheme="minorEastAsia"/>
                <w:sz w:val="24"/>
                <w:lang w:eastAsia="zh-CN"/>
              </w:rPr>
              <w:t>相关</w:t>
            </w:r>
            <w:r>
              <w:rPr>
                <w:rFonts w:hint="eastAsia" w:cs="宋体" w:asciiTheme="minorEastAsia" w:hAnsiTheme="minorEastAsia" w:eastAsiaTheme="minorEastAsia"/>
                <w:sz w:val="24"/>
              </w:rPr>
              <w:t>证明材料）得5分</w:t>
            </w:r>
            <w:r>
              <w:rPr>
                <w:rFonts w:hint="eastAsia" w:cs="宋体" w:asciiTheme="minorEastAsia" w:hAnsiTheme="minorEastAsia" w:eastAsiaTheme="minorEastAsia"/>
                <w:sz w:val="24"/>
                <w:lang w:eastAsia="zh-CN"/>
              </w:rPr>
              <w:t>，</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z w:val="24"/>
                <w:szCs w:val="24"/>
              </w:rPr>
            </w:pPr>
            <w:r>
              <w:rPr>
                <w:rFonts w:cs="宋体" w:asciiTheme="minorEastAsia" w:hAnsiTheme="minorEastAsia" w:eastAsiaTheme="minorEastAsia"/>
                <w:sz w:val="24"/>
              </w:rPr>
              <w:t>5</w:t>
            </w:r>
            <w:r>
              <w:rPr>
                <w:rFonts w:hint="eastAsia" w:cs="宋体" w:asciiTheme="minorEastAsia" w:hAnsiTheme="minorEastAsia" w:eastAsiaTheme="minorEastAsia"/>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57" w:type="dxa"/>
            <w:vMerge w:val="continue"/>
            <w:vAlign w:val="center"/>
          </w:tcPr>
          <w:p>
            <w:pPr>
              <w:widowControl/>
              <w:spacing w:line="360" w:lineRule="auto"/>
              <w:jc w:val="center"/>
              <w:rPr>
                <w:rFonts w:hint="eastAsia" w:ascii="宋体" w:hAnsi="宋体" w:eastAsia="宋体" w:cs="宋体"/>
                <w:b/>
                <w:color w:val="auto"/>
                <w:kern w:val="0"/>
                <w:sz w:val="24"/>
                <w:szCs w:val="24"/>
              </w:rPr>
            </w:pPr>
          </w:p>
        </w:tc>
        <w:tc>
          <w:tcPr>
            <w:tcW w:w="1230" w:type="dxa"/>
            <w:vAlign w:val="center"/>
          </w:tcPr>
          <w:p>
            <w:pPr>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规章制度、考核、培训体系</w:t>
            </w:r>
          </w:p>
        </w:tc>
        <w:tc>
          <w:tcPr>
            <w:tcW w:w="6315" w:type="dxa"/>
            <w:vAlign w:val="center"/>
          </w:tcPr>
          <w:p>
            <w:pPr>
              <w:pStyle w:val="27"/>
              <w:snapToGrid w:val="0"/>
              <w:spacing w:beforeLines="0" w:afterLines="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投标人具备健全的相关规章制度、考核办法、培训体系。具有明确的管理流程规范、运营汇报机制，建立运营服务保障应急预案，得</w:t>
            </w:r>
            <w:r>
              <w:rPr>
                <w:rFonts w:hint="eastAsia" w:hAnsi="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cs="宋体"/>
                <w:color w:val="auto"/>
                <w:sz w:val="24"/>
                <w:szCs w:val="24"/>
                <w:lang w:eastAsia="zh-CN"/>
              </w:rPr>
              <w:t>此项最高得</w:t>
            </w:r>
            <w:r>
              <w:rPr>
                <w:rFonts w:hint="eastAsia" w:hAnsi="宋体" w:cs="宋体"/>
                <w:color w:val="auto"/>
                <w:sz w:val="24"/>
                <w:szCs w:val="24"/>
                <w:lang w:val="en-US" w:eastAsia="zh-CN"/>
              </w:rPr>
              <w:t>2</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pacing w:val="3"/>
                <w:sz w:val="24"/>
                <w:szCs w:val="24"/>
              </w:rPr>
            </w:pPr>
            <w:r>
              <w:rPr>
                <w:rFonts w:hint="eastAsia" w:ascii="宋体" w:hAnsi="宋体" w:cs="宋体"/>
                <w:color w:val="auto"/>
                <w:spacing w:val="3"/>
                <w:sz w:val="24"/>
                <w:szCs w:val="24"/>
                <w:lang w:val="en-US" w:eastAsia="zh-CN"/>
              </w:rPr>
              <w:t>2</w:t>
            </w:r>
            <w:r>
              <w:rPr>
                <w:rFonts w:hint="eastAsia" w:ascii="宋体" w:hAnsi="宋体" w:eastAsia="宋体" w:cs="宋体"/>
                <w:color w:val="auto"/>
                <w:spacing w:val="3"/>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757" w:type="dxa"/>
            <w:vMerge w:val="continue"/>
            <w:vAlign w:val="center"/>
          </w:tcPr>
          <w:p>
            <w:pPr>
              <w:widowControl/>
              <w:spacing w:line="360" w:lineRule="auto"/>
              <w:jc w:val="center"/>
              <w:rPr>
                <w:rFonts w:hint="eastAsia" w:ascii="宋体" w:hAnsi="宋体" w:eastAsia="宋体" w:cs="宋体"/>
                <w:b/>
                <w:color w:val="auto"/>
                <w:kern w:val="0"/>
                <w:sz w:val="24"/>
                <w:szCs w:val="24"/>
              </w:rPr>
            </w:pPr>
          </w:p>
        </w:tc>
        <w:tc>
          <w:tcPr>
            <w:tcW w:w="1230" w:type="dxa"/>
            <w:vAlign w:val="center"/>
          </w:tcPr>
          <w:p>
            <w:pPr>
              <w:pStyle w:val="27"/>
              <w:adjustRightInd w:val="0"/>
              <w:snapToGrid w:val="0"/>
              <w:spacing w:before="156" w:after="156"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售后服务方案</w:t>
            </w:r>
          </w:p>
        </w:tc>
        <w:tc>
          <w:tcPr>
            <w:tcW w:w="6315" w:type="dxa"/>
            <w:vAlign w:val="center"/>
          </w:tcPr>
          <w:p>
            <w:pPr>
              <w:pStyle w:val="43"/>
              <w:tabs>
                <w:tab w:val="left" w:pos="0"/>
              </w:tabs>
              <w:spacing w:line="360" w:lineRule="auto"/>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投标人售后服务方案、服务方式、故障响应修复时间等方面能充分满足采购人的需求得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cs="宋体"/>
                <w:color w:val="auto"/>
                <w:sz w:val="24"/>
                <w:szCs w:val="24"/>
                <w:lang w:eastAsia="zh-CN"/>
              </w:rPr>
              <w:t>此项最高得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pacing w:val="3"/>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57" w:type="dxa"/>
            <w:vMerge w:val="continue"/>
            <w:vAlign w:val="center"/>
          </w:tcPr>
          <w:p>
            <w:pPr>
              <w:widowControl/>
              <w:spacing w:line="360" w:lineRule="auto"/>
              <w:jc w:val="center"/>
              <w:rPr>
                <w:rFonts w:hint="eastAsia" w:ascii="宋体" w:hAnsi="宋体" w:eastAsia="宋体" w:cs="宋体"/>
                <w:b/>
                <w:color w:val="auto"/>
                <w:kern w:val="0"/>
                <w:sz w:val="24"/>
                <w:szCs w:val="24"/>
              </w:rPr>
            </w:pPr>
          </w:p>
        </w:tc>
        <w:tc>
          <w:tcPr>
            <w:tcW w:w="1230"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低价值可回物解决方案</w:t>
            </w:r>
          </w:p>
        </w:tc>
        <w:tc>
          <w:tcPr>
            <w:tcW w:w="6315" w:type="dxa"/>
            <w:vAlign w:val="center"/>
          </w:tcPr>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投标人针对</w:t>
            </w:r>
            <w:r>
              <w:rPr>
                <w:rFonts w:hint="eastAsia" w:ascii="宋体" w:hAnsi="宋体" w:eastAsia="宋体" w:cs="宋体"/>
                <w:color w:val="auto"/>
                <w:sz w:val="24"/>
                <w:szCs w:val="24"/>
                <w:lang w:val="en-US" w:eastAsia="zh-CN"/>
              </w:rPr>
              <w:t>中</w:t>
            </w:r>
            <w:r>
              <w:rPr>
                <w:rFonts w:hint="eastAsia" w:ascii="宋体" w:hAnsi="宋体" w:eastAsia="宋体" w:cs="宋体"/>
                <w:color w:val="auto"/>
                <w:sz w:val="24"/>
                <w:szCs w:val="24"/>
              </w:rPr>
              <w:t>低价值可回物提供有效解决方案，方案科学合理得2分，其它由专家酌情评分。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757" w:type="dxa"/>
            <w:vMerge w:val="continue"/>
            <w:vAlign w:val="center"/>
          </w:tcPr>
          <w:p>
            <w:pPr>
              <w:widowControl/>
              <w:spacing w:line="360" w:lineRule="auto"/>
              <w:jc w:val="center"/>
              <w:rPr>
                <w:rFonts w:hint="eastAsia" w:ascii="宋体" w:hAnsi="宋体" w:eastAsia="宋体" w:cs="宋体"/>
                <w:color w:val="auto"/>
                <w:kern w:val="0"/>
                <w:sz w:val="24"/>
                <w:szCs w:val="24"/>
              </w:rPr>
            </w:pPr>
          </w:p>
        </w:tc>
        <w:tc>
          <w:tcPr>
            <w:tcW w:w="1230" w:type="dxa"/>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环保节能</w:t>
            </w:r>
          </w:p>
        </w:tc>
        <w:tc>
          <w:tcPr>
            <w:tcW w:w="6315" w:type="dxa"/>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所投产品符合节能产品或环保产品标准的各得</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分（提供财政部颁发的品目清单或认证证书)，最高得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tc>
        <w:tc>
          <w:tcPr>
            <w:tcW w:w="739" w:type="dxa"/>
            <w:vAlign w:val="center"/>
          </w:tcPr>
          <w:p>
            <w:pPr>
              <w:spacing w:line="360" w:lineRule="auto"/>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分</w:t>
            </w:r>
          </w:p>
        </w:tc>
      </w:tr>
    </w:tbl>
    <w:p>
      <w:pPr>
        <w:pStyle w:val="27"/>
        <w:keepNext w:val="0"/>
        <w:keepLines w:val="0"/>
        <w:pageBreakBefore/>
        <w:widowControl w:val="0"/>
        <w:kinsoku/>
        <w:wordWrap/>
        <w:overflowPunct/>
        <w:topLinePunct w:val="0"/>
        <w:autoSpaceDE/>
        <w:autoSpaceDN/>
        <w:bidi w:val="0"/>
        <w:adjustRightInd/>
        <w:snapToGrid w:val="0"/>
        <w:spacing w:before="156" w:after="156" w:line="360" w:lineRule="auto"/>
        <w:jc w:val="center"/>
        <w:textAlignment w:val="auto"/>
        <w:outlineLvl w:val="0"/>
        <w:rPr>
          <w:rFonts w:hint="eastAsia" w:ascii="宋体" w:hAnsi="宋体" w:eastAsia="宋体" w:cs="宋体"/>
          <w:b/>
          <w:bCs/>
          <w:color w:val="0D0D0D"/>
          <w:sz w:val="32"/>
          <w:szCs w:val="32"/>
        </w:rPr>
      </w:pPr>
      <w:bookmarkStart w:id="0" w:name="_Toc414870805"/>
      <w:r>
        <w:rPr>
          <w:rFonts w:hint="eastAsia" w:ascii="宋体" w:hAnsi="宋体" w:eastAsia="宋体" w:cs="宋体"/>
          <w:b/>
          <w:bCs/>
          <w:color w:val="0D0D0D"/>
          <w:sz w:val="32"/>
          <w:szCs w:val="32"/>
        </w:rPr>
        <w:t>第五章    东阳市政府采购合同主要条款</w:t>
      </w:r>
      <w:bookmarkEnd w:id="0"/>
    </w:p>
    <w:p>
      <w:pPr>
        <w:snapToGrid w:val="0"/>
        <w:spacing w:line="360" w:lineRule="auto"/>
        <w:jc w:val="center"/>
        <w:outlineLvl w:val="0"/>
        <w:rPr>
          <w:rFonts w:ascii="宋体"/>
          <w:b/>
          <w:bCs/>
          <w:sz w:val="30"/>
          <w:szCs w:val="30"/>
        </w:rPr>
      </w:pPr>
      <w:bookmarkStart w:id="1" w:name="_Toc414870806"/>
      <w:r>
        <w:rPr>
          <w:rFonts w:hint="eastAsia" w:ascii="宋体" w:cs="宋体"/>
          <w:b/>
          <w:bCs/>
          <w:sz w:val="30"/>
          <w:szCs w:val="30"/>
        </w:rPr>
        <w:t>东阳市政府采购合同（样本）</w:t>
      </w:r>
      <w:bookmarkEnd w:id="1"/>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b/>
          <w:bCs/>
          <w:sz w:val="24"/>
          <w:lang w:eastAsia="zh-CN"/>
        </w:rPr>
      </w:pPr>
      <w:r>
        <w:rPr>
          <w:rFonts w:hint="eastAsia" w:ascii="宋体" w:hAnsi="宋体"/>
          <w:sz w:val="24"/>
        </w:rPr>
        <w:t>项目名称：</w:t>
      </w:r>
      <w:r>
        <w:rPr>
          <w:rFonts w:hint="eastAsia" w:ascii="宋体" w:hAnsi="宋体" w:cs="Arial"/>
          <w:sz w:val="24"/>
          <w:u w:val="single"/>
          <w:lang w:eastAsia="zh-CN"/>
        </w:rPr>
        <w:t>江北街道智慧垃圾分类系统建设及运营服务（三期）</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eastAsia" w:hAnsi="宋体" w:eastAsia="宋体"/>
          <w:lang w:eastAsia="zh-CN"/>
        </w:rPr>
      </w:pPr>
      <w:r>
        <w:rPr>
          <w:rFonts w:hint="eastAsia" w:hAnsi="宋体"/>
        </w:rPr>
        <w:t>项目编号：</w:t>
      </w:r>
      <w:r>
        <w:rPr>
          <w:rFonts w:hint="eastAsia" w:hAnsi="宋体"/>
          <w:lang w:eastAsia="zh-CN"/>
        </w:rPr>
        <w:t>JCZFCG2022-Z29-A264</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Ansi="宋体"/>
          <w:u w:val="single"/>
        </w:rPr>
      </w:pPr>
      <w:r>
        <w:rPr>
          <w:rFonts w:hint="eastAsia" w:hAnsi="宋体"/>
        </w:rPr>
        <w:t>甲方（采购方）：</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Ansi="宋体"/>
        </w:rPr>
      </w:pPr>
      <w:r>
        <w:rPr>
          <w:rFonts w:hint="eastAsia" w:hAnsi="宋体"/>
        </w:rPr>
        <w:t>乙方（供货单位）：</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Ansi="宋体"/>
        </w:rPr>
      </w:pPr>
      <w:r>
        <w:rPr>
          <w:rFonts w:hint="eastAsia" w:hAnsi="宋体"/>
        </w:rPr>
        <w:t>根据</w:t>
      </w:r>
      <w:r>
        <w:rPr>
          <w:rFonts w:hAnsi="宋体"/>
          <w:u w:val="single"/>
        </w:rPr>
        <w:t xml:space="preserve"> 20</w:t>
      </w:r>
      <w:r>
        <w:rPr>
          <w:rFonts w:hint="eastAsia" w:hAnsi="宋体"/>
          <w:u w:val="single"/>
        </w:rPr>
        <w:t>2</w:t>
      </w:r>
      <w:r>
        <w:rPr>
          <w:rFonts w:hint="eastAsia" w:hAnsi="宋体"/>
          <w:u w:val="single"/>
          <w:lang w:val="en-US" w:eastAsia="zh-CN"/>
        </w:rPr>
        <w:t>2</w:t>
      </w:r>
      <w:r>
        <w:rPr>
          <w:rFonts w:hint="eastAsia" w:hAnsi="宋体"/>
          <w:u w:val="single"/>
        </w:rPr>
        <w:t>年</w:t>
      </w:r>
      <w:r>
        <w:rPr>
          <w:rFonts w:hint="eastAsia" w:hAnsi="宋体"/>
          <w:u w:val="single"/>
          <w:lang w:val="en-US" w:eastAsia="zh-CN"/>
        </w:rPr>
        <w:t xml:space="preserve">8 </w:t>
      </w:r>
      <w:r>
        <w:rPr>
          <w:rFonts w:hint="eastAsia" w:hAnsi="宋体"/>
          <w:u w:val="single"/>
        </w:rPr>
        <w:t>月</w:t>
      </w:r>
      <w:r>
        <w:rPr>
          <w:rFonts w:hint="eastAsia" w:hAnsi="宋体"/>
          <w:u w:val="single"/>
          <w:lang w:val="en-US" w:eastAsia="zh-CN"/>
        </w:rPr>
        <w:t>25</w:t>
      </w:r>
      <w:r>
        <w:rPr>
          <w:rFonts w:hint="eastAsia" w:hAnsi="宋体"/>
          <w:u w:val="single"/>
        </w:rPr>
        <w:t>日</w:t>
      </w:r>
      <w:r>
        <w:rPr>
          <w:rFonts w:hint="eastAsia" w:hAnsi="宋体"/>
        </w:rPr>
        <w:t>金华市金诚招投标代理有限公司关于</w:t>
      </w:r>
      <w:r>
        <w:rPr>
          <w:rFonts w:hint="eastAsia" w:hAnsi="宋体" w:cs="Arial"/>
          <w:u w:val="single"/>
          <w:lang w:eastAsia="zh-CN"/>
        </w:rPr>
        <w:t>江北街道智慧垃圾分类系统建设及运营服务（三期）</w:t>
      </w:r>
      <w:r>
        <w:rPr>
          <w:rFonts w:hint="eastAsia" w:hAnsi="宋体" w:cs="Arial"/>
          <w:u w:val="single"/>
        </w:rPr>
        <w:t>项目</w:t>
      </w:r>
      <w:r>
        <w:rPr>
          <w:rFonts w:hint="eastAsia" w:hAnsi="宋体"/>
        </w:rPr>
        <w:t>公开招标的结果，确定</w:t>
      </w:r>
      <w:r>
        <w:rPr>
          <w:rFonts w:hint="eastAsia" w:hAnsi="宋体"/>
          <w:u w:val="single"/>
          <w:lang w:val="en-US" w:eastAsia="zh-CN"/>
        </w:rPr>
        <w:t xml:space="preserve">            </w:t>
      </w:r>
      <w:r>
        <w:rPr>
          <w:rFonts w:hint="eastAsia" w:hAnsi="宋体"/>
        </w:rPr>
        <w:t>为本</w:t>
      </w:r>
      <w:r>
        <w:rPr>
          <w:rFonts w:hint="eastAsia" w:hAnsi="宋体" w:cs="Arial"/>
        </w:rPr>
        <w:t>项目</w:t>
      </w:r>
      <w:r>
        <w:rPr>
          <w:rFonts w:hint="eastAsia" w:hAnsi="宋体"/>
        </w:rPr>
        <w:t>的供应单位。并经双方进一步协商一致，签订本合同，共同执行。</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Ansi="宋体" w:cs="宋体"/>
          <w:b/>
          <w:bCs/>
        </w:rPr>
      </w:pPr>
      <w:r>
        <w:rPr>
          <w:rFonts w:hint="eastAsia" w:hAnsi="宋体"/>
          <w:b/>
          <w:bCs/>
        </w:rPr>
        <w:t>一、</w:t>
      </w:r>
      <w:r>
        <w:rPr>
          <w:rFonts w:hint="eastAsia" w:hAnsi="宋体" w:cs="宋体"/>
          <w:b/>
          <w:bCs/>
        </w:rPr>
        <w:t>合同文件：招标文件、投标文件、技术澄清及询标答复的所有内容是构成合同不可分割的部分，与本合同具有同等法律效力，</w:t>
      </w:r>
      <w:r>
        <w:rPr>
          <w:rFonts w:hint="eastAsia" w:hAnsi="宋体"/>
          <w:b/>
          <w:bCs/>
          <w:lang w:eastAsia="zh-CN"/>
        </w:rPr>
        <w:t>如</w:t>
      </w:r>
      <w:r>
        <w:rPr>
          <w:rFonts w:hint="eastAsia" w:hAnsi="宋体"/>
          <w:b/>
          <w:bCs/>
        </w:rPr>
        <w:t>文件</w:t>
      </w:r>
      <w:r>
        <w:rPr>
          <w:rFonts w:hint="eastAsia" w:hAnsi="宋体"/>
          <w:b/>
          <w:bCs/>
          <w:lang w:eastAsia="zh-CN"/>
        </w:rPr>
        <w:t>各项条款</w:t>
      </w:r>
      <w:r>
        <w:rPr>
          <w:rFonts w:hint="eastAsia" w:hAnsi="宋体"/>
          <w:b/>
          <w:bCs/>
        </w:rPr>
        <w:t>有相互矛盾之处，以有利于采购人的方式解释。</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Ansi="宋体" w:cs="宋体"/>
        </w:rPr>
      </w:pPr>
      <w:r>
        <w:rPr>
          <w:rFonts w:hint="eastAsia" w:hAnsi="宋体" w:cs="宋体"/>
          <w:b/>
          <w:bCs/>
        </w:rPr>
        <w:t>二、</w:t>
      </w:r>
      <w:r>
        <w:rPr>
          <w:rFonts w:hint="eastAsia" w:ascii="宋体" w:hAnsi="宋体" w:cs="宋体"/>
          <w:b/>
          <w:bCs/>
          <w:sz w:val="24"/>
          <w:szCs w:val="20"/>
        </w:rPr>
        <w:t>规格型号、技术参数及合同价款明细</w:t>
      </w:r>
    </w:p>
    <w:tbl>
      <w:tblPr>
        <w:tblStyle w:val="46"/>
        <w:tblW w:w="89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0"/>
        <w:gridCol w:w="1417"/>
        <w:gridCol w:w="709"/>
        <w:gridCol w:w="709"/>
        <w:gridCol w:w="1701"/>
        <w:gridCol w:w="1987"/>
        <w:gridCol w:w="851"/>
        <w:gridCol w:w="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序号</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货物名称</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数量</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产地</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品牌及厂家</w:t>
            </w:r>
          </w:p>
        </w:tc>
        <w:tc>
          <w:tcPr>
            <w:tcW w:w="19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规格型号</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单价</w:t>
            </w:r>
          </w:p>
        </w:tc>
        <w:tc>
          <w:tcPr>
            <w:tcW w:w="84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b/>
                <w:color w:val="0D0D0D"/>
                <w:sz w:val="24"/>
              </w:rPr>
            </w:pPr>
            <w:r>
              <w:rPr>
                <w:rFonts w:hint="eastAsia" w:ascii="宋体" w:hAnsi="宋体"/>
                <w:b/>
                <w:color w:val="0D0D0D"/>
                <w:sz w:val="24"/>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olor w:val="0D0D0D"/>
                <w:sz w:val="24"/>
              </w:rPr>
            </w:pPr>
            <w:r>
              <w:rPr>
                <w:rFonts w:hint="eastAsia" w:ascii="宋体" w:hAnsi="宋体"/>
                <w:color w:val="0D0D0D"/>
                <w:sz w:val="24"/>
              </w:rPr>
              <w:t>1</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98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4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olor w:val="0D0D0D"/>
                <w:sz w:val="24"/>
              </w:rPr>
            </w:pPr>
            <w:r>
              <w:rPr>
                <w:rFonts w:hint="eastAsia" w:ascii="宋体" w:hAnsi="宋体"/>
                <w:color w:val="0D0D0D"/>
                <w:sz w:val="24"/>
              </w:rPr>
              <w:t>2</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98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4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olor w:val="0D0D0D"/>
                <w:sz w:val="24"/>
              </w:rPr>
            </w:pPr>
            <w:r>
              <w:rPr>
                <w:rFonts w:hint="eastAsia" w:ascii="宋体" w:hAnsi="宋体"/>
                <w:color w:val="0D0D0D"/>
                <w:sz w:val="24"/>
              </w:rPr>
              <w:t>3</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98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4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olor w:val="0D0D0D"/>
                <w:sz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1987"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c>
          <w:tcPr>
            <w:tcW w:w="84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8979" w:type="dxa"/>
            <w:gridSpan w:val="8"/>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宋体" w:hAnsi="宋体"/>
                <w:color w:val="0D0D0D"/>
                <w:sz w:val="24"/>
              </w:rPr>
            </w:pPr>
            <w:r>
              <w:rPr>
                <w:rFonts w:hint="eastAsia" w:ascii="宋体" w:hAnsi="宋体"/>
                <w:color w:val="0D0D0D"/>
                <w:sz w:val="24"/>
              </w:rPr>
              <w:t>合计金额大写（人民币）</w:t>
            </w:r>
            <w:r>
              <w:rPr>
                <w:rFonts w:ascii="宋体" w:hAnsi="宋体"/>
                <w:color w:val="0D0D0D"/>
                <w:sz w:val="24"/>
              </w:rPr>
              <w:t>整</w:t>
            </w:r>
            <w:r>
              <w:rPr>
                <w:rFonts w:hint="eastAsia" w:ascii="宋体" w:hAnsi="宋体"/>
                <w:color w:val="0D0D0D"/>
                <w:sz w:val="24"/>
              </w:rPr>
              <w:t>。￥元</w:t>
            </w:r>
          </w:p>
        </w:tc>
      </w:tr>
    </w:tbl>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三、合同金额</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pPr>
      <w:r>
        <w:rPr>
          <w:rFonts w:hint="eastAsia" w:hAnsi="宋体" w:cs="宋体"/>
        </w:rPr>
        <w:t>本项目合同价款</w:t>
      </w:r>
      <w:r>
        <w:rPr>
          <w:rFonts w:hint="eastAsia" w:hAnsi="宋体"/>
          <w:bCs/>
        </w:rPr>
        <w:t>人民币：</w:t>
      </w:r>
      <w:r>
        <w:rPr>
          <w:rFonts w:hint="eastAsia" w:hAnsi="宋体"/>
          <w:bCs/>
          <w:u w:val="single"/>
        </w:rPr>
        <w:t xml:space="preserve">          整。</w:t>
      </w:r>
      <w:r>
        <w:rPr>
          <w:rFonts w:hint="eastAsia" w:hAnsi="宋体"/>
          <w:bCs/>
        </w:rPr>
        <w:t>¥：     元</w:t>
      </w:r>
      <w:r>
        <w:rPr>
          <w:rFonts w:hint="eastAsia" w:hAnsi="宋体" w:cs="宋体"/>
        </w:rPr>
        <w:t>。</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textAlignment w:val="auto"/>
        <w:rPr>
          <w:rFonts w:hAnsi="宋体" w:cs="宋体"/>
        </w:rPr>
      </w:pPr>
      <w:r>
        <w:rPr>
          <w:rFonts w:hint="eastAsia" w:hAnsi="宋体" w:cs="宋体"/>
          <w:b/>
          <w:bCs/>
        </w:rPr>
        <w:t xml:space="preserve">    四、设备质量要求及供货方对质量负责条件和期限：</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宋体" w:hAnsi="宋体" w:cs="宋体"/>
          <w:sz w:val="24"/>
        </w:rPr>
      </w:pPr>
      <w:r>
        <w:rPr>
          <w:rFonts w:hint="eastAsia" w:ascii="宋体" w:hAnsi="宋体" w:cs="宋体"/>
          <w:sz w:val="24"/>
        </w:rPr>
        <w:t>乙方提供的设备必须符合上述货物要求的规格型号、品牌和技术指标。同时乙方保证，采购人在使用本合同项下货物时，不受第三方提出的侵犯其专利权、商标权、著作权或其他知识产权的起诉。乙方对设备提供不少于</w:t>
      </w:r>
      <w:r>
        <w:rPr>
          <w:rFonts w:hint="eastAsia" w:ascii="宋体" w:hAnsi="宋体" w:cs="宋体"/>
          <w:sz w:val="24"/>
          <w:lang w:val="en-US" w:eastAsia="zh-CN"/>
        </w:rPr>
        <w:t xml:space="preserve">  </w:t>
      </w:r>
      <w:r>
        <w:rPr>
          <w:rFonts w:hint="eastAsia" w:ascii="宋体" w:hAnsi="宋体" w:cs="宋体"/>
          <w:sz w:val="24"/>
        </w:rPr>
        <w:t>年整机保修（原厂质保），30日内整机免费换货，</w:t>
      </w:r>
      <w:r>
        <w:rPr>
          <w:rFonts w:hint="eastAsia" w:ascii="宋体" w:hAnsi="宋体" w:cs="宋体"/>
          <w:sz w:val="24"/>
          <w:lang w:val="en-US" w:eastAsia="zh-CN"/>
        </w:rPr>
        <w:t xml:space="preserve">  </w:t>
      </w:r>
      <w:r>
        <w:rPr>
          <w:rFonts w:hint="eastAsia" w:ascii="宋体" w:hAnsi="宋体" w:cs="宋体"/>
          <w:sz w:val="24"/>
        </w:rPr>
        <w:t>年免费上门服务。（设备另有超过合同规定的按原规定执行），保修期内非因采购人的人为原因而出现质量问题的，由乙方负责包修、包换或者包退，并承担调换或退货的实际费用。乙方不能修理和不能调换，按违约处理。如因采购人使用不当造成故障，乙方负责包修、包换或者包退，费用双方另行协商。</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jc w:val="left"/>
        <w:textAlignment w:val="auto"/>
        <w:rPr>
          <w:rFonts w:hAnsi="宋体" w:cs="宋体"/>
        </w:rPr>
      </w:pPr>
      <w:r>
        <w:rPr>
          <w:rFonts w:hint="eastAsia" w:hAnsi="宋体" w:cs="宋体"/>
          <w:b/>
          <w:bCs/>
        </w:rPr>
        <w:t>五、交货预约期：</w:t>
      </w:r>
      <w:r>
        <w:rPr>
          <w:rFonts w:hint="eastAsia" w:hAnsi="宋体" w:cs="宋体"/>
        </w:rPr>
        <w:t>合同签订后  天内。如有变动，采购人根据项目进展情况，需提前交货的，则提前半个月通知乙方交货，乙方必须按采购人要求将货物送达指定地点。</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六、安装调试及技术服务：</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6.1合同所定货物乙方在生产前应向采购人确认规格型号参数,采购人有权变更上述货物的型号规格,价格变更参考原相同或类似的投标型号。</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20"/>
        <w:textAlignment w:val="auto"/>
        <w:rPr>
          <w:rFonts w:hAnsi="宋体" w:cs="宋体"/>
        </w:rPr>
      </w:pPr>
      <w:r>
        <w:rPr>
          <w:rFonts w:hint="eastAsia" w:hAnsi="宋体" w:cs="宋体"/>
        </w:rPr>
        <w:t>6.2乙方应随设备向使用单位提交产品使用说明书、产品合格证、保修卡及相关的配件和技术资料，以及免费为使用单位培训维修人员。</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七、质量保证：</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u w:val="double"/>
        </w:rPr>
      </w:pPr>
      <w:r>
        <w:rPr>
          <w:rFonts w:hint="eastAsia" w:hAnsi="宋体" w:cs="宋体"/>
        </w:rPr>
        <w:t>7.1乙方送货到采购人指定地点经验收合格后，才可进行安装。</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7.2乙方设备安装调试完毕,应在验收合格办理移交手续之日起为买方提供售后质量保证服务。</w:t>
      </w:r>
    </w:p>
    <w:p>
      <w:pPr>
        <w:keepNext w:val="0"/>
        <w:keepLines w:val="0"/>
        <w:pageBreakBefore w:val="0"/>
        <w:widowControl w:val="0"/>
        <w:kinsoku/>
        <w:wordWrap/>
        <w:overflowPunct/>
        <w:topLinePunct w:val="0"/>
        <w:autoSpaceDE/>
        <w:autoSpaceDN/>
        <w:bidi w:val="0"/>
        <w:adjustRightInd/>
        <w:snapToGrid/>
        <w:spacing w:line="360" w:lineRule="auto"/>
        <w:ind w:left="0" w:firstLine="528" w:firstLineChars="220"/>
        <w:textAlignment w:val="auto"/>
        <w:rPr>
          <w:rFonts w:ascii="宋体" w:hAnsi="宋体" w:cs="宋体"/>
          <w:sz w:val="24"/>
        </w:rPr>
      </w:pPr>
      <w:r>
        <w:rPr>
          <w:rFonts w:hint="eastAsia" w:ascii="宋体" w:hAnsi="宋体" w:cs="宋体"/>
          <w:sz w:val="24"/>
        </w:rPr>
        <w:t>7.3如发生故障, 采购人通知乙方,乙方在收到通知后应立即答复,并在4小时内到达甲方指定地点进行维修。</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八、付款方式：</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九、验收</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9.1验收标准按招标文件要求和乙方提供的设备验收标准、安全技术规范进行验收。</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9.2设备安装调试经自检合格后，由采购人、使用单位及相关部门负责验收。</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9.3如不符合验收的相关条款，视为不合格产品。</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b/>
          <w:bCs/>
        </w:rPr>
        <w:t>十、履约保证金</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b/>
        </w:rPr>
      </w:pPr>
      <w:r>
        <w:rPr>
          <w:rFonts w:hint="eastAsia" w:hAnsi="宋体"/>
        </w:rPr>
        <w:t>本项目履约保证金为</w:t>
      </w:r>
      <w:r>
        <w:rPr>
          <w:rFonts w:hint="eastAsia" w:hAnsi="宋体"/>
          <w:bCs/>
          <w:u w:val="single"/>
        </w:rPr>
        <w:t xml:space="preserve">       整</w:t>
      </w:r>
      <w:r>
        <w:rPr>
          <w:rFonts w:hint="eastAsia" w:hAnsi="宋体"/>
          <w:bCs/>
        </w:rPr>
        <w:t>。¥：元</w:t>
      </w:r>
      <w:r>
        <w:rPr>
          <w:rFonts w:hint="eastAsia" w:hAnsi="宋体"/>
        </w:rPr>
        <w:t>。乙方按要求签订合同后，履约保证金应入账</w:t>
      </w:r>
      <w:r>
        <w:rPr>
          <w:rFonts w:hint="eastAsia" w:hAnsi="宋体"/>
          <w:color w:val="000000"/>
        </w:rPr>
        <w:t>采购</w:t>
      </w:r>
      <w:r>
        <w:rPr>
          <w:rFonts w:hint="eastAsia" w:hAnsi="宋体"/>
        </w:rPr>
        <w:t>单位指定账户。在项目完成并经验收之日起7个工作日内退还。</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十一、违约责任：</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11.1采购人(使用单位)无正当理由拒收设备，拒付货款的，乙方将保留追究赔偿的权利。</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11.2甲方无正当理由延期支付货款超过三个月的，应支付按应付货款每天万分之四计算的延期违约金，但最高不超合同价款的2%。</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rPr>
      </w:pPr>
      <w:r>
        <w:rPr>
          <w:rFonts w:hint="eastAsia" w:hAnsi="宋体" w:cs="宋体"/>
        </w:rPr>
        <w:t>11.3乙方所交付的品种、型号、规格、数量、质量不符合合同规定标准的，采购人有权拒绝。采购人将罚没履约保证金，同时保留追究赔偿的权利。</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textAlignment w:val="auto"/>
        <w:rPr>
          <w:rFonts w:hAnsi="宋体" w:cs="宋体"/>
        </w:rPr>
      </w:pPr>
      <w:r>
        <w:rPr>
          <w:rFonts w:hint="eastAsia" w:hAnsi="宋体" w:cs="宋体"/>
        </w:rPr>
        <w:t xml:space="preserve">    11.4乙方未能及时交货或其他非采购人原因引起验收交付延迟的，由乙方支付每天伍仟元的违约金，按天累计，直至货到日为止。</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十二、甲乙双方的任何一方由于不可抗力的原因不能履行合同，应及时向对方通报不能履行或不能完全履行的理由，并在取得有关部门的证明后，可以全部或部分免除对方责任。</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十三、因设备的质量问题发生争议，由东阳市质量技术监督部门或其指定的技术单位进行质量鉴定，该鉴定结论是终局的。</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rPr>
      </w:pPr>
      <w:r>
        <w:rPr>
          <w:rFonts w:hint="eastAsia" w:hAnsi="宋体" w:cs="宋体"/>
          <w:b/>
          <w:bCs/>
        </w:rPr>
        <w:t>十四、本合同发生争议，双方协商解决，协商不成由东阳市人民法院受理。</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2" w:firstLineChars="200"/>
        <w:textAlignment w:val="auto"/>
        <w:rPr>
          <w:rFonts w:hAnsi="宋体" w:cs="宋体"/>
          <w:b/>
          <w:bCs/>
          <w:color w:val="000000"/>
        </w:rPr>
      </w:pPr>
      <w:r>
        <w:rPr>
          <w:rFonts w:hint="eastAsia" w:hAnsi="宋体" w:cs="宋体"/>
          <w:b/>
          <w:bCs/>
          <w:color w:val="000000"/>
        </w:rPr>
        <w:t>十五、合同生效</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color w:val="000000"/>
        </w:rPr>
      </w:pPr>
      <w:r>
        <w:rPr>
          <w:rFonts w:hint="eastAsia" w:hAnsi="宋体" w:cs="宋体"/>
          <w:color w:val="000000"/>
        </w:rPr>
        <w:t>1.合同经双方法定代表人或授权代表签字并加盖单位公章</w:t>
      </w:r>
      <w:r>
        <w:rPr>
          <w:rFonts w:hAnsi="宋体"/>
        </w:rPr>
        <w:t>后</w:t>
      </w:r>
      <w:r>
        <w:rPr>
          <w:rFonts w:hint="eastAsia" w:hAnsi="宋体"/>
        </w:rPr>
        <w:t>，报经东阳市采购办备案</w:t>
      </w:r>
      <w:r>
        <w:rPr>
          <w:rFonts w:hAnsi="宋体"/>
        </w:rPr>
        <w:t>生效</w:t>
      </w:r>
      <w:r>
        <w:rPr>
          <w:rFonts w:hint="eastAsia" w:hAnsi="宋体" w:cs="宋体"/>
          <w:color w:val="000000"/>
        </w:rPr>
        <w:t>。</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color w:val="000000"/>
        </w:rPr>
      </w:pPr>
      <w:r>
        <w:rPr>
          <w:rFonts w:hint="eastAsia" w:hAnsi="宋体" w:cs="宋体"/>
          <w:color w:val="000000"/>
        </w:rPr>
        <w:t>2.合同执行中涉及采购资金和采购内容修改或补充的，须经财政部门审批，并签书面补充协议报政府采购监督管理部门备案，方可作为主合同不可分割的一部分。</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color w:val="000000"/>
        </w:rPr>
      </w:pPr>
      <w:r>
        <w:rPr>
          <w:rFonts w:hint="eastAsia" w:hAnsi="宋体" w:cs="宋体"/>
          <w:color w:val="000000"/>
        </w:rPr>
        <w:t>3.本合同未尽事宜，遵照《</w:t>
      </w:r>
      <w:r>
        <w:rPr>
          <w:rFonts w:hint="eastAsia" w:hAnsi="宋体" w:cs="宋体"/>
          <w:color w:val="000000"/>
          <w:lang w:eastAsia="zh-CN"/>
        </w:rPr>
        <w:t>民法典</w:t>
      </w:r>
      <w:r>
        <w:rPr>
          <w:rFonts w:hint="eastAsia" w:hAnsi="宋体" w:cs="宋体"/>
          <w:color w:val="000000"/>
        </w:rPr>
        <w:t>》有关条文执行。</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firstLine="480" w:firstLineChars="200"/>
        <w:textAlignment w:val="auto"/>
        <w:rPr>
          <w:rFonts w:hAnsi="宋体" w:cs="宋体"/>
          <w:color w:val="000000"/>
        </w:rPr>
      </w:pPr>
      <w:r>
        <w:rPr>
          <w:rFonts w:hint="eastAsia" w:hAnsi="宋体" w:cs="宋体"/>
          <w:color w:val="000000"/>
        </w:rPr>
        <w:t>4.本合同正本一式六份，具有同等法律效力，甲乙双方各执二份；采购代理机构存档一份，政府采购管理部门备案一份。</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b/>
          <w:sz w:val="24"/>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b/>
          <w:sz w:val="24"/>
        </w:rPr>
      </w:pPr>
      <w:r>
        <w:rPr>
          <w:rFonts w:hint="eastAsia" w:ascii="宋体" w:hAnsi="宋体"/>
          <w:b/>
          <w:sz w:val="24"/>
        </w:rPr>
        <w:t>采购单位（甲方盖章）：                供货单位（乙方盖章）：</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法定代表人或受委托人                  法定代表人或受委托人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（签字）                             （签字）</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地址：东阳市                          地址：</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开户银行：                            开户银行：</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帐号：                                帐号：</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b/>
          <w:sz w:val="24"/>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b/>
          <w:sz w:val="24"/>
        </w:rPr>
      </w:pPr>
      <w:r>
        <w:rPr>
          <w:rFonts w:hint="eastAsia" w:ascii="宋体" w:hAnsi="宋体"/>
          <w:b/>
          <w:sz w:val="24"/>
        </w:rPr>
        <w:t xml:space="preserve">招标代理机构（盖章）：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 xml:space="preserve">法定代表人或受委托人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sz w:val="24"/>
        </w:rPr>
      </w:pPr>
      <w:r>
        <w:rPr>
          <w:rFonts w:hint="eastAsia" w:ascii="宋体" w:hAnsi="宋体"/>
          <w:sz w:val="24"/>
        </w:rPr>
        <w:t xml:space="preserve">（签字）                                               </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left="0"/>
        <w:textAlignment w:val="auto"/>
        <w:rPr>
          <w:rFonts w:hAnsi="宋体"/>
          <w:b/>
        </w:rPr>
      </w:pPr>
      <w:r>
        <w:rPr>
          <w:rFonts w:hint="eastAsia" w:hAnsi="宋体"/>
        </w:rPr>
        <w:t>签约地点：东阳                            签约时间：</w:t>
      </w:r>
    </w:p>
    <w:p>
      <w:pPr>
        <w:pStyle w:val="27"/>
        <w:snapToGrid w:val="0"/>
        <w:spacing w:before="156" w:after="156" w:line="360" w:lineRule="auto"/>
        <w:jc w:val="center"/>
        <w:outlineLvl w:val="0"/>
        <w:rPr>
          <w:rFonts w:ascii="黑体" w:hAnsi="黑体" w:eastAsia="黑体" w:cs="宋体"/>
          <w:b/>
          <w:bCs/>
          <w:color w:val="0D0D0D"/>
          <w:sz w:val="32"/>
          <w:szCs w:val="32"/>
        </w:rPr>
      </w:pPr>
      <w:r>
        <w:rPr>
          <w:rFonts w:hint="eastAsia" w:ascii="黑体" w:hAnsi="黑体" w:eastAsia="黑体" w:cs="宋体"/>
          <w:b/>
          <w:bCs/>
          <w:color w:val="0D0D0D"/>
          <w:sz w:val="32"/>
          <w:szCs w:val="32"/>
        </w:rPr>
        <w:t>第六章        投标文件格式</w:t>
      </w:r>
    </w:p>
    <w:p>
      <w:pPr>
        <w:snapToGrid w:val="0"/>
        <w:spacing w:beforeLines="50" w:after="50" w:line="360" w:lineRule="auto"/>
        <w:jc w:val="left"/>
        <w:rPr>
          <w:rFonts w:ascii="宋体"/>
          <w:b/>
          <w:sz w:val="24"/>
        </w:rPr>
      </w:pPr>
      <w:r>
        <w:rPr>
          <w:rFonts w:ascii="宋体" w:hAnsi="宋体"/>
          <w:b/>
          <w:sz w:val="24"/>
        </w:rPr>
        <w:t>1</w:t>
      </w:r>
      <w:r>
        <w:rPr>
          <w:rFonts w:ascii="宋体"/>
          <w:b/>
          <w:sz w:val="24"/>
        </w:rPr>
        <w:t>.</w:t>
      </w:r>
      <w:r>
        <w:rPr>
          <w:rFonts w:hint="eastAsia" w:ascii="宋体" w:hAnsi="宋体"/>
          <w:b/>
          <w:sz w:val="24"/>
        </w:rPr>
        <w:t>所有投标文件封面格式：</w:t>
      </w:r>
    </w:p>
    <w:p>
      <w:pPr>
        <w:snapToGrid w:val="0"/>
        <w:spacing w:beforeLines="50" w:after="50" w:line="360" w:lineRule="auto"/>
        <w:ind w:firstLine="5758" w:firstLineChars="2390"/>
        <w:rPr>
          <w:rFonts w:ascii="宋体"/>
          <w:b/>
          <w:bCs/>
          <w:sz w:val="24"/>
        </w:rPr>
      </w:pPr>
      <w:r>
        <w:rPr>
          <w:rFonts w:hint="eastAsia" w:ascii="宋体" w:hAnsi="宋体"/>
          <w:b/>
          <w:bCs/>
          <w:sz w:val="24"/>
        </w:rPr>
        <w:t>正本</w:t>
      </w:r>
      <w:r>
        <w:rPr>
          <w:rFonts w:ascii="宋体" w:hAnsi="宋体"/>
          <w:b/>
          <w:bCs/>
          <w:sz w:val="24"/>
        </w:rPr>
        <w:t>/</w:t>
      </w:r>
      <w:r>
        <w:rPr>
          <w:rFonts w:hint="eastAsia" w:ascii="宋体" w:hAnsi="宋体"/>
          <w:b/>
          <w:bCs/>
          <w:sz w:val="24"/>
        </w:rPr>
        <w:t>或副本</w:t>
      </w:r>
    </w:p>
    <w:p>
      <w:pPr>
        <w:snapToGrid w:val="0"/>
        <w:spacing w:beforeLines="50" w:after="50" w:line="360" w:lineRule="auto"/>
        <w:jc w:val="center"/>
        <w:rPr>
          <w:rFonts w:ascii="宋体"/>
          <w:bCs/>
          <w:sz w:val="24"/>
        </w:rPr>
      </w:pPr>
      <w:r>
        <w:rPr>
          <w:rFonts w:hint="eastAsia" w:ascii="宋体" w:hAnsi="宋体"/>
          <w:bCs/>
          <w:sz w:val="24"/>
        </w:rPr>
        <w:t>资信商务及技术、报价文件、资格审查资料</w:t>
      </w:r>
    </w:p>
    <w:p>
      <w:pPr>
        <w:pStyle w:val="27"/>
        <w:snapToGrid w:val="0"/>
        <w:spacing w:before="156" w:after="156" w:line="360" w:lineRule="auto"/>
        <w:ind w:left="1190" w:hanging="1190" w:hangingChars="496"/>
        <w:rPr>
          <w:rFonts w:hint="eastAsia" w:eastAsia="宋体"/>
          <w:lang w:eastAsia="zh-CN"/>
        </w:rPr>
      </w:pPr>
      <w:r>
        <w:rPr>
          <w:rFonts w:hint="eastAsia" w:hAnsi="宋体"/>
          <w:bCs/>
        </w:rPr>
        <w:t>项目名称：</w:t>
      </w:r>
      <w:r>
        <w:rPr>
          <w:rFonts w:hint="eastAsia" w:hAnsi="宋体" w:cs="Arial"/>
          <w:u w:val="single"/>
          <w:lang w:eastAsia="zh-CN"/>
        </w:rPr>
        <w:t>江北街道智慧垃圾分类系统建设及运营服务（三期）</w:t>
      </w:r>
    </w:p>
    <w:p>
      <w:pPr>
        <w:snapToGrid w:val="0"/>
        <w:spacing w:beforeLines="50" w:after="50" w:line="360" w:lineRule="auto"/>
        <w:rPr>
          <w:rFonts w:hint="eastAsia" w:ascii="宋体" w:eastAsia="宋体"/>
          <w:bCs/>
          <w:sz w:val="24"/>
          <w:lang w:eastAsia="zh-CN"/>
        </w:rPr>
      </w:pPr>
      <w:r>
        <w:rPr>
          <w:rFonts w:hint="eastAsia" w:ascii="宋体" w:hAnsi="宋体"/>
          <w:bCs/>
          <w:sz w:val="24"/>
        </w:rPr>
        <w:t>项目编号：</w:t>
      </w:r>
      <w:r>
        <w:rPr>
          <w:rFonts w:hint="eastAsia" w:ascii="宋体" w:hAnsi="宋体"/>
          <w:bCs/>
          <w:sz w:val="24"/>
          <w:lang w:eastAsia="zh-CN"/>
        </w:rPr>
        <w:t>JCZFCG2022-Z29-A264</w:t>
      </w:r>
    </w:p>
    <w:p>
      <w:pPr>
        <w:snapToGrid w:val="0"/>
        <w:spacing w:beforeLines="50" w:after="50" w:line="360" w:lineRule="auto"/>
        <w:rPr>
          <w:rFonts w:ascii="宋体"/>
          <w:bCs/>
          <w:sz w:val="24"/>
        </w:rPr>
      </w:pPr>
      <w:r>
        <w:rPr>
          <w:rFonts w:hint="eastAsia" w:ascii="宋体" w:hAnsi="宋体"/>
          <w:bCs/>
          <w:sz w:val="24"/>
        </w:rPr>
        <w:t>投标人名称：</w:t>
      </w:r>
    </w:p>
    <w:p>
      <w:pPr>
        <w:snapToGrid w:val="0"/>
        <w:spacing w:beforeLines="50" w:after="50" w:line="360" w:lineRule="auto"/>
        <w:rPr>
          <w:rFonts w:ascii="宋体"/>
          <w:bCs/>
          <w:sz w:val="24"/>
        </w:rPr>
      </w:pPr>
      <w:r>
        <w:rPr>
          <w:rFonts w:hint="eastAsia" w:ascii="宋体" w:hAnsi="宋体"/>
          <w:bCs/>
          <w:sz w:val="24"/>
        </w:rPr>
        <w:t>投标人地址：</w:t>
      </w:r>
    </w:p>
    <w:p>
      <w:pPr>
        <w:snapToGrid w:val="0"/>
        <w:spacing w:beforeLines="50" w:after="50" w:line="360" w:lineRule="auto"/>
        <w:ind w:firstLine="645"/>
        <w:jc w:val="center"/>
        <w:rPr>
          <w:rFonts w:ascii="宋体"/>
          <w:sz w:val="24"/>
        </w:rPr>
      </w:pPr>
      <w:r>
        <w:rPr>
          <w:rFonts w:hint="eastAsia" w:ascii="宋体" w:hAnsi="宋体"/>
          <w:sz w:val="24"/>
        </w:rPr>
        <w:t xml:space="preserve">                                 年月日</w:t>
      </w:r>
    </w:p>
    <w:p>
      <w:pPr>
        <w:snapToGrid w:val="0"/>
        <w:spacing w:line="360" w:lineRule="auto"/>
        <w:ind w:firstLine="472" w:firstLineChars="196"/>
        <w:jc w:val="left"/>
        <w:rPr>
          <w:rFonts w:ascii="宋体" w:hAnsi="宋体"/>
          <w:b/>
          <w:bCs/>
          <w:sz w:val="24"/>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pStyle w:val="55"/>
        <w:spacing w:before="156"/>
        <w:rPr>
          <w:rFonts w:ascii="宋体" w:hAnsi="宋体"/>
          <w:b/>
          <w:bCs/>
        </w:rPr>
      </w:pPr>
    </w:p>
    <w:p>
      <w:pPr>
        <w:snapToGrid w:val="0"/>
        <w:spacing w:line="360" w:lineRule="auto"/>
        <w:ind w:firstLine="472" w:firstLineChars="196"/>
        <w:jc w:val="left"/>
        <w:rPr>
          <w:rFonts w:ascii="宋体" w:hAnsi="宋体"/>
          <w:b/>
          <w:bCs/>
          <w:sz w:val="24"/>
        </w:rPr>
      </w:pPr>
    </w:p>
    <w:p>
      <w:pPr>
        <w:snapToGrid w:val="0"/>
        <w:spacing w:beforeLines="50" w:after="50" w:line="360" w:lineRule="auto"/>
        <w:outlineLvl w:val="1"/>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资信商务及技术文件目录：</w:t>
      </w:r>
    </w:p>
    <w:p>
      <w:pPr>
        <w:snapToGrid w:val="0"/>
        <w:spacing w:line="360" w:lineRule="auto"/>
        <w:ind w:firstLine="470" w:firstLineChars="196"/>
        <w:jc w:val="left"/>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）评分响应表（格式见附件2.</w:t>
      </w:r>
      <w:r>
        <w:rPr>
          <w:rFonts w:ascii="宋体" w:hAnsi="宋体"/>
          <w:sz w:val="24"/>
        </w:rPr>
        <w:t>1</w:t>
      </w:r>
      <w:r>
        <w:rPr>
          <w:rFonts w:hint="eastAsia" w:ascii="宋体" w:hAnsi="宋体"/>
          <w:sz w:val="24"/>
        </w:rPr>
        <w:t>）；</w:t>
      </w:r>
    </w:p>
    <w:p>
      <w:pPr>
        <w:snapToGrid w:val="0"/>
        <w:spacing w:line="360" w:lineRule="auto"/>
        <w:ind w:firstLine="470" w:firstLineChars="196"/>
        <w:jc w:val="left"/>
        <w:rPr>
          <w:rFonts w:ascii="宋体"/>
          <w:sz w:val="24"/>
        </w:rPr>
      </w:pPr>
      <w:r>
        <w:rPr>
          <w:rFonts w:hint="eastAsia" w:ascii="宋体" w:hAnsi="宋体"/>
          <w:sz w:val="24"/>
        </w:rPr>
        <w:t>（</w:t>
      </w:r>
      <w:r>
        <w:rPr>
          <w:rFonts w:ascii="宋体" w:hAnsi="宋体"/>
          <w:sz w:val="24"/>
        </w:rPr>
        <w:t>2</w:t>
      </w:r>
      <w:r>
        <w:rPr>
          <w:rFonts w:hint="eastAsia" w:ascii="宋体" w:hAnsi="宋体"/>
          <w:sz w:val="24"/>
        </w:rPr>
        <w:t>）投标声明书</w:t>
      </w:r>
      <w:r>
        <w:rPr>
          <w:rFonts w:ascii="宋体" w:hAnsi="宋体"/>
          <w:sz w:val="24"/>
        </w:rPr>
        <w:t>(</w:t>
      </w:r>
      <w:r>
        <w:rPr>
          <w:rFonts w:hint="eastAsia" w:ascii="宋体" w:hAnsi="宋体"/>
          <w:sz w:val="24"/>
        </w:rPr>
        <w:t>格式见附件2</w:t>
      </w:r>
      <w:r>
        <w:rPr>
          <w:rFonts w:ascii="宋体" w:hAnsi="宋体"/>
          <w:sz w:val="24"/>
        </w:rPr>
        <w:t>.2)</w:t>
      </w:r>
      <w:r>
        <w:rPr>
          <w:rFonts w:hint="eastAsia" w:ascii="宋体" w:hAnsi="宋体"/>
          <w:sz w:val="24"/>
        </w:rPr>
        <w:t>；</w:t>
      </w:r>
    </w:p>
    <w:p>
      <w:pPr>
        <w:snapToGrid w:val="0"/>
        <w:spacing w:line="360" w:lineRule="auto"/>
        <w:ind w:firstLine="470" w:firstLineChars="196"/>
        <w:jc w:val="left"/>
        <w:rPr>
          <w:rFonts w:ascii="宋体"/>
          <w:sz w:val="24"/>
        </w:rPr>
      </w:pPr>
      <w:r>
        <w:rPr>
          <w:rFonts w:hint="eastAsia" w:ascii="宋体" w:hAnsi="宋体"/>
          <w:sz w:val="24"/>
        </w:rPr>
        <w:t>（</w:t>
      </w:r>
      <w:r>
        <w:rPr>
          <w:rFonts w:ascii="宋体" w:hAnsi="宋体"/>
          <w:sz w:val="24"/>
        </w:rPr>
        <w:t>3</w:t>
      </w:r>
      <w:r>
        <w:rPr>
          <w:rFonts w:hint="eastAsia" w:ascii="宋体" w:hAnsi="宋体"/>
          <w:sz w:val="24"/>
        </w:rPr>
        <w:t>）法定代表人授权委托书</w:t>
      </w:r>
      <w:r>
        <w:rPr>
          <w:rFonts w:ascii="宋体" w:hAnsi="宋体"/>
          <w:sz w:val="24"/>
        </w:rPr>
        <w:t>(</w:t>
      </w:r>
      <w:r>
        <w:rPr>
          <w:rFonts w:hint="eastAsia" w:ascii="宋体" w:hAnsi="宋体"/>
          <w:sz w:val="24"/>
        </w:rPr>
        <w:t>格式见附件2</w:t>
      </w:r>
      <w:r>
        <w:rPr>
          <w:rFonts w:ascii="宋体" w:hAnsi="宋体"/>
          <w:sz w:val="24"/>
        </w:rPr>
        <w:t>.3)</w:t>
      </w:r>
      <w:r>
        <w:rPr>
          <w:rFonts w:hint="eastAsia" w:ascii="宋体" w:hAnsi="宋体"/>
          <w:sz w:val="24"/>
        </w:rPr>
        <w:t>；</w:t>
      </w:r>
    </w:p>
    <w:p>
      <w:pPr>
        <w:snapToGrid w:val="0"/>
        <w:spacing w:line="360" w:lineRule="auto"/>
        <w:ind w:firstLine="470" w:firstLineChars="196"/>
        <w:jc w:val="left"/>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）投标单位情况表</w:t>
      </w:r>
      <w:r>
        <w:rPr>
          <w:rFonts w:ascii="宋体" w:hAnsi="宋体"/>
          <w:sz w:val="24"/>
        </w:rPr>
        <w:t>(</w:t>
      </w:r>
      <w:r>
        <w:rPr>
          <w:rFonts w:hint="eastAsia" w:ascii="宋体" w:hAnsi="宋体"/>
          <w:sz w:val="24"/>
        </w:rPr>
        <w:t>格式见附件2</w:t>
      </w:r>
      <w:r>
        <w:rPr>
          <w:rFonts w:ascii="宋体" w:hAnsi="宋体"/>
          <w:sz w:val="24"/>
        </w:rPr>
        <w:t>.4)</w:t>
      </w:r>
      <w:r>
        <w:rPr>
          <w:rFonts w:hint="eastAsia" w:ascii="宋体" w:hAnsi="宋体"/>
          <w:sz w:val="24"/>
        </w:rPr>
        <w:t>；</w:t>
      </w:r>
    </w:p>
    <w:p>
      <w:pPr>
        <w:snapToGrid w:val="0"/>
        <w:spacing w:line="360" w:lineRule="auto"/>
        <w:ind w:firstLine="470" w:firstLineChars="196"/>
        <w:jc w:val="left"/>
        <w:rPr>
          <w:rFonts w:asci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）营业执照副本复印件；</w:t>
      </w:r>
    </w:p>
    <w:p>
      <w:pPr>
        <w:snapToGrid w:val="0"/>
        <w:spacing w:line="360" w:lineRule="auto"/>
        <w:ind w:firstLine="480" w:firstLineChars="200"/>
        <w:jc w:val="left"/>
        <w:rPr>
          <w:rFonts w:asci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）中小企业声明函</w:t>
      </w:r>
      <w:r>
        <w:rPr>
          <w:rFonts w:ascii="宋体" w:hAnsi="宋体"/>
          <w:sz w:val="24"/>
        </w:rPr>
        <w:t>(</w:t>
      </w:r>
      <w:r>
        <w:rPr>
          <w:rFonts w:hint="eastAsia" w:ascii="宋体" w:hAnsi="宋体"/>
          <w:b/>
          <w:sz w:val="24"/>
        </w:rPr>
        <w:t>如有</w:t>
      </w:r>
      <w:r>
        <w:rPr>
          <w:rFonts w:ascii="宋体" w:hAnsi="宋体"/>
          <w:sz w:val="24"/>
        </w:rPr>
        <w:t>)(</w:t>
      </w:r>
      <w:r>
        <w:rPr>
          <w:rFonts w:hint="eastAsia" w:ascii="宋体" w:hAnsi="宋体"/>
          <w:sz w:val="24"/>
        </w:rPr>
        <w:t>格式见附件2</w:t>
      </w:r>
      <w:r>
        <w:rPr>
          <w:rFonts w:ascii="宋体" w:hAnsi="宋体"/>
          <w:sz w:val="24"/>
        </w:rPr>
        <w:t>.5)</w:t>
      </w:r>
      <w:r>
        <w:rPr>
          <w:rFonts w:hint="eastAsia" w:ascii="宋体" w:hAnsi="宋体"/>
          <w:sz w:val="24"/>
        </w:rPr>
        <w:t>；</w:t>
      </w:r>
    </w:p>
    <w:p>
      <w:pPr>
        <w:snapToGrid w:val="0"/>
        <w:spacing w:line="360" w:lineRule="auto"/>
        <w:ind w:firstLine="504" w:firstLineChars="200"/>
        <w:jc w:val="left"/>
        <w:rPr>
          <w:rFonts w:ascii="宋体"/>
          <w:sz w:val="24"/>
        </w:rPr>
      </w:pPr>
      <w:r>
        <w:rPr>
          <w:rFonts w:hint="eastAsia" w:ascii="宋体" w:hAnsi="宋体"/>
          <w:spacing w:val="6"/>
          <w:sz w:val="24"/>
        </w:rPr>
        <w:t>（</w:t>
      </w:r>
      <w:r>
        <w:rPr>
          <w:rFonts w:hint="eastAsia" w:ascii="宋体" w:hAnsi="宋体"/>
          <w:spacing w:val="6"/>
          <w:sz w:val="24"/>
          <w:lang w:val="en-US" w:eastAsia="zh-CN"/>
        </w:rPr>
        <w:t>7</w:t>
      </w:r>
      <w:r>
        <w:rPr>
          <w:rFonts w:hint="eastAsia" w:ascii="宋体" w:hAnsi="宋体"/>
          <w:spacing w:val="6"/>
          <w:sz w:val="24"/>
        </w:rPr>
        <w:t>）残疾人福利性单位声明函（</w:t>
      </w:r>
      <w:r>
        <w:rPr>
          <w:rFonts w:hint="eastAsia" w:ascii="宋体" w:hAnsi="宋体"/>
          <w:b/>
          <w:spacing w:val="6"/>
          <w:sz w:val="24"/>
        </w:rPr>
        <w:t>如有</w:t>
      </w:r>
      <w:r>
        <w:rPr>
          <w:rFonts w:hint="eastAsia" w:ascii="宋体" w:hAnsi="宋体"/>
          <w:spacing w:val="6"/>
          <w:sz w:val="24"/>
        </w:rPr>
        <w:t>）</w:t>
      </w:r>
      <w:r>
        <w:rPr>
          <w:rFonts w:ascii="宋体" w:hAnsi="宋体"/>
          <w:sz w:val="24"/>
        </w:rPr>
        <w:t>(</w:t>
      </w:r>
      <w:r>
        <w:rPr>
          <w:rFonts w:hint="eastAsia" w:ascii="宋体" w:hAnsi="宋体"/>
          <w:sz w:val="24"/>
        </w:rPr>
        <w:t>格式见附件2</w:t>
      </w:r>
      <w:r>
        <w:rPr>
          <w:rFonts w:ascii="宋体" w:hAnsi="宋体"/>
          <w:sz w:val="24"/>
        </w:rPr>
        <w:t>.6)</w:t>
      </w:r>
      <w:r>
        <w:rPr>
          <w:rFonts w:hint="eastAsia" w:ascii="宋体" w:hAnsi="宋体"/>
          <w:sz w:val="24"/>
        </w:rPr>
        <w:t>；</w:t>
      </w:r>
    </w:p>
    <w:p>
      <w:pPr>
        <w:snapToGrid w:val="0"/>
        <w:spacing w:line="360" w:lineRule="auto"/>
        <w:ind w:firstLine="480" w:firstLineChars="200"/>
        <w:jc w:val="left"/>
        <w:rPr>
          <w:rFonts w:ascii="宋体"/>
          <w:sz w:val="24"/>
        </w:rPr>
      </w:pPr>
      <w:r>
        <w:rPr>
          <w:rFonts w:hint="eastAsia" w:ascii="宋体" w:hAnsi="宋体" w:cs="仿宋_GB2312"/>
          <w:sz w:val="24"/>
        </w:rPr>
        <w:t>（</w:t>
      </w:r>
      <w:r>
        <w:rPr>
          <w:rFonts w:hint="eastAsia" w:ascii="宋体" w:hAnsi="宋体" w:cs="仿宋_GB2312"/>
          <w:sz w:val="24"/>
          <w:lang w:val="en-US" w:eastAsia="zh-CN"/>
        </w:rPr>
        <w:t>8</w:t>
      </w:r>
      <w:r>
        <w:rPr>
          <w:rFonts w:hint="eastAsia" w:ascii="宋体" w:hAnsi="宋体" w:cs="仿宋_GB2312"/>
          <w:sz w:val="24"/>
        </w:rPr>
        <w:t>）监狱企业证明文件</w:t>
      </w:r>
      <w:r>
        <w:rPr>
          <w:rFonts w:hint="eastAsia" w:ascii="宋体" w:hAnsi="宋体"/>
          <w:spacing w:val="6"/>
          <w:sz w:val="24"/>
        </w:rPr>
        <w:t>（</w:t>
      </w:r>
      <w:r>
        <w:rPr>
          <w:rFonts w:hint="eastAsia" w:ascii="宋体" w:hAnsi="宋体"/>
          <w:b/>
          <w:spacing w:val="6"/>
          <w:sz w:val="24"/>
        </w:rPr>
        <w:t>如有</w:t>
      </w:r>
      <w:r>
        <w:rPr>
          <w:rFonts w:hint="eastAsia" w:ascii="宋体" w:hAnsi="宋体"/>
          <w:spacing w:val="6"/>
          <w:sz w:val="24"/>
        </w:rPr>
        <w:t>）</w:t>
      </w:r>
      <w:r>
        <w:rPr>
          <w:rFonts w:ascii="宋体" w:hAnsi="宋体"/>
          <w:sz w:val="24"/>
        </w:rPr>
        <w:t>(</w:t>
      </w:r>
      <w:r>
        <w:rPr>
          <w:rFonts w:hint="eastAsia" w:ascii="宋体" w:hAnsi="宋体"/>
          <w:sz w:val="24"/>
        </w:rPr>
        <w:t>格式自拟</w:t>
      </w:r>
      <w:r>
        <w:rPr>
          <w:rFonts w:ascii="宋体" w:hAnsi="宋体"/>
          <w:sz w:val="24"/>
        </w:rPr>
        <w:t>)</w:t>
      </w:r>
      <w:r>
        <w:rPr>
          <w:rFonts w:hint="eastAsia" w:ascii="宋体" w:hAnsi="宋体"/>
          <w:sz w:val="24"/>
        </w:rPr>
        <w:t>；</w:t>
      </w:r>
    </w:p>
    <w:p>
      <w:pPr>
        <w:snapToGrid w:val="0"/>
        <w:spacing w:line="360" w:lineRule="auto"/>
        <w:ind w:firstLine="480" w:firstLineChars="200"/>
        <w:jc w:val="left"/>
        <w:rPr>
          <w:rFonts w:ascii="宋体"/>
          <w:sz w:val="24"/>
        </w:rPr>
      </w:pPr>
      <w:r>
        <w:rPr>
          <w:rFonts w:hint="eastAsia" w:ascii="宋体" w:hAnsi="宋体"/>
          <w:sz w:val="24"/>
        </w:rPr>
        <w:t>（</w:t>
      </w:r>
      <w:r>
        <w:rPr>
          <w:rFonts w:hint="eastAsia" w:ascii="宋体" w:hAnsi="宋体"/>
          <w:sz w:val="24"/>
          <w:lang w:val="en-US" w:eastAsia="zh-CN"/>
        </w:rPr>
        <w:t>9</w:t>
      </w:r>
      <w:r>
        <w:rPr>
          <w:rFonts w:hint="eastAsia" w:ascii="宋体" w:hAnsi="宋体"/>
          <w:sz w:val="24"/>
        </w:rPr>
        <w:t>）投标人过往</w:t>
      </w:r>
      <w:r>
        <w:rPr>
          <w:rFonts w:hint="eastAsia" w:ascii="宋体"/>
          <w:sz w:val="24"/>
        </w:rPr>
        <w:t>投标产品销售合同</w:t>
      </w:r>
      <w:r>
        <w:rPr>
          <w:rFonts w:hint="eastAsia" w:ascii="宋体" w:hAnsi="宋体"/>
          <w:sz w:val="24"/>
        </w:rPr>
        <w:t>业绩</w:t>
      </w:r>
      <w:r>
        <w:rPr>
          <w:rFonts w:hint="eastAsia" w:ascii="宋体"/>
          <w:sz w:val="24"/>
        </w:rPr>
        <w:t>复印件（格式见附件2.7）；</w:t>
      </w:r>
    </w:p>
    <w:p>
      <w:pPr>
        <w:snapToGrid w:val="0"/>
        <w:spacing w:line="360" w:lineRule="auto"/>
        <w:ind w:firstLine="480" w:firstLineChars="200"/>
        <w:jc w:val="left"/>
        <w:rPr>
          <w:rFonts w:ascii="宋体"/>
          <w:sz w:val="24"/>
        </w:rPr>
      </w:pPr>
      <w:r>
        <w:rPr>
          <w:rFonts w:hint="eastAsia" w:ascii="宋体" w:hAnsi="宋体"/>
          <w:sz w:val="24"/>
        </w:rPr>
        <w:t>（</w:t>
      </w:r>
      <w:r>
        <w:rPr>
          <w:rFonts w:ascii="宋体" w:hAnsi="宋体"/>
          <w:sz w:val="24"/>
        </w:rPr>
        <w:t>1</w:t>
      </w:r>
      <w:r>
        <w:rPr>
          <w:rFonts w:hint="eastAsia" w:ascii="宋体" w:hAnsi="宋体"/>
          <w:sz w:val="24"/>
          <w:lang w:val="en-US" w:eastAsia="zh-CN"/>
        </w:rPr>
        <w:t>0</w:t>
      </w:r>
      <w:r>
        <w:rPr>
          <w:rFonts w:hint="eastAsia" w:ascii="宋体" w:hAnsi="宋体"/>
          <w:sz w:val="24"/>
        </w:rPr>
        <w:t>）</w:t>
      </w:r>
      <w:r>
        <w:rPr>
          <w:rFonts w:hint="eastAsia" w:ascii="宋体"/>
          <w:sz w:val="24"/>
        </w:rPr>
        <w:t>商务响应表（格式见附件2</w:t>
      </w:r>
      <w:r>
        <w:rPr>
          <w:rFonts w:ascii="宋体"/>
          <w:sz w:val="24"/>
        </w:rPr>
        <w:t>.8</w:t>
      </w:r>
      <w:r>
        <w:rPr>
          <w:rFonts w:hint="eastAsia" w:ascii="宋体"/>
          <w:sz w:val="24"/>
        </w:rPr>
        <w:t>）；</w:t>
      </w:r>
    </w:p>
    <w:p>
      <w:pPr>
        <w:snapToGrid w:val="0"/>
        <w:spacing w:line="360" w:lineRule="auto"/>
        <w:ind w:firstLine="480" w:firstLineChars="200"/>
        <w:jc w:val="left"/>
        <w:rPr>
          <w:rFonts w:ascii="宋体"/>
          <w:sz w:val="24"/>
        </w:rPr>
      </w:pPr>
      <w:r>
        <w:rPr>
          <w:rFonts w:hint="eastAsia" w:ascii="宋体" w:hAnsi="宋体"/>
          <w:sz w:val="24"/>
        </w:rPr>
        <w:t>（</w:t>
      </w:r>
      <w:r>
        <w:rPr>
          <w:rFonts w:ascii="宋体" w:hAnsi="宋体"/>
          <w:sz w:val="24"/>
        </w:rPr>
        <w:t>1</w:t>
      </w:r>
      <w:r>
        <w:rPr>
          <w:rFonts w:hint="eastAsia" w:ascii="宋体" w:hAnsi="宋体"/>
          <w:sz w:val="24"/>
          <w:lang w:val="en-US" w:eastAsia="zh-CN"/>
        </w:rPr>
        <w:t>1</w:t>
      </w:r>
      <w:r>
        <w:rPr>
          <w:rFonts w:hint="eastAsia" w:ascii="宋体" w:hAnsi="宋体"/>
          <w:sz w:val="24"/>
        </w:rPr>
        <w:t>）投标产品服务计划表（格式见附件2</w:t>
      </w:r>
      <w:r>
        <w:rPr>
          <w:rFonts w:ascii="宋体" w:hAnsi="宋体"/>
          <w:sz w:val="24"/>
        </w:rPr>
        <w:t>.9</w:t>
      </w:r>
      <w:r>
        <w:rPr>
          <w:rFonts w:hint="eastAsia" w:ascii="宋体" w:hAnsi="宋体"/>
          <w:sz w:val="24"/>
        </w:rPr>
        <w:t>）；</w:t>
      </w:r>
    </w:p>
    <w:p>
      <w:pPr>
        <w:snapToGrid w:val="0"/>
        <w:spacing w:line="360" w:lineRule="auto"/>
        <w:ind w:firstLine="480" w:firstLineChars="200"/>
        <w:jc w:val="left"/>
        <w:rPr>
          <w:rFonts w:ascii="宋体"/>
          <w:sz w:val="24"/>
        </w:rPr>
      </w:pPr>
      <w:r>
        <w:rPr>
          <w:rFonts w:hint="eastAsia" w:ascii="宋体"/>
          <w:sz w:val="24"/>
        </w:rPr>
        <w:t>（1</w:t>
      </w:r>
      <w:r>
        <w:rPr>
          <w:rFonts w:hint="eastAsia" w:ascii="宋体"/>
          <w:sz w:val="24"/>
          <w:lang w:val="en-US" w:eastAsia="zh-CN"/>
        </w:rPr>
        <w:t>2</w:t>
      </w:r>
      <w:r>
        <w:rPr>
          <w:rFonts w:hint="eastAsia" w:ascii="宋体"/>
          <w:sz w:val="24"/>
        </w:rPr>
        <w:t>）</w:t>
      </w:r>
      <w:r>
        <w:rPr>
          <w:rFonts w:hint="eastAsia"/>
          <w:sz w:val="24"/>
        </w:rPr>
        <w:t>技术响应表（格式见附件</w:t>
      </w:r>
      <w:r>
        <w:rPr>
          <w:rFonts w:hint="eastAsia" w:ascii="宋体" w:hAnsi="宋体" w:cs="宋体"/>
          <w:sz w:val="24"/>
        </w:rPr>
        <w:t>2.10</w:t>
      </w:r>
      <w:r>
        <w:rPr>
          <w:rFonts w:hint="eastAsia"/>
          <w:sz w:val="24"/>
        </w:rPr>
        <w:t>）；</w:t>
      </w:r>
    </w:p>
    <w:p>
      <w:pPr>
        <w:snapToGrid w:val="0"/>
        <w:spacing w:line="360" w:lineRule="auto"/>
        <w:ind w:firstLine="470" w:firstLineChars="196"/>
        <w:jc w:val="left"/>
        <w:rPr>
          <w:rFonts w:asci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）投标人拟派项目负责人、技术负责人及其他主要人员个人证书及身份证</w:t>
      </w:r>
      <w:r>
        <w:rPr>
          <w:rFonts w:ascii="宋体" w:hAnsi="宋体"/>
          <w:sz w:val="24"/>
        </w:rPr>
        <w:t>(</w:t>
      </w:r>
      <w:r>
        <w:rPr>
          <w:rFonts w:hint="eastAsia" w:ascii="宋体" w:hAnsi="宋体"/>
          <w:sz w:val="24"/>
        </w:rPr>
        <w:t>格式见附件2.11</w:t>
      </w:r>
      <w:r>
        <w:rPr>
          <w:rFonts w:ascii="宋体" w:hAnsi="宋体"/>
          <w:sz w:val="24"/>
        </w:rPr>
        <w:t>)</w:t>
      </w:r>
      <w:r>
        <w:rPr>
          <w:rFonts w:hint="eastAsia" w:ascii="宋体" w:hAnsi="宋体"/>
          <w:sz w:val="24"/>
        </w:rPr>
        <w:t>；</w:t>
      </w:r>
    </w:p>
    <w:p>
      <w:pPr>
        <w:snapToGrid w:val="0"/>
        <w:spacing w:line="360" w:lineRule="auto"/>
        <w:ind w:firstLine="470" w:firstLineChars="196"/>
        <w:jc w:val="left"/>
        <w:rPr>
          <w:rFonts w:ascii="宋体"/>
          <w:sz w:val="24"/>
        </w:rPr>
      </w:pPr>
      <w:r>
        <w:rPr>
          <w:rFonts w:hint="eastAsia" w:ascii="宋体" w:hAnsi="宋体"/>
          <w:sz w:val="24"/>
        </w:rPr>
        <w:t>（1</w:t>
      </w:r>
      <w:r>
        <w:rPr>
          <w:rFonts w:hint="eastAsia" w:ascii="宋体" w:hAnsi="宋体"/>
          <w:sz w:val="24"/>
          <w:lang w:val="en-US" w:eastAsia="zh-CN"/>
        </w:rPr>
        <w:t>4</w:t>
      </w:r>
      <w:r>
        <w:rPr>
          <w:rFonts w:hint="eastAsia" w:ascii="宋体" w:hAnsi="宋体"/>
          <w:sz w:val="24"/>
        </w:rPr>
        <w:t>）货物主要技术指标、功能及配置的详细说明（格式见附件2.12）；</w:t>
      </w:r>
    </w:p>
    <w:p>
      <w:pPr>
        <w:snapToGrid w:val="0"/>
        <w:spacing w:line="360" w:lineRule="auto"/>
        <w:ind w:firstLine="470" w:firstLineChars="196"/>
        <w:jc w:val="left"/>
        <w:rPr>
          <w:rFonts w:ascii="宋体"/>
          <w:sz w:val="24"/>
        </w:rPr>
      </w:pPr>
      <w:r>
        <w:rPr>
          <w:rFonts w:hint="eastAsia" w:ascii="宋体" w:hAnsi="宋体"/>
          <w:sz w:val="24"/>
        </w:rPr>
        <w:t>（1</w:t>
      </w:r>
      <w:r>
        <w:rPr>
          <w:rFonts w:hint="eastAsia" w:ascii="宋体" w:hAnsi="宋体"/>
          <w:sz w:val="24"/>
          <w:lang w:val="en-US" w:eastAsia="zh-CN"/>
        </w:rPr>
        <w:t>5</w:t>
      </w:r>
      <w:r>
        <w:rPr>
          <w:rFonts w:hint="eastAsia" w:ascii="宋体" w:hAnsi="宋体"/>
          <w:sz w:val="24"/>
        </w:rPr>
        <w:t>）投标货物的彩图；</w:t>
      </w:r>
    </w:p>
    <w:p>
      <w:pPr>
        <w:snapToGrid w:val="0"/>
        <w:spacing w:line="360" w:lineRule="auto"/>
        <w:ind w:firstLine="480" w:firstLineChars="200"/>
        <w:rPr>
          <w:rFonts w:ascii="宋体"/>
          <w:sz w:val="24"/>
        </w:rPr>
      </w:pPr>
      <w:r>
        <w:rPr>
          <w:rFonts w:hint="eastAsia" w:ascii="宋体" w:hAnsi="宋体"/>
          <w:sz w:val="24"/>
        </w:rPr>
        <w:t>（1</w:t>
      </w:r>
      <w:r>
        <w:rPr>
          <w:rFonts w:hint="eastAsia" w:ascii="宋体" w:hAnsi="宋体"/>
          <w:sz w:val="24"/>
          <w:lang w:val="en-US" w:eastAsia="zh-CN"/>
        </w:rPr>
        <w:t>6</w:t>
      </w:r>
      <w:r>
        <w:rPr>
          <w:rFonts w:hint="eastAsia" w:ascii="宋体" w:hAnsi="宋体"/>
          <w:sz w:val="24"/>
        </w:rPr>
        <w:t>）主要材料的质检报告；</w:t>
      </w:r>
    </w:p>
    <w:p>
      <w:pPr>
        <w:pStyle w:val="27"/>
        <w:snapToGrid w:val="0"/>
        <w:spacing w:beforeLines="0" w:afterLines="0" w:line="360" w:lineRule="auto"/>
        <w:ind w:firstLine="600" w:firstLineChars="250"/>
      </w:pPr>
      <w:r>
        <w:rPr>
          <w:rFonts w:hAnsi="宋体"/>
        </w:rPr>
        <w:t>(</w:t>
      </w:r>
      <w:r>
        <w:rPr>
          <w:rFonts w:hint="eastAsia" w:hAnsi="宋体"/>
        </w:rPr>
        <w:t>1</w:t>
      </w:r>
      <w:r>
        <w:rPr>
          <w:rFonts w:hint="eastAsia" w:hAnsi="宋体"/>
          <w:lang w:val="en-US" w:eastAsia="zh-CN"/>
        </w:rPr>
        <w:t>7</w:t>
      </w:r>
      <w:r>
        <w:rPr>
          <w:rFonts w:hAnsi="宋体"/>
        </w:rPr>
        <w:t>)</w:t>
      </w:r>
      <w:r>
        <w:rPr>
          <w:rFonts w:hint="eastAsia" w:hAnsi="宋体"/>
        </w:rPr>
        <w:t xml:space="preserve"> 投标该项目的优势及自我评价；</w:t>
      </w:r>
    </w:p>
    <w:p>
      <w:pPr>
        <w:snapToGrid w:val="0"/>
        <w:spacing w:line="360" w:lineRule="auto"/>
        <w:ind w:left="480"/>
        <w:jc w:val="left"/>
        <w:rPr>
          <w:rFonts w:ascii="宋体"/>
          <w:sz w:val="24"/>
        </w:rPr>
      </w:pPr>
      <w:r>
        <w:rPr>
          <w:rFonts w:hint="eastAsia" w:ascii="宋体" w:hAnsi="宋体"/>
          <w:sz w:val="24"/>
        </w:rPr>
        <w:t>（</w:t>
      </w:r>
      <w:r>
        <w:rPr>
          <w:rFonts w:ascii="宋体" w:hAnsi="宋体"/>
          <w:sz w:val="24"/>
        </w:rPr>
        <w:t>1</w:t>
      </w:r>
      <w:r>
        <w:rPr>
          <w:rFonts w:hint="eastAsia" w:ascii="宋体" w:hAnsi="宋体"/>
          <w:sz w:val="24"/>
          <w:lang w:val="en-US" w:eastAsia="zh-CN"/>
        </w:rPr>
        <w:t>8</w:t>
      </w:r>
      <w:r>
        <w:rPr>
          <w:rFonts w:hint="eastAsia" w:ascii="宋体" w:hAnsi="宋体"/>
          <w:sz w:val="24"/>
        </w:rPr>
        <w:t>）技术服务方案；</w:t>
      </w:r>
    </w:p>
    <w:p>
      <w:pPr>
        <w:snapToGrid w:val="0"/>
        <w:spacing w:line="360" w:lineRule="auto"/>
        <w:ind w:firstLine="480" w:firstLineChars="200"/>
        <w:jc w:val="left"/>
        <w:rPr>
          <w:rFonts w:ascii="宋体"/>
          <w:sz w:val="24"/>
        </w:rPr>
      </w:pPr>
      <w:r>
        <w:rPr>
          <w:rFonts w:hint="eastAsia" w:ascii="宋体" w:hAnsi="宋体"/>
          <w:sz w:val="24"/>
        </w:rPr>
        <w:t>（</w:t>
      </w:r>
      <w:r>
        <w:rPr>
          <w:rFonts w:hint="eastAsia" w:ascii="宋体" w:hAnsi="宋体"/>
          <w:sz w:val="24"/>
          <w:lang w:val="en-US" w:eastAsia="zh-CN"/>
        </w:rPr>
        <w:t>19</w:t>
      </w:r>
      <w:r>
        <w:rPr>
          <w:rFonts w:hint="eastAsia" w:ascii="宋体" w:hAnsi="宋体"/>
          <w:sz w:val="24"/>
        </w:rPr>
        <w:t>）优惠条件：投标人承诺给予招标人的各种优惠条件，包括售后服务、服务网点、备品备件、专用耗材等方面的优惠；</w:t>
      </w:r>
    </w:p>
    <w:p>
      <w:pPr>
        <w:snapToGrid w:val="0"/>
        <w:spacing w:line="360" w:lineRule="auto"/>
        <w:ind w:left="480"/>
        <w:jc w:val="left"/>
        <w:rPr>
          <w:rFonts w:hint="eastAsia" w:ascii="宋体" w:hAnsi="宋体" w:eastAsia="宋体" w:cs="宋体"/>
          <w:color w:val="0D0D0D"/>
          <w:sz w:val="24"/>
          <w:szCs w:val="24"/>
          <w:lang w:val="en-US" w:eastAsia="zh-CN"/>
        </w:rPr>
      </w:pPr>
      <w:r>
        <w:rPr>
          <w:rFonts w:hint="eastAsia" w:ascii="宋体" w:hAnsi="宋体"/>
          <w:sz w:val="24"/>
        </w:rPr>
        <w:t>（2</w:t>
      </w:r>
      <w:r>
        <w:rPr>
          <w:rFonts w:hint="eastAsia" w:ascii="宋体" w:hAnsi="宋体"/>
          <w:sz w:val="24"/>
          <w:lang w:val="en-US" w:eastAsia="zh-CN"/>
        </w:rPr>
        <w:t>0</w:t>
      </w:r>
      <w:r>
        <w:rPr>
          <w:rFonts w:hint="eastAsia" w:ascii="宋体" w:hAnsi="宋体"/>
          <w:sz w:val="24"/>
        </w:rPr>
        <w:t>）</w:t>
      </w:r>
      <w:r>
        <w:rPr>
          <w:rFonts w:hint="eastAsia" w:ascii="宋体" w:hAnsi="宋体" w:eastAsia="宋体" w:cs="宋体"/>
          <w:color w:val="0D0D0D"/>
          <w:sz w:val="24"/>
          <w:szCs w:val="24"/>
          <w:lang w:val="en-US" w:eastAsia="zh-CN"/>
        </w:rPr>
        <w:t>政府采购代理机构社会评价表（附件2.1</w:t>
      </w:r>
      <w:r>
        <w:rPr>
          <w:rFonts w:hint="eastAsia" w:ascii="宋体" w:hAnsi="宋体" w:cs="宋体"/>
          <w:color w:val="0D0D0D"/>
          <w:sz w:val="24"/>
          <w:szCs w:val="24"/>
          <w:lang w:val="en-US" w:eastAsia="zh-CN"/>
        </w:rPr>
        <w:t>3</w:t>
      </w:r>
      <w:r>
        <w:rPr>
          <w:rFonts w:hint="eastAsia" w:ascii="宋体" w:hAnsi="宋体" w:eastAsia="宋体" w:cs="宋体"/>
          <w:color w:val="0D0D0D"/>
          <w:sz w:val="24"/>
          <w:szCs w:val="24"/>
          <w:lang w:val="en-US" w:eastAsia="zh-CN"/>
        </w:rPr>
        <w:t>）；</w:t>
      </w:r>
    </w:p>
    <w:p>
      <w:pPr>
        <w:snapToGrid w:val="0"/>
        <w:spacing w:line="360" w:lineRule="auto"/>
        <w:ind w:left="480"/>
        <w:jc w:val="left"/>
        <w:rPr>
          <w:rFonts w:ascii="宋体" w:hAnsi="宋体"/>
          <w:sz w:val="24"/>
        </w:rPr>
      </w:pPr>
      <w:r>
        <w:rPr>
          <w:rFonts w:hint="eastAsia" w:ascii="宋体" w:hAnsi="宋体"/>
          <w:sz w:val="24"/>
          <w:lang w:eastAsia="zh-CN"/>
        </w:rPr>
        <w:t>（</w:t>
      </w:r>
      <w:r>
        <w:rPr>
          <w:rFonts w:hint="eastAsia" w:ascii="宋体" w:hAnsi="宋体"/>
          <w:sz w:val="24"/>
          <w:lang w:val="en-US" w:eastAsia="zh-CN"/>
        </w:rPr>
        <w:t>21</w:t>
      </w:r>
      <w:r>
        <w:rPr>
          <w:rFonts w:hint="eastAsia" w:ascii="宋体" w:hAnsi="宋体"/>
          <w:sz w:val="24"/>
          <w:lang w:eastAsia="zh-CN"/>
        </w:rPr>
        <w:t>）</w:t>
      </w:r>
      <w:r>
        <w:rPr>
          <w:rFonts w:hint="eastAsia" w:ascii="宋体" w:hAnsi="宋体"/>
          <w:sz w:val="24"/>
        </w:rPr>
        <w:t>投标人需要说明的其他文件和说明。</w:t>
      </w:r>
    </w:p>
    <w:p>
      <w:pPr>
        <w:snapToGrid w:val="0"/>
        <w:spacing w:line="360" w:lineRule="auto"/>
        <w:ind w:firstLine="360" w:firstLineChars="150"/>
        <w:jc w:val="left"/>
        <w:rPr>
          <w:rFonts w:ascii="宋体" w:hAnsi="宋体"/>
          <w:sz w:val="24"/>
        </w:rPr>
      </w:pPr>
    </w:p>
    <w:p>
      <w:pPr>
        <w:snapToGrid w:val="0"/>
        <w:spacing w:line="360" w:lineRule="auto"/>
        <w:ind w:firstLine="360" w:firstLineChars="150"/>
        <w:jc w:val="left"/>
        <w:rPr>
          <w:rFonts w:ascii="宋体" w:hAnsi="宋体"/>
          <w:sz w:val="24"/>
        </w:rPr>
      </w:pPr>
    </w:p>
    <w:p>
      <w:pPr>
        <w:snapToGrid w:val="0"/>
        <w:spacing w:line="360" w:lineRule="auto"/>
        <w:jc w:val="left"/>
        <w:rPr>
          <w:rFonts w:ascii="宋体" w:hAnsi="宋体"/>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pacing w:before="50" w:after="50" w:line="500" w:lineRule="exact"/>
        <w:jc w:val="left"/>
        <w:outlineLvl w:val="2"/>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1 评分响应表格式：</w:t>
      </w:r>
    </w:p>
    <w:p>
      <w:pPr>
        <w:snapToGrid w:val="0"/>
        <w:spacing w:before="50" w:after="50" w:line="400" w:lineRule="exact"/>
        <w:rPr>
          <w:rFonts w:ascii="宋体"/>
          <w:b/>
          <w:sz w:val="24"/>
          <w:u w:val="single"/>
        </w:rPr>
      </w:pPr>
      <w:r>
        <w:rPr>
          <w:rFonts w:hint="eastAsia" w:ascii="宋体" w:hAnsi="宋体"/>
          <w:b/>
          <w:sz w:val="24"/>
        </w:rPr>
        <w:t>项目名称：</w:t>
      </w:r>
    </w:p>
    <w:tbl>
      <w:tblPr>
        <w:tblStyle w:val="46"/>
        <w:tblW w:w="93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1814"/>
        <w:gridCol w:w="2628"/>
        <w:gridCol w:w="1156"/>
        <w:gridCol w:w="29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86" w:type="dxa"/>
            <w:tcBorders>
              <w:top w:val="single" w:color="auto" w:sz="4" w:space="0"/>
              <w:bottom w:val="single" w:color="auto" w:sz="4" w:space="0"/>
              <w:right w:val="single" w:color="auto" w:sz="4" w:space="0"/>
            </w:tcBorders>
            <w:vAlign w:val="center"/>
          </w:tcPr>
          <w:p>
            <w:pPr>
              <w:pStyle w:val="37"/>
              <w:spacing w:line="400" w:lineRule="exact"/>
              <w:ind w:firstLine="0" w:firstLineChars="0"/>
              <w:rPr>
                <w:rFonts w:ascii="宋体" w:eastAsia="宋体" w:cs="Times New Roman"/>
                <w:b/>
                <w:bCs/>
              </w:rPr>
            </w:pPr>
            <w:r>
              <w:rPr>
                <w:rFonts w:hint="eastAsia" w:ascii="宋体" w:eastAsia="宋体" w:cs="宋体"/>
                <w:b/>
                <w:bCs/>
              </w:rPr>
              <w:t>序号</w:t>
            </w:r>
          </w:p>
        </w:tc>
        <w:tc>
          <w:tcPr>
            <w:tcW w:w="1814"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firstLine="0" w:firstLineChars="0"/>
              <w:rPr>
                <w:rFonts w:ascii="宋体" w:eastAsia="宋体" w:cs="Times New Roman"/>
                <w:b/>
                <w:bCs/>
              </w:rPr>
            </w:pPr>
            <w:r>
              <w:rPr>
                <w:rFonts w:hint="eastAsia" w:ascii="宋体" w:eastAsia="宋体" w:cs="宋体"/>
                <w:b/>
                <w:bCs/>
              </w:rPr>
              <w:t>评审内容</w:t>
            </w:r>
          </w:p>
        </w:tc>
        <w:tc>
          <w:tcPr>
            <w:tcW w:w="2628"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368" w:leftChars="175" w:firstLine="482"/>
              <w:rPr>
                <w:rFonts w:ascii="宋体" w:eastAsia="宋体" w:cs="Times New Roman"/>
                <w:b/>
                <w:bCs/>
              </w:rPr>
            </w:pPr>
            <w:r>
              <w:rPr>
                <w:rFonts w:hint="eastAsia" w:ascii="宋体" w:eastAsia="宋体" w:cs="宋体"/>
                <w:b/>
                <w:bCs/>
              </w:rPr>
              <w:t>评分标准</w:t>
            </w:r>
          </w:p>
        </w:tc>
        <w:tc>
          <w:tcPr>
            <w:tcW w:w="1156"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firstLine="0" w:firstLineChars="0"/>
              <w:rPr>
                <w:rFonts w:ascii="宋体" w:eastAsia="宋体" w:cs="Times New Roman"/>
                <w:b/>
                <w:bCs/>
              </w:rPr>
            </w:pPr>
            <w:r>
              <w:rPr>
                <w:rFonts w:hint="eastAsia" w:ascii="宋体" w:eastAsia="宋体" w:cs="宋体"/>
                <w:b/>
                <w:bCs/>
              </w:rPr>
              <w:t>分值</w:t>
            </w:r>
          </w:p>
        </w:tc>
        <w:tc>
          <w:tcPr>
            <w:tcW w:w="2933" w:type="dxa"/>
            <w:tcBorders>
              <w:top w:val="single" w:color="auto" w:sz="4" w:space="0"/>
              <w:left w:val="single" w:color="auto" w:sz="4" w:space="0"/>
              <w:bottom w:val="single" w:color="auto" w:sz="4" w:space="0"/>
            </w:tcBorders>
            <w:vAlign w:val="center"/>
          </w:tcPr>
          <w:p>
            <w:pPr>
              <w:pStyle w:val="37"/>
              <w:spacing w:line="400" w:lineRule="exact"/>
              <w:ind w:left="480" w:firstLine="482"/>
              <w:rPr>
                <w:rFonts w:ascii="宋体" w:eastAsia="宋体" w:cs="Times New Roman"/>
                <w:b/>
                <w:bCs/>
              </w:rPr>
            </w:pPr>
            <w:r>
              <w:rPr>
                <w:rFonts w:hint="eastAsia" w:ascii="宋体" w:eastAsia="宋体" w:cs="宋体"/>
                <w:b/>
                <w:bCs/>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b/>
                <w:bCs/>
                <w:color w:val="000000"/>
                <w:sz w:val="24"/>
                <w:szCs w:val="24"/>
              </w:rPr>
            </w:pPr>
            <w:r>
              <w:rPr>
                <w:rFonts w:hint="eastAsia" w:ascii="宋体" w:hAnsi="宋体" w:cs="宋体"/>
                <w:b/>
                <w:bCs/>
                <w:color w:val="000000"/>
                <w:sz w:val="24"/>
                <w:szCs w:val="24"/>
              </w:rPr>
              <w:t>一</w:t>
            </w: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b/>
                <w:bCs/>
                <w:color w:val="000000"/>
                <w:sz w:val="24"/>
                <w:szCs w:val="24"/>
              </w:rPr>
            </w:pPr>
            <w:r>
              <w:rPr>
                <w:rFonts w:hint="eastAsia" w:ascii="宋体" w:hAnsi="宋体" w:cs="宋体"/>
                <w:b/>
                <w:bCs/>
                <w:color w:val="000000"/>
                <w:sz w:val="24"/>
                <w:szCs w:val="24"/>
              </w:rPr>
              <w:t>技术分</w:t>
            </w:r>
          </w:p>
        </w:tc>
        <w:tc>
          <w:tcPr>
            <w:tcW w:w="2628"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firstLine="482"/>
              <w:jc w:val="center"/>
              <w:rPr>
                <w:rFonts w:ascii="宋体" w:eastAsia="宋体" w:cs="Times New Roman"/>
                <w:b/>
                <w:bCs/>
              </w:rPr>
            </w:pPr>
          </w:p>
        </w:tc>
        <w:tc>
          <w:tcPr>
            <w:tcW w:w="1156"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firstLine="482"/>
              <w:jc w:val="center"/>
              <w:rPr>
                <w:rFonts w:ascii="宋体" w:eastAsia="宋体" w:cs="Times New Roman"/>
                <w:b/>
                <w:bCs/>
              </w:rPr>
            </w:pPr>
          </w:p>
        </w:tc>
        <w:tc>
          <w:tcPr>
            <w:tcW w:w="2933" w:type="dxa"/>
            <w:tcBorders>
              <w:top w:val="single" w:color="auto" w:sz="4" w:space="0"/>
              <w:left w:val="single" w:color="auto" w:sz="4" w:space="0"/>
              <w:bottom w:val="single" w:color="auto" w:sz="4" w:space="0"/>
            </w:tcBorders>
            <w:vAlign w:val="center"/>
          </w:tcPr>
          <w:p>
            <w:pPr>
              <w:pStyle w:val="37"/>
              <w:spacing w:line="400" w:lineRule="exact"/>
              <w:ind w:left="480" w:firstLine="482"/>
              <w:jc w:val="center"/>
              <w:rPr>
                <w:rFonts w:ascii="宋体" w:eastAsia="宋体"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4"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r>
              <w:rPr>
                <w:rFonts w:ascii="宋体" w:hAnsi="宋体" w:cs="宋体"/>
                <w:color w:val="000000"/>
                <w:sz w:val="24"/>
                <w:szCs w:val="24"/>
              </w:rPr>
              <w:t>1</w:t>
            </w: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right w:val="single" w:color="auto" w:sz="4" w:space="0"/>
            </w:tcBorders>
            <w:vAlign w:val="center"/>
          </w:tcPr>
          <w:p>
            <w:pPr>
              <w:spacing w:line="400" w:lineRule="exact"/>
              <w:jc w:val="center"/>
              <w:rPr>
                <w:rFonts w:ascii="宋体"/>
                <w:color w:val="000000"/>
                <w:sz w:val="24"/>
                <w:szCs w:val="24"/>
              </w:rPr>
            </w:pPr>
          </w:p>
        </w:tc>
        <w:tc>
          <w:tcPr>
            <w:tcW w:w="2933" w:type="dxa"/>
            <w:tcBorders>
              <w:top w:val="single" w:color="auto" w:sz="4" w:space="0"/>
              <w:left w:val="single" w:color="auto" w:sz="4" w:space="0"/>
            </w:tcBorders>
            <w:vAlign w:val="center"/>
          </w:tcPr>
          <w:p>
            <w:pPr>
              <w:spacing w:line="400" w:lineRule="exact"/>
              <w:jc w:val="center"/>
              <w:rPr>
                <w:rFonts w:ascii="宋体"/>
                <w:color w:val="000000"/>
                <w:sz w:val="24"/>
                <w:szCs w:val="24"/>
              </w:rPr>
            </w:pPr>
            <w:r>
              <w:rPr>
                <w:rFonts w:hint="eastAsia" w:ascii="宋体" w:hAnsi="宋体" w:cs="宋体"/>
                <w:color w:val="000000"/>
                <w:sz w:val="24"/>
                <w:szCs w:val="24"/>
              </w:rPr>
              <w:t>详见资信商务及技术文件第几页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r>
              <w:rPr>
                <w:rFonts w:ascii="宋体" w:hAnsi="宋体" w:cs="宋体"/>
                <w:color w:val="000000"/>
                <w:sz w:val="24"/>
                <w:szCs w:val="24"/>
              </w:rPr>
              <w:t>2</w:t>
            </w: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right w:val="single" w:color="auto" w:sz="4" w:space="0"/>
            </w:tcBorders>
            <w:vAlign w:val="center"/>
          </w:tcPr>
          <w:p>
            <w:pPr>
              <w:spacing w:line="400" w:lineRule="exact"/>
              <w:jc w:val="center"/>
              <w:rPr>
                <w:rFonts w:ascii="宋体"/>
                <w:color w:val="000000"/>
                <w:sz w:val="24"/>
                <w:szCs w:val="24"/>
              </w:rPr>
            </w:pPr>
          </w:p>
        </w:tc>
        <w:tc>
          <w:tcPr>
            <w:tcW w:w="2933" w:type="dxa"/>
            <w:tcBorders>
              <w:top w:val="single" w:color="auto" w:sz="4" w:space="0"/>
              <w:left w:val="single" w:color="auto" w:sz="4" w:space="0"/>
            </w:tcBorders>
            <w:vAlign w:val="center"/>
          </w:tcPr>
          <w:p>
            <w:pPr>
              <w:spacing w:line="400" w:lineRule="exact"/>
              <w:jc w:val="center"/>
              <w:rPr>
                <w:rFonts w:ascii="宋体"/>
                <w:color w:val="000000"/>
                <w:sz w:val="24"/>
                <w:szCs w:val="24"/>
              </w:rPr>
            </w:pPr>
            <w:r>
              <w:rPr>
                <w:rFonts w:hint="eastAsia" w:ascii="宋体" w:hAnsi="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786" w:type="dxa"/>
            <w:tcBorders>
              <w:bottom w:val="single" w:color="auto" w:sz="4" w:space="0"/>
              <w:right w:val="single" w:color="auto" w:sz="4" w:space="0"/>
            </w:tcBorders>
            <w:vAlign w:val="center"/>
          </w:tcPr>
          <w:p>
            <w:pPr>
              <w:spacing w:line="400" w:lineRule="exact"/>
              <w:rPr>
                <w:rFonts w:ascii="宋体"/>
                <w:color w:val="000000"/>
                <w:sz w:val="24"/>
                <w:szCs w:val="24"/>
              </w:rPr>
            </w:pPr>
            <w:r>
              <w:rPr>
                <w:rFonts w:hint="eastAsia" w:ascii="宋体" w:hAnsi="宋体" w:cs="宋体"/>
                <w:color w:val="000000"/>
                <w:sz w:val="24"/>
                <w:szCs w:val="24"/>
              </w:rPr>
              <w:t>……</w:t>
            </w:r>
          </w:p>
        </w:tc>
        <w:tc>
          <w:tcPr>
            <w:tcW w:w="1814" w:type="dxa"/>
            <w:tcBorders>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ind w:left="55" w:leftChars="26"/>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szCs w:val="24"/>
              </w:rPr>
            </w:pPr>
          </w:p>
        </w:tc>
        <w:tc>
          <w:tcPr>
            <w:tcW w:w="2933" w:type="dxa"/>
            <w:tcBorders>
              <w:top w:val="single" w:color="auto" w:sz="4" w:space="0"/>
              <w:left w:val="single" w:color="auto" w:sz="4" w:space="0"/>
              <w:bottom w:val="single" w:color="auto" w:sz="4" w:space="0"/>
            </w:tcBorders>
            <w:vAlign w:val="center"/>
          </w:tcPr>
          <w:p>
            <w:pPr>
              <w:spacing w:line="400" w:lineRule="exact"/>
              <w:jc w:val="center"/>
              <w:rPr>
                <w:rFonts w:ascii="宋体"/>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b/>
                <w:bCs/>
                <w:color w:val="000000"/>
                <w:sz w:val="24"/>
                <w:szCs w:val="24"/>
              </w:rPr>
            </w:pPr>
            <w:r>
              <w:rPr>
                <w:rFonts w:hint="eastAsia" w:ascii="宋体" w:hAnsi="宋体" w:cs="宋体"/>
                <w:b/>
                <w:bCs/>
                <w:color w:val="000000"/>
                <w:sz w:val="24"/>
                <w:szCs w:val="24"/>
              </w:rPr>
              <w:t>二</w:t>
            </w: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b/>
                <w:bCs/>
                <w:color w:val="000000"/>
                <w:sz w:val="24"/>
                <w:szCs w:val="24"/>
              </w:rPr>
            </w:pPr>
            <w:r>
              <w:rPr>
                <w:rFonts w:hint="eastAsia" w:ascii="宋体" w:hAnsi="宋体" w:cs="宋体"/>
                <w:b/>
                <w:bCs/>
                <w:color w:val="000000"/>
                <w:sz w:val="24"/>
                <w:szCs w:val="24"/>
              </w:rPr>
              <w:t>商务分</w:t>
            </w:r>
          </w:p>
        </w:tc>
        <w:tc>
          <w:tcPr>
            <w:tcW w:w="2628"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firstLine="482"/>
              <w:jc w:val="both"/>
              <w:rPr>
                <w:rFonts w:ascii="宋体" w:eastAsia="宋体" w:cs="Times New Roman"/>
                <w:b/>
                <w:bCs/>
              </w:rPr>
            </w:pPr>
          </w:p>
        </w:tc>
        <w:tc>
          <w:tcPr>
            <w:tcW w:w="1156"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firstLine="482"/>
              <w:jc w:val="center"/>
              <w:rPr>
                <w:rFonts w:ascii="宋体" w:eastAsia="宋体" w:cs="Times New Roman"/>
                <w:b/>
                <w:bCs/>
              </w:rPr>
            </w:pPr>
          </w:p>
        </w:tc>
        <w:tc>
          <w:tcPr>
            <w:tcW w:w="2933" w:type="dxa"/>
            <w:tcBorders>
              <w:top w:val="single" w:color="auto" w:sz="4" w:space="0"/>
              <w:left w:val="single" w:color="auto" w:sz="4" w:space="0"/>
              <w:bottom w:val="single" w:color="auto" w:sz="4" w:space="0"/>
            </w:tcBorders>
            <w:vAlign w:val="center"/>
          </w:tcPr>
          <w:p>
            <w:pPr>
              <w:pStyle w:val="37"/>
              <w:spacing w:line="400" w:lineRule="exact"/>
              <w:ind w:left="480" w:firstLine="482"/>
              <w:jc w:val="center"/>
              <w:rPr>
                <w:rFonts w:ascii="宋体" w:eastAsia="宋体" w:cs="Times New Roman"/>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jc w:val="center"/>
              <w:rPr>
                <w:rFonts w:ascii="宋体" w:eastAsia="宋体" w:cs="Times New Roman"/>
              </w:rPr>
            </w:pPr>
          </w:p>
        </w:tc>
        <w:tc>
          <w:tcPr>
            <w:tcW w:w="2933" w:type="dxa"/>
            <w:tcBorders>
              <w:top w:val="single" w:color="auto" w:sz="4" w:space="0"/>
              <w:left w:val="single" w:color="auto" w:sz="4" w:space="0"/>
              <w:bottom w:val="single" w:color="auto" w:sz="4" w:space="0"/>
            </w:tcBorders>
            <w:vAlign w:val="center"/>
          </w:tcPr>
          <w:p>
            <w:pPr>
              <w:spacing w:line="400" w:lineRule="exact"/>
              <w:jc w:val="center"/>
              <w:rPr>
                <w:rFonts w:ascii="宋体"/>
                <w:color w:val="000000"/>
                <w:sz w:val="24"/>
                <w:szCs w:val="24"/>
              </w:rPr>
            </w:pPr>
            <w:r>
              <w:rPr>
                <w:rFonts w:hint="eastAsia" w:ascii="宋体" w:hAnsi="宋体" w:cs="宋体"/>
                <w:color w:val="000000"/>
                <w:sz w:val="24"/>
                <w:szCs w:val="24"/>
              </w:rPr>
              <w:t>详见资信商务及技术文件第几页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jc w:val="center"/>
              <w:rPr>
                <w:rFonts w:ascii="宋体" w:eastAsia="宋体" w:cs="Times New Roman"/>
              </w:rPr>
            </w:pPr>
          </w:p>
        </w:tc>
        <w:tc>
          <w:tcPr>
            <w:tcW w:w="2933" w:type="dxa"/>
            <w:tcBorders>
              <w:top w:val="single" w:color="auto" w:sz="4" w:space="0"/>
              <w:left w:val="single" w:color="auto" w:sz="4" w:space="0"/>
              <w:bottom w:val="single" w:color="auto" w:sz="4" w:space="0"/>
            </w:tcBorders>
            <w:vAlign w:val="center"/>
          </w:tcPr>
          <w:p>
            <w:pPr>
              <w:pStyle w:val="37"/>
              <w:spacing w:line="400" w:lineRule="exact"/>
              <w:ind w:left="480"/>
              <w:jc w:val="center"/>
              <w:rPr>
                <w:rFonts w:ascii="宋体" w:eastAsia="宋体" w:cs="Times New Roman"/>
              </w:rPr>
            </w:pPr>
            <w:r>
              <w:rPr>
                <w:rFonts w:hint="eastAsia" w:ascii="宋体" w:eastAsia="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jc w:val="center"/>
              <w:rPr>
                <w:rFonts w:ascii="宋体" w:eastAsia="宋体" w:cs="Times New Roman"/>
              </w:rPr>
            </w:pPr>
          </w:p>
        </w:tc>
        <w:tc>
          <w:tcPr>
            <w:tcW w:w="2933" w:type="dxa"/>
            <w:tcBorders>
              <w:top w:val="single" w:color="auto" w:sz="4" w:space="0"/>
              <w:left w:val="single" w:color="auto" w:sz="4" w:space="0"/>
              <w:bottom w:val="single" w:color="auto" w:sz="4" w:space="0"/>
            </w:tcBorders>
            <w:vAlign w:val="center"/>
          </w:tcPr>
          <w:p>
            <w:pPr>
              <w:pStyle w:val="37"/>
              <w:spacing w:line="400" w:lineRule="exact"/>
              <w:ind w:left="480"/>
              <w:jc w:val="center"/>
              <w:rPr>
                <w:rFonts w:ascii="宋体" w:eastAsia="宋体"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786" w:type="dxa"/>
            <w:tcBorders>
              <w:bottom w:val="single" w:color="auto" w:sz="4" w:space="0"/>
              <w:right w:val="single" w:color="auto" w:sz="4" w:space="0"/>
            </w:tcBorders>
            <w:vAlign w:val="center"/>
          </w:tcPr>
          <w:p>
            <w:pPr>
              <w:spacing w:line="400" w:lineRule="exact"/>
              <w:rPr>
                <w:rFonts w:ascii="宋体"/>
                <w:color w:val="000000"/>
                <w:sz w:val="24"/>
                <w:szCs w:val="24"/>
              </w:rPr>
            </w:pPr>
            <w:r>
              <w:rPr>
                <w:rFonts w:hint="eastAsia" w:ascii="宋体" w:hAnsi="宋体" w:cs="宋体"/>
                <w:color w:val="000000"/>
                <w:sz w:val="24"/>
                <w:szCs w:val="24"/>
              </w:rPr>
              <w:t>三</w:t>
            </w:r>
          </w:p>
        </w:tc>
        <w:tc>
          <w:tcPr>
            <w:tcW w:w="1814" w:type="dxa"/>
            <w:tcBorders>
              <w:left w:val="single" w:color="auto" w:sz="4" w:space="0"/>
              <w:bottom w:val="single" w:color="auto" w:sz="4" w:space="0"/>
              <w:right w:val="single" w:color="auto" w:sz="4" w:space="0"/>
            </w:tcBorders>
            <w:vAlign w:val="center"/>
          </w:tcPr>
          <w:p>
            <w:pPr>
              <w:spacing w:line="400" w:lineRule="exact"/>
              <w:rPr>
                <w:rFonts w:ascii="宋体"/>
                <w:b/>
                <w:bCs/>
                <w:color w:val="000000"/>
                <w:sz w:val="24"/>
                <w:szCs w:val="24"/>
              </w:rPr>
            </w:pPr>
            <w:r>
              <w:rPr>
                <w:rFonts w:hint="eastAsia" w:ascii="宋体" w:hAnsi="宋体" w:cs="宋体"/>
                <w:b/>
                <w:bCs/>
                <w:color w:val="000000"/>
                <w:sz w:val="24"/>
                <w:szCs w:val="24"/>
              </w:rPr>
              <w:t>资信及其他分</w:t>
            </w:r>
          </w:p>
        </w:tc>
        <w:tc>
          <w:tcPr>
            <w:tcW w:w="2628" w:type="dxa"/>
            <w:tcBorders>
              <w:top w:val="single" w:color="auto" w:sz="4" w:space="0"/>
              <w:left w:val="single" w:color="auto" w:sz="4" w:space="0"/>
              <w:bottom w:val="single" w:color="auto" w:sz="4" w:space="0"/>
              <w:right w:val="single" w:color="auto" w:sz="4" w:space="0"/>
            </w:tcBorders>
            <w:vAlign w:val="center"/>
          </w:tcPr>
          <w:p>
            <w:pPr>
              <w:pStyle w:val="37"/>
              <w:spacing w:line="400" w:lineRule="exact"/>
              <w:ind w:left="480"/>
              <w:jc w:val="both"/>
              <w:rPr>
                <w:rFonts w:ascii="宋体" w:eastAsia="宋体" w:cs="Times New Roman"/>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b/>
                <w:bCs/>
                <w:color w:val="000000"/>
                <w:sz w:val="24"/>
                <w:szCs w:val="24"/>
              </w:rPr>
            </w:pPr>
          </w:p>
        </w:tc>
        <w:tc>
          <w:tcPr>
            <w:tcW w:w="2933" w:type="dxa"/>
            <w:tcBorders>
              <w:top w:val="single" w:color="auto" w:sz="4" w:space="0"/>
              <w:left w:val="single" w:color="auto" w:sz="4" w:space="0"/>
              <w:bottom w:val="single" w:color="auto" w:sz="4" w:space="0"/>
            </w:tcBorders>
            <w:vAlign w:val="center"/>
          </w:tcPr>
          <w:p>
            <w:pPr>
              <w:spacing w:line="400" w:lineRule="exact"/>
              <w:jc w:val="center"/>
              <w:rPr>
                <w:rFonts w:asci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86" w:type="dxa"/>
            <w:tcBorders>
              <w:bottom w:val="single" w:color="auto" w:sz="4" w:space="0"/>
              <w:right w:val="single" w:color="auto" w:sz="4" w:space="0"/>
            </w:tcBorders>
            <w:vAlign w:val="center"/>
          </w:tcPr>
          <w:p>
            <w:pPr>
              <w:spacing w:line="400" w:lineRule="exact"/>
              <w:rPr>
                <w:rFonts w:ascii="宋体"/>
                <w:color w:val="000000"/>
                <w:sz w:val="24"/>
                <w:szCs w:val="24"/>
              </w:rPr>
            </w:pPr>
          </w:p>
        </w:tc>
        <w:tc>
          <w:tcPr>
            <w:tcW w:w="1814" w:type="dxa"/>
            <w:tcBorders>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szCs w:val="24"/>
              </w:rPr>
            </w:pPr>
          </w:p>
        </w:tc>
        <w:tc>
          <w:tcPr>
            <w:tcW w:w="2933" w:type="dxa"/>
            <w:tcBorders>
              <w:top w:val="single" w:color="auto" w:sz="4" w:space="0"/>
              <w:left w:val="single" w:color="auto" w:sz="4" w:space="0"/>
              <w:bottom w:val="single" w:color="auto" w:sz="4" w:space="0"/>
            </w:tcBorders>
            <w:vAlign w:val="center"/>
          </w:tcPr>
          <w:p>
            <w:pPr>
              <w:spacing w:line="400" w:lineRule="exact"/>
              <w:jc w:val="center"/>
              <w:rPr>
                <w:rFonts w:ascii="宋体"/>
                <w:color w:val="000000"/>
                <w:sz w:val="24"/>
                <w:szCs w:val="24"/>
              </w:rPr>
            </w:pPr>
            <w:r>
              <w:rPr>
                <w:rFonts w:hint="eastAsia" w:ascii="宋体" w:hAnsi="宋体" w:cs="宋体"/>
                <w:color w:val="000000"/>
                <w:sz w:val="24"/>
                <w:szCs w:val="24"/>
              </w:rPr>
              <w:t>详见资信商务及技术文件第几页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szCs w:val="24"/>
              </w:rPr>
            </w:pPr>
          </w:p>
        </w:tc>
        <w:tc>
          <w:tcPr>
            <w:tcW w:w="2933" w:type="dxa"/>
            <w:tcBorders>
              <w:top w:val="single" w:color="auto" w:sz="4" w:space="0"/>
              <w:left w:val="single" w:color="auto" w:sz="4" w:space="0"/>
              <w:bottom w:val="single" w:color="auto" w:sz="4" w:space="0"/>
            </w:tcBorders>
            <w:vAlign w:val="center"/>
          </w:tcPr>
          <w:p>
            <w:pPr>
              <w:spacing w:line="400" w:lineRule="exact"/>
              <w:jc w:val="center"/>
              <w:rPr>
                <w:rFonts w:ascii="宋体"/>
                <w:color w:val="000000"/>
                <w:sz w:val="24"/>
                <w:szCs w:val="24"/>
              </w:rPr>
            </w:pPr>
            <w:r>
              <w:rPr>
                <w:rFonts w:hint="eastAsia" w:ascii="宋体" w:hAnsi="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86" w:type="dxa"/>
            <w:tcBorders>
              <w:top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81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262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sz w:val="24"/>
                <w:szCs w:val="24"/>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szCs w:val="24"/>
              </w:rPr>
            </w:pPr>
          </w:p>
        </w:tc>
        <w:tc>
          <w:tcPr>
            <w:tcW w:w="2933" w:type="dxa"/>
            <w:tcBorders>
              <w:top w:val="single" w:color="auto" w:sz="4" w:space="0"/>
              <w:left w:val="single" w:color="auto" w:sz="4" w:space="0"/>
              <w:bottom w:val="single" w:color="auto" w:sz="4" w:space="0"/>
            </w:tcBorders>
            <w:vAlign w:val="center"/>
          </w:tcPr>
          <w:p>
            <w:pPr>
              <w:spacing w:line="400" w:lineRule="exact"/>
              <w:jc w:val="center"/>
              <w:rPr>
                <w:rFonts w:ascii="宋体"/>
                <w:color w:val="000000"/>
                <w:sz w:val="24"/>
                <w:szCs w:val="24"/>
              </w:rPr>
            </w:pPr>
          </w:p>
        </w:tc>
      </w:tr>
    </w:tbl>
    <w:p>
      <w:pPr>
        <w:snapToGrid w:val="0"/>
        <w:spacing w:before="50" w:after="50" w:line="400" w:lineRule="exact"/>
        <w:rPr>
          <w:rFonts w:ascii="宋体"/>
          <w:sz w:val="24"/>
        </w:rPr>
      </w:pPr>
      <w:r>
        <w:rPr>
          <w:rFonts w:hint="eastAsia" w:ascii="宋体" w:hAnsi="宋体"/>
          <w:sz w:val="24"/>
        </w:rPr>
        <w:t>注：</w:t>
      </w:r>
      <w:r>
        <w:rPr>
          <w:rFonts w:hint="eastAsia" w:ascii="宋体" w:hAnsi="宋体" w:cs="宋体"/>
          <w:color w:val="000000"/>
          <w:sz w:val="24"/>
        </w:rPr>
        <w:t>投标单位根据所投标项的评分表内容，按此格式提供并置于</w:t>
      </w:r>
      <w:r>
        <w:rPr>
          <w:rFonts w:hint="eastAsia" w:ascii="宋体" w:hAnsi="宋体" w:cs="宋体"/>
          <w:color w:val="0D0D0D"/>
          <w:sz w:val="24"/>
        </w:rPr>
        <w:t>资信商务及</w:t>
      </w:r>
      <w:r>
        <w:rPr>
          <w:rFonts w:hint="eastAsia" w:ascii="宋体" w:hAnsi="宋体" w:cs="宋体"/>
          <w:color w:val="000000"/>
          <w:sz w:val="24"/>
        </w:rPr>
        <w:t>技术文件第</w:t>
      </w:r>
      <w:r>
        <w:rPr>
          <w:rFonts w:ascii="宋体" w:hAnsi="宋体" w:cs="宋体"/>
          <w:color w:val="000000"/>
          <w:sz w:val="24"/>
        </w:rPr>
        <w:t>1</w:t>
      </w:r>
      <w:r>
        <w:rPr>
          <w:rFonts w:hint="eastAsia" w:ascii="宋体" w:hAnsi="宋体" w:cs="宋体"/>
          <w:color w:val="000000"/>
          <w:sz w:val="24"/>
        </w:rPr>
        <w:t>页。</w:t>
      </w: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b/>
          <w:sz w:val="24"/>
        </w:rPr>
      </w:pPr>
      <w:r>
        <w:rPr>
          <w:rFonts w:hint="eastAsia" w:ascii="宋体" w:hAnsi="宋体"/>
          <w:b/>
          <w:sz w:val="24"/>
        </w:rPr>
        <w:t>2</w:t>
      </w:r>
      <w:r>
        <w:rPr>
          <w:rFonts w:ascii="宋体" w:hAnsi="宋体"/>
          <w:b/>
          <w:sz w:val="24"/>
        </w:rPr>
        <w:t>.</w:t>
      </w:r>
      <w:r>
        <w:rPr>
          <w:rFonts w:hint="eastAsia" w:ascii="宋体" w:hAnsi="宋体"/>
          <w:b/>
          <w:sz w:val="24"/>
        </w:rPr>
        <w:t>2投标声明书格式：</w:t>
      </w:r>
    </w:p>
    <w:p>
      <w:pPr>
        <w:snapToGrid w:val="0"/>
        <w:spacing w:beforeLines="50" w:after="50" w:line="360" w:lineRule="auto"/>
        <w:jc w:val="center"/>
        <w:rPr>
          <w:rFonts w:ascii="宋体"/>
          <w:sz w:val="24"/>
        </w:rPr>
      </w:pPr>
      <w:r>
        <w:rPr>
          <w:rFonts w:hint="eastAsia" w:ascii="宋体" w:hAnsi="宋体"/>
          <w:sz w:val="24"/>
        </w:rPr>
        <w:t>投标声明书</w:t>
      </w:r>
    </w:p>
    <w:p>
      <w:pPr>
        <w:snapToGrid w:val="0"/>
        <w:spacing w:beforeLines="50" w:after="50" w:line="360" w:lineRule="auto"/>
        <w:rPr>
          <w:rFonts w:ascii="宋体"/>
          <w:sz w:val="24"/>
        </w:rPr>
      </w:pPr>
      <w:r>
        <w:rPr>
          <w:rFonts w:hint="eastAsia" w:ascii="宋体" w:hAnsi="宋体"/>
          <w:sz w:val="24"/>
        </w:rPr>
        <w:t>致：</w:t>
      </w:r>
      <w:r>
        <w:rPr>
          <w:rFonts w:ascii="宋体" w:hAnsi="宋体"/>
          <w:sz w:val="24"/>
          <w:u w:val="single"/>
        </w:rPr>
        <w:t>_</w:t>
      </w:r>
      <w:r>
        <w:rPr>
          <w:rFonts w:hint="eastAsia" w:ascii="宋体" w:hAnsi="宋体"/>
          <w:sz w:val="24"/>
          <w:u w:val="single"/>
        </w:rPr>
        <w:t>金华市金诚招投标代理有限公司</w:t>
      </w:r>
      <w:r>
        <w:rPr>
          <w:rFonts w:ascii="宋体" w:hAnsi="宋体"/>
          <w:sz w:val="24"/>
          <w:u w:val="single"/>
        </w:rPr>
        <w:t>_</w:t>
      </w:r>
      <w:r>
        <w:rPr>
          <w:rFonts w:hint="eastAsia" w:ascii="宋体" w:hAnsi="宋体"/>
          <w:sz w:val="24"/>
        </w:rPr>
        <w:t>：</w:t>
      </w:r>
    </w:p>
    <w:p>
      <w:pPr>
        <w:snapToGrid w:val="0"/>
        <w:spacing w:beforeLines="50" w:after="50" w:line="360" w:lineRule="auto"/>
        <w:ind w:firstLine="600" w:firstLineChars="250"/>
        <w:rPr>
          <w:rFonts w:ascii="宋体"/>
          <w:sz w:val="24"/>
          <w:u w:val="single"/>
        </w:rPr>
      </w:pPr>
      <w:r>
        <w:rPr>
          <w:rFonts w:hint="eastAsia" w:ascii="宋体" w:hAnsi="宋体"/>
          <w:sz w:val="24"/>
          <w:u w:val="single"/>
        </w:rPr>
        <w:t>（投标人名称）</w:t>
      </w:r>
      <w:r>
        <w:rPr>
          <w:rFonts w:hint="eastAsia" w:ascii="宋体" w:hAnsi="宋体"/>
          <w:sz w:val="24"/>
        </w:rPr>
        <w:t>系中华人民共和国合法企业，经营地址。我</w:t>
      </w:r>
      <w:r>
        <w:rPr>
          <w:rFonts w:ascii="宋体" w:hAnsi="宋体"/>
          <w:sz w:val="24"/>
          <w:u w:val="single"/>
        </w:rPr>
        <w:t>_</w:t>
      </w:r>
      <w:r>
        <w:rPr>
          <w:rFonts w:hint="eastAsia" w:ascii="宋体" w:hAnsi="宋体"/>
          <w:sz w:val="24"/>
          <w:u w:val="single"/>
        </w:rPr>
        <w:t>（姓名）</w:t>
      </w:r>
      <w:r>
        <w:rPr>
          <w:rFonts w:hint="eastAsia" w:ascii="宋体" w:hAnsi="宋体"/>
          <w:sz w:val="24"/>
        </w:rPr>
        <w:t>系</w:t>
      </w:r>
      <w:r>
        <w:rPr>
          <w:rFonts w:ascii="宋体" w:hAnsi="宋体"/>
          <w:sz w:val="24"/>
          <w:u w:val="single"/>
        </w:rPr>
        <w:t>__</w:t>
      </w:r>
      <w:r>
        <w:rPr>
          <w:rFonts w:hint="eastAsia" w:ascii="宋体" w:hAnsi="宋体"/>
          <w:sz w:val="24"/>
          <w:u w:val="single"/>
        </w:rPr>
        <w:t>（投标人名称）</w:t>
      </w:r>
      <w:r>
        <w:rPr>
          <w:rFonts w:hint="eastAsia" w:ascii="宋体" w:hAnsi="宋体"/>
          <w:sz w:val="24"/>
        </w:rPr>
        <w:t>的法定代表人，我方愿意参加贵方组织的</w:t>
      </w:r>
      <w:r>
        <w:rPr>
          <w:rFonts w:hint="eastAsia" w:ascii="宋体" w:hAnsi="宋体" w:cs="Arial"/>
          <w:sz w:val="24"/>
          <w:u w:val="single"/>
          <w:lang w:eastAsia="zh-CN"/>
        </w:rPr>
        <w:t>江北街道智慧垃圾分类系统建设及运营服务（三期）</w:t>
      </w:r>
      <w:r>
        <w:rPr>
          <w:rFonts w:hint="eastAsia" w:ascii="宋体" w:hAnsi="宋体" w:cs="Arial"/>
          <w:sz w:val="24"/>
          <w:u w:val="single"/>
        </w:rPr>
        <w:t>项目</w:t>
      </w:r>
      <w:r>
        <w:rPr>
          <w:rFonts w:hint="eastAsia" w:hAnsi="宋体" w:cs="宋体"/>
          <w:sz w:val="24"/>
        </w:rPr>
        <w:t>的投</w:t>
      </w:r>
      <w:r>
        <w:rPr>
          <w:rFonts w:hint="eastAsia" w:ascii="宋体" w:hAnsi="宋体"/>
          <w:sz w:val="24"/>
        </w:rPr>
        <w:t>标，为便于贵方公正、择优地确定中标人，我方就本次投标有关事项郑重声明如下：</w:t>
      </w:r>
    </w:p>
    <w:p>
      <w:pPr>
        <w:snapToGrid w:val="0"/>
        <w:spacing w:line="360" w:lineRule="auto"/>
        <w:ind w:firstLine="480" w:firstLineChars="200"/>
        <w:rPr>
          <w:rFonts w:ascii="宋体"/>
          <w:sz w:val="24"/>
        </w:rPr>
      </w:pPr>
      <w:r>
        <w:rPr>
          <w:rFonts w:ascii="宋体" w:hAnsi="宋体"/>
          <w:sz w:val="24"/>
        </w:rPr>
        <w:t>1</w:t>
      </w:r>
      <w:r>
        <w:rPr>
          <w:rFonts w:ascii="宋体"/>
          <w:sz w:val="24"/>
        </w:rPr>
        <w:t>.</w:t>
      </w:r>
      <w:r>
        <w:rPr>
          <w:rFonts w:hint="eastAsia" w:ascii="宋体" w:hAnsi="宋体"/>
          <w:sz w:val="24"/>
        </w:rPr>
        <w:t>我方向贵方提交的所有投标文件、资料都是准确的和真实的。</w:t>
      </w:r>
    </w:p>
    <w:p>
      <w:pPr>
        <w:snapToGrid w:val="0"/>
        <w:spacing w:beforeLines="50" w:line="360" w:lineRule="auto"/>
        <w:ind w:firstLine="480" w:firstLineChars="200"/>
        <w:rPr>
          <w:rFonts w:ascii="宋体"/>
          <w:sz w:val="24"/>
        </w:rPr>
      </w:pPr>
      <w:r>
        <w:rPr>
          <w:rFonts w:ascii="宋体" w:hAnsi="宋体"/>
          <w:sz w:val="24"/>
        </w:rPr>
        <w:t>2</w:t>
      </w:r>
      <w:r>
        <w:rPr>
          <w:rFonts w:ascii="宋体"/>
          <w:sz w:val="24"/>
        </w:rPr>
        <w:t>.</w:t>
      </w:r>
      <w:r>
        <w:rPr>
          <w:rFonts w:hint="eastAsia" w:ascii="宋体" w:hAnsi="宋体"/>
          <w:sz w:val="24"/>
        </w:rPr>
        <w:t>我方不是采购人的附属机构</w:t>
      </w:r>
    </w:p>
    <w:p>
      <w:pPr>
        <w:snapToGrid w:val="0"/>
        <w:spacing w:beforeLines="50" w:line="360" w:lineRule="auto"/>
        <w:ind w:firstLine="480" w:firstLineChars="200"/>
        <w:rPr>
          <w:rFonts w:ascii="宋体"/>
          <w:sz w:val="24"/>
        </w:rPr>
      </w:pPr>
      <w:r>
        <w:rPr>
          <w:rFonts w:hint="eastAsia" w:ascii="宋体" w:hAnsi="宋体"/>
          <w:sz w:val="24"/>
        </w:rPr>
        <w:t>在获知本项目采购信息后，与采购人聘请的为此项目提供咨询服务的公司及其附属机构没有任何联系。</w:t>
      </w:r>
    </w:p>
    <w:p>
      <w:pPr>
        <w:pStyle w:val="6"/>
        <w:snapToGrid w:val="0"/>
        <w:spacing w:line="360" w:lineRule="auto"/>
        <w:ind w:firstLine="464" w:firstLineChars="200"/>
        <w:rPr>
          <w:rFonts w:hAnsi="宋体"/>
          <w:sz w:val="24"/>
          <w:szCs w:val="24"/>
        </w:rPr>
      </w:pPr>
      <w:r>
        <w:rPr>
          <w:rFonts w:hAnsi="宋体"/>
          <w:sz w:val="24"/>
          <w:szCs w:val="24"/>
        </w:rPr>
        <w:t>3.</w:t>
      </w:r>
      <w:r>
        <w:rPr>
          <w:rFonts w:hint="eastAsia" w:hAnsi="宋体"/>
          <w:sz w:val="24"/>
          <w:szCs w:val="24"/>
        </w:rPr>
        <w:t>我方及由本人担任法定代表人的其他机构最近三年内被通报、被处罚的违法行为或者可认定为不良行为的有：</w:t>
      </w:r>
    </w:p>
    <w:p>
      <w:pPr>
        <w:snapToGrid w:val="0"/>
        <w:spacing w:beforeLines="50" w:line="360" w:lineRule="auto"/>
        <w:ind w:firstLine="480" w:firstLineChars="200"/>
        <w:rPr>
          <w:rFonts w:ascii="宋体"/>
          <w:sz w:val="24"/>
          <w:u w:val="single"/>
        </w:rPr>
      </w:pPr>
      <w:r>
        <w:rPr>
          <w:rFonts w:hint="eastAsia" w:ascii="宋体" w:hAnsi="宋体"/>
          <w:sz w:val="24"/>
          <w:u w:val="single"/>
        </w:rPr>
        <w:t>　　　　　　　　　　　　　　　　　　　　　　　　　　　</w:t>
      </w:r>
    </w:p>
    <w:p>
      <w:pPr>
        <w:snapToGrid w:val="0"/>
        <w:spacing w:line="360" w:lineRule="auto"/>
        <w:ind w:firstLine="464" w:firstLineChars="200"/>
        <w:rPr>
          <w:rFonts w:ascii="宋体"/>
          <w:spacing w:val="-4"/>
          <w:sz w:val="24"/>
        </w:rPr>
      </w:pPr>
      <w:r>
        <w:rPr>
          <w:rFonts w:ascii="宋体" w:hAnsi="宋体"/>
          <w:spacing w:val="-4"/>
          <w:sz w:val="24"/>
        </w:rPr>
        <w:t>4.</w:t>
      </w:r>
      <w:r>
        <w:rPr>
          <w:rFonts w:hint="eastAsia" w:ascii="宋体" w:hAnsi="宋体"/>
          <w:spacing w:val="-4"/>
          <w:sz w:val="24"/>
        </w:rPr>
        <w:t>以上事项如有虚假或隐瞒，我方愿意承担一切后果，并不再寻求任何旨在减轻或免除法律责任的辩解。</w:t>
      </w:r>
    </w:p>
    <w:p>
      <w:pPr>
        <w:snapToGrid w:val="0"/>
        <w:spacing w:beforeLines="50" w:line="360" w:lineRule="auto"/>
        <w:ind w:firstLine="319" w:firstLineChars="133"/>
        <w:rPr>
          <w:rFonts w:ascii="宋体"/>
          <w:sz w:val="24"/>
          <w:u w:val="single"/>
        </w:rPr>
      </w:pPr>
      <w:r>
        <w:rPr>
          <w:rFonts w:hint="eastAsia" w:ascii="宋体" w:hAnsi="宋体"/>
          <w:sz w:val="24"/>
        </w:rPr>
        <w:t>法定代表人或授权代表签字：</w:t>
      </w:r>
    </w:p>
    <w:p>
      <w:pPr>
        <w:snapToGrid w:val="0"/>
        <w:spacing w:beforeLines="50" w:after="50" w:line="360" w:lineRule="auto"/>
        <w:ind w:firstLine="360" w:firstLineChars="150"/>
        <w:rPr>
          <w:rFonts w:ascii="宋体"/>
          <w:sz w:val="24"/>
        </w:rPr>
      </w:pPr>
      <w:r>
        <w:rPr>
          <w:rFonts w:hint="eastAsia" w:ascii="宋体" w:hAnsi="宋体"/>
          <w:sz w:val="24"/>
        </w:rPr>
        <w:t>投标人公章：</w:t>
      </w:r>
    </w:p>
    <w:p>
      <w:pPr>
        <w:snapToGrid w:val="0"/>
        <w:spacing w:beforeLines="50" w:after="50" w:line="360" w:lineRule="auto"/>
        <w:ind w:firstLine="5880" w:firstLineChars="2450"/>
        <w:rPr>
          <w:sz w:val="24"/>
        </w:rPr>
      </w:pPr>
      <w:r>
        <w:rPr>
          <w:rFonts w:hint="eastAsia"/>
          <w:sz w:val="24"/>
        </w:rPr>
        <w:t>年月日</w:t>
      </w:r>
    </w:p>
    <w:p>
      <w:pPr>
        <w:snapToGrid w:val="0"/>
        <w:spacing w:before="50" w:afterLines="50" w:line="360" w:lineRule="auto"/>
        <w:jc w:val="left"/>
        <w:outlineLvl w:val="2"/>
        <w:rPr>
          <w:rFonts w:ascii="宋体"/>
          <w:sz w:val="24"/>
        </w:rPr>
      </w:pPr>
      <w:r>
        <w:rPr>
          <w:rFonts w:ascii="宋体"/>
          <w:sz w:val="24"/>
        </w:rPr>
        <w:br w:type="page"/>
      </w:r>
      <w:r>
        <w:rPr>
          <w:rFonts w:hint="eastAsia" w:ascii="宋体"/>
          <w:b/>
          <w:bCs/>
          <w:sz w:val="24"/>
        </w:rPr>
        <w:t>2</w:t>
      </w:r>
      <w:r>
        <w:rPr>
          <w:rFonts w:ascii="宋体" w:hAnsi="宋体"/>
          <w:b/>
          <w:sz w:val="24"/>
        </w:rPr>
        <w:t>.</w:t>
      </w:r>
      <w:r>
        <w:rPr>
          <w:rFonts w:hint="eastAsia" w:ascii="宋体" w:hAnsi="宋体"/>
          <w:b/>
          <w:sz w:val="24"/>
        </w:rPr>
        <w:t>3法定代表人授权委托书格式：</w:t>
      </w:r>
    </w:p>
    <w:p>
      <w:pPr>
        <w:snapToGrid w:val="0"/>
        <w:spacing w:beforeLines="50" w:after="50" w:line="360" w:lineRule="auto"/>
        <w:rPr>
          <w:rFonts w:ascii="宋体"/>
          <w:b/>
          <w:sz w:val="24"/>
        </w:rPr>
      </w:pPr>
      <w:r>
        <w:rPr>
          <w:rFonts w:hint="eastAsia" w:ascii="宋体" w:hAnsi="宋体"/>
          <w:b/>
          <w:sz w:val="24"/>
        </w:rPr>
        <w:t>法定代表人授权委托书</w:t>
      </w:r>
    </w:p>
    <w:p>
      <w:pPr>
        <w:snapToGrid w:val="0"/>
        <w:spacing w:beforeLines="50" w:after="50" w:line="360" w:lineRule="auto"/>
        <w:rPr>
          <w:rFonts w:ascii="宋体"/>
          <w:b/>
          <w:bCs/>
          <w:sz w:val="24"/>
        </w:rPr>
      </w:pPr>
      <w:r>
        <w:rPr>
          <w:rFonts w:hint="eastAsia" w:ascii="宋体" w:hAnsi="宋体"/>
          <w:bCs/>
          <w:sz w:val="24"/>
        </w:rPr>
        <w:t>致：</w:t>
      </w:r>
      <w:r>
        <w:rPr>
          <w:rFonts w:ascii="宋体" w:hAnsi="宋体"/>
          <w:sz w:val="24"/>
          <w:u w:val="single"/>
        </w:rPr>
        <w:t>_</w:t>
      </w:r>
      <w:r>
        <w:rPr>
          <w:rFonts w:hint="eastAsia" w:ascii="宋体" w:hAnsi="宋体"/>
          <w:sz w:val="24"/>
          <w:u w:val="single"/>
        </w:rPr>
        <w:t>金华市金诚招投标代理有限公司</w:t>
      </w:r>
      <w:r>
        <w:rPr>
          <w:rFonts w:ascii="宋体" w:hAnsi="宋体"/>
          <w:sz w:val="24"/>
          <w:u w:val="single"/>
        </w:rPr>
        <w:t>_</w:t>
      </w:r>
      <w:r>
        <w:rPr>
          <w:rFonts w:hint="eastAsia" w:ascii="宋体" w:hAnsi="宋体"/>
          <w:sz w:val="24"/>
        </w:rPr>
        <w:t>：</w:t>
      </w:r>
    </w:p>
    <w:p>
      <w:pPr>
        <w:spacing w:beforeLines="50" w:afterLines="50" w:line="360" w:lineRule="auto"/>
        <w:ind w:firstLine="480" w:firstLineChars="200"/>
        <w:rPr>
          <w:rFonts w:ascii="宋体"/>
          <w:sz w:val="24"/>
        </w:rPr>
      </w:pPr>
      <w:r>
        <w:rPr>
          <w:rFonts w:hint="eastAsia" w:ascii="宋体" w:hAnsi="宋体"/>
          <w:sz w:val="24"/>
        </w:rPr>
        <w:t>我</w:t>
      </w:r>
      <w:r>
        <w:rPr>
          <w:rFonts w:ascii="宋体" w:hAnsi="宋体"/>
          <w:sz w:val="24"/>
          <w:u w:val="single"/>
        </w:rPr>
        <w:t>____</w:t>
      </w:r>
      <w:r>
        <w:rPr>
          <w:rFonts w:hint="eastAsia" w:ascii="宋体" w:hAnsi="宋体"/>
          <w:sz w:val="24"/>
          <w:u w:val="single"/>
        </w:rPr>
        <w:t>（姓名）</w:t>
      </w:r>
      <w:r>
        <w:rPr>
          <w:rFonts w:hint="eastAsia" w:ascii="宋体" w:hAnsi="宋体"/>
          <w:sz w:val="24"/>
        </w:rPr>
        <w:t>系</w:t>
      </w:r>
      <w:r>
        <w:rPr>
          <w:rFonts w:ascii="宋体" w:hAnsi="宋体"/>
          <w:sz w:val="24"/>
        </w:rPr>
        <w:t>__</w:t>
      </w:r>
      <w:r>
        <w:rPr>
          <w:rFonts w:ascii="宋体" w:hAnsi="宋体"/>
          <w:sz w:val="24"/>
          <w:u w:val="single"/>
        </w:rPr>
        <w:t>______</w:t>
      </w:r>
      <w:r>
        <w:rPr>
          <w:rFonts w:hint="eastAsia" w:ascii="宋体" w:hAnsi="宋体"/>
          <w:sz w:val="24"/>
          <w:u w:val="single"/>
        </w:rPr>
        <w:t>（投标人名称）</w:t>
      </w:r>
      <w:r>
        <w:rPr>
          <w:rFonts w:hint="eastAsia" w:ascii="宋体" w:hAnsi="宋体"/>
          <w:sz w:val="24"/>
        </w:rPr>
        <w:t>的法定代表人，现授权委托本单位在职职工</w:t>
      </w:r>
      <w:r>
        <w:rPr>
          <w:rFonts w:hint="eastAsia" w:ascii="宋体" w:hAnsi="宋体"/>
          <w:sz w:val="24"/>
          <w:u w:val="single"/>
        </w:rPr>
        <w:t>（姓名）</w:t>
      </w:r>
      <w:r>
        <w:rPr>
          <w:rFonts w:hint="eastAsia" w:ascii="宋体" w:hAnsi="宋体"/>
          <w:sz w:val="24"/>
        </w:rPr>
        <w:t>以我方的名义参加</w:t>
      </w:r>
      <w:r>
        <w:rPr>
          <w:rFonts w:hint="eastAsia" w:ascii="宋体" w:hAnsi="宋体" w:cs="Arial"/>
          <w:sz w:val="24"/>
          <w:u w:val="single"/>
          <w:lang w:eastAsia="zh-CN"/>
        </w:rPr>
        <w:t>江北街道智慧垃圾分类系统建设及运营服务（三期）</w:t>
      </w:r>
      <w:r>
        <w:rPr>
          <w:rFonts w:hint="eastAsia" w:ascii="宋体" w:hAnsi="宋体" w:cs="Arial"/>
          <w:sz w:val="24"/>
          <w:u w:val="single"/>
        </w:rPr>
        <w:t>项目</w:t>
      </w:r>
      <w:r>
        <w:rPr>
          <w:rFonts w:hint="eastAsia" w:hAnsi="宋体" w:cs="宋体"/>
          <w:sz w:val="24"/>
        </w:rPr>
        <w:t>的</w:t>
      </w:r>
      <w:r>
        <w:rPr>
          <w:rFonts w:hint="eastAsia" w:ascii="宋体" w:hAnsi="宋体"/>
          <w:sz w:val="24"/>
        </w:rPr>
        <w:t>投标活动，并代表我方全权办理针对上述项目的投标、开标、评标、签约等具体事务和签署相关文件。</w:t>
      </w:r>
    </w:p>
    <w:p>
      <w:pPr>
        <w:snapToGrid w:val="0"/>
        <w:spacing w:beforeLines="50" w:after="50" w:line="360" w:lineRule="auto"/>
        <w:rPr>
          <w:rFonts w:ascii="宋体"/>
          <w:sz w:val="24"/>
        </w:rPr>
      </w:pPr>
      <w:r>
        <w:rPr>
          <w:rFonts w:hint="eastAsia" w:ascii="宋体" w:hAnsi="宋体"/>
          <w:sz w:val="24"/>
        </w:rPr>
        <w:t>我方对被授权人的签名事项负全部责任。</w:t>
      </w:r>
    </w:p>
    <w:p>
      <w:pPr>
        <w:snapToGrid w:val="0"/>
        <w:spacing w:beforeLines="50" w:after="50" w:line="360" w:lineRule="auto"/>
        <w:ind w:firstLine="480"/>
        <w:rPr>
          <w:rFonts w:ascii="宋体"/>
          <w:sz w:val="24"/>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pPr>
        <w:snapToGrid w:val="0"/>
        <w:spacing w:beforeLines="50" w:after="50" w:line="360" w:lineRule="auto"/>
        <w:ind w:firstLine="480"/>
        <w:rPr>
          <w:rFonts w:ascii="宋体"/>
          <w:sz w:val="24"/>
        </w:rPr>
      </w:pPr>
      <w:r>
        <w:rPr>
          <w:rFonts w:hint="eastAsia" w:ascii="宋体" w:hAnsi="宋体"/>
          <w:sz w:val="24"/>
        </w:rPr>
        <w:t>被授权人无转委托权，特此委托。</w:t>
      </w:r>
    </w:p>
    <w:p>
      <w:pPr>
        <w:snapToGrid w:val="0"/>
        <w:spacing w:beforeLines="50" w:after="50" w:line="360" w:lineRule="auto"/>
        <w:rPr>
          <w:rFonts w:ascii="宋体"/>
          <w:sz w:val="24"/>
          <w:u w:val="single"/>
        </w:rPr>
      </w:pPr>
      <w:r>
        <w:rPr>
          <w:rFonts w:hint="eastAsia" w:ascii="宋体" w:hAnsi="宋体"/>
          <w:sz w:val="24"/>
        </w:rPr>
        <w:t>被授权人签名：                              法定代表人签名：</w:t>
      </w:r>
    </w:p>
    <w:p>
      <w:pPr>
        <w:snapToGrid w:val="0"/>
        <w:spacing w:beforeLines="50" w:after="50" w:line="360" w:lineRule="auto"/>
        <w:rPr>
          <w:rFonts w:ascii="宋体"/>
          <w:sz w:val="24"/>
        </w:rPr>
      </w:pPr>
      <w:r>
        <w:rPr>
          <w:rFonts w:hint="eastAsia" w:ascii="宋体" w:hAnsi="宋体"/>
          <w:sz w:val="24"/>
        </w:rPr>
        <w:t>职务：                                      职务：</w:t>
      </w:r>
    </w:p>
    <w:p>
      <w:pPr>
        <w:snapToGrid w:val="0"/>
        <w:spacing w:beforeLines="50" w:after="50" w:line="360" w:lineRule="auto"/>
        <w:rPr>
          <w:rFonts w:ascii="宋体"/>
          <w:sz w:val="24"/>
        </w:rPr>
      </w:pPr>
      <w:r>
        <w:rPr>
          <w:rFonts w:hint="eastAsia" w:ascii="宋体" w:hAnsi="宋体"/>
          <w:sz w:val="24"/>
        </w:rPr>
        <w:t>被授权人身份证复印件：</w:t>
      </w:r>
    </w:p>
    <w:p>
      <w:pPr>
        <w:snapToGrid w:val="0"/>
        <w:spacing w:beforeLines="50" w:after="50" w:line="360" w:lineRule="auto"/>
        <w:rPr>
          <w:rFonts w:ascii="宋体"/>
          <w:sz w:val="24"/>
        </w:rPr>
      </w:pPr>
    </w:p>
    <w:p>
      <w:pPr>
        <w:snapToGrid w:val="0"/>
        <w:spacing w:beforeLines="50" w:after="50" w:line="360" w:lineRule="auto"/>
        <w:rPr>
          <w:rFonts w:ascii="宋体"/>
          <w:sz w:val="24"/>
        </w:rPr>
      </w:pPr>
    </w:p>
    <w:p>
      <w:pPr>
        <w:snapToGrid w:val="0"/>
        <w:spacing w:beforeLines="50" w:after="50" w:line="360" w:lineRule="auto"/>
        <w:rPr>
          <w:rFonts w:ascii="宋体"/>
          <w:sz w:val="24"/>
        </w:rPr>
      </w:pPr>
    </w:p>
    <w:p>
      <w:pPr>
        <w:snapToGrid w:val="0"/>
        <w:spacing w:beforeLines="50" w:after="50" w:line="360" w:lineRule="auto"/>
        <w:rPr>
          <w:rFonts w:ascii="宋体"/>
          <w:sz w:val="24"/>
        </w:rPr>
      </w:pPr>
      <w:r>
        <w:rPr>
          <w:rFonts w:hint="eastAsia" w:ascii="宋体" w:hAnsi="宋体"/>
          <w:sz w:val="24"/>
        </w:rPr>
        <w:t>投标人公章：</w:t>
      </w:r>
    </w:p>
    <w:p>
      <w:pPr>
        <w:snapToGrid w:val="0"/>
        <w:spacing w:beforeLines="50" w:after="50" w:line="360" w:lineRule="auto"/>
        <w:jc w:val="center"/>
        <w:rPr>
          <w:rFonts w:ascii="宋体"/>
          <w:sz w:val="24"/>
        </w:rPr>
      </w:pPr>
    </w:p>
    <w:p>
      <w:pPr>
        <w:snapToGrid w:val="0"/>
        <w:spacing w:beforeLines="50" w:after="50" w:line="360" w:lineRule="auto"/>
        <w:jc w:val="center"/>
        <w:rPr>
          <w:rFonts w:ascii="宋体" w:hAnsi="宋体"/>
          <w:sz w:val="24"/>
        </w:rPr>
      </w:pPr>
      <w:r>
        <w:rPr>
          <w:rFonts w:hint="eastAsia" w:ascii="宋体" w:hAnsi="宋体"/>
          <w:sz w:val="24"/>
        </w:rPr>
        <w:t>年月日</w:t>
      </w:r>
    </w:p>
    <w:p>
      <w:pPr>
        <w:snapToGrid w:val="0"/>
        <w:spacing w:beforeLines="50" w:after="50" w:line="360" w:lineRule="auto"/>
        <w:jc w:val="center"/>
        <w:rPr>
          <w:rFonts w:ascii="宋体" w:hAnsi="宋体"/>
          <w:sz w:val="24"/>
        </w:rPr>
      </w:pPr>
    </w:p>
    <w:p>
      <w:pPr>
        <w:snapToGrid w:val="0"/>
        <w:spacing w:beforeLines="50" w:after="50" w:line="360" w:lineRule="auto"/>
        <w:jc w:val="center"/>
        <w:rPr>
          <w:rFonts w:ascii="宋体" w:hAnsi="宋体"/>
          <w:sz w:val="24"/>
        </w:rPr>
      </w:pPr>
    </w:p>
    <w:p>
      <w:pPr>
        <w:snapToGrid w:val="0"/>
        <w:spacing w:beforeLines="50" w:after="50" w:line="360" w:lineRule="auto"/>
        <w:rPr>
          <w:rFonts w:ascii="宋体" w:hAnsi="宋体"/>
          <w:sz w:val="24"/>
        </w:rPr>
      </w:pPr>
    </w:p>
    <w:p>
      <w:pPr>
        <w:snapToGrid w:val="0"/>
        <w:spacing w:before="50" w:afterLines="50" w:line="360" w:lineRule="auto"/>
        <w:jc w:val="left"/>
        <w:outlineLvl w:val="2"/>
        <w:rPr>
          <w:rFonts w:ascii="宋体"/>
          <w:b/>
          <w:sz w:val="24"/>
        </w:rPr>
      </w:pPr>
    </w:p>
    <w:p>
      <w:pPr>
        <w:snapToGrid w:val="0"/>
        <w:spacing w:before="50" w:afterLines="50" w:line="360" w:lineRule="auto"/>
        <w:jc w:val="left"/>
        <w:outlineLvl w:val="2"/>
        <w:rPr>
          <w:rFonts w:ascii="宋体"/>
          <w:b/>
          <w:sz w:val="24"/>
        </w:rPr>
      </w:pPr>
      <w:r>
        <w:rPr>
          <w:rFonts w:hint="eastAsia" w:ascii="宋体" w:hAnsi="宋体"/>
          <w:b/>
          <w:sz w:val="24"/>
        </w:rPr>
        <w:t>2</w:t>
      </w:r>
      <w:r>
        <w:rPr>
          <w:rFonts w:ascii="宋体" w:hAnsi="宋体"/>
          <w:b/>
          <w:sz w:val="24"/>
        </w:rPr>
        <w:t>.</w:t>
      </w:r>
      <w:r>
        <w:rPr>
          <w:rFonts w:hint="eastAsia" w:ascii="宋体" w:hAnsi="宋体"/>
          <w:b/>
          <w:sz w:val="24"/>
        </w:rPr>
        <w:t>4投标单位情况表：</w:t>
      </w:r>
    </w:p>
    <w:p>
      <w:pPr>
        <w:snapToGrid w:val="0"/>
        <w:spacing w:beforeLines="50" w:after="50" w:line="360" w:lineRule="auto"/>
        <w:jc w:val="center"/>
        <w:rPr>
          <w:rFonts w:ascii="宋体"/>
          <w:b/>
          <w:sz w:val="24"/>
        </w:rPr>
      </w:pPr>
      <w:r>
        <w:rPr>
          <w:rFonts w:hint="eastAsia" w:ascii="宋体" w:hAnsi="宋体"/>
          <w:b/>
          <w:sz w:val="24"/>
        </w:rPr>
        <w:t>投标单位情况表</w:t>
      </w:r>
    </w:p>
    <w:p>
      <w:pPr>
        <w:pStyle w:val="27"/>
        <w:spacing w:before="156" w:after="156" w:line="360" w:lineRule="auto"/>
        <w:rPr>
          <w:rFonts w:ascii="Times New Roman" w:hAnsi="Times New Roman"/>
        </w:rPr>
      </w:pPr>
      <w:r>
        <w:rPr>
          <w:rFonts w:hint="eastAsia" w:ascii="Times New Roman" w:hAnsi="Times New Roman"/>
        </w:rPr>
        <w:t>投标单位：填表日期：</w:t>
      </w:r>
    </w:p>
    <w:tbl>
      <w:tblPr>
        <w:tblStyle w:val="46"/>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60"/>
        <w:gridCol w:w="2887"/>
        <w:gridCol w:w="1222"/>
        <w:gridCol w:w="166"/>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104"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单位名称</w:t>
            </w:r>
          </w:p>
        </w:tc>
        <w:tc>
          <w:tcPr>
            <w:tcW w:w="2887" w:type="dxa"/>
            <w:vAlign w:val="center"/>
          </w:tcPr>
          <w:p>
            <w:pPr>
              <w:widowControl/>
              <w:spacing w:line="360" w:lineRule="auto"/>
              <w:jc w:val="center"/>
              <w:rPr>
                <w:sz w:val="24"/>
              </w:rPr>
            </w:pPr>
          </w:p>
        </w:tc>
        <w:tc>
          <w:tcPr>
            <w:tcW w:w="1388"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电话</w:t>
            </w:r>
          </w:p>
        </w:tc>
        <w:tc>
          <w:tcPr>
            <w:tcW w:w="2534" w:type="dxa"/>
            <w:vAlign w:val="center"/>
          </w:tcPr>
          <w:p>
            <w:pPr>
              <w:pStyle w:val="27"/>
              <w:spacing w:before="156" w:after="156" w:line="360" w:lineRule="auto"/>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04"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地址</w:t>
            </w:r>
          </w:p>
        </w:tc>
        <w:tc>
          <w:tcPr>
            <w:tcW w:w="2887" w:type="dxa"/>
            <w:vAlign w:val="center"/>
          </w:tcPr>
          <w:p>
            <w:pPr>
              <w:pStyle w:val="27"/>
              <w:spacing w:before="156" w:after="156" w:line="360" w:lineRule="auto"/>
              <w:jc w:val="center"/>
              <w:rPr>
                <w:rFonts w:ascii="Times New Roman" w:hAnsi="Times New Roman"/>
                <w:szCs w:val="24"/>
              </w:rPr>
            </w:pPr>
          </w:p>
        </w:tc>
        <w:tc>
          <w:tcPr>
            <w:tcW w:w="1388"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传真</w:t>
            </w:r>
          </w:p>
        </w:tc>
        <w:tc>
          <w:tcPr>
            <w:tcW w:w="2534" w:type="dxa"/>
            <w:vAlign w:val="center"/>
          </w:tcPr>
          <w:p>
            <w:pPr>
              <w:pStyle w:val="27"/>
              <w:spacing w:before="156" w:after="156" w:line="360" w:lineRule="auto"/>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04"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主管部门</w:t>
            </w:r>
          </w:p>
        </w:tc>
        <w:tc>
          <w:tcPr>
            <w:tcW w:w="2887" w:type="dxa"/>
            <w:vAlign w:val="center"/>
          </w:tcPr>
          <w:p>
            <w:pPr>
              <w:pStyle w:val="27"/>
              <w:spacing w:before="156" w:after="156" w:line="360" w:lineRule="auto"/>
              <w:jc w:val="center"/>
              <w:rPr>
                <w:rFonts w:ascii="Times New Roman" w:hAnsi="Times New Roman"/>
                <w:szCs w:val="24"/>
              </w:rPr>
            </w:pPr>
          </w:p>
        </w:tc>
        <w:tc>
          <w:tcPr>
            <w:tcW w:w="1388"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企业性质</w:t>
            </w:r>
          </w:p>
        </w:tc>
        <w:tc>
          <w:tcPr>
            <w:tcW w:w="2534" w:type="dxa"/>
            <w:vAlign w:val="center"/>
          </w:tcPr>
          <w:p>
            <w:pPr>
              <w:pStyle w:val="27"/>
              <w:spacing w:before="156" w:after="156" w:line="360" w:lineRule="auto"/>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104"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企业法人</w:t>
            </w:r>
          </w:p>
        </w:tc>
        <w:tc>
          <w:tcPr>
            <w:tcW w:w="2887" w:type="dxa"/>
            <w:vAlign w:val="center"/>
          </w:tcPr>
          <w:p>
            <w:pPr>
              <w:pStyle w:val="27"/>
              <w:spacing w:before="156" w:after="156" w:line="360" w:lineRule="auto"/>
              <w:jc w:val="center"/>
              <w:rPr>
                <w:rFonts w:ascii="Times New Roman" w:hAnsi="Times New Roman"/>
                <w:szCs w:val="24"/>
              </w:rPr>
            </w:pPr>
          </w:p>
        </w:tc>
        <w:tc>
          <w:tcPr>
            <w:tcW w:w="1388" w:type="dxa"/>
            <w:gridSpan w:val="2"/>
            <w:vAlign w:val="center"/>
          </w:tcPr>
          <w:p>
            <w:pPr>
              <w:pStyle w:val="27"/>
              <w:spacing w:before="156" w:after="156" w:line="360" w:lineRule="auto"/>
              <w:rPr>
                <w:rFonts w:ascii="Times New Roman" w:hAnsi="Times New Roman"/>
                <w:szCs w:val="24"/>
              </w:rPr>
            </w:pPr>
            <w:r>
              <w:rPr>
                <w:rFonts w:hint="eastAsia"/>
                <w:szCs w:val="24"/>
              </w:rPr>
              <w:t>资质等级</w:t>
            </w:r>
          </w:p>
        </w:tc>
        <w:tc>
          <w:tcPr>
            <w:tcW w:w="2534" w:type="dxa"/>
            <w:vAlign w:val="center"/>
          </w:tcPr>
          <w:p>
            <w:pPr>
              <w:pStyle w:val="27"/>
              <w:spacing w:before="156" w:after="156" w:line="360" w:lineRule="auto"/>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104"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授权代表</w:t>
            </w:r>
          </w:p>
        </w:tc>
        <w:tc>
          <w:tcPr>
            <w:tcW w:w="2887" w:type="dxa"/>
            <w:vAlign w:val="center"/>
          </w:tcPr>
          <w:p>
            <w:pPr>
              <w:pStyle w:val="27"/>
              <w:spacing w:before="156" w:after="156" w:line="360" w:lineRule="auto"/>
              <w:jc w:val="center"/>
              <w:rPr>
                <w:rFonts w:ascii="Times New Roman" w:hAnsi="Times New Roman"/>
                <w:szCs w:val="24"/>
              </w:rPr>
            </w:pPr>
          </w:p>
        </w:tc>
        <w:tc>
          <w:tcPr>
            <w:tcW w:w="1388" w:type="dxa"/>
            <w:gridSpan w:val="2"/>
            <w:vAlign w:val="center"/>
          </w:tcPr>
          <w:p>
            <w:pPr>
              <w:pStyle w:val="27"/>
              <w:spacing w:before="156" w:after="156" w:line="360" w:lineRule="auto"/>
              <w:rPr>
                <w:rFonts w:ascii="Times New Roman" w:hAnsi="Times New Roman"/>
                <w:szCs w:val="24"/>
              </w:rPr>
            </w:pPr>
            <w:r>
              <w:rPr>
                <w:rFonts w:hint="eastAsia" w:ascii="Times New Roman" w:hAnsi="Times New Roman"/>
                <w:szCs w:val="24"/>
              </w:rPr>
              <w:t>职务</w:t>
            </w:r>
          </w:p>
        </w:tc>
        <w:tc>
          <w:tcPr>
            <w:tcW w:w="2534" w:type="dxa"/>
            <w:vAlign w:val="center"/>
          </w:tcPr>
          <w:p>
            <w:pPr>
              <w:pStyle w:val="27"/>
              <w:spacing w:before="156" w:after="156" w:line="360" w:lineRule="auto"/>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844" w:type="dxa"/>
            <w:vMerge w:val="restart"/>
            <w:vAlign w:val="center"/>
          </w:tcPr>
          <w:p>
            <w:pPr>
              <w:pStyle w:val="27"/>
              <w:spacing w:before="156" w:after="156" w:line="360" w:lineRule="auto"/>
              <w:ind w:firstLine="720" w:firstLineChars="300"/>
              <w:jc w:val="center"/>
              <w:rPr>
                <w:rFonts w:ascii="Times New Roman" w:hAnsi="Times New Roman"/>
                <w:szCs w:val="24"/>
              </w:rPr>
            </w:pPr>
          </w:p>
          <w:p>
            <w:pPr>
              <w:pStyle w:val="27"/>
              <w:spacing w:before="156" w:after="156" w:line="360" w:lineRule="auto"/>
              <w:jc w:val="center"/>
              <w:rPr>
                <w:rFonts w:ascii="Times New Roman" w:hAnsi="Times New Roman"/>
                <w:szCs w:val="24"/>
              </w:rPr>
            </w:pPr>
            <w:r>
              <w:rPr>
                <w:rFonts w:hint="eastAsia" w:ascii="Times New Roman" w:hAnsi="Times New Roman"/>
                <w:szCs w:val="24"/>
              </w:rPr>
              <w:t>单位概况</w:t>
            </w:r>
          </w:p>
          <w:p>
            <w:pPr>
              <w:pStyle w:val="27"/>
              <w:spacing w:before="156" w:after="156" w:line="360" w:lineRule="auto"/>
              <w:ind w:firstLine="720" w:firstLineChars="300"/>
              <w:jc w:val="center"/>
              <w:rPr>
                <w:rFonts w:ascii="Times New Roman" w:hAnsi="Times New Roman"/>
                <w:szCs w:val="24"/>
              </w:rPr>
            </w:pPr>
          </w:p>
          <w:p>
            <w:pPr>
              <w:pStyle w:val="27"/>
              <w:spacing w:before="156" w:after="156" w:line="360" w:lineRule="auto"/>
              <w:ind w:firstLine="720" w:firstLineChars="300"/>
              <w:jc w:val="center"/>
              <w:rPr>
                <w:rFonts w:ascii="Times New Roman" w:hAnsi="Times New Roman"/>
                <w:szCs w:val="24"/>
              </w:rPr>
            </w:pPr>
          </w:p>
          <w:p>
            <w:pPr>
              <w:pStyle w:val="27"/>
              <w:spacing w:before="156" w:after="156" w:line="360" w:lineRule="auto"/>
              <w:ind w:firstLine="720" w:firstLineChars="300"/>
              <w:jc w:val="center"/>
              <w:rPr>
                <w:rFonts w:ascii="Times New Roman" w:hAnsi="Times New Roman"/>
                <w:szCs w:val="24"/>
              </w:rPr>
            </w:pPr>
          </w:p>
          <w:p>
            <w:pPr>
              <w:pStyle w:val="27"/>
              <w:spacing w:before="156" w:after="156" w:line="360" w:lineRule="auto"/>
              <w:ind w:firstLine="720" w:firstLineChars="300"/>
              <w:jc w:val="center"/>
              <w:rPr>
                <w:rFonts w:ascii="Times New Roman" w:hAnsi="Times New Roman"/>
                <w:szCs w:val="24"/>
              </w:rPr>
            </w:pPr>
          </w:p>
        </w:tc>
        <w:tc>
          <w:tcPr>
            <w:tcW w:w="1260" w:type="dxa"/>
            <w:vMerge w:val="restart"/>
            <w:vAlign w:val="center"/>
          </w:tcPr>
          <w:p>
            <w:pPr>
              <w:spacing w:line="360" w:lineRule="auto"/>
              <w:jc w:val="center"/>
              <w:rPr>
                <w:sz w:val="24"/>
              </w:rPr>
            </w:pPr>
            <w:r>
              <w:rPr>
                <w:rFonts w:hint="eastAsia"/>
                <w:sz w:val="24"/>
              </w:rPr>
              <w:t>职工总数</w:t>
            </w:r>
          </w:p>
        </w:tc>
        <w:tc>
          <w:tcPr>
            <w:tcW w:w="2887" w:type="dxa"/>
            <w:vAlign w:val="center"/>
          </w:tcPr>
          <w:p>
            <w:pPr>
              <w:pStyle w:val="27"/>
              <w:spacing w:before="156" w:after="156" w:line="360" w:lineRule="auto"/>
              <w:rPr>
                <w:rFonts w:ascii="Times New Roman" w:hAnsi="Times New Roman"/>
                <w:szCs w:val="24"/>
              </w:rPr>
            </w:pPr>
            <w:r>
              <w:rPr>
                <w:rFonts w:hint="eastAsia" w:ascii="Times New Roman" w:hAnsi="Times New Roman"/>
                <w:szCs w:val="24"/>
              </w:rPr>
              <w:t>员工：人</w:t>
            </w:r>
          </w:p>
        </w:tc>
        <w:tc>
          <w:tcPr>
            <w:tcW w:w="3922" w:type="dxa"/>
            <w:gridSpan w:val="3"/>
            <w:vAlign w:val="center"/>
          </w:tcPr>
          <w:p>
            <w:pPr>
              <w:pStyle w:val="27"/>
              <w:spacing w:before="156" w:after="156" w:line="360" w:lineRule="auto"/>
              <w:rPr>
                <w:rFonts w:ascii="Times New Roman" w:hAnsi="Times New Roman"/>
                <w:szCs w:val="24"/>
              </w:rPr>
            </w:pPr>
            <w:r>
              <w:rPr>
                <w:rFonts w:hint="eastAsia" w:ascii="Times New Roman" w:hAnsi="Times New Roman"/>
                <w:szCs w:val="24"/>
              </w:rPr>
              <w:t>初级职称：人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844" w:type="dxa"/>
            <w:vMerge w:val="continue"/>
            <w:vAlign w:val="center"/>
          </w:tcPr>
          <w:p>
            <w:pPr>
              <w:pStyle w:val="27"/>
              <w:spacing w:before="156" w:after="156" w:line="360" w:lineRule="auto"/>
              <w:ind w:firstLine="720" w:firstLineChars="300"/>
              <w:jc w:val="center"/>
              <w:rPr>
                <w:rFonts w:ascii="Times New Roman" w:hAnsi="Times New Roman"/>
                <w:szCs w:val="24"/>
              </w:rPr>
            </w:pPr>
          </w:p>
        </w:tc>
        <w:tc>
          <w:tcPr>
            <w:tcW w:w="1260" w:type="dxa"/>
            <w:vMerge w:val="continue"/>
            <w:vAlign w:val="center"/>
          </w:tcPr>
          <w:p>
            <w:pPr>
              <w:widowControl/>
              <w:spacing w:line="360" w:lineRule="auto"/>
              <w:jc w:val="center"/>
              <w:rPr>
                <w:sz w:val="24"/>
              </w:rPr>
            </w:pPr>
          </w:p>
        </w:tc>
        <w:tc>
          <w:tcPr>
            <w:tcW w:w="2887" w:type="dxa"/>
            <w:vAlign w:val="center"/>
          </w:tcPr>
          <w:p>
            <w:pPr>
              <w:pStyle w:val="27"/>
              <w:spacing w:before="156" w:after="156" w:line="360" w:lineRule="auto"/>
              <w:rPr>
                <w:szCs w:val="24"/>
              </w:rPr>
            </w:pPr>
            <w:r>
              <w:rPr>
                <w:rFonts w:hint="eastAsia"/>
                <w:szCs w:val="24"/>
              </w:rPr>
              <w:t>高级职称：人</w:t>
            </w:r>
          </w:p>
        </w:tc>
        <w:tc>
          <w:tcPr>
            <w:tcW w:w="3922" w:type="dxa"/>
            <w:gridSpan w:val="3"/>
            <w:vAlign w:val="center"/>
          </w:tcPr>
          <w:p>
            <w:pPr>
              <w:pStyle w:val="27"/>
              <w:spacing w:before="156" w:after="156" w:line="360" w:lineRule="auto"/>
              <w:rPr>
                <w:szCs w:val="24"/>
              </w:rPr>
            </w:pPr>
            <w:r>
              <w:rPr>
                <w:rFonts w:hint="eastAsia"/>
                <w:szCs w:val="24"/>
              </w:rPr>
              <w:t>中级职称：人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844" w:type="dxa"/>
            <w:vMerge w:val="continue"/>
            <w:vAlign w:val="center"/>
          </w:tcPr>
          <w:p>
            <w:pPr>
              <w:pStyle w:val="27"/>
              <w:spacing w:before="156" w:after="156" w:line="360" w:lineRule="auto"/>
              <w:ind w:firstLine="720" w:firstLineChars="300"/>
              <w:jc w:val="center"/>
              <w:rPr>
                <w:rFonts w:ascii="Times New Roman" w:hAnsi="Times New Roman"/>
                <w:szCs w:val="24"/>
              </w:rPr>
            </w:pPr>
          </w:p>
        </w:tc>
        <w:tc>
          <w:tcPr>
            <w:tcW w:w="1260" w:type="dxa"/>
            <w:vAlign w:val="center"/>
          </w:tcPr>
          <w:p>
            <w:pPr>
              <w:pStyle w:val="27"/>
              <w:spacing w:before="156" w:after="156" w:line="360" w:lineRule="auto"/>
              <w:jc w:val="center"/>
              <w:rPr>
                <w:szCs w:val="24"/>
              </w:rPr>
            </w:pPr>
            <w:r>
              <w:rPr>
                <w:rFonts w:hint="eastAsia"/>
                <w:szCs w:val="24"/>
              </w:rPr>
              <w:t>流动资金</w:t>
            </w:r>
          </w:p>
        </w:tc>
        <w:tc>
          <w:tcPr>
            <w:tcW w:w="2887" w:type="dxa"/>
            <w:vAlign w:val="center"/>
          </w:tcPr>
          <w:p>
            <w:pPr>
              <w:pStyle w:val="27"/>
              <w:spacing w:before="156" w:after="156" w:line="360" w:lineRule="auto"/>
              <w:jc w:val="center"/>
              <w:rPr>
                <w:szCs w:val="24"/>
              </w:rPr>
            </w:pPr>
          </w:p>
        </w:tc>
        <w:tc>
          <w:tcPr>
            <w:tcW w:w="1222" w:type="dxa"/>
            <w:vAlign w:val="center"/>
          </w:tcPr>
          <w:p>
            <w:pPr>
              <w:pStyle w:val="27"/>
              <w:spacing w:before="156" w:after="156" w:line="360" w:lineRule="auto"/>
              <w:jc w:val="center"/>
              <w:rPr>
                <w:szCs w:val="24"/>
              </w:rPr>
            </w:pPr>
          </w:p>
        </w:tc>
        <w:tc>
          <w:tcPr>
            <w:tcW w:w="2700" w:type="dxa"/>
            <w:gridSpan w:val="2"/>
            <w:vAlign w:val="center"/>
          </w:tcPr>
          <w:p>
            <w:pPr>
              <w:pStyle w:val="27"/>
              <w:spacing w:before="156" w:after="156" w:line="360" w:lineRule="auto"/>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exact"/>
          <w:jc w:val="center"/>
        </w:trPr>
        <w:tc>
          <w:tcPr>
            <w:tcW w:w="844" w:type="dxa"/>
            <w:vMerge w:val="continue"/>
            <w:vAlign w:val="center"/>
          </w:tcPr>
          <w:p>
            <w:pPr>
              <w:pStyle w:val="27"/>
              <w:spacing w:before="156" w:after="156" w:line="360" w:lineRule="auto"/>
              <w:ind w:firstLine="720" w:firstLineChars="300"/>
              <w:jc w:val="center"/>
              <w:rPr>
                <w:rFonts w:ascii="Times New Roman" w:hAnsi="Times New Roman"/>
                <w:szCs w:val="24"/>
              </w:rPr>
            </w:pPr>
          </w:p>
        </w:tc>
        <w:tc>
          <w:tcPr>
            <w:tcW w:w="1260" w:type="dxa"/>
            <w:vAlign w:val="center"/>
          </w:tcPr>
          <w:p>
            <w:pPr>
              <w:pStyle w:val="27"/>
              <w:spacing w:before="156" w:after="156" w:line="360" w:lineRule="auto"/>
              <w:jc w:val="center"/>
              <w:rPr>
                <w:szCs w:val="24"/>
              </w:rPr>
            </w:pPr>
            <w:r>
              <w:rPr>
                <w:rFonts w:hint="eastAsia"/>
                <w:szCs w:val="24"/>
              </w:rPr>
              <w:t>固定资金</w:t>
            </w:r>
          </w:p>
        </w:tc>
        <w:tc>
          <w:tcPr>
            <w:tcW w:w="2887" w:type="dxa"/>
            <w:vAlign w:val="center"/>
          </w:tcPr>
          <w:p>
            <w:pPr>
              <w:widowControl/>
              <w:spacing w:line="360" w:lineRule="auto"/>
              <w:jc w:val="center"/>
              <w:rPr>
                <w:sz w:val="24"/>
              </w:rPr>
            </w:pPr>
          </w:p>
        </w:tc>
        <w:tc>
          <w:tcPr>
            <w:tcW w:w="1222" w:type="dxa"/>
            <w:vAlign w:val="center"/>
          </w:tcPr>
          <w:p>
            <w:pPr>
              <w:pStyle w:val="27"/>
              <w:spacing w:before="156" w:after="156" w:line="360" w:lineRule="auto"/>
              <w:jc w:val="center"/>
              <w:rPr>
                <w:szCs w:val="24"/>
              </w:rPr>
            </w:pPr>
            <w:r>
              <w:rPr>
                <w:rFonts w:hint="eastAsia"/>
                <w:szCs w:val="24"/>
              </w:rPr>
              <w:t>服务网点</w:t>
            </w:r>
          </w:p>
        </w:tc>
        <w:tc>
          <w:tcPr>
            <w:tcW w:w="2700" w:type="dxa"/>
            <w:gridSpan w:val="2"/>
            <w:vAlign w:val="center"/>
          </w:tcPr>
          <w:p>
            <w:pPr>
              <w:widowControl/>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44" w:type="dxa"/>
            <w:vAlign w:val="center"/>
          </w:tcPr>
          <w:p>
            <w:pPr>
              <w:pStyle w:val="27"/>
              <w:spacing w:before="156" w:after="156" w:line="360" w:lineRule="auto"/>
              <w:jc w:val="center"/>
              <w:rPr>
                <w:rFonts w:ascii="Times New Roman" w:hAnsi="Times New Roman"/>
                <w:szCs w:val="24"/>
              </w:rPr>
            </w:pPr>
            <w:r>
              <w:rPr>
                <w:rFonts w:hint="eastAsia" w:ascii="Times New Roman" w:hAnsi="Times New Roman"/>
                <w:szCs w:val="24"/>
              </w:rPr>
              <w:t>单位简历</w:t>
            </w:r>
          </w:p>
        </w:tc>
        <w:tc>
          <w:tcPr>
            <w:tcW w:w="8069" w:type="dxa"/>
            <w:gridSpan w:val="5"/>
          </w:tcPr>
          <w:p>
            <w:pPr>
              <w:spacing w:line="360" w:lineRule="auto"/>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844" w:type="dxa"/>
            <w:vAlign w:val="center"/>
          </w:tcPr>
          <w:p>
            <w:pPr>
              <w:pStyle w:val="27"/>
              <w:spacing w:before="156" w:after="156" w:line="360" w:lineRule="auto"/>
              <w:jc w:val="center"/>
              <w:rPr>
                <w:rFonts w:ascii="Times New Roman" w:hAnsi="Times New Roman"/>
                <w:szCs w:val="24"/>
              </w:rPr>
            </w:pPr>
            <w:r>
              <w:rPr>
                <w:rFonts w:hint="eastAsia" w:ascii="Times New Roman" w:hAnsi="Times New Roman"/>
                <w:szCs w:val="24"/>
              </w:rPr>
              <w:t>优势及特长</w:t>
            </w:r>
          </w:p>
        </w:tc>
        <w:tc>
          <w:tcPr>
            <w:tcW w:w="8069" w:type="dxa"/>
            <w:gridSpan w:val="5"/>
          </w:tcPr>
          <w:p>
            <w:pPr>
              <w:spacing w:line="360" w:lineRule="auto"/>
              <w:jc w:val="left"/>
              <w:rPr>
                <w:sz w:val="24"/>
              </w:rPr>
            </w:pPr>
          </w:p>
        </w:tc>
      </w:tr>
    </w:tbl>
    <w:p>
      <w:pPr>
        <w:snapToGrid w:val="0"/>
        <w:spacing w:before="50" w:afterLines="50"/>
        <w:jc w:val="left"/>
        <w:rPr>
          <w:rFonts w:ascii="宋体"/>
          <w:b/>
          <w:sz w:val="24"/>
        </w:rPr>
      </w:pPr>
    </w:p>
    <w:p>
      <w:pPr>
        <w:rPr>
          <w:rFonts w:ascii="宋体" w:cs="仿宋_GB2312"/>
          <w:sz w:val="24"/>
        </w:rPr>
      </w:pPr>
    </w:p>
    <w:p>
      <w:pPr>
        <w:rPr>
          <w:rFonts w:ascii="宋体" w:cs="仿宋_GB2312"/>
          <w:sz w:val="24"/>
        </w:rPr>
      </w:pPr>
    </w:p>
    <w:p>
      <w:pPr>
        <w:snapToGrid w:val="0"/>
        <w:spacing w:before="50" w:afterLines="50" w:line="360" w:lineRule="auto"/>
        <w:jc w:val="left"/>
        <w:outlineLvl w:val="2"/>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5中小企业声明函</w:t>
      </w:r>
    </w:p>
    <w:p>
      <w:pPr>
        <w:rPr>
          <w:rFonts w:ascii="宋体"/>
          <w:b/>
          <w:sz w:val="24"/>
        </w:rPr>
      </w:pPr>
    </w:p>
    <w:p>
      <w:pPr>
        <w:tabs>
          <w:tab w:val="left" w:pos="420"/>
        </w:tabs>
        <w:ind w:firstLine="482" w:firstLineChars="200"/>
        <w:jc w:val="center"/>
        <w:rPr>
          <w:rFonts w:ascii="宋体" w:hAnsi="宋体" w:cs="宋体"/>
          <w:b/>
          <w:bCs/>
          <w:color w:val="auto"/>
          <w:kern w:val="0"/>
          <w:sz w:val="24"/>
        </w:rPr>
      </w:pPr>
      <w:r>
        <w:rPr>
          <w:rFonts w:hint="eastAsia" w:ascii="宋体" w:hAnsi="宋体" w:cs="宋体"/>
          <w:b/>
          <w:bCs/>
          <w:color w:val="auto"/>
          <w:kern w:val="0"/>
          <w:sz w:val="24"/>
        </w:rPr>
        <w:t>中小企业声明函（货物）</w:t>
      </w:r>
    </w:p>
    <w:p>
      <w:pPr>
        <w:rPr>
          <w:rFonts w:ascii="宋体" w:hAnsi="宋体" w:cs="宋体"/>
          <w:b/>
          <w:color w:val="auto"/>
          <w:sz w:val="24"/>
        </w:rPr>
      </w:pPr>
    </w:p>
    <w:p>
      <w:pPr>
        <w:tabs>
          <w:tab w:val="left" w:pos="420"/>
        </w:tabs>
        <w:spacing w:line="360" w:lineRule="auto"/>
        <w:ind w:firstLine="480" w:firstLineChars="200"/>
        <w:jc w:val="left"/>
        <w:rPr>
          <w:rFonts w:ascii="宋体" w:hAnsi="宋体" w:cs="宋体"/>
          <w:bCs/>
          <w:color w:val="auto"/>
          <w:kern w:val="0"/>
          <w:sz w:val="24"/>
        </w:rPr>
      </w:pPr>
      <w:r>
        <w:rPr>
          <w:rFonts w:hint="eastAsia" w:ascii="宋体" w:hAnsi="宋体" w:cs="宋体"/>
          <w:bCs/>
          <w:color w:val="auto"/>
          <w:kern w:val="0"/>
          <w:sz w:val="24"/>
        </w:rPr>
        <w:t>本公司郑重声明，根据《政府采购促进中小企业发展管理办法》（财库﹝2020﹞46 号）的规定，本公司参加__________________（单位名称） 的__________________（项目名称） 采购活动，提供的货物全部由符合政策要求的中小企业制造。相关企业（含联合体中的中小企业、签订分包意向协议的中小企业）的具体情况如下：</w:t>
      </w:r>
    </w:p>
    <w:p>
      <w:pPr>
        <w:tabs>
          <w:tab w:val="left" w:pos="420"/>
        </w:tabs>
        <w:spacing w:line="360" w:lineRule="auto"/>
        <w:ind w:firstLine="480" w:firstLineChars="200"/>
        <w:jc w:val="left"/>
        <w:rPr>
          <w:rFonts w:ascii="宋体" w:hAnsi="宋体" w:cs="宋体"/>
          <w:bCs/>
          <w:color w:val="auto"/>
          <w:kern w:val="0"/>
          <w:sz w:val="24"/>
        </w:rPr>
      </w:pPr>
      <w:r>
        <w:rPr>
          <w:rFonts w:hint="eastAsia" w:ascii="宋体" w:hAnsi="宋体" w:cs="宋体"/>
          <w:bCs/>
          <w:color w:val="auto"/>
          <w:kern w:val="0"/>
          <w:sz w:val="24"/>
        </w:rPr>
        <w:t>1.（标的名称），属于（采购文件中明确的所属行业）行业 ；制造商为（企业名称） ，从业人员_____人，营业收入为_____万元，资产总额为_____万元，属于（中型企业、小型企业、微型企业） ；</w:t>
      </w:r>
    </w:p>
    <w:p>
      <w:pPr>
        <w:tabs>
          <w:tab w:val="left" w:pos="420"/>
        </w:tabs>
        <w:spacing w:line="360" w:lineRule="auto"/>
        <w:ind w:firstLine="480" w:firstLineChars="200"/>
        <w:jc w:val="left"/>
        <w:rPr>
          <w:rFonts w:ascii="宋体" w:hAnsi="宋体" w:cs="宋体"/>
          <w:bCs/>
          <w:color w:val="auto"/>
          <w:kern w:val="0"/>
          <w:sz w:val="24"/>
        </w:rPr>
      </w:pPr>
      <w:r>
        <w:rPr>
          <w:rFonts w:hint="eastAsia" w:ascii="宋体" w:hAnsi="宋体" w:cs="宋体"/>
          <w:bCs/>
          <w:color w:val="auto"/>
          <w:kern w:val="0"/>
          <w:sz w:val="24"/>
        </w:rPr>
        <w:t>2.（标的名称），属于 （采购文件中明确的所属行业）行业 ；制造商为_____ （企业名称） ，从业人员_____人，营业收入为_____万元，资产总额为_____万元，属于（中型企业、小型企业、微型企业） ；  以上企业，不属于大企业的分支机构，不存在控股股东为大企业的情形，也不存在与大企业的负责人为同一人的情形。</w:t>
      </w:r>
    </w:p>
    <w:p>
      <w:pPr>
        <w:tabs>
          <w:tab w:val="left" w:pos="420"/>
        </w:tabs>
        <w:spacing w:line="360" w:lineRule="auto"/>
        <w:ind w:firstLine="480" w:firstLineChars="200"/>
        <w:jc w:val="left"/>
        <w:rPr>
          <w:rFonts w:ascii="宋体" w:hAnsi="宋体" w:cs="宋体"/>
          <w:bCs/>
          <w:color w:val="auto"/>
          <w:kern w:val="0"/>
          <w:sz w:val="24"/>
        </w:rPr>
      </w:pPr>
      <w:r>
        <w:rPr>
          <w:rFonts w:hint="eastAsia" w:ascii="宋体" w:hAnsi="宋体" w:cs="宋体"/>
          <w:bCs/>
          <w:color w:val="auto"/>
          <w:kern w:val="0"/>
          <w:sz w:val="24"/>
        </w:rPr>
        <w:t>本企业对上述声明内容的真实性负责。如有虚假，将依法承担相应责任。</w:t>
      </w:r>
    </w:p>
    <w:p>
      <w:pPr>
        <w:tabs>
          <w:tab w:val="left" w:pos="420"/>
        </w:tabs>
        <w:spacing w:line="360" w:lineRule="auto"/>
        <w:ind w:firstLine="480" w:firstLineChars="200"/>
        <w:jc w:val="left"/>
        <w:rPr>
          <w:rFonts w:ascii="宋体" w:hAnsi="宋体" w:cs="宋体"/>
          <w:bCs/>
          <w:color w:val="auto"/>
          <w:kern w:val="0"/>
          <w:sz w:val="24"/>
        </w:rPr>
      </w:pPr>
    </w:p>
    <w:p>
      <w:pPr>
        <w:tabs>
          <w:tab w:val="left" w:pos="420"/>
        </w:tabs>
        <w:spacing w:line="360" w:lineRule="auto"/>
        <w:ind w:firstLine="480" w:firstLineChars="200"/>
        <w:jc w:val="right"/>
        <w:rPr>
          <w:rFonts w:ascii="宋体" w:hAnsi="宋体" w:cs="宋体"/>
          <w:bCs/>
          <w:color w:val="auto"/>
          <w:kern w:val="0"/>
          <w:sz w:val="24"/>
        </w:rPr>
      </w:pPr>
      <w:r>
        <w:rPr>
          <w:rFonts w:hint="eastAsia" w:ascii="宋体" w:hAnsi="宋体" w:cs="宋体"/>
          <w:bCs/>
          <w:color w:val="auto"/>
          <w:kern w:val="0"/>
          <w:sz w:val="24"/>
        </w:rPr>
        <w:t>企业名称（盖章）：</w:t>
      </w:r>
    </w:p>
    <w:p>
      <w:pPr>
        <w:spacing w:line="360" w:lineRule="auto"/>
        <w:ind w:firstLine="6960" w:firstLineChars="2900"/>
        <w:rPr>
          <w:rFonts w:ascii="宋体" w:hAnsi="宋体" w:cs="宋体"/>
          <w:color w:val="auto"/>
          <w:sz w:val="24"/>
        </w:rPr>
      </w:pPr>
      <w:r>
        <w:rPr>
          <w:rFonts w:hint="eastAsia" w:ascii="宋体" w:hAnsi="宋体" w:cs="宋体"/>
          <w:bCs/>
          <w:color w:val="auto"/>
          <w:kern w:val="0"/>
          <w:sz w:val="24"/>
        </w:rPr>
        <w:t>日 期：</w:t>
      </w:r>
    </w:p>
    <w:p>
      <w:pPr>
        <w:rPr>
          <w:rFonts w:ascii="宋体" w:hAnsi="宋体" w:cs="宋体"/>
          <w:color w:val="auto"/>
          <w:sz w:val="24"/>
        </w:rPr>
      </w:pPr>
    </w:p>
    <w:p>
      <w:pPr>
        <w:tabs>
          <w:tab w:val="left" w:pos="420"/>
        </w:tabs>
        <w:spacing w:before="100" w:beforeAutospacing="1" w:after="100" w:afterAutospacing="1"/>
        <w:rPr>
          <w:rFonts w:ascii="宋体" w:hAnsi="宋体" w:cs="宋体"/>
          <w:b/>
          <w:bCs/>
          <w:color w:val="auto"/>
          <w:kern w:val="0"/>
          <w:sz w:val="24"/>
        </w:rPr>
      </w:pPr>
      <w:r>
        <w:rPr>
          <w:rFonts w:hint="eastAsia" w:ascii="宋体" w:hAnsi="宋体" w:cs="宋体"/>
          <w:b/>
          <w:bCs/>
          <w:color w:val="auto"/>
          <w:kern w:val="0"/>
          <w:sz w:val="24"/>
        </w:rPr>
        <w:t>注：</w:t>
      </w:r>
    </w:p>
    <w:p>
      <w:pPr>
        <w:tabs>
          <w:tab w:val="left" w:pos="420"/>
        </w:tabs>
        <w:spacing w:before="100" w:beforeAutospacing="1" w:after="100" w:afterAutospacing="1"/>
        <w:rPr>
          <w:rFonts w:ascii="宋体" w:hAnsi="宋体" w:cs="宋体"/>
          <w:b/>
          <w:color w:val="auto"/>
          <w:szCs w:val="21"/>
        </w:rPr>
      </w:pPr>
      <w:r>
        <w:rPr>
          <w:rFonts w:hint="eastAsia" w:ascii="宋体" w:hAnsi="宋体" w:cs="宋体"/>
          <w:b/>
          <w:bCs/>
          <w:color w:val="auto"/>
          <w:kern w:val="0"/>
          <w:sz w:val="24"/>
        </w:rPr>
        <w:t>1、</w:t>
      </w:r>
      <w:r>
        <w:rPr>
          <w:rFonts w:hint="eastAsia" w:ascii="宋体" w:hAnsi="宋体" w:cs="宋体"/>
          <w:b/>
          <w:color w:val="auto"/>
          <w:szCs w:val="21"/>
        </w:rPr>
        <w:t>如投标产品由小微企业生产，则需提供中小企业声明函。</w:t>
      </w:r>
    </w:p>
    <w:p>
      <w:pPr>
        <w:tabs>
          <w:tab w:val="left" w:pos="420"/>
        </w:tabs>
        <w:spacing w:before="100" w:beforeAutospacing="1" w:after="100" w:afterAutospacing="1"/>
        <w:rPr>
          <w:rFonts w:ascii="宋体" w:hAnsi="宋体" w:cs="宋体"/>
          <w:b/>
          <w:color w:val="auto"/>
          <w:szCs w:val="21"/>
        </w:rPr>
      </w:pPr>
      <w:r>
        <w:rPr>
          <w:rFonts w:hint="eastAsia" w:ascii="宋体" w:hAnsi="宋体" w:cs="宋体"/>
          <w:b/>
          <w:color w:val="auto"/>
          <w:szCs w:val="21"/>
        </w:rPr>
        <w:t>2、小微企业提供的货物既有中小企业制造货物，也有大型企业制造货物的，不享受中小企业扶持政策。</w:t>
      </w:r>
    </w:p>
    <w:p>
      <w:pPr>
        <w:rPr>
          <w:rFonts w:ascii="宋体"/>
          <w:sz w:val="24"/>
        </w:rPr>
      </w:pPr>
      <w:r>
        <w:rPr>
          <w:rFonts w:hint="eastAsia" w:ascii="宋体" w:hAnsi="宋体" w:cs="宋体"/>
          <w:b/>
          <w:color w:val="auto"/>
          <w:szCs w:val="21"/>
        </w:rPr>
        <w:t>3、如中标人声明为小微企业，本声明函将随中标结果同时公告，接受社会监督。</w:t>
      </w:r>
    </w:p>
    <w:p>
      <w:pPr>
        <w:rPr>
          <w:rFonts w:ascii="宋体"/>
          <w:sz w:val="24"/>
        </w:rPr>
      </w:pPr>
    </w:p>
    <w:p>
      <w:pPr>
        <w:rPr>
          <w:rFonts w:ascii="宋体"/>
          <w:sz w:val="24"/>
        </w:rPr>
      </w:pPr>
    </w:p>
    <w:p>
      <w:pPr>
        <w:pStyle w:val="2"/>
        <w:widowControl/>
        <w:tabs>
          <w:tab w:val="left" w:pos="432"/>
        </w:tabs>
        <w:spacing w:before="0" w:after="0" w:line="240" w:lineRule="atLeast"/>
        <w:ind w:firstLine="241" w:firstLineChars="100"/>
        <w:jc w:val="left"/>
        <w:rPr>
          <w:rFonts w:ascii="宋体" w:cs="仿宋_GB2312"/>
          <w:sz w:val="24"/>
        </w:rPr>
      </w:pPr>
    </w:p>
    <w:p>
      <w:pPr>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tabs>
          <w:tab w:val="left" w:pos="420"/>
        </w:tabs>
        <w:ind w:firstLine="482" w:firstLineChars="200"/>
        <w:jc w:val="center"/>
        <w:rPr>
          <w:rFonts w:ascii="宋体" w:hAnsi="宋体" w:cs="Arial"/>
          <w:b/>
          <w:bCs/>
          <w:kern w:val="0"/>
          <w:sz w:val="24"/>
        </w:rPr>
      </w:pPr>
      <w:r>
        <w:rPr>
          <w:rFonts w:hint="eastAsia" w:ascii="宋体" w:hAnsi="宋体" w:cs="Arial"/>
          <w:b/>
          <w:bCs/>
          <w:kern w:val="0"/>
          <w:sz w:val="24"/>
        </w:rPr>
        <w:t>中小企业声明函（服务）</w:t>
      </w:r>
    </w:p>
    <w:p/>
    <w:p>
      <w:pPr>
        <w:tabs>
          <w:tab w:val="left" w:pos="420"/>
        </w:tabs>
        <w:spacing w:line="360" w:lineRule="auto"/>
        <w:ind w:firstLine="480" w:firstLineChars="200"/>
        <w:jc w:val="left"/>
        <w:rPr>
          <w:rFonts w:ascii="宋体" w:hAnsi="宋体" w:cs="Arial"/>
          <w:bCs/>
          <w:kern w:val="0"/>
          <w:sz w:val="24"/>
        </w:rPr>
      </w:pPr>
      <w:r>
        <w:rPr>
          <w:rFonts w:hint="eastAsia" w:ascii="宋体" w:hAnsi="宋体" w:cs="Arial"/>
          <w:bCs/>
          <w:kern w:val="0"/>
          <w:sz w:val="24"/>
        </w:rPr>
        <w:t>本公司郑重声明，根据《政府采购促进中小企业发展管理办法》（财库﹝2020﹞46 号）的规定，本公司参加__________________（单位名称） 的__________________（项目名称） 采购活动，服务全部由符合政策要求的中小企业承接。相关企业（含联合体中的中小企业、签订分包意向协议的中小企业）的具体情况如下：</w:t>
      </w:r>
    </w:p>
    <w:p>
      <w:pPr>
        <w:tabs>
          <w:tab w:val="left" w:pos="420"/>
        </w:tabs>
        <w:spacing w:line="360" w:lineRule="auto"/>
        <w:ind w:firstLine="480" w:firstLineChars="200"/>
        <w:jc w:val="left"/>
        <w:rPr>
          <w:rFonts w:ascii="宋体" w:hAnsi="宋体" w:cs="Arial"/>
          <w:bCs/>
          <w:kern w:val="0"/>
          <w:sz w:val="24"/>
        </w:rPr>
      </w:pPr>
      <w:r>
        <w:rPr>
          <w:rFonts w:hint="eastAsia" w:ascii="宋体" w:hAnsi="宋体" w:cs="Arial"/>
          <w:bCs/>
          <w:kern w:val="0"/>
          <w:sz w:val="24"/>
          <w:u w:val="single"/>
        </w:rPr>
        <w:t xml:space="preserve">              </w:t>
      </w:r>
      <w:r>
        <w:rPr>
          <w:rFonts w:hint="eastAsia" w:ascii="宋体" w:hAnsi="宋体" w:cs="Arial"/>
          <w:bCs/>
          <w:kern w:val="0"/>
          <w:sz w:val="24"/>
        </w:rPr>
        <w:t>（标的名称），属于</w:t>
      </w:r>
      <w:r>
        <w:rPr>
          <w:rFonts w:hint="eastAsia" w:ascii="宋体" w:hAnsi="宋体" w:cs="Arial"/>
          <w:bCs/>
          <w:kern w:val="0"/>
          <w:sz w:val="24"/>
          <w:u w:val="single"/>
        </w:rPr>
        <w:t xml:space="preserve">              </w:t>
      </w:r>
      <w:r>
        <w:rPr>
          <w:rFonts w:hint="eastAsia" w:ascii="宋体" w:hAnsi="宋体" w:cs="Arial"/>
          <w:bCs/>
          <w:kern w:val="0"/>
          <w:sz w:val="24"/>
        </w:rPr>
        <w:t xml:space="preserve">（采购文件中明确的所属行业）行业；承接企业为 </w:t>
      </w:r>
      <w:r>
        <w:rPr>
          <w:rFonts w:hint="eastAsia" w:ascii="宋体" w:hAnsi="宋体" w:cs="Arial"/>
          <w:bCs/>
          <w:kern w:val="0"/>
          <w:sz w:val="24"/>
          <w:u w:val="single"/>
        </w:rPr>
        <w:t xml:space="preserve">                 </w:t>
      </w:r>
      <w:r>
        <w:rPr>
          <w:rFonts w:hint="eastAsia" w:ascii="宋体" w:hAnsi="宋体" w:cs="Arial"/>
          <w:bCs/>
          <w:kern w:val="0"/>
          <w:sz w:val="24"/>
        </w:rPr>
        <w:t>（企业名称），从业人员_____人，营业收入为_____万元，资产总额为_____万元，属于</w:t>
      </w:r>
      <w:r>
        <w:rPr>
          <w:rFonts w:hint="eastAsia" w:ascii="宋体" w:hAnsi="宋体" w:cs="Arial"/>
          <w:bCs/>
          <w:kern w:val="0"/>
          <w:sz w:val="24"/>
          <w:u w:val="single"/>
        </w:rPr>
        <w:t xml:space="preserve">             </w:t>
      </w:r>
      <w:r>
        <w:rPr>
          <w:rFonts w:hint="eastAsia" w:ascii="宋体" w:hAnsi="宋体" w:cs="Arial"/>
          <w:bCs/>
          <w:kern w:val="0"/>
          <w:sz w:val="24"/>
        </w:rPr>
        <w:t>（中型企业、小型企业、微型企业）；</w:t>
      </w:r>
    </w:p>
    <w:p>
      <w:pPr>
        <w:tabs>
          <w:tab w:val="left" w:pos="420"/>
        </w:tabs>
        <w:spacing w:line="360" w:lineRule="auto"/>
        <w:ind w:firstLine="480" w:firstLineChars="200"/>
        <w:jc w:val="left"/>
        <w:rPr>
          <w:rFonts w:ascii="宋体" w:hAnsi="宋体" w:cs="Arial"/>
          <w:bCs/>
          <w:kern w:val="0"/>
          <w:sz w:val="24"/>
        </w:rPr>
      </w:pPr>
      <w:r>
        <w:rPr>
          <w:rFonts w:hint="eastAsia" w:ascii="宋体" w:hAnsi="宋体" w:cs="Arial"/>
          <w:bCs/>
          <w:kern w:val="0"/>
          <w:sz w:val="24"/>
        </w:rPr>
        <w:t>本企业对上述声明内容的真实性负责。如有虚假，将依法承担相应责任。</w:t>
      </w:r>
    </w:p>
    <w:p>
      <w:pPr>
        <w:tabs>
          <w:tab w:val="left" w:pos="420"/>
        </w:tabs>
        <w:spacing w:line="360" w:lineRule="auto"/>
        <w:ind w:firstLine="480" w:firstLineChars="200"/>
        <w:jc w:val="left"/>
        <w:rPr>
          <w:rFonts w:ascii="宋体" w:hAnsi="宋体" w:cs="Arial"/>
          <w:bCs/>
          <w:kern w:val="0"/>
          <w:sz w:val="24"/>
        </w:rPr>
      </w:pPr>
    </w:p>
    <w:p>
      <w:pPr>
        <w:tabs>
          <w:tab w:val="left" w:pos="420"/>
        </w:tabs>
        <w:spacing w:line="360" w:lineRule="auto"/>
        <w:ind w:firstLine="480" w:firstLineChars="200"/>
        <w:jc w:val="right"/>
        <w:rPr>
          <w:rFonts w:ascii="宋体" w:hAnsi="宋体" w:cs="Arial"/>
          <w:bCs/>
          <w:kern w:val="0"/>
          <w:sz w:val="24"/>
        </w:rPr>
      </w:pPr>
      <w:r>
        <w:rPr>
          <w:rFonts w:hint="eastAsia" w:ascii="宋体" w:hAnsi="宋体" w:cs="Arial"/>
          <w:bCs/>
          <w:kern w:val="0"/>
          <w:sz w:val="24"/>
        </w:rPr>
        <w:t>企业名称（盖章）：</w:t>
      </w:r>
    </w:p>
    <w:p>
      <w:pPr>
        <w:tabs>
          <w:tab w:val="left" w:pos="420"/>
        </w:tabs>
        <w:spacing w:before="100" w:beforeAutospacing="1" w:after="100" w:afterAutospacing="1" w:line="360" w:lineRule="auto"/>
        <w:ind w:firstLine="480" w:firstLineChars="200"/>
        <w:jc w:val="center"/>
        <w:rPr>
          <w:rFonts w:ascii="宋体" w:hAnsi="宋体" w:cs="Arial"/>
          <w:bCs/>
          <w:kern w:val="0"/>
          <w:sz w:val="24"/>
        </w:rPr>
      </w:pPr>
      <w:r>
        <w:rPr>
          <w:rFonts w:hint="eastAsia" w:ascii="宋体" w:hAnsi="宋体" w:cs="Arial"/>
          <w:bCs/>
          <w:kern w:val="0"/>
          <w:sz w:val="24"/>
        </w:rPr>
        <w:t xml:space="preserve">                                                   日 期：</w:t>
      </w:r>
    </w:p>
    <w:p>
      <w:pPr>
        <w:tabs>
          <w:tab w:val="left" w:pos="420"/>
        </w:tabs>
        <w:spacing w:before="100" w:beforeAutospacing="1" w:after="100" w:afterAutospacing="1"/>
        <w:rPr>
          <w:rFonts w:ascii="宋体" w:hAnsi="宋体" w:cs="Arial"/>
          <w:b/>
          <w:bCs/>
          <w:kern w:val="0"/>
          <w:sz w:val="24"/>
        </w:rPr>
      </w:pPr>
      <w:r>
        <w:rPr>
          <w:rFonts w:hint="eastAsia" w:ascii="宋体" w:hAnsi="宋体" w:cs="Arial"/>
          <w:b/>
          <w:bCs/>
          <w:kern w:val="0"/>
          <w:sz w:val="24"/>
        </w:rPr>
        <w:t>注：</w:t>
      </w:r>
    </w:p>
    <w:p>
      <w:pPr>
        <w:tabs>
          <w:tab w:val="left" w:pos="420"/>
        </w:tabs>
        <w:spacing w:before="100" w:beforeAutospacing="1" w:after="100" w:afterAutospacing="1"/>
        <w:rPr>
          <w:rFonts w:ascii="宋体" w:hAnsi="宋体"/>
          <w:b/>
          <w:szCs w:val="21"/>
        </w:rPr>
      </w:pPr>
      <w:r>
        <w:rPr>
          <w:rFonts w:hint="eastAsia" w:ascii="宋体" w:hAnsi="宋体" w:cs="Arial"/>
          <w:b/>
          <w:bCs/>
          <w:kern w:val="0"/>
          <w:sz w:val="24"/>
        </w:rPr>
        <w:t>1、</w:t>
      </w:r>
      <w:r>
        <w:rPr>
          <w:rFonts w:hint="eastAsia" w:ascii="宋体" w:hAnsi="宋体"/>
          <w:b/>
          <w:szCs w:val="21"/>
        </w:rPr>
        <w:t>如承接单位为小微企业，则需提供中小企业声明函。</w:t>
      </w:r>
    </w:p>
    <w:p>
      <w:pPr>
        <w:rPr>
          <w:rFonts w:ascii="宋体"/>
          <w:b/>
          <w:sz w:val="24"/>
        </w:rPr>
      </w:pPr>
      <w:r>
        <w:rPr>
          <w:rFonts w:hint="eastAsia" w:ascii="宋体" w:hAnsi="宋体"/>
          <w:b/>
          <w:szCs w:val="21"/>
        </w:rPr>
        <w:t>2、如中标人声明为小微企业，本声明函将随中标结果同时公告，接受社会监督。</w:t>
      </w: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snapToGrid w:val="0"/>
        <w:spacing w:before="50" w:afterLines="50" w:line="360" w:lineRule="auto"/>
        <w:jc w:val="left"/>
        <w:outlineLvl w:val="2"/>
        <w:rPr>
          <w:rFonts w:hint="eastAsia" w:ascii="宋体" w:hAnsi="宋体"/>
          <w:b/>
          <w:sz w:val="24"/>
        </w:rPr>
      </w:pPr>
    </w:p>
    <w:p>
      <w:pPr>
        <w:snapToGrid w:val="0"/>
        <w:spacing w:before="50" w:afterLines="50" w:line="360" w:lineRule="auto"/>
        <w:jc w:val="left"/>
        <w:outlineLvl w:val="2"/>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6：</w:t>
      </w:r>
    </w:p>
    <w:p>
      <w:pPr>
        <w:spacing w:line="588" w:lineRule="exact"/>
        <w:jc w:val="center"/>
        <w:rPr>
          <w:rFonts w:ascii="宋体"/>
          <w:b/>
          <w:spacing w:val="6"/>
          <w:sz w:val="24"/>
        </w:rPr>
      </w:pPr>
      <w:bookmarkStart w:id="2" w:name="OLE_LINK14"/>
      <w:bookmarkStart w:id="3" w:name="OLE_LINK13"/>
      <w:r>
        <w:rPr>
          <w:rFonts w:hint="eastAsia" w:ascii="宋体" w:hAnsi="宋体"/>
          <w:b/>
          <w:spacing w:val="6"/>
          <w:sz w:val="24"/>
        </w:rPr>
        <w:t>残疾人福利性单位声明函</w:t>
      </w:r>
    </w:p>
    <w:bookmarkEnd w:id="2"/>
    <w:bookmarkEnd w:id="3"/>
    <w:p>
      <w:pPr>
        <w:spacing w:line="588" w:lineRule="exact"/>
        <w:rPr>
          <w:rFonts w:ascii="宋体"/>
          <w:b/>
          <w:spacing w:val="6"/>
          <w:sz w:val="24"/>
        </w:rPr>
      </w:pPr>
    </w:p>
    <w:p>
      <w:pPr>
        <w:spacing w:line="588" w:lineRule="exact"/>
        <w:ind w:firstLine="480" w:firstLineChars="200"/>
        <w:rPr>
          <w:rFonts w:ascii="宋体" w:cs="仿宋_GB2312"/>
          <w:sz w:val="24"/>
        </w:rPr>
      </w:pPr>
      <w:r>
        <w:rPr>
          <w:rFonts w:hint="eastAsia" w:ascii="宋体" w:hAnsi="宋体" w:cs="仿宋_GB2312"/>
          <w:sz w:val="24"/>
        </w:rPr>
        <w:t>本单位郑重声明，根据《财政部民政部中国残疾人联合会关于促进残疾人就业政府采购政策的通知》（财库〔</w:t>
      </w:r>
      <w:r>
        <w:rPr>
          <w:rFonts w:ascii="宋体" w:hAnsi="宋体" w:cs="仿宋_GB2312"/>
          <w:sz w:val="24"/>
        </w:rPr>
        <w:t>2017</w:t>
      </w:r>
      <w:r>
        <w:rPr>
          <w:rFonts w:hint="eastAsia" w:ascii="宋体" w:hAnsi="宋体" w:cs="仿宋_GB2312"/>
          <w:sz w:val="24"/>
        </w:rPr>
        <w:t>〕</w:t>
      </w:r>
      <w:r>
        <w:rPr>
          <w:rFonts w:ascii="宋体" w:hAnsi="宋体" w:cs="仿宋_GB2312"/>
          <w:sz w:val="24"/>
        </w:rPr>
        <w:t xml:space="preserve"> 141</w:t>
      </w:r>
      <w:r>
        <w:rPr>
          <w:rFonts w:hint="eastAsia" w:ascii="宋体" w:hAnsi="宋体" w:cs="仿宋_GB2312"/>
          <w:sz w:val="24"/>
        </w:rPr>
        <w:t>号）的规定，本单位为符合条件的残疾人福利性单位，且本单位参加</w:t>
      </w:r>
      <w:r>
        <w:rPr>
          <w:rFonts w:ascii="宋体" w:hAnsi="宋体" w:cs="仿宋_GB2312"/>
          <w:sz w:val="24"/>
        </w:rPr>
        <w:t>______</w:t>
      </w:r>
      <w:r>
        <w:rPr>
          <w:rFonts w:hint="eastAsia" w:ascii="宋体" w:hAnsi="宋体" w:cs="仿宋_GB2312"/>
          <w:sz w:val="24"/>
        </w:rPr>
        <w:t>单位的</w:t>
      </w:r>
      <w:r>
        <w:rPr>
          <w:rFonts w:ascii="宋体" w:hAnsi="宋体" w:cs="仿宋_GB2312"/>
          <w:sz w:val="24"/>
        </w:rPr>
        <w:t>______</w:t>
      </w:r>
      <w:r>
        <w:rPr>
          <w:rFonts w:hint="eastAsia" w:ascii="宋体" w:hAnsi="宋体" w:cs="仿宋_GB2312"/>
          <w:sz w:val="24"/>
        </w:rPr>
        <w:t>项目采购活动提供的是本单位制造货物（由本单位承担工程</w:t>
      </w:r>
      <w:r>
        <w:rPr>
          <w:rFonts w:ascii="宋体" w:hAnsi="宋体" w:cs="仿宋_GB2312"/>
          <w:sz w:val="24"/>
        </w:rPr>
        <w:t>/</w:t>
      </w:r>
      <w:r>
        <w:rPr>
          <w:rFonts w:hint="eastAsia" w:ascii="宋体" w:hAnsi="宋体" w:cs="仿宋_GB2312"/>
          <w:sz w:val="24"/>
        </w:rPr>
        <w:t>提供服务）。</w:t>
      </w:r>
    </w:p>
    <w:p>
      <w:pPr>
        <w:spacing w:line="588" w:lineRule="exact"/>
        <w:ind w:firstLine="480" w:firstLineChars="200"/>
        <w:rPr>
          <w:rFonts w:ascii="宋体" w:cs="仿宋_GB2312"/>
          <w:sz w:val="24"/>
        </w:rPr>
      </w:pPr>
      <w:r>
        <w:rPr>
          <w:rFonts w:hint="eastAsia" w:ascii="宋体" w:hAnsi="宋体" w:cs="仿宋_GB2312"/>
          <w:sz w:val="24"/>
        </w:rPr>
        <w:t>本单位对上述声明的真实性负责。如有虚假，将依法承担相应责任。</w:t>
      </w:r>
    </w:p>
    <w:p>
      <w:pPr>
        <w:spacing w:line="588" w:lineRule="exact"/>
        <w:ind w:firstLine="480" w:firstLineChars="200"/>
        <w:rPr>
          <w:rFonts w:ascii="宋体" w:cs="仿宋_GB2312"/>
          <w:sz w:val="24"/>
        </w:rPr>
      </w:pPr>
    </w:p>
    <w:p>
      <w:pPr>
        <w:spacing w:line="588" w:lineRule="exact"/>
        <w:ind w:firstLine="480" w:firstLineChars="200"/>
        <w:rPr>
          <w:rFonts w:ascii="宋体" w:cs="仿宋_GB2312"/>
          <w:sz w:val="24"/>
        </w:rPr>
      </w:pPr>
    </w:p>
    <w:p>
      <w:pPr>
        <w:tabs>
          <w:tab w:val="left" w:pos="4860"/>
        </w:tabs>
        <w:spacing w:line="588" w:lineRule="exact"/>
        <w:ind w:right="1560" w:firstLine="480" w:firstLineChars="200"/>
        <w:jc w:val="center"/>
        <w:rPr>
          <w:rFonts w:ascii="宋体" w:cs="仿宋_GB2312"/>
          <w:sz w:val="24"/>
        </w:rPr>
      </w:pPr>
      <w:r>
        <w:rPr>
          <w:rFonts w:hint="eastAsia" w:ascii="宋体" w:hAnsi="宋体" w:cs="仿宋_GB2312"/>
          <w:sz w:val="24"/>
        </w:rPr>
        <w:t>单位名称（盖章）：</w:t>
      </w:r>
    </w:p>
    <w:p>
      <w:pPr>
        <w:tabs>
          <w:tab w:val="left" w:pos="4860"/>
        </w:tabs>
        <w:spacing w:line="588" w:lineRule="exact"/>
        <w:ind w:right="1560" w:firstLine="480" w:firstLineChars="200"/>
        <w:jc w:val="center"/>
        <w:rPr>
          <w:rFonts w:ascii="宋体" w:cs="仿宋_GB2312"/>
          <w:sz w:val="24"/>
        </w:rPr>
      </w:pPr>
      <w:r>
        <w:rPr>
          <w:rFonts w:hint="eastAsia" w:ascii="宋体" w:hAnsi="宋体" w:cs="仿宋_GB2312"/>
          <w:sz w:val="24"/>
        </w:rPr>
        <w:t>日期：</w:t>
      </w:r>
    </w:p>
    <w:p>
      <w:pPr>
        <w:ind w:firstLine="480" w:firstLineChars="200"/>
        <w:rPr>
          <w:rFonts w:ascii="仿宋_GB2312" w:hAnsi="仿宋_GB2312" w:eastAsia="仿宋_GB2312" w:cs="仿宋_GB2312"/>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line="360" w:lineRule="auto"/>
        <w:jc w:val="left"/>
        <w:outlineLvl w:val="2"/>
        <w:rPr>
          <w:rFonts w:ascii="宋体" w:hAnsi="宋体"/>
          <w:b/>
          <w:sz w:val="24"/>
        </w:rPr>
      </w:pPr>
      <w:r>
        <w:rPr>
          <w:rFonts w:hint="eastAsia" w:ascii="宋体" w:hAnsi="宋体"/>
          <w:b/>
          <w:sz w:val="24"/>
        </w:rPr>
        <w:t>附件2.7</w:t>
      </w:r>
    </w:p>
    <w:p>
      <w:pPr>
        <w:snapToGrid w:val="0"/>
        <w:spacing w:before="50" w:afterLines="50"/>
        <w:jc w:val="center"/>
        <w:rPr>
          <w:rFonts w:ascii="宋体"/>
          <w:b/>
          <w:sz w:val="32"/>
          <w:szCs w:val="32"/>
        </w:rPr>
      </w:pPr>
      <w:r>
        <w:rPr>
          <w:rFonts w:hint="eastAsia" w:ascii="宋体"/>
          <w:b/>
          <w:sz w:val="32"/>
          <w:szCs w:val="32"/>
        </w:rPr>
        <w:t>投标货物过往用户清单</w:t>
      </w:r>
    </w:p>
    <w:p>
      <w:pPr>
        <w:rPr>
          <w:sz w:val="24"/>
          <w:u w:val="single"/>
        </w:rPr>
      </w:pPr>
      <w:r>
        <w:rPr>
          <w:rFonts w:hint="eastAsia"/>
          <w:sz w:val="24"/>
        </w:rPr>
        <w:t>投标人名称（盖章）：招标编号：</w:t>
      </w:r>
    </w:p>
    <w:tbl>
      <w:tblPr>
        <w:tblStyle w:val="46"/>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322"/>
        <w:gridCol w:w="1249"/>
        <w:gridCol w:w="1276"/>
        <w:gridCol w:w="1276"/>
        <w:gridCol w:w="1134"/>
        <w:gridCol w:w="127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序号</w:t>
            </w: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用户名称</w:t>
            </w: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cs="宋体"/>
                <w:kern w:val="0"/>
                <w:sz w:val="24"/>
              </w:rPr>
              <w:t>货物型号</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rPr>
                <w:rFonts w:ascii="宋体" w:cs="宋体"/>
                <w:kern w:val="0"/>
                <w:sz w:val="24"/>
              </w:rPr>
            </w:pPr>
            <w:r>
              <w:rPr>
                <w:rFonts w:hint="eastAsia" w:ascii="宋体" w:cs="宋体"/>
                <w:kern w:val="0"/>
                <w:sz w:val="24"/>
              </w:rPr>
              <w:t>合同金额</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cs="宋体"/>
                <w:kern w:val="0"/>
                <w:sz w:val="24"/>
              </w:rPr>
            </w:pPr>
            <w:r>
              <w:rPr>
                <w:rFonts w:hint="eastAsia" w:ascii="宋体" w:cs="宋体"/>
                <w:kern w:val="0"/>
                <w:sz w:val="24"/>
              </w:rPr>
              <w:t>采购日期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cs="宋体"/>
                <w:kern w:val="0"/>
                <w:sz w:val="24"/>
              </w:rPr>
            </w:pPr>
            <w:r>
              <w:rPr>
                <w:rFonts w:hint="eastAsia" w:ascii="宋体" w:cs="宋体"/>
                <w:kern w:val="0"/>
                <w:sz w:val="24"/>
              </w:rPr>
              <w:t>联系人</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cs="宋体"/>
                <w:kern w:val="0"/>
                <w:sz w:val="24"/>
              </w:rPr>
            </w:pPr>
            <w:r>
              <w:rPr>
                <w:rFonts w:hint="eastAsia" w:ascii="宋体" w:cs="宋体"/>
                <w:kern w:val="0"/>
                <w:sz w:val="24"/>
              </w:rPr>
              <w:t>联系电话</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cs="宋体"/>
                <w:kern w:val="0"/>
                <w:sz w:val="24"/>
              </w:rPr>
            </w:pPr>
            <w:r>
              <w:rPr>
                <w:rFonts w:hint="eastAsia" w:ascii="宋体" w:cs="宋体"/>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322"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4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r>
    </w:tbl>
    <w:p>
      <w:pPr>
        <w:rPr>
          <w:rFonts w:ascii="宋体"/>
          <w:b/>
          <w:sz w:val="24"/>
        </w:rPr>
      </w:pPr>
    </w:p>
    <w:p>
      <w:pPr>
        <w:rPr>
          <w:sz w:val="24"/>
        </w:rPr>
      </w:pPr>
      <w:r>
        <w:rPr>
          <w:rFonts w:hint="eastAsia" w:ascii="宋体"/>
          <w:sz w:val="24"/>
        </w:rPr>
        <w:t>法定代表人或委托代理人签字</w:t>
      </w:r>
      <w:r>
        <w:rPr>
          <w:rFonts w:hint="eastAsia"/>
          <w:sz w:val="24"/>
        </w:rPr>
        <w:t>：</w:t>
      </w:r>
    </w:p>
    <w:p>
      <w:pPr>
        <w:rPr>
          <w:sz w:val="24"/>
        </w:rPr>
      </w:pPr>
      <w:r>
        <w:rPr>
          <w:rFonts w:hint="eastAsia"/>
          <w:sz w:val="24"/>
        </w:rPr>
        <w:t>职务：日期：</w:t>
      </w:r>
    </w:p>
    <w:p>
      <w:pPr>
        <w:snapToGrid w:val="0"/>
        <w:spacing w:before="50" w:afterLines="50"/>
        <w:jc w:val="left"/>
        <w:rPr>
          <w:rFonts w:ascii="宋体"/>
          <w:b/>
          <w:sz w:val="24"/>
        </w:rPr>
      </w:pPr>
    </w:p>
    <w:p>
      <w:pPr>
        <w:pStyle w:val="27"/>
        <w:spacing w:before="156" w:after="156"/>
        <w:rPr>
          <w:rFonts w:ascii="Times New Roman" w:hAnsi="Times New Roman"/>
        </w:rPr>
      </w:pPr>
    </w:p>
    <w:p/>
    <w:p/>
    <w:p/>
    <w:p/>
    <w:p/>
    <w:p/>
    <w:p/>
    <w:p/>
    <w:p/>
    <w:p/>
    <w:p/>
    <w:p/>
    <w:p/>
    <w:p/>
    <w:p/>
    <w:p/>
    <w:p/>
    <w:p/>
    <w:p/>
    <w:p/>
    <w:p/>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r>
        <w:rPr>
          <w:rFonts w:hint="eastAsia" w:ascii="宋体" w:hAnsi="宋体"/>
          <w:b/>
          <w:sz w:val="24"/>
        </w:rPr>
        <w:t>附件2.8</w:t>
      </w:r>
    </w:p>
    <w:p>
      <w:pPr>
        <w:snapToGrid w:val="0"/>
        <w:spacing w:before="50" w:afterLines="50"/>
        <w:jc w:val="center"/>
        <w:rPr>
          <w:rFonts w:ascii="宋体"/>
          <w:b/>
          <w:sz w:val="24"/>
        </w:rPr>
      </w:pPr>
      <w:r>
        <w:rPr>
          <w:rFonts w:hint="eastAsia" w:ascii="宋体"/>
          <w:b/>
          <w:sz w:val="24"/>
        </w:rPr>
        <w:t>商务响应表</w:t>
      </w:r>
    </w:p>
    <w:tbl>
      <w:tblPr>
        <w:tblStyle w:val="46"/>
        <w:tblW w:w="894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8"/>
        <w:gridCol w:w="1977"/>
        <w:gridCol w:w="2058"/>
        <w:gridCol w:w="26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szCs w:val="20"/>
              </w:rPr>
            </w:pPr>
            <w:r>
              <w:rPr>
                <w:rFonts w:hint="eastAsia" w:ascii="宋体"/>
                <w:sz w:val="24"/>
              </w:rPr>
              <w:t>项目</w:t>
            </w:r>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szCs w:val="20"/>
              </w:rPr>
            </w:pPr>
            <w:r>
              <w:rPr>
                <w:rFonts w:hint="eastAsia" w:ascii="宋体"/>
                <w:sz w:val="24"/>
              </w:rPr>
              <w:t>招标文件要求</w:t>
            </w: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szCs w:val="20"/>
              </w:rPr>
            </w:pPr>
            <w:r>
              <w:rPr>
                <w:rFonts w:hint="eastAsia" w:ascii="宋体"/>
                <w:sz w:val="24"/>
              </w:rPr>
              <w:t>响应及偏离情况</w:t>
            </w: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szCs w:val="20"/>
              </w:rPr>
            </w:pPr>
            <w:r>
              <w:rPr>
                <w:rFonts w:hint="eastAsia" w:ascii="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4" w:name="_Toc408477084"/>
            <w:bookmarkStart w:id="5" w:name="_Toc414870809"/>
            <w:r>
              <w:rPr>
                <w:rFonts w:hint="eastAsia"/>
                <w:szCs w:val="24"/>
              </w:rPr>
              <w:t>一、免费质保期</w:t>
            </w:r>
            <w:bookmarkEnd w:id="4"/>
            <w:bookmarkEnd w:id="5"/>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6" w:name="_Toc414870810"/>
            <w:bookmarkStart w:id="7" w:name="_Toc408477085"/>
            <w:r>
              <w:rPr>
                <w:rFonts w:hint="eastAsia"/>
                <w:szCs w:val="24"/>
              </w:rPr>
              <w:t>二、售后服务要求</w:t>
            </w:r>
            <w:bookmarkEnd w:id="6"/>
            <w:bookmarkEnd w:id="7"/>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8" w:name="_Toc414870811"/>
            <w:bookmarkStart w:id="9" w:name="_Toc408477086"/>
            <w:r>
              <w:rPr>
                <w:rFonts w:hint="eastAsia"/>
                <w:szCs w:val="24"/>
              </w:rPr>
              <w:t>三、售后服务保障或维修响应时间要求</w:t>
            </w:r>
            <w:bookmarkEnd w:id="8"/>
            <w:bookmarkEnd w:id="9"/>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10" w:name="_Toc408477087"/>
            <w:bookmarkStart w:id="11" w:name="_Toc414870812"/>
            <w:r>
              <w:rPr>
                <w:rFonts w:hint="eastAsia"/>
                <w:szCs w:val="24"/>
              </w:rPr>
              <w:t>四、交货时间及地点</w:t>
            </w:r>
            <w:bookmarkEnd w:id="10"/>
            <w:bookmarkEnd w:id="11"/>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12" w:name="_Toc408477088"/>
            <w:bookmarkStart w:id="13" w:name="_Toc414870813"/>
            <w:r>
              <w:rPr>
                <w:rFonts w:hint="eastAsia"/>
                <w:szCs w:val="24"/>
              </w:rPr>
              <w:t>五、付款方式</w:t>
            </w:r>
            <w:bookmarkEnd w:id="12"/>
            <w:bookmarkEnd w:id="13"/>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14" w:name="_Toc414870814"/>
            <w:bookmarkStart w:id="15" w:name="_Toc408477089"/>
            <w:r>
              <w:rPr>
                <w:rFonts w:hint="eastAsia"/>
                <w:szCs w:val="24"/>
              </w:rPr>
              <w:t>六、安装</w:t>
            </w:r>
            <w:bookmarkEnd w:id="14"/>
            <w:bookmarkEnd w:id="15"/>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16" w:name="_Toc408477090"/>
            <w:bookmarkStart w:id="17" w:name="_Toc414870815"/>
            <w:r>
              <w:rPr>
                <w:rFonts w:hint="eastAsia"/>
                <w:szCs w:val="24"/>
              </w:rPr>
              <w:t>七、培训</w:t>
            </w:r>
            <w:bookmarkEnd w:id="16"/>
            <w:bookmarkEnd w:id="17"/>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18" w:name="_Toc414870816"/>
            <w:r>
              <w:rPr>
                <w:rFonts w:hint="eastAsia"/>
                <w:szCs w:val="24"/>
              </w:rPr>
              <w:t>……</w:t>
            </w:r>
            <w:bookmarkEnd w:id="18"/>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268" w:type="dxa"/>
            <w:tcBorders>
              <w:top w:val="single" w:color="auto" w:sz="4" w:space="0"/>
              <w:left w:val="single" w:color="auto" w:sz="4" w:space="0"/>
              <w:bottom w:val="single" w:color="auto" w:sz="4" w:space="0"/>
              <w:right w:val="single" w:color="auto" w:sz="4" w:space="0"/>
            </w:tcBorders>
            <w:vAlign w:val="center"/>
          </w:tcPr>
          <w:p>
            <w:pPr>
              <w:pStyle w:val="27"/>
              <w:snapToGrid w:val="0"/>
              <w:spacing w:beforeLines="0" w:afterLines="0" w:line="240" w:lineRule="auto"/>
              <w:outlineLvl w:val="0"/>
              <w:rPr>
                <w:szCs w:val="24"/>
              </w:rPr>
            </w:pPr>
            <w:bookmarkStart w:id="19" w:name="_Toc408477092"/>
            <w:bookmarkStart w:id="20" w:name="_Toc414870817"/>
            <w:r>
              <w:rPr>
                <w:rFonts w:hint="eastAsia"/>
                <w:szCs w:val="24"/>
              </w:rPr>
              <w:t>……</w:t>
            </w:r>
            <w:bookmarkEnd w:id="19"/>
            <w:bookmarkEnd w:id="20"/>
          </w:p>
        </w:tc>
        <w:tc>
          <w:tcPr>
            <w:tcW w:w="1977"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058"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c>
          <w:tcPr>
            <w:tcW w:w="2640" w:type="dxa"/>
            <w:tcBorders>
              <w:top w:val="single" w:color="auto" w:sz="4" w:space="0"/>
              <w:left w:val="single" w:color="auto" w:sz="4" w:space="0"/>
              <w:bottom w:val="single" w:color="auto" w:sz="4" w:space="0"/>
              <w:right w:val="single" w:color="auto" w:sz="4" w:space="0"/>
            </w:tcBorders>
          </w:tcPr>
          <w:p>
            <w:pPr>
              <w:snapToGrid w:val="0"/>
              <w:spacing w:beforeLines="50"/>
              <w:rPr>
                <w:rFonts w:ascii="宋体"/>
                <w:sz w:val="24"/>
              </w:rPr>
            </w:pPr>
          </w:p>
        </w:tc>
      </w:tr>
    </w:tbl>
    <w:p>
      <w:pPr>
        <w:snapToGrid w:val="0"/>
        <w:spacing w:beforeLines="50"/>
        <w:rPr>
          <w:rFonts w:ascii="宋体"/>
          <w:sz w:val="24"/>
          <w:szCs w:val="20"/>
        </w:rPr>
      </w:pPr>
    </w:p>
    <w:p>
      <w:pPr>
        <w:snapToGrid w:val="0"/>
        <w:spacing w:before="50" w:after="50"/>
        <w:rPr>
          <w:rFonts w:ascii="宋体"/>
          <w:spacing w:val="20"/>
          <w:sz w:val="24"/>
          <w:szCs w:val="20"/>
          <w:u w:val="single"/>
        </w:rPr>
      </w:pPr>
      <w:r>
        <w:rPr>
          <w:rFonts w:hint="eastAsia" w:ascii="宋体"/>
          <w:sz w:val="24"/>
        </w:rPr>
        <w:t>法定代表人或委托代理人签字</w:t>
      </w:r>
      <w:r>
        <w:rPr>
          <w:rFonts w:hint="eastAsia" w:ascii="宋体"/>
          <w:spacing w:val="20"/>
          <w:sz w:val="24"/>
        </w:rPr>
        <w:t>：</w:t>
      </w:r>
    </w:p>
    <w:p>
      <w:pPr>
        <w:snapToGrid w:val="0"/>
        <w:spacing w:before="50" w:after="50"/>
        <w:rPr>
          <w:rFonts w:ascii="宋体"/>
          <w:spacing w:val="20"/>
          <w:sz w:val="24"/>
          <w:u w:val="single"/>
        </w:rPr>
      </w:pPr>
      <w:r>
        <w:rPr>
          <w:rFonts w:hint="eastAsia" w:ascii="宋体"/>
          <w:spacing w:val="20"/>
          <w:sz w:val="24"/>
        </w:rPr>
        <w:t>投标人盖章：              日 期：</w:t>
      </w:r>
    </w:p>
    <w:p>
      <w:pPr>
        <w:snapToGrid w:val="0"/>
        <w:spacing w:before="50" w:after="50"/>
        <w:rPr>
          <w:rFonts w:ascii="宋体"/>
          <w:spacing w:val="20"/>
          <w:sz w:val="24"/>
          <w:u w:val="single"/>
        </w:rPr>
      </w:pPr>
    </w:p>
    <w:p>
      <w:pPr>
        <w:snapToGrid w:val="0"/>
        <w:spacing w:before="50" w:after="50"/>
        <w:rPr>
          <w:rFonts w:ascii="宋体"/>
          <w:spacing w:val="20"/>
          <w:sz w:val="24"/>
          <w:u w:val="single"/>
        </w:rPr>
      </w:pPr>
    </w:p>
    <w:p>
      <w:pPr>
        <w:snapToGrid w:val="0"/>
        <w:spacing w:before="50" w:after="50"/>
        <w:rPr>
          <w:rFonts w:ascii="宋体"/>
          <w:spacing w:val="20"/>
          <w:sz w:val="24"/>
          <w:u w:val="single"/>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p>
    <w:p>
      <w:pPr>
        <w:snapToGrid w:val="0"/>
        <w:spacing w:before="50" w:afterLines="50" w:line="360" w:lineRule="auto"/>
        <w:jc w:val="left"/>
        <w:outlineLvl w:val="2"/>
        <w:rPr>
          <w:rFonts w:ascii="宋体" w:hAnsi="宋体"/>
          <w:b/>
          <w:sz w:val="24"/>
        </w:rPr>
      </w:pPr>
      <w:r>
        <w:rPr>
          <w:rFonts w:hint="eastAsia" w:ascii="宋体" w:hAnsi="宋体"/>
          <w:b/>
          <w:sz w:val="24"/>
        </w:rPr>
        <w:t>2.9投标产品服务计划表：</w:t>
      </w:r>
    </w:p>
    <w:p>
      <w:pPr>
        <w:snapToGrid w:val="0"/>
        <w:spacing w:beforeLines="50" w:after="50" w:line="360" w:lineRule="auto"/>
        <w:jc w:val="center"/>
        <w:rPr>
          <w:rFonts w:ascii="宋体" w:hAnsi="宋体"/>
          <w:b/>
          <w:sz w:val="24"/>
        </w:rPr>
      </w:pPr>
      <w:r>
        <w:rPr>
          <w:rFonts w:hint="eastAsia" w:ascii="宋体" w:hAnsi="宋体"/>
          <w:b/>
          <w:sz w:val="24"/>
        </w:rPr>
        <w:t>投标产品服务计划表</w:t>
      </w:r>
    </w:p>
    <w:p>
      <w:pPr>
        <w:snapToGrid w:val="0"/>
        <w:spacing w:beforeLines="50" w:after="50" w:line="360" w:lineRule="auto"/>
        <w:jc w:val="center"/>
        <w:rPr>
          <w:rFonts w:ascii="宋体" w:hAnsi="宋体"/>
          <w:b/>
          <w:sz w:val="24"/>
        </w:rPr>
      </w:pPr>
    </w:p>
    <w:tbl>
      <w:tblPr>
        <w:tblStyle w:val="4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739"/>
        <w:gridCol w:w="1825"/>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序号</w:t>
            </w:r>
          </w:p>
        </w:tc>
        <w:tc>
          <w:tcPr>
            <w:tcW w:w="4739" w:type="dxa"/>
            <w:vAlign w:val="center"/>
          </w:tcPr>
          <w:p>
            <w:pPr>
              <w:spacing w:beforeLines="50" w:afterLines="50" w:line="360" w:lineRule="auto"/>
              <w:jc w:val="center"/>
              <w:rPr>
                <w:rFonts w:ascii="宋体" w:hAnsi="宋体"/>
                <w:sz w:val="24"/>
              </w:rPr>
            </w:pPr>
            <w:r>
              <w:rPr>
                <w:rFonts w:hint="eastAsia" w:ascii="宋体" w:hAnsi="宋体"/>
                <w:sz w:val="24"/>
              </w:rPr>
              <w:t>质量保障措施及服务内容</w:t>
            </w:r>
          </w:p>
        </w:tc>
        <w:tc>
          <w:tcPr>
            <w:tcW w:w="1825" w:type="dxa"/>
            <w:vAlign w:val="center"/>
          </w:tcPr>
          <w:p>
            <w:pPr>
              <w:spacing w:beforeLines="50" w:afterLines="50" w:line="360" w:lineRule="auto"/>
              <w:jc w:val="center"/>
              <w:rPr>
                <w:rFonts w:ascii="宋体" w:hAnsi="宋体"/>
                <w:sz w:val="24"/>
              </w:rPr>
            </w:pPr>
            <w:r>
              <w:rPr>
                <w:rFonts w:hint="eastAsia" w:ascii="宋体" w:hAnsi="宋体"/>
                <w:sz w:val="24"/>
              </w:rPr>
              <w:t>承诺</w:t>
            </w:r>
          </w:p>
        </w:tc>
        <w:tc>
          <w:tcPr>
            <w:tcW w:w="1896" w:type="dxa"/>
            <w:vAlign w:val="center"/>
          </w:tcPr>
          <w:p>
            <w:pPr>
              <w:spacing w:beforeLines="50" w:afterLines="50"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1</w:t>
            </w:r>
          </w:p>
        </w:tc>
        <w:tc>
          <w:tcPr>
            <w:tcW w:w="4739" w:type="dxa"/>
            <w:vAlign w:val="center"/>
          </w:tcPr>
          <w:p>
            <w:pPr>
              <w:spacing w:beforeLines="50" w:afterLines="50" w:line="360" w:lineRule="auto"/>
              <w:rPr>
                <w:rFonts w:ascii="宋体" w:hAnsi="宋体"/>
                <w:sz w:val="24"/>
              </w:rPr>
            </w:pPr>
            <w:r>
              <w:rPr>
                <w:rFonts w:hint="eastAsia" w:ascii="宋体" w:hAnsi="宋体"/>
                <w:sz w:val="24"/>
              </w:rPr>
              <w:t>整机保修</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2</w:t>
            </w:r>
          </w:p>
        </w:tc>
        <w:tc>
          <w:tcPr>
            <w:tcW w:w="4739" w:type="dxa"/>
            <w:vAlign w:val="center"/>
          </w:tcPr>
          <w:p>
            <w:pPr>
              <w:spacing w:beforeLines="50" w:afterLines="50" w:line="360" w:lineRule="auto"/>
              <w:rPr>
                <w:rFonts w:ascii="宋体" w:hAnsi="宋体"/>
                <w:sz w:val="24"/>
              </w:rPr>
            </w:pPr>
            <w:r>
              <w:rPr>
                <w:rFonts w:hint="eastAsia" w:ascii="宋体" w:hAnsi="宋体"/>
                <w:sz w:val="24"/>
              </w:rPr>
              <w:t>有关技术人员现场免费提供安装、调试服务</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3</w:t>
            </w:r>
          </w:p>
        </w:tc>
        <w:tc>
          <w:tcPr>
            <w:tcW w:w="4739" w:type="dxa"/>
            <w:vAlign w:val="center"/>
          </w:tcPr>
          <w:p>
            <w:pPr>
              <w:spacing w:beforeLines="50" w:afterLines="50" w:line="360" w:lineRule="auto"/>
              <w:rPr>
                <w:rFonts w:ascii="宋体" w:hAnsi="宋体"/>
                <w:sz w:val="24"/>
              </w:rPr>
            </w:pPr>
            <w:r>
              <w:rPr>
                <w:rFonts w:hint="eastAsia" w:ascii="宋体" w:hAnsi="宋体"/>
                <w:sz w:val="24"/>
              </w:rPr>
              <w:t>整机免费换货期限</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4</w:t>
            </w:r>
          </w:p>
        </w:tc>
        <w:tc>
          <w:tcPr>
            <w:tcW w:w="4739" w:type="dxa"/>
            <w:vAlign w:val="center"/>
          </w:tcPr>
          <w:p>
            <w:pPr>
              <w:spacing w:beforeLines="50" w:afterLines="50" w:line="360" w:lineRule="auto"/>
              <w:rPr>
                <w:rFonts w:ascii="宋体" w:hAnsi="宋体"/>
                <w:sz w:val="24"/>
              </w:rPr>
            </w:pPr>
            <w:r>
              <w:rPr>
                <w:rFonts w:hint="eastAsia" w:ascii="宋体" w:hAnsi="宋体"/>
                <w:sz w:val="24"/>
              </w:rPr>
              <w:t>免费上门服务期限</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5</w:t>
            </w:r>
          </w:p>
        </w:tc>
        <w:tc>
          <w:tcPr>
            <w:tcW w:w="4739" w:type="dxa"/>
            <w:vAlign w:val="center"/>
          </w:tcPr>
          <w:p>
            <w:pPr>
              <w:spacing w:beforeLines="50" w:afterLines="50" w:line="360" w:lineRule="auto"/>
              <w:rPr>
                <w:rFonts w:ascii="宋体" w:hAnsi="宋体"/>
                <w:sz w:val="24"/>
              </w:rPr>
            </w:pPr>
            <w:r>
              <w:rPr>
                <w:rFonts w:hint="eastAsia" w:ascii="宋体" w:hAnsi="宋体"/>
                <w:sz w:val="24"/>
              </w:rPr>
              <w:t>质保期内产品故障服务响应时限</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6</w:t>
            </w:r>
          </w:p>
        </w:tc>
        <w:tc>
          <w:tcPr>
            <w:tcW w:w="4739" w:type="dxa"/>
            <w:vAlign w:val="center"/>
          </w:tcPr>
          <w:p>
            <w:pPr>
              <w:spacing w:beforeLines="50" w:afterLines="50" w:line="360" w:lineRule="auto"/>
              <w:rPr>
                <w:rFonts w:ascii="宋体" w:hAnsi="宋体"/>
                <w:sz w:val="24"/>
              </w:rPr>
            </w:pPr>
            <w:r>
              <w:rPr>
                <w:rFonts w:hint="eastAsia" w:ascii="宋体" w:hAnsi="宋体"/>
                <w:sz w:val="24"/>
              </w:rPr>
              <w:t>服务时间响应</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ascii="宋体" w:hAnsi="宋体"/>
                <w:sz w:val="24"/>
              </w:rPr>
            </w:pPr>
            <w:r>
              <w:rPr>
                <w:rFonts w:hint="eastAsia" w:ascii="宋体" w:hAnsi="宋体"/>
                <w:sz w:val="24"/>
              </w:rPr>
              <w:t>7</w:t>
            </w:r>
          </w:p>
        </w:tc>
        <w:tc>
          <w:tcPr>
            <w:tcW w:w="4739" w:type="dxa"/>
            <w:vAlign w:val="center"/>
          </w:tcPr>
          <w:p>
            <w:pPr>
              <w:spacing w:beforeLines="50" w:afterLines="50" w:line="360" w:lineRule="auto"/>
              <w:rPr>
                <w:rFonts w:ascii="宋体" w:hAnsi="宋体"/>
                <w:sz w:val="24"/>
              </w:rPr>
            </w:pPr>
            <w:r>
              <w:rPr>
                <w:rFonts w:hint="eastAsia" w:ascii="宋体" w:hAnsi="宋体"/>
                <w:sz w:val="24"/>
              </w:rPr>
              <w:t>交货时间</w:t>
            </w:r>
          </w:p>
        </w:tc>
        <w:tc>
          <w:tcPr>
            <w:tcW w:w="1825" w:type="dxa"/>
          </w:tcPr>
          <w:p>
            <w:pPr>
              <w:spacing w:beforeLines="50" w:afterLines="50" w:line="360" w:lineRule="auto"/>
              <w:rPr>
                <w:rFonts w:ascii="宋体" w:hAnsi="宋体"/>
                <w:sz w:val="24"/>
              </w:rPr>
            </w:pPr>
          </w:p>
        </w:tc>
        <w:tc>
          <w:tcPr>
            <w:tcW w:w="1896" w:type="dxa"/>
          </w:tcPr>
          <w:p>
            <w:pPr>
              <w:spacing w:beforeLines="50" w:afterLines="5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pPr>
              <w:spacing w:beforeLines="50" w:afterLines="50" w:line="360" w:lineRule="auto"/>
              <w:jc w:val="center"/>
              <w:rPr>
                <w:rFonts w:hint="eastAsia" w:ascii="宋体" w:hAnsi="宋体" w:eastAsia="宋体"/>
                <w:color w:val="auto"/>
                <w:sz w:val="24"/>
                <w:szCs w:val="24"/>
                <w:lang w:val="en-US" w:eastAsia="zh-CN"/>
              </w:rPr>
            </w:pPr>
            <w:r>
              <w:rPr>
                <w:rFonts w:hint="eastAsia" w:ascii="宋体" w:hAnsi="宋体"/>
                <w:color w:val="auto"/>
                <w:sz w:val="24"/>
                <w:szCs w:val="24"/>
                <w:lang w:val="en-US" w:eastAsia="zh-CN"/>
              </w:rPr>
              <w:t>8</w:t>
            </w:r>
          </w:p>
        </w:tc>
        <w:tc>
          <w:tcPr>
            <w:tcW w:w="4739" w:type="dxa"/>
            <w:vAlign w:val="center"/>
          </w:tcPr>
          <w:p>
            <w:pPr>
              <w:spacing w:beforeLines="50" w:afterLines="50" w:line="360" w:lineRule="auto"/>
              <w:rPr>
                <w:rFonts w:hint="eastAsia" w:ascii="宋体" w:hAnsi="宋体"/>
                <w:color w:val="auto"/>
                <w:sz w:val="24"/>
                <w:szCs w:val="24"/>
              </w:rPr>
            </w:pPr>
            <w:r>
              <w:rPr>
                <w:rFonts w:hint="eastAsia" w:ascii="宋体" w:hAnsi="宋体" w:cs="宋体"/>
                <w:color w:val="auto"/>
                <w:sz w:val="24"/>
                <w:szCs w:val="24"/>
              </w:rPr>
              <w:t>系统实施及响应</w:t>
            </w:r>
          </w:p>
        </w:tc>
        <w:tc>
          <w:tcPr>
            <w:tcW w:w="1825" w:type="dxa"/>
          </w:tcPr>
          <w:p>
            <w:pPr>
              <w:spacing w:beforeLines="50" w:afterLines="50" w:line="360" w:lineRule="auto"/>
              <w:rPr>
                <w:rFonts w:ascii="宋体" w:hAnsi="宋体"/>
                <w:color w:val="auto"/>
                <w:sz w:val="24"/>
                <w:szCs w:val="24"/>
              </w:rPr>
            </w:pPr>
          </w:p>
        </w:tc>
        <w:tc>
          <w:tcPr>
            <w:tcW w:w="1896" w:type="dxa"/>
          </w:tcPr>
          <w:p>
            <w:pPr>
              <w:spacing w:beforeLines="50" w:afterLines="50" w:line="360" w:lineRule="auto"/>
              <w:rPr>
                <w:rFonts w:ascii="宋体" w:hAnsi="宋体"/>
                <w:color w:val="auto"/>
                <w:sz w:val="24"/>
                <w:szCs w:val="24"/>
              </w:rPr>
            </w:pPr>
          </w:p>
        </w:tc>
      </w:tr>
    </w:tbl>
    <w:p>
      <w:pPr>
        <w:spacing w:beforeLines="50" w:afterLines="50" w:line="360" w:lineRule="auto"/>
        <w:ind w:firstLine="720" w:firstLineChars="300"/>
        <w:rPr>
          <w:color w:val="0D0D0D"/>
          <w:sz w:val="24"/>
        </w:rPr>
      </w:pPr>
    </w:p>
    <w:p>
      <w:pPr>
        <w:spacing w:beforeLines="50" w:afterLines="50" w:line="360" w:lineRule="auto"/>
        <w:ind w:firstLine="720" w:firstLineChars="300"/>
        <w:rPr>
          <w:color w:val="0D0D0D"/>
          <w:sz w:val="24"/>
        </w:rPr>
      </w:pPr>
    </w:p>
    <w:p>
      <w:pPr>
        <w:spacing w:beforeLines="50" w:afterLines="50" w:line="360" w:lineRule="auto"/>
        <w:ind w:firstLine="3960" w:firstLineChars="1650"/>
        <w:rPr>
          <w:color w:val="0D0D0D"/>
          <w:sz w:val="24"/>
        </w:rPr>
      </w:pPr>
      <w:r>
        <w:rPr>
          <w:rFonts w:hint="eastAsia"/>
          <w:color w:val="0D0D0D"/>
          <w:sz w:val="24"/>
        </w:rPr>
        <w:t>投标方（公章）：</w:t>
      </w:r>
    </w:p>
    <w:p>
      <w:pPr>
        <w:spacing w:beforeLines="50" w:afterLines="50" w:line="360" w:lineRule="auto"/>
        <w:ind w:firstLine="720" w:firstLineChars="300"/>
        <w:jc w:val="center"/>
        <w:rPr>
          <w:color w:val="0D0D0D"/>
          <w:sz w:val="24"/>
        </w:rPr>
      </w:pPr>
      <w:r>
        <w:rPr>
          <w:rFonts w:hint="eastAsia"/>
          <w:color w:val="0D0D0D"/>
          <w:sz w:val="24"/>
        </w:rPr>
        <w:t>投标方授权代表签字：</w:t>
      </w:r>
    </w:p>
    <w:p>
      <w:pPr>
        <w:spacing w:beforeLines="50" w:afterLines="50" w:line="360" w:lineRule="auto"/>
        <w:ind w:firstLine="4200" w:firstLineChars="1750"/>
        <w:rPr>
          <w:color w:val="0D0D0D"/>
          <w:sz w:val="24"/>
        </w:rPr>
      </w:pPr>
    </w:p>
    <w:p>
      <w:pPr>
        <w:spacing w:before="50" w:after="50" w:line="500" w:lineRule="exact"/>
        <w:jc w:val="left"/>
        <w:outlineLvl w:val="2"/>
        <w:rPr>
          <w:rFonts w:ascii="宋体" w:hAnsi="宋体"/>
          <w:b/>
          <w:sz w:val="24"/>
        </w:rPr>
      </w:pPr>
    </w:p>
    <w:p>
      <w:pPr>
        <w:pStyle w:val="55"/>
        <w:spacing w:before="156"/>
      </w:pPr>
    </w:p>
    <w:p>
      <w:pPr>
        <w:spacing w:before="50" w:after="50" w:line="500" w:lineRule="exact"/>
        <w:jc w:val="left"/>
        <w:outlineLvl w:val="2"/>
        <w:rPr>
          <w:rFonts w:ascii="宋体" w:hAnsi="宋体"/>
          <w:b/>
          <w:sz w:val="24"/>
        </w:rPr>
      </w:pPr>
    </w:p>
    <w:p>
      <w:pPr>
        <w:spacing w:before="50" w:after="50" w:line="500" w:lineRule="exact"/>
        <w:jc w:val="left"/>
        <w:outlineLvl w:val="2"/>
        <w:rPr>
          <w:rFonts w:ascii="宋体" w:hAnsi="宋体"/>
          <w:b/>
          <w:sz w:val="24"/>
        </w:rPr>
      </w:pPr>
      <w:bookmarkStart w:id="21" w:name="_Toc449173149"/>
      <w:r>
        <w:rPr>
          <w:rFonts w:hint="eastAsia" w:ascii="宋体" w:hAnsi="宋体"/>
          <w:b/>
          <w:sz w:val="24"/>
        </w:rPr>
        <w:t>2.10技术响应表格式：</w:t>
      </w:r>
    </w:p>
    <w:p>
      <w:pPr>
        <w:snapToGrid w:val="0"/>
        <w:spacing w:before="50" w:afterLines="50"/>
        <w:jc w:val="left"/>
        <w:rPr>
          <w:rFonts w:ascii="宋体" w:hAnsi="宋体"/>
          <w:b/>
          <w:sz w:val="24"/>
        </w:rPr>
      </w:pPr>
    </w:p>
    <w:tbl>
      <w:tblPr>
        <w:tblStyle w:val="46"/>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1620"/>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bottom w:val="single" w:color="auto" w:sz="4" w:space="0"/>
            </w:tcBorders>
            <w:vAlign w:val="center"/>
          </w:tcPr>
          <w:p>
            <w:pPr>
              <w:jc w:val="center"/>
              <w:rPr>
                <w:rFonts w:ascii="宋体" w:hAnsi="宋体"/>
                <w:sz w:val="24"/>
              </w:rPr>
            </w:pPr>
            <w:r>
              <w:rPr>
                <w:rFonts w:ascii="宋体" w:hAnsi="宋体"/>
                <w:sz w:val="24"/>
              </w:rPr>
              <w:t>序号</w:t>
            </w:r>
          </w:p>
        </w:tc>
        <w:tc>
          <w:tcPr>
            <w:tcW w:w="1855" w:type="dxa"/>
            <w:tcBorders>
              <w:bottom w:val="single" w:color="auto" w:sz="4" w:space="0"/>
            </w:tcBorders>
            <w:vAlign w:val="center"/>
          </w:tcPr>
          <w:p>
            <w:pPr>
              <w:jc w:val="center"/>
              <w:rPr>
                <w:rFonts w:ascii="宋体" w:hAnsi="宋体"/>
                <w:sz w:val="24"/>
              </w:rPr>
            </w:pPr>
            <w:r>
              <w:rPr>
                <w:rFonts w:ascii="宋体" w:hAnsi="宋体"/>
                <w:sz w:val="24"/>
              </w:rPr>
              <w:t>内  容</w:t>
            </w:r>
          </w:p>
        </w:tc>
        <w:tc>
          <w:tcPr>
            <w:tcW w:w="1957" w:type="dxa"/>
            <w:tcBorders>
              <w:bottom w:val="single" w:color="auto" w:sz="4" w:space="0"/>
            </w:tcBorders>
            <w:vAlign w:val="center"/>
          </w:tcPr>
          <w:p>
            <w:pPr>
              <w:jc w:val="center"/>
              <w:rPr>
                <w:rFonts w:ascii="宋体" w:hAnsi="宋体"/>
                <w:sz w:val="24"/>
              </w:rPr>
            </w:pPr>
            <w:r>
              <w:rPr>
                <w:rFonts w:ascii="宋体" w:hAnsi="宋体"/>
                <w:sz w:val="24"/>
              </w:rPr>
              <w:t>招标文件</w:t>
            </w:r>
          </w:p>
          <w:p>
            <w:pPr>
              <w:jc w:val="center"/>
              <w:rPr>
                <w:rFonts w:ascii="宋体" w:hAnsi="宋体"/>
                <w:sz w:val="24"/>
              </w:rPr>
            </w:pPr>
            <w:r>
              <w:rPr>
                <w:rFonts w:ascii="宋体" w:hAnsi="宋体"/>
                <w:sz w:val="24"/>
              </w:rPr>
              <w:t>规范要求</w:t>
            </w:r>
          </w:p>
        </w:tc>
        <w:tc>
          <w:tcPr>
            <w:tcW w:w="1620" w:type="dxa"/>
            <w:tcBorders>
              <w:bottom w:val="single" w:color="auto" w:sz="4" w:space="0"/>
            </w:tcBorders>
            <w:vAlign w:val="center"/>
          </w:tcPr>
          <w:p>
            <w:pPr>
              <w:jc w:val="center"/>
              <w:rPr>
                <w:rFonts w:ascii="宋体" w:hAnsi="宋体"/>
                <w:sz w:val="24"/>
              </w:rPr>
            </w:pPr>
            <w:r>
              <w:rPr>
                <w:rFonts w:ascii="宋体" w:hAnsi="宋体"/>
                <w:sz w:val="24"/>
              </w:rPr>
              <w:t>投标文件</w:t>
            </w:r>
          </w:p>
          <w:p>
            <w:pPr>
              <w:jc w:val="center"/>
              <w:rPr>
                <w:rFonts w:ascii="宋体" w:hAnsi="宋体"/>
                <w:sz w:val="24"/>
              </w:rPr>
            </w:pPr>
            <w:r>
              <w:rPr>
                <w:rFonts w:ascii="宋体" w:hAnsi="宋体"/>
                <w:sz w:val="24"/>
              </w:rPr>
              <w:t>对应规范</w:t>
            </w:r>
          </w:p>
        </w:tc>
        <w:tc>
          <w:tcPr>
            <w:tcW w:w="2328" w:type="dxa"/>
            <w:tcBorders>
              <w:bottom w:val="single" w:color="auto" w:sz="4" w:space="0"/>
            </w:tcBorders>
            <w:vAlign w:val="center"/>
          </w:tcPr>
          <w:p>
            <w:pPr>
              <w:jc w:val="center"/>
              <w:rPr>
                <w:rFonts w:ascii="宋体" w:hAnsi="宋体"/>
                <w:sz w:val="24"/>
              </w:rPr>
            </w:pPr>
            <w:r>
              <w:rPr>
                <w:rFonts w:hint="eastAsia" w:ascii="宋体" w:hAnsi="宋体"/>
                <w:sz w:val="24"/>
              </w:rPr>
              <w:t>偏离情况</w:t>
            </w:r>
          </w:p>
          <w:p>
            <w:pPr>
              <w:jc w:val="center"/>
              <w:rPr>
                <w:rFonts w:ascii="宋体" w:hAnsi="宋体"/>
                <w:sz w:val="24"/>
              </w:rPr>
            </w:pPr>
            <w:r>
              <w:rPr>
                <w:rFonts w:hint="eastAsia" w:ascii="宋体" w:hAnsi="宋体"/>
                <w:sz w:val="24"/>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jc w:val="center"/>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Pr>
          <w:p>
            <w:pPr>
              <w:spacing w:line="360" w:lineRule="auto"/>
              <w:rPr>
                <w:rFonts w:ascii="宋体" w:hAnsi="宋体"/>
                <w:sz w:val="24"/>
              </w:rPr>
            </w:pPr>
          </w:p>
        </w:tc>
        <w:tc>
          <w:tcPr>
            <w:tcW w:w="1855" w:type="dxa"/>
          </w:tcPr>
          <w:p>
            <w:pPr>
              <w:spacing w:line="360" w:lineRule="auto"/>
              <w:rPr>
                <w:rFonts w:ascii="宋体" w:hAnsi="宋体"/>
                <w:sz w:val="24"/>
              </w:rPr>
            </w:pPr>
          </w:p>
        </w:tc>
        <w:tc>
          <w:tcPr>
            <w:tcW w:w="1957"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2328" w:type="dxa"/>
          </w:tcPr>
          <w:p>
            <w:pPr>
              <w:spacing w:line="360" w:lineRule="auto"/>
              <w:rPr>
                <w:rFonts w:ascii="宋体" w:hAnsi="宋体"/>
                <w:sz w:val="24"/>
              </w:rPr>
            </w:pPr>
          </w:p>
        </w:tc>
      </w:tr>
    </w:tbl>
    <w:p>
      <w:pPr>
        <w:pStyle w:val="23"/>
        <w:rPr>
          <w:rFonts w:ascii="宋体"/>
          <w:sz w:val="24"/>
        </w:rPr>
      </w:pPr>
    </w:p>
    <w:p>
      <w:pPr>
        <w:pStyle w:val="23"/>
        <w:spacing w:line="360" w:lineRule="auto"/>
        <w:rPr>
          <w:rFonts w:ascii="宋体"/>
          <w:b/>
          <w:spacing w:val="20"/>
          <w:sz w:val="24"/>
        </w:rPr>
      </w:pPr>
      <w:r>
        <w:rPr>
          <w:rFonts w:hint="eastAsia" w:ascii="宋体"/>
          <w:b/>
          <w:sz w:val="24"/>
        </w:rPr>
        <w:t>注：投标人应根据投标货物的性能指标、对照招标文件要求在“偏离情况”栏注明“正偏离”、“负偏离”或“无偏离”。</w:t>
      </w:r>
    </w:p>
    <w:p>
      <w:pPr>
        <w:snapToGrid w:val="0"/>
        <w:spacing w:before="50" w:after="50" w:line="360" w:lineRule="auto"/>
        <w:rPr>
          <w:rFonts w:ascii="宋体" w:hAnsi="宋体"/>
          <w:spacing w:val="20"/>
          <w:sz w:val="24"/>
        </w:rPr>
      </w:pPr>
    </w:p>
    <w:p>
      <w:pPr>
        <w:snapToGrid w:val="0"/>
        <w:spacing w:before="50" w:after="50" w:line="360" w:lineRule="auto"/>
        <w:rPr>
          <w:rFonts w:ascii="宋体" w:hAnsi="宋体"/>
          <w:spacing w:val="20"/>
          <w:sz w:val="24"/>
          <w:u w:val="single"/>
        </w:rPr>
      </w:pPr>
      <w:r>
        <w:rPr>
          <w:rFonts w:hint="eastAsia" w:ascii="宋体" w:hAnsi="宋体"/>
          <w:sz w:val="24"/>
        </w:rPr>
        <w:t>法定代表人或授权代表签字</w:t>
      </w:r>
      <w:r>
        <w:rPr>
          <w:rFonts w:hint="eastAsia" w:ascii="宋体" w:hAnsi="宋体"/>
          <w:spacing w:val="20"/>
          <w:sz w:val="24"/>
        </w:rPr>
        <w:t>：</w:t>
      </w:r>
    </w:p>
    <w:p>
      <w:pPr>
        <w:snapToGrid w:val="0"/>
        <w:spacing w:before="50" w:after="50" w:line="360" w:lineRule="auto"/>
        <w:rPr>
          <w:rFonts w:ascii="宋体" w:hAnsi="宋体"/>
          <w:sz w:val="24"/>
        </w:rPr>
      </w:pPr>
      <w:r>
        <w:rPr>
          <w:rFonts w:hint="eastAsia" w:ascii="宋体" w:hAnsi="宋体"/>
          <w:spacing w:val="20"/>
          <w:sz w:val="24"/>
        </w:rPr>
        <w:t>投标人盖章：日 期：</w:t>
      </w:r>
    </w:p>
    <w:bookmarkEnd w:id="21"/>
    <w:p>
      <w:pPr>
        <w:spacing w:before="50" w:after="50" w:line="500" w:lineRule="exact"/>
        <w:jc w:val="left"/>
        <w:outlineLvl w:val="2"/>
        <w:rPr>
          <w:rFonts w:ascii="宋体" w:hAnsi="宋体"/>
          <w:b/>
          <w:sz w:val="24"/>
        </w:rPr>
      </w:pPr>
    </w:p>
    <w:p>
      <w:pPr>
        <w:spacing w:before="50" w:after="50" w:line="500" w:lineRule="exact"/>
        <w:jc w:val="left"/>
        <w:outlineLvl w:val="2"/>
        <w:rPr>
          <w:rFonts w:ascii="宋体" w:hAnsi="宋体"/>
          <w:b/>
          <w:sz w:val="24"/>
        </w:rPr>
      </w:pPr>
    </w:p>
    <w:p>
      <w:pPr>
        <w:spacing w:before="50" w:after="50" w:line="500" w:lineRule="exact"/>
        <w:jc w:val="left"/>
        <w:outlineLvl w:val="2"/>
        <w:rPr>
          <w:rFonts w:ascii="宋体" w:hAnsi="宋体"/>
          <w:b/>
          <w:sz w:val="24"/>
        </w:rPr>
      </w:pPr>
    </w:p>
    <w:p>
      <w:pPr>
        <w:spacing w:before="50" w:after="50" w:line="500" w:lineRule="exact"/>
        <w:jc w:val="left"/>
        <w:outlineLvl w:val="2"/>
        <w:rPr>
          <w:rFonts w:ascii="宋体" w:hAnsi="宋体"/>
          <w:b/>
          <w:sz w:val="24"/>
        </w:rPr>
      </w:pPr>
    </w:p>
    <w:p>
      <w:pPr>
        <w:spacing w:before="50" w:after="50" w:line="500" w:lineRule="exact"/>
        <w:jc w:val="left"/>
        <w:outlineLvl w:val="2"/>
        <w:rPr>
          <w:rFonts w:ascii="宋体" w:hAnsi="宋体"/>
          <w:b/>
          <w:sz w:val="24"/>
        </w:rPr>
      </w:pPr>
    </w:p>
    <w:p>
      <w:pPr>
        <w:spacing w:before="50" w:after="50" w:line="500" w:lineRule="exact"/>
        <w:jc w:val="left"/>
        <w:outlineLvl w:val="2"/>
        <w:rPr>
          <w:rFonts w:ascii="宋体" w:hAnsi="宋体"/>
          <w:b/>
          <w:sz w:val="24"/>
        </w:rPr>
      </w:pPr>
    </w:p>
    <w:p>
      <w:pPr>
        <w:spacing w:before="50" w:after="50" w:line="500" w:lineRule="exact"/>
        <w:jc w:val="left"/>
        <w:outlineLvl w:val="2"/>
        <w:rPr>
          <w:rFonts w:ascii="宋体" w:cs="宋体"/>
          <w:b/>
          <w:bCs/>
          <w:sz w:val="24"/>
        </w:rPr>
      </w:pPr>
      <w:r>
        <w:rPr>
          <w:rFonts w:hint="eastAsia" w:ascii="宋体" w:hAnsi="宋体"/>
          <w:b/>
          <w:sz w:val="24"/>
        </w:rPr>
        <w:t>2</w:t>
      </w:r>
      <w:r>
        <w:rPr>
          <w:rFonts w:ascii="宋体" w:hAnsi="宋体"/>
          <w:b/>
          <w:sz w:val="24"/>
        </w:rPr>
        <w:t>.</w:t>
      </w:r>
      <w:bookmarkStart w:id="22" w:name="_Toc449173150"/>
      <w:r>
        <w:rPr>
          <w:rFonts w:hint="eastAsia" w:ascii="宋体" w:hAnsi="宋体"/>
          <w:b/>
          <w:sz w:val="24"/>
        </w:rPr>
        <w:t>11</w:t>
      </w:r>
      <w:r>
        <w:rPr>
          <w:rFonts w:hint="eastAsia" w:ascii="宋体" w:hAnsi="宋体" w:cs="宋体"/>
          <w:b/>
          <w:bCs/>
          <w:sz w:val="24"/>
        </w:rPr>
        <w:t>本项目拟派人员一览表</w:t>
      </w:r>
    </w:p>
    <w:p>
      <w:pPr>
        <w:spacing w:before="50" w:after="50" w:line="500" w:lineRule="exact"/>
        <w:ind w:firstLine="482" w:firstLineChars="200"/>
        <w:jc w:val="center"/>
        <w:rPr>
          <w:rFonts w:ascii="宋体" w:cs="宋体"/>
          <w:b/>
          <w:bCs/>
          <w:sz w:val="24"/>
        </w:rPr>
      </w:pPr>
    </w:p>
    <w:tbl>
      <w:tblPr>
        <w:tblStyle w:val="46"/>
        <w:tblW w:w="9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047"/>
        <w:gridCol w:w="1035"/>
        <w:gridCol w:w="1185"/>
        <w:gridCol w:w="1260"/>
        <w:gridCol w:w="1410"/>
        <w:gridCol w:w="1125"/>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trPr>
        <w:tc>
          <w:tcPr>
            <w:tcW w:w="1071" w:type="dxa"/>
            <w:vAlign w:val="center"/>
          </w:tcPr>
          <w:p>
            <w:pPr>
              <w:snapToGrid w:val="0"/>
              <w:spacing w:before="50" w:after="50" w:line="500" w:lineRule="exact"/>
              <w:jc w:val="center"/>
              <w:rPr>
                <w:rFonts w:ascii="宋体" w:cs="宋体"/>
                <w:sz w:val="24"/>
              </w:rPr>
            </w:pPr>
            <w:r>
              <w:rPr>
                <w:rFonts w:hint="eastAsia" w:ascii="宋体" w:hAnsi="宋体" w:cs="宋体"/>
                <w:sz w:val="24"/>
              </w:rPr>
              <w:t>姓名</w:t>
            </w:r>
          </w:p>
        </w:tc>
        <w:tc>
          <w:tcPr>
            <w:tcW w:w="1047" w:type="dxa"/>
            <w:vAlign w:val="center"/>
          </w:tcPr>
          <w:p>
            <w:pPr>
              <w:snapToGrid w:val="0"/>
              <w:spacing w:before="50" w:after="50" w:line="500" w:lineRule="exact"/>
              <w:jc w:val="center"/>
              <w:rPr>
                <w:rFonts w:ascii="宋体" w:cs="宋体"/>
                <w:sz w:val="24"/>
              </w:rPr>
            </w:pPr>
            <w:r>
              <w:rPr>
                <w:rFonts w:hint="eastAsia" w:ascii="宋体" w:hAnsi="宋体" w:cs="宋体"/>
                <w:sz w:val="24"/>
              </w:rPr>
              <w:t>性别</w:t>
            </w:r>
          </w:p>
        </w:tc>
        <w:tc>
          <w:tcPr>
            <w:tcW w:w="1035" w:type="dxa"/>
            <w:vAlign w:val="center"/>
          </w:tcPr>
          <w:p>
            <w:pPr>
              <w:snapToGrid w:val="0"/>
              <w:spacing w:before="50" w:after="50" w:line="500" w:lineRule="exact"/>
              <w:jc w:val="center"/>
              <w:rPr>
                <w:rFonts w:ascii="宋体" w:cs="宋体"/>
                <w:sz w:val="24"/>
              </w:rPr>
            </w:pPr>
            <w:r>
              <w:rPr>
                <w:rFonts w:hint="eastAsia" w:ascii="宋体" w:hAnsi="宋体" w:cs="宋体"/>
                <w:sz w:val="24"/>
              </w:rPr>
              <w:t>年龄</w:t>
            </w:r>
          </w:p>
        </w:tc>
        <w:tc>
          <w:tcPr>
            <w:tcW w:w="1185" w:type="dxa"/>
            <w:vAlign w:val="center"/>
          </w:tcPr>
          <w:p>
            <w:pPr>
              <w:snapToGrid w:val="0"/>
              <w:spacing w:before="50" w:after="50" w:line="500" w:lineRule="exact"/>
              <w:jc w:val="center"/>
              <w:rPr>
                <w:rFonts w:ascii="宋体" w:cs="宋体"/>
                <w:sz w:val="24"/>
              </w:rPr>
            </w:pPr>
            <w:r>
              <w:rPr>
                <w:rFonts w:hint="eastAsia" w:ascii="宋体" w:hAnsi="宋体" w:cs="宋体"/>
                <w:sz w:val="24"/>
              </w:rPr>
              <w:t>文化</w:t>
            </w:r>
          </w:p>
          <w:p>
            <w:pPr>
              <w:snapToGrid w:val="0"/>
              <w:spacing w:before="50" w:after="50" w:line="500" w:lineRule="exact"/>
              <w:jc w:val="center"/>
              <w:rPr>
                <w:rFonts w:ascii="宋体" w:cs="宋体"/>
                <w:sz w:val="24"/>
              </w:rPr>
            </w:pPr>
            <w:r>
              <w:rPr>
                <w:rFonts w:hint="eastAsia" w:ascii="宋体" w:hAnsi="宋体" w:cs="宋体"/>
                <w:sz w:val="24"/>
              </w:rPr>
              <w:t>程度</w:t>
            </w:r>
          </w:p>
        </w:tc>
        <w:tc>
          <w:tcPr>
            <w:tcW w:w="1260" w:type="dxa"/>
            <w:vAlign w:val="center"/>
          </w:tcPr>
          <w:p>
            <w:pPr>
              <w:snapToGrid w:val="0"/>
              <w:spacing w:before="50" w:after="50" w:line="500" w:lineRule="exact"/>
              <w:jc w:val="center"/>
              <w:rPr>
                <w:rFonts w:ascii="宋体" w:cs="宋体"/>
                <w:sz w:val="24"/>
              </w:rPr>
            </w:pPr>
            <w:r>
              <w:rPr>
                <w:rFonts w:hint="eastAsia" w:ascii="宋体" w:hAnsi="宋体" w:cs="宋体"/>
                <w:sz w:val="24"/>
              </w:rPr>
              <w:t>从事</w:t>
            </w:r>
          </w:p>
          <w:p>
            <w:pPr>
              <w:snapToGrid w:val="0"/>
              <w:spacing w:before="50" w:after="50" w:line="500" w:lineRule="exact"/>
              <w:jc w:val="center"/>
              <w:rPr>
                <w:rFonts w:ascii="宋体" w:cs="宋体"/>
                <w:sz w:val="24"/>
              </w:rPr>
            </w:pPr>
            <w:r>
              <w:rPr>
                <w:rFonts w:hint="eastAsia" w:ascii="宋体" w:hAnsi="宋体" w:cs="宋体"/>
                <w:sz w:val="24"/>
              </w:rPr>
              <w:t>专业</w:t>
            </w:r>
          </w:p>
        </w:tc>
        <w:tc>
          <w:tcPr>
            <w:tcW w:w="1410" w:type="dxa"/>
            <w:vAlign w:val="center"/>
          </w:tcPr>
          <w:p>
            <w:pPr>
              <w:snapToGrid w:val="0"/>
              <w:spacing w:before="50" w:after="50" w:line="500" w:lineRule="exact"/>
              <w:jc w:val="center"/>
              <w:rPr>
                <w:rFonts w:ascii="宋体" w:cs="宋体"/>
                <w:sz w:val="24"/>
              </w:rPr>
            </w:pPr>
            <w:r>
              <w:rPr>
                <w:rFonts w:hint="eastAsia" w:ascii="宋体" w:hAnsi="宋体" w:cs="宋体"/>
                <w:sz w:val="24"/>
              </w:rPr>
              <w:t>从事专业工作时间</w:t>
            </w:r>
          </w:p>
        </w:tc>
        <w:tc>
          <w:tcPr>
            <w:tcW w:w="1125" w:type="dxa"/>
            <w:vAlign w:val="center"/>
          </w:tcPr>
          <w:p>
            <w:pPr>
              <w:snapToGrid w:val="0"/>
              <w:spacing w:before="50" w:after="50" w:line="500" w:lineRule="exact"/>
              <w:ind w:left="-107" w:leftChars="-51" w:firstLine="91" w:firstLineChars="38"/>
              <w:jc w:val="center"/>
              <w:rPr>
                <w:rFonts w:ascii="宋体" w:cs="宋体"/>
                <w:sz w:val="24"/>
              </w:rPr>
            </w:pPr>
            <w:r>
              <w:rPr>
                <w:rFonts w:hint="eastAsia" w:ascii="宋体" w:hAnsi="宋体" w:cs="宋体"/>
                <w:sz w:val="24"/>
              </w:rPr>
              <w:t>职称</w:t>
            </w:r>
          </w:p>
        </w:tc>
        <w:tc>
          <w:tcPr>
            <w:tcW w:w="1357" w:type="dxa"/>
            <w:vAlign w:val="center"/>
          </w:tcPr>
          <w:p>
            <w:pPr>
              <w:snapToGrid w:val="0"/>
              <w:spacing w:before="50" w:after="50" w:line="500" w:lineRule="exact"/>
              <w:jc w:val="center"/>
              <w:rPr>
                <w:rFonts w:ascii="宋体" w:cs="宋体"/>
                <w:sz w:val="24"/>
              </w:rPr>
            </w:pPr>
            <w:r>
              <w:rPr>
                <w:rFonts w:hint="eastAsia" w:ascii="宋体" w:hAnsi="宋体" w:cs="宋体"/>
                <w:sz w:val="24"/>
              </w:rPr>
              <w:t>拟派岗位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71" w:type="dxa"/>
          </w:tcPr>
          <w:p>
            <w:pPr>
              <w:spacing w:before="50" w:after="50" w:line="500" w:lineRule="exact"/>
              <w:jc w:val="left"/>
              <w:rPr>
                <w:rFonts w:ascii="宋体" w:cs="宋体"/>
                <w:sz w:val="24"/>
              </w:rPr>
            </w:pPr>
          </w:p>
        </w:tc>
        <w:tc>
          <w:tcPr>
            <w:tcW w:w="1047" w:type="dxa"/>
          </w:tcPr>
          <w:p>
            <w:pPr>
              <w:spacing w:before="50" w:after="50" w:line="500" w:lineRule="exact"/>
              <w:jc w:val="left"/>
              <w:rPr>
                <w:rFonts w:ascii="宋体" w:cs="宋体"/>
                <w:sz w:val="24"/>
              </w:rPr>
            </w:pPr>
          </w:p>
        </w:tc>
        <w:tc>
          <w:tcPr>
            <w:tcW w:w="1035" w:type="dxa"/>
          </w:tcPr>
          <w:p>
            <w:pPr>
              <w:spacing w:before="50" w:after="50" w:line="500" w:lineRule="exact"/>
              <w:jc w:val="left"/>
              <w:rPr>
                <w:rFonts w:ascii="宋体" w:cs="宋体"/>
                <w:sz w:val="24"/>
              </w:rPr>
            </w:pPr>
          </w:p>
        </w:tc>
        <w:tc>
          <w:tcPr>
            <w:tcW w:w="1185" w:type="dxa"/>
          </w:tcPr>
          <w:p>
            <w:pPr>
              <w:spacing w:before="50" w:after="50" w:line="500" w:lineRule="exact"/>
              <w:jc w:val="left"/>
              <w:rPr>
                <w:rFonts w:ascii="宋体" w:cs="宋体"/>
                <w:sz w:val="24"/>
              </w:rPr>
            </w:pPr>
          </w:p>
        </w:tc>
        <w:tc>
          <w:tcPr>
            <w:tcW w:w="1260" w:type="dxa"/>
          </w:tcPr>
          <w:p>
            <w:pPr>
              <w:spacing w:before="50" w:after="50" w:line="500" w:lineRule="exact"/>
              <w:jc w:val="left"/>
              <w:rPr>
                <w:rFonts w:ascii="宋体" w:cs="宋体"/>
                <w:sz w:val="24"/>
              </w:rPr>
            </w:pPr>
          </w:p>
        </w:tc>
        <w:tc>
          <w:tcPr>
            <w:tcW w:w="1410" w:type="dxa"/>
          </w:tcPr>
          <w:p>
            <w:pPr>
              <w:spacing w:before="50" w:after="50" w:line="500" w:lineRule="exact"/>
              <w:jc w:val="left"/>
              <w:rPr>
                <w:rFonts w:ascii="宋体" w:cs="宋体"/>
                <w:sz w:val="24"/>
              </w:rPr>
            </w:pPr>
          </w:p>
        </w:tc>
        <w:tc>
          <w:tcPr>
            <w:tcW w:w="1125" w:type="dxa"/>
          </w:tcPr>
          <w:p>
            <w:pPr>
              <w:spacing w:before="50" w:after="50" w:line="500" w:lineRule="exact"/>
              <w:jc w:val="left"/>
              <w:rPr>
                <w:rFonts w:ascii="宋体" w:cs="宋体"/>
                <w:sz w:val="24"/>
              </w:rPr>
            </w:pPr>
          </w:p>
        </w:tc>
        <w:tc>
          <w:tcPr>
            <w:tcW w:w="1357" w:type="dxa"/>
          </w:tcPr>
          <w:p>
            <w:pPr>
              <w:spacing w:before="50" w:after="50" w:line="500" w:lineRule="exact"/>
              <w:jc w:val="left"/>
              <w:rPr>
                <w:rFonts w:ascii="宋体" w:cs="宋体"/>
                <w:sz w:val="24"/>
              </w:rPr>
            </w:pPr>
          </w:p>
        </w:tc>
      </w:tr>
    </w:tbl>
    <w:p>
      <w:pPr>
        <w:spacing w:before="50" w:after="50" w:line="500" w:lineRule="exact"/>
        <w:rPr>
          <w:rFonts w:ascii="宋体" w:cs="宋体"/>
          <w:b/>
          <w:bCs/>
          <w:sz w:val="24"/>
        </w:rPr>
      </w:pPr>
    </w:p>
    <w:p>
      <w:pPr>
        <w:pStyle w:val="27"/>
        <w:tabs>
          <w:tab w:val="left" w:pos="4312"/>
        </w:tabs>
        <w:spacing w:before="156" w:after="156" w:line="360" w:lineRule="auto"/>
        <w:rPr>
          <w:rFonts w:ascii="Times New Roman" w:hAnsi="Times New Roman"/>
        </w:rPr>
      </w:pPr>
      <w:r>
        <w:rPr>
          <w:rFonts w:hint="eastAsia" w:ascii="Times New Roman" w:hAnsi="Times New Roman"/>
        </w:rPr>
        <w:t>投标单位（公章）：</w:t>
      </w:r>
    </w:p>
    <w:p>
      <w:pPr>
        <w:pStyle w:val="27"/>
        <w:tabs>
          <w:tab w:val="left" w:pos="4312"/>
        </w:tabs>
        <w:spacing w:before="156" w:after="156" w:line="360" w:lineRule="auto"/>
        <w:rPr>
          <w:rFonts w:ascii="Times New Roman" w:hAnsi="Times New Roman"/>
        </w:rPr>
      </w:pPr>
      <w:r>
        <w:rPr>
          <w:rFonts w:hint="eastAsia" w:ascii="Times New Roman" w:hAnsi="Times New Roman"/>
        </w:rPr>
        <w:t>授权代表签字：</w:t>
      </w:r>
    </w:p>
    <w:p>
      <w:pPr>
        <w:pStyle w:val="27"/>
        <w:tabs>
          <w:tab w:val="left" w:pos="4312"/>
        </w:tabs>
        <w:spacing w:before="156" w:after="156" w:line="360" w:lineRule="auto"/>
        <w:rPr>
          <w:rFonts w:ascii="Times New Roman" w:hAnsi="Times New Roman"/>
        </w:rPr>
      </w:pPr>
      <w:r>
        <w:rPr>
          <w:rFonts w:hint="eastAsia" w:ascii="Times New Roman" w:hAnsi="Times New Roman"/>
        </w:rPr>
        <w:t>日期：</w:t>
      </w: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jc w:val="left"/>
        <w:rPr>
          <w:rFonts w:ascii="宋体"/>
          <w:b/>
          <w:sz w:val="24"/>
        </w:rPr>
      </w:pPr>
    </w:p>
    <w:p>
      <w:pPr>
        <w:snapToGrid w:val="0"/>
        <w:spacing w:before="50" w:afterLines="50" w:line="360" w:lineRule="auto"/>
        <w:jc w:val="left"/>
        <w:rPr>
          <w:rFonts w:ascii="宋体" w:hAnsi="宋体"/>
          <w:b/>
          <w:color w:val="0D0D0D"/>
          <w:sz w:val="24"/>
          <w:szCs w:val="20"/>
        </w:rPr>
      </w:pPr>
      <w:r>
        <w:rPr>
          <w:rFonts w:hint="eastAsia" w:ascii="宋体" w:hAnsi="宋体"/>
          <w:b/>
          <w:color w:val="0D0D0D"/>
          <w:sz w:val="24"/>
        </w:rPr>
        <w:t>2.12货物具体配置表：</w:t>
      </w:r>
    </w:p>
    <w:p>
      <w:pPr>
        <w:snapToGrid w:val="0"/>
        <w:spacing w:beforeLines="50" w:after="50" w:line="360" w:lineRule="auto"/>
        <w:jc w:val="center"/>
        <w:rPr>
          <w:rFonts w:ascii="宋体" w:hAnsi="宋体"/>
          <w:b/>
          <w:color w:val="0D0D0D"/>
          <w:sz w:val="24"/>
        </w:rPr>
      </w:pPr>
      <w:r>
        <w:rPr>
          <w:rFonts w:ascii="宋体" w:hAnsi="宋体"/>
          <w:b/>
          <w:color w:val="0D0D0D"/>
          <w:sz w:val="24"/>
        </w:rPr>
        <w:t>货物</w:t>
      </w:r>
      <w:r>
        <w:rPr>
          <w:rFonts w:hint="eastAsia" w:ascii="宋体" w:hAnsi="宋体"/>
          <w:b/>
          <w:color w:val="0D0D0D"/>
          <w:sz w:val="24"/>
        </w:rPr>
        <w:t>具体配置表</w:t>
      </w:r>
    </w:p>
    <w:p>
      <w:pPr>
        <w:spacing w:beforeLines="50" w:afterLines="50" w:line="360" w:lineRule="auto"/>
        <w:ind w:right="904"/>
        <w:rPr>
          <w:color w:val="0D0D0D"/>
          <w:sz w:val="24"/>
        </w:rPr>
      </w:pPr>
      <w:r>
        <w:rPr>
          <w:rFonts w:hint="eastAsia"/>
          <w:color w:val="0D0D0D"/>
          <w:sz w:val="24"/>
        </w:rPr>
        <w:t>项目名称：</w:t>
      </w:r>
      <w:r>
        <w:rPr>
          <w:color w:val="0D0D0D"/>
          <w:sz w:val="24"/>
        </w:rPr>
        <w:t>招标编号：</w:t>
      </w:r>
    </w:p>
    <w:tbl>
      <w:tblPr>
        <w:tblStyle w:val="46"/>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96"/>
        <w:gridCol w:w="596"/>
        <w:gridCol w:w="1260"/>
        <w:gridCol w:w="1260"/>
        <w:gridCol w:w="334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596" w:type="dxa"/>
            <w:tcBorders>
              <w:bottom w:val="nil"/>
            </w:tcBorders>
            <w:vAlign w:val="center"/>
          </w:tcPr>
          <w:p>
            <w:pPr>
              <w:jc w:val="center"/>
              <w:rPr>
                <w:rFonts w:ascii="宋体" w:hAnsi="宋体"/>
                <w:color w:val="0D0D0D"/>
                <w:sz w:val="24"/>
              </w:rPr>
            </w:pPr>
            <w:r>
              <w:rPr>
                <w:rFonts w:hint="eastAsia" w:ascii="宋体" w:hAnsi="宋体"/>
                <w:color w:val="0D0D0D"/>
                <w:sz w:val="24"/>
              </w:rPr>
              <w:t>品牌型号</w:t>
            </w:r>
          </w:p>
        </w:tc>
        <w:tc>
          <w:tcPr>
            <w:tcW w:w="596" w:type="dxa"/>
            <w:tcBorders>
              <w:bottom w:val="nil"/>
            </w:tcBorders>
            <w:vAlign w:val="center"/>
          </w:tcPr>
          <w:p>
            <w:pPr>
              <w:jc w:val="center"/>
              <w:rPr>
                <w:rFonts w:ascii="宋体" w:hAnsi="宋体"/>
                <w:color w:val="0D0D0D"/>
                <w:sz w:val="24"/>
              </w:rPr>
            </w:pPr>
            <w:r>
              <w:rPr>
                <w:rFonts w:hint="eastAsia" w:ascii="宋体" w:hAnsi="宋体"/>
                <w:color w:val="0D0D0D"/>
                <w:sz w:val="24"/>
              </w:rPr>
              <w:t>序号</w:t>
            </w:r>
          </w:p>
        </w:tc>
        <w:tc>
          <w:tcPr>
            <w:tcW w:w="1260" w:type="dxa"/>
            <w:tcBorders>
              <w:bottom w:val="nil"/>
            </w:tcBorders>
            <w:vAlign w:val="center"/>
          </w:tcPr>
          <w:p>
            <w:pPr>
              <w:jc w:val="center"/>
              <w:rPr>
                <w:rFonts w:ascii="宋体" w:hAnsi="宋体"/>
                <w:color w:val="0D0D0D"/>
                <w:sz w:val="24"/>
              </w:rPr>
            </w:pPr>
            <w:r>
              <w:rPr>
                <w:rFonts w:hint="eastAsia" w:ascii="宋体" w:hAnsi="宋体"/>
                <w:color w:val="0D0D0D"/>
                <w:sz w:val="24"/>
              </w:rPr>
              <w:t>配件名称型号</w:t>
            </w:r>
          </w:p>
        </w:tc>
        <w:tc>
          <w:tcPr>
            <w:tcW w:w="1260" w:type="dxa"/>
            <w:vAlign w:val="center"/>
          </w:tcPr>
          <w:p>
            <w:pPr>
              <w:jc w:val="center"/>
              <w:rPr>
                <w:rFonts w:ascii="宋体" w:hAnsi="宋体"/>
                <w:color w:val="0D0D0D"/>
                <w:sz w:val="24"/>
              </w:rPr>
            </w:pPr>
            <w:r>
              <w:rPr>
                <w:rFonts w:hint="eastAsia" w:ascii="宋体" w:hAnsi="宋体"/>
                <w:color w:val="0D0D0D"/>
                <w:sz w:val="24"/>
              </w:rPr>
              <w:t>配件品牌</w:t>
            </w:r>
          </w:p>
        </w:tc>
        <w:tc>
          <w:tcPr>
            <w:tcW w:w="3348" w:type="dxa"/>
            <w:vAlign w:val="center"/>
          </w:tcPr>
          <w:p>
            <w:pPr>
              <w:ind w:right="54"/>
              <w:jc w:val="center"/>
              <w:rPr>
                <w:rFonts w:ascii="宋体" w:hAnsi="宋体"/>
                <w:color w:val="0D0D0D"/>
                <w:sz w:val="24"/>
              </w:rPr>
            </w:pPr>
            <w:r>
              <w:rPr>
                <w:rFonts w:hint="eastAsia" w:ascii="宋体" w:hAnsi="宋体"/>
                <w:color w:val="0D0D0D"/>
                <w:sz w:val="24"/>
              </w:rPr>
              <w:t>技术指标、功能及配置描述</w:t>
            </w:r>
          </w:p>
        </w:tc>
        <w:tc>
          <w:tcPr>
            <w:tcW w:w="1080" w:type="dxa"/>
            <w:vAlign w:val="center"/>
          </w:tcPr>
          <w:p>
            <w:pPr>
              <w:ind w:right="54"/>
              <w:jc w:val="center"/>
              <w:rPr>
                <w:rFonts w:ascii="宋体" w:hAnsi="宋体"/>
                <w:color w:val="0D0D0D"/>
                <w:sz w:val="24"/>
              </w:rPr>
            </w:pPr>
            <w:r>
              <w:rPr>
                <w:rFonts w:hint="eastAsia" w:ascii="宋体" w:hAnsi="宋体"/>
                <w:color w:val="0D0D0D"/>
                <w:sz w:val="24"/>
              </w:rPr>
              <w:t>产地</w:t>
            </w:r>
          </w:p>
        </w:tc>
        <w:tc>
          <w:tcPr>
            <w:tcW w:w="1080" w:type="dxa"/>
            <w:vAlign w:val="center"/>
          </w:tcPr>
          <w:p>
            <w:pPr>
              <w:ind w:right="54"/>
              <w:jc w:val="center"/>
              <w:rPr>
                <w:rFonts w:ascii="宋体" w:hAnsi="宋体"/>
                <w:color w:val="0D0D0D"/>
                <w:sz w:val="24"/>
              </w:rPr>
            </w:pPr>
            <w:r>
              <w:rPr>
                <w:rFonts w:hint="eastAsia" w:ascii="宋体" w:hAnsi="宋体"/>
                <w:color w:val="0D0D0D"/>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restart"/>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spacing w:line="360" w:lineRule="auto"/>
              <w:jc w:val="center"/>
              <w:rPr>
                <w:rFonts w:ascii="宋体" w:hAnsi="宋体"/>
                <w:color w:val="0D0D0D"/>
                <w:sz w:val="24"/>
              </w:rPr>
            </w:pPr>
          </w:p>
        </w:tc>
        <w:tc>
          <w:tcPr>
            <w:tcW w:w="596"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1260" w:type="dxa"/>
            <w:vAlign w:val="center"/>
          </w:tcPr>
          <w:p>
            <w:pPr>
              <w:spacing w:line="360" w:lineRule="auto"/>
              <w:jc w:val="center"/>
              <w:rPr>
                <w:rFonts w:ascii="宋体" w:hAnsi="宋体"/>
                <w:color w:val="0D0D0D"/>
                <w:sz w:val="24"/>
              </w:rPr>
            </w:pPr>
          </w:p>
        </w:tc>
        <w:tc>
          <w:tcPr>
            <w:tcW w:w="3348"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c>
          <w:tcPr>
            <w:tcW w:w="1080" w:type="dxa"/>
            <w:vAlign w:val="center"/>
          </w:tcPr>
          <w:p>
            <w:pPr>
              <w:spacing w:line="360" w:lineRule="auto"/>
              <w:ind w:right="54"/>
              <w:jc w:val="center"/>
              <w:rPr>
                <w:rFonts w:ascii="宋体" w:hAnsi="宋体"/>
                <w:color w:val="0D0D0D"/>
                <w:sz w:val="24"/>
              </w:rPr>
            </w:pPr>
          </w:p>
        </w:tc>
      </w:tr>
    </w:tbl>
    <w:p>
      <w:pPr>
        <w:tabs>
          <w:tab w:val="left" w:pos="4312"/>
        </w:tabs>
        <w:spacing w:beforeLines="50" w:afterLines="50" w:line="360" w:lineRule="auto"/>
        <w:rPr>
          <w:color w:val="0D0D0D"/>
          <w:sz w:val="24"/>
        </w:rPr>
      </w:pPr>
    </w:p>
    <w:p>
      <w:pPr>
        <w:tabs>
          <w:tab w:val="left" w:pos="4312"/>
        </w:tabs>
        <w:spacing w:beforeLines="50" w:afterLines="50" w:line="360" w:lineRule="auto"/>
        <w:rPr>
          <w:color w:val="0D0D0D"/>
          <w:sz w:val="24"/>
        </w:rPr>
      </w:pPr>
      <w:r>
        <w:rPr>
          <w:rFonts w:hint="eastAsia"/>
          <w:color w:val="0D0D0D"/>
          <w:sz w:val="24"/>
        </w:rPr>
        <w:t>投标单位（公章）：</w:t>
      </w:r>
    </w:p>
    <w:p>
      <w:pPr>
        <w:tabs>
          <w:tab w:val="left" w:pos="4312"/>
        </w:tabs>
        <w:spacing w:beforeLines="50" w:afterLines="50" w:line="360" w:lineRule="auto"/>
        <w:rPr>
          <w:color w:val="0D0D0D"/>
          <w:sz w:val="24"/>
        </w:rPr>
      </w:pPr>
      <w:r>
        <w:rPr>
          <w:rFonts w:hint="eastAsia"/>
          <w:color w:val="0D0D0D"/>
          <w:sz w:val="24"/>
        </w:rPr>
        <w:t>授权</w:t>
      </w:r>
      <w:r>
        <w:rPr>
          <w:color w:val="0D0D0D"/>
          <w:sz w:val="24"/>
        </w:rPr>
        <w:t>代表签字：</w:t>
      </w:r>
    </w:p>
    <w:p>
      <w:pPr>
        <w:tabs>
          <w:tab w:val="left" w:pos="4312"/>
        </w:tabs>
        <w:spacing w:beforeLines="50" w:afterLines="50" w:line="360" w:lineRule="auto"/>
        <w:rPr>
          <w:color w:val="0D0D0D"/>
          <w:sz w:val="24"/>
        </w:rPr>
      </w:pPr>
      <w:r>
        <w:rPr>
          <w:rFonts w:hint="eastAsia"/>
          <w:color w:val="0D0D0D"/>
          <w:sz w:val="24"/>
        </w:rPr>
        <w:t>日期：</w:t>
      </w:r>
    </w:p>
    <w:p>
      <w:pPr>
        <w:spacing w:line="360" w:lineRule="auto"/>
        <w:rPr>
          <w:color w:val="0D0D0D"/>
          <w:sz w:val="24"/>
        </w:rPr>
      </w:pPr>
    </w:p>
    <w:p>
      <w:pPr>
        <w:spacing w:line="360" w:lineRule="auto"/>
        <w:rPr>
          <w:color w:val="0D0D0D"/>
          <w:sz w:val="24"/>
        </w:rPr>
      </w:pPr>
    </w:p>
    <w:p>
      <w:pPr>
        <w:spacing w:line="360" w:lineRule="auto"/>
        <w:rPr>
          <w:color w:val="0D0D0D"/>
          <w:sz w:val="24"/>
        </w:rPr>
      </w:pPr>
      <w:r>
        <w:rPr>
          <w:rFonts w:hint="eastAsia"/>
          <w:color w:val="0D0D0D"/>
          <w:sz w:val="24"/>
        </w:rPr>
        <w:t>注：此表在不改变投标内容的情况下可自行制作</w:t>
      </w:r>
    </w:p>
    <w:p>
      <w:pPr>
        <w:snapToGrid w:val="0"/>
        <w:spacing w:before="50" w:afterLines="50" w:line="360" w:lineRule="auto"/>
        <w:jc w:val="left"/>
        <w:rPr>
          <w:rFonts w:ascii="宋体" w:hAnsi="宋体"/>
          <w:b/>
          <w:color w:val="0D0D0D"/>
          <w:sz w:val="24"/>
        </w:rPr>
      </w:pPr>
    </w:p>
    <w:p>
      <w:pPr>
        <w:snapToGrid w:val="0"/>
        <w:spacing w:before="50" w:afterLines="50" w:line="360" w:lineRule="auto"/>
        <w:jc w:val="left"/>
        <w:rPr>
          <w:rFonts w:ascii="宋体" w:hAnsi="宋体"/>
          <w:b/>
          <w:color w:val="0D0D0D"/>
          <w:sz w:val="24"/>
        </w:rPr>
      </w:pPr>
    </w:p>
    <w:p>
      <w:pPr>
        <w:snapToGrid w:val="0"/>
        <w:spacing w:before="50" w:afterLines="50"/>
        <w:jc w:val="left"/>
        <w:rPr>
          <w:rFonts w:ascii="宋体"/>
          <w:b/>
          <w:sz w:val="24"/>
        </w:rPr>
      </w:pPr>
    </w:p>
    <w:p>
      <w:pPr>
        <w:snapToGrid w:val="0"/>
        <w:spacing w:before="50" w:afterLines="50"/>
        <w:jc w:val="left"/>
        <w:rPr>
          <w:rFonts w:ascii="宋体"/>
          <w:b/>
          <w:sz w:val="24"/>
        </w:rPr>
      </w:pPr>
    </w:p>
    <w:bookmarkEnd w:id="22"/>
    <w:p>
      <w:pPr>
        <w:snapToGrid w:val="0"/>
        <w:spacing w:before="50" w:afterLines="50" w:line="360" w:lineRule="auto"/>
        <w:jc w:val="left"/>
        <w:outlineLvl w:val="1"/>
        <w:rPr>
          <w:rFonts w:ascii="宋体" w:hAnsi="宋体"/>
          <w:b/>
          <w:sz w:val="24"/>
        </w:rPr>
      </w:pPr>
    </w:p>
    <w:p>
      <w:pPr>
        <w:jc w:val="both"/>
        <w:rPr>
          <w:rFonts w:hint="eastAsia" w:ascii="宋体" w:hAnsi="宋体" w:eastAsia="宋体"/>
          <w:b/>
          <w:sz w:val="24"/>
          <w:lang w:eastAsia="zh-CN"/>
        </w:rPr>
      </w:pPr>
      <w:r>
        <w:rPr>
          <w:rFonts w:hint="eastAsia" w:ascii="宋体" w:hAnsi="宋体"/>
          <w:b/>
          <w:sz w:val="24"/>
        </w:rPr>
        <w:t>2.1</w:t>
      </w:r>
      <w:r>
        <w:rPr>
          <w:rFonts w:hint="eastAsia" w:ascii="宋体" w:hAnsi="宋体"/>
          <w:b/>
          <w:sz w:val="24"/>
          <w:lang w:val="en-US" w:eastAsia="zh-CN"/>
        </w:rPr>
        <w:t>3</w:t>
      </w:r>
    </w:p>
    <w:p>
      <w:pPr>
        <w:jc w:val="center"/>
        <w:rPr>
          <w:rFonts w:ascii="宋体" w:hAnsi="宋体" w:eastAsia="宋体" w:cs="Times New Roman"/>
          <w:sz w:val="44"/>
          <w:szCs w:val="44"/>
        </w:rPr>
      </w:pPr>
      <w:r>
        <w:rPr>
          <w:rFonts w:hint="eastAsia" w:ascii="宋体" w:hAnsi="宋体" w:eastAsia="宋体" w:cs="Times New Roman"/>
          <w:sz w:val="44"/>
          <w:szCs w:val="44"/>
        </w:rPr>
        <w:t>东阳市政府采购代理机构社会评价表</w:t>
      </w:r>
    </w:p>
    <w:p>
      <w:pPr>
        <w:rPr>
          <w:rFonts w:ascii="宋体" w:hAnsi="宋体" w:eastAsia="宋体" w:cs="Times New Roman"/>
          <w:sz w:val="28"/>
          <w:szCs w:val="28"/>
        </w:rPr>
      </w:pPr>
      <w:r>
        <w:rPr>
          <w:rFonts w:hint="eastAsia" w:ascii="宋体" w:hAnsi="宋体" w:eastAsia="宋体" w:cs="Times New Roman"/>
          <w:sz w:val="28"/>
          <w:szCs w:val="28"/>
        </w:rPr>
        <w:t>代理机构名称：</w:t>
      </w:r>
      <w:r>
        <w:rPr>
          <w:rFonts w:hint="eastAsia" w:ascii="宋体" w:hAnsi="宋体" w:eastAsia="宋体" w:cs="Times New Roman"/>
          <w:sz w:val="28"/>
          <w:szCs w:val="28"/>
          <w:lang w:val="en-US" w:eastAsia="zh-CN"/>
        </w:rPr>
        <w:t>金华市金诚招投标代理有限公司</w:t>
      </w:r>
      <w:r>
        <w:rPr>
          <w:rFonts w:hint="eastAsia" w:ascii="宋体" w:hAnsi="宋体" w:eastAsia="宋体" w:cs="Times New Roman"/>
          <w:sz w:val="28"/>
          <w:szCs w:val="28"/>
        </w:rPr>
        <w:t xml:space="preserve"> </w:t>
      </w:r>
    </w:p>
    <w:tbl>
      <w:tblPr>
        <w:tblStyle w:val="4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70"/>
        <w:gridCol w:w="696"/>
        <w:gridCol w:w="1068"/>
        <w:gridCol w:w="132"/>
        <w:gridCol w:w="900"/>
        <w:gridCol w:w="78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填表人类别</w:t>
            </w:r>
          </w:p>
        </w:tc>
        <w:tc>
          <w:tcPr>
            <w:tcW w:w="7938" w:type="dxa"/>
            <w:gridSpan w:val="7"/>
            <w:tcBorders>
              <w:top w:val="single" w:color="auto" w:sz="4" w:space="0"/>
              <w:left w:val="nil"/>
              <w:bottom w:val="single" w:color="auto" w:sz="4" w:space="0"/>
              <w:right w:val="single" w:color="auto" w:sz="4" w:space="0"/>
            </w:tcBorders>
            <w:noWrap w:val="0"/>
            <w:vAlign w:val="center"/>
          </w:tcPr>
          <w:p>
            <w:pPr>
              <w:ind w:firstLine="480" w:firstLineChars="200"/>
              <w:jc w:val="center"/>
              <w:rPr>
                <w:rFonts w:ascii="Times New Roman" w:hAnsi="Times New Roman" w:eastAsia="宋体" w:cs="Times New Roman"/>
                <w:sz w:val="24"/>
                <w:szCs w:val="24"/>
              </w:rPr>
            </w:pPr>
            <w:r>
              <w:rPr>
                <w:rFonts w:hint="eastAsia" w:ascii="宋体" w:hAnsi="宋体" w:eastAsia="宋体" w:cs="Times New Roman"/>
                <w:sz w:val="24"/>
                <w:szCs w:val="24"/>
              </w:rPr>
              <w:t>□采购单位</w:t>
            </w:r>
            <w:r>
              <w:rPr>
                <w:rFonts w:ascii="Times New Roman" w:hAnsi="Times New Roman" w:eastAsia="宋体" w:cs="Times New Roman"/>
                <w:sz w:val="24"/>
                <w:szCs w:val="24"/>
              </w:rPr>
              <w:t xml:space="preserve">      </w:t>
            </w:r>
            <w:r>
              <w:rPr>
                <w:rFonts w:hint="eastAsia" w:ascii="宋体" w:hAnsi="宋体" w:eastAsia="宋体" w:cs="Times New Roman"/>
                <w:sz w:val="24"/>
                <w:szCs w:val="24"/>
              </w:rPr>
              <w:t>□供应商</w:t>
            </w:r>
            <w:r>
              <w:rPr>
                <w:rFonts w:ascii="Times New Roman" w:hAnsi="Times New Roman" w:eastAsia="宋体" w:cs="Times New Roman"/>
                <w:sz w:val="24"/>
                <w:szCs w:val="24"/>
              </w:rPr>
              <w:t xml:space="preserve">      </w:t>
            </w:r>
            <w:r>
              <w:rPr>
                <w:rFonts w:hint="eastAsia" w:ascii="宋体" w:hAnsi="宋体" w:eastAsia="宋体" w:cs="Times New Roman"/>
                <w:sz w:val="24"/>
                <w:szCs w:val="24"/>
              </w:rPr>
              <w:t>□专家</w:t>
            </w:r>
            <w:r>
              <w:rPr>
                <w:rFonts w:ascii="Times New Roman" w:hAnsi="Times New Roman" w:eastAsia="宋体"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填表人名称或姓名</w:t>
            </w:r>
          </w:p>
        </w:tc>
        <w:tc>
          <w:tcPr>
            <w:tcW w:w="3366" w:type="dxa"/>
            <w:gridSpan w:val="4"/>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c>
          <w:tcPr>
            <w:tcW w:w="900"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地址</w:t>
            </w:r>
          </w:p>
        </w:tc>
        <w:tc>
          <w:tcPr>
            <w:tcW w:w="3672"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联系人</w:t>
            </w:r>
          </w:p>
        </w:tc>
        <w:tc>
          <w:tcPr>
            <w:tcW w:w="1470"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c>
          <w:tcPr>
            <w:tcW w:w="696"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电话</w:t>
            </w:r>
          </w:p>
        </w:tc>
        <w:tc>
          <w:tcPr>
            <w:tcW w:w="210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c>
          <w:tcPr>
            <w:tcW w:w="787"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传真</w:t>
            </w:r>
          </w:p>
        </w:tc>
        <w:tc>
          <w:tcPr>
            <w:tcW w:w="2885"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对代理机构的评价</w:t>
            </w:r>
          </w:p>
        </w:tc>
        <w:tc>
          <w:tcPr>
            <w:tcW w:w="3234" w:type="dxa"/>
            <w:gridSpan w:val="3"/>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r>
              <w:rPr>
                <w:rFonts w:hint="eastAsia" w:ascii="宋体" w:hAnsi="宋体" w:eastAsia="宋体" w:cs="Times New Roman"/>
                <w:sz w:val="24"/>
                <w:szCs w:val="24"/>
              </w:rPr>
              <w:t>项目</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r>
              <w:rPr>
                <w:rFonts w:hint="eastAsia" w:ascii="宋体" w:hAnsi="宋体" w:eastAsia="宋体" w:cs="Times New Roman"/>
                <w:sz w:val="24"/>
                <w:szCs w:val="24"/>
              </w:rPr>
              <w:t>评价（请在分值范围内进行打分）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sz w:val="24"/>
                <w:szCs w:val="24"/>
              </w:rPr>
            </w:pPr>
          </w:p>
        </w:tc>
        <w:tc>
          <w:tcPr>
            <w:tcW w:w="3234" w:type="dxa"/>
            <w:gridSpan w:val="3"/>
            <w:tcBorders>
              <w:top w:val="single" w:color="auto" w:sz="4" w:space="0"/>
              <w:left w:val="nil"/>
              <w:bottom w:val="single" w:color="auto" w:sz="4" w:space="0"/>
              <w:right w:val="single" w:color="auto" w:sz="4" w:space="0"/>
            </w:tcBorders>
            <w:noWrap w:val="0"/>
            <w:vAlign w:val="center"/>
          </w:tcPr>
          <w:p>
            <w:pPr>
              <w:rPr>
                <w:rFonts w:ascii="宋体" w:hAnsi="宋体" w:eastAsia="宋体"/>
                <w:kern w:val="0"/>
                <w:sz w:val="24"/>
                <w:szCs w:val="24"/>
              </w:rPr>
            </w:pPr>
            <w:r>
              <w:rPr>
                <w:rFonts w:hint="eastAsia" w:ascii="宋体" w:hAnsi="宋体" w:eastAsia="宋体"/>
                <w:sz w:val="24"/>
                <w:szCs w:val="24"/>
              </w:rPr>
              <w:t>是否严格执行政府采购纪律、法规和规章制度等（2分）。</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sz w:val="24"/>
                <w:szCs w:val="24"/>
              </w:rPr>
            </w:pPr>
          </w:p>
        </w:tc>
        <w:tc>
          <w:tcPr>
            <w:tcW w:w="3234" w:type="dxa"/>
            <w:gridSpan w:val="3"/>
            <w:tcBorders>
              <w:top w:val="single" w:color="auto" w:sz="4" w:space="0"/>
              <w:left w:val="nil"/>
              <w:bottom w:val="single" w:color="auto" w:sz="4" w:space="0"/>
              <w:right w:val="single" w:color="auto" w:sz="4" w:space="0"/>
            </w:tcBorders>
            <w:noWrap w:val="0"/>
            <w:vAlign w:val="center"/>
          </w:tcPr>
          <w:p>
            <w:pPr>
              <w:rPr>
                <w:rFonts w:ascii="宋体" w:hAnsi="宋体" w:eastAsia="宋体"/>
                <w:kern w:val="0"/>
                <w:sz w:val="24"/>
                <w:szCs w:val="24"/>
              </w:rPr>
            </w:pPr>
            <w:r>
              <w:rPr>
                <w:rFonts w:hint="eastAsia" w:ascii="宋体" w:hAnsi="宋体" w:eastAsia="宋体"/>
                <w:sz w:val="24"/>
                <w:szCs w:val="24"/>
              </w:rPr>
              <w:t>操作程序是否规范，采购行为、过程、结果是否公开、公平、公正，采购组织管理是否规范严谨（2分）</w:t>
            </w:r>
            <w:r>
              <w:rPr>
                <w:rFonts w:hint="eastAsia" w:ascii="宋体" w:hAnsi="宋体" w:eastAsia="宋体"/>
                <w:kern w:val="0"/>
                <w:sz w:val="24"/>
                <w:szCs w:val="24"/>
              </w:rPr>
              <w:t>。</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sz w:val="24"/>
                <w:szCs w:val="24"/>
              </w:rPr>
            </w:pPr>
          </w:p>
        </w:tc>
        <w:tc>
          <w:tcPr>
            <w:tcW w:w="3234" w:type="dxa"/>
            <w:gridSpan w:val="3"/>
            <w:tcBorders>
              <w:top w:val="single" w:color="auto" w:sz="4" w:space="0"/>
              <w:left w:val="nil"/>
              <w:bottom w:val="single" w:color="auto" w:sz="4" w:space="0"/>
              <w:right w:val="single" w:color="auto" w:sz="4" w:space="0"/>
            </w:tcBorders>
            <w:noWrap w:val="0"/>
            <w:vAlign w:val="center"/>
          </w:tcPr>
          <w:p>
            <w:pPr>
              <w:rPr>
                <w:rFonts w:ascii="宋体" w:hAnsi="宋体" w:eastAsia="宋体"/>
                <w:kern w:val="0"/>
                <w:sz w:val="24"/>
                <w:szCs w:val="24"/>
              </w:rPr>
            </w:pPr>
            <w:r>
              <w:rPr>
                <w:rFonts w:hint="eastAsia" w:ascii="宋体" w:hAnsi="宋体" w:eastAsia="宋体"/>
                <w:sz w:val="24"/>
                <w:szCs w:val="24"/>
              </w:rPr>
              <w:t>是否及时组织采购，是否有承诺办事时间并能限时办结（2分）</w:t>
            </w:r>
            <w:r>
              <w:rPr>
                <w:rFonts w:hint="eastAsia" w:ascii="宋体" w:hAnsi="宋体" w:eastAsia="宋体"/>
                <w:kern w:val="0"/>
                <w:sz w:val="24"/>
                <w:szCs w:val="24"/>
              </w:rPr>
              <w:t>。</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sz w:val="24"/>
                <w:szCs w:val="24"/>
              </w:rPr>
            </w:pPr>
          </w:p>
        </w:tc>
        <w:tc>
          <w:tcPr>
            <w:tcW w:w="3234" w:type="dxa"/>
            <w:gridSpan w:val="3"/>
            <w:tcBorders>
              <w:top w:val="single" w:color="auto" w:sz="4" w:space="0"/>
              <w:left w:val="nil"/>
              <w:bottom w:val="single" w:color="auto" w:sz="4" w:space="0"/>
              <w:right w:val="single" w:color="auto" w:sz="4" w:space="0"/>
            </w:tcBorders>
            <w:noWrap w:val="0"/>
            <w:vAlign w:val="center"/>
          </w:tcPr>
          <w:p>
            <w:pPr>
              <w:rPr>
                <w:rFonts w:ascii="宋体" w:hAnsi="宋体" w:eastAsia="宋体" w:cs="Times New Roman"/>
                <w:sz w:val="24"/>
                <w:szCs w:val="24"/>
              </w:rPr>
            </w:pPr>
            <w:r>
              <w:rPr>
                <w:rFonts w:hint="eastAsia" w:ascii="宋体" w:hAnsi="宋体" w:eastAsia="宋体"/>
                <w:sz w:val="24"/>
                <w:szCs w:val="24"/>
              </w:rPr>
              <w:t>是否能积极</w:t>
            </w:r>
            <w:r>
              <w:rPr>
                <w:rFonts w:hint="eastAsia" w:ascii="宋体" w:hAnsi="宋体" w:eastAsia="宋体"/>
                <w:kern w:val="0"/>
                <w:sz w:val="24"/>
                <w:szCs w:val="24"/>
              </w:rPr>
              <w:t>主动</w:t>
            </w:r>
            <w:r>
              <w:rPr>
                <w:rFonts w:hint="eastAsia" w:ascii="宋体" w:hAnsi="宋体" w:eastAsia="宋体"/>
                <w:sz w:val="24"/>
                <w:szCs w:val="24"/>
              </w:rPr>
              <w:t>与当事人沟通</w:t>
            </w:r>
            <w:r>
              <w:rPr>
                <w:rFonts w:hint="eastAsia" w:ascii="宋体" w:hAnsi="宋体" w:eastAsia="宋体"/>
                <w:kern w:val="0"/>
                <w:sz w:val="24"/>
                <w:szCs w:val="24"/>
              </w:rPr>
              <w:t>对接；对采购政策进行详细解读；</w:t>
            </w:r>
            <w:r>
              <w:rPr>
                <w:rFonts w:hint="eastAsia" w:ascii="宋体" w:hAnsi="宋体" w:eastAsia="宋体"/>
                <w:sz w:val="24"/>
                <w:szCs w:val="24"/>
              </w:rPr>
              <w:t>咨询答复是否热情周到、耐心细致（2分）</w:t>
            </w:r>
            <w:r>
              <w:rPr>
                <w:rFonts w:hint="eastAsia" w:ascii="宋体" w:hAnsi="宋体" w:eastAsia="宋体"/>
                <w:kern w:val="0"/>
                <w:sz w:val="24"/>
                <w:szCs w:val="24"/>
              </w:rPr>
              <w:t>。</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sz w:val="24"/>
                <w:szCs w:val="24"/>
              </w:rPr>
            </w:pPr>
          </w:p>
        </w:tc>
        <w:tc>
          <w:tcPr>
            <w:tcW w:w="3234" w:type="dxa"/>
            <w:gridSpan w:val="3"/>
            <w:tcBorders>
              <w:top w:val="single" w:color="auto" w:sz="4" w:space="0"/>
              <w:left w:val="nil"/>
              <w:bottom w:val="single" w:color="auto" w:sz="4" w:space="0"/>
              <w:right w:val="single" w:color="auto" w:sz="4" w:space="0"/>
            </w:tcBorders>
            <w:noWrap w:val="0"/>
            <w:vAlign w:val="center"/>
          </w:tcPr>
          <w:p>
            <w:pPr>
              <w:rPr>
                <w:rFonts w:ascii="宋体" w:hAnsi="宋体" w:eastAsia="宋体" w:cs="Times New Roman"/>
                <w:sz w:val="24"/>
                <w:szCs w:val="24"/>
              </w:rPr>
            </w:pPr>
            <w:r>
              <w:rPr>
                <w:rFonts w:hint="eastAsia" w:ascii="宋体" w:hAnsi="宋体" w:eastAsia="宋体"/>
                <w:sz w:val="24"/>
                <w:szCs w:val="24"/>
              </w:rPr>
              <w:t>采购的质量、服务是否满意（2分）。</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宋体" w:cs="Times New Roman"/>
                <w:sz w:val="24"/>
                <w:szCs w:val="24"/>
              </w:rPr>
            </w:pPr>
          </w:p>
        </w:tc>
        <w:tc>
          <w:tcPr>
            <w:tcW w:w="3234" w:type="dxa"/>
            <w:gridSpan w:val="3"/>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r>
              <w:rPr>
                <w:rFonts w:hint="eastAsia" w:ascii="宋体" w:hAnsi="宋体" w:eastAsia="宋体" w:cs="Times New Roman"/>
                <w:sz w:val="24"/>
                <w:szCs w:val="24"/>
              </w:rPr>
              <w:t>合计</w:t>
            </w:r>
          </w:p>
        </w:tc>
        <w:tc>
          <w:tcPr>
            <w:tcW w:w="4704" w:type="dxa"/>
            <w:gridSpan w:val="4"/>
            <w:tcBorders>
              <w:top w:val="single" w:color="auto" w:sz="4" w:space="0"/>
              <w:left w:val="nil"/>
              <w:bottom w:val="single" w:color="auto" w:sz="4" w:space="0"/>
              <w:right w:val="single" w:color="auto" w:sz="4" w:space="0"/>
            </w:tcBorders>
            <w:noWrap w:val="0"/>
            <w:vAlign w:val="center"/>
          </w:tcPr>
          <w:p>
            <w:pPr>
              <w:spacing w:line="500" w:lineRule="exact"/>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对代理机构的意见和建议</w:t>
            </w:r>
          </w:p>
        </w:tc>
        <w:tc>
          <w:tcPr>
            <w:tcW w:w="7938" w:type="dxa"/>
            <w:gridSpan w:val="7"/>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r>
              <w:rPr>
                <w:rFonts w:hint="eastAsia" w:ascii="宋体" w:hAnsi="宋体" w:eastAsia="宋体" w:cs="Times New Roman"/>
                <w:sz w:val="24"/>
                <w:szCs w:val="24"/>
              </w:rPr>
              <w:t>备注</w:t>
            </w:r>
          </w:p>
        </w:tc>
        <w:tc>
          <w:tcPr>
            <w:tcW w:w="7938" w:type="dxa"/>
            <w:gridSpan w:val="7"/>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宋体" w:cs="Times New Roman"/>
                <w:sz w:val="24"/>
                <w:szCs w:val="24"/>
              </w:rPr>
            </w:pPr>
          </w:p>
        </w:tc>
      </w:tr>
    </w:tbl>
    <w:p>
      <w:pPr>
        <w:spacing w:line="500" w:lineRule="exact"/>
        <w:rPr>
          <w:rFonts w:ascii="Times New Roman" w:hAnsi="Times New Roman" w:eastAsia="宋体" w:cs="Times New Roman"/>
          <w:sz w:val="24"/>
          <w:szCs w:val="24"/>
        </w:rPr>
      </w:pPr>
      <w:r>
        <w:rPr>
          <w:rFonts w:hint="eastAsia" w:ascii="宋体" w:hAnsi="宋体" w:eastAsia="宋体" w:cs="Times New Roman"/>
          <w:sz w:val="24"/>
          <w:szCs w:val="24"/>
        </w:rPr>
        <w:t>填表人签字盖章：</w:t>
      </w:r>
      <w:r>
        <w:rPr>
          <w:rFonts w:ascii="Times New Roman" w:hAnsi="Times New Roman" w:eastAsia="宋体" w:cs="Times New Roman"/>
          <w:sz w:val="24"/>
          <w:szCs w:val="24"/>
        </w:rPr>
        <w:t xml:space="preserve">                    </w:t>
      </w:r>
      <w:r>
        <w:rPr>
          <w:rFonts w:hint="eastAsia" w:ascii="宋体" w:hAnsi="宋体" w:eastAsia="宋体" w:cs="Times New Roman"/>
          <w:sz w:val="24"/>
          <w:szCs w:val="24"/>
        </w:rPr>
        <w:t>日期</w:t>
      </w:r>
    </w:p>
    <w:p>
      <w:pPr>
        <w:snapToGrid w:val="0"/>
        <w:spacing w:before="50" w:afterLines="50" w:line="360" w:lineRule="auto"/>
        <w:jc w:val="right"/>
        <w:outlineLvl w:val="1"/>
        <w:rPr>
          <w:rFonts w:ascii="宋体" w:hAnsi="宋体" w:cs="宋体"/>
          <w:b/>
          <w:bCs/>
          <w:color w:val="0D0D0D"/>
          <w:sz w:val="24"/>
          <w:szCs w:val="24"/>
        </w:rPr>
      </w:pPr>
      <w:r>
        <w:rPr>
          <w:rFonts w:hint="eastAsia" w:ascii="宋体" w:hAnsi="宋体" w:eastAsia="宋体" w:cs="Times New Roman"/>
          <w:sz w:val="28"/>
          <w:szCs w:val="28"/>
        </w:rPr>
        <w:t>注：此表须盖投标单位公章</w:t>
      </w:r>
    </w:p>
    <w:p>
      <w:pPr>
        <w:snapToGrid w:val="0"/>
        <w:spacing w:before="50" w:afterLines="50" w:line="360" w:lineRule="auto"/>
        <w:jc w:val="left"/>
        <w:outlineLvl w:val="1"/>
        <w:rPr>
          <w:rFonts w:hint="eastAsia" w:ascii="宋体" w:hAnsi="宋体"/>
          <w:b/>
          <w:sz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ascii="宋体"/>
          <w:b/>
          <w:sz w:val="24"/>
        </w:rPr>
      </w:pPr>
      <w:r>
        <w:rPr>
          <w:rFonts w:hint="eastAsia" w:ascii="宋体" w:hAnsi="宋体"/>
          <w:b/>
          <w:sz w:val="24"/>
        </w:rPr>
        <w:t>3</w:t>
      </w:r>
      <w:r>
        <w:rPr>
          <w:rFonts w:ascii="宋体" w:hAnsi="宋体"/>
          <w:b/>
          <w:sz w:val="24"/>
        </w:rPr>
        <w:t>.</w:t>
      </w:r>
      <w:r>
        <w:rPr>
          <w:rFonts w:hint="eastAsia" w:ascii="宋体" w:hAnsi="宋体"/>
          <w:b/>
          <w:sz w:val="24"/>
        </w:rPr>
        <w:t>报价文件目录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sz w:val="24"/>
        </w:rPr>
      </w:pPr>
      <w:r>
        <w:rPr>
          <w:rFonts w:hint="eastAsia" w:ascii="宋体" w:hAnsi="宋体"/>
          <w:sz w:val="24"/>
        </w:rPr>
        <w:t>（</w:t>
      </w:r>
      <w:r>
        <w:rPr>
          <w:rFonts w:ascii="宋体" w:hAnsi="宋体"/>
          <w:sz w:val="24"/>
        </w:rPr>
        <w:t>1</w:t>
      </w:r>
      <w:r>
        <w:rPr>
          <w:rFonts w:hint="eastAsia" w:ascii="宋体" w:hAnsi="宋体"/>
          <w:sz w:val="24"/>
        </w:rPr>
        <w:t>）投标函（格式见附件3</w:t>
      </w:r>
      <w:r>
        <w:rPr>
          <w:rFonts w:ascii="宋体" w:hAnsi="宋体"/>
          <w:sz w:val="24"/>
        </w:rPr>
        <w:t>.1</w:t>
      </w:r>
      <w:r>
        <w:rPr>
          <w:rFonts w:hint="eastAsia" w:ascii="宋体" w:hAnsi="宋体"/>
          <w:sz w:val="24"/>
        </w:rPr>
        <w:t>）；</w:t>
      </w:r>
    </w:p>
    <w:p>
      <w:pPr>
        <w:pStyle w:val="27"/>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Ansi="宋体"/>
        </w:rPr>
      </w:pPr>
      <w:r>
        <w:rPr>
          <w:rFonts w:hint="eastAsia" w:hAnsi="宋体"/>
        </w:rPr>
        <w:t>（</w:t>
      </w:r>
      <w:r>
        <w:rPr>
          <w:rFonts w:hAnsi="宋体"/>
        </w:rPr>
        <w:t>2</w:t>
      </w:r>
      <w:r>
        <w:rPr>
          <w:rFonts w:hint="eastAsia" w:hAnsi="宋体"/>
        </w:rPr>
        <w:t>）开标一览表（格式见附件3</w:t>
      </w:r>
      <w:r>
        <w:rPr>
          <w:rFonts w:hAnsi="宋体"/>
        </w:rPr>
        <w:t>.2</w:t>
      </w:r>
      <w:r>
        <w:rPr>
          <w:rFonts w:hint="eastAsia" w:hAnsi="宋体"/>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）投标人针对报价需要说明的其他文件和说明。</w:t>
      </w: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ind w:firstLine="480" w:firstLineChars="200"/>
        <w:jc w:val="left"/>
        <w:rPr>
          <w:rFonts w:ascii="宋体" w:hAnsi="宋体"/>
          <w:sz w:val="24"/>
        </w:rPr>
      </w:pPr>
    </w:p>
    <w:p>
      <w:pPr>
        <w:snapToGrid w:val="0"/>
        <w:spacing w:before="50" w:afterLines="50" w:line="360" w:lineRule="auto"/>
        <w:jc w:val="left"/>
        <w:outlineLvl w:val="2"/>
        <w:rPr>
          <w:rFonts w:hint="eastAsia" w:ascii="宋体" w:hAnsi="宋体"/>
          <w:b/>
          <w:sz w:val="24"/>
        </w:rPr>
      </w:pPr>
    </w:p>
    <w:p>
      <w:pPr>
        <w:snapToGrid w:val="0"/>
        <w:spacing w:before="50" w:afterLines="50" w:line="360" w:lineRule="auto"/>
        <w:jc w:val="left"/>
        <w:outlineLvl w:val="2"/>
        <w:rPr>
          <w:rFonts w:ascii="宋体"/>
          <w:b/>
          <w:sz w:val="24"/>
        </w:rPr>
      </w:pPr>
      <w:r>
        <w:rPr>
          <w:rFonts w:hint="eastAsia" w:ascii="宋体" w:hAnsi="宋体"/>
          <w:b/>
          <w:sz w:val="24"/>
        </w:rPr>
        <w:t>3</w:t>
      </w:r>
      <w:r>
        <w:rPr>
          <w:rFonts w:ascii="宋体" w:hAnsi="宋体"/>
          <w:b/>
          <w:sz w:val="24"/>
        </w:rPr>
        <w:t>.1</w:t>
      </w:r>
      <w:r>
        <w:rPr>
          <w:rFonts w:hint="eastAsia" w:ascii="宋体" w:hAnsi="宋体"/>
          <w:b/>
          <w:sz w:val="24"/>
        </w:rPr>
        <w:t>投标函格式：</w:t>
      </w:r>
    </w:p>
    <w:p>
      <w:pPr>
        <w:snapToGrid w:val="0"/>
        <w:spacing w:before="50" w:afterLines="50" w:line="360" w:lineRule="auto"/>
        <w:ind w:firstLine="3424" w:firstLineChars="1421"/>
        <w:jc w:val="left"/>
        <w:outlineLvl w:val="2"/>
        <w:rPr>
          <w:rFonts w:ascii="宋体"/>
          <w:b/>
          <w:sz w:val="24"/>
        </w:rPr>
      </w:pPr>
      <w:r>
        <w:rPr>
          <w:rFonts w:hint="eastAsia" w:ascii="宋体" w:hAnsi="宋体"/>
          <w:b/>
          <w:sz w:val="24"/>
        </w:rPr>
        <w:t>投标函</w:t>
      </w:r>
    </w:p>
    <w:p>
      <w:pPr>
        <w:snapToGrid w:val="0"/>
        <w:spacing w:line="360" w:lineRule="auto"/>
        <w:rPr>
          <w:rFonts w:ascii="宋体"/>
          <w:sz w:val="24"/>
        </w:rPr>
      </w:pPr>
      <w:r>
        <w:rPr>
          <w:rFonts w:hint="eastAsia" w:ascii="宋体" w:hAnsi="宋体"/>
          <w:sz w:val="24"/>
        </w:rPr>
        <w:t>致：</w:t>
      </w:r>
      <w:r>
        <w:rPr>
          <w:rFonts w:ascii="宋体" w:hAnsi="宋体"/>
          <w:sz w:val="24"/>
          <w:u w:val="single"/>
        </w:rPr>
        <w:t>_</w:t>
      </w:r>
      <w:r>
        <w:rPr>
          <w:rFonts w:hint="eastAsia" w:ascii="宋体" w:hAnsi="宋体"/>
          <w:sz w:val="24"/>
          <w:u w:val="single"/>
        </w:rPr>
        <w:t>金华市金诚招投标代理有限公司</w:t>
      </w:r>
      <w:r>
        <w:rPr>
          <w:rFonts w:ascii="宋体" w:hAnsi="宋体"/>
          <w:sz w:val="24"/>
          <w:u w:val="single"/>
        </w:rPr>
        <w:t>_</w:t>
      </w:r>
      <w:r>
        <w:rPr>
          <w:rFonts w:hint="eastAsia" w:ascii="宋体" w:hAnsi="宋体"/>
          <w:sz w:val="24"/>
        </w:rPr>
        <w:t>：</w:t>
      </w:r>
    </w:p>
    <w:p>
      <w:pPr>
        <w:snapToGrid w:val="0"/>
        <w:spacing w:beforeLines="50" w:after="50" w:line="360" w:lineRule="auto"/>
        <w:ind w:firstLine="480" w:firstLineChars="200"/>
        <w:rPr>
          <w:rFonts w:ascii="宋体"/>
          <w:bCs/>
          <w:sz w:val="24"/>
        </w:rPr>
      </w:pPr>
      <w:r>
        <w:rPr>
          <w:rFonts w:hint="eastAsia" w:ascii="宋体" w:hAnsi="宋体"/>
          <w:sz w:val="24"/>
        </w:rPr>
        <w:t>根据贵方为</w:t>
      </w:r>
      <w:r>
        <w:rPr>
          <w:rFonts w:hint="eastAsia" w:ascii="宋体" w:hAnsi="宋体" w:cs="Arial"/>
          <w:sz w:val="24"/>
          <w:u w:val="single"/>
          <w:lang w:eastAsia="zh-CN"/>
        </w:rPr>
        <w:t>江北街道智慧垃圾分类系统建设及运营服务（三期）</w:t>
      </w:r>
      <w:r>
        <w:rPr>
          <w:rFonts w:hint="eastAsia" w:ascii="宋体" w:hAnsi="宋体" w:cs="Arial"/>
          <w:sz w:val="24"/>
          <w:u w:val="single"/>
        </w:rPr>
        <w:t>项目</w:t>
      </w:r>
      <w:r>
        <w:rPr>
          <w:rFonts w:hint="eastAsia" w:ascii="宋体" w:hAnsi="宋体"/>
          <w:sz w:val="24"/>
        </w:rPr>
        <w:t>的招标公告（项目编号：</w:t>
      </w:r>
      <w:r>
        <w:rPr>
          <w:rFonts w:hint="eastAsia" w:ascii="宋体" w:hAnsi="宋体"/>
          <w:bCs/>
          <w:sz w:val="24"/>
          <w:u w:val="single"/>
          <w:lang w:eastAsia="zh-CN"/>
        </w:rPr>
        <w:t>JCZFCG2022-Z29-A264</w:t>
      </w:r>
      <w:r>
        <w:rPr>
          <w:rFonts w:hint="eastAsia" w:ascii="宋体" w:hAnsi="宋体"/>
          <w:bCs/>
          <w:sz w:val="24"/>
          <w:u w:val="single"/>
        </w:rPr>
        <w:t>）</w:t>
      </w:r>
      <w:r>
        <w:rPr>
          <w:rFonts w:hint="eastAsia" w:ascii="宋体" w:hAnsi="宋体"/>
          <w:sz w:val="24"/>
        </w:rPr>
        <w:t>，签字代表</w:t>
      </w:r>
      <w:r>
        <w:rPr>
          <w:rFonts w:ascii="宋体" w:hAnsi="宋体"/>
          <w:sz w:val="24"/>
          <w:u w:val="single"/>
        </w:rPr>
        <w:t>_____</w:t>
      </w:r>
      <w:r>
        <w:rPr>
          <w:rFonts w:hint="eastAsia" w:ascii="宋体" w:hAnsi="宋体"/>
          <w:sz w:val="24"/>
          <w:u w:val="single"/>
        </w:rPr>
        <w:t>（全名</w:t>
      </w:r>
      <w:r>
        <w:rPr>
          <w:rFonts w:hint="eastAsia" w:ascii="宋体" w:hAnsi="宋体"/>
          <w:sz w:val="24"/>
        </w:rPr>
        <w:t>）经正式授权并代表投标人</w:t>
      </w:r>
      <w:r>
        <w:rPr>
          <w:rFonts w:ascii="宋体" w:hAnsi="宋体"/>
          <w:sz w:val="24"/>
        </w:rPr>
        <w:t>_</w:t>
      </w:r>
      <w:r>
        <w:rPr>
          <w:rFonts w:ascii="宋体" w:hAnsi="宋体"/>
          <w:sz w:val="24"/>
          <w:u w:val="single"/>
        </w:rPr>
        <w:t>______</w:t>
      </w:r>
      <w:r>
        <w:rPr>
          <w:rFonts w:hint="eastAsia" w:ascii="宋体" w:hAnsi="宋体"/>
          <w:sz w:val="24"/>
          <w:u w:val="single"/>
        </w:rPr>
        <w:t>（投标人名称）</w:t>
      </w:r>
      <w:r>
        <w:rPr>
          <w:rFonts w:hint="eastAsia" w:ascii="宋体" w:hAnsi="宋体"/>
          <w:sz w:val="24"/>
        </w:rPr>
        <w:t>提交资信商务</w:t>
      </w:r>
      <w:r>
        <w:rPr>
          <w:rFonts w:hint="eastAsia" w:ascii="宋体" w:hAnsi="宋体"/>
          <w:sz w:val="24"/>
          <w:lang w:eastAsia="zh-CN"/>
        </w:rPr>
        <w:t>及</w:t>
      </w:r>
      <w:r>
        <w:rPr>
          <w:rFonts w:hint="eastAsia" w:ascii="宋体" w:hAnsi="宋体"/>
          <w:sz w:val="24"/>
        </w:rPr>
        <w:t>技术文件、报价文件正本各一份、副本四份。</w:t>
      </w:r>
    </w:p>
    <w:p>
      <w:pPr>
        <w:snapToGrid w:val="0"/>
        <w:spacing w:line="360" w:lineRule="auto"/>
        <w:ind w:firstLine="480" w:firstLineChars="200"/>
        <w:rPr>
          <w:rFonts w:ascii="宋体"/>
          <w:sz w:val="24"/>
        </w:rPr>
      </w:pPr>
      <w:r>
        <w:rPr>
          <w:rFonts w:hint="eastAsia" w:ascii="宋体" w:hAnsi="宋体"/>
          <w:sz w:val="24"/>
        </w:rPr>
        <w:t>据此函，签字代表宣布同意如下：</w:t>
      </w:r>
    </w:p>
    <w:p>
      <w:pPr>
        <w:snapToGrid w:val="0"/>
        <w:spacing w:line="360" w:lineRule="auto"/>
        <w:ind w:firstLine="480" w:firstLineChars="200"/>
        <w:rPr>
          <w:rFonts w:ascii="宋体"/>
          <w:sz w:val="24"/>
        </w:rPr>
      </w:pPr>
      <w:r>
        <w:rPr>
          <w:rFonts w:ascii="宋体" w:hAnsi="宋体"/>
          <w:sz w:val="24"/>
        </w:rPr>
        <w:t>1</w:t>
      </w:r>
      <w:r>
        <w:rPr>
          <w:rFonts w:ascii="宋体"/>
          <w:sz w:val="24"/>
        </w:rPr>
        <w:t>.</w:t>
      </w:r>
      <w:r>
        <w:rPr>
          <w:rFonts w:hint="eastAsia" w:ascii="宋体" w:hAnsi="宋体"/>
          <w:sz w:val="24"/>
        </w:rPr>
        <w:t>投标人已详细审查全部“招标文件”，并在投标之前已经与贵方进行了充分的沟通，完全理解并接受招标文件的各项规定和要求，对招标文件的合理性、合法性不再有异议。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sz w:val="24"/>
        </w:rPr>
      </w:pPr>
      <w:r>
        <w:rPr>
          <w:rFonts w:ascii="宋体" w:hAnsi="宋体"/>
          <w:sz w:val="24"/>
        </w:rPr>
        <w:t>2.</w:t>
      </w:r>
      <w:r>
        <w:rPr>
          <w:rFonts w:hint="eastAsia" w:ascii="宋体" w:hAnsi="宋体"/>
          <w:sz w:val="24"/>
        </w:rPr>
        <w:t>现经我方认真分析研究，同意接受招标文件的全部要约条件，并按此确定本项目投标的各项承诺内容，以本投标书向贵方发包的</w:t>
      </w:r>
      <w:r>
        <w:rPr>
          <w:rFonts w:hint="eastAsia" w:ascii="宋体" w:hAnsi="宋体" w:cs="Arial"/>
          <w:sz w:val="24"/>
          <w:u w:val="single"/>
          <w:lang w:eastAsia="zh-CN"/>
        </w:rPr>
        <w:t>江北街道智慧垃圾分类系统建设及运营服务（三期）</w:t>
      </w:r>
      <w:r>
        <w:rPr>
          <w:rFonts w:hint="eastAsia" w:ascii="宋体" w:hAnsi="宋体" w:cs="Arial"/>
          <w:sz w:val="24"/>
          <w:u w:val="single"/>
        </w:rPr>
        <w:t>项目</w:t>
      </w:r>
      <w:r>
        <w:rPr>
          <w:rFonts w:hint="eastAsia" w:ascii="宋体" w:hAnsi="宋体"/>
          <w:sz w:val="24"/>
        </w:rPr>
        <w:t>全部内容进行投标。</w:t>
      </w:r>
    </w:p>
    <w:p>
      <w:pPr>
        <w:snapToGrid w:val="0"/>
        <w:spacing w:line="360" w:lineRule="auto"/>
        <w:ind w:firstLine="480" w:firstLineChars="200"/>
        <w:rPr>
          <w:rFonts w:ascii="宋体"/>
          <w:sz w:val="24"/>
        </w:rPr>
      </w:pPr>
      <w:r>
        <w:rPr>
          <w:rFonts w:ascii="宋体" w:hAnsi="宋体"/>
          <w:sz w:val="24"/>
        </w:rPr>
        <w:t>3.</w:t>
      </w:r>
      <w:r>
        <w:rPr>
          <w:rFonts w:hint="eastAsia" w:ascii="宋体" w:hAnsi="宋体"/>
          <w:sz w:val="24"/>
        </w:rPr>
        <w:t>如中标，本投标文件至本项目合同履行完毕止均保持有效，本投标人将按“招标文件”及政府采购法律、法规的规定履行合同责任和义务。</w:t>
      </w:r>
    </w:p>
    <w:p>
      <w:pPr>
        <w:snapToGrid w:val="0"/>
        <w:spacing w:line="360" w:lineRule="auto"/>
        <w:ind w:firstLine="480" w:firstLineChars="200"/>
        <w:rPr>
          <w:rFonts w:ascii="宋体"/>
          <w:sz w:val="24"/>
        </w:rPr>
      </w:pPr>
      <w:r>
        <w:rPr>
          <w:rFonts w:ascii="宋体" w:hAnsi="宋体"/>
          <w:sz w:val="24"/>
        </w:rPr>
        <w:t>4.</w:t>
      </w:r>
      <w:r>
        <w:rPr>
          <w:rFonts w:hint="eastAsia" w:ascii="宋体" w:hAnsi="宋体"/>
          <w:sz w:val="24"/>
        </w:rPr>
        <w:t>投标人同意按照贵方要求提供与投标有关的一切数据或资料。</w:t>
      </w:r>
    </w:p>
    <w:p>
      <w:pPr>
        <w:snapToGrid w:val="0"/>
        <w:spacing w:line="360" w:lineRule="auto"/>
        <w:ind w:firstLine="480" w:firstLineChars="200"/>
        <w:rPr>
          <w:rFonts w:ascii="宋体"/>
          <w:sz w:val="24"/>
        </w:rPr>
      </w:pPr>
      <w:r>
        <w:rPr>
          <w:rFonts w:ascii="宋体" w:hAnsi="宋体"/>
          <w:sz w:val="24"/>
        </w:rPr>
        <w:t>5.</w:t>
      </w:r>
      <w:r>
        <w:rPr>
          <w:rFonts w:hint="eastAsia" w:ascii="宋体" w:hAnsi="宋体"/>
          <w:sz w:val="24"/>
        </w:rPr>
        <w:t>与本投标有关的一切正式往来信函请寄：</w:t>
      </w:r>
    </w:p>
    <w:p>
      <w:pPr>
        <w:snapToGrid w:val="0"/>
        <w:spacing w:line="360" w:lineRule="auto"/>
        <w:rPr>
          <w:rFonts w:ascii="宋体"/>
          <w:sz w:val="24"/>
        </w:rPr>
      </w:pPr>
      <w:r>
        <w:rPr>
          <w:rFonts w:hint="eastAsia" w:ascii="宋体" w:hAnsi="宋体"/>
          <w:sz w:val="24"/>
        </w:rPr>
        <w:t>地址：</w:t>
      </w:r>
      <w:r>
        <w:rPr>
          <w:rFonts w:ascii="宋体" w:hAnsi="宋体"/>
          <w:sz w:val="24"/>
        </w:rPr>
        <w:t>__________</w:t>
      </w:r>
      <w:r>
        <w:rPr>
          <w:rFonts w:ascii="宋体" w:hAnsi="宋体"/>
          <w:sz w:val="24"/>
          <w:u w:val="single"/>
        </w:rPr>
        <w:t>_</w:t>
      </w:r>
      <w:r>
        <w:rPr>
          <w:rFonts w:ascii="宋体" w:hAnsi="宋体"/>
          <w:sz w:val="24"/>
        </w:rPr>
        <w:t>____</w:t>
      </w:r>
      <w:r>
        <w:rPr>
          <w:rFonts w:hint="eastAsia" w:ascii="宋体" w:hAnsi="宋体"/>
          <w:sz w:val="24"/>
        </w:rPr>
        <w:t>邮编：</w:t>
      </w:r>
      <w:r>
        <w:rPr>
          <w:rFonts w:ascii="宋体" w:hAnsi="宋体"/>
          <w:sz w:val="24"/>
        </w:rPr>
        <w:t>__________</w:t>
      </w:r>
      <w:r>
        <w:rPr>
          <w:rFonts w:hint="eastAsia" w:ascii="宋体" w:hAnsi="宋体"/>
          <w:sz w:val="24"/>
        </w:rPr>
        <w:t>电话：</w:t>
      </w:r>
      <w:r>
        <w:rPr>
          <w:rFonts w:ascii="宋体" w:hAnsi="宋体"/>
          <w:sz w:val="24"/>
        </w:rPr>
        <w:t>______________</w:t>
      </w:r>
    </w:p>
    <w:p>
      <w:pPr>
        <w:snapToGrid w:val="0"/>
        <w:spacing w:line="360" w:lineRule="auto"/>
        <w:rPr>
          <w:rFonts w:ascii="宋体"/>
          <w:sz w:val="24"/>
        </w:rPr>
      </w:pPr>
      <w:r>
        <w:rPr>
          <w:rFonts w:hint="eastAsia" w:ascii="宋体" w:hAnsi="宋体"/>
          <w:sz w:val="24"/>
        </w:rPr>
        <w:t>传真：</w:t>
      </w:r>
      <w:r>
        <w:rPr>
          <w:rFonts w:ascii="宋体" w:hAnsi="宋体"/>
          <w:sz w:val="24"/>
        </w:rPr>
        <w:t>___________</w:t>
      </w:r>
      <w:r>
        <w:rPr>
          <w:rFonts w:hint="eastAsia" w:ascii="宋体" w:hAnsi="宋体"/>
          <w:sz w:val="24"/>
        </w:rPr>
        <w:t>投标人代表姓名</w:t>
      </w:r>
      <w:r>
        <w:rPr>
          <w:rFonts w:ascii="宋体" w:hAnsi="宋体"/>
          <w:sz w:val="24"/>
        </w:rPr>
        <w:t>___________</w:t>
      </w:r>
      <w:r>
        <w:rPr>
          <w:rFonts w:hint="eastAsia" w:ascii="宋体" w:hAnsi="宋体"/>
          <w:sz w:val="24"/>
        </w:rPr>
        <w:t>职务：</w:t>
      </w:r>
      <w:r>
        <w:rPr>
          <w:rFonts w:ascii="宋体" w:hAnsi="宋体"/>
          <w:sz w:val="24"/>
        </w:rPr>
        <w:t>_____________</w:t>
      </w:r>
    </w:p>
    <w:p>
      <w:pPr>
        <w:snapToGrid w:val="0"/>
        <w:spacing w:line="360" w:lineRule="auto"/>
        <w:rPr>
          <w:rFonts w:ascii="宋体"/>
          <w:sz w:val="24"/>
        </w:rPr>
      </w:pPr>
      <w:r>
        <w:rPr>
          <w:rFonts w:hint="eastAsia" w:ascii="宋体" w:hAnsi="宋体"/>
          <w:sz w:val="24"/>
        </w:rPr>
        <w:t>投标人名称</w:t>
      </w:r>
      <w:r>
        <w:rPr>
          <w:rFonts w:ascii="宋体" w:hAnsi="宋体"/>
          <w:sz w:val="24"/>
        </w:rPr>
        <w:t>(</w:t>
      </w:r>
      <w:r>
        <w:rPr>
          <w:rFonts w:hint="eastAsia" w:ascii="宋体" w:hAnsi="宋体"/>
          <w:sz w:val="24"/>
        </w:rPr>
        <w:t>公章</w:t>
      </w:r>
      <w:r>
        <w:rPr>
          <w:rFonts w:ascii="宋体" w:hAnsi="宋体"/>
          <w:sz w:val="24"/>
        </w:rPr>
        <w:t>):___________________</w:t>
      </w:r>
    </w:p>
    <w:p>
      <w:pPr>
        <w:snapToGrid w:val="0"/>
        <w:spacing w:line="360" w:lineRule="auto"/>
        <w:rPr>
          <w:rFonts w:ascii="宋体"/>
          <w:sz w:val="24"/>
        </w:rPr>
      </w:pPr>
      <w:r>
        <w:rPr>
          <w:rFonts w:hint="eastAsia" w:ascii="宋体" w:hAnsi="宋体"/>
          <w:sz w:val="24"/>
        </w:rPr>
        <w:t>授权代表签字</w:t>
      </w:r>
      <w:r>
        <w:rPr>
          <w:rFonts w:ascii="宋体" w:hAnsi="宋体"/>
          <w:sz w:val="24"/>
        </w:rPr>
        <w:t>:___________</w:t>
      </w:r>
    </w:p>
    <w:p>
      <w:pPr>
        <w:snapToGrid w:val="0"/>
        <w:spacing w:line="360" w:lineRule="auto"/>
        <w:rPr>
          <w:rFonts w:ascii="宋体"/>
          <w:sz w:val="24"/>
        </w:rPr>
      </w:pPr>
      <w:r>
        <w:rPr>
          <w:rFonts w:hint="eastAsia" w:ascii="宋体" w:hAnsi="宋体"/>
          <w:sz w:val="24"/>
        </w:rPr>
        <w:t>日期</w:t>
      </w:r>
      <w:r>
        <w:rPr>
          <w:rFonts w:ascii="宋体" w:hAnsi="宋体"/>
          <w:sz w:val="24"/>
        </w:rPr>
        <w:t>:_____</w:t>
      </w:r>
      <w:r>
        <w:rPr>
          <w:rFonts w:hint="eastAsia" w:ascii="宋体" w:hAnsi="宋体"/>
          <w:sz w:val="24"/>
        </w:rPr>
        <w:t>年</w:t>
      </w:r>
      <w:r>
        <w:rPr>
          <w:rFonts w:ascii="宋体" w:hAnsi="宋体"/>
          <w:sz w:val="24"/>
        </w:rPr>
        <w:t>___</w:t>
      </w:r>
      <w:r>
        <w:rPr>
          <w:rFonts w:hint="eastAsia" w:ascii="宋体" w:hAnsi="宋体"/>
          <w:sz w:val="24"/>
        </w:rPr>
        <w:t>月</w:t>
      </w:r>
    </w:p>
    <w:p>
      <w:pPr>
        <w:keepNext w:val="0"/>
        <w:keepLines w:val="0"/>
        <w:pageBreakBefore w:val="0"/>
        <w:widowControl w:val="0"/>
        <w:kinsoku/>
        <w:wordWrap/>
        <w:overflowPunct/>
        <w:topLinePunct w:val="0"/>
        <w:autoSpaceDE/>
        <w:autoSpaceDN/>
        <w:bidi w:val="0"/>
        <w:snapToGrid w:val="0"/>
        <w:spacing w:line="360" w:lineRule="auto"/>
        <w:jc w:val="left"/>
        <w:textAlignment w:val="auto"/>
        <w:outlineLvl w:val="2"/>
        <w:rPr>
          <w:rFonts w:ascii="宋体"/>
          <w:b/>
          <w:sz w:val="24"/>
        </w:rPr>
      </w:pPr>
      <w:r>
        <w:rPr>
          <w:b/>
          <w:sz w:val="24"/>
        </w:rPr>
        <w:br w:type="page"/>
      </w:r>
      <w:bookmarkStart w:id="23" w:name="_Toc449173147"/>
      <w:r>
        <w:rPr>
          <w:rFonts w:hint="eastAsia" w:ascii="宋体" w:hAnsi="宋体" w:cs="宋体"/>
          <w:b/>
          <w:sz w:val="24"/>
        </w:rPr>
        <w:t>3.2</w:t>
      </w:r>
      <w:r>
        <w:rPr>
          <w:rFonts w:hint="eastAsia" w:ascii="宋体" w:hAnsi="宋体"/>
          <w:b/>
          <w:sz w:val="24"/>
        </w:rPr>
        <w:t>开标一览表</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eastAsia="宋体"/>
          <w:sz w:val="24"/>
          <w:u w:val="single"/>
          <w:lang w:eastAsia="zh-CN"/>
        </w:rPr>
      </w:pPr>
      <w:r>
        <w:rPr>
          <w:rFonts w:hint="eastAsia" w:ascii="宋体"/>
          <w:sz w:val="24"/>
        </w:rPr>
        <w:t>招标编号：</w:t>
      </w:r>
      <w:r>
        <w:rPr>
          <w:rFonts w:hint="eastAsia" w:ascii="宋体" w:hAnsi="宋体"/>
          <w:bCs/>
          <w:sz w:val="24"/>
          <w:u w:val="single"/>
          <w:lang w:eastAsia="zh-CN"/>
        </w:rPr>
        <w:t>JCZFCG2022-Z29-A264</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sz w:val="24"/>
        </w:rPr>
      </w:pPr>
      <w:r>
        <w:rPr>
          <w:rFonts w:hint="eastAsia" w:ascii="宋体"/>
          <w:sz w:val="24"/>
        </w:rPr>
        <w:t>项目名称：</w:t>
      </w:r>
      <w:r>
        <w:rPr>
          <w:rFonts w:hint="eastAsia" w:ascii="宋体" w:hAnsi="宋体" w:cs="Arial"/>
          <w:sz w:val="24"/>
          <w:u w:val="single"/>
          <w:lang w:eastAsia="zh-CN"/>
        </w:rPr>
        <w:t>江北街道智慧垃圾分类系统建设及运营服务（三期）</w:t>
      </w:r>
      <w:r>
        <w:rPr>
          <w:rFonts w:hint="eastAsia" w:ascii="宋体" w:hAnsi="宋体" w:cs="Arial"/>
          <w:sz w:val="24"/>
          <w:u w:val="single"/>
        </w:rPr>
        <w:t>项目</w:t>
      </w:r>
    </w:p>
    <w:p>
      <w:pPr>
        <w:keepNext w:val="0"/>
        <w:keepLines w:val="0"/>
        <w:pageBreakBefore w:val="0"/>
        <w:widowControl w:val="0"/>
        <w:kinsoku/>
        <w:wordWrap/>
        <w:overflowPunct/>
        <w:topLinePunct w:val="0"/>
        <w:autoSpaceDE/>
        <w:autoSpaceDN/>
        <w:bidi w:val="0"/>
        <w:snapToGrid w:val="0"/>
        <w:spacing w:line="360" w:lineRule="auto"/>
        <w:jc w:val="right"/>
        <w:textAlignment w:val="auto"/>
        <w:rPr>
          <w:rFonts w:ascii="宋体"/>
          <w:sz w:val="24"/>
        </w:rPr>
      </w:pPr>
      <w:r>
        <w:rPr>
          <w:rFonts w:hint="eastAsia" w:ascii="宋体"/>
          <w:sz w:val="24"/>
        </w:rPr>
        <w:t>单位：元</w:t>
      </w:r>
    </w:p>
    <w:tbl>
      <w:tblPr>
        <w:tblStyle w:val="46"/>
        <w:tblpPr w:leftFromText="180" w:rightFromText="180" w:vertAnchor="text" w:horzAnchor="page" w:tblpX="1546" w:tblpY="15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3179"/>
        <w:gridCol w:w="1396"/>
        <w:gridCol w:w="1560"/>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color w:val="auto"/>
                <w:sz w:val="24"/>
              </w:rPr>
            </w:pPr>
            <w:r>
              <w:rPr>
                <w:rFonts w:hint="eastAsia" w:ascii="宋体" w:hAnsi="宋体" w:cs="Arial"/>
                <w:color w:val="auto"/>
                <w:sz w:val="24"/>
              </w:rPr>
              <w:t>序号</w:t>
            </w:r>
          </w:p>
        </w:tc>
        <w:tc>
          <w:tcPr>
            <w:tcW w:w="1740" w:type="pct"/>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cs="Arial"/>
                <w:color w:val="auto"/>
                <w:sz w:val="24"/>
              </w:rPr>
            </w:pPr>
            <w:r>
              <w:rPr>
                <w:rFonts w:hint="eastAsia" w:ascii="宋体" w:hAnsi="宋体"/>
                <w:b/>
                <w:color w:val="auto"/>
                <w:szCs w:val="30"/>
              </w:rPr>
              <w:t>货物名称</w:t>
            </w:r>
          </w:p>
        </w:tc>
        <w:tc>
          <w:tcPr>
            <w:tcW w:w="764" w:type="pct"/>
          </w:tcPr>
          <w:p>
            <w:pPr>
              <w:keepNext w:val="0"/>
              <w:keepLines w:val="0"/>
              <w:pageBreakBefore w:val="0"/>
              <w:widowControl w:val="0"/>
              <w:kinsoku/>
              <w:wordWrap/>
              <w:overflowPunct/>
              <w:topLinePunct w:val="0"/>
              <w:autoSpaceDE/>
              <w:autoSpaceDN/>
              <w:bidi w:val="0"/>
              <w:spacing w:line="360" w:lineRule="auto"/>
              <w:textAlignment w:val="auto"/>
              <w:rPr>
                <w:rFonts w:ascii="宋体" w:hAnsi="宋体" w:cs="Arial"/>
                <w:color w:val="auto"/>
                <w:sz w:val="24"/>
              </w:rPr>
            </w:pPr>
            <w:r>
              <w:rPr>
                <w:rFonts w:hint="eastAsia" w:ascii="宋体" w:hAnsi="宋体" w:cs="Arial"/>
                <w:color w:val="auto"/>
                <w:sz w:val="24"/>
              </w:rPr>
              <w:t>数量</w:t>
            </w:r>
          </w:p>
        </w:tc>
        <w:tc>
          <w:tcPr>
            <w:tcW w:w="854" w:type="pct"/>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hAnsi="宋体"/>
                <w:b/>
                <w:color w:val="auto"/>
                <w:szCs w:val="30"/>
              </w:rPr>
            </w:pPr>
            <w:r>
              <w:rPr>
                <w:rFonts w:hint="eastAsia" w:ascii="宋体" w:hAnsi="宋体"/>
                <w:b/>
                <w:color w:val="auto"/>
                <w:szCs w:val="30"/>
              </w:rPr>
              <w:t>单价</w:t>
            </w:r>
          </w:p>
        </w:tc>
        <w:tc>
          <w:tcPr>
            <w:tcW w:w="1205" w:type="pct"/>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rPr>
              <w:t>投标报价</w:t>
            </w:r>
            <w:r>
              <w:rPr>
                <w:rFonts w:hint="eastAsia" w:ascii="宋体" w:cs="Arial"/>
                <w:color w:val="auto"/>
                <w:sz w:val="24"/>
                <w:lang w:eastAsia="zh-CN"/>
              </w:rPr>
              <w:t>合计</w:t>
            </w:r>
            <w:r>
              <w:rPr>
                <w:rFonts w:hint="eastAsia" w:ascii="宋体" w:cs="Arial"/>
                <w:color w:val="auto"/>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35" w:type="pct"/>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color w:val="auto"/>
                <w:sz w:val="24"/>
              </w:rPr>
            </w:pPr>
            <w:r>
              <w:rPr>
                <w:rFonts w:ascii="宋体" w:hAnsi="宋体" w:cs="Arial"/>
                <w:color w:val="auto"/>
                <w:sz w:val="24"/>
              </w:rPr>
              <w:t>1</w:t>
            </w:r>
          </w:p>
        </w:tc>
        <w:tc>
          <w:tcPr>
            <w:tcW w:w="1740"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rPr>
              <w:t>智慧垃圾分类投放亭</w:t>
            </w:r>
            <w:r>
              <w:rPr>
                <w:rFonts w:ascii="宋体" w:cs="Arial"/>
                <w:color w:val="auto"/>
                <w:sz w:val="24"/>
              </w:rPr>
              <w:t>(1</w:t>
            </w:r>
            <w:r>
              <w:rPr>
                <w:rFonts w:hint="eastAsia" w:ascii="宋体" w:cs="Arial"/>
                <w:color w:val="auto"/>
                <w:sz w:val="24"/>
              </w:rPr>
              <w:t>号）</w:t>
            </w:r>
          </w:p>
        </w:tc>
        <w:tc>
          <w:tcPr>
            <w:tcW w:w="764"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u w:val="single"/>
              </w:rPr>
              <w:t xml:space="preserve">   </w:t>
            </w:r>
            <w:r>
              <w:rPr>
                <w:rFonts w:hint="eastAsia" w:ascii="宋体" w:cs="Arial"/>
                <w:color w:val="auto"/>
                <w:sz w:val="24"/>
                <w:u w:val="single"/>
                <w:lang w:val="en-US" w:eastAsia="zh-CN"/>
              </w:rPr>
              <w:t>5</w:t>
            </w:r>
            <w:r>
              <w:rPr>
                <w:rFonts w:hint="eastAsia" w:ascii="宋体" w:cs="Arial"/>
                <w:color w:val="auto"/>
                <w:sz w:val="24"/>
                <w:u w:val="single"/>
              </w:rPr>
              <w:t xml:space="preserve"> </w:t>
            </w:r>
            <w:r>
              <w:rPr>
                <w:rFonts w:hint="eastAsia" w:ascii="宋体" w:cs="Arial"/>
                <w:color w:val="auto"/>
                <w:sz w:val="24"/>
              </w:rPr>
              <w:t xml:space="preserve">套 </w:t>
            </w:r>
          </w:p>
        </w:tc>
        <w:tc>
          <w:tcPr>
            <w:tcW w:w="854" w:type="pct"/>
          </w:tcPr>
          <w:p>
            <w:pPr>
              <w:keepNext w:val="0"/>
              <w:keepLines w:val="0"/>
              <w:pageBreakBefore w:val="0"/>
              <w:widowControl w:val="0"/>
              <w:kinsoku/>
              <w:wordWrap/>
              <w:overflowPunct/>
              <w:topLinePunct w:val="0"/>
              <w:autoSpaceDE/>
              <w:autoSpaceDN/>
              <w:bidi w:val="0"/>
              <w:spacing w:line="276" w:lineRule="auto"/>
              <w:jc w:val="center"/>
              <w:textAlignment w:val="auto"/>
              <w:rPr>
                <w:rFonts w:ascii="宋体" w:cs="Arial"/>
                <w:color w:val="auto"/>
                <w:sz w:val="24"/>
                <w:u w:val="single"/>
              </w:rPr>
            </w:pPr>
            <w:r>
              <w:rPr>
                <w:rFonts w:hint="eastAsia" w:ascii="宋体" w:cs="Arial"/>
                <w:color w:val="auto"/>
                <w:sz w:val="24"/>
                <w:u w:val="single"/>
              </w:rPr>
              <w:t xml:space="preserve">   </w:t>
            </w:r>
            <w:r>
              <w:rPr>
                <w:rFonts w:hint="eastAsia" w:ascii="宋体" w:cs="Arial"/>
                <w:color w:val="auto"/>
                <w:sz w:val="24"/>
                <w:u w:val="single"/>
                <w:lang w:val="en-US" w:eastAsia="zh-CN"/>
              </w:rPr>
              <w:t xml:space="preserve">   </w:t>
            </w:r>
            <w:r>
              <w:rPr>
                <w:rFonts w:hint="eastAsia" w:ascii="宋体" w:cs="Arial"/>
                <w:color w:val="auto"/>
                <w:sz w:val="24"/>
              </w:rPr>
              <w:t>/套</w:t>
            </w:r>
          </w:p>
        </w:tc>
        <w:tc>
          <w:tcPr>
            <w:tcW w:w="1205" w:type="pct"/>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35" w:type="pct"/>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Arial"/>
                <w:color w:val="auto"/>
                <w:sz w:val="24"/>
                <w:lang w:val="en-US" w:eastAsia="zh-CN"/>
              </w:rPr>
            </w:pPr>
            <w:r>
              <w:rPr>
                <w:rFonts w:hint="eastAsia" w:ascii="宋体" w:hAnsi="宋体" w:cs="Arial"/>
                <w:color w:val="auto"/>
                <w:sz w:val="24"/>
                <w:lang w:val="en-US" w:eastAsia="zh-CN"/>
              </w:rPr>
              <w:t>2</w:t>
            </w:r>
          </w:p>
        </w:tc>
        <w:tc>
          <w:tcPr>
            <w:tcW w:w="3179" w:type="dxa"/>
            <w:vAlign w:val="top"/>
          </w:tcPr>
          <w:p>
            <w:pPr>
              <w:keepNext w:val="0"/>
              <w:keepLines w:val="0"/>
              <w:pageBreakBefore w:val="0"/>
              <w:widowControl w:val="0"/>
              <w:kinsoku/>
              <w:wordWrap/>
              <w:overflowPunct/>
              <w:topLinePunct w:val="0"/>
              <w:autoSpaceDE/>
              <w:autoSpaceDN/>
              <w:bidi w:val="0"/>
              <w:spacing w:line="276" w:lineRule="auto"/>
              <w:textAlignment w:val="auto"/>
              <w:rPr>
                <w:rFonts w:hint="eastAsia" w:ascii="宋体" w:cs="Arial"/>
                <w:color w:val="auto"/>
                <w:sz w:val="24"/>
              </w:rPr>
            </w:pPr>
            <w:r>
              <w:rPr>
                <w:rFonts w:hint="eastAsia" w:ascii="宋体" w:cs="Arial"/>
                <w:color w:val="auto"/>
                <w:sz w:val="24"/>
              </w:rPr>
              <w:t>智慧垃圾分类投放亭</w:t>
            </w:r>
            <w:r>
              <w:rPr>
                <w:rFonts w:ascii="宋体" w:cs="Arial"/>
                <w:color w:val="auto"/>
                <w:sz w:val="24"/>
              </w:rPr>
              <w:t>(1</w:t>
            </w:r>
            <w:r>
              <w:rPr>
                <w:rFonts w:hint="eastAsia" w:ascii="宋体" w:cs="Arial"/>
                <w:color w:val="auto"/>
                <w:sz w:val="24"/>
              </w:rPr>
              <w:t>号）</w:t>
            </w:r>
          </w:p>
        </w:tc>
        <w:tc>
          <w:tcPr>
            <w:tcW w:w="1396" w:type="dxa"/>
            <w:vAlign w:val="top"/>
          </w:tcPr>
          <w:p>
            <w:pPr>
              <w:keepNext w:val="0"/>
              <w:keepLines w:val="0"/>
              <w:pageBreakBefore w:val="0"/>
              <w:widowControl w:val="0"/>
              <w:kinsoku/>
              <w:wordWrap/>
              <w:overflowPunct/>
              <w:topLinePunct w:val="0"/>
              <w:autoSpaceDE/>
              <w:autoSpaceDN/>
              <w:bidi w:val="0"/>
              <w:spacing w:line="276" w:lineRule="auto"/>
              <w:textAlignment w:val="auto"/>
              <w:rPr>
                <w:rFonts w:hint="eastAsia" w:ascii="宋体" w:cs="Arial"/>
                <w:color w:val="auto"/>
                <w:sz w:val="24"/>
                <w:u w:val="single"/>
              </w:rPr>
            </w:pPr>
            <w:r>
              <w:rPr>
                <w:rFonts w:hint="eastAsia" w:ascii="宋体" w:cs="Arial"/>
                <w:color w:val="auto"/>
                <w:sz w:val="24"/>
                <w:u w:val="single"/>
              </w:rPr>
              <w:t xml:space="preserve">   </w:t>
            </w:r>
            <w:r>
              <w:rPr>
                <w:rFonts w:hint="eastAsia" w:ascii="宋体" w:cs="Arial"/>
                <w:color w:val="auto"/>
                <w:sz w:val="24"/>
                <w:u w:val="single"/>
                <w:lang w:val="en-US" w:eastAsia="zh-CN"/>
              </w:rPr>
              <w:t>40</w:t>
            </w:r>
            <w:r>
              <w:rPr>
                <w:rFonts w:hint="eastAsia" w:ascii="宋体" w:cs="Arial"/>
                <w:color w:val="auto"/>
                <w:sz w:val="24"/>
                <w:u w:val="single"/>
              </w:rPr>
              <w:t xml:space="preserve"> </w:t>
            </w:r>
            <w:r>
              <w:rPr>
                <w:rFonts w:hint="eastAsia" w:ascii="宋体" w:cs="Arial"/>
                <w:color w:val="auto"/>
                <w:sz w:val="24"/>
              </w:rPr>
              <w:t xml:space="preserve">套 </w:t>
            </w:r>
          </w:p>
        </w:tc>
        <w:tc>
          <w:tcPr>
            <w:tcW w:w="1560" w:type="dxa"/>
            <w:vAlign w:val="top"/>
          </w:tcPr>
          <w:p>
            <w:pPr>
              <w:keepNext w:val="0"/>
              <w:keepLines w:val="0"/>
              <w:pageBreakBefore w:val="0"/>
              <w:widowControl w:val="0"/>
              <w:kinsoku/>
              <w:wordWrap/>
              <w:overflowPunct/>
              <w:topLinePunct w:val="0"/>
              <w:autoSpaceDE/>
              <w:autoSpaceDN/>
              <w:bidi w:val="0"/>
              <w:spacing w:line="276" w:lineRule="auto"/>
              <w:jc w:val="center"/>
              <w:textAlignment w:val="auto"/>
              <w:rPr>
                <w:rFonts w:hint="eastAsia" w:ascii="宋体" w:cs="Arial"/>
                <w:color w:val="auto"/>
                <w:sz w:val="24"/>
                <w:u w:val="single"/>
              </w:rPr>
            </w:pPr>
            <w:r>
              <w:rPr>
                <w:rFonts w:hint="eastAsia" w:ascii="宋体" w:cs="Arial"/>
                <w:color w:val="auto"/>
                <w:sz w:val="24"/>
                <w:u w:val="single"/>
              </w:rPr>
              <w:t xml:space="preserve">   </w:t>
            </w:r>
            <w:r>
              <w:rPr>
                <w:rFonts w:hint="eastAsia" w:ascii="宋体" w:cs="Arial"/>
                <w:color w:val="auto"/>
                <w:sz w:val="24"/>
                <w:u w:val="single"/>
                <w:lang w:val="en-US" w:eastAsia="zh-CN"/>
              </w:rPr>
              <w:t xml:space="preserve">   </w:t>
            </w:r>
            <w:r>
              <w:rPr>
                <w:rFonts w:hint="eastAsia" w:ascii="宋体" w:cs="Arial"/>
                <w:color w:val="auto"/>
                <w:sz w:val="24"/>
              </w:rPr>
              <w:t>/套</w:t>
            </w:r>
          </w:p>
        </w:tc>
        <w:tc>
          <w:tcPr>
            <w:tcW w:w="1205" w:type="pct"/>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35" w:type="pct"/>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Arial"/>
                <w:color w:val="auto"/>
                <w:sz w:val="24"/>
                <w:lang w:val="en-US" w:eastAsia="zh-CN"/>
              </w:rPr>
            </w:pPr>
            <w:r>
              <w:rPr>
                <w:rFonts w:hint="eastAsia" w:ascii="宋体" w:hAnsi="宋体" w:cs="Arial"/>
                <w:color w:val="auto"/>
                <w:sz w:val="24"/>
                <w:lang w:val="en-US" w:eastAsia="zh-CN"/>
              </w:rPr>
              <w:t>3</w:t>
            </w:r>
          </w:p>
        </w:tc>
        <w:tc>
          <w:tcPr>
            <w:tcW w:w="1740"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rPr>
              <w:t>智慧垃圾分类投放亭</w:t>
            </w:r>
            <w:r>
              <w:rPr>
                <w:rFonts w:ascii="宋体" w:cs="Arial"/>
                <w:color w:val="auto"/>
                <w:sz w:val="24"/>
              </w:rPr>
              <w:t>(</w:t>
            </w:r>
            <w:r>
              <w:rPr>
                <w:rFonts w:hint="eastAsia" w:ascii="宋体" w:cs="Arial"/>
                <w:color w:val="auto"/>
                <w:sz w:val="24"/>
              </w:rPr>
              <w:t>2号）</w:t>
            </w:r>
          </w:p>
        </w:tc>
        <w:tc>
          <w:tcPr>
            <w:tcW w:w="764"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u w:val="single"/>
              </w:rPr>
              <w:t xml:space="preserve">   </w:t>
            </w:r>
            <w:r>
              <w:rPr>
                <w:rFonts w:hint="eastAsia" w:ascii="宋体" w:cs="Arial"/>
                <w:color w:val="auto"/>
                <w:sz w:val="24"/>
                <w:u w:val="single"/>
                <w:lang w:val="en-US" w:eastAsia="zh-CN"/>
              </w:rPr>
              <w:t>5</w:t>
            </w:r>
            <w:r>
              <w:rPr>
                <w:rFonts w:hint="eastAsia" w:ascii="宋体" w:cs="Arial"/>
                <w:color w:val="auto"/>
                <w:sz w:val="24"/>
                <w:u w:val="single"/>
              </w:rPr>
              <w:t xml:space="preserve">  </w:t>
            </w:r>
            <w:r>
              <w:rPr>
                <w:rFonts w:hint="eastAsia" w:ascii="宋体" w:cs="Arial"/>
                <w:color w:val="auto"/>
                <w:sz w:val="24"/>
              </w:rPr>
              <w:t>套</w:t>
            </w:r>
          </w:p>
        </w:tc>
        <w:tc>
          <w:tcPr>
            <w:tcW w:w="854" w:type="pct"/>
          </w:tcPr>
          <w:p>
            <w:pPr>
              <w:keepNext w:val="0"/>
              <w:keepLines w:val="0"/>
              <w:pageBreakBefore w:val="0"/>
              <w:widowControl w:val="0"/>
              <w:kinsoku/>
              <w:wordWrap/>
              <w:overflowPunct/>
              <w:topLinePunct w:val="0"/>
              <w:autoSpaceDE/>
              <w:autoSpaceDN/>
              <w:bidi w:val="0"/>
              <w:spacing w:line="276" w:lineRule="auto"/>
              <w:jc w:val="center"/>
              <w:textAlignment w:val="auto"/>
              <w:rPr>
                <w:rFonts w:ascii="宋体" w:cs="Arial"/>
                <w:color w:val="auto"/>
                <w:sz w:val="24"/>
                <w:u w:val="single"/>
              </w:rPr>
            </w:pPr>
            <w:r>
              <w:rPr>
                <w:rFonts w:hint="eastAsia" w:ascii="宋体" w:cs="Arial"/>
                <w:color w:val="auto"/>
                <w:sz w:val="24"/>
                <w:u w:val="single"/>
              </w:rPr>
              <w:t xml:space="preserve">   </w:t>
            </w:r>
            <w:r>
              <w:rPr>
                <w:rFonts w:hint="eastAsia" w:ascii="宋体" w:cs="Arial"/>
                <w:color w:val="auto"/>
                <w:sz w:val="24"/>
                <w:u w:val="single"/>
                <w:lang w:val="en-US" w:eastAsia="zh-CN"/>
              </w:rPr>
              <w:t xml:space="preserve">   </w:t>
            </w:r>
            <w:r>
              <w:rPr>
                <w:rFonts w:hint="eastAsia" w:ascii="宋体" w:cs="Arial"/>
                <w:color w:val="auto"/>
                <w:sz w:val="24"/>
              </w:rPr>
              <w:t>/套</w:t>
            </w:r>
          </w:p>
        </w:tc>
        <w:tc>
          <w:tcPr>
            <w:tcW w:w="1205" w:type="pct"/>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35" w:type="pct"/>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Arial"/>
                <w:color w:val="auto"/>
                <w:sz w:val="24"/>
                <w:lang w:val="en-US" w:eastAsia="zh-CN"/>
              </w:rPr>
            </w:pPr>
            <w:r>
              <w:rPr>
                <w:rFonts w:hint="eastAsia" w:ascii="宋体" w:hAnsi="宋体" w:cs="Arial"/>
                <w:color w:val="auto"/>
                <w:sz w:val="24"/>
                <w:lang w:val="en-US" w:eastAsia="zh-CN"/>
              </w:rPr>
              <w:t>4</w:t>
            </w:r>
          </w:p>
        </w:tc>
        <w:tc>
          <w:tcPr>
            <w:tcW w:w="1740"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hAnsi="宋体"/>
                <w:color w:val="auto"/>
                <w:sz w:val="24"/>
              </w:rPr>
              <w:t>智慧垃圾分类管理运营服务</w:t>
            </w:r>
          </w:p>
        </w:tc>
        <w:tc>
          <w:tcPr>
            <w:tcW w:w="764"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lang w:val="en-US" w:eastAsia="zh-CN"/>
              </w:rPr>
              <w:t>60</w:t>
            </w:r>
            <w:r>
              <w:rPr>
                <w:rFonts w:hint="default" w:ascii="宋体" w:cs="Arial"/>
                <w:color w:val="auto"/>
                <w:sz w:val="24"/>
                <w:lang w:val="en-US"/>
              </w:rPr>
              <w:t>0</w:t>
            </w:r>
            <w:r>
              <w:rPr>
                <w:rFonts w:hint="eastAsia" w:ascii="宋体" w:hAnsi="宋体" w:cs="Arial"/>
                <w:color w:val="auto"/>
                <w:sz w:val="24"/>
              </w:rPr>
              <w:t>点.月</w:t>
            </w:r>
          </w:p>
        </w:tc>
        <w:tc>
          <w:tcPr>
            <w:tcW w:w="854" w:type="pct"/>
          </w:tcPr>
          <w:p>
            <w:pPr>
              <w:keepNext w:val="0"/>
              <w:keepLines w:val="0"/>
              <w:pageBreakBefore w:val="0"/>
              <w:widowControl w:val="0"/>
              <w:kinsoku/>
              <w:wordWrap/>
              <w:overflowPunct/>
              <w:topLinePunct w:val="0"/>
              <w:autoSpaceDE/>
              <w:autoSpaceDN/>
              <w:bidi w:val="0"/>
              <w:spacing w:line="276" w:lineRule="auto"/>
              <w:jc w:val="center"/>
              <w:textAlignment w:val="auto"/>
              <w:rPr>
                <w:rFonts w:ascii="宋体" w:cs="Arial"/>
                <w:color w:val="auto"/>
                <w:sz w:val="24"/>
                <w:u w:val="single"/>
              </w:rPr>
            </w:pPr>
            <w:r>
              <w:rPr>
                <w:rFonts w:hint="eastAsia" w:ascii="宋体" w:cs="Arial"/>
                <w:color w:val="auto"/>
                <w:sz w:val="24"/>
                <w:u w:val="single"/>
              </w:rPr>
              <w:t xml:space="preserve">   </w:t>
            </w:r>
            <w:r>
              <w:rPr>
                <w:rFonts w:hint="eastAsia" w:ascii="宋体" w:cs="Arial"/>
                <w:color w:val="auto"/>
                <w:sz w:val="24"/>
                <w:u w:val="single"/>
                <w:lang w:val="en-US" w:eastAsia="zh-CN"/>
              </w:rPr>
              <w:t xml:space="preserve"> </w:t>
            </w:r>
            <w:r>
              <w:rPr>
                <w:rFonts w:hint="eastAsia" w:ascii="宋体" w:cs="Arial"/>
                <w:color w:val="auto"/>
                <w:sz w:val="24"/>
              </w:rPr>
              <w:t>/</w:t>
            </w:r>
            <w:r>
              <w:rPr>
                <w:rFonts w:hint="eastAsia" w:ascii="宋体" w:hAnsi="宋体" w:cs="Arial"/>
                <w:color w:val="auto"/>
                <w:sz w:val="24"/>
              </w:rPr>
              <w:t>点.月</w:t>
            </w:r>
          </w:p>
        </w:tc>
        <w:tc>
          <w:tcPr>
            <w:tcW w:w="1205" w:type="pct"/>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35" w:type="pct"/>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Arial"/>
                <w:color w:val="auto"/>
                <w:sz w:val="24"/>
                <w:lang w:val="en-US" w:eastAsia="zh-CN"/>
              </w:rPr>
            </w:pPr>
            <w:r>
              <w:rPr>
                <w:rFonts w:hint="eastAsia" w:ascii="宋体" w:hAnsi="宋体" w:cs="Arial"/>
                <w:color w:val="auto"/>
                <w:sz w:val="24"/>
                <w:lang w:val="en-US" w:eastAsia="zh-CN"/>
              </w:rPr>
              <w:t>5</w:t>
            </w:r>
          </w:p>
        </w:tc>
        <w:tc>
          <w:tcPr>
            <w:tcW w:w="1740"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hAnsi="宋体"/>
                <w:color w:val="auto"/>
                <w:sz w:val="24"/>
              </w:rPr>
            </w:pPr>
            <w:r>
              <w:rPr>
                <w:rFonts w:hint="eastAsia" w:ascii="宋体" w:hAnsi="宋体"/>
                <w:color w:val="auto"/>
                <w:sz w:val="24"/>
              </w:rPr>
              <w:t>智慧垃圾分类</w:t>
            </w:r>
            <w:r>
              <w:rPr>
                <w:rFonts w:hint="eastAsia" w:ascii="宋体" w:hAnsi="宋体"/>
                <w:color w:val="auto"/>
                <w:sz w:val="24"/>
                <w:lang w:eastAsia="zh-CN"/>
              </w:rPr>
              <w:t>监督</w:t>
            </w:r>
            <w:r>
              <w:rPr>
                <w:rFonts w:hint="eastAsia" w:ascii="宋体" w:hAnsi="宋体"/>
                <w:color w:val="auto"/>
                <w:sz w:val="24"/>
              </w:rPr>
              <w:t>服务</w:t>
            </w:r>
          </w:p>
        </w:tc>
        <w:tc>
          <w:tcPr>
            <w:tcW w:w="764" w:type="pct"/>
            <w:vAlign w:val="top"/>
          </w:tcPr>
          <w:p>
            <w:pPr>
              <w:keepNext w:val="0"/>
              <w:keepLines w:val="0"/>
              <w:pageBreakBefore w:val="0"/>
              <w:widowControl w:val="0"/>
              <w:kinsoku/>
              <w:wordWrap/>
              <w:overflowPunct/>
              <w:topLinePunct w:val="0"/>
              <w:autoSpaceDE/>
              <w:autoSpaceDN/>
              <w:bidi w:val="0"/>
              <w:spacing w:line="276" w:lineRule="auto"/>
              <w:textAlignment w:val="auto"/>
              <w:rPr>
                <w:rFonts w:ascii="宋体" w:cs="Arial"/>
                <w:color w:val="auto"/>
                <w:sz w:val="24"/>
              </w:rPr>
            </w:pPr>
            <w:r>
              <w:rPr>
                <w:rFonts w:hint="eastAsia" w:ascii="宋体" w:cs="Arial"/>
                <w:color w:val="auto"/>
                <w:sz w:val="24"/>
                <w:lang w:val="en-US" w:eastAsia="zh-CN"/>
              </w:rPr>
              <w:t>60</w:t>
            </w:r>
            <w:r>
              <w:rPr>
                <w:rFonts w:hint="default" w:ascii="宋体" w:cs="Arial"/>
                <w:color w:val="auto"/>
                <w:sz w:val="24"/>
                <w:lang w:val="en-US"/>
              </w:rPr>
              <w:t>0</w:t>
            </w:r>
            <w:r>
              <w:rPr>
                <w:rFonts w:hint="eastAsia" w:ascii="宋体" w:hAnsi="宋体" w:cs="Arial"/>
                <w:color w:val="auto"/>
                <w:sz w:val="24"/>
              </w:rPr>
              <w:t>点.月</w:t>
            </w:r>
          </w:p>
        </w:tc>
        <w:tc>
          <w:tcPr>
            <w:tcW w:w="854" w:type="pct"/>
          </w:tcPr>
          <w:p>
            <w:pPr>
              <w:keepNext w:val="0"/>
              <w:keepLines w:val="0"/>
              <w:pageBreakBefore w:val="0"/>
              <w:widowControl w:val="0"/>
              <w:kinsoku/>
              <w:wordWrap/>
              <w:overflowPunct/>
              <w:topLinePunct w:val="0"/>
              <w:autoSpaceDE/>
              <w:autoSpaceDN/>
              <w:bidi w:val="0"/>
              <w:spacing w:line="276" w:lineRule="auto"/>
              <w:textAlignment w:val="auto"/>
              <w:rPr>
                <w:rFonts w:ascii="宋体" w:hAnsi="宋体" w:cs="Arial"/>
                <w:color w:val="auto"/>
                <w:sz w:val="24"/>
                <w:u w:val="single"/>
              </w:rPr>
            </w:pPr>
            <w:r>
              <w:rPr>
                <w:rFonts w:hint="eastAsia" w:ascii="宋体" w:cs="Arial"/>
                <w:color w:val="auto"/>
                <w:sz w:val="24"/>
                <w:u w:val="single"/>
              </w:rPr>
              <w:t xml:space="preserve">   </w:t>
            </w:r>
            <w:r>
              <w:rPr>
                <w:rFonts w:hint="eastAsia" w:ascii="宋体" w:cs="Arial"/>
                <w:color w:val="auto"/>
                <w:sz w:val="24"/>
                <w:u w:val="single"/>
                <w:lang w:val="en-US" w:eastAsia="zh-CN"/>
              </w:rPr>
              <w:t xml:space="preserve"> </w:t>
            </w:r>
            <w:r>
              <w:rPr>
                <w:rFonts w:hint="eastAsia" w:ascii="宋体" w:cs="Arial"/>
                <w:color w:val="auto"/>
                <w:sz w:val="24"/>
              </w:rPr>
              <w:t>/</w:t>
            </w:r>
            <w:r>
              <w:rPr>
                <w:rFonts w:hint="eastAsia" w:ascii="宋体" w:hAnsi="宋体" w:cs="Arial"/>
                <w:color w:val="auto"/>
                <w:sz w:val="24"/>
              </w:rPr>
              <w:t>点.月</w:t>
            </w:r>
          </w:p>
        </w:tc>
        <w:tc>
          <w:tcPr>
            <w:tcW w:w="1205" w:type="pct"/>
          </w:tcPr>
          <w:p>
            <w:pPr>
              <w:keepNext w:val="0"/>
              <w:keepLines w:val="0"/>
              <w:pageBreakBefore w:val="0"/>
              <w:widowControl w:val="0"/>
              <w:kinsoku/>
              <w:wordWrap/>
              <w:overflowPunct/>
              <w:topLinePunct w:val="0"/>
              <w:autoSpaceDE/>
              <w:autoSpaceDN/>
              <w:bidi w:val="0"/>
              <w:spacing w:line="276" w:lineRule="auto"/>
              <w:textAlignment w:val="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00" w:type="pct"/>
            <w:gridSpan w:val="5"/>
          </w:tcPr>
          <w:p>
            <w:pPr>
              <w:keepNext w:val="0"/>
              <w:keepLines w:val="0"/>
              <w:pageBreakBefore w:val="0"/>
              <w:widowControl w:val="0"/>
              <w:kinsoku/>
              <w:wordWrap/>
              <w:overflowPunct/>
              <w:topLinePunct w:val="0"/>
              <w:autoSpaceDE/>
              <w:autoSpaceDN/>
              <w:bidi w:val="0"/>
              <w:spacing w:line="276" w:lineRule="auto"/>
              <w:textAlignment w:val="auto"/>
              <w:rPr>
                <w:rFonts w:ascii="宋体" w:hAnsi="宋体" w:cs="Arial"/>
                <w:color w:val="auto"/>
                <w:sz w:val="24"/>
              </w:rPr>
            </w:pPr>
            <w:r>
              <w:rPr>
                <w:rFonts w:hint="eastAsia" w:ascii="宋体" w:hAnsi="宋体"/>
                <w:color w:val="auto"/>
                <w:sz w:val="24"/>
                <w:szCs w:val="21"/>
                <w:lang w:eastAsia="zh-CN"/>
              </w:rPr>
              <w:t>总</w:t>
            </w:r>
            <w:r>
              <w:rPr>
                <w:rFonts w:hint="eastAsia" w:ascii="宋体" w:hAnsi="宋体"/>
                <w:color w:val="auto"/>
                <w:sz w:val="24"/>
                <w:szCs w:val="21"/>
              </w:rPr>
              <w:t>计金额大写（人民币）：                                         ￥</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ascii="宋体" w:hAnsi="宋体"/>
          <w:color w:val="0D0D0D"/>
          <w:sz w:val="24"/>
          <w:szCs w:val="20"/>
        </w:rPr>
      </w:pPr>
      <w:r>
        <w:rPr>
          <w:rFonts w:hint="eastAsia" w:ascii="宋体" w:hAnsi="宋体"/>
          <w:color w:val="0D0D0D"/>
          <w:sz w:val="24"/>
        </w:rPr>
        <w:t>注</w:t>
      </w:r>
      <w:r>
        <w:rPr>
          <w:rFonts w:ascii="宋体" w:hAnsi="宋体"/>
          <w:color w:val="0D0D0D"/>
          <w:sz w:val="24"/>
        </w:rPr>
        <w:t>:1</w:t>
      </w:r>
      <w:r>
        <w:rPr>
          <w:rFonts w:hint="eastAsia" w:ascii="宋体" w:hAnsi="宋体"/>
          <w:color w:val="0D0D0D"/>
          <w:sz w:val="24"/>
        </w:rPr>
        <w:t>、报价一经涂改，应在涂改处加盖单位公章或者由法定代表人或授权委托人签字或盖章，否则其投标作无效标处理。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宋体" w:hAnsi="宋体" w:cs="宋体"/>
          <w:b/>
          <w:sz w:val="24"/>
        </w:rPr>
      </w:pPr>
      <w:r>
        <w:rPr>
          <w:rFonts w:hint="eastAsia" w:ascii="宋体"/>
          <w:sz w:val="24"/>
        </w:rPr>
        <w:t>2、</w:t>
      </w:r>
      <w:r>
        <w:rPr>
          <w:rFonts w:hint="eastAsia" w:ascii="宋体" w:hAnsi="宋体" w:cs="宋体"/>
          <w:sz w:val="24"/>
        </w:rPr>
        <w:t>投标报价包括</w:t>
      </w:r>
      <w:r>
        <w:rPr>
          <w:rFonts w:hint="eastAsia" w:ascii="宋体" w:hAnsi="宋体" w:cs="宋体"/>
          <w:b/>
          <w:bCs/>
          <w:sz w:val="24"/>
        </w:rPr>
        <w:t>设备购置费、运输、培训、安装调试、技术支持、质保期服务、运营期网络、</w:t>
      </w:r>
      <w:r>
        <w:rPr>
          <w:rFonts w:hint="eastAsia" w:ascii="宋体" w:hAnsi="宋体"/>
          <w:b/>
          <w:bCs/>
          <w:sz w:val="24"/>
        </w:rPr>
        <w:t>垃圾分类</w:t>
      </w:r>
      <w:r>
        <w:rPr>
          <w:rFonts w:hint="eastAsia" w:ascii="宋体" w:hAnsi="宋体"/>
          <w:b/>
          <w:bCs/>
          <w:sz w:val="24"/>
          <w:lang w:eastAsia="zh-CN"/>
        </w:rPr>
        <w:t>监督</w:t>
      </w:r>
      <w:r>
        <w:rPr>
          <w:rFonts w:hint="eastAsia" w:ascii="宋体" w:hAnsi="宋体"/>
          <w:b/>
          <w:bCs/>
          <w:sz w:val="24"/>
        </w:rPr>
        <w:t>服务</w:t>
      </w:r>
      <w:r>
        <w:rPr>
          <w:rFonts w:hint="eastAsia" w:ascii="宋体" w:hAnsi="宋体"/>
          <w:b/>
          <w:bCs/>
          <w:sz w:val="24"/>
          <w:lang w:eastAsia="zh-CN"/>
        </w:rPr>
        <w:t>费用（</w:t>
      </w:r>
      <w:r>
        <w:rPr>
          <w:rFonts w:hint="eastAsia" w:ascii="宋体" w:hAnsi="宋体" w:cs="宋体"/>
          <w:b/>
          <w:bCs/>
          <w:sz w:val="24"/>
        </w:rPr>
        <w:t>含监督员工资、</w:t>
      </w:r>
      <w:r>
        <w:rPr>
          <w:rFonts w:hint="eastAsia"/>
          <w:b/>
          <w:bCs/>
          <w:sz w:val="24"/>
          <w:lang w:eastAsia="zh-CN"/>
        </w:rPr>
        <w:t>洗衣粉、拖把、抹布、凳子、水桶、防虫除臭药剂等卫生保洁易耗品</w:t>
      </w:r>
      <w:r>
        <w:rPr>
          <w:rFonts w:hint="eastAsia"/>
          <w:b/>
          <w:bCs/>
          <w:sz w:val="24"/>
        </w:rPr>
        <w:t>的添置</w:t>
      </w:r>
      <w:r>
        <w:rPr>
          <w:rFonts w:hint="eastAsia"/>
          <w:b/>
          <w:bCs/>
          <w:sz w:val="24"/>
          <w:lang w:eastAsia="zh-CN"/>
        </w:rPr>
        <w:t>费用</w:t>
      </w:r>
      <w:r>
        <w:rPr>
          <w:rFonts w:hint="eastAsia" w:ascii="宋体" w:hAnsi="宋体"/>
          <w:b/>
          <w:bCs/>
          <w:sz w:val="24"/>
          <w:lang w:eastAsia="zh-CN"/>
        </w:rPr>
        <w:t>）、</w:t>
      </w:r>
      <w:r>
        <w:rPr>
          <w:rFonts w:hint="eastAsia" w:ascii="宋体" w:hAnsi="宋体" w:cs="宋体"/>
          <w:b/>
          <w:bCs/>
          <w:sz w:val="24"/>
        </w:rPr>
        <w:t>运营服务费用（不含</w:t>
      </w:r>
      <w:r>
        <w:rPr>
          <w:rFonts w:hint="eastAsia"/>
          <w:b/>
          <w:bCs/>
          <w:sz w:val="24"/>
        </w:rPr>
        <w:t>运营期亭体所产生的水电费</w:t>
      </w:r>
      <w:r>
        <w:rPr>
          <w:rFonts w:hint="eastAsia" w:ascii="宋体" w:hAnsi="宋体" w:cs="宋体"/>
          <w:b/>
          <w:bCs/>
          <w:sz w:val="24"/>
        </w:rPr>
        <w:t>）和税金等所有费用。</w:t>
      </w:r>
      <w:r>
        <w:rPr>
          <w:rFonts w:hint="eastAsia" w:ascii="宋体" w:hAnsi="宋体" w:cs="宋体"/>
          <w:sz w:val="24"/>
        </w:rPr>
        <w:t>投标人所投报的投标报价为投标人所能承受的整个项目的最终最低报价，如有漏项，视同已包含在其它项目中，合同价不作调整。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ascii="宋体" w:hAnsi="宋体"/>
          <w:b/>
          <w:bCs/>
          <w:color w:val="0D0D0D"/>
          <w:sz w:val="24"/>
        </w:rPr>
      </w:pPr>
      <w:r>
        <w:rPr>
          <w:rFonts w:hint="eastAsia" w:ascii="宋体" w:hAnsi="宋体" w:cs="宋体"/>
          <w:b/>
          <w:bCs/>
          <w:sz w:val="24"/>
        </w:rPr>
        <w:t>▲3、</w:t>
      </w:r>
      <w:r>
        <w:rPr>
          <w:rFonts w:hint="eastAsia" w:ascii="宋体" w:hAnsi="宋体" w:cs="宋体"/>
          <w:b/>
          <w:sz w:val="24"/>
        </w:rPr>
        <w:t>投标人须按报价单的格式报价，报价单上的采购数量为</w:t>
      </w:r>
      <w:r>
        <w:rPr>
          <w:rFonts w:hint="eastAsia" w:ascii="宋体" w:hAnsi="宋体" w:cs="宋体"/>
          <w:b/>
          <w:sz w:val="24"/>
          <w:lang w:eastAsia="zh-CN"/>
        </w:rPr>
        <w:t>估计采购安装</w:t>
      </w:r>
      <w:r>
        <w:rPr>
          <w:rFonts w:hint="eastAsia" w:ascii="宋体" w:hAnsi="宋体" w:cs="宋体"/>
          <w:b/>
          <w:sz w:val="24"/>
        </w:rPr>
        <w:t>数量，</w:t>
      </w:r>
      <w:r>
        <w:rPr>
          <w:rFonts w:hint="eastAsia" w:ascii="宋体" w:hAnsi="宋体" w:cs="宋体"/>
          <w:b/>
          <w:sz w:val="24"/>
          <w:lang w:eastAsia="zh-CN"/>
        </w:rPr>
        <w:t>仅作为共同投标的依据，</w:t>
      </w:r>
      <w:r>
        <w:rPr>
          <w:rFonts w:hint="eastAsia" w:ascii="宋体" w:hAnsi="宋体" w:cs="宋体"/>
          <w:b/>
          <w:sz w:val="24"/>
        </w:rPr>
        <w:t>本项目以单价中标，以中标单价和实际采购安装数量以及实际运行管理的数量、时间和运营服务单价为最终结算金额；</w:t>
      </w:r>
      <w:r>
        <w:rPr>
          <w:rFonts w:hint="eastAsia" w:ascii="宋体" w:hAnsi="宋体" w:cs="宋体"/>
          <w:b/>
          <w:bCs/>
          <w:sz w:val="24"/>
        </w:rPr>
        <w:t>本项目最高限价详见招标需求，投标单位必须按招标需求的要求报价，并且报价不得高于或等于最高限价，否则作废标处理。</w:t>
      </w:r>
    </w:p>
    <w:p>
      <w:pPr>
        <w:keepNext w:val="0"/>
        <w:keepLines w:val="0"/>
        <w:pageBreakBefore w:val="0"/>
        <w:widowControl w:val="0"/>
        <w:kinsoku/>
        <w:wordWrap/>
        <w:overflowPunct/>
        <w:topLinePunct w:val="0"/>
        <w:autoSpaceDE/>
        <w:autoSpaceDN/>
        <w:bidi w:val="0"/>
        <w:adjustRightInd/>
        <w:snapToGrid/>
        <w:spacing w:line="360" w:lineRule="auto"/>
        <w:ind w:left="148" w:leftChars="0" w:right="0" w:rightChars="0" w:hanging="148" w:hangingChars="62"/>
        <w:textAlignment w:val="auto"/>
        <w:rPr>
          <w:rFonts w:ascii="宋体"/>
          <w:sz w:val="24"/>
          <w:u w:val="single"/>
        </w:rPr>
      </w:pPr>
      <w:r>
        <w:rPr>
          <w:rFonts w:hint="eastAsia" w:ascii="宋体"/>
          <w:sz w:val="24"/>
        </w:rPr>
        <w:t xml:space="preserve">    4、交货期：</w:t>
      </w:r>
      <w:r>
        <w:rPr>
          <w:rFonts w:hint="eastAsia" w:ascii="宋体"/>
          <w:sz w:val="24"/>
          <w:u w:val="single"/>
        </w:rPr>
        <w:t xml:space="preserve">                     (必须填写)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sz w:val="24"/>
        </w:rPr>
      </w:pPr>
      <w:r>
        <w:rPr>
          <w:rFonts w:hint="eastAsia" w:ascii="宋体"/>
          <w:sz w:val="24"/>
        </w:rPr>
        <w:t>5、</w:t>
      </w:r>
      <w:r>
        <w:rPr>
          <w:rFonts w:hint="eastAsia" w:ascii="宋体" w:hAnsi="宋体"/>
          <w:color w:val="0D0D0D"/>
          <w:sz w:val="24"/>
        </w:rPr>
        <w:t>本表格式不允许修改，否则作无效标处理。</w:t>
      </w:r>
    </w:p>
    <w:p>
      <w:pPr>
        <w:keepNext w:val="0"/>
        <w:keepLines w:val="0"/>
        <w:pageBreakBefore w:val="0"/>
        <w:widowControl w:val="0"/>
        <w:kinsoku/>
        <w:wordWrap/>
        <w:overflowPunct/>
        <w:topLinePunct w:val="0"/>
        <w:autoSpaceDE/>
        <w:autoSpaceDN/>
        <w:bidi w:val="0"/>
        <w:snapToGrid w:val="0"/>
        <w:ind w:left="-3" w:leftChars="-72" w:right="-817" w:rightChars="-389" w:hanging="148" w:hangingChars="62"/>
        <w:textAlignment w:val="auto"/>
        <w:rPr>
          <w:rFonts w:hint="eastAsia" w:ascii="宋体"/>
          <w:sz w:val="24"/>
        </w:rPr>
      </w:pPr>
    </w:p>
    <w:p>
      <w:pPr>
        <w:keepNext w:val="0"/>
        <w:keepLines w:val="0"/>
        <w:pageBreakBefore w:val="0"/>
        <w:widowControl w:val="0"/>
        <w:kinsoku/>
        <w:wordWrap/>
        <w:overflowPunct/>
        <w:topLinePunct w:val="0"/>
        <w:autoSpaceDE/>
        <w:autoSpaceDN/>
        <w:bidi w:val="0"/>
        <w:snapToGrid w:val="0"/>
        <w:ind w:left="-3" w:leftChars="-72" w:right="-817" w:rightChars="-389" w:hanging="148" w:hangingChars="62"/>
        <w:textAlignment w:val="auto"/>
        <w:rPr>
          <w:rFonts w:ascii="宋体"/>
          <w:sz w:val="24"/>
        </w:rPr>
      </w:pPr>
      <w:r>
        <w:rPr>
          <w:rFonts w:hint="eastAsia" w:ascii="宋体"/>
          <w:sz w:val="24"/>
        </w:rPr>
        <w:t>法定代表人或委托代理人（签字或盖章）：</w:t>
      </w:r>
    </w:p>
    <w:p>
      <w:pPr>
        <w:keepNext w:val="0"/>
        <w:keepLines w:val="0"/>
        <w:pageBreakBefore w:val="0"/>
        <w:widowControl w:val="0"/>
        <w:kinsoku/>
        <w:wordWrap/>
        <w:overflowPunct/>
        <w:topLinePunct w:val="0"/>
        <w:autoSpaceDE/>
        <w:autoSpaceDN/>
        <w:bidi w:val="0"/>
        <w:snapToGrid w:val="0"/>
        <w:ind w:right="-817" w:rightChars="-389"/>
        <w:textAlignment w:val="auto"/>
        <w:rPr>
          <w:rFonts w:ascii="宋体"/>
          <w:sz w:val="24"/>
          <w:szCs w:val="20"/>
        </w:rPr>
      </w:pPr>
    </w:p>
    <w:p>
      <w:pPr>
        <w:keepNext w:val="0"/>
        <w:keepLines w:val="0"/>
        <w:pageBreakBefore w:val="0"/>
        <w:widowControl w:val="0"/>
        <w:kinsoku/>
        <w:wordWrap/>
        <w:overflowPunct/>
        <w:topLinePunct w:val="0"/>
        <w:autoSpaceDE/>
        <w:autoSpaceDN/>
        <w:bidi w:val="0"/>
        <w:snapToGrid w:val="0"/>
        <w:ind w:left="-3" w:leftChars="-72" w:right="-817" w:rightChars="-389" w:hanging="148" w:hangingChars="62"/>
        <w:textAlignment w:val="auto"/>
        <w:rPr>
          <w:rFonts w:ascii="宋体"/>
          <w:sz w:val="24"/>
        </w:rPr>
      </w:pPr>
      <w:r>
        <w:rPr>
          <w:rFonts w:hint="eastAsia" w:ascii="宋体"/>
          <w:sz w:val="24"/>
        </w:rPr>
        <w:t xml:space="preserve">投标人名称（盖章）：                                          </w:t>
      </w:r>
    </w:p>
    <w:p>
      <w:pPr>
        <w:keepNext w:val="0"/>
        <w:keepLines w:val="0"/>
        <w:pageBreakBefore w:val="0"/>
        <w:widowControl w:val="0"/>
        <w:kinsoku/>
        <w:wordWrap/>
        <w:overflowPunct/>
        <w:topLinePunct w:val="0"/>
        <w:autoSpaceDE/>
        <w:autoSpaceDN/>
        <w:bidi w:val="0"/>
        <w:snapToGrid w:val="0"/>
        <w:spacing w:line="360" w:lineRule="auto"/>
        <w:ind w:left="-2" w:leftChars="-1" w:right="-817" w:rightChars="-389" w:firstLine="5880" w:firstLineChars="2450"/>
        <w:textAlignment w:val="auto"/>
        <w:rPr>
          <w:rFonts w:hint="eastAsia" w:ascii="宋体"/>
          <w:sz w:val="24"/>
        </w:rPr>
      </w:pPr>
    </w:p>
    <w:p>
      <w:pPr>
        <w:keepNext w:val="0"/>
        <w:keepLines w:val="0"/>
        <w:pageBreakBefore w:val="0"/>
        <w:widowControl w:val="0"/>
        <w:kinsoku/>
        <w:wordWrap/>
        <w:overflowPunct/>
        <w:topLinePunct w:val="0"/>
        <w:autoSpaceDE/>
        <w:autoSpaceDN/>
        <w:bidi w:val="0"/>
        <w:snapToGrid w:val="0"/>
        <w:spacing w:line="360" w:lineRule="auto"/>
        <w:ind w:left="-2" w:leftChars="-1" w:right="-817" w:rightChars="-389" w:firstLine="5880" w:firstLineChars="2450"/>
        <w:textAlignment w:val="auto"/>
        <w:rPr>
          <w:rFonts w:ascii="宋体"/>
          <w:sz w:val="24"/>
        </w:rPr>
      </w:pPr>
      <w:r>
        <w:rPr>
          <w:rFonts w:hint="eastAsia" w:ascii="宋体"/>
          <w:sz w:val="24"/>
        </w:rPr>
        <w:t>日期：    年   月   日</w:t>
      </w:r>
      <w:bookmarkEnd w:id="23"/>
    </w:p>
    <w:p>
      <w:pPr>
        <w:snapToGrid w:val="0"/>
        <w:spacing w:before="50" w:after="50" w:line="360" w:lineRule="auto"/>
        <w:ind w:right="-817" w:rightChars="-389"/>
        <w:rPr>
          <w:rFonts w:ascii="宋体" w:hAnsi="宋体"/>
          <w:b/>
          <w:color w:val="000000"/>
          <w:sz w:val="24"/>
        </w:rPr>
      </w:pPr>
      <w:r>
        <w:rPr>
          <w:rFonts w:hint="eastAsia" w:ascii="宋体" w:hAnsi="宋体"/>
          <w:b/>
          <w:color w:val="0D0D0D"/>
          <w:sz w:val="24"/>
        </w:rPr>
        <w:t>附件6、项目验收单及附件格式：</w:t>
      </w:r>
    </w:p>
    <w:p>
      <w:pPr>
        <w:jc w:val="center"/>
        <w:rPr>
          <w:rFonts w:hAnsi="宋体"/>
          <w:b/>
          <w:sz w:val="44"/>
          <w:szCs w:val="44"/>
        </w:rPr>
      </w:pPr>
      <w:r>
        <w:rPr>
          <w:rFonts w:hint="eastAsia" w:hAnsi="宋体"/>
          <w:b/>
          <w:sz w:val="44"/>
          <w:szCs w:val="44"/>
        </w:rPr>
        <w:t>政府采购项目初验报告</w:t>
      </w:r>
    </w:p>
    <w:tbl>
      <w:tblPr>
        <w:tblStyle w:val="46"/>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1"/>
        <w:gridCol w:w="1973"/>
        <w:gridCol w:w="907"/>
        <w:gridCol w:w="1015"/>
        <w:gridCol w:w="989"/>
        <w:gridCol w:w="900"/>
        <w:gridCol w:w="3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650" w:type="dxa"/>
            <w:gridSpan w:val="2"/>
            <w:tcBorders>
              <w:top w:val="single" w:color="auto" w:sz="6" w:space="0"/>
              <w:left w:val="single" w:color="auto" w:sz="6" w:space="0"/>
              <w:right w:val="single" w:color="auto" w:sz="6" w:space="0"/>
            </w:tcBorders>
            <w:vAlign w:val="center"/>
          </w:tcPr>
          <w:p>
            <w:pPr>
              <w:rPr>
                <w:b/>
                <w:szCs w:val="21"/>
              </w:rPr>
            </w:pPr>
            <w:r>
              <w:rPr>
                <w:rFonts w:hint="eastAsia" w:hAnsi="宋体"/>
                <w:b/>
                <w:szCs w:val="21"/>
              </w:rPr>
              <w:t>采购</w:t>
            </w:r>
            <w:r>
              <w:rPr>
                <w:rFonts w:hAnsi="宋体"/>
                <w:b/>
                <w:szCs w:val="21"/>
              </w:rPr>
              <w:t>项目名称</w:t>
            </w:r>
          </w:p>
        </w:tc>
        <w:tc>
          <w:tcPr>
            <w:tcW w:w="2880" w:type="dxa"/>
            <w:gridSpan w:val="2"/>
            <w:tcBorders>
              <w:top w:val="single" w:color="auto" w:sz="6" w:space="0"/>
              <w:left w:val="single" w:color="auto" w:sz="6" w:space="0"/>
              <w:right w:val="single" w:color="auto" w:sz="6" w:space="0"/>
            </w:tcBorders>
            <w:vAlign w:val="center"/>
          </w:tcPr>
          <w:p>
            <w:pPr>
              <w:jc w:val="center"/>
              <w:rPr>
                <w:sz w:val="18"/>
                <w:szCs w:val="18"/>
              </w:rPr>
            </w:pPr>
          </w:p>
        </w:tc>
        <w:tc>
          <w:tcPr>
            <w:tcW w:w="2004" w:type="dxa"/>
            <w:gridSpan w:val="2"/>
            <w:tcBorders>
              <w:top w:val="single" w:color="auto" w:sz="6" w:space="0"/>
              <w:left w:val="single" w:color="auto" w:sz="6" w:space="0"/>
              <w:right w:val="single" w:color="auto" w:sz="4" w:space="0"/>
            </w:tcBorders>
            <w:vAlign w:val="center"/>
          </w:tcPr>
          <w:p>
            <w:pPr>
              <w:jc w:val="center"/>
              <w:rPr>
                <w:b/>
                <w:szCs w:val="21"/>
              </w:rPr>
            </w:pPr>
            <w:r>
              <w:rPr>
                <w:rFonts w:hint="eastAsia"/>
                <w:b/>
                <w:szCs w:val="21"/>
              </w:rPr>
              <w:t>采购项目编号</w:t>
            </w:r>
          </w:p>
        </w:tc>
        <w:tc>
          <w:tcPr>
            <w:tcW w:w="2440" w:type="dxa"/>
            <w:gridSpan w:val="3"/>
            <w:tcBorders>
              <w:top w:val="single" w:color="auto" w:sz="6" w:space="0"/>
              <w:left w:val="single" w:color="auto" w:sz="4" w:space="0"/>
              <w:right w:val="single" w:color="auto" w:sz="6"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vAlign w:val="center"/>
          </w:tcPr>
          <w:p>
            <w:pPr>
              <w:jc w:val="center"/>
              <w:rPr>
                <w:b/>
                <w:szCs w:val="21"/>
              </w:rPr>
            </w:pPr>
            <w:r>
              <w:rPr>
                <w:rFonts w:hint="eastAsia" w:hAnsi="宋体"/>
                <w:b/>
                <w:szCs w:val="21"/>
              </w:rPr>
              <w:t>开标时间</w:t>
            </w:r>
          </w:p>
        </w:tc>
        <w:tc>
          <w:tcPr>
            <w:tcW w:w="2880" w:type="dxa"/>
            <w:gridSpan w:val="2"/>
            <w:tcBorders>
              <w:top w:val="single" w:color="auto" w:sz="6" w:space="0"/>
              <w:left w:val="single" w:color="auto" w:sz="6" w:space="0"/>
              <w:right w:val="single" w:color="auto" w:sz="6" w:space="0"/>
            </w:tcBorders>
            <w:vAlign w:val="center"/>
          </w:tcPr>
          <w:p>
            <w:pPr>
              <w:jc w:val="center"/>
              <w:rPr>
                <w:szCs w:val="21"/>
              </w:rPr>
            </w:pPr>
          </w:p>
        </w:tc>
        <w:tc>
          <w:tcPr>
            <w:tcW w:w="2004" w:type="dxa"/>
            <w:gridSpan w:val="2"/>
            <w:tcBorders>
              <w:top w:val="dotted" w:color="auto" w:sz="4" w:space="0"/>
              <w:left w:val="single" w:color="auto" w:sz="6" w:space="0"/>
              <w:right w:val="single" w:color="auto" w:sz="6" w:space="0"/>
            </w:tcBorders>
            <w:vAlign w:val="center"/>
          </w:tcPr>
          <w:p>
            <w:pPr>
              <w:jc w:val="center"/>
              <w:rPr>
                <w:b/>
                <w:szCs w:val="21"/>
              </w:rPr>
            </w:pPr>
            <w:r>
              <w:rPr>
                <w:rFonts w:hint="eastAsia"/>
                <w:b/>
                <w:szCs w:val="21"/>
              </w:rPr>
              <w:t>验收时间</w:t>
            </w:r>
          </w:p>
        </w:tc>
        <w:tc>
          <w:tcPr>
            <w:tcW w:w="2440" w:type="dxa"/>
            <w:gridSpan w:val="3"/>
            <w:tcBorders>
              <w:top w:val="dotted" w:color="auto" w:sz="4" w:space="0"/>
              <w:left w:val="single" w:color="auto" w:sz="6" w:space="0"/>
              <w:right w:val="single" w:color="auto" w:sz="6" w:space="0"/>
            </w:tcBorders>
            <w:vAlign w:val="center"/>
          </w:tcPr>
          <w:p>
            <w:pPr>
              <w:ind w:firstLine="105" w:firstLine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vAlign w:val="center"/>
          </w:tcPr>
          <w:p>
            <w:pPr>
              <w:jc w:val="center"/>
              <w:rPr>
                <w:rFonts w:hAnsi="宋体"/>
                <w:b/>
                <w:szCs w:val="21"/>
              </w:rPr>
            </w:pPr>
            <w:r>
              <w:rPr>
                <w:rFonts w:hint="eastAsia" w:hAnsi="宋体"/>
                <w:b/>
                <w:szCs w:val="21"/>
              </w:rPr>
              <w:t>采购人名称</w:t>
            </w:r>
          </w:p>
        </w:tc>
        <w:tc>
          <w:tcPr>
            <w:tcW w:w="2880" w:type="dxa"/>
            <w:gridSpan w:val="2"/>
            <w:tcBorders>
              <w:top w:val="single" w:color="auto" w:sz="6" w:space="0"/>
              <w:left w:val="single" w:color="auto" w:sz="6" w:space="0"/>
              <w:right w:val="single" w:color="auto" w:sz="4" w:space="0"/>
            </w:tcBorders>
            <w:vAlign w:val="center"/>
          </w:tcPr>
          <w:p>
            <w:pPr>
              <w:jc w:val="center"/>
              <w:rPr>
                <w:szCs w:val="21"/>
              </w:rPr>
            </w:pPr>
          </w:p>
        </w:tc>
        <w:tc>
          <w:tcPr>
            <w:tcW w:w="1015" w:type="dxa"/>
            <w:tcBorders>
              <w:top w:val="single" w:color="auto" w:sz="6" w:space="0"/>
              <w:left w:val="single" w:color="auto" w:sz="4" w:space="0"/>
              <w:right w:val="single" w:color="auto" w:sz="4" w:space="0"/>
            </w:tcBorders>
            <w:vAlign w:val="center"/>
          </w:tcPr>
          <w:p>
            <w:pPr>
              <w:ind w:firstLine="105" w:firstLineChars="50"/>
              <w:rPr>
                <w:b/>
                <w:szCs w:val="21"/>
              </w:rPr>
            </w:pPr>
            <w:r>
              <w:rPr>
                <w:rFonts w:hint="eastAsia"/>
                <w:b/>
                <w:szCs w:val="21"/>
              </w:rPr>
              <w:t>联系人</w:t>
            </w:r>
          </w:p>
        </w:tc>
        <w:tc>
          <w:tcPr>
            <w:tcW w:w="989" w:type="dxa"/>
            <w:tcBorders>
              <w:top w:val="single" w:color="auto" w:sz="6" w:space="0"/>
              <w:left w:val="single" w:color="auto" w:sz="4" w:space="0"/>
              <w:right w:val="single" w:color="auto" w:sz="4" w:space="0"/>
            </w:tcBorders>
            <w:vAlign w:val="center"/>
          </w:tcPr>
          <w:p>
            <w:pPr>
              <w:ind w:firstLine="105" w:firstLineChars="50"/>
              <w:rPr>
                <w:szCs w:val="21"/>
              </w:rPr>
            </w:pPr>
          </w:p>
        </w:tc>
        <w:tc>
          <w:tcPr>
            <w:tcW w:w="900" w:type="dxa"/>
            <w:tcBorders>
              <w:top w:val="single" w:color="auto" w:sz="6" w:space="0"/>
              <w:left w:val="single" w:color="auto" w:sz="4" w:space="0"/>
              <w:right w:val="single" w:color="auto" w:sz="4" w:space="0"/>
            </w:tcBorders>
            <w:vAlign w:val="center"/>
          </w:tcPr>
          <w:p>
            <w:pPr>
              <w:ind w:firstLine="105" w:firstLineChars="50"/>
              <w:rPr>
                <w:b/>
                <w:szCs w:val="21"/>
              </w:rPr>
            </w:pPr>
            <w:r>
              <w:rPr>
                <w:rFonts w:hint="eastAsia"/>
                <w:b/>
                <w:szCs w:val="21"/>
              </w:rPr>
              <w:t>电话</w:t>
            </w:r>
          </w:p>
        </w:tc>
        <w:tc>
          <w:tcPr>
            <w:tcW w:w="1540" w:type="dxa"/>
            <w:gridSpan w:val="2"/>
            <w:tcBorders>
              <w:top w:val="single" w:color="auto" w:sz="6" w:space="0"/>
              <w:left w:val="single" w:color="auto" w:sz="4" w:space="0"/>
              <w:right w:val="single" w:color="auto" w:sz="6" w:space="0"/>
            </w:tcBorders>
            <w:vAlign w:val="center"/>
          </w:tcPr>
          <w:p>
            <w:pPr>
              <w:ind w:firstLine="105" w:firstLineChar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vAlign w:val="center"/>
          </w:tcPr>
          <w:p>
            <w:pPr>
              <w:jc w:val="center"/>
              <w:rPr>
                <w:rFonts w:hAnsi="宋体"/>
                <w:b/>
                <w:szCs w:val="21"/>
              </w:rPr>
            </w:pPr>
            <w:r>
              <w:rPr>
                <w:rFonts w:hint="eastAsia" w:hAnsi="宋体"/>
                <w:b/>
                <w:szCs w:val="21"/>
              </w:rPr>
              <w:t>供应商名称</w:t>
            </w:r>
          </w:p>
        </w:tc>
        <w:tc>
          <w:tcPr>
            <w:tcW w:w="2880" w:type="dxa"/>
            <w:gridSpan w:val="2"/>
            <w:tcBorders>
              <w:top w:val="single" w:color="auto" w:sz="6" w:space="0"/>
              <w:left w:val="single" w:color="auto" w:sz="6" w:space="0"/>
              <w:right w:val="single" w:color="auto" w:sz="4" w:space="0"/>
            </w:tcBorders>
            <w:vAlign w:val="center"/>
          </w:tcPr>
          <w:p>
            <w:pPr>
              <w:jc w:val="center"/>
              <w:rPr>
                <w:szCs w:val="21"/>
              </w:rPr>
            </w:pPr>
          </w:p>
        </w:tc>
        <w:tc>
          <w:tcPr>
            <w:tcW w:w="1015" w:type="dxa"/>
            <w:tcBorders>
              <w:top w:val="single" w:color="auto" w:sz="6" w:space="0"/>
              <w:left w:val="single" w:color="auto" w:sz="4" w:space="0"/>
              <w:right w:val="single" w:color="auto" w:sz="4" w:space="0"/>
            </w:tcBorders>
            <w:vAlign w:val="center"/>
          </w:tcPr>
          <w:p>
            <w:pPr>
              <w:ind w:firstLine="105" w:firstLineChars="50"/>
              <w:rPr>
                <w:b/>
                <w:szCs w:val="21"/>
              </w:rPr>
            </w:pPr>
            <w:r>
              <w:rPr>
                <w:rFonts w:hint="eastAsia"/>
                <w:b/>
                <w:szCs w:val="21"/>
              </w:rPr>
              <w:t>联系人</w:t>
            </w:r>
          </w:p>
        </w:tc>
        <w:tc>
          <w:tcPr>
            <w:tcW w:w="989" w:type="dxa"/>
            <w:tcBorders>
              <w:top w:val="single" w:color="auto" w:sz="6" w:space="0"/>
              <w:left w:val="single" w:color="auto" w:sz="4" w:space="0"/>
              <w:right w:val="single" w:color="auto" w:sz="4" w:space="0"/>
            </w:tcBorders>
            <w:vAlign w:val="center"/>
          </w:tcPr>
          <w:p>
            <w:pPr>
              <w:ind w:firstLine="105" w:firstLineChars="50"/>
              <w:rPr>
                <w:szCs w:val="21"/>
              </w:rPr>
            </w:pPr>
          </w:p>
        </w:tc>
        <w:tc>
          <w:tcPr>
            <w:tcW w:w="900" w:type="dxa"/>
            <w:tcBorders>
              <w:top w:val="single" w:color="auto" w:sz="6" w:space="0"/>
              <w:left w:val="single" w:color="auto" w:sz="4" w:space="0"/>
              <w:right w:val="single" w:color="auto" w:sz="4" w:space="0"/>
            </w:tcBorders>
            <w:vAlign w:val="center"/>
          </w:tcPr>
          <w:p>
            <w:pPr>
              <w:ind w:firstLine="105" w:firstLineChars="50"/>
              <w:rPr>
                <w:b/>
                <w:szCs w:val="21"/>
              </w:rPr>
            </w:pPr>
            <w:r>
              <w:rPr>
                <w:rFonts w:hint="eastAsia"/>
                <w:b/>
                <w:szCs w:val="21"/>
              </w:rPr>
              <w:t>电话</w:t>
            </w:r>
          </w:p>
        </w:tc>
        <w:tc>
          <w:tcPr>
            <w:tcW w:w="1540" w:type="dxa"/>
            <w:gridSpan w:val="2"/>
            <w:tcBorders>
              <w:top w:val="single" w:color="auto" w:sz="6" w:space="0"/>
              <w:left w:val="single" w:color="auto" w:sz="4" w:space="0"/>
              <w:right w:val="single" w:color="auto" w:sz="6" w:space="0"/>
            </w:tcBorders>
            <w:vAlign w:val="center"/>
          </w:tcPr>
          <w:p>
            <w:pPr>
              <w:ind w:firstLine="105" w:firstLineChar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left w:val="single" w:color="auto" w:sz="6" w:space="0"/>
              <w:right w:val="single" w:color="auto" w:sz="6" w:space="0"/>
            </w:tcBorders>
            <w:vAlign w:val="center"/>
          </w:tcPr>
          <w:p>
            <w:pPr>
              <w:jc w:val="center"/>
              <w:rPr>
                <w:rFonts w:hAnsi="宋体"/>
                <w:b/>
                <w:szCs w:val="21"/>
              </w:rPr>
            </w:pPr>
            <w:r>
              <w:rPr>
                <w:rFonts w:hint="eastAsia" w:hAnsi="宋体"/>
                <w:b/>
                <w:szCs w:val="21"/>
              </w:rPr>
              <w:t>采购内容</w:t>
            </w:r>
          </w:p>
        </w:tc>
        <w:tc>
          <w:tcPr>
            <w:tcW w:w="2880" w:type="dxa"/>
            <w:gridSpan w:val="2"/>
            <w:tcBorders>
              <w:top w:val="single" w:color="auto" w:sz="6" w:space="0"/>
              <w:left w:val="single" w:color="auto" w:sz="6" w:space="0"/>
              <w:right w:val="single" w:color="auto" w:sz="4" w:space="0"/>
            </w:tcBorders>
            <w:vAlign w:val="center"/>
          </w:tcPr>
          <w:p>
            <w:pPr>
              <w:jc w:val="center"/>
              <w:rPr>
                <w:szCs w:val="21"/>
              </w:rPr>
            </w:pPr>
          </w:p>
        </w:tc>
        <w:tc>
          <w:tcPr>
            <w:tcW w:w="1015" w:type="dxa"/>
            <w:tcBorders>
              <w:top w:val="single" w:color="auto" w:sz="6" w:space="0"/>
              <w:left w:val="single" w:color="auto" w:sz="4" w:space="0"/>
              <w:right w:val="single" w:color="auto" w:sz="6" w:space="0"/>
            </w:tcBorders>
            <w:vAlign w:val="center"/>
          </w:tcPr>
          <w:p>
            <w:pPr>
              <w:jc w:val="center"/>
              <w:rPr>
                <w:b/>
                <w:szCs w:val="21"/>
              </w:rPr>
            </w:pPr>
            <w:r>
              <w:rPr>
                <w:rFonts w:hint="eastAsia"/>
                <w:b/>
                <w:szCs w:val="21"/>
              </w:rPr>
              <w:t>金额</w:t>
            </w:r>
          </w:p>
        </w:tc>
        <w:tc>
          <w:tcPr>
            <w:tcW w:w="989" w:type="dxa"/>
            <w:tcBorders>
              <w:top w:val="single" w:color="auto" w:sz="6" w:space="0"/>
              <w:left w:val="single" w:color="auto" w:sz="4" w:space="0"/>
              <w:right w:val="single" w:color="auto" w:sz="6" w:space="0"/>
            </w:tcBorders>
            <w:vAlign w:val="center"/>
          </w:tcPr>
          <w:p>
            <w:pPr>
              <w:ind w:firstLine="105" w:firstLineChars="50"/>
              <w:rPr>
                <w:szCs w:val="21"/>
              </w:rPr>
            </w:pPr>
          </w:p>
        </w:tc>
        <w:tc>
          <w:tcPr>
            <w:tcW w:w="1260" w:type="dxa"/>
            <w:gridSpan w:val="2"/>
            <w:tcBorders>
              <w:top w:val="single" w:color="auto" w:sz="6" w:space="0"/>
              <w:left w:val="single" w:color="auto" w:sz="4" w:space="0"/>
              <w:right w:val="single" w:color="auto" w:sz="6" w:space="0"/>
            </w:tcBorders>
            <w:vAlign w:val="center"/>
          </w:tcPr>
          <w:p>
            <w:pPr>
              <w:ind w:firstLine="105" w:firstLineChars="50"/>
              <w:rPr>
                <w:b/>
                <w:szCs w:val="21"/>
              </w:rPr>
            </w:pPr>
            <w:r>
              <w:rPr>
                <w:rFonts w:hint="eastAsia"/>
                <w:b/>
                <w:szCs w:val="21"/>
              </w:rPr>
              <w:t>验收方式</w:t>
            </w:r>
          </w:p>
        </w:tc>
        <w:tc>
          <w:tcPr>
            <w:tcW w:w="1180" w:type="dxa"/>
            <w:tcBorders>
              <w:top w:val="single" w:color="auto" w:sz="6" w:space="0"/>
              <w:left w:val="single" w:color="auto" w:sz="4" w:space="0"/>
              <w:right w:val="single" w:color="auto" w:sz="6" w:space="0"/>
            </w:tcBorders>
            <w:vAlign w:val="center"/>
          </w:tcPr>
          <w:p>
            <w:pPr>
              <w:ind w:firstLine="105" w:firstLineChars="50"/>
              <w:jc w:val="center"/>
              <w:rPr>
                <w:szCs w:val="21"/>
              </w:rPr>
            </w:pPr>
            <w:r>
              <w:rPr>
                <w:rFonts w:hint="eastAsia"/>
                <w:szCs w:val="21"/>
              </w:rPr>
              <w:t>全验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829" w:type="dxa"/>
            <w:vMerge w:val="restart"/>
            <w:tcBorders>
              <w:top w:val="single" w:color="auto" w:sz="6" w:space="0"/>
              <w:left w:val="single" w:color="auto" w:sz="6" w:space="0"/>
              <w:right w:val="single" w:color="auto" w:sz="4" w:space="0"/>
            </w:tcBorders>
            <w:vAlign w:val="center"/>
          </w:tcPr>
          <w:p>
            <w:pPr>
              <w:jc w:val="center"/>
              <w:rPr>
                <w:rFonts w:hAnsi="宋体"/>
                <w:b/>
                <w:szCs w:val="21"/>
              </w:rPr>
            </w:pPr>
            <w:r>
              <w:rPr>
                <w:rFonts w:hAnsi="宋体"/>
                <w:b/>
                <w:szCs w:val="21"/>
              </w:rPr>
              <w:t>对照</w:t>
            </w:r>
            <w:r>
              <w:rPr>
                <w:rFonts w:hint="eastAsia" w:hAnsi="宋体"/>
                <w:b/>
                <w:szCs w:val="21"/>
              </w:rPr>
              <w:t>投标文件</w:t>
            </w:r>
            <w:r>
              <w:rPr>
                <w:rFonts w:hAnsi="宋体"/>
                <w:b/>
                <w:szCs w:val="21"/>
              </w:rPr>
              <w:t>合同</w:t>
            </w:r>
            <w:r>
              <w:rPr>
                <w:rFonts w:hint="eastAsia" w:hAnsi="宋体"/>
                <w:b/>
                <w:szCs w:val="21"/>
              </w:rPr>
              <w:t>等</w:t>
            </w:r>
          </w:p>
          <w:p>
            <w:pPr>
              <w:jc w:val="center"/>
              <w:rPr>
                <w:rFonts w:hAnsi="宋体"/>
                <w:b/>
                <w:szCs w:val="21"/>
              </w:rPr>
            </w:pPr>
            <w:r>
              <w:rPr>
                <w:rFonts w:hint="eastAsia" w:hAnsi="宋体"/>
                <w:b/>
                <w:szCs w:val="21"/>
              </w:rPr>
              <w:t>验收</w:t>
            </w:r>
          </w:p>
          <w:p>
            <w:pPr>
              <w:jc w:val="center"/>
              <w:rPr>
                <w:b/>
                <w:szCs w:val="21"/>
              </w:rPr>
            </w:pPr>
            <w:r>
              <w:rPr>
                <w:rFonts w:hint="eastAsia" w:hAnsi="宋体"/>
                <w:b/>
                <w:szCs w:val="21"/>
              </w:rPr>
              <w:t>情况</w:t>
            </w:r>
          </w:p>
        </w:tc>
        <w:tc>
          <w:tcPr>
            <w:tcW w:w="2794" w:type="dxa"/>
            <w:gridSpan w:val="2"/>
            <w:tcBorders>
              <w:top w:val="single" w:color="auto" w:sz="6" w:space="0"/>
              <w:left w:val="single" w:color="auto" w:sz="4" w:space="0"/>
              <w:bottom w:val="dotted" w:color="auto" w:sz="4" w:space="0"/>
              <w:right w:val="dotted" w:color="auto" w:sz="4" w:space="0"/>
            </w:tcBorders>
            <w:vAlign w:val="center"/>
          </w:tcPr>
          <w:p>
            <w:pPr>
              <w:jc w:val="center"/>
              <w:rPr>
                <w:szCs w:val="21"/>
              </w:rPr>
            </w:pPr>
            <w:r>
              <w:rPr>
                <w:rFonts w:hAnsi="宋体"/>
                <w:szCs w:val="21"/>
              </w:rPr>
              <w:t>交货数量</w:t>
            </w:r>
          </w:p>
        </w:tc>
        <w:tc>
          <w:tcPr>
            <w:tcW w:w="5351" w:type="dxa"/>
            <w:gridSpan w:val="6"/>
            <w:tcBorders>
              <w:top w:val="single" w:color="auto" w:sz="6" w:space="0"/>
              <w:left w:val="dotted" w:color="auto" w:sz="4" w:space="0"/>
              <w:bottom w:val="dotted" w:color="auto" w:sz="4" w:space="0"/>
              <w:right w:val="single" w:color="auto" w:sz="6"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829" w:type="dxa"/>
            <w:vMerge w:val="continue"/>
            <w:tcBorders>
              <w:left w:val="single" w:color="auto" w:sz="6" w:space="0"/>
              <w:right w:val="single" w:color="auto" w:sz="4" w:space="0"/>
            </w:tcBorders>
            <w:vAlign w:val="center"/>
          </w:tcPr>
          <w:p>
            <w:pPr>
              <w:jc w:val="center"/>
              <w:rPr>
                <w:szCs w:val="21"/>
              </w:rPr>
            </w:pPr>
          </w:p>
        </w:tc>
        <w:tc>
          <w:tcPr>
            <w:tcW w:w="2794" w:type="dxa"/>
            <w:gridSpan w:val="2"/>
            <w:tcBorders>
              <w:top w:val="dotted" w:color="auto" w:sz="4" w:space="0"/>
              <w:left w:val="single" w:color="auto" w:sz="4" w:space="0"/>
              <w:bottom w:val="dotted" w:color="auto" w:sz="4" w:space="0"/>
              <w:right w:val="dotted" w:color="auto" w:sz="4" w:space="0"/>
            </w:tcBorders>
            <w:vAlign w:val="center"/>
          </w:tcPr>
          <w:p>
            <w:pPr>
              <w:jc w:val="center"/>
              <w:rPr>
                <w:rFonts w:hAnsi="宋体"/>
                <w:szCs w:val="21"/>
              </w:rPr>
            </w:pPr>
            <w:r>
              <w:rPr>
                <w:rFonts w:hint="eastAsia" w:hAnsi="宋体"/>
                <w:szCs w:val="21"/>
              </w:rPr>
              <w:t>产品设备的</w:t>
            </w:r>
            <w:r>
              <w:rPr>
                <w:rFonts w:hAnsi="宋体"/>
                <w:szCs w:val="21"/>
              </w:rPr>
              <w:t>技术参数、</w:t>
            </w:r>
          </w:p>
          <w:p>
            <w:pPr>
              <w:jc w:val="center"/>
              <w:rPr>
                <w:szCs w:val="21"/>
              </w:rPr>
            </w:pPr>
            <w:r>
              <w:rPr>
                <w:rFonts w:hAnsi="宋体"/>
                <w:szCs w:val="21"/>
              </w:rPr>
              <w:t>型号规格、和产地</w:t>
            </w:r>
          </w:p>
        </w:tc>
        <w:tc>
          <w:tcPr>
            <w:tcW w:w="5351" w:type="dxa"/>
            <w:gridSpan w:val="6"/>
            <w:tcBorders>
              <w:top w:val="dotted" w:color="auto" w:sz="4" w:space="0"/>
              <w:left w:val="dotted" w:color="auto" w:sz="4" w:space="0"/>
              <w:bottom w:val="dotted" w:color="auto" w:sz="4" w:space="0"/>
              <w:right w:val="single" w:color="auto" w:sz="6"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829" w:type="dxa"/>
            <w:vMerge w:val="continue"/>
            <w:tcBorders>
              <w:left w:val="single" w:color="auto" w:sz="6" w:space="0"/>
              <w:right w:val="single" w:color="auto" w:sz="4" w:space="0"/>
            </w:tcBorders>
            <w:vAlign w:val="center"/>
          </w:tcPr>
          <w:p>
            <w:pPr>
              <w:jc w:val="center"/>
              <w:rPr>
                <w:szCs w:val="21"/>
              </w:rPr>
            </w:pPr>
          </w:p>
        </w:tc>
        <w:tc>
          <w:tcPr>
            <w:tcW w:w="2794" w:type="dxa"/>
            <w:gridSpan w:val="2"/>
            <w:tcBorders>
              <w:top w:val="dotted" w:color="auto" w:sz="4" w:space="0"/>
              <w:left w:val="single" w:color="auto" w:sz="4" w:space="0"/>
              <w:bottom w:val="dotted" w:color="auto" w:sz="4" w:space="0"/>
              <w:right w:val="dotted" w:color="auto" w:sz="4" w:space="0"/>
            </w:tcBorders>
            <w:vAlign w:val="center"/>
          </w:tcPr>
          <w:p>
            <w:pPr>
              <w:jc w:val="center"/>
              <w:rPr>
                <w:szCs w:val="21"/>
              </w:rPr>
            </w:pPr>
            <w:r>
              <w:rPr>
                <w:rFonts w:hAnsi="宋体"/>
                <w:szCs w:val="21"/>
              </w:rPr>
              <w:t>实现的功能、指标、效果</w:t>
            </w:r>
          </w:p>
          <w:p>
            <w:pPr>
              <w:jc w:val="center"/>
              <w:rPr>
                <w:szCs w:val="21"/>
              </w:rPr>
            </w:pPr>
            <w:r>
              <w:rPr>
                <w:rFonts w:hAnsi="宋体"/>
                <w:szCs w:val="21"/>
              </w:rPr>
              <w:t>或约定的验收标准</w:t>
            </w:r>
          </w:p>
        </w:tc>
        <w:tc>
          <w:tcPr>
            <w:tcW w:w="5351" w:type="dxa"/>
            <w:gridSpan w:val="6"/>
            <w:tcBorders>
              <w:top w:val="dotted" w:color="auto" w:sz="4" w:space="0"/>
              <w:left w:val="dotted" w:color="auto" w:sz="4" w:space="0"/>
              <w:bottom w:val="dotted"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829" w:type="dxa"/>
            <w:vMerge w:val="continue"/>
            <w:tcBorders>
              <w:left w:val="single" w:color="auto" w:sz="6" w:space="0"/>
              <w:right w:val="single" w:color="auto" w:sz="4" w:space="0"/>
            </w:tcBorders>
            <w:vAlign w:val="center"/>
          </w:tcPr>
          <w:p>
            <w:pPr>
              <w:jc w:val="center"/>
              <w:rPr>
                <w:szCs w:val="21"/>
              </w:rPr>
            </w:pPr>
          </w:p>
        </w:tc>
        <w:tc>
          <w:tcPr>
            <w:tcW w:w="2794" w:type="dxa"/>
            <w:gridSpan w:val="2"/>
            <w:tcBorders>
              <w:top w:val="dotted" w:color="auto" w:sz="4" w:space="0"/>
              <w:left w:val="single" w:color="auto" w:sz="4" w:space="0"/>
              <w:bottom w:val="dotted" w:color="auto" w:sz="4" w:space="0"/>
              <w:right w:val="dotted" w:color="auto" w:sz="4" w:space="0"/>
            </w:tcBorders>
            <w:vAlign w:val="center"/>
          </w:tcPr>
          <w:p>
            <w:pPr>
              <w:jc w:val="center"/>
              <w:rPr>
                <w:szCs w:val="21"/>
              </w:rPr>
            </w:pPr>
            <w:r>
              <w:rPr>
                <w:rFonts w:hAnsi="宋体"/>
                <w:szCs w:val="21"/>
              </w:rPr>
              <w:t>技术培训与使用须知指引</w:t>
            </w:r>
          </w:p>
        </w:tc>
        <w:tc>
          <w:tcPr>
            <w:tcW w:w="5351" w:type="dxa"/>
            <w:gridSpan w:val="6"/>
            <w:tcBorders>
              <w:top w:val="dotted" w:color="auto" w:sz="4" w:space="0"/>
              <w:left w:val="dotted" w:color="auto" w:sz="4" w:space="0"/>
              <w:bottom w:val="dotted"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829" w:type="dxa"/>
            <w:vMerge w:val="continue"/>
            <w:tcBorders>
              <w:left w:val="single" w:color="auto" w:sz="6" w:space="0"/>
              <w:right w:val="single" w:color="auto" w:sz="4" w:space="0"/>
            </w:tcBorders>
            <w:vAlign w:val="center"/>
          </w:tcPr>
          <w:p>
            <w:pPr>
              <w:jc w:val="center"/>
              <w:rPr>
                <w:szCs w:val="21"/>
              </w:rPr>
            </w:pPr>
          </w:p>
        </w:tc>
        <w:tc>
          <w:tcPr>
            <w:tcW w:w="2794" w:type="dxa"/>
            <w:gridSpan w:val="2"/>
            <w:tcBorders>
              <w:top w:val="dotted" w:color="auto" w:sz="4" w:space="0"/>
              <w:left w:val="single" w:color="auto" w:sz="4" w:space="0"/>
              <w:bottom w:val="single" w:color="auto" w:sz="6" w:space="0"/>
              <w:right w:val="dotted" w:color="auto" w:sz="4" w:space="0"/>
            </w:tcBorders>
            <w:vAlign w:val="center"/>
          </w:tcPr>
          <w:p>
            <w:pPr>
              <w:jc w:val="center"/>
              <w:rPr>
                <w:rFonts w:hAnsi="宋体"/>
                <w:szCs w:val="21"/>
              </w:rPr>
            </w:pPr>
            <w:r>
              <w:rPr>
                <w:rFonts w:hAnsi="宋体"/>
                <w:szCs w:val="21"/>
              </w:rPr>
              <w:t>技术资料、售后服务资料等</w:t>
            </w:r>
            <w:r>
              <w:rPr>
                <w:rFonts w:hint="eastAsia" w:hAnsi="宋体"/>
                <w:szCs w:val="21"/>
              </w:rPr>
              <w:t>档案清点</w:t>
            </w:r>
            <w:r>
              <w:rPr>
                <w:rFonts w:hAnsi="宋体"/>
                <w:szCs w:val="21"/>
              </w:rPr>
              <w:t>移交</w:t>
            </w:r>
          </w:p>
        </w:tc>
        <w:tc>
          <w:tcPr>
            <w:tcW w:w="5351" w:type="dxa"/>
            <w:gridSpan w:val="6"/>
            <w:tcBorders>
              <w:top w:val="dotted" w:color="auto" w:sz="4" w:space="0"/>
              <w:left w:val="dotted" w:color="auto" w:sz="4" w:space="0"/>
              <w:bottom w:val="single" w:color="auto" w:sz="6"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2" w:hRule="atLeast"/>
          <w:jc w:val="center"/>
        </w:trPr>
        <w:tc>
          <w:tcPr>
            <w:tcW w:w="8974" w:type="dxa"/>
            <w:gridSpan w:val="9"/>
            <w:tcBorders>
              <w:left w:val="single" w:color="auto" w:sz="6" w:space="0"/>
              <w:bottom w:val="single" w:color="auto" w:sz="6" w:space="0"/>
              <w:right w:val="single" w:color="auto" w:sz="4" w:space="0"/>
            </w:tcBorders>
          </w:tcPr>
          <w:p>
            <w:pPr>
              <w:spacing w:line="480" w:lineRule="auto"/>
              <w:rPr>
                <w:szCs w:val="21"/>
              </w:rPr>
            </w:pPr>
            <w:r>
              <w:rPr>
                <w:rFonts w:hAnsi="宋体"/>
                <w:b/>
                <w:szCs w:val="21"/>
              </w:rPr>
              <w:t>对项目</w:t>
            </w:r>
            <w:r>
              <w:rPr>
                <w:rFonts w:hint="eastAsia" w:hAnsi="宋体"/>
                <w:b/>
                <w:szCs w:val="21"/>
              </w:rPr>
              <w:t>整体</w:t>
            </w:r>
            <w:r>
              <w:rPr>
                <w:rFonts w:hAnsi="宋体"/>
                <w:b/>
                <w:szCs w:val="21"/>
              </w:rPr>
              <w:t>实施质量、</w:t>
            </w:r>
            <w:r>
              <w:rPr>
                <w:rFonts w:hint="eastAsia" w:hAnsi="宋体"/>
                <w:b/>
                <w:szCs w:val="21"/>
              </w:rPr>
              <w:t>售后</w:t>
            </w:r>
            <w:r>
              <w:rPr>
                <w:rFonts w:hAnsi="宋体"/>
                <w:b/>
                <w:szCs w:val="21"/>
              </w:rPr>
              <w:t>服务等综合验收</w:t>
            </w:r>
            <w:r>
              <w:rPr>
                <w:rFonts w:hint="eastAsia" w:hAnsi="宋体"/>
                <w:b/>
                <w:szCs w:val="21"/>
              </w:rPr>
              <w:t>结果</w:t>
            </w:r>
            <w:r>
              <w:rPr>
                <w:rFonts w:hAnsi="宋体"/>
                <w:b/>
                <w:szCs w:val="21"/>
              </w:rPr>
              <w:t>：</w:t>
            </w:r>
          </w:p>
          <w:p>
            <w:pPr>
              <w:rPr>
                <w:szCs w:val="21"/>
              </w:rPr>
            </w:pPr>
          </w:p>
          <w:p>
            <w:pPr>
              <w:rPr>
                <w:szCs w:val="21"/>
              </w:rPr>
            </w:pPr>
          </w:p>
          <w:p>
            <w:pPr>
              <w:rPr>
                <w:szCs w:val="21"/>
              </w:rPr>
            </w:pPr>
          </w:p>
          <w:p>
            <w:pPr>
              <w:rPr>
                <w:szCs w:val="21"/>
              </w:rPr>
            </w:pPr>
          </w:p>
          <w:p>
            <w:pPr>
              <w:spacing w:line="480" w:lineRule="auto"/>
              <w:rPr>
                <w:b/>
                <w:szCs w:val="21"/>
                <w:u w:val="single"/>
              </w:rPr>
            </w:pPr>
            <w:r>
              <w:rPr>
                <w:rFonts w:hint="eastAsia"/>
                <w:b/>
                <w:szCs w:val="21"/>
              </w:rPr>
              <w:t>整改事项：</w:t>
            </w:r>
          </w:p>
          <w:p>
            <w:pPr>
              <w:spacing w:line="480" w:lineRule="auto"/>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6" w:hRule="atLeast"/>
          <w:jc w:val="center"/>
        </w:trPr>
        <w:tc>
          <w:tcPr>
            <w:tcW w:w="8974" w:type="dxa"/>
            <w:gridSpan w:val="9"/>
            <w:tcBorders>
              <w:top w:val="single" w:color="auto" w:sz="6" w:space="0"/>
              <w:left w:val="single" w:color="auto" w:sz="6" w:space="0"/>
              <w:right w:val="single" w:color="auto" w:sz="6" w:space="0"/>
            </w:tcBorders>
          </w:tcPr>
          <w:p>
            <w:pPr>
              <w:spacing w:line="360" w:lineRule="auto"/>
              <w:rPr>
                <w:b/>
                <w:szCs w:val="21"/>
              </w:rPr>
            </w:pPr>
            <w:r>
              <w:rPr>
                <w:rFonts w:hint="eastAsia" w:hAnsi="宋体"/>
                <w:b/>
                <w:szCs w:val="21"/>
              </w:rPr>
              <w:t>验收人员签名</w:t>
            </w:r>
            <w:r>
              <w:rPr>
                <w:rFonts w:hAnsi="宋体"/>
                <w:b/>
                <w:szCs w:val="21"/>
              </w:rPr>
              <w:t>：</w:t>
            </w:r>
          </w:p>
          <w:p>
            <w:pPr>
              <w:spacing w:line="360" w:lineRule="auto"/>
              <w:rPr>
                <w:b/>
                <w:szCs w:val="21"/>
              </w:rPr>
            </w:pPr>
            <w:r>
              <w:rPr>
                <w:rFonts w:hint="eastAsia"/>
                <w:b/>
                <w:szCs w:val="21"/>
              </w:rPr>
              <w:t>单位（盖章）：</w:t>
            </w:r>
          </w:p>
          <w:p>
            <w:pPr>
              <w:spacing w:line="360" w:lineRule="auto"/>
              <w:rPr>
                <w:b/>
                <w:szCs w:val="21"/>
              </w:rPr>
            </w:pPr>
            <w:r>
              <w:rPr>
                <w:rFonts w:hint="eastAsia"/>
                <w:b/>
                <w:szCs w:val="21"/>
              </w:rPr>
              <w:t>法人或委托人签名：</w:t>
            </w:r>
          </w:p>
          <w:p>
            <w:pPr>
              <w:spacing w:line="360" w:lineRule="auto"/>
              <w:ind w:firstLine="4889" w:firstLineChars="2319"/>
              <w:rPr>
                <w:b/>
                <w:szCs w:val="21"/>
              </w:rPr>
            </w:pPr>
            <w:r>
              <w:rPr>
                <w:rFonts w:hint="eastAsia"/>
                <w:b/>
                <w:szCs w:val="21"/>
              </w:rPr>
              <w:t>验收日期：</w:t>
            </w:r>
          </w:p>
        </w:tc>
      </w:tr>
    </w:tbl>
    <w:p>
      <w:pPr>
        <w:rPr>
          <w:rFonts w:hAnsi="宋体"/>
        </w:rPr>
      </w:pPr>
      <w:r>
        <w:rPr>
          <w:rFonts w:hint="eastAsia" w:hAnsi="宋体"/>
        </w:rPr>
        <w:t>1、验收执行标准：采购文件、投标文件、合同、双方确认的一切补充文件。</w:t>
      </w:r>
    </w:p>
    <w:p>
      <w:pPr>
        <w:snapToGrid w:val="0"/>
        <w:spacing w:before="50" w:after="50"/>
        <w:rPr>
          <w:rFonts w:hAnsi="宋体"/>
        </w:rPr>
      </w:pPr>
      <w:r>
        <w:rPr>
          <w:rFonts w:hint="eastAsia" w:hAnsi="宋体"/>
        </w:rPr>
        <w:t>2、150万以上项目初验合格后，由招标代理机构组织相关部门对项目进行抽查。</w:t>
      </w:r>
    </w:p>
    <w:p>
      <w:pPr>
        <w:snapToGrid w:val="0"/>
        <w:spacing w:before="50" w:after="50"/>
        <w:rPr>
          <w:rFonts w:hAnsi="宋体"/>
        </w:rPr>
      </w:pPr>
      <w:r>
        <w:rPr>
          <w:rFonts w:hint="eastAsia" w:hAnsi="宋体"/>
        </w:rPr>
        <w:t>3、此表后应附验收货物清单。</w:t>
      </w:r>
    </w:p>
    <w:p>
      <w:pPr>
        <w:snapToGrid w:val="0"/>
        <w:spacing w:before="50" w:after="50"/>
        <w:rPr>
          <w:rFonts w:hAnsi="宋体"/>
        </w:rPr>
      </w:pPr>
      <w:r>
        <w:rPr>
          <w:rFonts w:hint="eastAsia" w:hAnsi="宋体"/>
        </w:rPr>
        <w:t>4、以上空白处如不够填写，可另附纸张。</w:t>
      </w:r>
    </w:p>
    <w:p>
      <w:pPr>
        <w:widowControl/>
        <w:jc w:val="left"/>
        <w:rPr>
          <w:rFonts w:hAnsi="宋体"/>
          <w:kern w:val="0"/>
        </w:rPr>
        <w:sectPr>
          <w:headerReference r:id="rId17" w:type="default"/>
          <w:footerReference r:id="rId18" w:type="default"/>
          <w:type w:val="continuous"/>
          <w:pgSz w:w="11906" w:h="16838"/>
          <w:pgMar w:top="1327" w:right="1349" w:bottom="1327" w:left="1633" w:header="851" w:footer="992" w:gutter="0"/>
          <w:cols w:space="0" w:num="1"/>
          <w:docGrid w:type="lines" w:linePitch="312" w:charSpace="0"/>
        </w:sectPr>
      </w:pPr>
    </w:p>
    <w:tbl>
      <w:tblPr>
        <w:tblStyle w:val="46"/>
        <w:tblpPr w:leftFromText="180" w:rightFromText="180" w:horzAnchor="margin" w:tblpY="936"/>
        <w:tblW w:w="13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9"/>
        <w:gridCol w:w="5746"/>
        <w:gridCol w:w="3780"/>
        <w:gridCol w:w="720"/>
        <w:gridCol w:w="720"/>
        <w:gridCol w:w="71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1"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序号</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r>
              <w:rPr>
                <w:rFonts w:hint="eastAsia" w:ascii="宋体" w:hAnsi="宋体"/>
                <w:sz w:val="24"/>
              </w:rPr>
              <w:t>货物名称</w:t>
            </w: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品牌型号</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符合  与否</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数量</w:t>
            </w: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符合   与否</w:t>
            </w: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验收人员 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1</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2</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3</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4</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5</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6</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r>
              <w:rPr>
                <w:rFonts w:hint="eastAsia" w:ascii="宋体" w:hAnsi="宋体"/>
                <w:sz w:val="24"/>
              </w:rPr>
              <w:t>7</w:t>
            </w:r>
          </w:p>
        </w:tc>
        <w:tc>
          <w:tcPr>
            <w:tcW w:w="5746" w:type="dxa"/>
            <w:tcBorders>
              <w:top w:val="single" w:color="auto" w:sz="4" w:space="0"/>
              <w:left w:val="single" w:color="auto" w:sz="4" w:space="0"/>
              <w:bottom w:val="single" w:color="auto" w:sz="4" w:space="0"/>
              <w:right w:val="single" w:color="auto" w:sz="4" w:space="0"/>
            </w:tcBorders>
          </w:tcPr>
          <w:p>
            <w:pPr>
              <w:snapToGrid w:val="0"/>
              <w:spacing w:beforeLines="50" w:afterLines="50" w:line="400" w:lineRule="exact"/>
              <w:jc w:val="center"/>
              <w:rPr>
                <w:rFonts w:ascii="宋体" w:hAnsi="宋体"/>
                <w:sz w:val="24"/>
              </w:rPr>
            </w:pPr>
          </w:p>
        </w:tc>
        <w:tc>
          <w:tcPr>
            <w:tcW w:w="37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7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0" w:hRule="atLeast"/>
        </w:trPr>
        <w:tc>
          <w:tcPr>
            <w:tcW w:w="13865" w:type="dxa"/>
            <w:gridSpan w:val="7"/>
            <w:tcBorders>
              <w:top w:val="single" w:color="auto" w:sz="4" w:space="0"/>
              <w:left w:val="single" w:color="auto" w:sz="4" w:space="0"/>
              <w:bottom w:val="single" w:color="auto" w:sz="4" w:space="0"/>
              <w:right w:val="single" w:color="auto" w:sz="4" w:space="0"/>
            </w:tcBorders>
            <w:vAlign w:val="center"/>
          </w:tcPr>
          <w:p>
            <w:pPr>
              <w:snapToGrid w:val="0"/>
              <w:spacing w:beforeLines="50" w:afterLines="50" w:line="400" w:lineRule="exact"/>
              <w:ind w:left="-107" w:leftChars="-51" w:firstLine="240" w:firstLineChars="100"/>
              <w:rPr>
                <w:rFonts w:ascii="宋体" w:hAnsi="宋体"/>
                <w:sz w:val="24"/>
              </w:rPr>
            </w:pPr>
            <w:r>
              <w:rPr>
                <w:rFonts w:hint="eastAsia" w:ascii="宋体" w:hAnsi="宋体"/>
                <w:sz w:val="24"/>
              </w:rPr>
              <w:t>备注：</w:t>
            </w:r>
          </w:p>
        </w:tc>
      </w:tr>
    </w:tbl>
    <w:p>
      <w:pPr>
        <w:jc w:val="center"/>
        <w:rPr>
          <w:b/>
          <w:sz w:val="30"/>
          <w:szCs w:val="30"/>
        </w:rPr>
      </w:pPr>
      <w:r>
        <w:rPr>
          <w:rFonts w:hint="eastAsia"/>
          <w:b/>
          <w:sz w:val="30"/>
          <w:szCs w:val="30"/>
        </w:rPr>
        <w:t>验收货物清单</w:t>
      </w:r>
    </w:p>
    <w:p>
      <w:pPr>
        <w:snapToGrid w:val="0"/>
        <w:spacing w:before="50" w:after="50"/>
        <w:rPr>
          <w:rFonts w:ascii="宋体"/>
          <w:sz w:val="24"/>
        </w:rPr>
      </w:pPr>
    </w:p>
    <w:p>
      <w:pPr>
        <w:snapToGrid w:val="0"/>
        <w:spacing w:before="50" w:afterLines="50" w:line="360" w:lineRule="auto"/>
        <w:ind w:firstLine="4560" w:firstLineChars="1900"/>
        <w:jc w:val="left"/>
        <w:rPr>
          <w:rFonts w:ascii="宋体"/>
          <w:sz w:val="24"/>
        </w:rPr>
      </w:pPr>
    </w:p>
    <w:sectPr>
      <w:headerReference r:id="rId19" w:type="default"/>
      <w:footerReference r:id="rId20" w:type="default"/>
      <w:footerReference r:id="rId21" w:type="even"/>
      <w:pgSz w:w="16838" w:h="11906" w:orient="landscape"/>
      <w:pgMar w:top="1797" w:right="1440" w:bottom="1797" w:left="1440" w:header="283" w:footer="992" w:gutter="0"/>
      <w:pgNumType w:fmt="numberInDash"/>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Century Gothic">
    <w:panose1 w:val="020B0502020202020204"/>
    <w:charset w:val="00"/>
    <w:family w:val="swiss"/>
    <w:pitch w:val="default"/>
    <w:sig w:usb0="00000287" w:usb1="00000000" w:usb2="00000000" w:usb3="00000000" w:csb0="2000009F" w:csb1="DFD70000"/>
  </w:font>
  <w:font w:name="??">
    <w:altName w:val="Times New Roman"/>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w:panose1 w:val="0204060405050502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创艺简标宋">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t>- 2 -</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t>- 64 -</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0"/>
      </w:rPr>
    </w:pPr>
    <w:r>
      <w:rPr>
        <w:rStyle w:val="50"/>
      </w:rPr>
      <w:fldChar w:fldCharType="begin"/>
    </w:r>
    <w:r>
      <w:rPr>
        <w:rStyle w:val="50"/>
      </w:rPr>
      <w:instrText xml:space="preserve">PAGE  </w:instrText>
    </w:r>
    <w:r>
      <w:rPr>
        <w:rStyle w:val="50"/>
      </w:rPr>
      <w:fldChar w:fldCharType="end"/>
    </w:r>
  </w:p>
  <w:p>
    <w:pPr>
      <w:pStyle w:val="3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0"/>
      </w:rPr>
    </w:pPr>
    <w:r>
      <w:rPr>
        <w:rStyle w:val="50"/>
      </w:rPr>
      <w:fldChar w:fldCharType="begin"/>
    </w:r>
    <w:r>
      <w:rPr>
        <w:rStyle w:val="50"/>
      </w:rPr>
      <w:instrText xml:space="preserve">PAGE  </w:instrText>
    </w:r>
    <w:r>
      <w:rPr>
        <w:rStyle w:val="50"/>
      </w:rPr>
      <w:fldChar w:fldCharType="end"/>
    </w:r>
  </w:p>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t>- 1 -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t>- 3 -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outside" w:y="1"/>
      <w:rPr>
        <w:rStyle w:val="50"/>
      </w:rPr>
    </w:pPr>
    <w:r>
      <w:rPr>
        <w:rStyle w:val="50"/>
      </w:rPr>
      <w:fldChar w:fldCharType="begin"/>
    </w:r>
    <w:r>
      <w:rPr>
        <w:rStyle w:val="50"/>
      </w:rPr>
      <w:instrText xml:space="preserve">PAGE  </w:instrText>
    </w:r>
    <w:r>
      <w:rPr>
        <w:rStyle w:val="50"/>
      </w:rPr>
      <w:fldChar w:fldCharType="separate"/>
    </w:r>
    <w:r>
      <w:rPr>
        <w:rStyle w:val="50"/>
      </w:rPr>
      <w:t>32</w:t>
    </w:r>
    <w:r>
      <w:rPr>
        <w:rStyle w:val="50"/>
      </w:rPr>
      <w:fldChar w:fldCharType="end"/>
    </w:r>
  </w:p>
  <w:p>
    <w:pPr>
      <w:pStyle w:val="32"/>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outside" w:y="1"/>
      <w:rPr>
        <w:rStyle w:val="50"/>
        <w:rFonts w:ascii="宋体" w:hAnsi="宋体" w:eastAsia="宋体"/>
        <w:sz w:val="28"/>
        <w:szCs w:val="28"/>
      </w:rPr>
    </w:pPr>
  </w:p>
  <w:p>
    <w:pPr>
      <w:pStyle w:val="32"/>
      <w:ind w:right="720" w:firstLine="180" w:firstLineChars="100"/>
      <w:jc w:val="both"/>
    </w:pPr>
    <w:r>
      <w:t xml:space="preserve">                                                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7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32"/>
                            <w:rPr>
                              <w:rFonts w:eastAsia="宋体"/>
                            </w:rPr>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aCgoH1wEAALEDAAAOAAAAAAAAAAEA&#10;IAAAACIBAABkcnMvZTJvRG9jLnhtbFBLBQYAAAAABgAGAFkBAABrBQAAAAA=&#10;">
              <v:fill on="f" focussize="0,0"/>
              <v:stroke on="f" weight="1.25pt"/>
              <v:imagedata o:title=""/>
              <o:lock v:ext="edit" aspectratio="f"/>
              <v:textbox inset="0mm,0mm,0mm,0mm" style="mso-fit-shape-to-text:t;">
                <w:txbxContent>
                  <w:p>
                    <w:pPr>
                      <w:pStyle w:val="32"/>
                      <w:rPr>
                        <w:rFonts w:eastAsia="宋体"/>
                      </w:rPr>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6066"/>
    </w:sdtPr>
    <w:sdtContent>
      <w:p>
        <w:pPr>
          <w:pStyle w:val="32"/>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32"/>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 PAGE  \* MERGEFORMAT </w:instrText>
    </w:r>
    <w:r>
      <w:fldChar w:fldCharType="separate"/>
    </w:r>
    <w:r>
      <w:t>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jc w:val="both"/>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spacing w:after="120"/>
    </w:pPr>
  </w:p>
  <w:p>
    <w:pPr>
      <w:pStyle w:val="33"/>
      <w:tabs>
        <w:tab w:val="left" w:pos="3075"/>
        <w:tab w:val="left" w:pos="6780"/>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F40B8"/>
    <w:multiLevelType w:val="singleLevel"/>
    <w:tmpl w:val="8B9F40B8"/>
    <w:lvl w:ilvl="0" w:tentative="0">
      <w:start w:val="1"/>
      <w:numFmt w:val="decimal"/>
      <w:suff w:val="nothing"/>
      <w:lvlText w:val="%1）"/>
      <w:lvlJc w:val="left"/>
    </w:lvl>
  </w:abstractNum>
  <w:abstractNum w:abstractNumId="1">
    <w:nsid w:val="C1ACBEEF"/>
    <w:multiLevelType w:val="singleLevel"/>
    <w:tmpl w:val="C1ACBEEF"/>
    <w:lvl w:ilvl="0" w:tentative="0">
      <w:start w:val="5"/>
      <w:numFmt w:val="decimal"/>
      <w:suff w:val="nothing"/>
      <w:lvlText w:val="（%1）"/>
      <w:lvlJc w:val="left"/>
      <w:pPr>
        <w:ind w:left="0"/>
      </w:pPr>
      <w:rPr>
        <w:rFonts w:hint="default"/>
        <w:color w:val="auto"/>
      </w:rPr>
    </w:lvl>
  </w:abstractNum>
  <w:abstractNum w:abstractNumId="2">
    <w:nsid w:val="CFFE4EE6"/>
    <w:multiLevelType w:val="singleLevel"/>
    <w:tmpl w:val="CFFE4EE6"/>
    <w:lvl w:ilvl="0" w:tentative="0">
      <w:start w:val="1"/>
      <w:numFmt w:val="chineseCounting"/>
      <w:suff w:val="space"/>
      <w:lvlText w:val="第%1章"/>
      <w:lvlJc w:val="left"/>
      <w:rPr>
        <w:rFonts w:hint="eastAsia"/>
      </w:rPr>
    </w:lvl>
  </w:abstractNum>
  <w:abstractNum w:abstractNumId="3">
    <w:nsid w:val="3B9AEF67"/>
    <w:multiLevelType w:val="singleLevel"/>
    <w:tmpl w:val="3B9AEF67"/>
    <w:lvl w:ilvl="0" w:tentative="0">
      <w:start w:val="2"/>
      <w:numFmt w:val="decimal"/>
      <w:suff w:val="nothing"/>
      <w:lvlText w:val="%1、"/>
      <w:lvlJc w:val="left"/>
    </w:lvl>
  </w:abstractNum>
  <w:abstractNum w:abstractNumId="4">
    <w:nsid w:val="482E2A1A"/>
    <w:multiLevelType w:val="singleLevel"/>
    <w:tmpl w:val="482E2A1A"/>
    <w:lvl w:ilvl="0" w:tentative="0">
      <w:start w:val="6"/>
      <w:numFmt w:val="chineseCounting"/>
      <w:suff w:val="nothing"/>
      <w:lvlText w:val="%1、"/>
      <w:lvlJc w:val="left"/>
      <w:rPr>
        <w:rFonts w:hint="eastAsia"/>
      </w:rPr>
    </w:lvl>
  </w:abstractNum>
  <w:abstractNum w:abstractNumId="5">
    <w:nsid w:val="5EFA9450"/>
    <w:multiLevelType w:val="singleLevel"/>
    <w:tmpl w:val="5EFA9450"/>
    <w:lvl w:ilvl="0" w:tentative="0">
      <w:start w:val="1"/>
      <w:numFmt w:val="decimal"/>
      <w:suff w:val="nothing"/>
      <w:lvlText w:val="%1、"/>
      <w:lvlJc w:val="left"/>
    </w:lvl>
  </w:abstractNum>
  <w:abstractNum w:abstractNumId="6">
    <w:nsid w:val="72C6FC5E"/>
    <w:multiLevelType w:val="singleLevel"/>
    <w:tmpl w:val="72C6FC5E"/>
    <w:lvl w:ilvl="0" w:tentative="0">
      <w:start w:val="2"/>
      <w:numFmt w:val="decimal"/>
      <w:suff w:val="nothing"/>
      <w:lvlText w:val="（%1）"/>
      <w:lvlJc w:val="left"/>
    </w:lvl>
  </w:abstractNum>
  <w:abstractNum w:abstractNumId="7">
    <w:nsid w:val="762A79E0"/>
    <w:multiLevelType w:val="multilevel"/>
    <w:tmpl w:val="762A79E0"/>
    <w:lvl w:ilvl="0" w:tentative="0">
      <w:start w:val="1"/>
      <w:numFmt w:val="chineseCountingThousand"/>
      <w:pStyle w:val="258"/>
      <w:suff w:val="space"/>
      <w:lvlText w:val="第%1章"/>
      <w:lvlJc w:val="left"/>
      <w:pPr>
        <w:ind w:left="0" w:firstLine="0"/>
      </w:pPr>
      <w:rPr>
        <w:rFonts w:hint="eastAsia"/>
      </w:rPr>
    </w:lvl>
    <w:lvl w:ilvl="1" w:tentative="0">
      <w:start w:val="1"/>
      <w:numFmt w:val="decimal"/>
      <w:pStyle w:val="260"/>
      <w:isLgl/>
      <w:suff w:val="space"/>
      <w:lvlText w:val="%1.%2."/>
      <w:lvlJc w:val="left"/>
      <w:pPr>
        <w:ind w:left="0" w:firstLine="0"/>
      </w:pPr>
      <w:rPr>
        <w:rFonts w:hint="eastAsia"/>
      </w:rPr>
    </w:lvl>
    <w:lvl w:ilvl="2" w:tentative="0">
      <w:start w:val="1"/>
      <w:numFmt w:val="decimal"/>
      <w:pStyle w:val="262"/>
      <w:isLgl/>
      <w:lvlText w:val="%1.%2.%3."/>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63"/>
      <w:isLg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763060DB"/>
    <w:multiLevelType w:val="multilevel"/>
    <w:tmpl w:val="763060DB"/>
    <w:lvl w:ilvl="0" w:tentative="0">
      <w:start w:val="1"/>
      <w:numFmt w:val="japaneseCounting"/>
      <w:lvlText w:val="第%1章"/>
      <w:lvlJc w:val="left"/>
      <w:pPr>
        <w:tabs>
          <w:tab w:val="left" w:pos="1455"/>
        </w:tabs>
        <w:ind w:left="1455" w:hanging="1275"/>
      </w:pPr>
      <w:rPr>
        <w:rFonts w:hint="eastAsia" w:cs="Times New Roman"/>
      </w:rPr>
    </w:lvl>
    <w:lvl w:ilvl="1" w:tentative="0">
      <w:start w:val="1"/>
      <w:numFmt w:val="japaneseCounting"/>
      <w:lvlText w:val="%2、"/>
      <w:lvlJc w:val="left"/>
      <w:pPr>
        <w:tabs>
          <w:tab w:val="left" w:pos="1320"/>
        </w:tabs>
        <w:ind w:left="1320" w:hanging="720"/>
      </w:pPr>
      <w:rPr>
        <w:rFonts w:hint="eastAsia" w:cs="Times New Roman"/>
      </w:rPr>
    </w:lvl>
    <w:lvl w:ilvl="2" w:tentative="0">
      <w:start w:val="1"/>
      <w:numFmt w:val="lowerRoman"/>
      <w:lvlText w:val="%3."/>
      <w:lvlJc w:val="right"/>
      <w:pPr>
        <w:tabs>
          <w:tab w:val="left" w:pos="1440"/>
        </w:tabs>
        <w:ind w:left="1440" w:hanging="420"/>
      </w:pPr>
      <w:rPr>
        <w:rFonts w:cs="Times New Roman"/>
      </w:rPr>
    </w:lvl>
    <w:lvl w:ilvl="3" w:tentative="0">
      <w:start w:val="1"/>
      <w:numFmt w:val="decimal"/>
      <w:lvlText w:val="%4."/>
      <w:lvlJc w:val="left"/>
      <w:pPr>
        <w:tabs>
          <w:tab w:val="left" w:pos="1860"/>
        </w:tabs>
        <w:ind w:left="1860" w:hanging="420"/>
      </w:pPr>
      <w:rPr>
        <w:rFonts w:cs="Times New Roman"/>
      </w:rPr>
    </w:lvl>
    <w:lvl w:ilvl="4" w:tentative="0">
      <w:start w:val="1"/>
      <w:numFmt w:val="lowerLetter"/>
      <w:lvlText w:val="%5)"/>
      <w:lvlJc w:val="left"/>
      <w:pPr>
        <w:tabs>
          <w:tab w:val="left" w:pos="2280"/>
        </w:tabs>
        <w:ind w:left="2280" w:hanging="420"/>
      </w:pPr>
      <w:rPr>
        <w:rFonts w:cs="Times New Roman"/>
      </w:rPr>
    </w:lvl>
    <w:lvl w:ilvl="5" w:tentative="0">
      <w:start w:val="1"/>
      <w:numFmt w:val="lowerRoman"/>
      <w:lvlText w:val="%6."/>
      <w:lvlJc w:val="right"/>
      <w:pPr>
        <w:tabs>
          <w:tab w:val="left" w:pos="2700"/>
        </w:tabs>
        <w:ind w:left="2700" w:hanging="420"/>
      </w:pPr>
      <w:rPr>
        <w:rFonts w:cs="Times New Roman"/>
      </w:rPr>
    </w:lvl>
    <w:lvl w:ilvl="6" w:tentative="0">
      <w:start w:val="1"/>
      <w:numFmt w:val="decimal"/>
      <w:lvlText w:val="%7."/>
      <w:lvlJc w:val="left"/>
      <w:pPr>
        <w:tabs>
          <w:tab w:val="left" w:pos="3120"/>
        </w:tabs>
        <w:ind w:left="3120" w:hanging="420"/>
      </w:pPr>
      <w:rPr>
        <w:rFonts w:cs="Times New Roman"/>
      </w:rPr>
    </w:lvl>
    <w:lvl w:ilvl="7" w:tentative="0">
      <w:start w:val="1"/>
      <w:numFmt w:val="lowerLetter"/>
      <w:lvlText w:val="%8)"/>
      <w:lvlJc w:val="left"/>
      <w:pPr>
        <w:tabs>
          <w:tab w:val="left" w:pos="3540"/>
        </w:tabs>
        <w:ind w:left="3540" w:hanging="420"/>
      </w:pPr>
      <w:rPr>
        <w:rFonts w:cs="Times New Roman"/>
      </w:rPr>
    </w:lvl>
    <w:lvl w:ilvl="8" w:tentative="0">
      <w:start w:val="1"/>
      <w:numFmt w:val="lowerRoman"/>
      <w:lvlText w:val="%9."/>
      <w:lvlJc w:val="right"/>
      <w:pPr>
        <w:tabs>
          <w:tab w:val="left" w:pos="3960"/>
        </w:tabs>
        <w:ind w:left="3960" w:hanging="420"/>
      </w:pPr>
      <w:rPr>
        <w:rFonts w:cs="Times New Roman"/>
      </w:rPr>
    </w:lvl>
  </w:abstractNum>
  <w:num w:numId="1">
    <w:abstractNumId w:val="7"/>
  </w:num>
  <w:num w:numId="2">
    <w:abstractNumId w:val="8"/>
    <w:lvlOverride w:ilvl="0">
      <w:startOverride w:val="1"/>
    </w:lvlOverride>
  </w:num>
  <w:num w:numId="3">
    <w:abstractNumId w:val="2"/>
  </w:num>
  <w:num w:numId="4">
    <w:abstractNumId w:val="4"/>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4NGNlZTVlZjNlNzdiMThjOWI1ZTQ4YzY4NGIzZjEifQ=="/>
  </w:docVars>
  <w:rsids>
    <w:rsidRoot w:val="007706A5"/>
    <w:rsid w:val="000000D1"/>
    <w:rsid w:val="000002A2"/>
    <w:rsid w:val="00000340"/>
    <w:rsid w:val="000006C3"/>
    <w:rsid w:val="00000DCA"/>
    <w:rsid w:val="0000135A"/>
    <w:rsid w:val="000018F0"/>
    <w:rsid w:val="0000191A"/>
    <w:rsid w:val="00001AEE"/>
    <w:rsid w:val="00001C58"/>
    <w:rsid w:val="00001E53"/>
    <w:rsid w:val="000020C7"/>
    <w:rsid w:val="0000210D"/>
    <w:rsid w:val="0000211C"/>
    <w:rsid w:val="00002191"/>
    <w:rsid w:val="000022B1"/>
    <w:rsid w:val="000025F1"/>
    <w:rsid w:val="0000277E"/>
    <w:rsid w:val="00002B8F"/>
    <w:rsid w:val="00002BBE"/>
    <w:rsid w:val="00003094"/>
    <w:rsid w:val="000034C3"/>
    <w:rsid w:val="00004B38"/>
    <w:rsid w:val="00004CC2"/>
    <w:rsid w:val="00004FF1"/>
    <w:rsid w:val="000056BA"/>
    <w:rsid w:val="000059AB"/>
    <w:rsid w:val="000059C9"/>
    <w:rsid w:val="000060A9"/>
    <w:rsid w:val="00006A51"/>
    <w:rsid w:val="00006AE1"/>
    <w:rsid w:val="000071E6"/>
    <w:rsid w:val="00007291"/>
    <w:rsid w:val="00007A56"/>
    <w:rsid w:val="00010555"/>
    <w:rsid w:val="00010DAC"/>
    <w:rsid w:val="00010E41"/>
    <w:rsid w:val="00011286"/>
    <w:rsid w:val="000115EC"/>
    <w:rsid w:val="0001172B"/>
    <w:rsid w:val="0001266B"/>
    <w:rsid w:val="00012B66"/>
    <w:rsid w:val="00013496"/>
    <w:rsid w:val="00013AA1"/>
    <w:rsid w:val="00013AB2"/>
    <w:rsid w:val="00013D8D"/>
    <w:rsid w:val="00013E3C"/>
    <w:rsid w:val="00013EC1"/>
    <w:rsid w:val="000147F2"/>
    <w:rsid w:val="0001611A"/>
    <w:rsid w:val="00016430"/>
    <w:rsid w:val="0001652B"/>
    <w:rsid w:val="00016FC5"/>
    <w:rsid w:val="00017153"/>
    <w:rsid w:val="000172BC"/>
    <w:rsid w:val="0001770D"/>
    <w:rsid w:val="00017B58"/>
    <w:rsid w:val="00020546"/>
    <w:rsid w:val="00020694"/>
    <w:rsid w:val="000209DD"/>
    <w:rsid w:val="000209DF"/>
    <w:rsid w:val="00020AD1"/>
    <w:rsid w:val="00020C08"/>
    <w:rsid w:val="00020FDC"/>
    <w:rsid w:val="00021008"/>
    <w:rsid w:val="000214FC"/>
    <w:rsid w:val="0002173B"/>
    <w:rsid w:val="00021D0C"/>
    <w:rsid w:val="0002231B"/>
    <w:rsid w:val="00022470"/>
    <w:rsid w:val="00022478"/>
    <w:rsid w:val="0002272E"/>
    <w:rsid w:val="00022E02"/>
    <w:rsid w:val="00023147"/>
    <w:rsid w:val="00023774"/>
    <w:rsid w:val="000239A1"/>
    <w:rsid w:val="00023DC7"/>
    <w:rsid w:val="00023DF1"/>
    <w:rsid w:val="00023E04"/>
    <w:rsid w:val="00024FA5"/>
    <w:rsid w:val="0002611F"/>
    <w:rsid w:val="0002628D"/>
    <w:rsid w:val="00026F23"/>
    <w:rsid w:val="00026F9E"/>
    <w:rsid w:val="00027140"/>
    <w:rsid w:val="00027465"/>
    <w:rsid w:val="00027623"/>
    <w:rsid w:val="000277B1"/>
    <w:rsid w:val="00027E31"/>
    <w:rsid w:val="00030010"/>
    <w:rsid w:val="00030029"/>
    <w:rsid w:val="0003004A"/>
    <w:rsid w:val="00030527"/>
    <w:rsid w:val="00031018"/>
    <w:rsid w:val="00031987"/>
    <w:rsid w:val="00031997"/>
    <w:rsid w:val="000319DA"/>
    <w:rsid w:val="00031C2E"/>
    <w:rsid w:val="00032B05"/>
    <w:rsid w:val="00032B28"/>
    <w:rsid w:val="000339F7"/>
    <w:rsid w:val="00033B46"/>
    <w:rsid w:val="00033CA6"/>
    <w:rsid w:val="00034021"/>
    <w:rsid w:val="00034EA7"/>
    <w:rsid w:val="00035005"/>
    <w:rsid w:val="000352EC"/>
    <w:rsid w:val="0003568B"/>
    <w:rsid w:val="0003613C"/>
    <w:rsid w:val="00036568"/>
    <w:rsid w:val="000366E3"/>
    <w:rsid w:val="00037345"/>
    <w:rsid w:val="000377F6"/>
    <w:rsid w:val="0003788B"/>
    <w:rsid w:val="000379B8"/>
    <w:rsid w:val="00040139"/>
    <w:rsid w:val="000401F4"/>
    <w:rsid w:val="00040A37"/>
    <w:rsid w:val="00041488"/>
    <w:rsid w:val="00041B03"/>
    <w:rsid w:val="00041BFA"/>
    <w:rsid w:val="00042172"/>
    <w:rsid w:val="000422F1"/>
    <w:rsid w:val="00042506"/>
    <w:rsid w:val="0004252B"/>
    <w:rsid w:val="000428D7"/>
    <w:rsid w:val="00042FD0"/>
    <w:rsid w:val="00044A91"/>
    <w:rsid w:val="00044BF9"/>
    <w:rsid w:val="00044F2F"/>
    <w:rsid w:val="00045AFA"/>
    <w:rsid w:val="00046007"/>
    <w:rsid w:val="00046DFA"/>
    <w:rsid w:val="000470B3"/>
    <w:rsid w:val="000471B0"/>
    <w:rsid w:val="00047702"/>
    <w:rsid w:val="0005032D"/>
    <w:rsid w:val="00050722"/>
    <w:rsid w:val="0005082A"/>
    <w:rsid w:val="000512D9"/>
    <w:rsid w:val="00051646"/>
    <w:rsid w:val="00051BCC"/>
    <w:rsid w:val="0005217D"/>
    <w:rsid w:val="00052223"/>
    <w:rsid w:val="000522D9"/>
    <w:rsid w:val="00052444"/>
    <w:rsid w:val="000529BF"/>
    <w:rsid w:val="00052FE3"/>
    <w:rsid w:val="000537E7"/>
    <w:rsid w:val="00053CBC"/>
    <w:rsid w:val="00054070"/>
    <w:rsid w:val="0005431E"/>
    <w:rsid w:val="00054EC2"/>
    <w:rsid w:val="00054F75"/>
    <w:rsid w:val="0005501E"/>
    <w:rsid w:val="0005526B"/>
    <w:rsid w:val="000556E1"/>
    <w:rsid w:val="00055770"/>
    <w:rsid w:val="00055D0A"/>
    <w:rsid w:val="0005678F"/>
    <w:rsid w:val="00056DB9"/>
    <w:rsid w:val="00056E9A"/>
    <w:rsid w:val="00056F29"/>
    <w:rsid w:val="00056FA5"/>
    <w:rsid w:val="000579F2"/>
    <w:rsid w:val="00057BDA"/>
    <w:rsid w:val="00057C66"/>
    <w:rsid w:val="00060357"/>
    <w:rsid w:val="0006094A"/>
    <w:rsid w:val="00060A26"/>
    <w:rsid w:val="0006137D"/>
    <w:rsid w:val="000614D3"/>
    <w:rsid w:val="00061705"/>
    <w:rsid w:val="00061DDD"/>
    <w:rsid w:val="000621A8"/>
    <w:rsid w:val="00063B88"/>
    <w:rsid w:val="00063DA9"/>
    <w:rsid w:val="00064897"/>
    <w:rsid w:val="00064B0B"/>
    <w:rsid w:val="0006534E"/>
    <w:rsid w:val="000656B7"/>
    <w:rsid w:val="00065932"/>
    <w:rsid w:val="00065ADF"/>
    <w:rsid w:val="00065BDA"/>
    <w:rsid w:val="000669FB"/>
    <w:rsid w:val="00067099"/>
    <w:rsid w:val="00067212"/>
    <w:rsid w:val="00067333"/>
    <w:rsid w:val="0006776B"/>
    <w:rsid w:val="00067F5F"/>
    <w:rsid w:val="00070199"/>
    <w:rsid w:val="00070801"/>
    <w:rsid w:val="0007096D"/>
    <w:rsid w:val="00070B65"/>
    <w:rsid w:val="00071901"/>
    <w:rsid w:val="00071A99"/>
    <w:rsid w:val="00071F17"/>
    <w:rsid w:val="00072BA1"/>
    <w:rsid w:val="00072D2C"/>
    <w:rsid w:val="00072D2E"/>
    <w:rsid w:val="00073031"/>
    <w:rsid w:val="00073BC5"/>
    <w:rsid w:val="00074094"/>
    <w:rsid w:val="000744EA"/>
    <w:rsid w:val="00074586"/>
    <w:rsid w:val="00074682"/>
    <w:rsid w:val="00074B32"/>
    <w:rsid w:val="00075DD1"/>
    <w:rsid w:val="00076B4A"/>
    <w:rsid w:val="00077966"/>
    <w:rsid w:val="00077DFF"/>
    <w:rsid w:val="00077E69"/>
    <w:rsid w:val="00080056"/>
    <w:rsid w:val="000800BF"/>
    <w:rsid w:val="000802AD"/>
    <w:rsid w:val="00081768"/>
    <w:rsid w:val="0008229D"/>
    <w:rsid w:val="000829AA"/>
    <w:rsid w:val="000829AE"/>
    <w:rsid w:val="00082D59"/>
    <w:rsid w:val="000834A4"/>
    <w:rsid w:val="0008365F"/>
    <w:rsid w:val="000838F4"/>
    <w:rsid w:val="00083A59"/>
    <w:rsid w:val="00084863"/>
    <w:rsid w:val="000849AC"/>
    <w:rsid w:val="000849AF"/>
    <w:rsid w:val="00084EA2"/>
    <w:rsid w:val="000857BE"/>
    <w:rsid w:val="000860C3"/>
    <w:rsid w:val="000862D7"/>
    <w:rsid w:val="00086BF9"/>
    <w:rsid w:val="00086DF1"/>
    <w:rsid w:val="00086E50"/>
    <w:rsid w:val="00086FE5"/>
    <w:rsid w:val="0008719C"/>
    <w:rsid w:val="000871BC"/>
    <w:rsid w:val="00087D00"/>
    <w:rsid w:val="0009033F"/>
    <w:rsid w:val="00090353"/>
    <w:rsid w:val="00090906"/>
    <w:rsid w:val="00090939"/>
    <w:rsid w:val="00090EB3"/>
    <w:rsid w:val="00091CF0"/>
    <w:rsid w:val="000927D1"/>
    <w:rsid w:val="00092858"/>
    <w:rsid w:val="000929C0"/>
    <w:rsid w:val="00092CBE"/>
    <w:rsid w:val="00092DAD"/>
    <w:rsid w:val="00092E33"/>
    <w:rsid w:val="00093561"/>
    <w:rsid w:val="0009361E"/>
    <w:rsid w:val="0009467F"/>
    <w:rsid w:val="0009491B"/>
    <w:rsid w:val="00094BF1"/>
    <w:rsid w:val="00094E44"/>
    <w:rsid w:val="00094ED7"/>
    <w:rsid w:val="000956CF"/>
    <w:rsid w:val="00095EEF"/>
    <w:rsid w:val="000963A0"/>
    <w:rsid w:val="00096A58"/>
    <w:rsid w:val="00097712"/>
    <w:rsid w:val="00097914"/>
    <w:rsid w:val="000979B7"/>
    <w:rsid w:val="000A01B3"/>
    <w:rsid w:val="000A062B"/>
    <w:rsid w:val="000A0F96"/>
    <w:rsid w:val="000A11CC"/>
    <w:rsid w:val="000A13D3"/>
    <w:rsid w:val="000A17F0"/>
    <w:rsid w:val="000A1EF1"/>
    <w:rsid w:val="000A1EF5"/>
    <w:rsid w:val="000A2196"/>
    <w:rsid w:val="000A22C1"/>
    <w:rsid w:val="000A2595"/>
    <w:rsid w:val="000A282E"/>
    <w:rsid w:val="000A374D"/>
    <w:rsid w:val="000A3B2C"/>
    <w:rsid w:val="000A458D"/>
    <w:rsid w:val="000A48F4"/>
    <w:rsid w:val="000A4E54"/>
    <w:rsid w:val="000A53E7"/>
    <w:rsid w:val="000A555B"/>
    <w:rsid w:val="000A5803"/>
    <w:rsid w:val="000A5D1A"/>
    <w:rsid w:val="000A5ED4"/>
    <w:rsid w:val="000A62F2"/>
    <w:rsid w:val="000A6B19"/>
    <w:rsid w:val="000A7109"/>
    <w:rsid w:val="000A71AC"/>
    <w:rsid w:val="000A7272"/>
    <w:rsid w:val="000A7D5B"/>
    <w:rsid w:val="000B02A5"/>
    <w:rsid w:val="000B0514"/>
    <w:rsid w:val="000B0692"/>
    <w:rsid w:val="000B0F89"/>
    <w:rsid w:val="000B1454"/>
    <w:rsid w:val="000B1AD5"/>
    <w:rsid w:val="000B2314"/>
    <w:rsid w:val="000B289B"/>
    <w:rsid w:val="000B296D"/>
    <w:rsid w:val="000B298B"/>
    <w:rsid w:val="000B2B6D"/>
    <w:rsid w:val="000B34F0"/>
    <w:rsid w:val="000B350F"/>
    <w:rsid w:val="000B3668"/>
    <w:rsid w:val="000B3E38"/>
    <w:rsid w:val="000B41DE"/>
    <w:rsid w:val="000B4283"/>
    <w:rsid w:val="000B45A1"/>
    <w:rsid w:val="000B5599"/>
    <w:rsid w:val="000B5D4A"/>
    <w:rsid w:val="000B6150"/>
    <w:rsid w:val="000B6D06"/>
    <w:rsid w:val="000B6F53"/>
    <w:rsid w:val="000B729C"/>
    <w:rsid w:val="000B73D4"/>
    <w:rsid w:val="000B7915"/>
    <w:rsid w:val="000C00F8"/>
    <w:rsid w:val="000C023C"/>
    <w:rsid w:val="000C03B9"/>
    <w:rsid w:val="000C058A"/>
    <w:rsid w:val="000C0651"/>
    <w:rsid w:val="000C0B43"/>
    <w:rsid w:val="000C116D"/>
    <w:rsid w:val="000C12AF"/>
    <w:rsid w:val="000C14AB"/>
    <w:rsid w:val="000C2151"/>
    <w:rsid w:val="000C264D"/>
    <w:rsid w:val="000C2DA5"/>
    <w:rsid w:val="000C2F06"/>
    <w:rsid w:val="000C31AB"/>
    <w:rsid w:val="000C3624"/>
    <w:rsid w:val="000C36B9"/>
    <w:rsid w:val="000C3D07"/>
    <w:rsid w:val="000C3FFB"/>
    <w:rsid w:val="000C410C"/>
    <w:rsid w:val="000C4147"/>
    <w:rsid w:val="000C427E"/>
    <w:rsid w:val="000C49E2"/>
    <w:rsid w:val="000C4C0B"/>
    <w:rsid w:val="000C5BA4"/>
    <w:rsid w:val="000C6028"/>
    <w:rsid w:val="000C61CB"/>
    <w:rsid w:val="000C66BE"/>
    <w:rsid w:val="000C6DCD"/>
    <w:rsid w:val="000C7237"/>
    <w:rsid w:val="000C72E2"/>
    <w:rsid w:val="000C7B74"/>
    <w:rsid w:val="000D022F"/>
    <w:rsid w:val="000D07D1"/>
    <w:rsid w:val="000D0DC1"/>
    <w:rsid w:val="000D134D"/>
    <w:rsid w:val="000D13F5"/>
    <w:rsid w:val="000D18A3"/>
    <w:rsid w:val="000D2726"/>
    <w:rsid w:val="000D2790"/>
    <w:rsid w:val="000D2907"/>
    <w:rsid w:val="000D311D"/>
    <w:rsid w:val="000D4867"/>
    <w:rsid w:val="000D4A39"/>
    <w:rsid w:val="000D4CF1"/>
    <w:rsid w:val="000D50BC"/>
    <w:rsid w:val="000D5631"/>
    <w:rsid w:val="000D5C55"/>
    <w:rsid w:val="000D5D1D"/>
    <w:rsid w:val="000D5F10"/>
    <w:rsid w:val="000D6AE5"/>
    <w:rsid w:val="000D6EB9"/>
    <w:rsid w:val="000D6F4F"/>
    <w:rsid w:val="000D7988"/>
    <w:rsid w:val="000D7DF4"/>
    <w:rsid w:val="000E080F"/>
    <w:rsid w:val="000E10BD"/>
    <w:rsid w:val="000E13A3"/>
    <w:rsid w:val="000E1919"/>
    <w:rsid w:val="000E19A7"/>
    <w:rsid w:val="000E1BB5"/>
    <w:rsid w:val="000E1CBB"/>
    <w:rsid w:val="000E2319"/>
    <w:rsid w:val="000E28F6"/>
    <w:rsid w:val="000E2A9C"/>
    <w:rsid w:val="000E2F07"/>
    <w:rsid w:val="000E32FB"/>
    <w:rsid w:val="000E3467"/>
    <w:rsid w:val="000E38A6"/>
    <w:rsid w:val="000E3A69"/>
    <w:rsid w:val="000E3E1F"/>
    <w:rsid w:val="000E3EBB"/>
    <w:rsid w:val="000E3EF9"/>
    <w:rsid w:val="000E4640"/>
    <w:rsid w:val="000E5664"/>
    <w:rsid w:val="000E5F83"/>
    <w:rsid w:val="000E5FB0"/>
    <w:rsid w:val="000E6C65"/>
    <w:rsid w:val="000E7413"/>
    <w:rsid w:val="000E7AEE"/>
    <w:rsid w:val="000E7F9B"/>
    <w:rsid w:val="000F0BBD"/>
    <w:rsid w:val="000F0E24"/>
    <w:rsid w:val="000F1085"/>
    <w:rsid w:val="000F1C74"/>
    <w:rsid w:val="000F1D40"/>
    <w:rsid w:val="000F1D96"/>
    <w:rsid w:val="000F2830"/>
    <w:rsid w:val="000F2CFE"/>
    <w:rsid w:val="000F337D"/>
    <w:rsid w:val="000F3F3F"/>
    <w:rsid w:val="000F4916"/>
    <w:rsid w:val="000F526E"/>
    <w:rsid w:val="000F5571"/>
    <w:rsid w:val="000F5E48"/>
    <w:rsid w:val="000F65B7"/>
    <w:rsid w:val="000F65F9"/>
    <w:rsid w:val="000F661C"/>
    <w:rsid w:val="000F7306"/>
    <w:rsid w:val="000F73D1"/>
    <w:rsid w:val="000F7A54"/>
    <w:rsid w:val="000F7CBC"/>
    <w:rsid w:val="00101A17"/>
    <w:rsid w:val="00101ADC"/>
    <w:rsid w:val="00101DD0"/>
    <w:rsid w:val="00101E0D"/>
    <w:rsid w:val="00102505"/>
    <w:rsid w:val="001025AB"/>
    <w:rsid w:val="001028D9"/>
    <w:rsid w:val="0010336D"/>
    <w:rsid w:val="001034FE"/>
    <w:rsid w:val="00103B4E"/>
    <w:rsid w:val="00103EFE"/>
    <w:rsid w:val="001042F9"/>
    <w:rsid w:val="00104D94"/>
    <w:rsid w:val="00105129"/>
    <w:rsid w:val="00105267"/>
    <w:rsid w:val="0010605E"/>
    <w:rsid w:val="00106316"/>
    <w:rsid w:val="00106C62"/>
    <w:rsid w:val="00110C02"/>
    <w:rsid w:val="00110DDE"/>
    <w:rsid w:val="001110FB"/>
    <w:rsid w:val="00111632"/>
    <w:rsid w:val="00111663"/>
    <w:rsid w:val="0011179A"/>
    <w:rsid w:val="001122F7"/>
    <w:rsid w:val="00112331"/>
    <w:rsid w:val="00112610"/>
    <w:rsid w:val="00112A92"/>
    <w:rsid w:val="00113256"/>
    <w:rsid w:val="00113257"/>
    <w:rsid w:val="001133A4"/>
    <w:rsid w:val="00113454"/>
    <w:rsid w:val="00113DAD"/>
    <w:rsid w:val="00114218"/>
    <w:rsid w:val="00114324"/>
    <w:rsid w:val="00114EE8"/>
    <w:rsid w:val="001153D2"/>
    <w:rsid w:val="00115675"/>
    <w:rsid w:val="00115684"/>
    <w:rsid w:val="001157F1"/>
    <w:rsid w:val="00115A2C"/>
    <w:rsid w:val="001165E5"/>
    <w:rsid w:val="00116A16"/>
    <w:rsid w:val="00117415"/>
    <w:rsid w:val="001174B5"/>
    <w:rsid w:val="00117A1E"/>
    <w:rsid w:val="0012006F"/>
    <w:rsid w:val="0012087B"/>
    <w:rsid w:val="0012113F"/>
    <w:rsid w:val="001213E2"/>
    <w:rsid w:val="0012191D"/>
    <w:rsid w:val="00122889"/>
    <w:rsid w:val="00122934"/>
    <w:rsid w:val="0012341D"/>
    <w:rsid w:val="00123770"/>
    <w:rsid w:val="00123FE5"/>
    <w:rsid w:val="0012436B"/>
    <w:rsid w:val="00124652"/>
    <w:rsid w:val="001249BA"/>
    <w:rsid w:val="00124E0A"/>
    <w:rsid w:val="001252B5"/>
    <w:rsid w:val="00125932"/>
    <w:rsid w:val="00125D29"/>
    <w:rsid w:val="00126231"/>
    <w:rsid w:val="00126DE1"/>
    <w:rsid w:val="00126FCB"/>
    <w:rsid w:val="00127230"/>
    <w:rsid w:val="00127449"/>
    <w:rsid w:val="00127B05"/>
    <w:rsid w:val="00127DC2"/>
    <w:rsid w:val="00130534"/>
    <w:rsid w:val="00130ED0"/>
    <w:rsid w:val="001310CD"/>
    <w:rsid w:val="00131901"/>
    <w:rsid w:val="00131A38"/>
    <w:rsid w:val="00131BCA"/>
    <w:rsid w:val="00132695"/>
    <w:rsid w:val="001327F8"/>
    <w:rsid w:val="001333CA"/>
    <w:rsid w:val="001335B7"/>
    <w:rsid w:val="00133652"/>
    <w:rsid w:val="00133C59"/>
    <w:rsid w:val="001346C0"/>
    <w:rsid w:val="001349D3"/>
    <w:rsid w:val="00134F5D"/>
    <w:rsid w:val="00134F8A"/>
    <w:rsid w:val="001356E9"/>
    <w:rsid w:val="00135A0B"/>
    <w:rsid w:val="00135C76"/>
    <w:rsid w:val="00135CC8"/>
    <w:rsid w:val="00135F78"/>
    <w:rsid w:val="00135FC4"/>
    <w:rsid w:val="00136219"/>
    <w:rsid w:val="00136873"/>
    <w:rsid w:val="00136BC7"/>
    <w:rsid w:val="00137279"/>
    <w:rsid w:val="00137581"/>
    <w:rsid w:val="0013769A"/>
    <w:rsid w:val="0013788C"/>
    <w:rsid w:val="00137CD2"/>
    <w:rsid w:val="001405B3"/>
    <w:rsid w:val="001409FE"/>
    <w:rsid w:val="00140F8E"/>
    <w:rsid w:val="0014154B"/>
    <w:rsid w:val="001415D3"/>
    <w:rsid w:val="001418EA"/>
    <w:rsid w:val="00141D98"/>
    <w:rsid w:val="00142477"/>
    <w:rsid w:val="001426FA"/>
    <w:rsid w:val="001436A3"/>
    <w:rsid w:val="001436B8"/>
    <w:rsid w:val="00143B64"/>
    <w:rsid w:val="00143C11"/>
    <w:rsid w:val="00143FC3"/>
    <w:rsid w:val="001444C0"/>
    <w:rsid w:val="00144E73"/>
    <w:rsid w:val="001457E6"/>
    <w:rsid w:val="00145937"/>
    <w:rsid w:val="00146370"/>
    <w:rsid w:val="0014659B"/>
    <w:rsid w:val="00146E75"/>
    <w:rsid w:val="0014772C"/>
    <w:rsid w:val="00147BAD"/>
    <w:rsid w:val="00147BB4"/>
    <w:rsid w:val="00150086"/>
    <w:rsid w:val="001500F8"/>
    <w:rsid w:val="00150124"/>
    <w:rsid w:val="0015031F"/>
    <w:rsid w:val="00150728"/>
    <w:rsid w:val="00150835"/>
    <w:rsid w:val="00150EBE"/>
    <w:rsid w:val="00150F33"/>
    <w:rsid w:val="00151519"/>
    <w:rsid w:val="00151564"/>
    <w:rsid w:val="0015185A"/>
    <w:rsid w:val="00151B14"/>
    <w:rsid w:val="0015246F"/>
    <w:rsid w:val="00152D50"/>
    <w:rsid w:val="00152EAB"/>
    <w:rsid w:val="001534AF"/>
    <w:rsid w:val="001536C6"/>
    <w:rsid w:val="00153CF2"/>
    <w:rsid w:val="001548A6"/>
    <w:rsid w:val="00154A9B"/>
    <w:rsid w:val="00155062"/>
    <w:rsid w:val="00155067"/>
    <w:rsid w:val="001556C6"/>
    <w:rsid w:val="001558D7"/>
    <w:rsid w:val="00155995"/>
    <w:rsid w:val="00155A78"/>
    <w:rsid w:val="00155DA2"/>
    <w:rsid w:val="00155E9F"/>
    <w:rsid w:val="00156279"/>
    <w:rsid w:val="00157EA4"/>
    <w:rsid w:val="00160615"/>
    <w:rsid w:val="001607BB"/>
    <w:rsid w:val="001608F6"/>
    <w:rsid w:val="00160A35"/>
    <w:rsid w:val="00160C7C"/>
    <w:rsid w:val="00161F43"/>
    <w:rsid w:val="001625A1"/>
    <w:rsid w:val="001626E2"/>
    <w:rsid w:val="00162977"/>
    <w:rsid w:val="00162BC7"/>
    <w:rsid w:val="00162CC6"/>
    <w:rsid w:val="00162D09"/>
    <w:rsid w:val="00163D4C"/>
    <w:rsid w:val="00164022"/>
    <w:rsid w:val="00165379"/>
    <w:rsid w:val="00166065"/>
    <w:rsid w:val="00166616"/>
    <w:rsid w:val="00166A27"/>
    <w:rsid w:val="00166ECA"/>
    <w:rsid w:val="00166F0D"/>
    <w:rsid w:val="00167159"/>
    <w:rsid w:val="001676C8"/>
    <w:rsid w:val="00167780"/>
    <w:rsid w:val="0017036E"/>
    <w:rsid w:val="00170712"/>
    <w:rsid w:val="00170926"/>
    <w:rsid w:val="0017115A"/>
    <w:rsid w:val="001719FF"/>
    <w:rsid w:val="00171A9B"/>
    <w:rsid w:val="00171D95"/>
    <w:rsid w:val="001726EC"/>
    <w:rsid w:val="00172A1E"/>
    <w:rsid w:val="00172EA3"/>
    <w:rsid w:val="001732D9"/>
    <w:rsid w:val="00173C45"/>
    <w:rsid w:val="00173CC1"/>
    <w:rsid w:val="00173F6A"/>
    <w:rsid w:val="00174832"/>
    <w:rsid w:val="00174BB3"/>
    <w:rsid w:val="00174DC9"/>
    <w:rsid w:val="001752F1"/>
    <w:rsid w:val="001759DE"/>
    <w:rsid w:val="001761FE"/>
    <w:rsid w:val="0017679C"/>
    <w:rsid w:val="00176916"/>
    <w:rsid w:val="00176970"/>
    <w:rsid w:val="00177E06"/>
    <w:rsid w:val="0018010F"/>
    <w:rsid w:val="00180226"/>
    <w:rsid w:val="001804BC"/>
    <w:rsid w:val="001806FF"/>
    <w:rsid w:val="001809AD"/>
    <w:rsid w:val="00181066"/>
    <w:rsid w:val="00181308"/>
    <w:rsid w:val="00181A3D"/>
    <w:rsid w:val="00181B0B"/>
    <w:rsid w:val="00181F16"/>
    <w:rsid w:val="00182760"/>
    <w:rsid w:val="00182B9B"/>
    <w:rsid w:val="00183074"/>
    <w:rsid w:val="0018498C"/>
    <w:rsid w:val="00184D4D"/>
    <w:rsid w:val="001857AE"/>
    <w:rsid w:val="0018581A"/>
    <w:rsid w:val="00186170"/>
    <w:rsid w:val="001864FB"/>
    <w:rsid w:val="00186CB8"/>
    <w:rsid w:val="001871E5"/>
    <w:rsid w:val="00187E5D"/>
    <w:rsid w:val="001904E6"/>
    <w:rsid w:val="001906B2"/>
    <w:rsid w:val="00190B0C"/>
    <w:rsid w:val="00190C05"/>
    <w:rsid w:val="00190CD0"/>
    <w:rsid w:val="00190FC5"/>
    <w:rsid w:val="0019156B"/>
    <w:rsid w:val="0019161B"/>
    <w:rsid w:val="00191832"/>
    <w:rsid w:val="001918A0"/>
    <w:rsid w:val="00191946"/>
    <w:rsid w:val="00191B21"/>
    <w:rsid w:val="00191EA2"/>
    <w:rsid w:val="001920FF"/>
    <w:rsid w:val="00192711"/>
    <w:rsid w:val="00193292"/>
    <w:rsid w:val="001945BC"/>
    <w:rsid w:val="00194ADD"/>
    <w:rsid w:val="001959C8"/>
    <w:rsid w:val="00195DFA"/>
    <w:rsid w:val="00196246"/>
    <w:rsid w:val="001966F5"/>
    <w:rsid w:val="00196C84"/>
    <w:rsid w:val="00196E85"/>
    <w:rsid w:val="00196EC4"/>
    <w:rsid w:val="00197367"/>
    <w:rsid w:val="00197565"/>
    <w:rsid w:val="001A07B0"/>
    <w:rsid w:val="001A0E37"/>
    <w:rsid w:val="001A11F8"/>
    <w:rsid w:val="001A135D"/>
    <w:rsid w:val="001A1C07"/>
    <w:rsid w:val="001A1DCF"/>
    <w:rsid w:val="001A2321"/>
    <w:rsid w:val="001A23A2"/>
    <w:rsid w:val="001A2943"/>
    <w:rsid w:val="001A29FC"/>
    <w:rsid w:val="001A2AF5"/>
    <w:rsid w:val="001A36A1"/>
    <w:rsid w:val="001A39FB"/>
    <w:rsid w:val="001A3FB5"/>
    <w:rsid w:val="001A4080"/>
    <w:rsid w:val="001A4245"/>
    <w:rsid w:val="001A508B"/>
    <w:rsid w:val="001A550B"/>
    <w:rsid w:val="001A55EC"/>
    <w:rsid w:val="001A57B6"/>
    <w:rsid w:val="001A5D7E"/>
    <w:rsid w:val="001A6889"/>
    <w:rsid w:val="001A6A12"/>
    <w:rsid w:val="001A71F0"/>
    <w:rsid w:val="001A7444"/>
    <w:rsid w:val="001A76C0"/>
    <w:rsid w:val="001B00A4"/>
    <w:rsid w:val="001B06B2"/>
    <w:rsid w:val="001B083D"/>
    <w:rsid w:val="001B09AF"/>
    <w:rsid w:val="001B0F6D"/>
    <w:rsid w:val="001B13E1"/>
    <w:rsid w:val="001B20FE"/>
    <w:rsid w:val="001B22E5"/>
    <w:rsid w:val="001B2AE0"/>
    <w:rsid w:val="001B2D6D"/>
    <w:rsid w:val="001B398E"/>
    <w:rsid w:val="001B3C7D"/>
    <w:rsid w:val="001B3F56"/>
    <w:rsid w:val="001B403C"/>
    <w:rsid w:val="001B4171"/>
    <w:rsid w:val="001B462E"/>
    <w:rsid w:val="001B4735"/>
    <w:rsid w:val="001B4A93"/>
    <w:rsid w:val="001B4D6F"/>
    <w:rsid w:val="001B510D"/>
    <w:rsid w:val="001B51BA"/>
    <w:rsid w:val="001B5F3E"/>
    <w:rsid w:val="001B64B4"/>
    <w:rsid w:val="001B6980"/>
    <w:rsid w:val="001B6D8D"/>
    <w:rsid w:val="001B6F81"/>
    <w:rsid w:val="001B72F5"/>
    <w:rsid w:val="001B75B0"/>
    <w:rsid w:val="001B779A"/>
    <w:rsid w:val="001B7A03"/>
    <w:rsid w:val="001B7A14"/>
    <w:rsid w:val="001B7BB7"/>
    <w:rsid w:val="001B7CD2"/>
    <w:rsid w:val="001B7EE7"/>
    <w:rsid w:val="001C03C4"/>
    <w:rsid w:val="001C040C"/>
    <w:rsid w:val="001C0600"/>
    <w:rsid w:val="001C09AA"/>
    <w:rsid w:val="001C0CDB"/>
    <w:rsid w:val="001C0EAD"/>
    <w:rsid w:val="001C22D4"/>
    <w:rsid w:val="001C3D05"/>
    <w:rsid w:val="001C3E4D"/>
    <w:rsid w:val="001C3F0A"/>
    <w:rsid w:val="001C407F"/>
    <w:rsid w:val="001C41C4"/>
    <w:rsid w:val="001C41E9"/>
    <w:rsid w:val="001C4C22"/>
    <w:rsid w:val="001C4CB8"/>
    <w:rsid w:val="001C5125"/>
    <w:rsid w:val="001C51E2"/>
    <w:rsid w:val="001C5E29"/>
    <w:rsid w:val="001C6F52"/>
    <w:rsid w:val="001C79AA"/>
    <w:rsid w:val="001C7ED7"/>
    <w:rsid w:val="001D01C9"/>
    <w:rsid w:val="001D0484"/>
    <w:rsid w:val="001D0544"/>
    <w:rsid w:val="001D06C4"/>
    <w:rsid w:val="001D0E45"/>
    <w:rsid w:val="001D0ED7"/>
    <w:rsid w:val="001D127A"/>
    <w:rsid w:val="001D1825"/>
    <w:rsid w:val="001D19C9"/>
    <w:rsid w:val="001D3C05"/>
    <w:rsid w:val="001D3D73"/>
    <w:rsid w:val="001D3E71"/>
    <w:rsid w:val="001D4224"/>
    <w:rsid w:val="001D4372"/>
    <w:rsid w:val="001D4619"/>
    <w:rsid w:val="001D4715"/>
    <w:rsid w:val="001D490A"/>
    <w:rsid w:val="001D4A52"/>
    <w:rsid w:val="001D4EBD"/>
    <w:rsid w:val="001D592E"/>
    <w:rsid w:val="001D5954"/>
    <w:rsid w:val="001D5D7F"/>
    <w:rsid w:val="001D5D89"/>
    <w:rsid w:val="001D5FE2"/>
    <w:rsid w:val="001D60CA"/>
    <w:rsid w:val="001D6ECA"/>
    <w:rsid w:val="001D7238"/>
    <w:rsid w:val="001D740F"/>
    <w:rsid w:val="001D7885"/>
    <w:rsid w:val="001E013B"/>
    <w:rsid w:val="001E0149"/>
    <w:rsid w:val="001E020D"/>
    <w:rsid w:val="001E0614"/>
    <w:rsid w:val="001E0849"/>
    <w:rsid w:val="001E08DE"/>
    <w:rsid w:val="001E0B32"/>
    <w:rsid w:val="001E0F23"/>
    <w:rsid w:val="001E0F6D"/>
    <w:rsid w:val="001E1089"/>
    <w:rsid w:val="001E117F"/>
    <w:rsid w:val="001E1203"/>
    <w:rsid w:val="001E1616"/>
    <w:rsid w:val="001E17BC"/>
    <w:rsid w:val="001E2C26"/>
    <w:rsid w:val="001E2DF8"/>
    <w:rsid w:val="001E42D0"/>
    <w:rsid w:val="001E434A"/>
    <w:rsid w:val="001E4AE3"/>
    <w:rsid w:val="001E4BB1"/>
    <w:rsid w:val="001E4C09"/>
    <w:rsid w:val="001E4D9E"/>
    <w:rsid w:val="001E4EBD"/>
    <w:rsid w:val="001E5281"/>
    <w:rsid w:val="001E538F"/>
    <w:rsid w:val="001E5EC2"/>
    <w:rsid w:val="001E602F"/>
    <w:rsid w:val="001E68B8"/>
    <w:rsid w:val="001E6A37"/>
    <w:rsid w:val="001E6B2D"/>
    <w:rsid w:val="001E6CC0"/>
    <w:rsid w:val="001E6E6B"/>
    <w:rsid w:val="001E7932"/>
    <w:rsid w:val="001F0E08"/>
    <w:rsid w:val="001F1721"/>
    <w:rsid w:val="001F1AFC"/>
    <w:rsid w:val="001F1B90"/>
    <w:rsid w:val="001F2D97"/>
    <w:rsid w:val="001F2FF8"/>
    <w:rsid w:val="001F374E"/>
    <w:rsid w:val="001F3A4D"/>
    <w:rsid w:val="001F3DEB"/>
    <w:rsid w:val="001F487D"/>
    <w:rsid w:val="001F4A9F"/>
    <w:rsid w:val="001F4C7C"/>
    <w:rsid w:val="001F4F5B"/>
    <w:rsid w:val="001F5035"/>
    <w:rsid w:val="001F555E"/>
    <w:rsid w:val="001F556B"/>
    <w:rsid w:val="001F5D1A"/>
    <w:rsid w:val="001F5D57"/>
    <w:rsid w:val="001F6D5B"/>
    <w:rsid w:val="001F7290"/>
    <w:rsid w:val="001F7BF7"/>
    <w:rsid w:val="002003E5"/>
    <w:rsid w:val="00200E2A"/>
    <w:rsid w:val="0020167C"/>
    <w:rsid w:val="002017A7"/>
    <w:rsid w:val="00201DFD"/>
    <w:rsid w:val="00202DF9"/>
    <w:rsid w:val="00202F65"/>
    <w:rsid w:val="002034AC"/>
    <w:rsid w:val="00203D02"/>
    <w:rsid w:val="002040C6"/>
    <w:rsid w:val="002043DC"/>
    <w:rsid w:val="00204C4A"/>
    <w:rsid w:val="0020500F"/>
    <w:rsid w:val="00205741"/>
    <w:rsid w:val="002057A6"/>
    <w:rsid w:val="00205840"/>
    <w:rsid w:val="0020584C"/>
    <w:rsid w:val="0020597D"/>
    <w:rsid w:val="002062A2"/>
    <w:rsid w:val="00206BC5"/>
    <w:rsid w:val="00207476"/>
    <w:rsid w:val="002076B9"/>
    <w:rsid w:val="00207753"/>
    <w:rsid w:val="002103A6"/>
    <w:rsid w:val="00210F5A"/>
    <w:rsid w:val="002110DF"/>
    <w:rsid w:val="00211242"/>
    <w:rsid w:val="002114DA"/>
    <w:rsid w:val="0021183D"/>
    <w:rsid w:val="002126D7"/>
    <w:rsid w:val="002126EC"/>
    <w:rsid w:val="002127D7"/>
    <w:rsid w:val="002131A0"/>
    <w:rsid w:val="0021337F"/>
    <w:rsid w:val="00213697"/>
    <w:rsid w:val="0021402D"/>
    <w:rsid w:val="002146E8"/>
    <w:rsid w:val="00215052"/>
    <w:rsid w:val="002151DA"/>
    <w:rsid w:val="002155B3"/>
    <w:rsid w:val="0021587D"/>
    <w:rsid w:val="00215A10"/>
    <w:rsid w:val="0021630C"/>
    <w:rsid w:val="002163F2"/>
    <w:rsid w:val="00216D65"/>
    <w:rsid w:val="00217380"/>
    <w:rsid w:val="00217933"/>
    <w:rsid w:val="00217E03"/>
    <w:rsid w:val="00220732"/>
    <w:rsid w:val="00220AA4"/>
    <w:rsid w:val="00221237"/>
    <w:rsid w:val="00221F48"/>
    <w:rsid w:val="0022223C"/>
    <w:rsid w:val="00222835"/>
    <w:rsid w:val="002228C3"/>
    <w:rsid w:val="0022296F"/>
    <w:rsid w:val="002230A4"/>
    <w:rsid w:val="00223A96"/>
    <w:rsid w:val="00223D04"/>
    <w:rsid w:val="00223DA3"/>
    <w:rsid w:val="00224745"/>
    <w:rsid w:val="002247D3"/>
    <w:rsid w:val="00224DD2"/>
    <w:rsid w:val="00224E07"/>
    <w:rsid w:val="0022532A"/>
    <w:rsid w:val="00225519"/>
    <w:rsid w:val="00225690"/>
    <w:rsid w:val="00225BFC"/>
    <w:rsid w:val="002261DD"/>
    <w:rsid w:val="002264E1"/>
    <w:rsid w:val="00226B24"/>
    <w:rsid w:val="00226CB7"/>
    <w:rsid w:val="00227776"/>
    <w:rsid w:val="00227930"/>
    <w:rsid w:val="00227B55"/>
    <w:rsid w:val="00227D64"/>
    <w:rsid w:val="00230C10"/>
    <w:rsid w:val="00230D8E"/>
    <w:rsid w:val="00231AF1"/>
    <w:rsid w:val="00232036"/>
    <w:rsid w:val="00232100"/>
    <w:rsid w:val="0023221E"/>
    <w:rsid w:val="002322D4"/>
    <w:rsid w:val="0023251E"/>
    <w:rsid w:val="00232A90"/>
    <w:rsid w:val="00232ADD"/>
    <w:rsid w:val="002332D6"/>
    <w:rsid w:val="00233D10"/>
    <w:rsid w:val="00234571"/>
    <w:rsid w:val="002347B5"/>
    <w:rsid w:val="00234E97"/>
    <w:rsid w:val="00235DEE"/>
    <w:rsid w:val="00235F78"/>
    <w:rsid w:val="00235F7A"/>
    <w:rsid w:val="0023647C"/>
    <w:rsid w:val="00236605"/>
    <w:rsid w:val="002367B1"/>
    <w:rsid w:val="002369BE"/>
    <w:rsid w:val="00237951"/>
    <w:rsid w:val="00237BA5"/>
    <w:rsid w:val="00237BEC"/>
    <w:rsid w:val="00237C53"/>
    <w:rsid w:val="00237C59"/>
    <w:rsid w:val="002403FB"/>
    <w:rsid w:val="00240DB2"/>
    <w:rsid w:val="00240ED2"/>
    <w:rsid w:val="00241000"/>
    <w:rsid w:val="002412FF"/>
    <w:rsid w:val="0024147A"/>
    <w:rsid w:val="002416AB"/>
    <w:rsid w:val="00241A4C"/>
    <w:rsid w:val="00241C29"/>
    <w:rsid w:val="002420FD"/>
    <w:rsid w:val="00242343"/>
    <w:rsid w:val="002428A1"/>
    <w:rsid w:val="00242F3E"/>
    <w:rsid w:val="002434C1"/>
    <w:rsid w:val="00243BD4"/>
    <w:rsid w:val="00244CBD"/>
    <w:rsid w:val="00245628"/>
    <w:rsid w:val="00245F1F"/>
    <w:rsid w:val="002475DE"/>
    <w:rsid w:val="002476AD"/>
    <w:rsid w:val="0024780E"/>
    <w:rsid w:val="002506F7"/>
    <w:rsid w:val="002511AF"/>
    <w:rsid w:val="0025123A"/>
    <w:rsid w:val="002514D1"/>
    <w:rsid w:val="0025238E"/>
    <w:rsid w:val="002523B4"/>
    <w:rsid w:val="00252803"/>
    <w:rsid w:val="00252E90"/>
    <w:rsid w:val="00253ABE"/>
    <w:rsid w:val="00253B9B"/>
    <w:rsid w:val="0025403E"/>
    <w:rsid w:val="002547FD"/>
    <w:rsid w:val="00254A78"/>
    <w:rsid w:val="00254AA3"/>
    <w:rsid w:val="00254F95"/>
    <w:rsid w:val="002552CD"/>
    <w:rsid w:val="0025582B"/>
    <w:rsid w:val="00255A1E"/>
    <w:rsid w:val="00255D59"/>
    <w:rsid w:val="00255D7E"/>
    <w:rsid w:val="00255EA4"/>
    <w:rsid w:val="0025609D"/>
    <w:rsid w:val="00256275"/>
    <w:rsid w:val="002567D3"/>
    <w:rsid w:val="002570DF"/>
    <w:rsid w:val="00257B12"/>
    <w:rsid w:val="00257BD0"/>
    <w:rsid w:val="00260AFD"/>
    <w:rsid w:val="00261207"/>
    <w:rsid w:val="00261901"/>
    <w:rsid w:val="00261906"/>
    <w:rsid w:val="00261DF5"/>
    <w:rsid w:val="00262226"/>
    <w:rsid w:val="00262616"/>
    <w:rsid w:val="00262851"/>
    <w:rsid w:val="00262DAD"/>
    <w:rsid w:val="002639A4"/>
    <w:rsid w:val="00263FA1"/>
    <w:rsid w:val="0026426C"/>
    <w:rsid w:val="0026473A"/>
    <w:rsid w:val="002647E6"/>
    <w:rsid w:val="002649BE"/>
    <w:rsid w:val="002652B4"/>
    <w:rsid w:val="002655BA"/>
    <w:rsid w:val="00265804"/>
    <w:rsid w:val="00265C3E"/>
    <w:rsid w:val="00265F82"/>
    <w:rsid w:val="002661BB"/>
    <w:rsid w:val="00266537"/>
    <w:rsid w:val="00266976"/>
    <w:rsid w:val="00266AE7"/>
    <w:rsid w:val="00266C32"/>
    <w:rsid w:val="00267E87"/>
    <w:rsid w:val="002702BA"/>
    <w:rsid w:val="0027034C"/>
    <w:rsid w:val="0027177E"/>
    <w:rsid w:val="00271B2A"/>
    <w:rsid w:val="00271F12"/>
    <w:rsid w:val="00272020"/>
    <w:rsid w:val="0027203C"/>
    <w:rsid w:val="002724E8"/>
    <w:rsid w:val="0027257B"/>
    <w:rsid w:val="00273214"/>
    <w:rsid w:val="002735D1"/>
    <w:rsid w:val="00273BB6"/>
    <w:rsid w:val="00273CD3"/>
    <w:rsid w:val="00273CE4"/>
    <w:rsid w:val="00274453"/>
    <w:rsid w:val="00274DCF"/>
    <w:rsid w:val="00274E09"/>
    <w:rsid w:val="00274EC1"/>
    <w:rsid w:val="00274F5D"/>
    <w:rsid w:val="002752B3"/>
    <w:rsid w:val="00275548"/>
    <w:rsid w:val="0027573F"/>
    <w:rsid w:val="00275C20"/>
    <w:rsid w:val="00275D0C"/>
    <w:rsid w:val="00275EB3"/>
    <w:rsid w:val="00276824"/>
    <w:rsid w:val="00276F64"/>
    <w:rsid w:val="00276FAD"/>
    <w:rsid w:val="00277064"/>
    <w:rsid w:val="00277217"/>
    <w:rsid w:val="00277456"/>
    <w:rsid w:val="00277486"/>
    <w:rsid w:val="00277626"/>
    <w:rsid w:val="00277EDF"/>
    <w:rsid w:val="0028025E"/>
    <w:rsid w:val="00281185"/>
    <w:rsid w:val="00281B48"/>
    <w:rsid w:val="00282CC5"/>
    <w:rsid w:val="00282E84"/>
    <w:rsid w:val="00283137"/>
    <w:rsid w:val="002837FF"/>
    <w:rsid w:val="00283FCF"/>
    <w:rsid w:val="0028426E"/>
    <w:rsid w:val="002842C8"/>
    <w:rsid w:val="002842F8"/>
    <w:rsid w:val="00284860"/>
    <w:rsid w:val="002850D0"/>
    <w:rsid w:val="002852C6"/>
    <w:rsid w:val="002853AE"/>
    <w:rsid w:val="0028557E"/>
    <w:rsid w:val="0028593A"/>
    <w:rsid w:val="00285BD9"/>
    <w:rsid w:val="00285CEA"/>
    <w:rsid w:val="00285D04"/>
    <w:rsid w:val="00286A64"/>
    <w:rsid w:val="00286B97"/>
    <w:rsid w:val="00286E5E"/>
    <w:rsid w:val="00287999"/>
    <w:rsid w:val="00287EF6"/>
    <w:rsid w:val="00290124"/>
    <w:rsid w:val="0029022B"/>
    <w:rsid w:val="00290297"/>
    <w:rsid w:val="00290707"/>
    <w:rsid w:val="0029097E"/>
    <w:rsid w:val="00291220"/>
    <w:rsid w:val="00291500"/>
    <w:rsid w:val="00291654"/>
    <w:rsid w:val="00291B70"/>
    <w:rsid w:val="00291FCD"/>
    <w:rsid w:val="0029217D"/>
    <w:rsid w:val="0029233C"/>
    <w:rsid w:val="00292B4A"/>
    <w:rsid w:val="00292B74"/>
    <w:rsid w:val="00293067"/>
    <w:rsid w:val="0029311D"/>
    <w:rsid w:val="0029318C"/>
    <w:rsid w:val="0029362A"/>
    <w:rsid w:val="00293D60"/>
    <w:rsid w:val="002947F1"/>
    <w:rsid w:val="00294D09"/>
    <w:rsid w:val="002960DF"/>
    <w:rsid w:val="002964E0"/>
    <w:rsid w:val="00296B32"/>
    <w:rsid w:val="0029769C"/>
    <w:rsid w:val="002A04B5"/>
    <w:rsid w:val="002A0B6A"/>
    <w:rsid w:val="002A0DD0"/>
    <w:rsid w:val="002A1D18"/>
    <w:rsid w:val="002A1FD2"/>
    <w:rsid w:val="002A24F8"/>
    <w:rsid w:val="002A272A"/>
    <w:rsid w:val="002A2E25"/>
    <w:rsid w:val="002A34A5"/>
    <w:rsid w:val="002A3527"/>
    <w:rsid w:val="002A38E3"/>
    <w:rsid w:val="002A3BDC"/>
    <w:rsid w:val="002A4707"/>
    <w:rsid w:val="002A470A"/>
    <w:rsid w:val="002A4B99"/>
    <w:rsid w:val="002A54FE"/>
    <w:rsid w:val="002A55DB"/>
    <w:rsid w:val="002A56B7"/>
    <w:rsid w:val="002A58EF"/>
    <w:rsid w:val="002A5A44"/>
    <w:rsid w:val="002A65E8"/>
    <w:rsid w:val="002A6BFE"/>
    <w:rsid w:val="002A6E8E"/>
    <w:rsid w:val="002A74D9"/>
    <w:rsid w:val="002A7683"/>
    <w:rsid w:val="002A7B81"/>
    <w:rsid w:val="002B0686"/>
    <w:rsid w:val="002B0D1A"/>
    <w:rsid w:val="002B1369"/>
    <w:rsid w:val="002B1414"/>
    <w:rsid w:val="002B1526"/>
    <w:rsid w:val="002B1686"/>
    <w:rsid w:val="002B19B8"/>
    <w:rsid w:val="002B1AFD"/>
    <w:rsid w:val="002B26D4"/>
    <w:rsid w:val="002B2BF7"/>
    <w:rsid w:val="002B307C"/>
    <w:rsid w:val="002B3167"/>
    <w:rsid w:val="002B36F6"/>
    <w:rsid w:val="002B4404"/>
    <w:rsid w:val="002B4CFC"/>
    <w:rsid w:val="002B4F49"/>
    <w:rsid w:val="002B5AE7"/>
    <w:rsid w:val="002B5B0B"/>
    <w:rsid w:val="002B5F80"/>
    <w:rsid w:val="002B6313"/>
    <w:rsid w:val="002B6DBD"/>
    <w:rsid w:val="002B6DE3"/>
    <w:rsid w:val="002B720E"/>
    <w:rsid w:val="002B7739"/>
    <w:rsid w:val="002C0720"/>
    <w:rsid w:val="002C1B43"/>
    <w:rsid w:val="002C2134"/>
    <w:rsid w:val="002C279F"/>
    <w:rsid w:val="002C2980"/>
    <w:rsid w:val="002C2DDC"/>
    <w:rsid w:val="002C3478"/>
    <w:rsid w:val="002C39FA"/>
    <w:rsid w:val="002C3D9A"/>
    <w:rsid w:val="002C3E30"/>
    <w:rsid w:val="002C3F95"/>
    <w:rsid w:val="002C42DB"/>
    <w:rsid w:val="002C43D0"/>
    <w:rsid w:val="002C471D"/>
    <w:rsid w:val="002C47CC"/>
    <w:rsid w:val="002C49C6"/>
    <w:rsid w:val="002C4DCE"/>
    <w:rsid w:val="002C50BE"/>
    <w:rsid w:val="002C55B5"/>
    <w:rsid w:val="002C5A7A"/>
    <w:rsid w:val="002C60C7"/>
    <w:rsid w:val="002C661C"/>
    <w:rsid w:val="002C68AC"/>
    <w:rsid w:val="002C6B12"/>
    <w:rsid w:val="002D02A5"/>
    <w:rsid w:val="002D0DFA"/>
    <w:rsid w:val="002D1010"/>
    <w:rsid w:val="002D112B"/>
    <w:rsid w:val="002D1456"/>
    <w:rsid w:val="002D16A9"/>
    <w:rsid w:val="002D2003"/>
    <w:rsid w:val="002D2281"/>
    <w:rsid w:val="002D34B5"/>
    <w:rsid w:val="002D4334"/>
    <w:rsid w:val="002D4E73"/>
    <w:rsid w:val="002D53EB"/>
    <w:rsid w:val="002D55A1"/>
    <w:rsid w:val="002D5FF2"/>
    <w:rsid w:val="002D6442"/>
    <w:rsid w:val="002D6B7E"/>
    <w:rsid w:val="002D6CA7"/>
    <w:rsid w:val="002D6EC1"/>
    <w:rsid w:val="002D7363"/>
    <w:rsid w:val="002D7684"/>
    <w:rsid w:val="002D7B01"/>
    <w:rsid w:val="002D7B02"/>
    <w:rsid w:val="002D7DAE"/>
    <w:rsid w:val="002E02D3"/>
    <w:rsid w:val="002E071B"/>
    <w:rsid w:val="002E07A6"/>
    <w:rsid w:val="002E09F4"/>
    <w:rsid w:val="002E0A79"/>
    <w:rsid w:val="002E0EFC"/>
    <w:rsid w:val="002E11BA"/>
    <w:rsid w:val="002E19A5"/>
    <w:rsid w:val="002E1CA8"/>
    <w:rsid w:val="002E1FFE"/>
    <w:rsid w:val="002E2052"/>
    <w:rsid w:val="002E211B"/>
    <w:rsid w:val="002E274C"/>
    <w:rsid w:val="002E2A79"/>
    <w:rsid w:val="002E2B3E"/>
    <w:rsid w:val="002E2C05"/>
    <w:rsid w:val="002E35D6"/>
    <w:rsid w:val="002E393A"/>
    <w:rsid w:val="002E3A60"/>
    <w:rsid w:val="002E4B87"/>
    <w:rsid w:val="002E4C68"/>
    <w:rsid w:val="002E5239"/>
    <w:rsid w:val="002E58D1"/>
    <w:rsid w:val="002E5C86"/>
    <w:rsid w:val="002E606A"/>
    <w:rsid w:val="002E6663"/>
    <w:rsid w:val="002E6848"/>
    <w:rsid w:val="002E7241"/>
    <w:rsid w:val="002E7EC9"/>
    <w:rsid w:val="002F01F1"/>
    <w:rsid w:val="002F0678"/>
    <w:rsid w:val="002F0935"/>
    <w:rsid w:val="002F0C62"/>
    <w:rsid w:val="002F10D7"/>
    <w:rsid w:val="002F1CA5"/>
    <w:rsid w:val="002F1DFD"/>
    <w:rsid w:val="002F251C"/>
    <w:rsid w:val="002F2621"/>
    <w:rsid w:val="002F2B0C"/>
    <w:rsid w:val="002F2D0D"/>
    <w:rsid w:val="002F3716"/>
    <w:rsid w:val="002F3B74"/>
    <w:rsid w:val="002F3E8F"/>
    <w:rsid w:val="002F46BC"/>
    <w:rsid w:val="002F487F"/>
    <w:rsid w:val="002F4906"/>
    <w:rsid w:val="002F4961"/>
    <w:rsid w:val="002F4A9A"/>
    <w:rsid w:val="002F4D1F"/>
    <w:rsid w:val="002F5135"/>
    <w:rsid w:val="002F5396"/>
    <w:rsid w:val="002F58D6"/>
    <w:rsid w:val="002F5B31"/>
    <w:rsid w:val="002F5B7F"/>
    <w:rsid w:val="002F6000"/>
    <w:rsid w:val="002F60FC"/>
    <w:rsid w:val="002F61DA"/>
    <w:rsid w:val="002F6BB2"/>
    <w:rsid w:val="002F6E74"/>
    <w:rsid w:val="002F722B"/>
    <w:rsid w:val="002F7418"/>
    <w:rsid w:val="00300230"/>
    <w:rsid w:val="003003A7"/>
    <w:rsid w:val="0030075B"/>
    <w:rsid w:val="00300B2D"/>
    <w:rsid w:val="00300C44"/>
    <w:rsid w:val="00300D1C"/>
    <w:rsid w:val="003014DD"/>
    <w:rsid w:val="0030179D"/>
    <w:rsid w:val="00301F8B"/>
    <w:rsid w:val="003022C1"/>
    <w:rsid w:val="00302A1D"/>
    <w:rsid w:val="00303846"/>
    <w:rsid w:val="00303FCB"/>
    <w:rsid w:val="003041CB"/>
    <w:rsid w:val="003041D6"/>
    <w:rsid w:val="0030493C"/>
    <w:rsid w:val="0030495C"/>
    <w:rsid w:val="00304C52"/>
    <w:rsid w:val="00304F98"/>
    <w:rsid w:val="003051A9"/>
    <w:rsid w:val="003059D1"/>
    <w:rsid w:val="00305BE6"/>
    <w:rsid w:val="00305FD7"/>
    <w:rsid w:val="00306093"/>
    <w:rsid w:val="0030656F"/>
    <w:rsid w:val="003069D6"/>
    <w:rsid w:val="00307C93"/>
    <w:rsid w:val="00310152"/>
    <w:rsid w:val="003103BA"/>
    <w:rsid w:val="00310449"/>
    <w:rsid w:val="003104B9"/>
    <w:rsid w:val="00310928"/>
    <w:rsid w:val="00311075"/>
    <w:rsid w:val="00311CB8"/>
    <w:rsid w:val="00311DCE"/>
    <w:rsid w:val="003122A2"/>
    <w:rsid w:val="00312345"/>
    <w:rsid w:val="003124AC"/>
    <w:rsid w:val="00312B56"/>
    <w:rsid w:val="003136A4"/>
    <w:rsid w:val="00314EA9"/>
    <w:rsid w:val="0031558C"/>
    <w:rsid w:val="00315755"/>
    <w:rsid w:val="00315D8E"/>
    <w:rsid w:val="00315DCF"/>
    <w:rsid w:val="003169C4"/>
    <w:rsid w:val="00316B20"/>
    <w:rsid w:val="00317248"/>
    <w:rsid w:val="003175FA"/>
    <w:rsid w:val="00317960"/>
    <w:rsid w:val="003179C6"/>
    <w:rsid w:val="00320008"/>
    <w:rsid w:val="00320145"/>
    <w:rsid w:val="00320683"/>
    <w:rsid w:val="00320A09"/>
    <w:rsid w:val="00320B50"/>
    <w:rsid w:val="00320F34"/>
    <w:rsid w:val="0032108A"/>
    <w:rsid w:val="0032148C"/>
    <w:rsid w:val="003214E7"/>
    <w:rsid w:val="00321B99"/>
    <w:rsid w:val="00321FA5"/>
    <w:rsid w:val="003223F8"/>
    <w:rsid w:val="00322490"/>
    <w:rsid w:val="00322A9E"/>
    <w:rsid w:val="00322E6B"/>
    <w:rsid w:val="00323C65"/>
    <w:rsid w:val="0032471B"/>
    <w:rsid w:val="00324EA4"/>
    <w:rsid w:val="0032616A"/>
    <w:rsid w:val="003269FF"/>
    <w:rsid w:val="0032741D"/>
    <w:rsid w:val="00327A1D"/>
    <w:rsid w:val="00327A74"/>
    <w:rsid w:val="00327AC0"/>
    <w:rsid w:val="0033026F"/>
    <w:rsid w:val="0033038E"/>
    <w:rsid w:val="0033098C"/>
    <w:rsid w:val="00330A97"/>
    <w:rsid w:val="00331CB7"/>
    <w:rsid w:val="00331E70"/>
    <w:rsid w:val="00332910"/>
    <w:rsid w:val="00332D4E"/>
    <w:rsid w:val="00332EE0"/>
    <w:rsid w:val="003332F1"/>
    <w:rsid w:val="0033413E"/>
    <w:rsid w:val="00334218"/>
    <w:rsid w:val="003342BA"/>
    <w:rsid w:val="003348AC"/>
    <w:rsid w:val="003349BE"/>
    <w:rsid w:val="00334A34"/>
    <w:rsid w:val="00334C00"/>
    <w:rsid w:val="00334C49"/>
    <w:rsid w:val="00334CB4"/>
    <w:rsid w:val="00335007"/>
    <w:rsid w:val="0033518A"/>
    <w:rsid w:val="0033588A"/>
    <w:rsid w:val="00336079"/>
    <w:rsid w:val="00336529"/>
    <w:rsid w:val="0033707D"/>
    <w:rsid w:val="00337AA3"/>
    <w:rsid w:val="00337F2F"/>
    <w:rsid w:val="0034084B"/>
    <w:rsid w:val="00340A5A"/>
    <w:rsid w:val="003411B2"/>
    <w:rsid w:val="00341394"/>
    <w:rsid w:val="003419DE"/>
    <w:rsid w:val="00341A9C"/>
    <w:rsid w:val="0034206D"/>
    <w:rsid w:val="00342824"/>
    <w:rsid w:val="00342D57"/>
    <w:rsid w:val="0034367C"/>
    <w:rsid w:val="00343702"/>
    <w:rsid w:val="00343A5F"/>
    <w:rsid w:val="00343B49"/>
    <w:rsid w:val="003445D1"/>
    <w:rsid w:val="0034465E"/>
    <w:rsid w:val="00344A66"/>
    <w:rsid w:val="00344E3F"/>
    <w:rsid w:val="00344F3B"/>
    <w:rsid w:val="003450F1"/>
    <w:rsid w:val="003451B2"/>
    <w:rsid w:val="00345E5D"/>
    <w:rsid w:val="00346068"/>
    <w:rsid w:val="00346589"/>
    <w:rsid w:val="00347898"/>
    <w:rsid w:val="00347D75"/>
    <w:rsid w:val="0035030A"/>
    <w:rsid w:val="00350351"/>
    <w:rsid w:val="003506F0"/>
    <w:rsid w:val="003507D5"/>
    <w:rsid w:val="00350BBC"/>
    <w:rsid w:val="00350C07"/>
    <w:rsid w:val="00351055"/>
    <w:rsid w:val="00351E01"/>
    <w:rsid w:val="00351FCE"/>
    <w:rsid w:val="003520F7"/>
    <w:rsid w:val="00352111"/>
    <w:rsid w:val="00352268"/>
    <w:rsid w:val="00352879"/>
    <w:rsid w:val="00352AAB"/>
    <w:rsid w:val="00352F92"/>
    <w:rsid w:val="003540CC"/>
    <w:rsid w:val="003547A8"/>
    <w:rsid w:val="00355277"/>
    <w:rsid w:val="003552BA"/>
    <w:rsid w:val="00355460"/>
    <w:rsid w:val="00356128"/>
    <w:rsid w:val="00356C7B"/>
    <w:rsid w:val="00356E0D"/>
    <w:rsid w:val="00356F4E"/>
    <w:rsid w:val="00357081"/>
    <w:rsid w:val="0035712E"/>
    <w:rsid w:val="00357C89"/>
    <w:rsid w:val="0036054A"/>
    <w:rsid w:val="00360752"/>
    <w:rsid w:val="00360B4B"/>
    <w:rsid w:val="00360E12"/>
    <w:rsid w:val="00361480"/>
    <w:rsid w:val="0036186C"/>
    <w:rsid w:val="00361CD6"/>
    <w:rsid w:val="0036261B"/>
    <w:rsid w:val="00362916"/>
    <w:rsid w:val="00362A49"/>
    <w:rsid w:val="00362C35"/>
    <w:rsid w:val="00362C7D"/>
    <w:rsid w:val="00362EAA"/>
    <w:rsid w:val="003636B1"/>
    <w:rsid w:val="003638EA"/>
    <w:rsid w:val="003639DB"/>
    <w:rsid w:val="00363ECD"/>
    <w:rsid w:val="00364692"/>
    <w:rsid w:val="003652EE"/>
    <w:rsid w:val="00365487"/>
    <w:rsid w:val="00365799"/>
    <w:rsid w:val="00365B67"/>
    <w:rsid w:val="00366688"/>
    <w:rsid w:val="003666F7"/>
    <w:rsid w:val="003667D9"/>
    <w:rsid w:val="00366980"/>
    <w:rsid w:val="00367B1A"/>
    <w:rsid w:val="00367BCB"/>
    <w:rsid w:val="0037063F"/>
    <w:rsid w:val="00370648"/>
    <w:rsid w:val="003708A5"/>
    <w:rsid w:val="00370C6E"/>
    <w:rsid w:val="00371888"/>
    <w:rsid w:val="00371B70"/>
    <w:rsid w:val="00371D3E"/>
    <w:rsid w:val="003720BE"/>
    <w:rsid w:val="00372576"/>
    <w:rsid w:val="0037260C"/>
    <w:rsid w:val="003726D6"/>
    <w:rsid w:val="00372928"/>
    <w:rsid w:val="00372C90"/>
    <w:rsid w:val="003730A0"/>
    <w:rsid w:val="0037314E"/>
    <w:rsid w:val="00374165"/>
    <w:rsid w:val="0037494D"/>
    <w:rsid w:val="00374EA8"/>
    <w:rsid w:val="00375B9E"/>
    <w:rsid w:val="00375C17"/>
    <w:rsid w:val="00375E6B"/>
    <w:rsid w:val="003767C7"/>
    <w:rsid w:val="00377052"/>
    <w:rsid w:val="003774D2"/>
    <w:rsid w:val="003777B7"/>
    <w:rsid w:val="00377A75"/>
    <w:rsid w:val="00377BCF"/>
    <w:rsid w:val="00377CC6"/>
    <w:rsid w:val="00377D93"/>
    <w:rsid w:val="0038005A"/>
    <w:rsid w:val="00380081"/>
    <w:rsid w:val="00380CD9"/>
    <w:rsid w:val="003814C2"/>
    <w:rsid w:val="00381DF6"/>
    <w:rsid w:val="003821DE"/>
    <w:rsid w:val="00382203"/>
    <w:rsid w:val="0038333E"/>
    <w:rsid w:val="00383720"/>
    <w:rsid w:val="003840F8"/>
    <w:rsid w:val="00384121"/>
    <w:rsid w:val="00384D88"/>
    <w:rsid w:val="0038555C"/>
    <w:rsid w:val="003859D4"/>
    <w:rsid w:val="00385C88"/>
    <w:rsid w:val="003862BB"/>
    <w:rsid w:val="00386365"/>
    <w:rsid w:val="00386684"/>
    <w:rsid w:val="00386910"/>
    <w:rsid w:val="0038702E"/>
    <w:rsid w:val="003872CF"/>
    <w:rsid w:val="00387347"/>
    <w:rsid w:val="0038759C"/>
    <w:rsid w:val="00390050"/>
    <w:rsid w:val="003902D2"/>
    <w:rsid w:val="00390703"/>
    <w:rsid w:val="003912D6"/>
    <w:rsid w:val="00391AF7"/>
    <w:rsid w:val="00391D04"/>
    <w:rsid w:val="00391D60"/>
    <w:rsid w:val="00392244"/>
    <w:rsid w:val="00392F36"/>
    <w:rsid w:val="0039307E"/>
    <w:rsid w:val="00394A98"/>
    <w:rsid w:val="00394AD2"/>
    <w:rsid w:val="00395342"/>
    <w:rsid w:val="003954DF"/>
    <w:rsid w:val="0039551E"/>
    <w:rsid w:val="0039562B"/>
    <w:rsid w:val="00395B04"/>
    <w:rsid w:val="00395DF3"/>
    <w:rsid w:val="0039638F"/>
    <w:rsid w:val="00396F2B"/>
    <w:rsid w:val="00397786"/>
    <w:rsid w:val="00397A8F"/>
    <w:rsid w:val="003A0456"/>
    <w:rsid w:val="003A0689"/>
    <w:rsid w:val="003A0D5B"/>
    <w:rsid w:val="003A1E7E"/>
    <w:rsid w:val="003A24A1"/>
    <w:rsid w:val="003A3191"/>
    <w:rsid w:val="003A3318"/>
    <w:rsid w:val="003A3CAE"/>
    <w:rsid w:val="003A46C8"/>
    <w:rsid w:val="003A50BA"/>
    <w:rsid w:val="003A52A3"/>
    <w:rsid w:val="003A5345"/>
    <w:rsid w:val="003A5370"/>
    <w:rsid w:val="003A53E2"/>
    <w:rsid w:val="003A540E"/>
    <w:rsid w:val="003A5FE9"/>
    <w:rsid w:val="003A64B1"/>
    <w:rsid w:val="003A659D"/>
    <w:rsid w:val="003A66DC"/>
    <w:rsid w:val="003A6FDA"/>
    <w:rsid w:val="003A720E"/>
    <w:rsid w:val="003A72A8"/>
    <w:rsid w:val="003A7461"/>
    <w:rsid w:val="003A75EC"/>
    <w:rsid w:val="003A774F"/>
    <w:rsid w:val="003B09B8"/>
    <w:rsid w:val="003B0A35"/>
    <w:rsid w:val="003B0E82"/>
    <w:rsid w:val="003B12D2"/>
    <w:rsid w:val="003B12DB"/>
    <w:rsid w:val="003B1414"/>
    <w:rsid w:val="003B160B"/>
    <w:rsid w:val="003B175A"/>
    <w:rsid w:val="003B1875"/>
    <w:rsid w:val="003B249B"/>
    <w:rsid w:val="003B2AF8"/>
    <w:rsid w:val="003B2E6B"/>
    <w:rsid w:val="003B3FE8"/>
    <w:rsid w:val="003B411B"/>
    <w:rsid w:val="003B41F0"/>
    <w:rsid w:val="003B4380"/>
    <w:rsid w:val="003B45D1"/>
    <w:rsid w:val="003B4722"/>
    <w:rsid w:val="003B4BF8"/>
    <w:rsid w:val="003B4C49"/>
    <w:rsid w:val="003B4D6E"/>
    <w:rsid w:val="003B4FBD"/>
    <w:rsid w:val="003B58E0"/>
    <w:rsid w:val="003B659D"/>
    <w:rsid w:val="003B68D7"/>
    <w:rsid w:val="003B6BEC"/>
    <w:rsid w:val="003B6E58"/>
    <w:rsid w:val="003B6E7C"/>
    <w:rsid w:val="003B6ECD"/>
    <w:rsid w:val="003B7533"/>
    <w:rsid w:val="003B75E5"/>
    <w:rsid w:val="003B7976"/>
    <w:rsid w:val="003B797C"/>
    <w:rsid w:val="003B7F61"/>
    <w:rsid w:val="003C0942"/>
    <w:rsid w:val="003C12E0"/>
    <w:rsid w:val="003C16A6"/>
    <w:rsid w:val="003C16B5"/>
    <w:rsid w:val="003C1E78"/>
    <w:rsid w:val="003C1F38"/>
    <w:rsid w:val="003C284C"/>
    <w:rsid w:val="003C2A02"/>
    <w:rsid w:val="003C2C6A"/>
    <w:rsid w:val="003C3A8E"/>
    <w:rsid w:val="003C3B7F"/>
    <w:rsid w:val="003C3EDC"/>
    <w:rsid w:val="003C42AA"/>
    <w:rsid w:val="003C470C"/>
    <w:rsid w:val="003C484A"/>
    <w:rsid w:val="003C5242"/>
    <w:rsid w:val="003C60D6"/>
    <w:rsid w:val="003C63EB"/>
    <w:rsid w:val="003C6795"/>
    <w:rsid w:val="003C6E21"/>
    <w:rsid w:val="003C7219"/>
    <w:rsid w:val="003C72D8"/>
    <w:rsid w:val="003C7D6D"/>
    <w:rsid w:val="003D01B4"/>
    <w:rsid w:val="003D06F1"/>
    <w:rsid w:val="003D0735"/>
    <w:rsid w:val="003D0DDE"/>
    <w:rsid w:val="003D12B8"/>
    <w:rsid w:val="003D1498"/>
    <w:rsid w:val="003D15BC"/>
    <w:rsid w:val="003D1AFF"/>
    <w:rsid w:val="003D242C"/>
    <w:rsid w:val="003D2A7A"/>
    <w:rsid w:val="003D2B64"/>
    <w:rsid w:val="003D30AC"/>
    <w:rsid w:val="003D32C1"/>
    <w:rsid w:val="003D3528"/>
    <w:rsid w:val="003D360A"/>
    <w:rsid w:val="003D3805"/>
    <w:rsid w:val="003D3C00"/>
    <w:rsid w:val="003D41AD"/>
    <w:rsid w:val="003D4495"/>
    <w:rsid w:val="003D4549"/>
    <w:rsid w:val="003D4A84"/>
    <w:rsid w:val="003D4B3A"/>
    <w:rsid w:val="003D4B6A"/>
    <w:rsid w:val="003D515A"/>
    <w:rsid w:val="003D51A8"/>
    <w:rsid w:val="003D5506"/>
    <w:rsid w:val="003D5AA4"/>
    <w:rsid w:val="003D5B61"/>
    <w:rsid w:val="003D5EC0"/>
    <w:rsid w:val="003D619A"/>
    <w:rsid w:val="003D66D2"/>
    <w:rsid w:val="003D7606"/>
    <w:rsid w:val="003D793B"/>
    <w:rsid w:val="003E024B"/>
    <w:rsid w:val="003E0B5B"/>
    <w:rsid w:val="003E0C25"/>
    <w:rsid w:val="003E0C79"/>
    <w:rsid w:val="003E0ECD"/>
    <w:rsid w:val="003E101A"/>
    <w:rsid w:val="003E18BA"/>
    <w:rsid w:val="003E2285"/>
    <w:rsid w:val="003E260D"/>
    <w:rsid w:val="003E2782"/>
    <w:rsid w:val="003E2EA7"/>
    <w:rsid w:val="003E3027"/>
    <w:rsid w:val="003E3D33"/>
    <w:rsid w:val="003E3DBC"/>
    <w:rsid w:val="003E4283"/>
    <w:rsid w:val="003E50D7"/>
    <w:rsid w:val="003E5CD9"/>
    <w:rsid w:val="003E5E58"/>
    <w:rsid w:val="003E615B"/>
    <w:rsid w:val="003E659F"/>
    <w:rsid w:val="003E669D"/>
    <w:rsid w:val="003E6C30"/>
    <w:rsid w:val="003E7ABC"/>
    <w:rsid w:val="003E7B3F"/>
    <w:rsid w:val="003F0091"/>
    <w:rsid w:val="003F009D"/>
    <w:rsid w:val="003F02EE"/>
    <w:rsid w:val="003F0CE1"/>
    <w:rsid w:val="003F1035"/>
    <w:rsid w:val="003F12C5"/>
    <w:rsid w:val="003F1359"/>
    <w:rsid w:val="003F1E39"/>
    <w:rsid w:val="003F2060"/>
    <w:rsid w:val="003F262C"/>
    <w:rsid w:val="003F277F"/>
    <w:rsid w:val="003F2783"/>
    <w:rsid w:val="003F2DC1"/>
    <w:rsid w:val="003F3169"/>
    <w:rsid w:val="003F321F"/>
    <w:rsid w:val="003F3505"/>
    <w:rsid w:val="003F4897"/>
    <w:rsid w:val="003F5483"/>
    <w:rsid w:val="003F569F"/>
    <w:rsid w:val="003F5801"/>
    <w:rsid w:val="003F5D48"/>
    <w:rsid w:val="003F5DAA"/>
    <w:rsid w:val="003F5E01"/>
    <w:rsid w:val="003F5F7B"/>
    <w:rsid w:val="003F6358"/>
    <w:rsid w:val="003F6518"/>
    <w:rsid w:val="003F6636"/>
    <w:rsid w:val="003F6A4A"/>
    <w:rsid w:val="003F6F48"/>
    <w:rsid w:val="003F718E"/>
    <w:rsid w:val="003F73EA"/>
    <w:rsid w:val="003F7448"/>
    <w:rsid w:val="003F77A4"/>
    <w:rsid w:val="003F794E"/>
    <w:rsid w:val="003F7CD0"/>
    <w:rsid w:val="003F7D1A"/>
    <w:rsid w:val="0040007C"/>
    <w:rsid w:val="004004A9"/>
    <w:rsid w:val="0040053F"/>
    <w:rsid w:val="0040058B"/>
    <w:rsid w:val="00400600"/>
    <w:rsid w:val="004007CD"/>
    <w:rsid w:val="00400E88"/>
    <w:rsid w:val="0040119A"/>
    <w:rsid w:val="004012E6"/>
    <w:rsid w:val="004017CF"/>
    <w:rsid w:val="00401D12"/>
    <w:rsid w:val="00401D97"/>
    <w:rsid w:val="0040364D"/>
    <w:rsid w:val="00403CE3"/>
    <w:rsid w:val="0040403A"/>
    <w:rsid w:val="00404609"/>
    <w:rsid w:val="004046D8"/>
    <w:rsid w:val="0040492F"/>
    <w:rsid w:val="00404F1D"/>
    <w:rsid w:val="00405181"/>
    <w:rsid w:val="00405A5F"/>
    <w:rsid w:val="00405C0A"/>
    <w:rsid w:val="00405E74"/>
    <w:rsid w:val="00407959"/>
    <w:rsid w:val="004104C3"/>
    <w:rsid w:val="00410A98"/>
    <w:rsid w:val="00410F5E"/>
    <w:rsid w:val="00411908"/>
    <w:rsid w:val="004121BD"/>
    <w:rsid w:val="0041222F"/>
    <w:rsid w:val="00412719"/>
    <w:rsid w:val="00412C98"/>
    <w:rsid w:val="00412DBB"/>
    <w:rsid w:val="0041320D"/>
    <w:rsid w:val="00413665"/>
    <w:rsid w:val="0041376B"/>
    <w:rsid w:val="004137EF"/>
    <w:rsid w:val="00413827"/>
    <w:rsid w:val="004145B6"/>
    <w:rsid w:val="00414670"/>
    <w:rsid w:val="004158F9"/>
    <w:rsid w:val="004159EA"/>
    <w:rsid w:val="00416727"/>
    <w:rsid w:val="00416D3F"/>
    <w:rsid w:val="004172A4"/>
    <w:rsid w:val="00417B88"/>
    <w:rsid w:val="00417DD8"/>
    <w:rsid w:val="004208D9"/>
    <w:rsid w:val="00420CD9"/>
    <w:rsid w:val="00421518"/>
    <w:rsid w:val="00421E7C"/>
    <w:rsid w:val="00422ABD"/>
    <w:rsid w:val="00422B4E"/>
    <w:rsid w:val="00422FF6"/>
    <w:rsid w:val="004231FD"/>
    <w:rsid w:val="00423486"/>
    <w:rsid w:val="00423668"/>
    <w:rsid w:val="00424227"/>
    <w:rsid w:val="00424C53"/>
    <w:rsid w:val="00425814"/>
    <w:rsid w:val="00425BE8"/>
    <w:rsid w:val="00425C5F"/>
    <w:rsid w:val="00426286"/>
    <w:rsid w:val="00426F6A"/>
    <w:rsid w:val="00427A24"/>
    <w:rsid w:val="00427F6B"/>
    <w:rsid w:val="0043073D"/>
    <w:rsid w:val="0043139F"/>
    <w:rsid w:val="004313D1"/>
    <w:rsid w:val="004318EB"/>
    <w:rsid w:val="00431C4A"/>
    <w:rsid w:val="00431CDB"/>
    <w:rsid w:val="00432DFF"/>
    <w:rsid w:val="004331C3"/>
    <w:rsid w:val="00433229"/>
    <w:rsid w:val="0043323A"/>
    <w:rsid w:val="0043348B"/>
    <w:rsid w:val="004335B1"/>
    <w:rsid w:val="004337CC"/>
    <w:rsid w:val="004338D4"/>
    <w:rsid w:val="00435F85"/>
    <w:rsid w:val="0043622B"/>
    <w:rsid w:val="00436BBC"/>
    <w:rsid w:val="00436E0B"/>
    <w:rsid w:val="0043714B"/>
    <w:rsid w:val="00437176"/>
    <w:rsid w:val="004374E9"/>
    <w:rsid w:val="004401DF"/>
    <w:rsid w:val="00440E9B"/>
    <w:rsid w:val="004418B6"/>
    <w:rsid w:val="00441E87"/>
    <w:rsid w:val="00442624"/>
    <w:rsid w:val="004427F7"/>
    <w:rsid w:val="004428EF"/>
    <w:rsid w:val="00442A58"/>
    <w:rsid w:val="00443751"/>
    <w:rsid w:val="00443D0B"/>
    <w:rsid w:val="00443D9B"/>
    <w:rsid w:val="00444039"/>
    <w:rsid w:val="004444FB"/>
    <w:rsid w:val="004448CC"/>
    <w:rsid w:val="00444E84"/>
    <w:rsid w:val="00444FDF"/>
    <w:rsid w:val="00445136"/>
    <w:rsid w:val="00445717"/>
    <w:rsid w:val="00445C6A"/>
    <w:rsid w:val="00447247"/>
    <w:rsid w:val="004507FD"/>
    <w:rsid w:val="00450E57"/>
    <w:rsid w:val="00450F16"/>
    <w:rsid w:val="00451267"/>
    <w:rsid w:val="00451B39"/>
    <w:rsid w:val="00451B94"/>
    <w:rsid w:val="00452D8C"/>
    <w:rsid w:val="00452E64"/>
    <w:rsid w:val="00452F2D"/>
    <w:rsid w:val="004533F7"/>
    <w:rsid w:val="00453CA2"/>
    <w:rsid w:val="004542FA"/>
    <w:rsid w:val="00454B0C"/>
    <w:rsid w:val="00454E5C"/>
    <w:rsid w:val="00455A44"/>
    <w:rsid w:val="00456409"/>
    <w:rsid w:val="00456FC8"/>
    <w:rsid w:val="004571EC"/>
    <w:rsid w:val="00457261"/>
    <w:rsid w:val="00457B4C"/>
    <w:rsid w:val="00457E0E"/>
    <w:rsid w:val="0046041E"/>
    <w:rsid w:val="00460AA0"/>
    <w:rsid w:val="00460EC2"/>
    <w:rsid w:val="00460F27"/>
    <w:rsid w:val="004610C4"/>
    <w:rsid w:val="004616C2"/>
    <w:rsid w:val="00461C34"/>
    <w:rsid w:val="00461CCF"/>
    <w:rsid w:val="00461DA4"/>
    <w:rsid w:val="00461E9B"/>
    <w:rsid w:val="004628BF"/>
    <w:rsid w:val="004629A9"/>
    <w:rsid w:val="00462A67"/>
    <w:rsid w:val="004633DA"/>
    <w:rsid w:val="004635E3"/>
    <w:rsid w:val="00463E78"/>
    <w:rsid w:val="00463E7F"/>
    <w:rsid w:val="00464220"/>
    <w:rsid w:val="004643A5"/>
    <w:rsid w:val="00464576"/>
    <w:rsid w:val="0046483D"/>
    <w:rsid w:val="00464CD5"/>
    <w:rsid w:val="00465676"/>
    <w:rsid w:val="00465D99"/>
    <w:rsid w:val="00465E0A"/>
    <w:rsid w:val="00465EAB"/>
    <w:rsid w:val="00465F8B"/>
    <w:rsid w:val="00466031"/>
    <w:rsid w:val="004661ED"/>
    <w:rsid w:val="00466ED0"/>
    <w:rsid w:val="00467766"/>
    <w:rsid w:val="0047067C"/>
    <w:rsid w:val="00470AC0"/>
    <w:rsid w:val="00470CA0"/>
    <w:rsid w:val="00471073"/>
    <w:rsid w:val="0047209E"/>
    <w:rsid w:val="0047248C"/>
    <w:rsid w:val="00472690"/>
    <w:rsid w:val="00472A2E"/>
    <w:rsid w:val="00472C21"/>
    <w:rsid w:val="00472D72"/>
    <w:rsid w:val="00473B88"/>
    <w:rsid w:val="00473CDA"/>
    <w:rsid w:val="0047483B"/>
    <w:rsid w:val="00474BBA"/>
    <w:rsid w:val="00474C8F"/>
    <w:rsid w:val="00474FAC"/>
    <w:rsid w:val="00474FDA"/>
    <w:rsid w:val="00475118"/>
    <w:rsid w:val="004751F8"/>
    <w:rsid w:val="004752C3"/>
    <w:rsid w:val="00475531"/>
    <w:rsid w:val="00475CDC"/>
    <w:rsid w:val="00475D82"/>
    <w:rsid w:val="00475F1D"/>
    <w:rsid w:val="0047619E"/>
    <w:rsid w:val="00476B39"/>
    <w:rsid w:val="00476BEC"/>
    <w:rsid w:val="00476D30"/>
    <w:rsid w:val="00477078"/>
    <w:rsid w:val="004771B8"/>
    <w:rsid w:val="00481BB3"/>
    <w:rsid w:val="00481E7E"/>
    <w:rsid w:val="004822AF"/>
    <w:rsid w:val="0048273B"/>
    <w:rsid w:val="00482799"/>
    <w:rsid w:val="0048295B"/>
    <w:rsid w:val="00482B2F"/>
    <w:rsid w:val="00482DA4"/>
    <w:rsid w:val="00482E18"/>
    <w:rsid w:val="0048338D"/>
    <w:rsid w:val="00483A66"/>
    <w:rsid w:val="00483DEA"/>
    <w:rsid w:val="00484776"/>
    <w:rsid w:val="00484BA6"/>
    <w:rsid w:val="00484CD5"/>
    <w:rsid w:val="00484F43"/>
    <w:rsid w:val="00485344"/>
    <w:rsid w:val="0048552C"/>
    <w:rsid w:val="004860AC"/>
    <w:rsid w:val="00486477"/>
    <w:rsid w:val="00486CDE"/>
    <w:rsid w:val="00487553"/>
    <w:rsid w:val="004875FC"/>
    <w:rsid w:val="00487644"/>
    <w:rsid w:val="00487D26"/>
    <w:rsid w:val="00487D34"/>
    <w:rsid w:val="00490C9B"/>
    <w:rsid w:val="00490D45"/>
    <w:rsid w:val="00490FDA"/>
    <w:rsid w:val="00491018"/>
    <w:rsid w:val="0049104A"/>
    <w:rsid w:val="00491580"/>
    <w:rsid w:val="00491B85"/>
    <w:rsid w:val="00492177"/>
    <w:rsid w:val="0049220A"/>
    <w:rsid w:val="0049221D"/>
    <w:rsid w:val="00492418"/>
    <w:rsid w:val="00492D83"/>
    <w:rsid w:val="00493EA2"/>
    <w:rsid w:val="004949D4"/>
    <w:rsid w:val="004950BB"/>
    <w:rsid w:val="00495248"/>
    <w:rsid w:val="00495373"/>
    <w:rsid w:val="0049560E"/>
    <w:rsid w:val="004956F1"/>
    <w:rsid w:val="00496B26"/>
    <w:rsid w:val="00497A8F"/>
    <w:rsid w:val="004A004B"/>
    <w:rsid w:val="004A0326"/>
    <w:rsid w:val="004A05D8"/>
    <w:rsid w:val="004A0699"/>
    <w:rsid w:val="004A0F7E"/>
    <w:rsid w:val="004A1792"/>
    <w:rsid w:val="004A1942"/>
    <w:rsid w:val="004A197A"/>
    <w:rsid w:val="004A268B"/>
    <w:rsid w:val="004A28DE"/>
    <w:rsid w:val="004A2CB7"/>
    <w:rsid w:val="004A3F42"/>
    <w:rsid w:val="004A4476"/>
    <w:rsid w:val="004A5105"/>
    <w:rsid w:val="004A52CA"/>
    <w:rsid w:val="004A53A1"/>
    <w:rsid w:val="004A5E16"/>
    <w:rsid w:val="004A5FF9"/>
    <w:rsid w:val="004A6054"/>
    <w:rsid w:val="004A6193"/>
    <w:rsid w:val="004A642F"/>
    <w:rsid w:val="004A64AA"/>
    <w:rsid w:val="004A68D0"/>
    <w:rsid w:val="004A6B9D"/>
    <w:rsid w:val="004A75BE"/>
    <w:rsid w:val="004A7631"/>
    <w:rsid w:val="004A7BE4"/>
    <w:rsid w:val="004A7D57"/>
    <w:rsid w:val="004B0150"/>
    <w:rsid w:val="004B01BD"/>
    <w:rsid w:val="004B026F"/>
    <w:rsid w:val="004B043D"/>
    <w:rsid w:val="004B0509"/>
    <w:rsid w:val="004B0DFA"/>
    <w:rsid w:val="004B0FC7"/>
    <w:rsid w:val="004B139B"/>
    <w:rsid w:val="004B1575"/>
    <w:rsid w:val="004B215E"/>
    <w:rsid w:val="004B21F9"/>
    <w:rsid w:val="004B282E"/>
    <w:rsid w:val="004B2B15"/>
    <w:rsid w:val="004B2B77"/>
    <w:rsid w:val="004B2C2F"/>
    <w:rsid w:val="004B32B0"/>
    <w:rsid w:val="004B439C"/>
    <w:rsid w:val="004B4459"/>
    <w:rsid w:val="004B4898"/>
    <w:rsid w:val="004B6406"/>
    <w:rsid w:val="004B682B"/>
    <w:rsid w:val="004B69E0"/>
    <w:rsid w:val="004B7093"/>
    <w:rsid w:val="004B775F"/>
    <w:rsid w:val="004B7774"/>
    <w:rsid w:val="004B78BD"/>
    <w:rsid w:val="004B79DA"/>
    <w:rsid w:val="004C0155"/>
    <w:rsid w:val="004C034C"/>
    <w:rsid w:val="004C04DD"/>
    <w:rsid w:val="004C072A"/>
    <w:rsid w:val="004C1639"/>
    <w:rsid w:val="004C1977"/>
    <w:rsid w:val="004C19AF"/>
    <w:rsid w:val="004C1B6D"/>
    <w:rsid w:val="004C1B7E"/>
    <w:rsid w:val="004C23F8"/>
    <w:rsid w:val="004C2769"/>
    <w:rsid w:val="004C2FD6"/>
    <w:rsid w:val="004C3CA8"/>
    <w:rsid w:val="004C3D5E"/>
    <w:rsid w:val="004C3E43"/>
    <w:rsid w:val="004C3F45"/>
    <w:rsid w:val="004C3FE5"/>
    <w:rsid w:val="004C4B44"/>
    <w:rsid w:val="004C4B83"/>
    <w:rsid w:val="004C4C8C"/>
    <w:rsid w:val="004C5564"/>
    <w:rsid w:val="004C578B"/>
    <w:rsid w:val="004C57FD"/>
    <w:rsid w:val="004C5964"/>
    <w:rsid w:val="004C6279"/>
    <w:rsid w:val="004C64AD"/>
    <w:rsid w:val="004C658D"/>
    <w:rsid w:val="004C6772"/>
    <w:rsid w:val="004C6D48"/>
    <w:rsid w:val="004C7A22"/>
    <w:rsid w:val="004C7A44"/>
    <w:rsid w:val="004D03E7"/>
    <w:rsid w:val="004D0A18"/>
    <w:rsid w:val="004D0C12"/>
    <w:rsid w:val="004D0E1B"/>
    <w:rsid w:val="004D0E43"/>
    <w:rsid w:val="004D149F"/>
    <w:rsid w:val="004D14D8"/>
    <w:rsid w:val="004D19C2"/>
    <w:rsid w:val="004D228F"/>
    <w:rsid w:val="004D3A10"/>
    <w:rsid w:val="004D3E5E"/>
    <w:rsid w:val="004D4A1D"/>
    <w:rsid w:val="004D4C54"/>
    <w:rsid w:val="004D4DFB"/>
    <w:rsid w:val="004D4E06"/>
    <w:rsid w:val="004D54EB"/>
    <w:rsid w:val="004D5540"/>
    <w:rsid w:val="004D5713"/>
    <w:rsid w:val="004D5ECC"/>
    <w:rsid w:val="004D6921"/>
    <w:rsid w:val="004D69A4"/>
    <w:rsid w:val="004D6C64"/>
    <w:rsid w:val="004D708E"/>
    <w:rsid w:val="004D72BE"/>
    <w:rsid w:val="004D78F2"/>
    <w:rsid w:val="004D7DD1"/>
    <w:rsid w:val="004D7EE8"/>
    <w:rsid w:val="004E0738"/>
    <w:rsid w:val="004E090A"/>
    <w:rsid w:val="004E14F1"/>
    <w:rsid w:val="004E174E"/>
    <w:rsid w:val="004E1D47"/>
    <w:rsid w:val="004E1D4A"/>
    <w:rsid w:val="004E254D"/>
    <w:rsid w:val="004E2852"/>
    <w:rsid w:val="004E40FE"/>
    <w:rsid w:val="004E4913"/>
    <w:rsid w:val="004E4A2F"/>
    <w:rsid w:val="004E5C33"/>
    <w:rsid w:val="004E6BEE"/>
    <w:rsid w:val="004E6E7D"/>
    <w:rsid w:val="004E6EAC"/>
    <w:rsid w:val="004E76C4"/>
    <w:rsid w:val="004E77D7"/>
    <w:rsid w:val="004E7A1F"/>
    <w:rsid w:val="004F0230"/>
    <w:rsid w:val="004F074D"/>
    <w:rsid w:val="004F1003"/>
    <w:rsid w:val="004F11FE"/>
    <w:rsid w:val="004F1523"/>
    <w:rsid w:val="004F17F1"/>
    <w:rsid w:val="004F2414"/>
    <w:rsid w:val="004F2C36"/>
    <w:rsid w:val="004F2D1B"/>
    <w:rsid w:val="004F2E17"/>
    <w:rsid w:val="004F2EC2"/>
    <w:rsid w:val="004F339C"/>
    <w:rsid w:val="004F3D0E"/>
    <w:rsid w:val="004F4211"/>
    <w:rsid w:val="004F43C0"/>
    <w:rsid w:val="004F4B2E"/>
    <w:rsid w:val="004F4E1F"/>
    <w:rsid w:val="004F5566"/>
    <w:rsid w:val="004F5793"/>
    <w:rsid w:val="004F57A9"/>
    <w:rsid w:val="004F58A1"/>
    <w:rsid w:val="004F5A8D"/>
    <w:rsid w:val="004F602C"/>
    <w:rsid w:val="004F707F"/>
    <w:rsid w:val="004F7223"/>
    <w:rsid w:val="004F7468"/>
    <w:rsid w:val="004F75F3"/>
    <w:rsid w:val="00500B92"/>
    <w:rsid w:val="005011E3"/>
    <w:rsid w:val="005012A4"/>
    <w:rsid w:val="00501837"/>
    <w:rsid w:val="00501886"/>
    <w:rsid w:val="00501EF6"/>
    <w:rsid w:val="00502998"/>
    <w:rsid w:val="005029D4"/>
    <w:rsid w:val="00502E9D"/>
    <w:rsid w:val="00503843"/>
    <w:rsid w:val="005038D7"/>
    <w:rsid w:val="0050446C"/>
    <w:rsid w:val="0050496A"/>
    <w:rsid w:val="00504BF5"/>
    <w:rsid w:val="00504C3F"/>
    <w:rsid w:val="00505109"/>
    <w:rsid w:val="00505707"/>
    <w:rsid w:val="00505714"/>
    <w:rsid w:val="00505AE5"/>
    <w:rsid w:val="00505CEF"/>
    <w:rsid w:val="00506996"/>
    <w:rsid w:val="00506CE6"/>
    <w:rsid w:val="00506DB4"/>
    <w:rsid w:val="00506F24"/>
    <w:rsid w:val="00507C8F"/>
    <w:rsid w:val="0051070B"/>
    <w:rsid w:val="00510A0A"/>
    <w:rsid w:val="00510A12"/>
    <w:rsid w:val="00510B88"/>
    <w:rsid w:val="00510E19"/>
    <w:rsid w:val="00511525"/>
    <w:rsid w:val="0051160F"/>
    <w:rsid w:val="00511652"/>
    <w:rsid w:val="005116FA"/>
    <w:rsid w:val="00511B07"/>
    <w:rsid w:val="00511D31"/>
    <w:rsid w:val="00511E5D"/>
    <w:rsid w:val="00511FD1"/>
    <w:rsid w:val="0051239F"/>
    <w:rsid w:val="00512821"/>
    <w:rsid w:val="00512D89"/>
    <w:rsid w:val="0051334D"/>
    <w:rsid w:val="00514031"/>
    <w:rsid w:val="005142BB"/>
    <w:rsid w:val="00514659"/>
    <w:rsid w:val="00514722"/>
    <w:rsid w:val="00515052"/>
    <w:rsid w:val="00516643"/>
    <w:rsid w:val="00516791"/>
    <w:rsid w:val="005167F2"/>
    <w:rsid w:val="0051685B"/>
    <w:rsid w:val="00516BA3"/>
    <w:rsid w:val="00516DFB"/>
    <w:rsid w:val="005170F6"/>
    <w:rsid w:val="005170FA"/>
    <w:rsid w:val="00517545"/>
    <w:rsid w:val="005178FB"/>
    <w:rsid w:val="00517E25"/>
    <w:rsid w:val="00517F72"/>
    <w:rsid w:val="00517FA3"/>
    <w:rsid w:val="00517FB0"/>
    <w:rsid w:val="0052025A"/>
    <w:rsid w:val="00520726"/>
    <w:rsid w:val="0052088B"/>
    <w:rsid w:val="0052092B"/>
    <w:rsid w:val="00520A22"/>
    <w:rsid w:val="00520FF4"/>
    <w:rsid w:val="0052102A"/>
    <w:rsid w:val="00521076"/>
    <w:rsid w:val="005215E4"/>
    <w:rsid w:val="00521842"/>
    <w:rsid w:val="00521A30"/>
    <w:rsid w:val="00521B1B"/>
    <w:rsid w:val="00521E64"/>
    <w:rsid w:val="00522267"/>
    <w:rsid w:val="005222D7"/>
    <w:rsid w:val="0052248E"/>
    <w:rsid w:val="00522DAB"/>
    <w:rsid w:val="00522FC8"/>
    <w:rsid w:val="00523127"/>
    <w:rsid w:val="00523157"/>
    <w:rsid w:val="00523976"/>
    <w:rsid w:val="00523CF3"/>
    <w:rsid w:val="00525139"/>
    <w:rsid w:val="00525D61"/>
    <w:rsid w:val="00525DEC"/>
    <w:rsid w:val="0052622B"/>
    <w:rsid w:val="005265AA"/>
    <w:rsid w:val="005279F4"/>
    <w:rsid w:val="00527DEB"/>
    <w:rsid w:val="00527E5A"/>
    <w:rsid w:val="005301E4"/>
    <w:rsid w:val="00530745"/>
    <w:rsid w:val="00530857"/>
    <w:rsid w:val="00530ABE"/>
    <w:rsid w:val="00530E49"/>
    <w:rsid w:val="00531062"/>
    <w:rsid w:val="0053126F"/>
    <w:rsid w:val="005320EF"/>
    <w:rsid w:val="00532260"/>
    <w:rsid w:val="00533464"/>
    <w:rsid w:val="00533918"/>
    <w:rsid w:val="00533AD4"/>
    <w:rsid w:val="00533FAD"/>
    <w:rsid w:val="00534906"/>
    <w:rsid w:val="005349E2"/>
    <w:rsid w:val="00534AE7"/>
    <w:rsid w:val="00534F77"/>
    <w:rsid w:val="0053517B"/>
    <w:rsid w:val="005352F3"/>
    <w:rsid w:val="005353E8"/>
    <w:rsid w:val="00535869"/>
    <w:rsid w:val="00535C85"/>
    <w:rsid w:val="00535E60"/>
    <w:rsid w:val="00536546"/>
    <w:rsid w:val="0053702C"/>
    <w:rsid w:val="005402BD"/>
    <w:rsid w:val="005403CC"/>
    <w:rsid w:val="00540D72"/>
    <w:rsid w:val="00540DE1"/>
    <w:rsid w:val="005416BF"/>
    <w:rsid w:val="0054185D"/>
    <w:rsid w:val="00541EF3"/>
    <w:rsid w:val="00542149"/>
    <w:rsid w:val="0054295C"/>
    <w:rsid w:val="005429BA"/>
    <w:rsid w:val="00543015"/>
    <w:rsid w:val="00543024"/>
    <w:rsid w:val="00543438"/>
    <w:rsid w:val="00543499"/>
    <w:rsid w:val="00543621"/>
    <w:rsid w:val="00543803"/>
    <w:rsid w:val="0054394B"/>
    <w:rsid w:val="005439C6"/>
    <w:rsid w:val="00543DC0"/>
    <w:rsid w:val="00544048"/>
    <w:rsid w:val="005442C7"/>
    <w:rsid w:val="0054499C"/>
    <w:rsid w:val="005449B3"/>
    <w:rsid w:val="00544B16"/>
    <w:rsid w:val="005454FA"/>
    <w:rsid w:val="005457F2"/>
    <w:rsid w:val="005459DD"/>
    <w:rsid w:val="00545AD9"/>
    <w:rsid w:val="00546153"/>
    <w:rsid w:val="00546407"/>
    <w:rsid w:val="005470D4"/>
    <w:rsid w:val="00547241"/>
    <w:rsid w:val="00547765"/>
    <w:rsid w:val="00547826"/>
    <w:rsid w:val="00547CBD"/>
    <w:rsid w:val="00550089"/>
    <w:rsid w:val="00550178"/>
    <w:rsid w:val="00550536"/>
    <w:rsid w:val="00551349"/>
    <w:rsid w:val="005517EE"/>
    <w:rsid w:val="00551F82"/>
    <w:rsid w:val="00552E42"/>
    <w:rsid w:val="005538BF"/>
    <w:rsid w:val="00553D80"/>
    <w:rsid w:val="0055456C"/>
    <w:rsid w:val="00554F99"/>
    <w:rsid w:val="005559B0"/>
    <w:rsid w:val="00555E55"/>
    <w:rsid w:val="00555EBF"/>
    <w:rsid w:val="005565E4"/>
    <w:rsid w:val="0055689F"/>
    <w:rsid w:val="00556977"/>
    <w:rsid w:val="00556BF6"/>
    <w:rsid w:val="005570B4"/>
    <w:rsid w:val="00557B39"/>
    <w:rsid w:val="00557C77"/>
    <w:rsid w:val="00557E84"/>
    <w:rsid w:val="00557F86"/>
    <w:rsid w:val="00557FCB"/>
    <w:rsid w:val="00560086"/>
    <w:rsid w:val="0056026B"/>
    <w:rsid w:val="00560511"/>
    <w:rsid w:val="00560C02"/>
    <w:rsid w:val="00561555"/>
    <w:rsid w:val="00561908"/>
    <w:rsid w:val="00561A8C"/>
    <w:rsid w:val="005625F4"/>
    <w:rsid w:val="00562755"/>
    <w:rsid w:val="0056315A"/>
    <w:rsid w:val="00564035"/>
    <w:rsid w:val="0056432B"/>
    <w:rsid w:val="005644D3"/>
    <w:rsid w:val="00564E47"/>
    <w:rsid w:val="00564ED1"/>
    <w:rsid w:val="00565D59"/>
    <w:rsid w:val="00565DD5"/>
    <w:rsid w:val="00565F6E"/>
    <w:rsid w:val="00566AAB"/>
    <w:rsid w:val="00566C7E"/>
    <w:rsid w:val="00567245"/>
    <w:rsid w:val="00567772"/>
    <w:rsid w:val="00567806"/>
    <w:rsid w:val="00567DDD"/>
    <w:rsid w:val="0057055C"/>
    <w:rsid w:val="005712CA"/>
    <w:rsid w:val="005717E1"/>
    <w:rsid w:val="005719C8"/>
    <w:rsid w:val="00571F48"/>
    <w:rsid w:val="005722A6"/>
    <w:rsid w:val="005726A9"/>
    <w:rsid w:val="00572C99"/>
    <w:rsid w:val="00572F27"/>
    <w:rsid w:val="00572F85"/>
    <w:rsid w:val="00574642"/>
    <w:rsid w:val="00574684"/>
    <w:rsid w:val="00574F90"/>
    <w:rsid w:val="00574F9B"/>
    <w:rsid w:val="005750E4"/>
    <w:rsid w:val="00575DA2"/>
    <w:rsid w:val="00576443"/>
    <w:rsid w:val="00576823"/>
    <w:rsid w:val="00577335"/>
    <w:rsid w:val="00580189"/>
    <w:rsid w:val="00580681"/>
    <w:rsid w:val="00580E63"/>
    <w:rsid w:val="00580F15"/>
    <w:rsid w:val="0058135D"/>
    <w:rsid w:val="00581786"/>
    <w:rsid w:val="00581F3C"/>
    <w:rsid w:val="005822E7"/>
    <w:rsid w:val="00582A1F"/>
    <w:rsid w:val="00582C55"/>
    <w:rsid w:val="005830E8"/>
    <w:rsid w:val="0058313E"/>
    <w:rsid w:val="00584402"/>
    <w:rsid w:val="00584E55"/>
    <w:rsid w:val="00584F0C"/>
    <w:rsid w:val="00584FBD"/>
    <w:rsid w:val="00585425"/>
    <w:rsid w:val="0058565E"/>
    <w:rsid w:val="005857AA"/>
    <w:rsid w:val="00585CDC"/>
    <w:rsid w:val="00585E1E"/>
    <w:rsid w:val="00585E2A"/>
    <w:rsid w:val="0058634D"/>
    <w:rsid w:val="005864B1"/>
    <w:rsid w:val="00586859"/>
    <w:rsid w:val="00587D2D"/>
    <w:rsid w:val="00587FFE"/>
    <w:rsid w:val="005909FE"/>
    <w:rsid w:val="00590A90"/>
    <w:rsid w:val="005925A9"/>
    <w:rsid w:val="00592638"/>
    <w:rsid w:val="005927B8"/>
    <w:rsid w:val="0059283C"/>
    <w:rsid w:val="005934D9"/>
    <w:rsid w:val="0059361B"/>
    <w:rsid w:val="00594BE1"/>
    <w:rsid w:val="00594C99"/>
    <w:rsid w:val="00594CE1"/>
    <w:rsid w:val="00594D63"/>
    <w:rsid w:val="00594E63"/>
    <w:rsid w:val="0059559D"/>
    <w:rsid w:val="00596C41"/>
    <w:rsid w:val="00597827"/>
    <w:rsid w:val="00597C24"/>
    <w:rsid w:val="00597F3D"/>
    <w:rsid w:val="005A0064"/>
    <w:rsid w:val="005A0301"/>
    <w:rsid w:val="005A0A7B"/>
    <w:rsid w:val="005A1935"/>
    <w:rsid w:val="005A1BC3"/>
    <w:rsid w:val="005A1C0B"/>
    <w:rsid w:val="005A1D24"/>
    <w:rsid w:val="005A1D82"/>
    <w:rsid w:val="005A1FA7"/>
    <w:rsid w:val="005A208F"/>
    <w:rsid w:val="005A2553"/>
    <w:rsid w:val="005A2822"/>
    <w:rsid w:val="005A2978"/>
    <w:rsid w:val="005A2D87"/>
    <w:rsid w:val="005A3AC7"/>
    <w:rsid w:val="005A4665"/>
    <w:rsid w:val="005A4972"/>
    <w:rsid w:val="005A4B08"/>
    <w:rsid w:val="005A5E6A"/>
    <w:rsid w:val="005A64E8"/>
    <w:rsid w:val="005A6CD3"/>
    <w:rsid w:val="005A783A"/>
    <w:rsid w:val="005A7C55"/>
    <w:rsid w:val="005A7DA0"/>
    <w:rsid w:val="005A7FEA"/>
    <w:rsid w:val="005B007F"/>
    <w:rsid w:val="005B0306"/>
    <w:rsid w:val="005B0957"/>
    <w:rsid w:val="005B12AF"/>
    <w:rsid w:val="005B149F"/>
    <w:rsid w:val="005B1556"/>
    <w:rsid w:val="005B19B7"/>
    <w:rsid w:val="005B22A2"/>
    <w:rsid w:val="005B22A5"/>
    <w:rsid w:val="005B3173"/>
    <w:rsid w:val="005B3286"/>
    <w:rsid w:val="005B34FF"/>
    <w:rsid w:val="005B4F9D"/>
    <w:rsid w:val="005B5731"/>
    <w:rsid w:val="005B6022"/>
    <w:rsid w:val="005B60F3"/>
    <w:rsid w:val="005B6226"/>
    <w:rsid w:val="005B6528"/>
    <w:rsid w:val="005B6EBC"/>
    <w:rsid w:val="005B6F2B"/>
    <w:rsid w:val="005B7D10"/>
    <w:rsid w:val="005C06E6"/>
    <w:rsid w:val="005C0901"/>
    <w:rsid w:val="005C0B72"/>
    <w:rsid w:val="005C1747"/>
    <w:rsid w:val="005C1845"/>
    <w:rsid w:val="005C2600"/>
    <w:rsid w:val="005C2AF2"/>
    <w:rsid w:val="005C2F89"/>
    <w:rsid w:val="005C30AB"/>
    <w:rsid w:val="005C4C1D"/>
    <w:rsid w:val="005C4E6A"/>
    <w:rsid w:val="005C5239"/>
    <w:rsid w:val="005C52FD"/>
    <w:rsid w:val="005C5CF7"/>
    <w:rsid w:val="005C5DC9"/>
    <w:rsid w:val="005C6292"/>
    <w:rsid w:val="005C6673"/>
    <w:rsid w:val="005C67CE"/>
    <w:rsid w:val="005C69A8"/>
    <w:rsid w:val="005C69D5"/>
    <w:rsid w:val="005C6CC2"/>
    <w:rsid w:val="005C7D54"/>
    <w:rsid w:val="005C7FC9"/>
    <w:rsid w:val="005D0B8A"/>
    <w:rsid w:val="005D188B"/>
    <w:rsid w:val="005D1AA1"/>
    <w:rsid w:val="005D275E"/>
    <w:rsid w:val="005D2D3B"/>
    <w:rsid w:val="005D3592"/>
    <w:rsid w:val="005D3AB6"/>
    <w:rsid w:val="005D3F8C"/>
    <w:rsid w:val="005D4031"/>
    <w:rsid w:val="005D408F"/>
    <w:rsid w:val="005D4727"/>
    <w:rsid w:val="005D5415"/>
    <w:rsid w:val="005D5B55"/>
    <w:rsid w:val="005D5EBC"/>
    <w:rsid w:val="005D5F47"/>
    <w:rsid w:val="005D6011"/>
    <w:rsid w:val="005D6BEB"/>
    <w:rsid w:val="005D6C36"/>
    <w:rsid w:val="005D76BF"/>
    <w:rsid w:val="005D7832"/>
    <w:rsid w:val="005D7B95"/>
    <w:rsid w:val="005D7D1A"/>
    <w:rsid w:val="005E062E"/>
    <w:rsid w:val="005E0A3F"/>
    <w:rsid w:val="005E10D0"/>
    <w:rsid w:val="005E12A3"/>
    <w:rsid w:val="005E13D3"/>
    <w:rsid w:val="005E1961"/>
    <w:rsid w:val="005E19DC"/>
    <w:rsid w:val="005E1F0E"/>
    <w:rsid w:val="005E2116"/>
    <w:rsid w:val="005E23B4"/>
    <w:rsid w:val="005E254D"/>
    <w:rsid w:val="005E29E6"/>
    <w:rsid w:val="005E2B11"/>
    <w:rsid w:val="005E2B35"/>
    <w:rsid w:val="005E30A1"/>
    <w:rsid w:val="005E3340"/>
    <w:rsid w:val="005E34B8"/>
    <w:rsid w:val="005E36C1"/>
    <w:rsid w:val="005E3997"/>
    <w:rsid w:val="005E3B31"/>
    <w:rsid w:val="005E44F0"/>
    <w:rsid w:val="005E4529"/>
    <w:rsid w:val="005E5AF2"/>
    <w:rsid w:val="005E5EE2"/>
    <w:rsid w:val="005E6753"/>
    <w:rsid w:val="005E6962"/>
    <w:rsid w:val="005E696B"/>
    <w:rsid w:val="005E72BB"/>
    <w:rsid w:val="005E73AC"/>
    <w:rsid w:val="005E7768"/>
    <w:rsid w:val="005E7803"/>
    <w:rsid w:val="005E7A6E"/>
    <w:rsid w:val="005E7DAF"/>
    <w:rsid w:val="005F011B"/>
    <w:rsid w:val="005F04D9"/>
    <w:rsid w:val="005F08AD"/>
    <w:rsid w:val="005F115A"/>
    <w:rsid w:val="005F17A9"/>
    <w:rsid w:val="005F17DA"/>
    <w:rsid w:val="005F18E3"/>
    <w:rsid w:val="005F1988"/>
    <w:rsid w:val="005F1EA3"/>
    <w:rsid w:val="005F1EB4"/>
    <w:rsid w:val="005F1F61"/>
    <w:rsid w:val="005F1F95"/>
    <w:rsid w:val="005F20A6"/>
    <w:rsid w:val="005F2A9C"/>
    <w:rsid w:val="005F3036"/>
    <w:rsid w:val="005F3736"/>
    <w:rsid w:val="005F3871"/>
    <w:rsid w:val="005F393E"/>
    <w:rsid w:val="005F3B77"/>
    <w:rsid w:val="005F4BBD"/>
    <w:rsid w:val="005F5074"/>
    <w:rsid w:val="005F5477"/>
    <w:rsid w:val="005F5CCB"/>
    <w:rsid w:val="005F5D35"/>
    <w:rsid w:val="005F6E49"/>
    <w:rsid w:val="005F737B"/>
    <w:rsid w:val="005F746C"/>
    <w:rsid w:val="005F774D"/>
    <w:rsid w:val="005F799E"/>
    <w:rsid w:val="006000B0"/>
    <w:rsid w:val="00600638"/>
    <w:rsid w:val="006012C3"/>
    <w:rsid w:val="00601435"/>
    <w:rsid w:val="006016D0"/>
    <w:rsid w:val="00601A35"/>
    <w:rsid w:val="00601AAC"/>
    <w:rsid w:val="0060231C"/>
    <w:rsid w:val="006025C5"/>
    <w:rsid w:val="00602858"/>
    <w:rsid w:val="00603C5A"/>
    <w:rsid w:val="0060419E"/>
    <w:rsid w:val="00604448"/>
    <w:rsid w:val="00604750"/>
    <w:rsid w:val="00604C4B"/>
    <w:rsid w:val="006052FE"/>
    <w:rsid w:val="0060614D"/>
    <w:rsid w:val="006067EC"/>
    <w:rsid w:val="00606961"/>
    <w:rsid w:val="00607343"/>
    <w:rsid w:val="00607415"/>
    <w:rsid w:val="00607650"/>
    <w:rsid w:val="006078C1"/>
    <w:rsid w:val="00607A02"/>
    <w:rsid w:val="00607C0D"/>
    <w:rsid w:val="006100F3"/>
    <w:rsid w:val="006104CB"/>
    <w:rsid w:val="00610BEC"/>
    <w:rsid w:val="006110A0"/>
    <w:rsid w:val="00611265"/>
    <w:rsid w:val="00611691"/>
    <w:rsid w:val="00611E04"/>
    <w:rsid w:val="00611EF0"/>
    <w:rsid w:val="006121F9"/>
    <w:rsid w:val="00612503"/>
    <w:rsid w:val="00612814"/>
    <w:rsid w:val="006130FD"/>
    <w:rsid w:val="0061325B"/>
    <w:rsid w:val="006132A4"/>
    <w:rsid w:val="006135B6"/>
    <w:rsid w:val="00613BE7"/>
    <w:rsid w:val="00613D14"/>
    <w:rsid w:val="00613DFA"/>
    <w:rsid w:val="0061401C"/>
    <w:rsid w:val="006142C3"/>
    <w:rsid w:val="00614619"/>
    <w:rsid w:val="006155FA"/>
    <w:rsid w:val="00615C07"/>
    <w:rsid w:val="00616581"/>
    <w:rsid w:val="00616599"/>
    <w:rsid w:val="006167F0"/>
    <w:rsid w:val="006168CA"/>
    <w:rsid w:val="00616E01"/>
    <w:rsid w:val="006179D1"/>
    <w:rsid w:val="0062025F"/>
    <w:rsid w:val="00620B43"/>
    <w:rsid w:val="00620EAD"/>
    <w:rsid w:val="00621419"/>
    <w:rsid w:val="00621D0C"/>
    <w:rsid w:val="00622567"/>
    <w:rsid w:val="00622643"/>
    <w:rsid w:val="0062305C"/>
    <w:rsid w:val="006238A0"/>
    <w:rsid w:val="00623B42"/>
    <w:rsid w:val="00623CF8"/>
    <w:rsid w:val="006242F4"/>
    <w:rsid w:val="006244DE"/>
    <w:rsid w:val="006254D3"/>
    <w:rsid w:val="0062567F"/>
    <w:rsid w:val="00625AF1"/>
    <w:rsid w:val="00626106"/>
    <w:rsid w:val="0062620E"/>
    <w:rsid w:val="00626346"/>
    <w:rsid w:val="006265E0"/>
    <w:rsid w:val="0062703B"/>
    <w:rsid w:val="0062704C"/>
    <w:rsid w:val="00627940"/>
    <w:rsid w:val="006279EA"/>
    <w:rsid w:val="00627CA9"/>
    <w:rsid w:val="00627ED8"/>
    <w:rsid w:val="00627FC3"/>
    <w:rsid w:val="006301A5"/>
    <w:rsid w:val="006303D0"/>
    <w:rsid w:val="0063070C"/>
    <w:rsid w:val="006307EE"/>
    <w:rsid w:val="00630C91"/>
    <w:rsid w:val="00631260"/>
    <w:rsid w:val="006316D9"/>
    <w:rsid w:val="00631A1D"/>
    <w:rsid w:val="006320CB"/>
    <w:rsid w:val="00632378"/>
    <w:rsid w:val="00633829"/>
    <w:rsid w:val="00633DED"/>
    <w:rsid w:val="00634589"/>
    <w:rsid w:val="006346FE"/>
    <w:rsid w:val="00634817"/>
    <w:rsid w:val="00634D3D"/>
    <w:rsid w:val="00634DC9"/>
    <w:rsid w:val="00634E71"/>
    <w:rsid w:val="006350D7"/>
    <w:rsid w:val="0063510D"/>
    <w:rsid w:val="00635173"/>
    <w:rsid w:val="00635997"/>
    <w:rsid w:val="00635C2F"/>
    <w:rsid w:val="00635E3E"/>
    <w:rsid w:val="006360D7"/>
    <w:rsid w:val="006363E4"/>
    <w:rsid w:val="006365B4"/>
    <w:rsid w:val="00636B5E"/>
    <w:rsid w:val="00636CEE"/>
    <w:rsid w:val="00636D62"/>
    <w:rsid w:val="00636F4C"/>
    <w:rsid w:val="00636FE9"/>
    <w:rsid w:val="00637EFA"/>
    <w:rsid w:val="00640797"/>
    <w:rsid w:val="00640BC8"/>
    <w:rsid w:val="00640F6E"/>
    <w:rsid w:val="006414FF"/>
    <w:rsid w:val="006421D5"/>
    <w:rsid w:val="0064221C"/>
    <w:rsid w:val="00642451"/>
    <w:rsid w:val="00642544"/>
    <w:rsid w:val="006425A6"/>
    <w:rsid w:val="0064267D"/>
    <w:rsid w:val="00642A41"/>
    <w:rsid w:val="00642A56"/>
    <w:rsid w:val="00642B3F"/>
    <w:rsid w:val="00643194"/>
    <w:rsid w:val="0064375C"/>
    <w:rsid w:val="00643CF3"/>
    <w:rsid w:val="00644D51"/>
    <w:rsid w:val="00644DA3"/>
    <w:rsid w:val="00645994"/>
    <w:rsid w:val="00645A66"/>
    <w:rsid w:val="00645F59"/>
    <w:rsid w:val="0064620D"/>
    <w:rsid w:val="006464B2"/>
    <w:rsid w:val="0064659A"/>
    <w:rsid w:val="00647075"/>
    <w:rsid w:val="00647171"/>
    <w:rsid w:val="00647480"/>
    <w:rsid w:val="00647AF1"/>
    <w:rsid w:val="00650AED"/>
    <w:rsid w:val="00650DBE"/>
    <w:rsid w:val="00650E77"/>
    <w:rsid w:val="0065116A"/>
    <w:rsid w:val="00651A5E"/>
    <w:rsid w:val="00651EF4"/>
    <w:rsid w:val="0065240B"/>
    <w:rsid w:val="00652763"/>
    <w:rsid w:val="006527E4"/>
    <w:rsid w:val="00653B15"/>
    <w:rsid w:val="00653C58"/>
    <w:rsid w:val="00654C2B"/>
    <w:rsid w:val="00654F5A"/>
    <w:rsid w:val="00655300"/>
    <w:rsid w:val="00656644"/>
    <w:rsid w:val="00656718"/>
    <w:rsid w:val="00657254"/>
    <w:rsid w:val="00657291"/>
    <w:rsid w:val="00657313"/>
    <w:rsid w:val="006575BC"/>
    <w:rsid w:val="00657C3D"/>
    <w:rsid w:val="00657D9B"/>
    <w:rsid w:val="00657F0F"/>
    <w:rsid w:val="00657FAA"/>
    <w:rsid w:val="00660253"/>
    <w:rsid w:val="006604D2"/>
    <w:rsid w:val="006612FC"/>
    <w:rsid w:val="0066196B"/>
    <w:rsid w:val="00661989"/>
    <w:rsid w:val="00661A46"/>
    <w:rsid w:val="00661B56"/>
    <w:rsid w:val="00661BF9"/>
    <w:rsid w:val="00661CA2"/>
    <w:rsid w:val="00661E87"/>
    <w:rsid w:val="00661FC1"/>
    <w:rsid w:val="00662327"/>
    <w:rsid w:val="00662795"/>
    <w:rsid w:val="006629EC"/>
    <w:rsid w:val="00662A36"/>
    <w:rsid w:val="006631CB"/>
    <w:rsid w:val="0066369F"/>
    <w:rsid w:val="00663802"/>
    <w:rsid w:val="00663DA3"/>
    <w:rsid w:val="00664392"/>
    <w:rsid w:val="006644DF"/>
    <w:rsid w:val="00664B90"/>
    <w:rsid w:val="00664C5F"/>
    <w:rsid w:val="00664DCB"/>
    <w:rsid w:val="00666608"/>
    <w:rsid w:val="00666899"/>
    <w:rsid w:val="00666D48"/>
    <w:rsid w:val="00666DCF"/>
    <w:rsid w:val="00667139"/>
    <w:rsid w:val="0066715D"/>
    <w:rsid w:val="006671DD"/>
    <w:rsid w:val="00667241"/>
    <w:rsid w:val="006674B5"/>
    <w:rsid w:val="0066752A"/>
    <w:rsid w:val="006678BC"/>
    <w:rsid w:val="00667998"/>
    <w:rsid w:val="00670971"/>
    <w:rsid w:val="00671A36"/>
    <w:rsid w:val="006722AC"/>
    <w:rsid w:val="006726B6"/>
    <w:rsid w:val="0067278A"/>
    <w:rsid w:val="00672E10"/>
    <w:rsid w:val="00673005"/>
    <w:rsid w:val="00673E7B"/>
    <w:rsid w:val="0067417E"/>
    <w:rsid w:val="006742D9"/>
    <w:rsid w:val="0067433D"/>
    <w:rsid w:val="00674502"/>
    <w:rsid w:val="006745BC"/>
    <w:rsid w:val="006747F9"/>
    <w:rsid w:val="00674901"/>
    <w:rsid w:val="00674966"/>
    <w:rsid w:val="00674B9E"/>
    <w:rsid w:val="00674DD4"/>
    <w:rsid w:val="00675F6F"/>
    <w:rsid w:val="00676247"/>
    <w:rsid w:val="0067650C"/>
    <w:rsid w:val="00676599"/>
    <w:rsid w:val="006766C0"/>
    <w:rsid w:val="0067736D"/>
    <w:rsid w:val="00677727"/>
    <w:rsid w:val="00677E63"/>
    <w:rsid w:val="00677EA7"/>
    <w:rsid w:val="00680025"/>
    <w:rsid w:val="00680CBE"/>
    <w:rsid w:val="00680EEC"/>
    <w:rsid w:val="00681256"/>
    <w:rsid w:val="006821AC"/>
    <w:rsid w:val="00682252"/>
    <w:rsid w:val="00683127"/>
    <w:rsid w:val="00683347"/>
    <w:rsid w:val="00683736"/>
    <w:rsid w:val="00684343"/>
    <w:rsid w:val="00685122"/>
    <w:rsid w:val="006854BD"/>
    <w:rsid w:val="006855E1"/>
    <w:rsid w:val="00685B1D"/>
    <w:rsid w:val="00685C8C"/>
    <w:rsid w:val="00685F3C"/>
    <w:rsid w:val="00686587"/>
    <w:rsid w:val="006869FB"/>
    <w:rsid w:val="00686B86"/>
    <w:rsid w:val="00686FBF"/>
    <w:rsid w:val="00687104"/>
    <w:rsid w:val="00687569"/>
    <w:rsid w:val="00687891"/>
    <w:rsid w:val="006903E9"/>
    <w:rsid w:val="00690DA7"/>
    <w:rsid w:val="00691504"/>
    <w:rsid w:val="0069156D"/>
    <w:rsid w:val="00691704"/>
    <w:rsid w:val="00691720"/>
    <w:rsid w:val="006919F5"/>
    <w:rsid w:val="006922AF"/>
    <w:rsid w:val="00692406"/>
    <w:rsid w:val="006926B0"/>
    <w:rsid w:val="00692D4B"/>
    <w:rsid w:val="00692E1D"/>
    <w:rsid w:val="00693508"/>
    <w:rsid w:val="0069375D"/>
    <w:rsid w:val="00694BCB"/>
    <w:rsid w:val="00695364"/>
    <w:rsid w:val="006956C2"/>
    <w:rsid w:val="006959F0"/>
    <w:rsid w:val="00695A7A"/>
    <w:rsid w:val="00695DA8"/>
    <w:rsid w:val="00695F26"/>
    <w:rsid w:val="006965CB"/>
    <w:rsid w:val="00696A35"/>
    <w:rsid w:val="00696A4F"/>
    <w:rsid w:val="006977C9"/>
    <w:rsid w:val="0069796C"/>
    <w:rsid w:val="00697F11"/>
    <w:rsid w:val="006A031E"/>
    <w:rsid w:val="006A0F3B"/>
    <w:rsid w:val="006A1091"/>
    <w:rsid w:val="006A177C"/>
    <w:rsid w:val="006A29B5"/>
    <w:rsid w:val="006A2FF3"/>
    <w:rsid w:val="006A3464"/>
    <w:rsid w:val="006A374E"/>
    <w:rsid w:val="006A3D3C"/>
    <w:rsid w:val="006A4059"/>
    <w:rsid w:val="006A44E9"/>
    <w:rsid w:val="006A4504"/>
    <w:rsid w:val="006A4B5E"/>
    <w:rsid w:val="006A5819"/>
    <w:rsid w:val="006A589B"/>
    <w:rsid w:val="006A5F1D"/>
    <w:rsid w:val="006A653F"/>
    <w:rsid w:val="006A67F6"/>
    <w:rsid w:val="006A6F61"/>
    <w:rsid w:val="006A74B3"/>
    <w:rsid w:val="006A74E9"/>
    <w:rsid w:val="006A7E99"/>
    <w:rsid w:val="006B01E7"/>
    <w:rsid w:val="006B0AFE"/>
    <w:rsid w:val="006B0B3A"/>
    <w:rsid w:val="006B0BA9"/>
    <w:rsid w:val="006B0FFF"/>
    <w:rsid w:val="006B1828"/>
    <w:rsid w:val="006B1E65"/>
    <w:rsid w:val="006B2403"/>
    <w:rsid w:val="006B25A7"/>
    <w:rsid w:val="006B267A"/>
    <w:rsid w:val="006B2D4E"/>
    <w:rsid w:val="006B309C"/>
    <w:rsid w:val="006B319C"/>
    <w:rsid w:val="006B332C"/>
    <w:rsid w:val="006B34E3"/>
    <w:rsid w:val="006B398D"/>
    <w:rsid w:val="006B5033"/>
    <w:rsid w:val="006B549F"/>
    <w:rsid w:val="006B647A"/>
    <w:rsid w:val="006B653E"/>
    <w:rsid w:val="006B6A0B"/>
    <w:rsid w:val="006B7421"/>
    <w:rsid w:val="006B74D4"/>
    <w:rsid w:val="006B7B3C"/>
    <w:rsid w:val="006C088E"/>
    <w:rsid w:val="006C1746"/>
    <w:rsid w:val="006C1DF2"/>
    <w:rsid w:val="006C2037"/>
    <w:rsid w:val="006C25F3"/>
    <w:rsid w:val="006C366B"/>
    <w:rsid w:val="006C3676"/>
    <w:rsid w:val="006C39BF"/>
    <w:rsid w:val="006C39C3"/>
    <w:rsid w:val="006C4600"/>
    <w:rsid w:val="006C4B17"/>
    <w:rsid w:val="006C503B"/>
    <w:rsid w:val="006C5660"/>
    <w:rsid w:val="006C5D15"/>
    <w:rsid w:val="006C5E1E"/>
    <w:rsid w:val="006C63AC"/>
    <w:rsid w:val="006C721C"/>
    <w:rsid w:val="006C7320"/>
    <w:rsid w:val="006C7465"/>
    <w:rsid w:val="006C75E6"/>
    <w:rsid w:val="006C785D"/>
    <w:rsid w:val="006C78A9"/>
    <w:rsid w:val="006C7E3A"/>
    <w:rsid w:val="006D0230"/>
    <w:rsid w:val="006D0820"/>
    <w:rsid w:val="006D1524"/>
    <w:rsid w:val="006D163A"/>
    <w:rsid w:val="006D1D10"/>
    <w:rsid w:val="006D27F7"/>
    <w:rsid w:val="006D2FFD"/>
    <w:rsid w:val="006D342A"/>
    <w:rsid w:val="006D38EF"/>
    <w:rsid w:val="006D3AA4"/>
    <w:rsid w:val="006D4752"/>
    <w:rsid w:val="006D4848"/>
    <w:rsid w:val="006D4F76"/>
    <w:rsid w:val="006D5CC9"/>
    <w:rsid w:val="006D6D00"/>
    <w:rsid w:val="006D71BD"/>
    <w:rsid w:val="006D73F4"/>
    <w:rsid w:val="006E0041"/>
    <w:rsid w:val="006E0808"/>
    <w:rsid w:val="006E0ABC"/>
    <w:rsid w:val="006E0DBD"/>
    <w:rsid w:val="006E0F51"/>
    <w:rsid w:val="006E15EB"/>
    <w:rsid w:val="006E17D7"/>
    <w:rsid w:val="006E1A16"/>
    <w:rsid w:val="006E1D07"/>
    <w:rsid w:val="006E1ECB"/>
    <w:rsid w:val="006E28B0"/>
    <w:rsid w:val="006E2D6E"/>
    <w:rsid w:val="006E31AA"/>
    <w:rsid w:val="006E3402"/>
    <w:rsid w:val="006E390E"/>
    <w:rsid w:val="006E42CF"/>
    <w:rsid w:val="006E4C0B"/>
    <w:rsid w:val="006E59A8"/>
    <w:rsid w:val="006E5BE1"/>
    <w:rsid w:val="006E7ED9"/>
    <w:rsid w:val="006F052F"/>
    <w:rsid w:val="006F0539"/>
    <w:rsid w:val="006F0E0E"/>
    <w:rsid w:val="006F0F6B"/>
    <w:rsid w:val="006F1046"/>
    <w:rsid w:val="006F118F"/>
    <w:rsid w:val="006F11D3"/>
    <w:rsid w:val="006F13F9"/>
    <w:rsid w:val="006F14E2"/>
    <w:rsid w:val="006F1598"/>
    <w:rsid w:val="006F168B"/>
    <w:rsid w:val="006F19E5"/>
    <w:rsid w:val="006F2015"/>
    <w:rsid w:val="006F28F4"/>
    <w:rsid w:val="006F2DD2"/>
    <w:rsid w:val="006F3046"/>
    <w:rsid w:val="006F3C16"/>
    <w:rsid w:val="006F4849"/>
    <w:rsid w:val="006F496A"/>
    <w:rsid w:val="006F4F81"/>
    <w:rsid w:val="006F55DB"/>
    <w:rsid w:val="006F5C51"/>
    <w:rsid w:val="006F5E61"/>
    <w:rsid w:val="006F60EC"/>
    <w:rsid w:val="006F6742"/>
    <w:rsid w:val="006F68CE"/>
    <w:rsid w:val="006F77C8"/>
    <w:rsid w:val="006F79CA"/>
    <w:rsid w:val="006F7AA4"/>
    <w:rsid w:val="007006A9"/>
    <w:rsid w:val="00700A4A"/>
    <w:rsid w:val="007013D5"/>
    <w:rsid w:val="00701419"/>
    <w:rsid w:val="00701FDF"/>
    <w:rsid w:val="00702495"/>
    <w:rsid w:val="00702635"/>
    <w:rsid w:val="0070323D"/>
    <w:rsid w:val="00703465"/>
    <w:rsid w:val="0070385E"/>
    <w:rsid w:val="0070388F"/>
    <w:rsid w:val="00703F47"/>
    <w:rsid w:val="00704383"/>
    <w:rsid w:val="0070561F"/>
    <w:rsid w:val="0070605D"/>
    <w:rsid w:val="0070679C"/>
    <w:rsid w:val="00706B99"/>
    <w:rsid w:val="007070E0"/>
    <w:rsid w:val="007070E5"/>
    <w:rsid w:val="007072E1"/>
    <w:rsid w:val="00707637"/>
    <w:rsid w:val="00707A38"/>
    <w:rsid w:val="00710820"/>
    <w:rsid w:val="00710980"/>
    <w:rsid w:val="00710A78"/>
    <w:rsid w:val="007112FC"/>
    <w:rsid w:val="0071141F"/>
    <w:rsid w:val="0071168A"/>
    <w:rsid w:val="00711C21"/>
    <w:rsid w:val="00711F2C"/>
    <w:rsid w:val="00711FB3"/>
    <w:rsid w:val="00712180"/>
    <w:rsid w:val="007125ED"/>
    <w:rsid w:val="00712D05"/>
    <w:rsid w:val="00713B8A"/>
    <w:rsid w:val="00713E44"/>
    <w:rsid w:val="0071431B"/>
    <w:rsid w:val="0071439C"/>
    <w:rsid w:val="0071457F"/>
    <w:rsid w:val="00715E03"/>
    <w:rsid w:val="00716093"/>
    <w:rsid w:val="007163E9"/>
    <w:rsid w:val="0071666D"/>
    <w:rsid w:val="00716AB5"/>
    <w:rsid w:val="007170A1"/>
    <w:rsid w:val="00717E72"/>
    <w:rsid w:val="00720704"/>
    <w:rsid w:val="00720F38"/>
    <w:rsid w:val="00721216"/>
    <w:rsid w:val="0072128E"/>
    <w:rsid w:val="00721326"/>
    <w:rsid w:val="00721874"/>
    <w:rsid w:val="007218D9"/>
    <w:rsid w:val="00721A25"/>
    <w:rsid w:val="0072283D"/>
    <w:rsid w:val="00722D63"/>
    <w:rsid w:val="007231E4"/>
    <w:rsid w:val="007232F8"/>
    <w:rsid w:val="007235EA"/>
    <w:rsid w:val="007236D3"/>
    <w:rsid w:val="00723947"/>
    <w:rsid w:val="00723D1E"/>
    <w:rsid w:val="00723D6E"/>
    <w:rsid w:val="00724175"/>
    <w:rsid w:val="00724990"/>
    <w:rsid w:val="00724D54"/>
    <w:rsid w:val="00724E97"/>
    <w:rsid w:val="00725E78"/>
    <w:rsid w:val="00725F3F"/>
    <w:rsid w:val="00726031"/>
    <w:rsid w:val="007273F1"/>
    <w:rsid w:val="00727CDC"/>
    <w:rsid w:val="00727E2A"/>
    <w:rsid w:val="00730970"/>
    <w:rsid w:val="00730B45"/>
    <w:rsid w:val="00730D08"/>
    <w:rsid w:val="00731A3C"/>
    <w:rsid w:val="00731B92"/>
    <w:rsid w:val="00731CEB"/>
    <w:rsid w:val="00732344"/>
    <w:rsid w:val="00732743"/>
    <w:rsid w:val="00732C53"/>
    <w:rsid w:val="007333C0"/>
    <w:rsid w:val="0073361E"/>
    <w:rsid w:val="00734A7D"/>
    <w:rsid w:val="00734AB7"/>
    <w:rsid w:val="007350E4"/>
    <w:rsid w:val="00735389"/>
    <w:rsid w:val="0073562D"/>
    <w:rsid w:val="00735A4E"/>
    <w:rsid w:val="0073661F"/>
    <w:rsid w:val="00736B36"/>
    <w:rsid w:val="00736B46"/>
    <w:rsid w:val="00736E86"/>
    <w:rsid w:val="007372BA"/>
    <w:rsid w:val="00737C08"/>
    <w:rsid w:val="00737D80"/>
    <w:rsid w:val="00737FC7"/>
    <w:rsid w:val="007400AB"/>
    <w:rsid w:val="00740328"/>
    <w:rsid w:val="007403D8"/>
    <w:rsid w:val="00740781"/>
    <w:rsid w:val="00740C27"/>
    <w:rsid w:val="00741627"/>
    <w:rsid w:val="0074189B"/>
    <w:rsid w:val="00744068"/>
    <w:rsid w:val="0074450D"/>
    <w:rsid w:val="007445D1"/>
    <w:rsid w:val="0074482A"/>
    <w:rsid w:val="00744AE9"/>
    <w:rsid w:val="00745499"/>
    <w:rsid w:val="0074667D"/>
    <w:rsid w:val="007468F5"/>
    <w:rsid w:val="00746AFF"/>
    <w:rsid w:val="007471A3"/>
    <w:rsid w:val="007473AB"/>
    <w:rsid w:val="007474EA"/>
    <w:rsid w:val="007475F6"/>
    <w:rsid w:val="00747A80"/>
    <w:rsid w:val="00747E9B"/>
    <w:rsid w:val="00747EF7"/>
    <w:rsid w:val="00750949"/>
    <w:rsid w:val="007509EF"/>
    <w:rsid w:val="00750E4F"/>
    <w:rsid w:val="0075100F"/>
    <w:rsid w:val="0075107D"/>
    <w:rsid w:val="0075124A"/>
    <w:rsid w:val="00751CA3"/>
    <w:rsid w:val="007523B6"/>
    <w:rsid w:val="00752AD9"/>
    <w:rsid w:val="007530D7"/>
    <w:rsid w:val="0075316D"/>
    <w:rsid w:val="00753BD6"/>
    <w:rsid w:val="00753E64"/>
    <w:rsid w:val="00753EFE"/>
    <w:rsid w:val="00754446"/>
    <w:rsid w:val="00754715"/>
    <w:rsid w:val="00754A92"/>
    <w:rsid w:val="00754B4E"/>
    <w:rsid w:val="00754DDB"/>
    <w:rsid w:val="007568C8"/>
    <w:rsid w:val="00756972"/>
    <w:rsid w:val="00756A2E"/>
    <w:rsid w:val="00756D51"/>
    <w:rsid w:val="00757099"/>
    <w:rsid w:val="00757BA6"/>
    <w:rsid w:val="00760A34"/>
    <w:rsid w:val="00760C73"/>
    <w:rsid w:val="00760D44"/>
    <w:rsid w:val="00761151"/>
    <w:rsid w:val="00761532"/>
    <w:rsid w:val="00761CFD"/>
    <w:rsid w:val="00762105"/>
    <w:rsid w:val="0076339B"/>
    <w:rsid w:val="00763665"/>
    <w:rsid w:val="00763A7C"/>
    <w:rsid w:val="00763CBD"/>
    <w:rsid w:val="00764F78"/>
    <w:rsid w:val="007651AF"/>
    <w:rsid w:val="007661F5"/>
    <w:rsid w:val="007670E9"/>
    <w:rsid w:val="00767457"/>
    <w:rsid w:val="00767EBD"/>
    <w:rsid w:val="00770055"/>
    <w:rsid w:val="00770089"/>
    <w:rsid w:val="007700A3"/>
    <w:rsid w:val="007705FD"/>
    <w:rsid w:val="007706A5"/>
    <w:rsid w:val="00770765"/>
    <w:rsid w:val="00770FA6"/>
    <w:rsid w:val="00771197"/>
    <w:rsid w:val="00771373"/>
    <w:rsid w:val="00771417"/>
    <w:rsid w:val="0077163B"/>
    <w:rsid w:val="0077188E"/>
    <w:rsid w:val="00771DD7"/>
    <w:rsid w:val="00771ECE"/>
    <w:rsid w:val="0077276E"/>
    <w:rsid w:val="00772AC0"/>
    <w:rsid w:val="0077325D"/>
    <w:rsid w:val="00773671"/>
    <w:rsid w:val="0077386F"/>
    <w:rsid w:val="00773F3A"/>
    <w:rsid w:val="00774179"/>
    <w:rsid w:val="007746BE"/>
    <w:rsid w:val="0077569D"/>
    <w:rsid w:val="007759DD"/>
    <w:rsid w:val="007760FF"/>
    <w:rsid w:val="00776342"/>
    <w:rsid w:val="00776E47"/>
    <w:rsid w:val="00776EEB"/>
    <w:rsid w:val="007774B5"/>
    <w:rsid w:val="00777861"/>
    <w:rsid w:val="0077790D"/>
    <w:rsid w:val="00777E2F"/>
    <w:rsid w:val="00781356"/>
    <w:rsid w:val="0078136C"/>
    <w:rsid w:val="007813C7"/>
    <w:rsid w:val="00781DDF"/>
    <w:rsid w:val="007825A9"/>
    <w:rsid w:val="007826F1"/>
    <w:rsid w:val="00782710"/>
    <w:rsid w:val="00782BDF"/>
    <w:rsid w:val="00782DE8"/>
    <w:rsid w:val="00782FBF"/>
    <w:rsid w:val="007830AF"/>
    <w:rsid w:val="0078334F"/>
    <w:rsid w:val="007837B5"/>
    <w:rsid w:val="007838C4"/>
    <w:rsid w:val="00783F2B"/>
    <w:rsid w:val="00784108"/>
    <w:rsid w:val="00784604"/>
    <w:rsid w:val="007847CE"/>
    <w:rsid w:val="0078481A"/>
    <w:rsid w:val="00784DAE"/>
    <w:rsid w:val="00785176"/>
    <w:rsid w:val="00785460"/>
    <w:rsid w:val="00785ADC"/>
    <w:rsid w:val="00785B9B"/>
    <w:rsid w:val="00787107"/>
    <w:rsid w:val="0078729D"/>
    <w:rsid w:val="00787318"/>
    <w:rsid w:val="007875F6"/>
    <w:rsid w:val="007879D4"/>
    <w:rsid w:val="007903A9"/>
    <w:rsid w:val="00790580"/>
    <w:rsid w:val="0079129D"/>
    <w:rsid w:val="0079130C"/>
    <w:rsid w:val="007913C9"/>
    <w:rsid w:val="007922A6"/>
    <w:rsid w:val="0079240C"/>
    <w:rsid w:val="007925C0"/>
    <w:rsid w:val="00792CDE"/>
    <w:rsid w:val="00793720"/>
    <w:rsid w:val="00793CAC"/>
    <w:rsid w:val="00793CFD"/>
    <w:rsid w:val="00793FC3"/>
    <w:rsid w:val="007946C0"/>
    <w:rsid w:val="007946FB"/>
    <w:rsid w:val="00794F40"/>
    <w:rsid w:val="00795150"/>
    <w:rsid w:val="007954C8"/>
    <w:rsid w:val="007955CA"/>
    <w:rsid w:val="007957F4"/>
    <w:rsid w:val="00795817"/>
    <w:rsid w:val="0079615B"/>
    <w:rsid w:val="00796C7C"/>
    <w:rsid w:val="00797F11"/>
    <w:rsid w:val="007A071B"/>
    <w:rsid w:val="007A0A77"/>
    <w:rsid w:val="007A1421"/>
    <w:rsid w:val="007A16A5"/>
    <w:rsid w:val="007A1DE4"/>
    <w:rsid w:val="007A2048"/>
    <w:rsid w:val="007A211D"/>
    <w:rsid w:val="007A22C2"/>
    <w:rsid w:val="007A25E0"/>
    <w:rsid w:val="007A276E"/>
    <w:rsid w:val="007A2DB4"/>
    <w:rsid w:val="007A3302"/>
    <w:rsid w:val="007A3335"/>
    <w:rsid w:val="007A36D1"/>
    <w:rsid w:val="007A39D8"/>
    <w:rsid w:val="007A3C41"/>
    <w:rsid w:val="007A3FA7"/>
    <w:rsid w:val="007A406F"/>
    <w:rsid w:val="007A4F0F"/>
    <w:rsid w:val="007A5A90"/>
    <w:rsid w:val="007A5B25"/>
    <w:rsid w:val="007A5BC0"/>
    <w:rsid w:val="007A645A"/>
    <w:rsid w:val="007A69C3"/>
    <w:rsid w:val="007A6AA8"/>
    <w:rsid w:val="007A6D90"/>
    <w:rsid w:val="007A731A"/>
    <w:rsid w:val="007A7453"/>
    <w:rsid w:val="007A7B6E"/>
    <w:rsid w:val="007B0600"/>
    <w:rsid w:val="007B0801"/>
    <w:rsid w:val="007B0832"/>
    <w:rsid w:val="007B09DB"/>
    <w:rsid w:val="007B0B35"/>
    <w:rsid w:val="007B19AD"/>
    <w:rsid w:val="007B1D8A"/>
    <w:rsid w:val="007B1E09"/>
    <w:rsid w:val="007B2693"/>
    <w:rsid w:val="007B2F1E"/>
    <w:rsid w:val="007B342A"/>
    <w:rsid w:val="007B3B27"/>
    <w:rsid w:val="007B3FE2"/>
    <w:rsid w:val="007B4382"/>
    <w:rsid w:val="007B479F"/>
    <w:rsid w:val="007B494D"/>
    <w:rsid w:val="007B575F"/>
    <w:rsid w:val="007B5BB5"/>
    <w:rsid w:val="007B5BFF"/>
    <w:rsid w:val="007B5F19"/>
    <w:rsid w:val="007B5F59"/>
    <w:rsid w:val="007B634F"/>
    <w:rsid w:val="007B63E1"/>
    <w:rsid w:val="007B6C56"/>
    <w:rsid w:val="007B73C6"/>
    <w:rsid w:val="007B7636"/>
    <w:rsid w:val="007B77EF"/>
    <w:rsid w:val="007B77F0"/>
    <w:rsid w:val="007B791E"/>
    <w:rsid w:val="007C0094"/>
    <w:rsid w:val="007C0E21"/>
    <w:rsid w:val="007C10A5"/>
    <w:rsid w:val="007C132C"/>
    <w:rsid w:val="007C15FA"/>
    <w:rsid w:val="007C16EE"/>
    <w:rsid w:val="007C1AAA"/>
    <w:rsid w:val="007C1EA5"/>
    <w:rsid w:val="007C1EB6"/>
    <w:rsid w:val="007C1F49"/>
    <w:rsid w:val="007C2051"/>
    <w:rsid w:val="007C2737"/>
    <w:rsid w:val="007C2D3D"/>
    <w:rsid w:val="007C3069"/>
    <w:rsid w:val="007C3144"/>
    <w:rsid w:val="007C377D"/>
    <w:rsid w:val="007C3946"/>
    <w:rsid w:val="007C41C5"/>
    <w:rsid w:val="007C468B"/>
    <w:rsid w:val="007C48F4"/>
    <w:rsid w:val="007C4F70"/>
    <w:rsid w:val="007C5232"/>
    <w:rsid w:val="007C595D"/>
    <w:rsid w:val="007C604A"/>
    <w:rsid w:val="007C60C0"/>
    <w:rsid w:val="007C6B2A"/>
    <w:rsid w:val="007C6CA9"/>
    <w:rsid w:val="007C6DA1"/>
    <w:rsid w:val="007C6DBE"/>
    <w:rsid w:val="007C6F09"/>
    <w:rsid w:val="007C6FC4"/>
    <w:rsid w:val="007C73F9"/>
    <w:rsid w:val="007C7B90"/>
    <w:rsid w:val="007C7BF1"/>
    <w:rsid w:val="007D0482"/>
    <w:rsid w:val="007D081A"/>
    <w:rsid w:val="007D0A70"/>
    <w:rsid w:val="007D16A3"/>
    <w:rsid w:val="007D1E47"/>
    <w:rsid w:val="007D2AD4"/>
    <w:rsid w:val="007D3750"/>
    <w:rsid w:val="007D3BF2"/>
    <w:rsid w:val="007D468E"/>
    <w:rsid w:val="007D4BC3"/>
    <w:rsid w:val="007D4BF4"/>
    <w:rsid w:val="007D4DEF"/>
    <w:rsid w:val="007D4E9A"/>
    <w:rsid w:val="007D4EE1"/>
    <w:rsid w:val="007D59FB"/>
    <w:rsid w:val="007D619C"/>
    <w:rsid w:val="007D69A1"/>
    <w:rsid w:val="007D71AE"/>
    <w:rsid w:val="007D7461"/>
    <w:rsid w:val="007E04A0"/>
    <w:rsid w:val="007E0528"/>
    <w:rsid w:val="007E0534"/>
    <w:rsid w:val="007E06AE"/>
    <w:rsid w:val="007E08F6"/>
    <w:rsid w:val="007E12DC"/>
    <w:rsid w:val="007E1305"/>
    <w:rsid w:val="007E151A"/>
    <w:rsid w:val="007E161F"/>
    <w:rsid w:val="007E1B64"/>
    <w:rsid w:val="007E1CE1"/>
    <w:rsid w:val="007E1D00"/>
    <w:rsid w:val="007E1D34"/>
    <w:rsid w:val="007E1F52"/>
    <w:rsid w:val="007E2ABF"/>
    <w:rsid w:val="007E2C3A"/>
    <w:rsid w:val="007E2FF9"/>
    <w:rsid w:val="007E38D7"/>
    <w:rsid w:val="007E44A0"/>
    <w:rsid w:val="007E4C7E"/>
    <w:rsid w:val="007E4F7B"/>
    <w:rsid w:val="007E53C1"/>
    <w:rsid w:val="007E5A18"/>
    <w:rsid w:val="007E5A1C"/>
    <w:rsid w:val="007E60E9"/>
    <w:rsid w:val="007E676F"/>
    <w:rsid w:val="007E6851"/>
    <w:rsid w:val="007E7128"/>
    <w:rsid w:val="007E72ED"/>
    <w:rsid w:val="007E79A1"/>
    <w:rsid w:val="007F033E"/>
    <w:rsid w:val="007F083E"/>
    <w:rsid w:val="007F193B"/>
    <w:rsid w:val="007F285D"/>
    <w:rsid w:val="007F2993"/>
    <w:rsid w:val="007F2C29"/>
    <w:rsid w:val="007F2CD7"/>
    <w:rsid w:val="007F34E8"/>
    <w:rsid w:val="007F3FA8"/>
    <w:rsid w:val="007F40A6"/>
    <w:rsid w:val="007F42FD"/>
    <w:rsid w:val="007F4694"/>
    <w:rsid w:val="007F4AD9"/>
    <w:rsid w:val="007F5625"/>
    <w:rsid w:val="007F58A5"/>
    <w:rsid w:val="007F6124"/>
    <w:rsid w:val="007F65C3"/>
    <w:rsid w:val="007F683C"/>
    <w:rsid w:val="007F7AF2"/>
    <w:rsid w:val="007F7DCC"/>
    <w:rsid w:val="00800AA6"/>
    <w:rsid w:val="0080124D"/>
    <w:rsid w:val="008012A8"/>
    <w:rsid w:val="00801357"/>
    <w:rsid w:val="00801401"/>
    <w:rsid w:val="008019A6"/>
    <w:rsid w:val="00801FC1"/>
    <w:rsid w:val="00801FCE"/>
    <w:rsid w:val="00803C6A"/>
    <w:rsid w:val="00804356"/>
    <w:rsid w:val="008048DA"/>
    <w:rsid w:val="00804CEE"/>
    <w:rsid w:val="00804E70"/>
    <w:rsid w:val="0080589B"/>
    <w:rsid w:val="008059CB"/>
    <w:rsid w:val="00805A29"/>
    <w:rsid w:val="00805F12"/>
    <w:rsid w:val="00805FC9"/>
    <w:rsid w:val="0080705B"/>
    <w:rsid w:val="00807083"/>
    <w:rsid w:val="0080742D"/>
    <w:rsid w:val="00807F10"/>
    <w:rsid w:val="00807F9F"/>
    <w:rsid w:val="00810302"/>
    <w:rsid w:val="0081087D"/>
    <w:rsid w:val="0081140B"/>
    <w:rsid w:val="008115B2"/>
    <w:rsid w:val="008115BB"/>
    <w:rsid w:val="008117DB"/>
    <w:rsid w:val="00811FA5"/>
    <w:rsid w:val="0081212B"/>
    <w:rsid w:val="00812A29"/>
    <w:rsid w:val="00812A8B"/>
    <w:rsid w:val="008137C1"/>
    <w:rsid w:val="00813F2A"/>
    <w:rsid w:val="00814295"/>
    <w:rsid w:val="008143AB"/>
    <w:rsid w:val="00814616"/>
    <w:rsid w:val="00814A55"/>
    <w:rsid w:val="00814EFD"/>
    <w:rsid w:val="00814FCE"/>
    <w:rsid w:val="00814FF4"/>
    <w:rsid w:val="0081554B"/>
    <w:rsid w:val="008155C2"/>
    <w:rsid w:val="00815EAA"/>
    <w:rsid w:val="00815F0A"/>
    <w:rsid w:val="00816AA8"/>
    <w:rsid w:val="00817343"/>
    <w:rsid w:val="008203B6"/>
    <w:rsid w:val="008211E5"/>
    <w:rsid w:val="008212BF"/>
    <w:rsid w:val="008213FD"/>
    <w:rsid w:val="008214A9"/>
    <w:rsid w:val="0082181F"/>
    <w:rsid w:val="00821BF8"/>
    <w:rsid w:val="00822492"/>
    <w:rsid w:val="0082262D"/>
    <w:rsid w:val="00822826"/>
    <w:rsid w:val="008228E6"/>
    <w:rsid w:val="00822B08"/>
    <w:rsid w:val="00822E85"/>
    <w:rsid w:val="008234CF"/>
    <w:rsid w:val="0082375B"/>
    <w:rsid w:val="00823BFB"/>
    <w:rsid w:val="00823E39"/>
    <w:rsid w:val="00823F86"/>
    <w:rsid w:val="00824117"/>
    <w:rsid w:val="00824318"/>
    <w:rsid w:val="0082431D"/>
    <w:rsid w:val="008249AA"/>
    <w:rsid w:val="00824A39"/>
    <w:rsid w:val="00825132"/>
    <w:rsid w:val="00825DEF"/>
    <w:rsid w:val="008263F9"/>
    <w:rsid w:val="00826FA1"/>
    <w:rsid w:val="00827002"/>
    <w:rsid w:val="00827783"/>
    <w:rsid w:val="0083088D"/>
    <w:rsid w:val="00830FB6"/>
    <w:rsid w:val="008314F3"/>
    <w:rsid w:val="00831687"/>
    <w:rsid w:val="00831D6F"/>
    <w:rsid w:val="00831D91"/>
    <w:rsid w:val="00831DB4"/>
    <w:rsid w:val="00831E28"/>
    <w:rsid w:val="00832148"/>
    <w:rsid w:val="00832288"/>
    <w:rsid w:val="008327AD"/>
    <w:rsid w:val="008330B0"/>
    <w:rsid w:val="0083348A"/>
    <w:rsid w:val="00833674"/>
    <w:rsid w:val="0083398F"/>
    <w:rsid w:val="00833AAA"/>
    <w:rsid w:val="00833E93"/>
    <w:rsid w:val="00834512"/>
    <w:rsid w:val="00834B72"/>
    <w:rsid w:val="0083555A"/>
    <w:rsid w:val="00835A67"/>
    <w:rsid w:val="00836D90"/>
    <w:rsid w:val="00836DBD"/>
    <w:rsid w:val="00836E66"/>
    <w:rsid w:val="00836F79"/>
    <w:rsid w:val="0083714A"/>
    <w:rsid w:val="008377D1"/>
    <w:rsid w:val="008378A5"/>
    <w:rsid w:val="0084118C"/>
    <w:rsid w:val="008419D1"/>
    <w:rsid w:val="00841A8A"/>
    <w:rsid w:val="00841C0C"/>
    <w:rsid w:val="00841EFC"/>
    <w:rsid w:val="00841F07"/>
    <w:rsid w:val="00842622"/>
    <w:rsid w:val="00842BA5"/>
    <w:rsid w:val="00842D32"/>
    <w:rsid w:val="00842F79"/>
    <w:rsid w:val="008432CF"/>
    <w:rsid w:val="00843420"/>
    <w:rsid w:val="008444B9"/>
    <w:rsid w:val="0084479C"/>
    <w:rsid w:val="00844A0A"/>
    <w:rsid w:val="00844BC9"/>
    <w:rsid w:val="00845037"/>
    <w:rsid w:val="00845428"/>
    <w:rsid w:val="00845466"/>
    <w:rsid w:val="0084566B"/>
    <w:rsid w:val="00845D79"/>
    <w:rsid w:val="00846429"/>
    <w:rsid w:val="00846692"/>
    <w:rsid w:val="008469D5"/>
    <w:rsid w:val="00846D6C"/>
    <w:rsid w:val="008472A0"/>
    <w:rsid w:val="00847B8F"/>
    <w:rsid w:val="00847C40"/>
    <w:rsid w:val="00847CE7"/>
    <w:rsid w:val="00847CE9"/>
    <w:rsid w:val="00847D5A"/>
    <w:rsid w:val="00850873"/>
    <w:rsid w:val="0085093C"/>
    <w:rsid w:val="00850D52"/>
    <w:rsid w:val="00851165"/>
    <w:rsid w:val="00851175"/>
    <w:rsid w:val="008512F4"/>
    <w:rsid w:val="0085133B"/>
    <w:rsid w:val="00851AA9"/>
    <w:rsid w:val="0085296E"/>
    <w:rsid w:val="00852A46"/>
    <w:rsid w:val="008539A5"/>
    <w:rsid w:val="00853B1F"/>
    <w:rsid w:val="00853CB8"/>
    <w:rsid w:val="008546E8"/>
    <w:rsid w:val="008547BD"/>
    <w:rsid w:val="00855FCB"/>
    <w:rsid w:val="00855FD4"/>
    <w:rsid w:val="008560F3"/>
    <w:rsid w:val="00856D41"/>
    <w:rsid w:val="00857586"/>
    <w:rsid w:val="00857AD2"/>
    <w:rsid w:val="00857B74"/>
    <w:rsid w:val="0086044E"/>
    <w:rsid w:val="00860714"/>
    <w:rsid w:val="00860CC5"/>
    <w:rsid w:val="008610D1"/>
    <w:rsid w:val="008615B8"/>
    <w:rsid w:val="0086161A"/>
    <w:rsid w:val="008616B9"/>
    <w:rsid w:val="00861B3C"/>
    <w:rsid w:val="00861BB9"/>
    <w:rsid w:val="00861C2F"/>
    <w:rsid w:val="0086218E"/>
    <w:rsid w:val="0086255C"/>
    <w:rsid w:val="00863008"/>
    <w:rsid w:val="008630C8"/>
    <w:rsid w:val="008632F0"/>
    <w:rsid w:val="008633E5"/>
    <w:rsid w:val="008637BA"/>
    <w:rsid w:val="00863A36"/>
    <w:rsid w:val="00863C2F"/>
    <w:rsid w:val="008641A3"/>
    <w:rsid w:val="00864952"/>
    <w:rsid w:val="00865355"/>
    <w:rsid w:val="00866887"/>
    <w:rsid w:val="00866A4E"/>
    <w:rsid w:val="008672A0"/>
    <w:rsid w:val="00870651"/>
    <w:rsid w:val="008707D8"/>
    <w:rsid w:val="00870B91"/>
    <w:rsid w:val="00871394"/>
    <w:rsid w:val="00871497"/>
    <w:rsid w:val="00871849"/>
    <w:rsid w:val="0087198C"/>
    <w:rsid w:val="00871E08"/>
    <w:rsid w:val="008722B3"/>
    <w:rsid w:val="00872BE4"/>
    <w:rsid w:val="00873D85"/>
    <w:rsid w:val="008742B2"/>
    <w:rsid w:val="0087446D"/>
    <w:rsid w:val="00874708"/>
    <w:rsid w:val="008750FF"/>
    <w:rsid w:val="0087550A"/>
    <w:rsid w:val="0087668F"/>
    <w:rsid w:val="008768EC"/>
    <w:rsid w:val="008774BE"/>
    <w:rsid w:val="0087784C"/>
    <w:rsid w:val="00877B83"/>
    <w:rsid w:val="0088061F"/>
    <w:rsid w:val="0088086D"/>
    <w:rsid w:val="00880C59"/>
    <w:rsid w:val="00880D3F"/>
    <w:rsid w:val="00880E9F"/>
    <w:rsid w:val="0088123E"/>
    <w:rsid w:val="00881387"/>
    <w:rsid w:val="008813AD"/>
    <w:rsid w:val="0088164A"/>
    <w:rsid w:val="008819C2"/>
    <w:rsid w:val="00881D8A"/>
    <w:rsid w:val="00882274"/>
    <w:rsid w:val="0088265A"/>
    <w:rsid w:val="00882AC6"/>
    <w:rsid w:val="00882BC7"/>
    <w:rsid w:val="00883468"/>
    <w:rsid w:val="0088378A"/>
    <w:rsid w:val="00883846"/>
    <w:rsid w:val="00883D2A"/>
    <w:rsid w:val="008842FA"/>
    <w:rsid w:val="00884635"/>
    <w:rsid w:val="00884953"/>
    <w:rsid w:val="00885044"/>
    <w:rsid w:val="00885612"/>
    <w:rsid w:val="00885C4F"/>
    <w:rsid w:val="00885C79"/>
    <w:rsid w:val="00886035"/>
    <w:rsid w:val="00886578"/>
    <w:rsid w:val="0088659E"/>
    <w:rsid w:val="008866E2"/>
    <w:rsid w:val="008866ED"/>
    <w:rsid w:val="00886862"/>
    <w:rsid w:val="008868BE"/>
    <w:rsid w:val="00886ABE"/>
    <w:rsid w:val="008870A5"/>
    <w:rsid w:val="008871B9"/>
    <w:rsid w:val="008872F0"/>
    <w:rsid w:val="00887A1E"/>
    <w:rsid w:val="00887AA9"/>
    <w:rsid w:val="00887DDF"/>
    <w:rsid w:val="00890568"/>
    <w:rsid w:val="00890A69"/>
    <w:rsid w:val="00891772"/>
    <w:rsid w:val="00891A0F"/>
    <w:rsid w:val="00891B45"/>
    <w:rsid w:val="00892A82"/>
    <w:rsid w:val="00892DCB"/>
    <w:rsid w:val="00893297"/>
    <w:rsid w:val="00893380"/>
    <w:rsid w:val="00893DD3"/>
    <w:rsid w:val="0089402B"/>
    <w:rsid w:val="008946F2"/>
    <w:rsid w:val="0089482E"/>
    <w:rsid w:val="008948C0"/>
    <w:rsid w:val="00894BBD"/>
    <w:rsid w:val="008953D3"/>
    <w:rsid w:val="00895478"/>
    <w:rsid w:val="00895A1E"/>
    <w:rsid w:val="00895CA4"/>
    <w:rsid w:val="00895DE8"/>
    <w:rsid w:val="008960EA"/>
    <w:rsid w:val="008965C9"/>
    <w:rsid w:val="00897297"/>
    <w:rsid w:val="00897620"/>
    <w:rsid w:val="00897C71"/>
    <w:rsid w:val="008A1C67"/>
    <w:rsid w:val="008A1FE1"/>
    <w:rsid w:val="008A21D3"/>
    <w:rsid w:val="008A2A1F"/>
    <w:rsid w:val="008A2B10"/>
    <w:rsid w:val="008A2ECB"/>
    <w:rsid w:val="008A39AE"/>
    <w:rsid w:val="008A4579"/>
    <w:rsid w:val="008A47E1"/>
    <w:rsid w:val="008A4954"/>
    <w:rsid w:val="008A54B4"/>
    <w:rsid w:val="008A54EB"/>
    <w:rsid w:val="008A556E"/>
    <w:rsid w:val="008A55E8"/>
    <w:rsid w:val="008A6168"/>
    <w:rsid w:val="008A63AB"/>
    <w:rsid w:val="008A63CB"/>
    <w:rsid w:val="008A6717"/>
    <w:rsid w:val="008A6B28"/>
    <w:rsid w:val="008A6B4F"/>
    <w:rsid w:val="008A71B5"/>
    <w:rsid w:val="008A77CC"/>
    <w:rsid w:val="008A7ADF"/>
    <w:rsid w:val="008A7DED"/>
    <w:rsid w:val="008B00C0"/>
    <w:rsid w:val="008B0716"/>
    <w:rsid w:val="008B0F3C"/>
    <w:rsid w:val="008B0FD9"/>
    <w:rsid w:val="008B0FFC"/>
    <w:rsid w:val="008B10B0"/>
    <w:rsid w:val="008B131F"/>
    <w:rsid w:val="008B18EE"/>
    <w:rsid w:val="008B1916"/>
    <w:rsid w:val="008B2416"/>
    <w:rsid w:val="008B2859"/>
    <w:rsid w:val="008B30B3"/>
    <w:rsid w:val="008B3842"/>
    <w:rsid w:val="008B431C"/>
    <w:rsid w:val="008B44FD"/>
    <w:rsid w:val="008B4529"/>
    <w:rsid w:val="008B4991"/>
    <w:rsid w:val="008B4C07"/>
    <w:rsid w:val="008B4F80"/>
    <w:rsid w:val="008B4F8C"/>
    <w:rsid w:val="008B52A7"/>
    <w:rsid w:val="008B5B07"/>
    <w:rsid w:val="008B5B94"/>
    <w:rsid w:val="008B5F15"/>
    <w:rsid w:val="008B61E2"/>
    <w:rsid w:val="008B6503"/>
    <w:rsid w:val="008B670B"/>
    <w:rsid w:val="008B6ACC"/>
    <w:rsid w:val="008B756E"/>
    <w:rsid w:val="008B7708"/>
    <w:rsid w:val="008B7CCA"/>
    <w:rsid w:val="008C000E"/>
    <w:rsid w:val="008C04B5"/>
    <w:rsid w:val="008C090F"/>
    <w:rsid w:val="008C0911"/>
    <w:rsid w:val="008C0A1D"/>
    <w:rsid w:val="008C1260"/>
    <w:rsid w:val="008C1881"/>
    <w:rsid w:val="008C1AD5"/>
    <w:rsid w:val="008C2069"/>
    <w:rsid w:val="008C2F60"/>
    <w:rsid w:val="008C3636"/>
    <w:rsid w:val="008C3C47"/>
    <w:rsid w:val="008C46B6"/>
    <w:rsid w:val="008C4BDC"/>
    <w:rsid w:val="008C56D0"/>
    <w:rsid w:val="008C5C50"/>
    <w:rsid w:val="008C6CCD"/>
    <w:rsid w:val="008C71A7"/>
    <w:rsid w:val="008D0596"/>
    <w:rsid w:val="008D0868"/>
    <w:rsid w:val="008D0D33"/>
    <w:rsid w:val="008D1592"/>
    <w:rsid w:val="008D1707"/>
    <w:rsid w:val="008D1C13"/>
    <w:rsid w:val="008D1D6F"/>
    <w:rsid w:val="008D1DE0"/>
    <w:rsid w:val="008D1FF3"/>
    <w:rsid w:val="008D2492"/>
    <w:rsid w:val="008D2682"/>
    <w:rsid w:val="008D4015"/>
    <w:rsid w:val="008D430D"/>
    <w:rsid w:val="008D47E9"/>
    <w:rsid w:val="008D50AE"/>
    <w:rsid w:val="008D513A"/>
    <w:rsid w:val="008D6503"/>
    <w:rsid w:val="008D67DB"/>
    <w:rsid w:val="008D6A81"/>
    <w:rsid w:val="008D7D44"/>
    <w:rsid w:val="008E077E"/>
    <w:rsid w:val="008E0A5D"/>
    <w:rsid w:val="008E1713"/>
    <w:rsid w:val="008E1DF8"/>
    <w:rsid w:val="008E2121"/>
    <w:rsid w:val="008E261D"/>
    <w:rsid w:val="008E274C"/>
    <w:rsid w:val="008E29A9"/>
    <w:rsid w:val="008E2DA1"/>
    <w:rsid w:val="008E343B"/>
    <w:rsid w:val="008E3595"/>
    <w:rsid w:val="008E37A1"/>
    <w:rsid w:val="008E3D18"/>
    <w:rsid w:val="008E4238"/>
    <w:rsid w:val="008E4F36"/>
    <w:rsid w:val="008E599F"/>
    <w:rsid w:val="008E5DB1"/>
    <w:rsid w:val="008E5EF2"/>
    <w:rsid w:val="008E61A5"/>
    <w:rsid w:val="008E62F8"/>
    <w:rsid w:val="008E6A69"/>
    <w:rsid w:val="008E747C"/>
    <w:rsid w:val="008E7584"/>
    <w:rsid w:val="008E7BB1"/>
    <w:rsid w:val="008E7BE6"/>
    <w:rsid w:val="008E7E0D"/>
    <w:rsid w:val="008F0033"/>
    <w:rsid w:val="008F00F9"/>
    <w:rsid w:val="008F06A9"/>
    <w:rsid w:val="008F1106"/>
    <w:rsid w:val="008F1184"/>
    <w:rsid w:val="008F1B16"/>
    <w:rsid w:val="008F1BD1"/>
    <w:rsid w:val="008F1BEC"/>
    <w:rsid w:val="008F1C03"/>
    <w:rsid w:val="008F1EDF"/>
    <w:rsid w:val="008F2841"/>
    <w:rsid w:val="008F2CB3"/>
    <w:rsid w:val="008F2CF5"/>
    <w:rsid w:val="008F2DF4"/>
    <w:rsid w:val="008F3381"/>
    <w:rsid w:val="008F3481"/>
    <w:rsid w:val="008F3BCF"/>
    <w:rsid w:val="008F46EE"/>
    <w:rsid w:val="008F5F7F"/>
    <w:rsid w:val="008F6009"/>
    <w:rsid w:val="008F649D"/>
    <w:rsid w:val="008F6CB5"/>
    <w:rsid w:val="008F6FE3"/>
    <w:rsid w:val="008F7AAC"/>
    <w:rsid w:val="0090009A"/>
    <w:rsid w:val="009006CB"/>
    <w:rsid w:val="00900CAD"/>
    <w:rsid w:val="0090141A"/>
    <w:rsid w:val="00901521"/>
    <w:rsid w:val="009016C6"/>
    <w:rsid w:val="00901E87"/>
    <w:rsid w:val="00901F26"/>
    <w:rsid w:val="009021E8"/>
    <w:rsid w:val="0090258D"/>
    <w:rsid w:val="009027C2"/>
    <w:rsid w:val="00902AE7"/>
    <w:rsid w:val="009038FF"/>
    <w:rsid w:val="00903C31"/>
    <w:rsid w:val="00903E77"/>
    <w:rsid w:val="009045AA"/>
    <w:rsid w:val="00904907"/>
    <w:rsid w:val="00904950"/>
    <w:rsid w:val="00904C33"/>
    <w:rsid w:val="00905233"/>
    <w:rsid w:val="009054A6"/>
    <w:rsid w:val="009057FE"/>
    <w:rsid w:val="00905B55"/>
    <w:rsid w:val="00906C1F"/>
    <w:rsid w:val="009071A0"/>
    <w:rsid w:val="00907680"/>
    <w:rsid w:val="009077CB"/>
    <w:rsid w:val="00907BD2"/>
    <w:rsid w:val="00907C3A"/>
    <w:rsid w:val="00907CD9"/>
    <w:rsid w:val="00907D5A"/>
    <w:rsid w:val="009104A2"/>
    <w:rsid w:val="00910553"/>
    <w:rsid w:val="00910C8C"/>
    <w:rsid w:val="00910ED4"/>
    <w:rsid w:val="00911184"/>
    <w:rsid w:val="009117F5"/>
    <w:rsid w:val="009120F7"/>
    <w:rsid w:val="00912372"/>
    <w:rsid w:val="0091276F"/>
    <w:rsid w:val="00912BB1"/>
    <w:rsid w:val="0091302A"/>
    <w:rsid w:val="0091361E"/>
    <w:rsid w:val="009138D5"/>
    <w:rsid w:val="00913A02"/>
    <w:rsid w:val="00913E7F"/>
    <w:rsid w:val="00913FBB"/>
    <w:rsid w:val="00913FCC"/>
    <w:rsid w:val="009143FF"/>
    <w:rsid w:val="009152BF"/>
    <w:rsid w:val="00915E5B"/>
    <w:rsid w:val="00915F25"/>
    <w:rsid w:val="009163C9"/>
    <w:rsid w:val="009168AE"/>
    <w:rsid w:val="00916967"/>
    <w:rsid w:val="00917DFD"/>
    <w:rsid w:val="00920123"/>
    <w:rsid w:val="00920541"/>
    <w:rsid w:val="00920C80"/>
    <w:rsid w:val="00920E25"/>
    <w:rsid w:val="00921275"/>
    <w:rsid w:val="0092158D"/>
    <w:rsid w:val="0092188C"/>
    <w:rsid w:val="0092220C"/>
    <w:rsid w:val="009239BC"/>
    <w:rsid w:val="0092404C"/>
    <w:rsid w:val="00924627"/>
    <w:rsid w:val="0092484A"/>
    <w:rsid w:val="0092490C"/>
    <w:rsid w:val="00924919"/>
    <w:rsid w:val="00925125"/>
    <w:rsid w:val="009252A9"/>
    <w:rsid w:val="009253D3"/>
    <w:rsid w:val="009259DC"/>
    <w:rsid w:val="00925E17"/>
    <w:rsid w:val="00925FEC"/>
    <w:rsid w:val="00926160"/>
    <w:rsid w:val="0092647E"/>
    <w:rsid w:val="009264B1"/>
    <w:rsid w:val="009266CB"/>
    <w:rsid w:val="00926C5E"/>
    <w:rsid w:val="00926E12"/>
    <w:rsid w:val="009274C2"/>
    <w:rsid w:val="0092784B"/>
    <w:rsid w:val="00927934"/>
    <w:rsid w:val="00927F6C"/>
    <w:rsid w:val="00930133"/>
    <w:rsid w:val="00930A02"/>
    <w:rsid w:val="009313F7"/>
    <w:rsid w:val="00931404"/>
    <w:rsid w:val="009317E9"/>
    <w:rsid w:val="0093229C"/>
    <w:rsid w:val="0093277D"/>
    <w:rsid w:val="00932803"/>
    <w:rsid w:val="00932D0C"/>
    <w:rsid w:val="00933016"/>
    <w:rsid w:val="00934104"/>
    <w:rsid w:val="009348F2"/>
    <w:rsid w:val="00934971"/>
    <w:rsid w:val="00936212"/>
    <w:rsid w:val="00936342"/>
    <w:rsid w:val="009367B7"/>
    <w:rsid w:val="00936CE7"/>
    <w:rsid w:val="009371DC"/>
    <w:rsid w:val="00937965"/>
    <w:rsid w:val="00937EB2"/>
    <w:rsid w:val="009401AB"/>
    <w:rsid w:val="00940255"/>
    <w:rsid w:val="0094048F"/>
    <w:rsid w:val="00940668"/>
    <w:rsid w:val="00940FF0"/>
    <w:rsid w:val="00941223"/>
    <w:rsid w:val="00941A75"/>
    <w:rsid w:val="00941F98"/>
    <w:rsid w:val="009431F3"/>
    <w:rsid w:val="0094367E"/>
    <w:rsid w:val="009436BF"/>
    <w:rsid w:val="00943DD3"/>
    <w:rsid w:val="00944298"/>
    <w:rsid w:val="0094496F"/>
    <w:rsid w:val="00944E46"/>
    <w:rsid w:val="00945464"/>
    <w:rsid w:val="009456A0"/>
    <w:rsid w:val="0094584B"/>
    <w:rsid w:val="00945CCD"/>
    <w:rsid w:val="00945CE0"/>
    <w:rsid w:val="0094678D"/>
    <w:rsid w:val="00946A4A"/>
    <w:rsid w:val="00946D85"/>
    <w:rsid w:val="009475C5"/>
    <w:rsid w:val="00947889"/>
    <w:rsid w:val="00950547"/>
    <w:rsid w:val="009506BA"/>
    <w:rsid w:val="00950FBA"/>
    <w:rsid w:val="00951284"/>
    <w:rsid w:val="00951673"/>
    <w:rsid w:val="00951EE4"/>
    <w:rsid w:val="00951F51"/>
    <w:rsid w:val="009520E8"/>
    <w:rsid w:val="009522AE"/>
    <w:rsid w:val="00952AEC"/>
    <w:rsid w:val="00952C24"/>
    <w:rsid w:val="0095317D"/>
    <w:rsid w:val="00953765"/>
    <w:rsid w:val="009537D1"/>
    <w:rsid w:val="009538B5"/>
    <w:rsid w:val="00953AAD"/>
    <w:rsid w:val="00953FF9"/>
    <w:rsid w:val="00954898"/>
    <w:rsid w:val="00954D4A"/>
    <w:rsid w:val="009550D3"/>
    <w:rsid w:val="009552D0"/>
    <w:rsid w:val="00955534"/>
    <w:rsid w:val="009556C7"/>
    <w:rsid w:val="0095576A"/>
    <w:rsid w:val="00955D51"/>
    <w:rsid w:val="00955F37"/>
    <w:rsid w:val="009560AF"/>
    <w:rsid w:val="0095676A"/>
    <w:rsid w:val="00957402"/>
    <w:rsid w:val="009577B4"/>
    <w:rsid w:val="00957F6D"/>
    <w:rsid w:val="00961036"/>
    <w:rsid w:val="00961229"/>
    <w:rsid w:val="009612F6"/>
    <w:rsid w:val="009619F6"/>
    <w:rsid w:val="009621D8"/>
    <w:rsid w:val="0096267C"/>
    <w:rsid w:val="00962B96"/>
    <w:rsid w:val="00962DE7"/>
    <w:rsid w:val="009638FD"/>
    <w:rsid w:val="00963B35"/>
    <w:rsid w:val="00963D1D"/>
    <w:rsid w:val="00963EF3"/>
    <w:rsid w:val="009645ED"/>
    <w:rsid w:val="00964A04"/>
    <w:rsid w:val="00964A57"/>
    <w:rsid w:val="009654B1"/>
    <w:rsid w:val="0096575B"/>
    <w:rsid w:val="009659B4"/>
    <w:rsid w:val="0096641B"/>
    <w:rsid w:val="00966601"/>
    <w:rsid w:val="0096689B"/>
    <w:rsid w:val="00966A80"/>
    <w:rsid w:val="00966B7A"/>
    <w:rsid w:val="00966B7C"/>
    <w:rsid w:val="00967727"/>
    <w:rsid w:val="00967D7D"/>
    <w:rsid w:val="00967FE6"/>
    <w:rsid w:val="009701A4"/>
    <w:rsid w:val="00970C36"/>
    <w:rsid w:val="00970E1B"/>
    <w:rsid w:val="00972551"/>
    <w:rsid w:val="00972849"/>
    <w:rsid w:val="0097297E"/>
    <w:rsid w:val="00972F47"/>
    <w:rsid w:val="00973502"/>
    <w:rsid w:val="00973D62"/>
    <w:rsid w:val="00974357"/>
    <w:rsid w:val="0097484A"/>
    <w:rsid w:val="00974AC6"/>
    <w:rsid w:val="00974FB9"/>
    <w:rsid w:val="0097515D"/>
    <w:rsid w:val="00975399"/>
    <w:rsid w:val="009754B6"/>
    <w:rsid w:val="00975687"/>
    <w:rsid w:val="009757AF"/>
    <w:rsid w:val="00975DB8"/>
    <w:rsid w:val="00975E40"/>
    <w:rsid w:val="00975F8A"/>
    <w:rsid w:val="009761E6"/>
    <w:rsid w:val="00976567"/>
    <w:rsid w:val="00977124"/>
    <w:rsid w:val="00977172"/>
    <w:rsid w:val="0097734F"/>
    <w:rsid w:val="00977451"/>
    <w:rsid w:val="00977806"/>
    <w:rsid w:val="00977942"/>
    <w:rsid w:val="00977B80"/>
    <w:rsid w:val="00977DB2"/>
    <w:rsid w:val="009800E0"/>
    <w:rsid w:val="00980361"/>
    <w:rsid w:val="0098075B"/>
    <w:rsid w:val="00981242"/>
    <w:rsid w:val="0098150D"/>
    <w:rsid w:val="009816F9"/>
    <w:rsid w:val="00981B78"/>
    <w:rsid w:val="009820A3"/>
    <w:rsid w:val="00982529"/>
    <w:rsid w:val="00982A2F"/>
    <w:rsid w:val="00982BCC"/>
    <w:rsid w:val="009836D0"/>
    <w:rsid w:val="009848DE"/>
    <w:rsid w:val="00984A2B"/>
    <w:rsid w:val="00985171"/>
    <w:rsid w:val="0098522D"/>
    <w:rsid w:val="009852E4"/>
    <w:rsid w:val="0098554C"/>
    <w:rsid w:val="0098578C"/>
    <w:rsid w:val="00986030"/>
    <w:rsid w:val="009863F6"/>
    <w:rsid w:val="00986577"/>
    <w:rsid w:val="009866DF"/>
    <w:rsid w:val="0098685B"/>
    <w:rsid w:val="0098694E"/>
    <w:rsid w:val="00986C49"/>
    <w:rsid w:val="00986E3F"/>
    <w:rsid w:val="00987C85"/>
    <w:rsid w:val="00987F64"/>
    <w:rsid w:val="0099009C"/>
    <w:rsid w:val="00990470"/>
    <w:rsid w:val="009911A5"/>
    <w:rsid w:val="0099215D"/>
    <w:rsid w:val="00992A17"/>
    <w:rsid w:val="00993665"/>
    <w:rsid w:val="009936DE"/>
    <w:rsid w:val="00993773"/>
    <w:rsid w:val="009940FF"/>
    <w:rsid w:val="0099469A"/>
    <w:rsid w:val="00994B6C"/>
    <w:rsid w:val="00995288"/>
    <w:rsid w:val="00995BAC"/>
    <w:rsid w:val="00995CAE"/>
    <w:rsid w:val="00996725"/>
    <w:rsid w:val="0099672A"/>
    <w:rsid w:val="009970B9"/>
    <w:rsid w:val="00997B30"/>
    <w:rsid w:val="00997BF7"/>
    <w:rsid w:val="00997E23"/>
    <w:rsid w:val="009A00EC"/>
    <w:rsid w:val="009A011C"/>
    <w:rsid w:val="009A0E18"/>
    <w:rsid w:val="009A0FDA"/>
    <w:rsid w:val="009A124B"/>
    <w:rsid w:val="009A1504"/>
    <w:rsid w:val="009A1AEA"/>
    <w:rsid w:val="009A1B28"/>
    <w:rsid w:val="009A28DD"/>
    <w:rsid w:val="009A2C39"/>
    <w:rsid w:val="009A2C96"/>
    <w:rsid w:val="009A2D91"/>
    <w:rsid w:val="009A2FFC"/>
    <w:rsid w:val="009A31F0"/>
    <w:rsid w:val="009A34B4"/>
    <w:rsid w:val="009A3F69"/>
    <w:rsid w:val="009A3FF5"/>
    <w:rsid w:val="009A4455"/>
    <w:rsid w:val="009A4575"/>
    <w:rsid w:val="009A46FD"/>
    <w:rsid w:val="009A47CF"/>
    <w:rsid w:val="009A48CC"/>
    <w:rsid w:val="009A4BD8"/>
    <w:rsid w:val="009A5117"/>
    <w:rsid w:val="009A56DF"/>
    <w:rsid w:val="009A570F"/>
    <w:rsid w:val="009A5A71"/>
    <w:rsid w:val="009A60B3"/>
    <w:rsid w:val="009A6F9B"/>
    <w:rsid w:val="009A7534"/>
    <w:rsid w:val="009B0037"/>
    <w:rsid w:val="009B0450"/>
    <w:rsid w:val="009B04AB"/>
    <w:rsid w:val="009B1600"/>
    <w:rsid w:val="009B1630"/>
    <w:rsid w:val="009B1A3C"/>
    <w:rsid w:val="009B1A4C"/>
    <w:rsid w:val="009B2757"/>
    <w:rsid w:val="009B29E9"/>
    <w:rsid w:val="009B2B0D"/>
    <w:rsid w:val="009B2F38"/>
    <w:rsid w:val="009B3212"/>
    <w:rsid w:val="009B3390"/>
    <w:rsid w:val="009B4335"/>
    <w:rsid w:val="009B4CC3"/>
    <w:rsid w:val="009B4DE6"/>
    <w:rsid w:val="009B5378"/>
    <w:rsid w:val="009B5EF5"/>
    <w:rsid w:val="009B66B9"/>
    <w:rsid w:val="009B6779"/>
    <w:rsid w:val="009B734B"/>
    <w:rsid w:val="009B74D2"/>
    <w:rsid w:val="009B74F6"/>
    <w:rsid w:val="009B7EC7"/>
    <w:rsid w:val="009C06CA"/>
    <w:rsid w:val="009C0A54"/>
    <w:rsid w:val="009C0B30"/>
    <w:rsid w:val="009C0C8C"/>
    <w:rsid w:val="009C1409"/>
    <w:rsid w:val="009C1692"/>
    <w:rsid w:val="009C192E"/>
    <w:rsid w:val="009C34C9"/>
    <w:rsid w:val="009C4C0F"/>
    <w:rsid w:val="009C552B"/>
    <w:rsid w:val="009C560C"/>
    <w:rsid w:val="009C6CA8"/>
    <w:rsid w:val="009C6D7E"/>
    <w:rsid w:val="009C6DA9"/>
    <w:rsid w:val="009C7A18"/>
    <w:rsid w:val="009C7D16"/>
    <w:rsid w:val="009C7D2E"/>
    <w:rsid w:val="009C7F8C"/>
    <w:rsid w:val="009D0AFD"/>
    <w:rsid w:val="009D2987"/>
    <w:rsid w:val="009D29A5"/>
    <w:rsid w:val="009D2C34"/>
    <w:rsid w:val="009D3F0F"/>
    <w:rsid w:val="009D434D"/>
    <w:rsid w:val="009D43E3"/>
    <w:rsid w:val="009D4B4D"/>
    <w:rsid w:val="009D500C"/>
    <w:rsid w:val="009D59B0"/>
    <w:rsid w:val="009D5CB5"/>
    <w:rsid w:val="009D5D63"/>
    <w:rsid w:val="009D670A"/>
    <w:rsid w:val="009D70C9"/>
    <w:rsid w:val="009D743B"/>
    <w:rsid w:val="009D76E7"/>
    <w:rsid w:val="009D7D89"/>
    <w:rsid w:val="009E0CB7"/>
    <w:rsid w:val="009E13E5"/>
    <w:rsid w:val="009E177B"/>
    <w:rsid w:val="009E177D"/>
    <w:rsid w:val="009E1A5D"/>
    <w:rsid w:val="009E1A98"/>
    <w:rsid w:val="009E1C30"/>
    <w:rsid w:val="009E1E14"/>
    <w:rsid w:val="009E23D7"/>
    <w:rsid w:val="009E2E34"/>
    <w:rsid w:val="009E326C"/>
    <w:rsid w:val="009E3A7D"/>
    <w:rsid w:val="009E42D9"/>
    <w:rsid w:val="009E4461"/>
    <w:rsid w:val="009E48C6"/>
    <w:rsid w:val="009E4CA5"/>
    <w:rsid w:val="009E4D70"/>
    <w:rsid w:val="009E4F8D"/>
    <w:rsid w:val="009E5636"/>
    <w:rsid w:val="009E5FA4"/>
    <w:rsid w:val="009E6049"/>
    <w:rsid w:val="009E622F"/>
    <w:rsid w:val="009E6E97"/>
    <w:rsid w:val="009E726C"/>
    <w:rsid w:val="009E7402"/>
    <w:rsid w:val="009E75C9"/>
    <w:rsid w:val="009E7612"/>
    <w:rsid w:val="009E78CD"/>
    <w:rsid w:val="009E7D1B"/>
    <w:rsid w:val="009F030B"/>
    <w:rsid w:val="009F0320"/>
    <w:rsid w:val="009F0547"/>
    <w:rsid w:val="009F08FF"/>
    <w:rsid w:val="009F12A1"/>
    <w:rsid w:val="009F1531"/>
    <w:rsid w:val="009F168B"/>
    <w:rsid w:val="009F1D27"/>
    <w:rsid w:val="009F2042"/>
    <w:rsid w:val="009F234D"/>
    <w:rsid w:val="009F2C28"/>
    <w:rsid w:val="009F2F3A"/>
    <w:rsid w:val="009F329A"/>
    <w:rsid w:val="009F3946"/>
    <w:rsid w:val="009F41F2"/>
    <w:rsid w:val="009F436E"/>
    <w:rsid w:val="009F472B"/>
    <w:rsid w:val="009F4C79"/>
    <w:rsid w:val="009F5255"/>
    <w:rsid w:val="009F54AD"/>
    <w:rsid w:val="009F54C8"/>
    <w:rsid w:val="009F573F"/>
    <w:rsid w:val="009F5B48"/>
    <w:rsid w:val="009F5DD3"/>
    <w:rsid w:val="009F6075"/>
    <w:rsid w:val="009F631B"/>
    <w:rsid w:val="009F73AF"/>
    <w:rsid w:val="009F74C7"/>
    <w:rsid w:val="009F7DB8"/>
    <w:rsid w:val="00A00304"/>
    <w:rsid w:val="00A0084A"/>
    <w:rsid w:val="00A008E3"/>
    <w:rsid w:val="00A00B43"/>
    <w:rsid w:val="00A012D4"/>
    <w:rsid w:val="00A017CD"/>
    <w:rsid w:val="00A01ACF"/>
    <w:rsid w:val="00A01AFC"/>
    <w:rsid w:val="00A0249B"/>
    <w:rsid w:val="00A025F4"/>
    <w:rsid w:val="00A02AD9"/>
    <w:rsid w:val="00A03624"/>
    <w:rsid w:val="00A0387A"/>
    <w:rsid w:val="00A041FD"/>
    <w:rsid w:val="00A04564"/>
    <w:rsid w:val="00A045F2"/>
    <w:rsid w:val="00A04DDE"/>
    <w:rsid w:val="00A05826"/>
    <w:rsid w:val="00A061C3"/>
    <w:rsid w:val="00A06371"/>
    <w:rsid w:val="00A06A19"/>
    <w:rsid w:val="00A06AC9"/>
    <w:rsid w:val="00A07285"/>
    <w:rsid w:val="00A0732D"/>
    <w:rsid w:val="00A0742A"/>
    <w:rsid w:val="00A07665"/>
    <w:rsid w:val="00A07C70"/>
    <w:rsid w:val="00A07DE8"/>
    <w:rsid w:val="00A07DF0"/>
    <w:rsid w:val="00A10115"/>
    <w:rsid w:val="00A103F9"/>
    <w:rsid w:val="00A109F6"/>
    <w:rsid w:val="00A10D21"/>
    <w:rsid w:val="00A11331"/>
    <w:rsid w:val="00A119B1"/>
    <w:rsid w:val="00A12767"/>
    <w:rsid w:val="00A127EC"/>
    <w:rsid w:val="00A136DB"/>
    <w:rsid w:val="00A1385A"/>
    <w:rsid w:val="00A13888"/>
    <w:rsid w:val="00A13A14"/>
    <w:rsid w:val="00A13BEC"/>
    <w:rsid w:val="00A13C16"/>
    <w:rsid w:val="00A140CB"/>
    <w:rsid w:val="00A14153"/>
    <w:rsid w:val="00A149ED"/>
    <w:rsid w:val="00A150BA"/>
    <w:rsid w:val="00A15E33"/>
    <w:rsid w:val="00A16265"/>
    <w:rsid w:val="00A169C7"/>
    <w:rsid w:val="00A16C64"/>
    <w:rsid w:val="00A16E43"/>
    <w:rsid w:val="00A16E8D"/>
    <w:rsid w:val="00A1733F"/>
    <w:rsid w:val="00A17560"/>
    <w:rsid w:val="00A1791C"/>
    <w:rsid w:val="00A17A91"/>
    <w:rsid w:val="00A20145"/>
    <w:rsid w:val="00A202F8"/>
    <w:rsid w:val="00A2060A"/>
    <w:rsid w:val="00A215E0"/>
    <w:rsid w:val="00A21836"/>
    <w:rsid w:val="00A21E1A"/>
    <w:rsid w:val="00A21F50"/>
    <w:rsid w:val="00A2217F"/>
    <w:rsid w:val="00A2243B"/>
    <w:rsid w:val="00A225C6"/>
    <w:rsid w:val="00A22E2E"/>
    <w:rsid w:val="00A22E95"/>
    <w:rsid w:val="00A23497"/>
    <w:rsid w:val="00A23546"/>
    <w:rsid w:val="00A23EB1"/>
    <w:rsid w:val="00A23F69"/>
    <w:rsid w:val="00A23F8A"/>
    <w:rsid w:val="00A24739"/>
    <w:rsid w:val="00A24CB2"/>
    <w:rsid w:val="00A24EB4"/>
    <w:rsid w:val="00A250DD"/>
    <w:rsid w:val="00A25602"/>
    <w:rsid w:val="00A25F50"/>
    <w:rsid w:val="00A265C6"/>
    <w:rsid w:val="00A266E5"/>
    <w:rsid w:val="00A26BD4"/>
    <w:rsid w:val="00A274DF"/>
    <w:rsid w:val="00A2767E"/>
    <w:rsid w:val="00A277DB"/>
    <w:rsid w:val="00A27EB9"/>
    <w:rsid w:val="00A27FCD"/>
    <w:rsid w:val="00A30634"/>
    <w:rsid w:val="00A31759"/>
    <w:rsid w:val="00A3194C"/>
    <w:rsid w:val="00A31B22"/>
    <w:rsid w:val="00A31FE6"/>
    <w:rsid w:val="00A3253A"/>
    <w:rsid w:val="00A325C2"/>
    <w:rsid w:val="00A32945"/>
    <w:rsid w:val="00A32A0E"/>
    <w:rsid w:val="00A32D6C"/>
    <w:rsid w:val="00A32E0B"/>
    <w:rsid w:val="00A33567"/>
    <w:rsid w:val="00A34450"/>
    <w:rsid w:val="00A35668"/>
    <w:rsid w:val="00A35917"/>
    <w:rsid w:val="00A359CE"/>
    <w:rsid w:val="00A35EB1"/>
    <w:rsid w:val="00A362A6"/>
    <w:rsid w:val="00A367B8"/>
    <w:rsid w:val="00A36832"/>
    <w:rsid w:val="00A36DBC"/>
    <w:rsid w:val="00A373F9"/>
    <w:rsid w:val="00A3765F"/>
    <w:rsid w:val="00A37C4D"/>
    <w:rsid w:val="00A40C61"/>
    <w:rsid w:val="00A4136E"/>
    <w:rsid w:val="00A429E5"/>
    <w:rsid w:val="00A43009"/>
    <w:rsid w:val="00A4328E"/>
    <w:rsid w:val="00A435BA"/>
    <w:rsid w:val="00A43731"/>
    <w:rsid w:val="00A437B2"/>
    <w:rsid w:val="00A4395C"/>
    <w:rsid w:val="00A43D61"/>
    <w:rsid w:val="00A44014"/>
    <w:rsid w:val="00A44452"/>
    <w:rsid w:val="00A44474"/>
    <w:rsid w:val="00A444EA"/>
    <w:rsid w:val="00A45336"/>
    <w:rsid w:val="00A454E7"/>
    <w:rsid w:val="00A45826"/>
    <w:rsid w:val="00A45ED2"/>
    <w:rsid w:val="00A46B1B"/>
    <w:rsid w:val="00A47273"/>
    <w:rsid w:val="00A47381"/>
    <w:rsid w:val="00A5056A"/>
    <w:rsid w:val="00A50927"/>
    <w:rsid w:val="00A50CC4"/>
    <w:rsid w:val="00A51A44"/>
    <w:rsid w:val="00A52815"/>
    <w:rsid w:val="00A529F3"/>
    <w:rsid w:val="00A52B33"/>
    <w:rsid w:val="00A52C3A"/>
    <w:rsid w:val="00A535A1"/>
    <w:rsid w:val="00A53749"/>
    <w:rsid w:val="00A54350"/>
    <w:rsid w:val="00A54D49"/>
    <w:rsid w:val="00A54D82"/>
    <w:rsid w:val="00A550E0"/>
    <w:rsid w:val="00A5522E"/>
    <w:rsid w:val="00A553E8"/>
    <w:rsid w:val="00A55401"/>
    <w:rsid w:val="00A55D8A"/>
    <w:rsid w:val="00A5609F"/>
    <w:rsid w:val="00A561BE"/>
    <w:rsid w:val="00A56F89"/>
    <w:rsid w:val="00A601F4"/>
    <w:rsid w:val="00A604CF"/>
    <w:rsid w:val="00A60EF3"/>
    <w:rsid w:val="00A61752"/>
    <w:rsid w:val="00A61948"/>
    <w:rsid w:val="00A622EA"/>
    <w:rsid w:val="00A62A0A"/>
    <w:rsid w:val="00A630A6"/>
    <w:rsid w:val="00A63763"/>
    <w:rsid w:val="00A63826"/>
    <w:rsid w:val="00A63B1D"/>
    <w:rsid w:val="00A6448C"/>
    <w:rsid w:val="00A64578"/>
    <w:rsid w:val="00A649D4"/>
    <w:rsid w:val="00A64BE8"/>
    <w:rsid w:val="00A64D33"/>
    <w:rsid w:val="00A65292"/>
    <w:rsid w:val="00A662B6"/>
    <w:rsid w:val="00A66447"/>
    <w:rsid w:val="00A66A19"/>
    <w:rsid w:val="00A66AAE"/>
    <w:rsid w:val="00A66DB5"/>
    <w:rsid w:val="00A671C5"/>
    <w:rsid w:val="00A67A31"/>
    <w:rsid w:val="00A67CD8"/>
    <w:rsid w:val="00A703BF"/>
    <w:rsid w:val="00A70448"/>
    <w:rsid w:val="00A70D9B"/>
    <w:rsid w:val="00A70F55"/>
    <w:rsid w:val="00A71813"/>
    <w:rsid w:val="00A71B83"/>
    <w:rsid w:val="00A71C2D"/>
    <w:rsid w:val="00A71C52"/>
    <w:rsid w:val="00A72053"/>
    <w:rsid w:val="00A721B5"/>
    <w:rsid w:val="00A72568"/>
    <w:rsid w:val="00A72581"/>
    <w:rsid w:val="00A7262F"/>
    <w:rsid w:val="00A72FD8"/>
    <w:rsid w:val="00A73887"/>
    <w:rsid w:val="00A739EE"/>
    <w:rsid w:val="00A740D5"/>
    <w:rsid w:val="00A74106"/>
    <w:rsid w:val="00A7469A"/>
    <w:rsid w:val="00A74CCA"/>
    <w:rsid w:val="00A74D65"/>
    <w:rsid w:val="00A74EC2"/>
    <w:rsid w:val="00A7515A"/>
    <w:rsid w:val="00A75A10"/>
    <w:rsid w:val="00A75ED2"/>
    <w:rsid w:val="00A7656A"/>
    <w:rsid w:val="00A76681"/>
    <w:rsid w:val="00A76745"/>
    <w:rsid w:val="00A767E9"/>
    <w:rsid w:val="00A77ACC"/>
    <w:rsid w:val="00A77BC5"/>
    <w:rsid w:val="00A802E1"/>
    <w:rsid w:val="00A808BF"/>
    <w:rsid w:val="00A81120"/>
    <w:rsid w:val="00A81352"/>
    <w:rsid w:val="00A81529"/>
    <w:rsid w:val="00A817C4"/>
    <w:rsid w:val="00A81EB7"/>
    <w:rsid w:val="00A8258D"/>
    <w:rsid w:val="00A826B6"/>
    <w:rsid w:val="00A8275F"/>
    <w:rsid w:val="00A82F26"/>
    <w:rsid w:val="00A837FB"/>
    <w:rsid w:val="00A83F4C"/>
    <w:rsid w:val="00A842EF"/>
    <w:rsid w:val="00A84E57"/>
    <w:rsid w:val="00A85145"/>
    <w:rsid w:val="00A85330"/>
    <w:rsid w:val="00A85544"/>
    <w:rsid w:val="00A85832"/>
    <w:rsid w:val="00A86145"/>
    <w:rsid w:val="00A87973"/>
    <w:rsid w:val="00A87FA2"/>
    <w:rsid w:val="00A90406"/>
    <w:rsid w:val="00A906B0"/>
    <w:rsid w:val="00A9086A"/>
    <w:rsid w:val="00A910CE"/>
    <w:rsid w:val="00A9135E"/>
    <w:rsid w:val="00A9203C"/>
    <w:rsid w:val="00A9227F"/>
    <w:rsid w:val="00A92492"/>
    <w:rsid w:val="00A93555"/>
    <w:rsid w:val="00A94336"/>
    <w:rsid w:val="00A946E9"/>
    <w:rsid w:val="00A94886"/>
    <w:rsid w:val="00A94B57"/>
    <w:rsid w:val="00A94B9A"/>
    <w:rsid w:val="00A94F3D"/>
    <w:rsid w:val="00A9500D"/>
    <w:rsid w:val="00A951A8"/>
    <w:rsid w:val="00A9557D"/>
    <w:rsid w:val="00A95DAF"/>
    <w:rsid w:val="00A96539"/>
    <w:rsid w:val="00A96776"/>
    <w:rsid w:val="00A96A86"/>
    <w:rsid w:val="00A96E20"/>
    <w:rsid w:val="00A97092"/>
    <w:rsid w:val="00A975CF"/>
    <w:rsid w:val="00A97FDE"/>
    <w:rsid w:val="00AA041E"/>
    <w:rsid w:val="00AA0501"/>
    <w:rsid w:val="00AA062F"/>
    <w:rsid w:val="00AA0A0C"/>
    <w:rsid w:val="00AA0FC2"/>
    <w:rsid w:val="00AA12EC"/>
    <w:rsid w:val="00AA160D"/>
    <w:rsid w:val="00AA1840"/>
    <w:rsid w:val="00AA1B82"/>
    <w:rsid w:val="00AA1BA9"/>
    <w:rsid w:val="00AA1DC8"/>
    <w:rsid w:val="00AA1E51"/>
    <w:rsid w:val="00AA1E96"/>
    <w:rsid w:val="00AA2519"/>
    <w:rsid w:val="00AA3371"/>
    <w:rsid w:val="00AA36FD"/>
    <w:rsid w:val="00AA404F"/>
    <w:rsid w:val="00AA4917"/>
    <w:rsid w:val="00AA4E9F"/>
    <w:rsid w:val="00AA5159"/>
    <w:rsid w:val="00AA653A"/>
    <w:rsid w:val="00AA6599"/>
    <w:rsid w:val="00AA70ED"/>
    <w:rsid w:val="00AA7106"/>
    <w:rsid w:val="00AA7FBE"/>
    <w:rsid w:val="00AB024A"/>
    <w:rsid w:val="00AB0EB5"/>
    <w:rsid w:val="00AB2131"/>
    <w:rsid w:val="00AB2FCE"/>
    <w:rsid w:val="00AB3779"/>
    <w:rsid w:val="00AB3BDB"/>
    <w:rsid w:val="00AB42F2"/>
    <w:rsid w:val="00AB4679"/>
    <w:rsid w:val="00AB4722"/>
    <w:rsid w:val="00AB4B9F"/>
    <w:rsid w:val="00AB4E09"/>
    <w:rsid w:val="00AB5A6F"/>
    <w:rsid w:val="00AB5E7F"/>
    <w:rsid w:val="00AB64E4"/>
    <w:rsid w:val="00AB6B68"/>
    <w:rsid w:val="00AB6D92"/>
    <w:rsid w:val="00AB7642"/>
    <w:rsid w:val="00AB7B39"/>
    <w:rsid w:val="00AB7C8B"/>
    <w:rsid w:val="00AC0907"/>
    <w:rsid w:val="00AC12F9"/>
    <w:rsid w:val="00AC15B1"/>
    <w:rsid w:val="00AC19E0"/>
    <w:rsid w:val="00AC1F1C"/>
    <w:rsid w:val="00AC2AF2"/>
    <w:rsid w:val="00AC301D"/>
    <w:rsid w:val="00AC33A9"/>
    <w:rsid w:val="00AC33F8"/>
    <w:rsid w:val="00AC35C3"/>
    <w:rsid w:val="00AC42B9"/>
    <w:rsid w:val="00AC4496"/>
    <w:rsid w:val="00AC44AC"/>
    <w:rsid w:val="00AC4793"/>
    <w:rsid w:val="00AC4EAB"/>
    <w:rsid w:val="00AC4F34"/>
    <w:rsid w:val="00AC4F76"/>
    <w:rsid w:val="00AC519D"/>
    <w:rsid w:val="00AC5818"/>
    <w:rsid w:val="00AC5F58"/>
    <w:rsid w:val="00AC6701"/>
    <w:rsid w:val="00AC6883"/>
    <w:rsid w:val="00AC6D2E"/>
    <w:rsid w:val="00AC7A11"/>
    <w:rsid w:val="00AD0C79"/>
    <w:rsid w:val="00AD18AA"/>
    <w:rsid w:val="00AD2143"/>
    <w:rsid w:val="00AD28FB"/>
    <w:rsid w:val="00AD2BDA"/>
    <w:rsid w:val="00AD2E6D"/>
    <w:rsid w:val="00AD3A02"/>
    <w:rsid w:val="00AD3CF4"/>
    <w:rsid w:val="00AD4127"/>
    <w:rsid w:val="00AD5372"/>
    <w:rsid w:val="00AD5C9F"/>
    <w:rsid w:val="00AD6899"/>
    <w:rsid w:val="00AD6F7D"/>
    <w:rsid w:val="00AD7144"/>
    <w:rsid w:val="00AD7EB3"/>
    <w:rsid w:val="00AE069C"/>
    <w:rsid w:val="00AE09D6"/>
    <w:rsid w:val="00AE0C05"/>
    <w:rsid w:val="00AE0D8F"/>
    <w:rsid w:val="00AE0FA7"/>
    <w:rsid w:val="00AE14E3"/>
    <w:rsid w:val="00AE158D"/>
    <w:rsid w:val="00AE186A"/>
    <w:rsid w:val="00AE23A2"/>
    <w:rsid w:val="00AE2795"/>
    <w:rsid w:val="00AE2F5F"/>
    <w:rsid w:val="00AE3223"/>
    <w:rsid w:val="00AE3AF5"/>
    <w:rsid w:val="00AE433E"/>
    <w:rsid w:val="00AE4592"/>
    <w:rsid w:val="00AE461B"/>
    <w:rsid w:val="00AE49E4"/>
    <w:rsid w:val="00AE5A8A"/>
    <w:rsid w:val="00AE5EF5"/>
    <w:rsid w:val="00AE61F2"/>
    <w:rsid w:val="00AE6FC7"/>
    <w:rsid w:val="00AE72A2"/>
    <w:rsid w:val="00AE7669"/>
    <w:rsid w:val="00AE7FF4"/>
    <w:rsid w:val="00AF00AC"/>
    <w:rsid w:val="00AF022E"/>
    <w:rsid w:val="00AF033E"/>
    <w:rsid w:val="00AF0538"/>
    <w:rsid w:val="00AF0C90"/>
    <w:rsid w:val="00AF139B"/>
    <w:rsid w:val="00AF2924"/>
    <w:rsid w:val="00AF2933"/>
    <w:rsid w:val="00AF2D4E"/>
    <w:rsid w:val="00AF2E69"/>
    <w:rsid w:val="00AF3922"/>
    <w:rsid w:val="00AF48A3"/>
    <w:rsid w:val="00AF50A6"/>
    <w:rsid w:val="00AF57B0"/>
    <w:rsid w:val="00AF62D7"/>
    <w:rsid w:val="00AF6631"/>
    <w:rsid w:val="00AF6832"/>
    <w:rsid w:val="00AF6C48"/>
    <w:rsid w:val="00AF6E19"/>
    <w:rsid w:val="00AF7156"/>
    <w:rsid w:val="00AF7256"/>
    <w:rsid w:val="00AF7DB0"/>
    <w:rsid w:val="00B005D5"/>
    <w:rsid w:val="00B006A2"/>
    <w:rsid w:val="00B00A08"/>
    <w:rsid w:val="00B00F0A"/>
    <w:rsid w:val="00B0125E"/>
    <w:rsid w:val="00B013A9"/>
    <w:rsid w:val="00B018B5"/>
    <w:rsid w:val="00B0223B"/>
    <w:rsid w:val="00B0274A"/>
    <w:rsid w:val="00B029E1"/>
    <w:rsid w:val="00B02BA6"/>
    <w:rsid w:val="00B02CBD"/>
    <w:rsid w:val="00B03594"/>
    <w:rsid w:val="00B036F2"/>
    <w:rsid w:val="00B03D5F"/>
    <w:rsid w:val="00B04316"/>
    <w:rsid w:val="00B0491C"/>
    <w:rsid w:val="00B04E7B"/>
    <w:rsid w:val="00B0505E"/>
    <w:rsid w:val="00B05972"/>
    <w:rsid w:val="00B059DB"/>
    <w:rsid w:val="00B06893"/>
    <w:rsid w:val="00B101D1"/>
    <w:rsid w:val="00B1073C"/>
    <w:rsid w:val="00B10CC6"/>
    <w:rsid w:val="00B10F3F"/>
    <w:rsid w:val="00B110C3"/>
    <w:rsid w:val="00B11B94"/>
    <w:rsid w:val="00B11E67"/>
    <w:rsid w:val="00B11FAD"/>
    <w:rsid w:val="00B11FDE"/>
    <w:rsid w:val="00B12464"/>
    <w:rsid w:val="00B12D0E"/>
    <w:rsid w:val="00B12E5A"/>
    <w:rsid w:val="00B13DEB"/>
    <w:rsid w:val="00B14171"/>
    <w:rsid w:val="00B15579"/>
    <w:rsid w:val="00B1586D"/>
    <w:rsid w:val="00B15EFC"/>
    <w:rsid w:val="00B168FE"/>
    <w:rsid w:val="00B16A06"/>
    <w:rsid w:val="00B173A0"/>
    <w:rsid w:val="00B177F4"/>
    <w:rsid w:val="00B2099C"/>
    <w:rsid w:val="00B20C22"/>
    <w:rsid w:val="00B212B5"/>
    <w:rsid w:val="00B216F5"/>
    <w:rsid w:val="00B217FF"/>
    <w:rsid w:val="00B22C78"/>
    <w:rsid w:val="00B22D42"/>
    <w:rsid w:val="00B22D6A"/>
    <w:rsid w:val="00B233DE"/>
    <w:rsid w:val="00B23677"/>
    <w:rsid w:val="00B23964"/>
    <w:rsid w:val="00B23B7C"/>
    <w:rsid w:val="00B23B85"/>
    <w:rsid w:val="00B23CD0"/>
    <w:rsid w:val="00B23D70"/>
    <w:rsid w:val="00B23F1B"/>
    <w:rsid w:val="00B2430E"/>
    <w:rsid w:val="00B24431"/>
    <w:rsid w:val="00B2466A"/>
    <w:rsid w:val="00B247B5"/>
    <w:rsid w:val="00B24B8C"/>
    <w:rsid w:val="00B251F9"/>
    <w:rsid w:val="00B25503"/>
    <w:rsid w:val="00B25F34"/>
    <w:rsid w:val="00B26FED"/>
    <w:rsid w:val="00B2771D"/>
    <w:rsid w:val="00B27E2A"/>
    <w:rsid w:val="00B30301"/>
    <w:rsid w:val="00B303B1"/>
    <w:rsid w:val="00B30E36"/>
    <w:rsid w:val="00B30EC4"/>
    <w:rsid w:val="00B318D2"/>
    <w:rsid w:val="00B31C20"/>
    <w:rsid w:val="00B31DEF"/>
    <w:rsid w:val="00B329DB"/>
    <w:rsid w:val="00B329FC"/>
    <w:rsid w:val="00B33D87"/>
    <w:rsid w:val="00B34F2C"/>
    <w:rsid w:val="00B34FCD"/>
    <w:rsid w:val="00B34FF3"/>
    <w:rsid w:val="00B3574D"/>
    <w:rsid w:val="00B357C9"/>
    <w:rsid w:val="00B35BA1"/>
    <w:rsid w:val="00B36144"/>
    <w:rsid w:val="00B36724"/>
    <w:rsid w:val="00B36853"/>
    <w:rsid w:val="00B37823"/>
    <w:rsid w:val="00B3798C"/>
    <w:rsid w:val="00B37C8F"/>
    <w:rsid w:val="00B37D10"/>
    <w:rsid w:val="00B37E8E"/>
    <w:rsid w:val="00B40947"/>
    <w:rsid w:val="00B40F0B"/>
    <w:rsid w:val="00B40F3E"/>
    <w:rsid w:val="00B4153C"/>
    <w:rsid w:val="00B4285C"/>
    <w:rsid w:val="00B42AF3"/>
    <w:rsid w:val="00B42BF1"/>
    <w:rsid w:val="00B433CC"/>
    <w:rsid w:val="00B43C4B"/>
    <w:rsid w:val="00B43E54"/>
    <w:rsid w:val="00B445A0"/>
    <w:rsid w:val="00B44D04"/>
    <w:rsid w:val="00B457D4"/>
    <w:rsid w:val="00B45D13"/>
    <w:rsid w:val="00B46001"/>
    <w:rsid w:val="00B46181"/>
    <w:rsid w:val="00B46D30"/>
    <w:rsid w:val="00B473D8"/>
    <w:rsid w:val="00B47B6B"/>
    <w:rsid w:val="00B47D87"/>
    <w:rsid w:val="00B47EE6"/>
    <w:rsid w:val="00B504B5"/>
    <w:rsid w:val="00B50642"/>
    <w:rsid w:val="00B50E0A"/>
    <w:rsid w:val="00B510B9"/>
    <w:rsid w:val="00B515F4"/>
    <w:rsid w:val="00B51BC9"/>
    <w:rsid w:val="00B51DE3"/>
    <w:rsid w:val="00B52045"/>
    <w:rsid w:val="00B52092"/>
    <w:rsid w:val="00B52925"/>
    <w:rsid w:val="00B52C4D"/>
    <w:rsid w:val="00B5316E"/>
    <w:rsid w:val="00B54628"/>
    <w:rsid w:val="00B54B7F"/>
    <w:rsid w:val="00B54D09"/>
    <w:rsid w:val="00B55670"/>
    <w:rsid w:val="00B55A78"/>
    <w:rsid w:val="00B55BF1"/>
    <w:rsid w:val="00B55DC6"/>
    <w:rsid w:val="00B56705"/>
    <w:rsid w:val="00B568EA"/>
    <w:rsid w:val="00B56BA2"/>
    <w:rsid w:val="00B56DD1"/>
    <w:rsid w:val="00B57494"/>
    <w:rsid w:val="00B57772"/>
    <w:rsid w:val="00B578B7"/>
    <w:rsid w:val="00B57914"/>
    <w:rsid w:val="00B57EB6"/>
    <w:rsid w:val="00B57F12"/>
    <w:rsid w:val="00B603E7"/>
    <w:rsid w:val="00B60D82"/>
    <w:rsid w:val="00B60E36"/>
    <w:rsid w:val="00B612C7"/>
    <w:rsid w:val="00B61E07"/>
    <w:rsid w:val="00B62B99"/>
    <w:rsid w:val="00B62D4F"/>
    <w:rsid w:val="00B63C4A"/>
    <w:rsid w:val="00B642BD"/>
    <w:rsid w:val="00B6440B"/>
    <w:rsid w:val="00B6447D"/>
    <w:rsid w:val="00B645F8"/>
    <w:rsid w:val="00B64909"/>
    <w:rsid w:val="00B64A5A"/>
    <w:rsid w:val="00B64D5E"/>
    <w:rsid w:val="00B6687D"/>
    <w:rsid w:val="00B670DF"/>
    <w:rsid w:val="00B672DC"/>
    <w:rsid w:val="00B674D4"/>
    <w:rsid w:val="00B67B3B"/>
    <w:rsid w:val="00B701A1"/>
    <w:rsid w:val="00B70270"/>
    <w:rsid w:val="00B7030C"/>
    <w:rsid w:val="00B708EF"/>
    <w:rsid w:val="00B70A25"/>
    <w:rsid w:val="00B70DC7"/>
    <w:rsid w:val="00B711C8"/>
    <w:rsid w:val="00B71F97"/>
    <w:rsid w:val="00B722BE"/>
    <w:rsid w:val="00B7324B"/>
    <w:rsid w:val="00B7328F"/>
    <w:rsid w:val="00B7495B"/>
    <w:rsid w:val="00B75230"/>
    <w:rsid w:val="00B7555F"/>
    <w:rsid w:val="00B761CB"/>
    <w:rsid w:val="00B766DB"/>
    <w:rsid w:val="00B76F2F"/>
    <w:rsid w:val="00B7735F"/>
    <w:rsid w:val="00B80166"/>
    <w:rsid w:val="00B805C8"/>
    <w:rsid w:val="00B80A27"/>
    <w:rsid w:val="00B80AC0"/>
    <w:rsid w:val="00B80BA7"/>
    <w:rsid w:val="00B80BEF"/>
    <w:rsid w:val="00B816AA"/>
    <w:rsid w:val="00B8172D"/>
    <w:rsid w:val="00B81C6F"/>
    <w:rsid w:val="00B820B0"/>
    <w:rsid w:val="00B82912"/>
    <w:rsid w:val="00B82CB6"/>
    <w:rsid w:val="00B832A3"/>
    <w:rsid w:val="00B83C21"/>
    <w:rsid w:val="00B83C5E"/>
    <w:rsid w:val="00B84826"/>
    <w:rsid w:val="00B84D81"/>
    <w:rsid w:val="00B851A5"/>
    <w:rsid w:val="00B856F4"/>
    <w:rsid w:val="00B85F4C"/>
    <w:rsid w:val="00B85F9D"/>
    <w:rsid w:val="00B86155"/>
    <w:rsid w:val="00B86162"/>
    <w:rsid w:val="00B86573"/>
    <w:rsid w:val="00B8686C"/>
    <w:rsid w:val="00B869F7"/>
    <w:rsid w:val="00B87599"/>
    <w:rsid w:val="00B9015B"/>
    <w:rsid w:val="00B902A8"/>
    <w:rsid w:val="00B909DB"/>
    <w:rsid w:val="00B9112C"/>
    <w:rsid w:val="00B92AD4"/>
    <w:rsid w:val="00B92AFA"/>
    <w:rsid w:val="00B92C35"/>
    <w:rsid w:val="00B92D68"/>
    <w:rsid w:val="00B92D76"/>
    <w:rsid w:val="00B93222"/>
    <w:rsid w:val="00B93273"/>
    <w:rsid w:val="00B9338D"/>
    <w:rsid w:val="00B94342"/>
    <w:rsid w:val="00B946A3"/>
    <w:rsid w:val="00B9472F"/>
    <w:rsid w:val="00B948C4"/>
    <w:rsid w:val="00B94962"/>
    <w:rsid w:val="00B94A91"/>
    <w:rsid w:val="00B94F52"/>
    <w:rsid w:val="00B95080"/>
    <w:rsid w:val="00B95689"/>
    <w:rsid w:val="00B956E3"/>
    <w:rsid w:val="00B95D38"/>
    <w:rsid w:val="00B9665E"/>
    <w:rsid w:val="00B968BA"/>
    <w:rsid w:val="00B968D5"/>
    <w:rsid w:val="00B96E18"/>
    <w:rsid w:val="00B97958"/>
    <w:rsid w:val="00B97968"/>
    <w:rsid w:val="00B97BA8"/>
    <w:rsid w:val="00BA015C"/>
    <w:rsid w:val="00BA03C2"/>
    <w:rsid w:val="00BA0673"/>
    <w:rsid w:val="00BA0953"/>
    <w:rsid w:val="00BA0F31"/>
    <w:rsid w:val="00BA0F62"/>
    <w:rsid w:val="00BA1338"/>
    <w:rsid w:val="00BA17E8"/>
    <w:rsid w:val="00BA2846"/>
    <w:rsid w:val="00BA2917"/>
    <w:rsid w:val="00BA3113"/>
    <w:rsid w:val="00BA325C"/>
    <w:rsid w:val="00BA3EA7"/>
    <w:rsid w:val="00BA4065"/>
    <w:rsid w:val="00BA4DBD"/>
    <w:rsid w:val="00BA4E82"/>
    <w:rsid w:val="00BA4F0D"/>
    <w:rsid w:val="00BA4F82"/>
    <w:rsid w:val="00BA52C1"/>
    <w:rsid w:val="00BA5B3A"/>
    <w:rsid w:val="00BA5DF0"/>
    <w:rsid w:val="00BA61A3"/>
    <w:rsid w:val="00BA70DA"/>
    <w:rsid w:val="00BA7977"/>
    <w:rsid w:val="00BA7A69"/>
    <w:rsid w:val="00BA7B13"/>
    <w:rsid w:val="00BA7F2A"/>
    <w:rsid w:val="00BB08F1"/>
    <w:rsid w:val="00BB13CF"/>
    <w:rsid w:val="00BB1702"/>
    <w:rsid w:val="00BB174B"/>
    <w:rsid w:val="00BB184F"/>
    <w:rsid w:val="00BB2EB0"/>
    <w:rsid w:val="00BB324B"/>
    <w:rsid w:val="00BB3FB0"/>
    <w:rsid w:val="00BB434B"/>
    <w:rsid w:val="00BB44E2"/>
    <w:rsid w:val="00BB469A"/>
    <w:rsid w:val="00BB482F"/>
    <w:rsid w:val="00BB4F35"/>
    <w:rsid w:val="00BB508F"/>
    <w:rsid w:val="00BB5AEC"/>
    <w:rsid w:val="00BB5D48"/>
    <w:rsid w:val="00BB6916"/>
    <w:rsid w:val="00BB6C83"/>
    <w:rsid w:val="00BB6F4C"/>
    <w:rsid w:val="00BB70C2"/>
    <w:rsid w:val="00BB7C60"/>
    <w:rsid w:val="00BB7E3F"/>
    <w:rsid w:val="00BB7EC8"/>
    <w:rsid w:val="00BC074C"/>
    <w:rsid w:val="00BC0998"/>
    <w:rsid w:val="00BC0E96"/>
    <w:rsid w:val="00BC0F54"/>
    <w:rsid w:val="00BC0F77"/>
    <w:rsid w:val="00BC0FBF"/>
    <w:rsid w:val="00BC1E37"/>
    <w:rsid w:val="00BC2459"/>
    <w:rsid w:val="00BC3031"/>
    <w:rsid w:val="00BC3414"/>
    <w:rsid w:val="00BC3EBC"/>
    <w:rsid w:val="00BC3FBE"/>
    <w:rsid w:val="00BC3FFF"/>
    <w:rsid w:val="00BC525C"/>
    <w:rsid w:val="00BC53BA"/>
    <w:rsid w:val="00BC543D"/>
    <w:rsid w:val="00BC58CB"/>
    <w:rsid w:val="00BC5D5B"/>
    <w:rsid w:val="00BC5D7A"/>
    <w:rsid w:val="00BC5DFC"/>
    <w:rsid w:val="00BC5EEA"/>
    <w:rsid w:val="00BC6A40"/>
    <w:rsid w:val="00BC6AAE"/>
    <w:rsid w:val="00BC6ACE"/>
    <w:rsid w:val="00BC6B11"/>
    <w:rsid w:val="00BC6CC5"/>
    <w:rsid w:val="00BC7516"/>
    <w:rsid w:val="00BC7637"/>
    <w:rsid w:val="00BC7AEC"/>
    <w:rsid w:val="00BC7CFE"/>
    <w:rsid w:val="00BC7D1F"/>
    <w:rsid w:val="00BD045D"/>
    <w:rsid w:val="00BD0BAC"/>
    <w:rsid w:val="00BD11AF"/>
    <w:rsid w:val="00BD1230"/>
    <w:rsid w:val="00BD183D"/>
    <w:rsid w:val="00BD233E"/>
    <w:rsid w:val="00BD245E"/>
    <w:rsid w:val="00BD2D99"/>
    <w:rsid w:val="00BD2F52"/>
    <w:rsid w:val="00BD4029"/>
    <w:rsid w:val="00BD40E2"/>
    <w:rsid w:val="00BD4373"/>
    <w:rsid w:val="00BD4394"/>
    <w:rsid w:val="00BD4762"/>
    <w:rsid w:val="00BD4A29"/>
    <w:rsid w:val="00BD4C97"/>
    <w:rsid w:val="00BD4DCB"/>
    <w:rsid w:val="00BD4FB9"/>
    <w:rsid w:val="00BD5672"/>
    <w:rsid w:val="00BD5A87"/>
    <w:rsid w:val="00BD63AB"/>
    <w:rsid w:val="00BD6797"/>
    <w:rsid w:val="00BD6B63"/>
    <w:rsid w:val="00BD6D5E"/>
    <w:rsid w:val="00BD6DAF"/>
    <w:rsid w:val="00BD6E40"/>
    <w:rsid w:val="00BD73C1"/>
    <w:rsid w:val="00BD76E3"/>
    <w:rsid w:val="00BE022E"/>
    <w:rsid w:val="00BE0D1C"/>
    <w:rsid w:val="00BE185A"/>
    <w:rsid w:val="00BE2666"/>
    <w:rsid w:val="00BE2886"/>
    <w:rsid w:val="00BE2C7E"/>
    <w:rsid w:val="00BE32D2"/>
    <w:rsid w:val="00BE3A95"/>
    <w:rsid w:val="00BE3C4D"/>
    <w:rsid w:val="00BE4156"/>
    <w:rsid w:val="00BE426B"/>
    <w:rsid w:val="00BE42A3"/>
    <w:rsid w:val="00BE43D7"/>
    <w:rsid w:val="00BE4AEB"/>
    <w:rsid w:val="00BE5012"/>
    <w:rsid w:val="00BE5025"/>
    <w:rsid w:val="00BE531C"/>
    <w:rsid w:val="00BE5493"/>
    <w:rsid w:val="00BE55B6"/>
    <w:rsid w:val="00BE6112"/>
    <w:rsid w:val="00BE615C"/>
    <w:rsid w:val="00BE652D"/>
    <w:rsid w:val="00BE68CD"/>
    <w:rsid w:val="00BE68D0"/>
    <w:rsid w:val="00BE6CE8"/>
    <w:rsid w:val="00BE7177"/>
    <w:rsid w:val="00BE72AA"/>
    <w:rsid w:val="00BE7307"/>
    <w:rsid w:val="00BE74F0"/>
    <w:rsid w:val="00BF05F8"/>
    <w:rsid w:val="00BF0688"/>
    <w:rsid w:val="00BF16C0"/>
    <w:rsid w:val="00BF1ED6"/>
    <w:rsid w:val="00BF2126"/>
    <w:rsid w:val="00BF2140"/>
    <w:rsid w:val="00BF26AE"/>
    <w:rsid w:val="00BF372B"/>
    <w:rsid w:val="00BF3AE1"/>
    <w:rsid w:val="00BF40FC"/>
    <w:rsid w:val="00BF43A5"/>
    <w:rsid w:val="00BF4E16"/>
    <w:rsid w:val="00BF5F6F"/>
    <w:rsid w:val="00BF72DD"/>
    <w:rsid w:val="00BF74AD"/>
    <w:rsid w:val="00BF74CB"/>
    <w:rsid w:val="00BF753F"/>
    <w:rsid w:val="00BF7DB9"/>
    <w:rsid w:val="00C00629"/>
    <w:rsid w:val="00C00D7E"/>
    <w:rsid w:val="00C010D3"/>
    <w:rsid w:val="00C010D5"/>
    <w:rsid w:val="00C01178"/>
    <w:rsid w:val="00C01BAF"/>
    <w:rsid w:val="00C01E3E"/>
    <w:rsid w:val="00C01FBF"/>
    <w:rsid w:val="00C0204A"/>
    <w:rsid w:val="00C0280B"/>
    <w:rsid w:val="00C02E13"/>
    <w:rsid w:val="00C03D72"/>
    <w:rsid w:val="00C045BE"/>
    <w:rsid w:val="00C045F7"/>
    <w:rsid w:val="00C04705"/>
    <w:rsid w:val="00C04819"/>
    <w:rsid w:val="00C04F22"/>
    <w:rsid w:val="00C0517F"/>
    <w:rsid w:val="00C053EA"/>
    <w:rsid w:val="00C0571E"/>
    <w:rsid w:val="00C05784"/>
    <w:rsid w:val="00C05D5C"/>
    <w:rsid w:val="00C05F89"/>
    <w:rsid w:val="00C06959"/>
    <w:rsid w:val="00C06A6B"/>
    <w:rsid w:val="00C06A82"/>
    <w:rsid w:val="00C06B94"/>
    <w:rsid w:val="00C06BBE"/>
    <w:rsid w:val="00C071C2"/>
    <w:rsid w:val="00C0763A"/>
    <w:rsid w:val="00C10368"/>
    <w:rsid w:val="00C1087D"/>
    <w:rsid w:val="00C1096E"/>
    <w:rsid w:val="00C10D01"/>
    <w:rsid w:val="00C10F22"/>
    <w:rsid w:val="00C1135F"/>
    <w:rsid w:val="00C1146A"/>
    <w:rsid w:val="00C119FF"/>
    <w:rsid w:val="00C11B62"/>
    <w:rsid w:val="00C11BA7"/>
    <w:rsid w:val="00C122B4"/>
    <w:rsid w:val="00C12510"/>
    <w:rsid w:val="00C127B5"/>
    <w:rsid w:val="00C12B0F"/>
    <w:rsid w:val="00C12C78"/>
    <w:rsid w:val="00C12CF3"/>
    <w:rsid w:val="00C13E14"/>
    <w:rsid w:val="00C13E29"/>
    <w:rsid w:val="00C14A9E"/>
    <w:rsid w:val="00C14D3A"/>
    <w:rsid w:val="00C14DCF"/>
    <w:rsid w:val="00C15305"/>
    <w:rsid w:val="00C15B8A"/>
    <w:rsid w:val="00C16247"/>
    <w:rsid w:val="00C16900"/>
    <w:rsid w:val="00C1702C"/>
    <w:rsid w:val="00C17DE0"/>
    <w:rsid w:val="00C17F6C"/>
    <w:rsid w:val="00C2103B"/>
    <w:rsid w:val="00C21175"/>
    <w:rsid w:val="00C211A4"/>
    <w:rsid w:val="00C21704"/>
    <w:rsid w:val="00C21E11"/>
    <w:rsid w:val="00C22468"/>
    <w:rsid w:val="00C22679"/>
    <w:rsid w:val="00C2292C"/>
    <w:rsid w:val="00C22D69"/>
    <w:rsid w:val="00C230D7"/>
    <w:rsid w:val="00C23288"/>
    <w:rsid w:val="00C23A44"/>
    <w:rsid w:val="00C23B3A"/>
    <w:rsid w:val="00C2423F"/>
    <w:rsid w:val="00C24B62"/>
    <w:rsid w:val="00C2503C"/>
    <w:rsid w:val="00C25F0B"/>
    <w:rsid w:val="00C26D6F"/>
    <w:rsid w:val="00C305F5"/>
    <w:rsid w:val="00C30C0C"/>
    <w:rsid w:val="00C30D20"/>
    <w:rsid w:val="00C31055"/>
    <w:rsid w:val="00C3114A"/>
    <w:rsid w:val="00C3168A"/>
    <w:rsid w:val="00C31E3F"/>
    <w:rsid w:val="00C327AE"/>
    <w:rsid w:val="00C333A8"/>
    <w:rsid w:val="00C33427"/>
    <w:rsid w:val="00C33B32"/>
    <w:rsid w:val="00C33FF7"/>
    <w:rsid w:val="00C3576B"/>
    <w:rsid w:val="00C367F5"/>
    <w:rsid w:val="00C36903"/>
    <w:rsid w:val="00C36B4E"/>
    <w:rsid w:val="00C36B9C"/>
    <w:rsid w:val="00C36D3F"/>
    <w:rsid w:val="00C37333"/>
    <w:rsid w:val="00C373C8"/>
    <w:rsid w:val="00C374A7"/>
    <w:rsid w:val="00C37A75"/>
    <w:rsid w:val="00C37BC3"/>
    <w:rsid w:val="00C37E09"/>
    <w:rsid w:val="00C37F74"/>
    <w:rsid w:val="00C40BD7"/>
    <w:rsid w:val="00C40D8E"/>
    <w:rsid w:val="00C40DF2"/>
    <w:rsid w:val="00C4122F"/>
    <w:rsid w:val="00C41574"/>
    <w:rsid w:val="00C41DC4"/>
    <w:rsid w:val="00C429FB"/>
    <w:rsid w:val="00C42F7B"/>
    <w:rsid w:val="00C43B53"/>
    <w:rsid w:val="00C448EA"/>
    <w:rsid w:val="00C44A29"/>
    <w:rsid w:val="00C450E8"/>
    <w:rsid w:val="00C455D3"/>
    <w:rsid w:val="00C45771"/>
    <w:rsid w:val="00C457F7"/>
    <w:rsid w:val="00C4596E"/>
    <w:rsid w:val="00C4599B"/>
    <w:rsid w:val="00C466BF"/>
    <w:rsid w:val="00C46B8B"/>
    <w:rsid w:val="00C46E7E"/>
    <w:rsid w:val="00C47071"/>
    <w:rsid w:val="00C47451"/>
    <w:rsid w:val="00C50057"/>
    <w:rsid w:val="00C501F0"/>
    <w:rsid w:val="00C50FFF"/>
    <w:rsid w:val="00C51A8A"/>
    <w:rsid w:val="00C51BEF"/>
    <w:rsid w:val="00C52211"/>
    <w:rsid w:val="00C52890"/>
    <w:rsid w:val="00C52C53"/>
    <w:rsid w:val="00C53C43"/>
    <w:rsid w:val="00C545F1"/>
    <w:rsid w:val="00C547D5"/>
    <w:rsid w:val="00C56060"/>
    <w:rsid w:val="00C5667C"/>
    <w:rsid w:val="00C56A59"/>
    <w:rsid w:val="00C56EB3"/>
    <w:rsid w:val="00C571D5"/>
    <w:rsid w:val="00C5767F"/>
    <w:rsid w:val="00C60469"/>
    <w:rsid w:val="00C60546"/>
    <w:rsid w:val="00C60711"/>
    <w:rsid w:val="00C60FCB"/>
    <w:rsid w:val="00C6125C"/>
    <w:rsid w:val="00C614A8"/>
    <w:rsid w:val="00C6205F"/>
    <w:rsid w:val="00C6217C"/>
    <w:rsid w:val="00C62220"/>
    <w:rsid w:val="00C6239C"/>
    <w:rsid w:val="00C63DF3"/>
    <w:rsid w:val="00C6407C"/>
    <w:rsid w:val="00C641FD"/>
    <w:rsid w:val="00C64269"/>
    <w:rsid w:val="00C642F6"/>
    <w:rsid w:val="00C64958"/>
    <w:rsid w:val="00C649B7"/>
    <w:rsid w:val="00C6554E"/>
    <w:rsid w:val="00C65882"/>
    <w:rsid w:val="00C66720"/>
    <w:rsid w:val="00C67A52"/>
    <w:rsid w:val="00C704F5"/>
    <w:rsid w:val="00C708B2"/>
    <w:rsid w:val="00C710AC"/>
    <w:rsid w:val="00C71509"/>
    <w:rsid w:val="00C71E55"/>
    <w:rsid w:val="00C723F5"/>
    <w:rsid w:val="00C72523"/>
    <w:rsid w:val="00C729A2"/>
    <w:rsid w:val="00C73BA4"/>
    <w:rsid w:val="00C74159"/>
    <w:rsid w:val="00C74559"/>
    <w:rsid w:val="00C74752"/>
    <w:rsid w:val="00C748DC"/>
    <w:rsid w:val="00C749D9"/>
    <w:rsid w:val="00C74C41"/>
    <w:rsid w:val="00C74F14"/>
    <w:rsid w:val="00C753CA"/>
    <w:rsid w:val="00C7637C"/>
    <w:rsid w:val="00C76405"/>
    <w:rsid w:val="00C764C3"/>
    <w:rsid w:val="00C774B0"/>
    <w:rsid w:val="00C777A8"/>
    <w:rsid w:val="00C778A0"/>
    <w:rsid w:val="00C77AD1"/>
    <w:rsid w:val="00C77CBB"/>
    <w:rsid w:val="00C80C02"/>
    <w:rsid w:val="00C80C4C"/>
    <w:rsid w:val="00C80D76"/>
    <w:rsid w:val="00C81C24"/>
    <w:rsid w:val="00C825B6"/>
    <w:rsid w:val="00C82638"/>
    <w:rsid w:val="00C8273E"/>
    <w:rsid w:val="00C828A5"/>
    <w:rsid w:val="00C828D7"/>
    <w:rsid w:val="00C82BEF"/>
    <w:rsid w:val="00C8318E"/>
    <w:rsid w:val="00C832DD"/>
    <w:rsid w:val="00C832FB"/>
    <w:rsid w:val="00C83565"/>
    <w:rsid w:val="00C83925"/>
    <w:rsid w:val="00C83F25"/>
    <w:rsid w:val="00C849A3"/>
    <w:rsid w:val="00C85042"/>
    <w:rsid w:val="00C850CC"/>
    <w:rsid w:val="00C85232"/>
    <w:rsid w:val="00C852E1"/>
    <w:rsid w:val="00C859C6"/>
    <w:rsid w:val="00C85E41"/>
    <w:rsid w:val="00C86BD0"/>
    <w:rsid w:val="00C8705A"/>
    <w:rsid w:val="00C8747C"/>
    <w:rsid w:val="00C9020D"/>
    <w:rsid w:val="00C902C0"/>
    <w:rsid w:val="00C90979"/>
    <w:rsid w:val="00C90D35"/>
    <w:rsid w:val="00C91113"/>
    <w:rsid w:val="00C919F9"/>
    <w:rsid w:val="00C9246A"/>
    <w:rsid w:val="00C92802"/>
    <w:rsid w:val="00C92BBD"/>
    <w:rsid w:val="00C93293"/>
    <w:rsid w:val="00C93B9C"/>
    <w:rsid w:val="00C93CA9"/>
    <w:rsid w:val="00C93E28"/>
    <w:rsid w:val="00C943B4"/>
    <w:rsid w:val="00C94D91"/>
    <w:rsid w:val="00C95414"/>
    <w:rsid w:val="00C962EB"/>
    <w:rsid w:val="00C96746"/>
    <w:rsid w:val="00C969FC"/>
    <w:rsid w:val="00C96D0C"/>
    <w:rsid w:val="00C97419"/>
    <w:rsid w:val="00CA0171"/>
    <w:rsid w:val="00CA072E"/>
    <w:rsid w:val="00CA0BBF"/>
    <w:rsid w:val="00CA0D4E"/>
    <w:rsid w:val="00CA10A8"/>
    <w:rsid w:val="00CA10DE"/>
    <w:rsid w:val="00CA1BD2"/>
    <w:rsid w:val="00CA1F7F"/>
    <w:rsid w:val="00CA215F"/>
    <w:rsid w:val="00CA2903"/>
    <w:rsid w:val="00CA3146"/>
    <w:rsid w:val="00CA375E"/>
    <w:rsid w:val="00CA40C1"/>
    <w:rsid w:val="00CA4105"/>
    <w:rsid w:val="00CA4C73"/>
    <w:rsid w:val="00CA4CB3"/>
    <w:rsid w:val="00CA5767"/>
    <w:rsid w:val="00CA5846"/>
    <w:rsid w:val="00CA588D"/>
    <w:rsid w:val="00CA5DED"/>
    <w:rsid w:val="00CA614E"/>
    <w:rsid w:val="00CA68C4"/>
    <w:rsid w:val="00CA692F"/>
    <w:rsid w:val="00CA6A00"/>
    <w:rsid w:val="00CA6B04"/>
    <w:rsid w:val="00CA72F6"/>
    <w:rsid w:val="00CA7865"/>
    <w:rsid w:val="00CA791E"/>
    <w:rsid w:val="00CA7AEE"/>
    <w:rsid w:val="00CA7B22"/>
    <w:rsid w:val="00CB038B"/>
    <w:rsid w:val="00CB09D7"/>
    <w:rsid w:val="00CB125A"/>
    <w:rsid w:val="00CB1561"/>
    <w:rsid w:val="00CB1F89"/>
    <w:rsid w:val="00CB21BF"/>
    <w:rsid w:val="00CB2460"/>
    <w:rsid w:val="00CB255C"/>
    <w:rsid w:val="00CB33A3"/>
    <w:rsid w:val="00CB348C"/>
    <w:rsid w:val="00CB3642"/>
    <w:rsid w:val="00CB39C5"/>
    <w:rsid w:val="00CB3A98"/>
    <w:rsid w:val="00CB3E82"/>
    <w:rsid w:val="00CB3F4C"/>
    <w:rsid w:val="00CB43EC"/>
    <w:rsid w:val="00CB4501"/>
    <w:rsid w:val="00CB478B"/>
    <w:rsid w:val="00CB4B7E"/>
    <w:rsid w:val="00CB4BAF"/>
    <w:rsid w:val="00CB5101"/>
    <w:rsid w:val="00CB5986"/>
    <w:rsid w:val="00CB5C91"/>
    <w:rsid w:val="00CB6D3B"/>
    <w:rsid w:val="00CB6E69"/>
    <w:rsid w:val="00CB72F8"/>
    <w:rsid w:val="00CB766F"/>
    <w:rsid w:val="00CB7E83"/>
    <w:rsid w:val="00CC0146"/>
    <w:rsid w:val="00CC043D"/>
    <w:rsid w:val="00CC05EB"/>
    <w:rsid w:val="00CC08FB"/>
    <w:rsid w:val="00CC096D"/>
    <w:rsid w:val="00CC0B96"/>
    <w:rsid w:val="00CC0C38"/>
    <w:rsid w:val="00CC0D87"/>
    <w:rsid w:val="00CC0E84"/>
    <w:rsid w:val="00CC1198"/>
    <w:rsid w:val="00CC13B0"/>
    <w:rsid w:val="00CC196B"/>
    <w:rsid w:val="00CC2B53"/>
    <w:rsid w:val="00CC3295"/>
    <w:rsid w:val="00CC347C"/>
    <w:rsid w:val="00CC3A94"/>
    <w:rsid w:val="00CC4704"/>
    <w:rsid w:val="00CC513B"/>
    <w:rsid w:val="00CC52A5"/>
    <w:rsid w:val="00CC5AAA"/>
    <w:rsid w:val="00CC5CAA"/>
    <w:rsid w:val="00CC6EB0"/>
    <w:rsid w:val="00CC713F"/>
    <w:rsid w:val="00CC7818"/>
    <w:rsid w:val="00CC785D"/>
    <w:rsid w:val="00CD0482"/>
    <w:rsid w:val="00CD0845"/>
    <w:rsid w:val="00CD0A6E"/>
    <w:rsid w:val="00CD0FBD"/>
    <w:rsid w:val="00CD16C6"/>
    <w:rsid w:val="00CD1CD7"/>
    <w:rsid w:val="00CD1D09"/>
    <w:rsid w:val="00CD232D"/>
    <w:rsid w:val="00CD264E"/>
    <w:rsid w:val="00CD29A2"/>
    <w:rsid w:val="00CD3515"/>
    <w:rsid w:val="00CD3B2C"/>
    <w:rsid w:val="00CD4179"/>
    <w:rsid w:val="00CD41E5"/>
    <w:rsid w:val="00CD440B"/>
    <w:rsid w:val="00CD441E"/>
    <w:rsid w:val="00CD4598"/>
    <w:rsid w:val="00CD4B79"/>
    <w:rsid w:val="00CD52FB"/>
    <w:rsid w:val="00CD53A8"/>
    <w:rsid w:val="00CD53DD"/>
    <w:rsid w:val="00CD55D4"/>
    <w:rsid w:val="00CD573B"/>
    <w:rsid w:val="00CD5897"/>
    <w:rsid w:val="00CD5947"/>
    <w:rsid w:val="00CD5E9A"/>
    <w:rsid w:val="00CD631B"/>
    <w:rsid w:val="00CD700D"/>
    <w:rsid w:val="00CD7624"/>
    <w:rsid w:val="00CD7C10"/>
    <w:rsid w:val="00CD7EE5"/>
    <w:rsid w:val="00CE01B9"/>
    <w:rsid w:val="00CE0532"/>
    <w:rsid w:val="00CE0CFC"/>
    <w:rsid w:val="00CE1426"/>
    <w:rsid w:val="00CE15D5"/>
    <w:rsid w:val="00CE16C1"/>
    <w:rsid w:val="00CE1932"/>
    <w:rsid w:val="00CE1E01"/>
    <w:rsid w:val="00CE1E0E"/>
    <w:rsid w:val="00CE1F64"/>
    <w:rsid w:val="00CE2435"/>
    <w:rsid w:val="00CE276E"/>
    <w:rsid w:val="00CE2C49"/>
    <w:rsid w:val="00CE3A31"/>
    <w:rsid w:val="00CE42B2"/>
    <w:rsid w:val="00CE42C3"/>
    <w:rsid w:val="00CE480D"/>
    <w:rsid w:val="00CE498A"/>
    <w:rsid w:val="00CE5048"/>
    <w:rsid w:val="00CE517C"/>
    <w:rsid w:val="00CE5580"/>
    <w:rsid w:val="00CE5768"/>
    <w:rsid w:val="00CE668C"/>
    <w:rsid w:val="00CE67DC"/>
    <w:rsid w:val="00CE7B12"/>
    <w:rsid w:val="00CE7B7B"/>
    <w:rsid w:val="00CE7BBF"/>
    <w:rsid w:val="00CF099C"/>
    <w:rsid w:val="00CF0E4F"/>
    <w:rsid w:val="00CF352F"/>
    <w:rsid w:val="00CF455C"/>
    <w:rsid w:val="00CF4EFD"/>
    <w:rsid w:val="00CF5A4E"/>
    <w:rsid w:val="00CF5DFF"/>
    <w:rsid w:val="00CF5FCD"/>
    <w:rsid w:val="00CF6667"/>
    <w:rsid w:val="00CF6FDD"/>
    <w:rsid w:val="00CF71A9"/>
    <w:rsid w:val="00CF7213"/>
    <w:rsid w:val="00CF782E"/>
    <w:rsid w:val="00CF7DF1"/>
    <w:rsid w:val="00D000FE"/>
    <w:rsid w:val="00D0074C"/>
    <w:rsid w:val="00D00888"/>
    <w:rsid w:val="00D00BAC"/>
    <w:rsid w:val="00D011FF"/>
    <w:rsid w:val="00D0151A"/>
    <w:rsid w:val="00D0176E"/>
    <w:rsid w:val="00D01980"/>
    <w:rsid w:val="00D01B1A"/>
    <w:rsid w:val="00D01D61"/>
    <w:rsid w:val="00D024F9"/>
    <w:rsid w:val="00D02514"/>
    <w:rsid w:val="00D02738"/>
    <w:rsid w:val="00D02845"/>
    <w:rsid w:val="00D02916"/>
    <w:rsid w:val="00D0292E"/>
    <w:rsid w:val="00D02B7F"/>
    <w:rsid w:val="00D03A41"/>
    <w:rsid w:val="00D03D16"/>
    <w:rsid w:val="00D04456"/>
    <w:rsid w:val="00D04534"/>
    <w:rsid w:val="00D04CBB"/>
    <w:rsid w:val="00D05036"/>
    <w:rsid w:val="00D05771"/>
    <w:rsid w:val="00D05AD6"/>
    <w:rsid w:val="00D05B87"/>
    <w:rsid w:val="00D06077"/>
    <w:rsid w:val="00D060ED"/>
    <w:rsid w:val="00D064CF"/>
    <w:rsid w:val="00D065AB"/>
    <w:rsid w:val="00D06FD4"/>
    <w:rsid w:val="00D0740D"/>
    <w:rsid w:val="00D07D0A"/>
    <w:rsid w:val="00D10344"/>
    <w:rsid w:val="00D10AF1"/>
    <w:rsid w:val="00D11011"/>
    <w:rsid w:val="00D115AD"/>
    <w:rsid w:val="00D11807"/>
    <w:rsid w:val="00D119FE"/>
    <w:rsid w:val="00D11EF8"/>
    <w:rsid w:val="00D121EA"/>
    <w:rsid w:val="00D12FF2"/>
    <w:rsid w:val="00D1340E"/>
    <w:rsid w:val="00D13C70"/>
    <w:rsid w:val="00D13C91"/>
    <w:rsid w:val="00D15F9C"/>
    <w:rsid w:val="00D160B3"/>
    <w:rsid w:val="00D1646E"/>
    <w:rsid w:val="00D167CD"/>
    <w:rsid w:val="00D17345"/>
    <w:rsid w:val="00D17814"/>
    <w:rsid w:val="00D17A7D"/>
    <w:rsid w:val="00D20134"/>
    <w:rsid w:val="00D209DA"/>
    <w:rsid w:val="00D20BC9"/>
    <w:rsid w:val="00D20D2C"/>
    <w:rsid w:val="00D20D70"/>
    <w:rsid w:val="00D21138"/>
    <w:rsid w:val="00D2122C"/>
    <w:rsid w:val="00D216F5"/>
    <w:rsid w:val="00D21C55"/>
    <w:rsid w:val="00D21DB1"/>
    <w:rsid w:val="00D22C27"/>
    <w:rsid w:val="00D22E8A"/>
    <w:rsid w:val="00D22ED7"/>
    <w:rsid w:val="00D236A3"/>
    <w:rsid w:val="00D23729"/>
    <w:rsid w:val="00D23834"/>
    <w:rsid w:val="00D24260"/>
    <w:rsid w:val="00D2456C"/>
    <w:rsid w:val="00D245CB"/>
    <w:rsid w:val="00D249E0"/>
    <w:rsid w:val="00D24EF4"/>
    <w:rsid w:val="00D24FC4"/>
    <w:rsid w:val="00D25651"/>
    <w:rsid w:val="00D25709"/>
    <w:rsid w:val="00D2589C"/>
    <w:rsid w:val="00D25960"/>
    <w:rsid w:val="00D25BC3"/>
    <w:rsid w:val="00D25CE8"/>
    <w:rsid w:val="00D2652B"/>
    <w:rsid w:val="00D26570"/>
    <w:rsid w:val="00D268C6"/>
    <w:rsid w:val="00D2695C"/>
    <w:rsid w:val="00D26B4D"/>
    <w:rsid w:val="00D26BE8"/>
    <w:rsid w:val="00D26E21"/>
    <w:rsid w:val="00D2770C"/>
    <w:rsid w:val="00D2771F"/>
    <w:rsid w:val="00D27A41"/>
    <w:rsid w:val="00D27A6C"/>
    <w:rsid w:val="00D305FB"/>
    <w:rsid w:val="00D3075B"/>
    <w:rsid w:val="00D3086B"/>
    <w:rsid w:val="00D3095A"/>
    <w:rsid w:val="00D31540"/>
    <w:rsid w:val="00D318E4"/>
    <w:rsid w:val="00D31F58"/>
    <w:rsid w:val="00D32305"/>
    <w:rsid w:val="00D32692"/>
    <w:rsid w:val="00D32884"/>
    <w:rsid w:val="00D33DD5"/>
    <w:rsid w:val="00D3407D"/>
    <w:rsid w:val="00D34279"/>
    <w:rsid w:val="00D35205"/>
    <w:rsid w:val="00D354AC"/>
    <w:rsid w:val="00D355A5"/>
    <w:rsid w:val="00D35BD1"/>
    <w:rsid w:val="00D3618C"/>
    <w:rsid w:val="00D363D2"/>
    <w:rsid w:val="00D36936"/>
    <w:rsid w:val="00D36A24"/>
    <w:rsid w:val="00D36B1E"/>
    <w:rsid w:val="00D375D1"/>
    <w:rsid w:val="00D37741"/>
    <w:rsid w:val="00D403B6"/>
    <w:rsid w:val="00D407FD"/>
    <w:rsid w:val="00D40FFA"/>
    <w:rsid w:val="00D41D6B"/>
    <w:rsid w:val="00D41DED"/>
    <w:rsid w:val="00D42069"/>
    <w:rsid w:val="00D42084"/>
    <w:rsid w:val="00D4252C"/>
    <w:rsid w:val="00D42DD3"/>
    <w:rsid w:val="00D432BB"/>
    <w:rsid w:val="00D4360E"/>
    <w:rsid w:val="00D43851"/>
    <w:rsid w:val="00D4388D"/>
    <w:rsid w:val="00D44514"/>
    <w:rsid w:val="00D44845"/>
    <w:rsid w:val="00D4487F"/>
    <w:rsid w:val="00D44AC3"/>
    <w:rsid w:val="00D44B33"/>
    <w:rsid w:val="00D45349"/>
    <w:rsid w:val="00D454BD"/>
    <w:rsid w:val="00D458E4"/>
    <w:rsid w:val="00D45C95"/>
    <w:rsid w:val="00D45F23"/>
    <w:rsid w:val="00D47246"/>
    <w:rsid w:val="00D47A08"/>
    <w:rsid w:val="00D47C3D"/>
    <w:rsid w:val="00D47C65"/>
    <w:rsid w:val="00D500D0"/>
    <w:rsid w:val="00D50282"/>
    <w:rsid w:val="00D5078D"/>
    <w:rsid w:val="00D508A6"/>
    <w:rsid w:val="00D5144C"/>
    <w:rsid w:val="00D5175B"/>
    <w:rsid w:val="00D51903"/>
    <w:rsid w:val="00D51E21"/>
    <w:rsid w:val="00D52091"/>
    <w:rsid w:val="00D52323"/>
    <w:rsid w:val="00D52736"/>
    <w:rsid w:val="00D53071"/>
    <w:rsid w:val="00D5316A"/>
    <w:rsid w:val="00D53795"/>
    <w:rsid w:val="00D53F84"/>
    <w:rsid w:val="00D54C62"/>
    <w:rsid w:val="00D54C9C"/>
    <w:rsid w:val="00D54EB5"/>
    <w:rsid w:val="00D551F5"/>
    <w:rsid w:val="00D554CF"/>
    <w:rsid w:val="00D5577F"/>
    <w:rsid w:val="00D55BE7"/>
    <w:rsid w:val="00D55E10"/>
    <w:rsid w:val="00D55E33"/>
    <w:rsid w:val="00D55E59"/>
    <w:rsid w:val="00D560B1"/>
    <w:rsid w:val="00D56106"/>
    <w:rsid w:val="00D56333"/>
    <w:rsid w:val="00D569E7"/>
    <w:rsid w:val="00D56B97"/>
    <w:rsid w:val="00D57741"/>
    <w:rsid w:val="00D57BCF"/>
    <w:rsid w:val="00D57BF5"/>
    <w:rsid w:val="00D57EF7"/>
    <w:rsid w:val="00D57F67"/>
    <w:rsid w:val="00D6076B"/>
    <w:rsid w:val="00D607BC"/>
    <w:rsid w:val="00D60CAC"/>
    <w:rsid w:val="00D60CFC"/>
    <w:rsid w:val="00D61E58"/>
    <w:rsid w:val="00D62456"/>
    <w:rsid w:val="00D62768"/>
    <w:rsid w:val="00D63933"/>
    <w:rsid w:val="00D63A83"/>
    <w:rsid w:val="00D63DD6"/>
    <w:rsid w:val="00D641DB"/>
    <w:rsid w:val="00D64BB0"/>
    <w:rsid w:val="00D65867"/>
    <w:rsid w:val="00D65A9A"/>
    <w:rsid w:val="00D65BE8"/>
    <w:rsid w:val="00D65CFA"/>
    <w:rsid w:val="00D65F68"/>
    <w:rsid w:val="00D662A0"/>
    <w:rsid w:val="00D662EF"/>
    <w:rsid w:val="00D664B4"/>
    <w:rsid w:val="00D66C7F"/>
    <w:rsid w:val="00D679D8"/>
    <w:rsid w:val="00D67A2B"/>
    <w:rsid w:val="00D7090A"/>
    <w:rsid w:val="00D711D1"/>
    <w:rsid w:val="00D718F9"/>
    <w:rsid w:val="00D7198E"/>
    <w:rsid w:val="00D720BE"/>
    <w:rsid w:val="00D7242A"/>
    <w:rsid w:val="00D72565"/>
    <w:rsid w:val="00D72897"/>
    <w:rsid w:val="00D72AD9"/>
    <w:rsid w:val="00D72BB5"/>
    <w:rsid w:val="00D730CB"/>
    <w:rsid w:val="00D733D3"/>
    <w:rsid w:val="00D736BE"/>
    <w:rsid w:val="00D73A15"/>
    <w:rsid w:val="00D73ACE"/>
    <w:rsid w:val="00D747E0"/>
    <w:rsid w:val="00D74E67"/>
    <w:rsid w:val="00D74FD9"/>
    <w:rsid w:val="00D75250"/>
    <w:rsid w:val="00D7561C"/>
    <w:rsid w:val="00D75DA2"/>
    <w:rsid w:val="00D761EA"/>
    <w:rsid w:val="00D763AF"/>
    <w:rsid w:val="00D765F2"/>
    <w:rsid w:val="00D76C0D"/>
    <w:rsid w:val="00D76CFA"/>
    <w:rsid w:val="00D77404"/>
    <w:rsid w:val="00D7745B"/>
    <w:rsid w:val="00D776C2"/>
    <w:rsid w:val="00D779D9"/>
    <w:rsid w:val="00D77D91"/>
    <w:rsid w:val="00D8094B"/>
    <w:rsid w:val="00D80DE0"/>
    <w:rsid w:val="00D818FC"/>
    <w:rsid w:val="00D81BA7"/>
    <w:rsid w:val="00D81D3A"/>
    <w:rsid w:val="00D82254"/>
    <w:rsid w:val="00D827EC"/>
    <w:rsid w:val="00D8287F"/>
    <w:rsid w:val="00D828E7"/>
    <w:rsid w:val="00D85039"/>
    <w:rsid w:val="00D8527C"/>
    <w:rsid w:val="00D8551E"/>
    <w:rsid w:val="00D86BCD"/>
    <w:rsid w:val="00D86CA9"/>
    <w:rsid w:val="00D86F5D"/>
    <w:rsid w:val="00D871E8"/>
    <w:rsid w:val="00D87A7C"/>
    <w:rsid w:val="00D90328"/>
    <w:rsid w:val="00D905FA"/>
    <w:rsid w:val="00D906ED"/>
    <w:rsid w:val="00D90C90"/>
    <w:rsid w:val="00D912A6"/>
    <w:rsid w:val="00D915FE"/>
    <w:rsid w:val="00D91F19"/>
    <w:rsid w:val="00D922C5"/>
    <w:rsid w:val="00D9270F"/>
    <w:rsid w:val="00D92CEC"/>
    <w:rsid w:val="00D92F05"/>
    <w:rsid w:val="00D92F1B"/>
    <w:rsid w:val="00D933C3"/>
    <w:rsid w:val="00D937D8"/>
    <w:rsid w:val="00D94525"/>
    <w:rsid w:val="00D9458A"/>
    <w:rsid w:val="00D945DC"/>
    <w:rsid w:val="00D94675"/>
    <w:rsid w:val="00D94840"/>
    <w:rsid w:val="00D949D6"/>
    <w:rsid w:val="00D94B32"/>
    <w:rsid w:val="00D94D52"/>
    <w:rsid w:val="00D9574C"/>
    <w:rsid w:val="00D95E3F"/>
    <w:rsid w:val="00D95FEB"/>
    <w:rsid w:val="00D965DB"/>
    <w:rsid w:val="00D96E44"/>
    <w:rsid w:val="00D97061"/>
    <w:rsid w:val="00D97945"/>
    <w:rsid w:val="00D97C07"/>
    <w:rsid w:val="00DA0475"/>
    <w:rsid w:val="00DA0BC9"/>
    <w:rsid w:val="00DA0DDE"/>
    <w:rsid w:val="00DA0E40"/>
    <w:rsid w:val="00DA1C72"/>
    <w:rsid w:val="00DA1CBF"/>
    <w:rsid w:val="00DA1F0A"/>
    <w:rsid w:val="00DA269A"/>
    <w:rsid w:val="00DA2F06"/>
    <w:rsid w:val="00DA30A3"/>
    <w:rsid w:val="00DA364B"/>
    <w:rsid w:val="00DA3683"/>
    <w:rsid w:val="00DA3F5A"/>
    <w:rsid w:val="00DA55C0"/>
    <w:rsid w:val="00DA57D6"/>
    <w:rsid w:val="00DA5EF1"/>
    <w:rsid w:val="00DA62F5"/>
    <w:rsid w:val="00DA62F7"/>
    <w:rsid w:val="00DA6B12"/>
    <w:rsid w:val="00DA6FD0"/>
    <w:rsid w:val="00DA7370"/>
    <w:rsid w:val="00DA7CF6"/>
    <w:rsid w:val="00DB0235"/>
    <w:rsid w:val="00DB02EE"/>
    <w:rsid w:val="00DB06EB"/>
    <w:rsid w:val="00DB0902"/>
    <w:rsid w:val="00DB1538"/>
    <w:rsid w:val="00DB1C5E"/>
    <w:rsid w:val="00DB1F21"/>
    <w:rsid w:val="00DB2294"/>
    <w:rsid w:val="00DB2BD8"/>
    <w:rsid w:val="00DB335D"/>
    <w:rsid w:val="00DB365F"/>
    <w:rsid w:val="00DB3752"/>
    <w:rsid w:val="00DB444C"/>
    <w:rsid w:val="00DB55AD"/>
    <w:rsid w:val="00DB57B9"/>
    <w:rsid w:val="00DB5A59"/>
    <w:rsid w:val="00DB5BE9"/>
    <w:rsid w:val="00DB6384"/>
    <w:rsid w:val="00DB6558"/>
    <w:rsid w:val="00DB6851"/>
    <w:rsid w:val="00DB68E2"/>
    <w:rsid w:val="00DB6D07"/>
    <w:rsid w:val="00DB71AB"/>
    <w:rsid w:val="00DB7237"/>
    <w:rsid w:val="00DB72D6"/>
    <w:rsid w:val="00DC0114"/>
    <w:rsid w:val="00DC014D"/>
    <w:rsid w:val="00DC0D44"/>
    <w:rsid w:val="00DC0FC9"/>
    <w:rsid w:val="00DC125E"/>
    <w:rsid w:val="00DC14AA"/>
    <w:rsid w:val="00DC1604"/>
    <w:rsid w:val="00DC16B9"/>
    <w:rsid w:val="00DC174C"/>
    <w:rsid w:val="00DC1D03"/>
    <w:rsid w:val="00DC1F2D"/>
    <w:rsid w:val="00DC2E11"/>
    <w:rsid w:val="00DC3A3C"/>
    <w:rsid w:val="00DC5429"/>
    <w:rsid w:val="00DC5F94"/>
    <w:rsid w:val="00DC620C"/>
    <w:rsid w:val="00DC662C"/>
    <w:rsid w:val="00DC68E6"/>
    <w:rsid w:val="00DC6925"/>
    <w:rsid w:val="00DC6E3F"/>
    <w:rsid w:val="00DC73A9"/>
    <w:rsid w:val="00DC7582"/>
    <w:rsid w:val="00DC7586"/>
    <w:rsid w:val="00DC7AC8"/>
    <w:rsid w:val="00DC7B76"/>
    <w:rsid w:val="00DC7CF1"/>
    <w:rsid w:val="00DC7E51"/>
    <w:rsid w:val="00DD0388"/>
    <w:rsid w:val="00DD0A12"/>
    <w:rsid w:val="00DD0C75"/>
    <w:rsid w:val="00DD10E3"/>
    <w:rsid w:val="00DD1246"/>
    <w:rsid w:val="00DD19AD"/>
    <w:rsid w:val="00DD1A9A"/>
    <w:rsid w:val="00DD202F"/>
    <w:rsid w:val="00DD20B4"/>
    <w:rsid w:val="00DD2583"/>
    <w:rsid w:val="00DD2A09"/>
    <w:rsid w:val="00DD2B19"/>
    <w:rsid w:val="00DD2C08"/>
    <w:rsid w:val="00DD30FA"/>
    <w:rsid w:val="00DD328A"/>
    <w:rsid w:val="00DD3898"/>
    <w:rsid w:val="00DD39DD"/>
    <w:rsid w:val="00DD3D5C"/>
    <w:rsid w:val="00DD3FB9"/>
    <w:rsid w:val="00DD414F"/>
    <w:rsid w:val="00DD4192"/>
    <w:rsid w:val="00DD57CD"/>
    <w:rsid w:val="00DD5978"/>
    <w:rsid w:val="00DD6790"/>
    <w:rsid w:val="00DD6A1C"/>
    <w:rsid w:val="00DD6C0E"/>
    <w:rsid w:val="00DD6C1F"/>
    <w:rsid w:val="00DD70F1"/>
    <w:rsid w:val="00DD7208"/>
    <w:rsid w:val="00DD723F"/>
    <w:rsid w:val="00DD7559"/>
    <w:rsid w:val="00DD76CA"/>
    <w:rsid w:val="00DD7B42"/>
    <w:rsid w:val="00DE038C"/>
    <w:rsid w:val="00DE0ECA"/>
    <w:rsid w:val="00DE1158"/>
    <w:rsid w:val="00DE21E0"/>
    <w:rsid w:val="00DE23AC"/>
    <w:rsid w:val="00DE2E03"/>
    <w:rsid w:val="00DE3159"/>
    <w:rsid w:val="00DE3358"/>
    <w:rsid w:val="00DE3569"/>
    <w:rsid w:val="00DE3DFE"/>
    <w:rsid w:val="00DE4A40"/>
    <w:rsid w:val="00DE546E"/>
    <w:rsid w:val="00DE54CF"/>
    <w:rsid w:val="00DE552E"/>
    <w:rsid w:val="00DE5853"/>
    <w:rsid w:val="00DE6390"/>
    <w:rsid w:val="00DE649F"/>
    <w:rsid w:val="00DE6575"/>
    <w:rsid w:val="00DE66AD"/>
    <w:rsid w:val="00DE67CA"/>
    <w:rsid w:val="00DE6A77"/>
    <w:rsid w:val="00DE6B16"/>
    <w:rsid w:val="00DE6B29"/>
    <w:rsid w:val="00DE6D64"/>
    <w:rsid w:val="00DE6FC3"/>
    <w:rsid w:val="00DE7224"/>
    <w:rsid w:val="00DF0ED3"/>
    <w:rsid w:val="00DF0F3A"/>
    <w:rsid w:val="00DF1275"/>
    <w:rsid w:val="00DF1521"/>
    <w:rsid w:val="00DF15F9"/>
    <w:rsid w:val="00DF187E"/>
    <w:rsid w:val="00DF2032"/>
    <w:rsid w:val="00DF27B1"/>
    <w:rsid w:val="00DF28EF"/>
    <w:rsid w:val="00DF363D"/>
    <w:rsid w:val="00DF397E"/>
    <w:rsid w:val="00DF4745"/>
    <w:rsid w:val="00DF491A"/>
    <w:rsid w:val="00DF5070"/>
    <w:rsid w:val="00DF549A"/>
    <w:rsid w:val="00DF54EA"/>
    <w:rsid w:val="00DF5A2E"/>
    <w:rsid w:val="00DF673E"/>
    <w:rsid w:val="00DF69E7"/>
    <w:rsid w:val="00DF6DD1"/>
    <w:rsid w:val="00DF6E39"/>
    <w:rsid w:val="00DF758E"/>
    <w:rsid w:val="00DF7623"/>
    <w:rsid w:val="00DF77BD"/>
    <w:rsid w:val="00E00158"/>
    <w:rsid w:val="00E005FC"/>
    <w:rsid w:val="00E00A1E"/>
    <w:rsid w:val="00E01C9C"/>
    <w:rsid w:val="00E01E82"/>
    <w:rsid w:val="00E025FF"/>
    <w:rsid w:val="00E027E1"/>
    <w:rsid w:val="00E0296D"/>
    <w:rsid w:val="00E02C94"/>
    <w:rsid w:val="00E030D1"/>
    <w:rsid w:val="00E03D86"/>
    <w:rsid w:val="00E03DE6"/>
    <w:rsid w:val="00E045CF"/>
    <w:rsid w:val="00E04833"/>
    <w:rsid w:val="00E04B0A"/>
    <w:rsid w:val="00E05FE2"/>
    <w:rsid w:val="00E063B6"/>
    <w:rsid w:val="00E06E23"/>
    <w:rsid w:val="00E071F1"/>
    <w:rsid w:val="00E0767D"/>
    <w:rsid w:val="00E07754"/>
    <w:rsid w:val="00E07757"/>
    <w:rsid w:val="00E07C16"/>
    <w:rsid w:val="00E101D9"/>
    <w:rsid w:val="00E107D5"/>
    <w:rsid w:val="00E108AA"/>
    <w:rsid w:val="00E1092D"/>
    <w:rsid w:val="00E10CE5"/>
    <w:rsid w:val="00E10D1C"/>
    <w:rsid w:val="00E10FD5"/>
    <w:rsid w:val="00E11EEE"/>
    <w:rsid w:val="00E1277F"/>
    <w:rsid w:val="00E12892"/>
    <w:rsid w:val="00E12EF6"/>
    <w:rsid w:val="00E13718"/>
    <w:rsid w:val="00E13C8F"/>
    <w:rsid w:val="00E14139"/>
    <w:rsid w:val="00E142B3"/>
    <w:rsid w:val="00E143A2"/>
    <w:rsid w:val="00E14793"/>
    <w:rsid w:val="00E14931"/>
    <w:rsid w:val="00E149FC"/>
    <w:rsid w:val="00E14BF0"/>
    <w:rsid w:val="00E14FCA"/>
    <w:rsid w:val="00E1569B"/>
    <w:rsid w:val="00E16219"/>
    <w:rsid w:val="00E16A9F"/>
    <w:rsid w:val="00E16ACE"/>
    <w:rsid w:val="00E175DE"/>
    <w:rsid w:val="00E176F4"/>
    <w:rsid w:val="00E2059B"/>
    <w:rsid w:val="00E20A86"/>
    <w:rsid w:val="00E20E39"/>
    <w:rsid w:val="00E2162A"/>
    <w:rsid w:val="00E21942"/>
    <w:rsid w:val="00E22332"/>
    <w:rsid w:val="00E2245E"/>
    <w:rsid w:val="00E2248D"/>
    <w:rsid w:val="00E22BC7"/>
    <w:rsid w:val="00E22E0C"/>
    <w:rsid w:val="00E23B90"/>
    <w:rsid w:val="00E23C14"/>
    <w:rsid w:val="00E23E24"/>
    <w:rsid w:val="00E242FC"/>
    <w:rsid w:val="00E246E5"/>
    <w:rsid w:val="00E24B2C"/>
    <w:rsid w:val="00E24D04"/>
    <w:rsid w:val="00E258EA"/>
    <w:rsid w:val="00E26186"/>
    <w:rsid w:val="00E26416"/>
    <w:rsid w:val="00E26F4F"/>
    <w:rsid w:val="00E3014C"/>
    <w:rsid w:val="00E305E4"/>
    <w:rsid w:val="00E31120"/>
    <w:rsid w:val="00E3118C"/>
    <w:rsid w:val="00E318C1"/>
    <w:rsid w:val="00E3256A"/>
    <w:rsid w:val="00E3297E"/>
    <w:rsid w:val="00E32FF4"/>
    <w:rsid w:val="00E333AF"/>
    <w:rsid w:val="00E335F4"/>
    <w:rsid w:val="00E337D6"/>
    <w:rsid w:val="00E33B0A"/>
    <w:rsid w:val="00E33DB6"/>
    <w:rsid w:val="00E343CE"/>
    <w:rsid w:val="00E346AB"/>
    <w:rsid w:val="00E34B41"/>
    <w:rsid w:val="00E353CC"/>
    <w:rsid w:val="00E35FB3"/>
    <w:rsid w:val="00E370C6"/>
    <w:rsid w:val="00E3754C"/>
    <w:rsid w:val="00E3785A"/>
    <w:rsid w:val="00E378BC"/>
    <w:rsid w:val="00E378D3"/>
    <w:rsid w:val="00E379BD"/>
    <w:rsid w:val="00E37D54"/>
    <w:rsid w:val="00E37F3A"/>
    <w:rsid w:val="00E4082B"/>
    <w:rsid w:val="00E40DA0"/>
    <w:rsid w:val="00E4196D"/>
    <w:rsid w:val="00E419C4"/>
    <w:rsid w:val="00E42263"/>
    <w:rsid w:val="00E43C23"/>
    <w:rsid w:val="00E43C85"/>
    <w:rsid w:val="00E446C7"/>
    <w:rsid w:val="00E446F2"/>
    <w:rsid w:val="00E45429"/>
    <w:rsid w:val="00E45488"/>
    <w:rsid w:val="00E456C6"/>
    <w:rsid w:val="00E45A62"/>
    <w:rsid w:val="00E45C8E"/>
    <w:rsid w:val="00E45E24"/>
    <w:rsid w:val="00E462B8"/>
    <w:rsid w:val="00E463D7"/>
    <w:rsid w:val="00E47929"/>
    <w:rsid w:val="00E47B17"/>
    <w:rsid w:val="00E50153"/>
    <w:rsid w:val="00E50D70"/>
    <w:rsid w:val="00E50F07"/>
    <w:rsid w:val="00E51781"/>
    <w:rsid w:val="00E51EDF"/>
    <w:rsid w:val="00E5247B"/>
    <w:rsid w:val="00E52611"/>
    <w:rsid w:val="00E52788"/>
    <w:rsid w:val="00E528AF"/>
    <w:rsid w:val="00E52AE0"/>
    <w:rsid w:val="00E52EFB"/>
    <w:rsid w:val="00E53708"/>
    <w:rsid w:val="00E53EB6"/>
    <w:rsid w:val="00E54419"/>
    <w:rsid w:val="00E5550C"/>
    <w:rsid w:val="00E55D49"/>
    <w:rsid w:val="00E561BC"/>
    <w:rsid w:val="00E562C2"/>
    <w:rsid w:val="00E562DC"/>
    <w:rsid w:val="00E56CC8"/>
    <w:rsid w:val="00E56D85"/>
    <w:rsid w:val="00E56ED9"/>
    <w:rsid w:val="00E570E1"/>
    <w:rsid w:val="00E57B33"/>
    <w:rsid w:val="00E57BED"/>
    <w:rsid w:val="00E6004E"/>
    <w:rsid w:val="00E6085E"/>
    <w:rsid w:val="00E60C66"/>
    <w:rsid w:val="00E61167"/>
    <w:rsid w:val="00E61388"/>
    <w:rsid w:val="00E6193F"/>
    <w:rsid w:val="00E61CC7"/>
    <w:rsid w:val="00E61DE5"/>
    <w:rsid w:val="00E622F2"/>
    <w:rsid w:val="00E624FE"/>
    <w:rsid w:val="00E628D6"/>
    <w:rsid w:val="00E62941"/>
    <w:rsid w:val="00E62DD1"/>
    <w:rsid w:val="00E62F71"/>
    <w:rsid w:val="00E630A8"/>
    <w:rsid w:val="00E630C7"/>
    <w:rsid w:val="00E635D2"/>
    <w:rsid w:val="00E63778"/>
    <w:rsid w:val="00E63AB4"/>
    <w:rsid w:val="00E63DD1"/>
    <w:rsid w:val="00E63EBD"/>
    <w:rsid w:val="00E64619"/>
    <w:rsid w:val="00E648CE"/>
    <w:rsid w:val="00E65192"/>
    <w:rsid w:val="00E657F6"/>
    <w:rsid w:val="00E65D05"/>
    <w:rsid w:val="00E6635A"/>
    <w:rsid w:val="00E66AF8"/>
    <w:rsid w:val="00E66E34"/>
    <w:rsid w:val="00E6711A"/>
    <w:rsid w:val="00E67A80"/>
    <w:rsid w:val="00E67F2F"/>
    <w:rsid w:val="00E67FF8"/>
    <w:rsid w:val="00E701DE"/>
    <w:rsid w:val="00E702D0"/>
    <w:rsid w:val="00E7109D"/>
    <w:rsid w:val="00E71601"/>
    <w:rsid w:val="00E717E0"/>
    <w:rsid w:val="00E71878"/>
    <w:rsid w:val="00E71ED3"/>
    <w:rsid w:val="00E7272E"/>
    <w:rsid w:val="00E7298E"/>
    <w:rsid w:val="00E72EFC"/>
    <w:rsid w:val="00E736A3"/>
    <w:rsid w:val="00E73F21"/>
    <w:rsid w:val="00E74757"/>
    <w:rsid w:val="00E74C63"/>
    <w:rsid w:val="00E75567"/>
    <w:rsid w:val="00E75847"/>
    <w:rsid w:val="00E75973"/>
    <w:rsid w:val="00E759EB"/>
    <w:rsid w:val="00E75B93"/>
    <w:rsid w:val="00E75DFD"/>
    <w:rsid w:val="00E75F70"/>
    <w:rsid w:val="00E760A6"/>
    <w:rsid w:val="00E76595"/>
    <w:rsid w:val="00E76DEA"/>
    <w:rsid w:val="00E76EFA"/>
    <w:rsid w:val="00E77049"/>
    <w:rsid w:val="00E77883"/>
    <w:rsid w:val="00E804EA"/>
    <w:rsid w:val="00E80ACB"/>
    <w:rsid w:val="00E80F3A"/>
    <w:rsid w:val="00E810B0"/>
    <w:rsid w:val="00E813C0"/>
    <w:rsid w:val="00E81424"/>
    <w:rsid w:val="00E81B2E"/>
    <w:rsid w:val="00E81F3A"/>
    <w:rsid w:val="00E827FC"/>
    <w:rsid w:val="00E82ACA"/>
    <w:rsid w:val="00E82C12"/>
    <w:rsid w:val="00E833A7"/>
    <w:rsid w:val="00E835B7"/>
    <w:rsid w:val="00E836B5"/>
    <w:rsid w:val="00E83E01"/>
    <w:rsid w:val="00E83EDA"/>
    <w:rsid w:val="00E842C2"/>
    <w:rsid w:val="00E84448"/>
    <w:rsid w:val="00E8458F"/>
    <w:rsid w:val="00E845A1"/>
    <w:rsid w:val="00E84655"/>
    <w:rsid w:val="00E84959"/>
    <w:rsid w:val="00E84DBD"/>
    <w:rsid w:val="00E85210"/>
    <w:rsid w:val="00E85236"/>
    <w:rsid w:val="00E85DF2"/>
    <w:rsid w:val="00E87330"/>
    <w:rsid w:val="00E873A1"/>
    <w:rsid w:val="00E87440"/>
    <w:rsid w:val="00E90557"/>
    <w:rsid w:val="00E905BE"/>
    <w:rsid w:val="00E9090B"/>
    <w:rsid w:val="00E90CD0"/>
    <w:rsid w:val="00E91FF1"/>
    <w:rsid w:val="00E9267D"/>
    <w:rsid w:val="00E92CC0"/>
    <w:rsid w:val="00E9345B"/>
    <w:rsid w:val="00E937CA"/>
    <w:rsid w:val="00E93B51"/>
    <w:rsid w:val="00E93C24"/>
    <w:rsid w:val="00E944BD"/>
    <w:rsid w:val="00E94707"/>
    <w:rsid w:val="00E949FD"/>
    <w:rsid w:val="00E94C66"/>
    <w:rsid w:val="00E95A45"/>
    <w:rsid w:val="00E95B64"/>
    <w:rsid w:val="00E95E7D"/>
    <w:rsid w:val="00E9605F"/>
    <w:rsid w:val="00E968A8"/>
    <w:rsid w:val="00E97E33"/>
    <w:rsid w:val="00E97F75"/>
    <w:rsid w:val="00EA035B"/>
    <w:rsid w:val="00EA0C4C"/>
    <w:rsid w:val="00EA0F51"/>
    <w:rsid w:val="00EA1131"/>
    <w:rsid w:val="00EA19A9"/>
    <w:rsid w:val="00EA1AE3"/>
    <w:rsid w:val="00EA1C03"/>
    <w:rsid w:val="00EA2376"/>
    <w:rsid w:val="00EA2964"/>
    <w:rsid w:val="00EA2F4B"/>
    <w:rsid w:val="00EA310C"/>
    <w:rsid w:val="00EA32E4"/>
    <w:rsid w:val="00EA34E8"/>
    <w:rsid w:val="00EA3822"/>
    <w:rsid w:val="00EA3EA5"/>
    <w:rsid w:val="00EA3EB0"/>
    <w:rsid w:val="00EA4E2E"/>
    <w:rsid w:val="00EA5192"/>
    <w:rsid w:val="00EA5375"/>
    <w:rsid w:val="00EA5702"/>
    <w:rsid w:val="00EA608C"/>
    <w:rsid w:val="00EA6A66"/>
    <w:rsid w:val="00EA6DA4"/>
    <w:rsid w:val="00EA71AC"/>
    <w:rsid w:val="00EA79B4"/>
    <w:rsid w:val="00EA7ACE"/>
    <w:rsid w:val="00EA7CAB"/>
    <w:rsid w:val="00EB00B3"/>
    <w:rsid w:val="00EB026F"/>
    <w:rsid w:val="00EB058C"/>
    <w:rsid w:val="00EB0EC4"/>
    <w:rsid w:val="00EB145F"/>
    <w:rsid w:val="00EB16FE"/>
    <w:rsid w:val="00EB182F"/>
    <w:rsid w:val="00EB2365"/>
    <w:rsid w:val="00EB2C0B"/>
    <w:rsid w:val="00EB2C7D"/>
    <w:rsid w:val="00EB2D3E"/>
    <w:rsid w:val="00EB2E08"/>
    <w:rsid w:val="00EB30A9"/>
    <w:rsid w:val="00EB3FDE"/>
    <w:rsid w:val="00EB42DC"/>
    <w:rsid w:val="00EB482B"/>
    <w:rsid w:val="00EB4BD5"/>
    <w:rsid w:val="00EB5A8C"/>
    <w:rsid w:val="00EB601D"/>
    <w:rsid w:val="00EB604F"/>
    <w:rsid w:val="00EB629E"/>
    <w:rsid w:val="00EB6660"/>
    <w:rsid w:val="00EB7500"/>
    <w:rsid w:val="00EB7C9B"/>
    <w:rsid w:val="00EC0098"/>
    <w:rsid w:val="00EC0A2A"/>
    <w:rsid w:val="00EC0F7E"/>
    <w:rsid w:val="00EC1378"/>
    <w:rsid w:val="00EC13C1"/>
    <w:rsid w:val="00EC19E5"/>
    <w:rsid w:val="00EC1CA7"/>
    <w:rsid w:val="00EC1E8F"/>
    <w:rsid w:val="00EC208D"/>
    <w:rsid w:val="00EC21C2"/>
    <w:rsid w:val="00EC21CD"/>
    <w:rsid w:val="00EC2507"/>
    <w:rsid w:val="00EC2727"/>
    <w:rsid w:val="00EC2E2E"/>
    <w:rsid w:val="00EC3797"/>
    <w:rsid w:val="00EC3DA4"/>
    <w:rsid w:val="00EC3FE4"/>
    <w:rsid w:val="00EC4902"/>
    <w:rsid w:val="00EC4DC9"/>
    <w:rsid w:val="00EC4FCD"/>
    <w:rsid w:val="00EC4FFC"/>
    <w:rsid w:val="00EC54D5"/>
    <w:rsid w:val="00EC580D"/>
    <w:rsid w:val="00EC59BF"/>
    <w:rsid w:val="00EC5F40"/>
    <w:rsid w:val="00EC652D"/>
    <w:rsid w:val="00EC723E"/>
    <w:rsid w:val="00EC73B6"/>
    <w:rsid w:val="00EC74D0"/>
    <w:rsid w:val="00EC77CD"/>
    <w:rsid w:val="00EC77FE"/>
    <w:rsid w:val="00ED042B"/>
    <w:rsid w:val="00ED1708"/>
    <w:rsid w:val="00ED2073"/>
    <w:rsid w:val="00ED2B8A"/>
    <w:rsid w:val="00ED30B9"/>
    <w:rsid w:val="00ED3397"/>
    <w:rsid w:val="00ED3748"/>
    <w:rsid w:val="00ED3BE2"/>
    <w:rsid w:val="00ED3C4C"/>
    <w:rsid w:val="00ED4235"/>
    <w:rsid w:val="00ED4668"/>
    <w:rsid w:val="00ED47B0"/>
    <w:rsid w:val="00ED4BDB"/>
    <w:rsid w:val="00ED4C0D"/>
    <w:rsid w:val="00ED529F"/>
    <w:rsid w:val="00ED5844"/>
    <w:rsid w:val="00ED69DE"/>
    <w:rsid w:val="00ED6F39"/>
    <w:rsid w:val="00ED722D"/>
    <w:rsid w:val="00ED73B6"/>
    <w:rsid w:val="00ED750A"/>
    <w:rsid w:val="00ED7909"/>
    <w:rsid w:val="00ED7BC9"/>
    <w:rsid w:val="00ED7D9E"/>
    <w:rsid w:val="00EE0537"/>
    <w:rsid w:val="00EE057D"/>
    <w:rsid w:val="00EE0B9A"/>
    <w:rsid w:val="00EE1AC6"/>
    <w:rsid w:val="00EE1BD3"/>
    <w:rsid w:val="00EE20A1"/>
    <w:rsid w:val="00EE2185"/>
    <w:rsid w:val="00EE241F"/>
    <w:rsid w:val="00EE249A"/>
    <w:rsid w:val="00EE26A5"/>
    <w:rsid w:val="00EE2825"/>
    <w:rsid w:val="00EE2BBB"/>
    <w:rsid w:val="00EE3D64"/>
    <w:rsid w:val="00EE432F"/>
    <w:rsid w:val="00EE49DB"/>
    <w:rsid w:val="00EE5498"/>
    <w:rsid w:val="00EE54FE"/>
    <w:rsid w:val="00EE5EE4"/>
    <w:rsid w:val="00EE6076"/>
    <w:rsid w:val="00EE622E"/>
    <w:rsid w:val="00EE6BA7"/>
    <w:rsid w:val="00EE7052"/>
    <w:rsid w:val="00EF0037"/>
    <w:rsid w:val="00EF0306"/>
    <w:rsid w:val="00EF0827"/>
    <w:rsid w:val="00EF1659"/>
    <w:rsid w:val="00EF1859"/>
    <w:rsid w:val="00EF1AD2"/>
    <w:rsid w:val="00EF1D84"/>
    <w:rsid w:val="00EF21B1"/>
    <w:rsid w:val="00EF23AD"/>
    <w:rsid w:val="00EF23DB"/>
    <w:rsid w:val="00EF365C"/>
    <w:rsid w:val="00EF3735"/>
    <w:rsid w:val="00EF382D"/>
    <w:rsid w:val="00EF43E8"/>
    <w:rsid w:val="00EF4747"/>
    <w:rsid w:val="00EF5126"/>
    <w:rsid w:val="00EF51B0"/>
    <w:rsid w:val="00EF51CB"/>
    <w:rsid w:val="00EF5C92"/>
    <w:rsid w:val="00EF65B5"/>
    <w:rsid w:val="00EF68E3"/>
    <w:rsid w:val="00EF6D1C"/>
    <w:rsid w:val="00EF6ECF"/>
    <w:rsid w:val="00EF73E2"/>
    <w:rsid w:val="00EF7626"/>
    <w:rsid w:val="00EF7C1C"/>
    <w:rsid w:val="00EF7DD6"/>
    <w:rsid w:val="00F01634"/>
    <w:rsid w:val="00F01762"/>
    <w:rsid w:val="00F01916"/>
    <w:rsid w:val="00F022DD"/>
    <w:rsid w:val="00F026BA"/>
    <w:rsid w:val="00F029D1"/>
    <w:rsid w:val="00F0338A"/>
    <w:rsid w:val="00F0355F"/>
    <w:rsid w:val="00F03D7F"/>
    <w:rsid w:val="00F0405B"/>
    <w:rsid w:val="00F0523C"/>
    <w:rsid w:val="00F05399"/>
    <w:rsid w:val="00F05C77"/>
    <w:rsid w:val="00F05F6F"/>
    <w:rsid w:val="00F06282"/>
    <w:rsid w:val="00F062BE"/>
    <w:rsid w:val="00F0677C"/>
    <w:rsid w:val="00F06F7F"/>
    <w:rsid w:val="00F0764F"/>
    <w:rsid w:val="00F0798B"/>
    <w:rsid w:val="00F07A10"/>
    <w:rsid w:val="00F07C2F"/>
    <w:rsid w:val="00F07C78"/>
    <w:rsid w:val="00F1001F"/>
    <w:rsid w:val="00F101AB"/>
    <w:rsid w:val="00F105D4"/>
    <w:rsid w:val="00F10885"/>
    <w:rsid w:val="00F110F3"/>
    <w:rsid w:val="00F11334"/>
    <w:rsid w:val="00F1165A"/>
    <w:rsid w:val="00F116A6"/>
    <w:rsid w:val="00F11B44"/>
    <w:rsid w:val="00F11BED"/>
    <w:rsid w:val="00F11C2F"/>
    <w:rsid w:val="00F11E8F"/>
    <w:rsid w:val="00F12414"/>
    <w:rsid w:val="00F126BC"/>
    <w:rsid w:val="00F12742"/>
    <w:rsid w:val="00F12966"/>
    <w:rsid w:val="00F12C18"/>
    <w:rsid w:val="00F12F2F"/>
    <w:rsid w:val="00F12FC6"/>
    <w:rsid w:val="00F1304A"/>
    <w:rsid w:val="00F134D3"/>
    <w:rsid w:val="00F1350D"/>
    <w:rsid w:val="00F1369F"/>
    <w:rsid w:val="00F13A5C"/>
    <w:rsid w:val="00F13F84"/>
    <w:rsid w:val="00F146D6"/>
    <w:rsid w:val="00F14B40"/>
    <w:rsid w:val="00F14BC3"/>
    <w:rsid w:val="00F15233"/>
    <w:rsid w:val="00F154AC"/>
    <w:rsid w:val="00F157AC"/>
    <w:rsid w:val="00F159E3"/>
    <w:rsid w:val="00F15AC4"/>
    <w:rsid w:val="00F15D15"/>
    <w:rsid w:val="00F15E4B"/>
    <w:rsid w:val="00F15EAB"/>
    <w:rsid w:val="00F16097"/>
    <w:rsid w:val="00F164A8"/>
    <w:rsid w:val="00F171A2"/>
    <w:rsid w:val="00F171CA"/>
    <w:rsid w:val="00F17739"/>
    <w:rsid w:val="00F177F8"/>
    <w:rsid w:val="00F17AA0"/>
    <w:rsid w:val="00F2066B"/>
    <w:rsid w:val="00F20863"/>
    <w:rsid w:val="00F20880"/>
    <w:rsid w:val="00F21192"/>
    <w:rsid w:val="00F214A6"/>
    <w:rsid w:val="00F216F9"/>
    <w:rsid w:val="00F21B8F"/>
    <w:rsid w:val="00F21BF5"/>
    <w:rsid w:val="00F22193"/>
    <w:rsid w:val="00F224AE"/>
    <w:rsid w:val="00F22D32"/>
    <w:rsid w:val="00F22E47"/>
    <w:rsid w:val="00F2442B"/>
    <w:rsid w:val="00F249E5"/>
    <w:rsid w:val="00F25146"/>
    <w:rsid w:val="00F25D10"/>
    <w:rsid w:val="00F2690D"/>
    <w:rsid w:val="00F300F2"/>
    <w:rsid w:val="00F302AE"/>
    <w:rsid w:val="00F304C3"/>
    <w:rsid w:val="00F30BEB"/>
    <w:rsid w:val="00F313A3"/>
    <w:rsid w:val="00F316A3"/>
    <w:rsid w:val="00F32084"/>
    <w:rsid w:val="00F32102"/>
    <w:rsid w:val="00F321ED"/>
    <w:rsid w:val="00F3227A"/>
    <w:rsid w:val="00F32833"/>
    <w:rsid w:val="00F32F87"/>
    <w:rsid w:val="00F34073"/>
    <w:rsid w:val="00F340F8"/>
    <w:rsid w:val="00F3469A"/>
    <w:rsid w:val="00F3487C"/>
    <w:rsid w:val="00F34C22"/>
    <w:rsid w:val="00F34CF0"/>
    <w:rsid w:val="00F35369"/>
    <w:rsid w:val="00F3555F"/>
    <w:rsid w:val="00F355DD"/>
    <w:rsid w:val="00F35873"/>
    <w:rsid w:val="00F35E39"/>
    <w:rsid w:val="00F35FA4"/>
    <w:rsid w:val="00F36648"/>
    <w:rsid w:val="00F36D41"/>
    <w:rsid w:val="00F3705C"/>
    <w:rsid w:val="00F374DB"/>
    <w:rsid w:val="00F37761"/>
    <w:rsid w:val="00F37A48"/>
    <w:rsid w:val="00F37AAD"/>
    <w:rsid w:val="00F37B05"/>
    <w:rsid w:val="00F37CF0"/>
    <w:rsid w:val="00F404A0"/>
    <w:rsid w:val="00F409F0"/>
    <w:rsid w:val="00F41091"/>
    <w:rsid w:val="00F416DC"/>
    <w:rsid w:val="00F41ACE"/>
    <w:rsid w:val="00F41D10"/>
    <w:rsid w:val="00F42043"/>
    <w:rsid w:val="00F42294"/>
    <w:rsid w:val="00F4322C"/>
    <w:rsid w:val="00F4369E"/>
    <w:rsid w:val="00F437DF"/>
    <w:rsid w:val="00F438D4"/>
    <w:rsid w:val="00F43CCA"/>
    <w:rsid w:val="00F443DB"/>
    <w:rsid w:val="00F44534"/>
    <w:rsid w:val="00F44E0C"/>
    <w:rsid w:val="00F45132"/>
    <w:rsid w:val="00F45648"/>
    <w:rsid w:val="00F459AD"/>
    <w:rsid w:val="00F47021"/>
    <w:rsid w:val="00F470F8"/>
    <w:rsid w:val="00F474B9"/>
    <w:rsid w:val="00F47895"/>
    <w:rsid w:val="00F5001C"/>
    <w:rsid w:val="00F503BF"/>
    <w:rsid w:val="00F506B4"/>
    <w:rsid w:val="00F51250"/>
    <w:rsid w:val="00F51274"/>
    <w:rsid w:val="00F513AA"/>
    <w:rsid w:val="00F5167D"/>
    <w:rsid w:val="00F5180E"/>
    <w:rsid w:val="00F52328"/>
    <w:rsid w:val="00F52578"/>
    <w:rsid w:val="00F52722"/>
    <w:rsid w:val="00F52765"/>
    <w:rsid w:val="00F528A7"/>
    <w:rsid w:val="00F533B1"/>
    <w:rsid w:val="00F5344D"/>
    <w:rsid w:val="00F53ACF"/>
    <w:rsid w:val="00F53DED"/>
    <w:rsid w:val="00F54111"/>
    <w:rsid w:val="00F54A34"/>
    <w:rsid w:val="00F55695"/>
    <w:rsid w:val="00F559DE"/>
    <w:rsid w:val="00F55B4D"/>
    <w:rsid w:val="00F55D36"/>
    <w:rsid w:val="00F560BF"/>
    <w:rsid w:val="00F56329"/>
    <w:rsid w:val="00F56423"/>
    <w:rsid w:val="00F56AC8"/>
    <w:rsid w:val="00F570CB"/>
    <w:rsid w:val="00F57776"/>
    <w:rsid w:val="00F577FC"/>
    <w:rsid w:val="00F60555"/>
    <w:rsid w:val="00F605D3"/>
    <w:rsid w:val="00F607DC"/>
    <w:rsid w:val="00F60871"/>
    <w:rsid w:val="00F60E8F"/>
    <w:rsid w:val="00F612A8"/>
    <w:rsid w:val="00F613A8"/>
    <w:rsid w:val="00F614A3"/>
    <w:rsid w:val="00F61B87"/>
    <w:rsid w:val="00F61F3F"/>
    <w:rsid w:val="00F622B0"/>
    <w:rsid w:val="00F62EB6"/>
    <w:rsid w:val="00F63394"/>
    <w:rsid w:val="00F63723"/>
    <w:rsid w:val="00F6392C"/>
    <w:rsid w:val="00F6422B"/>
    <w:rsid w:val="00F64685"/>
    <w:rsid w:val="00F646A3"/>
    <w:rsid w:val="00F64B44"/>
    <w:rsid w:val="00F65A68"/>
    <w:rsid w:val="00F65CA6"/>
    <w:rsid w:val="00F65CD9"/>
    <w:rsid w:val="00F661C0"/>
    <w:rsid w:val="00F66354"/>
    <w:rsid w:val="00F66492"/>
    <w:rsid w:val="00F66AB2"/>
    <w:rsid w:val="00F67568"/>
    <w:rsid w:val="00F6764B"/>
    <w:rsid w:val="00F67A76"/>
    <w:rsid w:val="00F7089C"/>
    <w:rsid w:val="00F70E79"/>
    <w:rsid w:val="00F71193"/>
    <w:rsid w:val="00F71B3D"/>
    <w:rsid w:val="00F71D33"/>
    <w:rsid w:val="00F71D44"/>
    <w:rsid w:val="00F7208B"/>
    <w:rsid w:val="00F720A4"/>
    <w:rsid w:val="00F72145"/>
    <w:rsid w:val="00F72172"/>
    <w:rsid w:val="00F7281C"/>
    <w:rsid w:val="00F728CF"/>
    <w:rsid w:val="00F72DBF"/>
    <w:rsid w:val="00F73BA4"/>
    <w:rsid w:val="00F73F26"/>
    <w:rsid w:val="00F74050"/>
    <w:rsid w:val="00F74439"/>
    <w:rsid w:val="00F74C28"/>
    <w:rsid w:val="00F751CB"/>
    <w:rsid w:val="00F75529"/>
    <w:rsid w:val="00F7605C"/>
    <w:rsid w:val="00F76062"/>
    <w:rsid w:val="00F76535"/>
    <w:rsid w:val="00F76A79"/>
    <w:rsid w:val="00F773A3"/>
    <w:rsid w:val="00F77479"/>
    <w:rsid w:val="00F80184"/>
    <w:rsid w:val="00F80574"/>
    <w:rsid w:val="00F809C6"/>
    <w:rsid w:val="00F80AC0"/>
    <w:rsid w:val="00F80D2D"/>
    <w:rsid w:val="00F80D83"/>
    <w:rsid w:val="00F810F3"/>
    <w:rsid w:val="00F813D0"/>
    <w:rsid w:val="00F81419"/>
    <w:rsid w:val="00F81450"/>
    <w:rsid w:val="00F81659"/>
    <w:rsid w:val="00F81B61"/>
    <w:rsid w:val="00F81BE2"/>
    <w:rsid w:val="00F81BFD"/>
    <w:rsid w:val="00F81F38"/>
    <w:rsid w:val="00F83468"/>
    <w:rsid w:val="00F8412A"/>
    <w:rsid w:val="00F8417C"/>
    <w:rsid w:val="00F84FA7"/>
    <w:rsid w:val="00F850A7"/>
    <w:rsid w:val="00F852DB"/>
    <w:rsid w:val="00F85B6F"/>
    <w:rsid w:val="00F86574"/>
    <w:rsid w:val="00F86DA5"/>
    <w:rsid w:val="00F873CD"/>
    <w:rsid w:val="00F87507"/>
    <w:rsid w:val="00F87C75"/>
    <w:rsid w:val="00F87FC9"/>
    <w:rsid w:val="00F90954"/>
    <w:rsid w:val="00F90DDA"/>
    <w:rsid w:val="00F91066"/>
    <w:rsid w:val="00F919B1"/>
    <w:rsid w:val="00F92200"/>
    <w:rsid w:val="00F92A0F"/>
    <w:rsid w:val="00F92CD5"/>
    <w:rsid w:val="00F92FC3"/>
    <w:rsid w:val="00F932F7"/>
    <w:rsid w:val="00F93EB4"/>
    <w:rsid w:val="00F94580"/>
    <w:rsid w:val="00F94910"/>
    <w:rsid w:val="00F94A7E"/>
    <w:rsid w:val="00F9511F"/>
    <w:rsid w:val="00F95347"/>
    <w:rsid w:val="00F954EB"/>
    <w:rsid w:val="00F95593"/>
    <w:rsid w:val="00F95653"/>
    <w:rsid w:val="00F96CDC"/>
    <w:rsid w:val="00F96D2F"/>
    <w:rsid w:val="00F97358"/>
    <w:rsid w:val="00F9735D"/>
    <w:rsid w:val="00F976F2"/>
    <w:rsid w:val="00F97AFC"/>
    <w:rsid w:val="00F97C84"/>
    <w:rsid w:val="00FA17CD"/>
    <w:rsid w:val="00FA18D3"/>
    <w:rsid w:val="00FA22AC"/>
    <w:rsid w:val="00FA2563"/>
    <w:rsid w:val="00FA2710"/>
    <w:rsid w:val="00FA2D42"/>
    <w:rsid w:val="00FA33AC"/>
    <w:rsid w:val="00FA34C8"/>
    <w:rsid w:val="00FA3A4D"/>
    <w:rsid w:val="00FA3E43"/>
    <w:rsid w:val="00FA5017"/>
    <w:rsid w:val="00FA5163"/>
    <w:rsid w:val="00FA5203"/>
    <w:rsid w:val="00FA541D"/>
    <w:rsid w:val="00FA58A8"/>
    <w:rsid w:val="00FA591D"/>
    <w:rsid w:val="00FA61E6"/>
    <w:rsid w:val="00FA6559"/>
    <w:rsid w:val="00FA6788"/>
    <w:rsid w:val="00FA6C1A"/>
    <w:rsid w:val="00FA6CB7"/>
    <w:rsid w:val="00FA71D5"/>
    <w:rsid w:val="00FA750D"/>
    <w:rsid w:val="00FA7E0B"/>
    <w:rsid w:val="00FB0536"/>
    <w:rsid w:val="00FB0F2E"/>
    <w:rsid w:val="00FB1606"/>
    <w:rsid w:val="00FB16D7"/>
    <w:rsid w:val="00FB1800"/>
    <w:rsid w:val="00FB1C07"/>
    <w:rsid w:val="00FB21A3"/>
    <w:rsid w:val="00FB2A29"/>
    <w:rsid w:val="00FB503C"/>
    <w:rsid w:val="00FB55F0"/>
    <w:rsid w:val="00FB5FF1"/>
    <w:rsid w:val="00FB6017"/>
    <w:rsid w:val="00FB620A"/>
    <w:rsid w:val="00FB6D9B"/>
    <w:rsid w:val="00FB6FE9"/>
    <w:rsid w:val="00FB7240"/>
    <w:rsid w:val="00FB73B8"/>
    <w:rsid w:val="00FB77B1"/>
    <w:rsid w:val="00FB7977"/>
    <w:rsid w:val="00FB7D88"/>
    <w:rsid w:val="00FC069D"/>
    <w:rsid w:val="00FC0EC7"/>
    <w:rsid w:val="00FC0F5F"/>
    <w:rsid w:val="00FC11E1"/>
    <w:rsid w:val="00FC12E2"/>
    <w:rsid w:val="00FC2879"/>
    <w:rsid w:val="00FC2F9D"/>
    <w:rsid w:val="00FC3483"/>
    <w:rsid w:val="00FC3FD6"/>
    <w:rsid w:val="00FC4C2E"/>
    <w:rsid w:val="00FC6207"/>
    <w:rsid w:val="00FC7439"/>
    <w:rsid w:val="00FC755D"/>
    <w:rsid w:val="00FC7642"/>
    <w:rsid w:val="00FC7A2B"/>
    <w:rsid w:val="00FC7A90"/>
    <w:rsid w:val="00FD02AE"/>
    <w:rsid w:val="00FD03FC"/>
    <w:rsid w:val="00FD0AAB"/>
    <w:rsid w:val="00FD0F6A"/>
    <w:rsid w:val="00FD0FE1"/>
    <w:rsid w:val="00FD1029"/>
    <w:rsid w:val="00FD113F"/>
    <w:rsid w:val="00FD1444"/>
    <w:rsid w:val="00FD153D"/>
    <w:rsid w:val="00FD193F"/>
    <w:rsid w:val="00FD1AF8"/>
    <w:rsid w:val="00FD21EE"/>
    <w:rsid w:val="00FD269D"/>
    <w:rsid w:val="00FD2F48"/>
    <w:rsid w:val="00FD3A1B"/>
    <w:rsid w:val="00FD3C1C"/>
    <w:rsid w:val="00FD42EF"/>
    <w:rsid w:val="00FD5665"/>
    <w:rsid w:val="00FD5828"/>
    <w:rsid w:val="00FD65A2"/>
    <w:rsid w:val="00FD65EE"/>
    <w:rsid w:val="00FD6717"/>
    <w:rsid w:val="00FE06D7"/>
    <w:rsid w:val="00FE08EB"/>
    <w:rsid w:val="00FE0FF1"/>
    <w:rsid w:val="00FE16ED"/>
    <w:rsid w:val="00FE187E"/>
    <w:rsid w:val="00FE1CF0"/>
    <w:rsid w:val="00FE2B39"/>
    <w:rsid w:val="00FE2F68"/>
    <w:rsid w:val="00FE30E7"/>
    <w:rsid w:val="00FE477A"/>
    <w:rsid w:val="00FE48D2"/>
    <w:rsid w:val="00FE5581"/>
    <w:rsid w:val="00FE5A5B"/>
    <w:rsid w:val="00FE5D2D"/>
    <w:rsid w:val="00FE616A"/>
    <w:rsid w:val="00FE6447"/>
    <w:rsid w:val="00FE66AE"/>
    <w:rsid w:val="00FE69E3"/>
    <w:rsid w:val="00FE6E4B"/>
    <w:rsid w:val="00FE7DE7"/>
    <w:rsid w:val="00FF0077"/>
    <w:rsid w:val="00FF02CD"/>
    <w:rsid w:val="00FF0AAF"/>
    <w:rsid w:val="00FF0E78"/>
    <w:rsid w:val="00FF110E"/>
    <w:rsid w:val="00FF121C"/>
    <w:rsid w:val="00FF1919"/>
    <w:rsid w:val="00FF2155"/>
    <w:rsid w:val="00FF23F9"/>
    <w:rsid w:val="00FF2684"/>
    <w:rsid w:val="00FF29B8"/>
    <w:rsid w:val="00FF2A97"/>
    <w:rsid w:val="00FF2E1C"/>
    <w:rsid w:val="00FF369A"/>
    <w:rsid w:val="00FF3A85"/>
    <w:rsid w:val="00FF3DDC"/>
    <w:rsid w:val="00FF50EE"/>
    <w:rsid w:val="00FF51F9"/>
    <w:rsid w:val="00FF5421"/>
    <w:rsid w:val="00FF5783"/>
    <w:rsid w:val="00FF585E"/>
    <w:rsid w:val="00FF5998"/>
    <w:rsid w:val="00FF64B4"/>
    <w:rsid w:val="00FF6B61"/>
    <w:rsid w:val="00FF6BCE"/>
    <w:rsid w:val="00FF6CB6"/>
    <w:rsid w:val="00FF6FCD"/>
    <w:rsid w:val="00FF71B8"/>
    <w:rsid w:val="00FF734A"/>
    <w:rsid w:val="00FF73FD"/>
    <w:rsid w:val="00FF7C73"/>
    <w:rsid w:val="01230FF8"/>
    <w:rsid w:val="01370251"/>
    <w:rsid w:val="01546C03"/>
    <w:rsid w:val="01840D23"/>
    <w:rsid w:val="01C523EB"/>
    <w:rsid w:val="0240483A"/>
    <w:rsid w:val="02443EBF"/>
    <w:rsid w:val="028F7835"/>
    <w:rsid w:val="02AA45BC"/>
    <w:rsid w:val="02D849EC"/>
    <w:rsid w:val="02F01FC8"/>
    <w:rsid w:val="03125C24"/>
    <w:rsid w:val="032D0C4E"/>
    <w:rsid w:val="034343D1"/>
    <w:rsid w:val="03622BC3"/>
    <w:rsid w:val="03AE680D"/>
    <w:rsid w:val="03B42500"/>
    <w:rsid w:val="03EA585B"/>
    <w:rsid w:val="043323FD"/>
    <w:rsid w:val="04674129"/>
    <w:rsid w:val="04873719"/>
    <w:rsid w:val="04CF4903"/>
    <w:rsid w:val="04CF61CD"/>
    <w:rsid w:val="04DC7CED"/>
    <w:rsid w:val="04F06240"/>
    <w:rsid w:val="05092AA2"/>
    <w:rsid w:val="05137B8D"/>
    <w:rsid w:val="052949F8"/>
    <w:rsid w:val="05352FCE"/>
    <w:rsid w:val="054972DF"/>
    <w:rsid w:val="0579428C"/>
    <w:rsid w:val="059A5838"/>
    <w:rsid w:val="05EB13F2"/>
    <w:rsid w:val="060B5B68"/>
    <w:rsid w:val="06196A46"/>
    <w:rsid w:val="062D66EE"/>
    <w:rsid w:val="06452A65"/>
    <w:rsid w:val="06493026"/>
    <w:rsid w:val="069A2CD1"/>
    <w:rsid w:val="06A11889"/>
    <w:rsid w:val="06B26E55"/>
    <w:rsid w:val="06C11103"/>
    <w:rsid w:val="06E958A4"/>
    <w:rsid w:val="06FB5E9D"/>
    <w:rsid w:val="073A1421"/>
    <w:rsid w:val="07F563F7"/>
    <w:rsid w:val="08073815"/>
    <w:rsid w:val="086361B9"/>
    <w:rsid w:val="08664BF1"/>
    <w:rsid w:val="087628FD"/>
    <w:rsid w:val="08B052CB"/>
    <w:rsid w:val="08B40B3F"/>
    <w:rsid w:val="08EE2A4A"/>
    <w:rsid w:val="092A6F08"/>
    <w:rsid w:val="094A1567"/>
    <w:rsid w:val="09562F75"/>
    <w:rsid w:val="09651F9A"/>
    <w:rsid w:val="09690880"/>
    <w:rsid w:val="09A07F8D"/>
    <w:rsid w:val="09E50F66"/>
    <w:rsid w:val="09FB296B"/>
    <w:rsid w:val="0A405FB0"/>
    <w:rsid w:val="0AAE3D3C"/>
    <w:rsid w:val="0AEF4DA2"/>
    <w:rsid w:val="0B0C74E3"/>
    <w:rsid w:val="0B197A0E"/>
    <w:rsid w:val="0B686A05"/>
    <w:rsid w:val="0B9755B2"/>
    <w:rsid w:val="0BE80482"/>
    <w:rsid w:val="0C0E1075"/>
    <w:rsid w:val="0C295E89"/>
    <w:rsid w:val="0C391899"/>
    <w:rsid w:val="0C4F3346"/>
    <w:rsid w:val="0C5646FE"/>
    <w:rsid w:val="0C591FE7"/>
    <w:rsid w:val="0C651FF1"/>
    <w:rsid w:val="0C966D41"/>
    <w:rsid w:val="0D005082"/>
    <w:rsid w:val="0D0608D6"/>
    <w:rsid w:val="0D1A3721"/>
    <w:rsid w:val="0D341A8F"/>
    <w:rsid w:val="0D5225D9"/>
    <w:rsid w:val="0D5A1BC5"/>
    <w:rsid w:val="0DB97A81"/>
    <w:rsid w:val="0DE76237"/>
    <w:rsid w:val="0E280F4A"/>
    <w:rsid w:val="0E337610"/>
    <w:rsid w:val="0E540B6A"/>
    <w:rsid w:val="0EB22FED"/>
    <w:rsid w:val="0EC14BA3"/>
    <w:rsid w:val="0EC73999"/>
    <w:rsid w:val="0ED960F2"/>
    <w:rsid w:val="0F3167E5"/>
    <w:rsid w:val="0F3A28E2"/>
    <w:rsid w:val="0F4E1281"/>
    <w:rsid w:val="0F9A09BE"/>
    <w:rsid w:val="0FA46131"/>
    <w:rsid w:val="0FAA0437"/>
    <w:rsid w:val="0FC601FA"/>
    <w:rsid w:val="0FE23C62"/>
    <w:rsid w:val="0FF652DD"/>
    <w:rsid w:val="101D20C8"/>
    <w:rsid w:val="107728D4"/>
    <w:rsid w:val="10995400"/>
    <w:rsid w:val="11036706"/>
    <w:rsid w:val="1105338F"/>
    <w:rsid w:val="11114239"/>
    <w:rsid w:val="11875C36"/>
    <w:rsid w:val="11B132B7"/>
    <w:rsid w:val="11D71E4C"/>
    <w:rsid w:val="11E61964"/>
    <w:rsid w:val="11FE7D5F"/>
    <w:rsid w:val="120B0F45"/>
    <w:rsid w:val="120F3ACD"/>
    <w:rsid w:val="121557F7"/>
    <w:rsid w:val="121B6F0E"/>
    <w:rsid w:val="13546205"/>
    <w:rsid w:val="1367781A"/>
    <w:rsid w:val="136B6742"/>
    <w:rsid w:val="138D1341"/>
    <w:rsid w:val="13CB2F56"/>
    <w:rsid w:val="13F4131F"/>
    <w:rsid w:val="142148D7"/>
    <w:rsid w:val="14395983"/>
    <w:rsid w:val="14F55732"/>
    <w:rsid w:val="15061D4E"/>
    <w:rsid w:val="150A2791"/>
    <w:rsid w:val="156D6108"/>
    <w:rsid w:val="161D2B42"/>
    <w:rsid w:val="166213BA"/>
    <w:rsid w:val="16844462"/>
    <w:rsid w:val="168E61D7"/>
    <w:rsid w:val="16954E6F"/>
    <w:rsid w:val="16A0034D"/>
    <w:rsid w:val="16B83DCF"/>
    <w:rsid w:val="16C73561"/>
    <w:rsid w:val="16E313B3"/>
    <w:rsid w:val="16FC64CC"/>
    <w:rsid w:val="17101991"/>
    <w:rsid w:val="176C3394"/>
    <w:rsid w:val="179924AE"/>
    <w:rsid w:val="17A00BB3"/>
    <w:rsid w:val="17D33B8E"/>
    <w:rsid w:val="17FE3EE4"/>
    <w:rsid w:val="180E08E1"/>
    <w:rsid w:val="18196D26"/>
    <w:rsid w:val="18296E49"/>
    <w:rsid w:val="183B3D84"/>
    <w:rsid w:val="187D5677"/>
    <w:rsid w:val="1889197C"/>
    <w:rsid w:val="18B96600"/>
    <w:rsid w:val="18BA0C0E"/>
    <w:rsid w:val="18DA02D6"/>
    <w:rsid w:val="18DD1CDA"/>
    <w:rsid w:val="19016C45"/>
    <w:rsid w:val="19076499"/>
    <w:rsid w:val="193A2F42"/>
    <w:rsid w:val="19642B5C"/>
    <w:rsid w:val="19815690"/>
    <w:rsid w:val="19BF2896"/>
    <w:rsid w:val="19DA170E"/>
    <w:rsid w:val="19FD6728"/>
    <w:rsid w:val="1A7F5B53"/>
    <w:rsid w:val="1A82510B"/>
    <w:rsid w:val="1AE033C7"/>
    <w:rsid w:val="1B181367"/>
    <w:rsid w:val="1B620B6E"/>
    <w:rsid w:val="1B696E99"/>
    <w:rsid w:val="1B9333D7"/>
    <w:rsid w:val="1BBE3C53"/>
    <w:rsid w:val="1BCC3D5C"/>
    <w:rsid w:val="1C142E87"/>
    <w:rsid w:val="1C380F8C"/>
    <w:rsid w:val="1C4C0EAB"/>
    <w:rsid w:val="1CEF7BC8"/>
    <w:rsid w:val="1D133281"/>
    <w:rsid w:val="1D4E7623"/>
    <w:rsid w:val="1D56710C"/>
    <w:rsid w:val="1D604BCA"/>
    <w:rsid w:val="1D6D2882"/>
    <w:rsid w:val="1D7513D6"/>
    <w:rsid w:val="1D7F3E07"/>
    <w:rsid w:val="1D856966"/>
    <w:rsid w:val="1DB22B6B"/>
    <w:rsid w:val="1DDC4D1A"/>
    <w:rsid w:val="1DF30DBE"/>
    <w:rsid w:val="1E5C0F8C"/>
    <w:rsid w:val="1E651F9D"/>
    <w:rsid w:val="1E747A00"/>
    <w:rsid w:val="1E7E7BF2"/>
    <w:rsid w:val="1E8C3F85"/>
    <w:rsid w:val="1EB25615"/>
    <w:rsid w:val="1F851168"/>
    <w:rsid w:val="1FAE69B8"/>
    <w:rsid w:val="1FC3740D"/>
    <w:rsid w:val="20166D26"/>
    <w:rsid w:val="203355D2"/>
    <w:rsid w:val="20394358"/>
    <w:rsid w:val="20442961"/>
    <w:rsid w:val="208057D2"/>
    <w:rsid w:val="20887FB8"/>
    <w:rsid w:val="20EC4110"/>
    <w:rsid w:val="20F60F11"/>
    <w:rsid w:val="210E7201"/>
    <w:rsid w:val="212E56A3"/>
    <w:rsid w:val="21385634"/>
    <w:rsid w:val="214A3E4F"/>
    <w:rsid w:val="21600EC7"/>
    <w:rsid w:val="21681417"/>
    <w:rsid w:val="2199384F"/>
    <w:rsid w:val="21DB34DC"/>
    <w:rsid w:val="223C02CA"/>
    <w:rsid w:val="225472B9"/>
    <w:rsid w:val="225D6794"/>
    <w:rsid w:val="22665141"/>
    <w:rsid w:val="22726F52"/>
    <w:rsid w:val="22902DE7"/>
    <w:rsid w:val="23466651"/>
    <w:rsid w:val="23473951"/>
    <w:rsid w:val="23950110"/>
    <w:rsid w:val="23BF6ADE"/>
    <w:rsid w:val="241D4C3B"/>
    <w:rsid w:val="243B3BC9"/>
    <w:rsid w:val="24470277"/>
    <w:rsid w:val="24811A31"/>
    <w:rsid w:val="248779A4"/>
    <w:rsid w:val="24F9002D"/>
    <w:rsid w:val="250214D6"/>
    <w:rsid w:val="2520284B"/>
    <w:rsid w:val="25536DF7"/>
    <w:rsid w:val="255634CE"/>
    <w:rsid w:val="255F2871"/>
    <w:rsid w:val="257B402C"/>
    <w:rsid w:val="25815FD3"/>
    <w:rsid w:val="258646B2"/>
    <w:rsid w:val="258D467E"/>
    <w:rsid w:val="26363656"/>
    <w:rsid w:val="26955AC7"/>
    <w:rsid w:val="26B776C7"/>
    <w:rsid w:val="277D0DD7"/>
    <w:rsid w:val="27F0280E"/>
    <w:rsid w:val="28DE15AC"/>
    <w:rsid w:val="294855A0"/>
    <w:rsid w:val="2960459B"/>
    <w:rsid w:val="29616342"/>
    <w:rsid w:val="29DA1326"/>
    <w:rsid w:val="2A2C69CF"/>
    <w:rsid w:val="2A3763F1"/>
    <w:rsid w:val="2A6B6ACA"/>
    <w:rsid w:val="2A7F614D"/>
    <w:rsid w:val="2A8F181C"/>
    <w:rsid w:val="2AE35562"/>
    <w:rsid w:val="2B3148C7"/>
    <w:rsid w:val="2B7E1521"/>
    <w:rsid w:val="2BC519A0"/>
    <w:rsid w:val="2BF34A45"/>
    <w:rsid w:val="2C1139E6"/>
    <w:rsid w:val="2C2E4FDD"/>
    <w:rsid w:val="2C392E8C"/>
    <w:rsid w:val="2C755A5C"/>
    <w:rsid w:val="2D092DC9"/>
    <w:rsid w:val="2D1037FC"/>
    <w:rsid w:val="2D294F8C"/>
    <w:rsid w:val="2D2F463D"/>
    <w:rsid w:val="2DF6686C"/>
    <w:rsid w:val="2E4C0935"/>
    <w:rsid w:val="2E817FC1"/>
    <w:rsid w:val="2E870E83"/>
    <w:rsid w:val="2EAE4880"/>
    <w:rsid w:val="2EB521F5"/>
    <w:rsid w:val="2EE35BBA"/>
    <w:rsid w:val="2F1A7290"/>
    <w:rsid w:val="2F7B2870"/>
    <w:rsid w:val="2F9D7CF7"/>
    <w:rsid w:val="2FE765A3"/>
    <w:rsid w:val="30172FA4"/>
    <w:rsid w:val="303D4608"/>
    <w:rsid w:val="30506C49"/>
    <w:rsid w:val="30896680"/>
    <w:rsid w:val="30B254A1"/>
    <w:rsid w:val="30C10EDE"/>
    <w:rsid w:val="30E047C3"/>
    <w:rsid w:val="31214DF7"/>
    <w:rsid w:val="3121700E"/>
    <w:rsid w:val="314E571E"/>
    <w:rsid w:val="320F140E"/>
    <w:rsid w:val="321020A6"/>
    <w:rsid w:val="323A6A37"/>
    <w:rsid w:val="32512E65"/>
    <w:rsid w:val="329847A9"/>
    <w:rsid w:val="32CC6D9C"/>
    <w:rsid w:val="3314488D"/>
    <w:rsid w:val="33781B16"/>
    <w:rsid w:val="33B404DC"/>
    <w:rsid w:val="33C72A66"/>
    <w:rsid w:val="33D22550"/>
    <w:rsid w:val="34054F2C"/>
    <w:rsid w:val="341425B6"/>
    <w:rsid w:val="34394601"/>
    <w:rsid w:val="34477D1D"/>
    <w:rsid w:val="34805151"/>
    <w:rsid w:val="34995A3B"/>
    <w:rsid w:val="34DC1DF1"/>
    <w:rsid w:val="34FA5DDA"/>
    <w:rsid w:val="350A7096"/>
    <w:rsid w:val="351D0AA8"/>
    <w:rsid w:val="35471098"/>
    <w:rsid w:val="355E3D20"/>
    <w:rsid w:val="35BB2335"/>
    <w:rsid w:val="36095024"/>
    <w:rsid w:val="361100AA"/>
    <w:rsid w:val="36240D01"/>
    <w:rsid w:val="36266DB4"/>
    <w:rsid w:val="363C1FA9"/>
    <w:rsid w:val="36A26B19"/>
    <w:rsid w:val="36A50B59"/>
    <w:rsid w:val="36ED6539"/>
    <w:rsid w:val="37297EA2"/>
    <w:rsid w:val="37636B1B"/>
    <w:rsid w:val="37EB2C74"/>
    <w:rsid w:val="37F67806"/>
    <w:rsid w:val="3802202F"/>
    <w:rsid w:val="38183F76"/>
    <w:rsid w:val="383C75F5"/>
    <w:rsid w:val="38FA1728"/>
    <w:rsid w:val="397E3D99"/>
    <w:rsid w:val="399B4E0F"/>
    <w:rsid w:val="399E5C78"/>
    <w:rsid w:val="39CC1A7F"/>
    <w:rsid w:val="39E1620D"/>
    <w:rsid w:val="3A011836"/>
    <w:rsid w:val="3A050D77"/>
    <w:rsid w:val="3A2B7F68"/>
    <w:rsid w:val="3A664DE2"/>
    <w:rsid w:val="3A774FF1"/>
    <w:rsid w:val="3A7B2F4D"/>
    <w:rsid w:val="3AB56C6A"/>
    <w:rsid w:val="3AD81F71"/>
    <w:rsid w:val="3ADA1B74"/>
    <w:rsid w:val="3B0F76D9"/>
    <w:rsid w:val="3B92551B"/>
    <w:rsid w:val="3BC63352"/>
    <w:rsid w:val="3BCF56B7"/>
    <w:rsid w:val="3BDF11E2"/>
    <w:rsid w:val="3C143C61"/>
    <w:rsid w:val="3C39735A"/>
    <w:rsid w:val="3C634773"/>
    <w:rsid w:val="3C6445D1"/>
    <w:rsid w:val="3C793F4A"/>
    <w:rsid w:val="3CB43F1F"/>
    <w:rsid w:val="3CD348D6"/>
    <w:rsid w:val="3D366FB4"/>
    <w:rsid w:val="3D8141C6"/>
    <w:rsid w:val="3DA32223"/>
    <w:rsid w:val="3DBE0D0D"/>
    <w:rsid w:val="3DC1613E"/>
    <w:rsid w:val="3E016E42"/>
    <w:rsid w:val="3E3135A0"/>
    <w:rsid w:val="3E3816AE"/>
    <w:rsid w:val="3E3F2CB9"/>
    <w:rsid w:val="3E5709F7"/>
    <w:rsid w:val="3E6337A6"/>
    <w:rsid w:val="3E7B1630"/>
    <w:rsid w:val="3E872C04"/>
    <w:rsid w:val="3E907498"/>
    <w:rsid w:val="3EA021A9"/>
    <w:rsid w:val="3EDB2C44"/>
    <w:rsid w:val="3EDD63BF"/>
    <w:rsid w:val="3EDF261C"/>
    <w:rsid w:val="3F233941"/>
    <w:rsid w:val="3F4B5C64"/>
    <w:rsid w:val="3F4E1F09"/>
    <w:rsid w:val="3F991D2C"/>
    <w:rsid w:val="3FB07D68"/>
    <w:rsid w:val="3FC252CB"/>
    <w:rsid w:val="3FD6645B"/>
    <w:rsid w:val="3FF12096"/>
    <w:rsid w:val="402D7C02"/>
    <w:rsid w:val="404A60CA"/>
    <w:rsid w:val="40C0157E"/>
    <w:rsid w:val="41826890"/>
    <w:rsid w:val="4184148D"/>
    <w:rsid w:val="419B57BF"/>
    <w:rsid w:val="423A3A5D"/>
    <w:rsid w:val="424A2D2E"/>
    <w:rsid w:val="42A517C6"/>
    <w:rsid w:val="42AD45EC"/>
    <w:rsid w:val="42DB362C"/>
    <w:rsid w:val="42EF721E"/>
    <w:rsid w:val="42F1238E"/>
    <w:rsid w:val="43025BA5"/>
    <w:rsid w:val="432428E8"/>
    <w:rsid w:val="43496E5B"/>
    <w:rsid w:val="43540F3D"/>
    <w:rsid w:val="43972662"/>
    <w:rsid w:val="43A56A1E"/>
    <w:rsid w:val="43F92082"/>
    <w:rsid w:val="444D3E58"/>
    <w:rsid w:val="44767F39"/>
    <w:rsid w:val="449E04D5"/>
    <w:rsid w:val="44EA3E4B"/>
    <w:rsid w:val="44F2377A"/>
    <w:rsid w:val="452027AF"/>
    <w:rsid w:val="45C042E6"/>
    <w:rsid w:val="45DC2839"/>
    <w:rsid w:val="45E604F1"/>
    <w:rsid w:val="45E93B98"/>
    <w:rsid w:val="45F2528E"/>
    <w:rsid w:val="46107F64"/>
    <w:rsid w:val="46170F6D"/>
    <w:rsid w:val="46200F21"/>
    <w:rsid w:val="463A1CF2"/>
    <w:rsid w:val="4657470B"/>
    <w:rsid w:val="469F700F"/>
    <w:rsid w:val="46AF51FB"/>
    <w:rsid w:val="46EA4615"/>
    <w:rsid w:val="4728571D"/>
    <w:rsid w:val="47EB17E0"/>
    <w:rsid w:val="47F3058B"/>
    <w:rsid w:val="47FB1CDD"/>
    <w:rsid w:val="480C2DAA"/>
    <w:rsid w:val="484271F0"/>
    <w:rsid w:val="48802209"/>
    <w:rsid w:val="48AC5848"/>
    <w:rsid w:val="48B80F82"/>
    <w:rsid w:val="48F15C28"/>
    <w:rsid w:val="48F67F21"/>
    <w:rsid w:val="48FA5C20"/>
    <w:rsid w:val="493039B9"/>
    <w:rsid w:val="49532EE1"/>
    <w:rsid w:val="49E8252C"/>
    <w:rsid w:val="4A1D4AD4"/>
    <w:rsid w:val="4A2D2F27"/>
    <w:rsid w:val="4B2447D7"/>
    <w:rsid w:val="4B336AF8"/>
    <w:rsid w:val="4B63508A"/>
    <w:rsid w:val="4B706B6C"/>
    <w:rsid w:val="4B7F6EDC"/>
    <w:rsid w:val="4B822EF8"/>
    <w:rsid w:val="4B82511D"/>
    <w:rsid w:val="4BA82AAC"/>
    <w:rsid w:val="4BBD0443"/>
    <w:rsid w:val="4BC35A11"/>
    <w:rsid w:val="4BD06BC7"/>
    <w:rsid w:val="4BDE6CE7"/>
    <w:rsid w:val="4BF947AC"/>
    <w:rsid w:val="4C2A3794"/>
    <w:rsid w:val="4CAD015B"/>
    <w:rsid w:val="4D0B27DB"/>
    <w:rsid w:val="4D46631A"/>
    <w:rsid w:val="4D532397"/>
    <w:rsid w:val="4D7367CD"/>
    <w:rsid w:val="4D941BCF"/>
    <w:rsid w:val="4DCD2E97"/>
    <w:rsid w:val="4E045EEB"/>
    <w:rsid w:val="4E21750C"/>
    <w:rsid w:val="4E356578"/>
    <w:rsid w:val="4E3F0252"/>
    <w:rsid w:val="4E6936E6"/>
    <w:rsid w:val="4EFD3A3D"/>
    <w:rsid w:val="4F535630"/>
    <w:rsid w:val="4FBD0783"/>
    <w:rsid w:val="4FDF5361"/>
    <w:rsid w:val="4FE04607"/>
    <w:rsid w:val="4FF8181C"/>
    <w:rsid w:val="504E4BE8"/>
    <w:rsid w:val="50555226"/>
    <w:rsid w:val="5081423E"/>
    <w:rsid w:val="50942CF5"/>
    <w:rsid w:val="50A62A29"/>
    <w:rsid w:val="513D5DEE"/>
    <w:rsid w:val="52377171"/>
    <w:rsid w:val="52B576B7"/>
    <w:rsid w:val="52FF168C"/>
    <w:rsid w:val="53023F53"/>
    <w:rsid w:val="53267E0A"/>
    <w:rsid w:val="534331DB"/>
    <w:rsid w:val="5382502E"/>
    <w:rsid w:val="539A29F7"/>
    <w:rsid w:val="53B815CC"/>
    <w:rsid w:val="53BB47C5"/>
    <w:rsid w:val="53CB2C45"/>
    <w:rsid w:val="53FD74FB"/>
    <w:rsid w:val="54033AB1"/>
    <w:rsid w:val="540D4A91"/>
    <w:rsid w:val="54283C97"/>
    <w:rsid w:val="54614F2D"/>
    <w:rsid w:val="54702C1E"/>
    <w:rsid w:val="552A39B0"/>
    <w:rsid w:val="558F55CA"/>
    <w:rsid w:val="562048FF"/>
    <w:rsid w:val="568B4FC6"/>
    <w:rsid w:val="56B54986"/>
    <w:rsid w:val="56E12D98"/>
    <w:rsid w:val="56EF5B8A"/>
    <w:rsid w:val="56FE23F5"/>
    <w:rsid w:val="57074E66"/>
    <w:rsid w:val="57344A1C"/>
    <w:rsid w:val="573C7890"/>
    <w:rsid w:val="574B2302"/>
    <w:rsid w:val="57554435"/>
    <w:rsid w:val="57796F63"/>
    <w:rsid w:val="57BE085A"/>
    <w:rsid w:val="57CA04C3"/>
    <w:rsid w:val="57D67482"/>
    <w:rsid w:val="57E020A2"/>
    <w:rsid w:val="583A1A31"/>
    <w:rsid w:val="58896936"/>
    <w:rsid w:val="589A3721"/>
    <w:rsid w:val="58A720A2"/>
    <w:rsid w:val="58FB64F2"/>
    <w:rsid w:val="590630EC"/>
    <w:rsid w:val="590E2B9C"/>
    <w:rsid w:val="59167026"/>
    <w:rsid w:val="595742EA"/>
    <w:rsid w:val="596B4479"/>
    <w:rsid w:val="597A47EB"/>
    <w:rsid w:val="59B52DF3"/>
    <w:rsid w:val="59DB1E23"/>
    <w:rsid w:val="5A0B3F27"/>
    <w:rsid w:val="5A7A0E21"/>
    <w:rsid w:val="5A870496"/>
    <w:rsid w:val="5AA036F3"/>
    <w:rsid w:val="5AA23563"/>
    <w:rsid w:val="5AA5407F"/>
    <w:rsid w:val="5AD30723"/>
    <w:rsid w:val="5AF012E9"/>
    <w:rsid w:val="5B381A52"/>
    <w:rsid w:val="5B641B31"/>
    <w:rsid w:val="5B6E7D92"/>
    <w:rsid w:val="5B6F170C"/>
    <w:rsid w:val="5B932C33"/>
    <w:rsid w:val="5BEF7123"/>
    <w:rsid w:val="5C1867F6"/>
    <w:rsid w:val="5C2A0400"/>
    <w:rsid w:val="5C73122C"/>
    <w:rsid w:val="5D351D8F"/>
    <w:rsid w:val="5D5A76F0"/>
    <w:rsid w:val="5D782D01"/>
    <w:rsid w:val="5D85388A"/>
    <w:rsid w:val="5E39435C"/>
    <w:rsid w:val="5E3E038A"/>
    <w:rsid w:val="5E8819C0"/>
    <w:rsid w:val="5E884D98"/>
    <w:rsid w:val="5EB065FA"/>
    <w:rsid w:val="5EBE607C"/>
    <w:rsid w:val="5EC843DC"/>
    <w:rsid w:val="5ECE5C2F"/>
    <w:rsid w:val="5ED1242A"/>
    <w:rsid w:val="5F2D3077"/>
    <w:rsid w:val="5F4C2137"/>
    <w:rsid w:val="5F610928"/>
    <w:rsid w:val="5F7D7B6B"/>
    <w:rsid w:val="5F8B6B54"/>
    <w:rsid w:val="5FAC3391"/>
    <w:rsid w:val="5FC353A5"/>
    <w:rsid w:val="60221C37"/>
    <w:rsid w:val="60664F57"/>
    <w:rsid w:val="60AF0B59"/>
    <w:rsid w:val="60EC748E"/>
    <w:rsid w:val="60ED35FB"/>
    <w:rsid w:val="6135079E"/>
    <w:rsid w:val="613A20AC"/>
    <w:rsid w:val="613E5C1D"/>
    <w:rsid w:val="616362C4"/>
    <w:rsid w:val="61662BDC"/>
    <w:rsid w:val="617F105B"/>
    <w:rsid w:val="61CB4CD1"/>
    <w:rsid w:val="61CD6067"/>
    <w:rsid w:val="61E0148A"/>
    <w:rsid w:val="6210469A"/>
    <w:rsid w:val="62326256"/>
    <w:rsid w:val="624C5183"/>
    <w:rsid w:val="6277675C"/>
    <w:rsid w:val="627E3634"/>
    <w:rsid w:val="6298395E"/>
    <w:rsid w:val="63287DD9"/>
    <w:rsid w:val="63464D09"/>
    <w:rsid w:val="63874979"/>
    <w:rsid w:val="644466C4"/>
    <w:rsid w:val="64AD3F25"/>
    <w:rsid w:val="64FC7A01"/>
    <w:rsid w:val="651008F6"/>
    <w:rsid w:val="65165B9C"/>
    <w:rsid w:val="65554306"/>
    <w:rsid w:val="65BB733F"/>
    <w:rsid w:val="65C34F12"/>
    <w:rsid w:val="65D37571"/>
    <w:rsid w:val="661C6EC1"/>
    <w:rsid w:val="661E2D6B"/>
    <w:rsid w:val="6634527C"/>
    <w:rsid w:val="663C287A"/>
    <w:rsid w:val="663E4475"/>
    <w:rsid w:val="66657908"/>
    <w:rsid w:val="6673441B"/>
    <w:rsid w:val="66924937"/>
    <w:rsid w:val="66B20069"/>
    <w:rsid w:val="66E35713"/>
    <w:rsid w:val="66E35E61"/>
    <w:rsid w:val="671E7502"/>
    <w:rsid w:val="672D7499"/>
    <w:rsid w:val="676E209B"/>
    <w:rsid w:val="67A245F8"/>
    <w:rsid w:val="67F31CCF"/>
    <w:rsid w:val="68432BEA"/>
    <w:rsid w:val="684A52E7"/>
    <w:rsid w:val="68681819"/>
    <w:rsid w:val="686F3E8C"/>
    <w:rsid w:val="68BB59D8"/>
    <w:rsid w:val="68CF7538"/>
    <w:rsid w:val="6909000C"/>
    <w:rsid w:val="6911482C"/>
    <w:rsid w:val="69207100"/>
    <w:rsid w:val="69321091"/>
    <w:rsid w:val="695600A2"/>
    <w:rsid w:val="697D0C37"/>
    <w:rsid w:val="698E2580"/>
    <w:rsid w:val="69C272B4"/>
    <w:rsid w:val="69F56BC4"/>
    <w:rsid w:val="6A4223F4"/>
    <w:rsid w:val="6A481515"/>
    <w:rsid w:val="6A61786F"/>
    <w:rsid w:val="6A655104"/>
    <w:rsid w:val="6A67588C"/>
    <w:rsid w:val="6A7E330E"/>
    <w:rsid w:val="6ACC099E"/>
    <w:rsid w:val="6AE54697"/>
    <w:rsid w:val="6AF04A32"/>
    <w:rsid w:val="6AFC3365"/>
    <w:rsid w:val="6B2E6F54"/>
    <w:rsid w:val="6B5E0794"/>
    <w:rsid w:val="6B9E3E0B"/>
    <w:rsid w:val="6BAB1D99"/>
    <w:rsid w:val="6BAC2023"/>
    <w:rsid w:val="6BD776AA"/>
    <w:rsid w:val="6C2875C5"/>
    <w:rsid w:val="6C326222"/>
    <w:rsid w:val="6C3E22BA"/>
    <w:rsid w:val="6C5A3443"/>
    <w:rsid w:val="6C6C4531"/>
    <w:rsid w:val="6CAD7057"/>
    <w:rsid w:val="6D2F4FFF"/>
    <w:rsid w:val="6D4C405A"/>
    <w:rsid w:val="6D6802AC"/>
    <w:rsid w:val="6DE83137"/>
    <w:rsid w:val="6DF4428A"/>
    <w:rsid w:val="6DFD1FF5"/>
    <w:rsid w:val="6E216E60"/>
    <w:rsid w:val="6E47278A"/>
    <w:rsid w:val="6E4D72D5"/>
    <w:rsid w:val="6E7972A6"/>
    <w:rsid w:val="6E86457C"/>
    <w:rsid w:val="6E9B2ED2"/>
    <w:rsid w:val="6EA44233"/>
    <w:rsid w:val="6F1428B1"/>
    <w:rsid w:val="6F42340E"/>
    <w:rsid w:val="6F5467A0"/>
    <w:rsid w:val="6F5F2B18"/>
    <w:rsid w:val="6FE50A20"/>
    <w:rsid w:val="6FEB138A"/>
    <w:rsid w:val="70254122"/>
    <w:rsid w:val="70441C0F"/>
    <w:rsid w:val="70524C09"/>
    <w:rsid w:val="706D083E"/>
    <w:rsid w:val="70994C18"/>
    <w:rsid w:val="70AB7874"/>
    <w:rsid w:val="70B8322B"/>
    <w:rsid w:val="70BE1F21"/>
    <w:rsid w:val="70E37655"/>
    <w:rsid w:val="70EE7819"/>
    <w:rsid w:val="70F848E4"/>
    <w:rsid w:val="70FD7F62"/>
    <w:rsid w:val="71061D22"/>
    <w:rsid w:val="71346E86"/>
    <w:rsid w:val="7150119D"/>
    <w:rsid w:val="718538F0"/>
    <w:rsid w:val="718A14F4"/>
    <w:rsid w:val="71912563"/>
    <w:rsid w:val="71A766D2"/>
    <w:rsid w:val="71AE4E0C"/>
    <w:rsid w:val="71AF7537"/>
    <w:rsid w:val="71DC6050"/>
    <w:rsid w:val="71EB5C11"/>
    <w:rsid w:val="720A65F0"/>
    <w:rsid w:val="723825FF"/>
    <w:rsid w:val="7278144F"/>
    <w:rsid w:val="728050A9"/>
    <w:rsid w:val="72AD4A44"/>
    <w:rsid w:val="72C13499"/>
    <w:rsid w:val="72C93C85"/>
    <w:rsid w:val="72FB23EF"/>
    <w:rsid w:val="731852E2"/>
    <w:rsid w:val="736162BE"/>
    <w:rsid w:val="73893DB8"/>
    <w:rsid w:val="73B947DD"/>
    <w:rsid w:val="73E564F0"/>
    <w:rsid w:val="73FF748F"/>
    <w:rsid w:val="744B2F44"/>
    <w:rsid w:val="74946A41"/>
    <w:rsid w:val="74AF1364"/>
    <w:rsid w:val="74C25D0E"/>
    <w:rsid w:val="74C42844"/>
    <w:rsid w:val="75477563"/>
    <w:rsid w:val="757851B9"/>
    <w:rsid w:val="75A409DC"/>
    <w:rsid w:val="75BA507F"/>
    <w:rsid w:val="75C53BE7"/>
    <w:rsid w:val="75D90367"/>
    <w:rsid w:val="7607033B"/>
    <w:rsid w:val="760B1DD2"/>
    <w:rsid w:val="762C55FB"/>
    <w:rsid w:val="769C5DA0"/>
    <w:rsid w:val="76A3326B"/>
    <w:rsid w:val="76E546A4"/>
    <w:rsid w:val="76EF3789"/>
    <w:rsid w:val="76F94484"/>
    <w:rsid w:val="770355BD"/>
    <w:rsid w:val="7739793B"/>
    <w:rsid w:val="778610E0"/>
    <w:rsid w:val="789A36A2"/>
    <w:rsid w:val="78D015CC"/>
    <w:rsid w:val="78E41666"/>
    <w:rsid w:val="79015D88"/>
    <w:rsid w:val="79275B0E"/>
    <w:rsid w:val="792A4166"/>
    <w:rsid w:val="79661B0D"/>
    <w:rsid w:val="79A81E06"/>
    <w:rsid w:val="79EE103D"/>
    <w:rsid w:val="79F241F3"/>
    <w:rsid w:val="7A4D3685"/>
    <w:rsid w:val="7AC2149B"/>
    <w:rsid w:val="7AF54306"/>
    <w:rsid w:val="7AF911F9"/>
    <w:rsid w:val="7B0B1C4E"/>
    <w:rsid w:val="7B375F65"/>
    <w:rsid w:val="7B503344"/>
    <w:rsid w:val="7B5E11F8"/>
    <w:rsid w:val="7B802DC1"/>
    <w:rsid w:val="7BA57576"/>
    <w:rsid w:val="7BAD3157"/>
    <w:rsid w:val="7C207756"/>
    <w:rsid w:val="7C272229"/>
    <w:rsid w:val="7C4F6725"/>
    <w:rsid w:val="7C567566"/>
    <w:rsid w:val="7CC04988"/>
    <w:rsid w:val="7CC51DFC"/>
    <w:rsid w:val="7CD975F7"/>
    <w:rsid w:val="7CE008BA"/>
    <w:rsid w:val="7D43500E"/>
    <w:rsid w:val="7D5508A7"/>
    <w:rsid w:val="7D767EE1"/>
    <w:rsid w:val="7D7D4268"/>
    <w:rsid w:val="7D8D35C0"/>
    <w:rsid w:val="7DA1385F"/>
    <w:rsid w:val="7DA52E0C"/>
    <w:rsid w:val="7DED6275"/>
    <w:rsid w:val="7E0F214F"/>
    <w:rsid w:val="7E262E46"/>
    <w:rsid w:val="7E4852D4"/>
    <w:rsid w:val="7E7C19BE"/>
    <w:rsid w:val="7ED62C84"/>
    <w:rsid w:val="7EF663D7"/>
    <w:rsid w:val="7EF956C5"/>
    <w:rsid w:val="7F113539"/>
    <w:rsid w:val="7F210855"/>
    <w:rsid w:val="7F445CBA"/>
    <w:rsid w:val="7F774D4F"/>
    <w:rsid w:val="7F8270E2"/>
    <w:rsid w:val="7FB8743A"/>
    <w:rsid w:val="7FDE4A1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qFormat="1" w:unhideWhenUsed="0" w:uiPriority="99" w:name="endnote text"/>
    <w:lsdException w:uiPriority="99" w:name="table of authorities" w:locked="1"/>
    <w:lsdException w:uiPriority="99" w:name="macro" w:locked="1"/>
    <w:lsdException w:qFormat="1" w:unhideWhenUsed="0" w:uiPriority="0" w:semiHidden="0" w:name="toa heading" w:locked="1"/>
    <w:lsdException w:qFormat="1" w:unhideWhenUsed="0" w:uiPriority="0"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uiPriority="99" w:name="List 3" w:locked="1"/>
    <w:lsdException w:uiPriority="99" w:name="List 4" w:locked="1"/>
    <w:lsdException w:uiPriority="99" w:name="List 5" w:locked="1"/>
    <w:lsdException w:qFormat="1" w:unhideWhenUsed="0" w:uiPriority="99" w:semiHidden="0" w:name="List Bullet 2"/>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3"/>
    <w:qFormat/>
    <w:uiPriority w:val="99"/>
    <w:pPr>
      <w:keepNext/>
      <w:keepLines/>
      <w:spacing w:before="340" w:after="330" w:line="578" w:lineRule="auto"/>
      <w:outlineLvl w:val="0"/>
    </w:pPr>
    <w:rPr>
      <w:b/>
      <w:kern w:val="44"/>
      <w:sz w:val="44"/>
      <w:szCs w:val="20"/>
    </w:rPr>
  </w:style>
  <w:style w:type="paragraph" w:styleId="2">
    <w:name w:val="heading 2"/>
    <w:basedOn w:val="1"/>
    <w:next w:val="1"/>
    <w:link w:val="57"/>
    <w:qFormat/>
    <w:uiPriority w:val="99"/>
    <w:pPr>
      <w:keepNext/>
      <w:keepLines/>
      <w:spacing w:before="260" w:after="260" w:line="416" w:lineRule="auto"/>
      <w:outlineLvl w:val="1"/>
    </w:pPr>
    <w:rPr>
      <w:rFonts w:ascii="Arial" w:hAnsi="Arial" w:eastAsia="黑体"/>
      <w:b/>
      <w:sz w:val="32"/>
      <w:szCs w:val="20"/>
    </w:rPr>
  </w:style>
  <w:style w:type="paragraph" w:styleId="4">
    <w:name w:val="heading 3"/>
    <w:basedOn w:val="1"/>
    <w:next w:val="5"/>
    <w:link w:val="58"/>
    <w:qFormat/>
    <w:uiPriority w:val="99"/>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5"/>
    <w:link w:val="59"/>
    <w:qFormat/>
    <w:uiPriority w:val="99"/>
    <w:pPr>
      <w:keepNext/>
      <w:keepLines/>
      <w:spacing w:before="280" w:after="290" w:line="376" w:lineRule="auto"/>
      <w:outlineLvl w:val="3"/>
    </w:pPr>
    <w:rPr>
      <w:rFonts w:ascii="Arial" w:hAnsi="Arial" w:eastAsia="黑体"/>
      <w:b/>
      <w:sz w:val="28"/>
      <w:szCs w:val="20"/>
    </w:rPr>
  </w:style>
  <w:style w:type="paragraph" w:styleId="8">
    <w:name w:val="heading 5"/>
    <w:basedOn w:val="1"/>
    <w:next w:val="1"/>
    <w:link w:val="60"/>
    <w:qFormat/>
    <w:uiPriority w:val="99"/>
    <w:pPr>
      <w:keepNext/>
      <w:keepLines/>
      <w:spacing w:before="280" w:after="290" w:line="376" w:lineRule="auto"/>
      <w:outlineLvl w:val="4"/>
    </w:pPr>
    <w:rPr>
      <w:b/>
      <w:bCs/>
      <w:kern w:val="0"/>
      <w:sz w:val="28"/>
      <w:szCs w:val="28"/>
    </w:rPr>
  </w:style>
  <w:style w:type="paragraph" w:styleId="9">
    <w:name w:val="heading 6"/>
    <w:basedOn w:val="1"/>
    <w:next w:val="1"/>
    <w:link w:val="61"/>
    <w:qFormat/>
    <w:uiPriority w:val="99"/>
    <w:pPr>
      <w:keepNext/>
      <w:keepLines/>
      <w:spacing w:before="240" w:after="64" w:line="320" w:lineRule="auto"/>
      <w:outlineLvl w:val="5"/>
    </w:pPr>
    <w:rPr>
      <w:rFonts w:ascii="Cambria" w:hAnsi="Cambria"/>
      <w:b/>
      <w:bCs/>
      <w:kern w:val="0"/>
      <w:sz w:val="24"/>
    </w:rPr>
  </w:style>
  <w:style w:type="paragraph" w:styleId="10">
    <w:name w:val="heading 7"/>
    <w:basedOn w:val="1"/>
    <w:next w:val="1"/>
    <w:link w:val="62"/>
    <w:qFormat/>
    <w:uiPriority w:val="99"/>
    <w:pPr>
      <w:keepNext/>
      <w:keepLines/>
      <w:adjustRightInd w:val="0"/>
      <w:spacing w:before="240" w:after="64" w:line="320" w:lineRule="atLeast"/>
      <w:textAlignment w:val="baseline"/>
      <w:outlineLvl w:val="6"/>
    </w:pPr>
    <w:rPr>
      <w:b/>
      <w:bCs/>
      <w:kern w:val="0"/>
      <w:sz w:val="24"/>
    </w:rPr>
  </w:style>
  <w:style w:type="paragraph" w:styleId="11">
    <w:name w:val="heading 8"/>
    <w:basedOn w:val="1"/>
    <w:next w:val="1"/>
    <w:link w:val="63"/>
    <w:qFormat/>
    <w:uiPriority w:val="99"/>
    <w:pPr>
      <w:keepNext/>
      <w:keepLines/>
      <w:adjustRightInd w:val="0"/>
      <w:spacing w:before="240" w:after="64" w:line="320" w:lineRule="atLeast"/>
      <w:textAlignment w:val="baseline"/>
      <w:outlineLvl w:val="7"/>
    </w:pPr>
    <w:rPr>
      <w:rFonts w:ascii="Cambria" w:hAnsi="Cambria"/>
      <w:kern w:val="0"/>
      <w:sz w:val="24"/>
    </w:rPr>
  </w:style>
  <w:style w:type="paragraph" w:styleId="12">
    <w:name w:val="heading 9"/>
    <w:basedOn w:val="1"/>
    <w:next w:val="1"/>
    <w:link w:val="64"/>
    <w:qFormat/>
    <w:uiPriority w:val="99"/>
    <w:pPr>
      <w:keepNext/>
      <w:keepLines/>
      <w:adjustRightInd w:val="0"/>
      <w:spacing w:before="240" w:after="64" w:line="320" w:lineRule="atLeast"/>
      <w:textAlignment w:val="baseline"/>
      <w:outlineLvl w:val="8"/>
    </w:pPr>
    <w:rPr>
      <w:rFonts w:ascii="Cambria" w:hAnsi="Cambria"/>
      <w:kern w:val="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97"/>
    <w:qFormat/>
    <w:uiPriority w:val="99"/>
    <w:pPr>
      <w:ind w:firstLine="420"/>
    </w:pPr>
    <w:rPr>
      <w:szCs w:val="20"/>
    </w:rPr>
  </w:style>
  <w:style w:type="paragraph" w:styleId="6">
    <w:name w:val="Body Text Indent"/>
    <w:basedOn w:val="1"/>
    <w:next w:val="5"/>
    <w:link w:val="65"/>
    <w:qFormat/>
    <w:uiPriority w:val="99"/>
    <w:pPr>
      <w:spacing w:line="200" w:lineRule="exact"/>
      <w:ind w:firstLine="301"/>
    </w:pPr>
    <w:rPr>
      <w:rFonts w:ascii="宋体" w:hAnsi="Courier New"/>
      <w:spacing w:val="-4"/>
      <w:sz w:val="18"/>
      <w:szCs w:val="20"/>
    </w:rPr>
  </w:style>
  <w:style w:type="paragraph" w:styleId="13">
    <w:name w:val="List Number"/>
    <w:basedOn w:val="1"/>
    <w:next w:val="14"/>
    <w:qFormat/>
    <w:uiPriority w:val="99"/>
    <w:pPr>
      <w:widowControl/>
      <w:tabs>
        <w:tab w:val="left" w:pos="454"/>
        <w:tab w:val="left" w:pos="720"/>
      </w:tabs>
      <w:spacing w:afterLines="50"/>
      <w:ind w:left="454" w:hanging="284"/>
      <w:jc w:val="left"/>
    </w:pPr>
    <w:rPr>
      <w:kern w:val="0"/>
      <w:sz w:val="24"/>
      <w:szCs w:val="20"/>
    </w:rPr>
  </w:style>
  <w:style w:type="paragraph" w:styleId="14">
    <w:name w:val="Body Text"/>
    <w:basedOn w:val="1"/>
    <w:next w:val="15"/>
    <w:link w:val="68"/>
    <w:qFormat/>
    <w:uiPriority w:val="0"/>
    <w:pPr>
      <w:spacing w:after="120"/>
    </w:pPr>
    <w:rPr>
      <w:sz w:val="24"/>
      <w:szCs w:val="20"/>
    </w:rPr>
  </w:style>
  <w:style w:type="paragraph" w:customStyle="1" w:styleId="15">
    <w:name w:val="样式 表格正文 + 两端对齐"/>
    <w:basedOn w:val="1"/>
    <w:next w:val="16"/>
    <w:qFormat/>
    <w:uiPriority w:val="0"/>
    <w:pPr>
      <w:spacing w:line="300" w:lineRule="auto"/>
    </w:pPr>
    <w:rPr>
      <w:rFonts w:ascii="Times New Roman"/>
    </w:rPr>
  </w:style>
  <w:style w:type="paragraph" w:customStyle="1" w:styleId="16">
    <w:name w:val="正文1"/>
    <w:basedOn w:val="17"/>
    <w:next w:val="1"/>
    <w:qFormat/>
    <w:uiPriority w:val="99"/>
    <w:pPr>
      <w:adjustRightInd w:val="0"/>
      <w:spacing w:line="360" w:lineRule="atLeast"/>
      <w:jc w:val="left"/>
      <w:textAlignment w:val="baseline"/>
    </w:pPr>
    <w:rPr>
      <w:kern w:val="0"/>
      <w:szCs w:val="20"/>
    </w:rPr>
  </w:style>
  <w:style w:type="paragraph" w:styleId="17">
    <w:name w:val="Document Map"/>
    <w:basedOn w:val="1"/>
    <w:link w:val="70"/>
    <w:semiHidden/>
    <w:qFormat/>
    <w:uiPriority w:val="99"/>
    <w:pPr>
      <w:shd w:val="clear" w:color="auto" w:fill="000080"/>
    </w:pPr>
    <w:rPr>
      <w:sz w:val="24"/>
    </w:rPr>
  </w:style>
  <w:style w:type="paragraph" w:styleId="18">
    <w:name w:val="caption"/>
    <w:basedOn w:val="1"/>
    <w:next w:val="1"/>
    <w:qFormat/>
    <w:uiPriority w:val="0"/>
    <w:pPr>
      <w:spacing w:before="152" w:after="160"/>
    </w:pPr>
    <w:rPr>
      <w:rFonts w:ascii="Arial" w:hAnsi="Arial" w:eastAsia="黑体" w:cs="Arial"/>
      <w:sz w:val="20"/>
      <w:szCs w:val="20"/>
    </w:rPr>
  </w:style>
  <w:style w:type="paragraph" w:styleId="19">
    <w:name w:val="List Bullet"/>
    <w:basedOn w:val="1"/>
    <w:qFormat/>
    <w:uiPriority w:val="99"/>
    <w:pPr>
      <w:widowControl/>
      <w:tabs>
        <w:tab w:val="left" w:pos="900"/>
      </w:tabs>
      <w:spacing w:before="100" w:beforeAutospacing="1" w:afterLines="50" w:afterAutospacing="1"/>
      <w:ind w:left="900" w:hanging="420"/>
      <w:jc w:val="left"/>
    </w:pPr>
    <w:rPr>
      <w:kern w:val="0"/>
      <w:szCs w:val="20"/>
    </w:rPr>
  </w:style>
  <w:style w:type="paragraph" w:styleId="20">
    <w:name w:val="toa heading"/>
    <w:basedOn w:val="1"/>
    <w:next w:val="1"/>
    <w:qFormat/>
    <w:locked/>
    <w:uiPriority w:val="0"/>
    <w:pPr>
      <w:spacing w:before="120"/>
    </w:pPr>
    <w:rPr>
      <w:rFonts w:ascii="Arial" w:hAnsi="Arial"/>
      <w:kern w:val="2"/>
      <w:sz w:val="24"/>
    </w:rPr>
  </w:style>
  <w:style w:type="paragraph" w:styleId="21">
    <w:name w:val="annotation text"/>
    <w:basedOn w:val="1"/>
    <w:link w:val="66"/>
    <w:semiHidden/>
    <w:qFormat/>
    <w:uiPriority w:val="99"/>
    <w:pPr>
      <w:jc w:val="left"/>
    </w:pPr>
    <w:rPr>
      <w:sz w:val="24"/>
      <w:szCs w:val="20"/>
    </w:rPr>
  </w:style>
  <w:style w:type="paragraph" w:styleId="22">
    <w:name w:val="Salutation"/>
    <w:basedOn w:val="1"/>
    <w:next w:val="1"/>
    <w:link w:val="71"/>
    <w:qFormat/>
    <w:uiPriority w:val="99"/>
    <w:rPr>
      <w:kern w:val="0"/>
      <w:sz w:val="24"/>
    </w:rPr>
  </w:style>
  <w:style w:type="paragraph" w:styleId="23">
    <w:name w:val="Body Text 3"/>
    <w:basedOn w:val="1"/>
    <w:link w:val="72"/>
    <w:qFormat/>
    <w:uiPriority w:val="99"/>
    <w:pPr>
      <w:snapToGrid w:val="0"/>
      <w:spacing w:before="50" w:after="50"/>
    </w:pPr>
    <w:rPr>
      <w:kern w:val="0"/>
      <w:sz w:val="16"/>
      <w:szCs w:val="16"/>
    </w:rPr>
  </w:style>
  <w:style w:type="paragraph" w:styleId="24">
    <w:name w:val="List Number 3"/>
    <w:basedOn w:val="1"/>
    <w:qFormat/>
    <w:uiPriority w:val="99"/>
    <w:pPr>
      <w:tabs>
        <w:tab w:val="left" w:pos="1200"/>
      </w:tabs>
      <w:ind w:left="1200" w:leftChars="400" w:hanging="360" w:hangingChars="200"/>
    </w:pPr>
  </w:style>
  <w:style w:type="paragraph" w:styleId="25">
    <w:name w:val="List 2"/>
    <w:basedOn w:val="1"/>
    <w:qFormat/>
    <w:uiPriority w:val="99"/>
    <w:pPr>
      <w:ind w:left="100" w:leftChars="200" w:hanging="200" w:hangingChars="200"/>
    </w:pPr>
    <w:rPr>
      <w:sz w:val="28"/>
    </w:rPr>
  </w:style>
  <w:style w:type="paragraph" w:styleId="26">
    <w:name w:val="List Bullet 2"/>
    <w:basedOn w:val="1"/>
    <w:qFormat/>
    <w:uiPriority w:val="99"/>
    <w:pPr>
      <w:tabs>
        <w:tab w:val="left" w:pos="360"/>
        <w:tab w:val="left" w:pos="1191"/>
      </w:tabs>
      <w:snapToGrid w:val="0"/>
      <w:spacing w:line="360" w:lineRule="auto"/>
      <w:ind w:left="482" w:hanging="482" w:hangingChars="200"/>
      <w:jc w:val="left"/>
    </w:pPr>
    <w:rPr>
      <w:b/>
      <w:bCs/>
      <w:sz w:val="24"/>
      <w:szCs w:val="32"/>
    </w:rPr>
  </w:style>
  <w:style w:type="paragraph" w:styleId="27">
    <w:name w:val="Plain Text"/>
    <w:basedOn w:val="1"/>
    <w:next w:val="1"/>
    <w:link w:val="73"/>
    <w:qFormat/>
    <w:uiPriority w:val="0"/>
    <w:pPr>
      <w:spacing w:beforeLines="50" w:afterLines="50" w:line="400" w:lineRule="exact"/>
    </w:pPr>
    <w:rPr>
      <w:rFonts w:ascii="宋体" w:hAnsi="Courier New"/>
      <w:sz w:val="24"/>
      <w:szCs w:val="20"/>
    </w:rPr>
  </w:style>
  <w:style w:type="paragraph" w:styleId="28">
    <w:name w:val="Date"/>
    <w:basedOn w:val="1"/>
    <w:next w:val="1"/>
    <w:link w:val="74"/>
    <w:qFormat/>
    <w:uiPriority w:val="99"/>
    <w:pPr>
      <w:ind w:left="2500" w:leftChars="2500"/>
    </w:pPr>
    <w:rPr>
      <w:kern w:val="0"/>
      <w:sz w:val="24"/>
    </w:rPr>
  </w:style>
  <w:style w:type="paragraph" w:styleId="29">
    <w:name w:val="Body Text Indent 2"/>
    <w:basedOn w:val="1"/>
    <w:link w:val="75"/>
    <w:qFormat/>
    <w:uiPriority w:val="0"/>
    <w:pPr>
      <w:snapToGrid w:val="0"/>
      <w:ind w:firstLine="542" w:firstLineChars="225"/>
    </w:pPr>
    <w:rPr>
      <w:rFonts w:ascii="仿宋_GB2312" w:hAnsi="宋体"/>
      <w:b/>
      <w:color w:val="000000"/>
      <w:sz w:val="24"/>
      <w:szCs w:val="20"/>
    </w:rPr>
  </w:style>
  <w:style w:type="paragraph" w:styleId="30">
    <w:name w:val="endnote text"/>
    <w:basedOn w:val="1"/>
    <w:link w:val="76"/>
    <w:semiHidden/>
    <w:qFormat/>
    <w:uiPriority w:val="99"/>
    <w:pPr>
      <w:snapToGrid w:val="0"/>
      <w:spacing w:afterLines="50"/>
      <w:jc w:val="left"/>
    </w:pPr>
    <w:rPr>
      <w:kern w:val="0"/>
      <w:sz w:val="24"/>
    </w:rPr>
  </w:style>
  <w:style w:type="paragraph" w:styleId="31">
    <w:name w:val="Balloon Text"/>
    <w:basedOn w:val="1"/>
    <w:link w:val="77"/>
    <w:semiHidden/>
    <w:qFormat/>
    <w:uiPriority w:val="99"/>
    <w:rPr>
      <w:sz w:val="18"/>
      <w:szCs w:val="18"/>
    </w:rPr>
  </w:style>
  <w:style w:type="paragraph" w:styleId="32">
    <w:name w:val="footer"/>
    <w:basedOn w:val="1"/>
    <w:link w:val="78"/>
    <w:qFormat/>
    <w:uiPriority w:val="99"/>
    <w:pPr>
      <w:tabs>
        <w:tab w:val="center" w:pos="4153"/>
        <w:tab w:val="right" w:pos="8306"/>
      </w:tabs>
      <w:snapToGrid w:val="0"/>
      <w:jc w:val="left"/>
    </w:pPr>
    <w:rPr>
      <w:rFonts w:eastAsia="黑体"/>
      <w:snapToGrid w:val="0"/>
      <w:kern w:val="0"/>
      <w:sz w:val="18"/>
      <w:szCs w:val="20"/>
    </w:rPr>
  </w:style>
  <w:style w:type="paragraph" w:styleId="33">
    <w:name w:val="header"/>
    <w:basedOn w:val="1"/>
    <w:link w:val="79"/>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34">
    <w:name w:val="toc 1"/>
    <w:basedOn w:val="1"/>
    <w:next w:val="1"/>
    <w:semiHidden/>
    <w:qFormat/>
    <w:uiPriority w:val="99"/>
  </w:style>
  <w:style w:type="paragraph" w:styleId="35">
    <w:name w:val="Subtitle"/>
    <w:basedOn w:val="1"/>
    <w:link w:val="80"/>
    <w:qFormat/>
    <w:uiPriority w:val="99"/>
    <w:pPr>
      <w:spacing w:afterLines="50"/>
      <w:jc w:val="center"/>
    </w:pPr>
    <w:rPr>
      <w:rFonts w:ascii="Cambria" w:hAnsi="Cambria"/>
      <w:b/>
      <w:bCs/>
      <w:kern w:val="28"/>
      <w:sz w:val="32"/>
      <w:szCs w:val="32"/>
    </w:rPr>
  </w:style>
  <w:style w:type="paragraph" w:styleId="36">
    <w:name w:val="List"/>
    <w:basedOn w:val="1"/>
    <w:qFormat/>
    <w:uiPriority w:val="0"/>
    <w:pPr>
      <w:ind w:left="200" w:hanging="200" w:hangingChars="200"/>
    </w:pPr>
    <w:rPr>
      <w:sz w:val="28"/>
    </w:rPr>
  </w:style>
  <w:style w:type="paragraph" w:styleId="37">
    <w:name w:val="Body Text Indent 3"/>
    <w:basedOn w:val="1"/>
    <w:next w:val="1"/>
    <w:link w:val="81"/>
    <w:qFormat/>
    <w:uiPriority w:val="99"/>
    <w:pPr>
      <w:snapToGrid w:val="0"/>
      <w:ind w:firstLine="480" w:firstLineChars="200"/>
      <w:jc w:val="left"/>
    </w:pPr>
    <w:rPr>
      <w:rFonts w:ascii="仿宋_GB2312" w:hAnsi="宋体" w:eastAsia="仿宋_GB2312"/>
      <w:color w:val="000000"/>
      <w:sz w:val="24"/>
      <w:szCs w:val="20"/>
    </w:rPr>
  </w:style>
  <w:style w:type="paragraph" w:styleId="38">
    <w:name w:val="Body Text 2"/>
    <w:basedOn w:val="1"/>
    <w:link w:val="82"/>
    <w:qFormat/>
    <w:uiPriority w:val="99"/>
    <w:pPr>
      <w:widowControl/>
      <w:snapToGrid w:val="0"/>
      <w:spacing w:before="50" w:afterLines="50" w:line="400" w:lineRule="exact"/>
      <w:jc w:val="left"/>
    </w:pPr>
    <w:rPr>
      <w:kern w:val="0"/>
      <w:sz w:val="24"/>
    </w:rPr>
  </w:style>
  <w:style w:type="paragraph" w:styleId="39">
    <w:name w:val="HTML Preformatted"/>
    <w:basedOn w:val="1"/>
    <w:link w:val="83"/>
    <w:qFormat/>
    <w:uiPriority w:val="99"/>
    <w:rPr>
      <w:rFonts w:ascii="Courier New" w:hAnsi="Courier New"/>
      <w:kern w:val="0"/>
      <w:sz w:val="20"/>
      <w:szCs w:val="20"/>
    </w:rPr>
  </w:style>
  <w:style w:type="paragraph" w:styleId="40">
    <w:name w:val="Normal (Web)"/>
    <w:basedOn w:val="1"/>
    <w:next w:val="1"/>
    <w:qFormat/>
    <w:uiPriority w:val="99"/>
    <w:pPr>
      <w:widowControl/>
      <w:spacing w:before="100" w:beforeAutospacing="1" w:after="100" w:afterAutospacing="1"/>
      <w:jc w:val="left"/>
    </w:pPr>
    <w:rPr>
      <w:rFonts w:ascii="宋体" w:hAnsi="宋体"/>
      <w:color w:val="000000"/>
      <w:kern w:val="0"/>
      <w:sz w:val="24"/>
    </w:rPr>
  </w:style>
  <w:style w:type="paragraph" w:styleId="41">
    <w:name w:val="Title"/>
    <w:basedOn w:val="1"/>
    <w:link w:val="84"/>
    <w:qFormat/>
    <w:uiPriority w:val="99"/>
    <w:pPr>
      <w:widowControl/>
      <w:overflowPunct w:val="0"/>
      <w:autoSpaceDE w:val="0"/>
      <w:autoSpaceDN w:val="0"/>
      <w:adjustRightInd w:val="0"/>
      <w:jc w:val="center"/>
      <w:textAlignment w:val="baseline"/>
    </w:pPr>
    <w:rPr>
      <w:rFonts w:ascii="Cambria" w:hAnsi="Cambria"/>
      <w:b/>
      <w:bCs/>
      <w:kern w:val="0"/>
      <w:sz w:val="32"/>
      <w:szCs w:val="32"/>
    </w:rPr>
  </w:style>
  <w:style w:type="paragraph" w:styleId="42">
    <w:name w:val="annotation subject"/>
    <w:basedOn w:val="21"/>
    <w:next w:val="21"/>
    <w:link w:val="67"/>
    <w:semiHidden/>
    <w:qFormat/>
    <w:uiPriority w:val="99"/>
    <w:rPr>
      <w:b/>
      <w:bCs/>
    </w:rPr>
  </w:style>
  <w:style w:type="paragraph" w:styleId="43">
    <w:name w:val="Body Text First Indent"/>
    <w:basedOn w:val="14"/>
    <w:link w:val="69"/>
    <w:qFormat/>
    <w:uiPriority w:val="99"/>
    <w:pPr>
      <w:spacing w:line="360" w:lineRule="auto"/>
      <w:ind w:firstLine="200" w:firstLineChars="200"/>
      <w:jc w:val="left"/>
    </w:pPr>
  </w:style>
  <w:style w:type="paragraph" w:styleId="44">
    <w:name w:val="Body Text First Indent 2"/>
    <w:basedOn w:val="6"/>
    <w:next w:val="45"/>
    <w:qFormat/>
    <w:locked/>
    <w:uiPriority w:val="0"/>
    <w:pPr>
      <w:ind w:firstLine="420" w:firstLineChars="200"/>
    </w:pPr>
  </w:style>
  <w:style w:type="paragraph" w:customStyle="1" w:styleId="45">
    <w:name w:val="xl53"/>
    <w:basedOn w:val="1"/>
    <w:next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47">
    <w:name w:val="Table Grid"/>
    <w:basedOn w:val="4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basedOn w:val="48"/>
    <w:qFormat/>
    <w:uiPriority w:val="0"/>
    <w:rPr>
      <w:rFonts w:cs="Times New Roman"/>
      <w:b/>
    </w:rPr>
  </w:style>
  <w:style w:type="character" w:styleId="50">
    <w:name w:val="page number"/>
    <w:qFormat/>
    <w:uiPriority w:val="0"/>
    <w:rPr>
      <w:rFonts w:cs="Times New Roman"/>
    </w:rPr>
  </w:style>
  <w:style w:type="character" w:styleId="51">
    <w:name w:val="FollowedHyperlink"/>
    <w:qFormat/>
    <w:uiPriority w:val="99"/>
    <w:rPr>
      <w:rFonts w:cs="Times New Roman"/>
      <w:color w:val="800080"/>
      <w:u w:val="single"/>
    </w:rPr>
  </w:style>
  <w:style w:type="character" w:styleId="52">
    <w:name w:val="Emphasis"/>
    <w:qFormat/>
    <w:locked/>
    <w:uiPriority w:val="99"/>
    <w:rPr>
      <w:i/>
      <w:iCs/>
    </w:rPr>
  </w:style>
  <w:style w:type="character" w:styleId="53">
    <w:name w:val="Hyperlink"/>
    <w:basedOn w:val="48"/>
    <w:qFormat/>
    <w:uiPriority w:val="99"/>
    <w:rPr>
      <w:rFonts w:cs="Times New Roman"/>
      <w:color w:val="0000FF"/>
      <w:u w:val="single"/>
    </w:rPr>
  </w:style>
  <w:style w:type="character" w:styleId="54">
    <w:name w:val="annotation reference"/>
    <w:qFormat/>
    <w:uiPriority w:val="99"/>
    <w:rPr>
      <w:rFonts w:cs="Times New Roman"/>
      <w:sz w:val="21"/>
    </w:rPr>
  </w:style>
  <w:style w:type="paragraph" w:customStyle="1" w:styleId="55">
    <w:name w:val="章正文"/>
    <w:basedOn w:val="1"/>
    <w:qFormat/>
    <w:uiPriority w:val="99"/>
    <w:pPr>
      <w:spacing w:beforeLines="50" w:after="120" w:line="300" w:lineRule="auto"/>
      <w:ind w:firstLine="480"/>
    </w:pPr>
    <w:rPr>
      <w:rFonts w:ascii="Helvetica" w:hAnsi="Helvetica"/>
      <w:kern w:val="0"/>
      <w:sz w:val="24"/>
    </w:rPr>
  </w:style>
  <w:style w:type="character" w:customStyle="1" w:styleId="56">
    <w:name w:val="Heading 1 Char"/>
    <w:qFormat/>
    <w:locked/>
    <w:uiPriority w:val="99"/>
    <w:rPr>
      <w:rFonts w:cs="Times New Roman"/>
      <w:b/>
      <w:kern w:val="44"/>
      <w:sz w:val="44"/>
    </w:rPr>
  </w:style>
  <w:style w:type="character" w:customStyle="1" w:styleId="57">
    <w:name w:val="标题 2 Char"/>
    <w:link w:val="2"/>
    <w:qFormat/>
    <w:locked/>
    <w:uiPriority w:val="99"/>
    <w:rPr>
      <w:rFonts w:ascii="Arial" w:hAnsi="Arial" w:eastAsia="黑体" w:cs="Times New Roman"/>
      <w:b/>
      <w:kern w:val="2"/>
      <w:sz w:val="32"/>
      <w:lang w:val="en-US" w:eastAsia="zh-CN"/>
    </w:rPr>
  </w:style>
  <w:style w:type="character" w:customStyle="1" w:styleId="58">
    <w:name w:val="标题 3 Char1"/>
    <w:link w:val="4"/>
    <w:qFormat/>
    <w:locked/>
    <w:uiPriority w:val="99"/>
    <w:rPr>
      <w:rFonts w:ascii="宋体" w:eastAsia="宋体" w:cs="Times New Roman"/>
      <w:b/>
      <w:sz w:val="24"/>
      <w:u w:val="single"/>
      <w:lang w:val="en-US" w:eastAsia="zh-CN"/>
    </w:rPr>
  </w:style>
  <w:style w:type="character" w:customStyle="1" w:styleId="59">
    <w:name w:val="标题 4 Char"/>
    <w:link w:val="7"/>
    <w:qFormat/>
    <w:locked/>
    <w:uiPriority w:val="99"/>
    <w:rPr>
      <w:rFonts w:ascii="Arial" w:hAnsi="Arial" w:eastAsia="黑体" w:cs="Times New Roman"/>
      <w:b/>
      <w:kern w:val="2"/>
      <w:sz w:val="28"/>
      <w:lang w:val="en-US" w:eastAsia="zh-CN"/>
    </w:rPr>
  </w:style>
  <w:style w:type="character" w:customStyle="1" w:styleId="60">
    <w:name w:val="标题 5 Char"/>
    <w:link w:val="8"/>
    <w:semiHidden/>
    <w:qFormat/>
    <w:locked/>
    <w:uiPriority w:val="99"/>
    <w:rPr>
      <w:rFonts w:cs="Times New Roman"/>
      <w:b/>
      <w:bCs/>
      <w:sz w:val="28"/>
      <w:szCs w:val="28"/>
    </w:rPr>
  </w:style>
  <w:style w:type="character" w:customStyle="1" w:styleId="61">
    <w:name w:val="标题 6 Char"/>
    <w:link w:val="9"/>
    <w:semiHidden/>
    <w:qFormat/>
    <w:locked/>
    <w:uiPriority w:val="99"/>
    <w:rPr>
      <w:rFonts w:ascii="Cambria" w:hAnsi="Cambria" w:eastAsia="宋体" w:cs="Times New Roman"/>
      <w:b/>
      <w:bCs/>
      <w:sz w:val="24"/>
      <w:szCs w:val="24"/>
    </w:rPr>
  </w:style>
  <w:style w:type="character" w:customStyle="1" w:styleId="62">
    <w:name w:val="标题 7 Char"/>
    <w:link w:val="10"/>
    <w:semiHidden/>
    <w:qFormat/>
    <w:locked/>
    <w:uiPriority w:val="99"/>
    <w:rPr>
      <w:rFonts w:cs="Times New Roman"/>
      <w:b/>
      <w:bCs/>
      <w:sz w:val="24"/>
      <w:szCs w:val="24"/>
    </w:rPr>
  </w:style>
  <w:style w:type="character" w:customStyle="1" w:styleId="63">
    <w:name w:val="标题 8 Char"/>
    <w:link w:val="11"/>
    <w:semiHidden/>
    <w:qFormat/>
    <w:locked/>
    <w:uiPriority w:val="99"/>
    <w:rPr>
      <w:rFonts w:ascii="Cambria" w:hAnsi="Cambria" w:eastAsia="宋体" w:cs="Times New Roman"/>
      <w:sz w:val="24"/>
      <w:szCs w:val="24"/>
    </w:rPr>
  </w:style>
  <w:style w:type="character" w:customStyle="1" w:styleId="64">
    <w:name w:val="标题 9 Char"/>
    <w:link w:val="12"/>
    <w:semiHidden/>
    <w:qFormat/>
    <w:locked/>
    <w:uiPriority w:val="99"/>
    <w:rPr>
      <w:rFonts w:ascii="Cambria" w:hAnsi="Cambria" w:eastAsia="宋体" w:cs="Times New Roman"/>
      <w:sz w:val="21"/>
      <w:szCs w:val="21"/>
    </w:rPr>
  </w:style>
  <w:style w:type="character" w:customStyle="1" w:styleId="65">
    <w:name w:val="正文文本缩进 Char"/>
    <w:link w:val="6"/>
    <w:qFormat/>
    <w:locked/>
    <w:uiPriority w:val="99"/>
    <w:rPr>
      <w:rFonts w:ascii="宋体" w:hAnsi="Courier New" w:cs="Times New Roman"/>
      <w:spacing w:val="-4"/>
      <w:kern w:val="2"/>
      <w:sz w:val="18"/>
    </w:rPr>
  </w:style>
  <w:style w:type="character" w:customStyle="1" w:styleId="66">
    <w:name w:val="批注文字 Char"/>
    <w:link w:val="21"/>
    <w:qFormat/>
    <w:locked/>
    <w:uiPriority w:val="99"/>
    <w:rPr>
      <w:rFonts w:eastAsia="宋体" w:cs="Times New Roman"/>
      <w:kern w:val="2"/>
      <w:sz w:val="24"/>
      <w:lang w:val="en-US" w:eastAsia="zh-CN"/>
    </w:rPr>
  </w:style>
  <w:style w:type="character" w:customStyle="1" w:styleId="67">
    <w:name w:val="批注主题 Char"/>
    <w:link w:val="42"/>
    <w:semiHidden/>
    <w:qFormat/>
    <w:locked/>
    <w:uiPriority w:val="99"/>
    <w:rPr>
      <w:rFonts w:eastAsia="宋体" w:cs="Times New Roman"/>
      <w:b/>
      <w:bCs/>
      <w:kern w:val="2"/>
      <w:sz w:val="24"/>
      <w:szCs w:val="24"/>
      <w:lang w:val="en-US" w:eastAsia="zh-CN"/>
    </w:rPr>
  </w:style>
  <w:style w:type="character" w:customStyle="1" w:styleId="68">
    <w:name w:val="正文文本 Char"/>
    <w:link w:val="14"/>
    <w:qFormat/>
    <w:locked/>
    <w:uiPriority w:val="0"/>
    <w:rPr>
      <w:rFonts w:eastAsia="宋体" w:cs="Times New Roman"/>
      <w:kern w:val="2"/>
      <w:sz w:val="24"/>
      <w:lang w:val="en-US" w:eastAsia="zh-CN"/>
    </w:rPr>
  </w:style>
  <w:style w:type="character" w:customStyle="1" w:styleId="69">
    <w:name w:val="正文首行缩进 Char"/>
    <w:link w:val="43"/>
    <w:semiHidden/>
    <w:qFormat/>
    <w:locked/>
    <w:uiPriority w:val="99"/>
    <w:rPr>
      <w:rFonts w:eastAsia="宋体" w:cs="Times New Roman"/>
      <w:kern w:val="2"/>
      <w:sz w:val="24"/>
      <w:szCs w:val="24"/>
      <w:lang w:val="en-US" w:eastAsia="zh-CN"/>
    </w:rPr>
  </w:style>
  <w:style w:type="character" w:customStyle="1" w:styleId="70">
    <w:name w:val="文档结构图 Char"/>
    <w:link w:val="17"/>
    <w:qFormat/>
    <w:locked/>
    <w:uiPriority w:val="99"/>
    <w:rPr>
      <w:rFonts w:eastAsia="宋体" w:cs="Times New Roman"/>
      <w:kern w:val="2"/>
      <w:sz w:val="24"/>
      <w:szCs w:val="24"/>
      <w:lang w:val="en-US" w:eastAsia="zh-CN" w:bidi="ar-SA"/>
    </w:rPr>
  </w:style>
  <w:style w:type="character" w:customStyle="1" w:styleId="71">
    <w:name w:val="称呼 Char"/>
    <w:link w:val="22"/>
    <w:semiHidden/>
    <w:qFormat/>
    <w:locked/>
    <w:uiPriority w:val="99"/>
    <w:rPr>
      <w:rFonts w:cs="Times New Roman"/>
      <w:sz w:val="24"/>
      <w:szCs w:val="24"/>
    </w:rPr>
  </w:style>
  <w:style w:type="character" w:customStyle="1" w:styleId="72">
    <w:name w:val="正文文本 3 Char"/>
    <w:link w:val="23"/>
    <w:semiHidden/>
    <w:qFormat/>
    <w:locked/>
    <w:uiPriority w:val="99"/>
    <w:rPr>
      <w:rFonts w:cs="Times New Roman"/>
      <w:sz w:val="16"/>
      <w:szCs w:val="16"/>
    </w:rPr>
  </w:style>
  <w:style w:type="character" w:customStyle="1" w:styleId="73">
    <w:name w:val="纯文本 Char"/>
    <w:link w:val="27"/>
    <w:qFormat/>
    <w:locked/>
    <w:uiPriority w:val="0"/>
    <w:rPr>
      <w:rFonts w:ascii="宋体" w:hAnsi="Courier New" w:eastAsia="宋体" w:cs="Times New Roman"/>
      <w:kern w:val="2"/>
      <w:sz w:val="24"/>
      <w:lang w:val="en-US" w:eastAsia="zh-CN"/>
    </w:rPr>
  </w:style>
  <w:style w:type="character" w:customStyle="1" w:styleId="74">
    <w:name w:val="日期 Char"/>
    <w:link w:val="28"/>
    <w:semiHidden/>
    <w:qFormat/>
    <w:locked/>
    <w:uiPriority w:val="99"/>
    <w:rPr>
      <w:rFonts w:cs="Times New Roman"/>
      <w:sz w:val="24"/>
      <w:szCs w:val="24"/>
    </w:rPr>
  </w:style>
  <w:style w:type="character" w:customStyle="1" w:styleId="75">
    <w:name w:val="正文文本缩进 2 Char"/>
    <w:link w:val="29"/>
    <w:qFormat/>
    <w:locked/>
    <w:uiPriority w:val="0"/>
    <w:rPr>
      <w:rFonts w:ascii="仿宋_GB2312" w:hAnsi="宋体" w:eastAsia="宋体" w:cs="Times New Roman"/>
      <w:b/>
      <w:color w:val="000000"/>
      <w:kern w:val="2"/>
      <w:sz w:val="24"/>
      <w:lang w:val="en-US" w:eastAsia="zh-CN"/>
    </w:rPr>
  </w:style>
  <w:style w:type="character" w:customStyle="1" w:styleId="76">
    <w:name w:val="尾注文本 Char"/>
    <w:link w:val="30"/>
    <w:semiHidden/>
    <w:qFormat/>
    <w:locked/>
    <w:uiPriority w:val="99"/>
    <w:rPr>
      <w:rFonts w:cs="Times New Roman"/>
      <w:sz w:val="24"/>
      <w:szCs w:val="24"/>
    </w:rPr>
  </w:style>
  <w:style w:type="character" w:customStyle="1" w:styleId="77">
    <w:name w:val="批注框文本 Char"/>
    <w:link w:val="31"/>
    <w:qFormat/>
    <w:locked/>
    <w:uiPriority w:val="99"/>
    <w:rPr>
      <w:rFonts w:eastAsia="宋体" w:cs="Times New Roman"/>
      <w:kern w:val="2"/>
      <w:sz w:val="18"/>
      <w:szCs w:val="18"/>
      <w:lang w:val="en-US" w:eastAsia="zh-CN" w:bidi="ar-SA"/>
    </w:rPr>
  </w:style>
  <w:style w:type="character" w:customStyle="1" w:styleId="78">
    <w:name w:val="页脚 Char"/>
    <w:link w:val="32"/>
    <w:qFormat/>
    <w:locked/>
    <w:uiPriority w:val="99"/>
    <w:rPr>
      <w:rFonts w:eastAsia="黑体" w:cs="Times New Roman"/>
      <w:snapToGrid w:val="0"/>
      <w:sz w:val="18"/>
      <w:lang w:val="en-US" w:eastAsia="zh-CN"/>
    </w:rPr>
  </w:style>
  <w:style w:type="character" w:customStyle="1" w:styleId="79">
    <w:name w:val="页眉 Char"/>
    <w:link w:val="33"/>
    <w:qFormat/>
    <w:locked/>
    <w:uiPriority w:val="99"/>
    <w:rPr>
      <w:rFonts w:eastAsia="仿宋_GB2312" w:cs="Times New Roman"/>
      <w:kern w:val="2"/>
      <w:sz w:val="18"/>
      <w:lang w:val="en-US" w:eastAsia="zh-CN"/>
    </w:rPr>
  </w:style>
  <w:style w:type="character" w:customStyle="1" w:styleId="80">
    <w:name w:val="副标题 Char"/>
    <w:link w:val="35"/>
    <w:qFormat/>
    <w:locked/>
    <w:uiPriority w:val="99"/>
    <w:rPr>
      <w:rFonts w:ascii="Cambria" w:hAnsi="Cambria" w:cs="Times New Roman"/>
      <w:b/>
      <w:bCs/>
      <w:kern w:val="28"/>
      <w:sz w:val="32"/>
      <w:szCs w:val="32"/>
    </w:rPr>
  </w:style>
  <w:style w:type="character" w:customStyle="1" w:styleId="81">
    <w:name w:val="正文文本缩进 3 Char"/>
    <w:link w:val="37"/>
    <w:qFormat/>
    <w:locked/>
    <w:uiPriority w:val="99"/>
    <w:rPr>
      <w:rFonts w:ascii="仿宋_GB2312" w:hAnsi="宋体" w:eastAsia="仿宋_GB2312" w:cs="Times New Roman"/>
      <w:color w:val="000000"/>
      <w:kern w:val="2"/>
      <w:sz w:val="24"/>
      <w:lang w:val="en-US" w:eastAsia="zh-CN"/>
    </w:rPr>
  </w:style>
  <w:style w:type="character" w:customStyle="1" w:styleId="82">
    <w:name w:val="正文文本 2 Char"/>
    <w:link w:val="38"/>
    <w:semiHidden/>
    <w:qFormat/>
    <w:locked/>
    <w:uiPriority w:val="99"/>
    <w:rPr>
      <w:rFonts w:cs="Times New Roman"/>
      <w:sz w:val="24"/>
      <w:szCs w:val="24"/>
    </w:rPr>
  </w:style>
  <w:style w:type="character" w:customStyle="1" w:styleId="83">
    <w:name w:val="HTML 预设格式 Char"/>
    <w:link w:val="39"/>
    <w:semiHidden/>
    <w:qFormat/>
    <w:locked/>
    <w:uiPriority w:val="99"/>
    <w:rPr>
      <w:rFonts w:ascii="Courier New" w:hAnsi="Courier New" w:cs="Courier New"/>
      <w:sz w:val="20"/>
      <w:szCs w:val="20"/>
    </w:rPr>
  </w:style>
  <w:style w:type="character" w:customStyle="1" w:styleId="84">
    <w:name w:val="标题 Char"/>
    <w:link w:val="41"/>
    <w:qFormat/>
    <w:locked/>
    <w:uiPriority w:val="99"/>
    <w:rPr>
      <w:rFonts w:ascii="Cambria" w:hAnsi="Cambria" w:cs="Times New Roman"/>
      <w:b/>
      <w:bCs/>
      <w:sz w:val="32"/>
      <w:szCs w:val="32"/>
    </w:rPr>
  </w:style>
  <w:style w:type="character" w:customStyle="1" w:styleId="85">
    <w:name w:val="tw4winInternal"/>
    <w:qFormat/>
    <w:uiPriority w:val="99"/>
    <w:rPr>
      <w:rFonts w:ascii="Courier New" w:hAnsi="Courier New"/>
      <w:color w:val="FF0000"/>
    </w:rPr>
  </w:style>
  <w:style w:type="character" w:customStyle="1" w:styleId="86">
    <w:name w:val="Char Char3"/>
    <w:qFormat/>
    <w:uiPriority w:val="99"/>
    <w:rPr>
      <w:rFonts w:ascii="仿宋_GB2312" w:hAnsi="宋体" w:eastAsia="仿宋_GB2312"/>
      <w:color w:val="000000"/>
      <w:sz w:val="24"/>
    </w:rPr>
  </w:style>
  <w:style w:type="character" w:customStyle="1" w:styleId="87">
    <w:name w:val="标题 1 Char Char"/>
    <w:qFormat/>
    <w:uiPriority w:val="99"/>
    <w:rPr>
      <w:rFonts w:eastAsia="宋体"/>
      <w:b/>
      <w:spacing w:val="-2"/>
      <w:sz w:val="24"/>
      <w:lang w:val="en-US" w:eastAsia="zh-CN"/>
    </w:rPr>
  </w:style>
  <w:style w:type="character" w:customStyle="1" w:styleId="88">
    <w:name w:val="tw4winMark"/>
    <w:qFormat/>
    <w:uiPriority w:val="99"/>
    <w:rPr>
      <w:rFonts w:ascii="Courier New" w:hAnsi="Courier New"/>
      <w:vanish/>
      <w:color w:val="800080"/>
      <w:vertAlign w:val="subscript"/>
    </w:rPr>
  </w:style>
  <w:style w:type="character" w:customStyle="1" w:styleId="89">
    <w:name w:val="Normal Indent Char1 Char1 Char2 Char Char Char Char Char Char Char Char Char Char Char Char Char Char"/>
    <w:qFormat/>
    <w:uiPriority w:val="99"/>
    <w:rPr>
      <w:rFonts w:eastAsia="仿宋_GB2312"/>
      <w:kern w:val="2"/>
      <w:sz w:val="24"/>
      <w:lang w:val="en-US" w:eastAsia="zh-CN"/>
    </w:rPr>
  </w:style>
  <w:style w:type="character" w:customStyle="1" w:styleId="90">
    <w:name w:val="style11"/>
    <w:qFormat/>
    <w:uiPriority w:val="99"/>
    <w:rPr>
      <w:rFonts w:eastAsia="宋体"/>
      <w:kern w:val="2"/>
      <w:sz w:val="21"/>
      <w:lang w:val="en-US" w:eastAsia="zh-CN"/>
    </w:rPr>
  </w:style>
  <w:style w:type="character" w:customStyle="1" w:styleId="91">
    <w:name w:val="font2"/>
    <w:qFormat/>
    <w:uiPriority w:val="99"/>
    <w:rPr>
      <w:rFonts w:ascii="Arial" w:hAnsi="Arial"/>
      <w:color w:val="333333"/>
      <w:spacing w:val="0"/>
      <w:sz w:val="18"/>
    </w:rPr>
  </w:style>
  <w:style w:type="character" w:customStyle="1" w:styleId="92">
    <w:name w:val="b titlename wangputoptitle"/>
    <w:qFormat/>
    <w:uiPriority w:val="99"/>
    <w:rPr>
      <w:rFonts w:cs="Times New Roman"/>
    </w:rPr>
  </w:style>
  <w:style w:type="character" w:customStyle="1" w:styleId="93">
    <w:name w:val="tw4winTerm"/>
    <w:qFormat/>
    <w:uiPriority w:val="99"/>
    <w:rPr>
      <w:color w:val="0000FF"/>
    </w:rPr>
  </w:style>
  <w:style w:type="character" w:customStyle="1" w:styleId="94">
    <w:name w:val="样式 小四"/>
    <w:qFormat/>
    <w:uiPriority w:val="99"/>
    <w:rPr>
      <w:sz w:val="21"/>
    </w:rPr>
  </w:style>
  <w:style w:type="character" w:customStyle="1" w:styleId="95">
    <w:name w:val="para"/>
    <w:qFormat/>
    <w:uiPriority w:val="99"/>
    <w:rPr>
      <w:rFonts w:cs="Times New Roman"/>
    </w:rPr>
  </w:style>
  <w:style w:type="character" w:customStyle="1" w:styleId="96">
    <w:name w:val="tw4winError"/>
    <w:qFormat/>
    <w:uiPriority w:val="99"/>
    <w:rPr>
      <w:rFonts w:ascii="Courier New" w:hAnsi="Courier New"/>
      <w:color w:val="00FF00"/>
      <w:sz w:val="40"/>
    </w:rPr>
  </w:style>
  <w:style w:type="character" w:customStyle="1" w:styleId="97">
    <w:name w:val="正文缩进 Char"/>
    <w:link w:val="5"/>
    <w:qFormat/>
    <w:locked/>
    <w:uiPriority w:val="99"/>
    <w:rPr>
      <w:rFonts w:eastAsia="宋体"/>
      <w:kern w:val="2"/>
      <w:sz w:val="21"/>
      <w:lang w:val="en-US" w:eastAsia="zh-CN"/>
    </w:rPr>
  </w:style>
  <w:style w:type="character" w:customStyle="1" w:styleId="98">
    <w:name w:val="style31"/>
    <w:qFormat/>
    <w:uiPriority w:val="99"/>
    <w:rPr>
      <w:color w:val="4B4B4B"/>
    </w:rPr>
  </w:style>
  <w:style w:type="character" w:customStyle="1" w:styleId="99">
    <w:name w:val="!我的正文 Ctr+Q Char"/>
    <w:link w:val="100"/>
    <w:qFormat/>
    <w:locked/>
    <w:uiPriority w:val="99"/>
    <w:rPr>
      <w:rFonts w:ascii="Arial" w:hAnsi="Arial" w:eastAsia="宋体"/>
      <w:kern w:val="2"/>
      <w:sz w:val="21"/>
      <w:lang w:val="en-US" w:eastAsia="zh-CN"/>
    </w:rPr>
  </w:style>
  <w:style w:type="paragraph" w:customStyle="1" w:styleId="100">
    <w:name w:val="!我的正文 Ctr+Q"/>
    <w:basedOn w:val="1"/>
    <w:link w:val="99"/>
    <w:qFormat/>
    <w:uiPriority w:val="99"/>
    <w:pPr>
      <w:adjustRightInd w:val="0"/>
      <w:snapToGrid w:val="0"/>
      <w:spacing w:line="360" w:lineRule="auto"/>
      <w:ind w:firstLine="480" w:firstLineChars="200"/>
    </w:pPr>
    <w:rPr>
      <w:rFonts w:ascii="Arial" w:hAnsi="Arial"/>
      <w:szCs w:val="20"/>
    </w:rPr>
  </w:style>
  <w:style w:type="character" w:customStyle="1" w:styleId="101">
    <w:name w:val="font3"/>
    <w:qFormat/>
    <w:uiPriority w:val="99"/>
    <w:rPr>
      <w:rFonts w:cs="Times New Roman"/>
    </w:rPr>
  </w:style>
  <w:style w:type="character" w:customStyle="1" w:styleId="102">
    <w:name w:val="tw4winExternal"/>
    <w:qFormat/>
    <w:uiPriority w:val="99"/>
    <w:rPr>
      <w:rFonts w:ascii="Courier New" w:hAnsi="Courier New"/>
      <w:color w:val="808080"/>
    </w:rPr>
  </w:style>
  <w:style w:type="character" w:customStyle="1" w:styleId="103">
    <w:name w:val="标题 1 Char"/>
    <w:link w:val="3"/>
    <w:qFormat/>
    <w:locked/>
    <w:uiPriority w:val="99"/>
    <w:rPr>
      <w:rFonts w:eastAsia="宋体"/>
      <w:b/>
      <w:kern w:val="44"/>
      <w:sz w:val="44"/>
      <w:lang w:val="en-US" w:eastAsia="zh-CN"/>
    </w:rPr>
  </w:style>
  <w:style w:type="character" w:customStyle="1" w:styleId="104">
    <w:name w:val="point_normal1"/>
    <w:qFormat/>
    <w:uiPriority w:val="99"/>
    <w:rPr>
      <w:rFonts w:ascii="Arial" w:hAnsi="Arial"/>
      <w:sz w:val="18"/>
    </w:rPr>
  </w:style>
  <w:style w:type="character" w:customStyle="1" w:styleId="105">
    <w:name w:val="fontblank12"/>
    <w:qFormat/>
    <w:uiPriority w:val="99"/>
    <w:rPr>
      <w:rFonts w:cs="Times New Roman"/>
    </w:rPr>
  </w:style>
  <w:style w:type="character" w:customStyle="1" w:styleId="106">
    <w:name w:val="huide001"/>
    <w:qFormat/>
    <w:uiPriority w:val="99"/>
    <w:rPr>
      <w:rFonts w:ascii="Arial" w:hAnsi="Arial"/>
      <w:color w:val="666666"/>
      <w:sz w:val="18"/>
    </w:rPr>
  </w:style>
  <w:style w:type="character" w:customStyle="1" w:styleId="107">
    <w:name w:val="tw4winPopup"/>
    <w:qFormat/>
    <w:uiPriority w:val="99"/>
    <w:rPr>
      <w:rFonts w:ascii="Courier New" w:hAnsi="Courier New"/>
      <w:color w:val="008000"/>
    </w:rPr>
  </w:style>
  <w:style w:type="character" w:customStyle="1" w:styleId="108">
    <w:name w:val="标题 3 Char"/>
    <w:qFormat/>
    <w:uiPriority w:val="99"/>
    <w:rPr>
      <w:rFonts w:eastAsia="宋体"/>
      <w:b/>
      <w:kern w:val="2"/>
      <w:sz w:val="32"/>
      <w:lang w:val="en-US" w:eastAsia="zh-CN"/>
    </w:rPr>
  </w:style>
  <w:style w:type="character" w:customStyle="1" w:styleId="109">
    <w:name w:val="unnamed11"/>
    <w:qFormat/>
    <w:uiPriority w:val="99"/>
    <w:rPr>
      <w:sz w:val="20"/>
    </w:rPr>
  </w:style>
  <w:style w:type="character" w:customStyle="1" w:styleId="110">
    <w:name w:val="pagetitle"/>
    <w:qFormat/>
    <w:uiPriority w:val="99"/>
    <w:rPr>
      <w:rFonts w:cs="Times New Roman"/>
    </w:rPr>
  </w:style>
  <w:style w:type="character" w:customStyle="1" w:styleId="111">
    <w:name w:val="line1"/>
    <w:qFormat/>
    <w:uiPriority w:val="99"/>
    <w:rPr>
      <w:u w:val="none"/>
    </w:rPr>
  </w:style>
  <w:style w:type="character" w:customStyle="1" w:styleId="112">
    <w:name w:val="text11"/>
    <w:qFormat/>
    <w:uiPriority w:val="99"/>
    <w:rPr>
      <w:rFonts w:ascii="Verdana" w:hAnsi="Verdana"/>
      <w:color w:val="4E4E4E"/>
      <w:sz w:val="18"/>
    </w:rPr>
  </w:style>
  <w:style w:type="character" w:customStyle="1" w:styleId="113">
    <w:name w:val="样式 样式3 + 宋体 五号 Char Char Char Char"/>
    <w:qFormat/>
    <w:uiPriority w:val="99"/>
    <w:rPr>
      <w:rFonts w:ascii="宋体" w:hAnsi="宋体" w:eastAsia="宋体"/>
      <w:b/>
      <w:kern w:val="2"/>
      <w:sz w:val="24"/>
      <w:lang w:val="en-US" w:eastAsia="zh-CN"/>
    </w:rPr>
  </w:style>
  <w:style w:type="character" w:customStyle="1" w:styleId="114">
    <w:name w:val="A C"/>
    <w:qFormat/>
    <w:uiPriority w:val="99"/>
    <w:rPr>
      <w:rFonts w:ascii="仿宋_GB2312"/>
      <w:sz w:val="24"/>
    </w:rPr>
  </w:style>
  <w:style w:type="character" w:customStyle="1" w:styleId="115">
    <w:name w:val="tw4winJump"/>
    <w:qFormat/>
    <w:uiPriority w:val="99"/>
    <w:rPr>
      <w:rFonts w:ascii="Courier New" w:hAnsi="Courier New"/>
      <w:color w:val="008080"/>
    </w:rPr>
  </w:style>
  <w:style w:type="character" w:customStyle="1" w:styleId="116">
    <w:name w:val="Char Char7"/>
    <w:qFormat/>
    <w:uiPriority w:val="99"/>
    <w:rPr>
      <w:rFonts w:ascii="Cambria" w:hAnsi="Cambria" w:eastAsia="宋体"/>
      <w:b/>
      <w:sz w:val="32"/>
    </w:rPr>
  </w:style>
  <w:style w:type="character" w:customStyle="1" w:styleId="117">
    <w:name w:val="style101"/>
    <w:qFormat/>
    <w:uiPriority w:val="99"/>
    <w:rPr>
      <w:color w:val="FFFFFF"/>
    </w:rPr>
  </w:style>
  <w:style w:type="paragraph" w:customStyle="1" w:styleId="118">
    <w:name w:val="样式2"/>
    <w:basedOn w:val="2"/>
    <w:qFormat/>
    <w:uiPriority w:val="99"/>
    <w:pPr>
      <w:tabs>
        <w:tab w:val="left" w:pos="600"/>
      </w:tabs>
      <w:ind w:left="600" w:hanging="600"/>
    </w:pPr>
    <w:rPr>
      <w:rFonts w:eastAsia="宋体"/>
    </w:rPr>
  </w:style>
  <w:style w:type="paragraph" w:customStyle="1" w:styleId="119">
    <w:name w:val="p0"/>
    <w:basedOn w:val="1"/>
    <w:qFormat/>
    <w:uiPriority w:val="0"/>
    <w:pPr>
      <w:widowControl/>
      <w:spacing w:after="50"/>
    </w:pPr>
    <w:rPr>
      <w:kern w:val="0"/>
      <w:szCs w:val="21"/>
    </w:rPr>
  </w:style>
  <w:style w:type="paragraph" w:customStyle="1" w:styleId="120">
    <w:name w:val="样式 正文文本缩进 + 仿宋_GB2312 小四 首行缩进:  0 厘米 行距: 1.5 倍行距"/>
    <w:basedOn w:val="6"/>
    <w:qFormat/>
    <w:uiPriority w:val="99"/>
    <w:pPr>
      <w:spacing w:line="360" w:lineRule="auto"/>
      <w:ind w:firstLine="0"/>
    </w:pPr>
    <w:rPr>
      <w:rFonts w:ascii="仿宋_GB2312" w:hAnsi="Times New Roman" w:eastAsia="新宋体"/>
      <w:spacing w:val="0"/>
      <w:sz w:val="24"/>
    </w:rPr>
  </w:style>
  <w:style w:type="paragraph" w:customStyle="1" w:styleId="121">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22">
    <w:name w:val="Paragraph2"/>
    <w:basedOn w:val="1"/>
    <w:qFormat/>
    <w:uiPriority w:val="99"/>
    <w:pPr>
      <w:spacing w:before="80" w:afterLines="50"/>
      <w:ind w:left="720"/>
    </w:pPr>
    <w:rPr>
      <w:rFonts w:ascii="宋体"/>
      <w:color w:val="000000"/>
      <w:kern w:val="0"/>
      <w:szCs w:val="20"/>
      <w:lang w:val="en-AU"/>
    </w:rPr>
  </w:style>
  <w:style w:type="paragraph" w:customStyle="1" w:styleId="123">
    <w:name w:val="Char Char Char Char Char Char Char Char Char Char"/>
    <w:basedOn w:val="17"/>
    <w:qFormat/>
    <w:uiPriority w:val="99"/>
    <w:rPr>
      <w:rFonts w:ascii="Tahoma" w:hAnsi="Tahoma"/>
    </w:rPr>
  </w:style>
  <w:style w:type="paragraph" w:customStyle="1" w:styleId="124">
    <w:name w:val="P3"/>
    <w:basedOn w:val="1"/>
    <w:qFormat/>
    <w:uiPriority w:val="99"/>
    <w:pPr>
      <w:widowControl/>
      <w:spacing w:before="240" w:line="240" w:lineRule="atLeast"/>
      <w:ind w:left="1152"/>
      <w:jc w:val="left"/>
    </w:pPr>
    <w:rPr>
      <w:b/>
      <w:kern w:val="0"/>
      <w:szCs w:val="21"/>
      <w:lang w:val="en-AU" w:eastAsia="en-US"/>
    </w:rPr>
  </w:style>
  <w:style w:type="paragraph" w:customStyle="1" w:styleId="125">
    <w:name w:val="Char1 Char Char Char Char Char Char"/>
    <w:basedOn w:val="1"/>
    <w:qFormat/>
    <w:uiPriority w:val="99"/>
    <w:rPr>
      <w:rFonts w:ascii="Tahoma" w:hAnsi="Tahoma"/>
      <w:sz w:val="24"/>
      <w:szCs w:val="20"/>
    </w:rPr>
  </w:style>
  <w:style w:type="paragraph" w:customStyle="1" w:styleId="126">
    <w:name w:val="Paragraph4"/>
    <w:basedOn w:val="1"/>
    <w:qFormat/>
    <w:uiPriority w:val="99"/>
    <w:pPr>
      <w:spacing w:before="80" w:afterLines="50"/>
      <w:ind w:left="2250"/>
    </w:pPr>
    <w:rPr>
      <w:rFonts w:ascii="宋体"/>
      <w:kern w:val="0"/>
      <w:szCs w:val="20"/>
    </w:rPr>
  </w:style>
  <w:style w:type="paragraph" w:customStyle="1" w:styleId="127">
    <w:name w:val="图"/>
    <w:basedOn w:val="1"/>
    <w:qFormat/>
    <w:uiPriority w:val="99"/>
    <w:pPr>
      <w:keepNext/>
      <w:adjustRightInd w:val="0"/>
      <w:snapToGrid w:val="0"/>
      <w:spacing w:before="60" w:after="60" w:line="300" w:lineRule="auto"/>
      <w:jc w:val="center"/>
    </w:pPr>
    <w:rPr>
      <w:spacing w:val="20"/>
      <w:kern w:val="0"/>
      <w:sz w:val="24"/>
      <w:szCs w:val="20"/>
    </w:rPr>
  </w:style>
  <w:style w:type="paragraph" w:customStyle="1" w:styleId="128">
    <w:name w:val="样式 标题 3Chapter X.X.X. + 五号 段后: 0.5 行"/>
    <w:basedOn w:val="4"/>
    <w:qFormat/>
    <w:uiPriority w:val="99"/>
    <w:pPr>
      <w:keepLines w:val="0"/>
      <w:autoSpaceDE/>
      <w:autoSpaceDN/>
      <w:adjustRightInd/>
      <w:spacing w:before="120" w:afterLines="50"/>
    </w:pPr>
    <w:rPr>
      <w:rFonts w:cs="宋体"/>
      <w:bCs/>
      <w:sz w:val="21"/>
      <w:u w:val="none"/>
    </w:rPr>
  </w:style>
  <w:style w:type="paragraph" w:customStyle="1" w:styleId="129">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30">
    <w:name w:val="TableTextLeft"/>
    <w:qFormat/>
    <w:uiPriority w:val="99"/>
    <w:rPr>
      <w:rFonts w:ascii="Century Gothic" w:hAnsi="Century Gothic" w:eastAsia="宋体" w:cs="Times New Roman"/>
      <w:szCs w:val="18"/>
      <w:lang w:val="en-US" w:eastAsia="en-US" w:bidi="ar-SA"/>
    </w:rPr>
  </w:style>
  <w:style w:type="paragraph" w:customStyle="1" w:styleId="131">
    <w:name w:val="Body"/>
    <w:basedOn w:val="1"/>
    <w:qFormat/>
    <w:uiPriority w:val="99"/>
    <w:pPr>
      <w:widowControl/>
      <w:spacing w:before="120" w:afterLines="50"/>
    </w:pPr>
    <w:rPr>
      <w:rFonts w:ascii="宋体"/>
      <w:kern w:val="0"/>
      <w:szCs w:val="20"/>
    </w:rPr>
  </w:style>
  <w:style w:type="paragraph" w:customStyle="1" w:styleId="132">
    <w:name w:val="Char Char Char 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133">
    <w:name w:val="标准标题2"/>
    <w:basedOn w:val="2"/>
    <w:qFormat/>
    <w:uiPriority w:val="99"/>
    <w:pPr>
      <w:spacing w:line="360" w:lineRule="auto"/>
    </w:pPr>
    <w:rPr>
      <w:rFonts w:eastAsia="仿宋_GB2312"/>
      <w:sz w:val="28"/>
    </w:rPr>
  </w:style>
  <w:style w:type="paragraph" w:customStyle="1" w:styleId="134">
    <w:name w:val="Blockquote"/>
    <w:basedOn w:val="1"/>
    <w:qFormat/>
    <w:uiPriority w:val="99"/>
    <w:pPr>
      <w:widowControl/>
      <w:spacing w:before="100" w:afterLines="50"/>
      <w:ind w:left="360" w:right="360"/>
      <w:jc w:val="left"/>
    </w:pPr>
    <w:rPr>
      <w:rFonts w:ascii="宋体"/>
      <w:kern w:val="0"/>
      <w:sz w:val="24"/>
      <w:szCs w:val="20"/>
      <w:lang w:val="en-CA"/>
    </w:rPr>
  </w:style>
  <w:style w:type="paragraph" w:customStyle="1" w:styleId="135">
    <w:name w:val="Char Char3 Char Char Char Char"/>
    <w:basedOn w:val="1"/>
    <w:qFormat/>
    <w:uiPriority w:val="99"/>
    <w:pPr>
      <w:widowControl/>
      <w:spacing w:after="160" w:line="360" w:lineRule="auto"/>
      <w:jc w:val="left"/>
    </w:pPr>
    <w:rPr>
      <w:rFonts w:ascii="Verdana" w:hAnsi="Verdana"/>
      <w:kern w:val="0"/>
      <w:sz w:val="24"/>
      <w:szCs w:val="20"/>
      <w:lang w:eastAsia="en-US"/>
    </w:rPr>
  </w:style>
  <w:style w:type="paragraph" w:customStyle="1" w:styleId="136">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37">
    <w:name w:val="Char Char Char Char Char Char Char Char Char Char Char Char Char Char Char Char"/>
    <w:basedOn w:val="1"/>
    <w:qFormat/>
    <w:uiPriority w:val="99"/>
    <w:pPr>
      <w:tabs>
        <w:tab w:val="left" w:pos="360"/>
      </w:tabs>
    </w:pPr>
    <w:rPr>
      <w:sz w:val="24"/>
    </w:rPr>
  </w:style>
  <w:style w:type="paragraph" w:customStyle="1" w:styleId="138">
    <w:name w:val="表格标题(居中)"/>
    <w:basedOn w:val="1"/>
    <w:qFormat/>
    <w:uiPriority w:val="99"/>
    <w:pPr>
      <w:adjustRightInd w:val="0"/>
      <w:snapToGrid w:val="0"/>
      <w:spacing w:line="300" w:lineRule="auto"/>
      <w:ind w:firstLine="200" w:firstLineChars="200"/>
      <w:jc w:val="center"/>
    </w:pPr>
    <w:rPr>
      <w:rFonts w:eastAsia="黑体"/>
      <w:color w:val="000000"/>
      <w:kern w:val="0"/>
      <w:sz w:val="24"/>
      <w:szCs w:val="20"/>
    </w:rPr>
  </w:style>
  <w:style w:type="paragraph" w:customStyle="1" w:styleId="139">
    <w:name w:val="Char3 Char Char Char"/>
    <w:basedOn w:val="1"/>
    <w:qFormat/>
    <w:uiPriority w:val="99"/>
    <w:pPr>
      <w:tabs>
        <w:tab w:val="left" w:pos="1455"/>
      </w:tabs>
      <w:ind w:left="1455" w:hanging="1275"/>
    </w:pPr>
    <w:rPr>
      <w:sz w:val="24"/>
    </w:rPr>
  </w:style>
  <w:style w:type="paragraph" w:customStyle="1" w:styleId="140">
    <w:name w:val="样式　标题4"/>
    <w:basedOn w:val="141"/>
    <w:next w:val="1"/>
    <w:qFormat/>
    <w:uiPriority w:val="99"/>
  </w:style>
  <w:style w:type="paragraph" w:customStyle="1" w:styleId="141">
    <w:name w:val="样式 标题 4Chapter X.X.X. + 段后: 0.5 行1"/>
    <w:basedOn w:val="7"/>
    <w:next w:val="7"/>
    <w:qFormat/>
    <w:uiPriority w:val="99"/>
    <w:pPr>
      <w:keepLines w:val="0"/>
      <w:spacing w:before="120" w:afterLines="50" w:line="240" w:lineRule="auto"/>
      <w:ind w:left="425" w:hanging="425"/>
      <w:jc w:val="left"/>
    </w:pPr>
    <w:rPr>
      <w:rFonts w:ascii="宋体" w:hAnsi="Times New Roman" w:eastAsia="宋体" w:cs="宋体"/>
      <w:kern w:val="0"/>
      <w:sz w:val="21"/>
    </w:rPr>
  </w:style>
  <w:style w:type="paragraph" w:customStyle="1" w:styleId="142">
    <w:name w:val="样式 标题 2 + 五号"/>
    <w:basedOn w:val="2"/>
    <w:qFormat/>
    <w:uiPriority w:val="99"/>
    <w:pPr>
      <w:spacing w:before="0" w:after="0" w:line="240" w:lineRule="auto"/>
    </w:pPr>
    <w:rPr>
      <w:rFonts w:ascii="宋体" w:hAnsi="宋体" w:eastAsia="宋体"/>
      <w:sz w:val="21"/>
    </w:rPr>
  </w:style>
  <w:style w:type="paragraph" w:customStyle="1" w:styleId="143">
    <w:name w:val="Main Title"/>
    <w:basedOn w:val="1"/>
    <w:qFormat/>
    <w:uiPriority w:val="99"/>
    <w:pPr>
      <w:spacing w:before="480" w:afterLines="50"/>
      <w:jc w:val="center"/>
    </w:pPr>
    <w:rPr>
      <w:rFonts w:ascii="宋体"/>
      <w:b/>
      <w:kern w:val="28"/>
      <w:sz w:val="32"/>
      <w:szCs w:val="20"/>
    </w:rPr>
  </w:style>
  <w:style w:type="paragraph" w:customStyle="1" w:styleId="144">
    <w:name w:val="表格内容"/>
    <w:basedOn w:val="14"/>
    <w:qFormat/>
    <w:uiPriority w:val="99"/>
    <w:pPr>
      <w:suppressLineNumbers/>
      <w:suppressAutoHyphens/>
    </w:pPr>
    <w:rPr>
      <w:kern w:val="1"/>
      <w:sz w:val="21"/>
      <w:lang w:eastAsia="ar-SA"/>
    </w:r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S4-L15-C"/>
    <w:basedOn w:val="1"/>
    <w:qFormat/>
    <w:uiPriority w:val="99"/>
    <w:pPr>
      <w:spacing w:after="120" w:line="360" w:lineRule="auto"/>
      <w:jc w:val="center"/>
    </w:pPr>
    <w:rPr>
      <w:szCs w:val="21"/>
    </w:rPr>
  </w:style>
  <w:style w:type="paragraph" w:customStyle="1" w:styleId="147">
    <w:name w:val="样式 标题 4 + 段后: 0.5 行"/>
    <w:basedOn w:val="7"/>
    <w:qFormat/>
    <w:uiPriority w:val="99"/>
    <w:pPr>
      <w:keepLines w:val="0"/>
      <w:spacing w:before="120" w:afterLines="50" w:line="240" w:lineRule="auto"/>
      <w:jc w:val="left"/>
    </w:pPr>
    <w:rPr>
      <w:rFonts w:ascii="宋体" w:hAnsi="Times New Roman" w:eastAsia="宋体" w:cs="宋体"/>
      <w:kern w:val="0"/>
      <w:sz w:val="21"/>
    </w:rPr>
  </w:style>
  <w:style w:type="paragraph" w:customStyle="1" w:styleId="148">
    <w:name w:val="样式 标题 4"/>
    <w:basedOn w:val="149"/>
    <w:next w:val="150"/>
    <w:qFormat/>
    <w:uiPriority w:val="99"/>
    <w:pPr>
      <w:tabs>
        <w:tab w:val="left" w:pos="2100"/>
      </w:tabs>
      <w:spacing w:after="50"/>
      <w:ind w:left="2100" w:hanging="420"/>
    </w:pPr>
  </w:style>
  <w:style w:type="paragraph" w:customStyle="1" w:styleId="149">
    <w:name w:val="样式 标题 4Chapter X.X.X.X. + 段后: 0.5 行1"/>
    <w:basedOn w:val="147"/>
    <w:qFormat/>
    <w:uiPriority w:val="99"/>
    <w:pPr>
      <w:spacing w:after="120"/>
    </w:pPr>
  </w:style>
  <w:style w:type="paragraph" w:customStyle="1" w:styleId="150">
    <w:name w:val="样式 正文"/>
    <w:basedOn w:val="1"/>
    <w:next w:val="1"/>
    <w:qFormat/>
    <w:uiPriority w:val="99"/>
    <w:pPr>
      <w:spacing w:afterLines="50"/>
      <w:jc w:val="left"/>
    </w:pPr>
    <w:rPr>
      <w:rFonts w:ascii="宋体" w:cs="宋体"/>
      <w:kern w:val="0"/>
      <w:szCs w:val="20"/>
    </w:rPr>
  </w:style>
  <w:style w:type="paragraph" w:customStyle="1" w:styleId="151">
    <w:name w:val="Char Char"/>
    <w:basedOn w:val="1"/>
    <w:qFormat/>
    <w:uiPriority w:val="99"/>
    <w:pPr>
      <w:spacing w:line="240" w:lineRule="atLeast"/>
      <w:ind w:left="420" w:firstLine="420"/>
    </w:pPr>
    <w:rPr>
      <w:kern w:val="0"/>
      <w:szCs w:val="21"/>
    </w:rPr>
  </w:style>
  <w:style w:type="paragraph" w:customStyle="1" w:styleId="152">
    <w:name w:val="表格标题"/>
    <w:basedOn w:val="144"/>
    <w:qFormat/>
    <w:uiPriority w:val="99"/>
    <w:pPr>
      <w:jc w:val="center"/>
    </w:pPr>
    <w:rPr>
      <w:b/>
      <w:bCs/>
      <w:i/>
      <w:iCs/>
    </w:rPr>
  </w:style>
  <w:style w:type="paragraph" w:customStyle="1" w:styleId="153">
    <w:name w:val="样式 标题 1 + 段后: 0.5 行"/>
    <w:basedOn w:val="3"/>
    <w:qFormat/>
    <w:uiPriority w:val="99"/>
    <w:pPr>
      <w:keepLines w:val="0"/>
      <w:spacing w:before="120" w:afterLines="50" w:line="240" w:lineRule="auto"/>
      <w:jc w:val="left"/>
    </w:pPr>
    <w:rPr>
      <w:rFonts w:ascii="宋体" w:cs="宋体"/>
      <w:kern w:val="0"/>
      <w:sz w:val="28"/>
    </w:rPr>
  </w:style>
  <w:style w:type="paragraph" w:customStyle="1" w:styleId="154">
    <w:name w:val="最新标题3"/>
    <w:basedOn w:val="155"/>
    <w:next w:val="156"/>
    <w:qFormat/>
    <w:uiPriority w:val="99"/>
  </w:style>
  <w:style w:type="paragraph" w:customStyle="1" w:styleId="155">
    <w:name w:val="样式 标题 3"/>
    <w:basedOn w:val="4"/>
    <w:next w:val="156"/>
    <w:qFormat/>
    <w:uiPriority w:val="99"/>
    <w:pPr>
      <w:keepLines w:val="0"/>
      <w:autoSpaceDE/>
      <w:autoSpaceDN/>
      <w:adjustRightInd/>
      <w:spacing w:before="120" w:afterLines="50"/>
    </w:pPr>
    <w:rPr>
      <w:rFonts w:cs="宋体"/>
      <w:bCs/>
      <w:u w:val="none"/>
    </w:rPr>
  </w:style>
  <w:style w:type="paragraph" w:customStyle="1" w:styleId="156">
    <w:name w:val="最新标题4"/>
    <w:basedOn w:val="148"/>
    <w:next w:val="1"/>
    <w:qFormat/>
    <w:uiPriority w:val="99"/>
    <w:pPr>
      <w:tabs>
        <w:tab w:val="clear" w:pos="2100"/>
      </w:tabs>
      <w:spacing w:after="120"/>
      <w:ind w:left="0" w:firstLine="0"/>
    </w:pPr>
  </w:style>
  <w:style w:type="paragraph" w:customStyle="1" w:styleId="157">
    <w:name w:val="Char Char Char1 Char Char Char Char"/>
    <w:basedOn w:val="1"/>
    <w:qFormat/>
    <w:uiPriority w:val="99"/>
    <w:rPr>
      <w:rFonts w:ascii="仿宋_GB2312" w:eastAsia="仿宋_GB2312"/>
      <w:b/>
      <w:sz w:val="32"/>
      <w:szCs w:val="32"/>
    </w:rPr>
  </w:style>
  <w:style w:type="paragraph" w:customStyle="1" w:styleId="158">
    <w:name w:val="样式 标题 3Chapter X.X.X. + 段后: 0.5 行"/>
    <w:basedOn w:val="4"/>
    <w:qFormat/>
    <w:uiPriority w:val="99"/>
    <w:pPr>
      <w:keepLines w:val="0"/>
      <w:autoSpaceDE/>
      <w:autoSpaceDN/>
      <w:adjustRightInd/>
      <w:spacing w:before="120" w:afterLines="50"/>
    </w:pPr>
    <w:rPr>
      <w:rFonts w:cs="宋体"/>
      <w:bCs/>
      <w:u w:val="none"/>
    </w:rPr>
  </w:style>
  <w:style w:type="paragraph" w:customStyle="1" w:styleId="159">
    <w:name w:val="样式 标题 2Chapter X.X. Statementh22Header 2l2Level 2 Headhea..."/>
    <w:basedOn w:val="2"/>
    <w:qFormat/>
    <w:uiPriority w:val="99"/>
    <w:pPr>
      <w:keepLines w:val="0"/>
      <w:spacing w:before="120" w:afterLines="50" w:line="240" w:lineRule="auto"/>
      <w:jc w:val="left"/>
    </w:pPr>
    <w:rPr>
      <w:rFonts w:ascii="宋体" w:hAnsi="Times New Roman" w:eastAsia="宋体" w:cs="宋体"/>
      <w:kern w:val="0"/>
      <w:sz w:val="24"/>
      <w:szCs w:val="24"/>
    </w:rPr>
  </w:style>
  <w:style w:type="paragraph" w:customStyle="1" w:styleId="160">
    <w:name w:val="ÕýÎÄ"/>
    <w:qFormat/>
    <w:uiPriority w:val="99"/>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1">
    <w:name w:val="标准标题3"/>
    <w:basedOn w:val="4"/>
    <w:qFormat/>
    <w:uiPriority w:val="99"/>
    <w:pPr>
      <w:tabs>
        <w:tab w:val="left" w:pos="1050"/>
      </w:tabs>
      <w:autoSpaceDE/>
      <w:autoSpaceDN/>
      <w:adjustRightInd/>
      <w:spacing w:before="260" w:after="260"/>
      <w:ind w:left="-258" w:leftChars="-258"/>
      <w:jc w:val="both"/>
    </w:pPr>
    <w:rPr>
      <w:rFonts w:ascii="Times New Roman" w:eastAsia="仿宋_GB2312"/>
      <w:bCs/>
      <w:kern w:val="2"/>
      <w:sz w:val="28"/>
      <w:szCs w:val="32"/>
      <w:u w:val="none"/>
    </w:rPr>
  </w:style>
  <w:style w:type="paragraph" w:customStyle="1" w:styleId="162">
    <w:name w:val="样式 样式 正文文本缩进 + 仿宋_GB2312 小四 首行缩进:  0 厘米 行距: 1.5 倍行距 + (中文) 仿宋_GB... Char Char"/>
    <w:basedOn w:val="120"/>
    <w:qFormat/>
    <w:uiPriority w:val="99"/>
    <w:pPr>
      <w:ind w:firstLine="480" w:firstLineChars="200"/>
    </w:pPr>
  </w:style>
  <w:style w:type="paragraph" w:customStyle="1" w:styleId="163">
    <w:name w:val="样式 标题 3Chapter X.X.X. + 段后: 0.5 行1"/>
    <w:basedOn w:val="4"/>
    <w:next w:val="1"/>
    <w:qFormat/>
    <w:uiPriority w:val="99"/>
    <w:pPr>
      <w:keepLines w:val="0"/>
      <w:autoSpaceDE/>
      <w:autoSpaceDN/>
      <w:adjustRightInd/>
      <w:spacing w:before="120" w:afterLines="50"/>
    </w:pPr>
    <w:rPr>
      <w:rFonts w:cs="宋体"/>
      <w:bCs/>
      <w:u w:val="none"/>
    </w:rPr>
  </w:style>
  <w:style w:type="paragraph" w:customStyle="1" w:styleId="164">
    <w:name w:val="最新标题1"/>
    <w:basedOn w:val="165"/>
    <w:next w:val="166"/>
    <w:qFormat/>
    <w:uiPriority w:val="99"/>
    <w:pPr>
      <w:tabs>
        <w:tab w:val="left" w:pos="1140"/>
      </w:tabs>
      <w:spacing w:after="120"/>
    </w:pPr>
    <w:rPr>
      <w:bCs/>
    </w:rPr>
  </w:style>
  <w:style w:type="paragraph" w:customStyle="1" w:styleId="165">
    <w:name w:val="样式 标题1"/>
    <w:basedOn w:val="153"/>
    <w:next w:val="166"/>
    <w:qFormat/>
    <w:uiPriority w:val="99"/>
    <w:pPr>
      <w:tabs>
        <w:tab w:val="left" w:pos="1140"/>
      </w:tabs>
      <w:spacing w:after="50"/>
      <w:ind w:left="1140" w:hanging="720"/>
    </w:pPr>
    <w:rPr>
      <w:sz w:val="32"/>
    </w:rPr>
  </w:style>
  <w:style w:type="paragraph" w:customStyle="1" w:styleId="166">
    <w:name w:val="最新标题2"/>
    <w:basedOn w:val="167"/>
    <w:next w:val="154"/>
    <w:qFormat/>
    <w:uiPriority w:val="99"/>
    <w:pPr>
      <w:spacing w:after="120"/>
    </w:pPr>
  </w:style>
  <w:style w:type="paragraph" w:customStyle="1" w:styleId="167">
    <w:name w:val="样式 标题 2"/>
    <w:basedOn w:val="2"/>
    <w:next w:val="154"/>
    <w:qFormat/>
    <w:uiPriority w:val="99"/>
    <w:pPr>
      <w:keepLines w:val="0"/>
      <w:spacing w:before="120" w:afterLines="50" w:line="240" w:lineRule="auto"/>
      <w:ind w:left="380" w:hanging="380"/>
      <w:jc w:val="left"/>
    </w:pPr>
    <w:rPr>
      <w:rFonts w:ascii="宋体" w:hAnsi="Times New Roman" w:eastAsia="宋体" w:cs="宋体"/>
      <w:kern w:val="0"/>
      <w:sz w:val="28"/>
    </w:rPr>
  </w:style>
  <w:style w:type="paragraph" w:customStyle="1" w:styleId="168">
    <w:name w:val="样式 样式 标题 3Chapter X.X.X. + 段后: 0.5 行 + 段后: 0.5 行"/>
    <w:basedOn w:val="158"/>
    <w:qFormat/>
    <w:uiPriority w:val="99"/>
  </w:style>
  <w:style w:type="paragraph" w:customStyle="1" w:styleId="169">
    <w:name w:val="样式 样式 样式 标题 3Chapter X.X.X. + 段后: 0.5 行 + 段后: 0.5 行 + 段后: 0.5 行"/>
    <w:basedOn w:val="168"/>
    <w:qFormat/>
    <w:uiPriority w:val="99"/>
  </w:style>
  <w:style w:type="paragraph" w:customStyle="1" w:styleId="170">
    <w:name w:val="Char Char Char"/>
    <w:basedOn w:val="1"/>
    <w:qFormat/>
    <w:uiPriority w:val="99"/>
    <w:rPr>
      <w:rFonts w:ascii="Tahoma" w:hAnsi="Tahoma"/>
      <w:sz w:val="24"/>
      <w:szCs w:val="20"/>
    </w:rPr>
  </w:style>
  <w:style w:type="paragraph" w:customStyle="1" w:styleId="171">
    <w:name w:val="IBM 正文"/>
    <w:basedOn w:val="1"/>
    <w:qFormat/>
    <w:uiPriority w:val="99"/>
    <w:pPr>
      <w:spacing w:line="360" w:lineRule="atLeast"/>
    </w:pPr>
    <w:rPr>
      <w:sz w:val="24"/>
      <w:szCs w:val="20"/>
    </w:rPr>
  </w:style>
  <w:style w:type="paragraph" w:customStyle="1" w:styleId="172">
    <w:name w:val="第1.3标题"/>
    <w:basedOn w:val="4"/>
    <w:next w:val="1"/>
    <w:qFormat/>
    <w:uiPriority w:val="99"/>
    <w:pPr>
      <w:keepNext w:val="0"/>
      <w:widowControl/>
      <w:spacing w:beforeLines="50" w:afterLines="50" w:line="360" w:lineRule="auto"/>
      <w:textAlignment w:val="baseline"/>
    </w:pPr>
    <w:rPr>
      <w:rFonts w:ascii="Times New Roman"/>
      <w:sz w:val="30"/>
      <w:u w:val="none"/>
    </w:rPr>
  </w:style>
  <w:style w:type="paragraph" w:customStyle="1" w:styleId="173">
    <w:name w:val="Paragraph1"/>
    <w:basedOn w:val="1"/>
    <w:qFormat/>
    <w:uiPriority w:val="99"/>
    <w:pPr>
      <w:spacing w:before="80" w:afterLines="50"/>
    </w:pPr>
    <w:rPr>
      <w:rFonts w:ascii="宋体"/>
      <w:kern w:val="0"/>
      <w:szCs w:val="20"/>
    </w:rPr>
  </w:style>
  <w:style w:type="paragraph" w:customStyle="1" w:styleId="174">
    <w:name w:val="Tabletext"/>
    <w:basedOn w:val="1"/>
    <w:qFormat/>
    <w:uiPriority w:val="99"/>
    <w:pPr>
      <w:keepLines/>
      <w:spacing w:afterLines="50"/>
      <w:jc w:val="left"/>
    </w:pPr>
    <w:rPr>
      <w:rFonts w:ascii="宋体"/>
      <w:kern w:val="0"/>
      <w:szCs w:val="20"/>
    </w:rPr>
  </w:style>
  <w:style w:type="paragraph" w:customStyle="1" w:styleId="175">
    <w:name w:val="Char"/>
    <w:basedOn w:val="1"/>
    <w:qFormat/>
    <w:uiPriority w:val="99"/>
    <w:rPr>
      <w:szCs w:val="20"/>
    </w:rPr>
  </w:style>
  <w:style w:type="paragraph" w:customStyle="1" w:styleId="176">
    <w:name w:val="Char Char7 Char"/>
    <w:basedOn w:val="1"/>
    <w:qFormat/>
    <w:uiPriority w:val="99"/>
    <w:pPr>
      <w:tabs>
        <w:tab w:val="left" w:pos="425"/>
      </w:tabs>
      <w:ind w:left="420" w:leftChars="200" w:firstLine="270" w:firstLineChars="150"/>
    </w:pPr>
    <w:rPr>
      <w:szCs w:val="20"/>
    </w:rPr>
  </w:style>
  <w:style w:type="paragraph" w:customStyle="1" w:styleId="177">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78">
    <w:name w:val="段(正文）"/>
    <w:qFormat/>
    <w:uiPriority w:val="99"/>
    <w:pPr>
      <w:autoSpaceDE w:val="0"/>
      <w:autoSpaceDN w:val="0"/>
      <w:ind w:firstLine="420"/>
      <w:jc w:val="both"/>
    </w:pPr>
    <w:rPr>
      <w:rFonts w:ascii="宋体" w:hAnsi="Times New Roman" w:eastAsia="宋体" w:cs="Times New Roman"/>
      <w:sz w:val="21"/>
      <w:lang w:val="en-US" w:eastAsia="zh-CN" w:bidi="ar-SA"/>
    </w:rPr>
  </w:style>
  <w:style w:type="paragraph" w:customStyle="1" w:styleId="179">
    <w:name w:val="此正文"/>
    <w:basedOn w:val="1"/>
    <w:qFormat/>
    <w:uiPriority w:val="99"/>
    <w:pPr>
      <w:spacing w:line="360" w:lineRule="auto"/>
      <w:ind w:firstLine="200" w:firstLineChars="200"/>
    </w:pPr>
    <w:rPr>
      <w:sz w:val="24"/>
      <w:szCs w:val="20"/>
    </w:rPr>
  </w:style>
  <w:style w:type="paragraph" w:customStyle="1" w:styleId="180">
    <w:name w:val="InfoBlue"/>
    <w:basedOn w:val="1"/>
    <w:next w:val="14"/>
    <w:qFormat/>
    <w:uiPriority w:val="99"/>
    <w:pPr>
      <w:spacing w:afterLines="50"/>
      <w:ind w:left="720"/>
      <w:jc w:val="left"/>
    </w:pPr>
    <w:rPr>
      <w:rFonts w:ascii="宋体"/>
      <w:i/>
      <w:color w:val="0000FF"/>
      <w:kern w:val="0"/>
      <w:szCs w:val="20"/>
    </w:rPr>
  </w:style>
  <w:style w:type="paragraph" w:customStyle="1" w:styleId="181">
    <w:name w:val="S4-B-L15"/>
    <w:basedOn w:val="1"/>
    <w:qFormat/>
    <w:uiPriority w:val="99"/>
    <w:pPr>
      <w:spacing w:line="360" w:lineRule="auto"/>
    </w:pPr>
    <w:rPr>
      <w:b/>
      <w:bCs/>
      <w:sz w:val="24"/>
    </w:rPr>
  </w:style>
  <w:style w:type="paragraph" w:customStyle="1" w:styleId="182">
    <w:name w:val="表格(五号)"/>
    <w:basedOn w:val="1"/>
    <w:qFormat/>
    <w:uiPriority w:val="99"/>
    <w:pPr>
      <w:adjustRightInd w:val="0"/>
      <w:snapToGrid w:val="0"/>
      <w:spacing w:line="300" w:lineRule="auto"/>
      <w:jc w:val="center"/>
    </w:pPr>
    <w:rPr>
      <w:kern w:val="0"/>
      <w:sz w:val="18"/>
      <w:szCs w:val="20"/>
    </w:rPr>
  </w:style>
  <w:style w:type="paragraph" w:customStyle="1" w:styleId="183">
    <w:name w:val="Table - Col. Head"/>
    <w:basedOn w:val="1"/>
    <w:qFormat/>
    <w:uiPriority w:val="99"/>
    <w:pPr>
      <w:keepNext/>
      <w:widowControl/>
      <w:spacing w:before="60" w:afterLines="50"/>
      <w:jc w:val="left"/>
    </w:pPr>
    <w:rPr>
      <w:rFonts w:ascii="Arial" w:hAnsi="Arial"/>
      <w:b/>
      <w:kern w:val="0"/>
      <w:sz w:val="18"/>
      <w:szCs w:val="20"/>
      <w:lang w:eastAsia="en-US"/>
    </w:rPr>
  </w:style>
  <w:style w:type="paragraph" w:customStyle="1" w:styleId="184">
    <w:name w:val="表内文字"/>
    <w:basedOn w:val="1"/>
    <w:qFormat/>
    <w:uiPriority w:val="99"/>
    <w:pPr>
      <w:tabs>
        <w:tab w:val="left" w:pos="1418"/>
      </w:tabs>
      <w:spacing w:line="360" w:lineRule="auto"/>
      <w:jc w:val="center"/>
    </w:pPr>
    <w:rPr>
      <w:rFonts w:ascii="仿宋_GB2312" w:eastAsia="仿宋_GB2312"/>
      <w:spacing w:val="-20"/>
      <w:kern w:val="0"/>
      <w:sz w:val="24"/>
    </w:rPr>
  </w:style>
  <w:style w:type="paragraph" w:customStyle="1" w:styleId="185">
    <w:name w:val="Char Char Char Char Char Char Char Char Char Char Char Char Char Char Char Char Char Char Char"/>
    <w:basedOn w:val="1"/>
    <w:qFormat/>
    <w:uiPriority w:val="99"/>
    <w:pPr>
      <w:widowControl/>
      <w:spacing w:before="100" w:beforeAutospacing="1" w:after="100" w:afterAutospacing="1" w:line="330" w:lineRule="atLeast"/>
      <w:ind w:left="360"/>
      <w:jc w:val="left"/>
    </w:pPr>
    <w:rPr>
      <w:rFonts w:ascii="??" w:hAnsi="??" w:cs="宋体"/>
      <w:color w:val="51585D"/>
      <w:kern w:val="0"/>
      <w:szCs w:val="18"/>
    </w:rPr>
  </w:style>
  <w:style w:type="paragraph" w:customStyle="1" w:styleId="186">
    <w:name w:val="Char1"/>
    <w:basedOn w:val="1"/>
    <w:qFormat/>
    <w:uiPriority w:val="99"/>
    <w:pPr>
      <w:tabs>
        <w:tab w:val="left" w:pos="432"/>
      </w:tabs>
      <w:spacing w:beforeLines="50" w:afterLines="50"/>
      <w:ind w:left="432" w:hanging="432"/>
    </w:pPr>
    <w:rPr>
      <w:sz w:val="24"/>
    </w:rPr>
  </w:style>
  <w:style w:type="paragraph" w:customStyle="1" w:styleId="187">
    <w:name w:val="样式 标题 2Chapter X.X. Statementh22Header 2l2Level 2 Headhea...1"/>
    <w:basedOn w:val="4"/>
    <w:qFormat/>
    <w:uiPriority w:val="99"/>
    <w:pPr>
      <w:keepLines w:val="0"/>
      <w:autoSpaceDE/>
      <w:autoSpaceDN/>
      <w:adjustRightInd/>
      <w:spacing w:before="120" w:afterLines="50"/>
    </w:pPr>
    <w:rPr>
      <w:rFonts w:cs="宋体"/>
      <w:bCs/>
      <w:u w:val="none"/>
    </w:rPr>
  </w:style>
  <w:style w:type="paragraph" w:customStyle="1" w:styleId="188">
    <w:name w:val="S4-L15"/>
    <w:basedOn w:val="1"/>
    <w:qFormat/>
    <w:uiPriority w:val="99"/>
    <w:pPr>
      <w:spacing w:after="120" w:line="360" w:lineRule="auto"/>
      <w:ind w:left="720" w:firstLine="392"/>
    </w:pPr>
    <w:rPr>
      <w:szCs w:val="21"/>
      <w:lang w:val="fr-FR"/>
    </w:rPr>
  </w:style>
  <w:style w:type="paragraph" w:customStyle="1" w:styleId="189">
    <w:name w:val="标准有序列表（L1）"/>
    <w:basedOn w:val="5"/>
    <w:qFormat/>
    <w:uiPriority w:val="99"/>
    <w:pPr>
      <w:tabs>
        <w:tab w:val="left" w:pos="0"/>
      </w:tabs>
      <w:spacing w:line="360" w:lineRule="auto"/>
      <w:ind w:firstLine="0"/>
    </w:pPr>
    <w:rPr>
      <w:rFonts w:ascii="黑体" w:eastAsia="黑体"/>
      <w:color w:val="000000"/>
      <w:sz w:val="24"/>
    </w:rPr>
  </w:style>
  <w:style w:type="paragraph" w:customStyle="1" w:styleId="190">
    <w:name w:val="Char Char Char Char Char"/>
    <w:basedOn w:val="1"/>
    <w:qFormat/>
    <w:uiPriority w:val="99"/>
    <w:pPr>
      <w:widowControl/>
      <w:adjustRightInd w:val="0"/>
      <w:ind w:firstLine="200" w:firstLineChars="200"/>
      <w:jc w:val="left"/>
      <w:textAlignment w:val="baseline"/>
    </w:pPr>
  </w:style>
  <w:style w:type="paragraph" w:customStyle="1" w:styleId="191">
    <w:name w:val="标题1"/>
    <w:basedOn w:val="27"/>
    <w:qFormat/>
    <w:uiPriority w:val="99"/>
    <w:pPr>
      <w:spacing w:beforeLines="0" w:afterLines="0" w:line="360" w:lineRule="auto"/>
    </w:pPr>
    <w:rPr>
      <w:b/>
      <w:sz w:val="30"/>
    </w:rPr>
  </w:style>
  <w:style w:type="paragraph" w:customStyle="1" w:styleId="192">
    <w:name w:val="沈标题四"/>
    <w:basedOn w:val="7"/>
    <w:next w:val="1"/>
    <w:qFormat/>
    <w:uiPriority w:val="99"/>
    <w:pPr>
      <w:keepNext w:val="0"/>
      <w:keepLines w:val="0"/>
      <w:spacing w:line="377" w:lineRule="auto"/>
    </w:pPr>
    <w:rPr>
      <w:rFonts w:ascii="Arial Narrow" w:hAnsi="Arial Narrow" w:eastAsia="方正姚体"/>
      <w:b w:val="0"/>
      <w:sz w:val="24"/>
      <w:szCs w:val="24"/>
    </w:rPr>
  </w:style>
  <w:style w:type="paragraph" w:customStyle="1" w:styleId="193">
    <w:name w:val="样式 标题 1 + 五号"/>
    <w:basedOn w:val="3"/>
    <w:qFormat/>
    <w:uiPriority w:val="99"/>
    <w:pPr>
      <w:spacing w:before="0" w:after="0" w:line="240" w:lineRule="auto"/>
      <w:jc w:val="center"/>
    </w:pPr>
    <w:rPr>
      <w:sz w:val="32"/>
      <w:szCs w:val="32"/>
    </w:rPr>
  </w:style>
  <w:style w:type="paragraph" w:customStyle="1" w:styleId="194">
    <w:name w:val="表格11"/>
    <w:basedOn w:val="1"/>
    <w:qFormat/>
    <w:uiPriority w:val="99"/>
    <w:pPr>
      <w:widowControl/>
      <w:jc w:val="center"/>
    </w:pPr>
    <w:rPr>
      <w:rFonts w:ascii="宋体" w:hAnsi="宋体" w:cs="宋体"/>
      <w:b/>
      <w:kern w:val="0"/>
      <w:szCs w:val="21"/>
    </w:rPr>
  </w:style>
  <w:style w:type="paragraph" w:customStyle="1" w:styleId="195">
    <w:name w:val="huide00"/>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196">
    <w:name w:val="样式 三号 加粗 段后: 0.5 行"/>
    <w:basedOn w:val="1"/>
    <w:qFormat/>
    <w:uiPriority w:val="99"/>
    <w:pPr>
      <w:spacing w:afterLines="50"/>
      <w:jc w:val="left"/>
    </w:pPr>
    <w:rPr>
      <w:rFonts w:ascii="宋体" w:cs="宋体"/>
      <w:b/>
      <w:bCs/>
      <w:kern w:val="0"/>
      <w:sz w:val="32"/>
      <w:szCs w:val="20"/>
    </w:rPr>
  </w:style>
  <w:style w:type="paragraph" w:customStyle="1" w:styleId="197">
    <w:name w:val="Char21"/>
    <w:basedOn w:val="1"/>
    <w:qFormat/>
    <w:uiPriority w:val="99"/>
  </w:style>
  <w:style w:type="paragraph" w:customStyle="1" w:styleId="198">
    <w:name w:val="标题 3Chapter X.X.X. + 段后: 0.5 行 + 段后: 0.5 行 + 段后: 0.5 行1"/>
    <w:basedOn w:val="168"/>
    <w:qFormat/>
    <w:uiPriority w:val="99"/>
  </w:style>
  <w:style w:type="paragraph" w:customStyle="1" w:styleId="199">
    <w:name w:val="S4-I-L15-U"/>
    <w:basedOn w:val="1"/>
    <w:qFormat/>
    <w:uiPriority w:val="99"/>
    <w:pPr>
      <w:spacing w:line="360" w:lineRule="auto"/>
    </w:pPr>
    <w:rPr>
      <w:b/>
      <w:i/>
      <w:sz w:val="24"/>
      <w:u w:val="single"/>
    </w:rPr>
  </w:style>
  <w:style w:type="paragraph" w:customStyle="1" w:styleId="200">
    <w:name w:val="Paragraph3"/>
    <w:basedOn w:val="1"/>
    <w:qFormat/>
    <w:uiPriority w:val="99"/>
    <w:pPr>
      <w:spacing w:before="80" w:afterLines="50"/>
      <w:ind w:left="1530"/>
    </w:pPr>
    <w:rPr>
      <w:rFonts w:ascii="宋体"/>
      <w:kern w:val="0"/>
      <w:szCs w:val="20"/>
    </w:rPr>
  </w:style>
  <w:style w:type="paragraph" w:customStyle="1" w:styleId="201">
    <w:name w:val="样式 样式 正文文本缩进 + 仿宋_GB2312 小四 首行缩进:  0 厘米 行距: 1.5 倍行距 + (中文) 仿宋_GB..."/>
    <w:basedOn w:val="120"/>
    <w:qFormat/>
    <w:uiPriority w:val="99"/>
    <w:pPr>
      <w:ind w:firstLine="480" w:firstLineChars="200"/>
    </w:pPr>
  </w:style>
  <w:style w:type="paragraph" w:customStyle="1" w:styleId="202">
    <w:name w:val="样式 标题 1 + 五号1 Char Char Char Char Char Char Char Char Char Char Char Char Char Char Char Char Char"/>
    <w:basedOn w:val="3"/>
    <w:qFormat/>
    <w:uiPriority w:val="99"/>
    <w:pPr>
      <w:spacing w:before="0" w:after="0" w:line="480" w:lineRule="auto"/>
    </w:pPr>
    <w:rPr>
      <w:sz w:val="21"/>
    </w:rPr>
  </w:style>
  <w:style w:type="paragraph" w:customStyle="1" w:styleId="203">
    <w:name w:val="纯文本1"/>
    <w:basedOn w:val="1"/>
    <w:qFormat/>
    <w:uiPriority w:val="0"/>
    <w:pPr>
      <w:adjustRightInd w:val="0"/>
    </w:pPr>
    <w:rPr>
      <w:rFonts w:ascii="宋体" w:hAnsi="Courier New" w:eastAsia="楷体_GB2312"/>
      <w:sz w:val="28"/>
      <w:szCs w:val="20"/>
    </w:rPr>
  </w:style>
  <w:style w:type="paragraph" w:customStyle="1" w:styleId="204">
    <w:name w:val="Table - Text"/>
    <w:basedOn w:val="1"/>
    <w:qFormat/>
    <w:uiPriority w:val="99"/>
    <w:pPr>
      <w:widowControl/>
      <w:spacing w:before="60" w:afterLines="50"/>
      <w:jc w:val="left"/>
    </w:pPr>
    <w:rPr>
      <w:kern w:val="0"/>
      <w:szCs w:val="20"/>
      <w:lang w:eastAsia="en-US"/>
    </w:rPr>
  </w:style>
  <w:style w:type="paragraph" w:customStyle="1" w:styleId="205">
    <w:name w:val="样式 标题 3(A-3)sect1.2.3h3H3level_3PIM 3Level 3 HeadHeading..."/>
    <w:basedOn w:val="4"/>
    <w:qFormat/>
    <w:uiPriority w:val="99"/>
    <w:pPr>
      <w:autoSpaceDE/>
      <w:autoSpaceDN/>
      <w:adjustRightInd/>
      <w:spacing w:before="260" w:after="260" w:line="416" w:lineRule="auto"/>
      <w:jc w:val="both"/>
    </w:pPr>
    <w:rPr>
      <w:rFonts w:ascii="Arial" w:hAnsi="Arial"/>
      <w:bCs/>
      <w:kern w:val="2"/>
      <w:sz w:val="30"/>
      <w:szCs w:val="32"/>
      <w:u w:val="none"/>
    </w:rPr>
  </w:style>
  <w:style w:type="paragraph" w:customStyle="1" w:styleId="206">
    <w:name w:val="表格正文"/>
    <w:basedOn w:val="1"/>
    <w:qFormat/>
    <w:uiPriority w:val="99"/>
    <w:pPr>
      <w:adjustRightInd w:val="0"/>
      <w:snapToGrid w:val="0"/>
      <w:spacing w:before="60" w:after="60"/>
      <w:jc w:val="center"/>
      <w:textAlignment w:val="baseline"/>
    </w:pPr>
    <w:rPr>
      <w:kern w:val="0"/>
      <w:sz w:val="24"/>
      <w:szCs w:val="20"/>
    </w:rPr>
  </w:style>
  <w:style w:type="paragraph" w:customStyle="1" w:styleId="207">
    <w:name w:val="Char Char Char Char Char Char Char Char Char"/>
    <w:basedOn w:val="1"/>
    <w:qFormat/>
    <w:uiPriority w:val="99"/>
    <w:rPr>
      <w:rFonts w:ascii="Tahoma" w:hAnsi="Tahoma" w:eastAsia="仿宋_GB2312"/>
      <w:sz w:val="24"/>
      <w:szCs w:val="20"/>
    </w:rPr>
  </w:style>
  <w:style w:type="paragraph" w:customStyle="1" w:styleId="208">
    <w:name w:val="列出段落1"/>
    <w:basedOn w:val="1"/>
    <w:qFormat/>
    <w:uiPriority w:val="99"/>
    <w:pPr>
      <w:ind w:firstLine="420" w:firstLineChars="200"/>
    </w:pPr>
    <w:rPr>
      <w:rFonts w:ascii="Calibri" w:hAnsi="Calibri"/>
      <w:szCs w:val="22"/>
    </w:rPr>
  </w:style>
  <w:style w:type="paragraph" w:customStyle="1" w:styleId="209">
    <w:name w:val="标准标题1"/>
    <w:basedOn w:val="3"/>
    <w:qFormat/>
    <w:uiPriority w:val="99"/>
    <w:pPr>
      <w:pageBreakBefore/>
      <w:tabs>
        <w:tab w:val="left" w:pos="1080"/>
      </w:tabs>
      <w:ind w:left="425" w:hanging="425"/>
    </w:pPr>
    <w:rPr>
      <w:rFonts w:eastAsia="仿宋_GB2312"/>
      <w:sz w:val="32"/>
    </w:rPr>
  </w:style>
  <w:style w:type="paragraph" w:customStyle="1" w:styleId="210">
    <w:name w:val="Char Char Char Char"/>
    <w:basedOn w:val="1"/>
    <w:qFormat/>
    <w:uiPriority w:val="99"/>
  </w:style>
  <w:style w:type="paragraph" w:customStyle="1" w:styleId="211">
    <w:name w:val="样式7"/>
    <w:basedOn w:val="1"/>
    <w:qFormat/>
    <w:uiPriority w:val="99"/>
    <w:pPr>
      <w:adjustRightInd w:val="0"/>
      <w:spacing w:beforeLines="50" w:afterLines="50" w:line="360" w:lineRule="auto"/>
      <w:ind w:firstLine="669"/>
      <w:textAlignment w:val="baseline"/>
    </w:pPr>
    <w:rPr>
      <w:rFonts w:ascii="宋体" w:hAnsi="宋体"/>
      <w:kern w:val="0"/>
      <w:sz w:val="28"/>
      <w:szCs w:val="20"/>
    </w:rPr>
  </w:style>
  <w:style w:type="paragraph" w:customStyle="1" w:styleId="212">
    <w:name w:val="Char Char Char Char1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13">
    <w:name w:val="Bullet1"/>
    <w:basedOn w:val="1"/>
    <w:qFormat/>
    <w:uiPriority w:val="99"/>
    <w:pPr>
      <w:spacing w:afterLines="50"/>
      <w:ind w:left="720" w:hanging="432"/>
      <w:jc w:val="left"/>
    </w:pPr>
    <w:rPr>
      <w:rFonts w:ascii="宋体"/>
      <w:kern w:val="0"/>
      <w:szCs w:val="20"/>
    </w:rPr>
  </w:style>
  <w:style w:type="paragraph" w:customStyle="1" w:styleId="214">
    <w:name w:val="列出段落11"/>
    <w:basedOn w:val="1"/>
    <w:qFormat/>
    <w:uiPriority w:val="99"/>
    <w:pPr>
      <w:spacing w:line="360" w:lineRule="auto"/>
      <w:ind w:firstLine="420" w:firstLineChars="200"/>
      <w:jc w:val="left"/>
    </w:pPr>
    <w:rPr>
      <w:rFonts w:ascii="Calibri" w:hAnsi="Calibri"/>
      <w:sz w:val="24"/>
      <w:szCs w:val="22"/>
    </w:rPr>
  </w:style>
  <w:style w:type="paragraph" w:customStyle="1" w:styleId="215">
    <w:name w:val="样式6"/>
    <w:basedOn w:val="1"/>
    <w:qFormat/>
    <w:uiPriority w:val="99"/>
    <w:pPr>
      <w:adjustRightInd w:val="0"/>
      <w:spacing w:beforeLines="50" w:afterLines="50"/>
      <w:ind w:firstLine="669"/>
      <w:textAlignment w:val="baseline"/>
    </w:pPr>
    <w:rPr>
      <w:rFonts w:ascii="宋体" w:hAnsi="宋体"/>
      <w:kern w:val="0"/>
      <w:sz w:val="28"/>
      <w:szCs w:val="20"/>
    </w:rPr>
  </w:style>
  <w:style w:type="paragraph" w:customStyle="1" w:styleId="216">
    <w:name w:val="Proposals body"/>
    <w:basedOn w:val="1"/>
    <w:next w:val="1"/>
    <w:qFormat/>
    <w:uiPriority w:val="99"/>
    <w:pPr>
      <w:widowControl/>
      <w:spacing w:line="360" w:lineRule="auto"/>
      <w:jc w:val="left"/>
    </w:pPr>
    <w:rPr>
      <w:rFonts w:ascii="宋体"/>
      <w:color w:val="000000"/>
      <w:kern w:val="0"/>
      <w:sz w:val="24"/>
      <w:szCs w:val="20"/>
    </w:rPr>
  </w:style>
  <w:style w:type="paragraph" w:customStyle="1" w:styleId="217">
    <w:name w:val="二级项目符号"/>
    <w:basedOn w:val="1"/>
    <w:qFormat/>
    <w:uiPriority w:val="99"/>
    <w:pPr>
      <w:widowControl/>
      <w:tabs>
        <w:tab w:val="left" w:pos="964"/>
      </w:tabs>
      <w:spacing w:line="360" w:lineRule="auto"/>
      <w:ind w:left="964" w:hanging="482"/>
    </w:pPr>
    <w:rPr>
      <w:kern w:val="0"/>
      <w:sz w:val="24"/>
      <w:szCs w:val="20"/>
    </w:rPr>
  </w:style>
  <w:style w:type="paragraph" w:customStyle="1" w:styleId="218">
    <w:name w:val="列表内容"/>
    <w:basedOn w:val="1"/>
    <w:next w:val="1"/>
    <w:qFormat/>
    <w:uiPriority w:val="99"/>
    <w:pPr>
      <w:widowControl/>
      <w:tabs>
        <w:tab w:val="left" w:pos="840"/>
      </w:tabs>
      <w:ind w:left="840" w:hanging="420"/>
      <w:jc w:val="left"/>
    </w:pPr>
    <w:rPr>
      <w:kern w:val="0"/>
      <w:sz w:val="18"/>
      <w:szCs w:val="20"/>
    </w:rPr>
  </w:style>
  <w:style w:type="paragraph" w:customStyle="1" w:styleId="219">
    <w:name w:val="P2"/>
    <w:basedOn w:val="1"/>
    <w:qFormat/>
    <w:uiPriority w:val="99"/>
    <w:pPr>
      <w:widowControl/>
      <w:spacing w:before="240" w:line="240" w:lineRule="atLeast"/>
      <w:ind w:left="578"/>
      <w:jc w:val="left"/>
    </w:pPr>
    <w:rPr>
      <w:b/>
      <w:kern w:val="0"/>
      <w:szCs w:val="21"/>
      <w:lang w:val="en-AU" w:eastAsia="en-US"/>
    </w:rPr>
  </w:style>
  <w:style w:type="paragraph" w:customStyle="1" w:styleId="220">
    <w:name w:val="样式 标题 3Chapter X.X.X"/>
    <w:basedOn w:val="198"/>
    <w:qFormat/>
    <w:uiPriority w:val="99"/>
  </w:style>
  <w:style w:type="paragraph" w:customStyle="1" w:styleId="221">
    <w:name w:val="样式 左侧:  1 厘米 段后: 0.5 行"/>
    <w:basedOn w:val="1"/>
    <w:qFormat/>
    <w:uiPriority w:val="99"/>
    <w:pPr>
      <w:spacing w:afterLines="50"/>
      <w:ind w:firstLine="425"/>
      <w:jc w:val="left"/>
    </w:pPr>
    <w:rPr>
      <w:rFonts w:ascii="宋体" w:cs="宋体"/>
      <w:kern w:val="0"/>
      <w:szCs w:val="20"/>
    </w:rPr>
  </w:style>
  <w:style w:type="paragraph" w:customStyle="1" w:styleId="222">
    <w:name w:val="Style-正文"/>
    <w:basedOn w:val="1"/>
    <w:qFormat/>
    <w:uiPriority w:val="99"/>
    <w:pPr>
      <w:spacing w:line="360" w:lineRule="auto"/>
      <w:ind w:firstLine="420"/>
    </w:pPr>
    <w:rPr>
      <w:rFonts w:ascii="宋体" w:hAnsi="宋体"/>
      <w:sz w:val="24"/>
    </w:rPr>
  </w:style>
  <w:style w:type="paragraph" w:customStyle="1" w:styleId="223">
    <w:name w:val="Plain Text1"/>
    <w:basedOn w:val="1"/>
    <w:qFormat/>
    <w:uiPriority w:val="99"/>
    <w:pPr>
      <w:autoSpaceDE w:val="0"/>
      <w:autoSpaceDN w:val="0"/>
      <w:adjustRightInd w:val="0"/>
      <w:spacing w:line="360" w:lineRule="auto"/>
    </w:pPr>
    <w:rPr>
      <w:rFonts w:ascii="宋体" w:hAnsi="宋体"/>
      <w:sz w:val="24"/>
      <w:szCs w:val="20"/>
    </w:rPr>
  </w:style>
  <w:style w:type="paragraph" w:customStyle="1" w:styleId="224">
    <w:name w:val="Table Description"/>
    <w:next w:val="1"/>
    <w:qFormat/>
    <w:uiPriority w:val="99"/>
    <w:pPr>
      <w:keepNext/>
      <w:snapToGrid w:val="0"/>
      <w:spacing w:before="160" w:after="80"/>
      <w:ind w:left="1701"/>
      <w:jc w:val="center"/>
    </w:pPr>
    <w:rPr>
      <w:rFonts w:ascii="Arial" w:hAnsi="Arial" w:eastAsia="黑体" w:cs="Times New Roman"/>
      <w:sz w:val="18"/>
      <w:lang w:val="en-US" w:eastAsia="en-US" w:bidi="ar-SA"/>
    </w:rPr>
  </w:style>
  <w:style w:type="paragraph" w:customStyle="1" w:styleId="225">
    <w:name w:val="样式 模板描述"/>
    <w:basedOn w:val="1"/>
    <w:next w:val="150"/>
    <w:qFormat/>
    <w:uiPriority w:val="99"/>
    <w:pPr>
      <w:spacing w:afterLines="50"/>
      <w:jc w:val="left"/>
    </w:pPr>
    <w:rPr>
      <w:rFonts w:ascii="宋体" w:cs="宋体"/>
      <w:i/>
      <w:iCs/>
      <w:color w:val="0000FF"/>
      <w:kern w:val="0"/>
      <w:szCs w:val="21"/>
    </w:rPr>
  </w:style>
  <w:style w:type="paragraph" w:customStyle="1" w:styleId="226">
    <w:name w:val="Char2"/>
    <w:basedOn w:val="1"/>
    <w:qFormat/>
    <w:uiPriority w:val="99"/>
    <w:pPr>
      <w:tabs>
        <w:tab w:val="left" w:pos="432"/>
      </w:tabs>
      <w:spacing w:beforeLines="50" w:afterLines="50"/>
      <w:ind w:left="432" w:hanging="432"/>
    </w:pPr>
    <w:rPr>
      <w:sz w:val="24"/>
    </w:rPr>
  </w:style>
  <w:style w:type="paragraph" w:customStyle="1" w:styleId="227">
    <w:name w:val="Bullet2"/>
    <w:basedOn w:val="1"/>
    <w:qFormat/>
    <w:uiPriority w:val="99"/>
    <w:pPr>
      <w:spacing w:afterLines="50"/>
      <w:ind w:left="1440" w:hanging="360"/>
      <w:jc w:val="left"/>
    </w:pPr>
    <w:rPr>
      <w:rFonts w:ascii="宋体"/>
      <w:color w:val="000080"/>
      <w:kern w:val="0"/>
      <w:szCs w:val="20"/>
    </w:rPr>
  </w:style>
  <w:style w:type="paragraph" w:customStyle="1" w:styleId="228">
    <w:name w:val="S4-I-U-L15-No-dot"/>
    <w:basedOn w:val="1"/>
    <w:qFormat/>
    <w:uiPriority w:val="99"/>
    <w:pPr>
      <w:tabs>
        <w:tab w:val="left" w:pos="1112"/>
      </w:tabs>
      <w:spacing w:after="120" w:line="360" w:lineRule="auto"/>
      <w:ind w:left="1112" w:hanging="420"/>
    </w:pPr>
    <w:rPr>
      <w:i/>
      <w:sz w:val="24"/>
      <w:u w:val="single"/>
    </w:rPr>
  </w:style>
  <w:style w:type="paragraph" w:customStyle="1" w:styleId="229">
    <w:name w:val="Item List"/>
    <w:qFormat/>
    <w:uiPriority w:val="99"/>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0">
    <w:name w:val="样式 样式 标题 4 + 段后: 0.5 行1"/>
    <w:basedOn w:val="147"/>
    <w:next w:val="30"/>
    <w:qFormat/>
    <w:uiPriority w:val="99"/>
    <w:pPr>
      <w:spacing w:after="120"/>
    </w:pPr>
  </w:style>
  <w:style w:type="paragraph" w:customStyle="1" w:styleId="231">
    <w:name w:val="文档正文"/>
    <w:basedOn w:val="1"/>
    <w:qFormat/>
    <w:uiPriority w:val="99"/>
    <w:pPr>
      <w:adjustRightInd w:val="0"/>
      <w:spacing w:line="440" w:lineRule="exact"/>
      <w:ind w:firstLine="567"/>
      <w:textAlignment w:val="baseline"/>
    </w:pPr>
    <w:rPr>
      <w:rFonts w:ascii="Arial Narrow" w:hAnsi="Arial Narrow"/>
      <w:kern w:val="0"/>
      <w:sz w:val="24"/>
    </w:rPr>
  </w:style>
  <w:style w:type="paragraph" w:customStyle="1" w:styleId="232">
    <w:name w:val="文本框内文字"/>
    <w:basedOn w:val="1"/>
    <w:qFormat/>
    <w:uiPriority w:val="99"/>
    <w:pPr>
      <w:spacing w:line="240" w:lineRule="atLeast"/>
    </w:pPr>
    <w:rPr>
      <w:rFonts w:eastAsia="仿宋_GB2312"/>
      <w:sz w:val="22"/>
    </w:rPr>
  </w:style>
  <w:style w:type="paragraph" w:customStyle="1" w:styleId="233">
    <w:name w:val="样式 样式 标题 4 + 段后: 0.5 行 + 段后: 0.5 行"/>
    <w:basedOn w:val="147"/>
    <w:qFormat/>
    <w:uiPriority w:val="99"/>
  </w:style>
  <w:style w:type="paragraph" w:customStyle="1" w:styleId="234">
    <w:name w:val="Figure Description"/>
    <w:next w:val="1"/>
    <w:qFormat/>
    <w:uiPriority w:val="99"/>
    <w:pPr>
      <w:snapToGrid w:val="0"/>
      <w:spacing w:before="80" w:after="320"/>
      <w:ind w:left="1701"/>
      <w:jc w:val="center"/>
    </w:pPr>
    <w:rPr>
      <w:rFonts w:ascii="Arial" w:hAnsi="Arial" w:eastAsia="黑体" w:cs="Times New Roman"/>
      <w:sz w:val="18"/>
      <w:lang w:val="en-US" w:eastAsia="en-US" w:bidi="ar-SA"/>
    </w:rPr>
  </w:style>
  <w:style w:type="paragraph" w:customStyle="1" w:styleId="235">
    <w:name w:val="paragraph1"/>
    <w:basedOn w:val="1"/>
    <w:qFormat/>
    <w:uiPriority w:val="99"/>
    <w:pPr>
      <w:spacing w:afterLines="30" w:line="360" w:lineRule="auto"/>
      <w:ind w:firstLine="420" w:firstLineChars="200"/>
    </w:pPr>
    <w:rPr>
      <w:rFonts w:eastAsia="楷体_GB2312"/>
      <w:sz w:val="24"/>
      <w:szCs w:val="20"/>
    </w:rPr>
  </w:style>
  <w:style w:type="paragraph" w:customStyle="1" w:styleId="236">
    <w:name w:val="S4-L15-No"/>
    <w:basedOn w:val="188"/>
    <w:qFormat/>
    <w:uiPriority w:val="99"/>
    <w:pPr>
      <w:tabs>
        <w:tab w:val="left" w:pos="720"/>
      </w:tabs>
      <w:ind w:hanging="720"/>
    </w:pPr>
  </w:style>
  <w:style w:type="paragraph" w:customStyle="1" w:styleId="237">
    <w:name w:val="广咨正文"/>
    <w:basedOn w:val="1"/>
    <w:qFormat/>
    <w:uiPriority w:val="99"/>
    <w:pPr>
      <w:snapToGrid w:val="0"/>
      <w:spacing w:line="360" w:lineRule="auto"/>
      <w:ind w:firstLine="480" w:firstLineChars="200"/>
    </w:pPr>
    <w:rPr>
      <w:szCs w:val="20"/>
    </w:rPr>
  </w:style>
  <w:style w:type="paragraph" w:customStyle="1" w:styleId="238">
    <w:name w:val="样式 样式3 + 宋体 五号 Char Char Char"/>
    <w:basedOn w:val="1"/>
    <w:qFormat/>
    <w:uiPriority w:val="99"/>
    <w:pPr>
      <w:keepNext/>
      <w:keepLines/>
      <w:tabs>
        <w:tab w:val="left" w:pos="1050"/>
      </w:tabs>
      <w:ind w:left="1050" w:hanging="450"/>
      <w:jc w:val="left"/>
      <w:outlineLvl w:val="7"/>
    </w:pPr>
    <w:rPr>
      <w:rFonts w:ascii="宋体" w:hAnsi="宋体"/>
      <w:b/>
      <w:bCs/>
    </w:rPr>
  </w:style>
  <w:style w:type="paragraph" w:customStyle="1" w:styleId="239">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40">
    <w:name w:val="页面边线"/>
    <w:basedOn w:val="1"/>
    <w:qFormat/>
    <w:uiPriority w:val="99"/>
    <w:pPr>
      <w:adjustRightInd w:val="0"/>
      <w:spacing w:line="360" w:lineRule="atLeast"/>
      <w:textAlignment w:val="baseline"/>
    </w:pPr>
    <w:rPr>
      <w:rFonts w:ascii="Century" w:hAnsi="Century"/>
      <w:kern w:val="0"/>
      <w:szCs w:val="20"/>
      <w:lang w:eastAsia="ja-JP"/>
    </w:rPr>
  </w:style>
  <w:style w:type="paragraph" w:customStyle="1" w:styleId="241">
    <w:name w:val="正文2"/>
    <w:basedOn w:val="1"/>
    <w:qFormat/>
    <w:uiPriority w:val="99"/>
    <w:pPr>
      <w:spacing w:beforeLines="50" w:afterLines="50" w:line="360" w:lineRule="auto"/>
      <w:ind w:firstLine="480" w:firstLineChars="200"/>
    </w:pPr>
    <w:rPr>
      <w:rFonts w:ascii="仿宋_GB2312"/>
      <w:sz w:val="24"/>
      <w:szCs w:val="20"/>
    </w:rPr>
  </w:style>
  <w:style w:type="paragraph" w:customStyle="1" w:styleId="242">
    <w:name w:val="列出段落2"/>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243">
    <w:name w:val="正文段"/>
    <w:basedOn w:val="1"/>
    <w:qFormat/>
    <w:uiPriority w:val="99"/>
    <w:pPr>
      <w:widowControl/>
      <w:snapToGrid w:val="0"/>
      <w:spacing w:afterLines="50"/>
      <w:ind w:firstLine="200" w:firstLineChars="200"/>
    </w:pPr>
    <w:rPr>
      <w:kern w:val="0"/>
      <w:sz w:val="24"/>
      <w:szCs w:val="20"/>
    </w:rPr>
  </w:style>
  <w:style w:type="paragraph" w:customStyle="1" w:styleId="244">
    <w:name w:val="正文 1.5 倍行距"/>
    <w:basedOn w:val="1"/>
    <w:qFormat/>
    <w:uiPriority w:val="99"/>
    <w:pPr>
      <w:autoSpaceDE w:val="0"/>
      <w:autoSpaceDN w:val="0"/>
      <w:adjustRightInd w:val="0"/>
      <w:spacing w:line="360" w:lineRule="auto"/>
      <w:ind w:firstLine="200" w:firstLineChars="200"/>
      <w:textAlignment w:val="baseline"/>
    </w:pPr>
    <w:rPr>
      <w:kern w:val="0"/>
      <w:sz w:val="28"/>
      <w:szCs w:val="20"/>
    </w:rPr>
  </w:style>
  <w:style w:type="paragraph" w:customStyle="1" w:styleId="245">
    <w:name w:val="Bullet"/>
    <w:basedOn w:val="1"/>
    <w:qFormat/>
    <w:uiPriority w:val="99"/>
    <w:pPr>
      <w:widowControl/>
      <w:tabs>
        <w:tab w:val="left" w:pos="720"/>
        <w:tab w:val="left" w:pos="964"/>
      </w:tabs>
      <w:spacing w:before="120" w:afterLines="50"/>
      <w:ind w:left="720" w:right="360" w:hanging="482"/>
    </w:pPr>
    <w:rPr>
      <w:rFonts w:ascii="宋体"/>
      <w:kern w:val="0"/>
      <w:szCs w:val="20"/>
    </w:rPr>
  </w:style>
  <w:style w:type="paragraph" w:customStyle="1" w:styleId="246">
    <w:name w:val="首行缩进"/>
    <w:basedOn w:val="1"/>
    <w:qFormat/>
    <w:uiPriority w:val="99"/>
    <w:pPr>
      <w:widowControl/>
      <w:tabs>
        <w:tab w:val="left" w:pos="822"/>
      </w:tabs>
      <w:snapToGrid w:val="0"/>
      <w:spacing w:before="40" w:after="40" w:line="300" w:lineRule="atLeast"/>
      <w:ind w:left="1701"/>
    </w:pPr>
    <w:rPr>
      <w:rFonts w:ascii="Arial" w:hAnsi="Arial"/>
      <w:kern w:val="0"/>
      <w:szCs w:val="20"/>
    </w:rPr>
  </w:style>
  <w:style w:type="paragraph" w:customStyle="1" w:styleId="247">
    <w:name w:val="样式 标题 4Chapter X.X.X. + 段后: 0.5 行1 + 段后: 0.5 行"/>
    <w:basedOn w:val="141"/>
    <w:qFormat/>
    <w:uiPriority w:val="99"/>
    <w:rPr>
      <w:szCs w:val="21"/>
    </w:rPr>
  </w:style>
  <w:style w:type="paragraph" w:customStyle="1" w:styleId="248">
    <w:name w:val="P1"/>
    <w:basedOn w:val="1"/>
    <w:qFormat/>
    <w:uiPriority w:val="99"/>
    <w:pPr>
      <w:widowControl/>
      <w:spacing w:before="240" w:line="240" w:lineRule="atLeast"/>
      <w:jc w:val="left"/>
    </w:pPr>
    <w:rPr>
      <w:b/>
      <w:kern w:val="0"/>
      <w:szCs w:val="21"/>
      <w:lang w:val="en-AU" w:eastAsia="en-US"/>
    </w:rPr>
  </w:style>
  <w:style w:type="paragraph" w:customStyle="1" w:styleId="249">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50">
    <w:name w:val="Char3 Char Char Char1"/>
    <w:basedOn w:val="1"/>
    <w:qFormat/>
    <w:uiPriority w:val="99"/>
    <w:pPr>
      <w:widowControl/>
      <w:spacing w:after="160" w:line="240" w:lineRule="exact"/>
      <w:jc w:val="left"/>
    </w:pPr>
  </w:style>
  <w:style w:type="paragraph" w:customStyle="1" w:styleId="251">
    <w:name w:val="默认段落字体 Para Char Char Char Char Char Char Char Char Char1 Char Char Char Char"/>
    <w:basedOn w:val="1"/>
    <w:qFormat/>
    <w:uiPriority w:val="99"/>
    <w:rPr>
      <w:rFonts w:ascii="Tahoma" w:hAnsi="Tahoma"/>
      <w:sz w:val="24"/>
      <w:szCs w:val="20"/>
    </w:rPr>
  </w:style>
  <w:style w:type="paragraph" w:styleId="252">
    <w:name w:val="List Paragraph"/>
    <w:basedOn w:val="1"/>
    <w:link w:val="253"/>
    <w:qFormat/>
    <w:uiPriority w:val="34"/>
    <w:pPr>
      <w:ind w:firstLine="420" w:firstLineChars="200"/>
    </w:pPr>
  </w:style>
  <w:style w:type="character" w:customStyle="1" w:styleId="253">
    <w:name w:val="列出段落 Char"/>
    <w:link w:val="252"/>
    <w:qFormat/>
    <w:uiPriority w:val="34"/>
    <w:rPr>
      <w:kern w:val="2"/>
      <w:sz w:val="21"/>
      <w:szCs w:val="24"/>
    </w:rPr>
  </w:style>
  <w:style w:type="character" w:customStyle="1" w:styleId="254">
    <w:name w:val="apple-converted-space"/>
    <w:basedOn w:val="48"/>
    <w:qFormat/>
    <w:uiPriority w:val="99"/>
  </w:style>
  <w:style w:type="character" w:customStyle="1" w:styleId="255">
    <w:name w:val="标题 2 Char1"/>
    <w:qFormat/>
    <w:uiPriority w:val="0"/>
    <w:rPr>
      <w:rFonts w:ascii="Arial" w:hAnsi="Arial" w:eastAsia="宋体"/>
      <w:b/>
      <w:bCs/>
      <w:kern w:val="2"/>
      <w:sz w:val="28"/>
      <w:szCs w:val="32"/>
      <w:lang w:val="en-US" w:eastAsia="zh-CN" w:bidi="ar-SA"/>
    </w:rPr>
  </w:style>
  <w:style w:type="paragraph" w:customStyle="1" w:styleId="256">
    <w:name w:val="msonormal 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257">
    <w:name w:val="msoplaintext msoplain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258">
    <w:name w:val="壹"/>
    <w:basedOn w:val="259"/>
    <w:qFormat/>
    <w:uiPriority w:val="0"/>
    <w:pPr>
      <w:numPr>
        <w:ilvl w:val="0"/>
        <w:numId w:val="1"/>
      </w:numPr>
    </w:pPr>
  </w:style>
  <w:style w:type="paragraph" w:customStyle="1" w:styleId="259">
    <w:name w:val="一级标题"/>
    <w:basedOn w:val="1"/>
    <w:qFormat/>
    <w:uiPriority w:val="0"/>
    <w:pPr>
      <w:spacing w:line="360" w:lineRule="auto"/>
      <w:jc w:val="center"/>
      <w:outlineLvl w:val="0"/>
    </w:pPr>
    <w:rPr>
      <w:rFonts w:eastAsia="黑体"/>
      <w:b/>
      <w:sz w:val="36"/>
    </w:rPr>
  </w:style>
  <w:style w:type="paragraph" w:customStyle="1" w:styleId="260">
    <w:name w:val="贰"/>
    <w:basedOn w:val="261"/>
    <w:qFormat/>
    <w:uiPriority w:val="0"/>
    <w:pPr>
      <w:numPr>
        <w:ilvl w:val="1"/>
        <w:numId w:val="1"/>
      </w:numPr>
    </w:pPr>
    <w:rPr>
      <w:sz w:val="32"/>
    </w:rPr>
  </w:style>
  <w:style w:type="paragraph" w:customStyle="1" w:styleId="261">
    <w:name w:val="二级标题"/>
    <w:basedOn w:val="1"/>
    <w:qFormat/>
    <w:uiPriority w:val="0"/>
    <w:pPr>
      <w:widowControl/>
      <w:autoSpaceDE w:val="0"/>
      <w:autoSpaceDN w:val="0"/>
      <w:adjustRightInd w:val="0"/>
      <w:spacing w:line="360" w:lineRule="auto"/>
      <w:jc w:val="left"/>
      <w:outlineLvl w:val="1"/>
    </w:pPr>
    <w:rPr>
      <w:rFonts w:ascii="宋体" w:hAnsi="宋体" w:eastAsia="黑体"/>
      <w:b/>
      <w:kern w:val="0"/>
      <w:sz w:val="30"/>
      <w:szCs w:val="28"/>
    </w:rPr>
  </w:style>
  <w:style w:type="paragraph" w:customStyle="1" w:styleId="262">
    <w:name w:val="叁"/>
    <w:basedOn w:val="1"/>
    <w:qFormat/>
    <w:uiPriority w:val="0"/>
    <w:pPr>
      <w:numPr>
        <w:ilvl w:val="2"/>
        <w:numId w:val="1"/>
      </w:numPr>
      <w:spacing w:line="360" w:lineRule="auto"/>
      <w:outlineLvl w:val="2"/>
    </w:pPr>
    <w:rPr>
      <w:rFonts w:eastAsia="黑体"/>
      <w:b/>
      <w:sz w:val="30"/>
    </w:rPr>
  </w:style>
  <w:style w:type="paragraph" w:customStyle="1" w:styleId="263">
    <w:name w:val="肆"/>
    <w:basedOn w:val="262"/>
    <w:qFormat/>
    <w:uiPriority w:val="0"/>
    <w:pPr>
      <w:numPr>
        <w:ilvl w:val="3"/>
      </w:numPr>
      <w:outlineLvl w:val="3"/>
    </w:pPr>
    <w:rPr>
      <w:sz w:val="28"/>
    </w:rPr>
  </w:style>
  <w:style w:type="character" w:customStyle="1" w:styleId="264">
    <w:name w:val="font01"/>
    <w:basedOn w:val="48"/>
    <w:qFormat/>
    <w:uiPriority w:val="0"/>
    <w:rPr>
      <w:rFonts w:hint="eastAsia" w:ascii="宋体" w:hAnsi="宋体" w:eastAsia="宋体" w:cs="宋体"/>
      <w:color w:val="000000"/>
      <w:sz w:val="21"/>
      <w:szCs w:val="21"/>
      <w:u w:val="none"/>
    </w:rPr>
  </w:style>
  <w:style w:type="paragraph" w:customStyle="1" w:styleId="265">
    <w:name w:val="表格文字"/>
    <w:basedOn w:val="1"/>
    <w:next w:val="14"/>
    <w:qFormat/>
    <w:uiPriority w:val="0"/>
    <w:pPr>
      <w:jc w:val="center"/>
    </w:pPr>
    <w:rPr>
      <w:sz w:val="24"/>
      <w:szCs w:val="22"/>
    </w:rPr>
  </w:style>
  <w:style w:type="paragraph" w:customStyle="1" w:styleId="266">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paragraph" w:customStyle="1" w:styleId="267">
    <w:name w:val="Normal Indent1"/>
    <w:basedOn w:val="1"/>
    <w:qFormat/>
    <w:uiPriority w:val="0"/>
    <w:pPr>
      <w:ind w:firstLine="420" w:firstLineChars="200"/>
    </w:pPr>
  </w:style>
  <w:style w:type="paragraph" w:customStyle="1" w:styleId="268">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FFECB-19E0-4DFC-B2AD-5B05EE87CB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32507</Words>
  <Characters>34934</Characters>
  <Lines>44</Lines>
  <Paragraphs>67</Paragraphs>
  <TotalTime>82</TotalTime>
  <ScaleCrop>false</ScaleCrop>
  <LinksUpToDate>false</LinksUpToDate>
  <CharactersWithSpaces>36128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2020-07-14T03:46:00Z</dcterms:created>
  <dc:creator>Administrator</dc:creator>
  <cp:lastModifiedBy>张晓亮</cp:lastModifiedBy>
  <cp:lastPrinted>2022-08-03T08:28:58Z</cp:lastPrinted>
  <dcterms:modified xsi:type="dcterms:W3CDTF">2022-08-03T09:14:38Z</dcterms:modified>
  <dc:title>浙江省政府采购招标文件范本（试行）</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554AE5426FD74FCBBF8014F1D88B8623</vt:lpwstr>
  </property>
</Properties>
</file>