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6" w:beforeLines="50" w:line="720" w:lineRule="auto"/>
        <w:jc w:val="distribute"/>
        <w:rPr>
          <w:rFonts w:hAnsi="宋体"/>
          <w:b/>
          <w:bCs/>
          <w:color w:val="0D0D0D"/>
          <w:sz w:val="52"/>
          <w:szCs w:val="52"/>
        </w:rPr>
      </w:pPr>
      <w:r>
        <w:rPr>
          <w:rFonts w:hint="eastAsia" w:hAnsi="宋体"/>
          <w:b/>
          <w:bCs/>
          <w:color w:val="0D0D0D"/>
          <w:sz w:val="52"/>
          <w:szCs w:val="52"/>
        </w:rPr>
        <w:t>东阳江流域江北片区排口溯源及水环境整治提升方案服务采购项目</w:t>
      </w:r>
    </w:p>
    <w:p>
      <w:pPr>
        <w:spacing w:before="166" w:beforeLines="50" w:line="720" w:lineRule="auto"/>
        <w:jc w:val="center"/>
        <w:rPr>
          <w:rFonts w:hint="eastAsia" w:ascii="宋体" w:eastAsia="宋体"/>
          <w:b/>
          <w:bCs/>
          <w:color w:val="auto"/>
          <w:sz w:val="32"/>
          <w:szCs w:val="32"/>
          <w:u w:val="none"/>
          <w:lang w:eastAsia="zh-CN"/>
        </w:rPr>
      </w:pPr>
      <w:r>
        <w:rPr>
          <w:rFonts w:hint="eastAsia" w:ascii="宋体" w:hAnsi="宋体"/>
          <w:b/>
          <w:sz w:val="72"/>
          <w:szCs w:val="72"/>
        </w:rPr>
        <w:t>公开招标采购文件</w:t>
      </w:r>
    </w:p>
    <w:p>
      <w:pPr>
        <w:snapToGrid w:val="0"/>
        <w:spacing w:before="166" w:beforeLines="50" w:line="360" w:lineRule="auto"/>
        <w:jc w:val="center"/>
        <w:rPr>
          <w:rFonts w:hAnsi="宋体"/>
          <w:b/>
          <w:bCs/>
          <w:color w:val="0D0D0D"/>
          <w:sz w:val="30"/>
          <w:szCs w:val="30"/>
        </w:rPr>
      </w:pPr>
      <w:r>
        <w:rPr>
          <w:rFonts w:ascii="宋体"/>
          <w:sz w:val="30"/>
          <w:szCs w:val="30"/>
        </w:rPr>
        <w:drawing>
          <wp:inline distT="0" distB="0" distL="114300" distR="114300">
            <wp:extent cx="2314575" cy="2095500"/>
            <wp:effectExtent l="0" t="0" r="1905" b="7620"/>
            <wp:docPr id="11" name="图片 1" descr="caig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caigou"/>
                    <pic:cNvPicPr>
                      <a:picLocks noChangeAspect="1"/>
                    </pic:cNvPicPr>
                  </pic:nvPicPr>
                  <pic:blipFill>
                    <a:blip r:embed="rId12"/>
                    <a:stretch>
                      <a:fillRect/>
                    </a:stretch>
                  </pic:blipFill>
                  <pic:spPr>
                    <a:xfrm>
                      <a:off x="0" y="0"/>
                      <a:ext cx="2314575" cy="2095500"/>
                    </a:xfrm>
                    <a:prstGeom prst="rect">
                      <a:avLst/>
                    </a:prstGeom>
                    <a:noFill/>
                    <a:ln>
                      <a:noFill/>
                    </a:ln>
                  </pic:spPr>
                </pic:pic>
              </a:graphicData>
            </a:graphic>
          </wp:inline>
        </w:drawing>
      </w:r>
    </w:p>
    <w:p>
      <w:pPr>
        <w:pStyle w:val="26"/>
        <w:snapToGrid w:val="0"/>
        <w:spacing w:before="166" w:after="166" w:line="480" w:lineRule="auto"/>
        <w:ind w:firstLine="301" w:firstLineChars="100"/>
        <w:rPr>
          <w:rFonts w:hAnsi="宋体"/>
          <w:b/>
          <w:bCs/>
          <w:color w:val="0D0D0D"/>
          <w:sz w:val="30"/>
          <w:szCs w:val="30"/>
        </w:rPr>
      </w:pPr>
    </w:p>
    <w:p>
      <w:pPr>
        <w:pStyle w:val="26"/>
        <w:snapToGrid w:val="0"/>
        <w:spacing w:before="166" w:after="166" w:line="480" w:lineRule="auto"/>
        <w:ind w:firstLine="602" w:firstLineChars="200"/>
        <w:rPr>
          <w:rFonts w:hint="eastAsia" w:hAnsi="宋体" w:eastAsia="宋体"/>
          <w:b/>
          <w:bCs/>
          <w:sz w:val="30"/>
          <w:szCs w:val="30"/>
          <w:lang w:eastAsia="zh-CN"/>
        </w:rPr>
      </w:pPr>
      <w:r>
        <w:rPr>
          <w:rFonts w:hint="eastAsia" w:hAnsi="宋体"/>
          <w:b/>
          <w:bCs/>
          <w:color w:val="0D0D0D"/>
          <w:sz w:val="30"/>
          <w:szCs w:val="30"/>
        </w:rPr>
        <w:t>项目编号：</w:t>
      </w:r>
      <w:r>
        <w:rPr>
          <w:rFonts w:hint="eastAsia" w:hAnsi="宋体"/>
          <w:b/>
          <w:bCs/>
          <w:sz w:val="30"/>
          <w:szCs w:val="30"/>
          <w:lang w:eastAsia="zh-CN"/>
        </w:rPr>
        <w:t>JCZFCG2022-Z31-C298</w:t>
      </w:r>
    </w:p>
    <w:p>
      <w:pPr>
        <w:pStyle w:val="26"/>
        <w:snapToGrid w:val="0"/>
        <w:spacing w:before="166" w:after="166" w:line="480" w:lineRule="auto"/>
        <w:ind w:left="2102" w:leftChars="284" w:hanging="1506" w:hangingChars="500"/>
        <w:rPr>
          <w:rFonts w:cs="Times New Roman"/>
          <w:b/>
          <w:bCs/>
        </w:rPr>
      </w:pPr>
      <w:r>
        <w:rPr>
          <w:rFonts w:hint="eastAsia"/>
          <w:b/>
          <w:bCs/>
          <w:sz w:val="30"/>
          <w:szCs w:val="30"/>
        </w:rPr>
        <w:t>项目名称：</w:t>
      </w:r>
      <w:r>
        <w:rPr>
          <w:rFonts w:hint="eastAsia" w:hAnsi="宋体"/>
          <w:b/>
          <w:bCs/>
          <w:sz w:val="30"/>
          <w:szCs w:val="30"/>
        </w:rPr>
        <w:t>东阳江流域江北片区排口溯源及水环境整治提升方案服务采购项目</w:t>
      </w:r>
    </w:p>
    <w:p>
      <w:pPr>
        <w:pStyle w:val="26"/>
        <w:snapToGrid w:val="0"/>
        <w:spacing w:before="166" w:after="166" w:line="480" w:lineRule="auto"/>
        <w:ind w:left="1492" w:leftChars="286" w:hanging="891" w:hangingChars="296"/>
        <w:rPr>
          <w:rFonts w:hAnsi="宋体" w:cs="Times New Roman"/>
          <w:b/>
          <w:bCs/>
          <w:color w:val="000000"/>
          <w:sz w:val="30"/>
          <w:szCs w:val="30"/>
        </w:rPr>
      </w:pPr>
      <w:r>
        <w:rPr>
          <w:rFonts w:hint="eastAsia" w:hAnsi="宋体"/>
          <w:b/>
          <w:bCs/>
          <w:color w:val="0D0D0D"/>
          <w:sz w:val="30"/>
          <w:szCs w:val="30"/>
        </w:rPr>
        <w:t>采购单位：浙江省东阳经济开发区江北高新产业园区管委会</w:t>
      </w:r>
    </w:p>
    <w:p>
      <w:pPr>
        <w:pStyle w:val="26"/>
        <w:snapToGrid w:val="0"/>
        <w:spacing w:before="166" w:after="166" w:line="480" w:lineRule="auto"/>
        <w:ind w:firstLine="572" w:firstLineChars="200"/>
        <w:rPr>
          <w:color w:val="0D0D0D"/>
          <w:w w:val="95"/>
          <w:sz w:val="32"/>
          <w:szCs w:val="32"/>
        </w:rPr>
      </w:pPr>
      <w:r>
        <w:rPr>
          <w:rFonts w:hint="eastAsia" w:hAnsi="宋体"/>
          <w:b/>
          <w:bCs/>
          <w:color w:val="0D0D0D"/>
          <w:w w:val="95"/>
          <w:sz w:val="30"/>
          <w:szCs w:val="30"/>
        </w:rPr>
        <w:t>招标机构：</w:t>
      </w:r>
      <w:r>
        <w:rPr>
          <w:rFonts w:hint="eastAsia" w:hAnsi="宋体"/>
          <w:b/>
          <w:bCs/>
          <w:color w:val="0D0D0D"/>
          <w:sz w:val="30"/>
          <w:szCs w:val="30"/>
        </w:rPr>
        <w:t>金华市金诚招投标代理有限公司</w:t>
      </w:r>
    </w:p>
    <w:p>
      <w:pPr>
        <w:pStyle w:val="26"/>
        <w:snapToGrid w:val="0"/>
        <w:spacing w:before="166" w:after="166" w:line="480" w:lineRule="auto"/>
        <w:ind w:left="1495" w:leftChars="144" w:hanging="1193" w:hangingChars="396"/>
        <w:jc w:val="center"/>
        <w:rPr>
          <w:rFonts w:hAnsi="宋体"/>
          <w:b/>
          <w:bCs/>
          <w:color w:val="0D0D0D"/>
          <w:sz w:val="30"/>
          <w:szCs w:val="30"/>
        </w:rPr>
      </w:pPr>
      <w:r>
        <w:rPr>
          <w:rFonts w:hint="eastAsia" w:hAnsi="宋体"/>
          <w:b/>
          <w:bCs/>
          <w:color w:val="0D0D0D"/>
          <w:sz w:val="30"/>
          <w:szCs w:val="30"/>
        </w:rPr>
        <w:t xml:space="preserve">                    2022年7月 </w:t>
      </w:r>
      <w:r>
        <w:rPr>
          <w:rFonts w:hint="eastAsia" w:hAnsi="宋体"/>
          <w:b/>
          <w:bCs/>
          <w:color w:val="0D0D0D"/>
          <w:sz w:val="30"/>
          <w:szCs w:val="30"/>
          <w:lang w:val="en-US" w:eastAsia="zh-CN"/>
        </w:rPr>
        <w:t>19</w:t>
      </w:r>
      <w:r>
        <w:rPr>
          <w:rFonts w:hint="eastAsia" w:hAnsi="宋体"/>
          <w:b/>
          <w:bCs/>
          <w:color w:val="0D0D0D"/>
          <w:sz w:val="30"/>
          <w:szCs w:val="30"/>
        </w:rPr>
        <w:t xml:space="preserve"> 日</w:t>
      </w:r>
    </w:p>
    <w:p>
      <w:pPr>
        <w:rPr>
          <w:rFonts w:ascii="宋体" w:hAnsi="宋体" w:cs="宋体"/>
          <w:b/>
          <w:bCs/>
          <w:color w:val="0D0D0D"/>
          <w:sz w:val="36"/>
          <w:szCs w:val="36"/>
        </w:rPr>
      </w:pPr>
      <w:r>
        <w:rPr>
          <w:rFonts w:hint="eastAsia" w:ascii="宋体" w:hAnsi="宋体" w:cs="宋体"/>
          <w:b/>
          <w:bCs/>
          <w:color w:val="0D0D0D"/>
          <w:sz w:val="36"/>
          <w:szCs w:val="36"/>
        </w:rPr>
        <w:br w:type="page"/>
      </w:r>
    </w:p>
    <w:p>
      <w:pPr>
        <w:snapToGrid w:val="0"/>
        <w:spacing w:before="166" w:beforeLines="50" w:line="360" w:lineRule="auto"/>
        <w:jc w:val="center"/>
        <w:rPr>
          <w:rFonts w:ascii="宋体"/>
          <w:b/>
          <w:bCs/>
          <w:color w:val="0D0D0D"/>
          <w:sz w:val="36"/>
          <w:szCs w:val="36"/>
        </w:rPr>
      </w:pPr>
      <w:r>
        <w:rPr>
          <w:rFonts w:hint="eastAsia" w:ascii="宋体" w:hAnsi="宋体" w:cs="宋体"/>
          <w:b/>
          <w:bCs/>
          <w:color w:val="0D0D0D"/>
          <w:sz w:val="36"/>
          <w:szCs w:val="36"/>
        </w:rPr>
        <w:t>目  录</w:t>
      </w:r>
    </w:p>
    <w:p>
      <w:pPr>
        <w:pStyle w:val="26"/>
        <w:spacing w:before="166" w:after="166" w:line="360" w:lineRule="auto"/>
        <w:jc w:val="center"/>
        <w:rPr>
          <w:rFonts w:ascii="创艺简标宋" w:hAnsi="宋体" w:eastAsia="创艺简标宋" w:cs="Times New Roman"/>
          <w:color w:val="0D0D0D"/>
          <w:sz w:val="44"/>
          <w:szCs w:val="44"/>
        </w:rPr>
      </w:pPr>
    </w:p>
    <w:p>
      <w:pPr>
        <w:numPr>
          <w:ilvl w:val="0"/>
          <w:numId w:val="2"/>
        </w:numPr>
        <w:spacing w:before="166" w:beforeLines="50" w:line="360" w:lineRule="auto"/>
        <w:rPr>
          <w:rFonts w:ascii="宋体"/>
          <w:color w:val="0D0D0D"/>
          <w:sz w:val="30"/>
          <w:szCs w:val="30"/>
        </w:rPr>
      </w:pPr>
      <w:r>
        <w:rPr>
          <w:rFonts w:hint="eastAsia" w:ascii="宋体" w:hAnsi="宋体" w:cs="宋体"/>
          <w:color w:val="0D0D0D"/>
          <w:sz w:val="30"/>
          <w:szCs w:val="30"/>
        </w:rPr>
        <w:t>公开招标采购公告</w:t>
      </w:r>
    </w:p>
    <w:p>
      <w:pPr>
        <w:numPr>
          <w:ilvl w:val="0"/>
          <w:numId w:val="2"/>
        </w:numPr>
        <w:spacing w:before="166" w:beforeLines="50" w:line="360" w:lineRule="auto"/>
        <w:rPr>
          <w:rFonts w:ascii="宋体"/>
          <w:color w:val="0D0D0D"/>
          <w:sz w:val="30"/>
          <w:szCs w:val="30"/>
        </w:rPr>
      </w:pPr>
      <w:r>
        <w:rPr>
          <w:rFonts w:hint="eastAsia" w:ascii="宋体" w:hAnsi="宋体" w:cs="宋体"/>
          <w:color w:val="0D0D0D"/>
          <w:sz w:val="30"/>
          <w:szCs w:val="30"/>
        </w:rPr>
        <w:t>招标需求</w:t>
      </w:r>
    </w:p>
    <w:p>
      <w:pPr>
        <w:numPr>
          <w:ilvl w:val="0"/>
          <w:numId w:val="2"/>
        </w:numPr>
        <w:spacing w:before="166" w:beforeLines="50" w:line="360" w:lineRule="auto"/>
        <w:rPr>
          <w:rFonts w:ascii="宋体"/>
          <w:color w:val="0D0D0D"/>
          <w:sz w:val="30"/>
          <w:szCs w:val="30"/>
        </w:rPr>
      </w:pPr>
      <w:r>
        <w:rPr>
          <w:rFonts w:hint="eastAsia" w:ascii="宋体" w:hAnsi="宋体" w:cs="宋体"/>
          <w:color w:val="0D0D0D"/>
          <w:sz w:val="30"/>
          <w:szCs w:val="30"/>
        </w:rPr>
        <w:t>投标人须知</w:t>
      </w:r>
    </w:p>
    <w:p>
      <w:pPr>
        <w:numPr>
          <w:ilvl w:val="0"/>
          <w:numId w:val="2"/>
        </w:numPr>
        <w:spacing w:before="166" w:beforeLines="50" w:line="360" w:lineRule="auto"/>
        <w:rPr>
          <w:rFonts w:ascii="宋体"/>
          <w:color w:val="0D0D0D"/>
          <w:sz w:val="30"/>
          <w:szCs w:val="30"/>
        </w:rPr>
      </w:pPr>
      <w:r>
        <w:rPr>
          <w:rFonts w:hint="eastAsia" w:ascii="宋体" w:hAnsi="宋体" w:cs="宋体"/>
          <w:color w:val="0D0D0D"/>
          <w:sz w:val="30"/>
          <w:szCs w:val="30"/>
        </w:rPr>
        <w:t>评标办法及评分标准</w:t>
      </w:r>
    </w:p>
    <w:p>
      <w:pPr>
        <w:numPr>
          <w:ilvl w:val="0"/>
          <w:numId w:val="2"/>
        </w:numPr>
        <w:spacing w:before="166" w:beforeLines="50" w:line="360" w:lineRule="auto"/>
        <w:rPr>
          <w:rFonts w:ascii="宋体"/>
          <w:color w:val="0D0D0D"/>
          <w:sz w:val="30"/>
          <w:szCs w:val="30"/>
        </w:rPr>
      </w:pPr>
      <w:r>
        <w:rPr>
          <w:rFonts w:hint="eastAsia" w:ascii="宋体" w:hAnsi="宋体" w:cs="宋体"/>
          <w:color w:val="0D0D0D"/>
          <w:sz w:val="30"/>
          <w:szCs w:val="30"/>
        </w:rPr>
        <w:t>政府采购合同主要条款</w:t>
      </w:r>
    </w:p>
    <w:p>
      <w:pPr>
        <w:numPr>
          <w:ilvl w:val="0"/>
          <w:numId w:val="2"/>
        </w:numPr>
        <w:spacing w:before="166" w:beforeLines="50" w:line="360" w:lineRule="auto"/>
        <w:rPr>
          <w:rFonts w:ascii="宋体"/>
          <w:color w:val="0D0D0D"/>
          <w:sz w:val="30"/>
          <w:szCs w:val="30"/>
        </w:rPr>
      </w:pPr>
      <w:r>
        <w:rPr>
          <w:rFonts w:hint="eastAsia" w:ascii="宋体" w:hAnsi="宋体" w:cs="宋体"/>
          <w:color w:val="0D0D0D"/>
          <w:sz w:val="30"/>
          <w:szCs w:val="30"/>
        </w:rPr>
        <w:t>投标文件格式</w:t>
      </w:r>
    </w:p>
    <w:p>
      <w:pPr>
        <w:pStyle w:val="26"/>
        <w:snapToGrid w:val="0"/>
        <w:spacing w:before="166" w:after="166" w:line="360" w:lineRule="auto"/>
        <w:outlineLvl w:val="0"/>
        <w:rPr>
          <w:rFonts w:hAnsi="宋体" w:cs="Times New Roman"/>
          <w:color w:val="0D0D0D"/>
        </w:rPr>
        <w:sectPr>
          <w:headerReference r:id="rId4" w:type="first"/>
          <w:footerReference r:id="rId6" w:type="first"/>
          <w:headerReference r:id="rId3" w:type="default"/>
          <w:footerReference r:id="rId5" w:type="default"/>
          <w:pgSz w:w="11906" w:h="16838"/>
          <w:pgMar w:top="1417" w:right="1417" w:bottom="1417" w:left="1417" w:header="851" w:footer="992" w:gutter="0"/>
          <w:pgNumType w:fmt="numberInDash"/>
          <w:cols w:space="720" w:num="1"/>
          <w:titlePg/>
          <w:docGrid w:type="lines" w:linePitch="332" w:charSpace="0"/>
        </w:sectPr>
      </w:pPr>
    </w:p>
    <w:p>
      <w:pPr>
        <w:pStyle w:val="26"/>
        <w:snapToGrid w:val="0"/>
        <w:spacing w:before="156" w:after="156" w:line="360" w:lineRule="auto"/>
        <w:outlineLvl w:val="0"/>
        <w:rPr>
          <w:rFonts w:hAnsi="宋体" w:cs="Times New Roman"/>
          <w:color w:val="0D0D0D"/>
        </w:rPr>
      </w:pPr>
    </w:p>
    <w:p/>
    <w:p/>
    <w:p/>
    <w:p/>
    <w:p/>
    <w:p/>
    <w:p/>
    <w:p/>
    <w:p/>
    <w:p/>
    <w:p>
      <w:pPr>
        <w:spacing w:line="360" w:lineRule="auto"/>
        <w:rPr>
          <w:rFonts w:cs="宋体"/>
          <w:sz w:val="30"/>
          <w:szCs w:val="30"/>
        </w:rPr>
      </w:pPr>
    </w:p>
    <w:p>
      <w:pPr>
        <w:spacing w:line="360" w:lineRule="auto"/>
        <w:rPr>
          <w:rFonts w:cs="宋体"/>
          <w:sz w:val="30"/>
          <w:szCs w:val="30"/>
        </w:rPr>
      </w:pPr>
    </w:p>
    <w:p>
      <w:pPr>
        <w:spacing w:line="360" w:lineRule="auto"/>
        <w:rPr>
          <w:sz w:val="30"/>
          <w:szCs w:val="30"/>
        </w:rPr>
      </w:pPr>
      <w:r>
        <w:rPr>
          <w:rFonts w:hint="eastAsia" w:cs="宋体"/>
          <w:sz w:val="30"/>
          <w:szCs w:val="30"/>
        </w:rPr>
        <w:t>温馨提示：</w:t>
      </w:r>
    </w:p>
    <w:p>
      <w:pPr>
        <w:spacing w:line="360" w:lineRule="auto"/>
        <w:ind w:firstLine="600" w:firstLineChars="200"/>
        <w:rPr>
          <w:sz w:val="30"/>
          <w:szCs w:val="30"/>
        </w:rPr>
      </w:pPr>
      <w:r>
        <w:rPr>
          <w:rFonts w:hint="eastAsia" w:cs="宋体"/>
          <w:sz w:val="30"/>
          <w:szCs w:val="30"/>
        </w:rPr>
        <w:t>请认真阅读此招标文件，并按规定制作投标文件。投标供应商不得向采购人、代理公司工作人员、评标专家行贿，违者一经查实，将列入政府采购黑名单！</w:t>
      </w:r>
    </w:p>
    <w:p>
      <w:pPr>
        <w:pStyle w:val="26"/>
        <w:snapToGrid w:val="0"/>
        <w:spacing w:before="156" w:after="156" w:line="360" w:lineRule="auto"/>
        <w:outlineLvl w:val="0"/>
        <w:rPr>
          <w:rFonts w:hAnsi="宋体" w:cs="Times New Roman"/>
          <w:color w:val="0D0D0D"/>
        </w:rPr>
        <w:sectPr>
          <w:headerReference r:id="rId7" w:type="default"/>
          <w:footerReference r:id="rId8" w:type="default"/>
          <w:type w:val="continuous"/>
          <w:pgSz w:w="11906" w:h="16838"/>
          <w:pgMar w:top="1417" w:right="1417" w:bottom="1417" w:left="1417" w:header="851" w:footer="992" w:gutter="0"/>
          <w:pgNumType w:fmt="numberInDash"/>
          <w:cols w:space="720" w:num="1"/>
          <w:docGrid w:type="linesAndChars" w:linePitch="312" w:charSpace="0"/>
        </w:sectPr>
      </w:pPr>
    </w:p>
    <w:p>
      <w:pPr>
        <w:pStyle w:val="26"/>
        <w:numPr>
          <w:ilvl w:val="0"/>
          <w:numId w:val="3"/>
        </w:numPr>
        <w:snapToGrid w:val="0"/>
        <w:spacing w:beforeLines="0" w:afterLines="0" w:line="360" w:lineRule="auto"/>
        <w:jc w:val="center"/>
        <w:outlineLvl w:val="0"/>
        <w:rPr>
          <w:rFonts w:hAnsi="宋体" w:cs="Times New Roman"/>
          <w:b/>
          <w:bCs/>
          <w:color w:val="0D0D0D"/>
          <w:sz w:val="36"/>
          <w:szCs w:val="36"/>
        </w:rPr>
      </w:pPr>
      <w:r>
        <w:rPr>
          <w:rFonts w:hint="eastAsia" w:hAnsi="宋体"/>
          <w:b/>
          <w:bCs/>
          <w:color w:val="0D0D0D"/>
          <w:sz w:val="36"/>
          <w:szCs w:val="36"/>
        </w:rPr>
        <w:t>公开招标采购公告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szCs w:val="24"/>
        </w:rPr>
      </w:pPr>
      <w:r>
        <w:rPr>
          <w:rFonts w:hint="eastAsia" w:ascii="仿宋" w:hAnsi="仿宋" w:eastAsia="仿宋" w:cs="仿宋"/>
          <w:sz w:val="24"/>
          <w:szCs w:val="24"/>
          <w:u w:val="single"/>
        </w:rPr>
        <w:t>根据《中华人民共和国政府采购法》、《政府采购货物和服务招标投标管理办法》、《浙江省财政厅关于印发浙江省政府采购项目电子交易管理暂行办法的通知》等规定，经</w:t>
      </w:r>
      <w:r>
        <w:rPr>
          <w:rFonts w:hint="eastAsia" w:ascii="仿宋" w:hAnsi="仿宋" w:eastAsia="仿宋" w:cs="仿宋"/>
          <w:b/>
          <w:bCs/>
          <w:sz w:val="24"/>
          <w:szCs w:val="24"/>
          <w:u w:val="single"/>
        </w:rPr>
        <w:t>东阳财采临[2022]</w:t>
      </w:r>
      <w:r>
        <w:rPr>
          <w:rFonts w:hint="eastAsia" w:ascii="仿宋" w:hAnsi="仿宋" w:eastAsia="仿宋" w:cs="仿宋"/>
          <w:b/>
          <w:bCs/>
          <w:sz w:val="24"/>
          <w:szCs w:val="24"/>
          <w:u w:val="single"/>
          <w:lang w:val="en-US" w:eastAsia="zh-CN"/>
        </w:rPr>
        <w:t>2619</w:t>
      </w:r>
      <w:r>
        <w:rPr>
          <w:rFonts w:hint="eastAsia" w:ascii="仿宋" w:hAnsi="仿宋" w:eastAsia="仿宋" w:cs="仿宋"/>
          <w:b/>
          <w:bCs/>
          <w:sz w:val="24"/>
          <w:szCs w:val="24"/>
          <w:u w:val="single"/>
        </w:rPr>
        <w:t>号政府采购预算执行确认书</w:t>
      </w:r>
      <w:r>
        <w:rPr>
          <w:rFonts w:hint="eastAsia" w:ascii="仿宋" w:hAnsi="仿宋" w:eastAsia="仿宋" w:cs="仿宋"/>
          <w:sz w:val="24"/>
          <w:szCs w:val="24"/>
          <w:u w:val="single"/>
        </w:rPr>
        <w:t>批准。现就</w:t>
      </w:r>
      <w:r>
        <w:rPr>
          <w:rFonts w:hint="eastAsia" w:ascii="仿宋" w:hAnsi="仿宋" w:eastAsia="仿宋" w:cs="仿宋"/>
          <w:b/>
          <w:bCs/>
          <w:sz w:val="24"/>
          <w:szCs w:val="24"/>
          <w:u w:val="single"/>
        </w:rPr>
        <w:t>东阳江流域江北片区排口溯源及水环境整治提升方案服务采购项目</w:t>
      </w:r>
      <w:r>
        <w:rPr>
          <w:rFonts w:hint="eastAsia" w:ascii="仿宋" w:hAnsi="仿宋" w:eastAsia="仿宋" w:cs="仿宋"/>
          <w:sz w:val="24"/>
          <w:szCs w:val="24"/>
          <w:u w:val="single"/>
        </w:rPr>
        <w:t>进行公开招标采购。</w:t>
      </w:r>
      <w:r>
        <w:rPr>
          <w:rFonts w:hint="eastAsia" w:ascii="仿宋" w:hAnsi="仿宋" w:eastAsia="仿宋" w:cs="仿宋"/>
          <w:b/>
          <w:bCs/>
          <w:sz w:val="24"/>
          <w:szCs w:val="24"/>
          <w:u w:val="single"/>
        </w:rPr>
        <w:t xml:space="preserve">[东阳江流域江北片区排口溯源及水环境整治提升方案服务采购项目] </w:t>
      </w:r>
      <w:r>
        <w:rPr>
          <w:rFonts w:hint="eastAsia" w:ascii="仿宋" w:hAnsi="仿宋" w:eastAsia="仿宋" w:cs="仿宋"/>
          <w:sz w:val="24"/>
          <w:szCs w:val="24"/>
        </w:rPr>
        <w:t>招标项目的潜在投标人应在</w:t>
      </w:r>
      <w:r>
        <w:rPr>
          <w:rFonts w:hint="eastAsia" w:ascii="仿宋" w:hAnsi="仿宋" w:eastAsia="仿宋" w:cs="仿宋"/>
          <w:sz w:val="24"/>
          <w:szCs w:val="24"/>
          <w:u w:val="single"/>
        </w:rPr>
        <w:t>（网址：</w:t>
      </w:r>
      <w:r>
        <w:rPr>
          <w:rFonts w:hint="eastAsia" w:ascii="仿宋" w:hAnsi="仿宋" w:eastAsia="仿宋" w:cs="仿宋"/>
          <w:b/>
          <w:sz w:val="24"/>
          <w:szCs w:val="24"/>
          <w:u w:val="single"/>
        </w:rPr>
        <w:t>浙江政府采购网(https://zfcg.czt.zj.gov.cn/)、东阳市公共资源交易网(http://www.dongyang.gov.cn/ggzyjy/)</w:t>
      </w:r>
      <w:r>
        <w:rPr>
          <w:rFonts w:hint="eastAsia" w:ascii="仿宋" w:hAnsi="仿宋" w:eastAsia="仿宋" w:cs="仿宋"/>
          <w:sz w:val="24"/>
          <w:szCs w:val="24"/>
          <w:u w:val="single"/>
        </w:rPr>
        <w:t>）</w:t>
      </w:r>
      <w:r>
        <w:rPr>
          <w:rFonts w:hint="eastAsia" w:ascii="仿宋" w:hAnsi="仿宋" w:eastAsia="仿宋" w:cs="仿宋"/>
          <w:sz w:val="24"/>
          <w:szCs w:val="24"/>
        </w:rPr>
        <w:t>获取招标文件，并于</w:t>
      </w:r>
      <w:r>
        <w:rPr>
          <w:rFonts w:hint="eastAsia" w:ascii="仿宋" w:hAnsi="仿宋" w:eastAsia="仿宋" w:cs="仿宋"/>
          <w:b/>
          <w:bCs/>
          <w:sz w:val="24"/>
          <w:szCs w:val="24"/>
          <w:u w:val="single"/>
        </w:rPr>
        <w:t>2022年</w:t>
      </w:r>
      <w:r>
        <w:rPr>
          <w:rFonts w:hint="eastAsia" w:ascii="仿宋" w:hAnsi="仿宋" w:eastAsia="仿宋" w:cs="仿宋"/>
          <w:b/>
          <w:bCs/>
          <w:sz w:val="24"/>
          <w:szCs w:val="24"/>
          <w:u w:val="single"/>
          <w:lang w:val="en-US" w:eastAsia="zh-CN"/>
        </w:rPr>
        <w:t>8</w:t>
      </w:r>
      <w:r>
        <w:rPr>
          <w:rFonts w:hint="eastAsia" w:ascii="仿宋" w:hAnsi="仿宋" w:eastAsia="仿宋" w:cs="仿宋"/>
          <w:b/>
          <w:bCs/>
          <w:sz w:val="24"/>
          <w:szCs w:val="24"/>
          <w:u w:val="single"/>
        </w:rPr>
        <w:t>月</w:t>
      </w:r>
      <w:r>
        <w:rPr>
          <w:rFonts w:hint="eastAsia" w:ascii="仿宋" w:hAnsi="仿宋" w:eastAsia="仿宋" w:cs="仿宋"/>
          <w:b/>
          <w:bCs/>
          <w:sz w:val="24"/>
          <w:szCs w:val="24"/>
          <w:u w:val="single"/>
          <w:lang w:val="en-US" w:eastAsia="zh-CN"/>
        </w:rPr>
        <w:t>10</w:t>
      </w:r>
      <w:r>
        <w:rPr>
          <w:rFonts w:hint="eastAsia" w:ascii="仿宋" w:hAnsi="仿宋" w:eastAsia="仿宋" w:cs="仿宋"/>
          <w:b/>
          <w:bCs/>
          <w:sz w:val="24"/>
          <w:szCs w:val="24"/>
          <w:u w:val="single"/>
        </w:rPr>
        <w:t xml:space="preserve"> 日</w:t>
      </w:r>
      <w:r>
        <w:rPr>
          <w:rFonts w:hint="eastAsia" w:ascii="仿宋" w:hAnsi="仿宋" w:eastAsia="仿宋" w:cs="仿宋"/>
          <w:b/>
          <w:bCs/>
          <w:sz w:val="24"/>
          <w:szCs w:val="24"/>
          <w:u w:val="single"/>
          <w:lang w:val="en-US" w:eastAsia="zh-CN"/>
        </w:rPr>
        <w:t>13</w:t>
      </w:r>
      <w:r>
        <w:rPr>
          <w:rFonts w:hint="eastAsia" w:ascii="仿宋" w:hAnsi="仿宋" w:eastAsia="仿宋" w:cs="仿宋"/>
          <w:b/>
          <w:bCs/>
          <w:sz w:val="24"/>
          <w:szCs w:val="24"/>
          <w:u w:val="single"/>
        </w:rPr>
        <w:t>点30分</w:t>
      </w:r>
      <w:r>
        <w:rPr>
          <w:rFonts w:hint="eastAsia" w:ascii="仿宋" w:hAnsi="仿宋" w:eastAsia="仿宋" w:cs="仿宋"/>
          <w:bCs/>
          <w:sz w:val="24"/>
          <w:szCs w:val="24"/>
        </w:rPr>
        <w:t>（北京时间）前递交投标文件</w:t>
      </w:r>
      <w:r>
        <w:rPr>
          <w:rFonts w:hint="eastAsia" w:ascii="仿宋" w:hAnsi="仿宋" w:eastAsia="仿宋" w:cs="仿宋"/>
          <w:sz w:val="24"/>
          <w:szCs w:val="24"/>
        </w:rPr>
        <w:t>。</w:t>
      </w:r>
    </w:p>
    <w:p/>
    <w:p>
      <w:pPr>
        <w:pStyle w:val="246"/>
        <w:snapToGrid/>
        <w:spacing w:afterLines="0" w:line="360" w:lineRule="auto"/>
        <w:ind w:firstLine="0" w:firstLineChars="0"/>
        <w:rPr>
          <w:rFonts w:ascii="宋体" w:hAnsi="宋体" w:cs="宋体"/>
          <w:b/>
          <w:bCs/>
        </w:rPr>
      </w:pPr>
      <w:r>
        <w:rPr>
          <w:rFonts w:hint="eastAsia" w:ascii="宋体" w:hAnsi="宋体" w:cs="宋体"/>
          <w:b/>
          <w:bCs/>
        </w:rPr>
        <w:t>一、项目基本情况</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cs="宋体"/>
          <w:b/>
          <w:bCs/>
          <w:kern w:val="0"/>
          <w:sz w:val="24"/>
          <w:szCs w:val="24"/>
        </w:rPr>
        <w:t>项目编号：</w:t>
      </w:r>
      <w:r>
        <w:rPr>
          <w:rFonts w:hint="eastAsia" w:ascii="宋体" w:hAnsi="宋体" w:cs="宋体"/>
          <w:bCs/>
          <w:color w:val="0D0D0D"/>
          <w:sz w:val="24"/>
          <w:szCs w:val="24"/>
          <w:lang w:eastAsia="zh-CN"/>
        </w:rPr>
        <w:t>JCZFCG2022-Z31-C298</w:t>
      </w:r>
    </w:p>
    <w:p>
      <w:pPr>
        <w:pStyle w:val="246"/>
        <w:snapToGrid/>
        <w:spacing w:afterLines="0" w:line="360" w:lineRule="auto"/>
        <w:ind w:firstLine="482"/>
        <w:rPr>
          <w:rFonts w:ascii="宋体" w:hAnsi="宋体" w:cs="宋体"/>
        </w:rPr>
      </w:pPr>
      <w:r>
        <w:rPr>
          <w:rFonts w:hint="eastAsia" w:ascii="宋体" w:hAnsi="宋体" w:cs="宋体"/>
          <w:b/>
          <w:bCs/>
        </w:rPr>
        <w:t>项目名称</w:t>
      </w:r>
      <w:r>
        <w:rPr>
          <w:rFonts w:hint="eastAsia" w:ascii="宋体" w:hAnsi="宋体" w:cs="宋体"/>
        </w:rPr>
        <w:t>：东阳江流域江北片区排口溯源及水环境整治提升方案服务采购项目</w:t>
      </w:r>
    </w:p>
    <w:p>
      <w:pPr>
        <w:pStyle w:val="246"/>
        <w:snapToGrid/>
        <w:spacing w:afterLines="0" w:line="360" w:lineRule="auto"/>
        <w:ind w:firstLine="482"/>
        <w:rPr>
          <w:rFonts w:ascii="宋体" w:hAnsi="宋体" w:cs="宋体"/>
        </w:rPr>
      </w:pPr>
      <w:r>
        <w:rPr>
          <w:rFonts w:hint="eastAsia" w:ascii="宋体" w:hAnsi="宋体" w:cs="宋体"/>
          <w:b/>
          <w:bCs/>
        </w:rPr>
        <w:t>预算金额</w:t>
      </w:r>
      <w:r>
        <w:rPr>
          <w:rFonts w:hint="eastAsia" w:ascii="宋体" w:hAnsi="宋体" w:cs="宋体"/>
        </w:rPr>
        <w:t>：567万元；</w:t>
      </w:r>
    </w:p>
    <w:p>
      <w:pPr>
        <w:pStyle w:val="246"/>
        <w:snapToGrid/>
        <w:spacing w:afterLines="0" w:line="360" w:lineRule="auto"/>
        <w:ind w:firstLine="482"/>
        <w:rPr>
          <w:rFonts w:ascii="宋体" w:hAnsi="宋体" w:cs="宋体"/>
        </w:rPr>
      </w:pPr>
      <w:r>
        <w:rPr>
          <w:rFonts w:hint="eastAsia" w:ascii="宋体" w:hAnsi="宋体" w:cs="宋体"/>
          <w:b/>
          <w:bCs/>
        </w:rPr>
        <w:t>最高限价</w:t>
      </w:r>
      <w:r>
        <w:rPr>
          <w:rFonts w:hint="eastAsia" w:ascii="宋体" w:hAnsi="宋体" w:cs="宋体"/>
        </w:rPr>
        <w:t>：567万元；</w:t>
      </w:r>
    </w:p>
    <w:p>
      <w:pPr>
        <w:pStyle w:val="246"/>
        <w:snapToGrid/>
        <w:spacing w:afterLines="0" w:line="360" w:lineRule="auto"/>
        <w:ind w:firstLine="482"/>
        <w:rPr>
          <w:rFonts w:ascii="宋体" w:hAnsi="宋体" w:cs="宋体"/>
        </w:rPr>
      </w:pPr>
      <w:r>
        <w:rPr>
          <w:rFonts w:hint="eastAsia" w:ascii="宋体" w:hAnsi="宋体" w:cs="宋体"/>
          <w:b/>
          <w:bCs/>
        </w:rPr>
        <w:t>采购需求：</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简要规格描述或项目基本概况介绍、用途：具体要求详见第二章招标需求。</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备注：</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合同履约期限：</w:t>
      </w:r>
      <w:r>
        <w:rPr>
          <w:rFonts w:hint="eastAsia" w:ascii="宋体" w:hAnsi="宋体" w:cs="宋体"/>
          <w:bCs/>
          <w:sz w:val="24"/>
          <w:szCs w:val="24"/>
        </w:rPr>
        <w:t>90天。</w:t>
      </w:r>
    </w:p>
    <w:p>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本项目接受联合体投标。</w:t>
      </w:r>
    </w:p>
    <w:p>
      <w:pPr>
        <w:spacing w:line="360" w:lineRule="auto"/>
        <w:jc w:val="left"/>
        <w:rPr>
          <w:rFonts w:ascii="宋体" w:hAnsi="宋体" w:cs="宋体"/>
          <w:b/>
          <w:bCs/>
          <w:color w:val="000000"/>
          <w:sz w:val="24"/>
          <w:szCs w:val="24"/>
        </w:rPr>
      </w:pPr>
      <w:r>
        <w:rPr>
          <w:rFonts w:hint="eastAsia" w:ascii="宋体" w:hAnsi="宋体" w:cs="宋体"/>
          <w:b/>
          <w:bCs/>
          <w:sz w:val="24"/>
          <w:szCs w:val="24"/>
        </w:rPr>
        <w:t>▲</w:t>
      </w:r>
      <w:r>
        <w:rPr>
          <w:rFonts w:hint="eastAsia" w:ascii="宋体" w:hAnsi="宋体" w:cs="宋体"/>
          <w:b/>
          <w:bCs/>
          <w:color w:val="000000"/>
          <w:sz w:val="24"/>
          <w:szCs w:val="24"/>
        </w:rPr>
        <w:t>二、申请人的资格要求：</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1.满足《中华人民共和国政府采购法》第二十二条规定；</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2.落实政府采购政策需满足的资格要求：根据《政府采购促进中小企业发展管理办法》有关规定，如投标供应商为非中小微企业，则需采用下列B或C选项规定的方式投标。 </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A、如果供应商本身提供所有标的均由中小企业制造、承建或承接，视同符合了资格条件，无需再向中小企业分包，无需提供分包意向协议；也无需再与小微企业组成联合体投标。</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B、组成联合体投标的：联合体成员须由大型企业与中小微企业组成，提供联合协议和中小企业声明函，且联合协议中小微企业合同份额应当达到合同总金额的40%；</w:t>
      </w:r>
    </w:p>
    <w:p>
      <w:pPr>
        <w:spacing w:line="360" w:lineRule="auto"/>
        <w:ind w:firstLine="480" w:firstLineChars="200"/>
        <w:jc w:val="left"/>
      </w:pPr>
      <w:r>
        <w:rPr>
          <w:rFonts w:hint="eastAsia" w:ascii="宋体" w:hAnsi="宋体" w:cs="宋体"/>
          <w:sz w:val="24"/>
          <w:szCs w:val="24"/>
        </w:rPr>
        <w:t>C、向中小微企业合理分包的：提供分包意向协议和中小企业声明函，分包意向协议中小微企业合同份额应当达到合同总金额的40%。</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D、监狱企业、残疾人福利性单位视同小微企业。 </w:t>
      </w:r>
    </w:p>
    <w:p>
      <w:pPr>
        <w:spacing w:line="360" w:lineRule="auto"/>
        <w:ind w:firstLine="480" w:firstLineChars="200"/>
        <w:rPr>
          <w:rFonts w:ascii="宋体" w:hAnsi="宋体" w:cs="宋体"/>
          <w:sz w:val="24"/>
          <w:szCs w:val="24"/>
        </w:rPr>
      </w:pPr>
      <w:r>
        <w:rPr>
          <w:rFonts w:hint="eastAsia" w:ascii="宋体" w:hAnsi="宋体" w:cs="宋体"/>
          <w:sz w:val="24"/>
          <w:szCs w:val="24"/>
        </w:rPr>
        <w:t>3.本项目接受联合体投标。</w:t>
      </w:r>
    </w:p>
    <w:p>
      <w:pPr>
        <w:spacing w:line="360" w:lineRule="auto"/>
        <w:ind w:firstLine="480" w:firstLineChars="200"/>
        <w:rPr>
          <w:rFonts w:ascii="宋体" w:hAnsi="宋体" w:cs="宋体"/>
          <w:sz w:val="24"/>
          <w:szCs w:val="24"/>
        </w:rPr>
      </w:pPr>
      <w:r>
        <w:rPr>
          <w:rFonts w:hint="eastAsia" w:ascii="宋体" w:hAnsi="宋体" w:cs="宋体"/>
          <w:kern w:val="0"/>
          <w:sz w:val="24"/>
          <w:szCs w:val="24"/>
        </w:rPr>
        <w:t>4.投标人注册：非浙江政府采购网注册或发生变更且未及时更新的投标人，应当在规定时间内按照《浙江省政府采购供应商注册及诚信管理暂行办法》（浙财采监字［2009］28号）的相关规定及时办理更新或投标人注册事项。</w:t>
      </w:r>
    </w:p>
    <w:p>
      <w:pPr>
        <w:spacing w:line="360" w:lineRule="auto"/>
        <w:ind w:firstLine="480" w:firstLineChars="200"/>
        <w:rPr>
          <w:rFonts w:ascii="宋体" w:hAnsi="宋体" w:cs="宋体"/>
          <w:sz w:val="24"/>
          <w:szCs w:val="24"/>
        </w:rPr>
      </w:pPr>
      <w:r>
        <w:rPr>
          <w:rFonts w:hint="eastAsia" w:ascii="宋体" w:hAnsi="宋体" w:cs="宋体"/>
          <w:sz w:val="24"/>
          <w:szCs w:val="24"/>
        </w:rPr>
        <w:t>5.投标人应未被列入失信被执行人名单、重大税收违法案件当事人名单、政府采购严重违法失信行为记录名单，信用信息以投标截止日信用中国网站（https://www.creditchina.gov.cn/）、中国政府采购网（http://www.ccgp.gov.cn/）公布为准；</w:t>
      </w:r>
    </w:p>
    <w:p>
      <w:pPr>
        <w:spacing w:line="360" w:lineRule="auto"/>
        <w:rPr>
          <w:rFonts w:ascii="宋体" w:hAnsi="宋体" w:cs="宋体"/>
          <w:b/>
          <w:bCs/>
          <w:sz w:val="24"/>
          <w:szCs w:val="24"/>
        </w:rPr>
      </w:pPr>
      <w:r>
        <w:rPr>
          <w:rFonts w:hint="eastAsia" w:ascii="宋体" w:hAnsi="宋体" w:cs="宋体"/>
          <w:b/>
          <w:bCs/>
          <w:sz w:val="24"/>
          <w:szCs w:val="24"/>
        </w:rPr>
        <w:t>▲三、招标文件的获取：</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1、时间：/至2022年 </w:t>
      </w:r>
      <w:r>
        <w:rPr>
          <w:rFonts w:hint="eastAsia" w:ascii="宋体" w:hAnsi="宋体" w:cs="宋体"/>
          <w:sz w:val="24"/>
          <w:szCs w:val="24"/>
          <w:lang w:val="en-US" w:eastAsia="zh-CN"/>
        </w:rPr>
        <w:t>8</w:t>
      </w:r>
      <w:r>
        <w:rPr>
          <w:rFonts w:hint="eastAsia" w:ascii="宋体" w:hAnsi="宋体" w:cs="宋体"/>
          <w:sz w:val="24"/>
          <w:szCs w:val="24"/>
        </w:rPr>
        <w:t xml:space="preserve">  月 </w:t>
      </w:r>
      <w:r>
        <w:rPr>
          <w:rFonts w:hint="eastAsia" w:ascii="宋体" w:hAnsi="宋体" w:cs="宋体"/>
          <w:sz w:val="24"/>
          <w:szCs w:val="24"/>
          <w:lang w:val="en-US" w:eastAsia="zh-CN"/>
        </w:rPr>
        <w:t>10</w:t>
      </w:r>
      <w:r>
        <w:rPr>
          <w:rFonts w:hint="eastAsia" w:ascii="宋体" w:hAnsi="宋体" w:cs="宋体"/>
          <w:sz w:val="24"/>
          <w:szCs w:val="24"/>
        </w:rPr>
        <w:t xml:space="preserve"> 日</w:t>
      </w:r>
      <w:r>
        <w:rPr>
          <w:rFonts w:hint="eastAsia" w:ascii="宋体" w:hAnsi="宋体" w:cs="宋体"/>
          <w:sz w:val="24"/>
          <w:szCs w:val="24"/>
          <w:lang w:val="en-US" w:eastAsia="zh-CN"/>
        </w:rPr>
        <w:t>13</w:t>
      </w:r>
      <w:r>
        <w:rPr>
          <w:rFonts w:hint="eastAsia" w:ascii="宋体" w:hAnsi="宋体" w:cs="宋体"/>
          <w:sz w:val="24"/>
          <w:szCs w:val="24"/>
        </w:rPr>
        <w:t>时30分，每天上午00：00至12:00，下午12:00至23:59（北京时间，线上获取法定节假日均可，线下获取文件法定节假日除外）。</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2、地点（网址）：浙江政府采购网（https://zfcg.czt.zj.gov.cn/）； </w:t>
      </w:r>
    </w:p>
    <w:p>
      <w:pPr>
        <w:spacing w:line="360" w:lineRule="auto"/>
        <w:ind w:firstLine="480" w:firstLineChars="200"/>
        <w:rPr>
          <w:rFonts w:ascii="宋体" w:hAnsi="宋体" w:cs="宋体"/>
          <w:sz w:val="24"/>
          <w:szCs w:val="24"/>
        </w:rPr>
      </w:pPr>
      <w:r>
        <w:rPr>
          <w:rFonts w:hint="eastAsia" w:ascii="宋体" w:hAnsi="宋体" w:cs="宋体"/>
          <w:sz w:val="24"/>
          <w:szCs w:val="24"/>
        </w:rPr>
        <w:t>东阳市公共资源交易网(http://www.dongyang.gov.cn/ggzyjy/)。</w:t>
      </w:r>
    </w:p>
    <w:p>
      <w:pPr>
        <w:spacing w:line="360" w:lineRule="auto"/>
        <w:ind w:firstLine="480" w:firstLineChars="200"/>
        <w:rPr>
          <w:rFonts w:ascii="宋体" w:hAnsi="宋体" w:cs="宋体"/>
          <w:b/>
          <w:bCs/>
          <w:sz w:val="24"/>
          <w:szCs w:val="24"/>
        </w:rPr>
      </w:pPr>
      <w:r>
        <w:rPr>
          <w:rFonts w:hint="eastAsia" w:ascii="宋体" w:hAnsi="宋体" w:cs="宋体"/>
          <w:b/>
          <w:bCs/>
          <w:sz w:val="24"/>
          <w:szCs w:val="24"/>
        </w:rPr>
        <w:t>3、获取方式：由投标单位通过浙江省政府采购网(</w:t>
      </w:r>
      <w:r>
        <w:rPr>
          <w:rFonts w:hint="eastAsia" w:ascii="宋体" w:hAnsi="宋体" w:cs="宋体"/>
          <w:b/>
          <w:sz w:val="24"/>
          <w:szCs w:val="24"/>
          <w:u w:val="single"/>
        </w:rPr>
        <w:t>https://zfcg.czt.zj.gov.cn/</w:t>
      </w:r>
      <w:r>
        <w:rPr>
          <w:rFonts w:hint="eastAsia" w:ascii="宋体" w:hAnsi="宋体" w:cs="宋体"/>
          <w:b/>
          <w:bCs/>
          <w:sz w:val="24"/>
          <w:szCs w:val="24"/>
        </w:rPr>
        <w:t>)上的政采云获取系统进行获取（首次参加投标的单位应先登录浙江省政府采购网(</w:t>
      </w:r>
      <w:r>
        <w:rPr>
          <w:rFonts w:hint="eastAsia" w:ascii="宋体" w:hAnsi="宋体" w:cs="宋体"/>
          <w:b/>
          <w:sz w:val="24"/>
          <w:szCs w:val="24"/>
          <w:u w:val="single"/>
        </w:rPr>
        <w:t>https://zfcg.czt.zj.gov.cn/</w:t>
      </w:r>
      <w:r>
        <w:rPr>
          <w:rFonts w:hint="eastAsia" w:ascii="宋体" w:hAnsi="宋体" w:cs="宋体"/>
          <w:b/>
          <w:bCs/>
          <w:sz w:val="24"/>
          <w:szCs w:val="24"/>
        </w:rPr>
        <w:t>)进行账户注册，注册完毕待审核成功后方可登录获取，注册咨询电话：400-881-7190；注册流程见网址</w:t>
      </w:r>
    </w:p>
    <w:p>
      <w:pPr>
        <w:spacing w:line="360" w:lineRule="auto"/>
        <w:rPr>
          <w:rFonts w:ascii="宋体" w:hAnsi="宋体" w:cs="宋体"/>
          <w:b/>
          <w:bCs/>
          <w:sz w:val="24"/>
          <w:szCs w:val="24"/>
        </w:rPr>
      </w:pPr>
      <w:r>
        <w:fldChar w:fldCharType="begin"/>
      </w:r>
      <w:r>
        <w:instrText xml:space="preserve"> HYPERLINK "https://middle.zcygov.cn/v-settle-front/registry" </w:instrText>
      </w:r>
      <w:r>
        <w:fldChar w:fldCharType="separate"/>
      </w:r>
      <w:r>
        <w:rPr>
          <w:rFonts w:hint="eastAsia" w:ascii="宋体" w:hAnsi="宋体" w:cs="宋体"/>
          <w:b/>
          <w:bCs/>
          <w:sz w:val="24"/>
          <w:szCs w:val="24"/>
        </w:rPr>
        <w:t>https://middle.zcygov.cn/v-settle-front/registry</w:t>
      </w:r>
      <w:r>
        <w:rPr>
          <w:rFonts w:hint="eastAsia" w:ascii="宋体" w:hAnsi="宋体" w:cs="宋体"/>
          <w:b/>
          <w:bCs/>
          <w:sz w:val="24"/>
          <w:szCs w:val="24"/>
        </w:rPr>
        <w:fldChar w:fldCharType="end"/>
      </w:r>
      <w:r>
        <w:rPr>
          <w:rFonts w:hint="eastAsia" w:ascii="宋体" w:hAnsi="宋体" w:cs="宋体"/>
          <w:b/>
          <w:bCs/>
          <w:sz w:val="24"/>
          <w:szCs w:val="24"/>
        </w:rPr>
        <w:t>）。</w:t>
      </w:r>
    </w:p>
    <w:p>
      <w:pPr>
        <w:spacing w:line="360" w:lineRule="auto"/>
        <w:ind w:firstLine="480" w:firstLineChars="200"/>
        <w:rPr>
          <w:rFonts w:ascii="宋体" w:hAnsi="宋体" w:cs="宋体"/>
          <w:b/>
          <w:bCs/>
          <w:sz w:val="24"/>
          <w:szCs w:val="24"/>
        </w:rPr>
      </w:pPr>
      <w:r>
        <w:rPr>
          <w:rFonts w:hint="eastAsia" w:ascii="宋体" w:hAnsi="宋体" w:cs="宋体"/>
          <w:b/>
          <w:bCs/>
          <w:sz w:val="24"/>
          <w:szCs w:val="24"/>
        </w:rPr>
        <w:t>4、获取流程：浙江政府采购网-政采云用户登录-用户中心-项目采购-获取采购文件管理，电子版采购文件免费获取。</w:t>
      </w:r>
    </w:p>
    <w:p>
      <w:pPr>
        <w:spacing w:line="360" w:lineRule="auto"/>
        <w:ind w:firstLine="480" w:firstLineChars="200"/>
        <w:rPr>
          <w:rFonts w:ascii="宋体" w:hAnsi="宋体" w:cs="宋体"/>
          <w:b/>
          <w:bCs/>
          <w:sz w:val="24"/>
          <w:szCs w:val="24"/>
        </w:rPr>
      </w:pPr>
      <w:r>
        <w:rPr>
          <w:rFonts w:hint="eastAsia" w:ascii="宋体" w:hAnsi="宋体" w:cs="宋体"/>
          <w:b/>
          <w:bCs/>
          <w:sz w:val="24"/>
          <w:szCs w:val="24"/>
        </w:rPr>
        <w:t>5、浙江政府采购网上以“游客”身份获取的采购文件仅供阅览；潜在供应商应按上述方式获取采购文件；未按上述方式获取采购文件的，不得对采购文件提起质疑投诉。</w:t>
      </w:r>
    </w:p>
    <w:p>
      <w:pPr>
        <w:spacing w:line="360" w:lineRule="auto"/>
        <w:rPr>
          <w:rFonts w:ascii="宋体" w:hAnsi="宋体" w:cs="宋体"/>
          <w:b/>
          <w:bCs/>
          <w:color w:val="000000"/>
          <w:sz w:val="24"/>
          <w:szCs w:val="24"/>
        </w:rPr>
      </w:pPr>
      <w:r>
        <w:rPr>
          <w:rFonts w:hint="eastAsia" w:ascii="宋体" w:hAnsi="宋体" w:cs="宋体"/>
          <w:b/>
          <w:bCs/>
          <w:color w:val="000000"/>
          <w:sz w:val="24"/>
          <w:szCs w:val="24"/>
        </w:rPr>
        <w:t>四、提交投标文件截止时间、开标时间和地点</w:t>
      </w:r>
    </w:p>
    <w:p>
      <w:pPr>
        <w:spacing w:line="360" w:lineRule="auto"/>
        <w:ind w:firstLine="480" w:firstLineChars="200"/>
        <w:rPr>
          <w:rFonts w:ascii="宋体" w:hAnsi="宋体" w:cs="宋体"/>
          <w:b/>
          <w:bCs/>
          <w:sz w:val="24"/>
          <w:szCs w:val="24"/>
        </w:rPr>
      </w:pPr>
      <w:r>
        <w:rPr>
          <w:rFonts w:hint="eastAsia" w:ascii="宋体" w:hAnsi="宋体" w:cs="宋体"/>
          <w:b/>
          <w:bCs/>
          <w:sz w:val="24"/>
          <w:szCs w:val="24"/>
        </w:rPr>
        <w:t>提交投标文件截止时间：2022年</w:t>
      </w:r>
      <w:r>
        <w:rPr>
          <w:rFonts w:hint="eastAsia" w:ascii="宋体" w:hAnsi="宋体" w:cs="宋体"/>
          <w:b/>
          <w:bCs/>
          <w:sz w:val="24"/>
          <w:szCs w:val="24"/>
          <w:lang w:val="en-US" w:eastAsia="zh-CN"/>
        </w:rPr>
        <w:t>8</w:t>
      </w:r>
      <w:r>
        <w:rPr>
          <w:rFonts w:hint="eastAsia" w:ascii="宋体" w:hAnsi="宋体" w:cs="宋体"/>
          <w:b/>
          <w:bCs/>
          <w:sz w:val="24"/>
          <w:szCs w:val="24"/>
        </w:rPr>
        <w:t>月</w:t>
      </w:r>
      <w:r>
        <w:rPr>
          <w:rFonts w:hint="eastAsia" w:ascii="宋体" w:hAnsi="宋体" w:cs="宋体"/>
          <w:b/>
          <w:bCs/>
          <w:sz w:val="24"/>
          <w:szCs w:val="24"/>
          <w:lang w:val="en-US" w:eastAsia="zh-CN"/>
        </w:rPr>
        <w:t>10</w:t>
      </w:r>
      <w:r>
        <w:rPr>
          <w:rFonts w:hint="eastAsia" w:ascii="宋体" w:hAnsi="宋体" w:cs="宋体"/>
          <w:b/>
          <w:bCs/>
          <w:sz w:val="24"/>
          <w:szCs w:val="24"/>
        </w:rPr>
        <w:t>日</w:t>
      </w:r>
      <w:r>
        <w:rPr>
          <w:rFonts w:hint="eastAsia" w:ascii="宋体" w:hAnsi="宋体" w:cs="宋体"/>
          <w:b/>
          <w:bCs/>
          <w:sz w:val="24"/>
          <w:szCs w:val="24"/>
          <w:lang w:val="en-US" w:eastAsia="zh-CN"/>
        </w:rPr>
        <w:t>13</w:t>
      </w:r>
      <w:r>
        <w:rPr>
          <w:rFonts w:hint="eastAsia" w:ascii="宋体" w:hAnsi="宋体" w:cs="宋体"/>
          <w:b/>
          <w:bCs/>
          <w:sz w:val="24"/>
          <w:szCs w:val="24"/>
        </w:rPr>
        <w:t>时30分（北京时间）</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投标地点（网址）：政采云平台</w:t>
      </w:r>
    </w:p>
    <w:p>
      <w:pPr>
        <w:spacing w:line="360" w:lineRule="auto"/>
        <w:ind w:firstLine="480" w:firstLineChars="200"/>
        <w:rPr>
          <w:rFonts w:ascii="宋体" w:hAnsi="宋体" w:cs="宋体"/>
          <w:sz w:val="24"/>
          <w:szCs w:val="24"/>
        </w:rPr>
      </w:pPr>
      <w:r>
        <w:rPr>
          <w:rFonts w:hint="eastAsia" w:ascii="宋体" w:hAnsi="宋体" w:cs="宋体"/>
          <w:b/>
          <w:bCs/>
          <w:sz w:val="24"/>
          <w:szCs w:val="24"/>
        </w:rPr>
        <w:t>开标时间：2022年</w:t>
      </w:r>
      <w:r>
        <w:rPr>
          <w:rFonts w:hint="eastAsia" w:ascii="宋体" w:hAnsi="宋体" w:cs="宋体"/>
          <w:b/>
          <w:bCs/>
          <w:sz w:val="24"/>
          <w:szCs w:val="24"/>
          <w:lang w:val="en-US" w:eastAsia="zh-CN"/>
        </w:rPr>
        <w:t>8</w:t>
      </w:r>
      <w:r>
        <w:rPr>
          <w:rFonts w:hint="eastAsia" w:ascii="宋体" w:hAnsi="宋体" w:cs="宋体"/>
          <w:b/>
          <w:bCs/>
          <w:sz w:val="24"/>
          <w:szCs w:val="24"/>
        </w:rPr>
        <w:t>月</w:t>
      </w:r>
      <w:r>
        <w:rPr>
          <w:rFonts w:hint="eastAsia" w:ascii="宋体" w:hAnsi="宋体" w:cs="宋体"/>
          <w:b/>
          <w:bCs/>
          <w:sz w:val="24"/>
          <w:szCs w:val="24"/>
          <w:lang w:val="en-US" w:eastAsia="zh-CN"/>
        </w:rPr>
        <w:t>10</w:t>
      </w:r>
      <w:r>
        <w:rPr>
          <w:rFonts w:hint="eastAsia" w:ascii="宋体" w:hAnsi="宋体" w:cs="宋体"/>
          <w:b/>
          <w:bCs/>
          <w:sz w:val="24"/>
          <w:szCs w:val="24"/>
        </w:rPr>
        <w:t>日</w:t>
      </w:r>
      <w:r>
        <w:rPr>
          <w:rFonts w:hint="eastAsia" w:ascii="宋体" w:hAnsi="宋体" w:cs="宋体"/>
          <w:b/>
          <w:bCs/>
          <w:sz w:val="24"/>
          <w:szCs w:val="24"/>
          <w:lang w:val="en-US" w:eastAsia="zh-CN"/>
        </w:rPr>
        <w:t>13</w:t>
      </w:r>
      <w:r>
        <w:rPr>
          <w:rFonts w:hint="eastAsia" w:ascii="宋体" w:hAnsi="宋体" w:cs="宋体"/>
          <w:b/>
          <w:bCs/>
          <w:sz w:val="24"/>
          <w:szCs w:val="24"/>
        </w:rPr>
        <w:t>时</w:t>
      </w:r>
      <w:r>
        <w:rPr>
          <w:rFonts w:hint="eastAsia" w:ascii="宋体" w:hAnsi="宋体" w:cs="宋体"/>
          <w:b/>
          <w:bCs/>
          <w:sz w:val="24"/>
          <w:szCs w:val="24"/>
          <w:lang w:val="en-US" w:eastAsia="zh-CN"/>
        </w:rPr>
        <w:t>30</w:t>
      </w:r>
      <w:r>
        <w:rPr>
          <w:rFonts w:hint="eastAsia" w:ascii="宋体" w:hAnsi="宋体" w:cs="宋体"/>
          <w:b/>
          <w:bCs/>
          <w:sz w:val="24"/>
          <w:szCs w:val="24"/>
        </w:rPr>
        <w:t xml:space="preserve">分 </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开标地点（网址）：政采云平台</w:t>
      </w:r>
    </w:p>
    <w:p>
      <w:pPr>
        <w:spacing w:line="360" w:lineRule="auto"/>
        <w:rPr>
          <w:rFonts w:ascii="宋体" w:hAnsi="宋体" w:cs="宋体"/>
          <w:b/>
          <w:bCs/>
          <w:sz w:val="24"/>
          <w:szCs w:val="24"/>
        </w:rPr>
      </w:pPr>
      <w:r>
        <w:rPr>
          <w:rFonts w:hint="eastAsia" w:ascii="宋体" w:hAnsi="宋体" w:cs="宋体"/>
          <w:b/>
          <w:bCs/>
          <w:sz w:val="24"/>
          <w:szCs w:val="24"/>
        </w:rPr>
        <w:t>五、公告期限</w:t>
      </w:r>
    </w:p>
    <w:p>
      <w:pPr>
        <w:spacing w:line="360" w:lineRule="auto"/>
        <w:ind w:firstLine="480" w:firstLineChars="200"/>
        <w:rPr>
          <w:rFonts w:ascii="宋体" w:hAnsi="宋体" w:cs="宋体"/>
          <w:sz w:val="24"/>
          <w:szCs w:val="24"/>
        </w:rPr>
      </w:pPr>
      <w:r>
        <w:rPr>
          <w:rFonts w:hint="eastAsia" w:ascii="宋体" w:hAnsi="宋体" w:cs="宋体"/>
          <w:sz w:val="24"/>
          <w:szCs w:val="24"/>
        </w:rPr>
        <w:t>自本公告发布之日起5个工作日。</w:t>
      </w:r>
    </w:p>
    <w:p>
      <w:pPr>
        <w:spacing w:line="360" w:lineRule="auto"/>
        <w:rPr>
          <w:rFonts w:ascii="宋体" w:hAnsi="宋体" w:cs="宋体"/>
          <w:b/>
          <w:bCs/>
          <w:sz w:val="24"/>
          <w:szCs w:val="24"/>
        </w:rPr>
      </w:pPr>
      <w:r>
        <w:rPr>
          <w:rFonts w:hint="eastAsia" w:ascii="宋体" w:hAnsi="宋体" w:cs="宋体"/>
          <w:b/>
          <w:bCs/>
          <w:sz w:val="24"/>
          <w:szCs w:val="24"/>
        </w:rPr>
        <w:t>六、其他补充事宜</w:t>
      </w:r>
    </w:p>
    <w:p>
      <w:pPr>
        <w:pStyle w:val="40"/>
        <w:adjustRightInd w:val="0"/>
        <w:snapToGrid w:val="0"/>
        <w:spacing w:before="0" w:beforeAutospacing="0" w:after="0" w:afterAutospacing="0" w:line="360" w:lineRule="auto"/>
        <w:jc w:val="both"/>
        <w:rPr>
          <w:color w:val="auto"/>
        </w:rPr>
      </w:pPr>
      <w:r>
        <w:rPr>
          <w:rFonts w:hint="eastAsia"/>
        </w:rPr>
        <w:t xml:space="preserve">  1、</w:t>
      </w:r>
      <w:r>
        <w:rPr>
          <w:rFonts w:hint="eastAsia"/>
          <w:color w:val="auto"/>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或在政采云平台线上质疑。质疑供应商对采购人、采购代理机构的答复不满意或者采购人、采购代理机构未在规定的时间内作出答复的，可以在答复期满后十五个工作日内向同级政府采购监督管理部门投诉（投诉网址：http://www.zjzwfw.gov.cn/zjservice/item/detail/index.do?localInnerCode=2ca19a7a-aa2d-4cca-a191-a5edf3bf69f8）。质疑函范本、投诉书范本请到浙江政府采购网下载专区下载。</w:t>
      </w:r>
    </w:p>
    <w:p>
      <w:pPr>
        <w:spacing w:line="360" w:lineRule="auto"/>
        <w:ind w:firstLine="480" w:firstLineChars="200"/>
        <w:jc w:val="left"/>
        <w:rPr>
          <w:rFonts w:ascii="宋体" w:hAnsi="宋体" w:cs="宋体"/>
          <w:b/>
          <w:bCs/>
          <w:sz w:val="24"/>
          <w:szCs w:val="24"/>
        </w:rPr>
      </w:pPr>
      <w:r>
        <w:rPr>
          <w:rFonts w:hint="eastAsia" w:ascii="宋体" w:hAnsi="宋体" w:cs="宋体"/>
          <w:b/>
          <w:bCs/>
          <w:sz w:val="24"/>
          <w:szCs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szCs w:val="24"/>
        </w:rPr>
      </w:pPr>
      <w:r>
        <w:rPr>
          <w:rFonts w:hint="eastAsia" w:ascii="宋体" w:hAnsi="宋体" w:cs="宋体"/>
          <w:sz w:val="24"/>
          <w:szCs w:val="24"/>
        </w:rPr>
        <w:t>4、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5、投 标 人 应 在 开 标 前 完 成 CA 数 字 证 书 办 理 。 （ 办 理 流 程 详 见http://zfcg.czt.zj.gov.cn/bidClientTemplate/2019-05-27/12945.html）。完成 CA 数字证书办理预计一周左右，因未办理CA数字证书等原因造成无法投标或投标失败等后果由供应商自行承担。</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6、投标人通过政采云平台电子投标工具制作投标文件，电子投标工具请供应商自行前往浙江省政府采购网下载并安装，（下载网址：https://zfcg.czt.zj.gov.cn/bidClientTemplate/2021-01-07/12975.html），（ 电 子 投 标 相 关 学 习 网 址 ：https://edu.zcygov.cn/luban/e-biding?utm=a0004.2ef5001f.0001.0109.2d44db10df9111e9b92b0f36d4889416）。</w:t>
      </w:r>
    </w:p>
    <w:p>
      <w:pPr>
        <w:tabs>
          <w:tab w:val="left" w:pos="0"/>
        </w:tabs>
        <w:adjustRightInd w:val="0"/>
        <w:snapToGrid w:val="0"/>
        <w:spacing w:line="360" w:lineRule="auto"/>
        <w:ind w:firstLine="480" w:firstLineChars="200"/>
        <w:rPr>
          <w:rFonts w:ascii="宋体" w:hAnsi="宋体" w:cs="宋体"/>
          <w:sz w:val="24"/>
          <w:szCs w:val="24"/>
        </w:rPr>
      </w:pPr>
      <w:r>
        <w:rPr>
          <w:rFonts w:hint="eastAsia" w:ascii="宋体" w:hAnsi="宋体" w:cs="宋体"/>
          <w:kern w:val="0"/>
          <w:sz w:val="24"/>
          <w:szCs w:val="24"/>
          <w:lang w:bidi="ar"/>
        </w:rPr>
        <w:t>7、根据《浙江省财政厅关于进一步加大政府采购支持中小企业力度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8、为确保招投标活动的公开、公平、公正，切实维护各方合法权益，凡在招标投标、开标评标过程中，受到敲诈、勒索或发现围标串标、虚假投标、恶意竞标等涉黑涉恶线索者，请及时保留相关证据并向有关部门举报。举报电话：</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市扫黑办：0579-86655381             市公安局：110、0579-86096000</w:t>
      </w:r>
    </w:p>
    <w:p>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市检察院: 0579-86642000             市 法 院：0579-86620148</w:t>
      </w:r>
    </w:p>
    <w:p>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市公共资源办:0579-86691835          市公共资源交易中心:0579-86691729</w:t>
      </w:r>
    </w:p>
    <w:p>
      <w:pPr>
        <w:pStyle w:val="44"/>
        <w:spacing w:line="360" w:lineRule="auto"/>
        <w:ind w:firstLine="0" w:firstLineChars="0"/>
        <w:rPr>
          <w:rFonts w:hAnsi="宋体"/>
          <w:b/>
          <w:bCs/>
          <w:sz w:val="24"/>
          <w:szCs w:val="24"/>
        </w:rPr>
      </w:pPr>
      <w:r>
        <w:rPr>
          <w:rFonts w:hint="eastAsia" w:hAnsi="宋体"/>
          <w:b/>
          <w:bCs/>
          <w:color w:val="000000"/>
          <w:sz w:val="24"/>
          <w:szCs w:val="24"/>
        </w:rPr>
        <w:t>七、</w:t>
      </w:r>
      <w:r>
        <w:rPr>
          <w:rFonts w:hint="eastAsia" w:hAnsi="宋体"/>
          <w:b/>
          <w:bCs/>
          <w:sz w:val="24"/>
          <w:szCs w:val="24"/>
        </w:rPr>
        <w:t>对本次采购提出询问、质疑、投诉，请按以下方式联系：</w:t>
      </w:r>
    </w:p>
    <w:p>
      <w:pPr>
        <w:spacing w:line="360" w:lineRule="auto"/>
        <w:ind w:firstLine="480" w:firstLineChars="200"/>
        <w:jc w:val="left"/>
        <w:rPr>
          <w:rFonts w:ascii="宋体" w:hAnsi="宋体" w:cs="宋体"/>
          <w:b/>
          <w:bCs/>
          <w:sz w:val="24"/>
          <w:szCs w:val="24"/>
        </w:rPr>
      </w:pPr>
      <w:r>
        <w:rPr>
          <w:rFonts w:hint="eastAsia" w:ascii="宋体" w:hAnsi="宋体" w:cs="宋体"/>
          <w:b/>
          <w:bCs/>
          <w:sz w:val="24"/>
          <w:szCs w:val="24"/>
        </w:rPr>
        <w:t>1、采购人信息</w:t>
      </w:r>
    </w:p>
    <w:p>
      <w:pPr>
        <w:spacing w:line="360" w:lineRule="auto"/>
        <w:ind w:firstLine="480" w:firstLineChars="200"/>
        <w:rPr>
          <w:rFonts w:ascii="宋体" w:hAnsi="宋体" w:cs="宋体"/>
          <w:sz w:val="24"/>
          <w:szCs w:val="24"/>
        </w:rPr>
      </w:pPr>
      <w:r>
        <w:rPr>
          <w:rFonts w:hint="eastAsia" w:ascii="宋体" w:hAnsi="宋体" w:cs="宋体"/>
          <w:sz w:val="24"/>
          <w:szCs w:val="24"/>
        </w:rPr>
        <w:t>名称：浙江省东阳经济开发区江北高新产业园区管委会</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项目联系人（询问）：</w:t>
      </w:r>
      <w:r>
        <w:rPr>
          <w:rFonts w:hint="eastAsia" w:ascii="宋体" w:hAnsi="宋体" w:cs="宋体"/>
          <w:color w:val="auto"/>
          <w:sz w:val="24"/>
          <w:szCs w:val="24"/>
          <w:lang w:eastAsia="zh-CN"/>
        </w:rPr>
        <w:t>蒋盾</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项目联系方式（询问）：</w:t>
      </w:r>
      <w:r>
        <w:rPr>
          <w:rFonts w:hint="eastAsia" w:ascii="宋体" w:hAnsi="宋体" w:cs="宋体"/>
          <w:color w:val="auto"/>
          <w:sz w:val="24"/>
          <w:szCs w:val="24"/>
          <w:lang w:val="en-US" w:eastAsia="zh-CN"/>
        </w:rPr>
        <w:t>13505895054</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质疑联系人：</w:t>
      </w:r>
      <w:r>
        <w:rPr>
          <w:rFonts w:hint="eastAsia" w:ascii="宋体" w:hAnsi="宋体" w:cs="宋体"/>
          <w:color w:val="auto"/>
          <w:sz w:val="24"/>
          <w:szCs w:val="24"/>
          <w:lang w:eastAsia="zh-CN"/>
        </w:rPr>
        <w:t>申屠锦</w:t>
      </w:r>
    </w:p>
    <w:p>
      <w:pPr>
        <w:spacing w:line="360" w:lineRule="auto"/>
        <w:ind w:firstLine="480" w:firstLineChars="200"/>
        <w:rPr>
          <w:rFonts w:hint="default" w:ascii="宋体" w:hAnsi="宋体" w:eastAsia="宋体" w:cs="宋体"/>
          <w:b/>
          <w:bCs/>
          <w:color w:val="auto"/>
          <w:sz w:val="24"/>
          <w:szCs w:val="24"/>
          <w:lang w:val="en-US" w:eastAsia="zh-CN"/>
        </w:rPr>
      </w:pPr>
      <w:r>
        <w:rPr>
          <w:rFonts w:hint="eastAsia" w:ascii="宋体" w:hAnsi="宋体" w:cs="宋体"/>
          <w:color w:val="auto"/>
          <w:sz w:val="24"/>
          <w:szCs w:val="24"/>
        </w:rPr>
        <w:t>质疑联系方式：</w:t>
      </w:r>
      <w:r>
        <w:rPr>
          <w:rFonts w:hint="eastAsia" w:ascii="宋体" w:hAnsi="宋体" w:cs="宋体"/>
          <w:color w:val="auto"/>
          <w:sz w:val="24"/>
          <w:szCs w:val="24"/>
          <w:lang w:val="en-US" w:eastAsia="zh-CN"/>
        </w:rPr>
        <w:t>13566923678</w:t>
      </w:r>
    </w:p>
    <w:p>
      <w:pPr>
        <w:spacing w:line="360" w:lineRule="auto"/>
        <w:ind w:firstLine="480" w:firstLineChars="200"/>
        <w:rPr>
          <w:rFonts w:ascii="宋体" w:hAnsi="宋体" w:cs="宋体"/>
          <w:b/>
          <w:bCs/>
          <w:color w:val="auto"/>
          <w:sz w:val="24"/>
          <w:szCs w:val="24"/>
        </w:rPr>
      </w:pPr>
      <w:r>
        <w:rPr>
          <w:rFonts w:hint="eastAsia" w:ascii="宋体" w:hAnsi="宋体" w:cs="宋体"/>
          <w:b/>
          <w:bCs/>
          <w:color w:val="auto"/>
          <w:sz w:val="24"/>
          <w:szCs w:val="24"/>
        </w:rPr>
        <w:t>2、采购代理机构信息</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名称：</w:t>
      </w:r>
      <w:r>
        <w:rPr>
          <w:rFonts w:hint="eastAsia" w:ascii="宋体" w:hAnsi="宋体" w:cs="宋体"/>
          <w:sz w:val="24"/>
          <w:szCs w:val="24"/>
        </w:rPr>
        <w:t>金华市金诚招投标代理有限公司</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地址：东阳市江北街道关山北路20号</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项目联系人</w:t>
      </w:r>
      <w:r>
        <w:rPr>
          <w:rFonts w:hint="eastAsia" w:ascii="宋体" w:hAnsi="宋体" w:cs="宋体"/>
          <w:sz w:val="24"/>
          <w:szCs w:val="24"/>
        </w:rPr>
        <w:t>（询问）</w:t>
      </w:r>
      <w:r>
        <w:rPr>
          <w:rFonts w:hint="eastAsia" w:ascii="宋体" w:hAnsi="宋体" w:cs="宋体"/>
          <w:color w:val="000000"/>
          <w:sz w:val="24"/>
          <w:szCs w:val="24"/>
        </w:rPr>
        <w:t xml:space="preserve">：张工    </w:t>
      </w:r>
    </w:p>
    <w:p>
      <w:pPr>
        <w:spacing w:line="360" w:lineRule="auto"/>
        <w:ind w:firstLine="480" w:firstLineChars="200"/>
        <w:rPr>
          <w:rFonts w:ascii="宋体" w:hAnsi="宋体" w:cs="宋体"/>
          <w:color w:val="000000"/>
          <w:sz w:val="24"/>
          <w:szCs w:val="24"/>
        </w:rPr>
      </w:pPr>
      <w:r>
        <w:rPr>
          <w:rFonts w:hint="eastAsia" w:ascii="宋体" w:hAnsi="宋体" w:cs="宋体"/>
          <w:sz w:val="24"/>
          <w:szCs w:val="24"/>
        </w:rPr>
        <w:t>项目联系方式（询问）</w:t>
      </w:r>
      <w:r>
        <w:rPr>
          <w:rFonts w:hint="eastAsia" w:ascii="宋体" w:hAnsi="宋体" w:cs="宋体"/>
          <w:color w:val="000000"/>
          <w:sz w:val="24"/>
          <w:szCs w:val="24"/>
        </w:rPr>
        <w:t>：</w:t>
      </w:r>
      <w:r>
        <w:rPr>
          <w:rFonts w:hint="eastAsia" w:ascii="宋体" w:hAnsi="宋体" w:cs="宋体"/>
          <w:sz w:val="24"/>
          <w:szCs w:val="24"/>
        </w:rPr>
        <w:t>13505890861</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质疑联系人：黄老师            </w:t>
      </w:r>
    </w:p>
    <w:p>
      <w:pPr>
        <w:spacing w:line="360" w:lineRule="auto"/>
        <w:ind w:firstLine="480" w:firstLineChars="200"/>
        <w:rPr>
          <w:rFonts w:ascii="宋体" w:hAnsi="宋体" w:cs="宋体"/>
          <w:b/>
          <w:bCs/>
          <w:color w:val="000000"/>
          <w:sz w:val="24"/>
          <w:szCs w:val="24"/>
        </w:rPr>
      </w:pPr>
      <w:r>
        <w:rPr>
          <w:rFonts w:hint="eastAsia" w:ascii="宋体" w:hAnsi="宋体" w:cs="宋体"/>
          <w:sz w:val="24"/>
          <w:szCs w:val="24"/>
        </w:rPr>
        <w:t>质疑联系方式：0579-89311055</w:t>
      </w:r>
    </w:p>
    <w:p>
      <w:pPr>
        <w:spacing w:line="360" w:lineRule="auto"/>
        <w:ind w:firstLine="480" w:firstLineChars="200"/>
        <w:rPr>
          <w:rFonts w:ascii="宋体" w:hAnsi="宋体" w:cs="宋体"/>
          <w:b/>
          <w:bCs/>
          <w:color w:val="000000"/>
          <w:sz w:val="24"/>
          <w:szCs w:val="24"/>
        </w:rPr>
      </w:pPr>
      <w:r>
        <w:rPr>
          <w:rFonts w:hint="eastAsia" w:ascii="宋体" w:hAnsi="宋体" w:cs="宋体"/>
          <w:b/>
          <w:bCs/>
          <w:color w:val="000000"/>
          <w:sz w:val="24"/>
          <w:szCs w:val="24"/>
        </w:rPr>
        <w:t xml:space="preserve">3、同级政府采购监督管理部门：        </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名称：东阳市财政局采购办    </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地址：东阳市人民北路8号     </w:t>
      </w:r>
    </w:p>
    <w:p>
      <w:pPr>
        <w:spacing w:line="360" w:lineRule="auto"/>
        <w:ind w:firstLine="480" w:firstLineChars="200"/>
        <w:rPr>
          <w:rFonts w:ascii="宋体" w:hAnsi="宋体" w:cs="宋体"/>
          <w:b/>
          <w:sz w:val="24"/>
          <w:szCs w:val="24"/>
        </w:rPr>
      </w:pPr>
      <w:r>
        <w:rPr>
          <w:rFonts w:hint="eastAsia" w:ascii="宋体" w:hAnsi="宋体" w:cs="宋体"/>
          <w:color w:val="000000"/>
          <w:sz w:val="24"/>
          <w:szCs w:val="24"/>
        </w:rPr>
        <w:t>监督投诉电话：0579-86662677</w:t>
      </w:r>
    </w:p>
    <w:p>
      <w:pPr>
        <w:spacing w:line="360" w:lineRule="auto"/>
        <w:jc w:val="right"/>
        <w:rPr>
          <w:rFonts w:ascii="宋体" w:hAnsi="宋体" w:cs="宋体"/>
          <w:sz w:val="24"/>
          <w:szCs w:val="24"/>
        </w:rPr>
      </w:pPr>
      <w:r>
        <w:rPr>
          <w:rFonts w:hint="eastAsia" w:ascii="宋体" w:hAnsi="宋体" w:cs="宋体"/>
          <w:color w:val="000000"/>
          <w:sz w:val="24"/>
          <w:szCs w:val="24"/>
        </w:rPr>
        <w:t>浙江省东阳经济开发区江北高新产业园区管委会</w:t>
      </w:r>
    </w:p>
    <w:p>
      <w:pPr>
        <w:spacing w:line="360" w:lineRule="auto"/>
        <w:jc w:val="right"/>
        <w:rPr>
          <w:rFonts w:ascii="宋体" w:hAnsi="宋体" w:cs="宋体"/>
          <w:sz w:val="24"/>
          <w:szCs w:val="24"/>
        </w:rPr>
      </w:pPr>
      <w:r>
        <w:rPr>
          <w:rFonts w:hint="eastAsia" w:ascii="宋体" w:hAnsi="宋体" w:cs="宋体"/>
          <w:sz w:val="24"/>
          <w:szCs w:val="24"/>
        </w:rPr>
        <w:t>金华市金诚招投标代理有限公司</w:t>
      </w:r>
    </w:p>
    <w:p>
      <w:pPr>
        <w:spacing w:line="360" w:lineRule="auto"/>
        <w:jc w:val="right"/>
        <w:rPr>
          <w:rFonts w:ascii="宋体" w:hAnsi="宋体" w:cs="宋体"/>
          <w:sz w:val="24"/>
          <w:szCs w:val="24"/>
        </w:rPr>
      </w:pPr>
      <w:r>
        <w:rPr>
          <w:rFonts w:hint="eastAsia" w:ascii="宋体" w:hAnsi="宋体" w:cs="宋体"/>
          <w:sz w:val="24"/>
          <w:szCs w:val="24"/>
        </w:rPr>
        <w:t xml:space="preserve">2022年7月 </w:t>
      </w:r>
      <w:r>
        <w:rPr>
          <w:rFonts w:hint="eastAsia" w:ascii="宋体" w:hAnsi="宋体" w:cs="宋体"/>
          <w:sz w:val="24"/>
          <w:szCs w:val="24"/>
          <w:lang w:val="en-US" w:eastAsia="zh-CN"/>
        </w:rPr>
        <w:t>19</w:t>
      </w:r>
      <w:r>
        <w:rPr>
          <w:rFonts w:hint="eastAsia" w:ascii="宋体" w:hAnsi="宋体" w:cs="宋体"/>
          <w:sz w:val="24"/>
          <w:szCs w:val="24"/>
        </w:rPr>
        <w:t>日</w:t>
      </w:r>
    </w:p>
    <w:p>
      <w:pPr>
        <w:pStyle w:val="4"/>
        <w:rPr>
          <w:rFonts w:ascii="宋体" w:hAnsi="宋体" w:eastAsia="宋体" w:cs="宋体"/>
          <w:sz w:val="24"/>
          <w:szCs w:val="24"/>
        </w:rPr>
      </w:pPr>
    </w:p>
    <w:p>
      <w:pPr>
        <w:rPr>
          <w:rFonts w:ascii="宋体" w:hAnsi="宋体" w:cs="宋体"/>
          <w:sz w:val="24"/>
          <w:szCs w:val="24"/>
        </w:rPr>
      </w:pPr>
    </w:p>
    <w:p>
      <w:pPr>
        <w:pStyle w:val="4"/>
        <w:rPr>
          <w:rFonts w:ascii="宋体" w:hAnsi="宋体" w:eastAsia="宋体" w:cs="宋体"/>
          <w:sz w:val="24"/>
          <w:szCs w:val="24"/>
        </w:rPr>
      </w:pPr>
    </w:p>
    <w:p>
      <w:pPr>
        <w:rPr>
          <w:rFonts w:ascii="宋体" w:hAnsi="宋体" w:cs="宋体"/>
          <w:sz w:val="24"/>
          <w:szCs w:val="24"/>
        </w:rPr>
      </w:pPr>
    </w:p>
    <w:p>
      <w:pPr>
        <w:pStyle w:val="4"/>
        <w:rPr>
          <w:rFonts w:ascii="宋体" w:hAnsi="宋体" w:eastAsia="宋体" w:cs="宋体"/>
          <w:sz w:val="24"/>
          <w:szCs w:val="24"/>
        </w:rPr>
      </w:pPr>
    </w:p>
    <w:p>
      <w:pPr>
        <w:rPr>
          <w:rFonts w:ascii="宋体" w:hAnsi="宋体" w:cs="宋体"/>
          <w:sz w:val="24"/>
          <w:szCs w:val="24"/>
        </w:rPr>
      </w:pPr>
    </w:p>
    <w:p>
      <w:pPr>
        <w:pStyle w:val="4"/>
        <w:rPr>
          <w:rFonts w:ascii="宋体" w:hAnsi="宋体" w:eastAsia="宋体" w:cs="宋体"/>
          <w:sz w:val="24"/>
          <w:szCs w:val="24"/>
        </w:rPr>
      </w:pPr>
    </w:p>
    <w:p>
      <w:pPr>
        <w:rPr>
          <w:rFonts w:ascii="宋体" w:hAnsi="宋体" w:cs="宋体"/>
          <w:sz w:val="24"/>
          <w:szCs w:val="24"/>
        </w:rPr>
      </w:pPr>
    </w:p>
    <w:p>
      <w:pPr>
        <w:pStyle w:val="4"/>
        <w:rPr>
          <w:rFonts w:ascii="宋体" w:hAnsi="宋体" w:eastAsia="宋体" w:cs="宋体"/>
          <w:sz w:val="24"/>
          <w:szCs w:val="24"/>
        </w:rPr>
      </w:pPr>
    </w:p>
    <w:p>
      <w:pPr>
        <w:rPr>
          <w:rFonts w:ascii="宋体" w:hAnsi="宋体" w:cs="宋体"/>
          <w:sz w:val="24"/>
          <w:szCs w:val="24"/>
        </w:rPr>
      </w:pPr>
    </w:p>
    <w:p>
      <w:pPr>
        <w:pStyle w:val="4"/>
        <w:rPr>
          <w:rFonts w:ascii="宋体" w:hAnsi="宋体" w:eastAsia="宋体" w:cs="宋体"/>
          <w:sz w:val="24"/>
          <w:szCs w:val="24"/>
        </w:rPr>
      </w:pPr>
    </w:p>
    <w:p>
      <w:pPr>
        <w:pStyle w:val="4"/>
      </w:pPr>
    </w:p>
    <w:p/>
    <w:p>
      <w:pPr>
        <w:pStyle w:val="26"/>
        <w:numPr>
          <w:ilvl w:val="0"/>
          <w:numId w:val="3"/>
        </w:numPr>
        <w:snapToGrid w:val="0"/>
        <w:spacing w:beforeLines="0" w:afterLines="0" w:line="360" w:lineRule="auto"/>
        <w:jc w:val="center"/>
        <w:outlineLvl w:val="0"/>
        <w:rPr>
          <w:rFonts w:hAnsi="宋体"/>
          <w:b/>
          <w:bCs/>
          <w:color w:val="0D0D0D"/>
          <w:sz w:val="36"/>
          <w:szCs w:val="36"/>
        </w:rPr>
      </w:pPr>
      <w:r>
        <w:rPr>
          <w:rFonts w:hint="eastAsia" w:hAnsi="宋体"/>
          <w:b/>
          <w:bCs/>
          <w:color w:val="0D0D0D"/>
          <w:sz w:val="36"/>
          <w:szCs w:val="36"/>
        </w:rPr>
        <w:t xml:space="preserve">  招标需求</w:t>
      </w:r>
    </w:p>
    <w:p>
      <w:pPr>
        <w:pStyle w:val="26"/>
        <w:spacing w:beforeLines="0" w:afterLines="0" w:line="360" w:lineRule="auto"/>
        <w:outlineLvl w:val="0"/>
        <w:rPr>
          <w:rFonts w:hAnsi="宋体"/>
          <w:b/>
          <w:bCs/>
        </w:rPr>
      </w:pPr>
      <w:r>
        <w:rPr>
          <w:rFonts w:hint="eastAsia" w:hAnsi="宋体"/>
          <w:b/>
          <w:bCs/>
        </w:rPr>
        <w:t>一、项目基本情况</w:t>
      </w:r>
    </w:p>
    <w:p>
      <w:pPr>
        <w:pStyle w:val="26"/>
        <w:spacing w:beforeLines="0" w:afterLines="0" w:line="360" w:lineRule="auto"/>
        <w:ind w:firstLine="480" w:firstLineChars="200"/>
        <w:outlineLvl w:val="0"/>
        <w:rPr>
          <w:rFonts w:hint="eastAsia" w:hAnsi="宋体" w:eastAsia="宋体"/>
          <w:lang w:eastAsia="zh-CN"/>
        </w:rPr>
      </w:pPr>
      <w:r>
        <w:rPr>
          <w:rFonts w:hint="eastAsia" w:hAnsi="宋体"/>
          <w:b/>
          <w:bCs/>
        </w:rPr>
        <w:t>1、项目编号：</w:t>
      </w:r>
      <w:r>
        <w:rPr>
          <w:rFonts w:hint="eastAsia" w:hAnsi="宋体"/>
          <w:lang w:eastAsia="zh-CN"/>
        </w:rPr>
        <w:t>JCZFCG2022-Z31-C298</w:t>
      </w:r>
    </w:p>
    <w:p>
      <w:pPr>
        <w:pStyle w:val="26"/>
        <w:spacing w:beforeLines="0" w:afterLines="0" w:line="360" w:lineRule="auto"/>
        <w:ind w:firstLine="480" w:firstLineChars="200"/>
        <w:rPr>
          <w:rFonts w:hAnsi="宋体"/>
        </w:rPr>
      </w:pPr>
      <w:r>
        <w:rPr>
          <w:rFonts w:hint="eastAsia" w:hAnsi="宋体"/>
          <w:b/>
          <w:bCs/>
        </w:rPr>
        <w:t>2、项目名称：</w:t>
      </w:r>
      <w:r>
        <w:rPr>
          <w:rFonts w:hint="eastAsia" w:hAnsi="宋体"/>
        </w:rPr>
        <w:t>东阳江流域江北片区排口溯源及水环境整治提升方案服务采购项目</w:t>
      </w:r>
    </w:p>
    <w:p>
      <w:pPr>
        <w:pStyle w:val="26"/>
        <w:spacing w:beforeLines="0" w:afterLines="0" w:line="360" w:lineRule="auto"/>
        <w:ind w:firstLine="480" w:firstLineChars="200"/>
        <w:outlineLvl w:val="0"/>
        <w:rPr>
          <w:rFonts w:hAnsi="宋体"/>
          <w:b/>
          <w:bCs/>
        </w:rPr>
      </w:pPr>
      <w:r>
        <w:rPr>
          <w:rFonts w:hint="eastAsia" w:hAnsi="宋体"/>
          <w:b/>
          <w:bCs/>
        </w:rPr>
        <w:t>3、项目背景</w:t>
      </w:r>
    </w:p>
    <w:p>
      <w:pPr>
        <w:spacing w:line="360" w:lineRule="auto"/>
        <w:ind w:firstLine="480" w:firstLineChars="200"/>
        <w:rPr>
          <w:rFonts w:ascii="宋体" w:hAnsi="宋体" w:cs="宋体"/>
          <w:sz w:val="24"/>
          <w:szCs w:val="24"/>
        </w:rPr>
      </w:pPr>
      <w:r>
        <w:rPr>
          <w:rFonts w:hint="eastAsia" w:ascii="宋体" w:hAnsi="宋体" w:cs="宋体"/>
          <w:sz w:val="24"/>
          <w:szCs w:val="24"/>
        </w:rPr>
        <w:t>为有效解决东阳江流域江北街道排水系统现状污染问题，实现“旱天零直排、雨天不冒溢”的排水系统提升目标，以及东阳江“由净到美”的水环境质量的目标。结合《关于加强城市地下市政基础设施建设的指导意见》（建城〔2020〕111号）、《关于印发深入打好城市黑臭水体治理攻坚战实施方案》（住建部、生态环境部、国家发改委、水利部）等文件要求，急需对江北片区的东阳江及其支流开展旱季排水排口、雨季溢流排口的污染溯源、错混接调查、管网病害调查及整治提升设计前期工作。</w:t>
      </w:r>
    </w:p>
    <w:p>
      <w:pPr>
        <w:spacing w:line="360" w:lineRule="auto"/>
        <w:rPr>
          <w:rFonts w:ascii="宋体" w:hAnsi="宋体" w:cs="宋体"/>
          <w:b/>
          <w:sz w:val="24"/>
          <w:szCs w:val="24"/>
        </w:rPr>
      </w:pPr>
      <w:r>
        <w:rPr>
          <w:rFonts w:hint="eastAsia" w:ascii="宋体" w:hAnsi="宋体" w:cs="宋体"/>
          <w:b/>
          <w:sz w:val="24"/>
          <w:szCs w:val="24"/>
        </w:rPr>
        <w:t>二、服务内容及要求</w:t>
      </w:r>
    </w:p>
    <w:p>
      <w:pPr>
        <w:widowControl/>
        <w:spacing w:line="360" w:lineRule="auto"/>
        <w:ind w:firstLine="480" w:firstLineChars="200"/>
        <w:jc w:val="left"/>
        <w:rPr>
          <w:rFonts w:ascii="宋体" w:hAnsi="宋体" w:cs="宋体"/>
          <w:b/>
          <w:sz w:val="24"/>
          <w:szCs w:val="24"/>
        </w:rPr>
      </w:pPr>
      <w:r>
        <w:rPr>
          <w:rFonts w:hint="eastAsia" w:ascii="宋体" w:hAnsi="宋体" w:cs="宋体"/>
          <w:b/>
          <w:sz w:val="24"/>
          <w:szCs w:val="24"/>
        </w:rPr>
        <w:t>（一）基本服务内容</w:t>
      </w:r>
    </w:p>
    <w:p>
      <w:pPr>
        <w:spacing w:line="360" w:lineRule="auto"/>
        <w:ind w:firstLine="480" w:firstLineChars="200"/>
        <w:rPr>
          <w:rFonts w:ascii="宋体" w:hAnsi="宋体" w:cs="宋体"/>
          <w:sz w:val="24"/>
          <w:szCs w:val="24"/>
        </w:rPr>
      </w:pPr>
      <w:r>
        <w:rPr>
          <w:rFonts w:hint="eastAsia" w:ascii="宋体" w:hAnsi="宋体" w:cs="宋体"/>
          <w:sz w:val="24"/>
          <w:szCs w:val="24"/>
        </w:rPr>
        <w:t>对东阳江流域江北片区以及6条支流（渔溪、浪坑、周店溪、锦溪、盘溪、桐坑）进行系统的水环境调查，追溯问题排口源头，摸清排水管网的数据家底，系统诊断问题成因，给出排水系统整治提升方案。主要工作内容包括（但不限于）：排口及管网污染溯源；专项排查：混接点调查、内涝点排查、暗渠摸查、水质检测；整改提升方案。要求：</w:t>
      </w:r>
    </w:p>
    <w:p>
      <w:pPr>
        <w:spacing w:line="360" w:lineRule="auto"/>
        <w:ind w:firstLine="480" w:firstLineChars="200"/>
        <w:rPr>
          <w:rFonts w:ascii="宋体" w:hAnsi="宋体" w:cs="宋体"/>
          <w:sz w:val="24"/>
          <w:szCs w:val="24"/>
        </w:rPr>
      </w:pPr>
      <w:r>
        <w:rPr>
          <w:rFonts w:hint="eastAsia" w:ascii="宋体" w:hAnsi="宋体" w:cs="宋体"/>
          <w:sz w:val="24"/>
          <w:szCs w:val="24"/>
        </w:rPr>
        <w:t>1、综合利用专业技术手段，追溯旱天出流排口和雨季溢流排口的问题源头，摸清流域范围内排水管网的数据家底，排查造成环境污染和城市安全隐患的其他典型问题。</w:t>
      </w:r>
    </w:p>
    <w:p>
      <w:pPr>
        <w:spacing w:line="360" w:lineRule="auto"/>
        <w:ind w:firstLine="480" w:firstLineChars="200"/>
        <w:rPr>
          <w:rFonts w:ascii="宋体" w:hAnsi="宋体" w:cs="宋体"/>
          <w:sz w:val="24"/>
          <w:szCs w:val="24"/>
        </w:rPr>
      </w:pPr>
      <w:r>
        <w:rPr>
          <w:rFonts w:hint="eastAsia" w:ascii="宋体" w:hAnsi="宋体" w:cs="宋体"/>
          <w:sz w:val="24"/>
          <w:szCs w:val="24"/>
        </w:rPr>
        <w:t>2、依据调查结果，系统诊断问题成因，给出针对性的、切实可行的排水系统整治提升方案，为片区排水系统顶层规划及水环境提升提供支撑。</w:t>
      </w:r>
    </w:p>
    <w:p>
      <w:pPr>
        <w:spacing w:line="360" w:lineRule="auto"/>
        <w:ind w:firstLine="480" w:firstLineChars="200"/>
        <w:rPr>
          <w:rFonts w:ascii="宋体" w:hAnsi="宋体" w:cs="宋体"/>
          <w:sz w:val="24"/>
          <w:szCs w:val="24"/>
        </w:rPr>
      </w:pPr>
      <w:r>
        <w:rPr>
          <w:rFonts w:hint="eastAsia" w:ascii="宋体" w:hAnsi="宋体" w:cs="宋体"/>
          <w:sz w:val="24"/>
          <w:szCs w:val="24"/>
        </w:rPr>
        <w:t>（二）服务调查范围</w:t>
      </w:r>
    </w:p>
    <w:p>
      <w:pPr>
        <w:spacing w:line="360" w:lineRule="auto"/>
        <w:ind w:firstLine="480" w:firstLineChars="200"/>
        <w:rPr>
          <w:rFonts w:ascii="宋体" w:hAnsi="宋体" w:cs="宋体"/>
          <w:sz w:val="24"/>
          <w:szCs w:val="24"/>
        </w:rPr>
      </w:pPr>
      <w:r>
        <w:rPr>
          <w:rFonts w:hint="eastAsia" w:ascii="宋体" w:hAnsi="宋体" w:cs="宋体"/>
          <w:sz w:val="24"/>
          <w:szCs w:val="24"/>
        </w:rPr>
        <w:t>东阳市江北片区（东至东康路，南到东阳江，西至义务交界，北至甬金高速），流域面积33.95km2，排水管网总长度211.5km，其中雨水管网和污水管网分别为105.75km，雨水排口100个，暗涵长度2公里。</w:t>
      </w:r>
    </w:p>
    <w:p>
      <w:pPr>
        <w:widowControl/>
        <w:spacing w:line="360" w:lineRule="auto"/>
        <w:ind w:firstLine="480" w:firstLineChars="200"/>
        <w:jc w:val="left"/>
        <w:rPr>
          <w:rFonts w:ascii="宋体" w:hAnsi="宋体" w:cs="宋体"/>
          <w:b/>
          <w:sz w:val="24"/>
          <w:szCs w:val="24"/>
        </w:rPr>
      </w:pPr>
      <w:r>
        <w:rPr>
          <w:rFonts w:hint="eastAsia" w:ascii="宋体" w:hAnsi="宋体" w:cs="宋体"/>
          <w:b/>
          <w:sz w:val="24"/>
          <w:szCs w:val="24"/>
        </w:rPr>
        <w:t>（三）工作依据</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1、《关于印发深入打好城市黑臭水体治理攻坚战实施方案》（城建[2022]29号）</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2、《城镇生活污水处理设施补短板强弱项实施方案》（发改环资[2020]1234 号）</w:t>
      </w:r>
    </w:p>
    <w:p>
      <w:pPr>
        <w:widowControl/>
        <w:spacing w:line="360" w:lineRule="auto"/>
        <w:ind w:firstLine="480" w:firstLineChars="200"/>
        <w:jc w:val="left"/>
      </w:pPr>
      <w:r>
        <w:rPr>
          <w:rFonts w:hint="eastAsia" w:ascii="宋体" w:hAnsi="宋体" w:cs="宋体"/>
          <w:sz w:val="24"/>
          <w:szCs w:val="24"/>
        </w:rPr>
        <w:t>3、《关于加强城市地下市政基础设施建设的指导意见》（建城〔2020〕111号）</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4、《城镇排水管道检测与评估技术规程》 （CJJ181-2012）</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5、《城镇排水管渠与泵站运行、维护及安全技术规程》 （CJJ68-2016）</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6、《城市黑臭水体整治-排水口、管道及检查井治理技术指南》（建城函[2016]198号）</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7、《东阳市生态环境保护“十四五”规划》（）</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8、《东阳市城镇污水排入排水管网许可 管理实施办法（试行）》（东综执〔2021〕25号）</w:t>
      </w:r>
    </w:p>
    <w:p>
      <w:pPr>
        <w:widowControl/>
        <w:spacing w:line="360" w:lineRule="auto"/>
        <w:ind w:firstLine="480" w:firstLineChars="200"/>
        <w:jc w:val="left"/>
        <w:rPr>
          <w:rFonts w:ascii="宋体" w:hAnsi="宋体" w:cs="宋体"/>
          <w:b/>
          <w:sz w:val="24"/>
          <w:szCs w:val="24"/>
        </w:rPr>
      </w:pPr>
      <w:r>
        <w:rPr>
          <w:rFonts w:hint="eastAsia" w:ascii="宋体" w:hAnsi="宋体" w:cs="宋体"/>
          <w:b/>
          <w:sz w:val="24"/>
          <w:szCs w:val="24"/>
        </w:rPr>
        <w:t>（四）工作流程要求</w:t>
      </w:r>
    </w:p>
    <w:p>
      <w:pPr>
        <w:spacing w:line="360" w:lineRule="auto"/>
        <w:ind w:firstLine="480" w:firstLineChars="200"/>
        <w:rPr>
          <w:rFonts w:ascii="宋体" w:hAnsi="宋体" w:cs="宋体"/>
          <w:sz w:val="24"/>
          <w:szCs w:val="24"/>
        </w:rPr>
      </w:pPr>
      <w:r>
        <w:rPr>
          <w:rFonts w:hint="eastAsia" w:ascii="宋体" w:hAnsi="宋体" w:cs="宋体"/>
          <w:sz w:val="24"/>
          <w:szCs w:val="24"/>
        </w:rPr>
        <w:t>1、现场踏勘及前期调研</w:t>
      </w:r>
    </w:p>
    <w:p>
      <w:pPr>
        <w:spacing w:line="360" w:lineRule="auto"/>
        <w:ind w:firstLine="480"/>
        <w:rPr>
          <w:rFonts w:ascii="宋体" w:hAnsi="宋体" w:cs="宋体"/>
          <w:sz w:val="24"/>
          <w:szCs w:val="24"/>
        </w:rPr>
      </w:pPr>
      <w:r>
        <w:rPr>
          <w:rFonts w:hint="eastAsia" w:ascii="宋体" w:hAnsi="宋体" w:cs="宋体"/>
          <w:sz w:val="24"/>
          <w:szCs w:val="24"/>
        </w:rPr>
        <w:t>通过对东阳江流域江北片区现状排水管网资料收集整理与现场勘察，初步了解排水管网现状，制定行之有效的服务方案。</w:t>
      </w:r>
    </w:p>
    <w:p>
      <w:pPr>
        <w:spacing w:line="360" w:lineRule="auto"/>
        <w:ind w:firstLine="480"/>
        <w:rPr>
          <w:rFonts w:ascii="宋体" w:hAnsi="宋体" w:cs="宋体"/>
          <w:sz w:val="24"/>
          <w:szCs w:val="24"/>
        </w:rPr>
      </w:pPr>
      <w:r>
        <w:rPr>
          <w:rFonts w:hint="eastAsia" w:ascii="宋体" w:hAnsi="宋体" w:cs="宋体"/>
          <w:sz w:val="24"/>
          <w:szCs w:val="24"/>
        </w:rPr>
        <w:t>2、沿河排口调查及溯源</w:t>
      </w:r>
    </w:p>
    <w:p>
      <w:pPr>
        <w:spacing w:line="360" w:lineRule="auto"/>
        <w:ind w:firstLine="480"/>
        <w:rPr>
          <w:rFonts w:ascii="宋体" w:hAnsi="宋体" w:cs="宋体"/>
          <w:sz w:val="24"/>
          <w:szCs w:val="24"/>
        </w:rPr>
      </w:pPr>
      <w:r>
        <w:rPr>
          <w:rFonts w:hint="eastAsia" w:ascii="宋体" w:hAnsi="宋体" w:cs="宋体"/>
          <w:sz w:val="24"/>
          <w:szCs w:val="24"/>
        </w:rPr>
        <w:t>针对问题排口，摸清排口基本信息及污染状况，找到引起旱天出流及雨天溢流的问题点位，并追溯到问题源头，最终成果形成一张图展示，方便信息查询，为下一步问题整改提供依据。</w:t>
      </w:r>
    </w:p>
    <w:p>
      <w:pPr>
        <w:spacing w:line="360" w:lineRule="auto"/>
        <w:ind w:firstLine="480"/>
        <w:rPr>
          <w:rFonts w:ascii="宋体" w:hAnsi="宋体" w:cs="宋体"/>
          <w:sz w:val="24"/>
          <w:szCs w:val="24"/>
        </w:rPr>
      </w:pPr>
      <w:r>
        <w:rPr>
          <w:rFonts w:hint="eastAsia" w:ascii="宋体" w:hAnsi="宋体" w:cs="宋体"/>
          <w:sz w:val="24"/>
          <w:szCs w:val="24"/>
        </w:rPr>
        <w:t>3、管线普查及缺陷调查</w:t>
      </w:r>
    </w:p>
    <w:p>
      <w:pPr>
        <w:numPr>
          <w:ilvl w:val="255"/>
          <w:numId w:val="0"/>
        </w:numPr>
        <w:spacing w:line="360" w:lineRule="auto"/>
        <w:ind w:firstLine="482"/>
        <w:rPr>
          <w:rFonts w:ascii="宋体" w:hAnsi="宋体" w:cs="宋体"/>
          <w:sz w:val="24"/>
          <w:szCs w:val="24"/>
        </w:rPr>
      </w:pPr>
      <w:r>
        <w:rPr>
          <w:rFonts w:hint="eastAsia" w:ascii="宋体" w:hAnsi="宋体" w:cs="宋体"/>
          <w:sz w:val="24"/>
          <w:szCs w:val="24"/>
        </w:rPr>
        <w:t>利用专业设备，对区域范围内排水管网进行系统调查检测，记录缺陷问题并存档，对管网健康状况进行评估，建立管网数字化档案，为实现排水管网数字化管理提供支撑。针对管网中存在的错节、破损、淤堵、坍塌等缺陷问题，给出管网清淤、修复方案，管网养护建议。</w:t>
      </w:r>
    </w:p>
    <w:p>
      <w:pPr>
        <w:spacing w:line="360" w:lineRule="auto"/>
        <w:ind w:firstLine="480"/>
        <w:rPr>
          <w:rFonts w:ascii="宋体" w:hAnsi="宋体" w:cs="宋体"/>
          <w:sz w:val="24"/>
          <w:szCs w:val="24"/>
        </w:rPr>
      </w:pPr>
      <w:r>
        <w:rPr>
          <w:rFonts w:hint="eastAsia" w:ascii="宋体" w:hAnsi="宋体" w:cs="宋体"/>
          <w:sz w:val="24"/>
          <w:szCs w:val="24"/>
        </w:rPr>
        <w:t>4、专项调查</w:t>
      </w:r>
    </w:p>
    <w:p>
      <w:pPr>
        <w:spacing w:line="360" w:lineRule="auto"/>
        <w:ind w:firstLine="480"/>
        <w:rPr>
          <w:rFonts w:ascii="宋体" w:hAnsi="宋体" w:cs="宋体"/>
          <w:sz w:val="24"/>
          <w:szCs w:val="24"/>
        </w:rPr>
      </w:pPr>
      <w:r>
        <w:rPr>
          <w:rFonts w:hint="eastAsia" w:ascii="宋体" w:hAnsi="宋体" w:cs="宋体"/>
          <w:sz w:val="24"/>
          <w:szCs w:val="24"/>
        </w:rPr>
        <w:t>利用专项技术设备，对影响水环境质量和城市安全的突出问题进行专项调查，查清混错接点，摸清暗渠的基本信息，每个易涝点的基本信息及成因，给出专项报告，支撑综合整治方案的编制。</w:t>
      </w:r>
    </w:p>
    <w:p>
      <w:pPr>
        <w:spacing w:line="360" w:lineRule="auto"/>
        <w:ind w:left="420" w:leftChars="200"/>
        <w:rPr>
          <w:rFonts w:ascii="宋体" w:hAnsi="宋体" w:cs="宋体"/>
          <w:sz w:val="24"/>
          <w:szCs w:val="24"/>
        </w:rPr>
      </w:pPr>
      <w:r>
        <w:rPr>
          <w:rFonts w:hint="eastAsia" w:ascii="宋体" w:hAnsi="宋体" w:cs="宋体"/>
          <w:sz w:val="24"/>
          <w:szCs w:val="24"/>
        </w:rPr>
        <w:t>5、水环境整治提升方案</w:t>
      </w:r>
    </w:p>
    <w:p>
      <w:pPr>
        <w:numPr>
          <w:ilvl w:val="255"/>
          <w:numId w:val="0"/>
        </w:numPr>
        <w:spacing w:line="360" w:lineRule="auto"/>
        <w:ind w:firstLine="465"/>
        <w:rPr>
          <w:rFonts w:ascii="宋体" w:hAnsi="宋体" w:cs="宋体"/>
          <w:sz w:val="24"/>
          <w:szCs w:val="24"/>
        </w:rPr>
      </w:pPr>
      <w:r>
        <w:rPr>
          <w:rFonts w:hint="eastAsia" w:ascii="宋体" w:hAnsi="宋体" w:cs="宋体"/>
          <w:sz w:val="24"/>
          <w:szCs w:val="24"/>
        </w:rPr>
        <w:t>依据调查结果，系统诊断问题成因，给出针对性的、切实可行的排水系统整治提升方案，为片区排水系统顶层规划及水环境提上提供支撑。</w:t>
      </w:r>
    </w:p>
    <w:p>
      <w:pPr>
        <w:spacing w:line="360" w:lineRule="auto"/>
        <w:ind w:firstLine="480" w:firstLineChars="200"/>
        <w:rPr>
          <w:rFonts w:ascii="宋体" w:hAnsi="宋体" w:cs="宋体"/>
          <w:sz w:val="24"/>
          <w:szCs w:val="24"/>
        </w:rPr>
      </w:pPr>
      <w:r>
        <w:rPr>
          <w:rFonts w:hint="eastAsia" w:ascii="宋体" w:hAnsi="宋体" w:cs="宋体"/>
          <w:sz w:val="24"/>
          <w:szCs w:val="24"/>
        </w:rPr>
        <w:t>6、集成成果</w:t>
      </w:r>
    </w:p>
    <w:p>
      <w:pPr>
        <w:numPr>
          <w:ilvl w:val="0"/>
          <w:numId w:val="4"/>
        </w:numPr>
        <w:spacing w:line="360" w:lineRule="auto"/>
        <w:ind w:firstLine="465"/>
        <w:rPr>
          <w:rFonts w:ascii="宋体" w:hAnsi="宋体" w:cs="宋体"/>
          <w:sz w:val="24"/>
          <w:szCs w:val="24"/>
        </w:rPr>
      </w:pPr>
      <w:r>
        <w:rPr>
          <w:rFonts w:hint="eastAsia" w:ascii="宋体" w:hAnsi="宋体" w:cs="宋体"/>
          <w:sz w:val="24"/>
          <w:szCs w:val="24"/>
        </w:rPr>
        <w:t>按照要求将以上工作内容整理形成成果文件，提交给相关部门征求意见；</w:t>
      </w:r>
    </w:p>
    <w:p>
      <w:pPr>
        <w:numPr>
          <w:ilvl w:val="0"/>
          <w:numId w:val="4"/>
        </w:numPr>
        <w:spacing w:line="360" w:lineRule="auto"/>
        <w:ind w:firstLine="465"/>
        <w:rPr>
          <w:rFonts w:ascii="宋体" w:hAnsi="宋体" w:cs="宋体"/>
          <w:sz w:val="24"/>
          <w:szCs w:val="24"/>
        </w:rPr>
      </w:pPr>
      <w:r>
        <w:rPr>
          <w:rFonts w:hint="eastAsia" w:ascii="宋体" w:hAnsi="宋体" w:cs="宋体"/>
          <w:sz w:val="24"/>
          <w:szCs w:val="24"/>
        </w:rPr>
        <w:t>按照意见修改完善成果文件后，组织验收；</w:t>
      </w:r>
    </w:p>
    <w:p>
      <w:pPr>
        <w:spacing w:line="360" w:lineRule="auto"/>
        <w:ind w:firstLine="480" w:firstLineChars="200"/>
        <w:rPr>
          <w:rFonts w:ascii="宋体" w:hAnsi="宋体" w:cs="宋体"/>
          <w:sz w:val="24"/>
          <w:szCs w:val="24"/>
        </w:rPr>
      </w:pPr>
      <w:r>
        <w:rPr>
          <w:rFonts w:hint="eastAsia" w:ascii="宋体" w:hAnsi="宋体" w:cs="宋体"/>
          <w:sz w:val="24"/>
          <w:szCs w:val="24"/>
        </w:rPr>
        <w:t>（3）根据验收意见和建议修改完善后形成最终成果。</w:t>
      </w:r>
    </w:p>
    <w:p>
      <w:pPr>
        <w:widowControl/>
        <w:spacing w:line="360" w:lineRule="auto"/>
        <w:ind w:firstLine="480" w:firstLineChars="200"/>
        <w:jc w:val="left"/>
        <w:rPr>
          <w:rFonts w:ascii="宋体" w:hAnsi="宋体" w:cs="宋体"/>
          <w:b/>
          <w:sz w:val="24"/>
          <w:szCs w:val="24"/>
        </w:rPr>
      </w:pPr>
      <w:r>
        <w:rPr>
          <w:rFonts w:hint="eastAsia" w:ascii="宋体" w:hAnsi="宋体" w:cs="宋体"/>
          <w:b/>
          <w:sz w:val="24"/>
          <w:szCs w:val="24"/>
        </w:rPr>
        <w:t>（五）成果构成</w:t>
      </w:r>
    </w:p>
    <w:p>
      <w:pPr>
        <w:spacing w:line="360" w:lineRule="auto"/>
        <w:ind w:firstLine="480" w:firstLineChars="200"/>
        <w:rPr>
          <w:rFonts w:ascii="宋体" w:hAnsi="宋体" w:cs="宋体"/>
          <w:sz w:val="24"/>
          <w:szCs w:val="24"/>
        </w:rPr>
      </w:pPr>
      <w:r>
        <w:rPr>
          <w:rFonts w:hint="eastAsia" w:ascii="宋体" w:hAnsi="宋体" w:cs="宋体"/>
          <w:sz w:val="24"/>
          <w:szCs w:val="24"/>
        </w:rPr>
        <w:t>最终成果提供纸质和电子两种形式的，成果汇报材料提供电子稿。纸质成果A4规格，主要图纸需附在文本后或者独立成册。电子数据要求文字为*.DOC格式，图纸为*.dwg和*.JPG格式，</w:t>
      </w:r>
      <w:bookmarkStart w:id="0" w:name="OLE_LINK4"/>
      <w:r>
        <w:rPr>
          <w:rFonts w:hint="eastAsia" w:ascii="宋体" w:hAnsi="宋体" w:cs="宋体"/>
          <w:sz w:val="24"/>
          <w:szCs w:val="24"/>
        </w:rPr>
        <w:t>汇报演示材料</w:t>
      </w:r>
      <w:bookmarkEnd w:id="0"/>
      <w:r>
        <w:rPr>
          <w:rFonts w:hint="eastAsia" w:ascii="宋体" w:hAnsi="宋体" w:cs="宋体"/>
          <w:sz w:val="24"/>
          <w:szCs w:val="24"/>
        </w:rPr>
        <w:t>为*.PPT格式。成果数量要求征求意见稿、评审稿按实际需要数量提供，最终完整成果要求按照A4格式打印提供20套并同时提交电子文件（DWG、JPG、DOC、PDF文件），光盘20套。</w:t>
      </w:r>
    </w:p>
    <w:p>
      <w:pPr>
        <w:spacing w:line="360" w:lineRule="auto"/>
        <w:ind w:firstLine="480" w:firstLineChars="200"/>
        <w:rPr>
          <w:rFonts w:ascii="宋体" w:hAnsi="宋体" w:cs="宋体"/>
          <w:sz w:val="24"/>
          <w:szCs w:val="24"/>
        </w:rPr>
      </w:pPr>
      <w:r>
        <w:rPr>
          <w:rFonts w:hint="eastAsia" w:ascii="宋体" w:hAnsi="宋体" w:cs="宋体"/>
          <w:sz w:val="24"/>
          <w:szCs w:val="24"/>
        </w:rPr>
        <w:t>（1）排口档案：含排口位置信息，排口性质，问题排口溯源CAD图。</w:t>
      </w:r>
    </w:p>
    <w:p>
      <w:pPr>
        <w:spacing w:line="360" w:lineRule="auto"/>
        <w:ind w:firstLine="480" w:firstLineChars="200"/>
        <w:rPr>
          <w:rFonts w:ascii="宋体" w:hAnsi="宋体" w:cs="宋体"/>
          <w:sz w:val="24"/>
          <w:szCs w:val="24"/>
        </w:rPr>
      </w:pPr>
      <w:r>
        <w:rPr>
          <w:rFonts w:hint="eastAsia" w:ascii="宋体" w:hAnsi="宋体" w:cs="宋体"/>
          <w:sz w:val="24"/>
          <w:szCs w:val="24"/>
        </w:rPr>
        <w:t>（2）排水管网数字化档案：流域范围内排水主管网CAD版排水管线平面图及数据库，管网缺陷信息等数字化档案；</w:t>
      </w:r>
    </w:p>
    <w:p>
      <w:pPr>
        <w:spacing w:line="360" w:lineRule="auto"/>
        <w:ind w:firstLine="480" w:firstLineChars="200"/>
        <w:rPr>
          <w:rFonts w:ascii="宋体" w:hAnsi="宋体" w:cs="宋体"/>
          <w:sz w:val="24"/>
          <w:szCs w:val="24"/>
        </w:rPr>
      </w:pPr>
      <w:r>
        <w:rPr>
          <w:rFonts w:hint="eastAsia" w:ascii="宋体" w:hAnsi="宋体" w:cs="宋体"/>
          <w:sz w:val="24"/>
          <w:szCs w:val="24"/>
        </w:rPr>
        <w:t>（3）专项调查成果：管网缺陷调查报告，混错接点报告，易涝点报告，暗渠调查报告等；</w:t>
      </w:r>
    </w:p>
    <w:p>
      <w:pPr>
        <w:spacing w:line="360" w:lineRule="auto"/>
        <w:ind w:firstLine="480" w:firstLineChars="200"/>
        <w:rPr>
          <w:rFonts w:ascii="宋体" w:hAnsi="宋体" w:cs="宋体"/>
          <w:sz w:val="24"/>
          <w:szCs w:val="24"/>
        </w:rPr>
      </w:pPr>
      <w:r>
        <w:rPr>
          <w:rFonts w:hint="eastAsia" w:ascii="宋体" w:hAnsi="宋体" w:cs="宋体"/>
          <w:sz w:val="24"/>
          <w:szCs w:val="24"/>
        </w:rPr>
        <w:t>（4）水环境整治提升方案。</w:t>
      </w:r>
    </w:p>
    <w:p>
      <w:pPr>
        <w:spacing w:line="360" w:lineRule="auto"/>
        <w:rPr>
          <w:rFonts w:ascii="宋体" w:hAnsi="宋体" w:cs="宋体"/>
          <w:b/>
          <w:bCs/>
          <w:sz w:val="24"/>
          <w:szCs w:val="24"/>
        </w:rPr>
      </w:pPr>
      <w:r>
        <w:rPr>
          <w:rFonts w:hint="eastAsia" w:ascii="宋体" w:hAnsi="宋体" w:cs="宋体"/>
          <w:b/>
          <w:sz w:val="24"/>
          <w:szCs w:val="24"/>
        </w:rPr>
        <w:t>三、</w:t>
      </w:r>
      <w:r>
        <w:rPr>
          <w:rFonts w:hint="eastAsia" w:ascii="宋体" w:hAnsi="宋体" w:cs="宋体"/>
          <w:b/>
          <w:bCs/>
          <w:sz w:val="24"/>
          <w:szCs w:val="24"/>
        </w:rPr>
        <w:t>服务期限及地点</w:t>
      </w:r>
    </w:p>
    <w:p>
      <w:pPr>
        <w:spacing w:line="360" w:lineRule="auto"/>
        <w:ind w:firstLine="480" w:firstLineChars="200"/>
        <w:rPr>
          <w:rFonts w:ascii="宋体" w:hAnsi="宋体" w:cs="宋体"/>
          <w:sz w:val="24"/>
          <w:szCs w:val="24"/>
        </w:rPr>
      </w:pPr>
      <w:r>
        <w:rPr>
          <w:rFonts w:hint="eastAsia" w:ascii="宋体" w:hAnsi="宋体" w:cs="宋体"/>
          <w:bCs/>
          <w:sz w:val="24"/>
          <w:szCs w:val="24"/>
        </w:rPr>
        <w:t>工期：90天。</w:t>
      </w:r>
    </w:p>
    <w:p>
      <w:pPr>
        <w:spacing w:line="360" w:lineRule="auto"/>
        <w:rPr>
          <w:rFonts w:ascii="宋体" w:hAnsi="宋体" w:cs="宋体"/>
          <w:b/>
          <w:bCs/>
          <w:sz w:val="24"/>
          <w:szCs w:val="24"/>
        </w:rPr>
      </w:pPr>
      <w:r>
        <w:rPr>
          <w:rFonts w:hint="eastAsia" w:ascii="宋体" w:hAnsi="宋体" w:cs="宋体"/>
          <w:b/>
          <w:bCs/>
          <w:sz w:val="24"/>
          <w:szCs w:val="24"/>
        </w:rPr>
        <w:t>四、项目投标报价要求</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本项目要求投标人根据本项目服务要求和企业自身条件合理确定投标报价。投标报价包括</w:t>
      </w:r>
      <w:r>
        <w:rPr>
          <w:rFonts w:hint="eastAsia" w:ascii="宋体" w:hAnsi="宋体" w:cs="宋体"/>
          <w:sz w:val="24"/>
          <w:szCs w:val="24"/>
          <w:lang w:val="zh-CN"/>
        </w:rPr>
        <w:t>人员费用、材料消耗费、</w:t>
      </w:r>
      <w:r>
        <w:rPr>
          <w:rFonts w:hint="eastAsia" w:ascii="宋体" w:hAnsi="宋体" w:cs="宋体"/>
          <w:sz w:val="24"/>
          <w:szCs w:val="24"/>
        </w:rPr>
        <w:t>方案评审、</w:t>
      </w:r>
      <w:r>
        <w:rPr>
          <w:rFonts w:hint="eastAsia" w:ascii="宋体" w:hAnsi="宋体" w:cs="宋体"/>
          <w:sz w:val="24"/>
          <w:szCs w:val="24"/>
          <w:lang w:val="zh-CN"/>
        </w:rPr>
        <w:t>管理费、调研费、考察费、</w:t>
      </w:r>
      <w:r>
        <w:rPr>
          <w:rFonts w:hint="eastAsia" w:ascii="宋体" w:hAnsi="宋体" w:cs="宋体"/>
          <w:sz w:val="24"/>
          <w:szCs w:val="24"/>
        </w:rPr>
        <w:t>车旅费、食宿</w:t>
      </w:r>
      <w:r>
        <w:rPr>
          <w:rFonts w:hint="eastAsia" w:ascii="宋体" w:hAnsi="宋体" w:cs="宋体"/>
          <w:sz w:val="24"/>
          <w:szCs w:val="24"/>
          <w:lang w:val="zh-CN"/>
        </w:rPr>
        <w:t>、综合验收、</w:t>
      </w:r>
      <w:r>
        <w:rPr>
          <w:rFonts w:hint="eastAsia" w:ascii="宋体" w:hAnsi="宋体" w:cs="宋体"/>
          <w:sz w:val="24"/>
          <w:szCs w:val="24"/>
        </w:rPr>
        <w:t>售后服务、保险、税收等所有费用，以及政策性文件规定和合同包含的所有风险、责任应承担的费用，合同实施过程中应预见和不可预见费用等。投标报价为投标方所能承受的整个项目最终一次性报价，如有漏项，视同已包含在其它项目中，合同总价不做调整。</w:t>
      </w:r>
    </w:p>
    <w:p>
      <w:pPr>
        <w:spacing w:line="360" w:lineRule="auto"/>
        <w:rPr>
          <w:rFonts w:ascii="宋体" w:hAnsi="宋体" w:cs="宋体"/>
          <w:b/>
          <w:bCs/>
          <w:sz w:val="24"/>
          <w:szCs w:val="24"/>
        </w:rPr>
      </w:pPr>
      <w:r>
        <w:rPr>
          <w:rFonts w:hint="eastAsia" w:ascii="宋体" w:hAnsi="宋体" w:cs="宋体"/>
          <w:b/>
          <w:bCs/>
          <w:sz w:val="24"/>
          <w:szCs w:val="24"/>
        </w:rPr>
        <w:t>五、付款方式</w:t>
      </w:r>
    </w:p>
    <w:p>
      <w:pPr>
        <w:spacing w:line="360" w:lineRule="auto"/>
        <w:ind w:firstLine="480" w:firstLineChars="200"/>
        <w:jc w:val="left"/>
        <w:rPr>
          <w:rFonts w:ascii="宋体" w:hAnsi="宋体" w:cs="宋体"/>
          <w:sz w:val="24"/>
          <w:szCs w:val="24"/>
        </w:rPr>
      </w:pPr>
      <w:r>
        <w:rPr>
          <w:rFonts w:hint="eastAsia" w:ascii="宋体" w:hAnsi="宋体"/>
          <w:sz w:val="24"/>
          <w:szCs w:val="24"/>
        </w:rPr>
        <w:t>合同签订后，采购人根据需要中标人提供足额预付款保函（保函可在政采云平台线上申请），7天内采购人付至合同</w:t>
      </w:r>
      <w:r>
        <w:rPr>
          <w:rFonts w:hint="eastAsia" w:ascii="宋体" w:hAnsi="宋体"/>
          <w:color w:val="auto"/>
          <w:sz w:val="24"/>
          <w:szCs w:val="24"/>
        </w:rPr>
        <w:t>价款的</w:t>
      </w:r>
      <w:r>
        <w:rPr>
          <w:rFonts w:hint="eastAsia" w:ascii="宋体" w:hAnsi="宋体"/>
          <w:color w:val="auto"/>
          <w:sz w:val="24"/>
          <w:szCs w:val="24"/>
          <w:lang w:val="en-US" w:eastAsia="zh-CN"/>
        </w:rPr>
        <w:t>30</w:t>
      </w:r>
      <w:r>
        <w:rPr>
          <w:rFonts w:hint="eastAsia" w:ascii="宋体" w:hAnsi="宋体"/>
          <w:color w:val="auto"/>
          <w:sz w:val="24"/>
          <w:szCs w:val="24"/>
        </w:rPr>
        <w:t>%</w:t>
      </w:r>
      <w:r>
        <w:rPr>
          <w:rFonts w:hint="eastAsia" w:ascii="宋体" w:hAnsi="宋体" w:cs="宋体"/>
          <w:color w:val="auto"/>
          <w:sz w:val="24"/>
          <w:szCs w:val="24"/>
        </w:rPr>
        <w:t>，项</w:t>
      </w:r>
      <w:r>
        <w:rPr>
          <w:rFonts w:hint="eastAsia" w:ascii="宋体" w:hAnsi="宋体" w:cs="宋体"/>
          <w:sz w:val="24"/>
          <w:szCs w:val="24"/>
        </w:rPr>
        <w:t>目结束验收合格后</w:t>
      </w:r>
      <w:r>
        <w:rPr>
          <w:rFonts w:hint="eastAsia" w:ascii="宋体" w:hAnsi="宋体"/>
          <w:sz w:val="24"/>
          <w:szCs w:val="24"/>
        </w:rPr>
        <w:t>7天内</w:t>
      </w:r>
      <w:r>
        <w:rPr>
          <w:rFonts w:hint="eastAsia" w:ascii="宋体" w:hAnsi="宋体" w:cs="宋体"/>
          <w:sz w:val="24"/>
          <w:szCs w:val="24"/>
        </w:rPr>
        <w:t>一次性付清剩余</w:t>
      </w:r>
      <w:r>
        <w:rPr>
          <w:rFonts w:hint="eastAsia" w:ascii="宋体" w:hAnsi="宋体"/>
          <w:sz w:val="24"/>
          <w:szCs w:val="24"/>
        </w:rPr>
        <w:t>合同价款</w:t>
      </w:r>
      <w:r>
        <w:rPr>
          <w:rFonts w:hint="eastAsia" w:ascii="宋体" w:hAnsi="宋体" w:cs="宋体"/>
          <w:sz w:val="24"/>
          <w:szCs w:val="24"/>
        </w:rPr>
        <w:t>。</w:t>
      </w:r>
    </w:p>
    <w:p>
      <w:pPr>
        <w:spacing w:line="360" w:lineRule="auto"/>
        <w:rPr>
          <w:rFonts w:ascii="宋体" w:hAnsi="宋体" w:cs="宋体"/>
          <w:b/>
          <w:bCs/>
          <w:sz w:val="24"/>
          <w:szCs w:val="24"/>
        </w:rPr>
      </w:pPr>
      <w:r>
        <w:rPr>
          <w:rFonts w:hint="eastAsia" w:ascii="宋体" w:hAnsi="宋体" w:cs="宋体"/>
          <w:b/>
          <w:bCs/>
          <w:sz w:val="24"/>
          <w:szCs w:val="24"/>
        </w:rPr>
        <w:t>六、其他</w:t>
      </w:r>
    </w:p>
    <w:p>
      <w:pPr>
        <w:spacing w:line="360" w:lineRule="auto"/>
        <w:ind w:firstLine="480" w:firstLineChars="200"/>
        <w:rPr>
          <w:rFonts w:ascii="宋体" w:hAnsi="宋体" w:cs="宋体"/>
          <w:bCs/>
          <w:sz w:val="24"/>
          <w:szCs w:val="24"/>
        </w:rPr>
      </w:pPr>
      <w:r>
        <w:rPr>
          <w:rFonts w:hint="eastAsia" w:ascii="宋体" w:hAnsi="宋体" w:cs="宋体"/>
          <w:bCs/>
          <w:sz w:val="24"/>
          <w:szCs w:val="24"/>
        </w:rPr>
        <w:t>1、中标人全面负责项目编制的技术工作，对本次项目负全部的责任。负责前期调研和工作方案制定、项目的推进和成果的提交及汇报。</w:t>
      </w:r>
    </w:p>
    <w:p>
      <w:pPr>
        <w:spacing w:line="360" w:lineRule="auto"/>
        <w:ind w:firstLine="480" w:firstLineChars="200"/>
        <w:rPr>
          <w:rFonts w:ascii="宋体" w:hAnsi="宋体" w:cs="宋体"/>
          <w:b/>
          <w:kern w:val="0"/>
          <w:sz w:val="24"/>
          <w:szCs w:val="24"/>
        </w:rPr>
      </w:pPr>
      <w:r>
        <w:rPr>
          <w:rFonts w:hint="eastAsia" w:ascii="宋体" w:hAnsi="宋体" w:cs="宋体"/>
          <w:sz w:val="24"/>
          <w:szCs w:val="24"/>
        </w:rPr>
        <w:t>2、中标人应为其工作人员购买必要的人身保险，对工作过程中出现的人身、财产等安全问题负责。</w:t>
      </w:r>
      <w:r>
        <w:rPr>
          <w:rFonts w:hint="eastAsia" w:ascii="宋体" w:hAnsi="宋体" w:cs="宋体"/>
          <w:bCs/>
          <w:sz w:val="24"/>
          <w:szCs w:val="24"/>
        </w:rPr>
        <w:t>中标方在项目实施期间如发生意外事故，一切责任全部由中标方自行负责。</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3、建立全面的涉密成果保密管理制度，做好相关涉密数据的保密监管，落实保密责任和保密措施，防止失泄密事件发生，确保涉密成果安全。</w:t>
      </w:r>
    </w:p>
    <w:p>
      <w:pPr>
        <w:spacing w:line="360" w:lineRule="auto"/>
        <w:ind w:firstLine="480" w:firstLineChars="200"/>
        <w:jc w:val="left"/>
        <w:rPr>
          <w:rFonts w:ascii="宋体" w:hAnsi="宋体" w:cs="宋体"/>
          <w:color w:val="FF0000"/>
          <w:sz w:val="24"/>
          <w:szCs w:val="24"/>
        </w:rPr>
      </w:pPr>
      <w:r>
        <w:rPr>
          <w:rFonts w:hint="eastAsia" w:ascii="宋体" w:hAnsi="宋体" w:cs="宋体"/>
          <w:color w:val="FF0000"/>
          <w:sz w:val="24"/>
          <w:szCs w:val="24"/>
        </w:rPr>
        <w:br w:type="page"/>
      </w:r>
    </w:p>
    <w:p>
      <w:pPr>
        <w:pStyle w:val="255"/>
        <w:spacing w:line="360" w:lineRule="auto"/>
        <w:ind w:firstLine="0" w:firstLineChars="0"/>
        <w:jc w:val="center"/>
        <w:outlineLvl w:val="0"/>
        <w:rPr>
          <w:rFonts w:ascii="宋体"/>
          <w:b/>
          <w:bCs/>
          <w:color w:val="0D0D0D"/>
          <w:sz w:val="36"/>
          <w:szCs w:val="36"/>
        </w:rPr>
      </w:pPr>
      <w:r>
        <w:rPr>
          <w:rFonts w:hint="eastAsia" w:ascii="宋体" w:hAnsi="宋体" w:cs="宋体"/>
          <w:b/>
          <w:bCs/>
          <w:color w:val="0D0D0D"/>
          <w:sz w:val="36"/>
          <w:szCs w:val="36"/>
        </w:rPr>
        <w:t>第三章  投标人须知</w:t>
      </w:r>
    </w:p>
    <w:p>
      <w:pPr>
        <w:snapToGrid w:val="0"/>
        <w:spacing w:line="360" w:lineRule="auto"/>
        <w:jc w:val="right"/>
        <w:outlineLvl w:val="1"/>
        <w:rPr>
          <w:rFonts w:ascii="宋体"/>
          <w:color w:val="0D0D0D"/>
          <w:sz w:val="24"/>
          <w:szCs w:val="24"/>
        </w:rPr>
      </w:pPr>
      <w:r>
        <w:rPr>
          <w:rFonts w:hint="eastAsia" w:ascii="宋体" w:hAnsi="宋体" w:cs="宋体"/>
          <w:color w:val="0D0D0D"/>
          <w:sz w:val="24"/>
          <w:szCs w:val="24"/>
        </w:rPr>
        <w:t>前附表</w:t>
      </w:r>
    </w:p>
    <w:tbl>
      <w:tblPr>
        <w:tblStyle w:val="46"/>
        <w:tblW w:w="9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3"/>
        <w:gridCol w:w="84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D0D0D"/>
                <w:sz w:val="24"/>
                <w:szCs w:val="24"/>
              </w:rPr>
            </w:pPr>
            <w:r>
              <w:rPr>
                <w:rFonts w:hint="eastAsia" w:ascii="宋体" w:hAnsi="宋体" w:cs="宋体"/>
                <w:color w:val="0D0D0D"/>
                <w:sz w:val="24"/>
                <w:szCs w:val="24"/>
              </w:rPr>
              <w:t>序号</w:t>
            </w:r>
          </w:p>
        </w:tc>
        <w:tc>
          <w:tcPr>
            <w:tcW w:w="8490"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color w:val="0D0D0D"/>
                <w:sz w:val="24"/>
                <w:szCs w:val="24"/>
              </w:rPr>
            </w:pPr>
            <w:r>
              <w:rPr>
                <w:rFonts w:hint="eastAsia" w:ascii="宋体" w:hAnsi="宋体" w:cs="宋体"/>
                <w:color w:val="0D0D0D"/>
                <w:sz w:val="24"/>
                <w:szCs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D0D0D"/>
                <w:sz w:val="24"/>
                <w:szCs w:val="24"/>
              </w:rPr>
            </w:pPr>
            <w:r>
              <w:rPr>
                <w:rFonts w:hint="eastAsia" w:ascii="宋体" w:hAnsi="宋体" w:cs="宋体"/>
                <w:color w:val="0D0D0D"/>
                <w:sz w:val="24"/>
                <w:szCs w:val="24"/>
              </w:rPr>
              <w:t>1</w:t>
            </w:r>
          </w:p>
        </w:tc>
        <w:tc>
          <w:tcPr>
            <w:tcW w:w="8490" w:type="dxa"/>
            <w:tcBorders>
              <w:top w:val="single" w:color="auto" w:sz="4" w:space="0"/>
              <w:left w:val="single" w:color="auto" w:sz="4" w:space="0"/>
              <w:bottom w:val="single" w:color="auto" w:sz="4" w:space="0"/>
            </w:tcBorders>
            <w:vAlign w:val="center"/>
          </w:tcPr>
          <w:p>
            <w:pPr>
              <w:snapToGrid w:val="0"/>
              <w:spacing w:line="400" w:lineRule="exact"/>
              <w:rPr>
                <w:rFonts w:ascii="宋体" w:hAnsi="宋体" w:cs="宋体"/>
                <w:color w:val="0D0D0D"/>
                <w:sz w:val="24"/>
                <w:szCs w:val="24"/>
              </w:rPr>
            </w:pPr>
            <w:r>
              <w:rPr>
                <w:rFonts w:hint="eastAsia" w:ascii="宋体" w:hAnsi="宋体" w:cs="宋体"/>
                <w:color w:val="0D0D0D"/>
                <w:sz w:val="24"/>
                <w:szCs w:val="24"/>
              </w:rPr>
              <w:t>项目名称：</w:t>
            </w:r>
            <w:r>
              <w:rPr>
                <w:rFonts w:hint="eastAsia" w:ascii="宋体" w:hAnsi="宋体" w:cs="宋体"/>
                <w:color w:val="000000"/>
                <w:sz w:val="24"/>
                <w:szCs w:val="24"/>
              </w:rPr>
              <w:t>东阳江流域江北片区排口溯源及水环境整治提升方案服务采购项目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D0D0D"/>
                <w:sz w:val="24"/>
                <w:szCs w:val="24"/>
              </w:rPr>
            </w:pPr>
            <w:r>
              <w:rPr>
                <w:rFonts w:hint="eastAsia" w:ascii="宋体" w:hAnsi="宋体" w:cs="宋体"/>
                <w:color w:val="0D0D0D"/>
                <w:sz w:val="24"/>
                <w:szCs w:val="24"/>
              </w:rPr>
              <w:t>2</w:t>
            </w:r>
          </w:p>
        </w:tc>
        <w:tc>
          <w:tcPr>
            <w:tcW w:w="8490" w:type="dxa"/>
            <w:tcBorders>
              <w:top w:val="single" w:color="auto" w:sz="4" w:space="0"/>
              <w:left w:val="single" w:color="auto" w:sz="4" w:space="0"/>
              <w:bottom w:val="single" w:color="auto" w:sz="4" w:space="0"/>
            </w:tcBorders>
            <w:vAlign w:val="center"/>
          </w:tcPr>
          <w:p>
            <w:pPr>
              <w:snapToGrid w:val="0"/>
              <w:spacing w:line="400" w:lineRule="exact"/>
              <w:rPr>
                <w:rFonts w:ascii="宋体" w:hAnsi="宋体" w:cs="宋体"/>
                <w:color w:val="0D0D0D"/>
                <w:sz w:val="24"/>
                <w:szCs w:val="24"/>
              </w:rPr>
            </w:pPr>
            <w:r>
              <w:rPr>
                <w:rFonts w:hint="eastAsia" w:ascii="宋体" w:hAnsi="宋体" w:cs="宋体"/>
                <w:color w:val="0D0D0D"/>
                <w:sz w:val="24"/>
                <w:szCs w:val="24"/>
              </w:rPr>
              <w:t>投标报价及费用：</w:t>
            </w:r>
          </w:p>
          <w:p>
            <w:pPr>
              <w:snapToGrid w:val="0"/>
              <w:spacing w:line="400" w:lineRule="exact"/>
              <w:rPr>
                <w:rFonts w:ascii="宋体" w:hAnsi="宋体" w:cs="宋体"/>
                <w:color w:val="0D0D0D"/>
                <w:sz w:val="24"/>
                <w:szCs w:val="24"/>
              </w:rPr>
            </w:pPr>
            <w:r>
              <w:rPr>
                <w:rFonts w:hint="eastAsia" w:ascii="宋体" w:hAnsi="宋体" w:cs="宋体"/>
                <w:color w:val="0D0D0D"/>
                <w:sz w:val="24"/>
                <w:szCs w:val="24"/>
              </w:rPr>
              <w:t>1、本项目投标应以人民币报价。</w:t>
            </w:r>
          </w:p>
          <w:p>
            <w:pPr>
              <w:snapToGrid w:val="0"/>
              <w:spacing w:line="400" w:lineRule="exact"/>
              <w:rPr>
                <w:rFonts w:ascii="宋体" w:hAnsi="宋体" w:cs="宋体"/>
                <w:color w:val="0D0D0D"/>
                <w:sz w:val="24"/>
                <w:szCs w:val="24"/>
              </w:rPr>
            </w:pPr>
            <w:r>
              <w:rPr>
                <w:rFonts w:hint="eastAsia" w:ascii="宋体" w:hAnsi="宋体" w:cs="宋体"/>
                <w:color w:val="0D0D0D"/>
                <w:sz w:val="24"/>
                <w:szCs w:val="24"/>
              </w:rPr>
              <w:t>▲</w:t>
            </w:r>
            <w:r>
              <w:rPr>
                <w:rFonts w:hint="eastAsia" w:ascii="宋体" w:hAnsi="宋体" w:cs="宋体"/>
                <w:b/>
                <w:bCs/>
                <w:color w:val="0D0D0D"/>
                <w:sz w:val="24"/>
                <w:szCs w:val="24"/>
              </w:rPr>
              <w:t>2、</w:t>
            </w:r>
            <w:r>
              <w:rPr>
                <w:rFonts w:hint="eastAsia" w:ascii="宋体" w:hAnsi="宋体" w:cs="宋体"/>
                <w:b/>
                <w:sz w:val="24"/>
              </w:rPr>
              <w:t>本项目最高限价为 567 万元。</w:t>
            </w:r>
            <w:r>
              <w:rPr>
                <w:rFonts w:hint="eastAsia" w:ascii="宋体" w:hAnsi="宋体" w:cs="宋体"/>
                <w:color w:val="0D0D0D"/>
                <w:sz w:val="24"/>
                <w:szCs w:val="24"/>
              </w:rPr>
              <w:t>投标单位必须按招标需求的要求报价，并且报价不得高于或等于最高限价，否则作废标处理。</w:t>
            </w:r>
          </w:p>
          <w:p>
            <w:pPr>
              <w:snapToGrid w:val="0"/>
              <w:spacing w:line="400" w:lineRule="exact"/>
              <w:rPr>
                <w:rFonts w:ascii="宋体" w:hAnsi="宋体" w:cs="宋体"/>
                <w:color w:val="0D0D0D"/>
                <w:sz w:val="24"/>
                <w:szCs w:val="24"/>
              </w:rPr>
            </w:pPr>
            <w:r>
              <w:rPr>
                <w:rFonts w:hint="eastAsia" w:ascii="宋体" w:hAnsi="宋体" w:cs="宋体"/>
                <w:color w:val="0D0D0D"/>
                <w:sz w:val="24"/>
                <w:szCs w:val="24"/>
              </w:rPr>
              <w:t>3、不论投标结果如何，投标人均应自行承担所有与投标有关的全部费用。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D0D0D"/>
                <w:sz w:val="24"/>
                <w:szCs w:val="24"/>
              </w:rPr>
            </w:pPr>
            <w:r>
              <w:rPr>
                <w:rFonts w:hint="eastAsia" w:ascii="宋体" w:hAnsi="宋体" w:cs="宋体"/>
                <w:color w:val="0D0D0D"/>
                <w:sz w:val="24"/>
                <w:szCs w:val="24"/>
              </w:rPr>
              <w:t>3</w:t>
            </w:r>
          </w:p>
        </w:tc>
        <w:tc>
          <w:tcPr>
            <w:tcW w:w="8490" w:type="dxa"/>
            <w:tcBorders>
              <w:top w:val="single" w:color="auto" w:sz="4" w:space="0"/>
              <w:left w:val="single" w:color="auto" w:sz="4" w:space="0"/>
              <w:bottom w:val="single" w:color="auto" w:sz="4" w:space="0"/>
            </w:tcBorders>
            <w:vAlign w:val="center"/>
          </w:tcPr>
          <w:p>
            <w:pPr>
              <w:snapToGrid w:val="0"/>
              <w:spacing w:line="400" w:lineRule="exact"/>
              <w:rPr>
                <w:rFonts w:ascii="宋体" w:hAnsi="宋体" w:cs="宋体"/>
                <w:color w:val="0D0D0D"/>
                <w:sz w:val="24"/>
                <w:szCs w:val="24"/>
              </w:rPr>
            </w:pPr>
            <w:r>
              <w:rPr>
                <w:rFonts w:hint="eastAsia" w:ascii="宋体" w:hAnsi="宋体" w:cs="宋体"/>
                <w:sz w:val="24"/>
                <w:szCs w:val="24"/>
              </w:rPr>
              <w:t>答疑与澄清：投标人如认为招标文件表述不清晰、存在歧视性、排他性或者其他违法内容，应当于</w:t>
            </w:r>
            <w:r>
              <w:rPr>
                <w:rFonts w:hint="eastAsia" w:ascii="宋体" w:hAnsi="宋体" w:cs="宋体"/>
                <w:color w:val="0D0D0D"/>
                <w:sz w:val="24"/>
              </w:rPr>
              <w:t>2022年</w:t>
            </w:r>
            <w:r>
              <w:rPr>
                <w:rFonts w:hint="eastAsia" w:ascii="宋体" w:hAnsi="宋体" w:cs="宋体"/>
                <w:color w:val="0D0D0D"/>
                <w:sz w:val="24"/>
                <w:lang w:val="en-US" w:eastAsia="zh-CN"/>
              </w:rPr>
              <w:t>8</w:t>
            </w:r>
            <w:r>
              <w:rPr>
                <w:rFonts w:hint="eastAsia" w:ascii="宋体" w:hAnsi="宋体" w:cs="宋体"/>
                <w:color w:val="0D0D0D"/>
                <w:sz w:val="24"/>
              </w:rPr>
              <w:t xml:space="preserve">月 </w:t>
            </w:r>
            <w:r>
              <w:rPr>
                <w:rFonts w:hint="eastAsia" w:ascii="宋体" w:hAnsi="宋体" w:cs="宋体"/>
                <w:color w:val="0D0D0D"/>
                <w:sz w:val="24"/>
                <w:lang w:val="en-US" w:eastAsia="zh-CN"/>
              </w:rPr>
              <w:t>4</w:t>
            </w:r>
            <w:r>
              <w:rPr>
                <w:rFonts w:hint="eastAsia" w:ascii="宋体" w:hAnsi="宋体" w:cs="宋体"/>
                <w:color w:val="0D0D0D"/>
                <w:sz w:val="24"/>
              </w:rPr>
              <w:t>日</w:t>
            </w:r>
            <w:r>
              <w:rPr>
                <w:rFonts w:ascii="宋体" w:hAnsi="宋体" w:cs="宋体"/>
                <w:color w:val="0D0D0D"/>
                <w:sz w:val="24"/>
              </w:rPr>
              <w:t>16:00</w:t>
            </w:r>
            <w:r>
              <w:rPr>
                <w:rFonts w:hint="eastAsia" w:ascii="宋体" w:hAnsi="宋体" w:cs="宋体"/>
                <w:color w:val="0D0D0D"/>
                <w:sz w:val="24"/>
              </w:rPr>
              <w:t>前</w:t>
            </w:r>
            <w:r>
              <w:rPr>
                <w:rFonts w:hint="eastAsia" w:ascii="宋体" w:hAnsi="宋体" w:cs="宋体"/>
                <w:sz w:val="24"/>
                <w:szCs w:val="24"/>
              </w:rPr>
              <w:t>，以书面形式要求招标采购单位作出书面解释、澄清或者向招标采购单位提出书面质疑（超过此规定时间的质疑函将不予受理）。答疑内容将于投标截止日期5天前以网上发布公告的形式通知；如果答疑、澄清或修改的内容可能影响投标文件编制，招标采购单位将于投标截止日期15天前以网上公告的形式通知所有已报名的投标人，答疑内容是招标文件的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D0D0D"/>
                <w:sz w:val="24"/>
                <w:szCs w:val="24"/>
              </w:rPr>
            </w:pPr>
            <w:r>
              <w:rPr>
                <w:rFonts w:hint="eastAsia" w:ascii="宋体" w:hAnsi="宋体" w:cs="宋体"/>
                <w:color w:val="0D0D0D"/>
                <w:sz w:val="24"/>
                <w:szCs w:val="24"/>
              </w:rPr>
              <w:t>4</w:t>
            </w:r>
          </w:p>
        </w:tc>
        <w:tc>
          <w:tcPr>
            <w:tcW w:w="8490" w:type="dxa"/>
            <w:tcBorders>
              <w:top w:val="single" w:color="auto" w:sz="4" w:space="0"/>
              <w:left w:val="single" w:color="auto" w:sz="4" w:space="0"/>
              <w:bottom w:val="single" w:color="auto" w:sz="4" w:space="0"/>
            </w:tcBorders>
            <w:vAlign w:val="center"/>
          </w:tcPr>
          <w:p>
            <w:pPr>
              <w:autoSpaceDE w:val="0"/>
              <w:autoSpaceDN w:val="0"/>
              <w:snapToGrid w:val="0"/>
              <w:spacing w:line="400" w:lineRule="exact"/>
              <w:textAlignment w:val="bottom"/>
              <w:rPr>
                <w:rFonts w:ascii="宋体" w:hAnsi="宋体" w:cs="宋体"/>
                <w:sz w:val="24"/>
                <w:szCs w:val="24"/>
              </w:rPr>
            </w:pPr>
            <w:r>
              <w:rPr>
                <w:rFonts w:hint="eastAsia" w:ascii="宋体" w:hAnsi="宋体" w:cs="宋体"/>
                <w:sz w:val="24"/>
                <w:szCs w:val="24"/>
              </w:rPr>
              <w:t>投标文件组成：▲1、本项目实行“网上投标、电子评标”，投标人应于投标截止时间前在“政采云”（电子交易平台）上传输、递交电子版投标文件（包括资格审查文件、商务技术文件和报价文件）；</w:t>
            </w:r>
          </w:p>
          <w:p>
            <w:pPr>
              <w:numPr>
                <w:ilvl w:val="255"/>
                <w:numId w:val="0"/>
              </w:numPr>
              <w:autoSpaceDE w:val="0"/>
              <w:autoSpaceDN w:val="0"/>
              <w:snapToGrid w:val="0"/>
              <w:spacing w:line="400" w:lineRule="exact"/>
              <w:textAlignment w:val="bottom"/>
              <w:rPr>
                <w:rFonts w:ascii="宋体" w:hAnsi="宋体" w:cs="宋体"/>
                <w:sz w:val="24"/>
                <w:szCs w:val="24"/>
              </w:rPr>
            </w:pPr>
            <w:r>
              <w:rPr>
                <w:rFonts w:hint="eastAsia" w:ascii="宋体" w:hAnsi="宋体" w:cs="宋体"/>
                <w:sz w:val="24"/>
                <w:szCs w:val="24"/>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金华市金诚招投标代理有限公司邮箱：284875264@qq.com，逾期发送或发错后缀名的备份投标文件将被视为无效；</w:t>
            </w:r>
          </w:p>
          <w:p>
            <w:pPr>
              <w:autoSpaceDE w:val="0"/>
              <w:autoSpaceDN w:val="0"/>
              <w:snapToGrid w:val="0"/>
              <w:spacing w:line="400" w:lineRule="exact"/>
              <w:textAlignment w:val="bottom"/>
              <w:rPr>
                <w:rFonts w:ascii="宋体" w:hAnsi="宋体" w:cs="宋体"/>
                <w:sz w:val="24"/>
                <w:szCs w:val="24"/>
              </w:rPr>
            </w:pPr>
            <w:r>
              <w:rPr>
                <w:rFonts w:hint="eastAsia" w:ascii="宋体" w:hAnsi="宋体" w:cs="宋体"/>
                <w:sz w:val="24"/>
                <w:szCs w:val="24"/>
              </w:rPr>
              <w:t>3、投标人仅提交电子备份投标文件的，投标无效；</w:t>
            </w:r>
          </w:p>
          <w:p>
            <w:pPr>
              <w:autoSpaceDE w:val="0"/>
              <w:autoSpaceDN w:val="0"/>
              <w:snapToGrid w:val="0"/>
              <w:spacing w:line="400" w:lineRule="exact"/>
              <w:textAlignment w:val="bottom"/>
              <w:rPr>
                <w:rFonts w:ascii="宋体" w:hAnsi="宋体" w:cs="宋体"/>
                <w:sz w:val="24"/>
                <w:szCs w:val="24"/>
              </w:rPr>
            </w:pPr>
            <w:r>
              <w:rPr>
                <w:rFonts w:hint="eastAsia" w:ascii="宋体" w:hAnsi="宋体" w:cs="宋体"/>
                <w:sz w:val="24"/>
                <w:szCs w:val="24"/>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D0D0D"/>
                <w:sz w:val="24"/>
                <w:szCs w:val="24"/>
              </w:rPr>
            </w:pPr>
            <w:r>
              <w:rPr>
                <w:rFonts w:hint="eastAsia" w:ascii="宋体" w:hAnsi="宋体" w:cs="宋体"/>
                <w:sz w:val="24"/>
                <w:szCs w:val="24"/>
              </w:rPr>
              <w:t>5</w:t>
            </w:r>
          </w:p>
        </w:tc>
        <w:tc>
          <w:tcPr>
            <w:tcW w:w="8490" w:type="dxa"/>
            <w:tcBorders>
              <w:top w:val="single" w:color="auto" w:sz="4" w:space="0"/>
              <w:left w:val="single" w:color="auto" w:sz="4" w:space="0"/>
              <w:bottom w:val="single" w:color="auto" w:sz="4" w:space="0"/>
            </w:tcBorders>
            <w:vAlign w:val="center"/>
          </w:tcPr>
          <w:p>
            <w:pPr>
              <w:snapToGrid w:val="0"/>
              <w:spacing w:line="400" w:lineRule="exact"/>
              <w:rPr>
                <w:rFonts w:ascii="宋体" w:hAnsi="宋体" w:cs="宋体"/>
                <w:sz w:val="24"/>
                <w:szCs w:val="24"/>
              </w:rPr>
            </w:pPr>
            <w:r>
              <w:rPr>
                <w:rFonts w:hint="eastAsia" w:ascii="宋体" w:hAnsi="宋体" w:cs="宋体"/>
                <w:sz w:val="24"/>
                <w:szCs w:val="24"/>
              </w:rPr>
              <w:t>投标截止时间及地点：</w:t>
            </w:r>
          </w:p>
          <w:p>
            <w:pPr>
              <w:snapToGrid w:val="0"/>
              <w:spacing w:line="400" w:lineRule="exact"/>
              <w:rPr>
                <w:rFonts w:ascii="宋体" w:hAnsi="宋体" w:cs="宋体"/>
                <w:sz w:val="24"/>
                <w:szCs w:val="24"/>
              </w:rPr>
            </w:pPr>
            <w:r>
              <w:rPr>
                <w:rFonts w:hint="eastAsia" w:ascii="宋体" w:hAnsi="宋体" w:cs="宋体"/>
                <w:sz w:val="24"/>
                <w:szCs w:val="24"/>
              </w:rPr>
              <w:t>1、投标人应当在</w:t>
            </w:r>
            <w:r>
              <w:rPr>
                <w:rFonts w:hint="eastAsia" w:ascii="宋体" w:hAnsi="宋体" w:cs="宋体"/>
                <w:color w:val="0D0D0D"/>
                <w:sz w:val="24"/>
              </w:rPr>
              <w:t>2022年</w:t>
            </w:r>
            <w:r>
              <w:rPr>
                <w:rFonts w:hint="eastAsia" w:ascii="宋体" w:hAnsi="宋体" w:cs="宋体"/>
                <w:color w:val="0D0D0D"/>
                <w:sz w:val="24"/>
                <w:lang w:val="en-US" w:eastAsia="zh-CN"/>
              </w:rPr>
              <w:t>8</w:t>
            </w:r>
            <w:r>
              <w:rPr>
                <w:rFonts w:hint="eastAsia" w:ascii="宋体" w:hAnsi="宋体" w:cs="宋体"/>
                <w:color w:val="0D0D0D"/>
                <w:sz w:val="24"/>
              </w:rPr>
              <w:t>月</w:t>
            </w:r>
            <w:r>
              <w:rPr>
                <w:rFonts w:hint="eastAsia" w:ascii="宋体" w:hAnsi="宋体" w:cs="宋体"/>
                <w:color w:val="0D0D0D"/>
                <w:sz w:val="24"/>
                <w:lang w:val="en-US" w:eastAsia="zh-CN"/>
              </w:rPr>
              <w:t>10</w:t>
            </w:r>
            <w:r>
              <w:rPr>
                <w:rFonts w:hint="eastAsia" w:ascii="宋体" w:hAnsi="宋体" w:cs="宋体"/>
                <w:color w:val="0D0D0D"/>
                <w:sz w:val="24"/>
              </w:rPr>
              <w:t>日</w:t>
            </w:r>
            <w:r>
              <w:rPr>
                <w:rFonts w:hint="eastAsia" w:ascii="宋体" w:hAnsi="宋体" w:cs="宋体"/>
                <w:color w:val="0D0D0D"/>
                <w:sz w:val="24"/>
                <w:lang w:val="en-US" w:eastAsia="zh-CN"/>
              </w:rPr>
              <w:t>13</w:t>
            </w:r>
            <w:r>
              <w:rPr>
                <w:rFonts w:hint="eastAsia" w:ascii="宋体" w:hAnsi="宋体" w:cs="宋体"/>
                <w:sz w:val="24"/>
                <w:szCs w:val="24"/>
              </w:rPr>
              <w:t>时30分前在“政采云”（电子交易平台）上自行上传加密的电子投标文件。投标截止时间后递交的电子投标文件，将被政采云平台拒收。</w:t>
            </w:r>
          </w:p>
          <w:p>
            <w:pPr>
              <w:snapToGrid w:val="0"/>
              <w:spacing w:line="400" w:lineRule="exact"/>
              <w:rPr>
                <w:rFonts w:ascii="宋体" w:hAnsi="宋体" w:cs="宋体"/>
                <w:sz w:val="24"/>
                <w:szCs w:val="24"/>
              </w:rPr>
            </w:pPr>
            <w:r>
              <w:rPr>
                <w:rFonts w:hint="eastAsia" w:ascii="宋体" w:hAnsi="宋体" w:cs="宋体"/>
                <w:sz w:val="24"/>
                <w:szCs w:val="24"/>
              </w:rPr>
              <w:t>2、电子备份投标文件的递交时间：投标人应当在</w:t>
            </w:r>
            <w:r>
              <w:rPr>
                <w:rFonts w:hint="eastAsia" w:ascii="宋体" w:hAnsi="宋体" w:cs="宋体"/>
                <w:color w:val="0D0D0D"/>
                <w:sz w:val="24"/>
              </w:rPr>
              <w:t>2022年</w:t>
            </w:r>
            <w:r>
              <w:rPr>
                <w:rFonts w:hint="eastAsia" w:ascii="宋体" w:hAnsi="宋体" w:cs="宋体"/>
                <w:color w:val="0D0D0D"/>
                <w:sz w:val="24"/>
                <w:lang w:val="en-US" w:eastAsia="zh-CN"/>
              </w:rPr>
              <w:t>8</w:t>
            </w:r>
            <w:r>
              <w:rPr>
                <w:rFonts w:hint="eastAsia" w:ascii="宋体" w:hAnsi="宋体" w:cs="宋体"/>
                <w:color w:val="0D0D0D"/>
                <w:sz w:val="24"/>
              </w:rPr>
              <w:t>月</w:t>
            </w:r>
            <w:r>
              <w:rPr>
                <w:rFonts w:hint="eastAsia" w:ascii="宋体" w:hAnsi="宋体" w:cs="宋体"/>
                <w:color w:val="0D0D0D"/>
                <w:sz w:val="24"/>
                <w:lang w:val="en-US" w:eastAsia="zh-CN"/>
              </w:rPr>
              <w:t>10</w:t>
            </w:r>
            <w:r>
              <w:rPr>
                <w:rFonts w:hint="eastAsia" w:ascii="宋体" w:hAnsi="宋体" w:cs="宋体"/>
                <w:color w:val="0D0D0D"/>
                <w:sz w:val="24"/>
              </w:rPr>
              <w:t>日</w:t>
            </w:r>
            <w:r>
              <w:rPr>
                <w:rFonts w:hint="eastAsia" w:ascii="宋体" w:hAnsi="宋体" w:cs="宋体"/>
                <w:color w:val="0D0D0D"/>
                <w:sz w:val="24"/>
                <w:lang w:val="en-US" w:eastAsia="zh-CN"/>
              </w:rPr>
              <w:t>13</w:t>
            </w:r>
            <w:r>
              <w:rPr>
                <w:rFonts w:hint="eastAsia" w:ascii="宋体" w:hAnsi="宋体" w:cs="宋体"/>
                <w:sz w:val="24"/>
                <w:szCs w:val="24"/>
              </w:rPr>
              <w:t>时30分前，逾期未递交的视为自动放弃。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D0D0D"/>
                <w:sz w:val="24"/>
                <w:szCs w:val="24"/>
              </w:rPr>
            </w:pPr>
            <w:r>
              <w:rPr>
                <w:rFonts w:hint="eastAsia" w:ascii="宋体" w:hAnsi="宋体" w:cs="宋体"/>
                <w:sz w:val="24"/>
                <w:szCs w:val="24"/>
              </w:rPr>
              <w:t>6</w:t>
            </w:r>
          </w:p>
        </w:tc>
        <w:tc>
          <w:tcPr>
            <w:tcW w:w="8490" w:type="dxa"/>
            <w:tcBorders>
              <w:top w:val="single" w:color="auto" w:sz="4" w:space="0"/>
              <w:left w:val="single" w:color="auto" w:sz="4" w:space="0"/>
              <w:bottom w:val="single" w:color="auto" w:sz="4" w:space="0"/>
            </w:tcBorders>
            <w:vAlign w:val="center"/>
          </w:tcPr>
          <w:p>
            <w:pPr>
              <w:snapToGrid w:val="0"/>
              <w:spacing w:line="400" w:lineRule="exact"/>
              <w:rPr>
                <w:rFonts w:ascii="宋体" w:hAnsi="宋体" w:cs="宋体"/>
                <w:sz w:val="24"/>
                <w:szCs w:val="24"/>
              </w:rPr>
            </w:pPr>
            <w:r>
              <w:rPr>
                <w:rFonts w:hint="eastAsia" w:ascii="宋体" w:hAnsi="宋体" w:cs="宋体"/>
                <w:sz w:val="24"/>
                <w:szCs w:val="24"/>
              </w:rPr>
              <w:t>开标时间：</w:t>
            </w:r>
            <w:r>
              <w:rPr>
                <w:rFonts w:hint="eastAsia" w:ascii="宋体" w:hAnsi="宋体" w:cs="宋体"/>
                <w:color w:val="0D0D0D"/>
                <w:sz w:val="24"/>
              </w:rPr>
              <w:t>2022年</w:t>
            </w:r>
            <w:r>
              <w:rPr>
                <w:rFonts w:hint="eastAsia" w:ascii="宋体" w:hAnsi="宋体" w:cs="宋体"/>
                <w:color w:val="0D0D0D"/>
                <w:sz w:val="24"/>
                <w:lang w:val="en-US" w:eastAsia="zh-CN"/>
              </w:rPr>
              <w:t>8</w:t>
            </w:r>
            <w:r>
              <w:rPr>
                <w:rFonts w:hint="eastAsia" w:ascii="宋体" w:hAnsi="宋体" w:cs="宋体"/>
                <w:color w:val="0D0D0D"/>
                <w:sz w:val="24"/>
              </w:rPr>
              <w:t xml:space="preserve">月 </w:t>
            </w:r>
            <w:r>
              <w:rPr>
                <w:rFonts w:hint="eastAsia" w:ascii="宋体" w:hAnsi="宋体" w:cs="宋体"/>
                <w:color w:val="0D0D0D"/>
                <w:sz w:val="24"/>
                <w:lang w:val="en-US" w:eastAsia="zh-CN"/>
              </w:rPr>
              <w:t>10</w:t>
            </w:r>
            <w:r>
              <w:rPr>
                <w:rFonts w:hint="eastAsia" w:ascii="宋体" w:hAnsi="宋体" w:cs="宋体"/>
                <w:color w:val="0D0D0D"/>
                <w:sz w:val="24"/>
              </w:rPr>
              <w:t>日</w:t>
            </w:r>
            <w:r>
              <w:rPr>
                <w:rFonts w:hint="eastAsia" w:ascii="宋体" w:hAnsi="宋体" w:cs="宋体"/>
                <w:color w:val="0D0D0D"/>
                <w:sz w:val="24"/>
                <w:lang w:val="en-US" w:eastAsia="zh-CN"/>
              </w:rPr>
              <w:t>13</w:t>
            </w:r>
            <w:r>
              <w:rPr>
                <w:rFonts w:hint="eastAsia" w:ascii="宋体" w:hAnsi="宋体" w:cs="宋体"/>
                <w:sz w:val="24"/>
                <w:szCs w:val="24"/>
              </w:rPr>
              <w:t>时30分</w:t>
            </w:r>
          </w:p>
          <w:p>
            <w:pPr>
              <w:snapToGrid w:val="0"/>
              <w:spacing w:line="400" w:lineRule="exact"/>
              <w:rPr>
                <w:rFonts w:ascii="宋体" w:hAnsi="宋体" w:cs="宋体"/>
                <w:sz w:val="24"/>
                <w:szCs w:val="24"/>
              </w:rPr>
            </w:pPr>
            <w:r>
              <w:rPr>
                <w:rFonts w:hint="eastAsia" w:ascii="宋体" w:hAnsi="宋体" w:cs="宋体"/>
                <w:sz w:val="24"/>
                <w:szCs w:val="24"/>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D0D0D"/>
                <w:sz w:val="24"/>
                <w:szCs w:val="24"/>
              </w:rPr>
            </w:pPr>
            <w:r>
              <w:rPr>
                <w:rFonts w:hint="eastAsia" w:ascii="宋体" w:hAnsi="宋体" w:cs="宋体"/>
                <w:sz w:val="24"/>
                <w:szCs w:val="24"/>
              </w:rPr>
              <w:t>7</w:t>
            </w:r>
          </w:p>
        </w:tc>
        <w:tc>
          <w:tcPr>
            <w:tcW w:w="8490" w:type="dxa"/>
            <w:tcBorders>
              <w:top w:val="single" w:color="auto" w:sz="4" w:space="0"/>
              <w:left w:val="single" w:color="auto" w:sz="4" w:space="0"/>
              <w:bottom w:val="single" w:color="auto" w:sz="4" w:space="0"/>
            </w:tcBorders>
            <w:vAlign w:val="center"/>
          </w:tcPr>
          <w:p>
            <w:pPr>
              <w:snapToGrid w:val="0"/>
              <w:spacing w:line="400" w:lineRule="exact"/>
              <w:rPr>
                <w:rFonts w:ascii="宋体" w:hAnsi="宋体" w:cs="宋体"/>
                <w:sz w:val="24"/>
                <w:szCs w:val="24"/>
              </w:rPr>
            </w:pPr>
            <w:r>
              <w:rPr>
                <w:rFonts w:hint="eastAsia" w:ascii="宋体" w:hAnsi="宋体" w:cs="宋体"/>
                <w:sz w:val="24"/>
                <w:szCs w:val="24"/>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D0D0D"/>
                <w:sz w:val="24"/>
                <w:szCs w:val="24"/>
              </w:rPr>
            </w:pPr>
            <w:r>
              <w:rPr>
                <w:rFonts w:hint="eastAsia" w:ascii="宋体" w:hAnsi="宋体" w:cs="宋体"/>
                <w:sz w:val="24"/>
                <w:szCs w:val="24"/>
              </w:rPr>
              <w:t>8</w:t>
            </w:r>
          </w:p>
        </w:tc>
        <w:tc>
          <w:tcPr>
            <w:tcW w:w="8490" w:type="dxa"/>
            <w:tcBorders>
              <w:top w:val="single" w:color="auto" w:sz="4" w:space="0"/>
              <w:left w:val="single" w:color="auto" w:sz="4" w:space="0"/>
              <w:bottom w:val="single" w:color="auto" w:sz="4" w:space="0"/>
            </w:tcBorders>
            <w:vAlign w:val="center"/>
          </w:tcPr>
          <w:p>
            <w:pPr>
              <w:snapToGrid w:val="0"/>
              <w:spacing w:line="400" w:lineRule="exact"/>
              <w:rPr>
                <w:rFonts w:ascii="宋体" w:hAnsi="宋体" w:cs="宋体"/>
                <w:color w:val="0D0D0D"/>
                <w:sz w:val="24"/>
                <w:szCs w:val="24"/>
              </w:rPr>
            </w:pPr>
            <w:r>
              <w:rPr>
                <w:rFonts w:hint="eastAsia" w:ascii="宋体" w:hAnsi="宋体" w:cs="宋体"/>
                <w:sz w:val="24"/>
                <w:szCs w:val="24"/>
              </w:rPr>
              <w:t>现场踏勘：投标人自行组织现场踏勘。现场踏勘所发生费用由投标方自行承担，踏勘期间发生人身或交通安全等大小事故，一切责任和经济补偿均由投标单位负责。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5" w:hRule="atLeast"/>
          <w:jc w:val="center"/>
        </w:trPr>
        <w:tc>
          <w:tcPr>
            <w:tcW w:w="733"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D0D0D"/>
                <w:sz w:val="24"/>
                <w:szCs w:val="24"/>
              </w:rPr>
            </w:pPr>
            <w:r>
              <w:rPr>
                <w:rFonts w:hint="eastAsia" w:ascii="宋体" w:hAnsi="宋体" w:cs="宋体"/>
                <w:color w:val="0D0D0D"/>
                <w:sz w:val="24"/>
                <w:szCs w:val="24"/>
              </w:rPr>
              <w:t>9</w:t>
            </w:r>
          </w:p>
        </w:tc>
        <w:tc>
          <w:tcPr>
            <w:tcW w:w="8490" w:type="dxa"/>
            <w:tcBorders>
              <w:top w:val="single" w:color="auto" w:sz="4" w:space="0"/>
              <w:left w:val="single" w:color="auto" w:sz="4" w:space="0"/>
              <w:bottom w:val="single" w:color="auto" w:sz="4" w:space="0"/>
            </w:tcBorders>
            <w:vAlign w:val="center"/>
          </w:tcPr>
          <w:p>
            <w:pPr>
              <w:snapToGrid w:val="0"/>
              <w:spacing w:line="400" w:lineRule="exact"/>
              <w:rPr>
                <w:rFonts w:ascii="宋体" w:hAnsi="宋体" w:cs="宋体"/>
                <w:color w:val="0D0D0D"/>
                <w:sz w:val="24"/>
                <w:szCs w:val="24"/>
              </w:rPr>
            </w:pPr>
            <w:r>
              <w:rPr>
                <w:rFonts w:hint="eastAsia" w:ascii="宋体" w:hAnsi="宋体" w:cs="宋体"/>
                <w:sz w:val="24"/>
              </w:rPr>
              <w:t>中标结果公告：评标结束后2天内，中标结果公告于浙江省政府采购网(</w:t>
            </w:r>
            <w:r>
              <w:rPr>
                <w:rStyle w:val="52"/>
                <w:rFonts w:hint="eastAsia" w:ascii="宋体" w:hAnsi="宋体" w:cs="宋体"/>
                <w:color w:val="auto"/>
                <w:sz w:val="24"/>
                <w:szCs w:val="22"/>
              </w:rPr>
              <w:t>https://zfcg.czt.zj.gov.cn/</w:t>
            </w:r>
            <w:r>
              <w:rPr>
                <w:rFonts w:hint="eastAsia" w:ascii="宋体" w:hAnsi="宋体" w:cs="宋体"/>
                <w:sz w:val="24"/>
              </w:rPr>
              <w:t>)、东阳市公共资源交易网(</w:t>
            </w:r>
            <w:r>
              <w:rPr>
                <w:rStyle w:val="52"/>
                <w:rFonts w:hint="eastAsia" w:ascii="宋体" w:hAnsi="宋体" w:cs="宋体"/>
                <w:color w:val="auto"/>
                <w:sz w:val="24"/>
                <w:szCs w:val="22"/>
              </w:rPr>
              <w:t>http://www.dongyang.gov.cn/ggzyjy/</w:t>
            </w:r>
            <w:r>
              <w:rPr>
                <w:rFonts w:hint="eastAsia" w:ascii="宋体" w:hAnsi="宋体" w:cs="宋体"/>
                <w:sz w:val="24"/>
              </w:rPr>
              <w:t>)；公告1个工作日。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D0D0D"/>
                <w:sz w:val="24"/>
                <w:szCs w:val="24"/>
              </w:rPr>
            </w:pPr>
            <w:r>
              <w:rPr>
                <w:rFonts w:hint="eastAsia" w:ascii="宋体" w:hAnsi="宋体" w:cs="宋体"/>
                <w:color w:val="0D0D0D"/>
                <w:sz w:val="24"/>
                <w:szCs w:val="24"/>
              </w:rPr>
              <w:t>10</w:t>
            </w:r>
          </w:p>
        </w:tc>
        <w:tc>
          <w:tcPr>
            <w:tcW w:w="8490" w:type="dxa"/>
            <w:tcBorders>
              <w:top w:val="single" w:color="auto" w:sz="4" w:space="0"/>
              <w:left w:val="single" w:color="auto" w:sz="4" w:space="0"/>
              <w:bottom w:val="single" w:color="auto" w:sz="4" w:space="0"/>
            </w:tcBorders>
            <w:vAlign w:val="center"/>
          </w:tcPr>
          <w:p>
            <w:pPr>
              <w:snapToGrid w:val="0"/>
              <w:spacing w:line="400" w:lineRule="exact"/>
              <w:rPr>
                <w:rFonts w:ascii="宋体" w:hAnsi="宋体" w:cs="宋体"/>
                <w:color w:val="0D0D0D"/>
                <w:sz w:val="24"/>
                <w:szCs w:val="24"/>
              </w:rPr>
            </w:pPr>
            <w:r>
              <w:rPr>
                <w:rFonts w:hint="eastAsia" w:ascii="宋体" w:hAnsi="宋体" w:cs="宋体"/>
                <w:sz w:val="24"/>
                <w:szCs w:val="24"/>
              </w:rPr>
              <w:t>中标通知书：确定中标人后，中标人应在三个工作日内，向招标人领取《中标通知书》，否则按放弃中标资格处理。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733"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D0D0D"/>
                <w:sz w:val="24"/>
                <w:szCs w:val="24"/>
              </w:rPr>
            </w:pPr>
            <w:r>
              <w:rPr>
                <w:rFonts w:hint="eastAsia" w:ascii="宋体" w:hAnsi="宋体" w:cs="宋体"/>
                <w:color w:val="0D0D0D"/>
                <w:sz w:val="24"/>
                <w:szCs w:val="24"/>
              </w:rPr>
              <w:t>11</w:t>
            </w:r>
          </w:p>
        </w:tc>
        <w:tc>
          <w:tcPr>
            <w:tcW w:w="8490" w:type="dxa"/>
            <w:tcBorders>
              <w:top w:val="single" w:color="auto" w:sz="4" w:space="0"/>
              <w:left w:val="single" w:color="auto" w:sz="4" w:space="0"/>
              <w:bottom w:val="single" w:color="auto" w:sz="4" w:space="0"/>
            </w:tcBorders>
            <w:vAlign w:val="center"/>
          </w:tcPr>
          <w:p>
            <w:pPr>
              <w:snapToGrid w:val="0"/>
              <w:spacing w:line="400" w:lineRule="exact"/>
              <w:rPr>
                <w:rFonts w:ascii="宋体" w:hAnsi="宋体" w:cs="宋体"/>
                <w:sz w:val="24"/>
                <w:szCs w:val="24"/>
              </w:rPr>
            </w:pPr>
            <w:r>
              <w:rPr>
                <w:rFonts w:hint="eastAsia" w:ascii="宋体" w:hAnsi="宋体" w:cs="宋体"/>
                <w:sz w:val="24"/>
              </w:rPr>
              <w:t>履约保证金：本项目的履约保证金为中标金额的1.0%，中标人应在合同签订后交纳（可以用保函的形式提交</w:t>
            </w:r>
            <w:r>
              <w:rPr>
                <w:rFonts w:ascii="宋体" w:hAnsi="宋体" w:cs="宋体"/>
                <w:sz w:val="24"/>
              </w:rPr>
              <w:t>,</w:t>
            </w:r>
            <w:r>
              <w:rPr>
                <w:rFonts w:hint="eastAsia" w:ascii="宋体" w:hAnsi="宋体" w:cs="宋体"/>
                <w:sz w:val="24"/>
              </w:rPr>
              <w:t>保函可在政采云平台线上申请办理），在本项目服务期结束后7个工作日内由采购单位无息退还。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733"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D0D0D"/>
                <w:sz w:val="24"/>
                <w:szCs w:val="24"/>
              </w:rPr>
            </w:pPr>
            <w:r>
              <w:rPr>
                <w:rFonts w:hint="eastAsia" w:ascii="宋体" w:hAnsi="宋体" w:cs="宋体"/>
                <w:sz w:val="24"/>
                <w:szCs w:val="24"/>
              </w:rPr>
              <w:t>12</w:t>
            </w:r>
          </w:p>
        </w:tc>
        <w:tc>
          <w:tcPr>
            <w:tcW w:w="8490" w:type="dxa"/>
            <w:tcBorders>
              <w:top w:val="single" w:color="auto" w:sz="4" w:space="0"/>
              <w:left w:val="single" w:color="auto" w:sz="4" w:space="0"/>
              <w:bottom w:val="single" w:color="auto" w:sz="4" w:space="0"/>
            </w:tcBorders>
            <w:vAlign w:val="center"/>
          </w:tcPr>
          <w:p>
            <w:pPr>
              <w:snapToGrid w:val="0"/>
              <w:spacing w:line="400" w:lineRule="exact"/>
              <w:rPr>
                <w:rFonts w:ascii="宋体" w:hAnsi="宋体" w:cs="宋体"/>
                <w:color w:val="0D0D0D"/>
                <w:sz w:val="24"/>
                <w:szCs w:val="24"/>
              </w:rPr>
            </w:pPr>
            <w:r>
              <w:rPr>
                <w:rFonts w:hint="eastAsia" w:ascii="宋体" w:hAnsi="宋体" w:cs="宋体"/>
                <w:sz w:val="24"/>
                <w:szCs w:val="24"/>
              </w:rPr>
              <w:t>签订合同时间：中标通知书发出后20日内。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733"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D0D0D"/>
                <w:sz w:val="24"/>
                <w:szCs w:val="24"/>
              </w:rPr>
            </w:pPr>
            <w:r>
              <w:rPr>
                <w:rFonts w:hint="eastAsia" w:ascii="宋体" w:hAnsi="宋体" w:cs="宋体"/>
                <w:sz w:val="24"/>
                <w:szCs w:val="24"/>
              </w:rPr>
              <w:t>13</w:t>
            </w:r>
          </w:p>
        </w:tc>
        <w:tc>
          <w:tcPr>
            <w:tcW w:w="8490" w:type="dxa"/>
            <w:tcBorders>
              <w:top w:val="single" w:color="auto" w:sz="4" w:space="0"/>
              <w:left w:val="single" w:color="auto" w:sz="4" w:space="0"/>
              <w:bottom w:val="single" w:color="auto" w:sz="4" w:space="0"/>
            </w:tcBorders>
            <w:vAlign w:val="center"/>
          </w:tcPr>
          <w:p>
            <w:pPr>
              <w:snapToGrid w:val="0"/>
              <w:spacing w:line="400" w:lineRule="exact"/>
              <w:rPr>
                <w:rFonts w:ascii="宋体" w:hAnsi="宋体" w:cs="宋体"/>
                <w:color w:val="0D0D0D"/>
                <w:sz w:val="24"/>
                <w:szCs w:val="24"/>
              </w:rPr>
            </w:pPr>
            <w:r>
              <w:rPr>
                <w:rFonts w:hint="eastAsia" w:ascii="宋体" w:hAnsi="宋体" w:cs="宋体"/>
                <w:sz w:val="24"/>
                <w:szCs w:val="24"/>
              </w:rPr>
              <w:t>中标人须</w:t>
            </w:r>
            <w:r>
              <w:rPr>
                <w:rFonts w:hint="eastAsia" w:ascii="宋体" w:hAnsi="宋体" w:cs="宋体"/>
                <w:color w:val="000000"/>
                <w:sz w:val="24"/>
                <w:szCs w:val="24"/>
              </w:rPr>
              <w:t>在领取中标通知书前</w:t>
            </w:r>
            <w:r>
              <w:rPr>
                <w:rFonts w:hint="eastAsia" w:ascii="宋体" w:hAnsi="宋体" w:cs="宋体"/>
                <w:sz w:val="24"/>
                <w:szCs w:val="24"/>
              </w:rPr>
              <w:t>向招标代理机构交纳中标服务费，招标代理机构开具增值税普通发票，中标服务费参照本投标人须知总则第五条相关约定执行计取。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D0D0D"/>
                <w:sz w:val="24"/>
                <w:szCs w:val="24"/>
              </w:rPr>
            </w:pPr>
            <w:r>
              <w:rPr>
                <w:rFonts w:hint="eastAsia" w:ascii="宋体" w:hAnsi="宋体" w:cs="宋体"/>
                <w:sz w:val="24"/>
                <w:szCs w:val="24"/>
              </w:rPr>
              <w:t>14</w:t>
            </w:r>
          </w:p>
        </w:tc>
        <w:tc>
          <w:tcPr>
            <w:tcW w:w="8490" w:type="dxa"/>
            <w:tcBorders>
              <w:top w:val="single" w:color="auto" w:sz="4" w:space="0"/>
              <w:left w:val="single" w:color="auto" w:sz="4" w:space="0"/>
              <w:bottom w:val="single" w:color="auto" w:sz="4" w:space="0"/>
            </w:tcBorders>
            <w:vAlign w:val="center"/>
          </w:tcPr>
          <w:p>
            <w:pPr>
              <w:autoSpaceDE w:val="0"/>
              <w:autoSpaceDN w:val="0"/>
              <w:spacing w:line="400" w:lineRule="exact"/>
              <w:textAlignment w:val="bottom"/>
              <w:rPr>
                <w:rFonts w:ascii="宋体" w:hAnsi="宋体" w:cs="宋体"/>
                <w:color w:val="FF0000"/>
                <w:sz w:val="24"/>
                <w:szCs w:val="24"/>
              </w:rPr>
            </w:pPr>
            <w:r>
              <w:rPr>
                <w:rFonts w:hint="eastAsia" w:ascii="宋体" w:hAnsi="宋体" w:cs="宋体"/>
                <w:sz w:val="24"/>
                <w:szCs w:val="24"/>
              </w:rPr>
              <w:t>付款方式：</w:t>
            </w:r>
            <w:r>
              <w:rPr>
                <w:rFonts w:hint="eastAsia" w:ascii="宋体" w:hAnsi="宋体" w:cs="宋体"/>
                <w:b/>
                <w:bCs/>
                <w:color w:val="0D0D0D"/>
                <w:sz w:val="24"/>
                <w:szCs w:val="24"/>
              </w:rPr>
              <w:t>详见招标需求</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D0D0D"/>
                <w:sz w:val="24"/>
                <w:szCs w:val="24"/>
              </w:rPr>
            </w:pPr>
            <w:r>
              <w:rPr>
                <w:rFonts w:hint="eastAsia" w:ascii="宋体" w:hAnsi="宋体" w:cs="宋体"/>
                <w:sz w:val="24"/>
                <w:szCs w:val="24"/>
              </w:rPr>
              <w:t>15</w:t>
            </w:r>
          </w:p>
        </w:tc>
        <w:tc>
          <w:tcPr>
            <w:tcW w:w="8490" w:type="dxa"/>
            <w:tcBorders>
              <w:top w:val="single" w:color="auto" w:sz="4" w:space="0"/>
              <w:left w:val="single" w:color="auto" w:sz="4" w:space="0"/>
              <w:bottom w:val="single" w:color="auto" w:sz="4" w:space="0"/>
            </w:tcBorders>
            <w:vAlign w:val="center"/>
          </w:tcPr>
          <w:p>
            <w:pPr>
              <w:snapToGrid w:val="0"/>
              <w:spacing w:line="400" w:lineRule="exact"/>
              <w:rPr>
                <w:rFonts w:ascii="宋体" w:hAnsi="宋体" w:cs="宋体"/>
                <w:sz w:val="24"/>
                <w:szCs w:val="24"/>
              </w:rPr>
            </w:pPr>
            <w:r>
              <w:rPr>
                <w:rFonts w:hint="eastAsia" w:ascii="宋体" w:hAnsi="宋体" w:cs="宋体"/>
                <w:sz w:val="24"/>
                <w:szCs w:val="24"/>
              </w:rPr>
              <w:t>投标有效期：60天。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D0D0D"/>
                <w:sz w:val="24"/>
                <w:szCs w:val="24"/>
              </w:rPr>
            </w:pPr>
            <w:r>
              <w:rPr>
                <w:rFonts w:hint="eastAsia" w:ascii="宋体" w:hAnsi="宋体" w:cs="宋体"/>
                <w:sz w:val="24"/>
                <w:szCs w:val="24"/>
              </w:rPr>
              <w:t>16</w:t>
            </w:r>
          </w:p>
        </w:tc>
        <w:tc>
          <w:tcPr>
            <w:tcW w:w="8490" w:type="dxa"/>
            <w:tcBorders>
              <w:top w:val="single" w:color="auto" w:sz="4" w:space="0"/>
              <w:left w:val="single" w:color="auto" w:sz="4" w:space="0"/>
              <w:bottom w:val="single" w:color="auto" w:sz="4" w:space="0"/>
            </w:tcBorders>
            <w:vAlign w:val="center"/>
          </w:tcPr>
          <w:p>
            <w:pPr>
              <w:snapToGrid w:val="0"/>
              <w:spacing w:line="400" w:lineRule="exact"/>
              <w:rPr>
                <w:rFonts w:ascii="宋体" w:hAnsi="宋体" w:cs="宋体"/>
                <w:sz w:val="24"/>
              </w:rPr>
            </w:pPr>
            <w:r>
              <w:rPr>
                <w:rFonts w:hint="eastAsia" w:ascii="宋体" w:hAnsi="宋体" w:cs="宋体"/>
                <w:sz w:val="24"/>
              </w:rPr>
              <w:t xml:space="preserve">中标人如因资金问题需贷款，可登录政采云平台“金融服务模块”查看各相关银行服务方案，具体执行可与相关银行东阳分行联系或“政采云”线上申请。为扩大政府采购金融服务面，除政采云网上金融服务合作银行外，东阳市范围内增加浙商银行金华分行东阳支行作为线下合作银行。   </w:t>
            </w:r>
          </w:p>
          <w:p>
            <w:pPr>
              <w:snapToGrid w:val="0"/>
              <w:spacing w:line="400" w:lineRule="exact"/>
              <w:rPr>
                <w:rFonts w:ascii="宋体" w:hAnsi="宋体" w:cs="宋体"/>
                <w:sz w:val="24"/>
                <w:szCs w:val="24"/>
              </w:rPr>
            </w:pPr>
            <w:r>
              <w:rPr>
                <w:rFonts w:hint="eastAsia" w:ascii="宋体" w:hAnsi="宋体" w:cs="宋体"/>
                <w:sz w:val="24"/>
              </w:rPr>
              <w:t>浙商银行金华东阳支行联系人：许燕  联系电话：13967983441    0579-86222992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17</w:t>
            </w:r>
          </w:p>
        </w:tc>
        <w:tc>
          <w:tcPr>
            <w:tcW w:w="8490" w:type="dxa"/>
            <w:tcBorders>
              <w:top w:val="single" w:color="auto" w:sz="4" w:space="0"/>
              <w:left w:val="single" w:color="auto" w:sz="4" w:space="0"/>
              <w:bottom w:val="single" w:color="auto" w:sz="4" w:space="0"/>
            </w:tcBorders>
            <w:vAlign w:val="center"/>
          </w:tcPr>
          <w:p>
            <w:pPr>
              <w:snapToGrid w:val="0"/>
              <w:spacing w:line="400" w:lineRule="exact"/>
              <w:rPr>
                <w:rFonts w:ascii="宋体" w:hAnsi="宋体" w:cs="宋体"/>
                <w:sz w:val="24"/>
                <w:szCs w:val="24"/>
              </w:rPr>
            </w:pPr>
            <w:r>
              <w:rPr>
                <w:rFonts w:hint="eastAsia" w:ascii="宋体" w:hAnsi="宋体" w:cs="宋体"/>
                <w:sz w:val="24"/>
                <w:szCs w:val="24"/>
              </w:rPr>
              <w:t>解释：本招标文件的解释权归招标采购单位。招标人对投标人的落选不作任何解释。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18</w:t>
            </w:r>
          </w:p>
        </w:tc>
        <w:tc>
          <w:tcPr>
            <w:tcW w:w="8490" w:type="dxa"/>
            <w:tcBorders>
              <w:top w:val="single" w:color="auto" w:sz="4" w:space="0"/>
              <w:left w:val="single" w:color="auto" w:sz="4" w:space="0"/>
              <w:bottom w:val="single" w:color="auto" w:sz="4" w:space="0"/>
            </w:tcBorders>
            <w:vAlign w:val="center"/>
          </w:tcPr>
          <w:p>
            <w:pPr>
              <w:snapToGrid w:val="0"/>
              <w:spacing w:line="400" w:lineRule="exact"/>
              <w:rPr>
                <w:rFonts w:ascii="宋体" w:hAnsi="宋体" w:cs="宋体"/>
                <w:sz w:val="24"/>
                <w:szCs w:val="24"/>
              </w:rPr>
            </w:pPr>
            <w:r>
              <w:rPr>
                <w:rFonts w:hint="eastAsia" w:ascii="宋体" w:hAnsi="宋体" w:cs="宋体"/>
                <w:sz w:val="24"/>
                <w:szCs w:val="24"/>
              </w:rPr>
              <w:t>本项目的中小企业行业属于：其他未列明行业（此项行业设定仅供</w:t>
            </w:r>
            <w:r>
              <w:rPr>
                <w:rFonts w:hint="eastAsia" w:ascii="宋体" w:hAnsi="宋体"/>
                <w:bCs/>
                <w:spacing w:val="-4"/>
                <w:sz w:val="24"/>
              </w:rPr>
              <w:t>小微企业价格政策评审参考</w:t>
            </w:r>
            <w:r>
              <w:rPr>
                <w:rFonts w:hint="eastAsia" w:ascii="宋体" w:hAnsi="宋体" w:cs="宋体"/>
                <w:sz w:val="24"/>
                <w:szCs w:val="24"/>
              </w:rPr>
              <w:t>）。</w:t>
            </w:r>
          </w:p>
        </w:tc>
      </w:tr>
    </w:tbl>
    <w:p>
      <w:pPr>
        <w:pStyle w:val="26"/>
        <w:spacing w:beforeLines="0" w:afterLines="0" w:line="360" w:lineRule="auto"/>
        <w:outlineLvl w:val="1"/>
        <w:rPr>
          <w:rFonts w:hAnsi="宋体"/>
          <w:b/>
          <w:bCs/>
          <w:color w:val="0D0D0D"/>
        </w:rPr>
      </w:pPr>
      <w:r>
        <w:rPr>
          <w:rFonts w:hint="eastAsia" w:hAnsi="宋体"/>
          <w:b/>
          <w:bCs/>
          <w:color w:val="0D0D0D"/>
        </w:rPr>
        <w:t>一、总则</w:t>
      </w:r>
    </w:p>
    <w:p>
      <w:pPr>
        <w:spacing w:line="360" w:lineRule="auto"/>
        <w:ind w:firstLine="470" w:firstLineChars="196"/>
        <w:jc w:val="left"/>
        <w:outlineLvl w:val="2"/>
        <w:rPr>
          <w:rFonts w:ascii="宋体" w:hAnsi="宋体" w:cs="宋体"/>
          <w:b/>
          <w:bCs/>
          <w:color w:val="0D0D0D"/>
          <w:sz w:val="24"/>
          <w:szCs w:val="24"/>
        </w:rPr>
      </w:pPr>
      <w:r>
        <w:rPr>
          <w:rFonts w:hint="eastAsia" w:ascii="宋体" w:hAnsi="宋体" w:cs="宋体"/>
          <w:b/>
          <w:bCs/>
          <w:color w:val="0D0D0D"/>
          <w:sz w:val="24"/>
          <w:szCs w:val="24"/>
        </w:rPr>
        <w:t>（一）适用范围</w:t>
      </w:r>
    </w:p>
    <w:p>
      <w:pPr>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本招标文件仅适用于</w:t>
      </w:r>
      <w:r>
        <w:rPr>
          <w:rFonts w:hint="eastAsia" w:ascii="宋体" w:hAnsi="宋体" w:cs="宋体"/>
          <w:color w:val="000000"/>
          <w:sz w:val="24"/>
          <w:szCs w:val="24"/>
        </w:rPr>
        <w:t>《东阳江流域江北片区排口溯源及水环境整治提升方案服务采购项目》</w:t>
      </w:r>
      <w:r>
        <w:rPr>
          <w:rFonts w:hint="eastAsia" w:ascii="宋体" w:hAnsi="宋体" w:cs="宋体"/>
          <w:color w:val="0D0D0D"/>
          <w:sz w:val="24"/>
          <w:szCs w:val="24"/>
        </w:rPr>
        <w:t>的招标采购。</w:t>
      </w:r>
    </w:p>
    <w:p>
      <w:pPr>
        <w:spacing w:line="360" w:lineRule="auto"/>
        <w:ind w:firstLine="470" w:firstLineChars="196"/>
        <w:jc w:val="left"/>
        <w:outlineLvl w:val="2"/>
        <w:rPr>
          <w:rFonts w:ascii="宋体" w:hAnsi="宋体" w:cs="宋体"/>
          <w:b/>
          <w:bCs/>
          <w:color w:val="0D0D0D"/>
          <w:sz w:val="24"/>
          <w:szCs w:val="24"/>
        </w:rPr>
      </w:pPr>
      <w:r>
        <w:rPr>
          <w:rFonts w:hint="eastAsia" w:ascii="宋体" w:hAnsi="宋体" w:cs="宋体"/>
          <w:b/>
          <w:bCs/>
          <w:color w:val="0D0D0D"/>
          <w:sz w:val="24"/>
          <w:szCs w:val="24"/>
        </w:rPr>
        <w:t>（二）定义</w:t>
      </w:r>
    </w:p>
    <w:p>
      <w:pPr>
        <w:spacing w:line="360" w:lineRule="auto"/>
        <w:ind w:firstLine="480" w:firstLineChars="200"/>
        <w:rPr>
          <w:rFonts w:ascii="宋体" w:hAnsi="宋体" w:cs="宋体"/>
          <w:color w:val="0D0D0D"/>
          <w:sz w:val="24"/>
          <w:szCs w:val="24"/>
        </w:rPr>
      </w:pPr>
      <w:r>
        <w:rPr>
          <w:rFonts w:hint="eastAsia" w:ascii="宋体" w:hAnsi="宋体" w:cs="宋体"/>
          <w:color w:val="0D0D0D"/>
          <w:sz w:val="24"/>
          <w:szCs w:val="24"/>
        </w:rPr>
        <w:t>1.招标采购单位系指组织本次招标的浙江省东阳经济开发区江北高新产业园区管委会</w:t>
      </w:r>
      <w:r>
        <w:rPr>
          <w:rFonts w:hint="eastAsia" w:ascii="宋体" w:hAnsi="宋体" w:cs="宋体"/>
          <w:sz w:val="24"/>
          <w:szCs w:val="24"/>
        </w:rPr>
        <w:t>(</w:t>
      </w:r>
      <w:r>
        <w:rPr>
          <w:rFonts w:hint="eastAsia" w:ascii="宋体" w:hAnsi="宋体" w:cs="宋体"/>
          <w:color w:val="0D0D0D"/>
          <w:sz w:val="24"/>
          <w:szCs w:val="24"/>
        </w:rPr>
        <w:t>采购人)和金华市金诚招投标代理有限公司（招标方）。</w:t>
      </w:r>
    </w:p>
    <w:p>
      <w:pPr>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2.“投标人”系指向招标方提交投标文件的单位。</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3.“产品”系指供方按招标文件规定，须向采购人提供的一切设备、产品、保险、税金、备品备件、工具、手册及其它有关技术资料和材料。</w:t>
      </w:r>
    </w:p>
    <w:p>
      <w:pPr>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4.“服务”系指招标文件规定投标人须承担的</w:t>
      </w:r>
      <w:r>
        <w:rPr>
          <w:rFonts w:hint="eastAsia" w:ascii="宋体" w:hAnsi="宋体" w:cs="宋体"/>
          <w:color w:val="000000"/>
          <w:sz w:val="24"/>
          <w:szCs w:val="24"/>
        </w:rPr>
        <w:t>培训、调查、制作</w:t>
      </w:r>
      <w:r>
        <w:rPr>
          <w:rFonts w:hint="eastAsia" w:ascii="宋体" w:hAnsi="宋体" w:cs="宋体"/>
          <w:color w:val="0D0D0D"/>
          <w:sz w:val="24"/>
          <w:szCs w:val="24"/>
        </w:rPr>
        <w:t>、技术指导以及其他类似的义务等。</w:t>
      </w:r>
    </w:p>
    <w:p>
      <w:pPr>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5.“项目”系指投标人按招标文件规定向采购人提供的产品和服务。</w:t>
      </w:r>
    </w:p>
    <w:p>
      <w:pPr>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6.“书面形式”包括信函、传真、电报等。</w:t>
      </w:r>
    </w:p>
    <w:p>
      <w:pPr>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7.“▲”系指实质性要求条款。</w:t>
      </w:r>
    </w:p>
    <w:p>
      <w:pPr>
        <w:spacing w:line="360" w:lineRule="auto"/>
        <w:ind w:firstLine="470" w:firstLineChars="196"/>
        <w:jc w:val="left"/>
        <w:outlineLvl w:val="2"/>
        <w:rPr>
          <w:rFonts w:ascii="宋体" w:hAnsi="宋体" w:cs="宋体"/>
          <w:b/>
          <w:bCs/>
          <w:color w:val="0D0D0D"/>
          <w:sz w:val="24"/>
          <w:szCs w:val="24"/>
        </w:rPr>
      </w:pPr>
      <w:r>
        <w:rPr>
          <w:rFonts w:hint="eastAsia" w:ascii="宋体" w:hAnsi="宋体" w:cs="宋体"/>
          <w:b/>
          <w:bCs/>
          <w:color w:val="0D0D0D"/>
          <w:sz w:val="24"/>
          <w:szCs w:val="24"/>
        </w:rPr>
        <w:t>（三）招标方式</w:t>
      </w:r>
    </w:p>
    <w:p>
      <w:pPr>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本次招标采用公开招标方式进行。</w:t>
      </w:r>
    </w:p>
    <w:p>
      <w:pPr>
        <w:spacing w:line="360" w:lineRule="auto"/>
        <w:ind w:firstLine="470" w:firstLineChars="196"/>
        <w:jc w:val="left"/>
        <w:outlineLvl w:val="2"/>
        <w:rPr>
          <w:rFonts w:ascii="宋体" w:hAnsi="宋体" w:cs="宋体"/>
          <w:b/>
          <w:bCs/>
          <w:color w:val="0D0D0D"/>
          <w:sz w:val="24"/>
          <w:szCs w:val="24"/>
        </w:rPr>
      </w:pPr>
      <w:r>
        <w:rPr>
          <w:rFonts w:hint="eastAsia" w:ascii="宋体" w:hAnsi="宋体" w:cs="宋体"/>
          <w:b/>
          <w:bCs/>
          <w:color w:val="0D0D0D"/>
          <w:sz w:val="24"/>
          <w:szCs w:val="24"/>
        </w:rPr>
        <w:t>（四）投标委托</w:t>
      </w:r>
    </w:p>
    <w:p>
      <w:pPr>
        <w:pStyle w:val="8"/>
        <w:spacing w:line="360" w:lineRule="auto"/>
        <w:ind w:firstLine="464" w:firstLineChars="200"/>
        <w:jc w:val="left"/>
        <w:rPr>
          <w:rFonts w:hAnsi="宋体"/>
          <w:color w:val="0D0D0D"/>
          <w:sz w:val="24"/>
          <w:szCs w:val="24"/>
        </w:rPr>
      </w:pPr>
      <w:r>
        <w:rPr>
          <w:rFonts w:hint="eastAsia" w:hAnsi="宋体"/>
          <w:color w:val="0D0D0D"/>
          <w:sz w:val="24"/>
          <w:szCs w:val="24"/>
        </w:rPr>
        <w:t>投标人代表须携带有效身份证件等有效证明。如投标人代表不是法定代表人，须有法定代表人出具的授权委托书。</w:t>
      </w:r>
    </w:p>
    <w:p>
      <w:pPr>
        <w:spacing w:line="360" w:lineRule="auto"/>
        <w:ind w:firstLine="470" w:firstLineChars="196"/>
        <w:jc w:val="left"/>
        <w:outlineLvl w:val="2"/>
        <w:rPr>
          <w:rFonts w:ascii="宋体" w:hAnsi="宋体" w:cs="宋体"/>
          <w:b/>
          <w:bCs/>
          <w:color w:val="0D0D0D"/>
          <w:sz w:val="24"/>
          <w:szCs w:val="24"/>
        </w:rPr>
      </w:pPr>
      <w:r>
        <w:rPr>
          <w:rFonts w:hint="eastAsia" w:ascii="宋体" w:hAnsi="宋体" w:cs="宋体"/>
          <w:b/>
          <w:bCs/>
          <w:color w:val="0D0D0D"/>
          <w:sz w:val="24"/>
          <w:szCs w:val="24"/>
        </w:rPr>
        <w:t>（五）投标费用</w:t>
      </w:r>
    </w:p>
    <w:p>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D0D0D"/>
          <w:sz w:val="24"/>
          <w:szCs w:val="24"/>
        </w:rPr>
        <w:t>不论投标结果如何，投标人均应自行承担所有与投标有关的全部费用（招标文件有相反规定除外）。</w:t>
      </w:r>
      <w:r>
        <w:rPr>
          <w:rFonts w:hint="eastAsia" w:ascii="宋体" w:hAnsi="宋体" w:cs="宋体"/>
          <w:color w:val="000000"/>
          <w:sz w:val="24"/>
          <w:szCs w:val="24"/>
        </w:rPr>
        <w:t>中标人须在领取中标通知书前向招标代理机构交纳中标服务费，中标服务费按以下标准计算收取。</w:t>
      </w:r>
    </w:p>
    <w:p>
      <w:pPr>
        <w:widowControl/>
        <w:spacing w:line="360" w:lineRule="auto"/>
        <w:ind w:firstLine="2640" w:firstLineChars="1100"/>
        <w:rPr>
          <w:rFonts w:ascii="宋体" w:hAnsi="宋体" w:cs="宋体"/>
          <w:kern w:val="0"/>
          <w:sz w:val="24"/>
          <w:szCs w:val="24"/>
        </w:rPr>
      </w:pPr>
      <w:r>
        <w:rPr>
          <w:rFonts w:hint="eastAsia" w:ascii="宋体" w:hAnsi="宋体" w:cs="宋体"/>
          <w:b/>
          <w:bCs/>
          <w:kern w:val="0"/>
          <w:sz w:val="24"/>
          <w:szCs w:val="24"/>
        </w:rPr>
        <w:t>招标代理服务收费标准</w:t>
      </w:r>
    </w:p>
    <w:tbl>
      <w:tblPr>
        <w:tblStyle w:val="46"/>
        <w:tblW w:w="4997" w:type="pct"/>
        <w:tblCellSpacing w:w="15" w:type="dxa"/>
        <w:tblInd w:w="0" w:type="dxa"/>
        <w:tblLayout w:type="autofit"/>
        <w:tblCellMar>
          <w:top w:w="15" w:type="dxa"/>
          <w:left w:w="15" w:type="dxa"/>
          <w:bottom w:w="15" w:type="dxa"/>
          <w:right w:w="15" w:type="dxa"/>
        </w:tblCellMar>
      </w:tblPr>
      <w:tblGrid>
        <w:gridCol w:w="4565"/>
        <w:gridCol w:w="4597"/>
      </w:tblGrid>
      <w:tr>
        <w:tblPrEx>
          <w:tblCellMar>
            <w:top w:w="15" w:type="dxa"/>
            <w:left w:w="15" w:type="dxa"/>
            <w:bottom w:w="15" w:type="dxa"/>
            <w:right w:w="15" w:type="dxa"/>
          </w:tblCellMar>
        </w:tblPrEx>
        <w:trPr>
          <w:trHeight w:val="300" w:hRule="atLeast"/>
          <w:tblCellSpacing w:w="15" w:type="dxa"/>
        </w:trPr>
        <w:tc>
          <w:tcPr>
            <w:tcW w:w="2462" w:type="pct"/>
            <w:tcBorders>
              <w:top w:val="inset" w:color="000000" w:sz="6" w:space="0"/>
              <w:left w:val="inset" w:color="000000" w:sz="6" w:space="0"/>
              <w:bottom w:val="inset" w:color="000000" w:sz="6" w:space="0"/>
              <w:right w:val="inset" w:color="000000" w:sz="6" w:space="0"/>
            </w:tcBorders>
            <w:tcMar>
              <w:top w:w="0" w:type="dxa"/>
              <w:left w:w="0" w:type="dxa"/>
              <w:bottom w:w="0" w:type="dxa"/>
              <w:right w:w="0" w:type="dxa"/>
            </w:tcMar>
            <w:vAlign w:val="center"/>
          </w:tcPr>
          <w:p>
            <w:pPr>
              <w:widowControl/>
              <w:ind w:firstLine="480" w:firstLineChars="200"/>
              <w:jc w:val="center"/>
              <w:rPr>
                <w:rFonts w:ascii="宋体" w:hAnsi="宋体" w:cs="宋体"/>
                <w:kern w:val="0"/>
                <w:sz w:val="24"/>
                <w:szCs w:val="24"/>
              </w:rPr>
            </w:pPr>
            <w:r>
              <w:rPr>
                <w:rFonts w:hint="eastAsia" w:ascii="宋体" w:hAnsi="宋体" w:cs="宋体"/>
                <w:b/>
                <w:bCs/>
                <w:kern w:val="0"/>
                <w:sz w:val="24"/>
                <w:szCs w:val="24"/>
              </w:rPr>
              <w:t>中标金额（万元）</w:t>
            </w:r>
          </w:p>
        </w:tc>
        <w:tc>
          <w:tcPr>
            <w:tcW w:w="2487" w:type="pct"/>
            <w:tcBorders>
              <w:top w:val="inset" w:color="000000" w:sz="6" w:space="0"/>
              <w:left w:val="nil"/>
              <w:bottom w:val="inset" w:color="000000" w:sz="6" w:space="0"/>
              <w:right w:val="inset" w:color="000000" w:sz="6" w:space="0"/>
            </w:tcBorders>
            <w:tcMar>
              <w:top w:w="0" w:type="dxa"/>
              <w:left w:w="0" w:type="dxa"/>
              <w:bottom w:w="0" w:type="dxa"/>
              <w:right w:w="0" w:type="dxa"/>
            </w:tcMar>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服务招标</w:t>
            </w:r>
          </w:p>
        </w:tc>
      </w:tr>
      <w:tr>
        <w:tblPrEx>
          <w:tblCellMar>
            <w:top w:w="15" w:type="dxa"/>
            <w:left w:w="15" w:type="dxa"/>
            <w:bottom w:w="15" w:type="dxa"/>
            <w:right w:w="15" w:type="dxa"/>
          </w:tblCellMar>
        </w:tblPrEx>
        <w:trPr>
          <w:trHeight w:val="210" w:hRule="atLeast"/>
          <w:tblCellSpacing w:w="15" w:type="dxa"/>
        </w:trPr>
        <w:tc>
          <w:tcPr>
            <w:tcW w:w="2462" w:type="pct"/>
            <w:tcBorders>
              <w:top w:val="single" w:color="auto" w:sz="0" w:space="0"/>
              <w:left w:val="inset" w:color="000000" w:sz="6" w:space="0"/>
              <w:bottom w:val="single" w:color="auto" w:sz="0" w:space="0"/>
              <w:right w:val="inset" w:color="000000" w:sz="6" w:space="0"/>
            </w:tcBorders>
            <w:noWrap/>
            <w:tcMar>
              <w:top w:w="0" w:type="dxa"/>
              <w:left w:w="0" w:type="dxa"/>
              <w:bottom w:w="0" w:type="dxa"/>
              <w:right w:w="0" w:type="dxa"/>
            </w:tcMar>
            <w:vAlign w:val="center"/>
          </w:tcPr>
          <w:p>
            <w:pPr>
              <w:widowControl/>
              <w:jc w:val="center"/>
              <w:rPr>
                <w:rFonts w:ascii="宋体" w:hAnsi="宋体" w:cs="宋体"/>
                <w:kern w:val="0"/>
                <w:sz w:val="24"/>
                <w:szCs w:val="24"/>
              </w:rPr>
            </w:pPr>
            <w:r>
              <w:rPr>
                <w:rFonts w:hint="eastAsia" w:ascii="宋体" w:hAnsi="宋体" w:cs="宋体"/>
                <w:kern w:val="0"/>
                <w:sz w:val="24"/>
                <w:szCs w:val="24"/>
              </w:rPr>
              <w:t>100以下</w:t>
            </w:r>
          </w:p>
        </w:tc>
        <w:tc>
          <w:tcPr>
            <w:tcW w:w="2487" w:type="pct"/>
            <w:tcBorders>
              <w:top w:val="single" w:color="auto" w:sz="0" w:space="0"/>
              <w:left w:val="single" w:color="auto" w:sz="0" w:space="0"/>
              <w:bottom w:val="single" w:color="auto" w:sz="0" w:space="0"/>
              <w:right w:val="inset" w:color="000000" w:sz="6" w:space="0"/>
            </w:tcBorders>
            <w:noWrap/>
            <w:tcMar>
              <w:top w:w="0" w:type="dxa"/>
              <w:left w:w="0" w:type="dxa"/>
              <w:bottom w:w="0" w:type="dxa"/>
              <w:right w:w="0" w:type="dxa"/>
            </w:tcMar>
            <w:vAlign w:val="center"/>
          </w:tcPr>
          <w:p>
            <w:pPr>
              <w:widowControl/>
              <w:jc w:val="center"/>
              <w:rPr>
                <w:rFonts w:ascii="宋体" w:hAnsi="宋体" w:cs="宋体"/>
                <w:kern w:val="0"/>
                <w:sz w:val="24"/>
                <w:szCs w:val="24"/>
              </w:rPr>
            </w:pPr>
            <w:r>
              <w:rPr>
                <w:rFonts w:hint="eastAsia" w:ascii="宋体" w:hAnsi="宋体" w:cs="宋体"/>
                <w:kern w:val="0"/>
                <w:sz w:val="24"/>
                <w:szCs w:val="24"/>
              </w:rPr>
              <w:t>1.5％</w:t>
            </w:r>
          </w:p>
        </w:tc>
      </w:tr>
      <w:tr>
        <w:tblPrEx>
          <w:tblCellMar>
            <w:top w:w="15" w:type="dxa"/>
            <w:left w:w="15" w:type="dxa"/>
            <w:bottom w:w="15" w:type="dxa"/>
            <w:right w:w="15" w:type="dxa"/>
          </w:tblCellMar>
        </w:tblPrEx>
        <w:trPr>
          <w:trHeight w:val="210" w:hRule="atLeast"/>
          <w:tblCellSpacing w:w="15" w:type="dxa"/>
        </w:trPr>
        <w:tc>
          <w:tcPr>
            <w:tcW w:w="4555" w:type="dxa"/>
            <w:tcBorders>
              <w:top w:val="single" w:color="auto" w:sz="0" w:space="0"/>
              <w:left w:val="inset" w:color="000000" w:sz="6" w:space="0"/>
              <w:bottom w:val="single" w:color="auto" w:sz="0" w:space="0"/>
              <w:right w:val="inset" w:color="000000" w:sz="6" w:space="0"/>
            </w:tcBorders>
            <w:noWrap/>
            <w:tcMar>
              <w:top w:w="0" w:type="dxa"/>
              <w:left w:w="0" w:type="dxa"/>
              <w:bottom w:w="0" w:type="dxa"/>
              <w:right w:w="0" w:type="dxa"/>
            </w:tcMar>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100—500</w:t>
            </w:r>
          </w:p>
        </w:tc>
        <w:tc>
          <w:tcPr>
            <w:tcW w:w="4602" w:type="dxa"/>
            <w:tcBorders>
              <w:top w:val="single" w:color="auto" w:sz="0" w:space="0"/>
              <w:left w:val="single" w:color="auto" w:sz="0" w:space="0"/>
              <w:bottom w:val="single" w:color="auto" w:sz="0" w:space="0"/>
              <w:right w:val="inset" w:color="000000" w:sz="6" w:space="0"/>
            </w:tcBorders>
            <w:noWrap/>
            <w:tcMar>
              <w:top w:w="0" w:type="dxa"/>
              <w:left w:w="0" w:type="dxa"/>
              <w:bottom w:w="0" w:type="dxa"/>
              <w:right w:w="0" w:type="dxa"/>
            </w:tcMar>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0.8％</w:t>
            </w:r>
          </w:p>
        </w:tc>
      </w:tr>
      <w:tr>
        <w:tblPrEx>
          <w:tblCellMar>
            <w:top w:w="15" w:type="dxa"/>
            <w:left w:w="15" w:type="dxa"/>
            <w:bottom w:w="15" w:type="dxa"/>
            <w:right w:w="15" w:type="dxa"/>
          </w:tblCellMar>
        </w:tblPrEx>
        <w:trPr>
          <w:trHeight w:val="210" w:hRule="atLeast"/>
          <w:tblCellSpacing w:w="15" w:type="dxa"/>
        </w:trPr>
        <w:tc>
          <w:tcPr>
            <w:tcW w:w="4555" w:type="dxa"/>
            <w:tcBorders>
              <w:top w:val="single" w:color="auto" w:sz="0" w:space="0"/>
              <w:left w:val="inset" w:color="000000" w:sz="6" w:space="0"/>
              <w:bottom w:val="single" w:color="auto" w:sz="0" w:space="0"/>
              <w:right w:val="inset" w:color="000000" w:sz="6" w:space="0"/>
            </w:tcBorders>
            <w:noWrap/>
            <w:tcMar>
              <w:top w:w="0" w:type="dxa"/>
              <w:left w:w="0" w:type="dxa"/>
              <w:bottom w:w="0" w:type="dxa"/>
              <w:right w:w="0" w:type="dxa"/>
            </w:tcMar>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500—1000</w:t>
            </w:r>
          </w:p>
        </w:tc>
        <w:tc>
          <w:tcPr>
            <w:tcW w:w="4602" w:type="dxa"/>
            <w:tcBorders>
              <w:top w:val="single" w:color="auto" w:sz="0" w:space="0"/>
              <w:left w:val="single" w:color="auto" w:sz="0" w:space="0"/>
              <w:bottom w:val="single" w:color="auto" w:sz="0" w:space="0"/>
              <w:right w:val="inset" w:color="000000" w:sz="6" w:space="0"/>
            </w:tcBorders>
            <w:noWrap/>
            <w:tcMar>
              <w:top w:w="0" w:type="dxa"/>
              <w:left w:w="0" w:type="dxa"/>
              <w:bottom w:w="0" w:type="dxa"/>
              <w:right w:w="0" w:type="dxa"/>
            </w:tcMar>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0.45％</w:t>
            </w:r>
          </w:p>
        </w:tc>
      </w:tr>
    </w:tbl>
    <w:p>
      <w:pPr>
        <w:spacing w:line="360" w:lineRule="auto"/>
        <w:ind w:firstLine="480" w:firstLineChars="200"/>
        <w:rPr>
          <w:rFonts w:ascii="宋体" w:hAnsi="宋体" w:cs="宋体"/>
          <w:b/>
          <w:bCs/>
          <w:sz w:val="24"/>
          <w:szCs w:val="24"/>
        </w:rPr>
      </w:pPr>
      <w:r>
        <w:rPr>
          <w:rFonts w:hint="eastAsia" w:ascii="宋体" w:hAnsi="宋体" w:cs="宋体"/>
          <w:b/>
          <w:bCs/>
          <w:sz w:val="24"/>
          <w:szCs w:val="24"/>
        </w:rPr>
        <w:t>（六）联合体投标</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本项目接受联合体投标。</w:t>
      </w:r>
    </w:p>
    <w:p>
      <w:pPr>
        <w:spacing w:line="360" w:lineRule="auto"/>
        <w:ind w:firstLine="470" w:firstLineChars="196"/>
        <w:jc w:val="left"/>
        <w:rPr>
          <w:rFonts w:ascii="宋体" w:hAnsi="宋体" w:cs="宋体"/>
          <w:b/>
          <w:bCs/>
          <w:color w:val="0D0D0D"/>
          <w:sz w:val="24"/>
          <w:szCs w:val="24"/>
        </w:rPr>
      </w:pPr>
      <w:r>
        <w:rPr>
          <w:rFonts w:hint="eastAsia" w:ascii="宋体" w:hAnsi="宋体" w:cs="宋体"/>
          <w:b/>
          <w:bCs/>
          <w:color w:val="0D0D0D"/>
          <w:sz w:val="24"/>
          <w:szCs w:val="24"/>
        </w:rPr>
        <w:t>（七）转包与分包</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1.本项目不允许转包。</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2.本项目可以分包。</w:t>
      </w:r>
    </w:p>
    <w:p>
      <w:pPr>
        <w:spacing w:line="360" w:lineRule="auto"/>
        <w:ind w:firstLine="470" w:firstLineChars="196"/>
        <w:jc w:val="left"/>
        <w:outlineLvl w:val="2"/>
        <w:rPr>
          <w:rFonts w:ascii="宋体" w:hAnsi="宋体" w:cs="宋体"/>
          <w:b/>
          <w:bCs/>
          <w:color w:val="0D0D0D"/>
          <w:sz w:val="24"/>
          <w:szCs w:val="24"/>
        </w:rPr>
      </w:pPr>
      <w:r>
        <w:rPr>
          <w:rFonts w:hint="eastAsia" w:ascii="宋体" w:hAnsi="宋体" w:cs="宋体"/>
          <w:b/>
          <w:bCs/>
          <w:color w:val="0D0D0D"/>
          <w:sz w:val="24"/>
          <w:szCs w:val="24"/>
        </w:rPr>
        <w:t>（八）特别说明：</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▲1.</w:t>
      </w:r>
      <w:r>
        <w:rPr>
          <w:rFonts w:hint="eastAsia" w:ascii="宋体" w:hAnsi="宋体" w:cs="宋体"/>
          <w:color w:val="0D0D0D"/>
          <w:sz w:val="24"/>
          <w:szCs w:val="24"/>
        </w:rPr>
        <w:t>多家供应商参加同一政府采购项目竞争的，如其中两家或两家以上供应商的法定代表人为同一人或相互之间存在投资关系且达到控股的，同时提供的是同一品牌的产品的，应当按一</w:t>
      </w:r>
      <w:r>
        <w:rPr>
          <w:rFonts w:hint="eastAsia" w:ascii="宋体" w:hAnsi="宋体" w:cs="宋体"/>
          <w:sz w:val="24"/>
          <w:szCs w:val="24"/>
        </w:rPr>
        <w:t>家供应商认定。评审时，取其中通过资格审查后的报价最低一家为有效供应商；当报价相同时，则以技术标最优一家为有效供应商；均相同时，由评审小组集体决定。</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2.（1）投标人投标所使用的资格、信誉、荣誉、业绩与企业认证必须为本法人所拥有。</w:t>
      </w:r>
    </w:p>
    <w:p>
      <w:pPr>
        <w:widowControl/>
        <w:spacing w:line="360" w:lineRule="auto"/>
        <w:ind w:firstLine="720" w:firstLineChars="300"/>
        <w:jc w:val="left"/>
        <w:rPr>
          <w:rFonts w:ascii="宋体" w:hAnsi="宋体" w:cs="宋体"/>
          <w:sz w:val="24"/>
          <w:szCs w:val="24"/>
        </w:rPr>
      </w:pPr>
      <w:r>
        <w:rPr>
          <w:rFonts w:hint="eastAsia" w:ascii="宋体" w:hAnsi="宋体" w:cs="宋体"/>
          <w:sz w:val="24"/>
          <w:szCs w:val="24"/>
        </w:rPr>
        <w:t>（2）投标人投标所使用的采购项目实施人员必须为本法人员工（或必须为其分公司或其控股公司正式员工）。</w:t>
      </w:r>
    </w:p>
    <w:p>
      <w:pPr>
        <w:widowControl/>
        <w:spacing w:line="360" w:lineRule="auto"/>
        <w:ind w:firstLine="480" w:firstLineChars="200"/>
        <w:jc w:val="left"/>
        <w:rPr>
          <w:rFonts w:ascii="宋体" w:hAnsi="宋体" w:cs="宋体"/>
          <w:color w:val="0D0D0D"/>
          <w:sz w:val="24"/>
          <w:szCs w:val="24"/>
        </w:rPr>
      </w:pPr>
      <w:r>
        <w:rPr>
          <w:rFonts w:hint="eastAsia" w:ascii="宋体" w:hAnsi="宋体" w:cs="宋体"/>
          <w:sz w:val="24"/>
          <w:szCs w:val="24"/>
        </w:rPr>
        <w:t>▲3.投标人应仔细阅读招标文件的所有内容，按照招标文件的要求提交投标文件</w:t>
      </w:r>
      <w:r>
        <w:rPr>
          <w:rFonts w:hint="eastAsia" w:ascii="宋体" w:hAnsi="宋体" w:cs="宋体"/>
          <w:color w:val="0D0D0D"/>
          <w:sz w:val="24"/>
          <w:szCs w:val="24"/>
        </w:rPr>
        <w:t>，并对所提供的全部资料的真实性承担法律责任。</w:t>
      </w:r>
    </w:p>
    <w:p>
      <w:pPr>
        <w:widowControl/>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▲4.投标人在投标活动中提供任何虚假材料,其投标无效，并报监管部门查处。</w:t>
      </w:r>
    </w:p>
    <w:p>
      <w:pPr>
        <w:pStyle w:val="26"/>
        <w:spacing w:beforeLines="0" w:afterLines="0" w:line="360" w:lineRule="auto"/>
        <w:ind w:firstLine="470" w:firstLineChars="196"/>
        <w:jc w:val="left"/>
        <w:outlineLvl w:val="2"/>
        <w:rPr>
          <w:rFonts w:hAnsi="宋体"/>
          <w:b/>
          <w:bCs/>
          <w:color w:val="0D0D0D"/>
        </w:rPr>
      </w:pPr>
      <w:r>
        <w:rPr>
          <w:rFonts w:hint="eastAsia" w:hAnsi="宋体"/>
          <w:b/>
          <w:bCs/>
          <w:color w:val="0D0D0D"/>
        </w:rPr>
        <w:t>（九）质疑和投诉</w:t>
      </w:r>
    </w:p>
    <w:p>
      <w:pPr>
        <w:pStyle w:val="26"/>
        <w:spacing w:beforeLines="0" w:afterLines="0" w:line="360" w:lineRule="auto"/>
        <w:ind w:firstLine="480" w:firstLineChars="200"/>
        <w:rPr>
          <w:rFonts w:hAnsi="宋体"/>
          <w:color w:val="0D0D0D"/>
        </w:rPr>
      </w:pPr>
      <w:r>
        <w:rPr>
          <w:rFonts w:hint="eastAsia" w:hAnsi="宋体"/>
          <w:color w:val="0D0D0D"/>
        </w:rPr>
        <w:t>1.投标人认为招标文件、招标过程或中标结果使自己的合法权益受到损害，应当在知道或者应知其权益受到损害之日起七个工作日内，以书面形式向采购人、招标方提出质疑。投标人对招标采购单位的质疑答复不满意或者招标采购单位未在规定时间内作出答复的，可在答复期满后十五个工作日内向同级采购监管部门投诉。</w:t>
      </w:r>
    </w:p>
    <w:p>
      <w:pPr>
        <w:pStyle w:val="26"/>
        <w:spacing w:beforeLines="0" w:afterLines="0" w:line="360" w:lineRule="auto"/>
        <w:ind w:firstLine="480" w:firstLineChars="200"/>
        <w:rPr>
          <w:rFonts w:hAnsi="宋体"/>
          <w:color w:val="0D0D0D"/>
        </w:rPr>
      </w:pPr>
      <w:r>
        <w:rPr>
          <w:rFonts w:hint="eastAsia" w:hAnsi="宋体"/>
          <w:color w:val="0D0D0D"/>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26"/>
        <w:spacing w:beforeLines="0" w:afterLines="0" w:line="360" w:lineRule="auto"/>
        <w:outlineLvl w:val="1"/>
        <w:rPr>
          <w:rFonts w:hAnsi="宋体"/>
          <w:b/>
          <w:bCs/>
          <w:color w:val="0D0D0D"/>
        </w:rPr>
      </w:pPr>
      <w:r>
        <w:rPr>
          <w:rFonts w:hint="eastAsia" w:hAnsi="宋体"/>
          <w:b/>
          <w:bCs/>
          <w:color w:val="0D0D0D"/>
        </w:rPr>
        <w:t>二、招标文件</w:t>
      </w:r>
    </w:p>
    <w:p>
      <w:pPr>
        <w:spacing w:line="360" w:lineRule="auto"/>
        <w:ind w:firstLine="470" w:firstLineChars="196"/>
        <w:jc w:val="left"/>
        <w:outlineLvl w:val="2"/>
        <w:rPr>
          <w:rFonts w:ascii="宋体" w:hAnsi="宋体" w:cs="宋体"/>
          <w:b/>
          <w:bCs/>
          <w:color w:val="0D0D0D"/>
          <w:sz w:val="24"/>
          <w:szCs w:val="24"/>
        </w:rPr>
      </w:pPr>
      <w:r>
        <w:rPr>
          <w:rFonts w:hint="eastAsia" w:ascii="宋体" w:hAnsi="宋体" w:cs="宋体"/>
          <w:b/>
          <w:bCs/>
          <w:color w:val="0D0D0D"/>
          <w:sz w:val="24"/>
          <w:szCs w:val="24"/>
        </w:rPr>
        <w:t>（一）招标文件的构成。本招标文件由以下部分组成：</w:t>
      </w:r>
    </w:p>
    <w:p>
      <w:pPr>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1.招标公告</w:t>
      </w:r>
    </w:p>
    <w:p>
      <w:pPr>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2.招标需求</w:t>
      </w:r>
    </w:p>
    <w:p>
      <w:pPr>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3.投标人须知</w:t>
      </w:r>
    </w:p>
    <w:p>
      <w:pPr>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4.评标办法及标准</w:t>
      </w:r>
    </w:p>
    <w:p>
      <w:pPr>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5.合同主要条款</w:t>
      </w:r>
    </w:p>
    <w:p>
      <w:pPr>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6.投标文件格式</w:t>
      </w:r>
    </w:p>
    <w:p>
      <w:pPr>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7.本项目招标文件的澄清、答复、修改、补充的内容</w:t>
      </w:r>
    </w:p>
    <w:p>
      <w:pPr>
        <w:spacing w:line="360" w:lineRule="auto"/>
        <w:ind w:firstLine="470" w:firstLineChars="196"/>
        <w:jc w:val="left"/>
        <w:outlineLvl w:val="2"/>
        <w:rPr>
          <w:rFonts w:ascii="宋体" w:hAnsi="宋体" w:cs="宋体"/>
          <w:b/>
          <w:bCs/>
          <w:color w:val="0D0D0D"/>
          <w:sz w:val="24"/>
          <w:szCs w:val="24"/>
        </w:rPr>
      </w:pPr>
      <w:r>
        <w:rPr>
          <w:rFonts w:hint="eastAsia" w:ascii="宋体" w:hAnsi="宋体" w:cs="宋体"/>
          <w:b/>
          <w:bCs/>
          <w:color w:val="0D0D0D"/>
          <w:sz w:val="24"/>
          <w:szCs w:val="24"/>
        </w:rPr>
        <w:t>（二）投标人的风险</w:t>
      </w:r>
    </w:p>
    <w:p>
      <w:pPr>
        <w:pStyle w:val="35"/>
        <w:snapToGrid/>
        <w:spacing w:line="360" w:lineRule="auto"/>
        <w:rPr>
          <w:rFonts w:ascii="宋体" w:eastAsia="宋体" w:cs="宋体"/>
          <w:color w:val="0D0D0D"/>
        </w:rPr>
      </w:pPr>
      <w:r>
        <w:rPr>
          <w:rFonts w:hint="eastAsia" w:ascii="宋体" w:eastAsia="宋体" w:cs="宋体"/>
          <w:color w:val="0D0D0D"/>
        </w:rPr>
        <w:t>投标人没有按照招标文件要求提供全部资料，或者投标人没有对招标文件在各方面作出实质性响应是投标人的风险，并可能导致其投标被拒绝。</w:t>
      </w:r>
    </w:p>
    <w:p>
      <w:pPr>
        <w:pStyle w:val="14"/>
        <w:widowControl w:val="0"/>
        <w:tabs>
          <w:tab w:val="clear" w:pos="454"/>
        </w:tabs>
        <w:spacing w:afterLines="0" w:line="360" w:lineRule="auto"/>
        <w:ind w:left="0" w:firstLine="470" w:firstLineChars="196"/>
        <w:outlineLvl w:val="2"/>
        <w:rPr>
          <w:rFonts w:ascii="宋体" w:hAnsi="宋体" w:cs="宋体"/>
          <w:b/>
          <w:bCs/>
          <w:color w:val="0D0D0D"/>
        </w:rPr>
      </w:pPr>
      <w:r>
        <w:rPr>
          <w:rFonts w:hint="eastAsia" w:ascii="宋体" w:hAnsi="宋体" w:cs="宋体"/>
          <w:b/>
          <w:bCs/>
          <w:color w:val="0D0D0D"/>
        </w:rPr>
        <w:t>（三）招标文件的澄清与修改</w:t>
      </w:r>
    </w:p>
    <w:p>
      <w:pPr>
        <w:pStyle w:val="26"/>
        <w:spacing w:beforeLines="0" w:afterLines="0" w:line="360" w:lineRule="auto"/>
        <w:ind w:firstLine="480" w:firstLineChars="200"/>
        <w:rPr>
          <w:rFonts w:hAnsi="宋体"/>
          <w:color w:val="0D0D0D"/>
        </w:rPr>
      </w:pPr>
      <w:r>
        <w:rPr>
          <w:rFonts w:hint="eastAsia" w:hAnsi="宋体"/>
          <w:color w:val="0D0D0D"/>
        </w:rPr>
        <w:t>1.投标人应认真阅读本招标文件，发现其中有误或有不合理要求的，投标人必须在</w:t>
      </w:r>
      <w:r>
        <w:rPr>
          <w:rFonts w:hint="eastAsia" w:hAnsi="宋体"/>
          <w:bCs/>
          <w:u w:val="single"/>
        </w:rPr>
        <w:t>2022年</w:t>
      </w:r>
      <w:r>
        <w:rPr>
          <w:rFonts w:hint="eastAsia" w:hAnsi="宋体"/>
          <w:bCs/>
          <w:u w:val="single"/>
          <w:lang w:val="en-US" w:eastAsia="zh-CN"/>
        </w:rPr>
        <w:t>8</w:t>
      </w:r>
      <w:r>
        <w:rPr>
          <w:rFonts w:hint="eastAsia" w:hAnsi="宋体"/>
          <w:bCs/>
          <w:u w:val="single"/>
        </w:rPr>
        <w:t>月</w:t>
      </w:r>
      <w:r>
        <w:rPr>
          <w:rFonts w:hint="eastAsia" w:hAnsi="宋体"/>
          <w:bCs/>
          <w:u w:val="single"/>
          <w:lang w:val="en-US" w:eastAsia="zh-CN"/>
        </w:rPr>
        <w:t>4</w:t>
      </w:r>
      <w:r>
        <w:rPr>
          <w:rFonts w:hint="eastAsia" w:hAnsi="宋体"/>
          <w:bCs/>
          <w:u w:val="single"/>
        </w:rPr>
        <w:t>日</w:t>
      </w:r>
      <w:r>
        <w:rPr>
          <w:rFonts w:hint="eastAsia" w:hAnsi="宋体"/>
          <w:color w:val="0D0D0D"/>
        </w:rPr>
        <w:t>16：00前以书面形式要求招标采购单位澄清。招标方对已发出的招标文件进行必要澄清、答复、修改或补充的，将于投标截止日期5天前在财政部门指定的政府采购信息发布媒体上发布更正公告，不另作通知。如果答疑、澄清或修改的内容可能影响投标文件编制的，招标采购单位将于投标截止日期15天前以网上公告的形式通知所有已报名的投标人，答疑内容是招标文件的组成部分。</w:t>
      </w:r>
    </w:p>
    <w:p>
      <w:pPr>
        <w:pStyle w:val="26"/>
        <w:spacing w:beforeLines="0" w:afterLines="0" w:line="360" w:lineRule="auto"/>
        <w:ind w:firstLine="480" w:firstLineChars="200"/>
        <w:rPr>
          <w:rFonts w:hAnsi="宋体"/>
          <w:color w:val="0D0D0D"/>
        </w:rPr>
      </w:pPr>
      <w:r>
        <w:rPr>
          <w:rFonts w:hint="eastAsia" w:hAnsi="宋体"/>
          <w:color w:val="0D0D0D"/>
        </w:rPr>
        <w:t>2.招标方必须以书面形式答复投标人要求澄清的问题，并将不包含问题来源的答复书面通知所有购买招标文件的投标人，除书面答复以外的其他澄清方式及澄清内容均无效。</w:t>
      </w:r>
    </w:p>
    <w:p>
      <w:pPr>
        <w:pStyle w:val="26"/>
        <w:spacing w:beforeLines="0" w:afterLines="0" w:line="360" w:lineRule="auto"/>
        <w:ind w:firstLine="480" w:firstLineChars="200"/>
        <w:rPr>
          <w:rFonts w:hAnsi="宋体"/>
          <w:color w:val="0D0D0D"/>
        </w:rPr>
      </w:pPr>
      <w:r>
        <w:rPr>
          <w:rFonts w:hint="eastAsia" w:hAnsi="宋体"/>
          <w:color w:val="0D0D0D"/>
        </w:rPr>
        <w:t>3.招标文件澄清、答复、修改、补充的内容为招标文件的组成部分。当招标文件与招标文件的答复、澄清、修改、补充通知就同一内容的表述不一致时，以最后发出的书面文件为准。</w:t>
      </w:r>
    </w:p>
    <w:p>
      <w:pPr>
        <w:pStyle w:val="26"/>
        <w:spacing w:beforeLines="0" w:afterLines="0" w:line="360" w:lineRule="auto"/>
        <w:ind w:firstLine="480" w:firstLineChars="200"/>
        <w:jc w:val="left"/>
        <w:outlineLvl w:val="1"/>
        <w:rPr>
          <w:rFonts w:hAnsi="宋体"/>
          <w:b/>
          <w:bCs/>
        </w:rPr>
      </w:pPr>
      <w:r>
        <w:rPr>
          <w:rFonts w:hint="eastAsia" w:hAnsi="宋体"/>
          <w:color w:val="0D0D0D"/>
        </w:rPr>
        <w:t>4.招标文件的澄清、答复、修改或补充都应该通过本招标机构以法定形式发布，采购人非通过本机构，不得擅自澄清、答复、修改或补充招标文件。</w:t>
      </w:r>
    </w:p>
    <w:p>
      <w:pPr>
        <w:pStyle w:val="26"/>
        <w:spacing w:beforeLines="0" w:afterLines="0" w:line="360" w:lineRule="auto"/>
        <w:rPr>
          <w:rFonts w:hAnsi="宋体"/>
          <w:b/>
          <w:bCs/>
          <w:color w:val="0D0D0D"/>
        </w:rPr>
      </w:pPr>
      <w:r>
        <w:rPr>
          <w:rFonts w:hint="eastAsia" w:hAnsi="宋体"/>
          <w:b/>
          <w:bCs/>
          <w:color w:val="0D0D0D"/>
        </w:rPr>
        <w:t>三、投标文件的编制</w:t>
      </w:r>
    </w:p>
    <w:p>
      <w:pPr>
        <w:spacing w:line="360" w:lineRule="auto"/>
        <w:ind w:firstLine="470" w:firstLineChars="196"/>
        <w:jc w:val="left"/>
        <w:outlineLvl w:val="0"/>
        <w:rPr>
          <w:rFonts w:ascii="宋体" w:hAnsi="宋体" w:cs="宋体"/>
          <w:b/>
          <w:bCs/>
          <w:sz w:val="24"/>
          <w:szCs w:val="24"/>
        </w:rPr>
      </w:pPr>
      <w:r>
        <w:rPr>
          <w:rFonts w:hint="eastAsia" w:ascii="宋体" w:hAnsi="宋体" w:cs="宋体"/>
          <w:b/>
          <w:bCs/>
          <w:sz w:val="24"/>
          <w:szCs w:val="24"/>
        </w:rPr>
        <w:t>（一）投标文件的组成</w:t>
      </w:r>
    </w:p>
    <w:p>
      <w:pPr>
        <w:spacing w:line="360" w:lineRule="auto"/>
        <w:ind w:firstLine="480" w:firstLineChars="200"/>
        <w:rPr>
          <w:rFonts w:ascii="宋体" w:hAnsi="宋体" w:cs="宋体"/>
          <w:b/>
          <w:bCs/>
          <w:sz w:val="24"/>
          <w:szCs w:val="24"/>
        </w:rPr>
      </w:pPr>
      <w:r>
        <w:rPr>
          <w:rFonts w:hint="eastAsia" w:ascii="宋体" w:hAnsi="宋体" w:cs="宋体"/>
          <w:b/>
          <w:bCs/>
          <w:sz w:val="24"/>
          <w:szCs w:val="24"/>
        </w:rPr>
        <w:t>投标文件</w:t>
      </w:r>
      <w:r>
        <w:rPr>
          <w:rFonts w:hint="eastAsia" w:ascii="宋体" w:hAnsi="宋体" w:cs="宋体"/>
          <w:sz w:val="24"/>
          <w:szCs w:val="24"/>
        </w:rPr>
        <w:t>（</w:t>
      </w:r>
      <w:r>
        <w:rPr>
          <w:rFonts w:hint="eastAsia" w:ascii="宋体" w:hAnsi="宋体" w:cs="宋体"/>
          <w:b/>
          <w:bCs/>
          <w:sz w:val="24"/>
          <w:szCs w:val="24"/>
        </w:rPr>
        <w:t>包含电子投标文件和电子备份投标文件</w:t>
      </w:r>
      <w:r>
        <w:rPr>
          <w:rFonts w:hint="eastAsia" w:ascii="宋体" w:hAnsi="宋体" w:cs="宋体"/>
          <w:sz w:val="24"/>
          <w:szCs w:val="24"/>
        </w:rPr>
        <w:t>）</w:t>
      </w:r>
      <w:r>
        <w:rPr>
          <w:rFonts w:hint="eastAsia" w:ascii="宋体" w:hAnsi="宋体" w:cs="宋体"/>
          <w:b/>
          <w:bCs/>
          <w:sz w:val="24"/>
          <w:szCs w:val="24"/>
        </w:rPr>
        <w:t>由资格审查资料、资信商务及技术文件、投标报价文件三部份组成。其中电子投标文件中所须加盖公章部分均采用CA签章。</w:t>
      </w:r>
    </w:p>
    <w:p>
      <w:pPr>
        <w:spacing w:line="360" w:lineRule="auto"/>
        <w:ind w:firstLine="540" w:firstLineChars="225"/>
        <w:rPr>
          <w:rFonts w:ascii="宋体" w:hAnsi="宋体" w:cs="宋体"/>
          <w:b/>
          <w:bCs/>
          <w:sz w:val="24"/>
          <w:szCs w:val="24"/>
        </w:rPr>
      </w:pPr>
      <w:r>
        <w:rPr>
          <w:rFonts w:hint="eastAsia" w:ascii="宋体" w:hAnsi="宋体" w:cs="宋体"/>
          <w:b/>
          <w:bCs/>
          <w:sz w:val="24"/>
          <w:szCs w:val="24"/>
        </w:rPr>
        <w:t>1、资格审查资料：</w:t>
      </w:r>
    </w:p>
    <w:p>
      <w:pPr>
        <w:spacing w:line="360" w:lineRule="auto"/>
        <w:ind w:firstLine="480" w:firstLineChars="200"/>
        <w:rPr>
          <w:rFonts w:ascii="宋体" w:hAnsi="宋体" w:cs="宋体"/>
          <w:sz w:val="24"/>
          <w:szCs w:val="24"/>
        </w:rPr>
      </w:pPr>
      <w:r>
        <w:rPr>
          <w:rFonts w:hint="eastAsia" w:ascii="宋体" w:hAnsi="宋体" w:cs="宋体"/>
          <w:sz w:val="24"/>
          <w:szCs w:val="24"/>
        </w:rPr>
        <w:t>1）有效的企业法人营业执照副本原件及复印件；</w:t>
      </w:r>
    </w:p>
    <w:p>
      <w:pPr>
        <w:spacing w:line="360" w:lineRule="auto"/>
        <w:ind w:firstLine="480" w:firstLineChars="200"/>
        <w:rPr>
          <w:rFonts w:ascii="宋体" w:hAnsi="宋体" w:cs="宋体"/>
          <w:sz w:val="24"/>
          <w:szCs w:val="24"/>
        </w:rPr>
      </w:pPr>
      <w:r>
        <w:rPr>
          <w:rFonts w:hint="eastAsia" w:ascii="宋体" w:hAnsi="宋体" w:cs="宋体"/>
          <w:sz w:val="24"/>
          <w:szCs w:val="24"/>
        </w:rPr>
        <w:t>2) 法定代表人授权委托书及经办人身份证原件及复印件；</w:t>
      </w:r>
    </w:p>
    <w:p>
      <w:pPr>
        <w:spacing w:line="360" w:lineRule="auto"/>
        <w:ind w:firstLine="480" w:firstLineChars="200"/>
        <w:rPr>
          <w:rFonts w:ascii="宋体" w:hAnsi="宋体" w:cs="宋体"/>
          <w:sz w:val="24"/>
          <w:szCs w:val="24"/>
        </w:rPr>
      </w:pPr>
      <w:r>
        <w:rPr>
          <w:rFonts w:hint="eastAsia" w:ascii="宋体" w:hAnsi="宋体" w:cs="宋体"/>
          <w:sz w:val="24"/>
          <w:szCs w:val="24"/>
        </w:rPr>
        <w:t>3) 合格投标人资格要求的相关文件及复印件；</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4) 投标人认为有必要提供的其它文件。</w:t>
      </w:r>
    </w:p>
    <w:p>
      <w:pPr>
        <w:spacing w:line="360" w:lineRule="auto"/>
        <w:ind w:firstLine="480" w:firstLineChars="200"/>
        <w:rPr>
          <w:rFonts w:ascii="宋体" w:hAnsi="宋体" w:cs="宋体"/>
          <w:sz w:val="24"/>
          <w:szCs w:val="24"/>
        </w:rPr>
      </w:pPr>
      <w:r>
        <w:rPr>
          <w:rFonts w:hint="eastAsia" w:ascii="宋体" w:hAnsi="宋体" w:cs="宋体"/>
          <w:b/>
          <w:bCs/>
          <w:sz w:val="24"/>
          <w:szCs w:val="24"/>
        </w:rPr>
        <w:t>备注：</w:t>
      </w:r>
    </w:p>
    <w:p>
      <w:pPr>
        <w:spacing w:line="360" w:lineRule="auto"/>
        <w:ind w:firstLine="480" w:firstLineChars="200"/>
        <w:rPr>
          <w:rFonts w:ascii="宋体" w:hAnsi="宋体" w:cs="宋体"/>
          <w:b/>
          <w:bCs/>
          <w:sz w:val="24"/>
          <w:szCs w:val="24"/>
        </w:rPr>
      </w:pPr>
      <w:r>
        <w:rPr>
          <w:rFonts w:hint="eastAsia" w:ascii="宋体" w:hAnsi="宋体" w:cs="宋体"/>
          <w:kern w:val="0"/>
          <w:sz w:val="24"/>
          <w:szCs w:val="24"/>
        </w:rPr>
        <w:t>投标人的资格审查由招标代理机构和采购人在评标委员会评标以前进行。</w:t>
      </w:r>
      <w:r>
        <w:rPr>
          <w:rFonts w:hint="eastAsia" w:ascii="宋体" w:hAnsi="宋体" w:cs="宋体"/>
          <w:sz w:val="24"/>
          <w:szCs w:val="24"/>
        </w:rPr>
        <w:t>投标人应未被列入失信被执行人名单、重大税收违法案件当事人名单、政府采购严重违法失信行为记录名单，信用信息以投标截止日信用中国网站(https://www.creditchina.gov.cn/)、中国政府采购网（http://www.ccgp.gov.cn/）公布为准；</w:t>
      </w:r>
    </w:p>
    <w:p>
      <w:pPr>
        <w:spacing w:line="360" w:lineRule="auto"/>
        <w:ind w:firstLine="480" w:firstLineChars="200"/>
        <w:jc w:val="left"/>
        <w:rPr>
          <w:rFonts w:ascii="宋体" w:hAnsi="宋体" w:cs="宋体"/>
          <w:sz w:val="24"/>
          <w:szCs w:val="24"/>
        </w:rPr>
      </w:pPr>
      <w:r>
        <w:rPr>
          <w:rFonts w:hint="eastAsia" w:ascii="宋体" w:hAnsi="宋体" w:cs="宋体"/>
          <w:b/>
          <w:bCs/>
          <w:sz w:val="24"/>
          <w:szCs w:val="24"/>
        </w:rPr>
        <w:t>2、资信商务及技术文件：</w:t>
      </w:r>
    </w:p>
    <w:p>
      <w:pPr>
        <w:spacing w:line="360" w:lineRule="auto"/>
        <w:ind w:firstLine="470" w:firstLineChars="196"/>
        <w:jc w:val="left"/>
        <w:rPr>
          <w:rFonts w:ascii="宋体" w:hAnsi="宋体" w:cs="宋体"/>
          <w:sz w:val="24"/>
          <w:szCs w:val="24"/>
        </w:rPr>
      </w:pPr>
      <w:r>
        <w:rPr>
          <w:rFonts w:hint="eastAsia" w:ascii="宋体" w:hAnsi="宋体" w:cs="宋体"/>
          <w:sz w:val="24"/>
          <w:szCs w:val="24"/>
        </w:rPr>
        <w:t>（1）评分响应表（格式见附件2.1）；</w:t>
      </w:r>
    </w:p>
    <w:p>
      <w:pPr>
        <w:spacing w:line="360" w:lineRule="auto"/>
        <w:ind w:firstLine="470" w:firstLineChars="196"/>
        <w:jc w:val="left"/>
        <w:rPr>
          <w:rFonts w:ascii="宋体" w:hAnsi="宋体" w:cs="宋体"/>
          <w:sz w:val="24"/>
          <w:szCs w:val="24"/>
        </w:rPr>
      </w:pPr>
      <w:r>
        <w:rPr>
          <w:rFonts w:hint="eastAsia" w:ascii="宋体" w:hAnsi="宋体" w:cs="宋体"/>
          <w:sz w:val="24"/>
          <w:szCs w:val="24"/>
        </w:rPr>
        <w:t>（2）投标声明书(格式见附件2.2)；</w:t>
      </w:r>
    </w:p>
    <w:p>
      <w:pPr>
        <w:spacing w:line="360" w:lineRule="auto"/>
        <w:ind w:firstLine="470" w:firstLineChars="196"/>
        <w:jc w:val="left"/>
        <w:rPr>
          <w:rFonts w:ascii="宋体" w:hAnsi="宋体" w:cs="宋体"/>
          <w:sz w:val="24"/>
          <w:szCs w:val="24"/>
        </w:rPr>
      </w:pPr>
      <w:r>
        <w:rPr>
          <w:rFonts w:hint="eastAsia" w:ascii="宋体" w:hAnsi="宋体" w:cs="宋体"/>
          <w:sz w:val="24"/>
          <w:szCs w:val="24"/>
        </w:rPr>
        <w:t>（3）法定代表人授权委托书(格式见附件2.3)；</w:t>
      </w:r>
    </w:p>
    <w:p>
      <w:pPr>
        <w:spacing w:line="360" w:lineRule="auto"/>
        <w:ind w:firstLine="470" w:firstLineChars="196"/>
        <w:jc w:val="left"/>
        <w:rPr>
          <w:rFonts w:ascii="宋体" w:hAnsi="宋体" w:cs="宋体"/>
          <w:sz w:val="24"/>
          <w:szCs w:val="24"/>
        </w:rPr>
      </w:pPr>
      <w:r>
        <w:rPr>
          <w:rFonts w:hint="eastAsia" w:ascii="宋体" w:hAnsi="宋体" w:cs="宋体"/>
          <w:sz w:val="24"/>
          <w:szCs w:val="24"/>
        </w:rPr>
        <w:t>（4）投标单位情况表(格式见附件2.4)；</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（5）</w:t>
      </w:r>
      <w:r>
        <w:rPr>
          <w:rFonts w:hint="eastAsia" w:ascii="宋体" w:hAnsi="宋体" w:cs="宋体"/>
          <w:b/>
          <w:bCs/>
          <w:sz w:val="24"/>
        </w:rPr>
        <w:t>拟派人员一览表</w:t>
      </w:r>
      <w:r>
        <w:rPr>
          <w:rFonts w:hint="eastAsia" w:ascii="宋体" w:hAnsi="宋体" w:cs="宋体"/>
          <w:sz w:val="24"/>
          <w:szCs w:val="24"/>
        </w:rPr>
        <w:t>（格式见附件2.5）；</w:t>
      </w:r>
    </w:p>
    <w:p>
      <w:pPr>
        <w:spacing w:line="360" w:lineRule="auto"/>
        <w:ind w:firstLine="470" w:firstLineChars="196"/>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）营业执照副本复印件；</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7</w:t>
      </w:r>
      <w:r>
        <w:rPr>
          <w:rFonts w:hint="eastAsia" w:ascii="宋体" w:hAnsi="宋体" w:cs="宋体"/>
          <w:sz w:val="24"/>
          <w:szCs w:val="24"/>
        </w:rPr>
        <w:t>）中小企业声明函(</w:t>
      </w:r>
      <w:r>
        <w:rPr>
          <w:rFonts w:hint="eastAsia" w:ascii="宋体" w:hAnsi="宋体" w:cs="宋体"/>
          <w:b/>
          <w:sz w:val="24"/>
          <w:szCs w:val="24"/>
        </w:rPr>
        <w:t>如有</w:t>
      </w:r>
      <w:r>
        <w:rPr>
          <w:rFonts w:hint="eastAsia" w:ascii="宋体" w:hAnsi="宋体" w:cs="宋体"/>
          <w:sz w:val="24"/>
          <w:szCs w:val="24"/>
        </w:rPr>
        <w:t>)(格式见附件2.6)；</w:t>
      </w:r>
    </w:p>
    <w:p>
      <w:pPr>
        <w:spacing w:line="360" w:lineRule="auto"/>
        <w:ind w:firstLine="504" w:firstLineChars="200"/>
        <w:jc w:val="left"/>
        <w:rPr>
          <w:rFonts w:ascii="宋体" w:hAnsi="宋体" w:cs="宋体"/>
          <w:sz w:val="24"/>
          <w:szCs w:val="24"/>
        </w:rPr>
      </w:pPr>
      <w:r>
        <w:rPr>
          <w:rFonts w:hint="eastAsia" w:ascii="宋体" w:hAnsi="宋体" w:cs="宋体"/>
          <w:spacing w:val="6"/>
          <w:sz w:val="24"/>
          <w:szCs w:val="24"/>
        </w:rPr>
        <w:t>（</w:t>
      </w:r>
      <w:r>
        <w:rPr>
          <w:rFonts w:hint="eastAsia" w:ascii="宋体" w:hAnsi="宋体" w:cs="宋体"/>
          <w:spacing w:val="6"/>
          <w:sz w:val="24"/>
          <w:szCs w:val="24"/>
          <w:lang w:val="en-US" w:eastAsia="zh-CN"/>
        </w:rPr>
        <w:t>8</w:t>
      </w:r>
      <w:r>
        <w:rPr>
          <w:rFonts w:hint="eastAsia" w:ascii="宋体" w:hAnsi="宋体" w:cs="宋体"/>
          <w:spacing w:val="6"/>
          <w:sz w:val="24"/>
          <w:szCs w:val="24"/>
        </w:rPr>
        <w:t>）残疾人福利性单位声明函（</w:t>
      </w:r>
      <w:r>
        <w:rPr>
          <w:rFonts w:hint="eastAsia" w:ascii="宋体" w:hAnsi="宋体" w:cs="宋体"/>
          <w:b/>
          <w:spacing w:val="6"/>
          <w:sz w:val="24"/>
          <w:szCs w:val="24"/>
        </w:rPr>
        <w:t>如有</w:t>
      </w:r>
      <w:r>
        <w:rPr>
          <w:rFonts w:hint="eastAsia" w:ascii="宋体" w:hAnsi="宋体" w:cs="宋体"/>
          <w:spacing w:val="6"/>
          <w:sz w:val="24"/>
          <w:szCs w:val="24"/>
        </w:rPr>
        <w:t>）</w:t>
      </w:r>
      <w:r>
        <w:rPr>
          <w:rFonts w:hint="eastAsia" w:ascii="宋体" w:hAnsi="宋体" w:cs="宋体"/>
          <w:sz w:val="24"/>
          <w:szCs w:val="24"/>
        </w:rPr>
        <w:t>(格式见附件2.7)；</w:t>
      </w:r>
    </w:p>
    <w:p>
      <w:pPr>
        <w:spacing w:line="360" w:lineRule="auto"/>
        <w:ind w:firstLine="588" w:firstLineChars="245"/>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9</w:t>
      </w:r>
      <w:r>
        <w:rPr>
          <w:rFonts w:hint="eastAsia" w:ascii="宋体" w:hAnsi="宋体" w:cs="宋体"/>
          <w:sz w:val="24"/>
          <w:szCs w:val="24"/>
        </w:rPr>
        <w:t>) 监狱企业证明文件</w:t>
      </w:r>
      <w:r>
        <w:rPr>
          <w:rFonts w:hint="eastAsia" w:ascii="宋体" w:hAnsi="宋体" w:cs="宋体"/>
          <w:spacing w:val="6"/>
          <w:sz w:val="24"/>
          <w:szCs w:val="24"/>
        </w:rPr>
        <w:t>（</w:t>
      </w:r>
      <w:r>
        <w:rPr>
          <w:rFonts w:hint="eastAsia" w:ascii="宋体" w:hAnsi="宋体" w:cs="宋体"/>
          <w:b/>
          <w:spacing w:val="6"/>
          <w:sz w:val="24"/>
          <w:szCs w:val="24"/>
        </w:rPr>
        <w:t>如有</w:t>
      </w:r>
      <w:r>
        <w:rPr>
          <w:rFonts w:hint="eastAsia" w:ascii="宋体" w:hAnsi="宋体" w:cs="宋体"/>
          <w:spacing w:val="6"/>
          <w:sz w:val="24"/>
          <w:szCs w:val="24"/>
        </w:rPr>
        <w:t>）</w:t>
      </w:r>
      <w:r>
        <w:rPr>
          <w:rFonts w:hint="eastAsia" w:ascii="宋体" w:hAnsi="宋体" w:cs="宋体"/>
          <w:sz w:val="24"/>
          <w:szCs w:val="24"/>
        </w:rPr>
        <w:t>(格式自拟)；</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0</w:t>
      </w:r>
      <w:r>
        <w:rPr>
          <w:rFonts w:hint="eastAsia" w:ascii="宋体" w:hAnsi="宋体" w:cs="宋体"/>
          <w:sz w:val="24"/>
          <w:szCs w:val="24"/>
        </w:rPr>
        <w:t>）投标人类似项目的业绩(格式见附件2.8)；</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）投标人针对本项目的调研、总体规划和服务方案；</w:t>
      </w:r>
    </w:p>
    <w:p>
      <w:pPr>
        <w:spacing w:line="360" w:lineRule="auto"/>
        <w:ind w:firstLine="470" w:firstLineChars="196"/>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）投标人针对本项</w:t>
      </w:r>
      <w:r>
        <w:rPr>
          <w:rFonts w:hint="eastAsia" w:ascii="宋体" w:hAnsi="宋体" w:cs="宋体"/>
          <w:color w:val="000000"/>
          <w:sz w:val="24"/>
          <w:szCs w:val="24"/>
        </w:rPr>
        <w:t>制定的售后服务承诺等</w:t>
      </w:r>
      <w:r>
        <w:rPr>
          <w:rFonts w:hint="eastAsia" w:ascii="宋体" w:hAnsi="宋体" w:cs="宋体"/>
          <w:sz w:val="24"/>
          <w:szCs w:val="24"/>
        </w:rPr>
        <w:t>；</w:t>
      </w:r>
    </w:p>
    <w:p>
      <w:pPr>
        <w:spacing w:line="360" w:lineRule="auto"/>
        <w:ind w:firstLine="470" w:firstLineChars="196"/>
        <w:jc w:val="left"/>
        <w:rPr>
          <w:rFonts w:ascii="宋体" w:hAnsi="宋体" w:cs="宋体"/>
          <w:color w:val="0D0D0D"/>
          <w:sz w:val="24"/>
          <w:szCs w:val="24"/>
        </w:rPr>
      </w:pPr>
      <w:r>
        <w:rPr>
          <w:rFonts w:hint="eastAsia" w:ascii="宋体" w:hAnsi="宋体" w:cs="宋体"/>
          <w:color w:val="0D0D0D"/>
          <w:sz w:val="24"/>
          <w:szCs w:val="24"/>
        </w:rPr>
        <w:t>（1</w:t>
      </w:r>
      <w:r>
        <w:rPr>
          <w:rFonts w:hint="eastAsia" w:ascii="宋体" w:hAnsi="宋体" w:cs="宋体"/>
          <w:color w:val="0D0D0D"/>
          <w:sz w:val="24"/>
          <w:szCs w:val="24"/>
          <w:lang w:val="en-US" w:eastAsia="zh-CN"/>
        </w:rPr>
        <w:t>3</w:t>
      </w:r>
      <w:r>
        <w:rPr>
          <w:rFonts w:hint="eastAsia" w:ascii="宋体" w:hAnsi="宋体" w:cs="宋体"/>
          <w:color w:val="0D0D0D"/>
          <w:sz w:val="24"/>
          <w:szCs w:val="24"/>
        </w:rPr>
        <w:t>）政府采购代理机构社会评价表（附件2.9）；</w:t>
      </w:r>
    </w:p>
    <w:p>
      <w:pPr>
        <w:spacing w:line="360" w:lineRule="auto"/>
        <w:ind w:firstLine="470" w:firstLineChars="196"/>
        <w:jc w:val="left"/>
        <w:rPr>
          <w:rFonts w:ascii="宋体" w:hAnsi="宋体" w:cs="宋体"/>
          <w:sz w:val="24"/>
          <w:szCs w:val="24"/>
        </w:rPr>
      </w:pPr>
      <w:r>
        <w:rPr>
          <w:rFonts w:hint="eastAsia" w:ascii="宋体" w:hAnsi="宋体" w:cs="宋体"/>
          <w:color w:val="0D0D0D"/>
          <w:sz w:val="24"/>
          <w:szCs w:val="24"/>
        </w:rPr>
        <w:t>（1</w:t>
      </w:r>
      <w:r>
        <w:rPr>
          <w:rFonts w:hint="eastAsia" w:ascii="宋体" w:hAnsi="宋体" w:cs="宋体"/>
          <w:color w:val="0D0D0D"/>
          <w:sz w:val="24"/>
          <w:szCs w:val="24"/>
          <w:lang w:val="en-US" w:eastAsia="zh-CN"/>
        </w:rPr>
        <w:t>4</w:t>
      </w:r>
      <w:r>
        <w:rPr>
          <w:rFonts w:hint="eastAsia" w:ascii="宋体" w:hAnsi="宋体" w:cs="宋体"/>
          <w:color w:val="0D0D0D"/>
          <w:sz w:val="24"/>
          <w:szCs w:val="24"/>
        </w:rPr>
        <w:t>）投标人认为需要提供的其他投标文件和资料。</w:t>
      </w:r>
    </w:p>
    <w:p>
      <w:pPr>
        <w:spacing w:line="360" w:lineRule="auto"/>
        <w:ind w:firstLine="470" w:firstLineChars="196"/>
        <w:jc w:val="left"/>
        <w:rPr>
          <w:rFonts w:ascii="宋体" w:hAnsi="宋体" w:cs="宋体"/>
          <w:b/>
          <w:bCs/>
          <w:sz w:val="24"/>
          <w:szCs w:val="24"/>
        </w:rPr>
      </w:pPr>
      <w:r>
        <w:rPr>
          <w:rFonts w:hint="eastAsia" w:ascii="宋体" w:hAnsi="宋体" w:cs="宋体"/>
          <w:b/>
          <w:bCs/>
          <w:sz w:val="24"/>
          <w:szCs w:val="24"/>
        </w:rPr>
        <w:t>3、报价文件</w:t>
      </w:r>
    </w:p>
    <w:p>
      <w:pPr>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（1）投标函（格式见附件3.1）；</w:t>
      </w:r>
    </w:p>
    <w:p>
      <w:pPr>
        <w:pStyle w:val="26"/>
        <w:spacing w:beforeLines="0" w:afterLines="0" w:line="360" w:lineRule="auto"/>
        <w:ind w:firstLine="480" w:firstLineChars="200"/>
        <w:rPr>
          <w:rFonts w:hAnsi="宋体"/>
          <w:color w:val="0D0D0D"/>
        </w:rPr>
      </w:pPr>
      <w:r>
        <w:rPr>
          <w:rFonts w:hint="eastAsia" w:hAnsi="宋体"/>
          <w:color w:val="0D0D0D"/>
        </w:rPr>
        <w:t>（2）开标一览表（格式见附件3.2）；</w:t>
      </w:r>
    </w:p>
    <w:p>
      <w:pPr>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（3）投标人针对报价需要说明的其他文件和说明。</w:t>
      </w:r>
    </w:p>
    <w:p>
      <w:pPr>
        <w:spacing w:line="360" w:lineRule="auto"/>
        <w:ind w:firstLine="470" w:firstLineChars="196"/>
        <w:jc w:val="left"/>
        <w:outlineLvl w:val="0"/>
        <w:rPr>
          <w:rFonts w:ascii="宋体" w:hAnsi="宋体" w:cs="宋体"/>
          <w:b/>
          <w:bCs/>
          <w:color w:val="0D0D0D"/>
          <w:sz w:val="24"/>
          <w:szCs w:val="24"/>
        </w:rPr>
      </w:pPr>
      <w:r>
        <w:rPr>
          <w:rFonts w:hint="eastAsia" w:ascii="宋体" w:hAnsi="宋体" w:cs="宋体"/>
          <w:b/>
          <w:bCs/>
          <w:color w:val="0D0D0D"/>
          <w:sz w:val="24"/>
          <w:szCs w:val="24"/>
        </w:rPr>
        <w:t>（二）投标文件的语言及计量</w:t>
      </w:r>
    </w:p>
    <w:p>
      <w:pPr>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▲1投标文件以及投标方与招标方就有关投标事宜的所有来往函电，均应以中文汉语书写。除签名、盖章、专用名称等特殊情形外，以中文汉语以外的文字表述的投标文件视同未提供。</w:t>
      </w:r>
    </w:p>
    <w:p>
      <w:pPr>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▲2投标计量单位，应采用中华人民共和国法定计量单位（货币单位：人民币元），否则视同未响应。</w:t>
      </w:r>
    </w:p>
    <w:p>
      <w:pPr>
        <w:pStyle w:val="26"/>
        <w:spacing w:beforeLines="0" w:afterLines="0" w:line="360" w:lineRule="auto"/>
        <w:ind w:firstLine="480" w:firstLineChars="200"/>
        <w:jc w:val="left"/>
        <w:rPr>
          <w:rFonts w:hAnsi="宋体"/>
          <w:b/>
          <w:bCs/>
          <w:color w:val="0D0D0D"/>
        </w:rPr>
      </w:pPr>
      <w:r>
        <w:rPr>
          <w:rFonts w:hint="eastAsia" w:hAnsi="宋体"/>
          <w:b/>
          <w:bCs/>
          <w:color w:val="0D0D0D"/>
        </w:rPr>
        <w:t>（三）投标报价</w:t>
      </w:r>
    </w:p>
    <w:p>
      <w:pPr>
        <w:pStyle w:val="26"/>
        <w:spacing w:beforeLines="0" w:afterLines="0" w:line="360" w:lineRule="auto"/>
        <w:ind w:firstLine="480" w:firstLineChars="200"/>
        <w:jc w:val="left"/>
        <w:rPr>
          <w:rFonts w:hAnsi="宋体"/>
          <w:color w:val="0D0D0D"/>
        </w:rPr>
      </w:pPr>
      <w:r>
        <w:rPr>
          <w:rFonts w:hint="eastAsia" w:hAnsi="宋体"/>
          <w:color w:val="0D0D0D"/>
        </w:rPr>
        <w:t>▲1.投标报价应按招标文件中招标需求的要求，按照相关附表格式填写。</w:t>
      </w:r>
    </w:p>
    <w:p>
      <w:pPr>
        <w:pStyle w:val="26"/>
        <w:spacing w:beforeLines="0" w:afterLines="0" w:line="360" w:lineRule="auto"/>
        <w:ind w:firstLine="480" w:firstLineChars="200"/>
        <w:jc w:val="left"/>
        <w:rPr>
          <w:rFonts w:hAnsi="宋体"/>
        </w:rPr>
      </w:pPr>
      <w:r>
        <w:rPr>
          <w:rFonts w:hint="eastAsia" w:hAnsi="宋体"/>
        </w:rPr>
        <w:t>▲2.投标报价是履行合同的最终价格，应包括</w:t>
      </w:r>
      <w:r>
        <w:rPr>
          <w:rFonts w:hint="eastAsia" w:hAnsi="宋体"/>
          <w:lang w:val="zh-CN"/>
        </w:rPr>
        <w:t>人员费用、材料消耗费、</w:t>
      </w:r>
      <w:r>
        <w:rPr>
          <w:rFonts w:hint="eastAsia" w:hAnsi="宋体"/>
        </w:rPr>
        <w:t>方案评审、</w:t>
      </w:r>
      <w:r>
        <w:rPr>
          <w:rFonts w:hint="eastAsia" w:hAnsi="宋体"/>
          <w:lang w:val="zh-CN"/>
        </w:rPr>
        <w:t>管理费、调研费、考察费、</w:t>
      </w:r>
      <w:r>
        <w:rPr>
          <w:rFonts w:hint="eastAsia" w:hAnsi="宋体"/>
        </w:rPr>
        <w:t>车旅费、食宿</w:t>
      </w:r>
      <w:r>
        <w:rPr>
          <w:rFonts w:hint="eastAsia" w:hAnsi="宋体"/>
          <w:lang w:val="zh-CN"/>
        </w:rPr>
        <w:t>、综合验收、</w:t>
      </w:r>
      <w:r>
        <w:rPr>
          <w:rFonts w:hint="eastAsia" w:hAnsi="宋体"/>
        </w:rPr>
        <w:t>售后服务、保险、税收等所有费用，以及政策性文件规定和合同包含的所有风险、责任应承担的费用，合同实施过程中应预见和不可预见费用等。</w:t>
      </w:r>
    </w:p>
    <w:p>
      <w:pPr>
        <w:tabs>
          <w:tab w:val="left" w:pos="525"/>
        </w:tabs>
        <w:spacing w:line="360" w:lineRule="auto"/>
        <w:ind w:firstLine="480" w:firstLineChars="200"/>
        <w:rPr>
          <w:rFonts w:ascii="宋体" w:hAnsi="宋体" w:cs="宋体"/>
          <w:color w:val="0D0D0D"/>
          <w:sz w:val="24"/>
          <w:szCs w:val="24"/>
        </w:rPr>
      </w:pPr>
      <w:r>
        <w:rPr>
          <w:rFonts w:hint="eastAsia" w:ascii="宋体" w:hAnsi="宋体" w:cs="宋体"/>
          <w:sz w:val="24"/>
          <w:szCs w:val="24"/>
        </w:rPr>
        <w:t>▲3.投标文件只允许有一个报价，有选择的或有条件的报价将不予接受</w:t>
      </w:r>
      <w:r>
        <w:rPr>
          <w:rFonts w:hint="eastAsia" w:ascii="宋体" w:hAnsi="宋体" w:cs="宋体"/>
          <w:color w:val="0D0D0D"/>
          <w:sz w:val="24"/>
          <w:szCs w:val="24"/>
        </w:rPr>
        <w:t>。唱标价格为报价文件正本中开标一览表的报价。</w:t>
      </w:r>
    </w:p>
    <w:p>
      <w:pPr>
        <w:tabs>
          <w:tab w:val="left" w:pos="525"/>
        </w:tabs>
        <w:spacing w:line="360" w:lineRule="auto"/>
        <w:ind w:firstLine="480" w:firstLineChars="200"/>
        <w:jc w:val="left"/>
        <w:rPr>
          <w:rFonts w:ascii="宋体" w:hAnsi="宋体" w:cs="宋体"/>
          <w:sz w:val="24"/>
          <w:szCs w:val="24"/>
        </w:rPr>
      </w:pPr>
      <w:r>
        <w:rPr>
          <w:rFonts w:hint="eastAsia" w:ascii="宋体" w:hAnsi="宋体" w:cs="宋体"/>
          <w:sz w:val="24"/>
          <w:szCs w:val="24"/>
        </w:rPr>
        <w:t>▲4.投标人的报价超出或等于限价都将做废标处理。</w:t>
      </w:r>
    </w:p>
    <w:p>
      <w:pPr>
        <w:pStyle w:val="14"/>
        <w:widowControl w:val="0"/>
        <w:tabs>
          <w:tab w:val="clear" w:pos="454"/>
        </w:tabs>
        <w:spacing w:afterLines="0" w:line="360" w:lineRule="auto"/>
        <w:ind w:left="0" w:firstLine="470" w:firstLineChars="196"/>
        <w:rPr>
          <w:rFonts w:ascii="宋体" w:hAnsi="宋体" w:cs="宋体"/>
          <w:b/>
          <w:bCs/>
          <w:color w:val="0D0D0D"/>
        </w:rPr>
      </w:pPr>
      <w:r>
        <w:rPr>
          <w:rFonts w:hint="eastAsia" w:ascii="宋体" w:hAnsi="宋体" w:cs="宋体"/>
          <w:b/>
          <w:bCs/>
          <w:color w:val="0D0D0D"/>
        </w:rPr>
        <w:t>（四）投标文件的有效期</w:t>
      </w:r>
    </w:p>
    <w:p>
      <w:pPr>
        <w:pStyle w:val="14"/>
        <w:widowControl w:val="0"/>
        <w:tabs>
          <w:tab w:val="clear" w:pos="454"/>
        </w:tabs>
        <w:spacing w:afterLines="0" w:line="360" w:lineRule="auto"/>
        <w:ind w:left="0" w:firstLine="480" w:firstLineChars="200"/>
        <w:rPr>
          <w:rFonts w:ascii="宋体" w:hAnsi="宋体" w:cs="宋体"/>
          <w:color w:val="0D0D0D"/>
        </w:rPr>
      </w:pPr>
      <w:r>
        <w:rPr>
          <w:rFonts w:hint="eastAsia" w:ascii="宋体" w:hAnsi="宋体" w:cs="宋体"/>
          <w:color w:val="0D0D0D"/>
        </w:rPr>
        <w:t>▲1.自投标截止日起</w:t>
      </w:r>
      <w:r>
        <w:rPr>
          <w:rFonts w:hint="eastAsia" w:ascii="宋体" w:hAnsi="宋体" w:cs="宋体"/>
          <w:color w:val="0D0D0D"/>
          <w:u w:val="single"/>
        </w:rPr>
        <w:t>60</w:t>
      </w:r>
      <w:r>
        <w:rPr>
          <w:rFonts w:hint="eastAsia" w:ascii="宋体" w:hAnsi="宋体" w:cs="宋体"/>
          <w:color w:val="0D0D0D"/>
        </w:rPr>
        <w:t>天投标文件应保持有效。有效期不足的投标文件将被拒绝。</w:t>
      </w:r>
    </w:p>
    <w:p>
      <w:pPr>
        <w:pStyle w:val="14"/>
        <w:widowControl w:val="0"/>
        <w:tabs>
          <w:tab w:val="clear" w:pos="454"/>
        </w:tabs>
        <w:spacing w:afterLines="0" w:line="360" w:lineRule="auto"/>
        <w:ind w:left="0" w:firstLine="480" w:firstLineChars="200"/>
        <w:rPr>
          <w:rFonts w:ascii="宋体" w:hAnsi="宋体" w:cs="宋体"/>
          <w:color w:val="0D0D0D"/>
        </w:rPr>
      </w:pPr>
      <w:r>
        <w:rPr>
          <w:rFonts w:hint="eastAsia" w:ascii="宋体" w:hAnsi="宋体" w:cs="宋体"/>
          <w:color w:val="0D0D0D"/>
        </w:rPr>
        <w:t>2.在特殊情况下，招标人可与投标人协商延长投标书的有效期，这种要求和答复均以书面形式进行。</w:t>
      </w:r>
    </w:p>
    <w:p>
      <w:pPr>
        <w:spacing w:line="360" w:lineRule="auto"/>
        <w:ind w:firstLine="480" w:firstLineChars="200"/>
        <w:jc w:val="left"/>
        <w:outlineLvl w:val="0"/>
        <w:rPr>
          <w:rFonts w:ascii="宋体" w:hAnsi="宋体" w:cs="宋体"/>
          <w:b/>
          <w:bCs/>
          <w:color w:val="0D0D0D"/>
          <w:sz w:val="24"/>
          <w:szCs w:val="24"/>
        </w:rPr>
      </w:pPr>
      <w:r>
        <w:rPr>
          <w:rFonts w:hint="eastAsia" w:ascii="宋体" w:hAnsi="宋体" w:cs="宋体"/>
          <w:color w:val="0D0D0D"/>
          <w:sz w:val="24"/>
          <w:szCs w:val="24"/>
        </w:rPr>
        <w:t>3.中标人的投标文件自开标之日起至合同履行完毕止均应保持有效。</w:t>
      </w:r>
    </w:p>
    <w:p>
      <w:pPr>
        <w:spacing w:line="360" w:lineRule="auto"/>
        <w:ind w:firstLine="352" w:firstLineChars="147"/>
        <w:jc w:val="left"/>
        <w:rPr>
          <w:rFonts w:ascii="宋体" w:hAnsi="宋体" w:cs="宋体"/>
          <w:b/>
          <w:bCs/>
          <w:sz w:val="24"/>
          <w:szCs w:val="24"/>
        </w:rPr>
      </w:pPr>
      <w:r>
        <w:rPr>
          <w:rFonts w:hint="eastAsia" w:ascii="宋体" w:hAnsi="宋体" w:cs="宋体"/>
          <w:b/>
          <w:bCs/>
          <w:sz w:val="24"/>
          <w:szCs w:val="24"/>
        </w:rPr>
        <w:t>（五）投标文件的上传、递交、修改和撤回</w:t>
      </w:r>
    </w:p>
    <w:p>
      <w:pPr>
        <w:spacing w:line="360" w:lineRule="auto"/>
        <w:ind w:firstLine="495"/>
        <w:rPr>
          <w:rFonts w:ascii="宋体" w:hAnsi="宋体" w:cs="宋体"/>
          <w:sz w:val="24"/>
          <w:szCs w:val="24"/>
        </w:rPr>
      </w:pPr>
      <w:r>
        <w:rPr>
          <w:rFonts w:hint="eastAsia" w:ascii="宋体" w:hAnsi="宋体" w:cs="宋体"/>
          <w:sz w:val="24"/>
          <w:szCs w:val="24"/>
        </w:rPr>
        <w:t>1.投标人应当在投标截止时间前在“政采云”（电子交易平台）上自行上传加密的电子投标文件。</w:t>
      </w:r>
    </w:p>
    <w:p>
      <w:pPr>
        <w:spacing w:line="360" w:lineRule="auto"/>
        <w:ind w:firstLine="480" w:firstLineChars="200"/>
        <w:rPr>
          <w:rFonts w:ascii="宋体" w:hAnsi="宋体" w:cs="宋体"/>
          <w:sz w:val="24"/>
          <w:szCs w:val="24"/>
        </w:rPr>
      </w:pPr>
      <w:r>
        <w:rPr>
          <w:rFonts w:hint="eastAsia" w:ascii="宋体" w:hAnsi="宋体" w:cs="宋体"/>
          <w:sz w:val="24"/>
          <w:szCs w:val="24"/>
        </w:rPr>
        <w:t>2.未按规定上传的投标文件将被拒绝，由此造成投标文件解密失败或被误投的风险由投标人承担。</w:t>
      </w:r>
    </w:p>
    <w:p>
      <w:pPr>
        <w:spacing w:line="360" w:lineRule="auto"/>
        <w:ind w:firstLine="480" w:firstLineChars="200"/>
        <w:rPr>
          <w:rFonts w:ascii="宋体" w:hAnsi="宋体" w:cs="宋体"/>
          <w:sz w:val="24"/>
          <w:szCs w:val="24"/>
        </w:rPr>
      </w:pPr>
      <w:r>
        <w:rPr>
          <w:rFonts w:hint="eastAsia" w:ascii="宋体" w:hAnsi="宋体" w:cs="宋体"/>
          <w:sz w:val="24"/>
          <w:szCs w:val="24"/>
        </w:rPr>
        <w:t>3.投标人未在“政采云”（电子交易平台）上自行上传加密的电子投标文件，仅提交电子备份投标文件的，投标无效。</w:t>
      </w:r>
    </w:p>
    <w:p>
      <w:pPr>
        <w:spacing w:line="360" w:lineRule="auto"/>
        <w:ind w:firstLine="480" w:firstLineChars="200"/>
        <w:rPr>
          <w:rFonts w:ascii="宋体" w:hAnsi="宋体" w:cs="宋体"/>
          <w:sz w:val="24"/>
          <w:szCs w:val="24"/>
        </w:rPr>
      </w:pPr>
      <w:r>
        <w:rPr>
          <w:rFonts w:hint="eastAsia" w:ascii="宋体" w:hAnsi="宋体" w:cs="宋体"/>
          <w:sz w:val="24"/>
          <w:szCs w:val="24"/>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pPr>
        <w:spacing w:line="360" w:lineRule="auto"/>
        <w:ind w:firstLine="480" w:firstLineChars="200"/>
        <w:rPr>
          <w:rFonts w:ascii="宋体" w:hAnsi="宋体" w:cs="宋体"/>
          <w:sz w:val="24"/>
          <w:szCs w:val="24"/>
        </w:rPr>
      </w:pPr>
      <w:r>
        <w:rPr>
          <w:rFonts w:hint="eastAsia" w:ascii="宋体" w:hAnsi="宋体" w:cs="宋体"/>
          <w:sz w:val="24"/>
          <w:szCs w:val="24"/>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pPr>
        <w:spacing w:line="360" w:lineRule="auto"/>
        <w:ind w:firstLine="480" w:firstLineChars="200"/>
        <w:rPr>
          <w:rFonts w:ascii="宋体" w:hAnsi="宋体" w:cs="宋体"/>
          <w:sz w:val="24"/>
          <w:szCs w:val="24"/>
        </w:rPr>
      </w:pPr>
      <w:r>
        <w:rPr>
          <w:rFonts w:hint="eastAsia" w:ascii="宋体" w:hAnsi="宋体" w:cs="宋体"/>
          <w:sz w:val="24"/>
          <w:szCs w:val="24"/>
        </w:rPr>
        <w:t>5.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pPr>
        <w:spacing w:line="360" w:lineRule="auto"/>
        <w:ind w:firstLine="480" w:firstLineChars="200"/>
        <w:rPr>
          <w:rFonts w:ascii="宋体" w:hAnsi="宋体" w:cs="宋体"/>
          <w:sz w:val="24"/>
          <w:szCs w:val="24"/>
        </w:rPr>
      </w:pPr>
      <w:r>
        <w:rPr>
          <w:rFonts w:hint="eastAsia" w:ascii="宋体" w:hAnsi="宋体" w:cs="宋体"/>
          <w:sz w:val="24"/>
          <w:szCs w:val="24"/>
        </w:rPr>
        <w:t>6.电子投标文件无法解密或解密失败时，投标人提供了电子备份投标文件的，以电子备份投标文件作为评审依据，否则视为投标文件撤回。投标文件已按时解密的，电子备份投标文件自动失效。</w:t>
      </w:r>
    </w:p>
    <w:p>
      <w:pPr>
        <w:spacing w:line="360" w:lineRule="auto"/>
        <w:ind w:firstLine="470" w:firstLineChars="196"/>
        <w:outlineLvl w:val="2"/>
        <w:rPr>
          <w:rFonts w:ascii="宋体" w:hAnsi="宋体" w:cs="宋体"/>
          <w:b/>
          <w:bCs/>
          <w:sz w:val="24"/>
          <w:szCs w:val="24"/>
        </w:rPr>
      </w:pPr>
      <w:r>
        <w:rPr>
          <w:rFonts w:hint="eastAsia" w:ascii="宋体" w:hAnsi="宋体" w:cs="宋体"/>
          <w:b/>
          <w:bCs/>
          <w:sz w:val="24"/>
          <w:szCs w:val="24"/>
        </w:rPr>
        <w:t>（六）投标无效的情形</w:t>
      </w:r>
    </w:p>
    <w:p>
      <w:pPr>
        <w:spacing w:line="360" w:lineRule="auto"/>
        <w:ind w:firstLine="420"/>
        <w:jc w:val="left"/>
        <w:rPr>
          <w:rFonts w:ascii="宋体" w:hAnsi="宋体" w:cs="宋体"/>
          <w:sz w:val="24"/>
          <w:szCs w:val="24"/>
        </w:rPr>
      </w:pPr>
      <w:r>
        <w:rPr>
          <w:rFonts w:hint="eastAsia" w:ascii="宋体" w:hAnsi="宋体" w:cs="宋体"/>
          <w:sz w:val="24"/>
          <w:szCs w:val="24"/>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w:t>
      </w:r>
      <w:r>
        <w:rPr>
          <w:rFonts w:hint="eastAsia" w:ascii="宋体" w:hAnsi="宋体" w:cs="宋体"/>
          <w:color w:val="0D0D0D"/>
          <w:sz w:val="24"/>
          <w:szCs w:val="24"/>
        </w:rPr>
        <w:t>者补正投标文件必须以书面形式进行。投</w:t>
      </w:r>
      <w:r>
        <w:rPr>
          <w:rFonts w:hint="eastAsia" w:ascii="宋体" w:hAnsi="宋体" w:cs="宋体"/>
          <w:sz w:val="24"/>
          <w:szCs w:val="24"/>
        </w:rPr>
        <w:t>标人修改、补正投标文件后，不影响评标委员会对其投标文件所作的评价和评分结果。</w:t>
      </w:r>
    </w:p>
    <w:p>
      <w:pPr>
        <w:spacing w:line="360" w:lineRule="auto"/>
        <w:ind w:firstLine="470" w:firstLineChars="196"/>
        <w:rPr>
          <w:rFonts w:ascii="宋体" w:hAnsi="宋体" w:cs="宋体"/>
          <w:b/>
          <w:bCs/>
          <w:sz w:val="24"/>
          <w:szCs w:val="24"/>
        </w:rPr>
      </w:pPr>
      <w:r>
        <w:rPr>
          <w:rFonts w:hint="eastAsia" w:ascii="宋体" w:hAnsi="宋体" w:cs="宋体"/>
          <w:b/>
          <w:bCs/>
          <w:sz w:val="24"/>
          <w:szCs w:val="24"/>
        </w:rPr>
        <w:t>1.在符合性审查和商务评审时，如发现下列情形之一的，投标文件将被视为无效：</w:t>
      </w:r>
    </w:p>
    <w:p>
      <w:pPr>
        <w:spacing w:line="360" w:lineRule="auto"/>
        <w:ind w:firstLine="480" w:firstLineChars="200"/>
        <w:rPr>
          <w:rFonts w:ascii="宋体" w:hAnsi="宋体" w:cs="宋体"/>
          <w:sz w:val="24"/>
          <w:szCs w:val="24"/>
        </w:rPr>
      </w:pPr>
      <w:r>
        <w:rPr>
          <w:rFonts w:hint="eastAsia" w:ascii="宋体" w:hAnsi="宋体" w:cs="宋体"/>
          <w:sz w:val="24"/>
          <w:szCs w:val="24"/>
        </w:rPr>
        <w:t>（1）投标人仅提交电子备份投标文件的。</w:t>
      </w:r>
    </w:p>
    <w:p>
      <w:pPr>
        <w:spacing w:line="360" w:lineRule="auto"/>
        <w:ind w:firstLine="480" w:firstLineChars="200"/>
        <w:rPr>
          <w:rFonts w:ascii="宋体" w:hAnsi="宋体" w:cs="宋体"/>
          <w:sz w:val="24"/>
          <w:szCs w:val="24"/>
        </w:rPr>
      </w:pPr>
      <w:r>
        <w:rPr>
          <w:rFonts w:hint="eastAsia" w:ascii="宋体" w:hAnsi="宋体" w:cs="宋体"/>
          <w:sz w:val="24"/>
          <w:szCs w:val="24"/>
        </w:rPr>
        <w:t>（2）在开评标时出现电子投标文件无法解密或解密失败等情况，投标人未提供电子备份投标文件，无法对投标人继续进行评审的。</w:t>
      </w:r>
    </w:p>
    <w:p>
      <w:pPr>
        <w:spacing w:line="360" w:lineRule="auto"/>
        <w:ind w:firstLine="470" w:firstLineChars="196"/>
        <w:rPr>
          <w:rFonts w:ascii="宋体" w:hAnsi="宋体" w:cs="宋体"/>
          <w:sz w:val="24"/>
          <w:szCs w:val="24"/>
        </w:rPr>
      </w:pPr>
      <w:r>
        <w:rPr>
          <w:rFonts w:hint="eastAsia" w:ascii="宋体" w:hAnsi="宋体" w:cs="宋体"/>
          <w:sz w:val="24"/>
          <w:szCs w:val="24"/>
        </w:rPr>
        <w:t>（3）投标人未在规定的时间内对电子询标函进行澄清回复、拒绝澄清回复或澄清回复的内容改变了投标文件的实质性内容的。</w:t>
      </w:r>
    </w:p>
    <w:p>
      <w:pPr>
        <w:spacing w:line="360" w:lineRule="auto"/>
        <w:ind w:firstLine="470" w:firstLineChars="196"/>
        <w:rPr>
          <w:rFonts w:ascii="宋体" w:hAnsi="宋体" w:cs="宋体"/>
          <w:sz w:val="24"/>
          <w:szCs w:val="24"/>
        </w:rPr>
      </w:pPr>
      <w:r>
        <w:rPr>
          <w:rFonts w:hint="eastAsia" w:ascii="宋体" w:hAnsi="宋体" w:cs="宋体"/>
          <w:sz w:val="24"/>
          <w:szCs w:val="24"/>
        </w:rPr>
        <w:t>（4）资信及商务标内有商务报价出现的；</w:t>
      </w:r>
    </w:p>
    <w:p>
      <w:pPr>
        <w:spacing w:line="360" w:lineRule="auto"/>
        <w:ind w:firstLine="470" w:firstLineChars="196"/>
        <w:rPr>
          <w:rFonts w:ascii="宋体" w:hAnsi="宋体" w:cs="宋体"/>
          <w:sz w:val="24"/>
          <w:szCs w:val="24"/>
        </w:rPr>
      </w:pPr>
      <w:r>
        <w:rPr>
          <w:rFonts w:hint="eastAsia" w:ascii="宋体" w:hAnsi="宋体" w:cs="宋体"/>
          <w:sz w:val="24"/>
          <w:szCs w:val="24"/>
        </w:rPr>
        <w:t>（5）资格证明文件不全的，或者不符合招标文件标明的资格要求的；</w:t>
      </w:r>
    </w:p>
    <w:p>
      <w:pPr>
        <w:spacing w:line="360" w:lineRule="auto"/>
        <w:ind w:firstLine="470" w:firstLineChars="196"/>
        <w:rPr>
          <w:rFonts w:ascii="宋体" w:hAnsi="宋体" w:cs="宋体"/>
          <w:color w:val="0D0D0D"/>
          <w:sz w:val="24"/>
          <w:szCs w:val="24"/>
        </w:rPr>
      </w:pPr>
      <w:r>
        <w:rPr>
          <w:rFonts w:hint="eastAsia" w:ascii="宋体" w:hAnsi="宋体" w:cs="宋体"/>
          <w:sz w:val="24"/>
          <w:szCs w:val="24"/>
        </w:rPr>
        <w:t>（6）本招标文件明确规定投标文件需要投</w:t>
      </w:r>
      <w:r>
        <w:rPr>
          <w:rFonts w:hint="eastAsia" w:ascii="宋体" w:hAnsi="宋体" w:cs="宋体"/>
          <w:color w:val="0D0D0D"/>
          <w:sz w:val="24"/>
          <w:szCs w:val="24"/>
        </w:rPr>
        <w:t>标人签字、盖章的地方，投标人没有按招标文件的规定进行签字、盖章的,或未提供法定代表人授权委托书、投标声明书或者填写项目不齐全的，或则授权委托书无效的；</w:t>
      </w:r>
    </w:p>
    <w:p>
      <w:pPr>
        <w:pStyle w:val="8"/>
        <w:spacing w:line="360" w:lineRule="auto"/>
        <w:ind w:firstLine="454" w:firstLineChars="196"/>
        <w:rPr>
          <w:rFonts w:hAnsi="宋体"/>
          <w:color w:val="0D0D0D"/>
          <w:sz w:val="24"/>
          <w:szCs w:val="24"/>
        </w:rPr>
      </w:pPr>
      <w:r>
        <w:rPr>
          <w:rFonts w:hint="eastAsia" w:hAnsi="宋体"/>
          <w:color w:val="0D0D0D"/>
          <w:sz w:val="24"/>
          <w:szCs w:val="24"/>
        </w:rPr>
        <w:t>（7）投标文件的实质性内容未使用中文表述、意思表述不明确、前后矛盾或者使用计量单位不符合招标文件要求的（经评标委员会认定并允许其当场更正的笔误除外）；</w:t>
      </w:r>
    </w:p>
    <w:p>
      <w:pPr>
        <w:pStyle w:val="8"/>
        <w:spacing w:line="360" w:lineRule="auto"/>
        <w:ind w:firstLine="454" w:firstLineChars="196"/>
        <w:rPr>
          <w:rFonts w:hAnsi="宋体"/>
          <w:snapToGrid w:val="0"/>
          <w:sz w:val="24"/>
          <w:szCs w:val="24"/>
        </w:rPr>
      </w:pPr>
      <w:r>
        <w:rPr>
          <w:rFonts w:hint="eastAsia" w:hAnsi="宋体"/>
          <w:sz w:val="24"/>
          <w:szCs w:val="24"/>
        </w:rPr>
        <w:t>（8</w:t>
      </w:r>
      <w:r>
        <w:rPr>
          <w:rFonts w:hint="eastAsia" w:hAnsi="宋体"/>
          <w:snapToGrid w:val="0"/>
          <w:sz w:val="24"/>
          <w:szCs w:val="24"/>
        </w:rPr>
        <w:t>）投标有效期等商务条款不能满足招标文件要求的；</w:t>
      </w:r>
    </w:p>
    <w:p>
      <w:pPr>
        <w:pStyle w:val="8"/>
        <w:spacing w:line="360" w:lineRule="auto"/>
        <w:ind w:firstLine="454" w:firstLineChars="196"/>
        <w:rPr>
          <w:rFonts w:hAnsi="宋体"/>
          <w:sz w:val="24"/>
          <w:szCs w:val="24"/>
        </w:rPr>
      </w:pPr>
      <w:r>
        <w:rPr>
          <w:rFonts w:hint="eastAsia" w:hAnsi="宋体"/>
          <w:sz w:val="24"/>
          <w:szCs w:val="24"/>
        </w:rPr>
        <w:t>（9）未实质性响应招标文件中标有“▲”条款要求的；</w:t>
      </w:r>
    </w:p>
    <w:p>
      <w:pPr>
        <w:pStyle w:val="8"/>
        <w:spacing w:line="360" w:lineRule="auto"/>
        <w:ind w:firstLine="454" w:firstLineChars="196"/>
        <w:rPr>
          <w:rFonts w:hAnsi="宋体"/>
          <w:sz w:val="24"/>
          <w:szCs w:val="24"/>
        </w:rPr>
      </w:pPr>
      <w:r>
        <w:rPr>
          <w:rFonts w:hint="eastAsia" w:hAnsi="宋体"/>
          <w:sz w:val="24"/>
          <w:szCs w:val="24"/>
        </w:rPr>
        <w:t>（10）投标文件有招标方不能接受的附加条件的。</w:t>
      </w:r>
    </w:p>
    <w:p>
      <w:pPr>
        <w:pStyle w:val="8"/>
        <w:spacing w:line="360" w:lineRule="auto"/>
        <w:ind w:firstLine="454" w:firstLineChars="196"/>
        <w:rPr>
          <w:rFonts w:hAnsi="宋体"/>
          <w:sz w:val="24"/>
          <w:szCs w:val="24"/>
        </w:rPr>
      </w:pPr>
      <w:r>
        <w:rPr>
          <w:rFonts w:hint="eastAsia" w:hAnsi="宋体"/>
          <w:sz w:val="24"/>
          <w:szCs w:val="24"/>
        </w:rPr>
        <w:t>（11）电子投标文件未按规定要求提供电子签章的。</w:t>
      </w:r>
    </w:p>
    <w:p>
      <w:pPr>
        <w:pStyle w:val="8"/>
        <w:spacing w:line="360" w:lineRule="auto"/>
        <w:ind w:firstLine="454" w:firstLineChars="196"/>
        <w:rPr>
          <w:rFonts w:hAnsi="宋体"/>
          <w:b/>
          <w:bCs/>
          <w:sz w:val="24"/>
          <w:szCs w:val="24"/>
        </w:rPr>
      </w:pPr>
      <w:r>
        <w:rPr>
          <w:rFonts w:hint="eastAsia" w:hAnsi="宋体"/>
          <w:b/>
          <w:bCs/>
          <w:sz w:val="24"/>
          <w:szCs w:val="24"/>
        </w:rPr>
        <w:t>2.在技术评审时，如发现下列情形之一的，投标文件将被视为无效：</w:t>
      </w:r>
    </w:p>
    <w:p>
      <w:pPr>
        <w:spacing w:line="360" w:lineRule="auto"/>
        <w:ind w:firstLine="480" w:firstLineChars="200"/>
        <w:rPr>
          <w:rFonts w:ascii="宋体" w:hAnsi="宋体" w:cs="宋体"/>
          <w:sz w:val="24"/>
          <w:szCs w:val="24"/>
        </w:rPr>
      </w:pPr>
      <w:r>
        <w:rPr>
          <w:rFonts w:hint="eastAsia" w:ascii="宋体" w:hAnsi="宋体" w:cs="宋体"/>
          <w:sz w:val="24"/>
          <w:szCs w:val="24"/>
        </w:rPr>
        <w:t>（1）投标人未在规定的时间内对电子询标函进行澄清回复、拒绝澄清回复或澄清回复的内容改变了投标文件的实质性内容的。</w:t>
      </w:r>
    </w:p>
    <w:p>
      <w:pPr>
        <w:spacing w:line="360" w:lineRule="auto"/>
        <w:ind w:firstLine="470" w:firstLineChars="196"/>
        <w:rPr>
          <w:rFonts w:ascii="宋体" w:hAnsi="宋体" w:cs="宋体"/>
          <w:sz w:val="24"/>
          <w:szCs w:val="24"/>
        </w:rPr>
      </w:pPr>
      <w:r>
        <w:rPr>
          <w:rFonts w:hint="eastAsia" w:ascii="宋体" w:hAnsi="宋体" w:cs="宋体"/>
          <w:sz w:val="24"/>
          <w:szCs w:val="24"/>
        </w:rPr>
        <w:t>（2）技术标内有商务报价出现的；</w:t>
      </w:r>
    </w:p>
    <w:p>
      <w:pPr>
        <w:pStyle w:val="8"/>
        <w:spacing w:line="360" w:lineRule="auto"/>
        <w:ind w:firstLine="454" w:firstLineChars="196"/>
        <w:rPr>
          <w:rFonts w:hAnsi="宋体"/>
          <w:sz w:val="24"/>
          <w:szCs w:val="24"/>
        </w:rPr>
      </w:pPr>
      <w:r>
        <w:rPr>
          <w:rFonts w:hint="eastAsia" w:hAnsi="宋体"/>
          <w:sz w:val="24"/>
          <w:szCs w:val="24"/>
        </w:rPr>
        <w:t>（3）未提供技术服务方案的；</w:t>
      </w:r>
    </w:p>
    <w:p>
      <w:pPr>
        <w:pStyle w:val="8"/>
        <w:spacing w:line="360" w:lineRule="auto"/>
        <w:ind w:firstLine="454" w:firstLineChars="196"/>
        <w:rPr>
          <w:rFonts w:hAnsi="宋体"/>
          <w:sz w:val="24"/>
          <w:szCs w:val="24"/>
        </w:rPr>
      </w:pPr>
      <w:r>
        <w:rPr>
          <w:rFonts w:hint="eastAsia" w:hAnsi="宋体"/>
          <w:sz w:val="24"/>
          <w:szCs w:val="24"/>
        </w:rPr>
        <w:t>（4）与其他参加本次投标供应商的投标文件（技术文件）的文字表述内容相同连续20行以上的。</w:t>
      </w:r>
    </w:p>
    <w:p>
      <w:pPr>
        <w:pStyle w:val="7"/>
        <w:spacing w:line="360" w:lineRule="auto"/>
        <w:rPr>
          <w:rFonts w:ascii="宋体" w:hAnsi="宋体" w:cs="宋体"/>
          <w:sz w:val="24"/>
          <w:szCs w:val="24"/>
        </w:rPr>
      </w:pPr>
      <w:r>
        <w:rPr>
          <w:rFonts w:hint="eastAsia" w:ascii="宋体" w:hAnsi="宋体" w:cs="宋体"/>
          <w:sz w:val="24"/>
          <w:szCs w:val="24"/>
        </w:rPr>
        <w:t>（5）电子投标文件未按规定要求提供电子签章的。</w:t>
      </w:r>
    </w:p>
    <w:p>
      <w:pPr>
        <w:pStyle w:val="8"/>
        <w:spacing w:line="360" w:lineRule="auto"/>
        <w:ind w:firstLine="454" w:firstLineChars="196"/>
        <w:rPr>
          <w:rFonts w:hAnsi="宋体"/>
          <w:b/>
          <w:bCs/>
          <w:sz w:val="24"/>
          <w:szCs w:val="24"/>
        </w:rPr>
      </w:pPr>
      <w:r>
        <w:rPr>
          <w:rFonts w:hint="eastAsia" w:hAnsi="宋体"/>
          <w:b/>
          <w:bCs/>
          <w:sz w:val="24"/>
          <w:szCs w:val="24"/>
        </w:rPr>
        <w:t>3.在报价评审时，如发现下列情形之一的，投标文件将被视为无效：</w:t>
      </w:r>
    </w:p>
    <w:p>
      <w:pPr>
        <w:pStyle w:val="8"/>
        <w:spacing w:line="360" w:lineRule="auto"/>
        <w:ind w:firstLine="464" w:firstLineChars="200"/>
        <w:rPr>
          <w:rFonts w:hAnsi="宋体"/>
          <w:sz w:val="24"/>
          <w:szCs w:val="24"/>
        </w:rPr>
      </w:pPr>
      <w:r>
        <w:rPr>
          <w:rFonts w:hint="eastAsia" w:hAnsi="宋体"/>
          <w:sz w:val="24"/>
          <w:szCs w:val="24"/>
        </w:rPr>
        <w:t>（1）投标人未在规定的时间内对电子询标函进行澄清回复、拒绝澄清回复或者澄清回复的内容改变了投标文件的实质性内容的。</w:t>
      </w:r>
    </w:p>
    <w:p>
      <w:pPr>
        <w:pStyle w:val="8"/>
        <w:spacing w:line="360" w:lineRule="auto"/>
        <w:ind w:firstLine="454" w:firstLineChars="196"/>
        <w:rPr>
          <w:rFonts w:hAnsi="宋体"/>
          <w:sz w:val="24"/>
          <w:szCs w:val="24"/>
        </w:rPr>
      </w:pPr>
      <w:r>
        <w:rPr>
          <w:rFonts w:hint="eastAsia" w:hAnsi="宋体"/>
          <w:sz w:val="24"/>
          <w:szCs w:val="24"/>
        </w:rPr>
        <w:t>（2）未按照招标文件标明的格式报价的；</w:t>
      </w:r>
    </w:p>
    <w:p>
      <w:pPr>
        <w:pStyle w:val="8"/>
        <w:spacing w:line="360" w:lineRule="auto"/>
        <w:ind w:firstLine="454" w:firstLineChars="196"/>
        <w:rPr>
          <w:rFonts w:hAnsi="宋体"/>
          <w:sz w:val="24"/>
          <w:szCs w:val="24"/>
        </w:rPr>
      </w:pPr>
      <w:r>
        <w:rPr>
          <w:rFonts w:hint="eastAsia" w:hAnsi="宋体"/>
          <w:sz w:val="24"/>
          <w:szCs w:val="24"/>
        </w:rPr>
        <w:t>（3）报价超出限价的；</w:t>
      </w:r>
    </w:p>
    <w:p>
      <w:pPr>
        <w:pStyle w:val="8"/>
        <w:spacing w:line="360" w:lineRule="auto"/>
        <w:ind w:firstLine="454" w:firstLineChars="196"/>
        <w:rPr>
          <w:rFonts w:hAnsi="宋体"/>
          <w:sz w:val="24"/>
          <w:szCs w:val="24"/>
        </w:rPr>
      </w:pPr>
      <w:r>
        <w:rPr>
          <w:rFonts w:hint="eastAsia" w:hAnsi="宋体"/>
          <w:sz w:val="24"/>
          <w:szCs w:val="24"/>
        </w:rPr>
        <w:t>（4）投标报价具有选择性的；</w:t>
      </w:r>
    </w:p>
    <w:p>
      <w:pPr>
        <w:pStyle w:val="7"/>
        <w:spacing w:line="360" w:lineRule="auto"/>
        <w:rPr>
          <w:rFonts w:ascii="宋体" w:hAnsi="宋体" w:cs="宋体"/>
          <w:b/>
          <w:bCs/>
          <w:sz w:val="24"/>
          <w:szCs w:val="24"/>
        </w:rPr>
      </w:pPr>
      <w:r>
        <w:rPr>
          <w:rFonts w:hint="eastAsia" w:ascii="宋体" w:hAnsi="宋体" w:cs="宋体"/>
          <w:b/>
          <w:bCs/>
          <w:sz w:val="24"/>
          <w:szCs w:val="24"/>
        </w:rPr>
        <w:t>（5）报价评审过程中，评标委员会发现投标人的报价明显低于其他投标报价，使得其投标报价可能低于其成本的，将要求该投标人当场作出书面说明并提供相关证明材料，投标人不能合理说明或不能提供证明材料，评标委员会可以认定投标人以低于成本价竞标，其投标应作废标处理。</w:t>
      </w:r>
    </w:p>
    <w:p>
      <w:pPr>
        <w:pStyle w:val="7"/>
        <w:spacing w:line="360" w:lineRule="auto"/>
        <w:rPr>
          <w:rFonts w:ascii="宋体" w:hAnsi="宋体" w:cs="宋体"/>
          <w:b/>
          <w:bCs/>
          <w:sz w:val="24"/>
          <w:szCs w:val="24"/>
        </w:rPr>
      </w:pPr>
      <w:r>
        <w:rPr>
          <w:rFonts w:hint="eastAsia" w:ascii="宋体" w:hAnsi="宋体" w:cs="宋体"/>
          <w:b/>
          <w:bCs/>
          <w:sz w:val="24"/>
          <w:szCs w:val="24"/>
        </w:rPr>
        <w:t>（6）电子投标文件未按规定要求提供电子签章的。</w:t>
      </w:r>
    </w:p>
    <w:p>
      <w:pPr>
        <w:pStyle w:val="8"/>
        <w:spacing w:line="360" w:lineRule="auto"/>
        <w:ind w:firstLine="454" w:firstLineChars="196"/>
        <w:rPr>
          <w:rFonts w:hAnsi="宋体"/>
          <w:sz w:val="24"/>
          <w:szCs w:val="24"/>
        </w:rPr>
      </w:pPr>
      <w:r>
        <w:rPr>
          <w:rFonts w:hint="eastAsia" w:hAnsi="宋体"/>
          <w:sz w:val="24"/>
          <w:szCs w:val="24"/>
        </w:rPr>
        <w:t>4.资格审查资料未提供或提供不完整可在评标过程中补充后，不作无效标处理。被拒绝的投标文件为无效。</w:t>
      </w:r>
    </w:p>
    <w:p>
      <w:pPr>
        <w:pStyle w:val="8"/>
        <w:spacing w:line="360" w:lineRule="auto"/>
        <w:ind w:firstLine="0"/>
        <w:outlineLvl w:val="1"/>
        <w:rPr>
          <w:rFonts w:hAnsi="宋体"/>
          <w:b/>
          <w:bCs/>
          <w:snapToGrid w:val="0"/>
          <w:sz w:val="24"/>
          <w:szCs w:val="24"/>
        </w:rPr>
      </w:pPr>
      <w:r>
        <w:rPr>
          <w:rFonts w:hint="eastAsia" w:hAnsi="宋体"/>
          <w:b/>
          <w:bCs/>
          <w:sz w:val="24"/>
          <w:szCs w:val="24"/>
        </w:rPr>
        <w:t>四、开标</w:t>
      </w:r>
    </w:p>
    <w:p>
      <w:pPr>
        <w:pStyle w:val="26"/>
        <w:spacing w:beforeLines="0" w:afterLines="0" w:line="360" w:lineRule="auto"/>
        <w:ind w:firstLine="470" w:firstLineChars="196"/>
        <w:rPr>
          <w:rFonts w:hAnsi="宋体"/>
          <w:b/>
          <w:bCs/>
        </w:rPr>
      </w:pPr>
      <w:r>
        <w:rPr>
          <w:rFonts w:hint="eastAsia" w:hAnsi="宋体"/>
          <w:b/>
          <w:bCs/>
        </w:rPr>
        <w:t>（一）开标准备</w:t>
      </w:r>
    </w:p>
    <w:p>
      <w:pPr>
        <w:spacing w:line="360" w:lineRule="auto"/>
        <w:ind w:firstLine="480" w:firstLineChars="200"/>
        <w:rPr>
          <w:rFonts w:ascii="宋体" w:hAnsi="宋体" w:cs="宋体"/>
          <w:sz w:val="24"/>
          <w:szCs w:val="24"/>
        </w:rPr>
      </w:pPr>
      <w:r>
        <w:rPr>
          <w:rFonts w:hint="eastAsia" w:ascii="宋体" w:hAnsi="宋体" w:cs="宋体"/>
          <w:sz w:val="24"/>
          <w:szCs w:val="24"/>
        </w:rPr>
        <w:t>采购代理机构将在规定的时间和地点进行电子开标，投标人的法定代表人或其委托代理人【委托代理人应当是投标人的在职正式职工（以投标人本单位为其缴纳社保的凭证为准）】应做好投标准备，准时在线参加电子开标会议，随时关注开标进度。</w:t>
      </w:r>
    </w:p>
    <w:p>
      <w:pPr>
        <w:pStyle w:val="26"/>
        <w:spacing w:beforeLines="0" w:afterLines="0" w:line="360" w:lineRule="auto"/>
        <w:ind w:firstLine="470" w:firstLineChars="196"/>
        <w:rPr>
          <w:rFonts w:hAnsi="宋体"/>
          <w:b/>
          <w:bCs/>
        </w:rPr>
      </w:pPr>
      <w:r>
        <w:rPr>
          <w:rFonts w:hint="eastAsia" w:hAnsi="宋体"/>
          <w:b/>
          <w:bCs/>
        </w:rPr>
        <w:t>（二）开标程序：</w:t>
      </w:r>
    </w:p>
    <w:p>
      <w:pPr>
        <w:pStyle w:val="26"/>
        <w:spacing w:beforeLines="0" w:afterLines="0" w:line="360" w:lineRule="auto"/>
        <w:ind w:firstLine="480" w:firstLineChars="200"/>
        <w:rPr>
          <w:rFonts w:hAnsi="宋体"/>
        </w:rPr>
      </w:pPr>
      <w:r>
        <w:rPr>
          <w:rFonts w:hint="eastAsia" w:hAnsi="宋体"/>
        </w:rPr>
        <w:t>1.开标会由招标方主持，主持人宣布开标会议开始；</w:t>
      </w:r>
    </w:p>
    <w:p>
      <w:pPr>
        <w:pStyle w:val="26"/>
        <w:spacing w:beforeLines="0" w:afterLines="0" w:line="360" w:lineRule="auto"/>
        <w:ind w:firstLine="480" w:firstLineChars="200"/>
        <w:rPr>
          <w:rFonts w:hAnsi="宋体"/>
        </w:rPr>
      </w:pPr>
      <w:r>
        <w:rPr>
          <w:rFonts w:hint="eastAsia" w:hAnsi="宋体"/>
        </w:rPr>
        <w:t>2.主持人介绍参加开标会的人员名单；</w:t>
      </w:r>
    </w:p>
    <w:p>
      <w:pPr>
        <w:pStyle w:val="26"/>
        <w:spacing w:beforeLines="0" w:afterLines="0" w:line="360" w:lineRule="auto"/>
        <w:ind w:firstLine="480" w:firstLineChars="200"/>
        <w:rPr>
          <w:rFonts w:hAnsi="宋体"/>
        </w:rPr>
      </w:pPr>
      <w:r>
        <w:rPr>
          <w:rFonts w:hint="eastAsia" w:hAnsi="宋体"/>
        </w:rPr>
        <w:t>3.主持人宣布评标期间的有关事项；</w:t>
      </w:r>
    </w:p>
    <w:p>
      <w:pPr>
        <w:pStyle w:val="26"/>
        <w:spacing w:beforeLines="0" w:afterLines="0" w:line="360" w:lineRule="auto"/>
        <w:ind w:firstLine="480" w:firstLineChars="200"/>
        <w:rPr>
          <w:rFonts w:hAnsi="宋体"/>
        </w:rPr>
      </w:pPr>
      <w:r>
        <w:rPr>
          <w:rFonts w:hint="eastAsia" w:hAnsi="宋体"/>
        </w:rPr>
        <w:t>告知应当回避的情形,提请有关人员回避，检查投标人代表的到会情况；</w:t>
      </w:r>
    </w:p>
    <w:p>
      <w:pPr>
        <w:spacing w:line="360" w:lineRule="auto"/>
        <w:ind w:firstLine="480" w:firstLineChars="200"/>
        <w:rPr>
          <w:rFonts w:ascii="宋体" w:hAnsi="宋体" w:cs="宋体"/>
          <w:sz w:val="24"/>
          <w:szCs w:val="24"/>
        </w:rPr>
      </w:pPr>
      <w:r>
        <w:rPr>
          <w:rFonts w:hint="eastAsia" w:ascii="宋体" w:hAnsi="宋体" w:cs="宋体"/>
          <w:sz w:val="24"/>
          <w:szCs w:val="24"/>
        </w:rPr>
        <w:t>4.开标及评审程序</w:t>
      </w:r>
    </w:p>
    <w:p>
      <w:pPr>
        <w:spacing w:line="360" w:lineRule="auto"/>
        <w:ind w:firstLine="480" w:firstLineChars="200"/>
        <w:rPr>
          <w:rFonts w:ascii="宋体" w:hAnsi="宋体" w:cs="宋体"/>
          <w:sz w:val="24"/>
          <w:szCs w:val="24"/>
        </w:rPr>
      </w:pPr>
      <w:r>
        <w:rPr>
          <w:rFonts w:hint="eastAsia" w:ascii="宋体" w:hAnsi="宋体" w:cs="宋体"/>
          <w:sz w:val="24"/>
          <w:szCs w:val="24"/>
        </w:rPr>
        <w:t>4.1在开标时间截止后30分钟内由各投标人自行对投标文件进行解密；</w:t>
      </w:r>
    </w:p>
    <w:p>
      <w:pPr>
        <w:spacing w:line="360" w:lineRule="auto"/>
        <w:ind w:firstLine="480" w:firstLineChars="200"/>
        <w:rPr>
          <w:rFonts w:ascii="宋体" w:hAnsi="宋体" w:cs="宋体"/>
          <w:sz w:val="24"/>
          <w:szCs w:val="24"/>
        </w:rPr>
      </w:pPr>
      <w:r>
        <w:rPr>
          <w:rFonts w:hint="eastAsia" w:ascii="宋体" w:hAnsi="宋体" w:cs="宋体"/>
          <w:sz w:val="24"/>
          <w:szCs w:val="24"/>
        </w:rPr>
        <w:t>4.2由采购人或代理机构进行资格审查，通过资格审查的投标人进入商务技术响应文件进行评审；</w:t>
      </w:r>
    </w:p>
    <w:p>
      <w:pPr>
        <w:spacing w:line="360" w:lineRule="auto"/>
        <w:ind w:firstLine="480" w:firstLineChars="200"/>
        <w:rPr>
          <w:rFonts w:ascii="宋体" w:hAnsi="宋体" w:cs="宋体"/>
          <w:sz w:val="24"/>
          <w:szCs w:val="24"/>
        </w:rPr>
      </w:pPr>
      <w:r>
        <w:rPr>
          <w:rFonts w:hint="eastAsia" w:ascii="宋体" w:hAnsi="宋体" w:cs="宋体"/>
          <w:sz w:val="24"/>
          <w:szCs w:val="24"/>
        </w:rPr>
        <w:t>4.3系统对各投标人的商务技术进行汇总；</w:t>
      </w:r>
    </w:p>
    <w:p>
      <w:pPr>
        <w:spacing w:line="360" w:lineRule="auto"/>
        <w:ind w:firstLine="480" w:firstLineChars="200"/>
        <w:rPr>
          <w:rFonts w:ascii="宋体" w:hAnsi="宋体" w:cs="宋体"/>
          <w:sz w:val="24"/>
          <w:szCs w:val="24"/>
        </w:rPr>
      </w:pPr>
      <w:r>
        <w:rPr>
          <w:rFonts w:hint="eastAsia" w:ascii="宋体" w:hAnsi="宋体" w:cs="宋体"/>
          <w:sz w:val="24"/>
          <w:szCs w:val="24"/>
        </w:rPr>
        <w:t>4.4在系统上公开报价开标情况；</w:t>
      </w:r>
    </w:p>
    <w:p>
      <w:pPr>
        <w:spacing w:line="360" w:lineRule="auto"/>
        <w:ind w:firstLine="480" w:firstLineChars="200"/>
        <w:rPr>
          <w:rFonts w:ascii="宋体" w:hAnsi="宋体" w:cs="宋体"/>
          <w:sz w:val="24"/>
          <w:szCs w:val="24"/>
        </w:rPr>
      </w:pPr>
      <w:r>
        <w:rPr>
          <w:rFonts w:hint="eastAsia" w:ascii="宋体" w:hAnsi="宋体" w:cs="宋体"/>
          <w:sz w:val="24"/>
          <w:szCs w:val="24"/>
        </w:rPr>
        <w:t>4.5评标委员会对报价情况进行评审；</w:t>
      </w:r>
    </w:p>
    <w:p>
      <w:pPr>
        <w:spacing w:line="360" w:lineRule="auto"/>
        <w:ind w:firstLine="480" w:firstLineChars="200"/>
        <w:rPr>
          <w:rFonts w:ascii="宋体" w:hAnsi="宋体" w:cs="宋体"/>
          <w:sz w:val="24"/>
          <w:szCs w:val="24"/>
        </w:rPr>
      </w:pPr>
      <w:r>
        <w:rPr>
          <w:rFonts w:hint="eastAsia" w:ascii="宋体" w:hAnsi="宋体" w:cs="宋体"/>
          <w:sz w:val="24"/>
          <w:szCs w:val="24"/>
        </w:rPr>
        <w:t>4.6在系统上公布评审结果。</w:t>
      </w:r>
    </w:p>
    <w:p>
      <w:pPr>
        <w:spacing w:line="360" w:lineRule="auto"/>
        <w:rPr>
          <w:rFonts w:ascii="宋体" w:hAnsi="宋体" w:cs="宋体"/>
          <w:b/>
          <w:bCs/>
          <w:sz w:val="24"/>
          <w:szCs w:val="24"/>
        </w:rPr>
      </w:pPr>
      <w:r>
        <w:rPr>
          <w:rFonts w:hint="eastAsia" w:ascii="宋体" w:hAnsi="宋体" w:cs="宋体"/>
          <w:b/>
          <w:bCs/>
          <w:sz w:val="24"/>
          <w:szCs w:val="24"/>
        </w:rPr>
        <w:t>特别说明：政采云公司如对电子化开标及评审程序有调整的，按调整后的程序操作。</w:t>
      </w:r>
    </w:p>
    <w:p>
      <w:pPr>
        <w:spacing w:line="360" w:lineRule="auto"/>
        <w:ind w:firstLine="480" w:firstLineChars="200"/>
        <w:rPr>
          <w:rFonts w:ascii="宋体" w:hAnsi="宋体" w:cs="宋体"/>
          <w:sz w:val="24"/>
          <w:szCs w:val="24"/>
        </w:rPr>
      </w:pPr>
      <w:r>
        <w:rPr>
          <w:rFonts w:hint="eastAsia" w:ascii="宋体" w:hAnsi="宋体" w:cs="宋体"/>
          <w:sz w:val="24"/>
          <w:szCs w:val="24"/>
        </w:rPr>
        <w:t>5.本项目采用政采云电子招投标开标及评审程序，开评标时出现电子投标文件无法解密或解密失败等情况时，采购代理机构可上传投标人的电子备份投标文件继续评审。</w:t>
      </w:r>
    </w:p>
    <w:p>
      <w:pPr>
        <w:pStyle w:val="26"/>
        <w:spacing w:beforeLines="0" w:afterLines="0" w:line="360" w:lineRule="auto"/>
        <w:outlineLvl w:val="1"/>
        <w:rPr>
          <w:rFonts w:hAnsi="宋体"/>
          <w:b/>
          <w:bCs/>
        </w:rPr>
      </w:pPr>
      <w:r>
        <w:rPr>
          <w:rFonts w:hint="eastAsia" w:hAnsi="宋体"/>
          <w:b/>
          <w:bCs/>
        </w:rPr>
        <w:t>五、评标</w:t>
      </w:r>
    </w:p>
    <w:p>
      <w:pPr>
        <w:pStyle w:val="26"/>
        <w:spacing w:beforeLines="0" w:afterLines="0" w:line="360" w:lineRule="auto"/>
        <w:ind w:firstLine="240" w:firstLineChars="100"/>
        <w:rPr>
          <w:rFonts w:hAnsi="宋体"/>
          <w:b/>
          <w:bCs/>
        </w:rPr>
      </w:pPr>
      <w:r>
        <w:rPr>
          <w:rFonts w:hint="eastAsia" w:hAnsi="宋体"/>
          <w:b/>
          <w:bCs/>
        </w:rPr>
        <w:t>（一）组建评标委员会</w:t>
      </w:r>
    </w:p>
    <w:p>
      <w:pPr>
        <w:pStyle w:val="26"/>
        <w:spacing w:beforeLines="0" w:afterLines="0" w:line="360" w:lineRule="auto"/>
        <w:ind w:firstLine="480" w:firstLineChars="200"/>
        <w:rPr>
          <w:rFonts w:hAnsi="宋体"/>
        </w:rPr>
      </w:pPr>
      <w:r>
        <w:rPr>
          <w:rFonts w:hint="eastAsia" w:hAnsi="宋体"/>
        </w:rPr>
        <w:t>本项目评标委员会由政府采购评审专家</w:t>
      </w:r>
      <w:r>
        <w:rPr>
          <w:rFonts w:hint="eastAsia" w:hAnsi="宋体"/>
          <w:u w:val="single"/>
        </w:rPr>
        <w:t>4</w:t>
      </w:r>
      <w:r>
        <w:rPr>
          <w:rFonts w:hint="eastAsia" w:hAnsi="宋体"/>
        </w:rPr>
        <w:t>人和采购人代表</w:t>
      </w:r>
      <w:r>
        <w:rPr>
          <w:rFonts w:hint="eastAsia" w:hAnsi="宋体"/>
          <w:u w:val="single"/>
        </w:rPr>
        <w:t>1</w:t>
      </w:r>
      <w:r>
        <w:rPr>
          <w:rFonts w:hint="eastAsia" w:hAnsi="宋体"/>
        </w:rPr>
        <w:t>人,共</w:t>
      </w:r>
      <w:r>
        <w:rPr>
          <w:rFonts w:hint="eastAsia" w:hAnsi="宋体"/>
          <w:u w:val="single"/>
        </w:rPr>
        <w:t>5</w:t>
      </w:r>
      <w:r>
        <w:rPr>
          <w:rFonts w:hint="eastAsia" w:hAnsi="宋体"/>
        </w:rPr>
        <w:t>人组成。</w:t>
      </w:r>
    </w:p>
    <w:p>
      <w:pPr>
        <w:pStyle w:val="26"/>
        <w:spacing w:beforeLines="0" w:afterLines="0" w:line="360" w:lineRule="auto"/>
        <w:ind w:firstLine="480" w:firstLineChars="200"/>
        <w:rPr>
          <w:rFonts w:hAnsi="宋体"/>
          <w:b/>
          <w:bCs/>
        </w:rPr>
      </w:pPr>
      <w:r>
        <w:rPr>
          <w:rFonts w:hint="eastAsia" w:hAnsi="宋体"/>
          <w:b/>
          <w:bCs/>
        </w:rPr>
        <w:t>（二）评标的方式</w:t>
      </w:r>
    </w:p>
    <w:p>
      <w:pPr>
        <w:pStyle w:val="26"/>
        <w:spacing w:beforeLines="0" w:afterLines="0" w:line="360" w:lineRule="auto"/>
        <w:ind w:firstLine="480" w:firstLineChars="200"/>
        <w:rPr>
          <w:rFonts w:hAnsi="宋体"/>
        </w:rPr>
      </w:pPr>
      <w:r>
        <w:rPr>
          <w:rFonts w:hint="eastAsia" w:hAnsi="宋体"/>
        </w:rPr>
        <w:t>本项目采用不公开方式评标，评标的依据为招标文件和投标文件。</w:t>
      </w:r>
    </w:p>
    <w:p>
      <w:pPr>
        <w:pStyle w:val="26"/>
        <w:spacing w:beforeLines="0" w:afterLines="0" w:line="360" w:lineRule="auto"/>
        <w:ind w:firstLine="480" w:firstLineChars="200"/>
        <w:rPr>
          <w:rFonts w:hAnsi="宋体"/>
          <w:b/>
          <w:bCs/>
        </w:rPr>
      </w:pPr>
      <w:r>
        <w:rPr>
          <w:rFonts w:hint="eastAsia" w:hAnsi="宋体"/>
          <w:b/>
          <w:bCs/>
        </w:rPr>
        <w:t>（三）评标程序</w:t>
      </w:r>
    </w:p>
    <w:p>
      <w:pPr>
        <w:spacing w:line="360" w:lineRule="auto"/>
        <w:ind w:firstLine="470" w:firstLineChars="196"/>
        <w:rPr>
          <w:rFonts w:ascii="宋体" w:hAnsi="宋体" w:cs="宋体"/>
          <w:b/>
          <w:bCs/>
          <w:sz w:val="24"/>
          <w:szCs w:val="24"/>
        </w:rPr>
      </w:pPr>
      <w:r>
        <w:rPr>
          <w:rFonts w:hint="eastAsia" w:ascii="宋体" w:hAnsi="宋体" w:cs="宋体"/>
          <w:b/>
          <w:bCs/>
          <w:sz w:val="24"/>
          <w:szCs w:val="24"/>
        </w:rPr>
        <w:t>1.形式审查</w:t>
      </w:r>
    </w:p>
    <w:p>
      <w:pPr>
        <w:spacing w:line="360" w:lineRule="auto"/>
        <w:ind w:firstLine="480" w:firstLineChars="200"/>
        <w:rPr>
          <w:rFonts w:ascii="宋体" w:hAnsi="宋体" w:cs="宋体"/>
          <w:b/>
          <w:bCs/>
          <w:color w:val="0D0D0D"/>
          <w:sz w:val="24"/>
          <w:szCs w:val="24"/>
        </w:rPr>
      </w:pPr>
      <w:r>
        <w:rPr>
          <w:rFonts w:hint="eastAsia" w:ascii="宋体" w:hAnsi="宋体" w:cs="宋体"/>
          <w:color w:val="0D0D0D"/>
          <w:sz w:val="24"/>
          <w:szCs w:val="24"/>
        </w:rPr>
        <w:t>招标方工作人员对投标人的资格和投标文件的完整性、合法性等进行审查。</w:t>
      </w:r>
    </w:p>
    <w:p>
      <w:pPr>
        <w:spacing w:line="360" w:lineRule="auto"/>
        <w:ind w:firstLine="470" w:firstLineChars="196"/>
        <w:rPr>
          <w:rFonts w:ascii="宋体" w:hAnsi="宋体" w:cs="宋体"/>
          <w:b/>
          <w:bCs/>
          <w:color w:val="0D0D0D"/>
          <w:sz w:val="24"/>
          <w:szCs w:val="24"/>
        </w:rPr>
      </w:pPr>
      <w:r>
        <w:rPr>
          <w:rFonts w:hint="eastAsia" w:ascii="宋体" w:hAnsi="宋体" w:cs="宋体"/>
          <w:b/>
          <w:bCs/>
          <w:color w:val="0D0D0D"/>
          <w:sz w:val="24"/>
          <w:szCs w:val="24"/>
        </w:rPr>
        <w:t>2.实质审查与比较</w:t>
      </w:r>
    </w:p>
    <w:p>
      <w:pPr>
        <w:spacing w:line="360" w:lineRule="auto"/>
        <w:ind w:firstLine="480" w:firstLineChars="200"/>
        <w:rPr>
          <w:rFonts w:ascii="宋体" w:hAnsi="宋体" w:cs="宋体"/>
          <w:color w:val="0D0D0D"/>
          <w:sz w:val="24"/>
          <w:szCs w:val="24"/>
        </w:rPr>
      </w:pPr>
      <w:r>
        <w:rPr>
          <w:rFonts w:hint="eastAsia" w:ascii="宋体" w:hAnsi="宋体" w:cs="宋体"/>
          <w:color w:val="0D0D0D"/>
          <w:sz w:val="24"/>
          <w:szCs w:val="24"/>
        </w:rPr>
        <w:t>（1）评标委员会审查投标文件的实质性内容是否符合招标文件实质性要求。</w:t>
      </w:r>
    </w:p>
    <w:p>
      <w:pPr>
        <w:spacing w:line="360" w:lineRule="auto"/>
        <w:ind w:firstLine="480" w:firstLineChars="200"/>
        <w:rPr>
          <w:rFonts w:ascii="宋体" w:hAnsi="宋体" w:cs="宋体"/>
          <w:color w:val="0D0D0D"/>
          <w:sz w:val="24"/>
          <w:szCs w:val="24"/>
        </w:rPr>
      </w:pPr>
      <w:r>
        <w:rPr>
          <w:rFonts w:hint="eastAsia" w:ascii="宋体" w:hAnsi="宋体" w:cs="宋体"/>
          <w:color w:val="0D0D0D"/>
          <w:sz w:val="24"/>
          <w:szCs w:val="24"/>
        </w:rPr>
        <w:t>（2）评标委员会将根据投标人的投标文件进行审查、核对,如有疑问,将对投标人进行询标,投标人要向评标委员会澄清有关问题,并最终以书面形式进行答复。</w:t>
      </w:r>
    </w:p>
    <w:p>
      <w:pPr>
        <w:spacing w:line="360" w:lineRule="auto"/>
        <w:ind w:firstLine="480" w:firstLineChars="200"/>
        <w:rPr>
          <w:rFonts w:ascii="宋体" w:hAnsi="宋体" w:cs="宋体"/>
          <w:color w:val="0D0D0D"/>
          <w:sz w:val="24"/>
          <w:szCs w:val="24"/>
        </w:rPr>
      </w:pPr>
      <w:r>
        <w:rPr>
          <w:rFonts w:hint="eastAsia" w:ascii="宋体" w:hAnsi="宋体" w:cs="宋体"/>
          <w:color w:val="0D0D0D"/>
          <w:sz w:val="24"/>
          <w:szCs w:val="24"/>
        </w:rPr>
        <w:t>投标人代表未到场或者拒绝澄清或者澄清的内容改变了投标文件的实质性内容的，评标委员会有权对该投标文件作出不利于投标人的评判。</w:t>
      </w:r>
    </w:p>
    <w:p>
      <w:pPr>
        <w:spacing w:line="360" w:lineRule="auto"/>
        <w:ind w:firstLine="480" w:firstLineChars="200"/>
        <w:rPr>
          <w:rFonts w:ascii="宋体" w:hAnsi="宋体" w:cs="宋体"/>
          <w:color w:val="0D0D0D"/>
          <w:sz w:val="24"/>
          <w:szCs w:val="24"/>
        </w:rPr>
      </w:pPr>
      <w:r>
        <w:rPr>
          <w:rFonts w:hint="eastAsia" w:ascii="宋体" w:hAnsi="宋体" w:cs="宋体"/>
          <w:color w:val="0D0D0D"/>
          <w:sz w:val="24"/>
          <w:szCs w:val="24"/>
        </w:rPr>
        <w:t>（3）技术、商务、资信及其他分按照评标委员会成员的独立评分结果的算术平均分计算，由指定专人进行计算复核。</w:t>
      </w:r>
    </w:p>
    <w:p>
      <w:pPr>
        <w:adjustRightInd w:val="0"/>
        <w:snapToGrid w:val="0"/>
        <w:spacing w:line="360" w:lineRule="auto"/>
        <w:ind w:firstLine="480" w:firstLineChars="200"/>
        <w:rPr>
          <w:rFonts w:ascii="宋体" w:hAnsi="宋体" w:cs="宋体"/>
          <w:color w:val="0D0D0D"/>
          <w:sz w:val="24"/>
          <w:szCs w:val="24"/>
        </w:rPr>
      </w:pPr>
      <w:r>
        <w:rPr>
          <w:rFonts w:hint="eastAsia" w:ascii="宋体" w:hAnsi="宋体" w:cs="宋体"/>
          <w:color w:val="0D0D0D"/>
          <w:sz w:val="24"/>
          <w:szCs w:val="24"/>
        </w:rPr>
        <w:t>（4）招标方工作人员协助评标委员会审核投标报价有无计算错误，并根据本项目的评分标准计算各投标人的报价得分。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（5）采购人、采购代理机构不得向评审委员会的评审专家作倾向性、误导性的解释或者说明。</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（7）评审专家在评审过程中不得将自己的观点强加给其他评审专家，评审专家应自主发表见解，对评审意见承担个人责任。</w:t>
      </w:r>
    </w:p>
    <w:p>
      <w:pPr>
        <w:adjustRightInd w:val="0"/>
        <w:snapToGrid w:val="0"/>
        <w:spacing w:line="360" w:lineRule="auto"/>
        <w:ind w:firstLine="480" w:firstLineChars="200"/>
        <w:rPr>
          <w:rFonts w:ascii="宋体" w:hAnsi="宋体" w:cs="宋体"/>
          <w:color w:val="0D0D0D"/>
          <w:sz w:val="24"/>
          <w:szCs w:val="24"/>
        </w:rPr>
      </w:pPr>
      <w:r>
        <w:rPr>
          <w:rFonts w:hint="eastAsia" w:ascii="宋体" w:hAnsi="宋体" w:cs="宋体"/>
          <w:color w:val="0D0D0D"/>
          <w:sz w:val="24"/>
          <w:szCs w:val="24"/>
        </w:rPr>
        <w:t>（8）评标委员会完成评标后,招标方工作人员对各部分得分汇总,计算出本项目最终得分。评标委员会按评标原则推荐中标候选人并起草评标报告。</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spacing w:line="360" w:lineRule="auto"/>
        <w:ind w:firstLine="480" w:firstLineChars="200"/>
        <w:rPr>
          <w:rFonts w:ascii="宋体" w:hAnsi="宋体" w:cs="宋体"/>
          <w:b/>
          <w:bCs/>
          <w:color w:val="0D0D0D"/>
          <w:sz w:val="24"/>
          <w:szCs w:val="24"/>
        </w:rPr>
      </w:pPr>
      <w:r>
        <w:rPr>
          <w:rFonts w:hint="eastAsia" w:ascii="宋体" w:hAnsi="宋体" w:cs="宋体"/>
          <w:b/>
          <w:bCs/>
          <w:color w:val="0D0D0D"/>
          <w:sz w:val="24"/>
          <w:szCs w:val="24"/>
        </w:rPr>
        <w:t>（四）澄清问题的形式</w:t>
      </w:r>
    </w:p>
    <w:p>
      <w:pPr>
        <w:spacing w:line="360" w:lineRule="auto"/>
        <w:ind w:firstLine="480" w:firstLineChars="200"/>
        <w:rPr>
          <w:rFonts w:ascii="宋体" w:hAnsi="宋体" w:cs="宋体"/>
          <w:sz w:val="24"/>
          <w:szCs w:val="24"/>
        </w:rPr>
      </w:pPr>
      <w:r>
        <w:rPr>
          <w:rFonts w:hint="eastAsia" w:ascii="宋体" w:hAnsi="宋体" w:cs="宋体"/>
          <w:sz w:val="24"/>
          <w:szCs w:val="24"/>
        </w:rPr>
        <w:t>对投标文件中含义不明确、同类问题表述不一致或者有明显文字和计算错误的内容，评标委员会可要求投标人作出必要的澄清、说明或者纠正。投标人的澄清、说明（需盖CA电子签章或实体公章），并不得超出投标文件的范围或者改变投标文件的实质性内容。</w:t>
      </w:r>
    </w:p>
    <w:p>
      <w:pPr>
        <w:pStyle w:val="26"/>
        <w:spacing w:beforeLines="0" w:afterLines="0" w:line="360" w:lineRule="auto"/>
        <w:ind w:firstLine="480" w:firstLineChars="200"/>
        <w:rPr>
          <w:rFonts w:hAnsi="宋体"/>
          <w:b/>
          <w:bCs/>
        </w:rPr>
      </w:pPr>
      <w:r>
        <w:rPr>
          <w:rFonts w:hint="eastAsia" w:hAnsi="宋体"/>
          <w:b/>
          <w:bCs/>
        </w:rPr>
        <w:t>（五）错误修正</w:t>
      </w:r>
    </w:p>
    <w:p>
      <w:pPr>
        <w:pStyle w:val="26"/>
        <w:spacing w:beforeLines="0" w:afterLines="0" w:line="360" w:lineRule="auto"/>
        <w:ind w:firstLine="480" w:firstLineChars="200"/>
        <w:rPr>
          <w:rFonts w:hAnsi="宋体"/>
        </w:rPr>
      </w:pPr>
      <w:r>
        <w:rPr>
          <w:rFonts w:hint="eastAsia" w:hAnsi="宋体"/>
        </w:rPr>
        <w:t>投标文件如果出现计算或表达上的错误，修正错误的原则如下：</w:t>
      </w:r>
    </w:p>
    <w:p>
      <w:pPr>
        <w:pStyle w:val="26"/>
        <w:spacing w:beforeLines="0" w:afterLines="0" w:line="360" w:lineRule="auto"/>
        <w:ind w:firstLine="480" w:firstLineChars="200"/>
        <w:rPr>
          <w:rFonts w:hAnsi="宋体"/>
        </w:rPr>
      </w:pPr>
      <w:r>
        <w:rPr>
          <w:rFonts w:hint="eastAsia" w:hAnsi="宋体"/>
        </w:rPr>
        <w:t>1.投标文件的大写金额和小写金额不一致的，以大写金额为准；</w:t>
      </w:r>
    </w:p>
    <w:p>
      <w:pPr>
        <w:pStyle w:val="26"/>
        <w:spacing w:beforeLines="0" w:afterLines="0" w:line="360" w:lineRule="auto"/>
        <w:ind w:firstLine="480" w:firstLineChars="200"/>
        <w:rPr>
          <w:rFonts w:hAnsi="宋体"/>
        </w:rPr>
      </w:pPr>
      <w:r>
        <w:rPr>
          <w:rFonts w:hint="eastAsia" w:hAnsi="宋体"/>
        </w:rPr>
        <w:t>2.总价金额与按单价汇总金额不一致的，以单价金额计算结果为准；</w:t>
      </w:r>
    </w:p>
    <w:p>
      <w:pPr>
        <w:pStyle w:val="26"/>
        <w:spacing w:beforeLines="0" w:afterLines="0" w:line="360" w:lineRule="auto"/>
        <w:ind w:firstLine="480" w:firstLineChars="200"/>
        <w:rPr>
          <w:rFonts w:hAnsi="宋体"/>
        </w:rPr>
      </w:pPr>
      <w:r>
        <w:rPr>
          <w:rFonts w:hint="eastAsia" w:hAnsi="宋体"/>
        </w:rPr>
        <w:t>3.对不同文字文本投标文件的解释发生异议的，以中文文本为准。</w:t>
      </w:r>
    </w:p>
    <w:p>
      <w:pPr>
        <w:pStyle w:val="26"/>
        <w:spacing w:beforeLines="0" w:afterLines="0" w:line="360" w:lineRule="auto"/>
        <w:ind w:firstLine="480" w:firstLineChars="200"/>
        <w:rPr>
          <w:rFonts w:hAnsi="宋体"/>
          <w:b/>
          <w:bCs/>
        </w:rPr>
      </w:pPr>
      <w:r>
        <w:rPr>
          <w:rFonts w:hint="eastAsia" w:hAnsi="宋体"/>
          <w:b/>
          <w:bCs/>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26"/>
        <w:tabs>
          <w:tab w:val="left" w:pos="630"/>
        </w:tabs>
        <w:spacing w:beforeLines="0" w:afterLines="0" w:line="360" w:lineRule="auto"/>
        <w:ind w:firstLine="470" w:firstLineChars="196"/>
        <w:rPr>
          <w:rFonts w:hAnsi="宋体"/>
          <w:b/>
          <w:bCs/>
        </w:rPr>
      </w:pPr>
      <w:r>
        <w:rPr>
          <w:rFonts w:hint="eastAsia" w:hAnsi="宋体"/>
          <w:b/>
          <w:bCs/>
        </w:rPr>
        <w:t>（六）评标原则、办法及依据</w:t>
      </w:r>
    </w:p>
    <w:p>
      <w:pPr>
        <w:pStyle w:val="26"/>
        <w:spacing w:beforeLines="0" w:afterLines="0" w:line="360" w:lineRule="auto"/>
        <w:ind w:firstLine="480" w:firstLineChars="200"/>
        <w:rPr>
          <w:rFonts w:hAnsi="宋体"/>
        </w:rPr>
      </w:pPr>
      <w:r>
        <w:rPr>
          <w:rFonts w:hint="eastAsia" w:hAnsi="宋体"/>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6"/>
        <w:spacing w:beforeLines="0" w:afterLines="0" w:line="360" w:lineRule="auto"/>
        <w:ind w:firstLine="480" w:firstLineChars="200"/>
        <w:rPr>
          <w:rFonts w:hAnsi="宋体"/>
        </w:rPr>
      </w:pPr>
      <w:r>
        <w:rPr>
          <w:rFonts w:hint="eastAsia" w:hAnsi="宋体"/>
        </w:rPr>
        <w:t>2.评标办法。本项目评标办法是</w:t>
      </w:r>
      <w:r>
        <w:rPr>
          <w:rFonts w:hint="eastAsia" w:hAnsi="宋体"/>
          <w:u w:val="single"/>
        </w:rPr>
        <w:t>综合评分法</w:t>
      </w:r>
      <w:r>
        <w:rPr>
          <w:rFonts w:hint="eastAsia" w:hAnsi="宋体"/>
        </w:rPr>
        <w:t>，具体评标内容及评分标准等详见《第四章：评标办法及评分标准》。</w:t>
      </w:r>
    </w:p>
    <w:p>
      <w:pPr>
        <w:pStyle w:val="26"/>
        <w:spacing w:beforeLines="0" w:afterLines="0" w:line="360" w:lineRule="auto"/>
        <w:ind w:firstLine="480" w:firstLineChars="200"/>
        <w:rPr>
          <w:rFonts w:hAnsi="宋体"/>
        </w:rPr>
      </w:pPr>
      <w:r>
        <w:rPr>
          <w:rFonts w:hint="eastAsia" w:hAnsi="宋体"/>
        </w:rPr>
        <w:t>3.评标依据：评标委员会决定投标的响应性只根据投标文件的内容，而不寻求外部的证据。</w:t>
      </w:r>
    </w:p>
    <w:p>
      <w:pPr>
        <w:pStyle w:val="26"/>
        <w:spacing w:beforeLines="0" w:afterLines="0" w:line="360" w:lineRule="auto"/>
        <w:ind w:firstLine="470" w:firstLineChars="196"/>
        <w:rPr>
          <w:rFonts w:hAnsi="宋体"/>
          <w:b/>
          <w:bCs/>
        </w:rPr>
      </w:pPr>
      <w:r>
        <w:rPr>
          <w:rFonts w:hint="eastAsia" w:hAnsi="宋体"/>
          <w:b/>
          <w:bCs/>
        </w:rPr>
        <w:t>（七）评标过程的监控</w:t>
      </w:r>
    </w:p>
    <w:p>
      <w:pPr>
        <w:pStyle w:val="26"/>
        <w:spacing w:beforeLines="0" w:afterLines="0" w:line="360" w:lineRule="auto"/>
        <w:ind w:firstLine="480" w:firstLineChars="200"/>
        <w:rPr>
          <w:rFonts w:hAnsi="宋体"/>
        </w:rPr>
      </w:pPr>
      <w:r>
        <w:rPr>
          <w:rFonts w:hint="eastAsia" w:hAnsi="宋体"/>
        </w:rPr>
        <w:t>本项目评标过程实行全程录音、录像监控，投标人在评标过程中所进行的试图影响评标结果的不公正活动，可能导致其投标被拒绝。</w:t>
      </w:r>
    </w:p>
    <w:p>
      <w:pPr>
        <w:spacing w:line="360" w:lineRule="auto"/>
        <w:ind w:firstLine="480" w:firstLineChars="200"/>
        <w:rPr>
          <w:rFonts w:ascii="宋体" w:hAnsi="宋体" w:cs="宋体"/>
          <w:b/>
          <w:bCs/>
          <w:sz w:val="24"/>
          <w:szCs w:val="24"/>
        </w:rPr>
      </w:pPr>
      <w:r>
        <w:rPr>
          <w:rFonts w:hint="eastAsia" w:ascii="宋体" w:hAnsi="宋体" w:cs="宋体"/>
          <w:b/>
          <w:bCs/>
          <w:sz w:val="24"/>
          <w:szCs w:val="24"/>
        </w:rPr>
        <w:t>（八）其他</w:t>
      </w:r>
    </w:p>
    <w:p>
      <w:pPr>
        <w:spacing w:line="360" w:lineRule="auto"/>
        <w:ind w:firstLine="470" w:firstLineChars="196"/>
        <w:rPr>
          <w:rFonts w:ascii="宋体" w:hAnsi="宋体" w:cs="宋体"/>
          <w:sz w:val="24"/>
          <w:szCs w:val="24"/>
        </w:rPr>
      </w:pPr>
      <w:r>
        <w:rPr>
          <w:rFonts w:hint="eastAsia" w:ascii="宋体" w:hAnsi="宋体" w:cs="宋体"/>
          <w:sz w:val="24"/>
          <w:szCs w:val="24"/>
        </w:rPr>
        <w:t>采购过程中出现以下情形，导致电子交易平台无法正常运行，或者无法保证电子交易的公平、公正和安全时，采购组织机构可中止电子交易活动：</w:t>
      </w:r>
    </w:p>
    <w:p>
      <w:pPr>
        <w:spacing w:line="360" w:lineRule="auto"/>
        <w:ind w:firstLine="480" w:firstLineChars="200"/>
        <w:rPr>
          <w:rFonts w:ascii="宋体" w:hAnsi="宋体" w:cs="宋体"/>
          <w:sz w:val="24"/>
          <w:szCs w:val="24"/>
        </w:rPr>
      </w:pPr>
      <w:r>
        <w:rPr>
          <w:rFonts w:hint="eastAsia" w:ascii="宋体" w:hAnsi="宋体" w:cs="宋体"/>
          <w:sz w:val="24"/>
          <w:szCs w:val="24"/>
        </w:rPr>
        <w:t>1、电子交易平台发生故障而无法登录访问的；</w:t>
      </w:r>
    </w:p>
    <w:p>
      <w:pPr>
        <w:spacing w:line="360" w:lineRule="auto"/>
        <w:ind w:firstLine="480" w:firstLineChars="200"/>
        <w:rPr>
          <w:rFonts w:ascii="宋体" w:hAnsi="宋体" w:cs="宋体"/>
          <w:sz w:val="24"/>
          <w:szCs w:val="24"/>
        </w:rPr>
      </w:pPr>
      <w:r>
        <w:rPr>
          <w:rFonts w:hint="eastAsia" w:ascii="宋体" w:hAnsi="宋体" w:cs="宋体"/>
          <w:sz w:val="24"/>
          <w:szCs w:val="24"/>
        </w:rPr>
        <w:t>2、电子交易平台应用或数据库出现错误，不能进行正常操作的；</w:t>
      </w:r>
    </w:p>
    <w:p>
      <w:pPr>
        <w:spacing w:line="360" w:lineRule="auto"/>
        <w:ind w:firstLine="480" w:firstLineChars="200"/>
        <w:rPr>
          <w:rFonts w:ascii="宋体" w:hAnsi="宋体" w:cs="宋体"/>
          <w:sz w:val="24"/>
          <w:szCs w:val="24"/>
        </w:rPr>
      </w:pPr>
      <w:r>
        <w:rPr>
          <w:rFonts w:hint="eastAsia" w:ascii="宋体" w:hAnsi="宋体" w:cs="宋体"/>
          <w:sz w:val="24"/>
          <w:szCs w:val="24"/>
        </w:rPr>
        <w:t>3、电子交易平台发现严重安全漏洞，有潜在泄密危险的；</w:t>
      </w:r>
    </w:p>
    <w:p>
      <w:pPr>
        <w:spacing w:line="360" w:lineRule="auto"/>
        <w:ind w:firstLine="480" w:firstLineChars="200"/>
        <w:rPr>
          <w:rFonts w:ascii="宋体" w:hAnsi="宋体" w:cs="宋体"/>
          <w:sz w:val="24"/>
          <w:szCs w:val="24"/>
        </w:rPr>
      </w:pPr>
      <w:r>
        <w:rPr>
          <w:rFonts w:hint="eastAsia" w:ascii="宋体" w:hAnsi="宋体" w:cs="宋体"/>
          <w:sz w:val="24"/>
          <w:szCs w:val="24"/>
        </w:rPr>
        <w:t>4、病毒发作导致不能进行正常操作的；</w:t>
      </w:r>
    </w:p>
    <w:p>
      <w:pPr>
        <w:spacing w:line="360" w:lineRule="auto"/>
        <w:ind w:firstLine="480" w:firstLineChars="200"/>
        <w:rPr>
          <w:rFonts w:ascii="宋体" w:hAnsi="宋体" w:cs="宋体"/>
          <w:sz w:val="24"/>
          <w:szCs w:val="24"/>
        </w:rPr>
      </w:pPr>
      <w:r>
        <w:rPr>
          <w:rFonts w:hint="eastAsia" w:ascii="宋体" w:hAnsi="宋体" w:cs="宋体"/>
          <w:sz w:val="24"/>
          <w:szCs w:val="24"/>
        </w:rPr>
        <w:t>5、其他无法保证电子交易的公平、公正和安全的情况。</w:t>
      </w:r>
    </w:p>
    <w:p>
      <w:pPr>
        <w:spacing w:line="360" w:lineRule="auto"/>
        <w:ind w:firstLine="470" w:firstLineChars="196"/>
        <w:rPr>
          <w:rFonts w:ascii="宋体" w:hAnsi="宋体" w:cs="宋体"/>
          <w:sz w:val="24"/>
          <w:szCs w:val="24"/>
        </w:rPr>
      </w:pPr>
      <w:r>
        <w:rPr>
          <w:rFonts w:hint="eastAsia" w:ascii="宋体" w:hAnsi="宋体" w:cs="宋体"/>
          <w:sz w:val="24"/>
          <w:szCs w:val="24"/>
        </w:rPr>
        <w:t>出现前款规定情形，不影响采购公平、公正性的，采购组织机构可以待上述情形消除后继续组织电子交易活动；影响或可能影响采购公平、公正性的，应当重新采购。</w:t>
      </w:r>
    </w:p>
    <w:p>
      <w:pPr>
        <w:pStyle w:val="26"/>
        <w:spacing w:beforeLines="0" w:afterLines="0" w:line="360" w:lineRule="auto"/>
        <w:outlineLvl w:val="1"/>
        <w:rPr>
          <w:rFonts w:hAnsi="宋体"/>
          <w:b/>
          <w:bCs/>
        </w:rPr>
      </w:pPr>
      <w:r>
        <w:rPr>
          <w:rFonts w:hint="eastAsia" w:hAnsi="宋体"/>
          <w:b/>
          <w:bCs/>
        </w:rPr>
        <w:t>六、定标</w:t>
      </w:r>
    </w:p>
    <w:p>
      <w:pPr>
        <w:pStyle w:val="26"/>
        <w:spacing w:beforeLines="0" w:afterLines="0" w:line="360" w:lineRule="auto"/>
        <w:ind w:firstLine="470" w:firstLineChars="196"/>
        <w:rPr>
          <w:rFonts w:hAnsi="宋体"/>
          <w:b/>
          <w:bCs/>
        </w:rPr>
      </w:pPr>
      <w:r>
        <w:rPr>
          <w:rFonts w:hint="eastAsia" w:hAnsi="宋体"/>
          <w:b/>
          <w:bCs/>
        </w:rPr>
        <w:t>（一）确定中标人。本项目由采购人授权评标委员会确定中标人。</w:t>
      </w:r>
    </w:p>
    <w:p>
      <w:pPr>
        <w:spacing w:line="360" w:lineRule="auto"/>
        <w:ind w:firstLine="480" w:firstLineChars="200"/>
        <w:rPr>
          <w:rFonts w:ascii="宋体" w:hAnsi="宋体" w:cs="宋体"/>
          <w:sz w:val="24"/>
          <w:szCs w:val="24"/>
        </w:rPr>
      </w:pPr>
      <w:r>
        <w:rPr>
          <w:rFonts w:hint="eastAsia" w:ascii="宋体" w:hAnsi="宋体" w:cs="宋体"/>
          <w:sz w:val="24"/>
          <w:szCs w:val="24"/>
        </w:rPr>
        <w:t>1.出现下列情形之一的，将重新进行招投标。</w:t>
      </w:r>
    </w:p>
    <w:p>
      <w:pPr>
        <w:spacing w:line="360" w:lineRule="auto"/>
        <w:ind w:firstLine="480" w:firstLineChars="200"/>
        <w:rPr>
          <w:rFonts w:ascii="宋体" w:hAnsi="宋体" w:cs="宋体"/>
          <w:b/>
          <w:bCs/>
          <w:color w:val="000000"/>
          <w:sz w:val="24"/>
          <w:szCs w:val="24"/>
        </w:rPr>
      </w:pPr>
      <w:r>
        <w:rPr>
          <w:rFonts w:hint="eastAsia" w:ascii="宋体" w:hAnsi="宋体" w:cs="宋体"/>
          <w:color w:val="000000"/>
          <w:sz w:val="24"/>
          <w:szCs w:val="24"/>
        </w:rPr>
        <w:t>（1）排名第一的候选供应商，因自身原因放弃中标成交或因不可抗力不能履行合同的；</w:t>
      </w:r>
    </w:p>
    <w:p>
      <w:pPr>
        <w:spacing w:line="360" w:lineRule="auto"/>
        <w:ind w:firstLine="480" w:firstLineChars="200"/>
        <w:rPr>
          <w:rFonts w:ascii="宋体" w:hAnsi="宋体" w:cs="宋体"/>
          <w:color w:val="0D0D0D"/>
          <w:sz w:val="24"/>
          <w:szCs w:val="24"/>
        </w:rPr>
      </w:pPr>
      <w:r>
        <w:rPr>
          <w:rFonts w:hint="eastAsia" w:ascii="宋体" w:hAnsi="宋体" w:cs="宋体"/>
          <w:color w:val="000000"/>
          <w:sz w:val="24"/>
          <w:szCs w:val="24"/>
        </w:rPr>
        <w:t>（2）经质疑，采购组织机构审查确认因排名第一的候选供应商在本次采购活动中存在</w:t>
      </w:r>
      <w:r>
        <w:rPr>
          <w:rFonts w:hint="eastAsia" w:ascii="宋体" w:hAnsi="宋体" w:cs="宋体"/>
          <w:sz w:val="24"/>
          <w:szCs w:val="24"/>
        </w:rPr>
        <w:t>违法违规行为或其他原因使质疑成立的。</w:t>
      </w:r>
    </w:p>
    <w:p>
      <w:pPr>
        <w:spacing w:line="360" w:lineRule="auto"/>
        <w:ind w:firstLine="480" w:firstLineChars="200"/>
        <w:rPr>
          <w:rFonts w:ascii="宋体" w:hAnsi="宋体" w:cs="宋体"/>
          <w:sz w:val="24"/>
          <w:szCs w:val="24"/>
        </w:rPr>
      </w:pPr>
      <w:r>
        <w:rPr>
          <w:rFonts w:hint="eastAsia" w:ascii="宋体" w:hAnsi="宋体" w:cs="宋体"/>
          <w:color w:val="0D0D0D"/>
          <w:sz w:val="24"/>
          <w:szCs w:val="24"/>
        </w:rPr>
        <w:t>2.招标方在评标结束后2个工作日内将评标报告交采购人确认，并在采购人确认</w:t>
      </w:r>
      <w:r>
        <w:rPr>
          <w:rFonts w:hint="eastAsia" w:ascii="宋体" w:hAnsi="宋体" w:cs="宋体"/>
          <w:sz w:val="24"/>
          <w:szCs w:val="24"/>
        </w:rPr>
        <w:t>中标人之日起2个工作日内，在发布招标公告的网站上对中标结果进行公告。</w:t>
      </w:r>
    </w:p>
    <w:p>
      <w:pPr>
        <w:spacing w:line="360" w:lineRule="auto"/>
        <w:ind w:firstLine="480" w:firstLineChars="200"/>
        <w:rPr>
          <w:rFonts w:ascii="宋体" w:hAnsi="宋体" w:cs="宋体"/>
          <w:sz w:val="24"/>
          <w:szCs w:val="24"/>
        </w:rPr>
      </w:pPr>
      <w:r>
        <w:rPr>
          <w:rFonts w:hint="eastAsia" w:ascii="宋体" w:hAnsi="宋体" w:cs="宋体"/>
          <w:sz w:val="24"/>
          <w:szCs w:val="24"/>
        </w:rPr>
        <w:t>3.投标人对评标结果无异议的，采购人应在收到评标报告后5个工作日内对评标结果进行确认。如有投标人对评标结果提出质疑的，采购人可在质疑处理完毕后确定中标人。</w:t>
      </w:r>
    </w:p>
    <w:p>
      <w:pPr>
        <w:spacing w:line="360" w:lineRule="auto"/>
        <w:ind w:firstLine="480" w:firstLineChars="200"/>
        <w:rPr>
          <w:rFonts w:ascii="宋体" w:hAnsi="宋体" w:cs="宋体"/>
          <w:color w:val="0D0D0D"/>
          <w:sz w:val="24"/>
          <w:szCs w:val="24"/>
        </w:rPr>
      </w:pPr>
      <w:r>
        <w:rPr>
          <w:rFonts w:hint="eastAsia" w:ascii="宋体" w:hAnsi="宋体" w:cs="宋体"/>
          <w:color w:val="0D0D0D"/>
          <w:sz w:val="24"/>
          <w:szCs w:val="24"/>
        </w:rPr>
        <w:t>4.采购人或评委会依法确定中标人后2个工作日内，招标方以书面形式发出《中标通知书》。</w:t>
      </w:r>
    </w:p>
    <w:p>
      <w:pPr>
        <w:pStyle w:val="26"/>
        <w:spacing w:beforeLines="0" w:afterLines="0" w:line="360" w:lineRule="auto"/>
        <w:outlineLvl w:val="1"/>
        <w:rPr>
          <w:rFonts w:hAnsi="宋体"/>
          <w:b/>
          <w:bCs/>
          <w:color w:val="0D0D0D"/>
        </w:rPr>
      </w:pPr>
      <w:r>
        <w:rPr>
          <w:rFonts w:hint="eastAsia" w:hAnsi="宋体"/>
          <w:b/>
          <w:bCs/>
        </w:rPr>
        <w:t>七、合同授予</w:t>
      </w:r>
    </w:p>
    <w:p>
      <w:pPr>
        <w:tabs>
          <w:tab w:val="left" w:pos="6660"/>
        </w:tabs>
        <w:spacing w:line="360" w:lineRule="auto"/>
        <w:ind w:firstLine="480" w:firstLineChars="200"/>
        <w:rPr>
          <w:rFonts w:ascii="宋体" w:hAnsi="宋体" w:cs="宋体"/>
          <w:color w:val="0D0D0D"/>
          <w:sz w:val="24"/>
          <w:szCs w:val="24"/>
        </w:rPr>
      </w:pPr>
      <w:r>
        <w:rPr>
          <w:rFonts w:hint="eastAsia" w:ascii="宋体" w:hAnsi="宋体" w:cs="宋体"/>
          <w:color w:val="0D0D0D"/>
          <w:sz w:val="24"/>
          <w:szCs w:val="24"/>
        </w:rPr>
        <w:t>1、招标方与中标人应当在《中标通知书》发出</w:t>
      </w:r>
      <w:r>
        <w:rPr>
          <w:rFonts w:hint="eastAsia" w:ascii="宋体" w:hAnsi="宋体" w:cs="宋体"/>
          <w:color w:val="auto"/>
          <w:sz w:val="24"/>
          <w:szCs w:val="24"/>
        </w:rPr>
        <w:t>之日起</w:t>
      </w:r>
      <w:r>
        <w:rPr>
          <w:rFonts w:hint="eastAsia" w:ascii="宋体" w:hAnsi="宋体" w:cs="宋体"/>
          <w:color w:val="auto"/>
          <w:sz w:val="24"/>
          <w:szCs w:val="24"/>
          <w:lang w:val="en-US" w:eastAsia="zh-CN"/>
        </w:rPr>
        <w:t>2</w:t>
      </w:r>
      <w:r>
        <w:rPr>
          <w:rFonts w:hint="eastAsia" w:ascii="宋体" w:hAnsi="宋体" w:cs="宋体"/>
          <w:color w:val="auto"/>
          <w:sz w:val="24"/>
          <w:szCs w:val="24"/>
        </w:rPr>
        <w:t>0日内签订政府</w:t>
      </w:r>
      <w:r>
        <w:rPr>
          <w:rFonts w:hint="eastAsia" w:ascii="宋体" w:hAnsi="宋体" w:cs="宋体"/>
          <w:color w:val="0D0D0D"/>
          <w:sz w:val="24"/>
          <w:szCs w:val="24"/>
        </w:rPr>
        <w:t>采购合同。</w:t>
      </w:r>
    </w:p>
    <w:p>
      <w:pPr>
        <w:spacing w:line="360" w:lineRule="auto"/>
        <w:ind w:firstLine="480" w:firstLineChars="200"/>
        <w:rPr>
          <w:rFonts w:ascii="宋体" w:hAnsi="宋体" w:cs="宋体"/>
          <w:sz w:val="24"/>
          <w:szCs w:val="24"/>
        </w:rPr>
      </w:pPr>
      <w:r>
        <w:rPr>
          <w:rFonts w:hint="eastAsia" w:ascii="宋体" w:hAnsi="宋体" w:cs="宋体"/>
          <w:sz w:val="24"/>
          <w:szCs w:val="24"/>
        </w:rPr>
        <w:t>2、中标人拖延、拒签合同的,将被取消中标资格，并按有关规定报有关部门处罚。</w:t>
      </w:r>
    </w:p>
    <w:p>
      <w:pPr>
        <w:spacing w:line="360" w:lineRule="auto"/>
        <w:ind w:firstLine="480" w:firstLineChars="200"/>
        <w:rPr>
          <w:rFonts w:ascii="宋体" w:hAnsi="宋体" w:cs="宋体"/>
          <w:b/>
          <w:bCs/>
          <w:color w:val="0D0D0D"/>
          <w:sz w:val="24"/>
          <w:szCs w:val="24"/>
        </w:rPr>
      </w:pPr>
      <w:r>
        <w:rPr>
          <w:rFonts w:hint="eastAsia" w:ascii="宋体" w:hAnsi="宋体" w:cs="宋体"/>
          <w:color w:val="0D0D0D"/>
          <w:sz w:val="24"/>
          <w:szCs w:val="24"/>
        </w:rPr>
        <w:t>3、招标人不承诺将合同授予报价最低的投标人。</w:t>
      </w:r>
    </w:p>
    <w:p>
      <w:pPr>
        <w:pStyle w:val="26"/>
        <w:snapToGrid w:val="0"/>
        <w:spacing w:beforeLines="0" w:afterLines="0" w:line="360" w:lineRule="auto"/>
        <w:jc w:val="center"/>
        <w:outlineLvl w:val="0"/>
        <w:rPr>
          <w:rFonts w:hAnsi="宋体"/>
          <w:b/>
          <w:bCs/>
          <w:color w:val="0D0D0D"/>
          <w:sz w:val="32"/>
          <w:szCs w:val="32"/>
        </w:rPr>
      </w:pPr>
    </w:p>
    <w:p>
      <w:pPr>
        <w:rPr>
          <w:rFonts w:hAnsi="宋体"/>
          <w:b/>
          <w:bCs/>
          <w:color w:val="0D0D0D"/>
          <w:sz w:val="32"/>
          <w:szCs w:val="32"/>
        </w:rPr>
      </w:pPr>
      <w:r>
        <w:rPr>
          <w:rFonts w:hAnsi="宋体"/>
          <w:b/>
          <w:bCs/>
          <w:color w:val="0D0D0D"/>
          <w:sz w:val="32"/>
          <w:szCs w:val="32"/>
        </w:rPr>
        <w:br w:type="page"/>
      </w:r>
    </w:p>
    <w:p>
      <w:pPr>
        <w:pStyle w:val="26"/>
        <w:snapToGrid w:val="0"/>
        <w:spacing w:beforeLines="0" w:afterLines="0" w:line="360" w:lineRule="auto"/>
        <w:jc w:val="center"/>
        <w:outlineLvl w:val="0"/>
        <w:rPr>
          <w:rFonts w:hAnsi="宋体" w:cs="Times New Roman"/>
          <w:sz w:val="32"/>
          <w:szCs w:val="32"/>
        </w:rPr>
      </w:pPr>
      <w:r>
        <w:rPr>
          <w:rFonts w:hint="eastAsia" w:hAnsi="宋体"/>
          <w:b/>
          <w:bCs/>
          <w:color w:val="0D0D0D"/>
          <w:sz w:val="32"/>
          <w:szCs w:val="32"/>
        </w:rPr>
        <w:t>第四章  评标办法及评分标准</w:t>
      </w:r>
    </w:p>
    <w:p>
      <w:pPr>
        <w:spacing w:line="360" w:lineRule="auto"/>
        <w:ind w:firstLine="480" w:firstLineChars="200"/>
        <w:rPr>
          <w:rFonts w:ascii="宋体" w:hAnsi="宋体" w:cs="宋体"/>
          <w:sz w:val="24"/>
          <w:szCs w:val="24"/>
        </w:rPr>
      </w:pPr>
      <w:r>
        <w:rPr>
          <w:rFonts w:hint="eastAsia" w:ascii="宋体" w:hAnsi="宋体" w:cs="宋体"/>
          <w:sz w:val="24"/>
          <w:szCs w:val="24"/>
        </w:rPr>
        <w:t>为公正、公平、科学地选择中标人，根据《中华人民共和国政府采购法》等有关法律法规的规定，并结合本项目的实际，制定本办法。</w:t>
      </w:r>
    </w:p>
    <w:p>
      <w:pPr>
        <w:spacing w:line="360" w:lineRule="auto"/>
        <w:ind w:firstLine="480" w:firstLineChars="200"/>
        <w:rPr>
          <w:rFonts w:ascii="宋体" w:hAnsi="宋体" w:cs="宋体"/>
          <w:sz w:val="24"/>
          <w:szCs w:val="24"/>
        </w:rPr>
      </w:pPr>
      <w:r>
        <w:rPr>
          <w:rFonts w:hint="eastAsia" w:ascii="宋体" w:hAnsi="宋体" w:cs="宋体"/>
          <w:sz w:val="24"/>
          <w:szCs w:val="24"/>
        </w:rPr>
        <w:t>本办法仅适用于</w:t>
      </w:r>
      <w:r>
        <w:rPr>
          <w:rFonts w:hint="eastAsia" w:ascii="宋体" w:hAnsi="宋体" w:cs="宋体"/>
          <w:b/>
          <w:bCs/>
          <w:sz w:val="24"/>
          <w:szCs w:val="24"/>
          <w:u w:val="single"/>
        </w:rPr>
        <w:t>东阳江流域江北片区排口溯源及水环境整治提升方案服务采购项目</w:t>
      </w:r>
      <w:r>
        <w:rPr>
          <w:rFonts w:hint="eastAsia" w:ascii="宋体" w:hAnsi="宋体" w:cs="宋体"/>
          <w:color w:val="0D0D0D"/>
          <w:sz w:val="24"/>
          <w:szCs w:val="24"/>
        </w:rPr>
        <w:t>的</w:t>
      </w:r>
      <w:r>
        <w:rPr>
          <w:rFonts w:hint="eastAsia" w:ascii="宋体" w:hAnsi="宋体" w:cs="宋体"/>
          <w:sz w:val="24"/>
          <w:szCs w:val="24"/>
        </w:rPr>
        <w:t>评标。</w:t>
      </w:r>
    </w:p>
    <w:p>
      <w:pPr>
        <w:spacing w:line="360" w:lineRule="auto"/>
        <w:rPr>
          <w:rFonts w:ascii="宋体" w:hAnsi="宋体" w:cs="宋体"/>
          <w:b/>
          <w:bCs/>
          <w:sz w:val="24"/>
          <w:szCs w:val="24"/>
        </w:rPr>
      </w:pPr>
      <w:r>
        <w:rPr>
          <w:rFonts w:hint="eastAsia" w:ascii="宋体" w:hAnsi="宋体" w:cs="宋体"/>
          <w:b/>
          <w:bCs/>
          <w:sz w:val="24"/>
          <w:szCs w:val="24"/>
        </w:rPr>
        <w:t>一、总则</w:t>
      </w:r>
    </w:p>
    <w:p>
      <w:pPr>
        <w:spacing w:line="360" w:lineRule="auto"/>
        <w:ind w:firstLine="480" w:firstLineChars="200"/>
        <w:rPr>
          <w:rFonts w:ascii="宋体" w:hAnsi="宋体" w:cs="宋体"/>
          <w:sz w:val="24"/>
          <w:szCs w:val="24"/>
        </w:rPr>
      </w:pPr>
      <w:r>
        <w:rPr>
          <w:rFonts w:hint="eastAsia" w:ascii="宋体" w:hAnsi="宋体" w:cs="宋体"/>
          <w:sz w:val="24"/>
          <w:szCs w:val="24"/>
        </w:rPr>
        <w:t>本次评标采用综合评分法，总分为100分，其中价格分20分，技术、商务资信分为80分。合格投标人的评标得分为各项目汇总得分，中标候选资格按评标综合得分由高到低顺序排列，得分相同的，按投标报价由低到高顺序排列；得分且投标报价相同的，按技术、商务及其它、资信得分由高到低顺序排列。排名第一的投标人为中标候选人,排名第二的投标人为候补中标候选人……其他投标人中标候选资格依此类推。评分过程中采用四舍五入法，并保留小数2位。</w:t>
      </w:r>
    </w:p>
    <w:p>
      <w:pPr>
        <w:spacing w:line="360" w:lineRule="auto"/>
        <w:ind w:firstLine="480" w:firstLineChars="200"/>
        <w:rPr>
          <w:rFonts w:ascii="宋体" w:hAnsi="宋体" w:cs="宋体"/>
          <w:sz w:val="24"/>
          <w:szCs w:val="24"/>
        </w:rPr>
      </w:pPr>
      <w:r>
        <w:rPr>
          <w:rFonts w:hint="eastAsia" w:ascii="宋体" w:hAnsi="宋体" w:cs="宋体"/>
          <w:sz w:val="24"/>
          <w:szCs w:val="24"/>
        </w:rPr>
        <w:t>投标人评标综合得分=价格分+(技术分+商务分)</w:t>
      </w:r>
    </w:p>
    <w:p>
      <w:pPr>
        <w:spacing w:line="360" w:lineRule="auto"/>
        <w:rPr>
          <w:rFonts w:ascii="宋体" w:hAnsi="宋体" w:cs="宋体"/>
          <w:b/>
          <w:bCs/>
          <w:sz w:val="24"/>
          <w:szCs w:val="24"/>
        </w:rPr>
      </w:pPr>
      <w:r>
        <w:rPr>
          <w:rFonts w:hint="eastAsia" w:ascii="宋体" w:hAnsi="宋体" w:cs="宋体"/>
          <w:b/>
          <w:bCs/>
          <w:sz w:val="24"/>
          <w:szCs w:val="24"/>
        </w:rPr>
        <w:t>二、评标内容及标准</w:t>
      </w:r>
    </w:p>
    <w:p>
      <w:pPr>
        <w:spacing w:line="360" w:lineRule="auto"/>
        <w:ind w:firstLine="480" w:firstLineChars="200"/>
        <w:rPr>
          <w:rFonts w:ascii="宋体" w:hAnsi="宋体" w:cs="宋体"/>
          <w:b/>
          <w:bCs/>
          <w:sz w:val="24"/>
          <w:szCs w:val="24"/>
        </w:rPr>
      </w:pPr>
      <w:r>
        <w:rPr>
          <w:rFonts w:hint="eastAsia" w:ascii="宋体" w:hAnsi="宋体" w:cs="宋体"/>
          <w:b/>
          <w:bCs/>
          <w:sz w:val="24"/>
          <w:szCs w:val="24"/>
        </w:rPr>
        <w:t>1、资信/商务/技术分</w:t>
      </w:r>
    </w:p>
    <w:p>
      <w:pPr>
        <w:spacing w:line="360" w:lineRule="auto"/>
        <w:ind w:firstLine="480" w:firstLineChars="200"/>
        <w:rPr>
          <w:rFonts w:ascii="宋体" w:hAnsi="宋体" w:cs="宋体"/>
          <w:sz w:val="24"/>
          <w:szCs w:val="24"/>
        </w:rPr>
      </w:pPr>
      <w:r>
        <w:rPr>
          <w:rFonts w:hint="eastAsia" w:ascii="宋体" w:hAnsi="宋体" w:cs="宋体"/>
          <w:sz w:val="24"/>
          <w:szCs w:val="24"/>
        </w:rPr>
        <w:t>评分标准中的国家标准如有新版时，以新版标准为准。有关评分的证书资料等原件请投标人单独装在档案袋中，统一递交。</w:t>
      </w:r>
    </w:p>
    <w:p>
      <w:pPr>
        <w:spacing w:line="360" w:lineRule="auto"/>
        <w:ind w:firstLine="480" w:firstLineChars="200"/>
        <w:rPr>
          <w:rFonts w:ascii="宋体" w:hAnsi="宋体" w:cs="宋体"/>
          <w:b/>
          <w:bCs/>
          <w:sz w:val="24"/>
          <w:szCs w:val="24"/>
        </w:rPr>
      </w:pPr>
      <w:r>
        <w:rPr>
          <w:rFonts w:hint="eastAsia" w:ascii="宋体" w:hAnsi="宋体" w:cs="宋体"/>
          <w:b/>
          <w:bCs/>
          <w:sz w:val="24"/>
          <w:szCs w:val="24"/>
        </w:rPr>
        <w:t>2、资信/商务/技术分的计算</w:t>
      </w:r>
    </w:p>
    <w:p>
      <w:pPr>
        <w:spacing w:line="360" w:lineRule="auto"/>
        <w:ind w:firstLine="480" w:firstLineChars="200"/>
        <w:rPr>
          <w:rFonts w:ascii="宋体" w:hAnsi="宋体" w:cs="宋体"/>
          <w:sz w:val="24"/>
          <w:szCs w:val="24"/>
        </w:rPr>
      </w:pPr>
      <w:r>
        <w:rPr>
          <w:rFonts w:hint="eastAsia" w:ascii="宋体" w:hAnsi="宋体" w:cs="宋体"/>
          <w:sz w:val="24"/>
          <w:szCs w:val="24"/>
        </w:rPr>
        <w:t>按照评标委员会成员的独立评分结果的算术平均分，计算公式为：</w:t>
      </w:r>
    </w:p>
    <w:p>
      <w:pPr>
        <w:spacing w:line="360" w:lineRule="auto"/>
        <w:ind w:firstLine="480" w:firstLineChars="200"/>
        <w:rPr>
          <w:rFonts w:ascii="宋体" w:hAnsi="宋体" w:cs="宋体"/>
          <w:sz w:val="24"/>
          <w:szCs w:val="24"/>
        </w:rPr>
      </w:pPr>
      <w:r>
        <w:rPr>
          <w:rFonts w:hint="eastAsia" w:ascii="宋体" w:hAnsi="宋体" w:cs="宋体"/>
          <w:sz w:val="24"/>
          <w:szCs w:val="24"/>
        </w:rPr>
        <w:t>资信/商务/技术分=评标委员会所有成员评分合计数/评标委员会组成人员数</w:t>
      </w:r>
    </w:p>
    <w:p>
      <w:pPr>
        <w:spacing w:line="360" w:lineRule="auto"/>
        <w:ind w:firstLine="480" w:firstLineChars="200"/>
        <w:rPr>
          <w:rFonts w:ascii="宋体" w:hAnsi="宋体" w:cs="宋体"/>
          <w:b/>
          <w:bCs/>
          <w:sz w:val="24"/>
          <w:szCs w:val="24"/>
        </w:rPr>
      </w:pPr>
      <w:r>
        <w:rPr>
          <w:rFonts w:hint="eastAsia" w:ascii="宋体" w:hAnsi="宋体" w:cs="宋体"/>
          <w:b/>
          <w:bCs/>
          <w:sz w:val="24"/>
          <w:szCs w:val="24"/>
        </w:rPr>
        <w:t>3、价格分</w:t>
      </w:r>
    </w:p>
    <w:p>
      <w:pPr>
        <w:spacing w:line="360" w:lineRule="auto"/>
        <w:ind w:firstLine="464" w:firstLineChars="200"/>
        <w:rPr>
          <w:rFonts w:ascii="宋体" w:hAnsi="宋体" w:cs="宋体"/>
          <w:spacing w:val="-4"/>
          <w:sz w:val="24"/>
          <w:szCs w:val="24"/>
        </w:rPr>
      </w:pPr>
      <w:r>
        <w:rPr>
          <w:rFonts w:hint="eastAsia" w:ascii="宋体" w:hAnsi="宋体" w:cs="宋体"/>
          <w:spacing w:val="-4"/>
          <w:sz w:val="24"/>
          <w:szCs w:val="24"/>
        </w:rPr>
        <w:t>1、价格分采用低价优先法计算，取各标项所有投标技术入围投标人中，投标报价合计价格最低的报价为评标基准价，其他投标人的价格分按照下列公式计算：</w:t>
      </w:r>
    </w:p>
    <w:p>
      <w:pPr>
        <w:widowControl/>
        <w:snapToGrid w:val="0"/>
        <w:spacing w:line="360" w:lineRule="auto"/>
        <w:ind w:firstLine="480" w:firstLineChars="200"/>
        <w:jc w:val="left"/>
        <w:rPr>
          <w:rFonts w:ascii="宋体" w:hAnsi="宋体" w:cs="宋体"/>
          <w:sz w:val="24"/>
          <w:szCs w:val="24"/>
        </w:rPr>
      </w:pPr>
      <w:r>
        <w:rPr>
          <w:rFonts w:hint="eastAsia" w:ascii="宋体" w:hAnsi="宋体" w:cs="宋体"/>
          <w:b/>
          <w:bCs/>
          <w:sz w:val="24"/>
          <w:szCs w:val="24"/>
        </w:rPr>
        <w:t>价格分</w:t>
      </w:r>
      <w:r>
        <w:rPr>
          <w:rFonts w:hint="eastAsia" w:ascii="宋体" w:hAnsi="宋体" w:cs="宋体"/>
          <w:sz w:val="24"/>
          <w:szCs w:val="24"/>
        </w:rPr>
        <w:t>=（评标基准价/投标报价）×20</w:t>
      </w:r>
    </w:p>
    <w:p>
      <w:pPr>
        <w:spacing w:line="360" w:lineRule="auto"/>
        <w:ind w:firstLine="464" w:firstLineChars="200"/>
        <w:rPr>
          <w:rFonts w:ascii="宋体" w:cs="仿宋_GB2312"/>
          <w:sz w:val="24"/>
          <w:szCs w:val="24"/>
        </w:rPr>
      </w:pPr>
      <w:r>
        <w:rPr>
          <w:rFonts w:hint="eastAsia" w:ascii="宋体" w:hAnsi="宋体" w:cs="宋体"/>
          <w:b/>
          <w:spacing w:val="-4"/>
          <w:sz w:val="24"/>
        </w:rPr>
        <w:t>2、</w:t>
      </w:r>
      <w:r>
        <w:rPr>
          <w:rFonts w:hint="eastAsia" w:ascii="宋体" w:hAnsi="宋体" w:cs="仿宋_GB2312"/>
          <w:b/>
          <w:sz w:val="24"/>
          <w:szCs w:val="24"/>
        </w:rPr>
        <w:t>价格扣除</w:t>
      </w:r>
      <w:r>
        <w:rPr>
          <w:rFonts w:hint="eastAsia" w:ascii="宋体" w:hAnsi="宋体" w:cs="仿宋_GB2312"/>
          <w:sz w:val="24"/>
          <w:szCs w:val="24"/>
        </w:rPr>
        <w:t>：根据工信部等部委发布的《关于印发中小企业划型标准规定的通知》（工信部联企业〔</w:t>
      </w:r>
      <w:r>
        <w:rPr>
          <w:rFonts w:ascii="宋体" w:hAnsi="宋体" w:cs="仿宋_GB2312"/>
          <w:sz w:val="24"/>
          <w:szCs w:val="24"/>
        </w:rPr>
        <w:t>2011</w:t>
      </w:r>
      <w:r>
        <w:rPr>
          <w:rFonts w:hint="eastAsia" w:ascii="宋体" w:hAnsi="宋体" w:cs="仿宋_GB2312"/>
          <w:sz w:val="24"/>
          <w:szCs w:val="24"/>
        </w:rPr>
        <w:t>〕</w:t>
      </w:r>
      <w:r>
        <w:rPr>
          <w:rFonts w:ascii="宋体" w:hAnsi="宋体" w:cs="仿宋_GB2312"/>
          <w:sz w:val="24"/>
          <w:szCs w:val="24"/>
        </w:rPr>
        <w:t>300</w:t>
      </w:r>
      <w:r>
        <w:rPr>
          <w:rFonts w:hint="eastAsia" w:ascii="宋体" w:hAnsi="宋体" w:cs="仿宋_GB2312"/>
          <w:sz w:val="24"/>
          <w:szCs w:val="24"/>
        </w:rPr>
        <w:t>号），根据具体品目确定相应标准。符合上述条件的中小微型企业应按照招标文件附件2</w:t>
      </w:r>
      <w:r>
        <w:rPr>
          <w:rFonts w:ascii="宋体" w:hAnsi="宋体" w:cs="仿宋_GB2312"/>
          <w:sz w:val="24"/>
          <w:szCs w:val="24"/>
        </w:rPr>
        <w:t>.</w:t>
      </w:r>
      <w:r>
        <w:rPr>
          <w:rFonts w:hint="eastAsia" w:ascii="宋体" w:hAnsi="宋体" w:cs="仿宋_GB2312"/>
          <w:sz w:val="24"/>
          <w:szCs w:val="24"/>
        </w:rPr>
        <w:t>5的格式要求提供《中小企业声明函》、</w:t>
      </w:r>
      <w:r>
        <w:rPr>
          <w:rFonts w:hint="eastAsia" w:ascii="宋体" w:hAnsi="宋体"/>
          <w:sz w:val="24"/>
          <w:szCs w:val="24"/>
        </w:rPr>
        <w:t>“国家企业信用信息公示系统</w:t>
      </w:r>
      <w:r>
        <w:rPr>
          <w:rFonts w:ascii="宋体" w:hAnsi="宋体"/>
          <w:sz w:val="24"/>
          <w:szCs w:val="24"/>
        </w:rPr>
        <w:t>—</w:t>
      </w:r>
      <w:r>
        <w:rPr>
          <w:rFonts w:hint="eastAsia" w:ascii="宋体" w:hAnsi="宋体"/>
          <w:sz w:val="24"/>
          <w:szCs w:val="24"/>
        </w:rPr>
        <w:t>小微企业名录”页面查询结果</w:t>
      </w:r>
      <w:r>
        <w:rPr>
          <w:rFonts w:hint="eastAsia" w:ascii="宋体" w:hAnsi="宋体" w:cs="仿宋_GB2312"/>
          <w:sz w:val="24"/>
          <w:szCs w:val="24"/>
        </w:rPr>
        <w:t>。符合《关于促进残疾人就业政府采购政策的通知》（财库〔</w:t>
      </w:r>
      <w:r>
        <w:rPr>
          <w:rFonts w:ascii="宋体" w:hAnsi="宋体" w:cs="仿宋_GB2312"/>
          <w:sz w:val="24"/>
          <w:szCs w:val="24"/>
        </w:rPr>
        <w:t>2017</w:t>
      </w:r>
      <w:r>
        <w:rPr>
          <w:rFonts w:hint="eastAsia" w:ascii="宋体" w:hAnsi="宋体" w:cs="仿宋_GB2312"/>
          <w:sz w:val="24"/>
          <w:szCs w:val="24"/>
        </w:rPr>
        <w:t>〕</w:t>
      </w:r>
      <w:r>
        <w:rPr>
          <w:rFonts w:ascii="宋体" w:hAnsi="宋体" w:cs="仿宋_GB2312"/>
          <w:sz w:val="24"/>
          <w:szCs w:val="24"/>
        </w:rPr>
        <w:t>141</w:t>
      </w:r>
      <w:r>
        <w:rPr>
          <w:rFonts w:hint="eastAsia" w:ascii="宋体" w:hAnsi="宋体" w:cs="仿宋_GB2312"/>
          <w:sz w:val="24"/>
          <w:szCs w:val="24"/>
        </w:rPr>
        <w:t>号）规定的条件并提供《残疾人福利性单位声明函》（附件2</w:t>
      </w:r>
      <w:r>
        <w:rPr>
          <w:rFonts w:ascii="宋体" w:hAnsi="宋体" w:cs="仿宋_GB2312"/>
          <w:sz w:val="24"/>
          <w:szCs w:val="24"/>
        </w:rPr>
        <w:t>.</w:t>
      </w:r>
      <w:r>
        <w:rPr>
          <w:rFonts w:hint="eastAsia" w:ascii="宋体" w:hAnsi="宋体" w:cs="仿宋_GB2312"/>
          <w:sz w:val="24"/>
          <w:szCs w:val="24"/>
        </w:rPr>
        <w:t>6）的残疾人福利性单位视同小型、微型企业；根据《关于政府采购支持监狱企业发展有关问题的通知》（财库</w:t>
      </w:r>
      <w:r>
        <w:rPr>
          <w:rFonts w:ascii="宋体" w:hAnsi="宋体" w:cs="仿宋_GB2312"/>
          <w:sz w:val="24"/>
          <w:szCs w:val="24"/>
        </w:rPr>
        <w:t>[2014]68</w:t>
      </w:r>
      <w:r>
        <w:rPr>
          <w:rFonts w:hint="eastAsia" w:ascii="宋体" w:hAnsi="宋体" w:cs="仿宋_GB2312"/>
          <w:sz w:val="24"/>
          <w:szCs w:val="24"/>
        </w:rPr>
        <w:t>号）的规定，投标人提供由省级以上监狱管理局、戒毒管理局（含新疆生产建设兵团）出具的属于监狱企业证明文件的，视同为小型和微型企业。</w:t>
      </w:r>
    </w:p>
    <w:p>
      <w:pPr>
        <w:widowControl/>
        <w:snapToGrid w:val="0"/>
        <w:spacing w:line="360" w:lineRule="auto"/>
        <w:ind w:firstLine="464" w:firstLineChars="200"/>
        <w:jc w:val="left"/>
        <w:rPr>
          <w:rFonts w:ascii="宋体" w:hAnsi="宋体"/>
          <w:bCs/>
          <w:sz w:val="24"/>
        </w:rPr>
      </w:pPr>
      <w:r>
        <w:rPr>
          <w:rFonts w:hint="eastAsia" w:ascii="宋体" w:hAnsi="宋体" w:cs="宋体"/>
          <w:bCs/>
          <w:spacing w:val="-4"/>
          <w:sz w:val="24"/>
        </w:rPr>
        <w:t>参照《关于印发&lt;政府采购促进中小企业发展管理办法&gt;的通知》(财库〔2020〕46号)文件、《财政部、司法部关于政府采购支持监狱企业发展有关问题的通知》（财库〔2014〕68号）文件、《财政部、民政部、中国残疾人联合会关于促进残疾人就业政府采购政策的通知》（财库〔2017〕141号）的规定以及</w:t>
      </w:r>
      <w:r>
        <w:rPr>
          <w:rFonts w:hint="eastAsia" w:ascii="宋体" w:hAnsi="宋体" w:cs="宋体"/>
          <w:kern w:val="0"/>
          <w:sz w:val="24"/>
          <w:szCs w:val="24"/>
        </w:rPr>
        <w:t>《浙江</w:t>
      </w:r>
      <w:r>
        <w:rPr>
          <w:rFonts w:hint="eastAsia" w:ascii="宋体" w:hAnsi="宋体" w:cs="宋体"/>
          <w:color w:val="auto"/>
          <w:kern w:val="0"/>
          <w:sz w:val="24"/>
          <w:szCs w:val="24"/>
        </w:rPr>
        <w:t>省财政厅关于进一步加大政府采购支持中小企业力度 助力扎实稳住经济的通知》（浙财采监〔2022〕8号）的规定，</w:t>
      </w:r>
      <w:r>
        <w:rPr>
          <w:rFonts w:hint="eastAsia" w:ascii="宋体" w:hAnsi="宋体" w:cs="宋体"/>
          <w:bCs/>
          <w:color w:val="auto"/>
          <w:spacing w:val="-4"/>
          <w:sz w:val="24"/>
        </w:rPr>
        <w:t>本项目对小型和微型企业、监狱企业、残疾人福利性单位生产的产品价格给予</w:t>
      </w:r>
      <w:r>
        <w:rPr>
          <w:rFonts w:hint="eastAsia" w:ascii="宋体" w:hAnsi="宋体" w:cs="宋体"/>
          <w:bCs/>
          <w:color w:val="auto"/>
          <w:spacing w:val="-4"/>
          <w:sz w:val="24"/>
          <w:lang w:val="en-US" w:eastAsia="zh-CN"/>
        </w:rPr>
        <w:t>2</w:t>
      </w:r>
      <w:r>
        <w:rPr>
          <w:rFonts w:hint="eastAsia" w:ascii="宋体" w:hAnsi="宋体" w:cs="宋体"/>
          <w:bCs/>
          <w:color w:val="auto"/>
          <w:spacing w:val="-4"/>
          <w:sz w:val="24"/>
        </w:rPr>
        <w:t>0%扣除，</w:t>
      </w:r>
      <w:r>
        <w:rPr>
          <w:rFonts w:hint="eastAsia" w:ascii="宋体" w:hAnsi="宋体" w:cs="宋体"/>
          <w:bCs/>
          <w:color w:val="auto"/>
          <w:kern w:val="0"/>
          <w:sz w:val="24"/>
          <w:szCs w:val="24"/>
        </w:rPr>
        <w:t>对于联合协议或者分包意向协议约定小微企业的合同份额占到合同总金额40%以上的，对联合体或者大中型企业的报价按</w:t>
      </w:r>
      <w:r>
        <w:rPr>
          <w:rFonts w:hint="eastAsia" w:ascii="宋体" w:hAnsi="宋体" w:cs="宋体"/>
          <w:bCs/>
          <w:color w:val="auto"/>
          <w:kern w:val="0"/>
          <w:sz w:val="24"/>
          <w:szCs w:val="24"/>
          <w:lang w:val="en-US" w:eastAsia="zh-CN"/>
        </w:rPr>
        <w:t>8</w:t>
      </w:r>
      <w:r>
        <w:rPr>
          <w:rFonts w:hint="eastAsia" w:ascii="宋体" w:hAnsi="宋体" w:cs="宋体"/>
          <w:bCs/>
          <w:color w:val="auto"/>
          <w:kern w:val="0"/>
          <w:sz w:val="24"/>
          <w:szCs w:val="24"/>
        </w:rPr>
        <w:t>%给予扣除，用扣除后的价格参加评审</w:t>
      </w:r>
      <w:r>
        <w:rPr>
          <w:rFonts w:hint="eastAsia" w:ascii="宋体" w:hAnsi="宋体" w:cs="宋体"/>
          <w:bCs/>
          <w:color w:val="auto"/>
          <w:spacing w:val="-4"/>
          <w:sz w:val="24"/>
        </w:rPr>
        <w:t>，但不重复享受价格扣除。小型和微型企业是指投标文件中提供</w:t>
      </w:r>
      <w:r>
        <w:rPr>
          <w:rFonts w:hint="eastAsia" w:ascii="宋体" w:hAnsi="宋体"/>
          <w:bCs/>
          <w:color w:val="auto"/>
          <w:spacing w:val="-4"/>
          <w:sz w:val="24"/>
        </w:rPr>
        <w:t>了中小企业声明函且符合《关于印发&lt;</w:t>
      </w:r>
      <w:r>
        <w:rPr>
          <w:rFonts w:hint="eastAsia" w:ascii="宋体" w:hAnsi="宋体"/>
          <w:bCs/>
          <w:spacing w:val="-4"/>
          <w:sz w:val="24"/>
        </w:rPr>
        <w:t>政府采购促进中小企业发展管理办法&gt;的通知》(财库〔2020〕46号)规定的要求。残疾人福利性单位是指投标文件中提供了残疾人福利性单位声明函且符合《财政部、民政部、中国残疾人联合会关于促进残疾人就业政府采购政策的通知》（财库〔2017〕141号）规定的企业。监狱企业是指投标文件中提供了由省级以上监狱管理局、戒毒管理局（含新疆生产建设兵团）出具的属于监狱企业的证明文件的企业。</w:t>
      </w:r>
    </w:p>
    <w:p>
      <w:pPr>
        <w:spacing w:line="360" w:lineRule="auto"/>
        <w:ind w:firstLine="480" w:firstLineChars="200"/>
        <w:rPr>
          <w:rFonts w:ascii="宋体" w:hAnsi="宋体"/>
          <w:sz w:val="24"/>
        </w:rPr>
      </w:pPr>
      <w:r>
        <w:rPr>
          <w:rFonts w:hint="eastAsia" w:ascii="宋体" w:hAnsi="宋体"/>
          <w:sz w:val="24"/>
        </w:rPr>
        <w:t>小型、微型企业（或监狱企业或残疾人福利企业）待遇报价的计算方法：</w:t>
      </w:r>
    </w:p>
    <w:p>
      <w:pPr>
        <w:spacing w:line="360" w:lineRule="auto"/>
        <w:ind w:firstLine="480" w:firstLineChars="200"/>
        <w:rPr>
          <w:rFonts w:ascii="宋体" w:hAnsi="宋体"/>
          <w:sz w:val="24"/>
        </w:rPr>
      </w:pPr>
      <w:r>
        <w:rPr>
          <w:rFonts w:hint="eastAsia" w:ascii="宋体" w:hAnsi="宋体"/>
          <w:sz w:val="24"/>
        </w:rPr>
        <w:t>小型、微型企业（或监狱企业或残疾人福利企业）待遇报价=</w:t>
      </w:r>
      <w:r>
        <w:rPr>
          <w:rFonts w:hint="eastAsia" w:ascii="宋体" w:hAnsi="宋体"/>
          <w:spacing w:val="-4"/>
          <w:sz w:val="24"/>
          <w:szCs w:val="20"/>
        </w:rPr>
        <w:t>小型、微型企业（或监狱企业或残疾人福利企业）</w:t>
      </w:r>
      <w:r>
        <w:rPr>
          <w:rFonts w:hint="eastAsia" w:ascii="宋体" w:hAnsi="宋体"/>
          <w:sz w:val="24"/>
        </w:rPr>
        <w:t>投标人投标报价*（1-优惠折扣率）</w:t>
      </w:r>
    </w:p>
    <w:p>
      <w:pPr>
        <w:spacing w:line="360" w:lineRule="auto"/>
        <w:rPr>
          <w:rFonts w:ascii="宋体" w:hAnsi="宋体" w:cs="宋体"/>
          <w:b/>
          <w:bCs/>
          <w:sz w:val="24"/>
          <w:szCs w:val="24"/>
        </w:rPr>
      </w:pPr>
      <w:bookmarkStart w:id="1" w:name="_Toc414870805"/>
      <w:r>
        <w:rPr>
          <w:rFonts w:hint="eastAsia" w:ascii="宋体" w:hAnsi="宋体" w:cs="宋体"/>
          <w:b/>
          <w:bCs/>
          <w:sz w:val="24"/>
          <w:szCs w:val="24"/>
        </w:rPr>
        <w:t>附件：评分标准（技术</w:t>
      </w:r>
      <w:r>
        <w:rPr>
          <w:rFonts w:ascii="宋体" w:hAnsi="宋体" w:cs="宋体"/>
          <w:b/>
          <w:bCs/>
          <w:sz w:val="24"/>
          <w:szCs w:val="24"/>
        </w:rPr>
        <w:t>/</w:t>
      </w:r>
      <w:r>
        <w:rPr>
          <w:rFonts w:hint="eastAsia" w:ascii="宋体" w:hAnsi="宋体" w:cs="宋体"/>
          <w:b/>
          <w:bCs/>
          <w:sz w:val="24"/>
          <w:szCs w:val="24"/>
        </w:rPr>
        <w:t>商务</w:t>
      </w:r>
      <w:r>
        <w:rPr>
          <w:rFonts w:ascii="宋体" w:hAnsi="宋体" w:cs="宋体"/>
          <w:b/>
          <w:bCs/>
          <w:sz w:val="24"/>
          <w:szCs w:val="24"/>
        </w:rPr>
        <w:t>/</w:t>
      </w:r>
      <w:r>
        <w:rPr>
          <w:rFonts w:hint="eastAsia" w:ascii="宋体" w:hAnsi="宋体" w:cs="宋体"/>
          <w:b/>
          <w:bCs/>
          <w:sz w:val="24"/>
          <w:szCs w:val="24"/>
        </w:rPr>
        <w:t>资信，共80分）</w:t>
      </w:r>
    </w:p>
    <w:tbl>
      <w:tblPr>
        <w:tblStyle w:val="46"/>
        <w:tblW w:w="9508" w:type="dxa"/>
        <w:tblInd w:w="98" w:type="dxa"/>
        <w:tblLayout w:type="fixed"/>
        <w:tblCellMar>
          <w:top w:w="0" w:type="dxa"/>
          <w:left w:w="108" w:type="dxa"/>
          <w:bottom w:w="0" w:type="dxa"/>
          <w:right w:w="108" w:type="dxa"/>
        </w:tblCellMar>
      </w:tblPr>
      <w:tblGrid>
        <w:gridCol w:w="730"/>
        <w:gridCol w:w="1217"/>
        <w:gridCol w:w="6852"/>
        <w:gridCol w:w="709"/>
      </w:tblGrid>
      <w:tr>
        <w:tblPrEx>
          <w:tblCellMar>
            <w:top w:w="0" w:type="dxa"/>
            <w:left w:w="108" w:type="dxa"/>
            <w:bottom w:w="0" w:type="dxa"/>
            <w:right w:w="108" w:type="dxa"/>
          </w:tblCellMar>
        </w:tblPrEx>
        <w:trPr>
          <w:trHeight w:val="300" w:hRule="atLeast"/>
        </w:trPr>
        <w:tc>
          <w:tcPr>
            <w:tcW w:w="73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宋体" w:hAnsi="宋体" w:cs="宋体"/>
                <w:b/>
                <w:bCs/>
                <w:sz w:val="24"/>
                <w:szCs w:val="24"/>
              </w:rPr>
            </w:pPr>
            <w:r>
              <w:rPr>
                <w:rFonts w:hint="eastAsia" w:ascii="宋体" w:hAnsi="宋体" w:cs="宋体"/>
                <w:b/>
                <w:bCs/>
                <w:sz w:val="24"/>
                <w:szCs w:val="24"/>
              </w:rPr>
              <w:t>序号</w:t>
            </w:r>
          </w:p>
        </w:tc>
        <w:tc>
          <w:tcPr>
            <w:tcW w:w="1217" w:type="dxa"/>
            <w:tcBorders>
              <w:top w:val="single" w:color="auto" w:sz="8" w:space="0"/>
              <w:left w:val="nil"/>
              <w:bottom w:val="single" w:color="auto" w:sz="8" w:space="0"/>
              <w:right w:val="single" w:color="auto" w:sz="8" w:space="0"/>
            </w:tcBorders>
            <w:vAlign w:val="center"/>
          </w:tcPr>
          <w:p>
            <w:pPr>
              <w:widowControl/>
              <w:spacing w:line="360" w:lineRule="auto"/>
              <w:jc w:val="center"/>
              <w:rPr>
                <w:rFonts w:ascii="宋体" w:hAnsi="宋体" w:cs="宋体"/>
                <w:b/>
                <w:bCs/>
                <w:sz w:val="24"/>
                <w:szCs w:val="24"/>
              </w:rPr>
            </w:pPr>
            <w:r>
              <w:rPr>
                <w:rFonts w:hint="eastAsia" w:ascii="宋体" w:hAnsi="宋体" w:cs="宋体"/>
                <w:b/>
                <w:bCs/>
                <w:sz w:val="24"/>
                <w:szCs w:val="24"/>
              </w:rPr>
              <w:t>项目</w:t>
            </w:r>
          </w:p>
        </w:tc>
        <w:tc>
          <w:tcPr>
            <w:tcW w:w="6852" w:type="dxa"/>
            <w:tcBorders>
              <w:top w:val="single" w:color="auto" w:sz="8" w:space="0"/>
              <w:left w:val="nil"/>
              <w:bottom w:val="single" w:color="auto" w:sz="8" w:space="0"/>
              <w:right w:val="single" w:color="000000" w:sz="8" w:space="0"/>
            </w:tcBorders>
            <w:vAlign w:val="center"/>
          </w:tcPr>
          <w:p>
            <w:pPr>
              <w:widowControl/>
              <w:spacing w:line="360" w:lineRule="auto"/>
              <w:jc w:val="center"/>
              <w:rPr>
                <w:rFonts w:ascii="宋体" w:hAnsi="宋体" w:cs="宋体"/>
                <w:b/>
                <w:bCs/>
                <w:sz w:val="24"/>
                <w:szCs w:val="24"/>
              </w:rPr>
            </w:pPr>
            <w:r>
              <w:rPr>
                <w:rFonts w:hint="eastAsia" w:ascii="宋体" w:hAnsi="宋体" w:cs="宋体"/>
                <w:b/>
                <w:bCs/>
                <w:sz w:val="24"/>
                <w:szCs w:val="24"/>
              </w:rPr>
              <w:t>评价内容及评分细则</w:t>
            </w:r>
          </w:p>
        </w:tc>
        <w:tc>
          <w:tcPr>
            <w:tcW w:w="709" w:type="dxa"/>
            <w:tcBorders>
              <w:top w:val="single" w:color="auto" w:sz="8" w:space="0"/>
              <w:left w:val="nil"/>
              <w:bottom w:val="single" w:color="auto" w:sz="8" w:space="0"/>
              <w:right w:val="single" w:color="auto" w:sz="8" w:space="0"/>
            </w:tcBorders>
            <w:vAlign w:val="center"/>
          </w:tcPr>
          <w:p>
            <w:pPr>
              <w:widowControl/>
              <w:spacing w:line="360" w:lineRule="auto"/>
              <w:jc w:val="center"/>
              <w:rPr>
                <w:rFonts w:ascii="宋体" w:hAnsi="宋体" w:cs="宋体"/>
                <w:b/>
                <w:bCs/>
                <w:sz w:val="24"/>
                <w:szCs w:val="24"/>
              </w:rPr>
            </w:pPr>
            <w:r>
              <w:rPr>
                <w:rFonts w:hint="eastAsia" w:ascii="宋体" w:hAnsi="宋体" w:cs="宋体"/>
                <w:b/>
                <w:bCs/>
                <w:sz w:val="24"/>
                <w:szCs w:val="24"/>
              </w:rPr>
              <w:t>分值</w:t>
            </w:r>
          </w:p>
        </w:tc>
      </w:tr>
      <w:tr>
        <w:tblPrEx>
          <w:tblCellMar>
            <w:top w:w="0" w:type="dxa"/>
            <w:left w:w="108" w:type="dxa"/>
            <w:bottom w:w="0" w:type="dxa"/>
            <w:right w:w="108" w:type="dxa"/>
          </w:tblCellMar>
        </w:tblPrEx>
        <w:trPr>
          <w:trHeight w:val="474" w:hRule="atLeast"/>
        </w:trPr>
        <w:tc>
          <w:tcPr>
            <w:tcW w:w="730" w:type="dxa"/>
            <w:tcBorders>
              <w:top w:val="nil"/>
              <w:left w:val="single" w:color="auto" w:sz="8" w:space="0"/>
              <w:bottom w:val="single" w:color="auto" w:sz="4" w:space="0"/>
              <w:right w:val="single" w:color="auto" w:sz="8"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1</w:t>
            </w:r>
          </w:p>
        </w:tc>
        <w:tc>
          <w:tcPr>
            <w:tcW w:w="1217" w:type="dxa"/>
            <w:tcBorders>
              <w:top w:val="nil"/>
              <w:left w:val="single" w:color="auto" w:sz="8"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综合履约能力</w:t>
            </w:r>
          </w:p>
        </w:tc>
        <w:tc>
          <w:tcPr>
            <w:tcW w:w="6852" w:type="dxa"/>
            <w:tcBorders>
              <w:top w:val="single" w:color="auto" w:sz="4" w:space="0"/>
              <w:left w:val="single" w:color="auto" w:sz="4" w:space="0"/>
              <w:bottom w:val="single" w:color="auto" w:sz="4" w:space="0"/>
              <w:right w:val="single" w:color="000000" w:sz="8" w:space="0"/>
            </w:tcBorders>
            <w:vAlign w:val="center"/>
          </w:tcPr>
          <w:p>
            <w:pPr>
              <w:pStyle w:val="26"/>
              <w:spacing w:before="156" w:after="156"/>
              <w:rPr>
                <w:rFonts w:hAnsi="宋体"/>
              </w:rPr>
            </w:pPr>
            <w:r>
              <w:rPr>
                <w:rFonts w:hint="eastAsia" w:hAnsi="宋体"/>
              </w:rPr>
              <w:t>（1）投标人</w:t>
            </w:r>
            <w:r>
              <w:rPr>
                <w:rFonts w:hint="eastAsia" w:hAnsi="宋体"/>
                <w:lang w:val="zh-CN"/>
              </w:rPr>
              <w:t>企业获得</w:t>
            </w:r>
            <w:r>
              <w:rPr>
                <w:rFonts w:hint="eastAsia" w:hAnsi="宋体"/>
              </w:rPr>
              <w:t>ISO</w:t>
            </w:r>
            <w:r>
              <w:rPr>
                <w:rFonts w:hint="eastAsia" w:hAnsi="宋体"/>
                <w:lang w:val="zh-CN"/>
              </w:rPr>
              <w:t>质量管理体系认证、环境管理体系认证，职业健康安全体系认证，</w:t>
            </w:r>
            <w:r>
              <w:rPr>
                <w:rFonts w:hint="eastAsia" w:hAnsi="宋体"/>
              </w:rPr>
              <w:t>并在有效期内的每个得1分</w:t>
            </w:r>
            <w:r>
              <w:rPr>
                <w:rFonts w:hint="eastAsia" w:hAnsi="宋体"/>
                <w:lang w:val="zh-CN"/>
              </w:rPr>
              <w:t>，最高得</w:t>
            </w:r>
            <w:r>
              <w:rPr>
                <w:rFonts w:hint="eastAsia" w:hAnsi="宋体"/>
              </w:rPr>
              <w:t>3</w:t>
            </w:r>
            <w:r>
              <w:rPr>
                <w:rFonts w:hint="eastAsia" w:hAnsi="宋体"/>
                <w:lang w:val="zh-CN"/>
              </w:rPr>
              <w:t>分</w:t>
            </w:r>
            <w:r>
              <w:rPr>
                <w:rFonts w:hint="eastAsia" w:hAnsi="宋体"/>
              </w:rPr>
              <w:t>（认证范围须包含污水处理等相关内容，否则不得分）。</w:t>
            </w:r>
          </w:p>
          <w:p>
            <w:pPr>
              <w:pStyle w:val="26"/>
              <w:spacing w:before="156" w:after="156"/>
              <w:rPr>
                <w:rFonts w:hAnsi="宋体"/>
              </w:rPr>
            </w:pPr>
            <w:r>
              <w:rPr>
                <w:rFonts w:hint="eastAsia" w:hAnsi="宋体"/>
              </w:rPr>
              <w:t>（2）投标人具有排水管道检测与评估作业证书的（有效期内），得1分；</w:t>
            </w:r>
          </w:p>
          <w:p>
            <w:pPr>
              <w:spacing w:line="360" w:lineRule="auto"/>
              <w:rPr>
                <w:rFonts w:ascii="宋体" w:hAnsi="宋体" w:cs="宋体"/>
                <w:sz w:val="24"/>
                <w:szCs w:val="24"/>
              </w:rPr>
            </w:pPr>
            <w:r>
              <w:rPr>
                <w:rFonts w:hint="eastAsia" w:ascii="宋体" w:hAnsi="宋体" w:cs="宋体"/>
                <w:sz w:val="24"/>
                <w:szCs w:val="24"/>
              </w:rPr>
              <w:t>（3）投标人具有排水管网类信息化管理系统相关专利证书或计算机软件著作权的（有效期内），每提供一个得1分</w:t>
            </w:r>
            <w:r>
              <w:rPr>
                <w:rFonts w:hint="eastAsia" w:ascii="宋体" w:hAnsi="宋体" w:cs="宋体"/>
                <w:sz w:val="24"/>
                <w:szCs w:val="24"/>
                <w:lang w:val="zh-CN"/>
              </w:rPr>
              <w:t>，最高得</w:t>
            </w:r>
            <w:r>
              <w:rPr>
                <w:rFonts w:hint="eastAsia" w:ascii="宋体" w:hAnsi="宋体" w:cs="宋体"/>
                <w:sz w:val="24"/>
                <w:szCs w:val="24"/>
              </w:rPr>
              <w:t>3</w:t>
            </w:r>
            <w:r>
              <w:rPr>
                <w:rFonts w:hint="eastAsia" w:ascii="宋体" w:hAnsi="宋体" w:cs="宋体"/>
                <w:sz w:val="24"/>
                <w:szCs w:val="24"/>
                <w:lang w:val="zh-CN"/>
              </w:rPr>
              <w:t>分</w:t>
            </w:r>
            <w:r>
              <w:rPr>
                <w:rFonts w:hint="eastAsia" w:ascii="宋体" w:hAnsi="宋体" w:cs="宋体"/>
                <w:sz w:val="24"/>
                <w:szCs w:val="24"/>
              </w:rPr>
              <w:t>；（提供相关证书原件彩色扫描件，否则不得分）</w:t>
            </w:r>
          </w:p>
        </w:tc>
        <w:tc>
          <w:tcPr>
            <w:tcW w:w="709" w:type="dxa"/>
            <w:tcBorders>
              <w:top w:val="single" w:color="auto" w:sz="4" w:space="0"/>
              <w:left w:val="single" w:color="auto" w:sz="8"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7</w:t>
            </w:r>
          </w:p>
        </w:tc>
      </w:tr>
      <w:tr>
        <w:tblPrEx>
          <w:tblCellMar>
            <w:top w:w="0" w:type="dxa"/>
            <w:left w:w="108" w:type="dxa"/>
            <w:bottom w:w="0" w:type="dxa"/>
            <w:right w:w="108" w:type="dxa"/>
          </w:tblCellMar>
        </w:tblPrEx>
        <w:trPr>
          <w:trHeight w:val="81" w:hRule="atLeast"/>
        </w:trPr>
        <w:tc>
          <w:tcPr>
            <w:tcW w:w="730" w:type="dxa"/>
            <w:tcBorders>
              <w:top w:val="single" w:color="auto" w:sz="4" w:space="0"/>
              <w:left w:val="single" w:color="auto" w:sz="4" w:space="0"/>
              <w:bottom w:val="single" w:color="auto" w:sz="4" w:space="0"/>
              <w:right w:val="single" w:color="auto" w:sz="8"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c>
          <w:tcPr>
            <w:tcW w:w="1217" w:type="dxa"/>
            <w:tcBorders>
              <w:top w:val="single" w:color="auto" w:sz="4" w:space="0"/>
              <w:left w:val="single" w:color="auto" w:sz="8" w:space="0"/>
              <w:bottom w:val="single" w:color="auto" w:sz="4" w:space="0"/>
              <w:right w:val="single" w:color="auto" w:sz="4" w:space="0"/>
            </w:tcBorders>
            <w:vAlign w:val="center"/>
          </w:tcPr>
          <w:p>
            <w:pPr>
              <w:widowControl/>
              <w:spacing w:line="360" w:lineRule="auto"/>
              <w:rPr>
                <w:rFonts w:ascii="宋体" w:hAnsi="宋体" w:cs="宋体"/>
                <w:b w:val="0"/>
                <w:bCs w:val="0"/>
                <w:color w:val="auto"/>
                <w:sz w:val="24"/>
                <w:szCs w:val="24"/>
              </w:rPr>
            </w:pPr>
            <w:r>
              <w:rPr>
                <w:rFonts w:hint="eastAsia" w:ascii="宋体" w:hAnsi="宋体" w:cs="宋体"/>
                <w:b w:val="0"/>
                <w:bCs w:val="0"/>
                <w:color w:val="auto"/>
                <w:sz w:val="24"/>
                <w:szCs w:val="24"/>
              </w:rPr>
              <w:t>相关业绩</w:t>
            </w:r>
          </w:p>
        </w:tc>
        <w:tc>
          <w:tcPr>
            <w:tcW w:w="6852" w:type="dxa"/>
            <w:tcBorders>
              <w:top w:val="single" w:color="auto" w:sz="4" w:space="0"/>
              <w:left w:val="single" w:color="auto" w:sz="4" w:space="0"/>
              <w:right w:val="nil"/>
            </w:tcBorders>
            <w:shd w:val="clear" w:color="auto" w:fill="FFFFFF"/>
            <w:vAlign w:val="center"/>
          </w:tcPr>
          <w:p>
            <w:pPr>
              <w:pStyle w:val="255"/>
              <w:widowControl/>
              <w:autoSpaceDE w:val="0"/>
              <w:autoSpaceDN w:val="0"/>
              <w:spacing w:line="360" w:lineRule="auto"/>
              <w:ind w:firstLine="0" w:firstLineChars="0"/>
              <w:rPr>
                <w:rFonts w:ascii="宋体" w:hAnsi="宋体" w:cs="宋体"/>
                <w:b w:val="0"/>
                <w:bCs w:val="0"/>
                <w:color w:val="auto"/>
                <w:sz w:val="24"/>
                <w:szCs w:val="24"/>
              </w:rPr>
            </w:pPr>
            <w:r>
              <w:rPr>
                <w:rFonts w:hint="eastAsia" w:ascii="宋体" w:hAnsi="宋体" w:cs="宋体"/>
                <w:b w:val="0"/>
                <w:bCs w:val="0"/>
                <w:color w:val="auto"/>
                <w:sz w:val="24"/>
                <w:szCs w:val="24"/>
              </w:rPr>
              <w:t>投标人提供近三年（2020年1月1日至今，以合同签订时间为准）以来类似项目业绩，每提供一个得1分，最高得2分。（类似项目的服务内容必须包含排水管网普查、缺陷调查，区域排水系统综合评估，雨水管网问题排查</w:t>
            </w:r>
            <w:r>
              <w:rPr>
                <w:rFonts w:hint="eastAsia" w:ascii="宋体" w:hAnsi="宋体" w:cs="宋体"/>
                <w:b w:val="0"/>
                <w:bCs w:val="0"/>
                <w:color w:val="auto"/>
                <w:sz w:val="24"/>
                <w:szCs w:val="24"/>
                <w:lang w:eastAsia="zh-CN"/>
              </w:rPr>
              <w:t>等相关内容</w:t>
            </w:r>
            <w:r>
              <w:rPr>
                <w:rFonts w:hint="eastAsia" w:ascii="宋体" w:hAnsi="宋体" w:cs="宋体"/>
                <w:b w:val="0"/>
                <w:bCs w:val="0"/>
                <w:color w:val="auto"/>
                <w:sz w:val="24"/>
                <w:szCs w:val="24"/>
              </w:rPr>
              <w:t>。</w:t>
            </w:r>
          </w:p>
          <w:p>
            <w:pPr>
              <w:pStyle w:val="255"/>
              <w:widowControl/>
              <w:autoSpaceDE w:val="0"/>
              <w:autoSpaceDN w:val="0"/>
              <w:spacing w:line="360" w:lineRule="auto"/>
              <w:ind w:firstLine="0" w:firstLineChars="0"/>
              <w:rPr>
                <w:rFonts w:ascii="宋体" w:hAnsi="宋体" w:cs="宋体"/>
                <w:b w:val="0"/>
                <w:bCs w:val="0"/>
                <w:color w:val="auto"/>
                <w:sz w:val="24"/>
                <w:szCs w:val="24"/>
              </w:rPr>
            </w:pPr>
            <w:r>
              <w:rPr>
                <w:rFonts w:hint="eastAsia" w:ascii="宋体" w:hAnsi="宋体" w:cs="宋体"/>
                <w:b w:val="0"/>
                <w:bCs w:val="0"/>
                <w:color w:val="auto"/>
                <w:sz w:val="24"/>
                <w:szCs w:val="24"/>
              </w:rPr>
              <w:t>业绩证明材料须包括：中标通知书、合同原件扫描件</w:t>
            </w:r>
            <w:r>
              <w:rPr>
                <w:rFonts w:hint="eastAsia" w:ascii="宋体" w:hAnsi="宋体" w:cs="宋体"/>
                <w:b w:val="0"/>
                <w:bCs w:val="0"/>
                <w:color w:val="FF0000"/>
                <w:sz w:val="24"/>
                <w:szCs w:val="24"/>
              </w:rPr>
              <w:t>）</w:t>
            </w:r>
          </w:p>
        </w:tc>
        <w:tc>
          <w:tcPr>
            <w:tcW w:w="709" w:type="dxa"/>
            <w:tcBorders>
              <w:top w:val="single" w:color="auto" w:sz="4" w:space="0"/>
              <w:left w:val="single" w:color="auto" w:sz="8" w:space="0"/>
              <w:bottom w:val="single" w:color="000000" w:sz="8" w:space="0"/>
              <w:right w:val="single" w:color="auto" w:sz="8"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r>
      <w:tr>
        <w:tblPrEx>
          <w:tblCellMar>
            <w:top w:w="0" w:type="dxa"/>
            <w:left w:w="108" w:type="dxa"/>
            <w:bottom w:w="0" w:type="dxa"/>
            <w:right w:w="108" w:type="dxa"/>
          </w:tblCellMar>
        </w:tblPrEx>
        <w:trPr>
          <w:trHeight w:val="81" w:hRule="atLeast"/>
        </w:trPr>
        <w:tc>
          <w:tcPr>
            <w:tcW w:w="730" w:type="dxa"/>
            <w:tcBorders>
              <w:top w:val="single" w:color="auto" w:sz="4" w:space="0"/>
              <w:left w:val="single" w:color="auto" w:sz="4" w:space="0"/>
              <w:bottom w:val="single" w:color="auto" w:sz="4" w:space="0"/>
              <w:right w:val="single" w:color="auto" w:sz="8"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3</w:t>
            </w:r>
          </w:p>
        </w:tc>
        <w:tc>
          <w:tcPr>
            <w:tcW w:w="1217" w:type="dxa"/>
            <w:tcBorders>
              <w:top w:val="single" w:color="auto" w:sz="4" w:space="0"/>
              <w:left w:val="single" w:color="auto" w:sz="8" w:space="0"/>
              <w:bottom w:val="single" w:color="auto" w:sz="4" w:space="0"/>
              <w:right w:val="single" w:color="auto" w:sz="4" w:space="0"/>
            </w:tcBorders>
            <w:vAlign w:val="center"/>
          </w:tcPr>
          <w:p>
            <w:pPr>
              <w:widowControl/>
              <w:spacing w:line="360" w:lineRule="auto"/>
              <w:rPr>
                <w:rFonts w:ascii="宋体" w:hAnsi="宋体" w:cs="宋体"/>
                <w:b w:val="0"/>
                <w:bCs w:val="0"/>
                <w:color w:val="auto"/>
                <w:sz w:val="24"/>
                <w:szCs w:val="24"/>
              </w:rPr>
            </w:pPr>
            <w:r>
              <w:rPr>
                <w:rFonts w:hint="eastAsia" w:ascii="宋体" w:hAnsi="宋体" w:cs="宋体"/>
                <w:b w:val="0"/>
                <w:bCs w:val="0"/>
                <w:color w:val="auto"/>
                <w:sz w:val="24"/>
                <w:szCs w:val="24"/>
              </w:rPr>
              <w:t>项目调研</w:t>
            </w:r>
          </w:p>
        </w:tc>
        <w:tc>
          <w:tcPr>
            <w:tcW w:w="6852" w:type="dxa"/>
            <w:tcBorders>
              <w:top w:val="single" w:color="auto" w:sz="4" w:space="0"/>
              <w:left w:val="single" w:color="auto" w:sz="4" w:space="0"/>
              <w:right w:val="nil"/>
            </w:tcBorders>
            <w:shd w:val="clear" w:color="auto" w:fill="FFFFFF"/>
            <w:vAlign w:val="center"/>
          </w:tcPr>
          <w:p>
            <w:pPr>
              <w:widowControl/>
              <w:spacing w:line="360" w:lineRule="auto"/>
              <w:rPr>
                <w:rFonts w:ascii="宋体" w:hAnsi="宋体" w:cs="宋体"/>
                <w:b w:val="0"/>
                <w:bCs w:val="0"/>
                <w:color w:val="auto"/>
                <w:sz w:val="24"/>
                <w:szCs w:val="24"/>
              </w:rPr>
            </w:pPr>
            <w:r>
              <w:rPr>
                <w:rFonts w:hint="eastAsia" w:ascii="宋体" w:hAnsi="宋体" w:cs="宋体"/>
                <w:b w:val="0"/>
                <w:bCs w:val="0"/>
                <w:color w:val="auto"/>
                <w:sz w:val="24"/>
                <w:szCs w:val="24"/>
              </w:rPr>
              <w:t>投标人进行现场踏勘、调研，编制调研报告，投标人对本项目履约环境及项目内容（包括：自然环境、区域水系、排水系统、污水收集处理及运行状况等）了解全面的得8分，本项最高得8分。</w:t>
            </w:r>
          </w:p>
        </w:tc>
        <w:tc>
          <w:tcPr>
            <w:tcW w:w="709" w:type="dxa"/>
            <w:tcBorders>
              <w:top w:val="single" w:color="auto" w:sz="4" w:space="0"/>
              <w:left w:val="single" w:color="auto" w:sz="8" w:space="0"/>
              <w:bottom w:val="single" w:color="000000" w:sz="8" w:space="0"/>
              <w:right w:val="single" w:color="auto" w:sz="8"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8</w:t>
            </w:r>
          </w:p>
        </w:tc>
      </w:tr>
      <w:tr>
        <w:tblPrEx>
          <w:tblCellMar>
            <w:top w:w="0" w:type="dxa"/>
            <w:left w:w="108" w:type="dxa"/>
            <w:bottom w:w="0" w:type="dxa"/>
            <w:right w:w="108" w:type="dxa"/>
          </w:tblCellMar>
        </w:tblPrEx>
        <w:trPr>
          <w:trHeight w:val="3536" w:hRule="atLeast"/>
        </w:trPr>
        <w:tc>
          <w:tcPr>
            <w:tcW w:w="730" w:type="dxa"/>
            <w:tcBorders>
              <w:top w:val="nil"/>
              <w:left w:val="single" w:color="auto" w:sz="8" w:space="0"/>
              <w:bottom w:val="single" w:color="000000" w:sz="8" w:space="0"/>
              <w:right w:val="single" w:color="auto" w:sz="8"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4</w:t>
            </w:r>
          </w:p>
        </w:tc>
        <w:tc>
          <w:tcPr>
            <w:tcW w:w="1217" w:type="dxa"/>
            <w:tcBorders>
              <w:top w:val="nil"/>
              <w:left w:val="single" w:color="auto" w:sz="8" w:space="0"/>
              <w:bottom w:val="single" w:color="000000" w:sz="8" w:space="0"/>
              <w:right w:val="single" w:color="auto" w:sz="8"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 xml:space="preserve"> 项目</w:t>
            </w:r>
            <w:r>
              <w:rPr>
                <w:rFonts w:hint="eastAsia" w:ascii="宋体" w:hAnsi="宋体" w:cs="宋体"/>
                <w:sz w:val="24"/>
                <w:szCs w:val="24"/>
                <w:lang w:eastAsia="en-US"/>
              </w:rPr>
              <w:t>人员配置</w:t>
            </w:r>
          </w:p>
        </w:tc>
        <w:tc>
          <w:tcPr>
            <w:tcW w:w="6852" w:type="dxa"/>
            <w:tcBorders>
              <w:top w:val="single" w:color="auto" w:sz="8" w:space="0"/>
              <w:left w:val="nil"/>
              <w:right w:val="single" w:color="000000" w:sz="8" w:space="0"/>
            </w:tcBorders>
            <w:vAlign w:val="center"/>
          </w:tcPr>
          <w:p>
            <w:pPr>
              <w:widowControl/>
              <w:spacing w:line="360" w:lineRule="auto"/>
              <w:rPr>
                <w:rFonts w:ascii="宋体" w:hAnsi="宋体" w:cs="宋体"/>
                <w:sz w:val="24"/>
                <w:szCs w:val="24"/>
              </w:rPr>
            </w:pPr>
            <w:r>
              <w:rPr>
                <w:rFonts w:hint="eastAsia" w:ascii="宋体" w:hAnsi="宋体" w:cs="宋体"/>
                <w:sz w:val="24"/>
                <w:szCs w:val="24"/>
              </w:rPr>
              <w:t>1、根据项目团队人员的整体配置，岗位架构、各岗位专业人员数量配备及岗位职责分工人员充足，配置合理得2分，其他由评委酌情打分；</w:t>
            </w:r>
          </w:p>
          <w:p>
            <w:pPr>
              <w:spacing w:line="360" w:lineRule="auto"/>
              <w:jc w:val="left"/>
              <w:rPr>
                <w:rFonts w:ascii="宋体" w:hAnsi="宋体" w:cs="宋体"/>
                <w:sz w:val="24"/>
                <w:szCs w:val="24"/>
              </w:rPr>
            </w:pPr>
            <w:r>
              <w:rPr>
                <w:rFonts w:hint="eastAsia" w:ascii="宋体" w:hAnsi="宋体" w:cs="宋体"/>
                <w:sz w:val="24"/>
                <w:szCs w:val="24"/>
              </w:rPr>
              <w:t>2、拟派人员中具有城镇排水管道检测与评估相关证书的，每有1人得1分，最高得5分；</w:t>
            </w:r>
          </w:p>
          <w:p>
            <w:pPr>
              <w:widowControl/>
              <w:spacing w:line="360" w:lineRule="auto"/>
              <w:rPr>
                <w:rFonts w:ascii="宋体" w:hAnsi="宋体" w:cs="宋体"/>
                <w:sz w:val="24"/>
                <w:szCs w:val="24"/>
              </w:rPr>
            </w:pPr>
            <w:r>
              <w:rPr>
                <w:rFonts w:hint="eastAsia" w:ascii="宋体" w:hAnsi="宋体" w:cs="宋体"/>
                <w:sz w:val="24"/>
                <w:szCs w:val="24"/>
              </w:rPr>
              <w:t>3、拟派人员中具有与本项目相关专业高级及以上职称的每人得1分，中级职称的每人得0.5分，最高得5分；</w:t>
            </w:r>
          </w:p>
          <w:p>
            <w:pPr>
              <w:widowControl/>
              <w:spacing w:line="360" w:lineRule="auto"/>
              <w:rPr>
                <w:rFonts w:ascii="宋体" w:hAnsi="宋体" w:cs="宋体"/>
                <w:sz w:val="24"/>
                <w:szCs w:val="24"/>
              </w:rPr>
            </w:pPr>
            <w:r>
              <w:rPr>
                <w:rFonts w:hint="eastAsia" w:ascii="宋体" w:hAnsi="宋体" w:cs="宋体"/>
                <w:sz w:val="24"/>
                <w:szCs w:val="24"/>
              </w:rPr>
              <w:t>（以上拟派人员需提供职称证书原件扫描件，社保关系证明，出具</w:t>
            </w:r>
            <w:r>
              <w:rPr>
                <w:rFonts w:hint="eastAsia" w:ascii="宋体" w:hAnsi="宋体" w:cs="宋体"/>
                <w:sz w:val="24"/>
                <w:szCs w:val="24"/>
                <w:lang w:eastAsia="zh-CN"/>
              </w:rPr>
              <w:t>人</w:t>
            </w:r>
            <w:r>
              <w:rPr>
                <w:rFonts w:hint="eastAsia" w:ascii="宋体" w:hAnsi="宋体" w:cs="宋体"/>
                <w:sz w:val="24"/>
                <w:szCs w:val="24"/>
              </w:rPr>
              <w:t>证合一承诺书</w:t>
            </w:r>
            <w:r>
              <w:rPr>
                <w:rFonts w:hint="eastAsia" w:ascii="宋体" w:hAnsi="宋体" w:cs="宋体"/>
                <w:sz w:val="24"/>
                <w:szCs w:val="24"/>
                <w:lang w:eastAsia="zh-CN"/>
              </w:rPr>
              <w:t>，</w:t>
            </w:r>
            <w:r>
              <w:rPr>
                <w:rFonts w:hint="eastAsia" w:ascii="宋体" w:hAnsi="宋体" w:cs="宋体"/>
                <w:sz w:val="24"/>
                <w:szCs w:val="24"/>
              </w:rPr>
              <w:t>未提供证明材料或无效证明材料的不予计分）。</w:t>
            </w:r>
          </w:p>
        </w:tc>
        <w:tc>
          <w:tcPr>
            <w:tcW w:w="709" w:type="dxa"/>
            <w:tcBorders>
              <w:top w:val="nil"/>
              <w:left w:val="single" w:color="auto" w:sz="8" w:space="0"/>
              <w:bottom w:val="single" w:color="000000" w:sz="8" w:space="0"/>
              <w:right w:val="single" w:color="auto" w:sz="8"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12</w:t>
            </w:r>
          </w:p>
        </w:tc>
      </w:tr>
      <w:tr>
        <w:tblPrEx>
          <w:tblCellMar>
            <w:top w:w="0" w:type="dxa"/>
            <w:left w:w="108" w:type="dxa"/>
            <w:bottom w:w="0" w:type="dxa"/>
            <w:right w:w="108" w:type="dxa"/>
          </w:tblCellMar>
        </w:tblPrEx>
        <w:trPr>
          <w:trHeight w:val="90" w:hRule="atLeast"/>
        </w:trPr>
        <w:tc>
          <w:tcPr>
            <w:tcW w:w="730" w:type="dxa"/>
            <w:tcBorders>
              <w:top w:val="nil"/>
              <w:left w:val="single" w:color="auto" w:sz="8" w:space="0"/>
              <w:bottom w:val="single" w:color="000000" w:sz="8" w:space="0"/>
              <w:right w:val="single" w:color="auto" w:sz="8"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5</w:t>
            </w:r>
          </w:p>
        </w:tc>
        <w:tc>
          <w:tcPr>
            <w:tcW w:w="1217" w:type="dxa"/>
            <w:tcBorders>
              <w:top w:val="nil"/>
              <w:left w:val="single" w:color="auto" w:sz="8" w:space="0"/>
              <w:bottom w:val="single" w:color="000000" w:sz="8" w:space="0"/>
              <w:right w:val="single" w:color="auto" w:sz="8"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设备投入情况</w:t>
            </w:r>
          </w:p>
        </w:tc>
        <w:tc>
          <w:tcPr>
            <w:tcW w:w="6852" w:type="dxa"/>
            <w:tcBorders>
              <w:top w:val="single" w:color="auto" w:sz="8" w:space="0"/>
              <w:left w:val="nil"/>
              <w:right w:val="single" w:color="000000" w:sz="8" w:space="0"/>
            </w:tcBorders>
            <w:vAlign w:val="center"/>
          </w:tcPr>
          <w:p>
            <w:pPr>
              <w:widowControl/>
              <w:spacing w:line="360" w:lineRule="auto"/>
              <w:rPr>
                <w:rFonts w:ascii="宋体" w:hAnsi="宋体" w:cs="宋体"/>
                <w:sz w:val="24"/>
                <w:szCs w:val="24"/>
              </w:rPr>
            </w:pPr>
            <w:r>
              <w:rPr>
                <w:rFonts w:hint="eastAsia" w:ascii="宋体" w:hAnsi="宋体" w:cs="宋体"/>
                <w:sz w:val="24"/>
                <w:szCs w:val="24"/>
              </w:rPr>
              <w:t>投标人提供的主要仪器设备，能满足本项目现场工作要求得5分，本项最高得5分。（须提供设备发票原件扫描件及设备照片）</w:t>
            </w:r>
          </w:p>
        </w:tc>
        <w:tc>
          <w:tcPr>
            <w:tcW w:w="709" w:type="dxa"/>
            <w:tcBorders>
              <w:top w:val="nil"/>
              <w:left w:val="single" w:color="auto" w:sz="8" w:space="0"/>
              <w:bottom w:val="single" w:color="000000" w:sz="8" w:space="0"/>
              <w:right w:val="single" w:color="auto" w:sz="8"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5</w:t>
            </w:r>
          </w:p>
        </w:tc>
      </w:tr>
      <w:tr>
        <w:tblPrEx>
          <w:tblCellMar>
            <w:top w:w="0" w:type="dxa"/>
            <w:left w:w="108" w:type="dxa"/>
            <w:bottom w:w="0" w:type="dxa"/>
            <w:right w:w="108" w:type="dxa"/>
          </w:tblCellMar>
        </w:tblPrEx>
        <w:trPr>
          <w:trHeight w:val="465" w:hRule="atLeast"/>
        </w:trPr>
        <w:tc>
          <w:tcPr>
            <w:tcW w:w="730" w:type="dxa"/>
            <w:vMerge w:val="restart"/>
            <w:tcBorders>
              <w:top w:val="nil"/>
              <w:left w:val="single" w:color="auto" w:sz="8" w:space="0"/>
              <w:right w:val="single" w:color="auto" w:sz="8"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6</w:t>
            </w:r>
          </w:p>
        </w:tc>
        <w:tc>
          <w:tcPr>
            <w:tcW w:w="1217" w:type="dxa"/>
            <w:vMerge w:val="restart"/>
            <w:tcBorders>
              <w:top w:val="nil"/>
              <w:left w:val="single" w:color="auto" w:sz="8" w:space="0"/>
              <w:right w:val="single" w:color="auto" w:sz="8"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项目实施方案</w:t>
            </w:r>
          </w:p>
        </w:tc>
        <w:tc>
          <w:tcPr>
            <w:tcW w:w="6852" w:type="dxa"/>
            <w:tcBorders>
              <w:top w:val="single" w:color="auto" w:sz="8" w:space="0"/>
              <w:left w:val="nil"/>
              <w:bottom w:val="single" w:color="auto" w:sz="8" w:space="0"/>
              <w:right w:val="single" w:color="000000" w:sz="8" w:space="0"/>
            </w:tcBorders>
            <w:vAlign w:val="center"/>
          </w:tcPr>
          <w:p>
            <w:pPr>
              <w:widowControl/>
              <w:spacing w:line="360" w:lineRule="auto"/>
              <w:rPr>
                <w:rFonts w:ascii="宋体" w:hAnsi="宋体" w:cs="宋体"/>
                <w:sz w:val="24"/>
                <w:szCs w:val="24"/>
              </w:rPr>
            </w:pPr>
            <w:r>
              <w:rPr>
                <w:rFonts w:hint="eastAsia" w:ascii="宋体" w:hAnsi="宋体" w:cs="宋体"/>
                <w:sz w:val="24"/>
                <w:szCs w:val="24"/>
              </w:rPr>
              <w:t>提出排水管网普查与缺陷问题调查，雨水问题排口及溯源，专项调查，水环境综合整治提升方案工作的总体思路及服务标准</w:t>
            </w:r>
            <w:r>
              <w:rPr>
                <w:rFonts w:hint="eastAsia" w:ascii="宋体" w:hAnsi="宋体" w:cs="宋体"/>
                <w:sz w:val="24"/>
                <w:szCs w:val="24"/>
                <w:lang w:eastAsia="zh-CN"/>
              </w:rPr>
              <w:t>，工作思路清晰，方案全面合理得</w:t>
            </w:r>
            <w:r>
              <w:rPr>
                <w:rFonts w:hint="eastAsia" w:ascii="宋体" w:hAnsi="宋体" w:cs="宋体"/>
                <w:sz w:val="24"/>
                <w:szCs w:val="24"/>
                <w:lang w:val="en-US" w:eastAsia="zh-CN"/>
              </w:rPr>
              <w:t>5分，本项最高得5分</w:t>
            </w:r>
            <w:r>
              <w:rPr>
                <w:rFonts w:hint="eastAsia" w:ascii="宋体" w:hAnsi="宋体" w:cs="宋体"/>
                <w:sz w:val="24"/>
                <w:szCs w:val="24"/>
              </w:rPr>
              <w:t>。</w:t>
            </w:r>
          </w:p>
        </w:tc>
        <w:tc>
          <w:tcPr>
            <w:tcW w:w="709"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5</w:t>
            </w:r>
          </w:p>
        </w:tc>
      </w:tr>
      <w:tr>
        <w:tblPrEx>
          <w:tblCellMar>
            <w:top w:w="0" w:type="dxa"/>
            <w:left w:w="108" w:type="dxa"/>
            <w:bottom w:w="0" w:type="dxa"/>
            <w:right w:w="108" w:type="dxa"/>
          </w:tblCellMar>
        </w:tblPrEx>
        <w:trPr>
          <w:trHeight w:val="530" w:hRule="atLeast"/>
        </w:trPr>
        <w:tc>
          <w:tcPr>
            <w:tcW w:w="730" w:type="dxa"/>
            <w:vMerge w:val="continue"/>
            <w:tcBorders>
              <w:left w:val="single" w:color="auto" w:sz="8" w:space="0"/>
              <w:right w:val="single" w:color="auto" w:sz="8" w:space="0"/>
            </w:tcBorders>
            <w:vAlign w:val="center"/>
          </w:tcPr>
          <w:p>
            <w:pPr>
              <w:widowControl/>
              <w:spacing w:line="360" w:lineRule="auto"/>
              <w:rPr>
                <w:rFonts w:ascii="宋体" w:hAnsi="宋体" w:cs="宋体"/>
                <w:sz w:val="24"/>
                <w:szCs w:val="24"/>
              </w:rPr>
            </w:pPr>
          </w:p>
        </w:tc>
        <w:tc>
          <w:tcPr>
            <w:tcW w:w="1217" w:type="dxa"/>
            <w:vMerge w:val="continue"/>
            <w:tcBorders>
              <w:left w:val="single" w:color="auto" w:sz="8" w:space="0"/>
              <w:right w:val="single" w:color="auto" w:sz="8" w:space="0"/>
            </w:tcBorders>
            <w:vAlign w:val="center"/>
          </w:tcPr>
          <w:p>
            <w:pPr>
              <w:widowControl/>
              <w:spacing w:line="360" w:lineRule="auto"/>
              <w:rPr>
                <w:rFonts w:ascii="宋体" w:hAnsi="宋体" w:cs="宋体"/>
                <w:sz w:val="24"/>
                <w:szCs w:val="24"/>
              </w:rPr>
            </w:pPr>
          </w:p>
        </w:tc>
        <w:tc>
          <w:tcPr>
            <w:tcW w:w="6852" w:type="dxa"/>
            <w:tcBorders>
              <w:top w:val="single" w:color="auto" w:sz="8" w:space="0"/>
              <w:left w:val="nil"/>
              <w:bottom w:val="single" w:color="auto" w:sz="8" w:space="0"/>
              <w:right w:val="single" w:color="000000" w:sz="8" w:space="0"/>
            </w:tcBorders>
            <w:vAlign w:val="center"/>
          </w:tcPr>
          <w:p>
            <w:pPr>
              <w:widowControl/>
              <w:spacing w:line="360" w:lineRule="auto"/>
              <w:rPr>
                <w:rFonts w:ascii="宋体" w:hAnsi="宋体" w:cs="宋体"/>
                <w:sz w:val="24"/>
                <w:szCs w:val="24"/>
              </w:rPr>
            </w:pPr>
            <w:r>
              <w:rPr>
                <w:rFonts w:hint="eastAsia" w:ascii="宋体" w:hAnsi="宋体" w:cs="宋体"/>
                <w:sz w:val="24"/>
                <w:szCs w:val="24"/>
              </w:rPr>
              <w:t>详细阐述排水管网普查与缺陷问题调查、雨水问题排口及溯源的技术方法</w:t>
            </w:r>
            <w:r>
              <w:rPr>
                <w:rFonts w:hint="eastAsia" w:ascii="宋体" w:hAnsi="宋体" w:cs="宋体"/>
                <w:sz w:val="24"/>
                <w:szCs w:val="24"/>
                <w:lang w:eastAsia="zh-CN"/>
              </w:rPr>
              <w:t>，技术方法</w:t>
            </w:r>
            <w:r>
              <w:rPr>
                <w:rFonts w:hint="eastAsia" w:ascii="宋体" w:hAnsi="宋体" w:cs="宋体"/>
                <w:sz w:val="24"/>
                <w:szCs w:val="24"/>
              </w:rPr>
              <w:t>阐述</w:t>
            </w:r>
            <w:r>
              <w:rPr>
                <w:rFonts w:hint="eastAsia" w:ascii="宋体" w:hAnsi="宋体" w:cs="宋体"/>
                <w:sz w:val="24"/>
                <w:szCs w:val="24"/>
                <w:lang w:eastAsia="zh-CN"/>
              </w:rPr>
              <w:t>全面、科学合理得</w:t>
            </w:r>
            <w:r>
              <w:rPr>
                <w:rFonts w:hint="eastAsia" w:ascii="宋体" w:hAnsi="宋体" w:cs="宋体"/>
                <w:sz w:val="24"/>
                <w:szCs w:val="24"/>
                <w:lang w:val="en-US" w:eastAsia="zh-CN"/>
              </w:rPr>
              <w:t>5分，本项最高得5分</w:t>
            </w:r>
            <w:r>
              <w:rPr>
                <w:rFonts w:hint="eastAsia" w:ascii="宋体" w:hAnsi="宋体" w:cs="宋体"/>
                <w:sz w:val="24"/>
                <w:szCs w:val="24"/>
              </w:rPr>
              <w:t>。</w:t>
            </w:r>
          </w:p>
        </w:tc>
        <w:tc>
          <w:tcPr>
            <w:tcW w:w="709"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5</w:t>
            </w:r>
          </w:p>
        </w:tc>
      </w:tr>
      <w:tr>
        <w:tblPrEx>
          <w:tblCellMar>
            <w:top w:w="0" w:type="dxa"/>
            <w:left w:w="108" w:type="dxa"/>
            <w:bottom w:w="0" w:type="dxa"/>
            <w:right w:w="108" w:type="dxa"/>
          </w:tblCellMar>
        </w:tblPrEx>
        <w:trPr>
          <w:trHeight w:val="840" w:hRule="atLeast"/>
        </w:trPr>
        <w:tc>
          <w:tcPr>
            <w:tcW w:w="730" w:type="dxa"/>
            <w:vMerge w:val="continue"/>
            <w:tcBorders>
              <w:left w:val="single" w:color="auto" w:sz="8" w:space="0"/>
              <w:right w:val="single" w:color="auto" w:sz="8" w:space="0"/>
            </w:tcBorders>
            <w:vAlign w:val="center"/>
          </w:tcPr>
          <w:p>
            <w:pPr>
              <w:widowControl/>
              <w:spacing w:line="360" w:lineRule="auto"/>
              <w:rPr>
                <w:rFonts w:ascii="宋体" w:hAnsi="宋体" w:cs="宋体"/>
                <w:color w:val="auto"/>
                <w:sz w:val="24"/>
                <w:szCs w:val="24"/>
              </w:rPr>
            </w:pPr>
          </w:p>
        </w:tc>
        <w:tc>
          <w:tcPr>
            <w:tcW w:w="1217" w:type="dxa"/>
            <w:vMerge w:val="continue"/>
            <w:tcBorders>
              <w:left w:val="single" w:color="auto" w:sz="8" w:space="0"/>
              <w:right w:val="single" w:color="auto" w:sz="8" w:space="0"/>
            </w:tcBorders>
            <w:vAlign w:val="center"/>
          </w:tcPr>
          <w:p>
            <w:pPr>
              <w:widowControl/>
              <w:spacing w:line="360" w:lineRule="auto"/>
              <w:rPr>
                <w:rFonts w:ascii="宋体" w:hAnsi="宋体" w:cs="宋体"/>
                <w:color w:val="auto"/>
                <w:sz w:val="24"/>
                <w:szCs w:val="24"/>
              </w:rPr>
            </w:pPr>
          </w:p>
        </w:tc>
        <w:tc>
          <w:tcPr>
            <w:tcW w:w="6852" w:type="dxa"/>
            <w:tcBorders>
              <w:top w:val="single" w:color="auto" w:sz="8" w:space="0"/>
              <w:left w:val="nil"/>
              <w:bottom w:val="single" w:color="auto" w:sz="8" w:space="0"/>
              <w:right w:val="single" w:color="000000" w:sz="8" w:space="0"/>
            </w:tcBorders>
            <w:vAlign w:val="center"/>
          </w:tcPr>
          <w:p>
            <w:pPr>
              <w:widowControl/>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rPr>
              <w:t>详细阐述沿河其他排口及暗渠基本情况摸查，易涝点基本信息及成因调查的技术方法</w:t>
            </w:r>
            <w:r>
              <w:rPr>
                <w:rFonts w:hint="eastAsia" w:ascii="宋体" w:hAnsi="宋体" w:cs="宋体"/>
                <w:color w:val="auto"/>
                <w:sz w:val="24"/>
                <w:szCs w:val="24"/>
                <w:lang w:eastAsia="zh-CN"/>
              </w:rPr>
              <w:t>，技术方法</w:t>
            </w:r>
            <w:r>
              <w:rPr>
                <w:rFonts w:hint="eastAsia" w:ascii="宋体" w:hAnsi="宋体" w:cs="宋体"/>
                <w:color w:val="auto"/>
                <w:sz w:val="24"/>
                <w:szCs w:val="24"/>
              </w:rPr>
              <w:t>阐述</w:t>
            </w:r>
            <w:r>
              <w:rPr>
                <w:rFonts w:hint="eastAsia" w:ascii="宋体" w:hAnsi="宋体" w:cs="宋体"/>
                <w:color w:val="auto"/>
                <w:sz w:val="24"/>
                <w:szCs w:val="24"/>
                <w:lang w:eastAsia="zh-CN"/>
              </w:rPr>
              <w:t>全面、科学合理得</w:t>
            </w:r>
            <w:r>
              <w:rPr>
                <w:rFonts w:hint="eastAsia" w:ascii="宋体" w:hAnsi="宋体" w:cs="宋体"/>
                <w:color w:val="auto"/>
                <w:sz w:val="24"/>
                <w:szCs w:val="24"/>
                <w:lang w:val="en-US" w:eastAsia="zh-CN"/>
              </w:rPr>
              <w:t>5分，本项最高得5</w:t>
            </w:r>
            <w:r>
              <w:rPr>
                <w:rFonts w:hint="eastAsia" w:ascii="宋体" w:hAnsi="宋体" w:cs="宋体"/>
                <w:color w:val="auto"/>
                <w:sz w:val="24"/>
                <w:szCs w:val="24"/>
                <w:lang w:eastAsia="zh-CN"/>
              </w:rPr>
              <w:t>分。</w:t>
            </w:r>
          </w:p>
        </w:tc>
        <w:tc>
          <w:tcPr>
            <w:tcW w:w="709"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sz w:val="24"/>
                <w:szCs w:val="24"/>
              </w:rPr>
            </w:pPr>
            <w:r>
              <w:rPr>
                <w:rFonts w:hint="eastAsia" w:ascii="宋体" w:hAnsi="宋体" w:cs="宋体"/>
                <w:color w:val="auto"/>
                <w:sz w:val="24"/>
                <w:szCs w:val="24"/>
              </w:rPr>
              <w:t>5</w:t>
            </w:r>
          </w:p>
        </w:tc>
      </w:tr>
      <w:tr>
        <w:tblPrEx>
          <w:tblCellMar>
            <w:top w:w="0" w:type="dxa"/>
            <w:left w:w="108" w:type="dxa"/>
            <w:bottom w:w="0" w:type="dxa"/>
            <w:right w:w="108" w:type="dxa"/>
          </w:tblCellMar>
        </w:tblPrEx>
        <w:trPr>
          <w:trHeight w:val="660" w:hRule="atLeast"/>
        </w:trPr>
        <w:tc>
          <w:tcPr>
            <w:tcW w:w="730" w:type="dxa"/>
            <w:vMerge w:val="continue"/>
            <w:tcBorders>
              <w:left w:val="single" w:color="auto" w:sz="8" w:space="0"/>
              <w:right w:val="single" w:color="auto" w:sz="8" w:space="0"/>
            </w:tcBorders>
            <w:vAlign w:val="center"/>
          </w:tcPr>
          <w:p>
            <w:pPr>
              <w:widowControl/>
              <w:spacing w:line="360" w:lineRule="auto"/>
              <w:rPr>
                <w:rFonts w:ascii="宋体" w:hAnsi="宋体" w:cs="宋体"/>
                <w:color w:val="auto"/>
                <w:sz w:val="24"/>
                <w:szCs w:val="24"/>
              </w:rPr>
            </w:pPr>
          </w:p>
        </w:tc>
        <w:tc>
          <w:tcPr>
            <w:tcW w:w="1217" w:type="dxa"/>
            <w:vMerge w:val="continue"/>
            <w:tcBorders>
              <w:left w:val="single" w:color="auto" w:sz="8" w:space="0"/>
              <w:right w:val="single" w:color="auto" w:sz="8" w:space="0"/>
            </w:tcBorders>
            <w:vAlign w:val="center"/>
          </w:tcPr>
          <w:p>
            <w:pPr>
              <w:widowControl/>
              <w:spacing w:line="360" w:lineRule="auto"/>
              <w:rPr>
                <w:rFonts w:ascii="宋体" w:hAnsi="宋体" w:cs="宋体"/>
                <w:color w:val="auto"/>
                <w:sz w:val="24"/>
                <w:szCs w:val="24"/>
              </w:rPr>
            </w:pPr>
          </w:p>
        </w:tc>
        <w:tc>
          <w:tcPr>
            <w:tcW w:w="6852" w:type="dxa"/>
            <w:tcBorders>
              <w:top w:val="single" w:color="auto" w:sz="8" w:space="0"/>
              <w:left w:val="nil"/>
              <w:bottom w:val="single" w:color="auto" w:sz="8" w:space="0"/>
              <w:right w:val="single" w:color="000000" w:sz="8" w:space="0"/>
            </w:tcBorders>
            <w:vAlign w:val="center"/>
          </w:tcPr>
          <w:p>
            <w:pPr>
              <w:widowControl/>
              <w:spacing w:line="360" w:lineRule="auto"/>
              <w:rPr>
                <w:rFonts w:ascii="宋体" w:hAnsi="宋体" w:cs="宋体"/>
                <w:color w:val="auto"/>
                <w:sz w:val="24"/>
                <w:szCs w:val="24"/>
              </w:rPr>
            </w:pPr>
            <w:r>
              <w:rPr>
                <w:rFonts w:hint="eastAsia" w:ascii="宋体" w:hAnsi="宋体" w:cs="宋体"/>
                <w:color w:val="auto"/>
                <w:sz w:val="24"/>
                <w:szCs w:val="24"/>
              </w:rPr>
              <w:t>针对调查结果，从水环境角度，系统诊断，给出水环境综合整治提升方案</w:t>
            </w:r>
            <w:r>
              <w:rPr>
                <w:rFonts w:hint="eastAsia" w:ascii="宋体" w:hAnsi="宋体" w:cs="宋体"/>
                <w:color w:val="auto"/>
                <w:sz w:val="24"/>
                <w:szCs w:val="24"/>
                <w:lang w:eastAsia="zh-CN"/>
              </w:rPr>
              <w:t>，方案全面合理得</w:t>
            </w:r>
            <w:r>
              <w:rPr>
                <w:rFonts w:hint="eastAsia" w:ascii="宋体" w:hAnsi="宋体" w:cs="宋体"/>
                <w:color w:val="auto"/>
                <w:sz w:val="24"/>
                <w:szCs w:val="24"/>
                <w:lang w:val="en-US" w:eastAsia="zh-CN"/>
              </w:rPr>
              <w:t>8分，本项最高得8分</w:t>
            </w:r>
            <w:r>
              <w:rPr>
                <w:rFonts w:hint="eastAsia" w:ascii="宋体" w:hAnsi="宋体" w:cs="宋体"/>
                <w:color w:val="auto"/>
                <w:sz w:val="24"/>
                <w:szCs w:val="24"/>
              </w:rPr>
              <w:t>。</w:t>
            </w:r>
          </w:p>
        </w:tc>
        <w:tc>
          <w:tcPr>
            <w:tcW w:w="709"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sz w:val="24"/>
                <w:szCs w:val="24"/>
              </w:rPr>
            </w:pPr>
            <w:r>
              <w:rPr>
                <w:rFonts w:hint="eastAsia" w:ascii="宋体" w:hAnsi="宋体" w:cs="宋体"/>
                <w:color w:val="auto"/>
                <w:sz w:val="24"/>
                <w:szCs w:val="24"/>
              </w:rPr>
              <w:t>8</w:t>
            </w:r>
          </w:p>
        </w:tc>
      </w:tr>
      <w:tr>
        <w:tblPrEx>
          <w:tblCellMar>
            <w:top w:w="0" w:type="dxa"/>
            <w:left w:w="108" w:type="dxa"/>
            <w:bottom w:w="0" w:type="dxa"/>
            <w:right w:w="108" w:type="dxa"/>
          </w:tblCellMar>
        </w:tblPrEx>
        <w:trPr>
          <w:trHeight w:val="750" w:hRule="atLeast"/>
        </w:trPr>
        <w:tc>
          <w:tcPr>
            <w:tcW w:w="730" w:type="dxa"/>
            <w:vMerge w:val="continue"/>
            <w:tcBorders>
              <w:left w:val="single" w:color="auto" w:sz="8" w:space="0"/>
              <w:right w:val="single" w:color="auto" w:sz="8" w:space="0"/>
            </w:tcBorders>
            <w:vAlign w:val="center"/>
          </w:tcPr>
          <w:p>
            <w:pPr>
              <w:widowControl/>
              <w:spacing w:line="360" w:lineRule="auto"/>
              <w:rPr>
                <w:rFonts w:ascii="宋体" w:hAnsi="宋体" w:cs="宋体"/>
                <w:color w:val="auto"/>
                <w:sz w:val="24"/>
                <w:szCs w:val="24"/>
              </w:rPr>
            </w:pPr>
          </w:p>
        </w:tc>
        <w:tc>
          <w:tcPr>
            <w:tcW w:w="1217" w:type="dxa"/>
            <w:vMerge w:val="continue"/>
            <w:tcBorders>
              <w:left w:val="single" w:color="auto" w:sz="8" w:space="0"/>
              <w:right w:val="single" w:color="auto" w:sz="8" w:space="0"/>
            </w:tcBorders>
            <w:vAlign w:val="center"/>
          </w:tcPr>
          <w:p>
            <w:pPr>
              <w:widowControl/>
              <w:spacing w:line="360" w:lineRule="auto"/>
              <w:rPr>
                <w:rFonts w:ascii="宋体" w:hAnsi="宋体" w:cs="宋体"/>
                <w:color w:val="auto"/>
                <w:sz w:val="24"/>
                <w:szCs w:val="24"/>
              </w:rPr>
            </w:pPr>
          </w:p>
        </w:tc>
        <w:tc>
          <w:tcPr>
            <w:tcW w:w="6852" w:type="dxa"/>
            <w:tcBorders>
              <w:top w:val="single" w:color="auto" w:sz="8" w:space="0"/>
              <w:left w:val="nil"/>
              <w:bottom w:val="single" w:color="auto" w:sz="8" w:space="0"/>
              <w:right w:val="single" w:color="000000" w:sz="8" w:space="0"/>
            </w:tcBorders>
            <w:vAlign w:val="center"/>
          </w:tcPr>
          <w:p>
            <w:pPr>
              <w:widowControl/>
              <w:spacing w:line="360" w:lineRule="auto"/>
              <w:rPr>
                <w:rFonts w:ascii="宋体" w:hAnsi="宋体" w:cs="宋体"/>
                <w:color w:val="auto"/>
                <w:sz w:val="24"/>
                <w:szCs w:val="24"/>
              </w:rPr>
            </w:pPr>
            <w:r>
              <w:rPr>
                <w:rFonts w:hint="eastAsia" w:ascii="宋体" w:hAnsi="宋体" w:cs="宋体"/>
                <w:color w:val="auto"/>
                <w:sz w:val="24"/>
                <w:szCs w:val="24"/>
              </w:rPr>
              <w:t>具有明确的项目组织机构，并阐述职能分工。</w:t>
            </w:r>
            <w:r>
              <w:rPr>
                <w:rFonts w:hint="eastAsia" w:ascii="宋体" w:hAnsi="宋体" w:cs="宋体"/>
                <w:color w:val="auto"/>
                <w:sz w:val="24"/>
                <w:szCs w:val="24"/>
                <w:lang w:eastAsia="zh-CN"/>
              </w:rPr>
              <w:t>组织机构完整，职能分工完整合理得</w:t>
            </w:r>
            <w:r>
              <w:rPr>
                <w:rFonts w:hint="eastAsia" w:ascii="宋体" w:hAnsi="宋体" w:cs="宋体"/>
                <w:color w:val="auto"/>
                <w:sz w:val="24"/>
                <w:szCs w:val="24"/>
                <w:lang w:val="en-US" w:eastAsia="zh-CN"/>
              </w:rPr>
              <w:t>5分，本项最高得5</w:t>
            </w:r>
            <w:r>
              <w:rPr>
                <w:rFonts w:hint="eastAsia" w:ascii="宋体" w:hAnsi="宋体" w:cs="宋体"/>
                <w:color w:val="auto"/>
                <w:sz w:val="24"/>
                <w:szCs w:val="24"/>
                <w:lang w:eastAsia="zh-CN"/>
              </w:rPr>
              <w:t>分。</w:t>
            </w:r>
          </w:p>
        </w:tc>
        <w:tc>
          <w:tcPr>
            <w:tcW w:w="709"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sz w:val="24"/>
                <w:szCs w:val="24"/>
              </w:rPr>
            </w:pPr>
            <w:r>
              <w:rPr>
                <w:rFonts w:hint="eastAsia" w:ascii="宋体" w:hAnsi="宋体" w:cs="宋体"/>
                <w:color w:val="auto"/>
                <w:sz w:val="24"/>
                <w:szCs w:val="24"/>
              </w:rPr>
              <w:t>5</w:t>
            </w:r>
          </w:p>
        </w:tc>
      </w:tr>
      <w:tr>
        <w:tblPrEx>
          <w:tblCellMar>
            <w:top w:w="0" w:type="dxa"/>
            <w:left w:w="108" w:type="dxa"/>
            <w:bottom w:w="0" w:type="dxa"/>
            <w:right w:w="108" w:type="dxa"/>
          </w:tblCellMar>
        </w:tblPrEx>
        <w:trPr>
          <w:trHeight w:val="750" w:hRule="atLeast"/>
        </w:trPr>
        <w:tc>
          <w:tcPr>
            <w:tcW w:w="730" w:type="dxa"/>
            <w:vMerge w:val="continue"/>
            <w:tcBorders>
              <w:left w:val="single" w:color="auto" w:sz="8" w:space="0"/>
              <w:right w:val="single" w:color="auto" w:sz="8" w:space="0"/>
            </w:tcBorders>
            <w:vAlign w:val="center"/>
          </w:tcPr>
          <w:p>
            <w:pPr>
              <w:widowControl/>
              <w:spacing w:line="360" w:lineRule="auto"/>
              <w:rPr>
                <w:rFonts w:ascii="宋体" w:hAnsi="宋体" w:cs="宋体"/>
                <w:color w:val="auto"/>
                <w:sz w:val="24"/>
                <w:szCs w:val="24"/>
              </w:rPr>
            </w:pPr>
          </w:p>
        </w:tc>
        <w:tc>
          <w:tcPr>
            <w:tcW w:w="1217" w:type="dxa"/>
            <w:tcBorders>
              <w:top w:val="nil"/>
              <w:left w:val="single" w:color="auto" w:sz="8" w:space="0"/>
              <w:bottom w:val="single" w:color="000000" w:sz="8" w:space="0"/>
              <w:right w:val="single" w:color="auto" w:sz="8" w:space="0"/>
            </w:tcBorders>
            <w:vAlign w:val="center"/>
          </w:tcPr>
          <w:p>
            <w:pPr>
              <w:widowControl/>
              <w:spacing w:line="360" w:lineRule="auto"/>
              <w:rPr>
                <w:rFonts w:ascii="宋体" w:hAnsi="宋体" w:cs="宋体"/>
                <w:color w:val="auto"/>
                <w:sz w:val="24"/>
                <w:szCs w:val="24"/>
              </w:rPr>
            </w:pPr>
            <w:r>
              <w:rPr>
                <w:rFonts w:hint="eastAsia" w:ascii="宋体" w:hAnsi="宋体" w:cs="宋体"/>
                <w:color w:val="auto"/>
                <w:sz w:val="24"/>
                <w:szCs w:val="24"/>
              </w:rPr>
              <w:t>工期进度计划及保证措施</w:t>
            </w:r>
          </w:p>
        </w:tc>
        <w:tc>
          <w:tcPr>
            <w:tcW w:w="6852" w:type="dxa"/>
            <w:tcBorders>
              <w:top w:val="single" w:color="auto" w:sz="8" w:space="0"/>
              <w:left w:val="nil"/>
              <w:bottom w:val="single" w:color="auto" w:sz="8" w:space="0"/>
              <w:right w:val="single" w:color="000000" w:sz="8" w:space="0"/>
            </w:tcBorders>
            <w:vAlign w:val="center"/>
          </w:tcPr>
          <w:p>
            <w:pPr>
              <w:widowControl/>
              <w:spacing w:line="360" w:lineRule="auto"/>
              <w:rPr>
                <w:rFonts w:ascii="宋体" w:hAnsi="宋体" w:cs="宋体"/>
                <w:color w:val="auto"/>
                <w:sz w:val="24"/>
                <w:szCs w:val="24"/>
              </w:rPr>
            </w:pPr>
            <w:r>
              <w:rPr>
                <w:rFonts w:hint="eastAsia" w:ascii="宋体" w:hAnsi="宋体" w:cs="宋体"/>
                <w:color w:val="auto"/>
                <w:sz w:val="24"/>
                <w:szCs w:val="24"/>
              </w:rPr>
              <w:t>针对本项目所有工作内容，按进度编制详细的工期进度计划，并有明确的进度保证措施</w:t>
            </w:r>
            <w:r>
              <w:rPr>
                <w:rFonts w:hint="eastAsia" w:ascii="宋体" w:hAnsi="宋体" w:cs="宋体"/>
                <w:color w:val="auto"/>
                <w:sz w:val="24"/>
                <w:szCs w:val="24"/>
                <w:lang w:eastAsia="zh-CN"/>
              </w:rPr>
              <w:t>，进度计划包涵项目全过程，保证措施完整可行得</w:t>
            </w:r>
            <w:r>
              <w:rPr>
                <w:rFonts w:hint="eastAsia" w:ascii="宋体" w:hAnsi="宋体" w:cs="宋体"/>
                <w:color w:val="auto"/>
                <w:sz w:val="24"/>
                <w:szCs w:val="24"/>
                <w:lang w:val="en-US" w:eastAsia="zh-CN"/>
              </w:rPr>
              <w:t>5分，本项最高得5</w:t>
            </w:r>
            <w:r>
              <w:rPr>
                <w:rFonts w:hint="eastAsia" w:ascii="宋体" w:hAnsi="宋体" w:cs="宋体"/>
                <w:color w:val="auto"/>
                <w:sz w:val="24"/>
                <w:szCs w:val="24"/>
                <w:lang w:eastAsia="zh-CN"/>
              </w:rPr>
              <w:t>分。</w:t>
            </w:r>
          </w:p>
        </w:tc>
        <w:tc>
          <w:tcPr>
            <w:tcW w:w="709"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sz w:val="24"/>
                <w:szCs w:val="24"/>
              </w:rPr>
            </w:pPr>
            <w:r>
              <w:rPr>
                <w:rFonts w:hint="eastAsia" w:ascii="宋体" w:hAnsi="宋体" w:cs="宋体"/>
                <w:color w:val="auto"/>
                <w:sz w:val="24"/>
                <w:szCs w:val="24"/>
              </w:rPr>
              <w:t>5</w:t>
            </w:r>
          </w:p>
        </w:tc>
      </w:tr>
      <w:tr>
        <w:tblPrEx>
          <w:tblCellMar>
            <w:top w:w="0" w:type="dxa"/>
            <w:left w:w="108" w:type="dxa"/>
            <w:bottom w:w="0" w:type="dxa"/>
            <w:right w:w="108" w:type="dxa"/>
          </w:tblCellMar>
        </w:tblPrEx>
        <w:trPr>
          <w:trHeight w:val="750" w:hRule="atLeast"/>
        </w:trPr>
        <w:tc>
          <w:tcPr>
            <w:tcW w:w="730" w:type="dxa"/>
            <w:vMerge w:val="continue"/>
            <w:tcBorders>
              <w:left w:val="single" w:color="auto" w:sz="8" w:space="0"/>
              <w:right w:val="single" w:color="auto" w:sz="8" w:space="0"/>
            </w:tcBorders>
            <w:vAlign w:val="center"/>
          </w:tcPr>
          <w:p>
            <w:pPr>
              <w:widowControl/>
              <w:spacing w:line="360" w:lineRule="auto"/>
              <w:rPr>
                <w:rFonts w:ascii="宋体" w:hAnsi="宋体" w:cs="宋体"/>
                <w:color w:val="auto"/>
                <w:sz w:val="24"/>
                <w:szCs w:val="24"/>
              </w:rPr>
            </w:pPr>
          </w:p>
        </w:tc>
        <w:tc>
          <w:tcPr>
            <w:tcW w:w="1217" w:type="dxa"/>
            <w:tcBorders>
              <w:top w:val="nil"/>
              <w:left w:val="single" w:color="auto" w:sz="8" w:space="0"/>
              <w:bottom w:val="single" w:color="000000" w:sz="8" w:space="0"/>
              <w:right w:val="single" w:color="auto" w:sz="8" w:space="0"/>
            </w:tcBorders>
            <w:vAlign w:val="center"/>
          </w:tcPr>
          <w:p>
            <w:pPr>
              <w:widowControl/>
              <w:spacing w:line="360" w:lineRule="auto"/>
              <w:rPr>
                <w:rFonts w:ascii="宋体" w:hAnsi="宋体" w:cs="宋体"/>
                <w:color w:val="auto"/>
                <w:sz w:val="24"/>
                <w:szCs w:val="24"/>
              </w:rPr>
            </w:pPr>
            <w:r>
              <w:rPr>
                <w:rFonts w:hint="eastAsia" w:ascii="宋体" w:hAnsi="宋体" w:cs="宋体"/>
                <w:color w:val="auto"/>
                <w:sz w:val="24"/>
                <w:szCs w:val="24"/>
              </w:rPr>
              <w:t>质量保证措施</w:t>
            </w:r>
          </w:p>
        </w:tc>
        <w:tc>
          <w:tcPr>
            <w:tcW w:w="6852" w:type="dxa"/>
            <w:tcBorders>
              <w:top w:val="single" w:color="auto" w:sz="8" w:space="0"/>
              <w:left w:val="nil"/>
              <w:bottom w:val="single" w:color="auto" w:sz="8" w:space="0"/>
              <w:right w:val="single" w:color="000000" w:sz="8" w:space="0"/>
            </w:tcBorders>
            <w:vAlign w:val="center"/>
          </w:tcPr>
          <w:p>
            <w:pPr>
              <w:widowControl/>
              <w:spacing w:line="360" w:lineRule="auto"/>
              <w:rPr>
                <w:rFonts w:ascii="宋体" w:hAnsi="宋体" w:cs="宋体"/>
                <w:color w:val="auto"/>
                <w:sz w:val="24"/>
                <w:szCs w:val="24"/>
              </w:rPr>
            </w:pPr>
            <w:r>
              <w:rPr>
                <w:rFonts w:hint="eastAsia" w:ascii="宋体" w:hAnsi="宋体" w:cs="宋体"/>
                <w:color w:val="auto"/>
                <w:sz w:val="24"/>
                <w:szCs w:val="24"/>
              </w:rPr>
              <w:t>具有明确的服务质量标准、质量保证体系、质量保证措施及承诺</w:t>
            </w:r>
            <w:r>
              <w:rPr>
                <w:rFonts w:hint="eastAsia" w:ascii="宋体" w:hAnsi="宋体" w:cs="宋体"/>
                <w:color w:val="auto"/>
                <w:sz w:val="24"/>
                <w:szCs w:val="24"/>
                <w:lang w:eastAsia="zh-CN"/>
              </w:rPr>
              <w:t>，</w:t>
            </w:r>
          </w:p>
          <w:p>
            <w:pPr>
              <w:widowControl/>
              <w:spacing w:line="360" w:lineRule="auto"/>
              <w:rPr>
                <w:rFonts w:ascii="宋体" w:hAnsi="宋体" w:cs="宋体"/>
                <w:color w:val="auto"/>
                <w:sz w:val="24"/>
                <w:szCs w:val="24"/>
              </w:rPr>
            </w:pPr>
            <w:r>
              <w:rPr>
                <w:rFonts w:hint="eastAsia" w:ascii="宋体" w:hAnsi="宋体" w:cs="宋体"/>
                <w:color w:val="auto"/>
                <w:sz w:val="24"/>
                <w:szCs w:val="24"/>
                <w:lang w:eastAsia="zh-CN"/>
              </w:rPr>
              <w:t>质量标准和体系全面，保证措施完整可行得</w:t>
            </w:r>
            <w:r>
              <w:rPr>
                <w:rFonts w:hint="eastAsia" w:ascii="宋体" w:hAnsi="宋体" w:cs="宋体"/>
                <w:color w:val="auto"/>
                <w:sz w:val="24"/>
                <w:szCs w:val="24"/>
                <w:lang w:val="en-US" w:eastAsia="zh-CN"/>
              </w:rPr>
              <w:t>5分，本项最高得5</w:t>
            </w:r>
            <w:r>
              <w:rPr>
                <w:rFonts w:hint="eastAsia" w:ascii="宋体" w:hAnsi="宋体" w:cs="宋体"/>
                <w:color w:val="auto"/>
                <w:sz w:val="24"/>
                <w:szCs w:val="24"/>
                <w:lang w:eastAsia="zh-CN"/>
              </w:rPr>
              <w:t>分。</w:t>
            </w:r>
          </w:p>
        </w:tc>
        <w:tc>
          <w:tcPr>
            <w:tcW w:w="709"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sz w:val="24"/>
                <w:szCs w:val="24"/>
              </w:rPr>
            </w:pPr>
            <w:r>
              <w:rPr>
                <w:rFonts w:hint="eastAsia" w:ascii="宋体" w:hAnsi="宋体" w:cs="宋体"/>
                <w:color w:val="auto"/>
                <w:sz w:val="24"/>
                <w:szCs w:val="24"/>
              </w:rPr>
              <w:t>5</w:t>
            </w:r>
          </w:p>
        </w:tc>
      </w:tr>
      <w:tr>
        <w:tblPrEx>
          <w:tblCellMar>
            <w:top w:w="0" w:type="dxa"/>
            <w:left w:w="108" w:type="dxa"/>
            <w:bottom w:w="0" w:type="dxa"/>
            <w:right w:w="108" w:type="dxa"/>
          </w:tblCellMar>
        </w:tblPrEx>
        <w:trPr>
          <w:trHeight w:val="750" w:hRule="atLeast"/>
        </w:trPr>
        <w:tc>
          <w:tcPr>
            <w:tcW w:w="730" w:type="dxa"/>
            <w:vMerge w:val="continue"/>
            <w:tcBorders>
              <w:left w:val="single" w:color="auto" w:sz="8" w:space="0"/>
              <w:bottom w:val="single" w:color="000000" w:sz="8" w:space="0"/>
              <w:right w:val="single" w:color="auto" w:sz="8" w:space="0"/>
            </w:tcBorders>
            <w:vAlign w:val="center"/>
          </w:tcPr>
          <w:p>
            <w:pPr>
              <w:widowControl/>
              <w:spacing w:line="360" w:lineRule="auto"/>
              <w:rPr>
                <w:rFonts w:ascii="宋体" w:hAnsi="宋体" w:cs="宋体"/>
                <w:color w:val="auto"/>
                <w:sz w:val="24"/>
                <w:szCs w:val="24"/>
              </w:rPr>
            </w:pPr>
          </w:p>
        </w:tc>
        <w:tc>
          <w:tcPr>
            <w:tcW w:w="1217" w:type="dxa"/>
            <w:tcBorders>
              <w:top w:val="nil"/>
              <w:left w:val="single" w:color="auto" w:sz="8" w:space="0"/>
              <w:bottom w:val="single" w:color="000000" w:sz="8" w:space="0"/>
              <w:right w:val="single" w:color="auto" w:sz="8" w:space="0"/>
            </w:tcBorders>
            <w:vAlign w:val="center"/>
          </w:tcPr>
          <w:p>
            <w:pPr>
              <w:widowControl/>
              <w:spacing w:line="360" w:lineRule="auto"/>
              <w:rPr>
                <w:rFonts w:ascii="宋体" w:hAnsi="宋体" w:cs="宋体"/>
                <w:color w:val="auto"/>
                <w:sz w:val="24"/>
                <w:szCs w:val="24"/>
              </w:rPr>
            </w:pPr>
            <w:r>
              <w:rPr>
                <w:rFonts w:hint="eastAsia" w:ascii="宋体" w:hAnsi="宋体" w:cs="宋体"/>
                <w:color w:val="auto"/>
                <w:sz w:val="24"/>
                <w:szCs w:val="24"/>
              </w:rPr>
              <w:t>安全保障措施</w:t>
            </w:r>
          </w:p>
          <w:p>
            <w:pPr>
              <w:widowControl/>
              <w:spacing w:line="360" w:lineRule="auto"/>
              <w:rPr>
                <w:rFonts w:ascii="宋体" w:hAnsi="宋体" w:cs="宋体"/>
                <w:color w:val="auto"/>
                <w:sz w:val="24"/>
                <w:szCs w:val="24"/>
              </w:rPr>
            </w:pPr>
          </w:p>
        </w:tc>
        <w:tc>
          <w:tcPr>
            <w:tcW w:w="6852" w:type="dxa"/>
            <w:tcBorders>
              <w:top w:val="single" w:color="auto" w:sz="8" w:space="0"/>
              <w:left w:val="nil"/>
              <w:bottom w:val="single" w:color="auto" w:sz="8" w:space="0"/>
              <w:right w:val="single" w:color="000000" w:sz="8" w:space="0"/>
            </w:tcBorders>
            <w:vAlign w:val="center"/>
          </w:tcPr>
          <w:p>
            <w:pPr>
              <w:widowControl/>
              <w:spacing w:line="360" w:lineRule="auto"/>
              <w:rPr>
                <w:rFonts w:ascii="宋体" w:hAnsi="宋体" w:cs="宋体"/>
                <w:color w:val="auto"/>
                <w:sz w:val="24"/>
                <w:szCs w:val="24"/>
              </w:rPr>
            </w:pPr>
            <w:r>
              <w:rPr>
                <w:rFonts w:hint="eastAsia" w:ascii="宋体" w:hAnsi="宋体" w:cs="宋体"/>
                <w:color w:val="auto"/>
                <w:sz w:val="24"/>
                <w:szCs w:val="24"/>
              </w:rPr>
              <w:t>具有明确的安全生产目标、保证体系、管理措施、技术措施，具有较为完善的应急预案（包括突发事件、有毒气体、有限空间作业等）。</w:t>
            </w:r>
            <w:r>
              <w:rPr>
                <w:rFonts w:hint="eastAsia" w:ascii="宋体" w:hAnsi="宋体" w:cs="宋体"/>
                <w:color w:val="auto"/>
                <w:sz w:val="24"/>
                <w:szCs w:val="24"/>
                <w:lang w:eastAsia="zh-CN"/>
              </w:rPr>
              <w:t>安全目标和保证体系全面，技术措施和</w:t>
            </w:r>
            <w:r>
              <w:rPr>
                <w:rFonts w:hint="eastAsia" w:ascii="宋体" w:hAnsi="宋体" w:cs="宋体"/>
                <w:color w:val="auto"/>
                <w:sz w:val="24"/>
                <w:szCs w:val="24"/>
              </w:rPr>
              <w:t>应急预案</w:t>
            </w:r>
            <w:r>
              <w:rPr>
                <w:rFonts w:hint="eastAsia" w:ascii="宋体" w:hAnsi="宋体" w:cs="宋体"/>
                <w:color w:val="auto"/>
                <w:sz w:val="24"/>
                <w:szCs w:val="24"/>
                <w:lang w:eastAsia="zh-CN"/>
              </w:rPr>
              <w:t>完整可行得</w:t>
            </w:r>
            <w:r>
              <w:rPr>
                <w:rFonts w:hint="eastAsia" w:ascii="宋体" w:hAnsi="宋体" w:cs="宋体"/>
                <w:color w:val="auto"/>
                <w:sz w:val="24"/>
                <w:szCs w:val="24"/>
                <w:lang w:val="en-US" w:eastAsia="zh-CN"/>
              </w:rPr>
              <w:t>5分，本项最高得5分。</w:t>
            </w:r>
          </w:p>
        </w:tc>
        <w:tc>
          <w:tcPr>
            <w:tcW w:w="709"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sz w:val="24"/>
                <w:szCs w:val="24"/>
              </w:rPr>
            </w:pPr>
            <w:r>
              <w:rPr>
                <w:rFonts w:hint="eastAsia" w:ascii="宋体" w:hAnsi="宋体" w:cs="宋体"/>
                <w:color w:val="auto"/>
                <w:sz w:val="24"/>
                <w:szCs w:val="24"/>
              </w:rPr>
              <w:t>5</w:t>
            </w:r>
          </w:p>
        </w:tc>
      </w:tr>
      <w:tr>
        <w:tblPrEx>
          <w:tblCellMar>
            <w:top w:w="0" w:type="dxa"/>
            <w:left w:w="108" w:type="dxa"/>
            <w:bottom w:w="0" w:type="dxa"/>
            <w:right w:w="108" w:type="dxa"/>
          </w:tblCellMar>
        </w:tblPrEx>
        <w:trPr>
          <w:trHeight w:val="915" w:hRule="atLeast"/>
        </w:trPr>
        <w:tc>
          <w:tcPr>
            <w:tcW w:w="730" w:type="dxa"/>
            <w:tcBorders>
              <w:left w:val="single" w:color="auto" w:sz="8" w:space="0"/>
              <w:bottom w:val="nil"/>
              <w:right w:val="single" w:color="auto" w:sz="8" w:space="0"/>
            </w:tcBorders>
            <w:vAlign w:val="center"/>
          </w:tcPr>
          <w:p>
            <w:pPr>
              <w:widowControl/>
              <w:spacing w:line="360" w:lineRule="auto"/>
              <w:rPr>
                <w:rFonts w:ascii="宋体" w:hAnsi="宋体" w:cs="宋体"/>
                <w:color w:val="auto"/>
                <w:sz w:val="24"/>
                <w:szCs w:val="24"/>
              </w:rPr>
            </w:pPr>
            <w:r>
              <w:rPr>
                <w:rFonts w:hint="eastAsia" w:ascii="宋体" w:hAnsi="宋体" w:cs="宋体"/>
                <w:color w:val="auto"/>
                <w:sz w:val="24"/>
                <w:szCs w:val="24"/>
              </w:rPr>
              <w:t>7</w:t>
            </w:r>
          </w:p>
        </w:tc>
        <w:tc>
          <w:tcPr>
            <w:tcW w:w="1217" w:type="dxa"/>
            <w:tcBorders>
              <w:left w:val="single" w:color="auto" w:sz="8" w:space="0"/>
              <w:bottom w:val="single" w:color="000000" w:sz="8" w:space="0"/>
              <w:right w:val="single" w:color="auto" w:sz="8" w:space="0"/>
            </w:tcBorders>
            <w:vAlign w:val="center"/>
          </w:tcPr>
          <w:p>
            <w:pPr>
              <w:widowControl/>
              <w:spacing w:line="360" w:lineRule="auto"/>
              <w:rPr>
                <w:rFonts w:ascii="宋体" w:hAnsi="宋体" w:cs="宋体"/>
                <w:color w:val="auto"/>
                <w:sz w:val="24"/>
                <w:szCs w:val="24"/>
              </w:rPr>
            </w:pPr>
            <w:r>
              <w:rPr>
                <w:rFonts w:hint="eastAsia" w:ascii="宋体" w:hAnsi="宋体" w:cs="宋体"/>
                <w:color w:val="auto"/>
                <w:sz w:val="24"/>
                <w:szCs w:val="24"/>
              </w:rPr>
              <w:t>服务承诺</w:t>
            </w:r>
          </w:p>
        </w:tc>
        <w:tc>
          <w:tcPr>
            <w:tcW w:w="6852" w:type="dxa"/>
            <w:tcBorders>
              <w:top w:val="single" w:color="auto" w:sz="8" w:space="0"/>
              <w:left w:val="nil"/>
              <w:bottom w:val="nil"/>
              <w:right w:val="single" w:color="auto" w:sz="8" w:space="0"/>
            </w:tcBorders>
            <w:vAlign w:val="center"/>
          </w:tcPr>
          <w:p>
            <w:pPr>
              <w:widowControl/>
              <w:spacing w:line="360" w:lineRule="auto"/>
              <w:jc w:val="left"/>
              <w:rPr>
                <w:rFonts w:ascii="宋体" w:hAnsi="宋体" w:cs="宋体"/>
                <w:color w:val="auto"/>
                <w:sz w:val="24"/>
                <w:szCs w:val="24"/>
              </w:rPr>
            </w:pPr>
            <w:r>
              <w:rPr>
                <w:rFonts w:hint="eastAsia" w:ascii="宋体" w:hAnsi="宋体" w:cs="宋体"/>
                <w:color w:val="auto"/>
                <w:sz w:val="24"/>
                <w:szCs w:val="24"/>
              </w:rPr>
              <w:t>投标人提供的服务机构和人员等情况，是否具有较强的本地化服务能力以及较强的专业技术队伍，能提供快速的售后服务响应。</w:t>
            </w:r>
          </w:p>
          <w:p>
            <w:pPr>
              <w:widowControl/>
              <w:spacing w:line="360" w:lineRule="auto"/>
              <w:rPr>
                <w:rFonts w:ascii="宋体" w:hAnsi="宋体" w:cs="宋体"/>
                <w:color w:val="auto"/>
                <w:sz w:val="24"/>
                <w:szCs w:val="24"/>
              </w:rPr>
            </w:pPr>
            <w:r>
              <w:rPr>
                <w:rFonts w:hint="eastAsia" w:ascii="宋体" w:hAnsi="宋体" w:cs="宋体"/>
                <w:color w:val="auto"/>
                <w:sz w:val="24"/>
                <w:szCs w:val="24"/>
                <w:lang w:eastAsia="zh-CN"/>
              </w:rPr>
              <w:t>本地化服务机构人员完整，服务能力强得</w:t>
            </w:r>
            <w:r>
              <w:rPr>
                <w:rFonts w:hint="eastAsia" w:ascii="宋体" w:hAnsi="宋体" w:cs="宋体"/>
                <w:color w:val="auto"/>
                <w:sz w:val="24"/>
                <w:szCs w:val="24"/>
                <w:lang w:val="en-US" w:eastAsia="zh-CN"/>
              </w:rPr>
              <w:t>3分，本项最高得3分。</w:t>
            </w:r>
          </w:p>
        </w:tc>
        <w:tc>
          <w:tcPr>
            <w:tcW w:w="709" w:type="dxa"/>
            <w:tcBorders>
              <w:top w:val="single" w:color="auto" w:sz="8" w:space="0"/>
              <w:left w:val="nil"/>
              <w:bottom w:val="nil"/>
              <w:right w:val="single" w:color="auto" w:sz="8" w:space="0"/>
            </w:tcBorders>
            <w:vAlign w:val="center"/>
          </w:tcPr>
          <w:p>
            <w:pPr>
              <w:widowControl/>
              <w:spacing w:line="360" w:lineRule="auto"/>
              <w:jc w:val="center"/>
              <w:rPr>
                <w:rFonts w:ascii="宋体" w:hAnsi="宋体" w:cs="宋体"/>
                <w:color w:val="auto"/>
                <w:sz w:val="24"/>
                <w:szCs w:val="24"/>
              </w:rPr>
            </w:pPr>
            <w:r>
              <w:rPr>
                <w:rFonts w:hint="eastAsia" w:ascii="宋体" w:hAnsi="宋体" w:cs="宋体"/>
                <w:color w:val="auto"/>
                <w:sz w:val="24"/>
                <w:szCs w:val="24"/>
              </w:rPr>
              <w:t>3</w:t>
            </w:r>
          </w:p>
        </w:tc>
      </w:tr>
      <w:tr>
        <w:tblPrEx>
          <w:tblCellMar>
            <w:top w:w="0" w:type="dxa"/>
            <w:left w:w="108" w:type="dxa"/>
            <w:bottom w:w="0" w:type="dxa"/>
            <w:right w:w="108" w:type="dxa"/>
          </w:tblCellMar>
        </w:tblPrEx>
        <w:trPr>
          <w:trHeight w:val="515" w:hRule="atLeast"/>
        </w:trPr>
        <w:tc>
          <w:tcPr>
            <w:tcW w:w="8799" w:type="dxa"/>
            <w:gridSpan w:val="3"/>
            <w:tcBorders>
              <w:top w:val="single" w:color="auto" w:sz="8" w:space="0"/>
              <w:left w:val="single" w:color="auto" w:sz="8" w:space="0"/>
              <w:bottom w:val="single" w:color="000000" w:sz="8" w:space="0"/>
              <w:right w:val="single" w:color="000000" w:sz="8" w:space="0"/>
            </w:tcBorders>
            <w:vAlign w:val="center"/>
          </w:tcPr>
          <w:p>
            <w:pPr>
              <w:widowControl/>
              <w:spacing w:line="360" w:lineRule="auto"/>
              <w:jc w:val="center"/>
              <w:rPr>
                <w:rFonts w:ascii="宋体" w:hAnsi="宋体" w:cs="宋体"/>
                <w:color w:val="auto"/>
                <w:sz w:val="24"/>
                <w:szCs w:val="24"/>
              </w:rPr>
            </w:pPr>
            <w:r>
              <w:rPr>
                <w:rFonts w:hint="eastAsia" w:ascii="宋体" w:hAnsi="宋体" w:cs="宋体"/>
                <w:color w:val="auto"/>
                <w:sz w:val="24"/>
                <w:szCs w:val="24"/>
              </w:rPr>
              <w:t>合计</w:t>
            </w:r>
          </w:p>
        </w:tc>
        <w:tc>
          <w:tcPr>
            <w:tcW w:w="709" w:type="dxa"/>
            <w:tcBorders>
              <w:top w:val="single" w:color="auto" w:sz="8" w:space="0"/>
              <w:left w:val="single" w:color="auto" w:sz="8" w:space="0"/>
              <w:bottom w:val="single" w:color="000000" w:sz="8" w:space="0"/>
              <w:right w:val="single" w:color="auto" w:sz="8" w:space="0"/>
            </w:tcBorders>
            <w:vAlign w:val="center"/>
          </w:tcPr>
          <w:p>
            <w:pPr>
              <w:widowControl/>
              <w:spacing w:line="360" w:lineRule="auto"/>
              <w:jc w:val="center"/>
              <w:rPr>
                <w:rFonts w:ascii="宋体" w:hAnsi="宋体" w:cs="宋体"/>
                <w:color w:val="auto"/>
                <w:sz w:val="24"/>
                <w:szCs w:val="24"/>
              </w:rPr>
            </w:pPr>
            <w:r>
              <w:rPr>
                <w:rFonts w:hint="eastAsia" w:ascii="宋体" w:hAnsi="宋体" w:cs="宋体"/>
                <w:color w:val="auto"/>
                <w:sz w:val="24"/>
                <w:szCs w:val="24"/>
              </w:rPr>
              <w:t>80</w:t>
            </w:r>
          </w:p>
        </w:tc>
      </w:tr>
    </w:tbl>
    <w:p>
      <w:pPr>
        <w:rPr>
          <w:b/>
          <w:bCs/>
          <w:color w:val="auto"/>
        </w:rPr>
      </w:pPr>
    </w:p>
    <w:p>
      <w:r>
        <w:rPr>
          <w:rFonts w:hint="eastAsia"/>
          <w:color w:val="auto"/>
        </w:rPr>
        <w:br w:type="page"/>
      </w:r>
    </w:p>
    <w:p>
      <w:pPr>
        <w:jc w:val="center"/>
        <w:rPr>
          <w:rFonts w:ascii="黑体" w:eastAsia="黑体"/>
          <w:sz w:val="32"/>
          <w:szCs w:val="32"/>
        </w:rPr>
      </w:pPr>
      <w:r>
        <w:rPr>
          <w:rFonts w:hint="eastAsia" w:ascii="黑体" w:eastAsia="黑体" w:cs="黑体"/>
          <w:sz w:val="36"/>
          <w:szCs w:val="36"/>
        </w:rPr>
        <w:t>第五章    政府采购合同主要条款</w:t>
      </w:r>
      <w:bookmarkEnd w:id="1"/>
    </w:p>
    <w:p>
      <w:pPr>
        <w:snapToGrid w:val="0"/>
        <w:spacing w:line="480" w:lineRule="auto"/>
        <w:jc w:val="center"/>
        <w:outlineLvl w:val="0"/>
        <w:rPr>
          <w:rFonts w:ascii="宋体"/>
          <w:b/>
          <w:bCs/>
          <w:sz w:val="30"/>
          <w:szCs w:val="30"/>
        </w:rPr>
      </w:pPr>
      <w:bookmarkStart w:id="2" w:name="_Toc414870806"/>
      <w:r>
        <w:rPr>
          <w:rFonts w:hint="eastAsia" w:ascii="宋体" w:cs="宋体"/>
          <w:b/>
          <w:bCs/>
          <w:sz w:val="30"/>
          <w:szCs w:val="30"/>
        </w:rPr>
        <w:t>东阳市政府采购合同（样本）</w:t>
      </w:r>
      <w:bookmarkEnd w:id="2"/>
    </w:p>
    <w:p>
      <w:pPr>
        <w:pStyle w:val="26"/>
        <w:spacing w:beforeLines="0" w:afterLines="0" w:line="360" w:lineRule="auto"/>
        <w:rPr>
          <w:rFonts w:hAnsi="宋体"/>
          <w:color w:val="0D0D0D"/>
          <w:sz w:val="28"/>
          <w:szCs w:val="28"/>
        </w:rPr>
      </w:pPr>
      <w:r>
        <w:rPr>
          <w:rFonts w:hint="eastAsia" w:hAnsi="宋体"/>
          <w:color w:val="0D0D0D"/>
          <w:sz w:val="28"/>
          <w:szCs w:val="28"/>
        </w:rPr>
        <w:t>项目名称：</w:t>
      </w:r>
      <w:r>
        <w:rPr>
          <w:rFonts w:hint="eastAsia" w:hAnsi="宋体"/>
          <w:color w:val="000000"/>
          <w:sz w:val="28"/>
          <w:szCs w:val="28"/>
          <w:u w:val="single"/>
        </w:rPr>
        <w:t>东阳江流域江北片区排口溯源及水环境整治提升方案服务采购</w:t>
      </w:r>
      <w:r>
        <w:rPr>
          <w:rFonts w:hint="eastAsia" w:hAnsi="宋体"/>
          <w:color w:val="0D0D0D"/>
          <w:sz w:val="28"/>
          <w:szCs w:val="28"/>
        </w:rPr>
        <w:t>项目编号：</w:t>
      </w:r>
      <w:r>
        <w:rPr>
          <w:rFonts w:hint="eastAsia" w:hAnsi="宋体"/>
          <w:color w:val="0D0D0D"/>
          <w:sz w:val="28"/>
          <w:szCs w:val="28"/>
          <w:lang w:eastAsia="zh-CN"/>
        </w:rPr>
        <w:t>JCZFCG2022-Z31-C298</w:t>
      </w:r>
      <w:r>
        <w:rPr>
          <w:rFonts w:hint="eastAsia" w:hAnsi="宋体"/>
          <w:color w:val="0D0D0D"/>
          <w:sz w:val="28"/>
          <w:szCs w:val="28"/>
        </w:rPr>
        <w:t xml:space="preserve">          </w:t>
      </w:r>
    </w:p>
    <w:p>
      <w:pPr>
        <w:pStyle w:val="26"/>
        <w:spacing w:beforeLines="0" w:afterLines="0" w:line="360" w:lineRule="auto"/>
        <w:rPr>
          <w:rFonts w:hAnsi="宋体"/>
          <w:color w:val="0D0D0D"/>
          <w:sz w:val="28"/>
          <w:szCs w:val="28"/>
          <w:u w:val="single"/>
        </w:rPr>
      </w:pPr>
      <w:r>
        <w:rPr>
          <w:rFonts w:hint="eastAsia" w:hAnsi="宋体"/>
          <w:color w:val="0D0D0D"/>
          <w:sz w:val="28"/>
          <w:szCs w:val="28"/>
        </w:rPr>
        <w:t>甲方（采购方）：</w:t>
      </w:r>
    </w:p>
    <w:p>
      <w:pPr>
        <w:pStyle w:val="26"/>
        <w:spacing w:beforeLines="0" w:afterLines="0" w:line="360" w:lineRule="auto"/>
        <w:rPr>
          <w:rFonts w:hAnsi="宋体"/>
          <w:color w:val="0D0D0D"/>
          <w:sz w:val="28"/>
          <w:szCs w:val="28"/>
        </w:rPr>
      </w:pPr>
      <w:r>
        <w:rPr>
          <w:rFonts w:hint="eastAsia" w:hAnsi="宋体"/>
          <w:color w:val="0D0D0D"/>
          <w:sz w:val="28"/>
          <w:szCs w:val="28"/>
        </w:rPr>
        <w:t>乙方</w:t>
      </w:r>
      <w:r>
        <w:rPr>
          <w:rFonts w:hint="eastAsia" w:hAnsi="宋体"/>
          <w:sz w:val="28"/>
          <w:szCs w:val="28"/>
        </w:rPr>
        <w:t>（服务单位）</w:t>
      </w:r>
      <w:r>
        <w:rPr>
          <w:rFonts w:hint="eastAsia" w:hAnsi="宋体"/>
          <w:color w:val="0D0D0D"/>
          <w:sz w:val="28"/>
          <w:szCs w:val="28"/>
        </w:rPr>
        <w:t>：</w:t>
      </w:r>
    </w:p>
    <w:p>
      <w:pPr>
        <w:spacing w:line="360" w:lineRule="auto"/>
        <w:ind w:firstLine="504" w:firstLineChars="210"/>
        <w:jc w:val="left"/>
        <w:rPr>
          <w:rFonts w:ascii="宋体" w:hAnsi="宋体" w:cs="宋体"/>
          <w:sz w:val="24"/>
          <w:szCs w:val="24"/>
        </w:rPr>
      </w:pPr>
      <w:r>
        <w:rPr>
          <w:rFonts w:hint="eastAsia" w:ascii="宋体" w:hAnsi="宋体" w:cs="宋体"/>
          <w:color w:val="0D0D0D"/>
          <w:sz w:val="24"/>
          <w:szCs w:val="24"/>
        </w:rPr>
        <w:t>根据</w:t>
      </w:r>
      <w:r>
        <w:rPr>
          <w:rFonts w:hint="eastAsia" w:ascii="宋体" w:hAnsi="宋体" w:cs="宋体"/>
          <w:sz w:val="24"/>
          <w:szCs w:val="24"/>
          <w:u w:val="single"/>
        </w:rPr>
        <w:t xml:space="preserve">2022年 </w:t>
      </w:r>
      <w:r>
        <w:rPr>
          <w:rFonts w:hint="eastAsia" w:ascii="宋体" w:hAnsi="宋体" w:cs="宋体"/>
          <w:sz w:val="24"/>
          <w:szCs w:val="24"/>
          <w:u w:val="single"/>
          <w:lang w:val="en-US" w:eastAsia="zh-CN"/>
        </w:rPr>
        <w:t>8</w:t>
      </w:r>
      <w:r>
        <w:rPr>
          <w:rFonts w:hint="eastAsia" w:ascii="宋体" w:hAnsi="宋体" w:cs="宋体"/>
          <w:sz w:val="24"/>
          <w:szCs w:val="24"/>
          <w:u w:val="single"/>
        </w:rPr>
        <w:t xml:space="preserve"> 月</w:t>
      </w:r>
      <w:r>
        <w:rPr>
          <w:rFonts w:hint="eastAsia" w:ascii="宋体" w:hAnsi="宋体" w:cs="宋体"/>
          <w:sz w:val="24"/>
          <w:szCs w:val="24"/>
          <w:u w:val="single"/>
          <w:lang w:val="en-US" w:eastAsia="zh-CN"/>
        </w:rPr>
        <w:t>10</w:t>
      </w:r>
      <w:r>
        <w:rPr>
          <w:rFonts w:hint="eastAsia" w:ascii="宋体" w:hAnsi="宋体" w:cs="宋体"/>
          <w:sz w:val="24"/>
          <w:szCs w:val="24"/>
          <w:u w:val="single"/>
        </w:rPr>
        <w:t>日</w:t>
      </w:r>
      <w:r>
        <w:rPr>
          <w:rFonts w:hint="eastAsia" w:ascii="宋体" w:hAnsi="宋体" w:cs="宋体"/>
          <w:color w:val="0D0D0D"/>
          <w:sz w:val="24"/>
          <w:szCs w:val="24"/>
        </w:rPr>
        <w:t>金华市金诚招投标代理有限公司关于</w:t>
      </w:r>
      <w:r>
        <w:rPr>
          <w:rFonts w:hint="eastAsia" w:ascii="宋体" w:hAnsi="宋体" w:cs="宋体"/>
          <w:color w:val="000000"/>
          <w:sz w:val="24"/>
          <w:szCs w:val="24"/>
          <w:u w:val="single"/>
        </w:rPr>
        <w:t>东阳江流域江北片区排口溯源及水环境整治提升方案服务采购项目</w:t>
      </w:r>
      <w:r>
        <w:rPr>
          <w:rFonts w:hint="eastAsia" w:ascii="宋体" w:hAnsi="宋体" w:cs="宋体"/>
          <w:color w:val="0D0D0D"/>
          <w:sz w:val="24"/>
          <w:szCs w:val="24"/>
        </w:rPr>
        <w:t>公开招标的结果，</w:t>
      </w:r>
      <w:r>
        <w:rPr>
          <w:rFonts w:hint="eastAsia" w:ascii="宋体" w:hAnsi="宋体" w:cs="宋体"/>
          <w:sz w:val="24"/>
          <w:szCs w:val="24"/>
        </w:rPr>
        <w:t>由甲方委托乙方从事</w:t>
      </w:r>
      <w:r>
        <w:rPr>
          <w:rFonts w:hint="eastAsia" w:ascii="宋体" w:hAnsi="宋体" w:cs="宋体"/>
          <w:b/>
          <w:sz w:val="24"/>
          <w:szCs w:val="24"/>
        </w:rPr>
        <w:t>东阳江流域江北片区排口溯源及水环境整治提升方案服务采购项目的</w:t>
      </w:r>
      <w:r>
        <w:rPr>
          <w:rFonts w:hint="eastAsia" w:ascii="宋体" w:hAnsi="宋体" w:cs="宋体"/>
          <w:bCs/>
          <w:sz w:val="24"/>
          <w:szCs w:val="24"/>
        </w:rPr>
        <w:t>服务工作</w:t>
      </w:r>
      <w:r>
        <w:rPr>
          <w:rFonts w:hint="eastAsia" w:ascii="宋体" w:hAnsi="宋体" w:cs="宋体"/>
          <w:sz w:val="24"/>
          <w:szCs w:val="24"/>
        </w:rPr>
        <w:t>，为明确双方的权利和义务，经双方协商同意签订本合同并共同遵守执行。</w:t>
      </w:r>
    </w:p>
    <w:p>
      <w:pPr>
        <w:pStyle w:val="26"/>
        <w:spacing w:beforeLines="0" w:afterLines="0" w:line="360" w:lineRule="auto"/>
        <w:rPr>
          <w:rFonts w:hAnsi="宋体"/>
          <w:b/>
          <w:bCs/>
        </w:rPr>
      </w:pPr>
      <w:r>
        <w:rPr>
          <w:rFonts w:hint="eastAsia" w:hAnsi="宋体"/>
          <w:b/>
          <w:bCs/>
        </w:rPr>
        <w:t>一、合同文件：招标文件、投标文件、技术澄清及询标答复的所有内容是构成合同不可分割的部分，与本合同具有同等法律效力，如文件各项条款有相互矛盾之处，以签订在后的文件为准。</w:t>
      </w:r>
    </w:p>
    <w:p>
      <w:pPr>
        <w:spacing w:line="360" w:lineRule="auto"/>
        <w:outlineLvl w:val="0"/>
        <w:rPr>
          <w:rFonts w:ascii="宋体" w:hAnsi="宋体" w:cs="宋体"/>
          <w:b/>
          <w:sz w:val="24"/>
          <w:szCs w:val="24"/>
        </w:rPr>
      </w:pPr>
      <w:r>
        <w:rPr>
          <w:rFonts w:hint="eastAsia" w:ascii="宋体" w:hAnsi="宋体" w:cs="宋体"/>
          <w:b/>
          <w:bCs/>
          <w:sz w:val="24"/>
          <w:szCs w:val="24"/>
        </w:rPr>
        <w:t>二、</w:t>
      </w:r>
      <w:r>
        <w:rPr>
          <w:rFonts w:hint="eastAsia" w:ascii="宋体" w:hAnsi="宋体" w:cs="宋体"/>
          <w:b/>
          <w:sz w:val="24"/>
          <w:szCs w:val="24"/>
        </w:rPr>
        <w:t>服务内容</w:t>
      </w:r>
    </w:p>
    <w:p>
      <w:pPr>
        <w:widowControl/>
        <w:spacing w:line="360" w:lineRule="auto"/>
        <w:ind w:firstLine="480" w:firstLineChars="200"/>
        <w:jc w:val="left"/>
        <w:rPr>
          <w:rFonts w:ascii="宋体" w:hAnsi="宋体" w:cs="宋体"/>
          <w:b/>
          <w:sz w:val="24"/>
          <w:szCs w:val="24"/>
        </w:rPr>
      </w:pPr>
      <w:r>
        <w:rPr>
          <w:rFonts w:hint="eastAsia" w:ascii="宋体" w:hAnsi="宋体" w:cs="宋体"/>
          <w:b/>
          <w:sz w:val="24"/>
          <w:szCs w:val="24"/>
        </w:rPr>
        <w:t>（一）基本服务内容</w:t>
      </w:r>
    </w:p>
    <w:p>
      <w:pPr>
        <w:spacing w:line="360" w:lineRule="auto"/>
        <w:ind w:firstLine="480" w:firstLineChars="200"/>
        <w:rPr>
          <w:rFonts w:ascii="宋体" w:hAnsi="宋体" w:cs="宋体"/>
          <w:sz w:val="24"/>
          <w:szCs w:val="24"/>
        </w:rPr>
      </w:pPr>
      <w:r>
        <w:rPr>
          <w:rFonts w:hint="eastAsia" w:ascii="宋体" w:hAnsi="宋体" w:cs="宋体"/>
          <w:sz w:val="24"/>
          <w:szCs w:val="24"/>
        </w:rPr>
        <w:t>对东阳江流域江北片区以及6条支流（渔溪、浪坑、周店溪、锦溪、盘溪、桐坑）进行系统的水环境调查，追溯问题排口源头，摸清排水管网的数据家底，系统诊断问题成因，给出排水系统整治提升方案。主要工作内容包括（但不限于）：排口及管网污染溯源；专项排查：混接点调查、内涝点排查、暗渠摸查、水质检测；整改提升方案。要求：</w:t>
      </w:r>
    </w:p>
    <w:p>
      <w:pPr>
        <w:spacing w:line="360" w:lineRule="auto"/>
        <w:ind w:firstLine="480" w:firstLineChars="200"/>
        <w:rPr>
          <w:rFonts w:ascii="宋体" w:hAnsi="宋体" w:cs="宋体"/>
          <w:sz w:val="24"/>
          <w:szCs w:val="24"/>
        </w:rPr>
      </w:pPr>
      <w:r>
        <w:rPr>
          <w:rFonts w:hint="eastAsia" w:ascii="宋体" w:hAnsi="宋体" w:cs="宋体"/>
          <w:sz w:val="24"/>
          <w:szCs w:val="24"/>
        </w:rPr>
        <w:t>1、综合利用专业技术手段，追溯旱天出流排口和雨季溢流排口的问题源头，摸清流域范围内排水管网的数据家底，排查造成环境污染和城市安全隐患的其他典型问题。</w:t>
      </w:r>
    </w:p>
    <w:p>
      <w:pPr>
        <w:spacing w:line="360" w:lineRule="auto"/>
        <w:ind w:firstLine="480" w:firstLineChars="200"/>
        <w:rPr>
          <w:rFonts w:ascii="宋体" w:hAnsi="宋体" w:cs="宋体"/>
          <w:sz w:val="24"/>
          <w:szCs w:val="24"/>
        </w:rPr>
      </w:pPr>
      <w:r>
        <w:rPr>
          <w:rFonts w:hint="eastAsia" w:ascii="宋体" w:hAnsi="宋体" w:cs="宋体"/>
          <w:sz w:val="24"/>
          <w:szCs w:val="24"/>
        </w:rPr>
        <w:t>2、依据调查结果，系统诊断问题成因，给出针对性的、切实可行的排水系统整治提升方案，为片区排水系统顶层规划及水环境提升提供支撑。</w:t>
      </w:r>
    </w:p>
    <w:p>
      <w:pPr>
        <w:spacing w:line="360" w:lineRule="auto"/>
        <w:ind w:firstLine="480" w:firstLineChars="200"/>
        <w:rPr>
          <w:rFonts w:ascii="宋体" w:hAnsi="宋体" w:cs="宋体"/>
          <w:sz w:val="24"/>
          <w:szCs w:val="24"/>
        </w:rPr>
      </w:pPr>
      <w:r>
        <w:rPr>
          <w:rFonts w:hint="eastAsia" w:ascii="宋体" w:hAnsi="宋体" w:cs="宋体"/>
          <w:sz w:val="24"/>
          <w:szCs w:val="24"/>
        </w:rPr>
        <w:t>（二）服务调查范围</w:t>
      </w:r>
    </w:p>
    <w:p>
      <w:pPr>
        <w:spacing w:line="360" w:lineRule="auto"/>
        <w:ind w:firstLine="480" w:firstLineChars="200"/>
        <w:rPr>
          <w:rFonts w:ascii="宋体" w:hAnsi="宋体" w:cs="宋体"/>
          <w:sz w:val="24"/>
          <w:szCs w:val="24"/>
        </w:rPr>
      </w:pPr>
      <w:r>
        <w:rPr>
          <w:rFonts w:hint="eastAsia" w:ascii="宋体" w:hAnsi="宋体" w:cs="宋体"/>
          <w:sz w:val="24"/>
          <w:szCs w:val="24"/>
        </w:rPr>
        <w:t>东阳市江北片区（东至东康路，南到东阳江，西至义务交界，北至甬金高速），流域面积33.95km2，排水管网总长度211.5km，其中雨水管网和污水管网分别为105.75km，雨水排口100个，暗涵长度2公里。</w:t>
      </w:r>
    </w:p>
    <w:p>
      <w:pPr>
        <w:widowControl/>
        <w:spacing w:line="360" w:lineRule="auto"/>
        <w:ind w:firstLine="480" w:firstLineChars="200"/>
        <w:jc w:val="left"/>
        <w:rPr>
          <w:rFonts w:ascii="宋体" w:hAnsi="宋体" w:cs="宋体"/>
          <w:b/>
          <w:sz w:val="24"/>
          <w:szCs w:val="24"/>
        </w:rPr>
      </w:pPr>
      <w:r>
        <w:rPr>
          <w:rFonts w:hint="eastAsia" w:ascii="宋体" w:hAnsi="宋体" w:cs="宋体"/>
          <w:b/>
          <w:sz w:val="24"/>
          <w:szCs w:val="24"/>
        </w:rPr>
        <w:t>（三）工作依据</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1、《关于印发深入打好城市黑臭水体治理攻坚战实施方案》（城建[2022]29号）</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2、《城镇生活污水处理设施补短板强弱项实施方案》（发改环资[2020]1234 号）</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3、《关于加强城市地下市政基础设施建设的指导意见》（建城〔2020〕111号）</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4、《城镇排水管道检测与评估技术规程》 （CJJ181-2012）</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5、《城镇排水管渠与泵站运行、维护及安全技术规程》 （CJJ68-2016）</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6、《城市黑臭水体整治-排水口、管道及检查井治理技术指南》（建城函[2016]198号）</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7、《东阳市生态环境保护“十四五”规划》</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8、《东阳市城镇污水排入排水管网许可 管理实施办法（试行）》（东综执〔2021〕25号）</w:t>
      </w:r>
    </w:p>
    <w:p>
      <w:pPr>
        <w:widowControl/>
        <w:spacing w:line="360" w:lineRule="auto"/>
        <w:ind w:firstLine="480" w:firstLineChars="200"/>
        <w:jc w:val="left"/>
        <w:rPr>
          <w:rFonts w:ascii="宋体" w:hAnsi="宋体" w:cs="宋体"/>
          <w:b/>
          <w:sz w:val="24"/>
          <w:szCs w:val="24"/>
        </w:rPr>
      </w:pPr>
      <w:r>
        <w:rPr>
          <w:rFonts w:hint="eastAsia" w:ascii="宋体" w:hAnsi="宋体" w:cs="宋体"/>
          <w:b/>
          <w:sz w:val="24"/>
          <w:szCs w:val="24"/>
        </w:rPr>
        <w:t>（四）工作流程要求</w:t>
      </w:r>
    </w:p>
    <w:p>
      <w:pPr>
        <w:spacing w:line="360" w:lineRule="auto"/>
        <w:ind w:firstLine="480" w:firstLineChars="200"/>
        <w:rPr>
          <w:rFonts w:ascii="宋体" w:hAnsi="宋体" w:cs="宋体"/>
          <w:sz w:val="24"/>
          <w:szCs w:val="24"/>
        </w:rPr>
      </w:pPr>
      <w:r>
        <w:rPr>
          <w:rFonts w:hint="eastAsia" w:ascii="宋体" w:hAnsi="宋体" w:cs="宋体"/>
          <w:sz w:val="24"/>
          <w:szCs w:val="24"/>
        </w:rPr>
        <w:t>1、现场踏勘及前期调研</w:t>
      </w:r>
    </w:p>
    <w:p>
      <w:pPr>
        <w:spacing w:line="360" w:lineRule="auto"/>
        <w:ind w:firstLine="480"/>
        <w:rPr>
          <w:rFonts w:ascii="宋体" w:hAnsi="宋体" w:cs="宋体"/>
          <w:sz w:val="24"/>
          <w:szCs w:val="24"/>
        </w:rPr>
      </w:pPr>
      <w:r>
        <w:rPr>
          <w:rFonts w:hint="eastAsia" w:ascii="宋体" w:hAnsi="宋体" w:cs="宋体"/>
          <w:sz w:val="24"/>
          <w:szCs w:val="24"/>
        </w:rPr>
        <w:t>通过对东阳江流域江北片区现状排水管网资料收集整理与现场勘察，初步了解排水管网现状，制定行之有效的服务方案。</w:t>
      </w:r>
    </w:p>
    <w:p>
      <w:pPr>
        <w:spacing w:line="360" w:lineRule="auto"/>
        <w:ind w:firstLine="480"/>
        <w:rPr>
          <w:rFonts w:ascii="宋体" w:hAnsi="宋体" w:cs="宋体"/>
          <w:sz w:val="24"/>
          <w:szCs w:val="24"/>
        </w:rPr>
      </w:pPr>
      <w:r>
        <w:rPr>
          <w:rFonts w:hint="eastAsia" w:ascii="宋体" w:hAnsi="宋体" w:cs="宋体"/>
          <w:sz w:val="24"/>
          <w:szCs w:val="24"/>
        </w:rPr>
        <w:t>2、沿河排口调查及溯源</w:t>
      </w:r>
    </w:p>
    <w:p>
      <w:pPr>
        <w:spacing w:line="360" w:lineRule="auto"/>
        <w:ind w:firstLine="480"/>
        <w:rPr>
          <w:rFonts w:ascii="宋体" w:hAnsi="宋体" w:cs="宋体"/>
          <w:sz w:val="24"/>
          <w:szCs w:val="24"/>
        </w:rPr>
      </w:pPr>
      <w:r>
        <w:rPr>
          <w:rFonts w:hint="eastAsia" w:ascii="宋体" w:hAnsi="宋体" w:cs="宋体"/>
          <w:sz w:val="24"/>
          <w:szCs w:val="24"/>
        </w:rPr>
        <w:t>针对问题排口，摸清排口基本信息及污染状况，找到引起旱天出流及雨天溢流的问题点位，并追溯到问题源头，最终成果形成一张图展示，方便信息查询，为下一步问题整改提供依据。</w:t>
      </w:r>
    </w:p>
    <w:p>
      <w:pPr>
        <w:spacing w:line="360" w:lineRule="auto"/>
        <w:ind w:firstLine="480"/>
        <w:rPr>
          <w:rFonts w:ascii="宋体" w:hAnsi="宋体" w:cs="宋体"/>
          <w:sz w:val="24"/>
          <w:szCs w:val="24"/>
        </w:rPr>
      </w:pPr>
      <w:r>
        <w:rPr>
          <w:rFonts w:hint="eastAsia" w:ascii="宋体" w:hAnsi="宋体" w:cs="宋体"/>
          <w:sz w:val="24"/>
          <w:szCs w:val="24"/>
        </w:rPr>
        <w:t>3、管线普查及缺陷调查</w:t>
      </w:r>
    </w:p>
    <w:p>
      <w:pPr>
        <w:numPr>
          <w:ilvl w:val="255"/>
          <w:numId w:val="0"/>
        </w:numPr>
        <w:spacing w:line="360" w:lineRule="auto"/>
        <w:ind w:firstLine="482"/>
        <w:rPr>
          <w:rFonts w:ascii="宋体" w:hAnsi="宋体" w:cs="宋体"/>
          <w:sz w:val="24"/>
          <w:szCs w:val="24"/>
        </w:rPr>
      </w:pPr>
      <w:r>
        <w:rPr>
          <w:rFonts w:hint="eastAsia" w:ascii="宋体" w:hAnsi="宋体" w:cs="宋体"/>
          <w:sz w:val="24"/>
          <w:szCs w:val="24"/>
        </w:rPr>
        <w:t>利用专业设备，对区域范围内排水管网进行系统调查检测，记录缺陷问题并存档，对管网健康状况进行评估，输出管网数字化档案，为实现排水管网数字化管理提供支撑。针对管网中存在的错节、破损、淤堵、坍塌等缺陷问题，给出管网清淤、修复方案，管网养护建议。</w:t>
      </w:r>
    </w:p>
    <w:p>
      <w:pPr>
        <w:spacing w:line="360" w:lineRule="auto"/>
        <w:ind w:firstLine="480"/>
        <w:rPr>
          <w:rFonts w:ascii="宋体" w:hAnsi="宋体" w:cs="宋体"/>
          <w:sz w:val="24"/>
          <w:szCs w:val="24"/>
        </w:rPr>
      </w:pPr>
      <w:r>
        <w:rPr>
          <w:rFonts w:hint="eastAsia" w:ascii="宋体" w:hAnsi="宋体" w:cs="宋体"/>
          <w:sz w:val="24"/>
          <w:szCs w:val="24"/>
        </w:rPr>
        <w:t>4、专项调查</w:t>
      </w:r>
    </w:p>
    <w:p>
      <w:pPr>
        <w:spacing w:line="360" w:lineRule="auto"/>
        <w:ind w:firstLine="480"/>
        <w:rPr>
          <w:rFonts w:ascii="宋体" w:hAnsi="宋体" w:cs="宋体"/>
          <w:sz w:val="24"/>
          <w:szCs w:val="24"/>
        </w:rPr>
      </w:pPr>
      <w:r>
        <w:rPr>
          <w:rFonts w:hint="eastAsia" w:ascii="宋体" w:hAnsi="宋体" w:cs="宋体"/>
          <w:sz w:val="24"/>
          <w:szCs w:val="24"/>
        </w:rPr>
        <w:t>利用专项技术设备，对影响水环境质量和城市安全的突出问题进行专项调查，查清混错接点，摸清暗渠的基本信息，每个易涝点的基本信息及成因，给出专项报告，支撑综合整治方案的编制。</w:t>
      </w:r>
    </w:p>
    <w:p>
      <w:pPr>
        <w:spacing w:line="360" w:lineRule="auto"/>
        <w:ind w:left="420" w:leftChars="200"/>
        <w:rPr>
          <w:rFonts w:ascii="宋体" w:hAnsi="宋体" w:cs="宋体"/>
          <w:sz w:val="24"/>
          <w:szCs w:val="24"/>
        </w:rPr>
      </w:pPr>
      <w:r>
        <w:rPr>
          <w:rFonts w:hint="eastAsia" w:ascii="宋体" w:hAnsi="宋体" w:cs="宋体"/>
          <w:sz w:val="24"/>
          <w:szCs w:val="24"/>
        </w:rPr>
        <w:t>5、水环境整治提升方案</w:t>
      </w:r>
    </w:p>
    <w:p>
      <w:pPr>
        <w:numPr>
          <w:ilvl w:val="255"/>
          <w:numId w:val="0"/>
        </w:numPr>
        <w:spacing w:line="360" w:lineRule="auto"/>
        <w:ind w:firstLine="465"/>
        <w:rPr>
          <w:rFonts w:ascii="宋体" w:hAnsi="宋体" w:cs="宋体"/>
          <w:sz w:val="24"/>
          <w:szCs w:val="24"/>
        </w:rPr>
      </w:pPr>
      <w:r>
        <w:rPr>
          <w:rFonts w:hint="eastAsia" w:ascii="宋体" w:hAnsi="宋体" w:cs="宋体"/>
          <w:sz w:val="24"/>
          <w:szCs w:val="24"/>
        </w:rPr>
        <w:t>依据调查结果，系统诊断问题成因，给出针对性的、切实可行的排水系统整治提升方案，为片区排水系统顶层规划及水环境提上提供支撑。</w:t>
      </w:r>
    </w:p>
    <w:p>
      <w:pPr>
        <w:spacing w:line="360" w:lineRule="auto"/>
        <w:ind w:firstLine="480" w:firstLineChars="200"/>
        <w:rPr>
          <w:rFonts w:ascii="宋体" w:hAnsi="宋体" w:cs="宋体"/>
          <w:sz w:val="24"/>
          <w:szCs w:val="24"/>
        </w:rPr>
      </w:pPr>
      <w:r>
        <w:rPr>
          <w:rFonts w:hint="eastAsia" w:ascii="宋体" w:hAnsi="宋体" w:cs="宋体"/>
          <w:sz w:val="24"/>
          <w:szCs w:val="24"/>
        </w:rPr>
        <w:t>6、集成成果</w:t>
      </w:r>
    </w:p>
    <w:p>
      <w:pPr>
        <w:numPr>
          <w:ilvl w:val="0"/>
          <w:numId w:val="4"/>
        </w:numPr>
        <w:spacing w:line="360" w:lineRule="auto"/>
        <w:ind w:firstLine="465"/>
        <w:rPr>
          <w:rFonts w:ascii="宋体" w:hAnsi="宋体" w:cs="宋体"/>
          <w:sz w:val="24"/>
          <w:szCs w:val="24"/>
        </w:rPr>
      </w:pPr>
      <w:r>
        <w:rPr>
          <w:rFonts w:hint="eastAsia" w:ascii="宋体" w:hAnsi="宋体" w:cs="宋体"/>
          <w:sz w:val="24"/>
          <w:szCs w:val="24"/>
        </w:rPr>
        <w:t>按照要求将以上工作内容整理形成成果文件，提交给相关部门征求意见；</w:t>
      </w:r>
    </w:p>
    <w:p>
      <w:pPr>
        <w:numPr>
          <w:ilvl w:val="0"/>
          <w:numId w:val="4"/>
        </w:numPr>
        <w:spacing w:line="360" w:lineRule="auto"/>
        <w:ind w:firstLine="465"/>
        <w:rPr>
          <w:rFonts w:ascii="宋体" w:hAnsi="宋体" w:cs="宋体"/>
          <w:sz w:val="24"/>
          <w:szCs w:val="24"/>
        </w:rPr>
      </w:pPr>
      <w:r>
        <w:rPr>
          <w:rFonts w:hint="eastAsia" w:ascii="宋体" w:hAnsi="宋体" w:cs="宋体"/>
          <w:sz w:val="24"/>
          <w:szCs w:val="24"/>
        </w:rPr>
        <w:t>按照意见修改完善成果文件后，组织验收；</w:t>
      </w:r>
    </w:p>
    <w:p>
      <w:pPr>
        <w:spacing w:line="360" w:lineRule="auto"/>
        <w:ind w:firstLine="480" w:firstLineChars="200"/>
        <w:rPr>
          <w:rFonts w:ascii="宋体" w:hAnsi="宋体" w:cs="宋体"/>
          <w:sz w:val="24"/>
          <w:szCs w:val="24"/>
        </w:rPr>
      </w:pPr>
      <w:r>
        <w:rPr>
          <w:rFonts w:hint="eastAsia" w:ascii="宋体" w:hAnsi="宋体" w:cs="宋体"/>
          <w:sz w:val="24"/>
          <w:szCs w:val="24"/>
        </w:rPr>
        <w:t>（3）根据验收意见和建议修改完善后形成最终成果。</w:t>
      </w:r>
    </w:p>
    <w:p>
      <w:pPr>
        <w:widowControl/>
        <w:spacing w:line="360" w:lineRule="auto"/>
        <w:ind w:firstLine="480" w:firstLineChars="200"/>
        <w:jc w:val="left"/>
        <w:rPr>
          <w:rFonts w:ascii="宋体" w:hAnsi="宋体" w:cs="宋体"/>
          <w:b/>
          <w:sz w:val="24"/>
          <w:szCs w:val="24"/>
        </w:rPr>
      </w:pPr>
      <w:r>
        <w:rPr>
          <w:rFonts w:hint="eastAsia" w:ascii="宋体" w:hAnsi="宋体" w:cs="宋体"/>
          <w:b/>
          <w:sz w:val="24"/>
          <w:szCs w:val="24"/>
        </w:rPr>
        <w:t>（五）成果构成</w:t>
      </w:r>
    </w:p>
    <w:p>
      <w:pPr>
        <w:spacing w:line="360" w:lineRule="auto"/>
        <w:ind w:firstLine="480" w:firstLineChars="200"/>
        <w:rPr>
          <w:rFonts w:ascii="宋体" w:hAnsi="宋体" w:cs="宋体"/>
          <w:sz w:val="24"/>
          <w:szCs w:val="24"/>
        </w:rPr>
      </w:pPr>
      <w:r>
        <w:rPr>
          <w:rFonts w:hint="eastAsia" w:ascii="宋体" w:hAnsi="宋体" w:cs="宋体"/>
          <w:sz w:val="24"/>
          <w:szCs w:val="24"/>
        </w:rPr>
        <w:t>最终成果提供纸质和电子两种形式的，成果汇报材料提供电子稿。纸质成果A4规格，主要图纸需附在文本后或者独立成册。电子数据要求文字为*.DOC格式，图纸为*.dwg和*.JPG格式，汇报演示材料为*.PPT格式。成果数量要求征求意见稿、评审稿按实际需要数量提供，最终完整成果要求按照A4格式打印提供20套并同时提交电子文件（DWG、JPG、DOC、PDF文件），光盘20套。</w:t>
      </w:r>
    </w:p>
    <w:p>
      <w:pPr>
        <w:spacing w:line="360" w:lineRule="auto"/>
        <w:ind w:firstLine="480" w:firstLineChars="200"/>
        <w:rPr>
          <w:rFonts w:ascii="宋体" w:hAnsi="宋体" w:cs="宋体"/>
          <w:sz w:val="24"/>
          <w:szCs w:val="24"/>
        </w:rPr>
      </w:pPr>
      <w:r>
        <w:rPr>
          <w:rFonts w:hint="eastAsia" w:ascii="宋体" w:hAnsi="宋体" w:cs="宋体"/>
          <w:sz w:val="24"/>
          <w:szCs w:val="24"/>
        </w:rPr>
        <w:t>（1）排口档案：含排口位置信息，排口性质，问题排口溯源CAD图。</w:t>
      </w:r>
    </w:p>
    <w:p>
      <w:pPr>
        <w:spacing w:line="360" w:lineRule="auto"/>
        <w:ind w:firstLine="480" w:firstLineChars="200"/>
        <w:rPr>
          <w:rFonts w:ascii="宋体" w:hAnsi="宋体" w:cs="宋体"/>
          <w:sz w:val="24"/>
          <w:szCs w:val="24"/>
        </w:rPr>
      </w:pPr>
      <w:r>
        <w:rPr>
          <w:rFonts w:hint="eastAsia" w:ascii="宋体" w:hAnsi="宋体" w:cs="宋体"/>
          <w:sz w:val="24"/>
          <w:szCs w:val="24"/>
        </w:rPr>
        <w:t>（2）排水管网数字化档案：流域范围内排水主管网CAD版排水管线平面图及数据库，管网缺陷信息等数字化档案；</w:t>
      </w:r>
    </w:p>
    <w:p>
      <w:pPr>
        <w:spacing w:line="360" w:lineRule="auto"/>
        <w:ind w:firstLine="480" w:firstLineChars="200"/>
        <w:rPr>
          <w:rFonts w:ascii="宋体" w:hAnsi="宋体" w:cs="宋体"/>
          <w:sz w:val="24"/>
          <w:szCs w:val="24"/>
        </w:rPr>
      </w:pPr>
      <w:r>
        <w:rPr>
          <w:rFonts w:hint="eastAsia" w:ascii="宋体" w:hAnsi="宋体" w:cs="宋体"/>
          <w:sz w:val="24"/>
          <w:szCs w:val="24"/>
        </w:rPr>
        <w:t>（3）专项调查成果：管网缺陷调查报告，混错接点报告，易涝点报告，暗渠调查报告等；</w:t>
      </w:r>
    </w:p>
    <w:p>
      <w:pPr>
        <w:spacing w:line="360" w:lineRule="auto"/>
        <w:ind w:firstLine="480" w:firstLineChars="200"/>
        <w:rPr>
          <w:rFonts w:ascii="宋体" w:hAnsi="宋体" w:cs="宋体"/>
          <w:sz w:val="24"/>
          <w:szCs w:val="24"/>
        </w:rPr>
      </w:pPr>
      <w:r>
        <w:rPr>
          <w:rFonts w:hint="eastAsia" w:ascii="宋体" w:hAnsi="宋体" w:cs="宋体"/>
          <w:sz w:val="24"/>
          <w:szCs w:val="24"/>
        </w:rPr>
        <w:t>（4）水环境整治提升方案。</w:t>
      </w:r>
    </w:p>
    <w:p>
      <w:pPr>
        <w:pStyle w:val="26"/>
        <w:spacing w:beforeLines="0" w:afterLines="0" w:line="360" w:lineRule="auto"/>
        <w:rPr>
          <w:rFonts w:hAnsi="宋体"/>
          <w:b/>
        </w:rPr>
      </w:pPr>
      <w:r>
        <w:rPr>
          <w:rFonts w:hint="eastAsia" w:hAnsi="宋体"/>
          <w:b/>
          <w:bCs/>
        </w:rPr>
        <w:t>三、</w:t>
      </w:r>
      <w:r>
        <w:rPr>
          <w:rFonts w:hint="eastAsia" w:hAnsi="宋体"/>
          <w:b/>
        </w:rPr>
        <w:t>服务期限、地点和方式：</w:t>
      </w:r>
    </w:p>
    <w:p>
      <w:pPr>
        <w:spacing w:line="360" w:lineRule="auto"/>
        <w:ind w:firstLine="480" w:firstLineChars="200"/>
        <w:rPr>
          <w:rFonts w:ascii="宋体" w:hAnsi="宋体" w:cs="宋体"/>
          <w:sz w:val="24"/>
          <w:szCs w:val="24"/>
        </w:rPr>
      </w:pPr>
      <w:r>
        <w:rPr>
          <w:rFonts w:hint="eastAsia" w:ascii="宋体" w:hAnsi="宋体" w:cs="宋体"/>
          <w:sz w:val="24"/>
          <w:szCs w:val="24"/>
        </w:rPr>
        <w:t>本合同年月日至年月日在</w:t>
      </w:r>
      <w:r>
        <w:rPr>
          <w:rFonts w:hint="eastAsia" w:ascii="宋体" w:hAnsi="宋体" w:cs="宋体"/>
          <w:sz w:val="24"/>
          <w:szCs w:val="24"/>
          <w:u w:val="single"/>
        </w:rPr>
        <w:t>(地点)</w:t>
      </w:r>
      <w:r>
        <w:rPr>
          <w:rFonts w:hint="eastAsia" w:ascii="宋体" w:hAnsi="宋体" w:cs="宋体"/>
          <w:sz w:val="24"/>
          <w:szCs w:val="24"/>
        </w:rPr>
        <w:t>履行。</w:t>
      </w:r>
    </w:p>
    <w:p>
      <w:pPr>
        <w:pStyle w:val="26"/>
        <w:spacing w:beforeLines="0" w:afterLines="0" w:line="360" w:lineRule="auto"/>
        <w:rPr>
          <w:rFonts w:hAnsi="宋体"/>
          <w:b/>
        </w:rPr>
      </w:pPr>
      <w:r>
        <w:rPr>
          <w:rFonts w:hint="eastAsia" w:hAnsi="宋体"/>
          <w:b/>
          <w:bCs/>
        </w:rPr>
        <w:t>四、</w:t>
      </w:r>
      <w:r>
        <w:rPr>
          <w:rFonts w:hint="eastAsia" w:hAnsi="宋体"/>
          <w:b/>
        </w:rPr>
        <w:t>服务费用</w:t>
      </w:r>
    </w:p>
    <w:p>
      <w:pPr>
        <w:spacing w:line="360" w:lineRule="auto"/>
        <w:ind w:firstLine="480" w:firstLineChars="200"/>
        <w:rPr>
          <w:rFonts w:ascii="宋体" w:hAnsi="宋体" w:cs="宋体"/>
          <w:sz w:val="24"/>
          <w:szCs w:val="24"/>
        </w:rPr>
      </w:pPr>
      <w:r>
        <w:rPr>
          <w:rFonts w:hint="eastAsia" w:ascii="宋体" w:hAnsi="宋体" w:cs="宋体"/>
          <w:b/>
          <w:bCs/>
          <w:sz w:val="24"/>
          <w:szCs w:val="24"/>
          <w:u w:val="single"/>
        </w:rPr>
        <w:t>东阳江流域江北片区排口溯源及水环境整治提升方案服务采购项目</w:t>
      </w:r>
      <w:r>
        <w:rPr>
          <w:rFonts w:hint="eastAsia" w:ascii="宋体" w:hAnsi="宋体" w:cs="宋体"/>
          <w:sz w:val="24"/>
          <w:szCs w:val="24"/>
          <w:u w:val="single"/>
        </w:rPr>
        <w:t>服务费</w:t>
      </w:r>
      <w:r>
        <w:rPr>
          <w:rFonts w:hint="eastAsia" w:ascii="宋体" w:hAnsi="宋体" w:cs="宋体"/>
          <w:sz w:val="24"/>
          <w:szCs w:val="24"/>
        </w:rPr>
        <w:t>（含税）为（大写）：     元整，（小写）：        元。</w:t>
      </w:r>
    </w:p>
    <w:p>
      <w:pPr>
        <w:spacing w:line="360" w:lineRule="auto"/>
        <w:rPr>
          <w:rFonts w:ascii="宋体" w:hAnsi="宋体" w:cs="宋体"/>
          <w:sz w:val="24"/>
          <w:szCs w:val="24"/>
        </w:rPr>
      </w:pPr>
      <w:r>
        <w:rPr>
          <w:rFonts w:hint="eastAsia" w:ascii="宋体" w:hAnsi="宋体" w:cs="宋体"/>
          <w:b/>
          <w:sz w:val="24"/>
          <w:szCs w:val="24"/>
        </w:rPr>
        <w:t>五、支付方式</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合同签订后，采购人根据需要中标人提供足额预付款保函（保函可在政采云平台线上申请），7天内采购人付至合同价款的</w:t>
      </w:r>
      <w:r>
        <w:rPr>
          <w:rFonts w:hint="eastAsia" w:ascii="宋体" w:hAnsi="宋体" w:cs="宋体"/>
          <w:color w:val="auto"/>
          <w:sz w:val="24"/>
          <w:szCs w:val="24"/>
          <w:lang w:val="en-US" w:eastAsia="zh-CN"/>
        </w:rPr>
        <w:t>30</w:t>
      </w:r>
      <w:r>
        <w:rPr>
          <w:rFonts w:hint="eastAsia" w:ascii="宋体" w:hAnsi="宋体" w:cs="宋体"/>
          <w:color w:val="auto"/>
          <w:sz w:val="24"/>
          <w:szCs w:val="24"/>
        </w:rPr>
        <w:t>%，项</w:t>
      </w:r>
      <w:r>
        <w:rPr>
          <w:rFonts w:hint="eastAsia" w:ascii="宋体" w:hAnsi="宋体" w:cs="宋体"/>
          <w:sz w:val="24"/>
          <w:szCs w:val="24"/>
        </w:rPr>
        <w:t>目结束验收合格后7天内一次性付清剩余合同价款。</w:t>
      </w:r>
    </w:p>
    <w:p>
      <w:pPr>
        <w:spacing w:line="360" w:lineRule="auto"/>
        <w:rPr>
          <w:rFonts w:ascii="宋体" w:hAnsi="宋体" w:cs="宋体"/>
          <w:b/>
          <w:bCs/>
          <w:sz w:val="24"/>
          <w:szCs w:val="24"/>
        </w:rPr>
      </w:pPr>
      <w:r>
        <w:rPr>
          <w:rFonts w:hint="eastAsia" w:ascii="宋体" w:hAnsi="宋体" w:cs="宋体"/>
          <w:b/>
          <w:sz w:val="24"/>
          <w:szCs w:val="24"/>
        </w:rPr>
        <w:t>六、技术资料</w:t>
      </w:r>
    </w:p>
    <w:p>
      <w:pPr>
        <w:pStyle w:val="26"/>
        <w:spacing w:beforeLines="0" w:afterLines="0" w:line="360" w:lineRule="auto"/>
        <w:ind w:firstLine="480" w:firstLineChars="200"/>
        <w:rPr>
          <w:rFonts w:hAnsi="宋体"/>
        </w:rPr>
      </w:pPr>
      <w:r>
        <w:rPr>
          <w:rFonts w:hint="eastAsia" w:hAnsi="宋体"/>
        </w:rPr>
        <w:t>1.乙方应按招标文件规定的时间向甲方提供有关技术资料。</w:t>
      </w:r>
    </w:p>
    <w:p>
      <w:pPr>
        <w:spacing w:line="360" w:lineRule="auto"/>
        <w:ind w:firstLine="480" w:firstLineChars="200"/>
        <w:rPr>
          <w:rFonts w:ascii="宋体" w:hAnsi="宋体" w:cs="宋体"/>
          <w:sz w:val="24"/>
          <w:szCs w:val="24"/>
        </w:rPr>
      </w:pPr>
      <w:r>
        <w:rPr>
          <w:rFonts w:hint="eastAsia" w:ascii="宋体" w:hAnsi="宋体" w:cs="宋体"/>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outlineLvl w:val="0"/>
        <w:rPr>
          <w:rFonts w:ascii="宋体" w:hAnsi="宋体" w:cs="宋体"/>
          <w:b/>
          <w:bCs/>
          <w:sz w:val="24"/>
          <w:szCs w:val="24"/>
        </w:rPr>
      </w:pPr>
      <w:r>
        <w:rPr>
          <w:rFonts w:hint="eastAsia" w:ascii="宋体" w:hAnsi="宋体" w:cs="宋体"/>
          <w:b/>
          <w:bCs/>
          <w:sz w:val="24"/>
          <w:szCs w:val="24"/>
        </w:rPr>
        <w:t>七、知识产权</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乙方应保证提供服务过程中不会侵犯任何第三方的</w:t>
      </w:r>
      <w:r>
        <w:rPr>
          <w:rFonts w:hint="eastAsia" w:ascii="宋体" w:hAnsi="宋体" w:cs="宋体"/>
          <w:b/>
          <w:sz w:val="24"/>
          <w:szCs w:val="24"/>
        </w:rPr>
        <w:t>知识产权</w:t>
      </w:r>
      <w:r>
        <w:rPr>
          <w:rFonts w:hint="eastAsia" w:ascii="宋体" w:hAnsi="宋体" w:cs="宋体"/>
          <w:b/>
          <w:bCs/>
          <w:sz w:val="24"/>
          <w:szCs w:val="24"/>
        </w:rPr>
        <w:t>。</w:t>
      </w:r>
    </w:p>
    <w:p>
      <w:pPr>
        <w:pStyle w:val="26"/>
        <w:spacing w:beforeLines="0" w:afterLines="0" w:line="360" w:lineRule="auto"/>
        <w:rPr>
          <w:rFonts w:hAnsi="宋体"/>
          <w:b/>
        </w:rPr>
      </w:pPr>
      <w:r>
        <w:rPr>
          <w:rFonts w:hint="eastAsia" w:hAnsi="宋体"/>
          <w:b/>
          <w:bCs/>
        </w:rPr>
        <w:t>八、</w:t>
      </w:r>
      <w:r>
        <w:rPr>
          <w:rFonts w:hint="eastAsia" w:hAnsi="宋体"/>
          <w:b/>
        </w:rPr>
        <w:t>履约保证金</w:t>
      </w:r>
    </w:p>
    <w:p>
      <w:pPr>
        <w:pStyle w:val="26"/>
        <w:spacing w:beforeLines="0" w:afterLines="0" w:line="360" w:lineRule="auto"/>
        <w:ind w:firstLine="480" w:firstLineChars="200"/>
        <w:rPr>
          <w:rFonts w:hAnsi="宋体"/>
        </w:rPr>
      </w:pPr>
      <w:r>
        <w:rPr>
          <w:rFonts w:hint="eastAsia" w:hAnsi="宋体"/>
        </w:rPr>
        <w:t>乙方交纳人民币     元，作为本合同的履约保证金</w:t>
      </w:r>
      <w:r>
        <w:rPr>
          <w:rFonts w:hint="eastAsia" w:hAnsi="宋体"/>
          <w:color w:val="000000"/>
        </w:rPr>
        <w:t>，</w:t>
      </w:r>
      <w:r>
        <w:rPr>
          <w:rFonts w:hint="eastAsia" w:hAnsi="宋体"/>
        </w:rPr>
        <w:t>在本项目服务期结束后7个工作日内由甲方无息退还。</w:t>
      </w:r>
    </w:p>
    <w:p>
      <w:pPr>
        <w:pStyle w:val="26"/>
        <w:spacing w:beforeLines="0" w:afterLines="0" w:line="360" w:lineRule="auto"/>
        <w:rPr>
          <w:rFonts w:hAnsi="宋体"/>
        </w:rPr>
      </w:pPr>
      <w:r>
        <w:rPr>
          <w:rFonts w:hint="eastAsia" w:hAnsi="宋体"/>
          <w:b/>
          <w:bCs/>
        </w:rPr>
        <w:t>九、</w:t>
      </w:r>
      <w:r>
        <w:rPr>
          <w:rFonts w:hint="eastAsia" w:hAnsi="宋体"/>
          <w:b/>
        </w:rPr>
        <w:t>质量保证及后续服务</w:t>
      </w:r>
    </w:p>
    <w:p>
      <w:pPr>
        <w:pStyle w:val="26"/>
        <w:spacing w:beforeLines="0" w:afterLines="0" w:line="360" w:lineRule="auto"/>
        <w:ind w:firstLine="480" w:firstLineChars="200"/>
        <w:rPr>
          <w:rFonts w:hAnsi="宋体"/>
        </w:rPr>
      </w:pPr>
      <w:r>
        <w:rPr>
          <w:rFonts w:hint="eastAsia" w:hAnsi="宋体"/>
        </w:rPr>
        <w:t>1、乙方应按招标文件规定向甲方提供服务。</w:t>
      </w:r>
    </w:p>
    <w:p>
      <w:pPr>
        <w:pStyle w:val="26"/>
        <w:spacing w:beforeLines="0" w:afterLines="0" w:line="360" w:lineRule="auto"/>
        <w:ind w:firstLine="480" w:firstLineChars="200"/>
        <w:rPr>
          <w:rFonts w:hAnsi="宋体"/>
        </w:rPr>
      </w:pPr>
      <w:r>
        <w:rPr>
          <w:rFonts w:hint="eastAsia" w:hAnsi="宋体"/>
        </w:rPr>
        <w:t>2、乙方提供的服务成果在服务质量保证期内发生故障，乙方应负责免费提供后续服务。对达不到要求者，根据实际情况，经双方协商，可按以下办法处理：</w:t>
      </w:r>
    </w:p>
    <w:p>
      <w:pPr>
        <w:pStyle w:val="26"/>
        <w:spacing w:beforeLines="0" w:afterLines="0" w:line="360" w:lineRule="auto"/>
        <w:ind w:firstLine="480" w:firstLineChars="200"/>
        <w:rPr>
          <w:rFonts w:hAnsi="宋体"/>
        </w:rPr>
      </w:pPr>
      <w:r>
        <w:rPr>
          <w:rFonts w:hint="eastAsia" w:hAnsi="宋体"/>
        </w:rPr>
        <w:t>（1）重做：由乙方承担所发生的全部费用。</w:t>
      </w:r>
    </w:p>
    <w:p>
      <w:pPr>
        <w:pStyle w:val="26"/>
        <w:spacing w:beforeLines="0" w:afterLines="0" w:line="360" w:lineRule="auto"/>
        <w:ind w:firstLine="480" w:firstLineChars="200"/>
        <w:rPr>
          <w:rFonts w:hAnsi="宋体"/>
        </w:rPr>
      </w:pPr>
      <w:r>
        <w:rPr>
          <w:rFonts w:hint="eastAsia" w:hAnsi="宋体"/>
        </w:rPr>
        <w:t>（2）解除合同。</w:t>
      </w:r>
    </w:p>
    <w:p>
      <w:pPr>
        <w:pStyle w:val="26"/>
        <w:spacing w:beforeLines="0" w:afterLines="0" w:line="360" w:lineRule="auto"/>
        <w:ind w:firstLine="480" w:firstLineChars="200"/>
        <w:rPr>
          <w:rFonts w:hAnsi="宋体"/>
        </w:rPr>
      </w:pPr>
      <w:r>
        <w:rPr>
          <w:rFonts w:hint="eastAsia" w:hAnsi="宋体"/>
        </w:rPr>
        <w:t>3、如在使用过程中发生问题，乙方在接到甲方通知后</w:t>
      </w:r>
      <w:r>
        <w:rPr>
          <w:rFonts w:hint="eastAsia" w:hAnsi="宋体"/>
          <w:u w:val="single"/>
        </w:rPr>
        <w:t xml:space="preserve"> 1 </w:t>
      </w:r>
      <w:r>
        <w:rPr>
          <w:rFonts w:hint="eastAsia" w:hAnsi="宋体"/>
        </w:rPr>
        <w:t>小时内到达甲方现场。</w:t>
      </w:r>
    </w:p>
    <w:p>
      <w:pPr>
        <w:pStyle w:val="26"/>
        <w:spacing w:beforeLines="0" w:afterLines="0" w:line="360" w:lineRule="auto"/>
        <w:ind w:firstLine="480" w:firstLineChars="200"/>
        <w:rPr>
          <w:rFonts w:hAnsi="宋体"/>
          <w:b/>
        </w:rPr>
      </w:pPr>
      <w:r>
        <w:rPr>
          <w:rFonts w:hint="eastAsia" w:hAnsi="宋体"/>
        </w:rPr>
        <w:t>4、在</w:t>
      </w:r>
      <w:r>
        <w:rPr>
          <w:rFonts w:hint="eastAsia" w:hAnsi="宋体"/>
          <w:b/>
        </w:rPr>
        <w:t>服务质量保证期</w:t>
      </w:r>
      <w:r>
        <w:rPr>
          <w:rFonts w:hint="eastAsia" w:hAnsi="宋体"/>
        </w:rPr>
        <w:t>内，乙方应对出现的质量及安全问题负责并承担一切费用。</w:t>
      </w:r>
    </w:p>
    <w:p>
      <w:pPr>
        <w:pStyle w:val="26"/>
        <w:spacing w:beforeLines="0" w:afterLines="0" w:line="360" w:lineRule="auto"/>
        <w:rPr>
          <w:rFonts w:hAnsi="宋体"/>
          <w:b/>
          <w:bCs/>
        </w:rPr>
      </w:pPr>
      <w:r>
        <w:rPr>
          <w:rFonts w:hint="eastAsia" w:hAnsi="宋体"/>
          <w:b/>
          <w:bCs/>
        </w:rPr>
        <w:t>十、违约责任：</w:t>
      </w:r>
    </w:p>
    <w:p>
      <w:pPr>
        <w:pStyle w:val="26"/>
        <w:spacing w:beforeLines="0" w:afterLines="0" w:line="360" w:lineRule="auto"/>
        <w:ind w:firstLine="480" w:firstLineChars="200"/>
        <w:rPr>
          <w:rFonts w:hAnsi="宋体"/>
        </w:rPr>
      </w:pPr>
      <w:r>
        <w:rPr>
          <w:rFonts w:hint="eastAsia" w:hAnsi="宋体"/>
        </w:rPr>
        <w:t>1、甲方无正当理由拒收接受服务的，甲方向乙方偿付合同款项百分之五作为违约金。</w:t>
      </w:r>
    </w:p>
    <w:p>
      <w:pPr>
        <w:pStyle w:val="26"/>
        <w:spacing w:beforeLines="0" w:afterLines="0" w:line="360" w:lineRule="auto"/>
        <w:ind w:firstLine="480" w:firstLineChars="200"/>
        <w:rPr>
          <w:rFonts w:hAnsi="宋体"/>
        </w:rPr>
      </w:pPr>
      <w:r>
        <w:rPr>
          <w:rFonts w:hint="eastAsia" w:hAnsi="宋体"/>
        </w:rPr>
        <w:t>2、甲方无故逾期验收和办理款项支付手续的,甲方应按逾期付款总额每日万分之五向乙方支付违约金。如造成乙方损失超过违约金的，超出部分由甲方继续承担赔偿任。</w:t>
      </w:r>
    </w:p>
    <w:p>
      <w:pPr>
        <w:pStyle w:val="26"/>
        <w:spacing w:beforeLines="0" w:afterLines="0" w:line="360" w:lineRule="auto"/>
        <w:ind w:firstLine="480" w:firstLineChars="200"/>
        <w:rPr>
          <w:rFonts w:hAnsi="宋体"/>
        </w:rPr>
      </w:pPr>
      <w:r>
        <w:rPr>
          <w:rFonts w:hint="eastAsia" w:hAnsi="宋体"/>
        </w:rPr>
        <w:t>3、乙方未能如期提供服务的，每日向甲方支付合同款项的万分之五作为违约金。乙方超过约定日期10个工作日仍不能提供服务，甲方可解除本合同。乙方因未能如期提供服务或因其他违约行为导致甲方解除合同的，乙方应向甲方支付合同总值5%的违约金，如造成甲方损失超过违约金的，超出部分由乙方继续承担赔偿任。</w:t>
      </w:r>
    </w:p>
    <w:p>
      <w:pPr>
        <w:pStyle w:val="26"/>
        <w:spacing w:beforeLines="0" w:afterLines="0" w:line="360" w:lineRule="auto"/>
        <w:rPr>
          <w:rFonts w:hAnsi="宋体"/>
          <w:b/>
        </w:rPr>
      </w:pPr>
      <w:r>
        <w:rPr>
          <w:rFonts w:hint="eastAsia" w:hAnsi="宋体"/>
          <w:b/>
          <w:bCs/>
        </w:rPr>
        <w:t>十一、</w:t>
      </w:r>
      <w:r>
        <w:rPr>
          <w:rFonts w:hint="eastAsia" w:hAnsi="宋体"/>
          <w:b/>
        </w:rPr>
        <w:t>诉讼</w:t>
      </w:r>
    </w:p>
    <w:p>
      <w:pPr>
        <w:pStyle w:val="26"/>
        <w:spacing w:beforeLines="0" w:afterLines="0" w:line="360" w:lineRule="auto"/>
        <w:ind w:firstLine="480" w:firstLineChars="200"/>
        <w:rPr>
          <w:rFonts w:hAnsi="宋体"/>
          <w:b/>
          <w:bCs/>
        </w:rPr>
      </w:pPr>
      <w:r>
        <w:rPr>
          <w:rFonts w:hint="eastAsia" w:hAnsi="宋体"/>
          <w:b/>
          <w:bCs/>
        </w:rPr>
        <w:t>本合同发生争议，双方协商解决，协商不成由东阳市人民法院受理。</w:t>
      </w:r>
    </w:p>
    <w:p>
      <w:pPr>
        <w:pStyle w:val="26"/>
        <w:spacing w:beforeLines="0" w:afterLines="0" w:line="360" w:lineRule="auto"/>
        <w:rPr>
          <w:rFonts w:hAnsi="宋体"/>
          <w:b/>
          <w:bCs/>
          <w:color w:val="000000"/>
        </w:rPr>
      </w:pPr>
      <w:r>
        <w:rPr>
          <w:rFonts w:hint="eastAsia" w:hAnsi="宋体"/>
          <w:b/>
          <w:bCs/>
          <w:color w:val="000000"/>
        </w:rPr>
        <w:t>十二、合同生效</w:t>
      </w:r>
    </w:p>
    <w:p>
      <w:pPr>
        <w:pStyle w:val="26"/>
        <w:spacing w:beforeLines="0" w:afterLines="0" w:line="360" w:lineRule="auto"/>
        <w:ind w:firstLine="480" w:firstLineChars="200"/>
        <w:rPr>
          <w:rFonts w:hAnsi="宋体"/>
          <w:color w:val="000000"/>
        </w:rPr>
      </w:pPr>
      <w:r>
        <w:rPr>
          <w:rFonts w:hint="eastAsia" w:hAnsi="宋体"/>
          <w:color w:val="000000"/>
        </w:rPr>
        <w:t>1.合同经双方法定代表人或授权代表签字并加盖单位公章</w:t>
      </w:r>
      <w:r>
        <w:rPr>
          <w:rFonts w:hint="eastAsia" w:hAnsi="宋体"/>
        </w:rPr>
        <w:t>后，报经东阳市采购办备案生效</w:t>
      </w:r>
      <w:r>
        <w:rPr>
          <w:rFonts w:hint="eastAsia" w:hAnsi="宋体"/>
          <w:color w:val="000000"/>
        </w:rPr>
        <w:t>。</w:t>
      </w:r>
    </w:p>
    <w:p>
      <w:pPr>
        <w:pStyle w:val="26"/>
        <w:spacing w:beforeLines="0" w:afterLines="0" w:line="360" w:lineRule="auto"/>
        <w:ind w:firstLine="480" w:firstLineChars="200"/>
        <w:rPr>
          <w:rFonts w:hAnsi="宋体"/>
          <w:color w:val="000000"/>
        </w:rPr>
      </w:pPr>
      <w:r>
        <w:rPr>
          <w:rFonts w:hint="eastAsia" w:hAnsi="宋体"/>
          <w:color w:val="000000"/>
        </w:rPr>
        <w:t>2.合同执行中涉及采购资金和采购内容修改或补充的，须经财政部门审批，并签书面补充协议报政府采购监督管理部门备案，方可作为主合同不可分割的一部分。</w:t>
      </w:r>
    </w:p>
    <w:p>
      <w:pPr>
        <w:pStyle w:val="26"/>
        <w:spacing w:beforeLines="0" w:afterLines="0" w:line="360" w:lineRule="auto"/>
        <w:ind w:firstLine="480" w:firstLineChars="200"/>
        <w:rPr>
          <w:rFonts w:hAnsi="宋体"/>
          <w:color w:val="000000"/>
        </w:rPr>
      </w:pPr>
      <w:r>
        <w:rPr>
          <w:rFonts w:hint="eastAsia" w:hAnsi="宋体"/>
          <w:color w:val="000000"/>
        </w:rPr>
        <w:t>3.本合同未尽事宜，遵照《民法典》有关条文执行。</w:t>
      </w:r>
    </w:p>
    <w:p>
      <w:pPr>
        <w:pStyle w:val="26"/>
        <w:spacing w:beforeLines="0" w:afterLines="0" w:line="360" w:lineRule="auto"/>
        <w:ind w:firstLine="480" w:firstLineChars="200"/>
        <w:rPr>
          <w:rFonts w:hAnsi="宋体"/>
          <w:color w:val="000000"/>
        </w:rPr>
      </w:pPr>
      <w:r>
        <w:rPr>
          <w:rFonts w:hint="eastAsia" w:hAnsi="宋体"/>
          <w:color w:val="000000"/>
        </w:rPr>
        <w:t>4.本合同正本一式六份，具有同等法律效力，甲乙双方各执二份；采购代理机构存档一份，政府采购管理部门备案一份。</w:t>
      </w: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采购单位（甲方盖章）：                服务单位（乙方盖章）：</w:t>
      </w:r>
    </w:p>
    <w:p>
      <w:pPr>
        <w:spacing w:line="360" w:lineRule="auto"/>
        <w:rPr>
          <w:rFonts w:ascii="宋体" w:hAnsi="宋体" w:cs="宋体"/>
          <w:sz w:val="24"/>
          <w:szCs w:val="24"/>
        </w:rPr>
      </w:pPr>
      <w:r>
        <w:rPr>
          <w:rFonts w:hint="eastAsia" w:ascii="宋体" w:hAnsi="宋体" w:cs="宋体"/>
          <w:sz w:val="24"/>
          <w:szCs w:val="24"/>
        </w:rPr>
        <w:t>法定代表人或受委托人                  法定代表人或受委托人</w:t>
      </w:r>
    </w:p>
    <w:p>
      <w:pPr>
        <w:spacing w:line="360" w:lineRule="auto"/>
        <w:rPr>
          <w:rFonts w:ascii="宋体" w:hAnsi="宋体" w:cs="宋体"/>
          <w:sz w:val="24"/>
          <w:szCs w:val="24"/>
        </w:rPr>
      </w:pPr>
      <w:r>
        <w:rPr>
          <w:rFonts w:hint="eastAsia" w:ascii="宋体" w:hAnsi="宋体" w:cs="宋体"/>
          <w:sz w:val="24"/>
          <w:szCs w:val="24"/>
        </w:rPr>
        <w:t>（签字）                             （签字）</w:t>
      </w:r>
    </w:p>
    <w:p>
      <w:pPr>
        <w:spacing w:line="360" w:lineRule="auto"/>
        <w:rPr>
          <w:rFonts w:ascii="宋体" w:hAnsi="宋体" w:cs="宋体"/>
          <w:sz w:val="24"/>
          <w:szCs w:val="24"/>
        </w:rPr>
      </w:pPr>
      <w:r>
        <w:rPr>
          <w:rFonts w:hint="eastAsia" w:ascii="宋体" w:hAnsi="宋体" w:cs="宋体"/>
          <w:sz w:val="24"/>
          <w:szCs w:val="24"/>
        </w:rPr>
        <w:t>地址：东阳市                          地址：</w:t>
      </w:r>
    </w:p>
    <w:p>
      <w:pPr>
        <w:spacing w:line="360" w:lineRule="auto"/>
        <w:rPr>
          <w:rFonts w:ascii="宋体" w:hAnsi="宋体" w:cs="宋体"/>
          <w:sz w:val="24"/>
          <w:szCs w:val="24"/>
        </w:rPr>
      </w:pPr>
      <w:r>
        <w:rPr>
          <w:rFonts w:hint="eastAsia" w:ascii="宋体" w:hAnsi="宋体" w:cs="宋体"/>
          <w:sz w:val="24"/>
          <w:szCs w:val="24"/>
        </w:rPr>
        <w:t>开户银行：                            开户银行：</w:t>
      </w:r>
    </w:p>
    <w:p>
      <w:pPr>
        <w:spacing w:line="360" w:lineRule="auto"/>
        <w:rPr>
          <w:rFonts w:ascii="宋体" w:hAnsi="宋体" w:cs="宋体"/>
          <w:b/>
          <w:sz w:val="24"/>
          <w:szCs w:val="24"/>
        </w:rPr>
      </w:pPr>
      <w:r>
        <w:rPr>
          <w:rFonts w:hint="eastAsia" w:ascii="宋体" w:hAnsi="宋体" w:cs="宋体"/>
          <w:sz w:val="24"/>
          <w:szCs w:val="24"/>
        </w:rPr>
        <w:t>帐号：                                帐号：</w:t>
      </w: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 xml:space="preserve">招标代理机构（盖章）：                             </w:t>
      </w:r>
    </w:p>
    <w:p>
      <w:pPr>
        <w:spacing w:line="360" w:lineRule="auto"/>
        <w:rPr>
          <w:rFonts w:ascii="宋体" w:hAnsi="宋体" w:cs="宋体"/>
          <w:sz w:val="24"/>
          <w:szCs w:val="24"/>
        </w:rPr>
      </w:pPr>
      <w:r>
        <w:rPr>
          <w:rFonts w:hint="eastAsia" w:ascii="宋体" w:hAnsi="宋体" w:cs="宋体"/>
          <w:sz w:val="24"/>
          <w:szCs w:val="24"/>
        </w:rPr>
        <w:t xml:space="preserve">法定代表人或受委托人                              </w:t>
      </w:r>
    </w:p>
    <w:p>
      <w:pPr>
        <w:spacing w:line="360" w:lineRule="auto"/>
        <w:rPr>
          <w:rFonts w:ascii="宋体" w:hAnsi="宋体" w:cs="宋体"/>
          <w:sz w:val="24"/>
          <w:szCs w:val="24"/>
        </w:rPr>
      </w:pPr>
      <w:r>
        <w:rPr>
          <w:rFonts w:hint="eastAsia" w:ascii="宋体" w:hAnsi="宋体" w:cs="宋体"/>
          <w:sz w:val="24"/>
          <w:szCs w:val="24"/>
        </w:rPr>
        <w:t xml:space="preserve">（签字）                                               </w:t>
      </w:r>
    </w:p>
    <w:p>
      <w:pPr>
        <w:pStyle w:val="26"/>
        <w:spacing w:beforeLines="0" w:afterLines="0" w:line="360" w:lineRule="auto"/>
        <w:rPr>
          <w:rFonts w:hAnsi="宋体"/>
        </w:rPr>
      </w:pPr>
    </w:p>
    <w:p>
      <w:pPr>
        <w:pStyle w:val="26"/>
        <w:spacing w:beforeLines="0" w:afterLines="0" w:line="360" w:lineRule="auto"/>
        <w:rPr>
          <w:rFonts w:hAnsi="宋体"/>
        </w:rPr>
      </w:pPr>
      <w:r>
        <w:rPr>
          <w:rFonts w:hint="eastAsia" w:hAnsi="宋体"/>
        </w:rPr>
        <w:t>签约地点：东阳                         签约时间：</w:t>
      </w:r>
    </w:p>
    <w:p>
      <w:pPr>
        <w:spacing w:line="360" w:lineRule="auto"/>
        <w:rPr>
          <w:rFonts w:ascii="宋体" w:hAnsi="宋体" w:cs="宋体"/>
          <w:sz w:val="24"/>
          <w:szCs w:val="24"/>
        </w:rPr>
      </w:pPr>
      <w:r>
        <w:rPr>
          <w:rFonts w:hint="eastAsia" w:ascii="宋体" w:hAnsi="宋体" w:cs="宋体"/>
          <w:sz w:val="24"/>
          <w:szCs w:val="24"/>
        </w:rPr>
        <w:br w:type="page"/>
      </w:r>
    </w:p>
    <w:p>
      <w:pPr>
        <w:spacing w:line="360" w:lineRule="auto"/>
        <w:jc w:val="center"/>
        <w:outlineLvl w:val="0"/>
        <w:rPr>
          <w:sz w:val="32"/>
          <w:szCs w:val="32"/>
        </w:rPr>
      </w:pPr>
      <w:r>
        <w:rPr>
          <w:rFonts w:hint="eastAsia" w:ascii="黑体" w:hAnsi="宋体" w:eastAsia="黑体" w:cs="黑体"/>
          <w:b/>
          <w:bCs/>
          <w:color w:val="0D0D0D"/>
          <w:sz w:val="32"/>
          <w:szCs w:val="32"/>
        </w:rPr>
        <w:t>第六章   投标文件格式</w:t>
      </w:r>
    </w:p>
    <w:p>
      <w:pPr>
        <w:snapToGrid w:val="0"/>
        <w:spacing w:before="156" w:beforeLines="50" w:after="50" w:line="360" w:lineRule="auto"/>
        <w:outlineLvl w:val="1"/>
        <w:rPr>
          <w:rFonts w:ascii="宋体"/>
          <w:b/>
          <w:bCs/>
          <w:color w:val="0D0D0D"/>
          <w:sz w:val="24"/>
          <w:szCs w:val="24"/>
        </w:rPr>
      </w:pPr>
      <w:r>
        <w:rPr>
          <w:rFonts w:ascii="宋体" w:hAnsi="宋体" w:cs="宋体"/>
          <w:b/>
          <w:bCs/>
          <w:color w:val="0D0D0D"/>
          <w:sz w:val="24"/>
          <w:szCs w:val="24"/>
        </w:rPr>
        <w:t>1</w:t>
      </w:r>
      <w:r>
        <w:rPr>
          <w:rFonts w:ascii="宋体" w:cs="宋体"/>
          <w:b/>
          <w:bCs/>
          <w:color w:val="0D0D0D"/>
          <w:sz w:val="24"/>
          <w:szCs w:val="24"/>
        </w:rPr>
        <w:t>.</w:t>
      </w:r>
      <w:r>
        <w:rPr>
          <w:rFonts w:hint="eastAsia" w:ascii="宋体" w:hAnsi="宋体" w:cs="宋体"/>
          <w:b/>
          <w:bCs/>
          <w:color w:val="0D0D0D"/>
          <w:sz w:val="24"/>
          <w:szCs w:val="24"/>
        </w:rPr>
        <w:t>所有投标文件封面格式：</w:t>
      </w:r>
    </w:p>
    <w:p>
      <w:pPr>
        <w:snapToGrid w:val="0"/>
        <w:spacing w:before="156" w:beforeLines="50" w:after="50" w:line="360" w:lineRule="auto"/>
        <w:ind w:firstLine="5736" w:firstLineChars="2390"/>
        <w:rPr>
          <w:rFonts w:ascii="宋体"/>
          <w:b/>
          <w:bCs/>
          <w:color w:val="0D0D0D"/>
          <w:sz w:val="24"/>
          <w:szCs w:val="24"/>
        </w:rPr>
      </w:pPr>
      <w:r>
        <w:rPr>
          <w:rFonts w:hint="eastAsia" w:ascii="宋体" w:hAnsi="宋体" w:cs="宋体"/>
          <w:b/>
          <w:bCs/>
          <w:color w:val="0D0D0D"/>
          <w:sz w:val="24"/>
          <w:szCs w:val="24"/>
        </w:rPr>
        <w:t>正本</w:t>
      </w:r>
      <w:r>
        <w:rPr>
          <w:rFonts w:ascii="宋体" w:hAnsi="宋体" w:cs="宋体"/>
          <w:b/>
          <w:bCs/>
          <w:color w:val="0D0D0D"/>
          <w:sz w:val="24"/>
          <w:szCs w:val="24"/>
        </w:rPr>
        <w:t>/</w:t>
      </w:r>
      <w:r>
        <w:rPr>
          <w:rFonts w:hint="eastAsia" w:ascii="宋体" w:hAnsi="宋体" w:cs="宋体"/>
          <w:b/>
          <w:bCs/>
          <w:color w:val="0D0D0D"/>
          <w:sz w:val="24"/>
          <w:szCs w:val="24"/>
        </w:rPr>
        <w:t>或副本</w:t>
      </w:r>
    </w:p>
    <w:p>
      <w:pPr>
        <w:snapToGrid w:val="0"/>
        <w:spacing w:before="156" w:beforeLines="50" w:after="50" w:line="360" w:lineRule="auto"/>
        <w:jc w:val="center"/>
        <w:rPr>
          <w:rFonts w:ascii="宋体"/>
          <w:color w:val="0D0D0D"/>
          <w:sz w:val="24"/>
          <w:szCs w:val="24"/>
        </w:rPr>
      </w:pPr>
      <w:r>
        <w:rPr>
          <w:rFonts w:hint="eastAsia" w:ascii="宋体" w:hAnsi="宋体" w:cs="宋体"/>
          <w:color w:val="0D0D0D"/>
          <w:sz w:val="24"/>
          <w:szCs w:val="24"/>
        </w:rPr>
        <w:t>资信商务及技术、报价文件、资格审查资料</w:t>
      </w:r>
    </w:p>
    <w:p>
      <w:pPr>
        <w:spacing w:before="156" w:beforeLines="50" w:after="156" w:afterLines="50" w:line="360" w:lineRule="auto"/>
        <w:rPr>
          <w:rFonts w:ascii="宋体"/>
          <w:color w:val="0D0D0D"/>
          <w:sz w:val="24"/>
          <w:szCs w:val="24"/>
        </w:rPr>
      </w:pPr>
      <w:r>
        <w:rPr>
          <w:rFonts w:hint="eastAsia" w:ascii="宋体" w:hAnsi="宋体" w:cs="宋体"/>
          <w:color w:val="0D0D0D"/>
          <w:sz w:val="24"/>
          <w:szCs w:val="24"/>
        </w:rPr>
        <w:t>项目名称：</w:t>
      </w:r>
      <w:r>
        <w:rPr>
          <w:rFonts w:hint="eastAsia" w:ascii="宋体" w:hAnsi="宋体" w:cs="宋体"/>
          <w:color w:val="000000"/>
          <w:sz w:val="24"/>
          <w:szCs w:val="24"/>
          <w:u w:val="single"/>
        </w:rPr>
        <w:t>东阳江流域江北片区排口溯源及水环境整治提升方案服务采购项目</w:t>
      </w:r>
    </w:p>
    <w:p>
      <w:pPr>
        <w:snapToGrid w:val="0"/>
        <w:spacing w:before="156" w:beforeLines="50" w:after="50" w:line="360" w:lineRule="auto"/>
        <w:rPr>
          <w:rFonts w:hint="eastAsia" w:ascii="宋体" w:hAnsi="宋体" w:eastAsia="宋体" w:cs="宋体"/>
          <w:color w:val="0D0D0D"/>
          <w:sz w:val="24"/>
          <w:szCs w:val="24"/>
          <w:lang w:eastAsia="zh-CN"/>
        </w:rPr>
      </w:pPr>
      <w:r>
        <w:rPr>
          <w:rFonts w:hint="eastAsia" w:ascii="宋体" w:hAnsi="宋体" w:cs="宋体"/>
          <w:color w:val="0D0D0D"/>
          <w:sz w:val="24"/>
          <w:szCs w:val="24"/>
        </w:rPr>
        <w:t>项目编号：</w:t>
      </w:r>
      <w:r>
        <w:rPr>
          <w:rFonts w:hint="eastAsia" w:ascii="宋体" w:hAnsi="宋体" w:cs="宋体"/>
          <w:color w:val="0D0D0D"/>
          <w:sz w:val="24"/>
          <w:szCs w:val="24"/>
          <w:lang w:eastAsia="zh-CN"/>
        </w:rPr>
        <w:t>JCZFCG2022-Z31-C298</w:t>
      </w:r>
    </w:p>
    <w:p>
      <w:pPr>
        <w:snapToGrid w:val="0"/>
        <w:spacing w:before="156" w:beforeLines="50" w:after="50" w:line="360" w:lineRule="auto"/>
        <w:rPr>
          <w:rFonts w:ascii="宋体"/>
          <w:color w:val="0D0D0D"/>
          <w:sz w:val="24"/>
          <w:szCs w:val="24"/>
        </w:rPr>
      </w:pPr>
      <w:r>
        <w:rPr>
          <w:rFonts w:hint="eastAsia" w:ascii="宋体" w:hAnsi="宋体" w:cs="宋体"/>
          <w:color w:val="0D0D0D"/>
          <w:sz w:val="24"/>
          <w:szCs w:val="24"/>
        </w:rPr>
        <w:t>投标人名称：</w:t>
      </w:r>
    </w:p>
    <w:p>
      <w:pPr>
        <w:snapToGrid w:val="0"/>
        <w:spacing w:before="156" w:beforeLines="50" w:after="50" w:line="360" w:lineRule="auto"/>
        <w:rPr>
          <w:rFonts w:ascii="宋体"/>
          <w:color w:val="0D0D0D"/>
          <w:sz w:val="24"/>
          <w:szCs w:val="24"/>
        </w:rPr>
      </w:pPr>
      <w:r>
        <w:rPr>
          <w:rFonts w:hint="eastAsia" w:ascii="宋体" w:hAnsi="宋体" w:cs="宋体"/>
          <w:color w:val="0D0D0D"/>
          <w:sz w:val="24"/>
          <w:szCs w:val="24"/>
        </w:rPr>
        <w:t>投标人地址：</w:t>
      </w:r>
    </w:p>
    <w:p>
      <w:pPr>
        <w:snapToGrid w:val="0"/>
        <w:spacing w:before="156" w:beforeLines="50" w:after="50" w:line="360" w:lineRule="auto"/>
        <w:ind w:firstLine="645"/>
        <w:jc w:val="center"/>
        <w:rPr>
          <w:rFonts w:ascii="宋体"/>
          <w:color w:val="0D0D0D"/>
          <w:sz w:val="24"/>
          <w:szCs w:val="24"/>
        </w:rPr>
      </w:pPr>
      <w:r>
        <w:rPr>
          <w:rFonts w:hint="eastAsia" w:ascii="宋体" w:hAnsi="宋体" w:cs="宋体"/>
          <w:color w:val="0D0D0D"/>
          <w:sz w:val="24"/>
          <w:szCs w:val="24"/>
        </w:rPr>
        <w:t>年月日</w:t>
      </w:r>
    </w:p>
    <w:p>
      <w:pPr>
        <w:snapToGrid w:val="0"/>
        <w:spacing w:line="360" w:lineRule="auto"/>
        <w:ind w:firstLine="470" w:firstLineChars="196"/>
        <w:jc w:val="left"/>
        <w:rPr>
          <w:rFonts w:ascii="宋体"/>
          <w:b/>
          <w:bCs/>
          <w:color w:val="0D0D0D"/>
          <w:sz w:val="24"/>
          <w:szCs w:val="24"/>
        </w:rPr>
      </w:pPr>
    </w:p>
    <w:p>
      <w:pPr>
        <w:snapToGrid w:val="0"/>
        <w:spacing w:line="360" w:lineRule="auto"/>
        <w:ind w:firstLine="470" w:firstLineChars="196"/>
        <w:jc w:val="left"/>
        <w:rPr>
          <w:rFonts w:ascii="宋体"/>
          <w:b/>
          <w:bCs/>
          <w:color w:val="0D0D0D"/>
          <w:sz w:val="24"/>
          <w:szCs w:val="24"/>
        </w:rPr>
      </w:pPr>
    </w:p>
    <w:p>
      <w:pPr>
        <w:snapToGrid w:val="0"/>
        <w:spacing w:line="360" w:lineRule="auto"/>
        <w:jc w:val="left"/>
        <w:rPr>
          <w:rFonts w:ascii="宋体"/>
          <w:b/>
          <w:bCs/>
          <w:color w:val="0D0D0D"/>
          <w:sz w:val="24"/>
          <w:szCs w:val="24"/>
        </w:rPr>
      </w:pPr>
    </w:p>
    <w:p>
      <w:pPr>
        <w:snapToGrid w:val="0"/>
        <w:spacing w:line="360" w:lineRule="auto"/>
        <w:jc w:val="left"/>
        <w:rPr>
          <w:rFonts w:ascii="宋体"/>
          <w:b/>
          <w:bCs/>
          <w:color w:val="0D0D0D"/>
          <w:sz w:val="24"/>
          <w:szCs w:val="24"/>
        </w:rPr>
      </w:pPr>
    </w:p>
    <w:p>
      <w:pPr>
        <w:pStyle w:val="7"/>
      </w:pPr>
    </w:p>
    <w:p>
      <w:pPr>
        <w:rPr>
          <w:rFonts w:ascii="宋体"/>
          <w:b/>
          <w:bCs/>
          <w:color w:val="0D0D0D"/>
          <w:sz w:val="24"/>
          <w:szCs w:val="24"/>
        </w:rPr>
      </w:pPr>
      <w:r>
        <w:rPr>
          <w:rFonts w:ascii="宋体"/>
          <w:b/>
          <w:bCs/>
          <w:color w:val="0D0D0D"/>
          <w:sz w:val="24"/>
          <w:szCs w:val="24"/>
        </w:rPr>
        <w:br w:type="page"/>
      </w:r>
    </w:p>
    <w:p>
      <w:pPr>
        <w:snapToGrid w:val="0"/>
        <w:spacing w:line="360" w:lineRule="auto"/>
        <w:jc w:val="left"/>
        <w:rPr>
          <w:rFonts w:ascii="宋体"/>
          <w:color w:val="0D0D0D"/>
          <w:sz w:val="24"/>
          <w:szCs w:val="24"/>
        </w:rPr>
      </w:pPr>
      <w:r>
        <w:rPr>
          <w:rFonts w:ascii="宋体" w:hAnsi="宋体" w:cs="宋体"/>
          <w:b/>
          <w:bCs/>
          <w:color w:val="0D0D0D"/>
          <w:sz w:val="24"/>
          <w:szCs w:val="24"/>
        </w:rPr>
        <w:t>2</w:t>
      </w:r>
      <w:r>
        <w:rPr>
          <w:rFonts w:ascii="宋体" w:cs="宋体"/>
          <w:b/>
          <w:bCs/>
          <w:color w:val="0D0D0D"/>
          <w:sz w:val="24"/>
          <w:szCs w:val="24"/>
        </w:rPr>
        <w:t>.</w:t>
      </w:r>
      <w:r>
        <w:rPr>
          <w:rFonts w:hint="eastAsia" w:ascii="宋体" w:hAnsi="宋体" w:cs="宋体"/>
          <w:b/>
          <w:bCs/>
          <w:color w:val="0D0D0D"/>
          <w:sz w:val="24"/>
          <w:szCs w:val="24"/>
        </w:rPr>
        <w:t>资信商务及技术文件目录</w:t>
      </w:r>
    </w:p>
    <w:p>
      <w:pPr>
        <w:spacing w:line="360" w:lineRule="auto"/>
        <w:ind w:firstLine="470" w:firstLineChars="196"/>
        <w:jc w:val="left"/>
        <w:rPr>
          <w:rFonts w:ascii="宋体" w:hAnsi="宋体" w:cs="宋体"/>
          <w:sz w:val="24"/>
          <w:szCs w:val="24"/>
        </w:rPr>
      </w:pPr>
      <w:r>
        <w:rPr>
          <w:rFonts w:hint="eastAsia" w:ascii="宋体" w:hAnsi="宋体" w:cs="宋体"/>
          <w:sz w:val="24"/>
          <w:szCs w:val="24"/>
        </w:rPr>
        <w:t>（1）评分响应表（格式见附件2.1）；</w:t>
      </w:r>
    </w:p>
    <w:p>
      <w:pPr>
        <w:spacing w:line="360" w:lineRule="auto"/>
        <w:ind w:firstLine="470" w:firstLineChars="196"/>
        <w:jc w:val="left"/>
        <w:rPr>
          <w:rFonts w:ascii="宋体" w:hAnsi="宋体" w:cs="宋体"/>
          <w:sz w:val="24"/>
          <w:szCs w:val="24"/>
        </w:rPr>
      </w:pPr>
      <w:r>
        <w:rPr>
          <w:rFonts w:hint="eastAsia" w:ascii="宋体" w:hAnsi="宋体" w:cs="宋体"/>
          <w:sz w:val="24"/>
          <w:szCs w:val="24"/>
        </w:rPr>
        <w:t>（2）投标声明书(格式见附件2.2)；</w:t>
      </w:r>
    </w:p>
    <w:p>
      <w:pPr>
        <w:spacing w:line="360" w:lineRule="auto"/>
        <w:ind w:firstLine="470" w:firstLineChars="196"/>
        <w:jc w:val="left"/>
        <w:rPr>
          <w:rFonts w:ascii="宋体" w:hAnsi="宋体" w:cs="宋体"/>
          <w:sz w:val="24"/>
          <w:szCs w:val="24"/>
        </w:rPr>
      </w:pPr>
      <w:r>
        <w:rPr>
          <w:rFonts w:hint="eastAsia" w:ascii="宋体" w:hAnsi="宋体" w:cs="宋体"/>
          <w:sz w:val="24"/>
          <w:szCs w:val="24"/>
        </w:rPr>
        <w:t>（3）法定代表人授权委托书(格式见附件2.3)；</w:t>
      </w:r>
    </w:p>
    <w:p>
      <w:pPr>
        <w:spacing w:line="360" w:lineRule="auto"/>
        <w:ind w:firstLine="470" w:firstLineChars="196"/>
        <w:jc w:val="left"/>
        <w:rPr>
          <w:rFonts w:ascii="宋体" w:hAnsi="宋体" w:cs="宋体"/>
          <w:sz w:val="24"/>
          <w:szCs w:val="24"/>
        </w:rPr>
      </w:pPr>
      <w:r>
        <w:rPr>
          <w:rFonts w:hint="eastAsia" w:ascii="宋体" w:hAnsi="宋体" w:cs="宋体"/>
          <w:sz w:val="24"/>
          <w:szCs w:val="24"/>
        </w:rPr>
        <w:t>（4）投标单位情况表(格式见附件2.4)；</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（5）</w:t>
      </w:r>
      <w:r>
        <w:rPr>
          <w:rFonts w:hint="eastAsia" w:ascii="宋体" w:hAnsi="宋体" w:cs="宋体"/>
          <w:b/>
          <w:bCs/>
          <w:sz w:val="24"/>
        </w:rPr>
        <w:t>本项目拟派人员一览表</w:t>
      </w:r>
      <w:r>
        <w:rPr>
          <w:rFonts w:hint="eastAsia" w:ascii="宋体" w:hAnsi="宋体" w:cs="宋体"/>
          <w:sz w:val="24"/>
          <w:szCs w:val="24"/>
        </w:rPr>
        <w:t>（格式见附件2.5）</w:t>
      </w:r>
      <w:r>
        <w:rPr>
          <w:rFonts w:hint="eastAsia" w:ascii="宋体" w:hAnsi="宋体" w:cs="宋体"/>
          <w:sz w:val="24"/>
          <w:szCs w:val="24"/>
          <w:lang w:eastAsia="zh-CN"/>
        </w:rPr>
        <w:t>；</w:t>
      </w:r>
    </w:p>
    <w:p>
      <w:pPr>
        <w:spacing w:line="360" w:lineRule="auto"/>
        <w:ind w:firstLine="470" w:firstLineChars="196"/>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）营业执照副本复印件；</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7</w:t>
      </w:r>
      <w:r>
        <w:rPr>
          <w:rFonts w:hint="eastAsia" w:ascii="宋体" w:hAnsi="宋体" w:cs="宋体"/>
          <w:sz w:val="24"/>
          <w:szCs w:val="24"/>
        </w:rPr>
        <w:t>）中小企业声明函(</w:t>
      </w:r>
      <w:r>
        <w:rPr>
          <w:rFonts w:hint="eastAsia" w:ascii="宋体" w:hAnsi="宋体" w:cs="宋体"/>
          <w:b/>
          <w:sz w:val="24"/>
          <w:szCs w:val="24"/>
        </w:rPr>
        <w:t>如有</w:t>
      </w:r>
      <w:r>
        <w:rPr>
          <w:rFonts w:hint="eastAsia" w:ascii="宋体" w:hAnsi="宋体" w:cs="宋体"/>
          <w:sz w:val="24"/>
          <w:szCs w:val="24"/>
        </w:rPr>
        <w:t>)(格式见附件2.6)；</w:t>
      </w:r>
    </w:p>
    <w:p>
      <w:pPr>
        <w:spacing w:line="360" w:lineRule="auto"/>
        <w:ind w:firstLine="504" w:firstLineChars="200"/>
        <w:jc w:val="left"/>
        <w:rPr>
          <w:rFonts w:ascii="宋体" w:hAnsi="宋体" w:cs="宋体"/>
          <w:sz w:val="24"/>
          <w:szCs w:val="24"/>
        </w:rPr>
      </w:pPr>
      <w:r>
        <w:rPr>
          <w:rFonts w:hint="eastAsia" w:ascii="宋体" w:hAnsi="宋体" w:cs="宋体"/>
          <w:spacing w:val="6"/>
          <w:sz w:val="24"/>
          <w:szCs w:val="24"/>
        </w:rPr>
        <w:t>（</w:t>
      </w:r>
      <w:r>
        <w:rPr>
          <w:rFonts w:hint="eastAsia" w:ascii="宋体" w:hAnsi="宋体" w:cs="宋体"/>
          <w:spacing w:val="6"/>
          <w:sz w:val="24"/>
          <w:szCs w:val="24"/>
          <w:lang w:val="en-US" w:eastAsia="zh-CN"/>
        </w:rPr>
        <w:t>8</w:t>
      </w:r>
      <w:r>
        <w:rPr>
          <w:rFonts w:hint="eastAsia" w:ascii="宋体" w:hAnsi="宋体" w:cs="宋体"/>
          <w:spacing w:val="6"/>
          <w:sz w:val="24"/>
          <w:szCs w:val="24"/>
        </w:rPr>
        <w:t>）残疾人福利性单位声明函（</w:t>
      </w:r>
      <w:r>
        <w:rPr>
          <w:rFonts w:hint="eastAsia" w:ascii="宋体" w:hAnsi="宋体" w:cs="宋体"/>
          <w:b/>
          <w:spacing w:val="6"/>
          <w:sz w:val="24"/>
          <w:szCs w:val="24"/>
        </w:rPr>
        <w:t>如有</w:t>
      </w:r>
      <w:r>
        <w:rPr>
          <w:rFonts w:hint="eastAsia" w:ascii="宋体" w:hAnsi="宋体" w:cs="宋体"/>
          <w:spacing w:val="6"/>
          <w:sz w:val="24"/>
          <w:szCs w:val="24"/>
        </w:rPr>
        <w:t>）</w:t>
      </w:r>
      <w:r>
        <w:rPr>
          <w:rFonts w:hint="eastAsia" w:ascii="宋体" w:hAnsi="宋体" w:cs="宋体"/>
          <w:sz w:val="24"/>
          <w:szCs w:val="24"/>
        </w:rPr>
        <w:t>(格式见附件2.7)；</w:t>
      </w:r>
    </w:p>
    <w:p>
      <w:pPr>
        <w:spacing w:line="360" w:lineRule="auto"/>
        <w:ind w:firstLine="588" w:firstLineChars="245"/>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9</w:t>
      </w:r>
      <w:r>
        <w:rPr>
          <w:rFonts w:hint="eastAsia" w:ascii="宋体" w:hAnsi="宋体" w:cs="宋体"/>
          <w:sz w:val="24"/>
          <w:szCs w:val="24"/>
        </w:rPr>
        <w:t>) 监狱企业证明文件</w:t>
      </w:r>
      <w:r>
        <w:rPr>
          <w:rFonts w:hint="eastAsia" w:ascii="宋体" w:hAnsi="宋体" w:cs="宋体"/>
          <w:spacing w:val="6"/>
          <w:sz w:val="24"/>
          <w:szCs w:val="24"/>
        </w:rPr>
        <w:t>（</w:t>
      </w:r>
      <w:r>
        <w:rPr>
          <w:rFonts w:hint="eastAsia" w:ascii="宋体" w:hAnsi="宋体" w:cs="宋体"/>
          <w:b/>
          <w:spacing w:val="6"/>
          <w:sz w:val="24"/>
          <w:szCs w:val="24"/>
        </w:rPr>
        <w:t>如有</w:t>
      </w:r>
      <w:r>
        <w:rPr>
          <w:rFonts w:hint="eastAsia" w:ascii="宋体" w:hAnsi="宋体" w:cs="宋体"/>
          <w:spacing w:val="6"/>
          <w:sz w:val="24"/>
          <w:szCs w:val="24"/>
        </w:rPr>
        <w:t>）</w:t>
      </w:r>
      <w:r>
        <w:rPr>
          <w:rFonts w:hint="eastAsia" w:ascii="宋体" w:hAnsi="宋体" w:cs="宋体"/>
          <w:sz w:val="24"/>
          <w:szCs w:val="24"/>
        </w:rPr>
        <w:t>(格式自拟)；</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0</w:t>
      </w:r>
      <w:r>
        <w:rPr>
          <w:rFonts w:hint="eastAsia" w:ascii="宋体" w:hAnsi="宋体" w:cs="宋体"/>
          <w:sz w:val="24"/>
          <w:szCs w:val="24"/>
        </w:rPr>
        <w:t>）投标人类似项目的业绩(格式见附件2.8)；</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）投标人针对本项目的调研、总体规划和服务方案；</w:t>
      </w:r>
    </w:p>
    <w:p>
      <w:pPr>
        <w:spacing w:line="360" w:lineRule="auto"/>
        <w:ind w:firstLine="470" w:firstLineChars="196"/>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）投标人针对本项</w:t>
      </w:r>
      <w:r>
        <w:rPr>
          <w:rFonts w:hint="eastAsia" w:ascii="宋体" w:hAnsi="宋体" w:cs="宋体"/>
          <w:color w:val="000000"/>
          <w:sz w:val="24"/>
          <w:szCs w:val="24"/>
        </w:rPr>
        <w:t>制定的售后服务承诺等</w:t>
      </w:r>
      <w:r>
        <w:rPr>
          <w:rFonts w:hint="eastAsia" w:ascii="宋体" w:hAnsi="宋体" w:cs="宋体"/>
          <w:sz w:val="24"/>
          <w:szCs w:val="24"/>
        </w:rPr>
        <w:t>；</w:t>
      </w:r>
    </w:p>
    <w:p>
      <w:pPr>
        <w:spacing w:line="360" w:lineRule="auto"/>
        <w:ind w:firstLine="470" w:firstLineChars="196"/>
        <w:jc w:val="left"/>
        <w:rPr>
          <w:rFonts w:ascii="宋体" w:hAnsi="宋体" w:cs="宋体"/>
          <w:color w:val="0D0D0D"/>
          <w:sz w:val="24"/>
          <w:szCs w:val="24"/>
        </w:rPr>
      </w:pPr>
      <w:r>
        <w:rPr>
          <w:rFonts w:hint="eastAsia" w:ascii="宋体" w:hAnsi="宋体" w:cs="宋体"/>
          <w:color w:val="0D0D0D"/>
          <w:sz w:val="24"/>
          <w:szCs w:val="24"/>
        </w:rPr>
        <w:t>（1</w:t>
      </w:r>
      <w:r>
        <w:rPr>
          <w:rFonts w:hint="eastAsia" w:ascii="宋体" w:hAnsi="宋体" w:cs="宋体"/>
          <w:color w:val="0D0D0D"/>
          <w:sz w:val="24"/>
          <w:szCs w:val="24"/>
          <w:lang w:val="en-US" w:eastAsia="zh-CN"/>
        </w:rPr>
        <w:t>3</w:t>
      </w:r>
      <w:r>
        <w:rPr>
          <w:rFonts w:hint="eastAsia" w:ascii="宋体" w:hAnsi="宋体" w:cs="宋体"/>
          <w:color w:val="0D0D0D"/>
          <w:sz w:val="24"/>
          <w:szCs w:val="24"/>
        </w:rPr>
        <w:t>）政府采购代理机构社会评价表（附件2.9）；</w:t>
      </w:r>
    </w:p>
    <w:p>
      <w:pPr>
        <w:spacing w:line="360" w:lineRule="auto"/>
        <w:ind w:firstLine="470" w:firstLineChars="196"/>
        <w:jc w:val="left"/>
        <w:rPr>
          <w:rFonts w:ascii="宋体" w:hAnsi="宋体" w:cs="宋体"/>
          <w:sz w:val="24"/>
          <w:szCs w:val="24"/>
        </w:rPr>
      </w:pPr>
      <w:r>
        <w:rPr>
          <w:rFonts w:hint="eastAsia" w:ascii="宋体" w:hAnsi="宋体" w:cs="宋体"/>
          <w:color w:val="0D0D0D"/>
          <w:sz w:val="24"/>
          <w:szCs w:val="24"/>
        </w:rPr>
        <w:t>（1</w:t>
      </w:r>
      <w:r>
        <w:rPr>
          <w:rFonts w:hint="eastAsia" w:ascii="宋体" w:hAnsi="宋体" w:cs="宋体"/>
          <w:color w:val="0D0D0D"/>
          <w:sz w:val="24"/>
          <w:szCs w:val="24"/>
          <w:lang w:val="en-US" w:eastAsia="zh-CN"/>
        </w:rPr>
        <w:t>4</w:t>
      </w:r>
      <w:r>
        <w:rPr>
          <w:rFonts w:hint="eastAsia" w:ascii="宋体" w:hAnsi="宋体" w:cs="宋体"/>
          <w:color w:val="0D0D0D"/>
          <w:sz w:val="24"/>
          <w:szCs w:val="24"/>
        </w:rPr>
        <w:t>）投标人认为需要提供的其他投标文件和资料。</w:t>
      </w:r>
    </w:p>
    <w:p>
      <w:pPr>
        <w:rPr>
          <w:rFonts w:ascii="宋体" w:hAnsi="宋体" w:cs="宋体"/>
          <w:b/>
          <w:bCs/>
          <w:sz w:val="24"/>
          <w:szCs w:val="24"/>
        </w:rPr>
      </w:pPr>
      <w:r>
        <w:rPr>
          <w:rFonts w:ascii="宋体" w:hAnsi="宋体" w:cs="宋体"/>
          <w:b/>
          <w:bCs/>
          <w:sz w:val="24"/>
          <w:szCs w:val="24"/>
        </w:rPr>
        <w:br w:type="page"/>
      </w:r>
    </w:p>
    <w:p>
      <w:pPr>
        <w:snapToGrid w:val="0"/>
        <w:spacing w:before="50" w:after="156" w:afterLines="50"/>
        <w:jc w:val="left"/>
        <w:rPr>
          <w:rFonts w:ascii="宋体"/>
          <w:b/>
          <w:bCs/>
          <w:sz w:val="24"/>
          <w:szCs w:val="24"/>
        </w:rPr>
      </w:pPr>
      <w:r>
        <w:rPr>
          <w:rFonts w:ascii="宋体" w:hAnsi="宋体" w:cs="宋体"/>
          <w:b/>
          <w:bCs/>
          <w:sz w:val="24"/>
          <w:szCs w:val="24"/>
        </w:rPr>
        <w:t>2.1</w:t>
      </w:r>
      <w:r>
        <w:rPr>
          <w:rFonts w:hint="eastAsia" w:ascii="宋体" w:hAnsi="宋体" w:cs="宋体"/>
          <w:b/>
          <w:bCs/>
          <w:sz w:val="24"/>
          <w:szCs w:val="24"/>
        </w:rPr>
        <w:t>评分响应表格式：</w:t>
      </w:r>
    </w:p>
    <w:p>
      <w:pPr>
        <w:snapToGrid w:val="0"/>
        <w:spacing w:before="50" w:after="50" w:line="400" w:lineRule="exact"/>
        <w:rPr>
          <w:rFonts w:ascii="宋体"/>
          <w:b/>
          <w:bCs/>
          <w:color w:val="000000"/>
          <w:sz w:val="24"/>
          <w:szCs w:val="24"/>
          <w:u w:val="single"/>
        </w:rPr>
      </w:pPr>
      <w:r>
        <w:rPr>
          <w:rFonts w:hint="eastAsia" w:ascii="宋体" w:hAnsi="宋体" w:cs="宋体"/>
          <w:b/>
          <w:bCs/>
          <w:color w:val="000000"/>
          <w:sz w:val="24"/>
          <w:szCs w:val="24"/>
        </w:rPr>
        <w:t>项目名称：</w:t>
      </w:r>
    </w:p>
    <w:tbl>
      <w:tblPr>
        <w:tblStyle w:val="46"/>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814"/>
        <w:gridCol w:w="2628"/>
        <w:gridCol w:w="1156"/>
        <w:gridCol w:w="29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86" w:type="dxa"/>
            <w:tcBorders>
              <w:top w:val="single" w:color="auto" w:sz="4" w:space="0"/>
              <w:bottom w:val="single" w:color="auto" w:sz="4" w:space="0"/>
              <w:right w:val="single" w:color="auto" w:sz="4" w:space="0"/>
            </w:tcBorders>
            <w:vAlign w:val="center"/>
          </w:tcPr>
          <w:p>
            <w:pPr>
              <w:pStyle w:val="35"/>
              <w:spacing w:line="400" w:lineRule="exact"/>
              <w:ind w:firstLine="0" w:firstLineChars="0"/>
              <w:rPr>
                <w:rFonts w:ascii="宋体" w:eastAsia="宋体" w:cs="Times New Roman"/>
                <w:b/>
                <w:bCs/>
              </w:rPr>
            </w:pPr>
            <w:r>
              <w:rPr>
                <w:rFonts w:hint="eastAsia" w:ascii="宋体" w:eastAsia="宋体" w:cs="宋体"/>
                <w:b/>
                <w:bCs/>
              </w:rPr>
              <w:t>序号</w:t>
            </w:r>
          </w:p>
        </w:tc>
        <w:tc>
          <w:tcPr>
            <w:tcW w:w="1814" w:type="dxa"/>
            <w:tcBorders>
              <w:top w:val="single" w:color="auto" w:sz="4" w:space="0"/>
              <w:left w:val="single" w:color="auto" w:sz="4" w:space="0"/>
              <w:bottom w:val="single" w:color="auto" w:sz="4" w:space="0"/>
              <w:right w:val="single" w:color="auto" w:sz="4" w:space="0"/>
            </w:tcBorders>
            <w:vAlign w:val="center"/>
          </w:tcPr>
          <w:p>
            <w:pPr>
              <w:pStyle w:val="35"/>
              <w:spacing w:line="400" w:lineRule="exact"/>
              <w:ind w:firstLine="0" w:firstLineChars="0"/>
              <w:rPr>
                <w:rFonts w:ascii="宋体" w:eastAsia="宋体" w:cs="Times New Roman"/>
                <w:b/>
                <w:bCs/>
              </w:rPr>
            </w:pPr>
            <w:r>
              <w:rPr>
                <w:rFonts w:hint="eastAsia" w:ascii="宋体" w:eastAsia="宋体" w:cs="宋体"/>
                <w:b/>
                <w:bCs/>
              </w:rPr>
              <w:t>评审内容</w:t>
            </w:r>
          </w:p>
        </w:tc>
        <w:tc>
          <w:tcPr>
            <w:tcW w:w="2628" w:type="dxa"/>
            <w:tcBorders>
              <w:top w:val="single" w:color="auto" w:sz="4" w:space="0"/>
              <w:left w:val="single" w:color="auto" w:sz="4" w:space="0"/>
              <w:bottom w:val="single" w:color="auto" w:sz="4" w:space="0"/>
              <w:right w:val="single" w:color="auto" w:sz="4" w:space="0"/>
            </w:tcBorders>
            <w:vAlign w:val="center"/>
          </w:tcPr>
          <w:p>
            <w:pPr>
              <w:pStyle w:val="35"/>
              <w:spacing w:line="400" w:lineRule="exact"/>
              <w:ind w:left="367" w:leftChars="175" w:firstLine="482"/>
              <w:rPr>
                <w:rFonts w:ascii="宋体" w:eastAsia="宋体" w:cs="Times New Roman"/>
                <w:b/>
                <w:bCs/>
              </w:rPr>
            </w:pPr>
            <w:r>
              <w:rPr>
                <w:rFonts w:hint="eastAsia" w:ascii="宋体" w:eastAsia="宋体" w:cs="宋体"/>
                <w:b/>
                <w:bCs/>
              </w:rPr>
              <w:t>评分标准</w:t>
            </w:r>
          </w:p>
        </w:tc>
        <w:tc>
          <w:tcPr>
            <w:tcW w:w="1156" w:type="dxa"/>
            <w:tcBorders>
              <w:top w:val="single" w:color="auto" w:sz="4" w:space="0"/>
              <w:left w:val="single" w:color="auto" w:sz="4" w:space="0"/>
              <w:bottom w:val="single" w:color="auto" w:sz="4" w:space="0"/>
              <w:right w:val="single" w:color="auto" w:sz="4" w:space="0"/>
            </w:tcBorders>
            <w:vAlign w:val="center"/>
          </w:tcPr>
          <w:p>
            <w:pPr>
              <w:pStyle w:val="35"/>
              <w:spacing w:line="400" w:lineRule="exact"/>
              <w:ind w:firstLine="0" w:firstLineChars="0"/>
              <w:rPr>
                <w:rFonts w:ascii="宋体" w:eastAsia="宋体" w:cs="Times New Roman"/>
                <w:b/>
                <w:bCs/>
              </w:rPr>
            </w:pPr>
            <w:r>
              <w:rPr>
                <w:rFonts w:hint="eastAsia" w:ascii="宋体" w:eastAsia="宋体" w:cs="宋体"/>
                <w:b/>
                <w:bCs/>
              </w:rPr>
              <w:t>分值</w:t>
            </w:r>
          </w:p>
        </w:tc>
        <w:tc>
          <w:tcPr>
            <w:tcW w:w="2933" w:type="dxa"/>
            <w:tcBorders>
              <w:top w:val="single" w:color="auto" w:sz="4" w:space="0"/>
              <w:left w:val="single" w:color="auto" w:sz="4" w:space="0"/>
              <w:bottom w:val="single" w:color="auto" w:sz="4" w:space="0"/>
            </w:tcBorders>
            <w:vAlign w:val="center"/>
          </w:tcPr>
          <w:p>
            <w:pPr>
              <w:pStyle w:val="35"/>
              <w:spacing w:line="400" w:lineRule="exact"/>
              <w:ind w:left="480" w:firstLine="482"/>
              <w:rPr>
                <w:rFonts w:ascii="宋体" w:eastAsia="宋体" w:cs="Times New Roman"/>
                <w:b/>
                <w:bCs/>
              </w:rPr>
            </w:pPr>
            <w:r>
              <w:rPr>
                <w:rFonts w:hint="eastAsia" w:ascii="宋体" w:eastAsia="宋体" w:cs="宋体"/>
                <w:b/>
                <w:bCs/>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86" w:type="dxa"/>
            <w:tcBorders>
              <w:top w:val="single" w:color="auto" w:sz="4" w:space="0"/>
              <w:bottom w:val="single" w:color="auto" w:sz="4" w:space="0"/>
              <w:right w:val="single" w:color="auto" w:sz="4" w:space="0"/>
            </w:tcBorders>
            <w:vAlign w:val="center"/>
          </w:tcPr>
          <w:p>
            <w:pPr>
              <w:spacing w:line="400" w:lineRule="exact"/>
              <w:rPr>
                <w:rFonts w:ascii="宋体"/>
                <w:b/>
                <w:bCs/>
                <w:color w:val="000000"/>
                <w:sz w:val="24"/>
                <w:szCs w:val="24"/>
              </w:rPr>
            </w:pPr>
            <w:r>
              <w:rPr>
                <w:rFonts w:hint="eastAsia" w:ascii="宋体" w:hAnsi="宋体" w:cs="宋体"/>
                <w:b/>
                <w:bCs/>
                <w:color w:val="000000"/>
                <w:sz w:val="24"/>
                <w:szCs w:val="24"/>
              </w:rPr>
              <w:t>一</w:t>
            </w:r>
          </w:p>
        </w:tc>
        <w:tc>
          <w:tcPr>
            <w:tcW w:w="181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b/>
                <w:bCs/>
                <w:color w:val="000000"/>
                <w:sz w:val="24"/>
                <w:szCs w:val="24"/>
              </w:rPr>
            </w:pPr>
            <w:r>
              <w:rPr>
                <w:rFonts w:hint="eastAsia" w:ascii="宋体" w:hAnsi="宋体" w:cs="宋体"/>
                <w:b/>
                <w:bCs/>
                <w:color w:val="000000"/>
                <w:sz w:val="24"/>
                <w:szCs w:val="24"/>
              </w:rPr>
              <w:t>商务、资信及技术分</w:t>
            </w:r>
          </w:p>
        </w:tc>
        <w:tc>
          <w:tcPr>
            <w:tcW w:w="2628" w:type="dxa"/>
            <w:tcBorders>
              <w:top w:val="single" w:color="auto" w:sz="4" w:space="0"/>
              <w:left w:val="single" w:color="auto" w:sz="4" w:space="0"/>
              <w:bottom w:val="single" w:color="auto" w:sz="4" w:space="0"/>
              <w:right w:val="single" w:color="auto" w:sz="4" w:space="0"/>
            </w:tcBorders>
            <w:vAlign w:val="center"/>
          </w:tcPr>
          <w:p>
            <w:pPr>
              <w:pStyle w:val="35"/>
              <w:spacing w:line="400" w:lineRule="exact"/>
              <w:ind w:left="480" w:firstLine="482"/>
              <w:jc w:val="center"/>
              <w:rPr>
                <w:rFonts w:ascii="宋体" w:eastAsia="宋体" w:cs="Times New Roman"/>
                <w:b/>
                <w:bCs/>
              </w:rPr>
            </w:pPr>
          </w:p>
        </w:tc>
        <w:tc>
          <w:tcPr>
            <w:tcW w:w="1156" w:type="dxa"/>
            <w:tcBorders>
              <w:top w:val="single" w:color="auto" w:sz="4" w:space="0"/>
              <w:left w:val="single" w:color="auto" w:sz="4" w:space="0"/>
              <w:bottom w:val="single" w:color="auto" w:sz="4" w:space="0"/>
              <w:right w:val="single" w:color="auto" w:sz="4" w:space="0"/>
            </w:tcBorders>
            <w:vAlign w:val="center"/>
          </w:tcPr>
          <w:p>
            <w:pPr>
              <w:pStyle w:val="35"/>
              <w:spacing w:line="400" w:lineRule="exact"/>
              <w:ind w:left="480" w:firstLine="482"/>
              <w:jc w:val="center"/>
              <w:rPr>
                <w:rFonts w:ascii="宋体" w:eastAsia="宋体" w:cs="Times New Roman"/>
                <w:b/>
                <w:bCs/>
              </w:rPr>
            </w:pPr>
          </w:p>
        </w:tc>
        <w:tc>
          <w:tcPr>
            <w:tcW w:w="2933" w:type="dxa"/>
            <w:tcBorders>
              <w:top w:val="single" w:color="auto" w:sz="4" w:space="0"/>
              <w:left w:val="single" w:color="auto" w:sz="4" w:space="0"/>
              <w:bottom w:val="single" w:color="auto" w:sz="4" w:space="0"/>
            </w:tcBorders>
            <w:vAlign w:val="center"/>
          </w:tcPr>
          <w:p>
            <w:pPr>
              <w:pStyle w:val="35"/>
              <w:spacing w:line="400" w:lineRule="exact"/>
              <w:ind w:left="480" w:firstLine="482"/>
              <w:jc w:val="center"/>
              <w:rPr>
                <w:rFonts w:ascii="宋体" w:eastAsia="宋体" w:cs="Times New Roman"/>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86" w:type="dxa"/>
            <w:tcBorders>
              <w:top w:val="single" w:color="auto" w:sz="4" w:space="0"/>
              <w:bottom w:val="single" w:color="auto" w:sz="4" w:space="0"/>
              <w:right w:val="single" w:color="auto" w:sz="4" w:space="0"/>
            </w:tcBorders>
            <w:vAlign w:val="center"/>
          </w:tcPr>
          <w:p>
            <w:pPr>
              <w:spacing w:line="400" w:lineRule="exact"/>
              <w:rPr>
                <w:rFonts w:ascii="宋体"/>
                <w:color w:val="000000"/>
                <w:sz w:val="24"/>
                <w:szCs w:val="24"/>
              </w:rPr>
            </w:pPr>
            <w:r>
              <w:rPr>
                <w:rFonts w:ascii="宋体" w:hAnsi="宋体" w:cs="宋体"/>
                <w:color w:val="000000"/>
                <w:sz w:val="24"/>
                <w:szCs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sz w:val="24"/>
                <w:szCs w:val="24"/>
              </w:rPr>
            </w:pPr>
          </w:p>
        </w:tc>
        <w:tc>
          <w:tcPr>
            <w:tcW w:w="2628" w:type="dxa"/>
            <w:tcBorders>
              <w:top w:val="single" w:color="auto" w:sz="4" w:space="0"/>
              <w:left w:val="single" w:color="auto" w:sz="4" w:space="0"/>
              <w:right w:val="single" w:color="auto" w:sz="4" w:space="0"/>
            </w:tcBorders>
            <w:vAlign w:val="center"/>
          </w:tcPr>
          <w:p>
            <w:pPr>
              <w:spacing w:line="400" w:lineRule="exact"/>
              <w:rPr>
                <w:rFonts w:ascii="宋体"/>
                <w:color w:val="000000"/>
                <w:sz w:val="24"/>
                <w:szCs w:val="24"/>
              </w:rPr>
            </w:pPr>
          </w:p>
        </w:tc>
        <w:tc>
          <w:tcPr>
            <w:tcW w:w="1156" w:type="dxa"/>
            <w:tcBorders>
              <w:top w:val="single" w:color="auto" w:sz="4" w:space="0"/>
              <w:left w:val="single" w:color="auto" w:sz="4" w:space="0"/>
              <w:right w:val="single" w:color="auto" w:sz="4" w:space="0"/>
            </w:tcBorders>
            <w:vAlign w:val="center"/>
          </w:tcPr>
          <w:p>
            <w:pPr>
              <w:spacing w:line="400" w:lineRule="exact"/>
              <w:jc w:val="center"/>
              <w:rPr>
                <w:rFonts w:ascii="宋体"/>
                <w:color w:val="000000"/>
                <w:sz w:val="24"/>
                <w:szCs w:val="24"/>
              </w:rPr>
            </w:pPr>
          </w:p>
        </w:tc>
        <w:tc>
          <w:tcPr>
            <w:tcW w:w="2933" w:type="dxa"/>
            <w:tcBorders>
              <w:top w:val="single" w:color="auto" w:sz="4" w:space="0"/>
              <w:left w:val="single" w:color="auto" w:sz="4" w:space="0"/>
            </w:tcBorders>
            <w:vAlign w:val="center"/>
          </w:tcPr>
          <w:p>
            <w:pPr>
              <w:spacing w:line="400" w:lineRule="exact"/>
              <w:jc w:val="center"/>
              <w:rPr>
                <w:rFonts w:ascii="宋体"/>
                <w:color w:val="000000"/>
                <w:sz w:val="24"/>
                <w:szCs w:val="24"/>
              </w:rPr>
            </w:pPr>
            <w:r>
              <w:rPr>
                <w:rFonts w:hint="eastAsia" w:ascii="宋体" w:hAnsi="宋体" w:cs="宋体"/>
                <w:color w:val="000000"/>
                <w:sz w:val="24"/>
                <w:szCs w:val="24"/>
              </w:rPr>
              <w:t>详见资信商务及技术文件第几页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86" w:type="dxa"/>
            <w:tcBorders>
              <w:top w:val="single" w:color="auto" w:sz="4" w:space="0"/>
              <w:bottom w:val="single" w:color="auto" w:sz="4" w:space="0"/>
              <w:right w:val="single" w:color="auto" w:sz="4" w:space="0"/>
            </w:tcBorders>
            <w:vAlign w:val="center"/>
          </w:tcPr>
          <w:p>
            <w:pPr>
              <w:spacing w:line="400" w:lineRule="exact"/>
              <w:rPr>
                <w:rFonts w:ascii="宋体"/>
                <w:color w:val="000000"/>
                <w:sz w:val="24"/>
                <w:szCs w:val="24"/>
              </w:rPr>
            </w:pPr>
            <w:r>
              <w:rPr>
                <w:rFonts w:ascii="宋体" w:hAnsi="宋体" w:cs="宋体"/>
                <w:color w:val="000000"/>
                <w:sz w:val="24"/>
                <w:szCs w:val="24"/>
              </w:rPr>
              <w:t>2</w:t>
            </w:r>
          </w:p>
        </w:tc>
        <w:tc>
          <w:tcPr>
            <w:tcW w:w="181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sz w:val="24"/>
                <w:szCs w:val="24"/>
              </w:rPr>
            </w:pPr>
          </w:p>
        </w:tc>
        <w:tc>
          <w:tcPr>
            <w:tcW w:w="2628" w:type="dxa"/>
            <w:tcBorders>
              <w:top w:val="single" w:color="auto" w:sz="4" w:space="0"/>
              <w:left w:val="single" w:color="auto" w:sz="4" w:space="0"/>
              <w:right w:val="single" w:color="auto" w:sz="4" w:space="0"/>
            </w:tcBorders>
            <w:vAlign w:val="center"/>
          </w:tcPr>
          <w:p>
            <w:pPr>
              <w:spacing w:line="400" w:lineRule="exact"/>
              <w:rPr>
                <w:rFonts w:ascii="宋体"/>
                <w:color w:val="000000"/>
                <w:sz w:val="24"/>
                <w:szCs w:val="24"/>
              </w:rPr>
            </w:pPr>
          </w:p>
        </w:tc>
        <w:tc>
          <w:tcPr>
            <w:tcW w:w="1156" w:type="dxa"/>
            <w:tcBorders>
              <w:top w:val="single" w:color="auto" w:sz="4" w:space="0"/>
              <w:left w:val="single" w:color="auto" w:sz="4" w:space="0"/>
              <w:right w:val="single" w:color="auto" w:sz="4" w:space="0"/>
            </w:tcBorders>
            <w:vAlign w:val="center"/>
          </w:tcPr>
          <w:p>
            <w:pPr>
              <w:spacing w:line="400" w:lineRule="exact"/>
              <w:jc w:val="center"/>
              <w:rPr>
                <w:rFonts w:ascii="宋体"/>
                <w:color w:val="000000"/>
                <w:sz w:val="24"/>
                <w:szCs w:val="24"/>
              </w:rPr>
            </w:pPr>
          </w:p>
        </w:tc>
        <w:tc>
          <w:tcPr>
            <w:tcW w:w="2933" w:type="dxa"/>
            <w:tcBorders>
              <w:top w:val="single" w:color="auto" w:sz="4" w:space="0"/>
              <w:left w:val="single" w:color="auto" w:sz="4" w:space="0"/>
            </w:tcBorders>
            <w:vAlign w:val="center"/>
          </w:tcPr>
          <w:p>
            <w:pPr>
              <w:spacing w:line="400" w:lineRule="exact"/>
              <w:jc w:val="center"/>
              <w:rPr>
                <w:rFonts w:ascii="宋体"/>
                <w:color w:val="000000"/>
                <w:sz w:val="24"/>
                <w:szCs w:val="24"/>
              </w:rPr>
            </w:pP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86" w:type="dxa"/>
            <w:tcBorders>
              <w:bottom w:val="single" w:color="auto" w:sz="4" w:space="0"/>
              <w:right w:val="single" w:color="auto" w:sz="4" w:space="0"/>
            </w:tcBorders>
            <w:vAlign w:val="center"/>
          </w:tcPr>
          <w:p>
            <w:pPr>
              <w:spacing w:line="400" w:lineRule="exact"/>
              <w:rPr>
                <w:rFonts w:ascii="宋体"/>
                <w:color w:val="000000"/>
                <w:sz w:val="24"/>
                <w:szCs w:val="24"/>
              </w:rPr>
            </w:pPr>
            <w:r>
              <w:rPr>
                <w:rFonts w:hint="eastAsia" w:ascii="宋体" w:hAnsi="宋体" w:cs="宋体"/>
                <w:color w:val="000000"/>
                <w:sz w:val="24"/>
                <w:szCs w:val="24"/>
              </w:rPr>
              <w:t>……</w:t>
            </w:r>
          </w:p>
        </w:tc>
        <w:tc>
          <w:tcPr>
            <w:tcW w:w="1814" w:type="dxa"/>
            <w:tcBorders>
              <w:left w:val="single" w:color="auto" w:sz="4" w:space="0"/>
              <w:bottom w:val="single" w:color="auto" w:sz="4" w:space="0"/>
              <w:right w:val="single" w:color="auto" w:sz="4" w:space="0"/>
            </w:tcBorders>
            <w:vAlign w:val="center"/>
          </w:tcPr>
          <w:p>
            <w:pPr>
              <w:spacing w:line="400" w:lineRule="exact"/>
              <w:rPr>
                <w:rFonts w:ascii="宋体"/>
                <w:color w:val="000000"/>
                <w:sz w:val="24"/>
                <w:szCs w:val="24"/>
              </w:rPr>
            </w:pPr>
          </w:p>
        </w:tc>
        <w:tc>
          <w:tcPr>
            <w:tcW w:w="2628" w:type="dxa"/>
            <w:tcBorders>
              <w:top w:val="single" w:color="auto" w:sz="4" w:space="0"/>
              <w:left w:val="single" w:color="auto" w:sz="4" w:space="0"/>
              <w:bottom w:val="single" w:color="auto" w:sz="4" w:space="0"/>
              <w:right w:val="single" w:color="auto" w:sz="4" w:space="0"/>
            </w:tcBorders>
            <w:vAlign w:val="center"/>
          </w:tcPr>
          <w:p>
            <w:pPr>
              <w:spacing w:line="400" w:lineRule="exact"/>
              <w:ind w:left="54" w:leftChars="26"/>
              <w:rPr>
                <w:rFonts w:ascii="宋体"/>
                <w:color w:val="000000"/>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sz w:val="24"/>
                <w:szCs w:val="24"/>
              </w:rPr>
            </w:pPr>
          </w:p>
        </w:tc>
        <w:tc>
          <w:tcPr>
            <w:tcW w:w="2933" w:type="dxa"/>
            <w:tcBorders>
              <w:top w:val="single" w:color="auto" w:sz="4" w:space="0"/>
              <w:left w:val="single" w:color="auto" w:sz="4" w:space="0"/>
              <w:bottom w:val="single" w:color="auto" w:sz="4" w:space="0"/>
            </w:tcBorders>
            <w:vAlign w:val="center"/>
          </w:tcPr>
          <w:p>
            <w:pPr>
              <w:spacing w:line="400" w:lineRule="exact"/>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86" w:type="dxa"/>
            <w:tcBorders>
              <w:top w:val="single" w:color="auto" w:sz="4" w:space="0"/>
              <w:bottom w:val="single" w:color="auto" w:sz="4" w:space="0"/>
              <w:right w:val="single" w:color="auto" w:sz="4" w:space="0"/>
            </w:tcBorders>
            <w:vAlign w:val="center"/>
          </w:tcPr>
          <w:p>
            <w:pPr>
              <w:spacing w:line="400" w:lineRule="exact"/>
              <w:rPr>
                <w:rFonts w:ascii="宋体"/>
                <w:b/>
                <w:bCs/>
                <w:color w:val="000000"/>
                <w:sz w:val="24"/>
                <w:szCs w:val="24"/>
              </w:rPr>
            </w:pPr>
          </w:p>
        </w:tc>
        <w:tc>
          <w:tcPr>
            <w:tcW w:w="181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b/>
                <w:bCs/>
                <w:color w:val="000000"/>
                <w:sz w:val="24"/>
                <w:szCs w:val="24"/>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35"/>
              <w:spacing w:line="400" w:lineRule="exact"/>
              <w:ind w:left="480" w:firstLine="482"/>
              <w:jc w:val="both"/>
              <w:rPr>
                <w:rFonts w:ascii="宋体" w:eastAsia="宋体" w:cs="Times New Roman"/>
                <w:b/>
                <w:bCs/>
              </w:rPr>
            </w:pPr>
          </w:p>
        </w:tc>
        <w:tc>
          <w:tcPr>
            <w:tcW w:w="1156" w:type="dxa"/>
            <w:tcBorders>
              <w:top w:val="single" w:color="auto" w:sz="4" w:space="0"/>
              <w:left w:val="single" w:color="auto" w:sz="4" w:space="0"/>
              <w:bottom w:val="single" w:color="auto" w:sz="4" w:space="0"/>
              <w:right w:val="single" w:color="auto" w:sz="4" w:space="0"/>
            </w:tcBorders>
            <w:vAlign w:val="center"/>
          </w:tcPr>
          <w:p>
            <w:pPr>
              <w:pStyle w:val="35"/>
              <w:spacing w:line="400" w:lineRule="exact"/>
              <w:ind w:left="480" w:firstLine="482"/>
              <w:jc w:val="center"/>
              <w:rPr>
                <w:rFonts w:ascii="宋体" w:eastAsia="宋体" w:cs="Times New Roman"/>
                <w:b/>
                <w:bCs/>
              </w:rPr>
            </w:pPr>
          </w:p>
        </w:tc>
        <w:tc>
          <w:tcPr>
            <w:tcW w:w="2933" w:type="dxa"/>
            <w:tcBorders>
              <w:top w:val="single" w:color="auto" w:sz="4" w:space="0"/>
              <w:left w:val="single" w:color="auto" w:sz="4" w:space="0"/>
              <w:bottom w:val="single" w:color="auto" w:sz="4" w:space="0"/>
            </w:tcBorders>
            <w:vAlign w:val="center"/>
          </w:tcPr>
          <w:p>
            <w:pPr>
              <w:pStyle w:val="35"/>
              <w:spacing w:line="400" w:lineRule="exact"/>
              <w:ind w:left="480" w:firstLine="482"/>
              <w:jc w:val="center"/>
              <w:rPr>
                <w:rFonts w:ascii="宋体" w:eastAsia="宋体" w:cs="Times New Roman"/>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86" w:type="dxa"/>
            <w:tcBorders>
              <w:top w:val="single" w:color="auto" w:sz="4" w:space="0"/>
              <w:bottom w:val="single" w:color="auto" w:sz="4" w:space="0"/>
              <w:right w:val="single" w:color="auto" w:sz="4" w:space="0"/>
            </w:tcBorders>
            <w:vAlign w:val="center"/>
          </w:tcPr>
          <w:p>
            <w:pPr>
              <w:spacing w:line="400" w:lineRule="exact"/>
              <w:rPr>
                <w:rFonts w:ascii="宋体"/>
                <w:color w:val="000000"/>
                <w:sz w:val="24"/>
                <w:szCs w:val="24"/>
              </w:rPr>
            </w:pPr>
          </w:p>
        </w:tc>
        <w:tc>
          <w:tcPr>
            <w:tcW w:w="181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sz w:val="24"/>
                <w:szCs w:val="24"/>
              </w:rPr>
            </w:pPr>
          </w:p>
        </w:tc>
        <w:tc>
          <w:tcPr>
            <w:tcW w:w="262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pPr>
              <w:pStyle w:val="35"/>
              <w:spacing w:line="400" w:lineRule="exact"/>
              <w:ind w:left="480"/>
              <w:jc w:val="center"/>
              <w:rPr>
                <w:rFonts w:ascii="宋体" w:eastAsia="宋体" w:cs="Times New Roman"/>
              </w:rPr>
            </w:pPr>
          </w:p>
        </w:tc>
        <w:tc>
          <w:tcPr>
            <w:tcW w:w="2933" w:type="dxa"/>
            <w:tcBorders>
              <w:top w:val="single" w:color="auto" w:sz="4" w:space="0"/>
              <w:left w:val="single" w:color="auto" w:sz="4" w:space="0"/>
              <w:bottom w:val="single" w:color="auto" w:sz="4" w:space="0"/>
            </w:tcBorders>
            <w:vAlign w:val="center"/>
          </w:tcPr>
          <w:p>
            <w:pPr>
              <w:spacing w:line="400" w:lineRule="exact"/>
              <w:jc w:val="center"/>
              <w:rPr>
                <w:rFonts w:ascii="宋体"/>
                <w:color w:val="000000"/>
                <w:sz w:val="24"/>
                <w:szCs w:val="24"/>
              </w:rPr>
            </w:pPr>
            <w:r>
              <w:rPr>
                <w:rFonts w:hint="eastAsia" w:ascii="宋体" w:hAnsi="宋体" w:cs="宋体"/>
                <w:color w:val="000000"/>
                <w:sz w:val="24"/>
                <w:szCs w:val="24"/>
              </w:rPr>
              <w:t>详见资信商务及技术文件第几页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bottom w:val="single" w:color="auto" w:sz="4" w:space="0"/>
              <w:right w:val="single" w:color="auto" w:sz="4" w:space="0"/>
            </w:tcBorders>
            <w:vAlign w:val="center"/>
          </w:tcPr>
          <w:p>
            <w:pPr>
              <w:spacing w:line="400" w:lineRule="exact"/>
              <w:rPr>
                <w:rFonts w:ascii="宋体"/>
                <w:color w:val="000000"/>
                <w:sz w:val="24"/>
                <w:szCs w:val="24"/>
              </w:rPr>
            </w:pPr>
          </w:p>
        </w:tc>
        <w:tc>
          <w:tcPr>
            <w:tcW w:w="181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sz w:val="24"/>
                <w:szCs w:val="24"/>
              </w:rPr>
            </w:pPr>
          </w:p>
        </w:tc>
        <w:tc>
          <w:tcPr>
            <w:tcW w:w="262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pPr>
              <w:pStyle w:val="35"/>
              <w:spacing w:line="400" w:lineRule="exact"/>
              <w:ind w:left="480"/>
              <w:jc w:val="center"/>
              <w:rPr>
                <w:rFonts w:ascii="宋体" w:eastAsia="宋体" w:cs="Times New Roman"/>
              </w:rPr>
            </w:pPr>
          </w:p>
        </w:tc>
        <w:tc>
          <w:tcPr>
            <w:tcW w:w="2933" w:type="dxa"/>
            <w:tcBorders>
              <w:top w:val="single" w:color="auto" w:sz="4" w:space="0"/>
              <w:left w:val="single" w:color="auto" w:sz="4" w:space="0"/>
              <w:bottom w:val="single" w:color="auto" w:sz="4" w:space="0"/>
            </w:tcBorders>
            <w:vAlign w:val="center"/>
          </w:tcPr>
          <w:p>
            <w:pPr>
              <w:pStyle w:val="35"/>
              <w:spacing w:line="400" w:lineRule="exact"/>
              <w:ind w:left="480"/>
              <w:jc w:val="center"/>
              <w:rPr>
                <w:rFonts w:ascii="宋体" w:eastAsia="宋体" w:cs="Times New Roman"/>
              </w:rPr>
            </w:pPr>
            <w:r>
              <w:rPr>
                <w:rFonts w:hint="eastAsia" w:ascii="宋体" w:eastAsia="宋体" w:cs="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bottom w:val="single" w:color="auto" w:sz="4" w:space="0"/>
              <w:right w:val="single" w:color="auto" w:sz="4" w:space="0"/>
            </w:tcBorders>
            <w:vAlign w:val="center"/>
          </w:tcPr>
          <w:p>
            <w:pPr>
              <w:spacing w:line="400" w:lineRule="exact"/>
              <w:rPr>
                <w:rFonts w:ascii="宋体"/>
                <w:color w:val="000000"/>
                <w:sz w:val="24"/>
                <w:szCs w:val="24"/>
              </w:rPr>
            </w:pPr>
          </w:p>
        </w:tc>
        <w:tc>
          <w:tcPr>
            <w:tcW w:w="181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sz w:val="24"/>
                <w:szCs w:val="24"/>
              </w:rPr>
            </w:pPr>
          </w:p>
        </w:tc>
        <w:tc>
          <w:tcPr>
            <w:tcW w:w="262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pPr>
              <w:pStyle w:val="35"/>
              <w:spacing w:line="400" w:lineRule="exact"/>
              <w:ind w:left="480"/>
              <w:jc w:val="center"/>
              <w:rPr>
                <w:rFonts w:ascii="宋体" w:eastAsia="宋体" w:cs="Times New Roman"/>
              </w:rPr>
            </w:pPr>
          </w:p>
        </w:tc>
        <w:tc>
          <w:tcPr>
            <w:tcW w:w="2933" w:type="dxa"/>
            <w:tcBorders>
              <w:top w:val="single" w:color="auto" w:sz="4" w:space="0"/>
              <w:left w:val="single" w:color="auto" w:sz="4" w:space="0"/>
              <w:bottom w:val="single" w:color="auto" w:sz="4" w:space="0"/>
            </w:tcBorders>
            <w:vAlign w:val="center"/>
          </w:tcPr>
          <w:p>
            <w:pPr>
              <w:pStyle w:val="35"/>
              <w:spacing w:line="400" w:lineRule="exact"/>
              <w:ind w:left="480"/>
              <w:jc w:val="center"/>
              <w:rPr>
                <w:rFonts w:ascii="宋体" w:eastAsia="宋体" w:cs="Times New Roman"/>
              </w:rPr>
            </w:pPr>
          </w:p>
        </w:tc>
      </w:tr>
    </w:tbl>
    <w:p>
      <w:pPr>
        <w:snapToGrid w:val="0"/>
        <w:spacing w:before="50" w:after="50" w:line="400" w:lineRule="exact"/>
        <w:rPr>
          <w:rFonts w:ascii="宋体"/>
          <w:color w:val="000000"/>
          <w:sz w:val="24"/>
          <w:szCs w:val="24"/>
        </w:rPr>
      </w:pPr>
      <w:r>
        <w:rPr>
          <w:rFonts w:hint="eastAsia" w:ascii="宋体" w:hAnsi="宋体" w:cs="宋体"/>
          <w:color w:val="000000"/>
          <w:sz w:val="24"/>
          <w:szCs w:val="24"/>
        </w:rPr>
        <w:t>注：投标单位根据所投标项的评分表内容，按此格式提供并置于资信商务及技术文件第</w:t>
      </w:r>
      <w:r>
        <w:rPr>
          <w:rFonts w:ascii="宋体" w:hAnsi="宋体" w:cs="宋体"/>
          <w:color w:val="000000"/>
          <w:sz w:val="24"/>
          <w:szCs w:val="24"/>
        </w:rPr>
        <w:t>1</w:t>
      </w:r>
      <w:r>
        <w:rPr>
          <w:rFonts w:hint="eastAsia" w:ascii="宋体" w:hAnsi="宋体" w:cs="宋体"/>
          <w:color w:val="000000"/>
          <w:sz w:val="24"/>
          <w:szCs w:val="24"/>
        </w:rPr>
        <w:t>页。</w:t>
      </w:r>
    </w:p>
    <w:p>
      <w:pPr>
        <w:snapToGrid w:val="0"/>
        <w:spacing w:before="50" w:after="156" w:afterLines="50"/>
        <w:jc w:val="left"/>
        <w:rPr>
          <w:rFonts w:ascii="宋体"/>
          <w:b/>
          <w:bCs/>
          <w:sz w:val="24"/>
          <w:szCs w:val="24"/>
        </w:rPr>
      </w:pPr>
    </w:p>
    <w:p>
      <w:pPr>
        <w:jc w:val="left"/>
      </w:pPr>
    </w:p>
    <w:p>
      <w:pPr>
        <w:jc w:val="left"/>
      </w:pPr>
    </w:p>
    <w:p>
      <w:pPr>
        <w:sectPr>
          <w:headerReference r:id="rId9" w:type="default"/>
          <w:footerReference r:id="rId10" w:type="default"/>
          <w:pgSz w:w="11906" w:h="16838"/>
          <w:pgMar w:top="1417" w:right="1417" w:bottom="1417" w:left="1417" w:header="283" w:footer="992" w:gutter="0"/>
          <w:pgNumType w:fmt="numberInDash"/>
          <w:cols w:space="720" w:num="1"/>
          <w:docGrid w:type="linesAndChars" w:linePitch="312" w:charSpace="0"/>
        </w:sectPr>
      </w:pPr>
    </w:p>
    <w:p>
      <w:pPr>
        <w:snapToGrid w:val="0"/>
        <w:spacing w:before="50" w:after="156" w:afterLines="50" w:line="360" w:lineRule="auto"/>
        <w:jc w:val="left"/>
        <w:outlineLvl w:val="2"/>
        <w:rPr>
          <w:rFonts w:ascii="宋体"/>
          <w:b/>
          <w:bCs/>
          <w:color w:val="0D0D0D"/>
          <w:sz w:val="24"/>
          <w:szCs w:val="24"/>
        </w:rPr>
      </w:pPr>
      <w:r>
        <w:rPr>
          <w:rFonts w:ascii="宋体" w:hAnsi="宋体" w:cs="宋体"/>
          <w:b/>
          <w:bCs/>
          <w:color w:val="0D0D0D"/>
          <w:sz w:val="24"/>
          <w:szCs w:val="24"/>
        </w:rPr>
        <w:t>2.2</w:t>
      </w:r>
      <w:r>
        <w:rPr>
          <w:rFonts w:hint="eastAsia" w:ascii="宋体" w:hAnsi="宋体" w:cs="宋体"/>
          <w:b/>
          <w:bCs/>
          <w:color w:val="0D0D0D"/>
          <w:sz w:val="24"/>
          <w:szCs w:val="24"/>
        </w:rPr>
        <w:t>投标声明书格式：</w:t>
      </w:r>
    </w:p>
    <w:p>
      <w:pPr>
        <w:snapToGrid w:val="0"/>
        <w:spacing w:before="156" w:beforeLines="50" w:after="50" w:line="360" w:lineRule="auto"/>
        <w:jc w:val="center"/>
        <w:rPr>
          <w:rFonts w:ascii="宋体"/>
          <w:color w:val="0D0D0D"/>
          <w:sz w:val="24"/>
          <w:szCs w:val="24"/>
        </w:rPr>
      </w:pPr>
      <w:r>
        <w:rPr>
          <w:rFonts w:hint="eastAsia" w:ascii="宋体" w:hAnsi="宋体" w:cs="宋体"/>
          <w:color w:val="0D0D0D"/>
          <w:sz w:val="24"/>
          <w:szCs w:val="24"/>
        </w:rPr>
        <w:t>投标声明书</w:t>
      </w:r>
    </w:p>
    <w:p>
      <w:pPr>
        <w:snapToGrid w:val="0"/>
        <w:spacing w:before="156" w:beforeLines="50" w:after="50" w:line="360" w:lineRule="auto"/>
        <w:rPr>
          <w:rFonts w:ascii="宋体"/>
          <w:color w:val="0D0D0D"/>
          <w:sz w:val="24"/>
          <w:szCs w:val="24"/>
        </w:rPr>
      </w:pPr>
      <w:r>
        <w:rPr>
          <w:rFonts w:hint="eastAsia" w:ascii="宋体" w:hAnsi="宋体" w:cs="宋体"/>
          <w:color w:val="0D0D0D"/>
          <w:sz w:val="24"/>
          <w:szCs w:val="24"/>
        </w:rPr>
        <w:t>致：</w:t>
      </w:r>
      <w:r>
        <w:rPr>
          <w:rFonts w:ascii="宋体" w:hAnsi="宋体" w:cs="宋体"/>
          <w:color w:val="0D0D0D"/>
          <w:sz w:val="24"/>
          <w:szCs w:val="24"/>
          <w:u w:val="single"/>
        </w:rPr>
        <w:t>_</w:t>
      </w:r>
      <w:r>
        <w:rPr>
          <w:rFonts w:hint="eastAsia" w:ascii="宋体" w:hAnsi="宋体" w:cs="宋体"/>
          <w:color w:val="0D0D0D"/>
          <w:sz w:val="24"/>
          <w:szCs w:val="24"/>
          <w:u w:val="single"/>
        </w:rPr>
        <w:t>金华市金诚招投标代理有限公司</w:t>
      </w:r>
      <w:r>
        <w:rPr>
          <w:rFonts w:ascii="宋体" w:hAnsi="宋体" w:cs="宋体"/>
          <w:color w:val="0D0D0D"/>
          <w:sz w:val="24"/>
          <w:szCs w:val="24"/>
          <w:u w:val="single"/>
        </w:rPr>
        <w:t>_</w:t>
      </w:r>
      <w:r>
        <w:rPr>
          <w:rFonts w:hint="eastAsia" w:ascii="宋体" w:hAnsi="宋体" w:cs="宋体"/>
          <w:color w:val="0D0D0D"/>
          <w:sz w:val="24"/>
          <w:szCs w:val="24"/>
        </w:rPr>
        <w:t>：</w:t>
      </w:r>
    </w:p>
    <w:p>
      <w:pPr>
        <w:snapToGrid w:val="0"/>
        <w:spacing w:before="156" w:beforeLines="50" w:after="50" w:line="360" w:lineRule="auto"/>
        <w:ind w:firstLine="480" w:firstLineChars="200"/>
        <w:rPr>
          <w:rFonts w:ascii="宋体"/>
          <w:color w:val="0D0D0D"/>
          <w:sz w:val="24"/>
          <w:szCs w:val="24"/>
          <w:u w:val="single"/>
        </w:rPr>
      </w:pPr>
      <w:r>
        <w:rPr>
          <w:rFonts w:hint="eastAsia" w:ascii="宋体" w:hAnsi="宋体" w:cs="宋体"/>
          <w:color w:val="0D0D0D"/>
          <w:sz w:val="24"/>
          <w:szCs w:val="24"/>
          <w:u w:val="single"/>
        </w:rPr>
        <w:t>（投标人名称）</w:t>
      </w:r>
      <w:r>
        <w:rPr>
          <w:rFonts w:hint="eastAsia" w:ascii="宋体" w:hAnsi="宋体" w:cs="宋体"/>
          <w:color w:val="0D0D0D"/>
          <w:sz w:val="24"/>
          <w:szCs w:val="24"/>
        </w:rPr>
        <w:t>系中华人民共和国合法企业，经营地址。我</w:t>
      </w:r>
      <w:r>
        <w:rPr>
          <w:rFonts w:ascii="宋体" w:hAnsi="宋体" w:cs="宋体"/>
          <w:color w:val="0D0D0D"/>
          <w:sz w:val="24"/>
          <w:szCs w:val="24"/>
          <w:u w:val="single"/>
        </w:rPr>
        <w:t xml:space="preserve">_      </w:t>
      </w:r>
      <w:r>
        <w:rPr>
          <w:rFonts w:hint="eastAsia" w:ascii="宋体" w:hAnsi="宋体" w:cs="宋体"/>
          <w:color w:val="0D0D0D"/>
          <w:sz w:val="24"/>
          <w:szCs w:val="24"/>
          <w:u w:val="single"/>
        </w:rPr>
        <w:t>（姓名）</w:t>
      </w:r>
      <w:r>
        <w:rPr>
          <w:rFonts w:hint="eastAsia" w:ascii="宋体" w:hAnsi="宋体" w:cs="宋体"/>
          <w:color w:val="0D0D0D"/>
          <w:sz w:val="24"/>
          <w:szCs w:val="24"/>
        </w:rPr>
        <w:t>系</w:t>
      </w:r>
      <w:r>
        <w:rPr>
          <w:rFonts w:ascii="宋体" w:hAnsi="宋体" w:cs="宋体"/>
          <w:color w:val="0D0D0D"/>
          <w:sz w:val="24"/>
          <w:szCs w:val="24"/>
          <w:u w:val="single"/>
        </w:rPr>
        <w:t xml:space="preserve">__      </w:t>
      </w:r>
      <w:r>
        <w:rPr>
          <w:rFonts w:hint="eastAsia" w:ascii="宋体" w:hAnsi="宋体" w:cs="宋体"/>
          <w:color w:val="0D0D0D"/>
          <w:sz w:val="24"/>
          <w:szCs w:val="24"/>
          <w:u w:val="single"/>
        </w:rPr>
        <w:t>（投标人名称）</w:t>
      </w:r>
      <w:r>
        <w:rPr>
          <w:rFonts w:hint="eastAsia" w:ascii="宋体" w:hAnsi="宋体" w:cs="宋体"/>
          <w:color w:val="0D0D0D"/>
          <w:sz w:val="24"/>
          <w:szCs w:val="24"/>
        </w:rPr>
        <w:t>的法定代表人，我方愿意参加贵方组织的</w:t>
      </w:r>
      <w:r>
        <w:rPr>
          <w:rFonts w:hint="eastAsia" w:ascii="宋体" w:hAnsi="宋体" w:cs="宋体"/>
          <w:color w:val="000000"/>
          <w:sz w:val="24"/>
          <w:szCs w:val="24"/>
          <w:u w:val="single"/>
        </w:rPr>
        <w:t>东阳江流域江北片区排口溯源及水环境整治提升方案服务采购项目</w:t>
      </w:r>
      <w:r>
        <w:rPr>
          <w:rFonts w:hint="eastAsia" w:hAnsi="宋体" w:cs="宋体"/>
          <w:sz w:val="24"/>
          <w:szCs w:val="24"/>
        </w:rPr>
        <w:t>的投</w:t>
      </w:r>
      <w:r>
        <w:rPr>
          <w:rFonts w:hint="eastAsia" w:ascii="宋体" w:hAnsi="宋体" w:cs="宋体"/>
          <w:color w:val="0D0D0D"/>
          <w:sz w:val="24"/>
          <w:szCs w:val="24"/>
        </w:rPr>
        <w:t>标，为便于贵方公正、择优地确定中标人，我方就本次投标有关事项郑重声明如下：</w:t>
      </w:r>
    </w:p>
    <w:p>
      <w:pPr>
        <w:snapToGrid w:val="0"/>
        <w:spacing w:line="360" w:lineRule="auto"/>
        <w:ind w:firstLine="480" w:firstLineChars="200"/>
        <w:rPr>
          <w:rFonts w:ascii="宋体"/>
          <w:color w:val="0D0D0D"/>
          <w:sz w:val="24"/>
          <w:szCs w:val="24"/>
        </w:rPr>
      </w:pPr>
      <w:r>
        <w:rPr>
          <w:rFonts w:ascii="宋体" w:hAnsi="宋体" w:cs="宋体"/>
          <w:color w:val="0D0D0D"/>
          <w:sz w:val="24"/>
          <w:szCs w:val="24"/>
        </w:rPr>
        <w:t>1</w:t>
      </w:r>
      <w:r>
        <w:rPr>
          <w:rFonts w:ascii="宋体" w:cs="宋体"/>
          <w:color w:val="0D0D0D"/>
          <w:sz w:val="24"/>
          <w:szCs w:val="24"/>
        </w:rPr>
        <w:t>.</w:t>
      </w:r>
      <w:r>
        <w:rPr>
          <w:rFonts w:hint="eastAsia" w:ascii="宋体" w:hAnsi="宋体" w:cs="宋体"/>
          <w:color w:val="0D0D0D"/>
          <w:sz w:val="24"/>
          <w:szCs w:val="24"/>
        </w:rPr>
        <w:t>我方向贵方提交的所有投标文件、资料都是准确的和真实的。</w:t>
      </w:r>
    </w:p>
    <w:p>
      <w:pPr>
        <w:snapToGrid w:val="0"/>
        <w:spacing w:before="156" w:beforeLines="50" w:line="360" w:lineRule="auto"/>
        <w:ind w:firstLine="480" w:firstLineChars="200"/>
        <w:rPr>
          <w:rFonts w:ascii="宋体"/>
          <w:color w:val="0D0D0D"/>
          <w:sz w:val="24"/>
          <w:szCs w:val="24"/>
        </w:rPr>
      </w:pPr>
      <w:r>
        <w:rPr>
          <w:rFonts w:ascii="宋体" w:hAnsi="宋体" w:cs="宋体"/>
          <w:color w:val="0D0D0D"/>
          <w:sz w:val="24"/>
          <w:szCs w:val="24"/>
        </w:rPr>
        <w:t>2</w:t>
      </w:r>
      <w:r>
        <w:rPr>
          <w:rFonts w:ascii="宋体" w:cs="宋体"/>
          <w:color w:val="0D0D0D"/>
          <w:sz w:val="24"/>
          <w:szCs w:val="24"/>
        </w:rPr>
        <w:t>.</w:t>
      </w:r>
      <w:r>
        <w:rPr>
          <w:rFonts w:hint="eastAsia" w:ascii="宋体" w:hAnsi="宋体" w:cs="宋体"/>
          <w:color w:val="0D0D0D"/>
          <w:sz w:val="24"/>
          <w:szCs w:val="24"/>
        </w:rPr>
        <w:t>我方不是采购人的附属机构，在获知本项目采购信息后，与采购人聘请的为此项目提供咨询服务的公司及其附属机构没有任何联系。</w:t>
      </w:r>
    </w:p>
    <w:p>
      <w:pPr>
        <w:pStyle w:val="8"/>
        <w:snapToGrid w:val="0"/>
        <w:spacing w:line="360" w:lineRule="auto"/>
        <w:ind w:firstLine="464" w:firstLineChars="200"/>
        <w:rPr>
          <w:rFonts w:hAnsi="宋体" w:cs="Times New Roman"/>
          <w:color w:val="0D0D0D"/>
          <w:sz w:val="24"/>
          <w:szCs w:val="24"/>
        </w:rPr>
      </w:pPr>
      <w:r>
        <w:rPr>
          <w:rFonts w:hAnsi="宋体"/>
          <w:sz w:val="24"/>
          <w:szCs w:val="24"/>
        </w:rPr>
        <w:t>3</w:t>
      </w:r>
      <w:r>
        <w:rPr>
          <w:sz w:val="24"/>
          <w:szCs w:val="24"/>
        </w:rPr>
        <w:t>.</w:t>
      </w:r>
      <w:r>
        <w:rPr>
          <w:rFonts w:hint="eastAsia" w:hAnsi="宋体"/>
          <w:color w:val="0D0D0D"/>
          <w:sz w:val="24"/>
          <w:szCs w:val="24"/>
        </w:rPr>
        <w:t>我方及由本人担任法定代表人的其他机构最近三年内被通报、被处罚的违法行为或者可认定为不良行为的有：</w:t>
      </w:r>
    </w:p>
    <w:p>
      <w:pPr>
        <w:snapToGrid w:val="0"/>
        <w:spacing w:before="156" w:beforeLines="50" w:line="360" w:lineRule="auto"/>
        <w:ind w:firstLine="480" w:firstLineChars="200"/>
        <w:rPr>
          <w:rFonts w:ascii="宋体"/>
          <w:color w:val="0D0D0D"/>
          <w:sz w:val="24"/>
          <w:szCs w:val="24"/>
          <w:u w:val="single"/>
        </w:rPr>
      </w:pPr>
      <w:r>
        <w:rPr>
          <w:rFonts w:hint="eastAsia" w:ascii="宋体" w:hAnsi="宋体" w:cs="宋体"/>
          <w:color w:val="0D0D0D"/>
          <w:sz w:val="24"/>
          <w:szCs w:val="24"/>
          <w:u w:val="single"/>
        </w:rPr>
        <w:t>　　　　　　　　　　　　　　　　　　　　　　　　　　　</w:t>
      </w:r>
    </w:p>
    <w:p>
      <w:pPr>
        <w:snapToGrid w:val="0"/>
        <w:spacing w:line="360" w:lineRule="auto"/>
        <w:ind w:firstLine="464" w:firstLineChars="200"/>
        <w:rPr>
          <w:rFonts w:hAnsi="宋体"/>
          <w:sz w:val="24"/>
          <w:szCs w:val="24"/>
        </w:rPr>
      </w:pPr>
      <w:r>
        <w:rPr>
          <w:rFonts w:hint="eastAsia" w:ascii="宋体" w:hAnsi="宋体" w:cs="宋体"/>
          <w:color w:val="0D0D0D"/>
          <w:spacing w:val="-4"/>
          <w:sz w:val="24"/>
          <w:szCs w:val="24"/>
        </w:rPr>
        <w:t>4</w:t>
      </w:r>
      <w:r>
        <w:rPr>
          <w:rFonts w:ascii="宋体" w:cs="宋体"/>
          <w:color w:val="0D0D0D"/>
          <w:spacing w:val="-4"/>
          <w:sz w:val="24"/>
          <w:szCs w:val="24"/>
        </w:rPr>
        <w:t>.</w:t>
      </w:r>
      <w:r>
        <w:rPr>
          <w:rFonts w:hint="eastAsia" w:ascii="宋体" w:hAnsi="宋体" w:cs="宋体"/>
          <w:color w:val="0D0D0D"/>
          <w:spacing w:val="-4"/>
          <w:sz w:val="24"/>
          <w:szCs w:val="24"/>
        </w:rPr>
        <w:t>以上事项如有虚假或隐瞒，我方愿意承担一切后果，并不再寻求任何旨在减轻或免除法律责任的辩解。</w:t>
      </w:r>
    </w:p>
    <w:p>
      <w:pPr>
        <w:snapToGrid w:val="0"/>
        <w:spacing w:before="156" w:beforeLines="50" w:line="360" w:lineRule="auto"/>
        <w:ind w:firstLine="319" w:firstLineChars="133"/>
        <w:rPr>
          <w:rFonts w:ascii="宋体"/>
          <w:sz w:val="24"/>
          <w:szCs w:val="24"/>
          <w:u w:val="single"/>
        </w:rPr>
      </w:pPr>
      <w:r>
        <w:rPr>
          <w:rFonts w:hint="eastAsia" w:ascii="宋体" w:hAnsi="宋体" w:cs="宋体"/>
          <w:sz w:val="24"/>
          <w:szCs w:val="24"/>
        </w:rPr>
        <w:t>法定代表人或授权代表签字：</w:t>
      </w:r>
    </w:p>
    <w:p>
      <w:pPr>
        <w:snapToGrid w:val="0"/>
        <w:spacing w:before="156" w:beforeLines="50" w:after="50"/>
        <w:ind w:firstLine="360" w:firstLineChars="150"/>
        <w:rPr>
          <w:rFonts w:ascii="宋体"/>
          <w:sz w:val="24"/>
          <w:szCs w:val="24"/>
        </w:rPr>
      </w:pPr>
      <w:r>
        <w:rPr>
          <w:rFonts w:hint="eastAsia" w:ascii="宋体" w:hAnsi="宋体" w:cs="宋体"/>
          <w:sz w:val="24"/>
          <w:szCs w:val="24"/>
        </w:rPr>
        <w:t>投标人公章：</w:t>
      </w:r>
    </w:p>
    <w:p>
      <w:pPr>
        <w:snapToGrid w:val="0"/>
        <w:spacing w:before="50" w:after="156" w:afterLines="50" w:line="360" w:lineRule="auto"/>
        <w:ind w:firstLine="5040" w:firstLineChars="2100"/>
        <w:jc w:val="left"/>
        <w:outlineLvl w:val="2"/>
        <w:rPr>
          <w:rFonts w:ascii="宋体"/>
          <w:b/>
          <w:bCs/>
          <w:color w:val="0D0D0D"/>
          <w:sz w:val="24"/>
          <w:szCs w:val="24"/>
        </w:rPr>
      </w:pPr>
      <w:r>
        <w:rPr>
          <w:rFonts w:hint="eastAsia" w:ascii="宋体" w:hAnsi="宋体" w:cs="宋体"/>
          <w:sz w:val="24"/>
          <w:szCs w:val="24"/>
        </w:rPr>
        <w:t>年月日</w:t>
      </w:r>
    </w:p>
    <w:p>
      <w:pPr>
        <w:jc w:val="left"/>
      </w:pPr>
    </w:p>
    <w:p>
      <w:pPr>
        <w:jc w:val="left"/>
      </w:pPr>
    </w:p>
    <w:p>
      <w:pPr>
        <w:jc w:val="left"/>
      </w:pPr>
    </w:p>
    <w:p>
      <w:pPr>
        <w:jc w:val="left"/>
      </w:pPr>
    </w:p>
    <w:p>
      <w:pPr>
        <w:jc w:val="left"/>
      </w:pPr>
    </w:p>
    <w:p>
      <w:pPr>
        <w:jc w:val="left"/>
      </w:pPr>
    </w:p>
    <w:p>
      <w:pPr>
        <w:jc w:val="left"/>
        <w:rPr>
          <w:rFonts w:ascii="宋体" w:hAnsi="宋体" w:cs="宋体"/>
          <w:b/>
          <w:bCs/>
          <w:color w:val="0D0D0D"/>
          <w:sz w:val="24"/>
          <w:szCs w:val="24"/>
        </w:rPr>
      </w:pPr>
      <w:r>
        <w:rPr>
          <w:rFonts w:ascii="宋体" w:hAnsi="宋体" w:cs="宋体"/>
          <w:b/>
          <w:bCs/>
          <w:color w:val="0D0D0D"/>
          <w:sz w:val="24"/>
          <w:szCs w:val="24"/>
        </w:rPr>
        <w:br w:type="page"/>
      </w:r>
    </w:p>
    <w:p>
      <w:pPr>
        <w:snapToGrid w:val="0"/>
        <w:spacing w:before="50" w:after="156" w:afterLines="50" w:line="360" w:lineRule="auto"/>
        <w:jc w:val="left"/>
        <w:outlineLvl w:val="2"/>
        <w:rPr>
          <w:rFonts w:ascii="宋体"/>
          <w:color w:val="0D0D0D"/>
          <w:sz w:val="24"/>
          <w:szCs w:val="24"/>
        </w:rPr>
      </w:pPr>
      <w:r>
        <w:rPr>
          <w:rFonts w:ascii="宋体" w:hAnsi="宋体" w:cs="宋体"/>
          <w:b/>
          <w:bCs/>
          <w:color w:val="0D0D0D"/>
          <w:sz w:val="24"/>
          <w:szCs w:val="24"/>
        </w:rPr>
        <w:t>2.3</w:t>
      </w:r>
      <w:r>
        <w:rPr>
          <w:rFonts w:hint="eastAsia" w:ascii="宋体" w:hAnsi="宋体" w:cs="宋体"/>
          <w:b/>
          <w:bCs/>
          <w:color w:val="0D0D0D"/>
          <w:sz w:val="24"/>
          <w:szCs w:val="24"/>
        </w:rPr>
        <w:t>法定代表人授权委托书格式：</w:t>
      </w:r>
    </w:p>
    <w:p>
      <w:pPr>
        <w:snapToGrid w:val="0"/>
        <w:spacing w:before="156" w:beforeLines="50" w:after="50" w:line="360" w:lineRule="auto"/>
        <w:jc w:val="center"/>
        <w:rPr>
          <w:rFonts w:ascii="宋体"/>
          <w:b/>
          <w:bCs/>
          <w:color w:val="0D0D0D"/>
          <w:sz w:val="24"/>
          <w:szCs w:val="24"/>
        </w:rPr>
      </w:pPr>
      <w:r>
        <w:rPr>
          <w:rFonts w:hint="eastAsia" w:ascii="宋体" w:hAnsi="宋体" w:cs="宋体"/>
          <w:b/>
          <w:bCs/>
          <w:color w:val="0D0D0D"/>
          <w:sz w:val="24"/>
          <w:szCs w:val="24"/>
        </w:rPr>
        <w:t>法定代表人授权委托书</w:t>
      </w:r>
    </w:p>
    <w:p>
      <w:pPr>
        <w:snapToGrid w:val="0"/>
        <w:spacing w:before="156" w:beforeLines="50" w:after="50" w:line="360" w:lineRule="auto"/>
        <w:rPr>
          <w:rFonts w:ascii="宋体"/>
          <w:b/>
          <w:bCs/>
          <w:color w:val="0D0D0D"/>
          <w:sz w:val="24"/>
          <w:szCs w:val="24"/>
        </w:rPr>
      </w:pPr>
      <w:r>
        <w:rPr>
          <w:rFonts w:hint="eastAsia" w:ascii="宋体" w:hAnsi="宋体" w:cs="宋体"/>
          <w:color w:val="0D0D0D"/>
          <w:sz w:val="24"/>
          <w:szCs w:val="24"/>
        </w:rPr>
        <w:t>致：</w:t>
      </w:r>
      <w:r>
        <w:rPr>
          <w:rFonts w:ascii="宋体" w:hAnsi="宋体" w:cs="宋体"/>
          <w:color w:val="0D0D0D"/>
          <w:sz w:val="24"/>
          <w:szCs w:val="24"/>
          <w:u w:val="single"/>
        </w:rPr>
        <w:t>_</w:t>
      </w:r>
      <w:r>
        <w:rPr>
          <w:rFonts w:hint="eastAsia" w:ascii="宋体" w:hAnsi="宋体" w:cs="宋体"/>
          <w:color w:val="0D0D0D"/>
          <w:sz w:val="24"/>
          <w:szCs w:val="24"/>
          <w:u w:val="single"/>
        </w:rPr>
        <w:t>金华市金诚招投标代理有限公司</w:t>
      </w:r>
      <w:r>
        <w:rPr>
          <w:rFonts w:ascii="宋体" w:hAnsi="宋体" w:cs="宋体"/>
          <w:color w:val="0D0D0D"/>
          <w:sz w:val="24"/>
          <w:szCs w:val="24"/>
          <w:u w:val="single"/>
        </w:rPr>
        <w:t>_</w:t>
      </w:r>
      <w:r>
        <w:rPr>
          <w:rFonts w:hint="eastAsia" w:ascii="宋体" w:hAnsi="宋体" w:cs="宋体"/>
          <w:color w:val="0D0D0D"/>
          <w:sz w:val="24"/>
          <w:szCs w:val="24"/>
        </w:rPr>
        <w:t>：</w:t>
      </w:r>
    </w:p>
    <w:p>
      <w:pPr>
        <w:spacing w:before="156" w:beforeLines="50" w:after="156" w:afterLines="50" w:line="360" w:lineRule="auto"/>
        <w:ind w:firstLine="480" w:firstLineChars="200"/>
        <w:rPr>
          <w:rFonts w:ascii="宋体"/>
          <w:color w:val="0D0D0D"/>
          <w:sz w:val="24"/>
          <w:szCs w:val="24"/>
        </w:rPr>
      </w:pPr>
      <w:r>
        <w:rPr>
          <w:rFonts w:hint="eastAsia" w:ascii="宋体" w:hAnsi="宋体" w:cs="宋体"/>
          <w:color w:val="0D0D0D"/>
          <w:sz w:val="24"/>
          <w:szCs w:val="24"/>
        </w:rPr>
        <w:t>我</w:t>
      </w:r>
      <w:r>
        <w:rPr>
          <w:rFonts w:ascii="宋体" w:hAnsi="宋体" w:cs="宋体"/>
          <w:color w:val="0D0D0D"/>
          <w:sz w:val="24"/>
          <w:szCs w:val="24"/>
          <w:u w:val="single"/>
        </w:rPr>
        <w:t>____</w:t>
      </w:r>
      <w:r>
        <w:rPr>
          <w:rFonts w:hint="eastAsia" w:ascii="宋体" w:hAnsi="宋体" w:cs="宋体"/>
          <w:color w:val="0D0D0D"/>
          <w:sz w:val="24"/>
          <w:szCs w:val="24"/>
          <w:u w:val="single"/>
        </w:rPr>
        <w:t>（姓名）</w:t>
      </w:r>
      <w:r>
        <w:rPr>
          <w:rFonts w:hint="eastAsia" w:ascii="宋体" w:hAnsi="宋体" w:cs="宋体"/>
          <w:color w:val="0D0D0D"/>
          <w:sz w:val="24"/>
          <w:szCs w:val="24"/>
        </w:rPr>
        <w:t>系</w:t>
      </w:r>
      <w:r>
        <w:rPr>
          <w:rFonts w:hint="eastAsia" w:ascii="宋体" w:hAnsi="宋体" w:cs="宋体"/>
          <w:color w:val="0D0D0D"/>
          <w:sz w:val="24"/>
          <w:szCs w:val="24"/>
          <w:u w:val="single"/>
        </w:rPr>
        <w:t xml:space="preserve">              （投标人名称）</w:t>
      </w:r>
      <w:r>
        <w:rPr>
          <w:rFonts w:hint="eastAsia" w:ascii="宋体" w:hAnsi="宋体" w:cs="宋体"/>
          <w:color w:val="0D0D0D"/>
          <w:sz w:val="24"/>
          <w:szCs w:val="24"/>
        </w:rPr>
        <w:t>的法定代表人，现授权委托本单位在职职工</w:t>
      </w:r>
      <w:r>
        <w:rPr>
          <w:rFonts w:hint="eastAsia" w:ascii="宋体" w:hAnsi="宋体" w:cs="宋体"/>
          <w:color w:val="0D0D0D"/>
          <w:sz w:val="24"/>
          <w:szCs w:val="24"/>
          <w:u w:val="single"/>
        </w:rPr>
        <w:t>（姓名）</w:t>
      </w:r>
      <w:r>
        <w:rPr>
          <w:rFonts w:hint="eastAsia" w:ascii="宋体" w:hAnsi="宋体" w:cs="宋体"/>
          <w:color w:val="0D0D0D"/>
          <w:sz w:val="24"/>
          <w:szCs w:val="24"/>
        </w:rPr>
        <w:t>以我方的名义参加</w:t>
      </w:r>
      <w:r>
        <w:rPr>
          <w:rFonts w:hint="eastAsia" w:ascii="宋体" w:hAnsi="宋体" w:cs="宋体"/>
          <w:color w:val="000000"/>
          <w:sz w:val="24"/>
          <w:szCs w:val="24"/>
          <w:u w:val="single"/>
        </w:rPr>
        <w:t>东阳江流域江北片区排口溯源及水环境整治提升方案服务采购项目</w:t>
      </w:r>
      <w:r>
        <w:rPr>
          <w:rFonts w:hint="eastAsia" w:ascii="宋体" w:hAnsi="宋体" w:cs="宋体"/>
          <w:color w:val="0D0D0D"/>
          <w:sz w:val="24"/>
          <w:szCs w:val="24"/>
        </w:rPr>
        <w:t>的投标活动，并代表我方全权办理针对上述项目的投标、开标、评标、签约等具体事务和签署相关文件。</w:t>
      </w:r>
    </w:p>
    <w:p>
      <w:pPr>
        <w:snapToGrid w:val="0"/>
        <w:spacing w:before="156" w:beforeLines="50" w:after="50" w:line="360" w:lineRule="auto"/>
        <w:rPr>
          <w:rFonts w:ascii="宋体"/>
          <w:color w:val="0D0D0D"/>
          <w:sz w:val="24"/>
          <w:szCs w:val="24"/>
        </w:rPr>
      </w:pPr>
      <w:r>
        <w:rPr>
          <w:rFonts w:hint="eastAsia" w:ascii="宋体" w:hAnsi="宋体" w:cs="宋体"/>
          <w:color w:val="0D0D0D"/>
          <w:sz w:val="24"/>
          <w:szCs w:val="24"/>
        </w:rPr>
        <w:t>我方对被授权人的签名事项负全部责任。</w:t>
      </w:r>
    </w:p>
    <w:p>
      <w:pPr>
        <w:snapToGrid w:val="0"/>
        <w:spacing w:before="156" w:beforeLines="50" w:after="50" w:line="360" w:lineRule="auto"/>
        <w:ind w:firstLine="480"/>
        <w:rPr>
          <w:rFonts w:ascii="宋体" w:hAnsi="宋体" w:cs="宋体"/>
          <w:color w:val="0D0D0D"/>
          <w:sz w:val="24"/>
          <w:szCs w:val="24"/>
          <w:u w:val="single"/>
        </w:rPr>
      </w:pPr>
      <w:r>
        <w:rPr>
          <w:rFonts w:hint="eastAsia" w:ascii="宋体" w:hAnsi="宋体" w:cs="宋体"/>
          <w:color w:val="0D0D0D"/>
          <w:sz w:val="24"/>
          <w:szCs w:val="24"/>
          <w:u w:val="single"/>
        </w:rPr>
        <w:t>委托期限：自开标之日起生效至本项目投标有效期截止之日止。</w:t>
      </w:r>
    </w:p>
    <w:p>
      <w:pPr>
        <w:snapToGrid w:val="0"/>
        <w:spacing w:before="156" w:beforeLines="50" w:after="50" w:line="360" w:lineRule="auto"/>
        <w:ind w:firstLine="480"/>
        <w:rPr>
          <w:rFonts w:ascii="宋体"/>
          <w:color w:val="0D0D0D"/>
          <w:sz w:val="24"/>
          <w:szCs w:val="24"/>
        </w:rPr>
      </w:pPr>
      <w:r>
        <w:rPr>
          <w:rFonts w:hint="eastAsia" w:ascii="宋体" w:hAnsi="宋体" w:cs="宋体"/>
          <w:color w:val="0D0D0D"/>
          <w:sz w:val="24"/>
          <w:szCs w:val="24"/>
        </w:rPr>
        <w:t>被授权人在授权书有效期内签署的所有文件不因授权的撤销而失效。</w:t>
      </w:r>
    </w:p>
    <w:p>
      <w:pPr>
        <w:snapToGrid w:val="0"/>
        <w:spacing w:before="156" w:beforeLines="50" w:after="50" w:line="360" w:lineRule="auto"/>
        <w:ind w:firstLine="480"/>
        <w:rPr>
          <w:rFonts w:ascii="宋体"/>
          <w:color w:val="0D0D0D"/>
          <w:sz w:val="24"/>
          <w:szCs w:val="24"/>
        </w:rPr>
      </w:pPr>
      <w:r>
        <w:rPr>
          <w:rFonts w:hint="eastAsia" w:ascii="宋体" w:hAnsi="宋体" w:cs="宋体"/>
          <w:color w:val="0D0D0D"/>
          <w:sz w:val="24"/>
          <w:szCs w:val="24"/>
        </w:rPr>
        <w:t>被授权人无转委托权，特此委托。</w:t>
      </w:r>
    </w:p>
    <w:p>
      <w:pPr>
        <w:snapToGrid w:val="0"/>
        <w:spacing w:before="156" w:beforeLines="50" w:after="50" w:line="360" w:lineRule="auto"/>
        <w:rPr>
          <w:rFonts w:ascii="宋体"/>
          <w:color w:val="0D0D0D"/>
          <w:sz w:val="24"/>
          <w:szCs w:val="24"/>
          <w:u w:val="single"/>
        </w:rPr>
      </w:pPr>
      <w:r>
        <w:rPr>
          <w:rFonts w:hint="eastAsia" w:ascii="宋体" w:hAnsi="宋体" w:cs="宋体"/>
          <w:color w:val="0D0D0D"/>
          <w:sz w:val="24"/>
          <w:szCs w:val="24"/>
        </w:rPr>
        <w:t>被授权人签名：                     法定代表人签名：</w:t>
      </w:r>
    </w:p>
    <w:p>
      <w:pPr>
        <w:snapToGrid w:val="0"/>
        <w:spacing w:before="156" w:beforeLines="50" w:after="50" w:line="360" w:lineRule="auto"/>
        <w:rPr>
          <w:rFonts w:ascii="宋体"/>
          <w:color w:val="0D0D0D"/>
          <w:sz w:val="24"/>
          <w:szCs w:val="24"/>
        </w:rPr>
      </w:pPr>
      <w:r>
        <w:rPr>
          <w:rFonts w:hint="eastAsia" w:ascii="宋体" w:hAnsi="宋体" w:cs="宋体"/>
          <w:color w:val="0D0D0D"/>
          <w:sz w:val="24"/>
          <w:szCs w:val="24"/>
        </w:rPr>
        <w:t>职务：                             职务：</w:t>
      </w:r>
    </w:p>
    <w:p>
      <w:pPr>
        <w:snapToGrid w:val="0"/>
        <w:spacing w:before="156" w:beforeLines="50" w:after="50" w:line="360" w:lineRule="auto"/>
        <w:rPr>
          <w:rFonts w:ascii="宋体" w:hAnsi="宋体" w:cs="宋体"/>
          <w:color w:val="0D0D0D"/>
          <w:sz w:val="24"/>
          <w:szCs w:val="24"/>
        </w:rPr>
      </w:pPr>
      <w:r>
        <w:rPr>
          <w:rFonts w:hint="eastAsia" w:ascii="宋体" w:hAnsi="宋体" w:cs="宋体"/>
          <w:color w:val="0D0D0D"/>
          <w:sz w:val="24"/>
          <w:szCs w:val="24"/>
        </w:rPr>
        <w:t>被授权人身份证复印件：</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jc w:val="center"/>
        </w:trPr>
        <w:tc>
          <w:tcPr>
            <w:tcW w:w="9288" w:type="dxa"/>
          </w:tcPr>
          <w:p>
            <w:pPr>
              <w:pStyle w:val="44"/>
              <w:ind w:firstLine="464"/>
              <w:rPr>
                <w:rFonts w:hAnsi="宋体"/>
                <w:color w:val="0D0D0D"/>
                <w:sz w:val="24"/>
                <w:szCs w:val="24"/>
              </w:rPr>
            </w:pPr>
          </w:p>
        </w:tc>
      </w:tr>
    </w:tbl>
    <w:p>
      <w:pPr>
        <w:pStyle w:val="44"/>
        <w:ind w:firstLine="464"/>
        <w:rPr>
          <w:rFonts w:hAnsi="宋体"/>
          <w:color w:val="0D0D0D"/>
          <w:sz w:val="24"/>
          <w:szCs w:val="24"/>
        </w:rPr>
      </w:pPr>
    </w:p>
    <w:p>
      <w:pPr>
        <w:pStyle w:val="44"/>
        <w:ind w:firstLine="344"/>
      </w:pPr>
    </w:p>
    <w:p>
      <w:pPr>
        <w:snapToGrid w:val="0"/>
        <w:spacing w:before="156" w:beforeLines="50" w:after="50" w:line="360" w:lineRule="auto"/>
        <w:rPr>
          <w:rFonts w:ascii="宋体"/>
          <w:color w:val="0D0D0D"/>
          <w:sz w:val="24"/>
          <w:szCs w:val="24"/>
        </w:rPr>
      </w:pPr>
      <w:r>
        <w:rPr>
          <w:rFonts w:hint="eastAsia" w:ascii="宋体" w:hAnsi="宋体" w:cs="宋体"/>
          <w:color w:val="0D0D0D"/>
          <w:sz w:val="24"/>
          <w:szCs w:val="24"/>
        </w:rPr>
        <w:t>投标人公章：</w:t>
      </w:r>
    </w:p>
    <w:p>
      <w:pPr>
        <w:snapToGrid w:val="0"/>
        <w:spacing w:before="156" w:beforeLines="50" w:after="50" w:line="360" w:lineRule="auto"/>
        <w:jc w:val="center"/>
        <w:rPr>
          <w:rFonts w:ascii="宋体" w:hAnsi="宋体" w:cs="宋体"/>
          <w:color w:val="0D0D0D"/>
          <w:sz w:val="24"/>
          <w:szCs w:val="24"/>
        </w:rPr>
      </w:pPr>
      <w:r>
        <w:rPr>
          <w:rFonts w:hint="eastAsia" w:ascii="宋体" w:hAnsi="宋体" w:cs="宋体"/>
          <w:color w:val="0D0D0D"/>
          <w:sz w:val="24"/>
          <w:szCs w:val="24"/>
        </w:rPr>
        <w:t>年月日</w:t>
      </w:r>
    </w:p>
    <w:p>
      <w:pPr>
        <w:jc w:val="left"/>
        <w:rPr>
          <w:rFonts w:ascii="宋体" w:hAnsi="宋体" w:cs="宋体"/>
          <w:color w:val="0D0D0D"/>
          <w:sz w:val="24"/>
          <w:szCs w:val="24"/>
        </w:rPr>
      </w:pPr>
      <w:r>
        <w:rPr>
          <w:rFonts w:hint="eastAsia" w:ascii="宋体" w:hAnsi="宋体" w:cs="宋体"/>
          <w:color w:val="0D0D0D"/>
          <w:sz w:val="24"/>
          <w:szCs w:val="24"/>
        </w:rPr>
        <w:br w:type="page"/>
      </w:r>
    </w:p>
    <w:p>
      <w:pPr>
        <w:snapToGrid w:val="0"/>
        <w:spacing w:before="50" w:after="156" w:afterLines="50" w:line="360" w:lineRule="auto"/>
        <w:jc w:val="left"/>
        <w:outlineLvl w:val="2"/>
        <w:rPr>
          <w:rFonts w:ascii="宋体"/>
          <w:b/>
          <w:bCs/>
          <w:color w:val="0D0D0D"/>
          <w:sz w:val="24"/>
          <w:szCs w:val="24"/>
        </w:rPr>
      </w:pPr>
      <w:r>
        <w:rPr>
          <w:rFonts w:ascii="宋体" w:hAnsi="宋体" w:cs="宋体"/>
          <w:b/>
          <w:bCs/>
          <w:color w:val="0D0D0D"/>
          <w:sz w:val="24"/>
          <w:szCs w:val="24"/>
        </w:rPr>
        <w:t>2.4</w:t>
      </w:r>
      <w:r>
        <w:rPr>
          <w:rFonts w:hint="eastAsia" w:ascii="宋体" w:hAnsi="宋体" w:cs="宋体"/>
          <w:b/>
          <w:bCs/>
          <w:color w:val="0D0D0D"/>
          <w:sz w:val="24"/>
          <w:szCs w:val="24"/>
        </w:rPr>
        <w:t>投标单位情况表：</w:t>
      </w:r>
    </w:p>
    <w:p>
      <w:pPr>
        <w:snapToGrid w:val="0"/>
        <w:spacing w:before="156" w:beforeLines="50" w:after="50" w:line="360" w:lineRule="auto"/>
        <w:jc w:val="center"/>
        <w:rPr>
          <w:rFonts w:ascii="宋体"/>
          <w:b/>
          <w:bCs/>
          <w:color w:val="0D0D0D"/>
          <w:sz w:val="24"/>
          <w:szCs w:val="24"/>
        </w:rPr>
      </w:pPr>
      <w:r>
        <w:rPr>
          <w:rFonts w:hint="eastAsia" w:ascii="宋体" w:hAnsi="宋体" w:cs="宋体"/>
          <w:b/>
          <w:bCs/>
          <w:color w:val="0D0D0D"/>
          <w:sz w:val="24"/>
          <w:szCs w:val="24"/>
        </w:rPr>
        <w:t>投标单位情况表</w:t>
      </w:r>
    </w:p>
    <w:p>
      <w:pPr>
        <w:pStyle w:val="26"/>
        <w:spacing w:before="156" w:after="156" w:line="360" w:lineRule="auto"/>
        <w:rPr>
          <w:rFonts w:ascii="Times New Roman" w:hAnsi="Times New Roman" w:cs="Times New Roman"/>
          <w:color w:val="0D0D0D"/>
        </w:rPr>
      </w:pPr>
      <w:r>
        <w:rPr>
          <w:rFonts w:hint="eastAsia" w:ascii="Times New Roman" w:hAnsi="Times New Roman"/>
          <w:color w:val="0D0D0D"/>
        </w:rPr>
        <w:t>投标单位：                                                填表日期：</w:t>
      </w:r>
    </w:p>
    <w:tbl>
      <w:tblPr>
        <w:tblStyle w:val="46"/>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60"/>
        <w:gridCol w:w="2887"/>
        <w:gridCol w:w="1222"/>
        <w:gridCol w:w="166"/>
        <w:gridCol w:w="2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04" w:type="dxa"/>
            <w:gridSpan w:val="2"/>
            <w:vAlign w:val="center"/>
          </w:tcPr>
          <w:p>
            <w:pPr>
              <w:pStyle w:val="26"/>
              <w:spacing w:before="156" w:after="156" w:line="360" w:lineRule="auto"/>
              <w:rPr>
                <w:rFonts w:ascii="Times New Roman" w:hAnsi="Times New Roman" w:cs="Times New Roman"/>
                <w:color w:val="0D0D0D"/>
              </w:rPr>
            </w:pPr>
            <w:r>
              <w:rPr>
                <w:rFonts w:hint="eastAsia" w:ascii="Times New Roman" w:hAnsi="Times New Roman"/>
                <w:color w:val="0D0D0D"/>
              </w:rPr>
              <w:t>单位名称</w:t>
            </w:r>
          </w:p>
        </w:tc>
        <w:tc>
          <w:tcPr>
            <w:tcW w:w="2887" w:type="dxa"/>
            <w:vAlign w:val="center"/>
          </w:tcPr>
          <w:p>
            <w:pPr>
              <w:widowControl/>
              <w:spacing w:line="360" w:lineRule="auto"/>
              <w:jc w:val="center"/>
              <w:rPr>
                <w:color w:val="0D0D0D"/>
                <w:sz w:val="24"/>
                <w:szCs w:val="24"/>
              </w:rPr>
            </w:pPr>
          </w:p>
        </w:tc>
        <w:tc>
          <w:tcPr>
            <w:tcW w:w="1388" w:type="dxa"/>
            <w:gridSpan w:val="2"/>
            <w:vAlign w:val="center"/>
          </w:tcPr>
          <w:p>
            <w:pPr>
              <w:pStyle w:val="26"/>
              <w:spacing w:before="156" w:after="156" w:line="360" w:lineRule="auto"/>
              <w:rPr>
                <w:rFonts w:ascii="Times New Roman" w:hAnsi="Times New Roman" w:cs="Times New Roman"/>
                <w:color w:val="0D0D0D"/>
              </w:rPr>
            </w:pPr>
            <w:r>
              <w:rPr>
                <w:rFonts w:hint="eastAsia" w:ascii="Times New Roman" w:hAnsi="Times New Roman"/>
                <w:color w:val="0D0D0D"/>
              </w:rPr>
              <w:t>电话</w:t>
            </w:r>
          </w:p>
        </w:tc>
        <w:tc>
          <w:tcPr>
            <w:tcW w:w="2797" w:type="dxa"/>
            <w:vAlign w:val="center"/>
          </w:tcPr>
          <w:p>
            <w:pPr>
              <w:pStyle w:val="26"/>
              <w:spacing w:before="156" w:after="156" w:line="360" w:lineRule="auto"/>
              <w:jc w:val="center"/>
              <w:rPr>
                <w:rFonts w:ascii="Times New Roman" w:hAnsi="Times New Roman" w:cs="Times New Roman"/>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104" w:type="dxa"/>
            <w:gridSpan w:val="2"/>
            <w:vAlign w:val="center"/>
          </w:tcPr>
          <w:p>
            <w:pPr>
              <w:pStyle w:val="26"/>
              <w:spacing w:before="156" w:after="156" w:line="360" w:lineRule="auto"/>
              <w:rPr>
                <w:rFonts w:ascii="Times New Roman" w:hAnsi="Times New Roman" w:cs="Times New Roman"/>
                <w:color w:val="0D0D0D"/>
              </w:rPr>
            </w:pPr>
            <w:r>
              <w:rPr>
                <w:rFonts w:hint="eastAsia" w:ascii="Times New Roman" w:hAnsi="Times New Roman"/>
                <w:color w:val="0D0D0D"/>
              </w:rPr>
              <w:t>地址</w:t>
            </w:r>
          </w:p>
        </w:tc>
        <w:tc>
          <w:tcPr>
            <w:tcW w:w="2887" w:type="dxa"/>
            <w:vAlign w:val="center"/>
          </w:tcPr>
          <w:p>
            <w:pPr>
              <w:pStyle w:val="26"/>
              <w:spacing w:before="156" w:after="156" w:line="360" w:lineRule="auto"/>
              <w:jc w:val="center"/>
              <w:rPr>
                <w:rFonts w:ascii="Times New Roman" w:hAnsi="Times New Roman" w:cs="Times New Roman"/>
                <w:color w:val="0D0D0D"/>
              </w:rPr>
            </w:pPr>
          </w:p>
        </w:tc>
        <w:tc>
          <w:tcPr>
            <w:tcW w:w="1388" w:type="dxa"/>
            <w:gridSpan w:val="2"/>
            <w:vAlign w:val="center"/>
          </w:tcPr>
          <w:p>
            <w:pPr>
              <w:pStyle w:val="26"/>
              <w:spacing w:before="156" w:after="156" w:line="360" w:lineRule="auto"/>
              <w:rPr>
                <w:rFonts w:ascii="Times New Roman" w:hAnsi="Times New Roman" w:cs="Times New Roman"/>
                <w:color w:val="0D0D0D"/>
              </w:rPr>
            </w:pPr>
            <w:r>
              <w:rPr>
                <w:rFonts w:hint="eastAsia" w:ascii="Times New Roman" w:hAnsi="Times New Roman"/>
                <w:color w:val="0D0D0D"/>
              </w:rPr>
              <w:t>传真</w:t>
            </w:r>
          </w:p>
        </w:tc>
        <w:tc>
          <w:tcPr>
            <w:tcW w:w="2797" w:type="dxa"/>
            <w:vAlign w:val="center"/>
          </w:tcPr>
          <w:p>
            <w:pPr>
              <w:pStyle w:val="26"/>
              <w:spacing w:before="156" w:after="156" w:line="360" w:lineRule="auto"/>
              <w:jc w:val="center"/>
              <w:rPr>
                <w:rFonts w:ascii="Times New Roman" w:hAnsi="Times New Roman" w:cs="Times New Roman"/>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04" w:type="dxa"/>
            <w:gridSpan w:val="2"/>
            <w:vAlign w:val="center"/>
          </w:tcPr>
          <w:p>
            <w:pPr>
              <w:pStyle w:val="26"/>
              <w:spacing w:before="156" w:after="156" w:line="360" w:lineRule="auto"/>
              <w:rPr>
                <w:rFonts w:ascii="Times New Roman" w:hAnsi="Times New Roman" w:cs="Times New Roman"/>
                <w:color w:val="0D0D0D"/>
              </w:rPr>
            </w:pPr>
            <w:r>
              <w:rPr>
                <w:rFonts w:hint="eastAsia" w:ascii="Times New Roman" w:hAnsi="Times New Roman"/>
                <w:color w:val="0D0D0D"/>
              </w:rPr>
              <w:t>主管部门</w:t>
            </w:r>
          </w:p>
        </w:tc>
        <w:tc>
          <w:tcPr>
            <w:tcW w:w="2887" w:type="dxa"/>
            <w:vAlign w:val="center"/>
          </w:tcPr>
          <w:p>
            <w:pPr>
              <w:pStyle w:val="26"/>
              <w:spacing w:before="156" w:after="156" w:line="360" w:lineRule="auto"/>
              <w:jc w:val="center"/>
              <w:rPr>
                <w:rFonts w:ascii="Times New Roman" w:hAnsi="Times New Roman" w:cs="Times New Roman"/>
                <w:color w:val="0D0D0D"/>
              </w:rPr>
            </w:pPr>
          </w:p>
        </w:tc>
        <w:tc>
          <w:tcPr>
            <w:tcW w:w="1388" w:type="dxa"/>
            <w:gridSpan w:val="2"/>
            <w:vAlign w:val="center"/>
          </w:tcPr>
          <w:p>
            <w:pPr>
              <w:pStyle w:val="26"/>
              <w:spacing w:before="156" w:after="156" w:line="360" w:lineRule="auto"/>
              <w:rPr>
                <w:rFonts w:ascii="Times New Roman" w:hAnsi="Times New Roman" w:cs="Times New Roman"/>
                <w:color w:val="0D0D0D"/>
              </w:rPr>
            </w:pPr>
            <w:r>
              <w:rPr>
                <w:rFonts w:hint="eastAsia" w:ascii="Times New Roman" w:hAnsi="Times New Roman"/>
                <w:color w:val="0D0D0D"/>
              </w:rPr>
              <w:t>企业性质</w:t>
            </w:r>
          </w:p>
        </w:tc>
        <w:tc>
          <w:tcPr>
            <w:tcW w:w="2797" w:type="dxa"/>
            <w:vAlign w:val="center"/>
          </w:tcPr>
          <w:p>
            <w:pPr>
              <w:pStyle w:val="26"/>
              <w:spacing w:before="156" w:after="156" w:line="360" w:lineRule="auto"/>
              <w:jc w:val="center"/>
              <w:rPr>
                <w:rFonts w:ascii="Times New Roman" w:hAnsi="Times New Roman" w:cs="Times New Roman"/>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04" w:type="dxa"/>
            <w:gridSpan w:val="2"/>
            <w:vAlign w:val="center"/>
          </w:tcPr>
          <w:p>
            <w:pPr>
              <w:pStyle w:val="26"/>
              <w:spacing w:before="156" w:after="156" w:line="360" w:lineRule="auto"/>
              <w:rPr>
                <w:rFonts w:ascii="Times New Roman" w:hAnsi="Times New Roman" w:cs="Times New Roman"/>
                <w:color w:val="0D0D0D"/>
              </w:rPr>
            </w:pPr>
            <w:r>
              <w:rPr>
                <w:rFonts w:hint="eastAsia" w:ascii="Times New Roman" w:hAnsi="Times New Roman"/>
                <w:color w:val="0D0D0D"/>
              </w:rPr>
              <w:t>企业法人</w:t>
            </w:r>
          </w:p>
        </w:tc>
        <w:tc>
          <w:tcPr>
            <w:tcW w:w="2887" w:type="dxa"/>
            <w:vAlign w:val="center"/>
          </w:tcPr>
          <w:p>
            <w:pPr>
              <w:pStyle w:val="26"/>
              <w:spacing w:before="156" w:after="156" w:line="360" w:lineRule="auto"/>
              <w:jc w:val="center"/>
              <w:rPr>
                <w:rFonts w:ascii="Times New Roman" w:hAnsi="Times New Roman" w:cs="Times New Roman"/>
                <w:color w:val="0D0D0D"/>
              </w:rPr>
            </w:pPr>
          </w:p>
        </w:tc>
        <w:tc>
          <w:tcPr>
            <w:tcW w:w="1388" w:type="dxa"/>
            <w:gridSpan w:val="2"/>
            <w:vAlign w:val="center"/>
          </w:tcPr>
          <w:p>
            <w:pPr>
              <w:pStyle w:val="26"/>
              <w:spacing w:before="156" w:after="156" w:line="360" w:lineRule="auto"/>
              <w:rPr>
                <w:rFonts w:ascii="Times New Roman" w:hAnsi="Times New Roman" w:cs="Times New Roman"/>
                <w:color w:val="0D0D0D"/>
              </w:rPr>
            </w:pPr>
            <w:r>
              <w:rPr>
                <w:rFonts w:hint="eastAsia"/>
                <w:color w:val="0D0D0D"/>
              </w:rPr>
              <w:t>资质等级</w:t>
            </w:r>
          </w:p>
        </w:tc>
        <w:tc>
          <w:tcPr>
            <w:tcW w:w="2797" w:type="dxa"/>
            <w:vAlign w:val="center"/>
          </w:tcPr>
          <w:p>
            <w:pPr>
              <w:pStyle w:val="26"/>
              <w:spacing w:before="156" w:after="156" w:line="360" w:lineRule="auto"/>
              <w:jc w:val="center"/>
              <w:rPr>
                <w:rFonts w:ascii="Times New Roman" w:hAnsi="Times New Roman" w:cs="Times New Roman"/>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04" w:type="dxa"/>
            <w:gridSpan w:val="2"/>
            <w:vAlign w:val="center"/>
          </w:tcPr>
          <w:p>
            <w:pPr>
              <w:pStyle w:val="26"/>
              <w:spacing w:before="156" w:after="156" w:line="360" w:lineRule="auto"/>
              <w:rPr>
                <w:rFonts w:ascii="Times New Roman" w:hAnsi="Times New Roman" w:cs="Times New Roman"/>
                <w:color w:val="0D0D0D"/>
              </w:rPr>
            </w:pPr>
            <w:r>
              <w:rPr>
                <w:rFonts w:hint="eastAsia" w:ascii="Times New Roman" w:hAnsi="Times New Roman"/>
                <w:color w:val="0D0D0D"/>
              </w:rPr>
              <w:t>授权代表</w:t>
            </w:r>
          </w:p>
        </w:tc>
        <w:tc>
          <w:tcPr>
            <w:tcW w:w="2887" w:type="dxa"/>
            <w:vAlign w:val="center"/>
          </w:tcPr>
          <w:p>
            <w:pPr>
              <w:pStyle w:val="26"/>
              <w:spacing w:before="156" w:after="156" w:line="360" w:lineRule="auto"/>
              <w:jc w:val="center"/>
              <w:rPr>
                <w:rFonts w:ascii="Times New Roman" w:hAnsi="Times New Roman" w:cs="Times New Roman"/>
                <w:color w:val="0D0D0D"/>
              </w:rPr>
            </w:pPr>
          </w:p>
        </w:tc>
        <w:tc>
          <w:tcPr>
            <w:tcW w:w="1388" w:type="dxa"/>
            <w:gridSpan w:val="2"/>
            <w:vAlign w:val="center"/>
          </w:tcPr>
          <w:p>
            <w:pPr>
              <w:pStyle w:val="26"/>
              <w:spacing w:before="156" w:after="156" w:line="360" w:lineRule="auto"/>
              <w:rPr>
                <w:rFonts w:ascii="Times New Roman" w:hAnsi="Times New Roman" w:cs="Times New Roman"/>
                <w:color w:val="0D0D0D"/>
              </w:rPr>
            </w:pPr>
            <w:r>
              <w:rPr>
                <w:rFonts w:hint="eastAsia" w:ascii="Times New Roman" w:hAnsi="Times New Roman"/>
                <w:color w:val="0D0D0D"/>
              </w:rPr>
              <w:t>职务</w:t>
            </w:r>
          </w:p>
        </w:tc>
        <w:tc>
          <w:tcPr>
            <w:tcW w:w="2797" w:type="dxa"/>
            <w:vAlign w:val="center"/>
          </w:tcPr>
          <w:p>
            <w:pPr>
              <w:pStyle w:val="26"/>
              <w:spacing w:before="156" w:after="156" w:line="360" w:lineRule="auto"/>
              <w:jc w:val="center"/>
              <w:rPr>
                <w:rFonts w:ascii="Times New Roman" w:hAnsi="Times New Roman" w:cs="Times New Roman"/>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844" w:type="dxa"/>
            <w:vMerge w:val="restart"/>
            <w:vAlign w:val="center"/>
          </w:tcPr>
          <w:p>
            <w:pPr>
              <w:pStyle w:val="26"/>
              <w:spacing w:before="156" w:after="156" w:line="360" w:lineRule="auto"/>
              <w:ind w:firstLine="720" w:firstLineChars="300"/>
              <w:jc w:val="center"/>
              <w:rPr>
                <w:rFonts w:ascii="Times New Roman" w:hAnsi="Times New Roman" w:cs="Times New Roman"/>
                <w:color w:val="0D0D0D"/>
              </w:rPr>
            </w:pPr>
          </w:p>
          <w:p>
            <w:pPr>
              <w:pStyle w:val="26"/>
              <w:spacing w:before="156" w:after="156" w:line="360" w:lineRule="auto"/>
              <w:jc w:val="center"/>
              <w:rPr>
                <w:rFonts w:ascii="Times New Roman" w:hAnsi="Times New Roman" w:cs="Times New Roman"/>
                <w:color w:val="0D0D0D"/>
              </w:rPr>
            </w:pPr>
            <w:r>
              <w:rPr>
                <w:rFonts w:hint="eastAsia" w:ascii="Times New Roman" w:hAnsi="Times New Roman"/>
                <w:color w:val="0D0D0D"/>
              </w:rPr>
              <w:t>单位概况</w:t>
            </w:r>
          </w:p>
          <w:p>
            <w:pPr>
              <w:pStyle w:val="26"/>
              <w:spacing w:before="156" w:after="156" w:line="360" w:lineRule="auto"/>
              <w:ind w:firstLine="720" w:firstLineChars="300"/>
              <w:jc w:val="center"/>
              <w:rPr>
                <w:rFonts w:ascii="Times New Roman" w:hAnsi="Times New Roman" w:cs="Times New Roman"/>
                <w:color w:val="0D0D0D"/>
              </w:rPr>
            </w:pPr>
          </w:p>
          <w:p>
            <w:pPr>
              <w:pStyle w:val="26"/>
              <w:spacing w:before="156" w:after="156" w:line="360" w:lineRule="auto"/>
              <w:ind w:firstLine="720" w:firstLineChars="300"/>
              <w:jc w:val="center"/>
              <w:rPr>
                <w:rFonts w:ascii="Times New Roman" w:hAnsi="Times New Roman" w:cs="Times New Roman"/>
                <w:color w:val="0D0D0D"/>
              </w:rPr>
            </w:pPr>
          </w:p>
          <w:p>
            <w:pPr>
              <w:pStyle w:val="26"/>
              <w:spacing w:before="156" w:after="156" w:line="360" w:lineRule="auto"/>
              <w:ind w:firstLine="720" w:firstLineChars="300"/>
              <w:jc w:val="center"/>
              <w:rPr>
                <w:rFonts w:ascii="Times New Roman" w:hAnsi="Times New Roman" w:cs="Times New Roman"/>
                <w:color w:val="0D0D0D"/>
              </w:rPr>
            </w:pPr>
          </w:p>
          <w:p>
            <w:pPr>
              <w:pStyle w:val="26"/>
              <w:spacing w:before="156" w:after="156" w:line="360" w:lineRule="auto"/>
              <w:ind w:firstLine="720" w:firstLineChars="300"/>
              <w:jc w:val="center"/>
              <w:rPr>
                <w:rFonts w:ascii="Times New Roman" w:hAnsi="Times New Roman" w:cs="Times New Roman"/>
                <w:color w:val="0D0D0D"/>
              </w:rPr>
            </w:pPr>
          </w:p>
        </w:tc>
        <w:tc>
          <w:tcPr>
            <w:tcW w:w="1260" w:type="dxa"/>
            <w:vMerge w:val="restart"/>
            <w:vAlign w:val="center"/>
          </w:tcPr>
          <w:p>
            <w:pPr>
              <w:spacing w:line="360" w:lineRule="auto"/>
              <w:jc w:val="center"/>
              <w:rPr>
                <w:color w:val="0D0D0D"/>
                <w:sz w:val="24"/>
                <w:szCs w:val="24"/>
              </w:rPr>
            </w:pPr>
            <w:r>
              <w:rPr>
                <w:rFonts w:hint="eastAsia" w:cs="宋体"/>
                <w:color w:val="0D0D0D"/>
                <w:sz w:val="24"/>
                <w:szCs w:val="24"/>
              </w:rPr>
              <w:t>职工总数</w:t>
            </w:r>
          </w:p>
        </w:tc>
        <w:tc>
          <w:tcPr>
            <w:tcW w:w="2887" w:type="dxa"/>
            <w:vAlign w:val="center"/>
          </w:tcPr>
          <w:p>
            <w:pPr>
              <w:pStyle w:val="26"/>
              <w:spacing w:before="156" w:after="156" w:line="360" w:lineRule="auto"/>
              <w:rPr>
                <w:rFonts w:ascii="Times New Roman" w:hAnsi="Times New Roman" w:cs="Times New Roman"/>
                <w:color w:val="0D0D0D"/>
              </w:rPr>
            </w:pPr>
            <w:r>
              <w:rPr>
                <w:rFonts w:hint="eastAsia" w:ascii="Times New Roman" w:hAnsi="Times New Roman"/>
                <w:color w:val="0D0D0D"/>
              </w:rPr>
              <w:t>员工：人</w:t>
            </w:r>
          </w:p>
        </w:tc>
        <w:tc>
          <w:tcPr>
            <w:tcW w:w="4185" w:type="dxa"/>
            <w:gridSpan w:val="3"/>
            <w:vAlign w:val="center"/>
          </w:tcPr>
          <w:p>
            <w:pPr>
              <w:pStyle w:val="26"/>
              <w:spacing w:before="156" w:after="156" w:line="360" w:lineRule="auto"/>
              <w:rPr>
                <w:rFonts w:ascii="Times New Roman" w:hAnsi="Times New Roman" w:cs="Times New Roman"/>
                <w:color w:val="0D0D0D"/>
              </w:rPr>
            </w:pPr>
            <w:r>
              <w:rPr>
                <w:rFonts w:hint="eastAsia" w:ascii="Times New Roman" w:hAnsi="Times New Roman"/>
                <w:color w:val="0D0D0D"/>
              </w:rPr>
              <w:t>初级职称：人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4" w:type="dxa"/>
            <w:vMerge w:val="continue"/>
            <w:vAlign w:val="center"/>
          </w:tcPr>
          <w:p>
            <w:pPr>
              <w:pStyle w:val="26"/>
              <w:spacing w:before="156" w:after="156" w:line="360" w:lineRule="auto"/>
              <w:ind w:firstLine="720" w:firstLineChars="300"/>
              <w:jc w:val="center"/>
              <w:rPr>
                <w:rFonts w:ascii="Times New Roman" w:hAnsi="Times New Roman" w:cs="Times New Roman"/>
                <w:color w:val="0D0D0D"/>
              </w:rPr>
            </w:pPr>
          </w:p>
        </w:tc>
        <w:tc>
          <w:tcPr>
            <w:tcW w:w="1260" w:type="dxa"/>
            <w:vMerge w:val="continue"/>
            <w:vAlign w:val="center"/>
          </w:tcPr>
          <w:p>
            <w:pPr>
              <w:widowControl/>
              <w:spacing w:line="360" w:lineRule="auto"/>
              <w:jc w:val="center"/>
              <w:rPr>
                <w:color w:val="0D0D0D"/>
                <w:sz w:val="24"/>
                <w:szCs w:val="24"/>
              </w:rPr>
            </w:pPr>
          </w:p>
        </w:tc>
        <w:tc>
          <w:tcPr>
            <w:tcW w:w="2887" w:type="dxa"/>
            <w:vAlign w:val="center"/>
          </w:tcPr>
          <w:p>
            <w:pPr>
              <w:pStyle w:val="26"/>
              <w:spacing w:before="156" w:after="156" w:line="360" w:lineRule="auto"/>
              <w:rPr>
                <w:rFonts w:cs="Times New Roman"/>
                <w:color w:val="0D0D0D"/>
              </w:rPr>
            </w:pPr>
            <w:r>
              <w:rPr>
                <w:rFonts w:hint="eastAsia"/>
                <w:color w:val="0D0D0D"/>
              </w:rPr>
              <w:t>高级职称：人</w:t>
            </w:r>
          </w:p>
        </w:tc>
        <w:tc>
          <w:tcPr>
            <w:tcW w:w="4185" w:type="dxa"/>
            <w:gridSpan w:val="3"/>
            <w:vAlign w:val="center"/>
          </w:tcPr>
          <w:p>
            <w:pPr>
              <w:pStyle w:val="26"/>
              <w:spacing w:before="156" w:after="156" w:line="360" w:lineRule="auto"/>
              <w:rPr>
                <w:rFonts w:cs="Times New Roman"/>
                <w:color w:val="0D0D0D"/>
              </w:rPr>
            </w:pPr>
            <w:r>
              <w:rPr>
                <w:rFonts w:hint="eastAsia"/>
                <w:color w:val="0D0D0D"/>
              </w:rPr>
              <w:t>中级职称：人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4" w:type="dxa"/>
            <w:vMerge w:val="continue"/>
            <w:vAlign w:val="center"/>
          </w:tcPr>
          <w:p>
            <w:pPr>
              <w:pStyle w:val="26"/>
              <w:spacing w:before="156" w:after="156" w:line="360" w:lineRule="auto"/>
              <w:ind w:firstLine="720" w:firstLineChars="300"/>
              <w:jc w:val="center"/>
              <w:rPr>
                <w:rFonts w:ascii="Times New Roman" w:hAnsi="Times New Roman" w:cs="Times New Roman"/>
                <w:color w:val="0D0D0D"/>
              </w:rPr>
            </w:pPr>
          </w:p>
        </w:tc>
        <w:tc>
          <w:tcPr>
            <w:tcW w:w="1260" w:type="dxa"/>
            <w:vAlign w:val="center"/>
          </w:tcPr>
          <w:p>
            <w:pPr>
              <w:pStyle w:val="26"/>
              <w:spacing w:before="156" w:after="156" w:line="360" w:lineRule="auto"/>
              <w:jc w:val="center"/>
              <w:rPr>
                <w:rFonts w:cs="Times New Roman"/>
                <w:color w:val="0D0D0D"/>
              </w:rPr>
            </w:pPr>
            <w:r>
              <w:rPr>
                <w:rFonts w:hint="eastAsia"/>
                <w:color w:val="0D0D0D"/>
              </w:rPr>
              <w:t>流动资金</w:t>
            </w:r>
          </w:p>
        </w:tc>
        <w:tc>
          <w:tcPr>
            <w:tcW w:w="2887" w:type="dxa"/>
            <w:vAlign w:val="center"/>
          </w:tcPr>
          <w:p>
            <w:pPr>
              <w:pStyle w:val="26"/>
              <w:spacing w:before="156" w:after="156" w:line="360" w:lineRule="auto"/>
              <w:jc w:val="center"/>
              <w:rPr>
                <w:rFonts w:cs="Times New Roman"/>
                <w:color w:val="0D0D0D"/>
              </w:rPr>
            </w:pPr>
          </w:p>
        </w:tc>
        <w:tc>
          <w:tcPr>
            <w:tcW w:w="1222" w:type="dxa"/>
            <w:vAlign w:val="center"/>
          </w:tcPr>
          <w:p>
            <w:pPr>
              <w:pStyle w:val="26"/>
              <w:spacing w:before="156" w:after="156" w:line="360" w:lineRule="auto"/>
              <w:jc w:val="center"/>
              <w:rPr>
                <w:rFonts w:cs="Times New Roman"/>
                <w:color w:val="0D0D0D"/>
              </w:rPr>
            </w:pPr>
            <w:r>
              <w:rPr>
                <w:rFonts w:hint="eastAsia"/>
                <w:color w:val="0D0D0D"/>
              </w:rPr>
              <w:t>营业面积</w:t>
            </w:r>
          </w:p>
        </w:tc>
        <w:tc>
          <w:tcPr>
            <w:tcW w:w="2963" w:type="dxa"/>
            <w:gridSpan w:val="2"/>
            <w:vAlign w:val="center"/>
          </w:tcPr>
          <w:p>
            <w:pPr>
              <w:pStyle w:val="26"/>
              <w:spacing w:before="156" w:after="156" w:line="360" w:lineRule="auto"/>
              <w:jc w:val="center"/>
              <w:rPr>
                <w:rFonts w:cs="Times New Roman"/>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844" w:type="dxa"/>
            <w:vMerge w:val="continue"/>
            <w:vAlign w:val="center"/>
          </w:tcPr>
          <w:p>
            <w:pPr>
              <w:pStyle w:val="26"/>
              <w:spacing w:before="156" w:after="156" w:line="360" w:lineRule="auto"/>
              <w:ind w:firstLine="720" w:firstLineChars="300"/>
              <w:jc w:val="center"/>
              <w:rPr>
                <w:rFonts w:ascii="Times New Roman" w:hAnsi="Times New Roman" w:cs="Times New Roman"/>
                <w:color w:val="0D0D0D"/>
              </w:rPr>
            </w:pPr>
          </w:p>
        </w:tc>
        <w:tc>
          <w:tcPr>
            <w:tcW w:w="1260" w:type="dxa"/>
            <w:vAlign w:val="center"/>
          </w:tcPr>
          <w:p>
            <w:pPr>
              <w:pStyle w:val="26"/>
              <w:spacing w:before="156" w:after="156" w:line="360" w:lineRule="auto"/>
              <w:jc w:val="center"/>
              <w:rPr>
                <w:rFonts w:cs="Times New Roman"/>
                <w:color w:val="0D0D0D"/>
              </w:rPr>
            </w:pPr>
            <w:r>
              <w:rPr>
                <w:rFonts w:hint="eastAsia"/>
                <w:color w:val="0D0D0D"/>
              </w:rPr>
              <w:t>固定资金</w:t>
            </w:r>
          </w:p>
        </w:tc>
        <w:tc>
          <w:tcPr>
            <w:tcW w:w="2887" w:type="dxa"/>
            <w:vAlign w:val="center"/>
          </w:tcPr>
          <w:p>
            <w:pPr>
              <w:widowControl/>
              <w:spacing w:line="360" w:lineRule="auto"/>
              <w:jc w:val="center"/>
              <w:rPr>
                <w:color w:val="0D0D0D"/>
                <w:sz w:val="24"/>
                <w:szCs w:val="24"/>
              </w:rPr>
            </w:pPr>
          </w:p>
        </w:tc>
        <w:tc>
          <w:tcPr>
            <w:tcW w:w="1222" w:type="dxa"/>
            <w:vAlign w:val="center"/>
          </w:tcPr>
          <w:p>
            <w:pPr>
              <w:pStyle w:val="26"/>
              <w:spacing w:before="156" w:after="156" w:line="360" w:lineRule="auto"/>
              <w:jc w:val="center"/>
              <w:rPr>
                <w:rFonts w:cs="Times New Roman"/>
                <w:color w:val="0D0D0D"/>
              </w:rPr>
            </w:pPr>
            <w:r>
              <w:rPr>
                <w:rFonts w:hint="eastAsia"/>
                <w:color w:val="0D0D0D"/>
              </w:rPr>
              <w:t>服务网点</w:t>
            </w:r>
          </w:p>
        </w:tc>
        <w:tc>
          <w:tcPr>
            <w:tcW w:w="2963" w:type="dxa"/>
            <w:gridSpan w:val="2"/>
            <w:vAlign w:val="center"/>
          </w:tcPr>
          <w:p>
            <w:pPr>
              <w:widowControl/>
              <w:spacing w:line="360" w:lineRule="auto"/>
              <w:jc w:val="center"/>
              <w:rPr>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44" w:type="dxa"/>
            <w:vAlign w:val="center"/>
          </w:tcPr>
          <w:p>
            <w:pPr>
              <w:pStyle w:val="26"/>
              <w:spacing w:before="156" w:after="156" w:line="360" w:lineRule="auto"/>
              <w:jc w:val="center"/>
              <w:rPr>
                <w:rFonts w:ascii="Times New Roman" w:hAnsi="Times New Roman" w:cs="Times New Roman"/>
                <w:color w:val="0D0D0D"/>
              </w:rPr>
            </w:pPr>
            <w:r>
              <w:rPr>
                <w:rFonts w:hint="eastAsia" w:ascii="Times New Roman" w:hAnsi="Times New Roman"/>
                <w:color w:val="0D0D0D"/>
              </w:rPr>
              <w:t>单位情况简介</w:t>
            </w:r>
          </w:p>
        </w:tc>
        <w:tc>
          <w:tcPr>
            <w:tcW w:w="8332" w:type="dxa"/>
            <w:gridSpan w:val="5"/>
          </w:tcPr>
          <w:p>
            <w:pPr>
              <w:spacing w:line="360" w:lineRule="auto"/>
              <w:jc w:val="left"/>
              <w:rPr>
                <w:color w:val="0D0D0D"/>
                <w:sz w:val="24"/>
                <w:szCs w:val="24"/>
              </w:rPr>
            </w:pPr>
          </w:p>
        </w:tc>
      </w:tr>
    </w:tbl>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ascii="宋体" w:hAnsi="宋体" w:cs="宋体"/>
          <w:b/>
          <w:bCs/>
          <w:sz w:val="24"/>
          <w:szCs w:val="24"/>
        </w:rPr>
        <w:br w:type="page"/>
      </w:r>
    </w:p>
    <w:p>
      <w:pPr>
        <w:spacing w:before="50" w:after="50" w:line="500" w:lineRule="exact"/>
        <w:jc w:val="left"/>
        <w:outlineLvl w:val="2"/>
        <w:rPr>
          <w:rFonts w:ascii="宋体" w:cs="宋体"/>
          <w:b/>
          <w:bCs/>
          <w:sz w:val="24"/>
        </w:rPr>
      </w:pPr>
      <w:r>
        <w:rPr>
          <w:rFonts w:ascii="宋体" w:hAnsi="宋体" w:cs="宋体"/>
          <w:b/>
          <w:bCs/>
          <w:sz w:val="24"/>
          <w:szCs w:val="24"/>
        </w:rPr>
        <w:t>2.5</w:t>
      </w:r>
      <w:r>
        <w:rPr>
          <w:rFonts w:hint="eastAsia" w:ascii="宋体" w:hAnsi="宋体" w:cs="宋体"/>
          <w:b/>
          <w:bCs/>
          <w:sz w:val="24"/>
        </w:rPr>
        <w:t>本项目拟派人员一览表</w:t>
      </w:r>
    </w:p>
    <w:p>
      <w:pPr>
        <w:spacing w:before="50" w:after="50" w:line="500" w:lineRule="exact"/>
        <w:ind w:firstLine="480" w:firstLineChars="200"/>
        <w:jc w:val="center"/>
        <w:rPr>
          <w:rFonts w:ascii="宋体" w:cs="宋体"/>
          <w:b/>
          <w:bCs/>
          <w:sz w:val="24"/>
        </w:rPr>
      </w:pPr>
    </w:p>
    <w:tbl>
      <w:tblPr>
        <w:tblStyle w:val="46"/>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814"/>
        <w:gridCol w:w="917"/>
        <w:gridCol w:w="1033"/>
        <w:gridCol w:w="967"/>
        <w:gridCol w:w="1266"/>
        <w:gridCol w:w="1250"/>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trPr>
        <w:tc>
          <w:tcPr>
            <w:tcW w:w="1071" w:type="dxa"/>
            <w:vAlign w:val="center"/>
          </w:tcPr>
          <w:p>
            <w:pPr>
              <w:snapToGrid w:val="0"/>
              <w:spacing w:before="50" w:after="50" w:line="500" w:lineRule="exact"/>
              <w:jc w:val="center"/>
              <w:rPr>
                <w:rFonts w:ascii="宋体" w:cs="宋体"/>
                <w:sz w:val="24"/>
              </w:rPr>
            </w:pPr>
            <w:r>
              <w:rPr>
                <w:rFonts w:hint="eastAsia" w:ascii="宋体" w:hAnsi="宋体" w:cs="宋体"/>
                <w:sz w:val="24"/>
              </w:rPr>
              <w:t>姓名</w:t>
            </w:r>
          </w:p>
        </w:tc>
        <w:tc>
          <w:tcPr>
            <w:tcW w:w="814" w:type="dxa"/>
            <w:vAlign w:val="center"/>
          </w:tcPr>
          <w:p>
            <w:pPr>
              <w:snapToGrid w:val="0"/>
              <w:spacing w:before="50" w:after="50" w:line="500" w:lineRule="exact"/>
              <w:jc w:val="center"/>
              <w:rPr>
                <w:rFonts w:ascii="宋体" w:cs="宋体"/>
                <w:sz w:val="24"/>
              </w:rPr>
            </w:pPr>
            <w:r>
              <w:rPr>
                <w:rFonts w:hint="eastAsia" w:ascii="宋体" w:hAnsi="宋体" w:cs="宋体"/>
                <w:sz w:val="24"/>
              </w:rPr>
              <w:t>性别</w:t>
            </w:r>
          </w:p>
        </w:tc>
        <w:tc>
          <w:tcPr>
            <w:tcW w:w="917" w:type="dxa"/>
            <w:vAlign w:val="center"/>
          </w:tcPr>
          <w:p>
            <w:pPr>
              <w:snapToGrid w:val="0"/>
              <w:spacing w:before="50" w:after="50" w:line="500" w:lineRule="exact"/>
              <w:jc w:val="center"/>
              <w:rPr>
                <w:rFonts w:ascii="宋体" w:cs="宋体"/>
                <w:sz w:val="24"/>
              </w:rPr>
            </w:pPr>
            <w:r>
              <w:rPr>
                <w:rFonts w:hint="eastAsia" w:ascii="宋体" w:hAnsi="宋体" w:cs="宋体"/>
                <w:sz w:val="24"/>
              </w:rPr>
              <w:t>年龄</w:t>
            </w:r>
          </w:p>
        </w:tc>
        <w:tc>
          <w:tcPr>
            <w:tcW w:w="1033" w:type="dxa"/>
            <w:vAlign w:val="center"/>
          </w:tcPr>
          <w:p>
            <w:pPr>
              <w:snapToGrid w:val="0"/>
              <w:spacing w:before="50" w:after="50" w:line="500" w:lineRule="exact"/>
              <w:jc w:val="center"/>
              <w:rPr>
                <w:rFonts w:ascii="宋体" w:cs="宋体"/>
                <w:sz w:val="24"/>
              </w:rPr>
            </w:pPr>
            <w:r>
              <w:rPr>
                <w:rFonts w:hint="eastAsia" w:ascii="宋体" w:hAnsi="宋体" w:cs="宋体"/>
                <w:sz w:val="24"/>
              </w:rPr>
              <w:t>文化</w:t>
            </w:r>
          </w:p>
          <w:p>
            <w:pPr>
              <w:snapToGrid w:val="0"/>
              <w:spacing w:before="50" w:after="50" w:line="500" w:lineRule="exact"/>
              <w:jc w:val="center"/>
              <w:rPr>
                <w:rFonts w:ascii="宋体" w:cs="宋体"/>
                <w:sz w:val="24"/>
              </w:rPr>
            </w:pPr>
            <w:r>
              <w:rPr>
                <w:rFonts w:hint="eastAsia" w:ascii="宋体" w:hAnsi="宋体" w:cs="宋体"/>
                <w:sz w:val="24"/>
              </w:rPr>
              <w:t>程度</w:t>
            </w:r>
          </w:p>
        </w:tc>
        <w:tc>
          <w:tcPr>
            <w:tcW w:w="967" w:type="dxa"/>
            <w:vAlign w:val="center"/>
          </w:tcPr>
          <w:p>
            <w:pPr>
              <w:snapToGrid w:val="0"/>
              <w:spacing w:before="50" w:after="50" w:line="500" w:lineRule="exact"/>
              <w:jc w:val="center"/>
              <w:rPr>
                <w:rFonts w:ascii="宋体" w:cs="宋体"/>
                <w:sz w:val="24"/>
              </w:rPr>
            </w:pPr>
            <w:r>
              <w:rPr>
                <w:rFonts w:hint="eastAsia" w:ascii="宋体" w:hAnsi="宋体" w:cs="宋体"/>
                <w:sz w:val="24"/>
              </w:rPr>
              <w:t>从事</w:t>
            </w:r>
          </w:p>
          <w:p>
            <w:pPr>
              <w:snapToGrid w:val="0"/>
              <w:spacing w:before="50" w:after="50" w:line="500" w:lineRule="exact"/>
              <w:jc w:val="center"/>
              <w:rPr>
                <w:rFonts w:ascii="宋体" w:cs="宋体"/>
                <w:sz w:val="24"/>
              </w:rPr>
            </w:pPr>
            <w:r>
              <w:rPr>
                <w:rFonts w:hint="eastAsia" w:ascii="宋体" w:hAnsi="宋体" w:cs="宋体"/>
                <w:sz w:val="24"/>
              </w:rPr>
              <w:t>专业</w:t>
            </w:r>
          </w:p>
        </w:tc>
        <w:tc>
          <w:tcPr>
            <w:tcW w:w="1266" w:type="dxa"/>
            <w:vAlign w:val="center"/>
          </w:tcPr>
          <w:p>
            <w:pPr>
              <w:snapToGrid w:val="0"/>
              <w:spacing w:before="50" w:after="50" w:line="500" w:lineRule="exact"/>
              <w:jc w:val="center"/>
              <w:rPr>
                <w:rFonts w:ascii="宋体" w:cs="宋体"/>
                <w:sz w:val="24"/>
              </w:rPr>
            </w:pPr>
            <w:r>
              <w:rPr>
                <w:rFonts w:hint="eastAsia" w:ascii="宋体" w:hAnsi="宋体" w:cs="宋体"/>
                <w:sz w:val="24"/>
              </w:rPr>
              <w:t>从事专业工作时间</w:t>
            </w:r>
          </w:p>
        </w:tc>
        <w:tc>
          <w:tcPr>
            <w:tcW w:w="1250" w:type="dxa"/>
            <w:vAlign w:val="center"/>
          </w:tcPr>
          <w:p>
            <w:pPr>
              <w:snapToGrid w:val="0"/>
              <w:spacing w:before="50" w:after="50" w:line="500" w:lineRule="exact"/>
              <w:ind w:left="-107" w:leftChars="-51" w:firstLine="91" w:firstLineChars="38"/>
              <w:jc w:val="center"/>
              <w:rPr>
                <w:rFonts w:ascii="宋体" w:cs="宋体"/>
                <w:sz w:val="24"/>
              </w:rPr>
            </w:pPr>
            <w:r>
              <w:rPr>
                <w:rFonts w:hint="eastAsia" w:ascii="宋体" w:hAnsi="宋体" w:cs="宋体"/>
                <w:sz w:val="24"/>
              </w:rPr>
              <w:t>职称</w:t>
            </w:r>
          </w:p>
        </w:tc>
        <w:tc>
          <w:tcPr>
            <w:tcW w:w="1737" w:type="dxa"/>
            <w:vAlign w:val="center"/>
          </w:tcPr>
          <w:p>
            <w:pPr>
              <w:snapToGrid w:val="0"/>
              <w:spacing w:before="50" w:after="50" w:line="500" w:lineRule="exact"/>
              <w:jc w:val="center"/>
              <w:rPr>
                <w:rFonts w:ascii="宋体" w:cs="宋体"/>
                <w:sz w:val="24"/>
              </w:rPr>
            </w:pPr>
            <w:r>
              <w:rPr>
                <w:rFonts w:hint="eastAsia" w:ascii="宋体" w:hAnsi="宋体" w:cs="宋体"/>
                <w:sz w:val="24"/>
              </w:rPr>
              <w:t>拟派岗位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1" w:type="dxa"/>
          </w:tcPr>
          <w:p>
            <w:pPr>
              <w:spacing w:before="50" w:after="50" w:line="500" w:lineRule="exact"/>
              <w:jc w:val="left"/>
              <w:rPr>
                <w:rFonts w:ascii="宋体" w:cs="宋体"/>
                <w:sz w:val="24"/>
              </w:rPr>
            </w:pPr>
          </w:p>
        </w:tc>
        <w:tc>
          <w:tcPr>
            <w:tcW w:w="814" w:type="dxa"/>
          </w:tcPr>
          <w:p>
            <w:pPr>
              <w:spacing w:before="50" w:after="50" w:line="500" w:lineRule="exact"/>
              <w:jc w:val="left"/>
              <w:rPr>
                <w:rFonts w:ascii="宋体" w:cs="宋体"/>
                <w:sz w:val="24"/>
              </w:rPr>
            </w:pPr>
          </w:p>
        </w:tc>
        <w:tc>
          <w:tcPr>
            <w:tcW w:w="917" w:type="dxa"/>
          </w:tcPr>
          <w:p>
            <w:pPr>
              <w:spacing w:before="50" w:after="50" w:line="500" w:lineRule="exact"/>
              <w:jc w:val="left"/>
              <w:rPr>
                <w:rFonts w:ascii="宋体" w:cs="宋体"/>
                <w:sz w:val="24"/>
              </w:rPr>
            </w:pPr>
          </w:p>
        </w:tc>
        <w:tc>
          <w:tcPr>
            <w:tcW w:w="1033" w:type="dxa"/>
          </w:tcPr>
          <w:p>
            <w:pPr>
              <w:spacing w:before="50" w:after="50" w:line="500" w:lineRule="exact"/>
              <w:jc w:val="left"/>
              <w:rPr>
                <w:rFonts w:ascii="宋体" w:cs="宋体"/>
                <w:sz w:val="24"/>
              </w:rPr>
            </w:pPr>
          </w:p>
        </w:tc>
        <w:tc>
          <w:tcPr>
            <w:tcW w:w="967" w:type="dxa"/>
          </w:tcPr>
          <w:p>
            <w:pPr>
              <w:spacing w:before="50" w:after="50" w:line="500" w:lineRule="exact"/>
              <w:jc w:val="left"/>
              <w:rPr>
                <w:rFonts w:ascii="宋体" w:cs="宋体"/>
                <w:sz w:val="24"/>
              </w:rPr>
            </w:pPr>
          </w:p>
        </w:tc>
        <w:tc>
          <w:tcPr>
            <w:tcW w:w="1266" w:type="dxa"/>
          </w:tcPr>
          <w:p>
            <w:pPr>
              <w:spacing w:before="50" w:after="50" w:line="500" w:lineRule="exact"/>
              <w:jc w:val="left"/>
              <w:rPr>
                <w:rFonts w:ascii="宋体" w:cs="宋体"/>
                <w:sz w:val="24"/>
              </w:rPr>
            </w:pPr>
          </w:p>
        </w:tc>
        <w:tc>
          <w:tcPr>
            <w:tcW w:w="1250" w:type="dxa"/>
          </w:tcPr>
          <w:p>
            <w:pPr>
              <w:spacing w:before="50" w:after="50" w:line="500" w:lineRule="exact"/>
              <w:jc w:val="left"/>
              <w:rPr>
                <w:rFonts w:ascii="宋体" w:cs="宋体"/>
                <w:sz w:val="24"/>
              </w:rPr>
            </w:pPr>
          </w:p>
        </w:tc>
        <w:tc>
          <w:tcPr>
            <w:tcW w:w="1737" w:type="dxa"/>
          </w:tcPr>
          <w:p>
            <w:pPr>
              <w:spacing w:before="50" w:after="50" w:line="500" w:lineRule="exact"/>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1" w:type="dxa"/>
          </w:tcPr>
          <w:p>
            <w:pPr>
              <w:spacing w:before="50" w:after="50" w:line="500" w:lineRule="exact"/>
              <w:jc w:val="left"/>
              <w:rPr>
                <w:rFonts w:ascii="宋体" w:cs="宋体"/>
                <w:sz w:val="24"/>
              </w:rPr>
            </w:pPr>
          </w:p>
        </w:tc>
        <w:tc>
          <w:tcPr>
            <w:tcW w:w="814" w:type="dxa"/>
          </w:tcPr>
          <w:p>
            <w:pPr>
              <w:spacing w:before="50" w:after="50" w:line="500" w:lineRule="exact"/>
              <w:jc w:val="left"/>
              <w:rPr>
                <w:rFonts w:ascii="宋体" w:cs="宋体"/>
                <w:sz w:val="24"/>
              </w:rPr>
            </w:pPr>
          </w:p>
        </w:tc>
        <w:tc>
          <w:tcPr>
            <w:tcW w:w="917" w:type="dxa"/>
          </w:tcPr>
          <w:p>
            <w:pPr>
              <w:spacing w:before="50" w:after="50" w:line="500" w:lineRule="exact"/>
              <w:jc w:val="left"/>
              <w:rPr>
                <w:rFonts w:ascii="宋体" w:cs="宋体"/>
                <w:sz w:val="24"/>
              </w:rPr>
            </w:pPr>
          </w:p>
        </w:tc>
        <w:tc>
          <w:tcPr>
            <w:tcW w:w="1033" w:type="dxa"/>
          </w:tcPr>
          <w:p>
            <w:pPr>
              <w:spacing w:before="50" w:after="50" w:line="500" w:lineRule="exact"/>
              <w:jc w:val="left"/>
              <w:rPr>
                <w:rFonts w:ascii="宋体" w:cs="宋体"/>
                <w:sz w:val="24"/>
              </w:rPr>
            </w:pPr>
          </w:p>
        </w:tc>
        <w:tc>
          <w:tcPr>
            <w:tcW w:w="967" w:type="dxa"/>
          </w:tcPr>
          <w:p>
            <w:pPr>
              <w:spacing w:before="50" w:after="50" w:line="500" w:lineRule="exact"/>
              <w:jc w:val="left"/>
              <w:rPr>
                <w:rFonts w:ascii="宋体" w:cs="宋体"/>
                <w:sz w:val="24"/>
              </w:rPr>
            </w:pPr>
          </w:p>
        </w:tc>
        <w:tc>
          <w:tcPr>
            <w:tcW w:w="1266" w:type="dxa"/>
          </w:tcPr>
          <w:p>
            <w:pPr>
              <w:spacing w:before="50" w:after="50" w:line="500" w:lineRule="exact"/>
              <w:jc w:val="left"/>
              <w:rPr>
                <w:rFonts w:ascii="宋体" w:cs="宋体"/>
                <w:sz w:val="24"/>
              </w:rPr>
            </w:pPr>
          </w:p>
        </w:tc>
        <w:tc>
          <w:tcPr>
            <w:tcW w:w="1250" w:type="dxa"/>
          </w:tcPr>
          <w:p>
            <w:pPr>
              <w:spacing w:before="50" w:after="50" w:line="500" w:lineRule="exact"/>
              <w:jc w:val="left"/>
              <w:rPr>
                <w:rFonts w:ascii="宋体" w:cs="宋体"/>
                <w:sz w:val="24"/>
              </w:rPr>
            </w:pPr>
          </w:p>
        </w:tc>
        <w:tc>
          <w:tcPr>
            <w:tcW w:w="1737" w:type="dxa"/>
          </w:tcPr>
          <w:p>
            <w:pPr>
              <w:spacing w:before="50" w:after="50" w:line="500" w:lineRule="exact"/>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1" w:type="dxa"/>
          </w:tcPr>
          <w:p>
            <w:pPr>
              <w:spacing w:before="50" w:after="50" w:line="500" w:lineRule="exact"/>
              <w:jc w:val="left"/>
              <w:rPr>
                <w:rFonts w:ascii="宋体" w:cs="宋体"/>
                <w:sz w:val="24"/>
              </w:rPr>
            </w:pPr>
          </w:p>
        </w:tc>
        <w:tc>
          <w:tcPr>
            <w:tcW w:w="814" w:type="dxa"/>
          </w:tcPr>
          <w:p>
            <w:pPr>
              <w:spacing w:before="50" w:after="50" w:line="500" w:lineRule="exact"/>
              <w:jc w:val="left"/>
              <w:rPr>
                <w:rFonts w:ascii="宋体" w:cs="宋体"/>
                <w:sz w:val="24"/>
              </w:rPr>
            </w:pPr>
          </w:p>
        </w:tc>
        <w:tc>
          <w:tcPr>
            <w:tcW w:w="917" w:type="dxa"/>
          </w:tcPr>
          <w:p>
            <w:pPr>
              <w:spacing w:before="50" w:after="50" w:line="500" w:lineRule="exact"/>
              <w:jc w:val="left"/>
              <w:rPr>
                <w:rFonts w:ascii="宋体" w:cs="宋体"/>
                <w:sz w:val="24"/>
              </w:rPr>
            </w:pPr>
          </w:p>
        </w:tc>
        <w:tc>
          <w:tcPr>
            <w:tcW w:w="1033" w:type="dxa"/>
          </w:tcPr>
          <w:p>
            <w:pPr>
              <w:spacing w:before="50" w:after="50" w:line="500" w:lineRule="exact"/>
              <w:jc w:val="left"/>
              <w:rPr>
                <w:rFonts w:ascii="宋体" w:cs="宋体"/>
                <w:sz w:val="24"/>
              </w:rPr>
            </w:pPr>
          </w:p>
        </w:tc>
        <w:tc>
          <w:tcPr>
            <w:tcW w:w="967" w:type="dxa"/>
          </w:tcPr>
          <w:p>
            <w:pPr>
              <w:spacing w:before="50" w:after="50" w:line="500" w:lineRule="exact"/>
              <w:jc w:val="left"/>
              <w:rPr>
                <w:rFonts w:ascii="宋体" w:cs="宋体"/>
                <w:sz w:val="24"/>
              </w:rPr>
            </w:pPr>
          </w:p>
        </w:tc>
        <w:tc>
          <w:tcPr>
            <w:tcW w:w="1266" w:type="dxa"/>
          </w:tcPr>
          <w:p>
            <w:pPr>
              <w:spacing w:before="50" w:after="50" w:line="500" w:lineRule="exact"/>
              <w:jc w:val="left"/>
              <w:rPr>
                <w:rFonts w:ascii="宋体" w:cs="宋体"/>
                <w:sz w:val="24"/>
              </w:rPr>
            </w:pPr>
          </w:p>
        </w:tc>
        <w:tc>
          <w:tcPr>
            <w:tcW w:w="1250" w:type="dxa"/>
          </w:tcPr>
          <w:p>
            <w:pPr>
              <w:spacing w:before="50" w:after="50" w:line="500" w:lineRule="exact"/>
              <w:jc w:val="left"/>
              <w:rPr>
                <w:rFonts w:ascii="宋体" w:cs="宋体"/>
                <w:sz w:val="24"/>
              </w:rPr>
            </w:pPr>
          </w:p>
        </w:tc>
        <w:tc>
          <w:tcPr>
            <w:tcW w:w="1737" w:type="dxa"/>
          </w:tcPr>
          <w:p>
            <w:pPr>
              <w:spacing w:before="50" w:after="50" w:line="500" w:lineRule="exact"/>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1" w:type="dxa"/>
          </w:tcPr>
          <w:p>
            <w:pPr>
              <w:spacing w:before="50" w:after="50" w:line="500" w:lineRule="exact"/>
              <w:jc w:val="left"/>
              <w:rPr>
                <w:rFonts w:ascii="宋体" w:cs="宋体"/>
                <w:sz w:val="24"/>
              </w:rPr>
            </w:pPr>
          </w:p>
        </w:tc>
        <w:tc>
          <w:tcPr>
            <w:tcW w:w="814" w:type="dxa"/>
          </w:tcPr>
          <w:p>
            <w:pPr>
              <w:spacing w:before="50" w:after="50" w:line="500" w:lineRule="exact"/>
              <w:jc w:val="left"/>
              <w:rPr>
                <w:rFonts w:ascii="宋体" w:cs="宋体"/>
                <w:sz w:val="24"/>
              </w:rPr>
            </w:pPr>
          </w:p>
        </w:tc>
        <w:tc>
          <w:tcPr>
            <w:tcW w:w="917" w:type="dxa"/>
          </w:tcPr>
          <w:p>
            <w:pPr>
              <w:spacing w:before="50" w:after="50" w:line="500" w:lineRule="exact"/>
              <w:jc w:val="left"/>
              <w:rPr>
                <w:rFonts w:ascii="宋体" w:cs="宋体"/>
                <w:sz w:val="24"/>
              </w:rPr>
            </w:pPr>
          </w:p>
        </w:tc>
        <w:tc>
          <w:tcPr>
            <w:tcW w:w="1033" w:type="dxa"/>
          </w:tcPr>
          <w:p>
            <w:pPr>
              <w:spacing w:before="50" w:after="50" w:line="500" w:lineRule="exact"/>
              <w:jc w:val="left"/>
              <w:rPr>
                <w:rFonts w:ascii="宋体" w:cs="宋体"/>
                <w:sz w:val="24"/>
              </w:rPr>
            </w:pPr>
          </w:p>
        </w:tc>
        <w:tc>
          <w:tcPr>
            <w:tcW w:w="967" w:type="dxa"/>
          </w:tcPr>
          <w:p>
            <w:pPr>
              <w:spacing w:before="50" w:after="50" w:line="500" w:lineRule="exact"/>
              <w:jc w:val="left"/>
              <w:rPr>
                <w:rFonts w:ascii="宋体" w:cs="宋体"/>
                <w:sz w:val="24"/>
              </w:rPr>
            </w:pPr>
          </w:p>
        </w:tc>
        <w:tc>
          <w:tcPr>
            <w:tcW w:w="1266" w:type="dxa"/>
          </w:tcPr>
          <w:p>
            <w:pPr>
              <w:spacing w:before="50" w:after="50" w:line="500" w:lineRule="exact"/>
              <w:jc w:val="left"/>
              <w:rPr>
                <w:rFonts w:ascii="宋体" w:cs="宋体"/>
                <w:sz w:val="24"/>
              </w:rPr>
            </w:pPr>
          </w:p>
        </w:tc>
        <w:tc>
          <w:tcPr>
            <w:tcW w:w="1250" w:type="dxa"/>
          </w:tcPr>
          <w:p>
            <w:pPr>
              <w:spacing w:before="50" w:after="50" w:line="500" w:lineRule="exact"/>
              <w:jc w:val="left"/>
              <w:rPr>
                <w:rFonts w:ascii="宋体" w:cs="宋体"/>
                <w:sz w:val="24"/>
              </w:rPr>
            </w:pPr>
          </w:p>
        </w:tc>
        <w:tc>
          <w:tcPr>
            <w:tcW w:w="1737" w:type="dxa"/>
          </w:tcPr>
          <w:p>
            <w:pPr>
              <w:spacing w:before="50" w:after="50" w:line="500" w:lineRule="exact"/>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1" w:type="dxa"/>
          </w:tcPr>
          <w:p>
            <w:pPr>
              <w:spacing w:before="50" w:after="50" w:line="500" w:lineRule="exact"/>
              <w:jc w:val="left"/>
              <w:rPr>
                <w:rFonts w:ascii="宋体" w:cs="宋体"/>
                <w:sz w:val="24"/>
              </w:rPr>
            </w:pPr>
          </w:p>
        </w:tc>
        <w:tc>
          <w:tcPr>
            <w:tcW w:w="814" w:type="dxa"/>
          </w:tcPr>
          <w:p>
            <w:pPr>
              <w:spacing w:before="50" w:after="50" w:line="500" w:lineRule="exact"/>
              <w:jc w:val="left"/>
              <w:rPr>
                <w:rFonts w:ascii="宋体" w:cs="宋体"/>
                <w:sz w:val="24"/>
              </w:rPr>
            </w:pPr>
          </w:p>
        </w:tc>
        <w:tc>
          <w:tcPr>
            <w:tcW w:w="917" w:type="dxa"/>
          </w:tcPr>
          <w:p>
            <w:pPr>
              <w:spacing w:before="50" w:after="50" w:line="500" w:lineRule="exact"/>
              <w:jc w:val="left"/>
              <w:rPr>
                <w:rFonts w:ascii="宋体" w:cs="宋体"/>
                <w:sz w:val="24"/>
              </w:rPr>
            </w:pPr>
          </w:p>
        </w:tc>
        <w:tc>
          <w:tcPr>
            <w:tcW w:w="1033" w:type="dxa"/>
          </w:tcPr>
          <w:p>
            <w:pPr>
              <w:spacing w:before="50" w:after="50" w:line="500" w:lineRule="exact"/>
              <w:jc w:val="left"/>
              <w:rPr>
                <w:rFonts w:ascii="宋体" w:cs="宋体"/>
                <w:sz w:val="24"/>
              </w:rPr>
            </w:pPr>
          </w:p>
        </w:tc>
        <w:tc>
          <w:tcPr>
            <w:tcW w:w="967" w:type="dxa"/>
          </w:tcPr>
          <w:p>
            <w:pPr>
              <w:spacing w:before="50" w:after="50" w:line="500" w:lineRule="exact"/>
              <w:jc w:val="left"/>
              <w:rPr>
                <w:rFonts w:ascii="宋体" w:cs="宋体"/>
                <w:sz w:val="24"/>
              </w:rPr>
            </w:pPr>
          </w:p>
        </w:tc>
        <w:tc>
          <w:tcPr>
            <w:tcW w:w="1266" w:type="dxa"/>
          </w:tcPr>
          <w:p>
            <w:pPr>
              <w:spacing w:before="50" w:after="50" w:line="500" w:lineRule="exact"/>
              <w:jc w:val="left"/>
              <w:rPr>
                <w:rFonts w:ascii="宋体" w:cs="宋体"/>
                <w:sz w:val="24"/>
              </w:rPr>
            </w:pPr>
          </w:p>
        </w:tc>
        <w:tc>
          <w:tcPr>
            <w:tcW w:w="1250" w:type="dxa"/>
          </w:tcPr>
          <w:p>
            <w:pPr>
              <w:spacing w:before="50" w:after="50" w:line="500" w:lineRule="exact"/>
              <w:jc w:val="left"/>
              <w:rPr>
                <w:rFonts w:ascii="宋体" w:cs="宋体"/>
                <w:sz w:val="24"/>
              </w:rPr>
            </w:pPr>
          </w:p>
        </w:tc>
        <w:tc>
          <w:tcPr>
            <w:tcW w:w="1737" w:type="dxa"/>
          </w:tcPr>
          <w:p>
            <w:pPr>
              <w:spacing w:before="50" w:after="50" w:line="500" w:lineRule="exact"/>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1" w:type="dxa"/>
          </w:tcPr>
          <w:p>
            <w:pPr>
              <w:spacing w:before="50" w:after="50" w:line="500" w:lineRule="exact"/>
              <w:jc w:val="left"/>
              <w:rPr>
                <w:rFonts w:ascii="宋体" w:cs="宋体"/>
                <w:sz w:val="24"/>
              </w:rPr>
            </w:pPr>
          </w:p>
        </w:tc>
        <w:tc>
          <w:tcPr>
            <w:tcW w:w="814" w:type="dxa"/>
          </w:tcPr>
          <w:p>
            <w:pPr>
              <w:spacing w:before="50" w:after="50" w:line="500" w:lineRule="exact"/>
              <w:jc w:val="left"/>
              <w:rPr>
                <w:rFonts w:ascii="宋体" w:cs="宋体"/>
                <w:sz w:val="24"/>
              </w:rPr>
            </w:pPr>
          </w:p>
        </w:tc>
        <w:tc>
          <w:tcPr>
            <w:tcW w:w="917" w:type="dxa"/>
          </w:tcPr>
          <w:p>
            <w:pPr>
              <w:spacing w:before="50" w:after="50" w:line="500" w:lineRule="exact"/>
              <w:jc w:val="left"/>
              <w:rPr>
                <w:rFonts w:ascii="宋体" w:cs="宋体"/>
                <w:sz w:val="24"/>
              </w:rPr>
            </w:pPr>
          </w:p>
        </w:tc>
        <w:tc>
          <w:tcPr>
            <w:tcW w:w="1033" w:type="dxa"/>
          </w:tcPr>
          <w:p>
            <w:pPr>
              <w:spacing w:before="50" w:after="50" w:line="500" w:lineRule="exact"/>
              <w:jc w:val="left"/>
              <w:rPr>
                <w:rFonts w:ascii="宋体" w:cs="宋体"/>
                <w:sz w:val="24"/>
              </w:rPr>
            </w:pPr>
          </w:p>
        </w:tc>
        <w:tc>
          <w:tcPr>
            <w:tcW w:w="967" w:type="dxa"/>
          </w:tcPr>
          <w:p>
            <w:pPr>
              <w:spacing w:before="50" w:after="50" w:line="500" w:lineRule="exact"/>
              <w:jc w:val="left"/>
              <w:rPr>
                <w:rFonts w:ascii="宋体" w:cs="宋体"/>
                <w:sz w:val="24"/>
              </w:rPr>
            </w:pPr>
          </w:p>
        </w:tc>
        <w:tc>
          <w:tcPr>
            <w:tcW w:w="1266" w:type="dxa"/>
          </w:tcPr>
          <w:p>
            <w:pPr>
              <w:spacing w:before="50" w:after="50" w:line="500" w:lineRule="exact"/>
              <w:jc w:val="left"/>
              <w:rPr>
                <w:rFonts w:ascii="宋体" w:cs="宋体"/>
                <w:sz w:val="24"/>
              </w:rPr>
            </w:pPr>
          </w:p>
        </w:tc>
        <w:tc>
          <w:tcPr>
            <w:tcW w:w="1250" w:type="dxa"/>
          </w:tcPr>
          <w:p>
            <w:pPr>
              <w:spacing w:before="50" w:after="50" w:line="500" w:lineRule="exact"/>
              <w:jc w:val="left"/>
              <w:rPr>
                <w:rFonts w:ascii="宋体" w:cs="宋体"/>
                <w:sz w:val="24"/>
              </w:rPr>
            </w:pPr>
          </w:p>
        </w:tc>
        <w:tc>
          <w:tcPr>
            <w:tcW w:w="1737" w:type="dxa"/>
          </w:tcPr>
          <w:p>
            <w:pPr>
              <w:spacing w:before="50" w:after="50" w:line="500" w:lineRule="exact"/>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1" w:type="dxa"/>
          </w:tcPr>
          <w:p>
            <w:pPr>
              <w:spacing w:before="50" w:after="50" w:line="500" w:lineRule="exact"/>
              <w:jc w:val="left"/>
              <w:rPr>
                <w:rFonts w:ascii="宋体" w:cs="宋体"/>
                <w:sz w:val="24"/>
              </w:rPr>
            </w:pPr>
          </w:p>
        </w:tc>
        <w:tc>
          <w:tcPr>
            <w:tcW w:w="814" w:type="dxa"/>
          </w:tcPr>
          <w:p>
            <w:pPr>
              <w:spacing w:before="50" w:after="50" w:line="500" w:lineRule="exact"/>
              <w:jc w:val="left"/>
              <w:rPr>
                <w:rFonts w:ascii="宋体" w:cs="宋体"/>
                <w:sz w:val="24"/>
              </w:rPr>
            </w:pPr>
          </w:p>
        </w:tc>
        <w:tc>
          <w:tcPr>
            <w:tcW w:w="917" w:type="dxa"/>
          </w:tcPr>
          <w:p>
            <w:pPr>
              <w:spacing w:before="50" w:after="50" w:line="500" w:lineRule="exact"/>
              <w:jc w:val="left"/>
              <w:rPr>
                <w:rFonts w:ascii="宋体" w:cs="宋体"/>
                <w:sz w:val="24"/>
              </w:rPr>
            </w:pPr>
          </w:p>
        </w:tc>
        <w:tc>
          <w:tcPr>
            <w:tcW w:w="1033" w:type="dxa"/>
          </w:tcPr>
          <w:p>
            <w:pPr>
              <w:spacing w:before="50" w:after="50" w:line="500" w:lineRule="exact"/>
              <w:jc w:val="left"/>
              <w:rPr>
                <w:rFonts w:ascii="宋体" w:cs="宋体"/>
                <w:sz w:val="24"/>
              </w:rPr>
            </w:pPr>
          </w:p>
        </w:tc>
        <w:tc>
          <w:tcPr>
            <w:tcW w:w="967" w:type="dxa"/>
          </w:tcPr>
          <w:p>
            <w:pPr>
              <w:spacing w:before="50" w:after="50" w:line="500" w:lineRule="exact"/>
              <w:jc w:val="left"/>
              <w:rPr>
                <w:rFonts w:ascii="宋体" w:cs="宋体"/>
                <w:sz w:val="24"/>
              </w:rPr>
            </w:pPr>
          </w:p>
        </w:tc>
        <w:tc>
          <w:tcPr>
            <w:tcW w:w="1266" w:type="dxa"/>
          </w:tcPr>
          <w:p>
            <w:pPr>
              <w:spacing w:before="50" w:after="50" w:line="500" w:lineRule="exact"/>
              <w:jc w:val="left"/>
              <w:rPr>
                <w:rFonts w:ascii="宋体" w:cs="宋体"/>
                <w:sz w:val="24"/>
              </w:rPr>
            </w:pPr>
          </w:p>
        </w:tc>
        <w:tc>
          <w:tcPr>
            <w:tcW w:w="1250" w:type="dxa"/>
          </w:tcPr>
          <w:p>
            <w:pPr>
              <w:spacing w:before="50" w:after="50" w:line="500" w:lineRule="exact"/>
              <w:jc w:val="left"/>
              <w:rPr>
                <w:rFonts w:ascii="宋体" w:cs="宋体"/>
                <w:sz w:val="24"/>
              </w:rPr>
            </w:pPr>
          </w:p>
        </w:tc>
        <w:tc>
          <w:tcPr>
            <w:tcW w:w="1737" w:type="dxa"/>
          </w:tcPr>
          <w:p>
            <w:pPr>
              <w:spacing w:before="50" w:after="50" w:line="500" w:lineRule="exact"/>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1" w:type="dxa"/>
          </w:tcPr>
          <w:p>
            <w:pPr>
              <w:spacing w:before="50" w:after="50" w:line="500" w:lineRule="exact"/>
              <w:jc w:val="left"/>
              <w:rPr>
                <w:rFonts w:ascii="宋体" w:cs="宋体"/>
                <w:sz w:val="24"/>
              </w:rPr>
            </w:pPr>
          </w:p>
        </w:tc>
        <w:tc>
          <w:tcPr>
            <w:tcW w:w="814" w:type="dxa"/>
          </w:tcPr>
          <w:p>
            <w:pPr>
              <w:spacing w:before="50" w:after="50" w:line="500" w:lineRule="exact"/>
              <w:jc w:val="left"/>
              <w:rPr>
                <w:rFonts w:ascii="宋体" w:cs="宋体"/>
                <w:sz w:val="24"/>
              </w:rPr>
            </w:pPr>
          </w:p>
        </w:tc>
        <w:tc>
          <w:tcPr>
            <w:tcW w:w="917" w:type="dxa"/>
          </w:tcPr>
          <w:p>
            <w:pPr>
              <w:spacing w:before="50" w:after="50" w:line="500" w:lineRule="exact"/>
              <w:jc w:val="left"/>
              <w:rPr>
                <w:rFonts w:ascii="宋体" w:cs="宋体"/>
                <w:sz w:val="24"/>
              </w:rPr>
            </w:pPr>
          </w:p>
        </w:tc>
        <w:tc>
          <w:tcPr>
            <w:tcW w:w="1033" w:type="dxa"/>
          </w:tcPr>
          <w:p>
            <w:pPr>
              <w:spacing w:before="50" w:after="50" w:line="500" w:lineRule="exact"/>
              <w:jc w:val="left"/>
              <w:rPr>
                <w:rFonts w:ascii="宋体" w:cs="宋体"/>
                <w:sz w:val="24"/>
              </w:rPr>
            </w:pPr>
          </w:p>
        </w:tc>
        <w:tc>
          <w:tcPr>
            <w:tcW w:w="967" w:type="dxa"/>
          </w:tcPr>
          <w:p>
            <w:pPr>
              <w:spacing w:before="50" w:after="50" w:line="500" w:lineRule="exact"/>
              <w:jc w:val="left"/>
              <w:rPr>
                <w:rFonts w:ascii="宋体" w:cs="宋体"/>
                <w:sz w:val="24"/>
              </w:rPr>
            </w:pPr>
          </w:p>
        </w:tc>
        <w:tc>
          <w:tcPr>
            <w:tcW w:w="1266" w:type="dxa"/>
          </w:tcPr>
          <w:p>
            <w:pPr>
              <w:spacing w:before="50" w:after="50" w:line="500" w:lineRule="exact"/>
              <w:jc w:val="left"/>
              <w:rPr>
                <w:rFonts w:ascii="宋体" w:cs="宋体"/>
                <w:sz w:val="24"/>
              </w:rPr>
            </w:pPr>
          </w:p>
        </w:tc>
        <w:tc>
          <w:tcPr>
            <w:tcW w:w="1250" w:type="dxa"/>
          </w:tcPr>
          <w:p>
            <w:pPr>
              <w:spacing w:before="50" w:after="50" w:line="500" w:lineRule="exact"/>
              <w:jc w:val="left"/>
              <w:rPr>
                <w:rFonts w:ascii="宋体" w:cs="宋体"/>
                <w:sz w:val="24"/>
              </w:rPr>
            </w:pPr>
          </w:p>
        </w:tc>
        <w:tc>
          <w:tcPr>
            <w:tcW w:w="1737" w:type="dxa"/>
          </w:tcPr>
          <w:p>
            <w:pPr>
              <w:spacing w:before="50" w:after="50" w:line="500" w:lineRule="exact"/>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1" w:type="dxa"/>
          </w:tcPr>
          <w:p>
            <w:pPr>
              <w:spacing w:before="50" w:after="50" w:line="500" w:lineRule="exact"/>
              <w:jc w:val="left"/>
              <w:rPr>
                <w:rFonts w:ascii="宋体" w:cs="宋体"/>
                <w:sz w:val="24"/>
              </w:rPr>
            </w:pPr>
          </w:p>
        </w:tc>
        <w:tc>
          <w:tcPr>
            <w:tcW w:w="814" w:type="dxa"/>
          </w:tcPr>
          <w:p>
            <w:pPr>
              <w:spacing w:before="50" w:after="50" w:line="500" w:lineRule="exact"/>
              <w:jc w:val="left"/>
              <w:rPr>
                <w:rFonts w:ascii="宋体" w:cs="宋体"/>
                <w:sz w:val="24"/>
              </w:rPr>
            </w:pPr>
          </w:p>
        </w:tc>
        <w:tc>
          <w:tcPr>
            <w:tcW w:w="917" w:type="dxa"/>
          </w:tcPr>
          <w:p>
            <w:pPr>
              <w:spacing w:before="50" w:after="50" w:line="500" w:lineRule="exact"/>
              <w:jc w:val="left"/>
              <w:rPr>
                <w:rFonts w:ascii="宋体" w:cs="宋体"/>
                <w:sz w:val="24"/>
              </w:rPr>
            </w:pPr>
          </w:p>
        </w:tc>
        <w:tc>
          <w:tcPr>
            <w:tcW w:w="1033" w:type="dxa"/>
          </w:tcPr>
          <w:p>
            <w:pPr>
              <w:spacing w:before="50" w:after="50" w:line="500" w:lineRule="exact"/>
              <w:jc w:val="left"/>
              <w:rPr>
                <w:rFonts w:ascii="宋体" w:cs="宋体"/>
                <w:sz w:val="24"/>
              </w:rPr>
            </w:pPr>
          </w:p>
        </w:tc>
        <w:tc>
          <w:tcPr>
            <w:tcW w:w="967" w:type="dxa"/>
          </w:tcPr>
          <w:p>
            <w:pPr>
              <w:spacing w:before="50" w:after="50" w:line="500" w:lineRule="exact"/>
              <w:jc w:val="left"/>
              <w:rPr>
                <w:rFonts w:ascii="宋体" w:cs="宋体"/>
                <w:sz w:val="24"/>
              </w:rPr>
            </w:pPr>
          </w:p>
        </w:tc>
        <w:tc>
          <w:tcPr>
            <w:tcW w:w="1266" w:type="dxa"/>
          </w:tcPr>
          <w:p>
            <w:pPr>
              <w:spacing w:before="50" w:after="50" w:line="500" w:lineRule="exact"/>
              <w:jc w:val="left"/>
              <w:rPr>
                <w:rFonts w:ascii="宋体" w:cs="宋体"/>
                <w:sz w:val="24"/>
              </w:rPr>
            </w:pPr>
          </w:p>
        </w:tc>
        <w:tc>
          <w:tcPr>
            <w:tcW w:w="1250" w:type="dxa"/>
          </w:tcPr>
          <w:p>
            <w:pPr>
              <w:spacing w:before="50" w:after="50" w:line="500" w:lineRule="exact"/>
              <w:jc w:val="left"/>
              <w:rPr>
                <w:rFonts w:ascii="宋体" w:cs="宋体"/>
                <w:sz w:val="24"/>
              </w:rPr>
            </w:pPr>
          </w:p>
        </w:tc>
        <w:tc>
          <w:tcPr>
            <w:tcW w:w="1737" w:type="dxa"/>
          </w:tcPr>
          <w:p>
            <w:pPr>
              <w:spacing w:before="50" w:after="50" w:line="500" w:lineRule="exact"/>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71" w:type="dxa"/>
          </w:tcPr>
          <w:p>
            <w:pPr>
              <w:spacing w:before="50" w:after="50" w:line="500" w:lineRule="exact"/>
              <w:jc w:val="left"/>
              <w:rPr>
                <w:rFonts w:ascii="宋体" w:cs="宋体"/>
                <w:sz w:val="24"/>
              </w:rPr>
            </w:pPr>
          </w:p>
        </w:tc>
        <w:tc>
          <w:tcPr>
            <w:tcW w:w="814" w:type="dxa"/>
          </w:tcPr>
          <w:p>
            <w:pPr>
              <w:spacing w:before="50" w:after="50" w:line="500" w:lineRule="exact"/>
              <w:jc w:val="left"/>
              <w:rPr>
                <w:rFonts w:ascii="宋体" w:cs="宋体"/>
                <w:sz w:val="24"/>
              </w:rPr>
            </w:pPr>
          </w:p>
        </w:tc>
        <w:tc>
          <w:tcPr>
            <w:tcW w:w="917" w:type="dxa"/>
          </w:tcPr>
          <w:p>
            <w:pPr>
              <w:spacing w:before="50" w:after="50" w:line="500" w:lineRule="exact"/>
              <w:jc w:val="left"/>
              <w:rPr>
                <w:rFonts w:ascii="宋体" w:cs="宋体"/>
                <w:sz w:val="24"/>
              </w:rPr>
            </w:pPr>
          </w:p>
        </w:tc>
        <w:tc>
          <w:tcPr>
            <w:tcW w:w="1033" w:type="dxa"/>
          </w:tcPr>
          <w:p>
            <w:pPr>
              <w:spacing w:before="50" w:after="50" w:line="500" w:lineRule="exact"/>
              <w:jc w:val="left"/>
              <w:rPr>
                <w:rFonts w:ascii="宋体" w:cs="宋体"/>
                <w:sz w:val="24"/>
              </w:rPr>
            </w:pPr>
          </w:p>
        </w:tc>
        <w:tc>
          <w:tcPr>
            <w:tcW w:w="967" w:type="dxa"/>
          </w:tcPr>
          <w:p>
            <w:pPr>
              <w:spacing w:before="50" w:after="50" w:line="500" w:lineRule="exact"/>
              <w:jc w:val="left"/>
              <w:rPr>
                <w:rFonts w:ascii="宋体" w:cs="宋体"/>
                <w:sz w:val="24"/>
              </w:rPr>
            </w:pPr>
          </w:p>
        </w:tc>
        <w:tc>
          <w:tcPr>
            <w:tcW w:w="1266" w:type="dxa"/>
          </w:tcPr>
          <w:p>
            <w:pPr>
              <w:spacing w:before="50" w:after="50" w:line="500" w:lineRule="exact"/>
              <w:jc w:val="left"/>
              <w:rPr>
                <w:rFonts w:ascii="宋体" w:cs="宋体"/>
                <w:sz w:val="24"/>
              </w:rPr>
            </w:pPr>
          </w:p>
        </w:tc>
        <w:tc>
          <w:tcPr>
            <w:tcW w:w="1250" w:type="dxa"/>
          </w:tcPr>
          <w:p>
            <w:pPr>
              <w:spacing w:before="50" w:after="50" w:line="500" w:lineRule="exact"/>
              <w:jc w:val="left"/>
              <w:rPr>
                <w:rFonts w:ascii="宋体" w:cs="宋体"/>
                <w:sz w:val="24"/>
              </w:rPr>
            </w:pPr>
          </w:p>
        </w:tc>
        <w:tc>
          <w:tcPr>
            <w:tcW w:w="1737" w:type="dxa"/>
          </w:tcPr>
          <w:p>
            <w:pPr>
              <w:spacing w:before="50" w:after="50" w:line="500" w:lineRule="exact"/>
              <w:jc w:val="left"/>
              <w:rPr>
                <w:rFonts w:ascii="宋体" w:cs="宋体"/>
                <w:sz w:val="24"/>
              </w:rPr>
            </w:pPr>
          </w:p>
        </w:tc>
      </w:tr>
    </w:tbl>
    <w:p>
      <w:pPr>
        <w:spacing w:before="50" w:after="50" w:line="500" w:lineRule="exact"/>
        <w:rPr>
          <w:rFonts w:ascii="宋体" w:cs="宋体"/>
          <w:b/>
          <w:bCs/>
          <w:sz w:val="24"/>
        </w:rPr>
      </w:pPr>
    </w:p>
    <w:p>
      <w:pPr>
        <w:pStyle w:val="26"/>
        <w:tabs>
          <w:tab w:val="left" w:pos="4312"/>
        </w:tabs>
        <w:spacing w:before="156" w:after="156" w:line="360" w:lineRule="auto"/>
        <w:rPr>
          <w:rFonts w:ascii="Times New Roman" w:hAnsi="Times New Roman"/>
        </w:rPr>
      </w:pPr>
      <w:r>
        <w:rPr>
          <w:rFonts w:hint="eastAsia" w:ascii="Times New Roman" w:hAnsi="Times New Roman"/>
        </w:rPr>
        <w:t>投标单位（公章）：</w:t>
      </w:r>
    </w:p>
    <w:p>
      <w:pPr>
        <w:pStyle w:val="26"/>
        <w:tabs>
          <w:tab w:val="left" w:pos="4312"/>
        </w:tabs>
        <w:spacing w:before="156" w:after="156" w:line="360" w:lineRule="auto"/>
        <w:rPr>
          <w:rFonts w:ascii="Times New Roman" w:hAnsi="Times New Roman"/>
        </w:rPr>
      </w:pPr>
      <w:r>
        <w:rPr>
          <w:rFonts w:hint="eastAsia" w:ascii="Times New Roman" w:hAnsi="Times New Roman"/>
        </w:rPr>
        <w:t>授权代表签字：</w:t>
      </w:r>
    </w:p>
    <w:p>
      <w:pPr>
        <w:pStyle w:val="26"/>
        <w:tabs>
          <w:tab w:val="left" w:pos="4312"/>
        </w:tabs>
        <w:spacing w:before="156" w:after="156" w:line="360" w:lineRule="auto"/>
        <w:rPr>
          <w:rFonts w:ascii="Times New Roman" w:hAnsi="Times New Roman"/>
        </w:rPr>
      </w:pPr>
      <w:r>
        <w:rPr>
          <w:rFonts w:hint="eastAsia" w:ascii="Times New Roman" w:hAnsi="Times New Roman"/>
        </w:rPr>
        <w:t>日期：</w:t>
      </w:r>
    </w:p>
    <w:p>
      <w:pPr>
        <w:rPr>
          <w:rFonts w:ascii="宋体" w:hAnsi="宋体" w:cs="宋体"/>
          <w:b/>
          <w:bCs/>
          <w:sz w:val="24"/>
          <w:szCs w:val="24"/>
        </w:rPr>
      </w:pPr>
    </w:p>
    <w:p>
      <w:pPr>
        <w:pStyle w:val="44"/>
        <w:ind w:firstLine="344"/>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b/>
          <w:bCs/>
          <w:sz w:val="24"/>
          <w:szCs w:val="24"/>
        </w:rPr>
      </w:pPr>
      <w:r>
        <w:rPr>
          <w:rFonts w:hint="eastAsia" w:ascii="宋体" w:hAnsi="宋体" w:cs="宋体"/>
          <w:b/>
          <w:bCs/>
          <w:sz w:val="24"/>
          <w:szCs w:val="24"/>
        </w:rPr>
        <w:t>2.6中小企业声明函</w:t>
      </w:r>
    </w:p>
    <w:p>
      <w:pPr>
        <w:rPr>
          <w:rFonts w:ascii="宋体"/>
          <w:b/>
          <w:bCs/>
          <w:sz w:val="24"/>
          <w:szCs w:val="24"/>
        </w:rPr>
      </w:pPr>
    </w:p>
    <w:p>
      <w:pPr>
        <w:tabs>
          <w:tab w:val="left" w:pos="420"/>
        </w:tabs>
        <w:ind w:firstLine="480" w:firstLineChars="200"/>
        <w:jc w:val="center"/>
        <w:rPr>
          <w:rFonts w:ascii="宋体" w:hAnsi="宋体" w:cs="Arial"/>
          <w:b/>
          <w:bCs/>
          <w:kern w:val="0"/>
          <w:sz w:val="24"/>
        </w:rPr>
      </w:pPr>
      <w:r>
        <w:rPr>
          <w:rFonts w:hint="eastAsia" w:ascii="宋体" w:hAnsi="宋体" w:cs="Arial"/>
          <w:b/>
          <w:bCs/>
          <w:kern w:val="0"/>
          <w:sz w:val="24"/>
        </w:rPr>
        <w:t>中小企业声明函（服务）</w:t>
      </w:r>
    </w:p>
    <w:p/>
    <w:p>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本公司郑重声明，根据《政府采购促进中小企业发展管理办法》（财库﹝2020﹞46 号）的规定，本公司参加__________________（单位名称） 的__________________（项目名称） 采购活动，服务全部由符合政策要求的中小企业承接。相关企业（含联合体中的中小企业、签订分包意向协议的中小企业）的具体情况如下：</w:t>
      </w:r>
    </w:p>
    <w:p>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u w:val="single"/>
        </w:rPr>
        <w:t xml:space="preserve">              </w:t>
      </w:r>
      <w:r>
        <w:rPr>
          <w:rFonts w:hint="eastAsia" w:ascii="宋体" w:hAnsi="宋体" w:cs="Arial"/>
          <w:bCs/>
          <w:kern w:val="0"/>
          <w:sz w:val="24"/>
        </w:rPr>
        <w:t>（标的名称），属于</w:t>
      </w:r>
      <w:r>
        <w:rPr>
          <w:rFonts w:hint="eastAsia" w:ascii="宋体" w:hAnsi="宋体" w:cs="Arial"/>
          <w:bCs/>
          <w:kern w:val="0"/>
          <w:sz w:val="24"/>
          <w:u w:val="single"/>
        </w:rPr>
        <w:t xml:space="preserve">              </w:t>
      </w:r>
      <w:r>
        <w:rPr>
          <w:rFonts w:hint="eastAsia" w:ascii="宋体" w:hAnsi="宋体" w:cs="Arial"/>
          <w:bCs/>
          <w:kern w:val="0"/>
          <w:sz w:val="24"/>
        </w:rPr>
        <w:t xml:space="preserve">（采购文件中明确的所属行业）行业；承接企业为 </w:t>
      </w:r>
      <w:r>
        <w:rPr>
          <w:rFonts w:hint="eastAsia" w:ascii="宋体" w:hAnsi="宋体" w:cs="Arial"/>
          <w:bCs/>
          <w:kern w:val="0"/>
          <w:sz w:val="24"/>
          <w:u w:val="single"/>
        </w:rPr>
        <w:t xml:space="preserve">                 </w:t>
      </w:r>
      <w:r>
        <w:rPr>
          <w:rFonts w:hint="eastAsia" w:ascii="宋体" w:hAnsi="宋体" w:cs="Arial"/>
          <w:bCs/>
          <w:kern w:val="0"/>
          <w:sz w:val="24"/>
        </w:rPr>
        <w:t>（企业名称），从业人员_____人，营业收入为_____万元，资产总额为_____万元，属于</w:t>
      </w:r>
      <w:r>
        <w:rPr>
          <w:rFonts w:hint="eastAsia" w:ascii="宋体" w:hAnsi="宋体" w:cs="Arial"/>
          <w:bCs/>
          <w:kern w:val="0"/>
          <w:sz w:val="24"/>
          <w:u w:val="single"/>
        </w:rPr>
        <w:t xml:space="preserve">             </w:t>
      </w:r>
      <w:r>
        <w:rPr>
          <w:rFonts w:hint="eastAsia" w:ascii="宋体" w:hAnsi="宋体" w:cs="Arial"/>
          <w:bCs/>
          <w:kern w:val="0"/>
          <w:sz w:val="24"/>
        </w:rPr>
        <w:t>（中型企业、小型企业、微型企业）；</w:t>
      </w:r>
    </w:p>
    <w:p>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本企业对上述声明内容的真实性负责。如有虚假，将依法承担相应责任。</w:t>
      </w:r>
    </w:p>
    <w:p>
      <w:pPr>
        <w:tabs>
          <w:tab w:val="left" w:pos="420"/>
        </w:tabs>
        <w:spacing w:line="360" w:lineRule="auto"/>
        <w:ind w:firstLine="480" w:firstLineChars="200"/>
        <w:jc w:val="left"/>
        <w:rPr>
          <w:rFonts w:ascii="宋体" w:hAnsi="宋体" w:cs="Arial"/>
          <w:bCs/>
          <w:kern w:val="0"/>
          <w:sz w:val="24"/>
        </w:rPr>
      </w:pPr>
    </w:p>
    <w:p>
      <w:pPr>
        <w:tabs>
          <w:tab w:val="left" w:pos="420"/>
        </w:tabs>
        <w:spacing w:line="360" w:lineRule="auto"/>
        <w:ind w:firstLine="480" w:firstLineChars="200"/>
        <w:jc w:val="right"/>
        <w:rPr>
          <w:rFonts w:ascii="宋体" w:hAnsi="宋体" w:cs="Arial"/>
          <w:bCs/>
          <w:kern w:val="0"/>
          <w:sz w:val="24"/>
        </w:rPr>
      </w:pPr>
      <w:r>
        <w:rPr>
          <w:rFonts w:hint="eastAsia" w:ascii="宋体" w:hAnsi="宋体" w:cs="Arial"/>
          <w:bCs/>
          <w:kern w:val="0"/>
          <w:sz w:val="24"/>
        </w:rPr>
        <w:t>企业名称（盖章）：</w:t>
      </w:r>
    </w:p>
    <w:p>
      <w:pPr>
        <w:tabs>
          <w:tab w:val="left" w:pos="420"/>
        </w:tabs>
        <w:spacing w:before="100" w:beforeAutospacing="1" w:after="100" w:afterAutospacing="1" w:line="360" w:lineRule="auto"/>
        <w:ind w:firstLine="480" w:firstLineChars="200"/>
        <w:jc w:val="center"/>
        <w:rPr>
          <w:rFonts w:ascii="宋体" w:hAnsi="宋体" w:cs="Arial"/>
          <w:bCs/>
          <w:kern w:val="0"/>
          <w:sz w:val="24"/>
        </w:rPr>
      </w:pPr>
      <w:r>
        <w:rPr>
          <w:rFonts w:hint="eastAsia" w:ascii="宋体" w:hAnsi="宋体" w:cs="Arial"/>
          <w:bCs/>
          <w:kern w:val="0"/>
          <w:sz w:val="24"/>
        </w:rPr>
        <w:t xml:space="preserve">                                                   日 期：</w:t>
      </w:r>
    </w:p>
    <w:p>
      <w:pPr>
        <w:tabs>
          <w:tab w:val="left" w:pos="420"/>
        </w:tabs>
        <w:spacing w:before="100" w:beforeAutospacing="1" w:after="100" w:afterAutospacing="1"/>
        <w:rPr>
          <w:rFonts w:ascii="宋体" w:hAnsi="宋体" w:cs="Arial"/>
          <w:b/>
          <w:bCs/>
          <w:kern w:val="0"/>
          <w:sz w:val="24"/>
        </w:rPr>
      </w:pPr>
      <w:r>
        <w:rPr>
          <w:rFonts w:hint="eastAsia" w:ascii="宋体" w:hAnsi="宋体" w:cs="Arial"/>
          <w:b/>
          <w:bCs/>
          <w:kern w:val="0"/>
          <w:sz w:val="24"/>
        </w:rPr>
        <w:t>注：</w:t>
      </w:r>
    </w:p>
    <w:p>
      <w:pPr>
        <w:tabs>
          <w:tab w:val="left" w:pos="420"/>
        </w:tabs>
        <w:spacing w:before="100" w:beforeAutospacing="1" w:after="100" w:afterAutospacing="1"/>
        <w:rPr>
          <w:rFonts w:ascii="宋体" w:hAnsi="宋体"/>
          <w:b/>
        </w:rPr>
      </w:pPr>
      <w:r>
        <w:rPr>
          <w:rFonts w:hint="eastAsia" w:ascii="宋体" w:hAnsi="宋体" w:cs="Arial"/>
          <w:b/>
          <w:bCs/>
          <w:kern w:val="0"/>
          <w:sz w:val="24"/>
        </w:rPr>
        <w:t>1、</w:t>
      </w:r>
      <w:r>
        <w:rPr>
          <w:rFonts w:hint="eastAsia" w:ascii="宋体" w:hAnsi="宋体"/>
          <w:b/>
        </w:rPr>
        <w:t>如承接单位为小微企业，则需提供中小企业声明函。</w:t>
      </w:r>
    </w:p>
    <w:p>
      <w:pPr>
        <w:rPr>
          <w:rFonts w:ascii="宋体"/>
          <w:b/>
          <w:sz w:val="24"/>
        </w:rPr>
      </w:pPr>
      <w:r>
        <w:rPr>
          <w:rFonts w:hint="eastAsia" w:ascii="宋体" w:hAnsi="宋体"/>
          <w:b/>
        </w:rPr>
        <w:t>2、如中标人声明为小微企业，本声明函将随中标结果同时公告，接受社会监督。</w:t>
      </w:r>
    </w:p>
    <w:p/>
    <w:p>
      <w:pPr>
        <w:tabs>
          <w:tab w:val="left" w:pos="420"/>
        </w:tabs>
        <w:ind w:firstLine="480" w:firstLineChars="200"/>
        <w:jc w:val="center"/>
        <w:rPr>
          <w:rFonts w:ascii="宋体" w:hAnsi="宋体" w:cs="Arial"/>
          <w:b/>
          <w:bCs/>
          <w:kern w:val="0"/>
          <w:sz w:val="24"/>
        </w:rPr>
      </w:pPr>
    </w:p>
    <w:p>
      <w:pPr>
        <w:tabs>
          <w:tab w:val="left" w:pos="420"/>
        </w:tabs>
        <w:ind w:firstLine="480" w:firstLineChars="200"/>
        <w:jc w:val="center"/>
        <w:rPr>
          <w:rFonts w:ascii="宋体" w:hAnsi="宋体" w:cs="Arial"/>
          <w:b/>
          <w:bCs/>
          <w:kern w:val="0"/>
          <w:sz w:val="24"/>
        </w:rPr>
      </w:pPr>
    </w:p>
    <w:p>
      <w:pPr>
        <w:tabs>
          <w:tab w:val="left" w:pos="420"/>
        </w:tabs>
        <w:ind w:firstLine="480" w:firstLineChars="200"/>
        <w:jc w:val="center"/>
        <w:rPr>
          <w:rFonts w:ascii="宋体" w:hAnsi="宋体" w:cs="Arial"/>
          <w:b/>
          <w:bCs/>
          <w:kern w:val="0"/>
          <w:sz w:val="24"/>
        </w:rPr>
      </w:pPr>
    </w:p>
    <w:p>
      <w:pPr>
        <w:tabs>
          <w:tab w:val="left" w:pos="420"/>
        </w:tabs>
        <w:ind w:firstLine="480" w:firstLineChars="200"/>
        <w:jc w:val="center"/>
        <w:rPr>
          <w:rFonts w:ascii="宋体" w:hAnsi="宋体" w:cs="Arial"/>
          <w:b/>
          <w:bCs/>
          <w:kern w:val="0"/>
          <w:sz w:val="24"/>
        </w:rPr>
      </w:pPr>
    </w:p>
    <w:p>
      <w:pPr>
        <w:tabs>
          <w:tab w:val="left" w:pos="420"/>
        </w:tabs>
        <w:ind w:firstLine="480" w:firstLineChars="200"/>
        <w:jc w:val="center"/>
        <w:rPr>
          <w:rFonts w:ascii="宋体" w:hAnsi="宋体" w:cs="Arial"/>
          <w:b/>
          <w:bCs/>
          <w:kern w:val="0"/>
          <w:sz w:val="24"/>
        </w:rPr>
      </w:pPr>
    </w:p>
    <w:p>
      <w:pPr>
        <w:spacing w:line="588" w:lineRule="exact"/>
        <w:rPr>
          <w:rFonts w:ascii="宋体" w:hAnsi="宋体" w:cs="宋体"/>
          <w:b/>
          <w:bCs/>
          <w:sz w:val="24"/>
          <w:szCs w:val="24"/>
        </w:rPr>
      </w:pPr>
    </w:p>
    <w:p>
      <w:pPr>
        <w:spacing w:line="588" w:lineRule="exact"/>
        <w:rPr>
          <w:rFonts w:ascii="宋体" w:hAnsi="宋体" w:cs="宋体"/>
          <w:b/>
          <w:bCs/>
          <w:sz w:val="24"/>
          <w:szCs w:val="24"/>
        </w:rPr>
      </w:pPr>
    </w:p>
    <w:p>
      <w:pPr>
        <w:rPr>
          <w:rFonts w:ascii="宋体"/>
          <w:b/>
          <w:bCs/>
          <w:sz w:val="24"/>
          <w:szCs w:val="24"/>
        </w:rPr>
      </w:pPr>
      <w:r>
        <w:rPr>
          <w:rFonts w:ascii="宋体" w:hAnsi="宋体" w:cs="宋体"/>
          <w:b/>
          <w:bCs/>
          <w:sz w:val="24"/>
          <w:szCs w:val="24"/>
        </w:rPr>
        <w:br w:type="page"/>
      </w:r>
      <w:r>
        <w:rPr>
          <w:rFonts w:ascii="宋体" w:hAnsi="宋体" w:cs="宋体"/>
          <w:b/>
          <w:bCs/>
          <w:sz w:val="24"/>
          <w:szCs w:val="24"/>
        </w:rPr>
        <w:t>2.</w:t>
      </w:r>
      <w:r>
        <w:rPr>
          <w:rFonts w:hint="eastAsia" w:ascii="宋体" w:hAnsi="宋体" w:cs="宋体"/>
          <w:b/>
          <w:bCs/>
          <w:sz w:val="24"/>
          <w:szCs w:val="24"/>
        </w:rPr>
        <w:t>7：</w:t>
      </w:r>
    </w:p>
    <w:p>
      <w:pPr>
        <w:spacing w:line="588" w:lineRule="exact"/>
        <w:jc w:val="center"/>
        <w:rPr>
          <w:rFonts w:ascii="宋体"/>
          <w:b/>
          <w:bCs/>
          <w:spacing w:val="6"/>
          <w:sz w:val="24"/>
          <w:szCs w:val="24"/>
        </w:rPr>
      </w:pPr>
      <w:bookmarkStart w:id="3" w:name="OLE_LINK13"/>
      <w:bookmarkStart w:id="4" w:name="OLE_LINK14"/>
      <w:r>
        <w:rPr>
          <w:rFonts w:hint="eastAsia" w:ascii="宋体" w:hAnsi="宋体" w:cs="宋体"/>
          <w:b/>
          <w:bCs/>
          <w:spacing w:val="6"/>
          <w:sz w:val="24"/>
          <w:szCs w:val="24"/>
        </w:rPr>
        <w:t>残疾人福利性单位声明函</w:t>
      </w:r>
    </w:p>
    <w:bookmarkEnd w:id="3"/>
    <w:bookmarkEnd w:id="4"/>
    <w:p>
      <w:pPr>
        <w:spacing w:line="588" w:lineRule="exact"/>
        <w:rPr>
          <w:rFonts w:ascii="宋体"/>
          <w:b/>
          <w:bCs/>
          <w:spacing w:val="6"/>
          <w:sz w:val="24"/>
          <w:szCs w:val="24"/>
        </w:rPr>
      </w:pPr>
    </w:p>
    <w:p>
      <w:pPr>
        <w:spacing w:line="588" w:lineRule="exact"/>
        <w:ind w:firstLine="480" w:firstLineChars="200"/>
        <w:rPr>
          <w:rFonts w:ascii="宋体"/>
          <w:sz w:val="24"/>
          <w:szCs w:val="24"/>
        </w:rPr>
      </w:pPr>
      <w:r>
        <w:rPr>
          <w:rFonts w:hint="eastAsia" w:ascii="宋体" w:hAnsi="宋体" w:cs="宋体"/>
          <w:sz w:val="24"/>
          <w:szCs w:val="24"/>
        </w:rPr>
        <w:t>本单位郑重声明，根据《财政部民政部中国残疾人联合会关于促进残疾人就业政府采购政策的通知》（财库〔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 xml:space="preserve"> 141</w:t>
      </w:r>
      <w:r>
        <w:rPr>
          <w:rFonts w:hint="eastAsia" w:ascii="宋体" w:hAnsi="宋体" w:cs="宋体"/>
          <w:sz w:val="24"/>
          <w:szCs w:val="24"/>
        </w:rPr>
        <w:t>号）的规定，本单位为符合条件的残疾人福利性单位，且本单位参加</w:t>
      </w:r>
      <w:r>
        <w:rPr>
          <w:rFonts w:ascii="宋体" w:hAnsi="宋体" w:cs="宋体"/>
          <w:sz w:val="24"/>
          <w:szCs w:val="24"/>
        </w:rPr>
        <w:t>______</w:t>
      </w:r>
      <w:r>
        <w:rPr>
          <w:rFonts w:hint="eastAsia" w:ascii="宋体" w:hAnsi="宋体" w:cs="宋体"/>
          <w:sz w:val="24"/>
          <w:szCs w:val="24"/>
        </w:rPr>
        <w:t>单位的</w:t>
      </w:r>
      <w:r>
        <w:rPr>
          <w:rFonts w:ascii="宋体" w:hAnsi="宋体" w:cs="宋体"/>
          <w:sz w:val="24"/>
          <w:szCs w:val="24"/>
        </w:rPr>
        <w:t>______</w:t>
      </w:r>
      <w:r>
        <w:rPr>
          <w:rFonts w:hint="eastAsia" w:ascii="宋体" w:hAnsi="宋体" w:cs="宋体"/>
          <w:sz w:val="24"/>
          <w:szCs w:val="24"/>
        </w:rPr>
        <w:t>项目采购活动提供的是本单位制造货物（由本单位承担工程</w:t>
      </w:r>
      <w:r>
        <w:rPr>
          <w:rFonts w:ascii="宋体" w:hAnsi="宋体" w:cs="宋体"/>
          <w:sz w:val="24"/>
          <w:szCs w:val="24"/>
        </w:rPr>
        <w:t>/</w:t>
      </w:r>
      <w:r>
        <w:rPr>
          <w:rFonts w:hint="eastAsia" w:ascii="宋体" w:hAnsi="宋体" w:cs="宋体"/>
          <w:sz w:val="24"/>
          <w:szCs w:val="24"/>
        </w:rPr>
        <w:t>提供服务）。</w:t>
      </w:r>
    </w:p>
    <w:p>
      <w:pPr>
        <w:spacing w:line="588" w:lineRule="exact"/>
        <w:ind w:firstLine="480" w:firstLineChars="200"/>
        <w:rPr>
          <w:rFonts w:ascii="宋体"/>
          <w:sz w:val="24"/>
          <w:szCs w:val="24"/>
        </w:rPr>
      </w:pPr>
      <w:r>
        <w:rPr>
          <w:rFonts w:hint="eastAsia" w:ascii="宋体" w:hAnsi="宋体" w:cs="宋体"/>
          <w:sz w:val="24"/>
          <w:szCs w:val="24"/>
        </w:rPr>
        <w:t>本单位对上述声明的真实性负责。如有虚假，将依法承担相应责任。</w:t>
      </w:r>
    </w:p>
    <w:p>
      <w:pPr>
        <w:spacing w:line="588" w:lineRule="exact"/>
        <w:rPr>
          <w:rFonts w:ascii="宋体"/>
          <w:sz w:val="24"/>
          <w:szCs w:val="24"/>
        </w:rPr>
      </w:pPr>
    </w:p>
    <w:p>
      <w:pPr>
        <w:tabs>
          <w:tab w:val="left" w:pos="4860"/>
        </w:tabs>
        <w:spacing w:line="588" w:lineRule="exact"/>
        <w:ind w:right="1560" w:firstLine="480" w:firstLineChars="200"/>
        <w:jc w:val="center"/>
        <w:rPr>
          <w:rFonts w:ascii="宋体"/>
          <w:sz w:val="24"/>
          <w:szCs w:val="24"/>
        </w:rPr>
      </w:pPr>
      <w:r>
        <w:rPr>
          <w:rFonts w:hint="eastAsia" w:ascii="宋体" w:hAnsi="宋体" w:cs="宋体"/>
          <w:sz w:val="24"/>
          <w:szCs w:val="24"/>
        </w:rPr>
        <w:t>单位名称（盖章）：</w:t>
      </w:r>
    </w:p>
    <w:p>
      <w:pPr>
        <w:tabs>
          <w:tab w:val="left" w:pos="4860"/>
        </w:tabs>
        <w:spacing w:line="588" w:lineRule="exact"/>
        <w:ind w:right="1560" w:firstLine="480" w:firstLineChars="200"/>
        <w:jc w:val="center"/>
        <w:rPr>
          <w:rFonts w:ascii="宋体"/>
          <w:sz w:val="24"/>
          <w:szCs w:val="24"/>
        </w:rPr>
      </w:pPr>
      <w:r>
        <w:rPr>
          <w:rFonts w:hint="eastAsia" w:ascii="宋体" w:hAnsi="宋体" w:cs="宋体"/>
          <w:sz w:val="24"/>
          <w:szCs w:val="24"/>
        </w:rPr>
        <w:t>日期：</w:t>
      </w:r>
    </w:p>
    <w:p>
      <w:pPr>
        <w:ind w:firstLine="480" w:firstLineChars="200"/>
        <w:rPr>
          <w:rFonts w:ascii="仿宋_GB2312" w:hAnsi="仿宋_GB2312" w:eastAsia="仿宋_GB2312"/>
          <w:sz w:val="24"/>
          <w:szCs w:val="24"/>
        </w:rPr>
      </w:pPr>
    </w:p>
    <w:p>
      <w:pPr>
        <w:snapToGrid w:val="0"/>
        <w:spacing w:before="50" w:after="156" w:afterLines="50"/>
        <w:jc w:val="left"/>
        <w:rPr>
          <w:rFonts w:ascii="宋体"/>
          <w:b/>
          <w:bCs/>
          <w:sz w:val="24"/>
          <w:szCs w:val="24"/>
        </w:rPr>
      </w:pPr>
    </w:p>
    <w:p>
      <w:pPr>
        <w:snapToGrid w:val="0"/>
        <w:spacing w:before="50" w:after="156" w:afterLines="50"/>
        <w:jc w:val="left"/>
        <w:rPr>
          <w:rFonts w:ascii="宋体"/>
          <w:b/>
          <w:bCs/>
          <w:sz w:val="24"/>
          <w:szCs w:val="24"/>
        </w:rPr>
      </w:pPr>
    </w:p>
    <w:p>
      <w:pPr>
        <w:snapToGrid w:val="0"/>
        <w:spacing w:before="50" w:after="156" w:afterLines="50"/>
        <w:jc w:val="left"/>
        <w:rPr>
          <w:rFonts w:ascii="宋体"/>
          <w:b/>
          <w:bCs/>
          <w:sz w:val="24"/>
          <w:szCs w:val="24"/>
        </w:rPr>
      </w:pPr>
    </w:p>
    <w:p>
      <w:pPr>
        <w:snapToGrid w:val="0"/>
        <w:spacing w:before="50" w:after="156" w:afterLines="50"/>
        <w:jc w:val="left"/>
        <w:rPr>
          <w:rFonts w:ascii="宋体"/>
          <w:b/>
          <w:bCs/>
          <w:sz w:val="24"/>
          <w:szCs w:val="24"/>
        </w:rPr>
      </w:pPr>
    </w:p>
    <w:p>
      <w:pPr>
        <w:snapToGrid w:val="0"/>
        <w:spacing w:before="50" w:after="156" w:afterLines="50"/>
        <w:jc w:val="left"/>
        <w:rPr>
          <w:rFonts w:ascii="宋体"/>
          <w:b/>
          <w:bCs/>
          <w:sz w:val="24"/>
          <w:szCs w:val="24"/>
        </w:rPr>
      </w:pPr>
    </w:p>
    <w:p>
      <w:pPr>
        <w:snapToGrid w:val="0"/>
        <w:spacing w:before="50" w:after="156" w:afterLines="50"/>
        <w:jc w:val="left"/>
        <w:rPr>
          <w:rFonts w:ascii="宋体"/>
          <w:b/>
          <w:bCs/>
          <w:sz w:val="24"/>
          <w:szCs w:val="24"/>
        </w:rPr>
      </w:pPr>
    </w:p>
    <w:p>
      <w:pPr>
        <w:snapToGrid w:val="0"/>
        <w:spacing w:before="50" w:after="156" w:afterLines="50"/>
        <w:jc w:val="left"/>
        <w:rPr>
          <w:rFonts w:ascii="宋体"/>
          <w:b/>
          <w:bCs/>
          <w:sz w:val="24"/>
          <w:szCs w:val="24"/>
        </w:rPr>
      </w:pPr>
    </w:p>
    <w:p>
      <w:pPr>
        <w:snapToGrid w:val="0"/>
        <w:spacing w:before="50" w:after="156" w:afterLines="50"/>
        <w:jc w:val="left"/>
        <w:rPr>
          <w:rFonts w:ascii="宋体"/>
          <w:b/>
          <w:bCs/>
          <w:sz w:val="24"/>
          <w:szCs w:val="24"/>
        </w:rPr>
      </w:pPr>
    </w:p>
    <w:p>
      <w:pPr>
        <w:snapToGrid w:val="0"/>
        <w:spacing w:before="50" w:after="156" w:afterLines="50"/>
        <w:jc w:val="left"/>
        <w:rPr>
          <w:rFonts w:ascii="宋体"/>
          <w:b/>
          <w:bCs/>
          <w:sz w:val="24"/>
          <w:szCs w:val="24"/>
        </w:rPr>
      </w:pPr>
    </w:p>
    <w:p>
      <w:pPr>
        <w:snapToGrid w:val="0"/>
        <w:spacing w:before="50" w:after="156" w:afterLines="50"/>
        <w:jc w:val="left"/>
        <w:rPr>
          <w:rFonts w:ascii="宋体"/>
          <w:b/>
          <w:bCs/>
          <w:sz w:val="24"/>
          <w:szCs w:val="24"/>
        </w:rPr>
      </w:pPr>
    </w:p>
    <w:p>
      <w:pPr>
        <w:snapToGrid w:val="0"/>
        <w:spacing w:before="50" w:after="156" w:afterLines="50"/>
        <w:jc w:val="left"/>
        <w:rPr>
          <w:rFonts w:ascii="宋体"/>
          <w:b/>
          <w:bCs/>
          <w:sz w:val="24"/>
          <w:szCs w:val="24"/>
        </w:rPr>
      </w:pPr>
    </w:p>
    <w:p>
      <w:pPr>
        <w:snapToGrid w:val="0"/>
        <w:spacing w:before="50" w:after="156" w:afterLines="50"/>
        <w:jc w:val="left"/>
        <w:rPr>
          <w:rFonts w:ascii="宋体"/>
          <w:b/>
          <w:bCs/>
          <w:sz w:val="24"/>
          <w:szCs w:val="24"/>
        </w:rPr>
      </w:pPr>
    </w:p>
    <w:p>
      <w:pPr>
        <w:snapToGrid w:val="0"/>
        <w:spacing w:before="50" w:after="156" w:afterLines="50"/>
        <w:jc w:val="left"/>
        <w:rPr>
          <w:rFonts w:ascii="宋体"/>
          <w:b/>
          <w:bCs/>
          <w:sz w:val="24"/>
          <w:szCs w:val="24"/>
        </w:rPr>
      </w:pPr>
    </w:p>
    <w:p>
      <w:pPr>
        <w:snapToGrid w:val="0"/>
        <w:spacing w:before="50" w:after="156" w:afterLines="50"/>
        <w:jc w:val="left"/>
        <w:rPr>
          <w:rFonts w:ascii="宋体"/>
          <w:b/>
          <w:bCs/>
          <w:sz w:val="24"/>
          <w:szCs w:val="24"/>
        </w:rPr>
      </w:pPr>
    </w:p>
    <w:p>
      <w:pPr>
        <w:snapToGrid w:val="0"/>
        <w:spacing w:before="50" w:after="156" w:afterLines="50"/>
        <w:jc w:val="left"/>
        <w:rPr>
          <w:rFonts w:ascii="宋体"/>
          <w:b/>
          <w:bCs/>
          <w:sz w:val="24"/>
          <w:szCs w:val="24"/>
        </w:rPr>
      </w:pPr>
    </w:p>
    <w:p>
      <w:pPr>
        <w:snapToGrid w:val="0"/>
        <w:spacing w:before="50" w:after="156" w:afterLines="50" w:line="360" w:lineRule="auto"/>
        <w:jc w:val="left"/>
        <w:outlineLvl w:val="2"/>
        <w:rPr>
          <w:rFonts w:ascii="宋体" w:hAnsi="宋体"/>
          <w:b/>
          <w:sz w:val="24"/>
        </w:rPr>
      </w:pPr>
    </w:p>
    <w:p>
      <w:pPr>
        <w:snapToGrid w:val="0"/>
        <w:spacing w:before="50" w:after="156" w:afterLines="50" w:line="360" w:lineRule="auto"/>
        <w:jc w:val="left"/>
        <w:outlineLvl w:val="2"/>
        <w:rPr>
          <w:rFonts w:ascii="宋体" w:hAnsi="宋体"/>
          <w:b/>
          <w:sz w:val="24"/>
        </w:rPr>
      </w:pPr>
      <w:r>
        <w:rPr>
          <w:rFonts w:hint="eastAsia" w:ascii="宋体" w:hAnsi="宋体"/>
          <w:b/>
          <w:sz w:val="24"/>
        </w:rPr>
        <w:t>附件2.8</w:t>
      </w:r>
    </w:p>
    <w:p>
      <w:pPr>
        <w:spacing w:before="50" w:after="50" w:line="500" w:lineRule="exact"/>
        <w:jc w:val="center"/>
        <w:rPr>
          <w:rFonts w:ascii="宋体"/>
          <w:b/>
          <w:bCs/>
          <w:color w:val="0D0D0D"/>
          <w:sz w:val="24"/>
          <w:szCs w:val="24"/>
        </w:rPr>
      </w:pPr>
      <w:r>
        <w:rPr>
          <w:rFonts w:hint="eastAsia" w:ascii="宋体" w:hAnsi="宋体" w:cs="宋体"/>
          <w:b/>
          <w:bCs/>
          <w:sz w:val="24"/>
          <w:szCs w:val="24"/>
        </w:rPr>
        <w:t>投标人“类似项目”业绩或者案例</w:t>
      </w:r>
    </w:p>
    <w:tbl>
      <w:tblPr>
        <w:tblStyle w:val="46"/>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945"/>
        <w:gridCol w:w="1333"/>
        <w:gridCol w:w="2822"/>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2442" w:type="dxa"/>
            <w:vAlign w:val="center"/>
          </w:tcPr>
          <w:p>
            <w:pPr>
              <w:snapToGrid w:val="0"/>
              <w:spacing w:before="50" w:after="50" w:line="500" w:lineRule="exact"/>
              <w:jc w:val="center"/>
              <w:rPr>
                <w:rFonts w:ascii="宋体"/>
                <w:sz w:val="24"/>
                <w:szCs w:val="24"/>
              </w:rPr>
            </w:pPr>
            <w:r>
              <w:rPr>
                <w:rFonts w:hint="eastAsia" w:ascii="宋体" w:hAnsi="宋体" w:cs="宋体"/>
                <w:sz w:val="24"/>
                <w:szCs w:val="24"/>
              </w:rPr>
              <w:t>项目名称</w:t>
            </w:r>
          </w:p>
        </w:tc>
        <w:tc>
          <w:tcPr>
            <w:tcW w:w="945" w:type="dxa"/>
            <w:vAlign w:val="center"/>
          </w:tcPr>
          <w:p>
            <w:pPr>
              <w:snapToGrid w:val="0"/>
              <w:spacing w:before="50" w:after="50" w:line="500" w:lineRule="exact"/>
              <w:jc w:val="center"/>
              <w:rPr>
                <w:rFonts w:ascii="宋体"/>
                <w:sz w:val="24"/>
                <w:szCs w:val="24"/>
              </w:rPr>
            </w:pPr>
            <w:r>
              <w:rPr>
                <w:rFonts w:hint="eastAsia" w:ascii="宋体" w:hAnsi="宋体" w:cs="宋体"/>
                <w:sz w:val="24"/>
                <w:szCs w:val="24"/>
              </w:rPr>
              <w:t>地点</w:t>
            </w:r>
          </w:p>
        </w:tc>
        <w:tc>
          <w:tcPr>
            <w:tcW w:w="1333" w:type="dxa"/>
            <w:vAlign w:val="center"/>
          </w:tcPr>
          <w:p>
            <w:pPr>
              <w:snapToGrid w:val="0"/>
              <w:spacing w:before="50" w:after="50" w:line="500" w:lineRule="exact"/>
              <w:jc w:val="center"/>
              <w:rPr>
                <w:rFonts w:ascii="宋体"/>
                <w:sz w:val="24"/>
                <w:szCs w:val="24"/>
              </w:rPr>
            </w:pPr>
            <w:r>
              <w:rPr>
                <w:rFonts w:hint="eastAsia" w:ascii="宋体" w:hAnsi="宋体" w:cs="宋体"/>
                <w:sz w:val="24"/>
                <w:szCs w:val="24"/>
              </w:rPr>
              <w:t>委托单位</w:t>
            </w:r>
          </w:p>
        </w:tc>
        <w:tc>
          <w:tcPr>
            <w:tcW w:w="2822" w:type="dxa"/>
            <w:vAlign w:val="center"/>
          </w:tcPr>
          <w:p>
            <w:pPr>
              <w:snapToGrid w:val="0"/>
              <w:spacing w:before="50" w:after="50" w:line="500" w:lineRule="exact"/>
              <w:ind w:right="-113" w:rightChars="-54"/>
              <w:jc w:val="center"/>
              <w:rPr>
                <w:rFonts w:ascii="宋体"/>
                <w:sz w:val="24"/>
                <w:szCs w:val="24"/>
              </w:rPr>
            </w:pPr>
            <w:r>
              <w:rPr>
                <w:rFonts w:hint="eastAsia" w:ascii="宋体" w:hAnsi="宋体" w:cs="宋体"/>
                <w:sz w:val="24"/>
                <w:szCs w:val="24"/>
              </w:rPr>
              <w:t>服务内容</w:t>
            </w:r>
          </w:p>
        </w:tc>
        <w:tc>
          <w:tcPr>
            <w:tcW w:w="1341" w:type="dxa"/>
            <w:vAlign w:val="center"/>
          </w:tcPr>
          <w:p>
            <w:pPr>
              <w:snapToGrid w:val="0"/>
              <w:spacing w:before="50" w:after="50" w:line="500" w:lineRule="exact"/>
              <w:jc w:val="center"/>
              <w:rPr>
                <w:rFonts w:ascii="宋体"/>
                <w:sz w:val="24"/>
                <w:szCs w:val="24"/>
              </w:rPr>
            </w:pPr>
            <w:r>
              <w:rPr>
                <w:rFonts w:hint="eastAsia" w:ascii="宋体"/>
                <w:sz w:val="24"/>
                <w:szCs w:val="24"/>
              </w:rPr>
              <w:t>签约日期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442" w:type="dxa"/>
          </w:tcPr>
          <w:p>
            <w:pPr>
              <w:spacing w:before="50" w:after="50" w:line="500" w:lineRule="exact"/>
              <w:jc w:val="left"/>
              <w:rPr>
                <w:rFonts w:ascii="宋体"/>
                <w:sz w:val="24"/>
                <w:szCs w:val="24"/>
              </w:rPr>
            </w:pPr>
          </w:p>
        </w:tc>
        <w:tc>
          <w:tcPr>
            <w:tcW w:w="945" w:type="dxa"/>
          </w:tcPr>
          <w:p>
            <w:pPr>
              <w:spacing w:before="50" w:after="50" w:line="500" w:lineRule="exact"/>
              <w:jc w:val="left"/>
              <w:rPr>
                <w:rFonts w:ascii="宋体"/>
                <w:sz w:val="24"/>
                <w:szCs w:val="24"/>
              </w:rPr>
            </w:pPr>
          </w:p>
        </w:tc>
        <w:tc>
          <w:tcPr>
            <w:tcW w:w="1333" w:type="dxa"/>
          </w:tcPr>
          <w:p>
            <w:pPr>
              <w:spacing w:before="50" w:after="50" w:line="500" w:lineRule="exact"/>
              <w:jc w:val="left"/>
              <w:rPr>
                <w:rFonts w:ascii="宋体"/>
                <w:sz w:val="24"/>
                <w:szCs w:val="24"/>
              </w:rPr>
            </w:pPr>
          </w:p>
        </w:tc>
        <w:tc>
          <w:tcPr>
            <w:tcW w:w="2822" w:type="dxa"/>
          </w:tcPr>
          <w:p>
            <w:pPr>
              <w:spacing w:before="50" w:after="50" w:line="500" w:lineRule="exact"/>
              <w:jc w:val="left"/>
              <w:rPr>
                <w:rFonts w:ascii="宋体"/>
                <w:sz w:val="24"/>
                <w:szCs w:val="24"/>
              </w:rPr>
            </w:pPr>
          </w:p>
        </w:tc>
        <w:tc>
          <w:tcPr>
            <w:tcW w:w="1341" w:type="dxa"/>
          </w:tcPr>
          <w:p>
            <w:pPr>
              <w:spacing w:before="50" w:after="50" w:line="500" w:lineRule="exact"/>
              <w:jc w:val="lef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442" w:type="dxa"/>
          </w:tcPr>
          <w:p>
            <w:pPr>
              <w:spacing w:before="50" w:after="50" w:line="500" w:lineRule="exact"/>
              <w:jc w:val="left"/>
              <w:rPr>
                <w:rFonts w:ascii="宋体"/>
                <w:sz w:val="24"/>
                <w:szCs w:val="24"/>
              </w:rPr>
            </w:pPr>
          </w:p>
        </w:tc>
        <w:tc>
          <w:tcPr>
            <w:tcW w:w="945" w:type="dxa"/>
          </w:tcPr>
          <w:p>
            <w:pPr>
              <w:spacing w:before="50" w:after="50" w:line="500" w:lineRule="exact"/>
              <w:jc w:val="left"/>
              <w:rPr>
                <w:rFonts w:ascii="宋体"/>
                <w:sz w:val="24"/>
                <w:szCs w:val="24"/>
              </w:rPr>
            </w:pPr>
          </w:p>
        </w:tc>
        <w:tc>
          <w:tcPr>
            <w:tcW w:w="1333" w:type="dxa"/>
          </w:tcPr>
          <w:p>
            <w:pPr>
              <w:spacing w:before="50" w:after="50" w:line="500" w:lineRule="exact"/>
              <w:jc w:val="left"/>
              <w:rPr>
                <w:rFonts w:ascii="宋体"/>
                <w:sz w:val="24"/>
                <w:szCs w:val="24"/>
              </w:rPr>
            </w:pPr>
          </w:p>
        </w:tc>
        <w:tc>
          <w:tcPr>
            <w:tcW w:w="2822" w:type="dxa"/>
          </w:tcPr>
          <w:p>
            <w:pPr>
              <w:spacing w:before="50" w:after="50" w:line="500" w:lineRule="exact"/>
              <w:jc w:val="left"/>
              <w:rPr>
                <w:rFonts w:ascii="宋体"/>
                <w:sz w:val="24"/>
                <w:szCs w:val="24"/>
              </w:rPr>
            </w:pPr>
          </w:p>
        </w:tc>
        <w:tc>
          <w:tcPr>
            <w:tcW w:w="1341" w:type="dxa"/>
          </w:tcPr>
          <w:p>
            <w:pPr>
              <w:spacing w:before="50" w:after="50" w:line="500" w:lineRule="exact"/>
              <w:jc w:val="lef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442" w:type="dxa"/>
          </w:tcPr>
          <w:p>
            <w:pPr>
              <w:spacing w:before="50" w:after="50" w:line="500" w:lineRule="exact"/>
              <w:jc w:val="left"/>
              <w:rPr>
                <w:rFonts w:ascii="宋体"/>
                <w:sz w:val="24"/>
                <w:szCs w:val="24"/>
              </w:rPr>
            </w:pPr>
          </w:p>
        </w:tc>
        <w:tc>
          <w:tcPr>
            <w:tcW w:w="945" w:type="dxa"/>
          </w:tcPr>
          <w:p>
            <w:pPr>
              <w:spacing w:before="50" w:after="50" w:line="500" w:lineRule="exact"/>
              <w:jc w:val="left"/>
              <w:rPr>
                <w:rFonts w:ascii="宋体"/>
                <w:sz w:val="24"/>
                <w:szCs w:val="24"/>
              </w:rPr>
            </w:pPr>
          </w:p>
        </w:tc>
        <w:tc>
          <w:tcPr>
            <w:tcW w:w="1333" w:type="dxa"/>
          </w:tcPr>
          <w:p>
            <w:pPr>
              <w:spacing w:before="50" w:after="50" w:line="500" w:lineRule="exact"/>
              <w:jc w:val="left"/>
              <w:rPr>
                <w:rFonts w:ascii="宋体"/>
                <w:sz w:val="24"/>
                <w:szCs w:val="24"/>
              </w:rPr>
            </w:pPr>
          </w:p>
        </w:tc>
        <w:tc>
          <w:tcPr>
            <w:tcW w:w="2822" w:type="dxa"/>
          </w:tcPr>
          <w:p>
            <w:pPr>
              <w:spacing w:before="50" w:after="50" w:line="500" w:lineRule="exact"/>
              <w:jc w:val="left"/>
              <w:rPr>
                <w:rFonts w:ascii="宋体"/>
                <w:sz w:val="24"/>
                <w:szCs w:val="24"/>
              </w:rPr>
            </w:pPr>
          </w:p>
        </w:tc>
        <w:tc>
          <w:tcPr>
            <w:tcW w:w="1341" w:type="dxa"/>
          </w:tcPr>
          <w:p>
            <w:pPr>
              <w:spacing w:before="50" w:after="50" w:line="500" w:lineRule="exact"/>
              <w:jc w:val="lef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442" w:type="dxa"/>
          </w:tcPr>
          <w:p>
            <w:pPr>
              <w:spacing w:before="50" w:after="50" w:line="500" w:lineRule="exact"/>
              <w:jc w:val="left"/>
              <w:rPr>
                <w:rFonts w:ascii="宋体"/>
                <w:sz w:val="24"/>
                <w:szCs w:val="24"/>
              </w:rPr>
            </w:pPr>
          </w:p>
        </w:tc>
        <w:tc>
          <w:tcPr>
            <w:tcW w:w="945" w:type="dxa"/>
          </w:tcPr>
          <w:p>
            <w:pPr>
              <w:spacing w:before="50" w:after="50" w:line="500" w:lineRule="exact"/>
              <w:jc w:val="left"/>
              <w:rPr>
                <w:rFonts w:ascii="宋体"/>
                <w:sz w:val="24"/>
                <w:szCs w:val="24"/>
              </w:rPr>
            </w:pPr>
          </w:p>
        </w:tc>
        <w:tc>
          <w:tcPr>
            <w:tcW w:w="1333" w:type="dxa"/>
          </w:tcPr>
          <w:p>
            <w:pPr>
              <w:spacing w:before="50" w:after="50" w:line="500" w:lineRule="exact"/>
              <w:jc w:val="left"/>
              <w:rPr>
                <w:rFonts w:ascii="宋体"/>
                <w:sz w:val="24"/>
                <w:szCs w:val="24"/>
              </w:rPr>
            </w:pPr>
          </w:p>
        </w:tc>
        <w:tc>
          <w:tcPr>
            <w:tcW w:w="2822" w:type="dxa"/>
          </w:tcPr>
          <w:p>
            <w:pPr>
              <w:spacing w:before="50" w:after="50" w:line="500" w:lineRule="exact"/>
              <w:jc w:val="left"/>
              <w:rPr>
                <w:rFonts w:ascii="宋体"/>
                <w:sz w:val="24"/>
                <w:szCs w:val="24"/>
              </w:rPr>
            </w:pPr>
          </w:p>
        </w:tc>
        <w:tc>
          <w:tcPr>
            <w:tcW w:w="1341" w:type="dxa"/>
          </w:tcPr>
          <w:p>
            <w:pPr>
              <w:spacing w:before="50" w:after="50" w:line="500" w:lineRule="exact"/>
              <w:jc w:val="lef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442" w:type="dxa"/>
          </w:tcPr>
          <w:p>
            <w:pPr>
              <w:spacing w:before="50" w:after="50" w:line="500" w:lineRule="exact"/>
              <w:jc w:val="left"/>
              <w:rPr>
                <w:rFonts w:ascii="宋体"/>
                <w:sz w:val="24"/>
                <w:szCs w:val="24"/>
              </w:rPr>
            </w:pPr>
          </w:p>
        </w:tc>
        <w:tc>
          <w:tcPr>
            <w:tcW w:w="945" w:type="dxa"/>
          </w:tcPr>
          <w:p>
            <w:pPr>
              <w:spacing w:before="50" w:after="50" w:line="500" w:lineRule="exact"/>
              <w:jc w:val="left"/>
              <w:rPr>
                <w:rFonts w:ascii="宋体"/>
                <w:sz w:val="24"/>
                <w:szCs w:val="24"/>
              </w:rPr>
            </w:pPr>
          </w:p>
        </w:tc>
        <w:tc>
          <w:tcPr>
            <w:tcW w:w="1333" w:type="dxa"/>
          </w:tcPr>
          <w:p>
            <w:pPr>
              <w:spacing w:before="50" w:after="50" w:line="500" w:lineRule="exact"/>
              <w:jc w:val="left"/>
              <w:rPr>
                <w:rFonts w:ascii="宋体"/>
                <w:sz w:val="24"/>
                <w:szCs w:val="24"/>
              </w:rPr>
            </w:pPr>
          </w:p>
        </w:tc>
        <w:tc>
          <w:tcPr>
            <w:tcW w:w="2822" w:type="dxa"/>
          </w:tcPr>
          <w:p>
            <w:pPr>
              <w:spacing w:before="50" w:after="50" w:line="500" w:lineRule="exact"/>
              <w:jc w:val="left"/>
              <w:rPr>
                <w:rFonts w:ascii="宋体"/>
                <w:sz w:val="24"/>
                <w:szCs w:val="24"/>
              </w:rPr>
            </w:pPr>
          </w:p>
        </w:tc>
        <w:tc>
          <w:tcPr>
            <w:tcW w:w="1341" w:type="dxa"/>
          </w:tcPr>
          <w:p>
            <w:pPr>
              <w:spacing w:before="50" w:after="50" w:line="500" w:lineRule="exact"/>
              <w:jc w:val="lef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442" w:type="dxa"/>
          </w:tcPr>
          <w:p>
            <w:pPr>
              <w:spacing w:before="50" w:after="50" w:line="500" w:lineRule="exact"/>
              <w:jc w:val="left"/>
              <w:rPr>
                <w:rFonts w:ascii="宋体"/>
                <w:sz w:val="24"/>
                <w:szCs w:val="24"/>
              </w:rPr>
            </w:pPr>
          </w:p>
        </w:tc>
        <w:tc>
          <w:tcPr>
            <w:tcW w:w="945" w:type="dxa"/>
          </w:tcPr>
          <w:p>
            <w:pPr>
              <w:spacing w:before="50" w:after="50" w:line="500" w:lineRule="exact"/>
              <w:jc w:val="left"/>
              <w:rPr>
                <w:rFonts w:ascii="宋体"/>
                <w:sz w:val="24"/>
                <w:szCs w:val="24"/>
              </w:rPr>
            </w:pPr>
          </w:p>
        </w:tc>
        <w:tc>
          <w:tcPr>
            <w:tcW w:w="1333" w:type="dxa"/>
          </w:tcPr>
          <w:p>
            <w:pPr>
              <w:spacing w:before="50" w:after="50" w:line="500" w:lineRule="exact"/>
              <w:jc w:val="left"/>
              <w:rPr>
                <w:rFonts w:ascii="宋体"/>
                <w:sz w:val="24"/>
                <w:szCs w:val="24"/>
              </w:rPr>
            </w:pPr>
          </w:p>
        </w:tc>
        <w:tc>
          <w:tcPr>
            <w:tcW w:w="2822" w:type="dxa"/>
          </w:tcPr>
          <w:p>
            <w:pPr>
              <w:spacing w:before="50" w:after="50" w:line="500" w:lineRule="exact"/>
              <w:jc w:val="left"/>
              <w:rPr>
                <w:rFonts w:ascii="宋体"/>
                <w:sz w:val="24"/>
                <w:szCs w:val="24"/>
              </w:rPr>
            </w:pPr>
          </w:p>
        </w:tc>
        <w:tc>
          <w:tcPr>
            <w:tcW w:w="1341" w:type="dxa"/>
          </w:tcPr>
          <w:p>
            <w:pPr>
              <w:spacing w:before="50" w:after="50" w:line="500" w:lineRule="exact"/>
              <w:jc w:val="lef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442" w:type="dxa"/>
          </w:tcPr>
          <w:p>
            <w:pPr>
              <w:spacing w:before="50" w:after="50" w:line="500" w:lineRule="exact"/>
              <w:jc w:val="left"/>
              <w:rPr>
                <w:rFonts w:ascii="宋体"/>
                <w:sz w:val="24"/>
                <w:szCs w:val="24"/>
              </w:rPr>
            </w:pPr>
          </w:p>
        </w:tc>
        <w:tc>
          <w:tcPr>
            <w:tcW w:w="945" w:type="dxa"/>
          </w:tcPr>
          <w:p>
            <w:pPr>
              <w:spacing w:before="50" w:after="50" w:line="500" w:lineRule="exact"/>
              <w:jc w:val="left"/>
              <w:rPr>
                <w:rFonts w:ascii="宋体"/>
                <w:sz w:val="24"/>
                <w:szCs w:val="24"/>
              </w:rPr>
            </w:pPr>
          </w:p>
        </w:tc>
        <w:tc>
          <w:tcPr>
            <w:tcW w:w="1333" w:type="dxa"/>
          </w:tcPr>
          <w:p>
            <w:pPr>
              <w:spacing w:before="50" w:after="50" w:line="500" w:lineRule="exact"/>
              <w:jc w:val="left"/>
              <w:rPr>
                <w:rFonts w:ascii="宋体"/>
                <w:sz w:val="24"/>
                <w:szCs w:val="24"/>
              </w:rPr>
            </w:pPr>
          </w:p>
        </w:tc>
        <w:tc>
          <w:tcPr>
            <w:tcW w:w="2822" w:type="dxa"/>
          </w:tcPr>
          <w:p>
            <w:pPr>
              <w:spacing w:before="50" w:after="50" w:line="500" w:lineRule="exact"/>
              <w:jc w:val="left"/>
              <w:rPr>
                <w:rFonts w:ascii="宋体"/>
                <w:sz w:val="24"/>
                <w:szCs w:val="24"/>
              </w:rPr>
            </w:pPr>
          </w:p>
        </w:tc>
        <w:tc>
          <w:tcPr>
            <w:tcW w:w="1341" w:type="dxa"/>
          </w:tcPr>
          <w:p>
            <w:pPr>
              <w:spacing w:before="50" w:after="50" w:line="500" w:lineRule="exact"/>
              <w:jc w:val="lef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442" w:type="dxa"/>
          </w:tcPr>
          <w:p>
            <w:pPr>
              <w:spacing w:before="50" w:after="50" w:line="500" w:lineRule="exact"/>
              <w:jc w:val="left"/>
              <w:rPr>
                <w:rFonts w:ascii="宋体"/>
                <w:sz w:val="24"/>
                <w:szCs w:val="24"/>
              </w:rPr>
            </w:pPr>
          </w:p>
        </w:tc>
        <w:tc>
          <w:tcPr>
            <w:tcW w:w="945" w:type="dxa"/>
          </w:tcPr>
          <w:p>
            <w:pPr>
              <w:spacing w:before="50" w:after="50" w:line="500" w:lineRule="exact"/>
              <w:jc w:val="left"/>
              <w:rPr>
                <w:rFonts w:ascii="宋体"/>
                <w:sz w:val="24"/>
                <w:szCs w:val="24"/>
              </w:rPr>
            </w:pPr>
          </w:p>
        </w:tc>
        <w:tc>
          <w:tcPr>
            <w:tcW w:w="1333" w:type="dxa"/>
          </w:tcPr>
          <w:p>
            <w:pPr>
              <w:spacing w:before="50" w:after="50" w:line="500" w:lineRule="exact"/>
              <w:jc w:val="left"/>
              <w:rPr>
                <w:rFonts w:ascii="宋体"/>
                <w:sz w:val="24"/>
                <w:szCs w:val="24"/>
              </w:rPr>
            </w:pPr>
          </w:p>
        </w:tc>
        <w:tc>
          <w:tcPr>
            <w:tcW w:w="2822" w:type="dxa"/>
          </w:tcPr>
          <w:p>
            <w:pPr>
              <w:spacing w:before="50" w:after="50" w:line="500" w:lineRule="exact"/>
              <w:jc w:val="left"/>
              <w:rPr>
                <w:rFonts w:ascii="宋体"/>
                <w:sz w:val="24"/>
                <w:szCs w:val="24"/>
              </w:rPr>
            </w:pPr>
          </w:p>
        </w:tc>
        <w:tc>
          <w:tcPr>
            <w:tcW w:w="1341" w:type="dxa"/>
          </w:tcPr>
          <w:p>
            <w:pPr>
              <w:spacing w:before="50" w:after="50" w:line="500" w:lineRule="exact"/>
              <w:jc w:val="lef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442" w:type="dxa"/>
          </w:tcPr>
          <w:p>
            <w:pPr>
              <w:spacing w:before="50" w:after="50" w:line="500" w:lineRule="exact"/>
              <w:jc w:val="left"/>
              <w:rPr>
                <w:rFonts w:ascii="宋体"/>
                <w:sz w:val="24"/>
                <w:szCs w:val="24"/>
              </w:rPr>
            </w:pPr>
          </w:p>
        </w:tc>
        <w:tc>
          <w:tcPr>
            <w:tcW w:w="945" w:type="dxa"/>
          </w:tcPr>
          <w:p>
            <w:pPr>
              <w:spacing w:before="50" w:after="50" w:line="500" w:lineRule="exact"/>
              <w:jc w:val="left"/>
              <w:rPr>
                <w:rFonts w:ascii="宋体"/>
                <w:sz w:val="24"/>
                <w:szCs w:val="24"/>
              </w:rPr>
            </w:pPr>
          </w:p>
        </w:tc>
        <w:tc>
          <w:tcPr>
            <w:tcW w:w="1333" w:type="dxa"/>
          </w:tcPr>
          <w:p>
            <w:pPr>
              <w:spacing w:before="50" w:after="50" w:line="500" w:lineRule="exact"/>
              <w:jc w:val="left"/>
              <w:rPr>
                <w:rFonts w:ascii="宋体"/>
                <w:sz w:val="24"/>
                <w:szCs w:val="24"/>
              </w:rPr>
            </w:pPr>
          </w:p>
        </w:tc>
        <w:tc>
          <w:tcPr>
            <w:tcW w:w="2822" w:type="dxa"/>
          </w:tcPr>
          <w:p>
            <w:pPr>
              <w:spacing w:before="50" w:after="50" w:line="500" w:lineRule="exact"/>
              <w:jc w:val="left"/>
              <w:rPr>
                <w:rFonts w:ascii="宋体"/>
                <w:sz w:val="24"/>
                <w:szCs w:val="24"/>
              </w:rPr>
            </w:pPr>
          </w:p>
        </w:tc>
        <w:tc>
          <w:tcPr>
            <w:tcW w:w="1341" w:type="dxa"/>
          </w:tcPr>
          <w:p>
            <w:pPr>
              <w:spacing w:before="50" w:after="50" w:line="500" w:lineRule="exact"/>
              <w:jc w:val="lef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442" w:type="dxa"/>
          </w:tcPr>
          <w:p>
            <w:pPr>
              <w:spacing w:before="50" w:after="50" w:line="500" w:lineRule="exact"/>
              <w:jc w:val="left"/>
              <w:rPr>
                <w:rFonts w:ascii="宋体"/>
                <w:sz w:val="24"/>
                <w:szCs w:val="24"/>
              </w:rPr>
            </w:pPr>
          </w:p>
        </w:tc>
        <w:tc>
          <w:tcPr>
            <w:tcW w:w="945" w:type="dxa"/>
          </w:tcPr>
          <w:p>
            <w:pPr>
              <w:spacing w:before="50" w:after="50" w:line="500" w:lineRule="exact"/>
              <w:jc w:val="left"/>
              <w:rPr>
                <w:rFonts w:ascii="宋体"/>
                <w:sz w:val="24"/>
                <w:szCs w:val="24"/>
              </w:rPr>
            </w:pPr>
          </w:p>
        </w:tc>
        <w:tc>
          <w:tcPr>
            <w:tcW w:w="1333" w:type="dxa"/>
          </w:tcPr>
          <w:p>
            <w:pPr>
              <w:spacing w:before="50" w:after="50" w:line="500" w:lineRule="exact"/>
              <w:jc w:val="left"/>
              <w:rPr>
                <w:rFonts w:ascii="宋体"/>
                <w:sz w:val="24"/>
                <w:szCs w:val="24"/>
              </w:rPr>
            </w:pPr>
          </w:p>
        </w:tc>
        <w:tc>
          <w:tcPr>
            <w:tcW w:w="2822" w:type="dxa"/>
          </w:tcPr>
          <w:p>
            <w:pPr>
              <w:spacing w:before="50" w:after="50" w:line="500" w:lineRule="exact"/>
              <w:jc w:val="left"/>
              <w:rPr>
                <w:rFonts w:ascii="宋体"/>
                <w:sz w:val="24"/>
                <w:szCs w:val="24"/>
              </w:rPr>
            </w:pPr>
          </w:p>
        </w:tc>
        <w:tc>
          <w:tcPr>
            <w:tcW w:w="1341" w:type="dxa"/>
          </w:tcPr>
          <w:p>
            <w:pPr>
              <w:spacing w:before="50" w:after="50" w:line="500" w:lineRule="exact"/>
              <w:jc w:val="lef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442" w:type="dxa"/>
          </w:tcPr>
          <w:p>
            <w:pPr>
              <w:spacing w:before="50" w:after="50" w:line="500" w:lineRule="exact"/>
              <w:jc w:val="left"/>
              <w:rPr>
                <w:rFonts w:ascii="宋体"/>
                <w:sz w:val="24"/>
                <w:szCs w:val="24"/>
              </w:rPr>
            </w:pPr>
          </w:p>
        </w:tc>
        <w:tc>
          <w:tcPr>
            <w:tcW w:w="945" w:type="dxa"/>
          </w:tcPr>
          <w:p>
            <w:pPr>
              <w:spacing w:before="50" w:after="50" w:line="500" w:lineRule="exact"/>
              <w:jc w:val="left"/>
              <w:rPr>
                <w:rFonts w:ascii="宋体"/>
                <w:sz w:val="24"/>
                <w:szCs w:val="24"/>
              </w:rPr>
            </w:pPr>
          </w:p>
        </w:tc>
        <w:tc>
          <w:tcPr>
            <w:tcW w:w="1333" w:type="dxa"/>
          </w:tcPr>
          <w:p>
            <w:pPr>
              <w:spacing w:before="50" w:after="50" w:line="500" w:lineRule="exact"/>
              <w:jc w:val="left"/>
              <w:rPr>
                <w:rFonts w:ascii="宋体"/>
                <w:sz w:val="24"/>
                <w:szCs w:val="24"/>
              </w:rPr>
            </w:pPr>
          </w:p>
        </w:tc>
        <w:tc>
          <w:tcPr>
            <w:tcW w:w="2822" w:type="dxa"/>
          </w:tcPr>
          <w:p>
            <w:pPr>
              <w:spacing w:before="50" w:after="50" w:line="500" w:lineRule="exact"/>
              <w:jc w:val="left"/>
              <w:rPr>
                <w:rFonts w:ascii="宋体"/>
                <w:sz w:val="24"/>
                <w:szCs w:val="24"/>
              </w:rPr>
            </w:pPr>
          </w:p>
        </w:tc>
        <w:tc>
          <w:tcPr>
            <w:tcW w:w="1341" w:type="dxa"/>
          </w:tcPr>
          <w:p>
            <w:pPr>
              <w:spacing w:before="50" w:after="50" w:line="500" w:lineRule="exact"/>
              <w:jc w:val="lef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442" w:type="dxa"/>
          </w:tcPr>
          <w:p>
            <w:pPr>
              <w:spacing w:before="50" w:after="50" w:line="500" w:lineRule="exact"/>
              <w:jc w:val="left"/>
              <w:rPr>
                <w:rFonts w:ascii="宋体"/>
                <w:sz w:val="24"/>
                <w:szCs w:val="24"/>
              </w:rPr>
            </w:pPr>
          </w:p>
        </w:tc>
        <w:tc>
          <w:tcPr>
            <w:tcW w:w="945" w:type="dxa"/>
          </w:tcPr>
          <w:p>
            <w:pPr>
              <w:spacing w:before="50" w:after="50" w:line="500" w:lineRule="exact"/>
              <w:jc w:val="left"/>
              <w:rPr>
                <w:rFonts w:ascii="宋体"/>
                <w:sz w:val="24"/>
                <w:szCs w:val="24"/>
              </w:rPr>
            </w:pPr>
          </w:p>
        </w:tc>
        <w:tc>
          <w:tcPr>
            <w:tcW w:w="1333" w:type="dxa"/>
          </w:tcPr>
          <w:p>
            <w:pPr>
              <w:spacing w:before="50" w:after="50" w:line="500" w:lineRule="exact"/>
              <w:jc w:val="left"/>
              <w:rPr>
                <w:rFonts w:ascii="宋体"/>
                <w:sz w:val="24"/>
                <w:szCs w:val="24"/>
              </w:rPr>
            </w:pPr>
          </w:p>
        </w:tc>
        <w:tc>
          <w:tcPr>
            <w:tcW w:w="2822" w:type="dxa"/>
          </w:tcPr>
          <w:p>
            <w:pPr>
              <w:spacing w:before="50" w:after="50" w:line="500" w:lineRule="exact"/>
              <w:jc w:val="left"/>
              <w:rPr>
                <w:rFonts w:ascii="宋体"/>
                <w:sz w:val="24"/>
                <w:szCs w:val="24"/>
              </w:rPr>
            </w:pPr>
          </w:p>
        </w:tc>
        <w:tc>
          <w:tcPr>
            <w:tcW w:w="1341" w:type="dxa"/>
          </w:tcPr>
          <w:p>
            <w:pPr>
              <w:spacing w:before="50" w:after="50" w:line="500" w:lineRule="exact"/>
              <w:jc w:val="left"/>
              <w:rPr>
                <w:rFonts w:ascii="宋体"/>
                <w:sz w:val="24"/>
                <w:szCs w:val="24"/>
              </w:rPr>
            </w:pPr>
          </w:p>
        </w:tc>
      </w:tr>
    </w:tbl>
    <w:p>
      <w:pPr>
        <w:rPr>
          <w:rFonts w:ascii="宋体"/>
          <w:sz w:val="24"/>
          <w:szCs w:val="24"/>
        </w:rPr>
      </w:pPr>
    </w:p>
    <w:p>
      <w:pPr>
        <w:snapToGrid w:val="0"/>
        <w:spacing w:before="50" w:after="156" w:afterLines="50"/>
        <w:jc w:val="left"/>
        <w:rPr>
          <w:rFonts w:ascii="宋体"/>
          <w:b/>
          <w:bCs/>
          <w:sz w:val="24"/>
          <w:szCs w:val="24"/>
        </w:rPr>
      </w:pPr>
    </w:p>
    <w:p>
      <w:pPr>
        <w:pStyle w:val="26"/>
        <w:tabs>
          <w:tab w:val="left" w:pos="4312"/>
        </w:tabs>
        <w:spacing w:before="156" w:after="156" w:line="360" w:lineRule="auto"/>
        <w:rPr>
          <w:rFonts w:hAnsi="宋体" w:cs="Times New Roman"/>
        </w:rPr>
      </w:pPr>
      <w:r>
        <w:rPr>
          <w:rFonts w:hint="eastAsia" w:hAnsi="宋体"/>
        </w:rPr>
        <w:t>日期：</w:t>
      </w:r>
    </w:p>
    <w:p>
      <w:pPr>
        <w:snapToGrid w:val="0"/>
        <w:spacing w:before="50" w:after="156" w:afterLines="50"/>
        <w:jc w:val="left"/>
        <w:rPr>
          <w:rFonts w:ascii="宋体" w:cs="宋体"/>
          <w:b/>
          <w:bCs/>
          <w:sz w:val="24"/>
          <w:szCs w:val="24"/>
        </w:rPr>
      </w:pPr>
    </w:p>
    <w:p>
      <w:pPr>
        <w:snapToGrid w:val="0"/>
        <w:spacing w:before="50" w:after="156" w:afterLines="50"/>
        <w:jc w:val="left"/>
        <w:rPr>
          <w:rFonts w:ascii="宋体" w:cs="宋体"/>
          <w:b/>
          <w:bCs/>
          <w:sz w:val="24"/>
          <w:szCs w:val="24"/>
        </w:rPr>
      </w:pPr>
    </w:p>
    <w:p>
      <w:pPr>
        <w:snapToGrid w:val="0"/>
        <w:spacing w:before="50" w:after="156" w:afterLines="50"/>
        <w:jc w:val="left"/>
        <w:rPr>
          <w:rFonts w:ascii="宋体" w:cs="宋体"/>
          <w:b/>
          <w:bCs/>
          <w:sz w:val="24"/>
          <w:szCs w:val="24"/>
        </w:rPr>
      </w:pPr>
    </w:p>
    <w:p>
      <w:pPr>
        <w:jc w:val="left"/>
      </w:pPr>
      <w:r>
        <w:rPr>
          <w:rFonts w:ascii="宋体" w:hAnsi="宋体"/>
          <w:b/>
          <w:sz w:val="24"/>
        </w:rPr>
        <w:br w:type="page"/>
      </w:r>
    </w:p>
    <w:p>
      <w:pPr>
        <w:snapToGrid w:val="0"/>
        <w:spacing w:before="50" w:after="156" w:afterLines="50" w:line="360" w:lineRule="auto"/>
        <w:jc w:val="left"/>
        <w:outlineLvl w:val="2"/>
        <w:rPr>
          <w:rFonts w:ascii="宋体" w:hAnsi="宋体"/>
          <w:b/>
          <w:sz w:val="24"/>
        </w:rPr>
      </w:pPr>
      <w:r>
        <w:rPr>
          <w:rFonts w:hint="eastAsia" w:ascii="宋体" w:hAnsi="宋体"/>
          <w:b/>
          <w:sz w:val="24"/>
        </w:rPr>
        <w:t>附件2.9</w:t>
      </w:r>
    </w:p>
    <w:p>
      <w:pPr>
        <w:snapToGrid w:val="0"/>
        <w:spacing w:before="50" w:after="156" w:afterLines="50" w:line="360" w:lineRule="auto"/>
        <w:jc w:val="center"/>
        <w:outlineLvl w:val="2"/>
        <w:rPr>
          <w:rFonts w:ascii="宋体" w:hAnsi="宋体"/>
          <w:sz w:val="44"/>
          <w:szCs w:val="44"/>
        </w:rPr>
      </w:pPr>
      <w:r>
        <w:rPr>
          <w:rFonts w:hint="eastAsia" w:ascii="宋体" w:hAnsi="宋体"/>
          <w:sz w:val="44"/>
          <w:szCs w:val="44"/>
        </w:rPr>
        <w:t>东阳市政府采购代理机构社会评价表</w:t>
      </w:r>
    </w:p>
    <w:p>
      <w:pPr>
        <w:rPr>
          <w:rFonts w:ascii="宋体" w:hAnsi="宋体"/>
          <w:sz w:val="28"/>
          <w:szCs w:val="28"/>
        </w:rPr>
      </w:pPr>
      <w:r>
        <w:rPr>
          <w:rFonts w:hint="eastAsia" w:ascii="宋体" w:hAnsi="宋体"/>
          <w:sz w:val="28"/>
          <w:szCs w:val="28"/>
        </w:rPr>
        <w:t xml:space="preserve">代理机构名称：金华市金诚招投标代理有限公司 </w:t>
      </w:r>
    </w:p>
    <w:tbl>
      <w:tblPr>
        <w:tblStyle w:val="4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68"/>
        <w:gridCol w:w="132"/>
        <w:gridCol w:w="900"/>
        <w:gridCol w:w="787"/>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填表人类别</w:t>
            </w:r>
          </w:p>
        </w:tc>
        <w:tc>
          <w:tcPr>
            <w:tcW w:w="7938" w:type="dxa"/>
            <w:gridSpan w:val="7"/>
            <w:tcBorders>
              <w:top w:val="single" w:color="auto" w:sz="4" w:space="0"/>
              <w:left w:val="nil"/>
              <w:bottom w:val="single" w:color="auto" w:sz="4" w:space="0"/>
              <w:right w:val="single" w:color="auto" w:sz="4" w:space="0"/>
            </w:tcBorders>
            <w:vAlign w:val="center"/>
          </w:tcPr>
          <w:p>
            <w:pPr>
              <w:ind w:firstLine="480" w:firstLineChars="200"/>
              <w:jc w:val="center"/>
              <w:rPr>
                <w:sz w:val="24"/>
                <w:szCs w:val="24"/>
              </w:rPr>
            </w:pPr>
            <w:r>
              <w:rPr>
                <w:rFonts w:hint="eastAsia" w:ascii="宋体" w:hAnsi="宋体"/>
                <w:sz w:val="24"/>
                <w:szCs w:val="24"/>
              </w:rPr>
              <w:t>□采购单位</w:t>
            </w:r>
            <w:r>
              <w:rPr>
                <w:sz w:val="24"/>
                <w:szCs w:val="24"/>
              </w:rPr>
              <w:t xml:space="preserve">      </w:t>
            </w:r>
            <w:r>
              <w:rPr>
                <w:rFonts w:hint="eastAsia" w:ascii="宋体" w:hAnsi="宋体"/>
                <w:sz w:val="24"/>
                <w:szCs w:val="24"/>
              </w:rPr>
              <w:t>□供应商</w:t>
            </w:r>
            <w:r>
              <w:rPr>
                <w:sz w:val="24"/>
                <w:szCs w:val="24"/>
              </w:rPr>
              <w:t xml:space="preserve">      </w:t>
            </w:r>
            <w:r>
              <w:rPr>
                <w:rFonts w:hint="eastAsia" w:ascii="宋体" w:hAnsi="宋体"/>
                <w:sz w:val="24"/>
                <w:szCs w:val="24"/>
              </w:rPr>
              <w:t>□专家</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填表人名称或姓名</w:t>
            </w:r>
          </w:p>
        </w:tc>
        <w:tc>
          <w:tcPr>
            <w:tcW w:w="3366" w:type="dxa"/>
            <w:gridSpan w:val="4"/>
            <w:tcBorders>
              <w:top w:val="single" w:color="auto" w:sz="4" w:space="0"/>
              <w:left w:val="nil"/>
              <w:bottom w:val="single" w:color="auto" w:sz="4" w:space="0"/>
              <w:right w:val="single" w:color="auto" w:sz="4" w:space="0"/>
            </w:tcBorders>
            <w:vAlign w:val="center"/>
          </w:tcPr>
          <w:p>
            <w:pPr>
              <w:jc w:val="center"/>
              <w:rPr>
                <w:sz w:val="24"/>
                <w:szCs w:val="24"/>
              </w:rPr>
            </w:pPr>
          </w:p>
        </w:tc>
        <w:tc>
          <w:tcPr>
            <w:tcW w:w="900"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地址</w:t>
            </w:r>
          </w:p>
        </w:tc>
        <w:tc>
          <w:tcPr>
            <w:tcW w:w="3672" w:type="dxa"/>
            <w:gridSpan w:val="2"/>
            <w:tcBorders>
              <w:top w:val="single" w:color="auto" w:sz="4" w:space="0"/>
              <w:left w:val="nil"/>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联系人</w:t>
            </w:r>
          </w:p>
        </w:tc>
        <w:tc>
          <w:tcPr>
            <w:tcW w:w="1470"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696"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电话</w:t>
            </w:r>
          </w:p>
        </w:tc>
        <w:tc>
          <w:tcPr>
            <w:tcW w:w="2100" w:type="dxa"/>
            <w:gridSpan w:val="3"/>
            <w:tcBorders>
              <w:top w:val="single" w:color="auto" w:sz="4" w:space="0"/>
              <w:left w:val="nil"/>
              <w:bottom w:val="single" w:color="auto" w:sz="4" w:space="0"/>
              <w:right w:val="single" w:color="auto" w:sz="4" w:space="0"/>
            </w:tcBorders>
            <w:vAlign w:val="center"/>
          </w:tcPr>
          <w:p>
            <w:pPr>
              <w:jc w:val="center"/>
              <w:rPr>
                <w:sz w:val="24"/>
                <w:szCs w:val="24"/>
              </w:rPr>
            </w:pPr>
          </w:p>
        </w:tc>
        <w:tc>
          <w:tcPr>
            <w:tcW w:w="787"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传真</w:t>
            </w:r>
          </w:p>
        </w:tc>
        <w:tc>
          <w:tcPr>
            <w:tcW w:w="2885" w:type="dxa"/>
            <w:tcBorders>
              <w:top w:val="single" w:color="auto" w:sz="4" w:space="0"/>
              <w:left w:val="nil"/>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r>
              <w:rPr>
                <w:rFonts w:hint="eastAsia" w:ascii="宋体" w:hAnsi="宋体"/>
                <w:sz w:val="24"/>
                <w:szCs w:val="24"/>
              </w:rPr>
              <w:t>项目</w:t>
            </w:r>
          </w:p>
        </w:tc>
        <w:tc>
          <w:tcPr>
            <w:tcW w:w="4704"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r>
              <w:rPr>
                <w:rFonts w:hint="eastAsia" w:ascii="宋体" w:hAnsi="宋体"/>
                <w:sz w:val="24"/>
                <w:szCs w:val="24"/>
              </w:rPr>
              <w:t>评价（请在分值范围内进行打分）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kern w:val="0"/>
                <w:sz w:val="24"/>
                <w:szCs w:val="24"/>
              </w:rPr>
            </w:pPr>
            <w:r>
              <w:rPr>
                <w:rFonts w:hint="eastAsia" w:ascii="宋体" w:hAnsi="宋体"/>
                <w:sz w:val="24"/>
                <w:szCs w:val="24"/>
              </w:rPr>
              <w:t>是否严格执行政府采购纪律、法规和规章制度等（2分）。</w:t>
            </w:r>
          </w:p>
        </w:tc>
        <w:tc>
          <w:tcPr>
            <w:tcW w:w="4704"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kern w:val="0"/>
                <w:sz w:val="24"/>
                <w:szCs w:val="24"/>
              </w:rPr>
            </w:pPr>
            <w:r>
              <w:rPr>
                <w:rFonts w:hint="eastAsia" w:ascii="宋体" w:hAnsi="宋体"/>
                <w:sz w:val="24"/>
                <w:szCs w:val="24"/>
              </w:rPr>
              <w:t>操作程序是否规范，采购行为、过程、结果是否公开、公平、公正，采购组织管理是否规范严谨（2分）</w:t>
            </w:r>
            <w:r>
              <w:rPr>
                <w:rFonts w:hint="eastAsia" w:ascii="宋体" w:hAnsi="宋体"/>
                <w:kern w:val="0"/>
                <w:sz w:val="24"/>
                <w:szCs w:val="24"/>
              </w:rPr>
              <w:t>。</w:t>
            </w:r>
          </w:p>
        </w:tc>
        <w:tc>
          <w:tcPr>
            <w:tcW w:w="4704"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kern w:val="0"/>
                <w:sz w:val="24"/>
                <w:szCs w:val="24"/>
              </w:rPr>
            </w:pPr>
            <w:r>
              <w:rPr>
                <w:rFonts w:hint="eastAsia" w:ascii="宋体" w:hAnsi="宋体"/>
                <w:sz w:val="24"/>
                <w:szCs w:val="24"/>
              </w:rPr>
              <w:t>是否及时组织采购，是否有承诺办事时间并能限时办结（2分）</w:t>
            </w:r>
            <w:r>
              <w:rPr>
                <w:rFonts w:hint="eastAsia" w:ascii="宋体" w:hAnsi="宋体"/>
                <w:kern w:val="0"/>
                <w:sz w:val="24"/>
                <w:szCs w:val="24"/>
              </w:rPr>
              <w:t>。</w:t>
            </w:r>
          </w:p>
        </w:tc>
        <w:tc>
          <w:tcPr>
            <w:tcW w:w="4704"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是否能积极</w:t>
            </w:r>
            <w:r>
              <w:rPr>
                <w:rFonts w:hint="eastAsia" w:ascii="宋体" w:hAnsi="宋体"/>
                <w:kern w:val="0"/>
                <w:sz w:val="24"/>
                <w:szCs w:val="24"/>
              </w:rPr>
              <w:t>主动</w:t>
            </w:r>
            <w:r>
              <w:rPr>
                <w:rFonts w:hint="eastAsia" w:ascii="宋体" w:hAnsi="宋体"/>
                <w:sz w:val="24"/>
                <w:szCs w:val="24"/>
              </w:rPr>
              <w:t>与当事人沟通</w:t>
            </w:r>
            <w:r>
              <w:rPr>
                <w:rFonts w:hint="eastAsia" w:ascii="宋体" w:hAnsi="宋体"/>
                <w:kern w:val="0"/>
                <w:sz w:val="24"/>
                <w:szCs w:val="24"/>
              </w:rPr>
              <w:t>对接；对采购政策进行详细解读；</w:t>
            </w:r>
            <w:r>
              <w:rPr>
                <w:rFonts w:hint="eastAsia" w:ascii="宋体" w:hAnsi="宋体"/>
                <w:sz w:val="24"/>
                <w:szCs w:val="24"/>
              </w:rPr>
              <w:t>咨询答复是否热情周到、耐心细致（2分）</w:t>
            </w:r>
            <w:r>
              <w:rPr>
                <w:rFonts w:hint="eastAsia" w:ascii="宋体" w:hAnsi="宋体"/>
                <w:kern w:val="0"/>
                <w:sz w:val="24"/>
                <w:szCs w:val="24"/>
              </w:rPr>
              <w:t>。</w:t>
            </w:r>
          </w:p>
        </w:tc>
        <w:tc>
          <w:tcPr>
            <w:tcW w:w="4704"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采购的质量、服务是否满意（2分）。</w:t>
            </w:r>
          </w:p>
        </w:tc>
        <w:tc>
          <w:tcPr>
            <w:tcW w:w="4704"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r>
              <w:rPr>
                <w:rFonts w:hint="eastAsia" w:ascii="宋体" w:hAnsi="宋体"/>
                <w:sz w:val="24"/>
                <w:szCs w:val="24"/>
              </w:rPr>
              <w:t>合计</w:t>
            </w:r>
          </w:p>
        </w:tc>
        <w:tc>
          <w:tcPr>
            <w:tcW w:w="4704"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对代理机构的意见和建议</w:t>
            </w:r>
          </w:p>
        </w:tc>
        <w:tc>
          <w:tcPr>
            <w:tcW w:w="7938" w:type="dxa"/>
            <w:gridSpan w:val="7"/>
            <w:tcBorders>
              <w:top w:val="single" w:color="auto" w:sz="4" w:space="0"/>
              <w:left w:val="nil"/>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备注</w:t>
            </w:r>
          </w:p>
        </w:tc>
        <w:tc>
          <w:tcPr>
            <w:tcW w:w="7938" w:type="dxa"/>
            <w:gridSpan w:val="7"/>
            <w:tcBorders>
              <w:top w:val="single" w:color="auto" w:sz="4" w:space="0"/>
              <w:left w:val="nil"/>
              <w:bottom w:val="single" w:color="auto" w:sz="4" w:space="0"/>
              <w:right w:val="single" w:color="auto" w:sz="4" w:space="0"/>
            </w:tcBorders>
            <w:vAlign w:val="center"/>
          </w:tcPr>
          <w:p>
            <w:pPr>
              <w:jc w:val="center"/>
              <w:rPr>
                <w:sz w:val="24"/>
                <w:szCs w:val="24"/>
              </w:rPr>
            </w:pPr>
          </w:p>
        </w:tc>
      </w:tr>
    </w:tbl>
    <w:p>
      <w:pPr>
        <w:spacing w:line="500" w:lineRule="exact"/>
        <w:rPr>
          <w:sz w:val="24"/>
          <w:szCs w:val="24"/>
        </w:rPr>
      </w:pPr>
      <w:r>
        <w:rPr>
          <w:rFonts w:hint="eastAsia" w:ascii="宋体" w:hAnsi="宋体"/>
          <w:sz w:val="24"/>
          <w:szCs w:val="24"/>
        </w:rPr>
        <w:t>填表人签字盖章：</w:t>
      </w:r>
      <w:r>
        <w:rPr>
          <w:sz w:val="24"/>
          <w:szCs w:val="24"/>
        </w:rPr>
        <w:t xml:space="preserve">                    </w:t>
      </w:r>
      <w:r>
        <w:rPr>
          <w:rFonts w:hint="eastAsia" w:ascii="宋体" w:hAnsi="宋体"/>
          <w:sz w:val="24"/>
          <w:szCs w:val="24"/>
        </w:rPr>
        <w:t>日期</w:t>
      </w:r>
    </w:p>
    <w:p>
      <w:pPr>
        <w:snapToGrid w:val="0"/>
        <w:spacing w:before="50" w:after="156" w:afterLines="50" w:line="360" w:lineRule="auto"/>
        <w:jc w:val="right"/>
        <w:outlineLvl w:val="1"/>
        <w:rPr>
          <w:rFonts w:ascii="宋体" w:hAnsi="宋体" w:cs="宋体"/>
          <w:b/>
          <w:bCs/>
          <w:color w:val="0D0D0D"/>
          <w:sz w:val="24"/>
          <w:szCs w:val="24"/>
        </w:rPr>
      </w:pPr>
      <w:r>
        <w:rPr>
          <w:rFonts w:hint="eastAsia" w:ascii="宋体" w:hAnsi="宋体"/>
          <w:sz w:val="28"/>
          <w:szCs w:val="28"/>
        </w:rPr>
        <w:t>注：此表须盖投标单位公章</w:t>
      </w:r>
    </w:p>
    <w:p>
      <w:pPr>
        <w:spacing w:line="360" w:lineRule="auto"/>
        <w:jc w:val="left"/>
        <w:outlineLvl w:val="1"/>
        <w:rPr>
          <w:rFonts w:ascii="宋体"/>
          <w:b/>
          <w:bCs/>
          <w:color w:val="0D0D0D"/>
          <w:sz w:val="24"/>
          <w:szCs w:val="24"/>
        </w:rPr>
      </w:pPr>
      <w:r>
        <w:rPr>
          <w:rFonts w:ascii="宋体" w:hAnsi="宋体" w:cs="宋体"/>
          <w:b/>
          <w:bCs/>
          <w:color w:val="0D0D0D"/>
          <w:sz w:val="24"/>
          <w:szCs w:val="24"/>
        </w:rPr>
        <w:t>3</w:t>
      </w:r>
      <w:r>
        <w:rPr>
          <w:rFonts w:ascii="宋体" w:cs="宋体"/>
          <w:b/>
          <w:bCs/>
          <w:color w:val="0D0D0D"/>
          <w:sz w:val="24"/>
          <w:szCs w:val="24"/>
        </w:rPr>
        <w:t>.</w:t>
      </w:r>
      <w:r>
        <w:rPr>
          <w:rFonts w:hint="eastAsia" w:ascii="宋体" w:hAnsi="宋体" w:cs="宋体"/>
          <w:b/>
          <w:bCs/>
          <w:color w:val="0D0D0D"/>
          <w:sz w:val="24"/>
          <w:szCs w:val="24"/>
        </w:rPr>
        <w:t>报价文件目录</w:t>
      </w:r>
    </w:p>
    <w:p>
      <w:pPr>
        <w:spacing w:line="360" w:lineRule="auto"/>
        <w:ind w:firstLine="480" w:firstLineChars="200"/>
        <w:jc w:val="left"/>
        <w:rPr>
          <w:rFonts w:ascii="宋体"/>
          <w:color w:val="0D0D0D"/>
          <w:sz w:val="24"/>
          <w:szCs w:val="24"/>
        </w:rPr>
      </w:pPr>
      <w:r>
        <w:rPr>
          <w:rFonts w:hint="eastAsia" w:ascii="宋体" w:hAnsi="宋体" w:cs="宋体"/>
          <w:color w:val="0D0D0D"/>
          <w:sz w:val="24"/>
          <w:szCs w:val="24"/>
        </w:rPr>
        <w:t>（</w:t>
      </w:r>
      <w:r>
        <w:rPr>
          <w:rFonts w:ascii="宋体" w:hAnsi="宋体" w:cs="宋体"/>
          <w:color w:val="0D0D0D"/>
          <w:sz w:val="24"/>
          <w:szCs w:val="24"/>
        </w:rPr>
        <w:t>1</w:t>
      </w:r>
      <w:r>
        <w:rPr>
          <w:rFonts w:hint="eastAsia" w:ascii="宋体" w:hAnsi="宋体" w:cs="宋体"/>
          <w:color w:val="0D0D0D"/>
          <w:sz w:val="24"/>
          <w:szCs w:val="24"/>
        </w:rPr>
        <w:t>）投标函（格式见附件</w:t>
      </w:r>
      <w:r>
        <w:rPr>
          <w:rFonts w:ascii="宋体" w:hAnsi="宋体" w:cs="宋体"/>
          <w:color w:val="0D0D0D"/>
          <w:sz w:val="24"/>
          <w:szCs w:val="24"/>
        </w:rPr>
        <w:t>3.1</w:t>
      </w:r>
      <w:r>
        <w:rPr>
          <w:rFonts w:hint="eastAsia" w:ascii="宋体" w:hAnsi="宋体" w:cs="宋体"/>
          <w:color w:val="0D0D0D"/>
          <w:sz w:val="24"/>
          <w:szCs w:val="24"/>
        </w:rPr>
        <w:t>）；</w:t>
      </w:r>
    </w:p>
    <w:p>
      <w:pPr>
        <w:spacing w:line="360" w:lineRule="auto"/>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）开标一览表（格式见附件</w:t>
      </w:r>
      <w:r>
        <w:rPr>
          <w:rFonts w:ascii="宋体" w:hAnsi="宋体" w:cs="宋体"/>
          <w:sz w:val="24"/>
          <w:szCs w:val="24"/>
        </w:rPr>
        <w:t>3.2</w:t>
      </w:r>
      <w:r>
        <w:rPr>
          <w:rFonts w:hint="eastAsia" w:ascii="宋体" w:hAnsi="宋体" w:cs="宋体"/>
          <w:sz w:val="24"/>
          <w:szCs w:val="24"/>
        </w:rPr>
        <w:t>）；</w:t>
      </w:r>
    </w:p>
    <w:p>
      <w:pPr>
        <w:spacing w:line="360" w:lineRule="auto"/>
        <w:ind w:firstLine="480" w:firstLineChars="200"/>
        <w:jc w:val="left"/>
        <w:rPr>
          <w:rFonts w:ascii="宋体"/>
          <w:color w:val="0D0D0D"/>
          <w:sz w:val="24"/>
          <w:szCs w:val="24"/>
        </w:rPr>
      </w:pPr>
      <w:r>
        <w:rPr>
          <w:rFonts w:hint="eastAsia" w:ascii="宋体" w:hAnsi="宋体" w:cs="宋体"/>
          <w:color w:val="0D0D0D"/>
          <w:sz w:val="24"/>
          <w:szCs w:val="24"/>
        </w:rPr>
        <w:t>（</w:t>
      </w:r>
      <w:r>
        <w:rPr>
          <w:rFonts w:ascii="宋体" w:hAnsi="宋体" w:cs="宋体"/>
          <w:color w:val="0D0D0D"/>
          <w:sz w:val="24"/>
          <w:szCs w:val="24"/>
        </w:rPr>
        <w:t>3</w:t>
      </w:r>
      <w:r>
        <w:rPr>
          <w:rFonts w:hint="eastAsia" w:ascii="宋体" w:hAnsi="宋体" w:cs="宋体"/>
          <w:color w:val="0D0D0D"/>
          <w:sz w:val="24"/>
          <w:szCs w:val="24"/>
        </w:rPr>
        <w:t>）投标人针对报价需要说明的其他文件和说明。（如有）</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rFonts w:ascii="宋体"/>
          <w:b/>
          <w:bCs/>
          <w:color w:val="0D0D0D"/>
          <w:sz w:val="24"/>
          <w:szCs w:val="24"/>
        </w:rPr>
      </w:pPr>
      <w:r>
        <w:rPr>
          <w:rFonts w:ascii="宋体"/>
          <w:b/>
          <w:bCs/>
          <w:color w:val="0D0D0D"/>
          <w:sz w:val="24"/>
          <w:szCs w:val="24"/>
        </w:rPr>
        <w:br w:type="page"/>
      </w:r>
    </w:p>
    <w:p>
      <w:pPr>
        <w:spacing w:line="360" w:lineRule="auto"/>
        <w:jc w:val="left"/>
        <w:outlineLvl w:val="1"/>
        <w:rPr>
          <w:rFonts w:ascii="宋体" w:hAnsi="宋体" w:cs="宋体"/>
          <w:b/>
          <w:bCs/>
          <w:color w:val="0D0D0D"/>
          <w:sz w:val="24"/>
          <w:szCs w:val="24"/>
        </w:rPr>
      </w:pPr>
      <w:r>
        <w:rPr>
          <w:rFonts w:ascii="宋体" w:hAnsi="宋体" w:cs="宋体"/>
          <w:b/>
          <w:bCs/>
          <w:color w:val="0D0D0D"/>
          <w:sz w:val="24"/>
          <w:szCs w:val="24"/>
        </w:rPr>
        <w:t>3.1</w:t>
      </w:r>
      <w:r>
        <w:rPr>
          <w:rFonts w:hint="eastAsia" w:ascii="宋体" w:hAnsi="宋体" w:cs="宋体"/>
          <w:b/>
          <w:bCs/>
          <w:color w:val="0D0D0D"/>
          <w:sz w:val="24"/>
          <w:szCs w:val="24"/>
        </w:rPr>
        <w:t>投标函格式：</w:t>
      </w:r>
    </w:p>
    <w:p>
      <w:pPr>
        <w:snapToGrid w:val="0"/>
        <w:spacing w:before="50" w:after="156" w:afterLines="50" w:line="360" w:lineRule="auto"/>
        <w:ind w:firstLine="3504" w:firstLineChars="1460"/>
        <w:jc w:val="left"/>
        <w:outlineLvl w:val="2"/>
        <w:rPr>
          <w:rFonts w:ascii="宋体"/>
          <w:b/>
          <w:bCs/>
          <w:color w:val="0D0D0D"/>
          <w:sz w:val="24"/>
          <w:szCs w:val="24"/>
        </w:rPr>
      </w:pPr>
      <w:r>
        <w:rPr>
          <w:rFonts w:hint="eastAsia" w:ascii="宋体" w:hAnsi="宋体" w:cs="宋体"/>
          <w:b/>
          <w:bCs/>
          <w:color w:val="0D0D0D"/>
          <w:sz w:val="24"/>
          <w:szCs w:val="24"/>
        </w:rPr>
        <w:t>投标函</w:t>
      </w:r>
    </w:p>
    <w:p>
      <w:pPr>
        <w:snapToGrid w:val="0"/>
        <w:spacing w:line="360" w:lineRule="auto"/>
        <w:rPr>
          <w:rFonts w:ascii="宋体"/>
          <w:color w:val="0D0D0D"/>
          <w:sz w:val="24"/>
          <w:szCs w:val="24"/>
        </w:rPr>
      </w:pPr>
      <w:r>
        <w:rPr>
          <w:rFonts w:hint="eastAsia" w:ascii="宋体" w:hAnsi="宋体" w:cs="宋体"/>
          <w:color w:val="0D0D0D"/>
          <w:sz w:val="24"/>
          <w:szCs w:val="24"/>
        </w:rPr>
        <w:t>致：</w:t>
      </w:r>
      <w:r>
        <w:rPr>
          <w:rFonts w:ascii="宋体" w:hAnsi="宋体" w:cs="宋体"/>
          <w:color w:val="0D0D0D"/>
          <w:sz w:val="24"/>
          <w:szCs w:val="24"/>
          <w:u w:val="single"/>
        </w:rPr>
        <w:t>_</w:t>
      </w:r>
      <w:r>
        <w:rPr>
          <w:rFonts w:hint="eastAsia" w:ascii="宋体" w:hAnsi="宋体" w:cs="宋体"/>
          <w:color w:val="0D0D0D"/>
          <w:sz w:val="24"/>
          <w:szCs w:val="24"/>
          <w:u w:val="single"/>
        </w:rPr>
        <w:t>金华市金诚招投标代理有限公司</w:t>
      </w:r>
      <w:r>
        <w:rPr>
          <w:rFonts w:ascii="宋体" w:hAnsi="宋体" w:cs="宋体"/>
          <w:color w:val="0D0D0D"/>
          <w:sz w:val="24"/>
          <w:szCs w:val="24"/>
          <w:u w:val="single"/>
        </w:rPr>
        <w:t>_</w:t>
      </w:r>
      <w:r>
        <w:rPr>
          <w:rFonts w:hint="eastAsia" w:ascii="宋体" w:hAnsi="宋体" w:cs="宋体"/>
          <w:color w:val="0D0D0D"/>
          <w:sz w:val="24"/>
          <w:szCs w:val="24"/>
        </w:rPr>
        <w:t>：</w:t>
      </w:r>
    </w:p>
    <w:p>
      <w:pPr>
        <w:snapToGrid w:val="0"/>
        <w:spacing w:before="156" w:beforeLines="50" w:after="50" w:line="360" w:lineRule="auto"/>
        <w:ind w:firstLine="480" w:firstLineChars="200"/>
        <w:rPr>
          <w:rFonts w:ascii="宋体"/>
          <w:color w:val="0D0D0D"/>
          <w:sz w:val="24"/>
          <w:szCs w:val="24"/>
        </w:rPr>
      </w:pPr>
      <w:r>
        <w:rPr>
          <w:rFonts w:hint="eastAsia" w:ascii="宋体" w:hAnsi="宋体" w:cs="宋体"/>
          <w:color w:val="0D0D0D"/>
          <w:sz w:val="24"/>
          <w:szCs w:val="24"/>
        </w:rPr>
        <w:t>根据贵方为</w:t>
      </w:r>
      <w:r>
        <w:rPr>
          <w:rFonts w:hint="eastAsia" w:ascii="宋体" w:hAnsi="宋体" w:cs="宋体"/>
          <w:color w:val="000000"/>
          <w:sz w:val="24"/>
          <w:szCs w:val="24"/>
          <w:u w:val="single"/>
        </w:rPr>
        <w:t>东阳江流域江北片区排口溯源及水环境整治提升方案服务采购项目</w:t>
      </w:r>
      <w:r>
        <w:rPr>
          <w:rFonts w:hint="eastAsia" w:ascii="宋体" w:hAnsi="宋体" w:cs="宋体"/>
          <w:color w:val="0D0D0D"/>
          <w:sz w:val="24"/>
          <w:szCs w:val="24"/>
        </w:rPr>
        <w:t>（项目编号：</w:t>
      </w:r>
      <w:r>
        <w:rPr>
          <w:rFonts w:hint="eastAsia" w:ascii="宋体" w:hAnsi="宋体" w:cs="宋体"/>
          <w:color w:val="0D0D0D"/>
          <w:sz w:val="24"/>
          <w:szCs w:val="24"/>
          <w:u w:val="single"/>
          <w:lang w:eastAsia="zh-CN"/>
        </w:rPr>
        <w:t>JCZFCG2022-Z31-C298</w:t>
      </w:r>
      <w:r>
        <w:rPr>
          <w:rFonts w:hint="eastAsia" w:ascii="宋体" w:hAnsi="宋体" w:cs="宋体"/>
          <w:color w:val="0D0D0D"/>
          <w:sz w:val="24"/>
          <w:szCs w:val="24"/>
          <w:u w:val="single"/>
        </w:rPr>
        <w:t>）</w:t>
      </w:r>
      <w:r>
        <w:rPr>
          <w:rFonts w:hint="eastAsia" w:ascii="宋体" w:hAnsi="宋体" w:cs="宋体"/>
          <w:color w:val="0D0D0D"/>
          <w:sz w:val="24"/>
          <w:szCs w:val="24"/>
        </w:rPr>
        <w:t>的招标公告，签字代表</w:t>
      </w:r>
      <w:r>
        <w:rPr>
          <w:rFonts w:ascii="宋体" w:hAnsi="宋体" w:cs="宋体"/>
          <w:color w:val="0D0D0D"/>
          <w:sz w:val="24"/>
          <w:szCs w:val="24"/>
          <w:u w:val="single"/>
        </w:rPr>
        <w:t>_____</w:t>
      </w:r>
      <w:r>
        <w:rPr>
          <w:rFonts w:hint="eastAsia" w:ascii="宋体" w:hAnsi="宋体" w:cs="宋体"/>
          <w:color w:val="0D0D0D"/>
          <w:sz w:val="24"/>
          <w:szCs w:val="24"/>
          <w:u w:val="single"/>
        </w:rPr>
        <w:t>（全名</w:t>
      </w:r>
      <w:r>
        <w:rPr>
          <w:rFonts w:hint="eastAsia" w:ascii="宋体" w:hAnsi="宋体" w:cs="宋体"/>
          <w:color w:val="0D0D0D"/>
          <w:sz w:val="24"/>
          <w:szCs w:val="24"/>
        </w:rPr>
        <w:t>）经正式授权并代表投标人</w:t>
      </w:r>
      <w:r>
        <w:rPr>
          <w:rFonts w:ascii="宋体" w:hAnsi="宋体" w:cs="宋体"/>
          <w:color w:val="0D0D0D"/>
          <w:sz w:val="24"/>
          <w:szCs w:val="24"/>
        </w:rPr>
        <w:t>_</w:t>
      </w:r>
      <w:r>
        <w:rPr>
          <w:rFonts w:ascii="宋体" w:hAnsi="宋体" w:cs="宋体"/>
          <w:color w:val="0D0D0D"/>
          <w:sz w:val="24"/>
          <w:szCs w:val="24"/>
          <w:u w:val="single"/>
        </w:rPr>
        <w:t>______</w:t>
      </w:r>
      <w:r>
        <w:rPr>
          <w:rFonts w:hint="eastAsia" w:ascii="宋体" w:hAnsi="宋体" w:cs="宋体"/>
          <w:color w:val="0D0D0D"/>
          <w:sz w:val="24"/>
          <w:szCs w:val="24"/>
          <w:u w:val="single"/>
        </w:rPr>
        <w:t>（投标人名称）</w:t>
      </w:r>
      <w:r>
        <w:rPr>
          <w:rFonts w:hint="eastAsia" w:ascii="宋体" w:hAnsi="宋体" w:cs="宋体"/>
          <w:color w:val="0D0D0D"/>
          <w:sz w:val="24"/>
          <w:szCs w:val="24"/>
        </w:rPr>
        <w:t>提交资信商务及技术文件、报价文件正本各一份、副本四份。</w:t>
      </w:r>
    </w:p>
    <w:p>
      <w:pPr>
        <w:snapToGrid w:val="0"/>
        <w:spacing w:line="360" w:lineRule="auto"/>
        <w:ind w:firstLine="480" w:firstLineChars="200"/>
        <w:rPr>
          <w:rFonts w:ascii="宋体"/>
          <w:color w:val="0D0D0D"/>
          <w:sz w:val="24"/>
          <w:szCs w:val="24"/>
        </w:rPr>
      </w:pPr>
      <w:r>
        <w:rPr>
          <w:rFonts w:hint="eastAsia" w:ascii="宋体" w:hAnsi="宋体" w:cs="宋体"/>
          <w:color w:val="0D0D0D"/>
          <w:sz w:val="24"/>
          <w:szCs w:val="24"/>
        </w:rPr>
        <w:t>据此函，签字代表宣布同意如下：</w:t>
      </w:r>
    </w:p>
    <w:p>
      <w:pPr>
        <w:snapToGrid w:val="0"/>
        <w:spacing w:line="360" w:lineRule="auto"/>
        <w:ind w:firstLine="480" w:firstLineChars="200"/>
        <w:rPr>
          <w:rFonts w:ascii="宋体"/>
          <w:color w:val="0D0D0D"/>
          <w:sz w:val="24"/>
          <w:szCs w:val="24"/>
        </w:rPr>
      </w:pPr>
      <w:r>
        <w:rPr>
          <w:rFonts w:ascii="宋体" w:hAnsi="宋体" w:cs="宋体"/>
          <w:color w:val="0D0D0D"/>
          <w:sz w:val="24"/>
          <w:szCs w:val="24"/>
        </w:rPr>
        <w:t>1</w:t>
      </w:r>
      <w:r>
        <w:rPr>
          <w:rFonts w:ascii="宋体" w:cs="宋体"/>
          <w:color w:val="0D0D0D"/>
          <w:sz w:val="24"/>
          <w:szCs w:val="24"/>
        </w:rPr>
        <w:t>.</w:t>
      </w:r>
      <w:r>
        <w:rPr>
          <w:rFonts w:hint="eastAsia" w:ascii="宋体" w:hAnsi="宋体" w:cs="宋体"/>
          <w:color w:val="0D0D0D"/>
          <w:sz w:val="24"/>
          <w:szCs w:val="24"/>
        </w:rPr>
        <w:t>投标人已详细审查全部“招标文件”，并在投标之前已经与贵方进行了充分的沟通，完全理解并接受招标文件的各项规定和要求，对招标文件的合理性、合法性不再有异议。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color w:val="0D0D0D"/>
          <w:sz w:val="24"/>
          <w:szCs w:val="24"/>
        </w:rPr>
      </w:pPr>
      <w:r>
        <w:rPr>
          <w:rFonts w:ascii="宋体" w:hAnsi="宋体" w:cs="宋体"/>
          <w:color w:val="0D0D0D"/>
          <w:sz w:val="24"/>
          <w:szCs w:val="24"/>
        </w:rPr>
        <w:t>2.</w:t>
      </w:r>
      <w:r>
        <w:rPr>
          <w:rFonts w:hint="eastAsia" w:ascii="宋体" w:hAnsi="宋体" w:cs="宋体"/>
          <w:sz w:val="24"/>
          <w:szCs w:val="24"/>
        </w:rPr>
        <w:t>现经我方认真分析研究，同意接受招标文件全部要约条件，并按此确定本项目投标的各项承诺内容，以本投标书向贵方发包的</w:t>
      </w:r>
      <w:r>
        <w:rPr>
          <w:rFonts w:hint="eastAsia" w:ascii="宋体" w:hAnsi="宋体" w:cs="宋体"/>
          <w:color w:val="000000"/>
          <w:sz w:val="24"/>
          <w:szCs w:val="24"/>
          <w:u w:val="single"/>
        </w:rPr>
        <w:t>东阳江流域江北片区排口溯源及水环境整治提升方案服务采购项目</w:t>
      </w:r>
      <w:r>
        <w:rPr>
          <w:rFonts w:hint="eastAsia" w:ascii="宋体" w:hAnsi="宋体" w:cs="宋体"/>
          <w:sz w:val="24"/>
          <w:szCs w:val="24"/>
        </w:rPr>
        <w:t>全部内容进行投标。</w:t>
      </w:r>
    </w:p>
    <w:p>
      <w:pPr>
        <w:snapToGrid w:val="0"/>
        <w:spacing w:line="360" w:lineRule="auto"/>
        <w:ind w:firstLine="480" w:firstLineChars="200"/>
        <w:rPr>
          <w:rFonts w:ascii="宋体"/>
          <w:color w:val="0D0D0D"/>
          <w:sz w:val="24"/>
          <w:szCs w:val="24"/>
        </w:rPr>
      </w:pPr>
      <w:r>
        <w:rPr>
          <w:rFonts w:ascii="宋体" w:hAnsi="宋体" w:cs="宋体"/>
          <w:color w:val="0D0D0D"/>
          <w:sz w:val="24"/>
          <w:szCs w:val="24"/>
        </w:rPr>
        <w:t>3.</w:t>
      </w:r>
      <w:r>
        <w:rPr>
          <w:rFonts w:hint="eastAsia" w:ascii="宋体" w:hAnsi="宋体" w:cs="宋体"/>
          <w:color w:val="0D0D0D"/>
          <w:sz w:val="24"/>
          <w:szCs w:val="24"/>
        </w:rPr>
        <w:t>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color w:val="0D0D0D"/>
          <w:sz w:val="24"/>
          <w:szCs w:val="24"/>
        </w:rPr>
      </w:pPr>
      <w:r>
        <w:rPr>
          <w:rFonts w:ascii="宋体" w:hAnsi="宋体" w:cs="宋体"/>
          <w:color w:val="0D0D0D"/>
          <w:sz w:val="24"/>
          <w:szCs w:val="24"/>
        </w:rPr>
        <w:t>4.</w:t>
      </w:r>
      <w:r>
        <w:rPr>
          <w:rFonts w:hint="eastAsia" w:ascii="宋体" w:hAnsi="宋体" w:cs="宋体"/>
          <w:color w:val="0D0D0D"/>
          <w:sz w:val="24"/>
          <w:szCs w:val="24"/>
        </w:rPr>
        <w:t>投标人同意按照贵方要求提供与投标有关的一切数据或资料。</w:t>
      </w:r>
    </w:p>
    <w:p>
      <w:pPr>
        <w:snapToGrid w:val="0"/>
        <w:spacing w:line="360" w:lineRule="auto"/>
        <w:ind w:firstLine="480" w:firstLineChars="200"/>
        <w:rPr>
          <w:rFonts w:ascii="宋体"/>
          <w:color w:val="0D0D0D"/>
          <w:sz w:val="24"/>
          <w:szCs w:val="24"/>
        </w:rPr>
      </w:pPr>
      <w:r>
        <w:rPr>
          <w:rFonts w:ascii="宋体" w:hAnsi="宋体" w:cs="宋体"/>
          <w:color w:val="0D0D0D"/>
          <w:sz w:val="24"/>
          <w:szCs w:val="24"/>
        </w:rPr>
        <w:t>5.</w:t>
      </w:r>
      <w:r>
        <w:rPr>
          <w:rFonts w:hint="eastAsia" w:ascii="宋体" w:hAnsi="宋体" w:cs="宋体"/>
          <w:color w:val="0D0D0D"/>
          <w:sz w:val="24"/>
          <w:szCs w:val="24"/>
        </w:rPr>
        <w:t>与本投标有关的一切正式往来信函请寄：</w:t>
      </w:r>
    </w:p>
    <w:p>
      <w:pPr>
        <w:snapToGrid w:val="0"/>
        <w:spacing w:line="360" w:lineRule="auto"/>
        <w:rPr>
          <w:rFonts w:ascii="宋体"/>
          <w:color w:val="0D0D0D"/>
          <w:sz w:val="24"/>
          <w:szCs w:val="24"/>
        </w:rPr>
      </w:pPr>
      <w:r>
        <w:rPr>
          <w:rFonts w:hint="eastAsia" w:ascii="宋体" w:hAnsi="宋体" w:cs="宋体"/>
          <w:color w:val="0D0D0D"/>
          <w:sz w:val="24"/>
          <w:szCs w:val="24"/>
        </w:rPr>
        <w:t>地址：</w:t>
      </w:r>
      <w:r>
        <w:rPr>
          <w:rFonts w:ascii="宋体" w:hAnsi="宋体" w:cs="宋体"/>
          <w:color w:val="0D0D0D"/>
          <w:sz w:val="24"/>
          <w:szCs w:val="24"/>
        </w:rPr>
        <w:t>__________</w:t>
      </w:r>
      <w:r>
        <w:rPr>
          <w:rFonts w:ascii="宋体" w:hAnsi="宋体" w:cs="宋体"/>
          <w:color w:val="0D0D0D"/>
          <w:sz w:val="24"/>
          <w:szCs w:val="24"/>
          <w:u w:val="single"/>
        </w:rPr>
        <w:t>_</w:t>
      </w:r>
      <w:r>
        <w:rPr>
          <w:rFonts w:ascii="宋体" w:hAnsi="宋体" w:cs="宋体"/>
          <w:color w:val="0D0D0D"/>
          <w:sz w:val="24"/>
          <w:szCs w:val="24"/>
        </w:rPr>
        <w:t>____</w:t>
      </w:r>
      <w:r>
        <w:rPr>
          <w:rFonts w:hint="eastAsia" w:ascii="宋体" w:hAnsi="宋体" w:cs="宋体"/>
          <w:color w:val="0D0D0D"/>
          <w:sz w:val="24"/>
          <w:szCs w:val="24"/>
        </w:rPr>
        <w:t>邮编：</w:t>
      </w:r>
      <w:r>
        <w:rPr>
          <w:rFonts w:ascii="宋体" w:hAnsi="宋体" w:cs="宋体"/>
          <w:color w:val="0D0D0D"/>
          <w:sz w:val="24"/>
          <w:szCs w:val="24"/>
        </w:rPr>
        <w:t>__________</w:t>
      </w:r>
      <w:r>
        <w:rPr>
          <w:rFonts w:hint="eastAsia" w:ascii="宋体" w:hAnsi="宋体" w:cs="宋体"/>
          <w:color w:val="0D0D0D"/>
          <w:sz w:val="24"/>
          <w:szCs w:val="24"/>
        </w:rPr>
        <w:t>电话：</w:t>
      </w:r>
      <w:r>
        <w:rPr>
          <w:rFonts w:ascii="宋体" w:hAnsi="宋体" w:cs="宋体"/>
          <w:color w:val="0D0D0D"/>
          <w:sz w:val="24"/>
          <w:szCs w:val="24"/>
        </w:rPr>
        <w:t>______________</w:t>
      </w:r>
    </w:p>
    <w:p>
      <w:pPr>
        <w:snapToGrid w:val="0"/>
        <w:spacing w:line="360" w:lineRule="auto"/>
        <w:rPr>
          <w:rFonts w:ascii="宋体"/>
          <w:color w:val="0D0D0D"/>
          <w:sz w:val="24"/>
          <w:szCs w:val="24"/>
        </w:rPr>
      </w:pPr>
      <w:r>
        <w:rPr>
          <w:rFonts w:hint="eastAsia" w:ascii="宋体" w:hAnsi="宋体" w:cs="宋体"/>
          <w:color w:val="0D0D0D"/>
          <w:sz w:val="24"/>
          <w:szCs w:val="24"/>
        </w:rPr>
        <w:t>传真：</w:t>
      </w:r>
      <w:r>
        <w:rPr>
          <w:rFonts w:ascii="宋体" w:hAnsi="宋体" w:cs="宋体"/>
          <w:color w:val="0D0D0D"/>
          <w:sz w:val="24"/>
          <w:szCs w:val="24"/>
        </w:rPr>
        <w:t>___________</w:t>
      </w:r>
      <w:r>
        <w:rPr>
          <w:rFonts w:hint="eastAsia" w:ascii="宋体" w:hAnsi="宋体" w:cs="宋体"/>
          <w:color w:val="0D0D0D"/>
          <w:sz w:val="24"/>
          <w:szCs w:val="24"/>
        </w:rPr>
        <w:t>投标人代表姓名</w:t>
      </w:r>
      <w:r>
        <w:rPr>
          <w:rFonts w:ascii="宋体" w:hAnsi="宋体" w:cs="宋体"/>
          <w:color w:val="0D0D0D"/>
          <w:sz w:val="24"/>
          <w:szCs w:val="24"/>
        </w:rPr>
        <w:t>___________</w:t>
      </w:r>
      <w:r>
        <w:rPr>
          <w:rFonts w:hint="eastAsia" w:ascii="宋体" w:hAnsi="宋体" w:cs="宋体"/>
          <w:color w:val="0D0D0D"/>
          <w:sz w:val="24"/>
          <w:szCs w:val="24"/>
        </w:rPr>
        <w:t>职务：</w:t>
      </w:r>
      <w:r>
        <w:rPr>
          <w:rFonts w:ascii="宋体" w:hAnsi="宋体" w:cs="宋体"/>
          <w:color w:val="0D0D0D"/>
          <w:sz w:val="24"/>
          <w:szCs w:val="24"/>
        </w:rPr>
        <w:t>_____________</w:t>
      </w:r>
    </w:p>
    <w:p>
      <w:pPr>
        <w:snapToGrid w:val="0"/>
        <w:spacing w:line="360" w:lineRule="auto"/>
        <w:rPr>
          <w:rFonts w:ascii="宋体"/>
          <w:color w:val="0D0D0D"/>
          <w:sz w:val="24"/>
          <w:szCs w:val="24"/>
        </w:rPr>
      </w:pPr>
      <w:r>
        <w:rPr>
          <w:rFonts w:hint="eastAsia" w:ascii="宋体" w:hAnsi="宋体" w:cs="宋体"/>
          <w:color w:val="0D0D0D"/>
          <w:sz w:val="24"/>
          <w:szCs w:val="24"/>
        </w:rPr>
        <w:t>投标人名称</w:t>
      </w:r>
      <w:r>
        <w:rPr>
          <w:rFonts w:ascii="宋体" w:hAnsi="宋体" w:cs="宋体"/>
          <w:color w:val="0D0D0D"/>
          <w:sz w:val="24"/>
          <w:szCs w:val="24"/>
        </w:rPr>
        <w:t>(</w:t>
      </w:r>
      <w:r>
        <w:rPr>
          <w:rFonts w:hint="eastAsia" w:ascii="宋体" w:hAnsi="宋体" w:cs="宋体"/>
          <w:color w:val="0D0D0D"/>
          <w:sz w:val="24"/>
          <w:szCs w:val="24"/>
        </w:rPr>
        <w:t>公章</w:t>
      </w:r>
      <w:r>
        <w:rPr>
          <w:rFonts w:ascii="宋体" w:hAnsi="宋体" w:cs="宋体"/>
          <w:color w:val="0D0D0D"/>
          <w:sz w:val="24"/>
          <w:szCs w:val="24"/>
        </w:rPr>
        <w:t>):___________________</w:t>
      </w:r>
    </w:p>
    <w:p>
      <w:pPr>
        <w:snapToGrid w:val="0"/>
        <w:spacing w:line="360" w:lineRule="auto"/>
        <w:rPr>
          <w:rFonts w:ascii="宋体"/>
          <w:color w:val="0D0D0D"/>
          <w:sz w:val="24"/>
          <w:szCs w:val="24"/>
        </w:rPr>
      </w:pPr>
      <w:r>
        <w:rPr>
          <w:rFonts w:hint="eastAsia" w:ascii="宋体" w:hAnsi="宋体" w:cs="宋体"/>
          <w:color w:val="0D0D0D"/>
          <w:sz w:val="24"/>
          <w:szCs w:val="24"/>
        </w:rPr>
        <w:t>授权代表签字</w:t>
      </w:r>
      <w:r>
        <w:rPr>
          <w:rFonts w:ascii="宋体" w:hAnsi="宋体" w:cs="宋体"/>
          <w:color w:val="0D0D0D"/>
          <w:sz w:val="24"/>
          <w:szCs w:val="24"/>
        </w:rPr>
        <w:t>:___________</w:t>
      </w:r>
    </w:p>
    <w:p>
      <w:pPr>
        <w:snapToGrid w:val="0"/>
        <w:spacing w:line="360" w:lineRule="auto"/>
        <w:rPr>
          <w:rFonts w:ascii="宋体"/>
          <w:color w:val="0D0D0D"/>
          <w:sz w:val="24"/>
          <w:szCs w:val="24"/>
        </w:rPr>
      </w:pPr>
      <w:r>
        <w:rPr>
          <w:rFonts w:hint="eastAsia" w:ascii="宋体" w:hAnsi="宋体" w:cs="宋体"/>
          <w:color w:val="0D0D0D"/>
          <w:sz w:val="24"/>
          <w:szCs w:val="24"/>
        </w:rPr>
        <w:t>日期</w:t>
      </w:r>
      <w:r>
        <w:rPr>
          <w:rFonts w:ascii="宋体" w:hAnsi="宋体" w:cs="宋体"/>
          <w:color w:val="0D0D0D"/>
          <w:sz w:val="24"/>
          <w:szCs w:val="24"/>
        </w:rPr>
        <w:t>:_____</w:t>
      </w:r>
      <w:r>
        <w:rPr>
          <w:rFonts w:hint="eastAsia" w:ascii="宋体" w:hAnsi="宋体" w:cs="宋体"/>
          <w:color w:val="0D0D0D"/>
          <w:sz w:val="24"/>
          <w:szCs w:val="24"/>
        </w:rPr>
        <w:t>年</w:t>
      </w:r>
      <w:r>
        <w:rPr>
          <w:rFonts w:ascii="宋体" w:hAnsi="宋体" w:cs="宋体"/>
          <w:color w:val="0D0D0D"/>
          <w:sz w:val="24"/>
          <w:szCs w:val="24"/>
        </w:rPr>
        <w:t>___</w:t>
      </w:r>
      <w:r>
        <w:rPr>
          <w:rFonts w:hint="eastAsia" w:ascii="宋体" w:hAnsi="宋体" w:cs="宋体"/>
          <w:color w:val="0D0D0D"/>
          <w:sz w:val="24"/>
          <w:szCs w:val="24"/>
        </w:rPr>
        <w:t>月</w:t>
      </w:r>
    </w:p>
    <w:p>
      <w:pPr>
        <w:snapToGrid w:val="0"/>
        <w:spacing w:before="50" w:after="156" w:afterLines="50"/>
        <w:jc w:val="left"/>
        <w:rPr>
          <w:b/>
          <w:bCs/>
          <w:sz w:val="24"/>
          <w:szCs w:val="24"/>
        </w:rPr>
      </w:pPr>
      <w:r>
        <w:rPr>
          <w:b/>
          <w:bCs/>
          <w:sz w:val="24"/>
          <w:szCs w:val="24"/>
        </w:rPr>
        <w:br w:type="page"/>
      </w:r>
      <w:bookmarkStart w:id="5" w:name="_Toc449173147"/>
    </w:p>
    <w:p>
      <w:pPr>
        <w:spacing w:line="360" w:lineRule="auto"/>
        <w:jc w:val="left"/>
        <w:outlineLvl w:val="1"/>
        <w:rPr>
          <w:rFonts w:ascii="宋体" w:hAnsi="宋体" w:cs="宋体"/>
          <w:b/>
          <w:bCs/>
          <w:color w:val="0D0D0D"/>
          <w:sz w:val="24"/>
          <w:szCs w:val="24"/>
        </w:rPr>
      </w:pPr>
      <w:r>
        <w:rPr>
          <w:rFonts w:ascii="宋体" w:hAnsi="宋体" w:cs="宋体"/>
          <w:b/>
          <w:bCs/>
          <w:color w:val="0D0D0D"/>
          <w:sz w:val="24"/>
          <w:szCs w:val="24"/>
        </w:rPr>
        <w:t>3.2开标一览表</w:t>
      </w:r>
    </w:p>
    <w:p>
      <w:pPr>
        <w:snapToGrid w:val="0"/>
        <w:spacing w:before="50" w:after="50" w:line="360" w:lineRule="auto"/>
        <w:rPr>
          <w:rFonts w:hint="eastAsia" w:ascii="宋体" w:hAnsi="宋体" w:eastAsia="宋体" w:cs="宋体"/>
          <w:color w:val="0D0D0D"/>
          <w:sz w:val="24"/>
          <w:szCs w:val="24"/>
          <w:u w:val="single"/>
          <w:lang w:eastAsia="zh-CN"/>
        </w:rPr>
      </w:pPr>
      <w:r>
        <w:rPr>
          <w:rFonts w:hint="eastAsia" w:ascii="宋体" w:cs="宋体"/>
          <w:sz w:val="24"/>
          <w:szCs w:val="24"/>
        </w:rPr>
        <w:t>招标编号：</w:t>
      </w:r>
      <w:r>
        <w:rPr>
          <w:rFonts w:hint="eastAsia" w:ascii="宋体" w:hAnsi="宋体" w:cs="宋体"/>
          <w:color w:val="0D0D0D"/>
          <w:sz w:val="24"/>
          <w:szCs w:val="24"/>
          <w:u w:val="single"/>
          <w:lang w:eastAsia="zh-CN"/>
        </w:rPr>
        <w:t>JCZFCG2022-Z31-C298</w:t>
      </w:r>
    </w:p>
    <w:p>
      <w:pPr>
        <w:snapToGrid w:val="0"/>
        <w:spacing w:before="50" w:after="50" w:line="360" w:lineRule="auto"/>
        <w:rPr>
          <w:rFonts w:ascii="宋体"/>
          <w:color w:val="000000"/>
          <w:sz w:val="24"/>
          <w:szCs w:val="24"/>
          <w:u w:val="single"/>
        </w:rPr>
      </w:pPr>
      <w:r>
        <w:rPr>
          <w:rFonts w:hint="eastAsia" w:ascii="宋体" w:cs="宋体"/>
          <w:sz w:val="24"/>
          <w:szCs w:val="24"/>
        </w:rPr>
        <w:t>项目名称：</w:t>
      </w:r>
      <w:r>
        <w:rPr>
          <w:rFonts w:hint="eastAsia" w:ascii="宋体" w:hAnsi="宋体" w:cs="宋体"/>
          <w:color w:val="000000"/>
          <w:sz w:val="24"/>
          <w:szCs w:val="24"/>
          <w:u w:val="single"/>
        </w:rPr>
        <w:t>东阳江流域江北片区排口溯源及水环境整治提升方案服务采购项目</w:t>
      </w:r>
    </w:p>
    <w:p>
      <w:pPr>
        <w:pStyle w:val="44"/>
        <w:spacing w:line="360" w:lineRule="auto"/>
        <w:ind w:firstLine="0" w:firstLineChars="0"/>
        <w:jc w:val="center"/>
        <w:rPr>
          <w:rFonts w:hAnsi="宋体"/>
          <w:color w:val="000000"/>
          <w:sz w:val="24"/>
          <w:szCs w:val="24"/>
        </w:rPr>
      </w:pPr>
      <w:r>
        <w:rPr>
          <w:rFonts w:hint="eastAsia" w:hAnsi="宋体"/>
          <w:color w:val="000000"/>
          <w:sz w:val="24"/>
          <w:szCs w:val="24"/>
        </w:rPr>
        <w:t xml:space="preserve">                                                                单位：元</w:t>
      </w:r>
    </w:p>
    <w:bookmarkEnd w:id="5"/>
    <w:tbl>
      <w:tblPr>
        <w:tblStyle w:val="46"/>
        <w:tblpPr w:leftFromText="180" w:rightFromText="180" w:vertAnchor="text" w:horzAnchor="page" w:tblpX="1590" w:tblpY="274"/>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4305"/>
        <w:gridCol w:w="2223"/>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spacing w:line="600" w:lineRule="auto"/>
              <w:jc w:val="center"/>
              <w:rPr>
                <w:rFonts w:ascii="宋体" w:hAnsi="宋体" w:cs="宋体"/>
                <w:sz w:val="24"/>
              </w:rPr>
            </w:pPr>
            <w:r>
              <w:rPr>
                <w:rFonts w:hint="eastAsia" w:ascii="宋体" w:hAnsi="宋体" w:cs="宋体"/>
                <w:sz w:val="24"/>
              </w:rPr>
              <w:t>序号</w:t>
            </w:r>
          </w:p>
        </w:tc>
        <w:tc>
          <w:tcPr>
            <w:tcW w:w="4305" w:type="dxa"/>
          </w:tcPr>
          <w:p>
            <w:pPr>
              <w:spacing w:line="600" w:lineRule="auto"/>
              <w:jc w:val="center"/>
              <w:rPr>
                <w:rFonts w:ascii="宋体" w:hAnsi="宋体" w:cs="宋体"/>
                <w:sz w:val="24"/>
              </w:rPr>
            </w:pPr>
            <w:r>
              <w:rPr>
                <w:rFonts w:hint="eastAsia" w:ascii="宋体" w:hAnsi="宋体" w:cs="宋体"/>
                <w:sz w:val="24"/>
              </w:rPr>
              <w:t>采购内容</w:t>
            </w:r>
          </w:p>
        </w:tc>
        <w:tc>
          <w:tcPr>
            <w:tcW w:w="2223" w:type="dxa"/>
          </w:tcPr>
          <w:p>
            <w:pPr>
              <w:spacing w:line="600" w:lineRule="auto"/>
              <w:jc w:val="center"/>
              <w:rPr>
                <w:rFonts w:ascii="宋体" w:hAnsi="宋体" w:cs="宋体"/>
                <w:sz w:val="24"/>
              </w:rPr>
            </w:pPr>
            <w:r>
              <w:rPr>
                <w:rFonts w:hint="eastAsia" w:ascii="宋体" w:hAnsi="宋体" w:cs="宋体"/>
                <w:sz w:val="24"/>
              </w:rPr>
              <w:t>投标报价（元）</w:t>
            </w:r>
          </w:p>
        </w:tc>
        <w:tc>
          <w:tcPr>
            <w:tcW w:w="1179" w:type="dxa"/>
          </w:tcPr>
          <w:p>
            <w:pPr>
              <w:spacing w:line="60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1" w:type="dxa"/>
          </w:tcPr>
          <w:p>
            <w:pPr>
              <w:spacing w:line="600" w:lineRule="auto"/>
              <w:jc w:val="center"/>
              <w:rPr>
                <w:rFonts w:ascii="宋体" w:hAnsi="宋体" w:cs="宋体"/>
                <w:b/>
                <w:sz w:val="24"/>
              </w:rPr>
            </w:pPr>
            <w:r>
              <w:rPr>
                <w:rFonts w:hint="eastAsia" w:ascii="宋体" w:hAnsi="宋体" w:cs="宋体"/>
                <w:bCs/>
                <w:sz w:val="24"/>
              </w:rPr>
              <w:t>1</w:t>
            </w:r>
          </w:p>
        </w:tc>
        <w:tc>
          <w:tcPr>
            <w:tcW w:w="4305" w:type="dxa"/>
          </w:tcPr>
          <w:p>
            <w:pPr>
              <w:spacing w:before="156" w:beforeLines="50" w:line="360" w:lineRule="auto"/>
              <w:jc w:val="center"/>
              <w:rPr>
                <w:rFonts w:ascii="宋体" w:hAnsi="宋体" w:cs="宋体"/>
                <w:b/>
                <w:sz w:val="24"/>
              </w:rPr>
            </w:pPr>
            <w:r>
              <w:rPr>
                <w:rFonts w:hint="eastAsia" w:ascii="宋体" w:hAnsi="宋体" w:cs="宋体"/>
                <w:color w:val="000000"/>
                <w:sz w:val="24"/>
                <w:szCs w:val="24"/>
              </w:rPr>
              <w:t>东阳江流域江北片区排口溯源及水环境整治提升方案服务采购项目</w:t>
            </w:r>
          </w:p>
        </w:tc>
        <w:tc>
          <w:tcPr>
            <w:tcW w:w="2223" w:type="dxa"/>
          </w:tcPr>
          <w:p>
            <w:pPr>
              <w:spacing w:line="600" w:lineRule="auto"/>
              <w:jc w:val="center"/>
              <w:rPr>
                <w:rFonts w:ascii="宋体" w:hAnsi="宋体" w:cs="宋体"/>
                <w:b/>
                <w:sz w:val="24"/>
              </w:rPr>
            </w:pPr>
          </w:p>
        </w:tc>
        <w:tc>
          <w:tcPr>
            <w:tcW w:w="1179" w:type="dxa"/>
          </w:tcPr>
          <w:p>
            <w:pPr>
              <w:spacing w:line="60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spacing w:line="600" w:lineRule="auto"/>
              <w:jc w:val="center"/>
              <w:rPr>
                <w:rFonts w:ascii="宋体" w:hAnsi="宋体" w:cs="宋体"/>
                <w:sz w:val="24"/>
              </w:rPr>
            </w:pPr>
          </w:p>
        </w:tc>
        <w:tc>
          <w:tcPr>
            <w:tcW w:w="7707" w:type="dxa"/>
            <w:gridSpan w:val="3"/>
            <w:vAlign w:val="center"/>
          </w:tcPr>
          <w:p>
            <w:pPr>
              <w:spacing w:line="600" w:lineRule="auto"/>
              <w:rPr>
                <w:rFonts w:ascii="宋体" w:hAnsi="宋体" w:cs="宋体"/>
                <w:sz w:val="24"/>
              </w:rPr>
            </w:pPr>
            <w:r>
              <w:rPr>
                <w:rFonts w:hint="eastAsia" w:ascii="宋体" w:hAnsi="宋体" w:cs="宋体"/>
                <w:sz w:val="24"/>
              </w:rPr>
              <w:t>人民币报价（大写）：             小写：</w:t>
            </w:r>
          </w:p>
        </w:tc>
      </w:tr>
    </w:tbl>
    <w:p>
      <w:pPr>
        <w:spacing w:line="360" w:lineRule="auto"/>
        <w:ind w:firstLine="480" w:firstLineChars="200"/>
        <w:jc w:val="left"/>
        <w:rPr>
          <w:rFonts w:ascii="宋体" w:hAnsi="宋体" w:cs="宋体"/>
          <w:sz w:val="24"/>
        </w:rPr>
      </w:pPr>
      <w:r>
        <w:rPr>
          <w:rFonts w:hint="eastAsia" w:ascii="宋体" w:hAnsi="宋体" w:cs="宋体"/>
          <w:sz w:val="24"/>
        </w:rPr>
        <w:t>注:</w:t>
      </w:r>
    </w:p>
    <w:p>
      <w:pPr>
        <w:spacing w:line="360" w:lineRule="auto"/>
        <w:ind w:firstLine="480" w:firstLineChars="200"/>
        <w:jc w:val="left"/>
        <w:rPr>
          <w:rFonts w:ascii="宋体" w:hAnsi="宋体" w:cs="宋体"/>
          <w:sz w:val="24"/>
        </w:rPr>
      </w:pPr>
      <w:r>
        <w:rPr>
          <w:rFonts w:hint="eastAsia" w:ascii="宋体" w:hAnsi="宋体" w:cs="宋体"/>
          <w:sz w:val="24"/>
        </w:rPr>
        <w:t>1、报价一经涂改，应在涂改处加盖单位公章或者由法定代表人或授权委托人签字或盖章，否则其投标作无效标处理。</w:t>
      </w:r>
    </w:p>
    <w:p>
      <w:pPr>
        <w:spacing w:line="360" w:lineRule="auto"/>
        <w:ind w:firstLine="480" w:firstLineChars="200"/>
        <w:jc w:val="left"/>
      </w:pPr>
      <w:r>
        <w:rPr>
          <w:rFonts w:hint="eastAsia" w:ascii="宋体" w:hAnsi="宋体" w:cs="宋体"/>
          <w:sz w:val="24"/>
        </w:rPr>
        <w:t>2、</w:t>
      </w:r>
      <w:r>
        <w:rPr>
          <w:rFonts w:hint="eastAsia" w:ascii="宋体" w:hAnsi="宋体" w:cs="宋体"/>
          <w:bCs/>
          <w:sz w:val="24"/>
        </w:rPr>
        <w:t>投标人所报的</w:t>
      </w:r>
      <w:r>
        <w:rPr>
          <w:rFonts w:hint="eastAsia" w:ascii="宋体" w:hAnsi="宋体"/>
          <w:sz w:val="24"/>
        </w:rPr>
        <w:t>报价</w:t>
      </w:r>
      <w:r>
        <w:rPr>
          <w:rFonts w:hint="eastAsia" w:ascii="宋体" w:hAnsi="宋体" w:cs="宋体"/>
          <w:sz w:val="24"/>
          <w:szCs w:val="24"/>
        </w:rPr>
        <w:t>包括</w:t>
      </w:r>
      <w:r>
        <w:rPr>
          <w:rFonts w:hint="eastAsia" w:ascii="宋体" w:hAnsi="宋体" w:cs="宋体"/>
          <w:color w:val="000000"/>
          <w:sz w:val="24"/>
          <w:szCs w:val="24"/>
          <w:lang w:val="zh-CN"/>
        </w:rPr>
        <w:t>人员费用、材料消耗费、</w:t>
      </w:r>
      <w:r>
        <w:rPr>
          <w:rFonts w:hint="eastAsia" w:ascii="宋体" w:hAnsi="宋体" w:cs="宋体"/>
          <w:sz w:val="24"/>
          <w:szCs w:val="24"/>
        </w:rPr>
        <w:t>方案评审、</w:t>
      </w:r>
      <w:r>
        <w:rPr>
          <w:rFonts w:hint="eastAsia" w:ascii="宋体" w:hAnsi="宋体" w:cs="宋体"/>
          <w:color w:val="000000"/>
          <w:sz w:val="24"/>
          <w:szCs w:val="24"/>
          <w:lang w:val="zh-CN"/>
        </w:rPr>
        <w:t>管理费、调研费、考察费、</w:t>
      </w:r>
      <w:r>
        <w:rPr>
          <w:rFonts w:hint="eastAsia" w:ascii="宋体" w:hAnsi="宋体" w:cs="宋体"/>
          <w:sz w:val="24"/>
          <w:szCs w:val="24"/>
        </w:rPr>
        <w:t>车旅费、食宿</w:t>
      </w:r>
      <w:r>
        <w:rPr>
          <w:rFonts w:hint="eastAsia" w:ascii="宋体" w:hAnsi="宋体" w:cs="宋体"/>
          <w:color w:val="000000"/>
          <w:sz w:val="24"/>
          <w:szCs w:val="24"/>
          <w:lang w:val="zh-CN"/>
        </w:rPr>
        <w:t>、综合验收、</w:t>
      </w:r>
      <w:r>
        <w:rPr>
          <w:rFonts w:hint="eastAsia" w:ascii="宋体" w:hAnsi="宋体" w:cs="宋体"/>
          <w:sz w:val="24"/>
          <w:szCs w:val="24"/>
        </w:rPr>
        <w:t>售后服务、保险、税收等所有费用，以及政策性文件规定和合同包含的所有风险、责任应承担的费用，合同实施过程中应预见和不可预见费用等</w:t>
      </w:r>
      <w:r>
        <w:rPr>
          <w:rFonts w:hint="eastAsia" w:ascii="宋体" w:hAnsi="宋体" w:cs="宋体"/>
          <w:color w:val="0D0D0D"/>
          <w:sz w:val="24"/>
          <w:szCs w:val="24"/>
        </w:rPr>
        <w:t>。</w:t>
      </w:r>
      <w:r>
        <w:rPr>
          <w:rFonts w:hint="eastAsia" w:ascii="宋体" w:hAnsi="宋体" w:cs="宋体"/>
          <w:sz w:val="24"/>
          <w:szCs w:val="24"/>
        </w:rPr>
        <w:t>投标报价为投标方所能承受的整个项目最终一次性报价，如有漏项，视同已包含在其它项目中，合同总价不做调整。</w:t>
      </w:r>
    </w:p>
    <w:p>
      <w:pPr>
        <w:spacing w:line="360" w:lineRule="auto"/>
        <w:ind w:firstLine="480" w:firstLineChars="200"/>
        <w:rPr>
          <w:rFonts w:ascii="宋体" w:hAnsi="宋体"/>
          <w:sz w:val="24"/>
        </w:rPr>
      </w:pPr>
      <w:r>
        <w:rPr>
          <w:rFonts w:hint="eastAsia" w:ascii="宋体" w:hAnsi="宋体"/>
          <w:sz w:val="24"/>
        </w:rPr>
        <w:t>3、此表格式不得改变。</w:t>
      </w:r>
    </w:p>
    <w:p>
      <w:pPr>
        <w:pStyle w:val="15"/>
        <w:rPr>
          <w:rFonts w:ascii="宋体" w:hAnsi="宋体"/>
          <w:sz w:val="24"/>
        </w:rPr>
      </w:pPr>
      <w:bookmarkStart w:id="6" w:name="_GoBack"/>
      <w:bookmarkEnd w:id="6"/>
    </w:p>
    <w:p>
      <w:pPr>
        <w:rPr>
          <w:rFonts w:ascii="宋体" w:hAnsi="宋体"/>
          <w:sz w:val="24"/>
        </w:rPr>
      </w:pPr>
    </w:p>
    <w:p>
      <w:pPr>
        <w:pStyle w:val="15"/>
      </w:pPr>
    </w:p>
    <w:p>
      <w:pPr>
        <w:snapToGrid w:val="0"/>
        <w:ind w:left="-3" w:leftChars="-72" w:right="-816" w:rightChars="-389" w:hanging="148" w:hangingChars="62"/>
        <w:rPr>
          <w:rFonts w:ascii="宋体"/>
          <w:sz w:val="24"/>
        </w:rPr>
      </w:pPr>
    </w:p>
    <w:p>
      <w:pPr>
        <w:snapToGrid w:val="0"/>
        <w:ind w:left="88" w:leftChars="42" w:right="-816" w:rightChars="-389" w:firstLine="328" w:firstLineChars="137"/>
        <w:rPr>
          <w:rFonts w:ascii="宋体"/>
          <w:sz w:val="24"/>
        </w:rPr>
      </w:pPr>
      <w:r>
        <w:rPr>
          <w:rFonts w:hint="eastAsia" w:ascii="宋体"/>
          <w:sz w:val="24"/>
        </w:rPr>
        <w:t>法定代表人或委托代理人（签字或盖章）：</w:t>
      </w:r>
    </w:p>
    <w:p>
      <w:pPr>
        <w:snapToGrid w:val="0"/>
        <w:ind w:right="-816" w:rightChars="-389"/>
        <w:rPr>
          <w:rFonts w:ascii="宋体"/>
          <w:sz w:val="24"/>
          <w:szCs w:val="20"/>
        </w:rPr>
      </w:pPr>
      <w:r>
        <w:rPr>
          <w:rFonts w:hint="eastAsia" w:ascii="宋体"/>
          <w:sz w:val="24"/>
          <w:szCs w:val="20"/>
        </w:rPr>
        <w:t xml:space="preserve">  </w:t>
      </w:r>
    </w:p>
    <w:p>
      <w:pPr>
        <w:snapToGrid w:val="0"/>
        <w:ind w:left="88" w:leftChars="42" w:right="-816" w:rightChars="-389" w:firstLine="328" w:firstLineChars="137"/>
        <w:rPr>
          <w:rFonts w:ascii="宋体"/>
          <w:sz w:val="24"/>
        </w:rPr>
      </w:pPr>
      <w:r>
        <w:rPr>
          <w:rFonts w:hint="eastAsia" w:ascii="宋体"/>
          <w:sz w:val="24"/>
        </w:rPr>
        <w:t xml:space="preserve">投标人名称（盖章）：                                          </w:t>
      </w:r>
    </w:p>
    <w:p>
      <w:pPr>
        <w:snapToGrid w:val="0"/>
        <w:spacing w:line="360" w:lineRule="auto"/>
        <w:ind w:left="-2" w:leftChars="-1" w:right="-816" w:rightChars="-389" w:firstLine="5880" w:firstLineChars="2450"/>
        <w:rPr>
          <w:rFonts w:ascii="宋体"/>
          <w:sz w:val="24"/>
        </w:rPr>
      </w:pPr>
    </w:p>
    <w:p>
      <w:pPr>
        <w:snapToGrid w:val="0"/>
        <w:spacing w:line="360" w:lineRule="auto"/>
        <w:ind w:left="-2" w:leftChars="-1" w:right="-816" w:rightChars="-389" w:firstLine="5880" w:firstLineChars="2450"/>
      </w:pPr>
      <w:r>
        <w:rPr>
          <w:rFonts w:hint="eastAsia" w:ascii="宋体"/>
          <w:sz w:val="24"/>
        </w:rPr>
        <w:t>日期：    年   月   日</w:t>
      </w:r>
    </w:p>
    <w:p>
      <w:pPr>
        <w:snapToGrid w:val="0"/>
        <w:spacing w:before="50" w:after="50" w:line="360" w:lineRule="auto"/>
        <w:ind w:right="-816" w:rightChars="-389"/>
        <w:rPr>
          <w:rFonts w:ascii="宋体" w:hAnsi="宋体"/>
          <w:b/>
          <w:color w:val="0D0D0D"/>
          <w:sz w:val="24"/>
        </w:rPr>
      </w:pPr>
    </w:p>
    <w:sectPr>
      <w:pgSz w:w="11906" w:h="16838"/>
      <w:pgMar w:top="1440" w:right="1423" w:bottom="1440" w:left="1423" w:header="283"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MingLiU">
    <w:panose1 w:val="02020509000000000000"/>
    <w:charset w:val="88"/>
    <w:family w:val="modern"/>
    <w:pitch w:val="default"/>
    <w:sig w:usb0="A00002FF" w:usb1="28CFFCFA" w:usb2="00000016" w:usb3="00000000" w:csb0="00100001" w:csb1="00000000"/>
  </w:font>
  <w:font w:name="创艺简标宋">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1"/>
                            <w:rPr>
                              <w:rFonts w:eastAsia="宋体"/>
                            </w:rPr>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tVqs0BAACo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4TVnTlh68cv3b5cfvy4/v7Jl&#10;0qcPWFHZQ6DCONz5gWrnOFIw0R5asOlLhBjlSd3zVV01RCbTpfVqvS4pJSk3O4RfPF4PgPGt8pYl&#10;o+ZAz5dVFaf3GMfSuSR1c/5eG5Of0Li/AoQ5RlTegel2YjJOnKw47IeJ3t43Z2LX0x7U3NHac2be&#10;OZI5rcxswGzsZ+MYQB86GnSZp8Rwe4w0Up40dRhhiWFy6AEz12nZ0ob86eeqxx9s+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UtVqs0BAACoAwAADgAAAAAAAAABACAAAAAeAQAAZHJzL2Uy&#10;b0RvYy54bWxQSwUGAAAAAAYABgBZAQAAXQUAAAAA&#10;">
              <v:fill on="f" focussize="0,0"/>
              <v:stroke on="f"/>
              <v:imagedata o:title=""/>
              <o:lock v:ext="edit" aspectratio="f"/>
              <v:textbox inset="0mm,0mm,0mm,0mm" style="mso-fit-shape-to-text:t;">
                <w:txbxContent>
                  <w:p>
                    <w:pPr>
                      <w:pStyle w:val="31"/>
                      <w:rPr>
                        <w:rFonts w:eastAsia="宋体"/>
                      </w:rPr>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1"/>
                            <w:rPr>
                              <w:rFonts w:eastAsia="宋体"/>
                            </w:rPr>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s3QM0BAACo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S1uQkWJZQZf/Pzzx/nXn/Pv76RK&#10;+vQeaix79FgYhw9uwNo5DhhMtAcZTPoiIYJ5VPd0UVcMkfB0aVWtViWmOOZmB/GLp+s+QPwonCHJ&#10;aGjA58uqsuM9xLF0LkndrLtTWucn1PafAGKOEZF3YLqdmIwTJysOu2Git3PtCdn1uAcNtbj2lOhP&#10;FmVOKzMbYTZ2s3HwQe07HHSZpwR/e4g4Up40dRhhkWFy8AEz12nZ0oY893PV0w+2+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us3QM0BAACoAwAADgAAAAAAAAABACAAAAAeAQAAZHJzL2Uy&#10;b0RvYy54bWxQSwUGAAAAAAYABgBZAQAAXQUAAAAA&#10;">
              <v:fill on="f" focussize="0,0"/>
              <v:stroke on="f"/>
              <v:imagedata o:title=""/>
              <o:lock v:ext="edit" aspectratio="f"/>
              <v:textbox inset="0mm,0mm,0mm,0mm" style="mso-fit-shape-to-text:t;">
                <w:txbxContent>
                  <w:p>
                    <w:pPr>
                      <w:pStyle w:val="31"/>
                      <w:rPr>
                        <w:rFonts w:eastAsia="宋体"/>
                      </w:rPr>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1"/>
                            <w:rPr>
                              <w:rFonts w:eastAsia="宋体"/>
                            </w:rPr>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WAHNs0BAACoAwAADgAAAGRycy9lMm9Eb2MueG1srVPNjtMwEL4j8Q6W&#10;7zRpQ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gTXnHmhKUXv3z/dvnx6/LzK3uZ&#10;9OkDVlR2F6gwDm/9QLVzHCmYaA8t2PQlQozypO75qq4aIpPp0nq1XpeUkpSbHcIvHq4HwPhOecuS&#10;UXOg58uqitMHjGPpXJK6OX+rjclPaNxfAcIcIyrvwHQ7MRknTlYc9sNEb++bM7HraQ9q7mjtOTPv&#10;HcmcVmY2YDb2s3EMoA8dDbrMU2J4c4w0Up40dRhhiWFy6AEz12nZ0ob86eeqhx9s+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WAHNs0BAACoAwAADgAAAAAAAAABACAAAAAeAQAAZHJzL2Uy&#10;b0RvYy54bWxQSwUGAAAAAAYABgBZAQAAXQUAAAAA&#10;">
              <v:fill on="f" focussize="0,0"/>
              <v:stroke on="f"/>
              <v:imagedata o:title=""/>
              <o:lock v:ext="edit" aspectratio="f"/>
              <v:textbox inset="0mm,0mm,0mm,0mm" style="mso-fit-shape-to-text:t;">
                <w:txbxContent>
                  <w:p>
                    <w:pPr>
                      <w:pStyle w:val="31"/>
                      <w:rPr>
                        <w:rFonts w:eastAsia="宋体"/>
                      </w:rPr>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1"/>
                            <w:rPr>
                              <w:rFonts w:eastAsia="宋体"/>
                            </w:rPr>
                          </w:pPr>
                          <w:r>
                            <w:fldChar w:fldCharType="begin"/>
                          </w:r>
                          <w:r>
                            <w:instrText xml:space="preserve"> PAGE  \* MERGEFORMAT </w:instrText>
                          </w:r>
                          <w:r>
                            <w:fldChar w:fldCharType="separate"/>
                          </w:r>
                          <w:r>
                            <w:t>- 11 -</w:t>
                          </w:r>
                          <w:r>
                            <w:fldChar w:fldCharType="end"/>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pNLwvOAQAAqQMAAA4AAAAAAAAAAQAgAAAAHgEAAGRycy9l&#10;Mm9Eb2MueG1sUEsFBgAAAAAGAAYAWQEAAF4FAAAAAA==&#10;">
              <v:fill on="f" focussize="0,0"/>
              <v:stroke on="f"/>
              <v:imagedata o:title=""/>
              <o:lock v:ext="edit" aspectratio="f"/>
              <v:textbox inset="0mm,0mm,0mm,0mm" style="mso-fit-shape-to-text:t;">
                <w:txbxContent>
                  <w:p>
                    <w:pPr>
                      <w:pStyle w:val="31"/>
                      <w:rPr>
                        <w:rFonts w:eastAsia="宋体"/>
                      </w:rPr>
                    </w:pPr>
                    <w:r>
                      <w:fldChar w:fldCharType="begin"/>
                    </w:r>
                    <w:r>
                      <w:instrText xml:space="preserve"> PAGE  \* MERGEFORMAT </w:instrText>
                    </w:r>
                    <w:r>
                      <w:fldChar w:fldCharType="separate"/>
                    </w:r>
                    <w:r>
                      <w:t>- 11 -</w:t>
                    </w:r>
                    <w:r>
                      <w:fldChar w:fldCharType="end"/>
                    </w:r>
                  </w:p>
                </w:txbxContent>
              </v:textbox>
            </v:shape>
          </w:pict>
        </mc:Fallback>
      </mc:AlternateContent>
    </w:r>
  </w:p>
  <w:p>
    <w:pPr>
      <w:pStyle w:val="31"/>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B4D696"/>
    <w:multiLevelType w:val="singleLevel"/>
    <w:tmpl w:val="2EB4D696"/>
    <w:lvl w:ilvl="0" w:tentative="0">
      <w:start w:val="1"/>
      <w:numFmt w:val="decimal"/>
      <w:suff w:val="nothing"/>
      <w:lvlText w:val="（%1）"/>
      <w:lvlJc w:val="left"/>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64"/>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4C465D05"/>
    <w:multiLevelType w:val="multilevel"/>
    <w:tmpl w:val="4C465D05"/>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63060DB"/>
    <w:multiLevelType w:val="multilevel"/>
    <w:tmpl w:val="763060DB"/>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1"/>
  </w:num>
  <w:num w:numId="2">
    <w:abstractNumId w:val="3"/>
    <w:lvlOverride w:ilvl="0">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NotTrackMoves/>
  <w:trackRevisions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NGNlZTVlZjNlNzdiMThjOWI1ZTQ4YzY4NGIzZjEifQ=="/>
  </w:docVars>
  <w:rsids>
    <w:rsidRoot w:val="007706A5"/>
    <w:rsid w:val="000000D1"/>
    <w:rsid w:val="000002A2"/>
    <w:rsid w:val="00000340"/>
    <w:rsid w:val="000006C3"/>
    <w:rsid w:val="00000DCA"/>
    <w:rsid w:val="000018F0"/>
    <w:rsid w:val="0000191A"/>
    <w:rsid w:val="00001AEE"/>
    <w:rsid w:val="00001C58"/>
    <w:rsid w:val="00001E53"/>
    <w:rsid w:val="000020C7"/>
    <w:rsid w:val="0000210D"/>
    <w:rsid w:val="0000211C"/>
    <w:rsid w:val="00002191"/>
    <w:rsid w:val="000022B1"/>
    <w:rsid w:val="000025F1"/>
    <w:rsid w:val="0000277E"/>
    <w:rsid w:val="00002B8F"/>
    <w:rsid w:val="00002BBE"/>
    <w:rsid w:val="00003094"/>
    <w:rsid w:val="000034C3"/>
    <w:rsid w:val="000045BE"/>
    <w:rsid w:val="00004B38"/>
    <w:rsid w:val="00004CC2"/>
    <w:rsid w:val="00004E09"/>
    <w:rsid w:val="00004FF1"/>
    <w:rsid w:val="000056BA"/>
    <w:rsid w:val="000059AB"/>
    <w:rsid w:val="000059C9"/>
    <w:rsid w:val="000060A9"/>
    <w:rsid w:val="00006A51"/>
    <w:rsid w:val="00006AE1"/>
    <w:rsid w:val="00007170"/>
    <w:rsid w:val="000071E6"/>
    <w:rsid w:val="00007291"/>
    <w:rsid w:val="00007A56"/>
    <w:rsid w:val="00010555"/>
    <w:rsid w:val="00010E41"/>
    <w:rsid w:val="00011286"/>
    <w:rsid w:val="000115EC"/>
    <w:rsid w:val="0001172B"/>
    <w:rsid w:val="0001266B"/>
    <w:rsid w:val="00012B66"/>
    <w:rsid w:val="00013496"/>
    <w:rsid w:val="00013AA1"/>
    <w:rsid w:val="00013AB2"/>
    <w:rsid w:val="00013D8D"/>
    <w:rsid w:val="00013E3C"/>
    <w:rsid w:val="00013EC1"/>
    <w:rsid w:val="000147F2"/>
    <w:rsid w:val="0001611A"/>
    <w:rsid w:val="00016430"/>
    <w:rsid w:val="0001652B"/>
    <w:rsid w:val="00016FC5"/>
    <w:rsid w:val="00017153"/>
    <w:rsid w:val="000172BC"/>
    <w:rsid w:val="00017B58"/>
    <w:rsid w:val="00020546"/>
    <w:rsid w:val="00020694"/>
    <w:rsid w:val="000207CB"/>
    <w:rsid w:val="000209DD"/>
    <w:rsid w:val="000209DF"/>
    <w:rsid w:val="00020C08"/>
    <w:rsid w:val="00020FDC"/>
    <w:rsid w:val="00021008"/>
    <w:rsid w:val="000214FC"/>
    <w:rsid w:val="0002173B"/>
    <w:rsid w:val="00021D0C"/>
    <w:rsid w:val="00021DF8"/>
    <w:rsid w:val="0002231B"/>
    <w:rsid w:val="00022470"/>
    <w:rsid w:val="00022478"/>
    <w:rsid w:val="0002272E"/>
    <w:rsid w:val="00022E02"/>
    <w:rsid w:val="00023147"/>
    <w:rsid w:val="00023774"/>
    <w:rsid w:val="000239A1"/>
    <w:rsid w:val="00023DC7"/>
    <w:rsid w:val="00023DF1"/>
    <w:rsid w:val="00023E04"/>
    <w:rsid w:val="00024FA5"/>
    <w:rsid w:val="0002611F"/>
    <w:rsid w:val="0002628D"/>
    <w:rsid w:val="00026F23"/>
    <w:rsid w:val="00027140"/>
    <w:rsid w:val="00027623"/>
    <w:rsid w:val="000277B1"/>
    <w:rsid w:val="00027E31"/>
    <w:rsid w:val="00030010"/>
    <w:rsid w:val="00030029"/>
    <w:rsid w:val="00030527"/>
    <w:rsid w:val="00031018"/>
    <w:rsid w:val="00031987"/>
    <w:rsid w:val="00031997"/>
    <w:rsid w:val="000319DA"/>
    <w:rsid w:val="00031C2E"/>
    <w:rsid w:val="00032B05"/>
    <w:rsid w:val="00032B28"/>
    <w:rsid w:val="00033B46"/>
    <w:rsid w:val="00033CA6"/>
    <w:rsid w:val="00034021"/>
    <w:rsid w:val="000348B2"/>
    <w:rsid w:val="00034EA7"/>
    <w:rsid w:val="00035005"/>
    <w:rsid w:val="000352EC"/>
    <w:rsid w:val="0003568B"/>
    <w:rsid w:val="0003613C"/>
    <w:rsid w:val="00036568"/>
    <w:rsid w:val="000366E3"/>
    <w:rsid w:val="000377F6"/>
    <w:rsid w:val="0003788B"/>
    <w:rsid w:val="000379B8"/>
    <w:rsid w:val="00040139"/>
    <w:rsid w:val="000401F4"/>
    <w:rsid w:val="00040A37"/>
    <w:rsid w:val="00041488"/>
    <w:rsid w:val="00041B03"/>
    <w:rsid w:val="00041BFA"/>
    <w:rsid w:val="00042172"/>
    <w:rsid w:val="000422F1"/>
    <w:rsid w:val="00042506"/>
    <w:rsid w:val="0004252B"/>
    <w:rsid w:val="00042671"/>
    <w:rsid w:val="000428D7"/>
    <w:rsid w:val="00042FD0"/>
    <w:rsid w:val="00044A91"/>
    <w:rsid w:val="00044BF9"/>
    <w:rsid w:val="00044F2F"/>
    <w:rsid w:val="00045AFA"/>
    <w:rsid w:val="00046007"/>
    <w:rsid w:val="00046DFA"/>
    <w:rsid w:val="000470B3"/>
    <w:rsid w:val="000471B0"/>
    <w:rsid w:val="00047702"/>
    <w:rsid w:val="0005032D"/>
    <w:rsid w:val="00050722"/>
    <w:rsid w:val="0005082A"/>
    <w:rsid w:val="000512D9"/>
    <w:rsid w:val="00051646"/>
    <w:rsid w:val="00051BCC"/>
    <w:rsid w:val="0005217D"/>
    <w:rsid w:val="00052223"/>
    <w:rsid w:val="000522D9"/>
    <w:rsid w:val="00052444"/>
    <w:rsid w:val="000529BF"/>
    <w:rsid w:val="000537E7"/>
    <w:rsid w:val="00053CBC"/>
    <w:rsid w:val="00054070"/>
    <w:rsid w:val="0005431E"/>
    <w:rsid w:val="00054EC2"/>
    <w:rsid w:val="00054F75"/>
    <w:rsid w:val="0005501E"/>
    <w:rsid w:val="0005526B"/>
    <w:rsid w:val="000556E1"/>
    <w:rsid w:val="00055770"/>
    <w:rsid w:val="00055D0A"/>
    <w:rsid w:val="0005678F"/>
    <w:rsid w:val="00056DB9"/>
    <w:rsid w:val="00056E9A"/>
    <w:rsid w:val="00056F29"/>
    <w:rsid w:val="00056FA5"/>
    <w:rsid w:val="000579F2"/>
    <w:rsid w:val="00057BDA"/>
    <w:rsid w:val="00057C66"/>
    <w:rsid w:val="00060357"/>
    <w:rsid w:val="0006094A"/>
    <w:rsid w:val="00060A26"/>
    <w:rsid w:val="0006137D"/>
    <w:rsid w:val="000614D3"/>
    <w:rsid w:val="00061705"/>
    <w:rsid w:val="00061DDD"/>
    <w:rsid w:val="000621A8"/>
    <w:rsid w:val="00063B88"/>
    <w:rsid w:val="00063DA9"/>
    <w:rsid w:val="00064897"/>
    <w:rsid w:val="00064B0B"/>
    <w:rsid w:val="0006534E"/>
    <w:rsid w:val="000656B7"/>
    <w:rsid w:val="00065932"/>
    <w:rsid w:val="00065ADF"/>
    <w:rsid w:val="00065BDA"/>
    <w:rsid w:val="000669FB"/>
    <w:rsid w:val="00067099"/>
    <w:rsid w:val="00067212"/>
    <w:rsid w:val="00067333"/>
    <w:rsid w:val="0006776B"/>
    <w:rsid w:val="00067F5F"/>
    <w:rsid w:val="00070199"/>
    <w:rsid w:val="00070801"/>
    <w:rsid w:val="0007096D"/>
    <w:rsid w:val="00071901"/>
    <w:rsid w:val="00071A99"/>
    <w:rsid w:val="00071F17"/>
    <w:rsid w:val="00072BA1"/>
    <w:rsid w:val="00072D2C"/>
    <w:rsid w:val="00072D2E"/>
    <w:rsid w:val="00073031"/>
    <w:rsid w:val="00074094"/>
    <w:rsid w:val="00074586"/>
    <w:rsid w:val="00074682"/>
    <w:rsid w:val="00074B32"/>
    <w:rsid w:val="00075DD1"/>
    <w:rsid w:val="00077966"/>
    <w:rsid w:val="00077DFF"/>
    <w:rsid w:val="00077E69"/>
    <w:rsid w:val="00080056"/>
    <w:rsid w:val="000800BF"/>
    <w:rsid w:val="000802AD"/>
    <w:rsid w:val="00081768"/>
    <w:rsid w:val="0008229D"/>
    <w:rsid w:val="000829AA"/>
    <w:rsid w:val="000829AE"/>
    <w:rsid w:val="00082D59"/>
    <w:rsid w:val="000834A4"/>
    <w:rsid w:val="0008365F"/>
    <w:rsid w:val="000838F4"/>
    <w:rsid w:val="00084863"/>
    <w:rsid w:val="000849AC"/>
    <w:rsid w:val="000849AF"/>
    <w:rsid w:val="00084EA2"/>
    <w:rsid w:val="000857BE"/>
    <w:rsid w:val="000860C3"/>
    <w:rsid w:val="00086303"/>
    <w:rsid w:val="00086BF9"/>
    <w:rsid w:val="00086DF1"/>
    <w:rsid w:val="00086FE5"/>
    <w:rsid w:val="0008719C"/>
    <w:rsid w:val="000871BC"/>
    <w:rsid w:val="00087D00"/>
    <w:rsid w:val="0009033F"/>
    <w:rsid w:val="00090353"/>
    <w:rsid w:val="00090906"/>
    <w:rsid w:val="00090939"/>
    <w:rsid w:val="00090EB3"/>
    <w:rsid w:val="00091CF0"/>
    <w:rsid w:val="000927D1"/>
    <w:rsid w:val="00092858"/>
    <w:rsid w:val="000929C0"/>
    <w:rsid w:val="00092CBE"/>
    <w:rsid w:val="00092DAD"/>
    <w:rsid w:val="00092E33"/>
    <w:rsid w:val="00093561"/>
    <w:rsid w:val="0009361E"/>
    <w:rsid w:val="0009467F"/>
    <w:rsid w:val="0009491B"/>
    <w:rsid w:val="00094BF1"/>
    <w:rsid w:val="00094E44"/>
    <w:rsid w:val="00094ED7"/>
    <w:rsid w:val="000956AB"/>
    <w:rsid w:val="000956CF"/>
    <w:rsid w:val="00095EEF"/>
    <w:rsid w:val="000963A0"/>
    <w:rsid w:val="00096A58"/>
    <w:rsid w:val="00097712"/>
    <w:rsid w:val="00097914"/>
    <w:rsid w:val="000979B7"/>
    <w:rsid w:val="000A01B3"/>
    <w:rsid w:val="000A062B"/>
    <w:rsid w:val="000A0F96"/>
    <w:rsid w:val="000A11CC"/>
    <w:rsid w:val="000A13D3"/>
    <w:rsid w:val="000A17F0"/>
    <w:rsid w:val="000A1EF5"/>
    <w:rsid w:val="000A2196"/>
    <w:rsid w:val="000A22C1"/>
    <w:rsid w:val="000A2595"/>
    <w:rsid w:val="000A282E"/>
    <w:rsid w:val="000A374D"/>
    <w:rsid w:val="000A3B2C"/>
    <w:rsid w:val="000A3D2D"/>
    <w:rsid w:val="000A458D"/>
    <w:rsid w:val="000A48F4"/>
    <w:rsid w:val="000A53E7"/>
    <w:rsid w:val="000A555B"/>
    <w:rsid w:val="000A5803"/>
    <w:rsid w:val="000A5D1A"/>
    <w:rsid w:val="000A5ED4"/>
    <w:rsid w:val="000A62F2"/>
    <w:rsid w:val="000A6B19"/>
    <w:rsid w:val="000A7109"/>
    <w:rsid w:val="000A71AC"/>
    <w:rsid w:val="000A7272"/>
    <w:rsid w:val="000A7D5B"/>
    <w:rsid w:val="000B0514"/>
    <w:rsid w:val="000B0692"/>
    <w:rsid w:val="000B0F89"/>
    <w:rsid w:val="000B1454"/>
    <w:rsid w:val="000B1AD5"/>
    <w:rsid w:val="000B289B"/>
    <w:rsid w:val="000B296D"/>
    <w:rsid w:val="000B298B"/>
    <w:rsid w:val="000B34F0"/>
    <w:rsid w:val="000B350F"/>
    <w:rsid w:val="000B3668"/>
    <w:rsid w:val="000B3E38"/>
    <w:rsid w:val="000B41DE"/>
    <w:rsid w:val="000B4283"/>
    <w:rsid w:val="000B45A1"/>
    <w:rsid w:val="000B5599"/>
    <w:rsid w:val="000B5D4A"/>
    <w:rsid w:val="000B6150"/>
    <w:rsid w:val="000B6D06"/>
    <w:rsid w:val="000B6F53"/>
    <w:rsid w:val="000B729C"/>
    <w:rsid w:val="000B7915"/>
    <w:rsid w:val="000C00F8"/>
    <w:rsid w:val="000C023C"/>
    <w:rsid w:val="000C03B9"/>
    <w:rsid w:val="000C058A"/>
    <w:rsid w:val="000C0651"/>
    <w:rsid w:val="000C0B43"/>
    <w:rsid w:val="000C116D"/>
    <w:rsid w:val="000C12AF"/>
    <w:rsid w:val="000C14AB"/>
    <w:rsid w:val="000C2151"/>
    <w:rsid w:val="000C264D"/>
    <w:rsid w:val="000C2DA5"/>
    <w:rsid w:val="000C2EA8"/>
    <w:rsid w:val="000C2F06"/>
    <w:rsid w:val="000C31AB"/>
    <w:rsid w:val="000C3624"/>
    <w:rsid w:val="000C36B9"/>
    <w:rsid w:val="000C3D07"/>
    <w:rsid w:val="000C3FFB"/>
    <w:rsid w:val="000C410C"/>
    <w:rsid w:val="000C4147"/>
    <w:rsid w:val="000C427E"/>
    <w:rsid w:val="000C49E2"/>
    <w:rsid w:val="000C5BA4"/>
    <w:rsid w:val="000C6028"/>
    <w:rsid w:val="000C61CB"/>
    <w:rsid w:val="000C66BE"/>
    <w:rsid w:val="000C7237"/>
    <w:rsid w:val="000C72E2"/>
    <w:rsid w:val="000C75B4"/>
    <w:rsid w:val="000C7B74"/>
    <w:rsid w:val="000D022F"/>
    <w:rsid w:val="000D054B"/>
    <w:rsid w:val="000D07D1"/>
    <w:rsid w:val="000D134D"/>
    <w:rsid w:val="000D13F5"/>
    <w:rsid w:val="000D18A3"/>
    <w:rsid w:val="000D2726"/>
    <w:rsid w:val="000D2790"/>
    <w:rsid w:val="000D2907"/>
    <w:rsid w:val="000D2BA9"/>
    <w:rsid w:val="000D311D"/>
    <w:rsid w:val="000D4867"/>
    <w:rsid w:val="000D4A39"/>
    <w:rsid w:val="000D50BC"/>
    <w:rsid w:val="000D5631"/>
    <w:rsid w:val="000D5C55"/>
    <w:rsid w:val="000D5D1D"/>
    <w:rsid w:val="000D6AE5"/>
    <w:rsid w:val="000D6EB9"/>
    <w:rsid w:val="000D6F4F"/>
    <w:rsid w:val="000D7988"/>
    <w:rsid w:val="000E080F"/>
    <w:rsid w:val="000E10BD"/>
    <w:rsid w:val="000E13A3"/>
    <w:rsid w:val="000E1919"/>
    <w:rsid w:val="000E1BB5"/>
    <w:rsid w:val="000E1CBB"/>
    <w:rsid w:val="000E2319"/>
    <w:rsid w:val="000E28F6"/>
    <w:rsid w:val="000E2A9C"/>
    <w:rsid w:val="000E2F07"/>
    <w:rsid w:val="000E32FB"/>
    <w:rsid w:val="000E3467"/>
    <w:rsid w:val="000E38A6"/>
    <w:rsid w:val="000E3A69"/>
    <w:rsid w:val="000E3E1F"/>
    <w:rsid w:val="000E3EBB"/>
    <w:rsid w:val="000E3EF9"/>
    <w:rsid w:val="000E4640"/>
    <w:rsid w:val="000E5664"/>
    <w:rsid w:val="000E5F83"/>
    <w:rsid w:val="000E5FB0"/>
    <w:rsid w:val="000E6C65"/>
    <w:rsid w:val="000E7413"/>
    <w:rsid w:val="000E76F5"/>
    <w:rsid w:val="000E7AEE"/>
    <w:rsid w:val="000E7F9B"/>
    <w:rsid w:val="000F0BBD"/>
    <w:rsid w:val="000F0E24"/>
    <w:rsid w:val="000F1085"/>
    <w:rsid w:val="000F1C74"/>
    <w:rsid w:val="000F1D40"/>
    <w:rsid w:val="000F1D96"/>
    <w:rsid w:val="000F1F3B"/>
    <w:rsid w:val="000F2830"/>
    <w:rsid w:val="000F2CFE"/>
    <w:rsid w:val="000F337D"/>
    <w:rsid w:val="000F4916"/>
    <w:rsid w:val="000F526E"/>
    <w:rsid w:val="000F53DF"/>
    <w:rsid w:val="000F5571"/>
    <w:rsid w:val="000F5E48"/>
    <w:rsid w:val="000F65B7"/>
    <w:rsid w:val="000F65F9"/>
    <w:rsid w:val="000F661C"/>
    <w:rsid w:val="000F7306"/>
    <w:rsid w:val="000F73D1"/>
    <w:rsid w:val="000F7A54"/>
    <w:rsid w:val="000F7CBC"/>
    <w:rsid w:val="000F7E29"/>
    <w:rsid w:val="00101A17"/>
    <w:rsid w:val="00101ADC"/>
    <w:rsid w:val="00101DD0"/>
    <w:rsid w:val="00101E0D"/>
    <w:rsid w:val="00102505"/>
    <w:rsid w:val="001025AB"/>
    <w:rsid w:val="001028D9"/>
    <w:rsid w:val="0010336D"/>
    <w:rsid w:val="001034FE"/>
    <w:rsid w:val="00103B4E"/>
    <w:rsid w:val="00103EFE"/>
    <w:rsid w:val="001042F9"/>
    <w:rsid w:val="00104D94"/>
    <w:rsid w:val="00105129"/>
    <w:rsid w:val="00105267"/>
    <w:rsid w:val="0010605E"/>
    <w:rsid w:val="00106316"/>
    <w:rsid w:val="00106C62"/>
    <w:rsid w:val="00110C02"/>
    <w:rsid w:val="00110DDE"/>
    <w:rsid w:val="00111522"/>
    <w:rsid w:val="00111632"/>
    <w:rsid w:val="00111663"/>
    <w:rsid w:val="0011179A"/>
    <w:rsid w:val="001122F7"/>
    <w:rsid w:val="00112331"/>
    <w:rsid w:val="00112610"/>
    <w:rsid w:val="00112A92"/>
    <w:rsid w:val="00113256"/>
    <w:rsid w:val="00113257"/>
    <w:rsid w:val="001133A4"/>
    <w:rsid w:val="00113454"/>
    <w:rsid w:val="00113DAD"/>
    <w:rsid w:val="00114218"/>
    <w:rsid w:val="00114324"/>
    <w:rsid w:val="00114EE8"/>
    <w:rsid w:val="001153D2"/>
    <w:rsid w:val="00115675"/>
    <w:rsid w:val="00115684"/>
    <w:rsid w:val="001157F1"/>
    <w:rsid w:val="00115A2C"/>
    <w:rsid w:val="001165E5"/>
    <w:rsid w:val="00116A16"/>
    <w:rsid w:val="00117415"/>
    <w:rsid w:val="001174B5"/>
    <w:rsid w:val="00117A1E"/>
    <w:rsid w:val="0012006F"/>
    <w:rsid w:val="0012113F"/>
    <w:rsid w:val="001213E2"/>
    <w:rsid w:val="001227BD"/>
    <w:rsid w:val="00122889"/>
    <w:rsid w:val="00122934"/>
    <w:rsid w:val="0012341D"/>
    <w:rsid w:val="00123770"/>
    <w:rsid w:val="00123FE5"/>
    <w:rsid w:val="00124652"/>
    <w:rsid w:val="001249BA"/>
    <w:rsid w:val="00124E0A"/>
    <w:rsid w:val="001252B5"/>
    <w:rsid w:val="00125932"/>
    <w:rsid w:val="00125D29"/>
    <w:rsid w:val="00126231"/>
    <w:rsid w:val="00126DE1"/>
    <w:rsid w:val="00127230"/>
    <w:rsid w:val="00127449"/>
    <w:rsid w:val="00127B05"/>
    <w:rsid w:val="00127DC2"/>
    <w:rsid w:val="00130534"/>
    <w:rsid w:val="00130ED0"/>
    <w:rsid w:val="001310CD"/>
    <w:rsid w:val="00131901"/>
    <w:rsid w:val="00131A38"/>
    <w:rsid w:val="00131BCA"/>
    <w:rsid w:val="00132695"/>
    <w:rsid w:val="001327F8"/>
    <w:rsid w:val="001333CA"/>
    <w:rsid w:val="001335B7"/>
    <w:rsid w:val="00133652"/>
    <w:rsid w:val="00133C59"/>
    <w:rsid w:val="001346C0"/>
    <w:rsid w:val="001347AF"/>
    <w:rsid w:val="001349D3"/>
    <w:rsid w:val="00134F5D"/>
    <w:rsid w:val="00134F8A"/>
    <w:rsid w:val="001356E9"/>
    <w:rsid w:val="00135A0B"/>
    <w:rsid w:val="00135C76"/>
    <w:rsid w:val="00135CC8"/>
    <w:rsid w:val="00135F78"/>
    <w:rsid w:val="00135FC4"/>
    <w:rsid w:val="00136873"/>
    <w:rsid w:val="00136BC7"/>
    <w:rsid w:val="00137279"/>
    <w:rsid w:val="00137581"/>
    <w:rsid w:val="0013769A"/>
    <w:rsid w:val="0013788C"/>
    <w:rsid w:val="00137CD2"/>
    <w:rsid w:val="001405B3"/>
    <w:rsid w:val="001409FE"/>
    <w:rsid w:val="00140F8E"/>
    <w:rsid w:val="0014154B"/>
    <w:rsid w:val="001415D3"/>
    <w:rsid w:val="001418EA"/>
    <w:rsid w:val="00141D98"/>
    <w:rsid w:val="00142477"/>
    <w:rsid w:val="001426FA"/>
    <w:rsid w:val="00142D5D"/>
    <w:rsid w:val="001436A3"/>
    <w:rsid w:val="001436B8"/>
    <w:rsid w:val="00143B64"/>
    <w:rsid w:val="00143C11"/>
    <w:rsid w:val="00143FC3"/>
    <w:rsid w:val="001444C0"/>
    <w:rsid w:val="001447BE"/>
    <w:rsid w:val="00144E73"/>
    <w:rsid w:val="00145171"/>
    <w:rsid w:val="001457E6"/>
    <w:rsid w:val="00145937"/>
    <w:rsid w:val="00146370"/>
    <w:rsid w:val="0014659B"/>
    <w:rsid w:val="00146E75"/>
    <w:rsid w:val="0014772C"/>
    <w:rsid w:val="00147BAD"/>
    <w:rsid w:val="00147BB4"/>
    <w:rsid w:val="00147C3C"/>
    <w:rsid w:val="00150086"/>
    <w:rsid w:val="001500F8"/>
    <w:rsid w:val="00150124"/>
    <w:rsid w:val="0015031F"/>
    <w:rsid w:val="00150728"/>
    <w:rsid w:val="00150835"/>
    <w:rsid w:val="00150EBE"/>
    <w:rsid w:val="00150F33"/>
    <w:rsid w:val="00151564"/>
    <w:rsid w:val="0015185A"/>
    <w:rsid w:val="00151B14"/>
    <w:rsid w:val="0015246F"/>
    <w:rsid w:val="00152D50"/>
    <w:rsid w:val="00152EAB"/>
    <w:rsid w:val="001534AF"/>
    <w:rsid w:val="001536C6"/>
    <w:rsid w:val="00153CF2"/>
    <w:rsid w:val="001548A6"/>
    <w:rsid w:val="00154A9B"/>
    <w:rsid w:val="00155062"/>
    <w:rsid w:val="00155067"/>
    <w:rsid w:val="001556C6"/>
    <w:rsid w:val="001558D7"/>
    <w:rsid w:val="00155A78"/>
    <w:rsid w:val="00155DA2"/>
    <w:rsid w:val="00155E9F"/>
    <w:rsid w:val="00156279"/>
    <w:rsid w:val="00160615"/>
    <w:rsid w:val="001607BB"/>
    <w:rsid w:val="001608F6"/>
    <w:rsid w:val="00160A35"/>
    <w:rsid w:val="00160C7C"/>
    <w:rsid w:val="00161F43"/>
    <w:rsid w:val="00162187"/>
    <w:rsid w:val="001625A1"/>
    <w:rsid w:val="001626E2"/>
    <w:rsid w:val="00162977"/>
    <w:rsid w:val="00162BC7"/>
    <w:rsid w:val="00162CC6"/>
    <w:rsid w:val="00162D09"/>
    <w:rsid w:val="00163D4C"/>
    <w:rsid w:val="00164022"/>
    <w:rsid w:val="00165379"/>
    <w:rsid w:val="001657D8"/>
    <w:rsid w:val="00166065"/>
    <w:rsid w:val="00166616"/>
    <w:rsid w:val="00166623"/>
    <w:rsid w:val="00166A27"/>
    <w:rsid w:val="00166ECA"/>
    <w:rsid w:val="00166F0D"/>
    <w:rsid w:val="00167159"/>
    <w:rsid w:val="001676C8"/>
    <w:rsid w:val="00167780"/>
    <w:rsid w:val="0017036E"/>
    <w:rsid w:val="00170712"/>
    <w:rsid w:val="00170926"/>
    <w:rsid w:val="0017115A"/>
    <w:rsid w:val="001719FF"/>
    <w:rsid w:val="00171A9B"/>
    <w:rsid w:val="00171D95"/>
    <w:rsid w:val="00172A1E"/>
    <w:rsid w:val="00172EA3"/>
    <w:rsid w:val="001732D9"/>
    <w:rsid w:val="00173C45"/>
    <w:rsid w:val="00173CC1"/>
    <w:rsid w:val="00173F6A"/>
    <w:rsid w:val="00174832"/>
    <w:rsid w:val="00174B2D"/>
    <w:rsid w:val="00174BB3"/>
    <w:rsid w:val="00174DC9"/>
    <w:rsid w:val="001752F1"/>
    <w:rsid w:val="001759DE"/>
    <w:rsid w:val="001761FE"/>
    <w:rsid w:val="0017679C"/>
    <w:rsid w:val="00176916"/>
    <w:rsid w:val="00176970"/>
    <w:rsid w:val="00177E06"/>
    <w:rsid w:val="0018010F"/>
    <w:rsid w:val="00180226"/>
    <w:rsid w:val="001804BC"/>
    <w:rsid w:val="001806FF"/>
    <w:rsid w:val="00181066"/>
    <w:rsid w:val="0018158B"/>
    <w:rsid w:val="00181A3D"/>
    <w:rsid w:val="00181B0B"/>
    <w:rsid w:val="00181F16"/>
    <w:rsid w:val="00182760"/>
    <w:rsid w:val="00182B9B"/>
    <w:rsid w:val="00183074"/>
    <w:rsid w:val="0018498C"/>
    <w:rsid w:val="00184D4D"/>
    <w:rsid w:val="001857AE"/>
    <w:rsid w:val="0018581A"/>
    <w:rsid w:val="00186170"/>
    <w:rsid w:val="001864FB"/>
    <w:rsid w:val="00186CB8"/>
    <w:rsid w:val="001871E5"/>
    <w:rsid w:val="00187E5D"/>
    <w:rsid w:val="001904E6"/>
    <w:rsid w:val="001906B2"/>
    <w:rsid w:val="00190B0C"/>
    <w:rsid w:val="00190C05"/>
    <w:rsid w:val="00190CD0"/>
    <w:rsid w:val="0019156B"/>
    <w:rsid w:val="0019161B"/>
    <w:rsid w:val="00191832"/>
    <w:rsid w:val="001918A0"/>
    <w:rsid w:val="00191946"/>
    <w:rsid w:val="00191B21"/>
    <w:rsid w:val="00191EA2"/>
    <w:rsid w:val="001920FF"/>
    <w:rsid w:val="001945BC"/>
    <w:rsid w:val="00194ADD"/>
    <w:rsid w:val="001959C8"/>
    <w:rsid w:val="00195DFA"/>
    <w:rsid w:val="00196246"/>
    <w:rsid w:val="001966F5"/>
    <w:rsid w:val="00196C84"/>
    <w:rsid w:val="00196E85"/>
    <w:rsid w:val="00196EC4"/>
    <w:rsid w:val="00197367"/>
    <w:rsid w:val="00197565"/>
    <w:rsid w:val="001A07B0"/>
    <w:rsid w:val="001A0E37"/>
    <w:rsid w:val="001A11F8"/>
    <w:rsid w:val="001A135D"/>
    <w:rsid w:val="001A1C07"/>
    <w:rsid w:val="001A1DCF"/>
    <w:rsid w:val="001A2321"/>
    <w:rsid w:val="001A2943"/>
    <w:rsid w:val="001A29FC"/>
    <w:rsid w:val="001A2AF5"/>
    <w:rsid w:val="001A36A1"/>
    <w:rsid w:val="001A39FB"/>
    <w:rsid w:val="001A3FB5"/>
    <w:rsid w:val="001A4080"/>
    <w:rsid w:val="001A4245"/>
    <w:rsid w:val="001A508B"/>
    <w:rsid w:val="001A5359"/>
    <w:rsid w:val="001A550B"/>
    <w:rsid w:val="001A55EC"/>
    <w:rsid w:val="001A57B6"/>
    <w:rsid w:val="001A5D7E"/>
    <w:rsid w:val="001A6889"/>
    <w:rsid w:val="001A6A12"/>
    <w:rsid w:val="001A71F0"/>
    <w:rsid w:val="001A7444"/>
    <w:rsid w:val="001A76C0"/>
    <w:rsid w:val="001B00A4"/>
    <w:rsid w:val="001B06B2"/>
    <w:rsid w:val="001B083D"/>
    <w:rsid w:val="001B09AF"/>
    <w:rsid w:val="001B0F6D"/>
    <w:rsid w:val="001B13E1"/>
    <w:rsid w:val="001B1E00"/>
    <w:rsid w:val="001B20FE"/>
    <w:rsid w:val="001B22E5"/>
    <w:rsid w:val="001B2AE0"/>
    <w:rsid w:val="001B2D6D"/>
    <w:rsid w:val="001B398E"/>
    <w:rsid w:val="001B3C7D"/>
    <w:rsid w:val="001B3F56"/>
    <w:rsid w:val="001B403C"/>
    <w:rsid w:val="001B4171"/>
    <w:rsid w:val="001B462E"/>
    <w:rsid w:val="001B4735"/>
    <w:rsid w:val="001B4A93"/>
    <w:rsid w:val="001B4D6F"/>
    <w:rsid w:val="001B510D"/>
    <w:rsid w:val="001B51BA"/>
    <w:rsid w:val="001B5F3E"/>
    <w:rsid w:val="001B64B4"/>
    <w:rsid w:val="001B6980"/>
    <w:rsid w:val="001B6D8D"/>
    <w:rsid w:val="001B6F81"/>
    <w:rsid w:val="001B72F5"/>
    <w:rsid w:val="001B75B0"/>
    <w:rsid w:val="001B779A"/>
    <w:rsid w:val="001B7871"/>
    <w:rsid w:val="001B7A03"/>
    <w:rsid w:val="001B7A14"/>
    <w:rsid w:val="001B7BB7"/>
    <w:rsid w:val="001B7CD2"/>
    <w:rsid w:val="001B7EE7"/>
    <w:rsid w:val="001C03C4"/>
    <w:rsid w:val="001C040C"/>
    <w:rsid w:val="001C0600"/>
    <w:rsid w:val="001C0CDB"/>
    <w:rsid w:val="001C0EAD"/>
    <w:rsid w:val="001C22D4"/>
    <w:rsid w:val="001C3D05"/>
    <w:rsid w:val="001C3E4D"/>
    <w:rsid w:val="001C3F0A"/>
    <w:rsid w:val="001C407F"/>
    <w:rsid w:val="001C41C4"/>
    <w:rsid w:val="001C41E9"/>
    <w:rsid w:val="001C4C22"/>
    <w:rsid w:val="001C4CB8"/>
    <w:rsid w:val="001C5125"/>
    <w:rsid w:val="001C51E2"/>
    <w:rsid w:val="001C5E29"/>
    <w:rsid w:val="001C6F52"/>
    <w:rsid w:val="001C7ED7"/>
    <w:rsid w:val="001D01C9"/>
    <w:rsid w:val="001D0484"/>
    <w:rsid w:val="001D0544"/>
    <w:rsid w:val="001D06C4"/>
    <w:rsid w:val="001D0E45"/>
    <w:rsid w:val="001D0ED7"/>
    <w:rsid w:val="001D127A"/>
    <w:rsid w:val="001D1825"/>
    <w:rsid w:val="001D19C9"/>
    <w:rsid w:val="001D3C05"/>
    <w:rsid w:val="001D3D73"/>
    <w:rsid w:val="001D3E71"/>
    <w:rsid w:val="001D4224"/>
    <w:rsid w:val="001D4372"/>
    <w:rsid w:val="001D4619"/>
    <w:rsid w:val="001D4715"/>
    <w:rsid w:val="001D490A"/>
    <w:rsid w:val="001D4A52"/>
    <w:rsid w:val="001D4EBD"/>
    <w:rsid w:val="001D592E"/>
    <w:rsid w:val="001D5954"/>
    <w:rsid w:val="001D5D7F"/>
    <w:rsid w:val="001D5D89"/>
    <w:rsid w:val="001D5FE2"/>
    <w:rsid w:val="001D60CA"/>
    <w:rsid w:val="001D7238"/>
    <w:rsid w:val="001D740F"/>
    <w:rsid w:val="001D7885"/>
    <w:rsid w:val="001E013B"/>
    <w:rsid w:val="001E0149"/>
    <w:rsid w:val="001E020D"/>
    <w:rsid w:val="001E0614"/>
    <w:rsid w:val="001E0849"/>
    <w:rsid w:val="001E08DE"/>
    <w:rsid w:val="001E0B32"/>
    <w:rsid w:val="001E0F23"/>
    <w:rsid w:val="001E0F6D"/>
    <w:rsid w:val="001E1089"/>
    <w:rsid w:val="001E117F"/>
    <w:rsid w:val="001E1203"/>
    <w:rsid w:val="001E1616"/>
    <w:rsid w:val="001E17BC"/>
    <w:rsid w:val="001E2C26"/>
    <w:rsid w:val="001E2DF8"/>
    <w:rsid w:val="001E42D0"/>
    <w:rsid w:val="001E434A"/>
    <w:rsid w:val="001E4AE3"/>
    <w:rsid w:val="001E4BB1"/>
    <w:rsid w:val="001E4C09"/>
    <w:rsid w:val="001E4D9E"/>
    <w:rsid w:val="001E4EBD"/>
    <w:rsid w:val="001E5281"/>
    <w:rsid w:val="001E538F"/>
    <w:rsid w:val="001E5970"/>
    <w:rsid w:val="001E5EC2"/>
    <w:rsid w:val="001E602F"/>
    <w:rsid w:val="001E68B8"/>
    <w:rsid w:val="001E6B2D"/>
    <w:rsid w:val="001E6CC0"/>
    <w:rsid w:val="001E6E6B"/>
    <w:rsid w:val="001E7932"/>
    <w:rsid w:val="001F0E08"/>
    <w:rsid w:val="001F1303"/>
    <w:rsid w:val="001F1721"/>
    <w:rsid w:val="001F1AFC"/>
    <w:rsid w:val="001F1B90"/>
    <w:rsid w:val="001F2D97"/>
    <w:rsid w:val="001F2EDF"/>
    <w:rsid w:val="001F2FF8"/>
    <w:rsid w:val="001F374E"/>
    <w:rsid w:val="001F3A4D"/>
    <w:rsid w:val="001F3DDE"/>
    <w:rsid w:val="001F3DEB"/>
    <w:rsid w:val="001F4A9F"/>
    <w:rsid w:val="001F4C7C"/>
    <w:rsid w:val="001F4F5B"/>
    <w:rsid w:val="001F5035"/>
    <w:rsid w:val="001F555E"/>
    <w:rsid w:val="001F556B"/>
    <w:rsid w:val="001F5D1A"/>
    <w:rsid w:val="001F60FA"/>
    <w:rsid w:val="001F6D5B"/>
    <w:rsid w:val="001F7290"/>
    <w:rsid w:val="001F7BF7"/>
    <w:rsid w:val="002003E5"/>
    <w:rsid w:val="00200E2A"/>
    <w:rsid w:val="0020167C"/>
    <w:rsid w:val="002017A7"/>
    <w:rsid w:val="00201D7C"/>
    <w:rsid w:val="00201DFD"/>
    <w:rsid w:val="00202DF9"/>
    <w:rsid w:val="002034AC"/>
    <w:rsid w:val="00203D02"/>
    <w:rsid w:val="002040C6"/>
    <w:rsid w:val="002043DC"/>
    <w:rsid w:val="00204C4A"/>
    <w:rsid w:val="00205741"/>
    <w:rsid w:val="002057A6"/>
    <w:rsid w:val="00205840"/>
    <w:rsid w:val="0020584C"/>
    <w:rsid w:val="0020597D"/>
    <w:rsid w:val="002062A2"/>
    <w:rsid w:val="00206BC5"/>
    <w:rsid w:val="00207476"/>
    <w:rsid w:val="002076B9"/>
    <w:rsid w:val="00207753"/>
    <w:rsid w:val="00207ADE"/>
    <w:rsid w:val="002103A6"/>
    <w:rsid w:val="00210F5A"/>
    <w:rsid w:val="002110DF"/>
    <w:rsid w:val="00211242"/>
    <w:rsid w:val="002114DA"/>
    <w:rsid w:val="0021183D"/>
    <w:rsid w:val="002126D7"/>
    <w:rsid w:val="002127D7"/>
    <w:rsid w:val="002131A0"/>
    <w:rsid w:val="0021337F"/>
    <w:rsid w:val="00213697"/>
    <w:rsid w:val="0021402D"/>
    <w:rsid w:val="002146E8"/>
    <w:rsid w:val="002151DA"/>
    <w:rsid w:val="002155B3"/>
    <w:rsid w:val="00215A10"/>
    <w:rsid w:val="0021630C"/>
    <w:rsid w:val="002163F2"/>
    <w:rsid w:val="00216D65"/>
    <w:rsid w:val="00217380"/>
    <w:rsid w:val="00217933"/>
    <w:rsid w:val="00217B16"/>
    <w:rsid w:val="00217E03"/>
    <w:rsid w:val="00220732"/>
    <w:rsid w:val="00221237"/>
    <w:rsid w:val="00221F48"/>
    <w:rsid w:val="0022223C"/>
    <w:rsid w:val="00222835"/>
    <w:rsid w:val="002228C3"/>
    <w:rsid w:val="0022296F"/>
    <w:rsid w:val="002230A4"/>
    <w:rsid w:val="00223A96"/>
    <w:rsid w:val="00223D04"/>
    <w:rsid w:val="00223DA3"/>
    <w:rsid w:val="00224745"/>
    <w:rsid w:val="002247D3"/>
    <w:rsid w:val="00224DD2"/>
    <w:rsid w:val="00225519"/>
    <w:rsid w:val="00225690"/>
    <w:rsid w:val="00225BFC"/>
    <w:rsid w:val="002261DD"/>
    <w:rsid w:val="002264DA"/>
    <w:rsid w:val="002264E1"/>
    <w:rsid w:val="00226B24"/>
    <w:rsid w:val="00226CB7"/>
    <w:rsid w:val="00227930"/>
    <w:rsid w:val="00227B55"/>
    <w:rsid w:val="00227D64"/>
    <w:rsid w:val="00230C10"/>
    <w:rsid w:val="00230D8E"/>
    <w:rsid w:val="00231AF1"/>
    <w:rsid w:val="00232036"/>
    <w:rsid w:val="00232100"/>
    <w:rsid w:val="0023221E"/>
    <w:rsid w:val="002322D4"/>
    <w:rsid w:val="0023251E"/>
    <w:rsid w:val="00232A90"/>
    <w:rsid w:val="00232ADD"/>
    <w:rsid w:val="002332D6"/>
    <w:rsid w:val="00233D10"/>
    <w:rsid w:val="00234571"/>
    <w:rsid w:val="002347B5"/>
    <w:rsid w:val="00234E97"/>
    <w:rsid w:val="00235DEE"/>
    <w:rsid w:val="00235F78"/>
    <w:rsid w:val="00235F7A"/>
    <w:rsid w:val="0023647C"/>
    <w:rsid w:val="00236605"/>
    <w:rsid w:val="002367B1"/>
    <w:rsid w:val="002369BE"/>
    <w:rsid w:val="00237951"/>
    <w:rsid w:val="00237BA5"/>
    <w:rsid w:val="00237BEC"/>
    <w:rsid w:val="00237C53"/>
    <w:rsid w:val="00237C59"/>
    <w:rsid w:val="002403FB"/>
    <w:rsid w:val="00240DB2"/>
    <w:rsid w:val="00240ED2"/>
    <w:rsid w:val="00241000"/>
    <w:rsid w:val="002412FF"/>
    <w:rsid w:val="0024147A"/>
    <w:rsid w:val="002416AB"/>
    <w:rsid w:val="002418DE"/>
    <w:rsid w:val="00241A4C"/>
    <w:rsid w:val="00241C29"/>
    <w:rsid w:val="002420FD"/>
    <w:rsid w:val="00242343"/>
    <w:rsid w:val="002428A1"/>
    <w:rsid w:val="00242F3E"/>
    <w:rsid w:val="00243BD4"/>
    <w:rsid w:val="00244CB5"/>
    <w:rsid w:val="00244CBD"/>
    <w:rsid w:val="00245628"/>
    <w:rsid w:val="00245F1F"/>
    <w:rsid w:val="002476AD"/>
    <w:rsid w:val="0024780E"/>
    <w:rsid w:val="002511AF"/>
    <w:rsid w:val="0025123A"/>
    <w:rsid w:val="00251380"/>
    <w:rsid w:val="0025238E"/>
    <w:rsid w:val="002523B4"/>
    <w:rsid w:val="00252803"/>
    <w:rsid w:val="00252E90"/>
    <w:rsid w:val="00253A93"/>
    <w:rsid w:val="00253ABE"/>
    <w:rsid w:val="00253B9B"/>
    <w:rsid w:val="0025403E"/>
    <w:rsid w:val="002547FD"/>
    <w:rsid w:val="00254A78"/>
    <w:rsid w:val="00254AA3"/>
    <w:rsid w:val="00254F95"/>
    <w:rsid w:val="002552CD"/>
    <w:rsid w:val="0025582B"/>
    <w:rsid w:val="00255A1E"/>
    <w:rsid w:val="00255D59"/>
    <w:rsid w:val="00255D7E"/>
    <w:rsid w:val="0025609D"/>
    <w:rsid w:val="002567D3"/>
    <w:rsid w:val="002570DF"/>
    <w:rsid w:val="00257B12"/>
    <w:rsid w:val="00257BD0"/>
    <w:rsid w:val="00260AFD"/>
    <w:rsid w:val="00261207"/>
    <w:rsid w:val="00261901"/>
    <w:rsid w:val="00261906"/>
    <w:rsid w:val="00261DF5"/>
    <w:rsid w:val="00262226"/>
    <w:rsid w:val="00262616"/>
    <w:rsid w:val="00262851"/>
    <w:rsid w:val="00262DAD"/>
    <w:rsid w:val="002639A4"/>
    <w:rsid w:val="00263FA1"/>
    <w:rsid w:val="0026426C"/>
    <w:rsid w:val="0026473A"/>
    <w:rsid w:val="002647E6"/>
    <w:rsid w:val="002649BE"/>
    <w:rsid w:val="002652B4"/>
    <w:rsid w:val="002655BA"/>
    <w:rsid w:val="00265804"/>
    <w:rsid w:val="00265C3E"/>
    <w:rsid w:val="00265DDE"/>
    <w:rsid w:val="00265F82"/>
    <w:rsid w:val="002661BB"/>
    <w:rsid w:val="00266537"/>
    <w:rsid w:val="00266976"/>
    <w:rsid w:val="00266AE7"/>
    <w:rsid w:val="00266C32"/>
    <w:rsid w:val="00267A83"/>
    <w:rsid w:val="00267E42"/>
    <w:rsid w:val="002702BA"/>
    <w:rsid w:val="0027034C"/>
    <w:rsid w:val="00271B2A"/>
    <w:rsid w:val="00271F12"/>
    <w:rsid w:val="00272020"/>
    <w:rsid w:val="0027203C"/>
    <w:rsid w:val="002724E8"/>
    <w:rsid w:val="0027257B"/>
    <w:rsid w:val="00273214"/>
    <w:rsid w:val="00273BB6"/>
    <w:rsid w:val="00273C7B"/>
    <w:rsid w:val="00273CD3"/>
    <w:rsid w:val="00273CE4"/>
    <w:rsid w:val="00274453"/>
    <w:rsid w:val="00274DCF"/>
    <w:rsid w:val="00274E09"/>
    <w:rsid w:val="00274EC1"/>
    <w:rsid w:val="00274F5D"/>
    <w:rsid w:val="002752B3"/>
    <w:rsid w:val="00275548"/>
    <w:rsid w:val="0027573F"/>
    <w:rsid w:val="00275C20"/>
    <w:rsid w:val="00275D0C"/>
    <w:rsid w:val="00275EB3"/>
    <w:rsid w:val="00276824"/>
    <w:rsid w:val="00276F64"/>
    <w:rsid w:val="00276FAD"/>
    <w:rsid w:val="00277064"/>
    <w:rsid w:val="00277217"/>
    <w:rsid w:val="00277456"/>
    <w:rsid w:val="00277486"/>
    <w:rsid w:val="00277626"/>
    <w:rsid w:val="00277EDF"/>
    <w:rsid w:val="0028025E"/>
    <w:rsid w:val="00280FA6"/>
    <w:rsid w:val="00281185"/>
    <w:rsid w:val="00281B48"/>
    <w:rsid w:val="00282523"/>
    <w:rsid w:val="00282CC5"/>
    <w:rsid w:val="00282E84"/>
    <w:rsid w:val="00283137"/>
    <w:rsid w:val="002837FF"/>
    <w:rsid w:val="00283FCF"/>
    <w:rsid w:val="0028426E"/>
    <w:rsid w:val="002842C8"/>
    <w:rsid w:val="002842F8"/>
    <w:rsid w:val="00284860"/>
    <w:rsid w:val="002852C6"/>
    <w:rsid w:val="002853AE"/>
    <w:rsid w:val="0028557E"/>
    <w:rsid w:val="0028593A"/>
    <w:rsid w:val="002859F8"/>
    <w:rsid w:val="00285CEA"/>
    <w:rsid w:val="00285D04"/>
    <w:rsid w:val="00286A64"/>
    <w:rsid w:val="00286B97"/>
    <w:rsid w:val="00286E5E"/>
    <w:rsid w:val="00287999"/>
    <w:rsid w:val="00287EF6"/>
    <w:rsid w:val="00290124"/>
    <w:rsid w:val="0029022B"/>
    <w:rsid w:val="00290297"/>
    <w:rsid w:val="00290707"/>
    <w:rsid w:val="0029097E"/>
    <w:rsid w:val="00291220"/>
    <w:rsid w:val="00291500"/>
    <w:rsid w:val="00291654"/>
    <w:rsid w:val="00291B70"/>
    <w:rsid w:val="00291FCD"/>
    <w:rsid w:val="0029217D"/>
    <w:rsid w:val="0029233C"/>
    <w:rsid w:val="00292B4A"/>
    <w:rsid w:val="00293067"/>
    <w:rsid w:val="0029311D"/>
    <w:rsid w:val="0029318C"/>
    <w:rsid w:val="0029362A"/>
    <w:rsid w:val="00293D60"/>
    <w:rsid w:val="002947F1"/>
    <w:rsid w:val="00294972"/>
    <w:rsid w:val="00294D09"/>
    <w:rsid w:val="002960DF"/>
    <w:rsid w:val="002964E0"/>
    <w:rsid w:val="0029769C"/>
    <w:rsid w:val="002A04B5"/>
    <w:rsid w:val="002A0B6A"/>
    <w:rsid w:val="002A0DD0"/>
    <w:rsid w:val="002A1D18"/>
    <w:rsid w:val="002A1FD2"/>
    <w:rsid w:val="002A24F8"/>
    <w:rsid w:val="002A272A"/>
    <w:rsid w:val="002A2B21"/>
    <w:rsid w:val="002A2E25"/>
    <w:rsid w:val="002A34A5"/>
    <w:rsid w:val="002A3527"/>
    <w:rsid w:val="002A38E3"/>
    <w:rsid w:val="002A3BDC"/>
    <w:rsid w:val="002A4707"/>
    <w:rsid w:val="002A470A"/>
    <w:rsid w:val="002A4B99"/>
    <w:rsid w:val="002A54FE"/>
    <w:rsid w:val="002A55DB"/>
    <w:rsid w:val="002A56B7"/>
    <w:rsid w:val="002A58EF"/>
    <w:rsid w:val="002A5A44"/>
    <w:rsid w:val="002A5ED3"/>
    <w:rsid w:val="002A65E8"/>
    <w:rsid w:val="002A6BFE"/>
    <w:rsid w:val="002A6D49"/>
    <w:rsid w:val="002A6E8E"/>
    <w:rsid w:val="002A74D9"/>
    <w:rsid w:val="002A7683"/>
    <w:rsid w:val="002A7B81"/>
    <w:rsid w:val="002B0686"/>
    <w:rsid w:val="002B0D1A"/>
    <w:rsid w:val="002B1369"/>
    <w:rsid w:val="002B1414"/>
    <w:rsid w:val="002B1526"/>
    <w:rsid w:val="002B1686"/>
    <w:rsid w:val="002B19B8"/>
    <w:rsid w:val="002B1AFD"/>
    <w:rsid w:val="002B26D4"/>
    <w:rsid w:val="002B2BF7"/>
    <w:rsid w:val="002B307C"/>
    <w:rsid w:val="002B3167"/>
    <w:rsid w:val="002B36F6"/>
    <w:rsid w:val="002B4CFC"/>
    <w:rsid w:val="002B4F49"/>
    <w:rsid w:val="002B5AE7"/>
    <w:rsid w:val="002B5B02"/>
    <w:rsid w:val="002B5F80"/>
    <w:rsid w:val="002B6313"/>
    <w:rsid w:val="002B6DBD"/>
    <w:rsid w:val="002B6DE3"/>
    <w:rsid w:val="002B720E"/>
    <w:rsid w:val="002B7739"/>
    <w:rsid w:val="002C0720"/>
    <w:rsid w:val="002C1B43"/>
    <w:rsid w:val="002C2134"/>
    <w:rsid w:val="002C279F"/>
    <w:rsid w:val="002C2DDC"/>
    <w:rsid w:val="002C3478"/>
    <w:rsid w:val="002C39FA"/>
    <w:rsid w:val="002C3D9A"/>
    <w:rsid w:val="002C3E30"/>
    <w:rsid w:val="002C3F95"/>
    <w:rsid w:val="002C42DB"/>
    <w:rsid w:val="002C43D0"/>
    <w:rsid w:val="002C471D"/>
    <w:rsid w:val="002C47CC"/>
    <w:rsid w:val="002C49C6"/>
    <w:rsid w:val="002C4DCE"/>
    <w:rsid w:val="002C50BE"/>
    <w:rsid w:val="002C55B5"/>
    <w:rsid w:val="002C5A7A"/>
    <w:rsid w:val="002C60C7"/>
    <w:rsid w:val="002C6372"/>
    <w:rsid w:val="002C661C"/>
    <w:rsid w:val="002C68AC"/>
    <w:rsid w:val="002C6B12"/>
    <w:rsid w:val="002C77D7"/>
    <w:rsid w:val="002C7E1C"/>
    <w:rsid w:val="002D02A5"/>
    <w:rsid w:val="002D0DFA"/>
    <w:rsid w:val="002D1010"/>
    <w:rsid w:val="002D112B"/>
    <w:rsid w:val="002D1456"/>
    <w:rsid w:val="002D16A9"/>
    <w:rsid w:val="002D2003"/>
    <w:rsid w:val="002D2281"/>
    <w:rsid w:val="002D30E3"/>
    <w:rsid w:val="002D32D3"/>
    <w:rsid w:val="002D34B5"/>
    <w:rsid w:val="002D4334"/>
    <w:rsid w:val="002D4E73"/>
    <w:rsid w:val="002D53EB"/>
    <w:rsid w:val="002D55A1"/>
    <w:rsid w:val="002D5FF2"/>
    <w:rsid w:val="002D6442"/>
    <w:rsid w:val="002D6B7E"/>
    <w:rsid w:val="002D6CA7"/>
    <w:rsid w:val="002D6EC1"/>
    <w:rsid w:val="002D7363"/>
    <w:rsid w:val="002D7684"/>
    <w:rsid w:val="002D7B01"/>
    <w:rsid w:val="002D7B02"/>
    <w:rsid w:val="002D7DAE"/>
    <w:rsid w:val="002E02D3"/>
    <w:rsid w:val="002E071B"/>
    <w:rsid w:val="002E07A6"/>
    <w:rsid w:val="002E09F4"/>
    <w:rsid w:val="002E0A79"/>
    <w:rsid w:val="002E0EFC"/>
    <w:rsid w:val="002E11BA"/>
    <w:rsid w:val="002E19A5"/>
    <w:rsid w:val="002E1CA8"/>
    <w:rsid w:val="002E1FFE"/>
    <w:rsid w:val="002E2052"/>
    <w:rsid w:val="002E211B"/>
    <w:rsid w:val="002E274C"/>
    <w:rsid w:val="002E2A79"/>
    <w:rsid w:val="002E2B3E"/>
    <w:rsid w:val="002E2C05"/>
    <w:rsid w:val="002E35D6"/>
    <w:rsid w:val="002E393A"/>
    <w:rsid w:val="002E3A60"/>
    <w:rsid w:val="002E49F5"/>
    <w:rsid w:val="002E4B87"/>
    <w:rsid w:val="002E4C68"/>
    <w:rsid w:val="002E5239"/>
    <w:rsid w:val="002E56E6"/>
    <w:rsid w:val="002E58D1"/>
    <w:rsid w:val="002E5C86"/>
    <w:rsid w:val="002E606A"/>
    <w:rsid w:val="002E6663"/>
    <w:rsid w:val="002E6848"/>
    <w:rsid w:val="002E7241"/>
    <w:rsid w:val="002E7EC9"/>
    <w:rsid w:val="002F01F1"/>
    <w:rsid w:val="002F0678"/>
    <w:rsid w:val="002F0935"/>
    <w:rsid w:val="002F0C62"/>
    <w:rsid w:val="002F10D7"/>
    <w:rsid w:val="002F1CA5"/>
    <w:rsid w:val="002F1DFD"/>
    <w:rsid w:val="002F251C"/>
    <w:rsid w:val="002F27E3"/>
    <w:rsid w:val="002F2B0C"/>
    <w:rsid w:val="002F2D0D"/>
    <w:rsid w:val="002F3716"/>
    <w:rsid w:val="002F3E8F"/>
    <w:rsid w:val="002F46BC"/>
    <w:rsid w:val="002F487F"/>
    <w:rsid w:val="002F4906"/>
    <w:rsid w:val="002F4961"/>
    <w:rsid w:val="002F4A9A"/>
    <w:rsid w:val="002F4D1F"/>
    <w:rsid w:val="002F5135"/>
    <w:rsid w:val="002F5396"/>
    <w:rsid w:val="002F58D6"/>
    <w:rsid w:val="002F5B31"/>
    <w:rsid w:val="002F5B7F"/>
    <w:rsid w:val="002F6000"/>
    <w:rsid w:val="002F60FC"/>
    <w:rsid w:val="002F61DA"/>
    <w:rsid w:val="002F6BB2"/>
    <w:rsid w:val="002F6E74"/>
    <w:rsid w:val="002F722B"/>
    <w:rsid w:val="002F7418"/>
    <w:rsid w:val="00300230"/>
    <w:rsid w:val="003003A7"/>
    <w:rsid w:val="0030075B"/>
    <w:rsid w:val="00300B2D"/>
    <w:rsid w:val="00300C44"/>
    <w:rsid w:val="00300D1C"/>
    <w:rsid w:val="003014DD"/>
    <w:rsid w:val="0030179D"/>
    <w:rsid w:val="00301F8B"/>
    <w:rsid w:val="003022C1"/>
    <w:rsid w:val="00302A1D"/>
    <w:rsid w:val="00302DCB"/>
    <w:rsid w:val="00303846"/>
    <w:rsid w:val="003041CB"/>
    <w:rsid w:val="003041D6"/>
    <w:rsid w:val="0030493C"/>
    <w:rsid w:val="0030495C"/>
    <w:rsid w:val="00304C52"/>
    <w:rsid w:val="00304F98"/>
    <w:rsid w:val="003051A9"/>
    <w:rsid w:val="00305BE6"/>
    <w:rsid w:val="00305FD7"/>
    <w:rsid w:val="00306093"/>
    <w:rsid w:val="003069D6"/>
    <w:rsid w:val="00307C93"/>
    <w:rsid w:val="003103BA"/>
    <w:rsid w:val="00310449"/>
    <w:rsid w:val="003104B9"/>
    <w:rsid w:val="00310928"/>
    <w:rsid w:val="00311075"/>
    <w:rsid w:val="00311CB8"/>
    <w:rsid w:val="00311DCE"/>
    <w:rsid w:val="003122A2"/>
    <w:rsid w:val="00312345"/>
    <w:rsid w:val="003124AC"/>
    <w:rsid w:val="00312B56"/>
    <w:rsid w:val="003134DD"/>
    <w:rsid w:val="00314EA9"/>
    <w:rsid w:val="0031558C"/>
    <w:rsid w:val="00315755"/>
    <w:rsid w:val="00315D8E"/>
    <w:rsid w:val="00315DCF"/>
    <w:rsid w:val="003169C4"/>
    <w:rsid w:val="00316B20"/>
    <w:rsid w:val="00317248"/>
    <w:rsid w:val="003175FA"/>
    <w:rsid w:val="00317960"/>
    <w:rsid w:val="00320008"/>
    <w:rsid w:val="00320145"/>
    <w:rsid w:val="00320683"/>
    <w:rsid w:val="00320A09"/>
    <w:rsid w:val="00320B50"/>
    <w:rsid w:val="00320F34"/>
    <w:rsid w:val="0032108A"/>
    <w:rsid w:val="0032148C"/>
    <w:rsid w:val="003214E7"/>
    <w:rsid w:val="00321B99"/>
    <w:rsid w:val="00321FA5"/>
    <w:rsid w:val="003223F8"/>
    <w:rsid w:val="00322490"/>
    <w:rsid w:val="00322A9E"/>
    <w:rsid w:val="00322E6B"/>
    <w:rsid w:val="00323C65"/>
    <w:rsid w:val="0032471B"/>
    <w:rsid w:val="00324EA4"/>
    <w:rsid w:val="0032616A"/>
    <w:rsid w:val="003269FF"/>
    <w:rsid w:val="0032741D"/>
    <w:rsid w:val="0032779F"/>
    <w:rsid w:val="00327A1D"/>
    <w:rsid w:val="00327A74"/>
    <w:rsid w:val="00327AC0"/>
    <w:rsid w:val="0033026F"/>
    <w:rsid w:val="0033038E"/>
    <w:rsid w:val="00330A97"/>
    <w:rsid w:val="003314BC"/>
    <w:rsid w:val="00331CB7"/>
    <w:rsid w:val="00331E70"/>
    <w:rsid w:val="00332910"/>
    <w:rsid w:val="00332EE0"/>
    <w:rsid w:val="0033308D"/>
    <w:rsid w:val="003332F1"/>
    <w:rsid w:val="0033413E"/>
    <w:rsid w:val="00334218"/>
    <w:rsid w:val="003342BA"/>
    <w:rsid w:val="003348AC"/>
    <w:rsid w:val="003349BE"/>
    <w:rsid w:val="00334A34"/>
    <w:rsid w:val="00334C00"/>
    <w:rsid w:val="00334C49"/>
    <w:rsid w:val="00334CB4"/>
    <w:rsid w:val="00335007"/>
    <w:rsid w:val="0033518A"/>
    <w:rsid w:val="003356B7"/>
    <w:rsid w:val="0033588A"/>
    <w:rsid w:val="00336079"/>
    <w:rsid w:val="00336529"/>
    <w:rsid w:val="0033707D"/>
    <w:rsid w:val="00337AA3"/>
    <w:rsid w:val="0034084B"/>
    <w:rsid w:val="003411B2"/>
    <w:rsid w:val="00341394"/>
    <w:rsid w:val="003419DE"/>
    <w:rsid w:val="00341A9C"/>
    <w:rsid w:val="0034206D"/>
    <w:rsid w:val="00342824"/>
    <w:rsid w:val="00342D57"/>
    <w:rsid w:val="0034367C"/>
    <w:rsid w:val="00343702"/>
    <w:rsid w:val="00343A5F"/>
    <w:rsid w:val="00343B49"/>
    <w:rsid w:val="003445D1"/>
    <w:rsid w:val="0034465E"/>
    <w:rsid w:val="00344A66"/>
    <w:rsid w:val="00344E3F"/>
    <w:rsid w:val="00344F3B"/>
    <w:rsid w:val="003450F1"/>
    <w:rsid w:val="003451B2"/>
    <w:rsid w:val="00346068"/>
    <w:rsid w:val="00346589"/>
    <w:rsid w:val="00347898"/>
    <w:rsid w:val="00347D75"/>
    <w:rsid w:val="0035030A"/>
    <w:rsid w:val="00350351"/>
    <w:rsid w:val="003506F0"/>
    <w:rsid w:val="003507D5"/>
    <w:rsid w:val="00350BBC"/>
    <w:rsid w:val="00350C07"/>
    <w:rsid w:val="00351055"/>
    <w:rsid w:val="00351E01"/>
    <w:rsid w:val="00351FCE"/>
    <w:rsid w:val="003520F7"/>
    <w:rsid w:val="00352111"/>
    <w:rsid w:val="00352268"/>
    <w:rsid w:val="00352879"/>
    <w:rsid w:val="00352AAB"/>
    <w:rsid w:val="00352F92"/>
    <w:rsid w:val="003540CC"/>
    <w:rsid w:val="003547A8"/>
    <w:rsid w:val="00355277"/>
    <w:rsid w:val="003552BA"/>
    <w:rsid w:val="00355460"/>
    <w:rsid w:val="00356128"/>
    <w:rsid w:val="00356C7B"/>
    <w:rsid w:val="00356E0D"/>
    <w:rsid w:val="00356F4E"/>
    <w:rsid w:val="00357081"/>
    <w:rsid w:val="00357C89"/>
    <w:rsid w:val="0036054A"/>
    <w:rsid w:val="00360752"/>
    <w:rsid w:val="00360B4B"/>
    <w:rsid w:val="00360E12"/>
    <w:rsid w:val="00361448"/>
    <w:rsid w:val="00361480"/>
    <w:rsid w:val="00361CD6"/>
    <w:rsid w:val="0036261B"/>
    <w:rsid w:val="003626D0"/>
    <w:rsid w:val="00362916"/>
    <w:rsid w:val="00362A49"/>
    <w:rsid w:val="00362C35"/>
    <w:rsid w:val="00362C7D"/>
    <w:rsid w:val="00362EAA"/>
    <w:rsid w:val="003636B1"/>
    <w:rsid w:val="003638EA"/>
    <w:rsid w:val="003639DB"/>
    <w:rsid w:val="00363ECD"/>
    <w:rsid w:val="00364692"/>
    <w:rsid w:val="003652EE"/>
    <w:rsid w:val="00365487"/>
    <w:rsid w:val="00365799"/>
    <w:rsid w:val="00365B67"/>
    <w:rsid w:val="00366688"/>
    <w:rsid w:val="003666F7"/>
    <w:rsid w:val="003667D9"/>
    <w:rsid w:val="00366980"/>
    <w:rsid w:val="00367B1A"/>
    <w:rsid w:val="00367BCB"/>
    <w:rsid w:val="0037063F"/>
    <w:rsid w:val="00370648"/>
    <w:rsid w:val="003708A5"/>
    <w:rsid w:val="00370C6E"/>
    <w:rsid w:val="00371888"/>
    <w:rsid w:val="00371B70"/>
    <w:rsid w:val="00371D3E"/>
    <w:rsid w:val="003720BE"/>
    <w:rsid w:val="00372576"/>
    <w:rsid w:val="0037260C"/>
    <w:rsid w:val="003726D6"/>
    <w:rsid w:val="00372928"/>
    <w:rsid w:val="00372C90"/>
    <w:rsid w:val="003730A0"/>
    <w:rsid w:val="0037314E"/>
    <w:rsid w:val="00374165"/>
    <w:rsid w:val="00374632"/>
    <w:rsid w:val="003748DA"/>
    <w:rsid w:val="0037494D"/>
    <w:rsid w:val="00374EA8"/>
    <w:rsid w:val="00375B9E"/>
    <w:rsid w:val="00375C17"/>
    <w:rsid w:val="00375E6B"/>
    <w:rsid w:val="003767C7"/>
    <w:rsid w:val="00377052"/>
    <w:rsid w:val="003774D2"/>
    <w:rsid w:val="003776F0"/>
    <w:rsid w:val="003777B7"/>
    <w:rsid w:val="00377A75"/>
    <w:rsid w:val="00377BCF"/>
    <w:rsid w:val="00377CC6"/>
    <w:rsid w:val="00377D93"/>
    <w:rsid w:val="0038005A"/>
    <w:rsid w:val="00380081"/>
    <w:rsid w:val="00380AA8"/>
    <w:rsid w:val="003814C2"/>
    <w:rsid w:val="0038209D"/>
    <w:rsid w:val="003821DE"/>
    <w:rsid w:val="00382203"/>
    <w:rsid w:val="0038333E"/>
    <w:rsid w:val="00383720"/>
    <w:rsid w:val="00384121"/>
    <w:rsid w:val="00384D88"/>
    <w:rsid w:val="0038555C"/>
    <w:rsid w:val="003859D4"/>
    <w:rsid w:val="003862BB"/>
    <w:rsid w:val="00386365"/>
    <w:rsid w:val="00386684"/>
    <w:rsid w:val="00386910"/>
    <w:rsid w:val="00386A0F"/>
    <w:rsid w:val="0038702E"/>
    <w:rsid w:val="003872CF"/>
    <w:rsid w:val="00387347"/>
    <w:rsid w:val="0038759C"/>
    <w:rsid w:val="00390050"/>
    <w:rsid w:val="003902D2"/>
    <w:rsid w:val="00390703"/>
    <w:rsid w:val="003912D6"/>
    <w:rsid w:val="0039191C"/>
    <w:rsid w:val="00391AF7"/>
    <w:rsid w:val="00391D04"/>
    <w:rsid w:val="00391D60"/>
    <w:rsid w:val="00392244"/>
    <w:rsid w:val="00392F36"/>
    <w:rsid w:val="0039307E"/>
    <w:rsid w:val="00394AD2"/>
    <w:rsid w:val="0039551E"/>
    <w:rsid w:val="0039562B"/>
    <w:rsid w:val="00395B04"/>
    <w:rsid w:val="00395BD7"/>
    <w:rsid w:val="00395DF3"/>
    <w:rsid w:val="0039638F"/>
    <w:rsid w:val="00396F2B"/>
    <w:rsid w:val="00397786"/>
    <w:rsid w:val="00397A8F"/>
    <w:rsid w:val="003A0456"/>
    <w:rsid w:val="003A0689"/>
    <w:rsid w:val="003A184D"/>
    <w:rsid w:val="003A1E7E"/>
    <w:rsid w:val="003A24A1"/>
    <w:rsid w:val="003A3191"/>
    <w:rsid w:val="003A3318"/>
    <w:rsid w:val="003A3CAE"/>
    <w:rsid w:val="003A46C8"/>
    <w:rsid w:val="003A50BA"/>
    <w:rsid w:val="003A52A3"/>
    <w:rsid w:val="003A5345"/>
    <w:rsid w:val="003A5370"/>
    <w:rsid w:val="003A53E2"/>
    <w:rsid w:val="003A540E"/>
    <w:rsid w:val="003A5FE9"/>
    <w:rsid w:val="003A64B1"/>
    <w:rsid w:val="003A659D"/>
    <w:rsid w:val="003A66DC"/>
    <w:rsid w:val="003A6804"/>
    <w:rsid w:val="003A6FDA"/>
    <w:rsid w:val="003A720E"/>
    <w:rsid w:val="003A72A8"/>
    <w:rsid w:val="003A7461"/>
    <w:rsid w:val="003A75EC"/>
    <w:rsid w:val="003A774F"/>
    <w:rsid w:val="003B0854"/>
    <w:rsid w:val="003B09B8"/>
    <w:rsid w:val="003B0A35"/>
    <w:rsid w:val="003B0E82"/>
    <w:rsid w:val="003B12D2"/>
    <w:rsid w:val="003B12DB"/>
    <w:rsid w:val="003B1414"/>
    <w:rsid w:val="003B160B"/>
    <w:rsid w:val="003B175A"/>
    <w:rsid w:val="003B1875"/>
    <w:rsid w:val="003B249B"/>
    <w:rsid w:val="003B2AF8"/>
    <w:rsid w:val="003B2E6B"/>
    <w:rsid w:val="003B3FE8"/>
    <w:rsid w:val="003B411B"/>
    <w:rsid w:val="003B41F0"/>
    <w:rsid w:val="003B4380"/>
    <w:rsid w:val="003B43D8"/>
    <w:rsid w:val="003B45D1"/>
    <w:rsid w:val="003B4722"/>
    <w:rsid w:val="003B4BF8"/>
    <w:rsid w:val="003B4C49"/>
    <w:rsid w:val="003B4D6E"/>
    <w:rsid w:val="003B4FBD"/>
    <w:rsid w:val="003B58E0"/>
    <w:rsid w:val="003B659D"/>
    <w:rsid w:val="003B68D7"/>
    <w:rsid w:val="003B6BEC"/>
    <w:rsid w:val="003B6E58"/>
    <w:rsid w:val="003B6E7C"/>
    <w:rsid w:val="003B6ECD"/>
    <w:rsid w:val="003B7533"/>
    <w:rsid w:val="003B75E5"/>
    <w:rsid w:val="003B7976"/>
    <w:rsid w:val="003B797C"/>
    <w:rsid w:val="003B7F61"/>
    <w:rsid w:val="003C0942"/>
    <w:rsid w:val="003C12E0"/>
    <w:rsid w:val="003C16A6"/>
    <w:rsid w:val="003C16B5"/>
    <w:rsid w:val="003C1E78"/>
    <w:rsid w:val="003C1F38"/>
    <w:rsid w:val="003C284C"/>
    <w:rsid w:val="003C2A02"/>
    <w:rsid w:val="003C2C6A"/>
    <w:rsid w:val="003C32A8"/>
    <w:rsid w:val="003C3A8E"/>
    <w:rsid w:val="003C3B7F"/>
    <w:rsid w:val="003C3EDC"/>
    <w:rsid w:val="003C42AA"/>
    <w:rsid w:val="003C470C"/>
    <w:rsid w:val="003C484A"/>
    <w:rsid w:val="003C5242"/>
    <w:rsid w:val="003C60D6"/>
    <w:rsid w:val="003C63EB"/>
    <w:rsid w:val="003C6795"/>
    <w:rsid w:val="003C6E21"/>
    <w:rsid w:val="003C7219"/>
    <w:rsid w:val="003C72D8"/>
    <w:rsid w:val="003C7D6D"/>
    <w:rsid w:val="003D01B4"/>
    <w:rsid w:val="003D06F1"/>
    <w:rsid w:val="003D0735"/>
    <w:rsid w:val="003D0DDE"/>
    <w:rsid w:val="003D12B8"/>
    <w:rsid w:val="003D1498"/>
    <w:rsid w:val="003D15BC"/>
    <w:rsid w:val="003D1AFF"/>
    <w:rsid w:val="003D242C"/>
    <w:rsid w:val="003D2B64"/>
    <w:rsid w:val="003D32C1"/>
    <w:rsid w:val="003D3528"/>
    <w:rsid w:val="003D360A"/>
    <w:rsid w:val="003D3C00"/>
    <w:rsid w:val="003D41AD"/>
    <w:rsid w:val="003D4549"/>
    <w:rsid w:val="003D4A84"/>
    <w:rsid w:val="003D4B3A"/>
    <w:rsid w:val="003D4B6A"/>
    <w:rsid w:val="003D4EDF"/>
    <w:rsid w:val="003D515A"/>
    <w:rsid w:val="003D51A8"/>
    <w:rsid w:val="003D5506"/>
    <w:rsid w:val="003D5AA4"/>
    <w:rsid w:val="003D5B61"/>
    <w:rsid w:val="003D5EC0"/>
    <w:rsid w:val="003D619A"/>
    <w:rsid w:val="003D66D2"/>
    <w:rsid w:val="003D7606"/>
    <w:rsid w:val="003D793B"/>
    <w:rsid w:val="003E024B"/>
    <w:rsid w:val="003E0B5B"/>
    <w:rsid w:val="003E0C25"/>
    <w:rsid w:val="003E0C79"/>
    <w:rsid w:val="003E0ECD"/>
    <w:rsid w:val="003E0F2C"/>
    <w:rsid w:val="003E101A"/>
    <w:rsid w:val="003E18BA"/>
    <w:rsid w:val="003E260D"/>
    <w:rsid w:val="003E2782"/>
    <w:rsid w:val="003E2AC2"/>
    <w:rsid w:val="003E2EA7"/>
    <w:rsid w:val="003E3027"/>
    <w:rsid w:val="003E3D33"/>
    <w:rsid w:val="003E3DBC"/>
    <w:rsid w:val="003E50D7"/>
    <w:rsid w:val="003E5CD9"/>
    <w:rsid w:val="003E5E58"/>
    <w:rsid w:val="003E615B"/>
    <w:rsid w:val="003E659F"/>
    <w:rsid w:val="003E669D"/>
    <w:rsid w:val="003E6C30"/>
    <w:rsid w:val="003E7ABC"/>
    <w:rsid w:val="003E7B3F"/>
    <w:rsid w:val="003F0091"/>
    <w:rsid w:val="003F009D"/>
    <w:rsid w:val="003F02EE"/>
    <w:rsid w:val="003F0CE1"/>
    <w:rsid w:val="003F0E81"/>
    <w:rsid w:val="003F0EF0"/>
    <w:rsid w:val="003F1035"/>
    <w:rsid w:val="003F1359"/>
    <w:rsid w:val="003F1E39"/>
    <w:rsid w:val="003F2060"/>
    <w:rsid w:val="003F262C"/>
    <w:rsid w:val="003F277F"/>
    <w:rsid w:val="003F2783"/>
    <w:rsid w:val="003F2DC1"/>
    <w:rsid w:val="003F3169"/>
    <w:rsid w:val="003F321F"/>
    <w:rsid w:val="003F3505"/>
    <w:rsid w:val="003F3C54"/>
    <w:rsid w:val="003F4897"/>
    <w:rsid w:val="003F5483"/>
    <w:rsid w:val="003F569F"/>
    <w:rsid w:val="003F5801"/>
    <w:rsid w:val="003F5D48"/>
    <w:rsid w:val="003F5DAA"/>
    <w:rsid w:val="003F5E01"/>
    <w:rsid w:val="003F5F7B"/>
    <w:rsid w:val="003F6518"/>
    <w:rsid w:val="003F6636"/>
    <w:rsid w:val="003F6A4A"/>
    <w:rsid w:val="003F6F48"/>
    <w:rsid w:val="003F718E"/>
    <w:rsid w:val="003F73EA"/>
    <w:rsid w:val="003F7448"/>
    <w:rsid w:val="003F756C"/>
    <w:rsid w:val="003F77A4"/>
    <w:rsid w:val="003F794E"/>
    <w:rsid w:val="003F7CD0"/>
    <w:rsid w:val="003F7D1A"/>
    <w:rsid w:val="0040007C"/>
    <w:rsid w:val="004004A9"/>
    <w:rsid w:val="0040053F"/>
    <w:rsid w:val="0040058B"/>
    <w:rsid w:val="00400600"/>
    <w:rsid w:val="004007CD"/>
    <w:rsid w:val="00400E88"/>
    <w:rsid w:val="0040119A"/>
    <w:rsid w:val="004012E6"/>
    <w:rsid w:val="004017CF"/>
    <w:rsid w:val="00401D12"/>
    <w:rsid w:val="00401D4C"/>
    <w:rsid w:val="00401D97"/>
    <w:rsid w:val="0040364D"/>
    <w:rsid w:val="004038D0"/>
    <w:rsid w:val="00403CE3"/>
    <w:rsid w:val="0040403A"/>
    <w:rsid w:val="00404609"/>
    <w:rsid w:val="004046D8"/>
    <w:rsid w:val="0040492F"/>
    <w:rsid w:val="00405181"/>
    <w:rsid w:val="00405A5F"/>
    <w:rsid w:val="00405C0A"/>
    <w:rsid w:val="00405E74"/>
    <w:rsid w:val="00407959"/>
    <w:rsid w:val="004104C3"/>
    <w:rsid w:val="00410A98"/>
    <w:rsid w:val="00410F5E"/>
    <w:rsid w:val="00411908"/>
    <w:rsid w:val="004121BD"/>
    <w:rsid w:val="0041222F"/>
    <w:rsid w:val="00412719"/>
    <w:rsid w:val="00412C98"/>
    <w:rsid w:val="00412DBB"/>
    <w:rsid w:val="0041320D"/>
    <w:rsid w:val="00413665"/>
    <w:rsid w:val="0041376B"/>
    <w:rsid w:val="004137EF"/>
    <w:rsid w:val="00413827"/>
    <w:rsid w:val="004145B6"/>
    <w:rsid w:val="00414670"/>
    <w:rsid w:val="004158F9"/>
    <w:rsid w:val="004159EA"/>
    <w:rsid w:val="00416727"/>
    <w:rsid w:val="00416D3F"/>
    <w:rsid w:val="004172A4"/>
    <w:rsid w:val="00417B88"/>
    <w:rsid w:val="00417DD8"/>
    <w:rsid w:val="004208D9"/>
    <w:rsid w:val="00420CD9"/>
    <w:rsid w:val="00421518"/>
    <w:rsid w:val="00421E7C"/>
    <w:rsid w:val="00422ABD"/>
    <w:rsid w:val="00422B4E"/>
    <w:rsid w:val="00422FF6"/>
    <w:rsid w:val="004231FD"/>
    <w:rsid w:val="00423486"/>
    <w:rsid w:val="00423668"/>
    <w:rsid w:val="00423AF7"/>
    <w:rsid w:val="00424227"/>
    <w:rsid w:val="00424C53"/>
    <w:rsid w:val="00425814"/>
    <w:rsid w:val="00425BE8"/>
    <w:rsid w:val="00425C5F"/>
    <w:rsid w:val="00426286"/>
    <w:rsid w:val="00426F6A"/>
    <w:rsid w:val="00427A24"/>
    <w:rsid w:val="00427F6B"/>
    <w:rsid w:val="0043073D"/>
    <w:rsid w:val="004313D1"/>
    <w:rsid w:val="004318EB"/>
    <w:rsid w:val="00431C4A"/>
    <w:rsid w:val="00431CDB"/>
    <w:rsid w:val="00432DFF"/>
    <w:rsid w:val="004331C3"/>
    <w:rsid w:val="00433229"/>
    <w:rsid w:val="0043323A"/>
    <w:rsid w:val="0043348B"/>
    <w:rsid w:val="004335B1"/>
    <w:rsid w:val="004337CC"/>
    <w:rsid w:val="004338D4"/>
    <w:rsid w:val="00435F85"/>
    <w:rsid w:val="0043622B"/>
    <w:rsid w:val="00436BBC"/>
    <w:rsid w:val="00436E0B"/>
    <w:rsid w:val="0043714B"/>
    <w:rsid w:val="00437176"/>
    <w:rsid w:val="004374E9"/>
    <w:rsid w:val="00437F23"/>
    <w:rsid w:val="004401DF"/>
    <w:rsid w:val="00440E9B"/>
    <w:rsid w:val="004418B6"/>
    <w:rsid w:val="00441E87"/>
    <w:rsid w:val="00442624"/>
    <w:rsid w:val="004427F7"/>
    <w:rsid w:val="004428EF"/>
    <w:rsid w:val="00442A58"/>
    <w:rsid w:val="00443751"/>
    <w:rsid w:val="00443D0B"/>
    <w:rsid w:val="00443D9B"/>
    <w:rsid w:val="00444039"/>
    <w:rsid w:val="004448CC"/>
    <w:rsid w:val="00444E84"/>
    <w:rsid w:val="00444FDF"/>
    <w:rsid w:val="00445136"/>
    <w:rsid w:val="00445717"/>
    <w:rsid w:val="00445C6A"/>
    <w:rsid w:val="00447247"/>
    <w:rsid w:val="004507FD"/>
    <w:rsid w:val="00450E57"/>
    <w:rsid w:val="00450F16"/>
    <w:rsid w:val="00451267"/>
    <w:rsid w:val="004515E1"/>
    <w:rsid w:val="00451A93"/>
    <w:rsid w:val="00451B39"/>
    <w:rsid w:val="00451B94"/>
    <w:rsid w:val="00452D8C"/>
    <w:rsid w:val="00452E64"/>
    <w:rsid w:val="00452F2D"/>
    <w:rsid w:val="004533F7"/>
    <w:rsid w:val="00453CA2"/>
    <w:rsid w:val="004542FA"/>
    <w:rsid w:val="00454B0C"/>
    <w:rsid w:val="00454E5C"/>
    <w:rsid w:val="00455A44"/>
    <w:rsid w:val="00456409"/>
    <w:rsid w:val="00456FC8"/>
    <w:rsid w:val="004571EC"/>
    <w:rsid w:val="00457261"/>
    <w:rsid w:val="00457B4C"/>
    <w:rsid w:val="00457E0E"/>
    <w:rsid w:val="0046041E"/>
    <w:rsid w:val="00460AA0"/>
    <w:rsid w:val="00460EC2"/>
    <w:rsid w:val="00460F27"/>
    <w:rsid w:val="004610C4"/>
    <w:rsid w:val="004616C2"/>
    <w:rsid w:val="00461C34"/>
    <w:rsid w:val="00461CCF"/>
    <w:rsid w:val="00461DA4"/>
    <w:rsid w:val="00461E9B"/>
    <w:rsid w:val="004628BF"/>
    <w:rsid w:val="004629A9"/>
    <w:rsid w:val="00462A67"/>
    <w:rsid w:val="004633DA"/>
    <w:rsid w:val="004635E3"/>
    <w:rsid w:val="00463E7F"/>
    <w:rsid w:val="00464220"/>
    <w:rsid w:val="004643A5"/>
    <w:rsid w:val="00464576"/>
    <w:rsid w:val="0046483D"/>
    <w:rsid w:val="00464CD5"/>
    <w:rsid w:val="00465D99"/>
    <w:rsid w:val="00465E0A"/>
    <w:rsid w:val="00465EAB"/>
    <w:rsid w:val="00465F8B"/>
    <w:rsid w:val="00466031"/>
    <w:rsid w:val="004661ED"/>
    <w:rsid w:val="00466ED0"/>
    <w:rsid w:val="00467766"/>
    <w:rsid w:val="00467A91"/>
    <w:rsid w:val="0047067C"/>
    <w:rsid w:val="00470AC0"/>
    <w:rsid w:val="00470CA0"/>
    <w:rsid w:val="00471073"/>
    <w:rsid w:val="0047209E"/>
    <w:rsid w:val="0047248C"/>
    <w:rsid w:val="00472690"/>
    <w:rsid w:val="00472A2E"/>
    <w:rsid w:val="00472C21"/>
    <w:rsid w:val="00472D72"/>
    <w:rsid w:val="00473B88"/>
    <w:rsid w:val="00474BBA"/>
    <w:rsid w:val="00474FDA"/>
    <w:rsid w:val="00475118"/>
    <w:rsid w:val="004751F8"/>
    <w:rsid w:val="004752C3"/>
    <w:rsid w:val="00475531"/>
    <w:rsid w:val="00475CDC"/>
    <w:rsid w:val="00475D82"/>
    <w:rsid w:val="00475F1D"/>
    <w:rsid w:val="0047619E"/>
    <w:rsid w:val="0047645A"/>
    <w:rsid w:val="00476B39"/>
    <w:rsid w:val="00476BEC"/>
    <w:rsid w:val="00477078"/>
    <w:rsid w:val="004771B8"/>
    <w:rsid w:val="00481BB3"/>
    <w:rsid w:val="00481E7E"/>
    <w:rsid w:val="00481E93"/>
    <w:rsid w:val="004822AF"/>
    <w:rsid w:val="0048273B"/>
    <w:rsid w:val="00482799"/>
    <w:rsid w:val="0048295B"/>
    <w:rsid w:val="00482B2F"/>
    <w:rsid w:val="00482DA4"/>
    <w:rsid w:val="00482E18"/>
    <w:rsid w:val="0048338D"/>
    <w:rsid w:val="00483A66"/>
    <w:rsid w:val="00483DEA"/>
    <w:rsid w:val="00484776"/>
    <w:rsid w:val="00484BA6"/>
    <w:rsid w:val="00484CD5"/>
    <w:rsid w:val="00484F43"/>
    <w:rsid w:val="00485344"/>
    <w:rsid w:val="0048552C"/>
    <w:rsid w:val="004860AC"/>
    <w:rsid w:val="00486477"/>
    <w:rsid w:val="00486CDE"/>
    <w:rsid w:val="00487553"/>
    <w:rsid w:val="004875FC"/>
    <w:rsid w:val="00487644"/>
    <w:rsid w:val="00487D26"/>
    <w:rsid w:val="00487D34"/>
    <w:rsid w:val="00490C9B"/>
    <w:rsid w:val="00490D45"/>
    <w:rsid w:val="00490FDA"/>
    <w:rsid w:val="00491018"/>
    <w:rsid w:val="0049104A"/>
    <w:rsid w:val="00491580"/>
    <w:rsid w:val="00491B85"/>
    <w:rsid w:val="00492177"/>
    <w:rsid w:val="0049220A"/>
    <w:rsid w:val="00492418"/>
    <w:rsid w:val="00492D83"/>
    <w:rsid w:val="00493266"/>
    <w:rsid w:val="004932BE"/>
    <w:rsid w:val="00493EA2"/>
    <w:rsid w:val="004949D4"/>
    <w:rsid w:val="004950BB"/>
    <w:rsid w:val="00495373"/>
    <w:rsid w:val="0049560E"/>
    <w:rsid w:val="004956F1"/>
    <w:rsid w:val="00496B26"/>
    <w:rsid w:val="00497A8F"/>
    <w:rsid w:val="004A004B"/>
    <w:rsid w:val="004A0326"/>
    <w:rsid w:val="004A05D8"/>
    <w:rsid w:val="004A0699"/>
    <w:rsid w:val="004A0F7E"/>
    <w:rsid w:val="004A1792"/>
    <w:rsid w:val="004A1942"/>
    <w:rsid w:val="004A197A"/>
    <w:rsid w:val="004A268B"/>
    <w:rsid w:val="004A28DE"/>
    <w:rsid w:val="004A2CB7"/>
    <w:rsid w:val="004A35F9"/>
    <w:rsid w:val="004A3F42"/>
    <w:rsid w:val="004A4476"/>
    <w:rsid w:val="004A44C6"/>
    <w:rsid w:val="004A52CA"/>
    <w:rsid w:val="004A5E16"/>
    <w:rsid w:val="004A6054"/>
    <w:rsid w:val="004A60F4"/>
    <w:rsid w:val="004A6193"/>
    <w:rsid w:val="004A642F"/>
    <w:rsid w:val="004A64AA"/>
    <w:rsid w:val="004A68D0"/>
    <w:rsid w:val="004A6A7A"/>
    <w:rsid w:val="004A6B9D"/>
    <w:rsid w:val="004A75BE"/>
    <w:rsid w:val="004A7631"/>
    <w:rsid w:val="004A7BE4"/>
    <w:rsid w:val="004A7D57"/>
    <w:rsid w:val="004B0150"/>
    <w:rsid w:val="004B01BD"/>
    <w:rsid w:val="004B026F"/>
    <w:rsid w:val="004B043D"/>
    <w:rsid w:val="004B0509"/>
    <w:rsid w:val="004B0DFA"/>
    <w:rsid w:val="004B0FC7"/>
    <w:rsid w:val="004B139B"/>
    <w:rsid w:val="004B1575"/>
    <w:rsid w:val="004B215E"/>
    <w:rsid w:val="004B21F9"/>
    <w:rsid w:val="004B282E"/>
    <w:rsid w:val="004B2B15"/>
    <w:rsid w:val="004B2B77"/>
    <w:rsid w:val="004B32B0"/>
    <w:rsid w:val="004B439C"/>
    <w:rsid w:val="004B4459"/>
    <w:rsid w:val="004B4898"/>
    <w:rsid w:val="004B6406"/>
    <w:rsid w:val="004B682B"/>
    <w:rsid w:val="004B69E0"/>
    <w:rsid w:val="004B7093"/>
    <w:rsid w:val="004B775F"/>
    <w:rsid w:val="004B7774"/>
    <w:rsid w:val="004B78BD"/>
    <w:rsid w:val="004B79DA"/>
    <w:rsid w:val="004C0155"/>
    <w:rsid w:val="004C034C"/>
    <w:rsid w:val="004C04DD"/>
    <w:rsid w:val="004C072A"/>
    <w:rsid w:val="004C1977"/>
    <w:rsid w:val="004C19AF"/>
    <w:rsid w:val="004C1B6D"/>
    <w:rsid w:val="004C1B7E"/>
    <w:rsid w:val="004C23F8"/>
    <w:rsid w:val="004C2769"/>
    <w:rsid w:val="004C2FD6"/>
    <w:rsid w:val="004C3CA8"/>
    <w:rsid w:val="004C3D5E"/>
    <w:rsid w:val="004C3F45"/>
    <w:rsid w:val="004C3FE5"/>
    <w:rsid w:val="004C4B44"/>
    <w:rsid w:val="004C4B83"/>
    <w:rsid w:val="004C4C8C"/>
    <w:rsid w:val="004C5564"/>
    <w:rsid w:val="004C578B"/>
    <w:rsid w:val="004C57FD"/>
    <w:rsid w:val="004C5964"/>
    <w:rsid w:val="004C6279"/>
    <w:rsid w:val="004C658D"/>
    <w:rsid w:val="004C6772"/>
    <w:rsid w:val="004C6D48"/>
    <w:rsid w:val="004C7621"/>
    <w:rsid w:val="004C7A22"/>
    <w:rsid w:val="004C7A44"/>
    <w:rsid w:val="004D00A8"/>
    <w:rsid w:val="004D03E7"/>
    <w:rsid w:val="004D0A18"/>
    <w:rsid w:val="004D0C12"/>
    <w:rsid w:val="004D0DFF"/>
    <w:rsid w:val="004D0E1B"/>
    <w:rsid w:val="004D0E43"/>
    <w:rsid w:val="004D149F"/>
    <w:rsid w:val="004D14D8"/>
    <w:rsid w:val="004D19C2"/>
    <w:rsid w:val="004D228F"/>
    <w:rsid w:val="004D3A10"/>
    <w:rsid w:val="004D3E5E"/>
    <w:rsid w:val="004D4A1D"/>
    <w:rsid w:val="004D4C54"/>
    <w:rsid w:val="004D4DFB"/>
    <w:rsid w:val="004D4E06"/>
    <w:rsid w:val="004D54EB"/>
    <w:rsid w:val="004D5540"/>
    <w:rsid w:val="004D5713"/>
    <w:rsid w:val="004D5ECC"/>
    <w:rsid w:val="004D69A4"/>
    <w:rsid w:val="004D6C64"/>
    <w:rsid w:val="004D708E"/>
    <w:rsid w:val="004D72BE"/>
    <w:rsid w:val="004D78F2"/>
    <w:rsid w:val="004D7DD1"/>
    <w:rsid w:val="004D7EE8"/>
    <w:rsid w:val="004E0738"/>
    <w:rsid w:val="004E090A"/>
    <w:rsid w:val="004E14F1"/>
    <w:rsid w:val="004E174E"/>
    <w:rsid w:val="004E1D47"/>
    <w:rsid w:val="004E1D4A"/>
    <w:rsid w:val="004E254D"/>
    <w:rsid w:val="004E2852"/>
    <w:rsid w:val="004E3CB6"/>
    <w:rsid w:val="004E40FE"/>
    <w:rsid w:val="004E4913"/>
    <w:rsid w:val="004E4A2F"/>
    <w:rsid w:val="004E6BEE"/>
    <w:rsid w:val="004E6E7D"/>
    <w:rsid w:val="004E6EAC"/>
    <w:rsid w:val="004E73AF"/>
    <w:rsid w:val="004E77D7"/>
    <w:rsid w:val="004E7A1F"/>
    <w:rsid w:val="004F0230"/>
    <w:rsid w:val="004F074D"/>
    <w:rsid w:val="004F1003"/>
    <w:rsid w:val="004F11FE"/>
    <w:rsid w:val="004F1523"/>
    <w:rsid w:val="004F17F1"/>
    <w:rsid w:val="004F2414"/>
    <w:rsid w:val="004F2C36"/>
    <w:rsid w:val="004F2D1B"/>
    <w:rsid w:val="004F2E17"/>
    <w:rsid w:val="004F2EC2"/>
    <w:rsid w:val="004F339C"/>
    <w:rsid w:val="004F3D0E"/>
    <w:rsid w:val="004F4211"/>
    <w:rsid w:val="004F43C0"/>
    <w:rsid w:val="004F4B2E"/>
    <w:rsid w:val="004F4E1F"/>
    <w:rsid w:val="004F5566"/>
    <w:rsid w:val="004F5793"/>
    <w:rsid w:val="004F57A9"/>
    <w:rsid w:val="004F58A1"/>
    <w:rsid w:val="004F602C"/>
    <w:rsid w:val="004F707F"/>
    <w:rsid w:val="004F7223"/>
    <w:rsid w:val="004F7468"/>
    <w:rsid w:val="004F75F3"/>
    <w:rsid w:val="00500B92"/>
    <w:rsid w:val="005011E3"/>
    <w:rsid w:val="005013A3"/>
    <w:rsid w:val="00501886"/>
    <w:rsid w:val="00501EF6"/>
    <w:rsid w:val="00502998"/>
    <w:rsid w:val="005029D4"/>
    <w:rsid w:val="00502E9D"/>
    <w:rsid w:val="00503380"/>
    <w:rsid w:val="00503843"/>
    <w:rsid w:val="005038D7"/>
    <w:rsid w:val="0050446C"/>
    <w:rsid w:val="0050496A"/>
    <w:rsid w:val="00504BF5"/>
    <w:rsid w:val="00504C3F"/>
    <w:rsid w:val="00505109"/>
    <w:rsid w:val="00505707"/>
    <w:rsid w:val="00505714"/>
    <w:rsid w:val="00505AE5"/>
    <w:rsid w:val="00505CEF"/>
    <w:rsid w:val="005062C8"/>
    <w:rsid w:val="00506996"/>
    <w:rsid w:val="00506CE6"/>
    <w:rsid w:val="00506DB4"/>
    <w:rsid w:val="00506F24"/>
    <w:rsid w:val="00507C8F"/>
    <w:rsid w:val="0051070B"/>
    <w:rsid w:val="00510A0A"/>
    <w:rsid w:val="00510A12"/>
    <w:rsid w:val="00510B88"/>
    <w:rsid w:val="00510E19"/>
    <w:rsid w:val="00511525"/>
    <w:rsid w:val="0051160F"/>
    <w:rsid w:val="00511652"/>
    <w:rsid w:val="005116FA"/>
    <w:rsid w:val="00511B07"/>
    <w:rsid w:val="00511D31"/>
    <w:rsid w:val="00511E5D"/>
    <w:rsid w:val="00511FD1"/>
    <w:rsid w:val="0051239F"/>
    <w:rsid w:val="00512821"/>
    <w:rsid w:val="0051334D"/>
    <w:rsid w:val="00514031"/>
    <w:rsid w:val="005142BB"/>
    <w:rsid w:val="00514659"/>
    <w:rsid w:val="00514722"/>
    <w:rsid w:val="00515052"/>
    <w:rsid w:val="00516643"/>
    <w:rsid w:val="00516791"/>
    <w:rsid w:val="005167F2"/>
    <w:rsid w:val="0051685B"/>
    <w:rsid w:val="00516BA3"/>
    <w:rsid w:val="00516DFB"/>
    <w:rsid w:val="005170F6"/>
    <w:rsid w:val="005170FA"/>
    <w:rsid w:val="00517545"/>
    <w:rsid w:val="005176F2"/>
    <w:rsid w:val="005178FB"/>
    <w:rsid w:val="00517E25"/>
    <w:rsid w:val="00517F72"/>
    <w:rsid w:val="00517FA3"/>
    <w:rsid w:val="00517FB0"/>
    <w:rsid w:val="0052025A"/>
    <w:rsid w:val="00520726"/>
    <w:rsid w:val="0052092B"/>
    <w:rsid w:val="005209E7"/>
    <w:rsid w:val="00520A22"/>
    <w:rsid w:val="00520FF4"/>
    <w:rsid w:val="0052102A"/>
    <w:rsid w:val="00521076"/>
    <w:rsid w:val="005215E4"/>
    <w:rsid w:val="00521842"/>
    <w:rsid w:val="00521A30"/>
    <w:rsid w:val="00521E64"/>
    <w:rsid w:val="00522267"/>
    <w:rsid w:val="005222D7"/>
    <w:rsid w:val="00522DAB"/>
    <w:rsid w:val="00522FC8"/>
    <w:rsid w:val="00523127"/>
    <w:rsid w:val="00523157"/>
    <w:rsid w:val="00523976"/>
    <w:rsid w:val="00523CF3"/>
    <w:rsid w:val="00524131"/>
    <w:rsid w:val="005255DD"/>
    <w:rsid w:val="00525BE0"/>
    <w:rsid w:val="00525D61"/>
    <w:rsid w:val="00525DEC"/>
    <w:rsid w:val="00525E24"/>
    <w:rsid w:val="0052622B"/>
    <w:rsid w:val="005263E6"/>
    <w:rsid w:val="005265AA"/>
    <w:rsid w:val="005279F4"/>
    <w:rsid w:val="00527AAA"/>
    <w:rsid w:val="00527DEB"/>
    <w:rsid w:val="00527E5A"/>
    <w:rsid w:val="005301E4"/>
    <w:rsid w:val="00530745"/>
    <w:rsid w:val="00530857"/>
    <w:rsid w:val="00530ABE"/>
    <w:rsid w:val="00531062"/>
    <w:rsid w:val="0053126F"/>
    <w:rsid w:val="00532260"/>
    <w:rsid w:val="00533464"/>
    <w:rsid w:val="00533918"/>
    <w:rsid w:val="00533AD4"/>
    <w:rsid w:val="00533FAD"/>
    <w:rsid w:val="00534906"/>
    <w:rsid w:val="005349E2"/>
    <w:rsid w:val="00534AE7"/>
    <w:rsid w:val="00534F77"/>
    <w:rsid w:val="0053517B"/>
    <w:rsid w:val="005353E8"/>
    <w:rsid w:val="00535869"/>
    <w:rsid w:val="00535C85"/>
    <w:rsid w:val="00535E60"/>
    <w:rsid w:val="00536546"/>
    <w:rsid w:val="0053702C"/>
    <w:rsid w:val="005402BD"/>
    <w:rsid w:val="005403CC"/>
    <w:rsid w:val="00540D72"/>
    <w:rsid w:val="00540DE1"/>
    <w:rsid w:val="005416BF"/>
    <w:rsid w:val="0054185D"/>
    <w:rsid w:val="00541EF3"/>
    <w:rsid w:val="00542149"/>
    <w:rsid w:val="0054295C"/>
    <w:rsid w:val="005429BA"/>
    <w:rsid w:val="00543024"/>
    <w:rsid w:val="00543438"/>
    <w:rsid w:val="00543499"/>
    <w:rsid w:val="00543621"/>
    <w:rsid w:val="00543803"/>
    <w:rsid w:val="0054394B"/>
    <w:rsid w:val="005439C6"/>
    <w:rsid w:val="00543DC0"/>
    <w:rsid w:val="00544048"/>
    <w:rsid w:val="005442C7"/>
    <w:rsid w:val="0054499C"/>
    <w:rsid w:val="005449B3"/>
    <w:rsid w:val="00544B16"/>
    <w:rsid w:val="005454FA"/>
    <w:rsid w:val="005457F2"/>
    <w:rsid w:val="005459DD"/>
    <w:rsid w:val="00545AD9"/>
    <w:rsid w:val="00546153"/>
    <w:rsid w:val="00546407"/>
    <w:rsid w:val="005470D4"/>
    <w:rsid w:val="00547241"/>
    <w:rsid w:val="00547765"/>
    <w:rsid w:val="00547826"/>
    <w:rsid w:val="00547CBD"/>
    <w:rsid w:val="00550089"/>
    <w:rsid w:val="00550178"/>
    <w:rsid w:val="00550536"/>
    <w:rsid w:val="00551349"/>
    <w:rsid w:val="005517EE"/>
    <w:rsid w:val="00551F82"/>
    <w:rsid w:val="00552A89"/>
    <w:rsid w:val="00552E42"/>
    <w:rsid w:val="005538BF"/>
    <w:rsid w:val="0055456C"/>
    <w:rsid w:val="00554F99"/>
    <w:rsid w:val="005559B0"/>
    <w:rsid w:val="00555E55"/>
    <w:rsid w:val="00555EBF"/>
    <w:rsid w:val="005565E4"/>
    <w:rsid w:val="0055689F"/>
    <w:rsid w:val="00556977"/>
    <w:rsid w:val="00556BF6"/>
    <w:rsid w:val="00557B39"/>
    <w:rsid w:val="00557C77"/>
    <w:rsid w:val="00557E84"/>
    <w:rsid w:val="00557F86"/>
    <w:rsid w:val="00557FCB"/>
    <w:rsid w:val="00560086"/>
    <w:rsid w:val="0056026B"/>
    <w:rsid w:val="00560511"/>
    <w:rsid w:val="00560C02"/>
    <w:rsid w:val="005613A4"/>
    <w:rsid w:val="00561555"/>
    <w:rsid w:val="00561908"/>
    <w:rsid w:val="00561A8C"/>
    <w:rsid w:val="005625F4"/>
    <w:rsid w:val="0056315A"/>
    <w:rsid w:val="00564035"/>
    <w:rsid w:val="0056432B"/>
    <w:rsid w:val="005644D3"/>
    <w:rsid w:val="00564B09"/>
    <w:rsid w:val="00564E47"/>
    <w:rsid w:val="00564ED1"/>
    <w:rsid w:val="00565D59"/>
    <w:rsid w:val="00565DD5"/>
    <w:rsid w:val="00565F6E"/>
    <w:rsid w:val="00566AAB"/>
    <w:rsid w:val="00566C7E"/>
    <w:rsid w:val="00567245"/>
    <w:rsid w:val="00567772"/>
    <w:rsid w:val="00567806"/>
    <w:rsid w:val="0057055C"/>
    <w:rsid w:val="005712CA"/>
    <w:rsid w:val="005717E1"/>
    <w:rsid w:val="005719C8"/>
    <w:rsid w:val="00571F48"/>
    <w:rsid w:val="005722A6"/>
    <w:rsid w:val="005726A9"/>
    <w:rsid w:val="00572F27"/>
    <w:rsid w:val="00572F85"/>
    <w:rsid w:val="00574642"/>
    <w:rsid w:val="00574684"/>
    <w:rsid w:val="00574F90"/>
    <w:rsid w:val="00574F9B"/>
    <w:rsid w:val="005750E4"/>
    <w:rsid w:val="00575DA2"/>
    <w:rsid w:val="00575EDA"/>
    <w:rsid w:val="00576443"/>
    <w:rsid w:val="005765C0"/>
    <w:rsid w:val="00576823"/>
    <w:rsid w:val="00577335"/>
    <w:rsid w:val="005773FF"/>
    <w:rsid w:val="00580189"/>
    <w:rsid w:val="00580681"/>
    <w:rsid w:val="00580E63"/>
    <w:rsid w:val="00580F15"/>
    <w:rsid w:val="0058135D"/>
    <w:rsid w:val="00581786"/>
    <w:rsid w:val="00581F3C"/>
    <w:rsid w:val="005822E7"/>
    <w:rsid w:val="00582A1F"/>
    <w:rsid w:val="00582C55"/>
    <w:rsid w:val="00582DAB"/>
    <w:rsid w:val="005830E8"/>
    <w:rsid w:val="0058313E"/>
    <w:rsid w:val="00584402"/>
    <w:rsid w:val="00584E55"/>
    <w:rsid w:val="00584F0C"/>
    <w:rsid w:val="00584FBD"/>
    <w:rsid w:val="00585425"/>
    <w:rsid w:val="0058565E"/>
    <w:rsid w:val="005857AA"/>
    <w:rsid w:val="00585CDC"/>
    <w:rsid w:val="00585E1E"/>
    <w:rsid w:val="00585E2A"/>
    <w:rsid w:val="0058634D"/>
    <w:rsid w:val="00587D2D"/>
    <w:rsid w:val="00587FFE"/>
    <w:rsid w:val="005909FE"/>
    <w:rsid w:val="00590A90"/>
    <w:rsid w:val="005925A9"/>
    <w:rsid w:val="00592638"/>
    <w:rsid w:val="005927B8"/>
    <w:rsid w:val="0059283C"/>
    <w:rsid w:val="005934D9"/>
    <w:rsid w:val="0059361B"/>
    <w:rsid w:val="00594BE1"/>
    <w:rsid w:val="00594C99"/>
    <w:rsid w:val="00594CE1"/>
    <w:rsid w:val="00594D63"/>
    <w:rsid w:val="00594E63"/>
    <w:rsid w:val="0059559D"/>
    <w:rsid w:val="00596C41"/>
    <w:rsid w:val="00597C24"/>
    <w:rsid w:val="00597F3D"/>
    <w:rsid w:val="005A0064"/>
    <w:rsid w:val="005A0A7B"/>
    <w:rsid w:val="005A1935"/>
    <w:rsid w:val="005A1BC3"/>
    <w:rsid w:val="005A1C0B"/>
    <w:rsid w:val="005A1D24"/>
    <w:rsid w:val="005A1D82"/>
    <w:rsid w:val="005A1FA7"/>
    <w:rsid w:val="005A208F"/>
    <w:rsid w:val="005A2553"/>
    <w:rsid w:val="005A2822"/>
    <w:rsid w:val="005A2978"/>
    <w:rsid w:val="005A2A61"/>
    <w:rsid w:val="005A2D87"/>
    <w:rsid w:val="005A3ABB"/>
    <w:rsid w:val="005A3AC7"/>
    <w:rsid w:val="005A4665"/>
    <w:rsid w:val="005A4972"/>
    <w:rsid w:val="005A4B08"/>
    <w:rsid w:val="005A5E6A"/>
    <w:rsid w:val="005A64E8"/>
    <w:rsid w:val="005A783A"/>
    <w:rsid w:val="005A7C55"/>
    <w:rsid w:val="005A7DA0"/>
    <w:rsid w:val="005A7FEA"/>
    <w:rsid w:val="005B007F"/>
    <w:rsid w:val="005B0306"/>
    <w:rsid w:val="005B0957"/>
    <w:rsid w:val="005B12AF"/>
    <w:rsid w:val="005B149F"/>
    <w:rsid w:val="005B1556"/>
    <w:rsid w:val="005B19B7"/>
    <w:rsid w:val="005B22A2"/>
    <w:rsid w:val="005B22A5"/>
    <w:rsid w:val="005B3173"/>
    <w:rsid w:val="005B3286"/>
    <w:rsid w:val="005B34FF"/>
    <w:rsid w:val="005B4F9D"/>
    <w:rsid w:val="005B5731"/>
    <w:rsid w:val="005B6022"/>
    <w:rsid w:val="005B60F3"/>
    <w:rsid w:val="005B6226"/>
    <w:rsid w:val="005B6528"/>
    <w:rsid w:val="005B6EBC"/>
    <w:rsid w:val="005B6F2B"/>
    <w:rsid w:val="005B7D10"/>
    <w:rsid w:val="005C06E6"/>
    <w:rsid w:val="005C0901"/>
    <w:rsid w:val="005C0B72"/>
    <w:rsid w:val="005C1747"/>
    <w:rsid w:val="005C1845"/>
    <w:rsid w:val="005C2600"/>
    <w:rsid w:val="005C2AF2"/>
    <w:rsid w:val="005C2D14"/>
    <w:rsid w:val="005C2F89"/>
    <w:rsid w:val="005C30AB"/>
    <w:rsid w:val="005C4C1D"/>
    <w:rsid w:val="005C4E6A"/>
    <w:rsid w:val="005C5239"/>
    <w:rsid w:val="005C52FD"/>
    <w:rsid w:val="005C5CF7"/>
    <w:rsid w:val="005C5DC9"/>
    <w:rsid w:val="005C6292"/>
    <w:rsid w:val="005C6673"/>
    <w:rsid w:val="005C67CE"/>
    <w:rsid w:val="005C69A8"/>
    <w:rsid w:val="005C69D5"/>
    <w:rsid w:val="005C6CC2"/>
    <w:rsid w:val="005C7D54"/>
    <w:rsid w:val="005C7FC9"/>
    <w:rsid w:val="005D0B8A"/>
    <w:rsid w:val="005D188B"/>
    <w:rsid w:val="005D1AA1"/>
    <w:rsid w:val="005D2684"/>
    <w:rsid w:val="005D275E"/>
    <w:rsid w:val="005D2D3B"/>
    <w:rsid w:val="005D35EF"/>
    <w:rsid w:val="005D3AB6"/>
    <w:rsid w:val="005D3F8C"/>
    <w:rsid w:val="005D4031"/>
    <w:rsid w:val="005D408F"/>
    <w:rsid w:val="005D4727"/>
    <w:rsid w:val="005D5415"/>
    <w:rsid w:val="005D5B55"/>
    <w:rsid w:val="005D5EBC"/>
    <w:rsid w:val="005D5F47"/>
    <w:rsid w:val="005D6011"/>
    <w:rsid w:val="005D61FE"/>
    <w:rsid w:val="005D6BEB"/>
    <w:rsid w:val="005D6C36"/>
    <w:rsid w:val="005D76BF"/>
    <w:rsid w:val="005D7832"/>
    <w:rsid w:val="005D7B95"/>
    <w:rsid w:val="005D7D1A"/>
    <w:rsid w:val="005E062E"/>
    <w:rsid w:val="005E0A3F"/>
    <w:rsid w:val="005E10D0"/>
    <w:rsid w:val="005E12A3"/>
    <w:rsid w:val="005E13D3"/>
    <w:rsid w:val="005E1961"/>
    <w:rsid w:val="005E19DC"/>
    <w:rsid w:val="005E1F0E"/>
    <w:rsid w:val="005E2116"/>
    <w:rsid w:val="005E23B4"/>
    <w:rsid w:val="005E254D"/>
    <w:rsid w:val="005E2B11"/>
    <w:rsid w:val="005E2B35"/>
    <w:rsid w:val="005E30A1"/>
    <w:rsid w:val="005E3340"/>
    <w:rsid w:val="005E34B8"/>
    <w:rsid w:val="005E36C1"/>
    <w:rsid w:val="005E3B31"/>
    <w:rsid w:val="005E44F0"/>
    <w:rsid w:val="005E4529"/>
    <w:rsid w:val="005E5AF2"/>
    <w:rsid w:val="005E5B0B"/>
    <w:rsid w:val="005E5EE2"/>
    <w:rsid w:val="005E6753"/>
    <w:rsid w:val="005E6962"/>
    <w:rsid w:val="005E696B"/>
    <w:rsid w:val="005E72BB"/>
    <w:rsid w:val="005E73AC"/>
    <w:rsid w:val="005E7768"/>
    <w:rsid w:val="005E7803"/>
    <w:rsid w:val="005E7A6E"/>
    <w:rsid w:val="005E7DAF"/>
    <w:rsid w:val="005F011B"/>
    <w:rsid w:val="005F04D9"/>
    <w:rsid w:val="005F08AD"/>
    <w:rsid w:val="005F115A"/>
    <w:rsid w:val="005F17A9"/>
    <w:rsid w:val="005F17DA"/>
    <w:rsid w:val="005F18E3"/>
    <w:rsid w:val="005F1988"/>
    <w:rsid w:val="005F1EA3"/>
    <w:rsid w:val="005F1F61"/>
    <w:rsid w:val="005F1F95"/>
    <w:rsid w:val="005F20A6"/>
    <w:rsid w:val="005F2A9C"/>
    <w:rsid w:val="005F3036"/>
    <w:rsid w:val="005F3871"/>
    <w:rsid w:val="005F393E"/>
    <w:rsid w:val="005F3B77"/>
    <w:rsid w:val="005F4BBD"/>
    <w:rsid w:val="005F5074"/>
    <w:rsid w:val="005F5477"/>
    <w:rsid w:val="005F5CCB"/>
    <w:rsid w:val="005F5D35"/>
    <w:rsid w:val="005F6E49"/>
    <w:rsid w:val="005F737B"/>
    <w:rsid w:val="005F746C"/>
    <w:rsid w:val="005F774D"/>
    <w:rsid w:val="005F799E"/>
    <w:rsid w:val="006000B0"/>
    <w:rsid w:val="00600638"/>
    <w:rsid w:val="006012C3"/>
    <w:rsid w:val="00601435"/>
    <w:rsid w:val="006016D0"/>
    <w:rsid w:val="00601A35"/>
    <w:rsid w:val="00601AAC"/>
    <w:rsid w:val="0060231C"/>
    <w:rsid w:val="006025C5"/>
    <w:rsid w:val="00602858"/>
    <w:rsid w:val="00603431"/>
    <w:rsid w:val="00603C5A"/>
    <w:rsid w:val="0060419E"/>
    <w:rsid w:val="00604448"/>
    <w:rsid w:val="00604750"/>
    <w:rsid w:val="00604C4B"/>
    <w:rsid w:val="006052FE"/>
    <w:rsid w:val="006059B5"/>
    <w:rsid w:val="0060614D"/>
    <w:rsid w:val="006067EC"/>
    <w:rsid w:val="00606961"/>
    <w:rsid w:val="00607343"/>
    <w:rsid w:val="00607415"/>
    <w:rsid w:val="00607650"/>
    <w:rsid w:val="006078C1"/>
    <w:rsid w:val="00607A02"/>
    <w:rsid w:val="006100F3"/>
    <w:rsid w:val="006104CB"/>
    <w:rsid w:val="00610BEC"/>
    <w:rsid w:val="006110A0"/>
    <w:rsid w:val="00611265"/>
    <w:rsid w:val="00611691"/>
    <w:rsid w:val="00611E04"/>
    <w:rsid w:val="00611EF0"/>
    <w:rsid w:val="00611EF6"/>
    <w:rsid w:val="006121F9"/>
    <w:rsid w:val="00612503"/>
    <w:rsid w:val="00612814"/>
    <w:rsid w:val="006130FD"/>
    <w:rsid w:val="0061325B"/>
    <w:rsid w:val="006132A4"/>
    <w:rsid w:val="006135B6"/>
    <w:rsid w:val="00613BE7"/>
    <w:rsid w:val="00613D14"/>
    <w:rsid w:val="0061401C"/>
    <w:rsid w:val="006142C3"/>
    <w:rsid w:val="006144B5"/>
    <w:rsid w:val="00614619"/>
    <w:rsid w:val="006155FA"/>
    <w:rsid w:val="00615C07"/>
    <w:rsid w:val="00616581"/>
    <w:rsid w:val="00616599"/>
    <w:rsid w:val="006167F0"/>
    <w:rsid w:val="006168CA"/>
    <w:rsid w:val="00616E01"/>
    <w:rsid w:val="006179D1"/>
    <w:rsid w:val="0062025F"/>
    <w:rsid w:val="00620B43"/>
    <w:rsid w:val="00620EAD"/>
    <w:rsid w:val="00621419"/>
    <w:rsid w:val="00621D0C"/>
    <w:rsid w:val="00622567"/>
    <w:rsid w:val="00622643"/>
    <w:rsid w:val="0062305C"/>
    <w:rsid w:val="006238A0"/>
    <w:rsid w:val="00623B42"/>
    <w:rsid w:val="006242F4"/>
    <w:rsid w:val="006244DE"/>
    <w:rsid w:val="006254D3"/>
    <w:rsid w:val="0062567F"/>
    <w:rsid w:val="00625AF1"/>
    <w:rsid w:val="00626106"/>
    <w:rsid w:val="0062620E"/>
    <w:rsid w:val="00626346"/>
    <w:rsid w:val="006265E0"/>
    <w:rsid w:val="0062703B"/>
    <w:rsid w:val="0062704C"/>
    <w:rsid w:val="00627940"/>
    <w:rsid w:val="006279EA"/>
    <w:rsid w:val="00627CA9"/>
    <w:rsid w:val="00627ED8"/>
    <w:rsid w:val="00627FC3"/>
    <w:rsid w:val="006301A5"/>
    <w:rsid w:val="006303D0"/>
    <w:rsid w:val="0063070C"/>
    <w:rsid w:val="006307EE"/>
    <w:rsid w:val="00630C91"/>
    <w:rsid w:val="00631260"/>
    <w:rsid w:val="006316D9"/>
    <w:rsid w:val="00631A1D"/>
    <w:rsid w:val="006320CB"/>
    <w:rsid w:val="00632378"/>
    <w:rsid w:val="00632DA1"/>
    <w:rsid w:val="00633829"/>
    <w:rsid w:val="00633DED"/>
    <w:rsid w:val="00634589"/>
    <w:rsid w:val="006346FE"/>
    <w:rsid w:val="00634817"/>
    <w:rsid w:val="00634D3D"/>
    <w:rsid w:val="00634DC9"/>
    <w:rsid w:val="00634E71"/>
    <w:rsid w:val="006350D7"/>
    <w:rsid w:val="0063510D"/>
    <w:rsid w:val="00635173"/>
    <w:rsid w:val="00635997"/>
    <w:rsid w:val="00635C2F"/>
    <w:rsid w:val="00635E3E"/>
    <w:rsid w:val="006360D7"/>
    <w:rsid w:val="006363E4"/>
    <w:rsid w:val="006365B4"/>
    <w:rsid w:val="00636B5E"/>
    <w:rsid w:val="00636CEE"/>
    <w:rsid w:val="00636D62"/>
    <w:rsid w:val="00636F4C"/>
    <w:rsid w:val="00636FE9"/>
    <w:rsid w:val="00637EFA"/>
    <w:rsid w:val="00640797"/>
    <w:rsid w:val="00640BC8"/>
    <w:rsid w:val="00640DCD"/>
    <w:rsid w:val="00640F6E"/>
    <w:rsid w:val="006414FF"/>
    <w:rsid w:val="006421D5"/>
    <w:rsid w:val="0064221C"/>
    <w:rsid w:val="00642451"/>
    <w:rsid w:val="00642544"/>
    <w:rsid w:val="006425A6"/>
    <w:rsid w:val="0064267D"/>
    <w:rsid w:val="00642A41"/>
    <w:rsid w:val="00642A56"/>
    <w:rsid w:val="00642B3F"/>
    <w:rsid w:val="00643194"/>
    <w:rsid w:val="0064375C"/>
    <w:rsid w:val="006439D1"/>
    <w:rsid w:val="00643CF3"/>
    <w:rsid w:val="00644D51"/>
    <w:rsid w:val="00644DA3"/>
    <w:rsid w:val="00645994"/>
    <w:rsid w:val="00645A66"/>
    <w:rsid w:val="00645F59"/>
    <w:rsid w:val="0064620D"/>
    <w:rsid w:val="006464B2"/>
    <w:rsid w:val="0064659A"/>
    <w:rsid w:val="00647075"/>
    <w:rsid w:val="00647171"/>
    <w:rsid w:val="00647480"/>
    <w:rsid w:val="00647AF1"/>
    <w:rsid w:val="00650AED"/>
    <w:rsid w:val="0065116A"/>
    <w:rsid w:val="00651A5E"/>
    <w:rsid w:val="00651EF4"/>
    <w:rsid w:val="0065240B"/>
    <w:rsid w:val="00652763"/>
    <w:rsid w:val="006527E4"/>
    <w:rsid w:val="00653B15"/>
    <w:rsid w:val="00653C58"/>
    <w:rsid w:val="00653F6D"/>
    <w:rsid w:val="00654C2B"/>
    <w:rsid w:val="00655300"/>
    <w:rsid w:val="00656644"/>
    <w:rsid w:val="00656718"/>
    <w:rsid w:val="00657254"/>
    <w:rsid w:val="00657313"/>
    <w:rsid w:val="006575BC"/>
    <w:rsid w:val="00657C3D"/>
    <w:rsid w:val="00657D9B"/>
    <w:rsid w:val="00657F0F"/>
    <w:rsid w:val="00657FAA"/>
    <w:rsid w:val="006604D2"/>
    <w:rsid w:val="006612FC"/>
    <w:rsid w:val="0066196B"/>
    <w:rsid w:val="00661989"/>
    <w:rsid w:val="00661A46"/>
    <w:rsid w:val="00661B56"/>
    <w:rsid w:val="00661BF9"/>
    <w:rsid w:val="00661CA2"/>
    <w:rsid w:val="00661E87"/>
    <w:rsid w:val="00661FC1"/>
    <w:rsid w:val="00662327"/>
    <w:rsid w:val="00662795"/>
    <w:rsid w:val="00662A36"/>
    <w:rsid w:val="006631CB"/>
    <w:rsid w:val="0066369F"/>
    <w:rsid w:val="00663802"/>
    <w:rsid w:val="00663DA3"/>
    <w:rsid w:val="00664392"/>
    <w:rsid w:val="006644DF"/>
    <w:rsid w:val="00664B90"/>
    <w:rsid w:val="00664C5F"/>
    <w:rsid w:val="00664DCB"/>
    <w:rsid w:val="0066605A"/>
    <w:rsid w:val="006660A5"/>
    <w:rsid w:val="00666899"/>
    <w:rsid w:val="00666D48"/>
    <w:rsid w:val="00666DCF"/>
    <w:rsid w:val="00667139"/>
    <w:rsid w:val="0066715D"/>
    <w:rsid w:val="006671DD"/>
    <w:rsid w:val="00667241"/>
    <w:rsid w:val="006674B5"/>
    <w:rsid w:val="0066752A"/>
    <w:rsid w:val="006678BC"/>
    <w:rsid w:val="00667998"/>
    <w:rsid w:val="00670971"/>
    <w:rsid w:val="006722AC"/>
    <w:rsid w:val="006726B6"/>
    <w:rsid w:val="0067278A"/>
    <w:rsid w:val="00672E10"/>
    <w:rsid w:val="00673005"/>
    <w:rsid w:val="00673526"/>
    <w:rsid w:val="00673E7B"/>
    <w:rsid w:val="0067417E"/>
    <w:rsid w:val="006742D9"/>
    <w:rsid w:val="0067433D"/>
    <w:rsid w:val="00674502"/>
    <w:rsid w:val="006745BC"/>
    <w:rsid w:val="00674901"/>
    <w:rsid w:val="00674966"/>
    <w:rsid w:val="00674DD4"/>
    <w:rsid w:val="00675F6F"/>
    <w:rsid w:val="00676247"/>
    <w:rsid w:val="0067650C"/>
    <w:rsid w:val="00676599"/>
    <w:rsid w:val="006766C0"/>
    <w:rsid w:val="0067736D"/>
    <w:rsid w:val="00677727"/>
    <w:rsid w:val="00677E63"/>
    <w:rsid w:val="00677EA7"/>
    <w:rsid w:val="00680025"/>
    <w:rsid w:val="00680CBE"/>
    <w:rsid w:val="00680EEC"/>
    <w:rsid w:val="00681256"/>
    <w:rsid w:val="006821AC"/>
    <w:rsid w:val="00682252"/>
    <w:rsid w:val="00683127"/>
    <w:rsid w:val="00683347"/>
    <w:rsid w:val="00683736"/>
    <w:rsid w:val="00684343"/>
    <w:rsid w:val="00685122"/>
    <w:rsid w:val="006854BD"/>
    <w:rsid w:val="006855E1"/>
    <w:rsid w:val="00685B1D"/>
    <w:rsid w:val="00685C8C"/>
    <w:rsid w:val="00685F3C"/>
    <w:rsid w:val="00686587"/>
    <w:rsid w:val="006869FB"/>
    <w:rsid w:val="00686B86"/>
    <w:rsid w:val="00686FBF"/>
    <w:rsid w:val="00687104"/>
    <w:rsid w:val="00687569"/>
    <w:rsid w:val="00687891"/>
    <w:rsid w:val="006903E9"/>
    <w:rsid w:val="00690DA7"/>
    <w:rsid w:val="00691504"/>
    <w:rsid w:val="0069156D"/>
    <w:rsid w:val="00691704"/>
    <w:rsid w:val="00691720"/>
    <w:rsid w:val="006919F5"/>
    <w:rsid w:val="006922AF"/>
    <w:rsid w:val="00692406"/>
    <w:rsid w:val="006926B0"/>
    <w:rsid w:val="006928A6"/>
    <w:rsid w:val="00692D4B"/>
    <w:rsid w:val="00692E1D"/>
    <w:rsid w:val="00693508"/>
    <w:rsid w:val="00694BCB"/>
    <w:rsid w:val="00695364"/>
    <w:rsid w:val="006956C2"/>
    <w:rsid w:val="006959F0"/>
    <w:rsid w:val="00695DA8"/>
    <w:rsid w:val="00695F26"/>
    <w:rsid w:val="006965CB"/>
    <w:rsid w:val="00696A35"/>
    <w:rsid w:val="00696A4F"/>
    <w:rsid w:val="006977C9"/>
    <w:rsid w:val="0069796C"/>
    <w:rsid w:val="00697F11"/>
    <w:rsid w:val="006A031E"/>
    <w:rsid w:val="006A0F3B"/>
    <w:rsid w:val="006A1091"/>
    <w:rsid w:val="006A177C"/>
    <w:rsid w:val="006A29B5"/>
    <w:rsid w:val="006A3464"/>
    <w:rsid w:val="006A3D3C"/>
    <w:rsid w:val="006A4059"/>
    <w:rsid w:val="006A4504"/>
    <w:rsid w:val="006A4B5E"/>
    <w:rsid w:val="006A5819"/>
    <w:rsid w:val="006A589B"/>
    <w:rsid w:val="006A5F1D"/>
    <w:rsid w:val="006A653F"/>
    <w:rsid w:val="006A67F6"/>
    <w:rsid w:val="006A6F61"/>
    <w:rsid w:val="006A74B3"/>
    <w:rsid w:val="006A74E9"/>
    <w:rsid w:val="006A7E99"/>
    <w:rsid w:val="006B01E7"/>
    <w:rsid w:val="006B0AFE"/>
    <w:rsid w:val="006B0B3A"/>
    <w:rsid w:val="006B0FFF"/>
    <w:rsid w:val="006B1828"/>
    <w:rsid w:val="006B1E65"/>
    <w:rsid w:val="006B2403"/>
    <w:rsid w:val="006B25A7"/>
    <w:rsid w:val="006B2D4E"/>
    <w:rsid w:val="006B309C"/>
    <w:rsid w:val="006B319C"/>
    <w:rsid w:val="006B332C"/>
    <w:rsid w:val="006B34E3"/>
    <w:rsid w:val="006B398D"/>
    <w:rsid w:val="006B5033"/>
    <w:rsid w:val="006B549F"/>
    <w:rsid w:val="006B647A"/>
    <w:rsid w:val="006B653E"/>
    <w:rsid w:val="006B6A0B"/>
    <w:rsid w:val="006B7421"/>
    <w:rsid w:val="006B74D4"/>
    <w:rsid w:val="006B7B3C"/>
    <w:rsid w:val="006B7ECF"/>
    <w:rsid w:val="006C088E"/>
    <w:rsid w:val="006C1746"/>
    <w:rsid w:val="006C1DF2"/>
    <w:rsid w:val="006C2037"/>
    <w:rsid w:val="006C25F3"/>
    <w:rsid w:val="006C366B"/>
    <w:rsid w:val="006C39BF"/>
    <w:rsid w:val="006C39C3"/>
    <w:rsid w:val="006C4600"/>
    <w:rsid w:val="006C4B17"/>
    <w:rsid w:val="006C503B"/>
    <w:rsid w:val="006C5660"/>
    <w:rsid w:val="006C5D15"/>
    <w:rsid w:val="006C5E1E"/>
    <w:rsid w:val="006C63AC"/>
    <w:rsid w:val="006C721C"/>
    <w:rsid w:val="006C7320"/>
    <w:rsid w:val="006C7465"/>
    <w:rsid w:val="006C785D"/>
    <w:rsid w:val="006C78A9"/>
    <w:rsid w:val="006C7E3A"/>
    <w:rsid w:val="006D0230"/>
    <w:rsid w:val="006D0820"/>
    <w:rsid w:val="006D1524"/>
    <w:rsid w:val="006D163A"/>
    <w:rsid w:val="006D1D10"/>
    <w:rsid w:val="006D27F7"/>
    <w:rsid w:val="006D2FFD"/>
    <w:rsid w:val="006D342A"/>
    <w:rsid w:val="006D38EF"/>
    <w:rsid w:val="006D3AA4"/>
    <w:rsid w:val="006D4752"/>
    <w:rsid w:val="006D4848"/>
    <w:rsid w:val="006D4F76"/>
    <w:rsid w:val="006D5CC9"/>
    <w:rsid w:val="006D6D00"/>
    <w:rsid w:val="006D71BD"/>
    <w:rsid w:val="006D73F4"/>
    <w:rsid w:val="006D78A7"/>
    <w:rsid w:val="006E0041"/>
    <w:rsid w:val="006E0808"/>
    <w:rsid w:val="006E0ABC"/>
    <w:rsid w:val="006E0DBD"/>
    <w:rsid w:val="006E0F51"/>
    <w:rsid w:val="006E15EB"/>
    <w:rsid w:val="006E17D7"/>
    <w:rsid w:val="006E1A16"/>
    <w:rsid w:val="006E1D07"/>
    <w:rsid w:val="006E1ECB"/>
    <w:rsid w:val="006E28B0"/>
    <w:rsid w:val="006E2D6E"/>
    <w:rsid w:val="006E31AA"/>
    <w:rsid w:val="006E3402"/>
    <w:rsid w:val="006E390E"/>
    <w:rsid w:val="006E42CF"/>
    <w:rsid w:val="006E59A8"/>
    <w:rsid w:val="006E5BE1"/>
    <w:rsid w:val="006E7ED9"/>
    <w:rsid w:val="006F052F"/>
    <w:rsid w:val="006F0539"/>
    <w:rsid w:val="006F0E0E"/>
    <w:rsid w:val="006F0F6B"/>
    <w:rsid w:val="006F1046"/>
    <w:rsid w:val="006F118F"/>
    <w:rsid w:val="006F11D3"/>
    <w:rsid w:val="006F13F9"/>
    <w:rsid w:val="006F14E2"/>
    <w:rsid w:val="006F1598"/>
    <w:rsid w:val="006F168B"/>
    <w:rsid w:val="006F19E5"/>
    <w:rsid w:val="006F2015"/>
    <w:rsid w:val="006F28F4"/>
    <w:rsid w:val="006F2DD2"/>
    <w:rsid w:val="006F3046"/>
    <w:rsid w:val="006F3C16"/>
    <w:rsid w:val="006F4849"/>
    <w:rsid w:val="006F496A"/>
    <w:rsid w:val="006F4F81"/>
    <w:rsid w:val="006F5481"/>
    <w:rsid w:val="006F55DB"/>
    <w:rsid w:val="006F5C51"/>
    <w:rsid w:val="006F5E61"/>
    <w:rsid w:val="006F60EC"/>
    <w:rsid w:val="006F6742"/>
    <w:rsid w:val="006F68CE"/>
    <w:rsid w:val="006F77C8"/>
    <w:rsid w:val="006F79CA"/>
    <w:rsid w:val="006F7AA4"/>
    <w:rsid w:val="007006A9"/>
    <w:rsid w:val="00700A4A"/>
    <w:rsid w:val="007013D5"/>
    <w:rsid w:val="00701419"/>
    <w:rsid w:val="00701FDF"/>
    <w:rsid w:val="00702635"/>
    <w:rsid w:val="0070323D"/>
    <w:rsid w:val="00703465"/>
    <w:rsid w:val="0070385E"/>
    <w:rsid w:val="0070388F"/>
    <w:rsid w:val="00703F47"/>
    <w:rsid w:val="00704383"/>
    <w:rsid w:val="0070561F"/>
    <w:rsid w:val="0070605D"/>
    <w:rsid w:val="0070679C"/>
    <w:rsid w:val="00706B99"/>
    <w:rsid w:val="007070E5"/>
    <w:rsid w:val="007072E1"/>
    <w:rsid w:val="00707637"/>
    <w:rsid w:val="00707A38"/>
    <w:rsid w:val="00710820"/>
    <w:rsid w:val="00710980"/>
    <w:rsid w:val="00710A78"/>
    <w:rsid w:val="007112FC"/>
    <w:rsid w:val="0071141F"/>
    <w:rsid w:val="0071168A"/>
    <w:rsid w:val="00711C21"/>
    <w:rsid w:val="00711F2C"/>
    <w:rsid w:val="00711FB3"/>
    <w:rsid w:val="00712180"/>
    <w:rsid w:val="007125ED"/>
    <w:rsid w:val="00712D05"/>
    <w:rsid w:val="00713B8A"/>
    <w:rsid w:val="00713E44"/>
    <w:rsid w:val="0071431B"/>
    <w:rsid w:val="0071439C"/>
    <w:rsid w:val="0071457F"/>
    <w:rsid w:val="00715E03"/>
    <w:rsid w:val="00716093"/>
    <w:rsid w:val="007163E9"/>
    <w:rsid w:val="0071666D"/>
    <w:rsid w:val="00716AB5"/>
    <w:rsid w:val="00717E72"/>
    <w:rsid w:val="00720704"/>
    <w:rsid w:val="00720F38"/>
    <w:rsid w:val="00721216"/>
    <w:rsid w:val="0072128E"/>
    <w:rsid w:val="00721326"/>
    <w:rsid w:val="00721874"/>
    <w:rsid w:val="007218D9"/>
    <w:rsid w:val="00721A25"/>
    <w:rsid w:val="00722D63"/>
    <w:rsid w:val="007231E4"/>
    <w:rsid w:val="007232F8"/>
    <w:rsid w:val="007235EA"/>
    <w:rsid w:val="007236D3"/>
    <w:rsid w:val="00723947"/>
    <w:rsid w:val="00723D1E"/>
    <w:rsid w:val="00723D6E"/>
    <w:rsid w:val="00724175"/>
    <w:rsid w:val="00724990"/>
    <w:rsid w:val="00724D54"/>
    <w:rsid w:val="00724E97"/>
    <w:rsid w:val="00725E78"/>
    <w:rsid w:val="00725F3F"/>
    <w:rsid w:val="00726031"/>
    <w:rsid w:val="007273F1"/>
    <w:rsid w:val="00727CDC"/>
    <w:rsid w:val="00727E2A"/>
    <w:rsid w:val="00730970"/>
    <w:rsid w:val="00730B45"/>
    <w:rsid w:val="00730D08"/>
    <w:rsid w:val="007313F0"/>
    <w:rsid w:val="00731A3C"/>
    <w:rsid w:val="00731B92"/>
    <w:rsid w:val="00731CEB"/>
    <w:rsid w:val="00732743"/>
    <w:rsid w:val="00732C53"/>
    <w:rsid w:val="007333C0"/>
    <w:rsid w:val="0073361E"/>
    <w:rsid w:val="00734A7D"/>
    <w:rsid w:val="00734FDD"/>
    <w:rsid w:val="007350E4"/>
    <w:rsid w:val="00735389"/>
    <w:rsid w:val="0073562D"/>
    <w:rsid w:val="00735A4E"/>
    <w:rsid w:val="0073661F"/>
    <w:rsid w:val="00736B36"/>
    <w:rsid w:val="00736B46"/>
    <w:rsid w:val="00736D31"/>
    <w:rsid w:val="00736E86"/>
    <w:rsid w:val="007372BA"/>
    <w:rsid w:val="00737C08"/>
    <w:rsid w:val="00737D80"/>
    <w:rsid w:val="00737FC7"/>
    <w:rsid w:val="007400AB"/>
    <w:rsid w:val="00740328"/>
    <w:rsid w:val="007403D8"/>
    <w:rsid w:val="00740781"/>
    <w:rsid w:val="00740AF0"/>
    <w:rsid w:val="00740C27"/>
    <w:rsid w:val="00741627"/>
    <w:rsid w:val="00741699"/>
    <w:rsid w:val="007417D8"/>
    <w:rsid w:val="0074189B"/>
    <w:rsid w:val="00743F83"/>
    <w:rsid w:val="00744068"/>
    <w:rsid w:val="0074450D"/>
    <w:rsid w:val="007445D1"/>
    <w:rsid w:val="0074482A"/>
    <w:rsid w:val="00744AE9"/>
    <w:rsid w:val="00745499"/>
    <w:rsid w:val="0074667D"/>
    <w:rsid w:val="00746AFF"/>
    <w:rsid w:val="007474EA"/>
    <w:rsid w:val="007475F6"/>
    <w:rsid w:val="00747A80"/>
    <w:rsid w:val="00747E9B"/>
    <w:rsid w:val="00747EF7"/>
    <w:rsid w:val="00750949"/>
    <w:rsid w:val="007509EF"/>
    <w:rsid w:val="0075100F"/>
    <w:rsid w:val="0075107D"/>
    <w:rsid w:val="0075124A"/>
    <w:rsid w:val="00751CA3"/>
    <w:rsid w:val="007523B6"/>
    <w:rsid w:val="00752AD9"/>
    <w:rsid w:val="007530D7"/>
    <w:rsid w:val="0075316D"/>
    <w:rsid w:val="00753BD6"/>
    <w:rsid w:val="00753E64"/>
    <w:rsid w:val="00753EFE"/>
    <w:rsid w:val="00754446"/>
    <w:rsid w:val="00754715"/>
    <w:rsid w:val="00754A92"/>
    <w:rsid w:val="00754B4E"/>
    <w:rsid w:val="00754DDB"/>
    <w:rsid w:val="007568C8"/>
    <w:rsid w:val="00756972"/>
    <w:rsid w:val="00756A2E"/>
    <w:rsid w:val="00756D51"/>
    <w:rsid w:val="00757099"/>
    <w:rsid w:val="00757BA6"/>
    <w:rsid w:val="00760A34"/>
    <w:rsid w:val="00760C73"/>
    <w:rsid w:val="00760D44"/>
    <w:rsid w:val="00761151"/>
    <w:rsid w:val="00761532"/>
    <w:rsid w:val="00761CFD"/>
    <w:rsid w:val="00762105"/>
    <w:rsid w:val="00762406"/>
    <w:rsid w:val="007632E2"/>
    <w:rsid w:val="0076339B"/>
    <w:rsid w:val="00763665"/>
    <w:rsid w:val="00763A7C"/>
    <w:rsid w:val="00764136"/>
    <w:rsid w:val="00764F78"/>
    <w:rsid w:val="007651AF"/>
    <w:rsid w:val="0076615C"/>
    <w:rsid w:val="007661F5"/>
    <w:rsid w:val="007670E9"/>
    <w:rsid w:val="00767457"/>
    <w:rsid w:val="00767EBD"/>
    <w:rsid w:val="00770055"/>
    <w:rsid w:val="00770089"/>
    <w:rsid w:val="007700A3"/>
    <w:rsid w:val="007705FD"/>
    <w:rsid w:val="007706A5"/>
    <w:rsid w:val="00770FA6"/>
    <w:rsid w:val="00771197"/>
    <w:rsid w:val="00771373"/>
    <w:rsid w:val="00771417"/>
    <w:rsid w:val="0077163B"/>
    <w:rsid w:val="0077188E"/>
    <w:rsid w:val="00771DD7"/>
    <w:rsid w:val="00771ECE"/>
    <w:rsid w:val="0077276E"/>
    <w:rsid w:val="0077325D"/>
    <w:rsid w:val="00773671"/>
    <w:rsid w:val="0077386F"/>
    <w:rsid w:val="00773F3A"/>
    <w:rsid w:val="00774179"/>
    <w:rsid w:val="007746BE"/>
    <w:rsid w:val="0077569D"/>
    <w:rsid w:val="007759DD"/>
    <w:rsid w:val="007760FF"/>
    <w:rsid w:val="00776342"/>
    <w:rsid w:val="00776E47"/>
    <w:rsid w:val="00776EEB"/>
    <w:rsid w:val="007774B5"/>
    <w:rsid w:val="00777861"/>
    <w:rsid w:val="0077790D"/>
    <w:rsid w:val="00777E2F"/>
    <w:rsid w:val="007800AE"/>
    <w:rsid w:val="00781356"/>
    <w:rsid w:val="0078136C"/>
    <w:rsid w:val="007813C7"/>
    <w:rsid w:val="007825A9"/>
    <w:rsid w:val="007826F1"/>
    <w:rsid w:val="00782710"/>
    <w:rsid w:val="00782BDF"/>
    <w:rsid w:val="00782DE8"/>
    <w:rsid w:val="007830AF"/>
    <w:rsid w:val="0078334F"/>
    <w:rsid w:val="007837B5"/>
    <w:rsid w:val="007838C4"/>
    <w:rsid w:val="00783F2B"/>
    <w:rsid w:val="00784108"/>
    <w:rsid w:val="00784604"/>
    <w:rsid w:val="007847CE"/>
    <w:rsid w:val="0078481A"/>
    <w:rsid w:val="00784CD9"/>
    <w:rsid w:val="00784DAE"/>
    <w:rsid w:val="00785176"/>
    <w:rsid w:val="00785460"/>
    <w:rsid w:val="00785ADC"/>
    <w:rsid w:val="00785B9B"/>
    <w:rsid w:val="00787107"/>
    <w:rsid w:val="00787129"/>
    <w:rsid w:val="0078729D"/>
    <w:rsid w:val="00787318"/>
    <w:rsid w:val="007875F6"/>
    <w:rsid w:val="007879D4"/>
    <w:rsid w:val="007903A9"/>
    <w:rsid w:val="00790580"/>
    <w:rsid w:val="0079130C"/>
    <w:rsid w:val="007913C9"/>
    <w:rsid w:val="007922A6"/>
    <w:rsid w:val="0079240C"/>
    <w:rsid w:val="007925C0"/>
    <w:rsid w:val="00792CDE"/>
    <w:rsid w:val="00793720"/>
    <w:rsid w:val="00793CAC"/>
    <w:rsid w:val="00793CFD"/>
    <w:rsid w:val="00793FC3"/>
    <w:rsid w:val="007941D4"/>
    <w:rsid w:val="007946C0"/>
    <w:rsid w:val="007946FB"/>
    <w:rsid w:val="00794F40"/>
    <w:rsid w:val="00795150"/>
    <w:rsid w:val="007954C8"/>
    <w:rsid w:val="007955CA"/>
    <w:rsid w:val="007957F4"/>
    <w:rsid w:val="00795817"/>
    <w:rsid w:val="0079615B"/>
    <w:rsid w:val="00796C7C"/>
    <w:rsid w:val="00797F11"/>
    <w:rsid w:val="007A071B"/>
    <w:rsid w:val="007A0A77"/>
    <w:rsid w:val="007A1421"/>
    <w:rsid w:val="007A1DE4"/>
    <w:rsid w:val="007A2048"/>
    <w:rsid w:val="007A211D"/>
    <w:rsid w:val="007A22C2"/>
    <w:rsid w:val="007A25E0"/>
    <w:rsid w:val="007A276E"/>
    <w:rsid w:val="007A2DB4"/>
    <w:rsid w:val="007A3302"/>
    <w:rsid w:val="007A3335"/>
    <w:rsid w:val="007A36D1"/>
    <w:rsid w:val="007A39D8"/>
    <w:rsid w:val="007A3C41"/>
    <w:rsid w:val="007A3FA7"/>
    <w:rsid w:val="007A3FBE"/>
    <w:rsid w:val="007A41D6"/>
    <w:rsid w:val="007A4F0F"/>
    <w:rsid w:val="007A5A90"/>
    <w:rsid w:val="007A5B25"/>
    <w:rsid w:val="007A645A"/>
    <w:rsid w:val="007A69C3"/>
    <w:rsid w:val="007A6AA8"/>
    <w:rsid w:val="007A6D90"/>
    <w:rsid w:val="007A731A"/>
    <w:rsid w:val="007A7453"/>
    <w:rsid w:val="007A7B6E"/>
    <w:rsid w:val="007B0600"/>
    <w:rsid w:val="007B0801"/>
    <w:rsid w:val="007B0832"/>
    <w:rsid w:val="007B09DB"/>
    <w:rsid w:val="007B0B35"/>
    <w:rsid w:val="007B19AD"/>
    <w:rsid w:val="007B1D8A"/>
    <w:rsid w:val="007B1E09"/>
    <w:rsid w:val="007B2693"/>
    <w:rsid w:val="007B2F1E"/>
    <w:rsid w:val="007B342A"/>
    <w:rsid w:val="007B36E4"/>
    <w:rsid w:val="007B3B27"/>
    <w:rsid w:val="007B3FE2"/>
    <w:rsid w:val="007B4382"/>
    <w:rsid w:val="007B479F"/>
    <w:rsid w:val="007B494D"/>
    <w:rsid w:val="007B575F"/>
    <w:rsid w:val="007B5BFF"/>
    <w:rsid w:val="007B5F19"/>
    <w:rsid w:val="007B5F59"/>
    <w:rsid w:val="007B634F"/>
    <w:rsid w:val="007B63E1"/>
    <w:rsid w:val="007B6C56"/>
    <w:rsid w:val="007B73C6"/>
    <w:rsid w:val="007B7636"/>
    <w:rsid w:val="007B77EF"/>
    <w:rsid w:val="007B77F0"/>
    <w:rsid w:val="007C0053"/>
    <w:rsid w:val="007C0094"/>
    <w:rsid w:val="007C0E21"/>
    <w:rsid w:val="007C106E"/>
    <w:rsid w:val="007C10A5"/>
    <w:rsid w:val="007C132C"/>
    <w:rsid w:val="007C15FA"/>
    <w:rsid w:val="007C16EE"/>
    <w:rsid w:val="007C1AAA"/>
    <w:rsid w:val="007C1EA5"/>
    <w:rsid w:val="007C1EB6"/>
    <w:rsid w:val="007C1F49"/>
    <w:rsid w:val="007C2051"/>
    <w:rsid w:val="007C2737"/>
    <w:rsid w:val="007C2D3D"/>
    <w:rsid w:val="007C3144"/>
    <w:rsid w:val="007C377D"/>
    <w:rsid w:val="007C3946"/>
    <w:rsid w:val="007C3A57"/>
    <w:rsid w:val="007C41C5"/>
    <w:rsid w:val="007C468B"/>
    <w:rsid w:val="007C48F4"/>
    <w:rsid w:val="007C4F70"/>
    <w:rsid w:val="007C5232"/>
    <w:rsid w:val="007C595D"/>
    <w:rsid w:val="007C604A"/>
    <w:rsid w:val="007C60C0"/>
    <w:rsid w:val="007C6B2A"/>
    <w:rsid w:val="007C6CA9"/>
    <w:rsid w:val="007C6DA1"/>
    <w:rsid w:val="007C6DBE"/>
    <w:rsid w:val="007C73F9"/>
    <w:rsid w:val="007C7B90"/>
    <w:rsid w:val="007C7BF1"/>
    <w:rsid w:val="007D0482"/>
    <w:rsid w:val="007D081A"/>
    <w:rsid w:val="007D0A70"/>
    <w:rsid w:val="007D16A3"/>
    <w:rsid w:val="007D1E47"/>
    <w:rsid w:val="007D2AD4"/>
    <w:rsid w:val="007D3750"/>
    <w:rsid w:val="007D3BF2"/>
    <w:rsid w:val="007D468E"/>
    <w:rsid w:val="007D4BC3"/>
    <w:rsid w:val="007D4BF4"/>
    <w:rsid w:val="007D4DEF"/>
    <w:rsid w:val="007D4E9A"/>
    <w:rsid w:val="007D4EE1"/>
    <w:rsid w:val="007D59FB"/>
    <w:rsid w:val="007D619C"/>
    <w:rsid w:val="007D69A1"/>
    <w:rsid w:val="007D71AE"/>
    <w:rsid w:val="007D7461"/>
    <w:rsid w:val="007E04A0"/>
    <w:rsid w:val="007E0528"/>
    <w:rsid w:val="007E0534"/>
    <w:rsid w:val="007E06AE"/>
    <w:rsid w:val="007E08F6"/>
    <w:rsid w:val="007E12DC"/>
    <w:rsid w:val="007E1305"/>
    <w:rsid w:val="007E151A"/>
    <w:rsid w:val="007E161F"/>
    <w:rsid w:val="007E1B64"/>
    <w:rsid w:val="007E1CE1"/>
    <w:rsid w:val="007E1D00"/>
    <w:rsid w:val="007E1D34"/>
    <w:rsid w:val="007E1F52"/>
    <w:rsid w:val="007E2ABF"/>
    <w:rsid w:val="007E2C3A"/>
    <w:rsid w:val="007E2FF9"/>
    <w:rsid w:val="007E38D7"/>
    <w:rsid w:val="007E44A0"/>
    <w:rsid w:val="007E4C7E"/>
    <w:rsid w:val="007E4F7B"/>
    <w:rsid w:val="007E52AC"/>
    <w:rsid w:val="007E53C1"/>
    <w:rsid w:val="007E5A18"/>
    <w:rsid w:val="007E5A1C"/>
    <w:rsid w:val="007E60E9"/>
    <w:rsid w:val="007E676F"/>
    <w:rsid w:val="007E6851"/>
    <w:rsid w:val="007E7128"/>
    <w:rsid w:val="007E72ED"/>
    <w:rsid w:val="007F083E"/>
    <w:rsid w:val="007F10F4"/>
    <w:rsid w:val="007F193B"/>
    <w:rsid w:val="007F285D"/>
    <w:rsid w:val="007F2993"/>
    <w:rsid w:val="007F2C29"/>
    <w:rsid w:val="007F2CD7"/>
    <w:rsid w:val="007F34E8"/>
    <w:rsid w:val="007F40A6"/>
    <w:rsid w:val="007F42FD"/>
    <w:rsid w:val="007F4694"/>
    <w:rsid w:val="007F4AD9"/>
    <w:rsid w:val="007F5625"/>
    <w:rsid w:val="007F56F1"/>
    <w:rsid w:val="007F5DA9"/>
    <w:rsid w:val="007F6124"/>
    <w:rsid w:val="007F65C3"/>
    <w:rsid w:val="007F683C"/>
    <w:rsid w:val="007F7AF2"/>
    <w:rsid w:val="007F7DCC"/>
    <w:rsid w:val="00800AA6"/>
    <w:rsid w:val="008012A8"/>
    <w:rsid w:val="00801357"/>
    <w:rsid w:val="00801401"/>
    <w:rsid w:val="008019A6"/>
    <w:rsid w:val="00801FC1"/>
    <w:rsid w:val="00801FCE"/>
    <w:rsid w:val="00803C6A"/>
    <w:rsid w:val="00804356"/>
    <w:rsid w:val="008048DA"/>
    <w:rsid w:val="00804CEE"/>
    <w:rsid w:val="00804E70"/>
    <w:rsid w:val="0080589B"/>
    <w:rsid w:val="0080590B"/>
    <w:rsid w:val="008059CB"/>
    <w:rsid w:val="00805A29"/>
    <w:rsid w:val="00805F12"/>
    <w:rsid w:val="00805FC9"/>
    <w:rsid w:val="00806A5D"/>
    <w:rsid w:val="0080705B"/>
    <w:rsid w:val="00807083"/>
    <w:rsid w:val="0080742D"/>
    <w:rsid w:val="00807F10"/>
    <w:rsid w:val="00807F9F"/>
    <w:rsid w:val="00810302"/>
    <w:rsid w:val="0081087D"/>
    <w:rsid w:val="0081140B"/>
    <w:rsid w:val="008115BB"/>
    <w:rsid w:val="008117DB"/>
    <w:rsid w:val="00811FA5"/>
    <w:rsid w:val="0081212B"/>
    <w:rsid w:val="00812566"/>
    <w:rsid w:val="00812A29"/>
    <w:rsid w:val="00812A8B"/>
    <w:rsid w:val="008137C1"/>
    <w:rsid w:val="00813F2A"/>
    <w:rsid w:val="0081409C"/>
    <w:rsid w:val="00814295"/>
    <w:rsid w:val="008143AB"/>
    <w:rsid w:val="00814616"/>
    <w:rsid w:val="00814A55"/>
    <w:rsid w:val="00814EFD"/>
    <w:rsid w:val="00814FCE"/>
    <w:rsid w:val="00814FF4"/>
    <w:rsid w:val="0081554B"/>
    <w:rsid w:val="008155C2"/>
    <w:rsid w:val="00815EAA"/>
    <w:rsid w:val="00815F0A"/>
    <w:rsid w:val="00816AA8"/>
    <w:rsid w:val="00817343"/>
    <w:rsid w:val="008203B6"/>
    <w:rsid w:val="008211E5"/>
    <w:rsid w:val="008212BF"/>
    <w:rsid w:val="008213FD"/>
    <w:rsid w:val="008214A9"/>
    <w:rsid w:val="0082181F"/>
    <w:rsid w:val="00821BF8"/>
    <w:rsid w:val="00822492"/>
    <w:rsid w:val="0082262D"/>
    <w:rsid w:val="00822826"/>
    <w:rsid w:val="008228E6"/>
    <w:rsid w:val="00822B08"/>
    <w:rsid w:val="00822E85"/>
    <w:rsid w:val="008234CF"/>
    <w:rsid w:val="008235CD"/>
    <w:rsid w:val="0082375B"/>
    <w:rsid w:val="00823BFB"/>
    <w:rsid w:val="00823E39"/>
    <w:rsid w:val="00823F86"/>
    <w:rsid w:val="00824318"/>
    <w:rsid w:val="0082431D"/>
    <w:rsid w:val="008249AA"/>
    <w:rsid w:val="00824A39"/>
    <w:rsid w:val="00825132"/>
    <w:rsid w:val="00825AD2"/>
    <w:rsid w:val="00825DEF"/>
    <w:rsid w:val="008263F9"/>
    <w:rsid w:val="00826FA1"/>
    <w:rsid w:val="00827002"/>
    <w:rsid w:val="00827783"/>
    <w:rsid w:val="0083088D"/>
    <w:rsid w:val="00830FB6"/>
    <w:rsid w:val="008314F3"/>
    <w:rsid w:val="00831687"/>
    <w:rsid w:val="00831D6F"/>
    <w:rsid w:val="00831D91"/>
    <w:rsid w:val="00831DB4"/>
    <w:rsid w:val="00831E28"/>
    <w:rsid w:val="00832148"/>
    <w:rsid w:val="00832288"/>
    <w:rsid w:val="008327AD"/>
    <w:rsid w:val="008330B0"/>
    <w:rsid w:val="0083348A"/>
    <w:rsid w:val="00833674"/>
    <w:rsid w:val="0083369E"/>
    <w:rsid w:val="0083398F"/>
    <w:rsid w:val="00833AAA"/>
    <w:rsid w:val="00833E93"/>
    <w:rsid w:val="00834512"/>
    <w:rsid w:val="00834B72"/>
    <w:rsid w:val="0083555A"/>
    <w:rsid w:val="00835A67"/>
    <w:rsid w:val="00836D90"/>
    <w:rsid w:val="00836DBD"/>
    <w:rsid w:val="00836E66"/>
    <w:rsid w:val="00836F79"/>
    <w:rsid w:val="0083714A"/>
    <w:rsid w:val="008377D1"/>
    <w:rsid w:val="008378A5"/>
    <w:rsid w:val="00837D80"/>
    <w:rsid w:val="0084118C"/>
    <w:rsid w:val="008419D1"/>
    <w:rsid w:val="00841A8A"/>
    <w:rsid w:val="00841C0C"/>
    <w:rsid w:val="00841EFC"/>
    <w:rsid w:val="00841F07"/>
    <w:rsid w:val="00842622"/>
    <w:rsid w:val="00842BA5"/>
    <w:rsid w:val="00842D32"/>
    <w:rsid w:val="00842F79"/>
    <w:rsid w:val="008432CF"/>
    <w:rsid w:val="00843420"/>
    <w:rsid w:val="008444B9"/>
    <w:rsid w:val="0084479C"/>
    <w:rsid w:val="00844A0A"/>
    <w:rsid w:val="00844BC9"/>
    <w:rsid w:val="00845037"/>
    <w:rsid w:val="00845428"/>
    <w:rsid w:val="00845466"/>
    <w:rsid w:val="0084566B"/>
    <w:rsid w:val="00845D79"/>
    <w:rsid w:val="00846429"/>
    <w:rsid w:val="008469D5"/>
    <w:rsid w:val="00846D6C"/>
    <w:rsid w:val="00847B8F"/>
    <w:rsid w:val="00847C40"/>
    <w:rsid w:val="00847CE7"/>
    <w:rsid w:val="00847CE9"/>
    <w:rsid w:val="00847D5A"/>
    <w:rsid w:val="00850873"/>
    <w:rsid w:val="0085093C"/>
    <w:rsid w:val="00850D52"/>
    <w:rsid w:val="00851165"/>
    <w:rsid w:val="00851175"/>
    <w:rsid w:val="008512F4"/>
    <w:rsid w:val="0085133B"/>
    <w:rsid w:val="00851AA9"/>
    <w:rsid w:val="0085296E"/>
    <w:rsid w:val="00852A46"/>
    <w:rsid w:val="0085387C"/>
    <w:rsid w:val="008539A5"/>
    <w:rsid w:val="00853B1F"/>
    <w:rsid w:val="00853CB8"/>
    <w:rsid w:val="0085448C"/>
    <w:rsid w:val="008546E8"/>
    <w:rsid w:val="008547BD"/>
    <w:rsid w:val="00855FCB"/>
    <w:rsid w:val="00855FD4"/>
    <w:rsid w:val="008560F3"/>
    <w:rsid w:val="00856D41"/>
    <w:rsid w:val="00857586"/>
    <w:rsid w:val="008575EE"/>
    <w:rsid w:val="00857AD2"/>
    <w:rsid w:val="00857B74"/>
    <w:rsid w:val="0086044E"/>
    <w:rsid w:val="00860714"/>
    <w:rsid w:val="00860CC5"/>
    <w:rsid w:val="008610D1"/>
    <w:rsid w:val="008615B8"/>
    <w:rsid w:val="0086161A"/>
    <w:rsid w:val="00861B3C"/>
    <w:rsid w:val="00861BB9"/>
    <w:rsid w:val="00861C2F"/>
    <w:rsid w:val="0086218E"/>
    <w:rsid w:val="0086255C"/>
    <w:rsid w:val="00863008"/>
    <w:rsid w:val="008630C8"/>
    <w:rsid w:val="008632F0"/>
    <w:rsid w:val="008633E5"/>
    <w:rsid w:val="008637BA"/>
    <w:rsid w:val="008639C4"/>
    <w:rsid w:val="00863A36"/>
    <w:rsid w:val="00863C2F"/>
    <w:rsid w:val="008641A3"/>
    <w:rsid w:val="00865355"/>
    <w:rsid w:val="00865588"/>
    <w:rsid w:val="00866887"/>
    <w:rsid w:val="00866A4E"/>
    <w:rsid w:val="008672A0"/>
    <w:rsid w:val="00870651"/>
    <w:rsid w:val="008707D8"/>
    <w:rsid w:val="00870B91"/>
    <w:rsid w:val="00871394"/>
    <w:rsid w:val="00871497"/>
    <w:rsid w:val="0087198C"/>
    <w:rsid w:val="00871E08"/>
    <w:rsid w:val="008722B3"/>
    <w:rsid w:val="00872BA5"/>
    <w:rsid w:val="00872BE4"/>
    <w:rsid w:val="00873D85"/>
    <w:rsid w:val="008742B2"/>
    <w:rsid w:val="0087446D"/>
    <w:rsid w:val="008750FF"/>
    <w:rsid w:val="0087550A"/>
    <w:rsid w:val="0087640F"/>
    <w:rsid w:val="0087668F"/>
    <w:rsid w:val="00876A63"/>
    <w:rsid w:val="008774BE"/>
    <w:rsid w:val="0087784C"/>
    <w:rsid w:val="00877B83"/>
    <w:rsid w:val="0088061F"/>
    <w:rsid w:val="0088086D"/>
    <w:rsid w:val="00880C59"/>
    <w:rsid w:val="00880D3F"/>
    <w:rsid w:val="00880E9F"/>
    <w:rsid w:val="0088123E"/>
    <w:rsid w:val="00881387"/>
    <w:rsid w:val="008813AD"/>
    <w:rsid w:val="0088164A"/>
    <w:rsid w:val="008819C2"/>
    <w:rsid w:val="00881D8A"/>
    <w:rsid w:val="00882274"/>
    <w:rsid w:val="0088265A"/>
    <w:rsid w:val="00882AC6"/>
    <w:rsid w:val="00882BC7"/>
    <w:rsid w:val="00883468"/>
    <w:rsid w:val="0088378A"/>
    <w:rsid w:val="00883846"/>
    <w:rsid w:val="00883D2A"/>
    <w:rsid w:val="008842FA"/>
    <w:rsid w:val="00884635"/>
    <w:rsid w:val="00884953"/>
    <w:rsid w:val="00885044"/>
    <w:rsid w:val="00885612"/>
    <w:rsid w:val="00885C4F"/>
    <w:rsid w:val="00885C79"/>
    <w:rsid w:val="00886035"/>
    <w:rsid w:val="00886578"/>
    <w:rsid w:val="0088659E"/>
    <w:rsid w:val="008866E2"/>
    <w:rsid w:val="008866ED"/>
    <w:rsid w:val="00886862"/>
    <w:rsid w:val="008868BE"/>
    <w:rsid w:val="00886ABE"/>
    <w:rsid w:val="008870A5"/>
    <w:rsid w:val="008871B9"/>
    <w:rsid w:val="008872F0"/>
    <w:rsid w:val="00887A1E"/>
    <w:rsid w:val="00887AA9"/>
    <w:rsid w:val="00887DDF"/>
    <w:rsid w:val="00890568"/>
    <w:rsid w:val="00890A69"/>
    <w:rsid w:val="00891772"/>
    <w:rsid w:val="00891A0F"/>
    <w:rsid w:val="00891B45"/>
    <w:rsid w:val="00892A82"/>
    <w:rsid w:val="00892DCB"/>
    <w:rsid w:val="00893297"/>
    <w:rsid w:val="00893380"/>
    <w:rsid w:val="00893DD3"/>
    <w:rsid w:val="0089402B"/>
    <w:rsid w:val="0089482E"/>
    <w:rsid w:val="008948C0"/>
    <w:rsid w:val="00894BBD"/>
    <w:rsid w:val="008953D3"/>
    <w:rsid w:val="00895478"/>
    <w:rsid w:val="00895A1E"/>
    <w:rsid w:val="00895CA4"/>
    <w:rsid w:val="00895DE8"/>
    <w:rsid w:val="008960EA"/>
    <w:rsid w:val="008965C9"/>
    <w:rsid w:val="00897297"/>
    <w:rsid w:val="00897620"/>
    <w:rsid w:val="008977EA"/>
    <w:rsid w:val="00897C71"/>
    <w:rsid w:val="008A14F8"/>
    <w:rsid w:val="008A1C67"/>
    <w:rsid w:val="008A1FE1"/>
    <w:rsid w:val="008A21D3"/>
    <w:rsid w:val="008A2A1F"/>
    <w:rsid w:val="008A2B10"/>
    <w:rsid w:val="008A2ECB"/>
    <w:rsid w:val="008A39AE"/>
    <w:rsid w:val="008A3F87"/>
    <w:rsid w:val="008A4579"/>
    <w:rsid w:val="008A47E1"/>
    <w:rsid w:val="008A4954"/>
    <w:rsid w:val="008A5407"/>
    <w:rsid w:val="008A54B4"/>
    <w:rsid w:val="008A54EB"/>
    <w:rsid w:val="008A556E"/>
    <w:rsid w:val="008A55E8"/>
    <w:rsid w:val="008A6168"/>
    <w:rsid w:val="008A63AB"/>
    <w:rsid w:val="008A63CB"/>
    <w:rsid w:val="008A6717"/>
    <w:rsid w:val="008A6B28"/>
    <w:rsid w:val="008A6B4F"/>
    <w:rsid w:val="008A6CFF"/>
    <w:rsid w:val="008A71B5"/>
    <w:rsid w:val="008A77CC"/>
    <w:rsid w:val="008A7ADF"/>
    <w:rsid w:val="008A7DED"/>
    <w:rsid w:val="008B00C0"/>
    <w:rsid w:val="008B0716"/>
    <w:rsid w:val="008B0F3C"/>
    <w:rsid w:val="008B0FD9"/>
    <w:rsid w:val="008B0FFC"/>
    <w:rsid w:val="008B10B0"/>
    <w:rsid w:val="008B131F"/>
    <w:rsid w:val="008B18EE"/>
    <w:rsid w:val="008B1D01"/>
    <w:rsid w:val="008B2859"/>
    <w:rsid w:val="008B2967"/>
    <w:rsid w:val="008B30B3"/>
    <w:rsid w:val="008B3842"/>
    <w:rsid w:val="008B3E85"/>
    <w:rsid w:val="008B431C"/>
    <w:rsid w:val="008B44FD"/>
    <w:rsid w:val="008B4529"/>
    <w:rsid w:val="008B46ED"/>
    <w:rsid w:val="008B4991"/>
    <w:rsid w:val="008B4C07"/>
    <w:rsid w:val="008B4F80"/>
    <w:rsid w:val="008B4F8C"/>
    <w:rsid w:val="008B52A7"/>
    <w:rsid w:val="008B5B07"/>
    <w:rsid w:val="008B5B94"/>
    <w:rsid w:val="008B5F15"/>
    <w:rsid w:val="008B61E2"/>
    <w:rsid w:val="008B6503"/>
    <w:rsid w:val="008B670B"/>
    <w:rsid w:val="008B6ACC"/>
    <w:rsid w:val="008B756E"/>
    <w:rsid w:val="008B7708"/>
    <w:rsid w:val="008B7CCA"/>
    <w:rsid w:val="008C04B5"/>
    <w:rsid w:val="008C090F"/>
    <w:rsid w:val="008C0911"/>
    <w:rsid w:val="008C0A1D"/>
    <w:rsid w:val="008C1078"/>
    <w:rsid w:val="008C1881"/>
    <w:rsid w:val="008C1AD5"/>
    <w:rsid w:val="008C2F60"/>
    <w:rsid w:val="008C3636"/>
    <w:rsid w:val="008C4BDC"/>
    <w:rsid w:val="008C56D0"/>
    <w:rsid w:val="008C5C50"/>
    <w:rsid w:val="008C71A7"/>
    <w:rsid w:val="008D02CB"/>
    <w:rsid w:val="008D0596"/>
    <w:rsid w:val="008D0868"/>
    <w:rsid w:val="008D0D33"/>
    <w:rsid w:val="008D0F52"/>
    <w:rsid w:val="008D1592"/>
    <w:rsid w:val="008D1707"/>
    <w:rsid w:val="008D1765"/>
    <w:rsid w:val="008D1C13"/>
    <w:rsid w:val="008D1D6F"/>
    <w:rsid w:val="008D1DE0"/>
    <w:rsid w:val="008D1FF3"/>
    <w:rsid w:val="008D2492"/>
    <w:rsid w:val="008D2682"/>
    <w:rsid w:val="008D37CC"/>
    <w:rsid w:val="008D4015"/>
    <w:rsid w:val="008D430D"/>
    <w:rsid w:val="008D47E9"/>
    <w:rsid w:val="008D50AE"/>
    <w:rsid w:val="008D513A"/>
    <w:rsid w:val="008D67DB"/>
    <w:rsid w:val="008D6A81"/>
    <w:rsid w:val="008D7842"/>
    <w:rsid w:val="008D7D44"/>
    <w:rsid w:val="008E077E"/>
    <w:rsid w:val="008E0A5D"/>
    <w:rsid w:val="008E1713"/>
    <w:rsid w:val="008E1DF8"/>
    <w:rsid w:val="008E2121"/>
    <w:rsid w:val="008E261D"/>
    <w:rsid w:val="008E274C"/>
    <w:rsid w:val="008E29A9"/>
    <w:rsid w:val="008E2DA1"/>
    <w:rsid w:val="008E343B"/>
    <w:rsid w:val="008E3595"/>
    <w:rsid w:val="008E37A1"/>
    <w:rsid w:val="008E3D18"/>
    <w:rsid w:val="008E4238"/>
    <w:rsid w:val="008E4F36"/>
    <w:rsid w:val="008E599F"/>
    <w:rsid w:val="008E5DB1"/>
    <w:rsid w:val="008E5EF2"/>
    <w:rsid w:val="008E61A5"/>
    <w:rsid w:val="008E62F8"/>
    <w:rsid w:val="008E6A69"/>
    <w:rsid w:val="008E747C"/>
    <w:rsid w:val="008E7584"/>
    <w:rsid w:val="008E7BB1"/>
    <w:rsid w:val="008E7BE6"/>
    <w:rsid w:val="008E7E0D"/>
    <w:rsid w:val="008F0033"/>
    <w:rsid w:val="008F00F9"/>
    <w:rsid w:val="008F06A9"/>
    <w:rsid w:val="008F1106"/>
    <w:rsid w:val="008F1184"/>
    <w:rsid w:val="008F1B16"/>
    <w:rsid w:val="008F1BD1"/>
    <w:rsid w:val="008F1BEC"/>
    <w:rsid w:val="008F1C03"/>
    <w:rsid w:val="008F1EDF"/>
    <w:rsid w:val="008F2841"/>
    <w:rsid w:val="008F2CB3"/>
    <w:rsid w:val="008F2CF5"/>
    <w:rsid w:val="008F2DF4"/>
    <w:rsid w:val="008F3381"/>
    <w:rsid w:val="008F3481"/>
    <w:rsid w:val="008F3BCF"/>
    <w:rsid w:val="008F3DDD"/>
    <w:rsid w:val="008F46EE"/>
    <w:rsid w:val="008F5F7F"/>
    <w:rsid w:val="008F6009"/>
    <w:rsid w:val="008F6CB5"/>
    <w:rsid w:val="008F6EB2"/>
    <w:rsid w:val="008F6FE3"/>
    <w:rsid w:val="008F7AAC"/>
    <w:rsid w:val="0090009A"/>
    <w:rsid w:val="009006CB"/>
    <w:rsid w:val="0090141A"/>
    <w:rsid w:val="00901521"/>
    <w:rsid w:val="009016C6"/>
    <w:rsid w:val="00901E87"/>
    <w:rsid w:val="00901F26"/>
    <w:rsid w:val="009021E8"/>
    <w:rsid w:val="0090258D"/>
    <w:rsid w:val="009027C2"/>
    <w:rsid w:val="00902AE7"/>
    <w:rsid w:val="009038FF"/>
    <w:rsid w:val="00903C31"/>
    <w:rsid w:val="00903E77"/>
    <w:rsid w:val="009045AA"/>
    <w:rsid w:val="00904907"/>
    <w:rsid w:val="00904950"/>
    <w:rsid w:val="00904C33"/>
    <w:rsid w:val="00905233"/>
    <w:rsid w:val="009054A6"/>
    <w:rsid w:val="00905B55"/>
    <w:rsid w:val="00906C1F"/>
    <w:rsid w:val="009071A0"/>
    <w:rsid w:val="00907680"/>
    <w:rsid w:val="009077CB"/>
    <w:rsid w:val="00907BD2"/>
    <w:rsid w:val="00907C3A"/>
    <w:rsid w:val="00907CD9"/>
    <w:rsid w:val="00907D5A"/>
    <w:rsid w:val="009104A2"/>
    <w:rsid w:val="00910553"/>
    <w:rsid w:val="00910C8C"/>
    <w:rsid w:val="00910ED4"/>
    <w:rsid w:val="00911184"/>
    <w:rsid w:val="009117F5"/>
    <w:rsid w:val="009120F7"/>
    <w:rsid w:val="00912372"/>
    <w:rsid w:val="0091276F"/>
    <w:rsid w:val="00912BB1"/>
    <w:rsid w:val="0091302A"/>
    <w:rsid w:val="0091361E"/>
    <w:rsid w:val="00913A02"/>
    <w:rsid w:val="00913E7F"/>
    <w:rsid w:val="00913FBB"/>
    <w:rsid w:val="00913FCC"/>
    <w:rsid w:val="009143FF"/>
    <w:rsid w:val="009152BF"/>
    <w:rsid w:val="00915E5B"/>
    <w:rsid w:val="00915F25"/>
    <w:rsid w:val="009163C9"/>
    <w:rsid w:val="009168AE"/>
    <w:rsid w:val="00916967"/>
    <w:rsid w:val="00917DFD"/>
    <w:rsid w:val="00920123"/>
    <w:rsid w:val="00920541"/>
    <w:rsid w:val="00920C80"/>
    <w:rsid w:val="00920E25"/>
    <w:rsid w:val="00921275"/>
    <w:rsid w:val="0092158D"/>
    <w:rsid w:val="0092188C"/>
    <w:rsid w:val="009218DF"/>
    <w:rsid w:val="0092220C"/>
    <w:rsid w:val="0092404C"/>
    <w:rsid w:val="00924594"/>
    <w:rsid w:val="00924627"/>
    <w:rsid w:val="0092484A"/>
    <w:rsid w:val="0092490C"/>
    <w:rsid w:val="00924919"/>
    <w:rsid w:val="00925125"/>
    <w:rsid w:val="009252A9"/>
    <w:rsid w:val="009253D3"/>
    <w:rsid w:val="009259DC"/>
    <w:rsid w:val="00925E17"/>
    <w:rsid w:val="00925FEC"/>
    <w:rsid w:val="00926160"/>
    <w:rsid w:val="0092647E"/>
    <w:rsid w:val="009264B1"/>
    <w:rsid w:val="009266CB"/>
    <w:rsid w:val="00926C5E"/>
    <w:rsid w:val="009274C2"/>
    <w:rsid w:val="0092784B"/>
    <w:rsid w:val="00927934"/>
    <w:rsid w:val="00927F6C"/>
    <w:rsid w:val="00930133"/>
    <w:rsid w:val="00930A02"/>
    <w:rsid w:val="00930D13"/>
    <w:rsid w:val="009313F7"/>
    <w:rsid w:val="00931404"/>
    <w:rsid w:val="009317E9"/>
    <w:rsid w:val="0093229C"/>
    <w:rsid w:val="00932803"/>
    <w:rsid w:val="00932D0C"/>
    <w:rsid w:val="00933016"/>
    <w:rsid w:val="00934104"/>
    <w:rsid w:val="009348F2"/>
    <w:rsid w:val="00934971"/>
    <w:rsid w:val="00936212"/>
    <w:rsid w:val="00936342"/>
    <w:rsid w:val="00936649"/>
    <w:rsid w:val="009367B7"/>
    <w:rsid w:val="00936CE7"/>
    <w:rsid w:val="009371DC"/>
    <w:rsid w:val="00937EB2"/>
    <w:rsid w:val="009401AB"/>
    <w:rsid w:val="00940255"/>
    <w:rsid w:val="0094048F"/>
    <w:rsid w:val="00940668"/>
    <w:rsid w:val="00940FF0"/>
    <w:rsid w:val="00941223"/>
    <w:rsid w:val="00941A75"/>
    <w:rsid w:val="00941F98"/>
    <w:rsid w:val="00942ECB"/>
    <w:rsid w:val="009431F3"/>
    <w:rsid w:val="009436BF"/>
    <w:rsid w:val="00943DD3"/>
    <w:rsid w:val="00944298"/>
    <w:rsid w:val="0094496F"/>
    <w:rsid w:val="00944E46"/>
    <w:rsid w:val="00945464"/>
    <w:rsid w:val="0094584B"/>
    <w:rsid w:val="00945CCD"/>
    <w:rsid w:val="00945CE0"/>
    <w:rsid w:val="0094678D"/>
    <w:rsid w:val="00946A4A"/>
    <w:rsid w:val="00946D85"/>
    <w:rsid w:val="009475C5"/>
    <w:rsid w:val="00947889"/>
    <w:rsid w:val="00950547"/>
    <w:rsid w:val="009506BA"/>
    <w:rsid w:val="00950FBA"/>
    <w:rsid w:val="00951284"/>
    <w:rsid w:val="00951673"/>
    <w:rsid w:val="00951EE4"/>
    <w:rsid w:val="00951F51"/>
    <w:rsid w:val="009520E8"/>
    <w:rsid w:val="009522AE"/>
    <w:rsid w:val="00952AEC"/>
    <w:rsid w:val="00952C24"/>
    <w:rsid w:val="0095317D"/>
    <w:rsid w:val="009537D1"/>
    <w:rsid w:val="009538B5"/>
    <w:rsid w:val="00953AAD"/>
    <w:rsid w:val="00953FF9"/>
    <w:rsid w:val="00954898"/>
    <w:rsid w:val="00954D4A"/>
    <w:rsid w:val="009550D3"/>
    <w:rsid w:val="009552D0"/>
    <w:rsid w:val="00955534"/>
    <w:rsid w:val="009556C7"/>
    <w:rsid w:val="0095576A"/>
    <w:rsid w:val="00955D51"/>
    <w:rsid w:val="00955F37"/>
    <w:rsid w:val="009560AF"/>
    <w:rsid w:val="0095676A"/>
    <w:rsid w:val="00957402"/>
    <w:rsid w:val="009577B4"/>
    <w:rsid w:val="00957F6D"/>
    <w:rsid w:val="00961036"/>
    <w:rsid w:val="00961229"/>
    <w:rsid w:val="009612F6"/>
    <w:rsid w:val="009616E6"/>
    <w:rsid w:val="009619F6"/>
    <w:rsid w:val="009621D8"/>
    <w:rsid w:val="0096267C"/>
    <w:rsid w:val="00962B96"/>
    <w:rsid w:val="009638FD"/>
    <w:rsid w:val="00963B35"/>
    <w:rsid w:val="00963D1D"/>
    <w:rsid w:val="00963EF3"/>
    <w:rsid w:val="009645ED"/>
    <w:rsid w:val="00964A04"/>
    <w:rsid w:val="00964A57"/>
    <w:rsid w:val="009654B1"/>
    <w:rsid w:val="0096575B"/>
    <w:rsid w:val="009659B4"/>
    <w:rsid w:val="0096641B"/>
    <w:rsid w:val="00966601"/>
    <w:rsid w:val="0096689B"/>
    <w:rsid w:val="00966A80"/>
    <w:rsid w:val="00966B7A"/>
    <w:rsid w:val="00966B7C"/>
    <w:rsid w:val="00967727"/>
    <w:rsid w:val="00967894"/>
    <w:rsid w:val="00967D7D"/>
    <w:rsid w:val="00967FE6"/>
    <w:rsid w:val="009701A4"/>
    <w:rsid w:val="00970C36"/>
    <w:rsid w:val="00970E1B"/>
    <w:rsid w:val="00971DF3"/>
    <w:rsid w:val="00972849"/>
    <w:rsid w:val="0097297E"/>
    <w:rsid w:val="00972C77"/>
    <w:rsid w:val="00972F47"/>
    <w:rsid w:val="00973502"/>
    <w:rsid w:val="00973D62"/>
    <w:rsid w:val="0097484A"/>
    <w:rsid w:val="00974AC6"/>
    <w:rsid w:val="00974FB9"/>
    <w:rsid w:val="0097515D"/>
    <w:rsid w:val="00975399"/>
    <w:rsid w:val="00975687"/>
    <w:rsid w:val="009757AF"/>
    <w:rsid w:val="00975DB8"/>
    <w:rsid w:val="00975E40"/>
    <w:rsid w:val="00975F8A"/>
    <w:rsid w:val="009761E6"/>
    <w:rsid w:val="00976567"/>
    <w:rsid w:val="00977124"/>
    <w:rsid w:val="00977172"/>
    <w:rsid w:val="0097734F"/>
    <w:rsid w:val="00977451"/>
    <w:rsid w:val="00977806"/>
    <w:rsid w:val="00977942"/>
    <w:rsid w:val="00977B80"/>
    <w:rsid w:val="00977DB2"/>
    <w:rsid w:val="009800E0"/>
    <w:rsid w:val="00980361"/>
    <w:rsid w:val="0098075B"/>
    <w:rsid w:val="00981242"/>
    <w:rsid w:val="0098150D"/>
    <w:rsid w:val="009816F9"/>
    <w:rsid w:val="00981B78"/>
    <w:rsid w:val="009820A3"/>
    <w:rsid w:val="00982529"/>
    <w:rsid w:val="00982A2F"/>
    <w:rsid w:val="00982BCC"/>
    <w:rsid w:val="009836D0"/>
    <w:rsid w:val="009848DE"/>
    <w:rsid w:val="00984A2B"/>
    <w:rsid w:val="00985171"/>
    <w:rsid w:val="0098522D"/>
    <w:rsid w:val="009852E4"/>
    <w:rsid w:val="0098554C"/>
    <w:rsid w:val="0098578C"/>
    <w:rsid w:val="00985798"/>
    <w:rsid w:val="00986030"/>
    <w:rsid w:val="009863F6"/>
    <w:rsid w:val="00986577"/>
    <w:rsid w:val="009866DF"/>
    <w:rsid w:val="0098685B"/>
    <w:rsid w:val="0098694E"/>
    <w:rsid w:val="00986C49"/>
    <w:rsid w:val="00986E3F"/>
    <w:rsid w:val="00987C85"/>
    <w:rsid w:val="00987F64"/>
    <w:rsid w:val="0099009C"/>
    <w:rsid w:val="00990470"/>
    <w:rsid w:val="009911A5"/>
    <w:rsid w:val="0099215D"/>
    <w:rsid w:val="009921F2"/>
    <w:rsid w:val="009926E5"/>
    <w:rsid w:val="00992A17"/>
    <w:rsid w:val="00992C1B"/>
    <w:rsid w:val="00993665"/>
    <w:rsid w:val="009936DE"/>
    <w:rsid w:val="00993773"/>
    <w:rsid w:val="009940FF"/>
    <w:rsid w:val="0099469A"/>
    <w:rsid w:val="00994B6C"/>
    <w:rsid w:val="00995288"/>
    <w:rsid w:val="00995BAC"/>
    <w:rsid w:val="00995CAE"/>
    <w:rsid w:val="00996725"/>
    <w:rsid w:val="0099672A"/>
    <w:rsid w:val="009970B9"/>
    <w:rsid w:val="00997B30"/>
    <w:rsid w:val="00997BF7"/>
    <w:rsid w:val="00997E23"/>
    <w:rsid w:val="009A00EC"/>
    <w:rsid w:val="009A011C"/>
    <w:rsid w:val="009A0E18"/>
    <w:rsid w:val="009A0FDA"/>
    <w:rsid w:val="009A124B"/>
    <w:rsid w:val="009A1504"/>
    <w:rsid w:val="009A1B28"/>
    <w:rsid w:val="009A28DD"/>
    <w:rsid w:val="009A2C39"/>
    <w:rsid w:val="009A2C96"/>
    <w:rsid w:val="009A2D91"/>
    <w:rsid w:val="009A2FFC"/>
    <w:rsid w:val="009A31F0"/>
    <w:rsid w:val="009A34B4"/>
    <w:rsid w:val="009A3F69"/>
    <w:rsid w:val="009A3FF5"/>
    <w:rsid w:val="009A4455"/>
    <w:rsid w:val="009A4575"/>
    <w:rsid w:val="009A46FD"/>
    <w:rsid w:val="009A47CF"/>
    <w:rsid w:val="009A48CC"/>
    <w:rsid w:val="009A4BD8"/>
    <w:rsid w:val="009A5117"/>
    <w:rsid w:val="009A56DF"/>
    <w:rsid w:val="009A570F"/>
    <w:rsid w:val="009A60B3"/>
    <w:rsid w:val="009A6F9B"/>
    <w:rsid w:val="009B0037"/>
    <w:rsid w:val="009B0450"/>
    <w:rsid w:val="009B04AB"/>
    <w:rsid w:val="009B1600"/>
    <w:rsid w:val="009B1630"/>
    <w:rsid w:val="009B1A3C"/>
    <w:rsid w:val="009B1A4C"/>
    <w:rsid w:val="009B2757"/>
    <w:rsid w:val="009B29E9"/>
    <w:rsid w:val="009B2B0D"/>
    <w:rsid w:val="009B2F38"/>
    <w:rsid w:val="009B3390"/>
    <w:rsid w:val="009B33E4"/>
    <w:rsid w:val="009B3745"/>
    <w:rsid w:val="009B4335"/>
    <w:rsid w:val="009B4CC3"/>
    <w:rsid w:val="009B4DE6"/>
    <w:rsid w:val="009B5378"/>
    <w:rsid w:val="009B58AB"/>
    <w:rsid w:val="009B5EF5"/>
    <w:rsid w:val="009B6779"/>
    <w:rsid w:val="009B734B"/>
    <w:rsid w:val="009B74D2"/>
    <w:rsid w:val="009B7EC7"/>
    <w:rsid w:val="009C06CA"/>
    <w:rsid w:val="009C0A54"/>
    <w:rsid w:val="009C0B30"/>
    <w:rsid w:val="009C0C8C"/>
    <w:rsid w:val="009C1409"/>
    <w:rsid w:val="009C1692"/>
    <w:rsid w:val="009C192E"/>
    <w:rsid w:val="009C4C0F"/>
    <w:rsid w:val="009C552B"/>
    <w:rsid w:val="009C560C"/>
    <w:rsid w:val="009C6B8F"/>
    <w:rsid w:val="009C6D7E"/>
    <w:rsid w:val="009C6DA9"/>
    <w:rsid w:val="009C7A18"/>
    <w:rsid w:val="009C7D16"/>
    <w:rsid w:val="009C7D2E"/>
    <w:rsid w:val="009C7F31"/>
    <w:rsid w:val="009C7F8C"/>
    <w:rsid w:val="009D0AFD"/>
    <w:rsid w:val="009D2987"/>
    <w:rsid w:val="009D29A5"/>
    <w:rsid w:val="009D2C34"/>
    <w:rsid w:val="009D3664"/>
    <w:rsid w:val="009D3F0F"/>
    <w:rsid w:val="009D43E3"/>
    <w:rsid w:val="009D4B4D"/>
    <w:rsid w:val="009D500C"/>
    <w:rsid w:val="009D59B0"/>
    <w:rsid w:val="009D5CB5"/>
    <w:rsid w:val="009D5D63"/>
    <w:rsid w:val="009D670A"/>
    <w:rsid w:val="009D6AC2"/>
    <w:rsid w:val="009D70C9"/>
    <w:rsid w:val="009D743B"/>
    <w:rsid w:val="009D76E7"/>
    <w:rsid w:val="009D7D89"/>
    <w:rsid w:val="009E0CB7"/>
    <w:rsid w:val="009E13E5"/>
    <w:rsid w:val="009E16F1"/>
    <w:rsid w:val="009E177B"/>
    <w:rsid w:val="009E177D"/>
    <w:rsid w:val="009E1A5D"/>
    <w:rsid w:val="009E1A98"/>
    <w:rsid w:val="009E1C30"/>
    <w:rsid w:val="009E1E14"/>
    <w:rsid w:val="009E23D7"/>
    <w:rsid w:val="009E2E34"/>
    <w:rsid w:val="009E326C"/>
    <w:rsid w:val="009E3A7D"/>
    <w:rsid w:val="009E42D9"/>
    <w:rsid w:val="009E4461"/>
    <w:rsid w:val="009E48C6"/>
    <w:rsid w:val="009E4CA5"/>
    <w:rsid w:val="009E4D70"/>
    <w:rsid w:val="009E4F8D"/>
    <w:rsid w:val="009E5636"/>
    <w:rsid w:val="009E5D91"/>
    <w:rsid w:val="009E5FA4"/>
    <w:rsid w:val="009E6049"/>
    <w:rsid w:val="009E6175"/>
    <w:rsid w:val="009E622F"/>
    <w:rsid w:val="009E6E97"/>
    <w:rsid w:val="009E726C"/>
    <w:rsid w:val="009E7402"/>
    <w:rsid w:val="009E75C9"/>
    <w:rsid w:val="009E7612"/>
    <w:rsid w:val="009E78CD"/>
    <w:rsid w:val="009E7D1B"/>
    <w:rsid w:val="009F030B"/>
    <w:rsid w:val="009F0320"/>
    <w:rsid w:val="009F0547"/>
    <w:rsid w:val="009F08FF"/>
    <w:rsid w:val="009F1531"/>
    <w:rsid w:val="009F168B"/>
    <w:rsid w:val="009F1D27"/>
    <w:rsid w:val="009F2042"/>
    <w:rsid w:val="009F234D"/>
    <w:rsid w:val="009F2C28"/>
    <w:rsid w:val="009F2F3A"/>
    <w:rsid w:val="009F329A"/>
    <w:rsid w:val="009F3946"/>
    <w:rsid w:val="009F436E"/>
    <w:rsid w:val="009F472B"/>
    <w:rsid w:val="009F4C79"/>
    <w:rsid w:val="009F5255"/>
    <w:rsid w:val="009F54AD"/>
    <w:rsid w:val="009F54C8"/>
    <w:rsid w:val="009F573F"/>
    <w:rsid w:val="009F5B48"/>
    <w:rsid w:val="009F5DD3"/>
    <w:rsid w:val="009F6075"/>
    <w:rsid w:val="009F631B"/>
    <w:rsid w:val="009F73AF"/>
    <w:rsid w:val="009F74C7"/>
    <w:rsid w:val="009F7DB8"/>
    <w:rsid w:val="00A00304"/>
    <w:rsid w:val="00A0084A"/>
    <w:rsid w:val="00A008E3"/>
    <w:rsid w:val="00A00B43"/>
    <w:rsid w:val="00A012D4"/>
    <w:rsid w:val="00A017CD"/>
    <w:rsid w:val="00A01ACF"/>
    <w:rsid w:val="00A01AFC"/>
    <w:rsid w:val="00A0249B"/>
    <w:rsid w:val="00A025F4"/>
    <w:rsid w:val="00A02AD9"/>
    <w:rsid w:val="00A03624"/>
    <w:rsid w:val="00A0387A"/>
    <w:rsid w:val="00A041FD"/>
    <w:rsid w:val="00A04564"/>
    <w:rsid w:val="00A045F2"/>
    <w:rsid w:val="00A04DDE"/>
    <w:rsid w:val="00A05826"/>
    <w:rsid w:val="00A061C3"/>
    <w:rsid w:val="00A06371"/>
    <w:rsid w:val="00A06A19"/>
    <w:rsid w:val="00A06AC9"/>
    <w:rsid w:val="00A07285"/>
    <w:rsid w:val="00A0732D"/>
    <w:rsid w:val="00A0742A"/>
    <w:rsid w:val="00A07665"/>
    <w:rsid w:val="00A07C70"/>
    <w:rsid w:val="00A07DE8"/>
    <w:rsid w:val="00A07DF0"/>
    <w:rsid w:val="00A10115"/>
    <w:rsid w:val="00A103F9"/>
    <w:rsid w:val="00A1050C"/>
    <w:rsid w:val="00A109F6"/>
    <w:rsid w:val="00A10D21"/>
    <w:rsid w:val="00A11331"/>
    <w:rsid w:val="00A12767"/>
    <w:rsid w:val="00A1313D"/>
    <w:rsid w:val="00A136DB"/>
    <w:rsid w:val="00A1385A"/>
    <w:rsid w:val="00A13888"/>
    <w:rsid w:val="00A13A14"/>
    <w:rsid w:val="00A13BEC"/>
    <w:rsid w:val="00A13C16"/>
    <w:rsid w:val="00A140CB"/>
    <w:rsid w:val="00A14153"/>
    <w:rsid w:val="00A149ED"/>
    <w:rsid w:val="00A150BA"/>
    <w:rsid w:val="00A15E33"/>
    <w:rsid w:val="00A16265"/>
    <w:rsid w:val="00A169C7"/>
    <w:rsid w:val="00A16C64"/>
    <w:rsid w:val="00A16E43"/>
    <w:rsid w:val="00A16E8D"/>
    <w:rsid w:val="00A1733F"/>
    <w:rsid w:val="00A17560"/>
    <w:rsid w:val="00A1791C"/>
    <w:rsid w:val="00A17A91"/>
    <w:rsid w:val="00A20145"/>
    <w:rsid w:val="00A202F8"/>
    <w:rsid w:val="00A2060A"/>
    <w:rsid w:val="00A21362"/>
    <w:rsid w:val="00A21836"/>
    <w:rsid w:val="00A21944"/>
    <w:rsid w:val="00A21E1A"/>
    <w:rsid w:val="00A21F50"/>
    <w:rsid w:val="00A2217F"/>
    <w:rsid w:val="00A2243B"/>
    <w:rsid w:val="00A225C6"/>
    <w:rsid w:val="00A22E2E"/>
    <w:rsid w:val="00A22E95"/>
    <w:rsid w:val="00A23497"/>
    <w:rsid w:val="00A23546"/>
    <w:rsid w:val="00A23EB1"/>
    <w:rsid w:val="00A23F69"/>
    <w:rsid w:val="00A23F8A"/>
    <w:rsid w:val="00A24739"/>
    <w:rsid w:val="00A24CB2"/>
    <w:rsid w:val="00A24EB4"/>
    <w:rsid w:val="00A250DD"/>
    <w:rsid w:val="00A25602"/>
    <w:rsid w:val="00A25F50"/>
    <w:rsid w:val="00A265C6"/>
    <w:rsid w:val="00A266E5"/>
    <w:rsid w:val="00A26BD4"/>
    <w:rsid w:val="00A274DF"/>
    <w:rsid w:val="00A2767E"/>
    <w:rsid w:val="00A277DB"/>
    <w:rsid w:val="00A27EB9"/>
    <w:rsid w:val="00A27FCD"/>
    <w:rsid w:val="00A30634"/>
    <w:rsid w:val="00A31759"/>
    <w:rsid w:val="00A3194C"/>
    <w:rsid w:val="00A31B22"/>
    <w:rsid w:val="00A31FE6"/>
    <w:rsid w:val="00A3253A"/>
    <w:rsid w:val="00A325C2"/>
    <w:rsid w:val="00A32945"/>
    <w:rsid w:val="00A32A0E"/>
    <w:rsid w:val="00A32D6C"/>
    <w:rsid w:val="00A32E0B"/>
    <w:rsid w:val="00A33564"/>
    <w:rsid w:val="00A33567"/>
    <w:rsid w:val="00A34450"/>
    <w:rsid w:val="00A35668"/>
    <w:rsid w:val="00A35917"/>
    <w:rsid w:val="00A359CE"/>
    <w:rsid w:val="00A35EB1"/>
    <w:rsid w:val="00A362A6"/>
    <w:rsid w:val="00A367B8"/>
    <w:rsid w:val="00A36832"/>
    <w:rsid w:val="00A36D8D"/>
    <w:rsid w:val="00A36DBC"/>
    <w:rsid w:val="00A373F9"/>
    <w:rsid w:val="00A3765F"/>
    <w:rsid w:val="00A40C61"/>
    <w:rsid w:val="00A4136E"/>
    <w:rsid w:val="00A41671"/>
    <w:rsid w:val="00A429E5"/>
    <w:rsid w:val="00A43009"/>
    <w:rsid w:val="00A4328E"/>
    <w:rsid w:val="00A435BA"/>
    <w:rsid w:val="00A43731"/>
    <w:rsid w:val="00A4395C"/>
    <w:rsid w:val="00A43D61"/>
    <w:rsid w:val="00A44014"/>
    <w:rsid w:val="00A44452"/>
    <w:rsid w:val="00A44474"/>
    <w:rsid w:val="00A444EA"/>
    <w:rsid w:val="00A45336"/>
    <w:rsid w:val="00A454E7"/>
    <w:rsid w:val="00A45826"/>
    <w:rsid w:val="00A45ED2"/>
    <w:rsid w:val="00A46B1B"/>
    <w:rsid w:val="00A47273"/>
    <w:rsid w:val="00A47381"/>
    <w:rsid w:val="00A5056A"/>
    <w:rsid w:val="00A507D7"/>
    <w:rsid w:val="00A50927"/>
    <w:rsid w:val="00A50CC4"/>
    <w:rsid w:val="00A51A44"/>
    <w:rsid w:val="00A52815"/>
    <w:rsid w:val="00A5299C"/>
    <w:rsid w:val="00A529F3"/>
    <w:rsid w:val="00A52B33"/>
    <w:rsid w:val="00A52C3A"/>
    <w:rsid w:val="00A535A1"/>
    <w:rsid w:val="00A53749"/>
    <w:rsid w:val="00A54350"/>
    <w:rsid w:val="00A54D49"/>
    <w:rsid w:val="00A54D82"/>
    <w:rsid w:val="00A550E0"/>
    <w:rsid w:val="00A5522E"/>
    <w:rsid w:val="00A553E8"/>
    <w:rsid w:val="00A55401"/>
    <w:rsid w:val="00A55D8A"/>
    <w:rsid w:val="00A5609F"/>
    <w:rsid w:val="00A56F89"/>
    <w:rsid w:val="00A601F4"/>
    <w:rsid w:val="00A604CF"/>
    <w:rsid w:val="00A60BFD"/>
    <w:rsid w:val="00A60EF3"/>
    <w:rsid w:val="00A60FE8"/>
    <w:rsid w:val="00A61752"/>
    <w:rsid w:val="00A622EA"/>
    <w:rsid w:val="00A62507"/>
    <w:rsid w:val="00A62A0A"/>
    <w:rsid w:val="00A630A6"/>
    <w:rsid w:val="00A63826"/>
    <w:rsid w:val="00A63B1D"/>
    <w:rsid w:val="00A6448C"/>
    <w:rsid w:val="00A64578"/>
    <w:rsid w:val="00A649D4"/>
    <w:rsid w:val="00A64BE8"/>
    <w:rsid w:val="00A64D33"/>
    <w:rsid w:val="00A65292"/>
    <w:rsid w:val="00A662B6"/>
    <w:rsid w:val="00A66A19"/>
    <w:rsid w:val="00A66AAE"/>
    <w:rsid w:val="00A66DB5"/>
    <w:rsid w:val="00A671C5"/>
    <w:rsid w:val="00A67A31"/>
    <w:rsid w:val="00A67CD8"/>
    <w:rsid w:val="00A70448"/>
    <w:rsid w:val="00A70D9B"/>
    <w:rsid w:val="00A70F55"/>
    <w:rsid w:val="00A71813"/>
    <w:rsid w:val="00A71B83"/>
    <w:rsid w:val="00A71C2D"/>
    <w:rsid w:val="00A71C52"/>
    <w:rsid w:val="00A72053"/>
    <w:rsid w:val="00A721B5"/>
    <w:rsid w:val="00A72568"/>
    <w:rsid w:val="00A72581"/>
    <w:rsid w:val="00A7262F"/>
    <w:rsid w:val="00A739EE"/>
    <w:rsid w:val="00A740D5"/>
    <w:rsid w:val="00A74106"/>
    <w:rsid w:val="00A7469A"/>
    <w:rsid w:val="00A74CCA"/>
    <w:rsid w:val="00A74D65"/>
    <w:rsid w:val="00A74EC2"/>
    <w:rsid w:val="00A7515A"/>
    <w:rsid w:val="00A75427"/>
    <w:rsid w:val="00A75A10"/>
    <w:rsid w:val="00A75ED2"/>
    <w:rsid w:val="00A7619D"/>
    <w:rsid w:val="00A7656A"/>
    <w:rsid w:val="00A76681"/>
    <w:rsid w:val="00A767E9"/>
    <w:rsid w:val="00A77ACC"/>
    <w:rsid w:val="00A77BC5"/>
    <w:rsid w:val="00A802E1"/>
    <w:rsid w:val="00A808BF"/>
    <w:rsid w:val="00A81120"/>
    <w:rsid w:val="00A81352"/>
    <w:rsid w:val="00A81529"/>
    <w:rsid w:val="00A817C4"/>
    <w:rsid w:val="00A81EB7"/>
    <w:rsid w:val="00A8258D"/>
    <w:rsid w:val="00A826B6"/>
    <w:rsid w:val="00A8275F"/>
    <w:rsid w:val="00A82F26"/>
    <w:rsid w:val="00A8318F"/>
    <w:rsid w:val="00A837FB"/>
    <w:rsid w:val="00A83F4C"/>
    <w:rsid w:val="00A842EF"/>
    <w:rsid w:val="00A84E57"/>
    <w:rsid w:val="00A85145"/>
    <w:rsid w:val="00A85330"/>
    <w:rsid w:val="00A85544"/>
    <w:rsid w:val="00A85832"/>
    <w:rsid w:val="00A86145"/>
    <w:rsid w:val="00A87973"/>
    <w:rsid w:val="00A87FA2"/>
    <w:rsid w:val="00A90406"/>
    <w:rsid w:val="00A906B0"/>
    <w:rsid w:val="00A9086A"/>
    <w:rsid w:val="00A910CE"/>
    <w:rsid w:val="00A9135E"/>
    <w:rsid w:val="00A916CB"/>
    <w:rsid w:val="00A9203C"/>
    <w:rsid w:val="00A9227F"/>
    <w:rsid w:val="00A92492"/>
    <w:rsid w:val="00A93555"/>
    <w:rsid w:val="00A94336"/>
    <w:rsid w:val="00A946E9"/>
    <w:rsid w:val="00A94886"/>
    <w:rsid w:val="00A94B57"/>
    <w:rsid w:val="00A94B9A"/>
    <w:rsid w:val="00A9500D"/>
    <w:rsid w:val="00A951A8"/>
    <w:rsid w:val="00A9557D"/>
    <w:rsid w:val="00A95DAF"/>
    <w:rsid w:val="00A96539"/>
    <w:rsid w:val="00A96776"/>
    <w:rsid w:val="00A96A86"/>
    <w:rsid w:val="00A96E20"/>
    <w:rsid w:val="00A97092"/>
    <w:rsid w:val="00A975CF"/>
    <w:rsid w:val="00A97F66"/>
    <w:rsid w:val="00A97FDE"/>
    <w:rsid w:val="00AA0377"/>
    <w:rsid w:val="00AA041E"/>
    <w:rsid w:val="00AA0501"/>
    <w:rsid w:val="00AA062F"/>
    <w:rsid w:val="00AA0A0C"/>
    <w:rsid w:val="00AA12EC"/>
    <w:rsid w:val="00AA160D"/>
    <w:rsid w:val="00AA1840"/>
    <w:rsid w:val="00AA1B82"/>
    <w:rsid w:val="00AA1BA9"/>
    <w:rsid w:val="00AA1DC8"/>
    <w:rsid w:val="00AA1E51"/>
    <w:rsid w:val="00AA1E96"/>
    <w:rsid w:val="00AA2519"/>
    <w:rsid w:val="00AA3371"/>
    <w:rsid w:val="00AA36FD"/>
    <w:rsid w:val="00AA404F"/>
    <w:rsid w:val="00AA4436"/>
    <w:rsid w:val="00AA4917"/>
    <w:rsid w:val="00AA4E9F"/>
    <w:rsid w:val="00AA5159"/>
    <w:rsid w:val="00AA5E8C"/>
    <w:rsid w:val="00AA653A"/>
    <w:rsid w:val="00AA6599"/>
    <w:rsid w:val="00AA70ED"/>
    <w:rsid w:val="00AA7106"/>
    <w:rsid w:val="00AA7FBE"/>
    <w:rsid w:val="00AB024A"/>
    <w:rsid w:val="00AB2131"/>
    <w:rsid w:val="00AB2FCE"/>
    <w:rsid w:val="00AB3779"/>
    <w:rsid w:val="00AB3BDB"/>
    <w:rsid w:val="00AB42F2"/>
    <w:rsid w:val="00AB4679"/>
    <w:rsid w:val="00AB4722"/>
    <w:rsid w:val="00AB4B9F"/>
    <w:rsid w:val="00AB4E09"/>
    <w:rsid w:val="00AB5A6F"/>
    <w:rsid w:val="00AB5E7F"/>
    <w:rsid w:val="00AB64E4"/>
    <w:rsid w:val="00AB6B68"/>
    <w:rsid w:val="00AB6D92"/>
    <w:rsid w:val="00AB7642"/>
    <w:rsid w:val="00AB7B39"/>
    <w:rsid w:val="00AB7C8B"/>
    <w:rsid w:val="00AB7F23"/>
    <w:rsid w:val="00AC0907"/>
    <w:rsid w:val="00AC12F9"/>
    <w:rsid w:val="00AC15B1"/>
    <w:rsid w:val="00AC1F1C"/>
    <w:rsid w:val="00AC2AF2"/>
    <w:rsid w:val="00AC301D"/>
    <w:rsid w:val="00AC33A9"/>
    <w:rsid w:val="00AC33F8"/>
    <w:rsid w:val="00AC35C3"/>
    <w:rsid w:val="00AC42B9"/>
    <w:rsid w:val="00AC4496"/>
    <w:rsid w:val="00AC44AC"/>
    <w:rsid w:val="00AC4793"/>
    <w:rsid w:val="00AC4EAB"/>
    <w:rsid w:val="00AC4F34"/>
    <w:rsid w:val="00AC4F76"/>
    <w:rsid w:val="00AC519D"/>
    <w:rsid w:val="00AC5818"/>
    <w:rsid w:val="00AC5EE1"/>
    <w:rsid w:val="00AC5F0A"/>
    <w:rsid w:val="00AC5F58"/>
    <w:rsid w:val="00AC6701"/>
    <w:rsid w:val="00AC6883"/>
    <w:rsid w:val="00AC6D2E"/>
    <w:rsid w:val="00AC7A11"/>
    <w:rsid w:val="00AD0C79"/>
    <w:rsid w:val="00AD18AA"/>
    <w:rsid w:val="00AD2143"/>
    <w:rsid w:val="00AD28FB"/>
    <w:rsid w:val="00AD2BDA"/>
    <w:rsid w:val="00AD3A02"/>
    <w:rsid w:val="00AD3CF4"/>
    <w:rsid w:val="00AD4127"/>
    <w:rsid w:val="00AD5372"/>
    <w:rsid w:val="00AD5C9F"/>
    <w:rsid w:val="00AD6899"/>
    <w:rsid w:val="00AD6F7D"/>
    <w:rsid w:val="00AD7144"/>
    <w:rsid w:val="00AD7EB3"/>
    <w:rsid w:val="00AE069C"/>
    <w:rsid w:val="00AE09D6"/>
    <w:rsid w:val="00AE0C05"/>
    <w:rsid w:val="00AE0D8F"/>
    <w:rsid w:val="00AE0FA7"/>
    <w:rsid w:val="00AE14E3"/>
    <w:rsid w:val="00AE158D"/>
    <w:rsid w:val="00AE23A2"/>
    <w:rsid w:val="00AE2F5F"/>
    <w:rsid w:val="00AE31B2"/>
    <w:rsid w:val="00AE3223"/>
    <w:rsid w:val="00AE3AF5"/>
    <w:rsid w:val="00AE433E"/>
    <w:rsid w:val="00AE4592"/>
    <w:rsid w:val="00AE461B"/>
    <w:rsid w:val="00AE49E4"/>
    <w:rsid w:val="00AE5832"/>
    <w:rsid w:val="00AE5A8A"/>
    <w:rsid w:val="00AE5EF5"/>
    <w:rsid w:val="00AE61F2"/>
    <w:rsid w:val="00AE69FA"/>
    <w:rsid w:val="00AE6D38"/>
    <w:rsid w:val="00AE6FC7"/>
    <w:rsid w:val="00AE72A2"/>
    <w:rsid w:val="00AE7669"/>
    <w:rsid w:val="00AE7FF4"/>
    <w:rsid w:val="00AF00AC"/>
    <w:rsid w:val="00AF022E"/>
    <w:rsid w:val="00AF0538"/>
    <w:rsid w:val="00AF0C90"/>
    <w:rsid w:val="00AF139B"/>
    <w:rsid w:val="00AF23C4"/>
    <w:rsid w:val="00AF2924"/>
    <w:rsid w:val="00AF2933"/>
    <w:rsid w:val="00AF2D4E"/>
    <w:rsid w:val="00AF2E69"/>
    <w:rsid w:val="00AF3922"/>
    <w:rsid w:val="00AF48A3"/>
    <w:rsid w:val="00AF50A6"/>
    <w:rsid w:val="00AF57B0"/>
    <w:rsid w:val="00AF62D7"/>
    <w:rsid w:val="00AF6631"/>
    <w:rsid w:val="00AF6832"/>
    <w:rsid w:val="00AF6C48"/>
    <w:rsid w:val="00AF6E19"/>
    <w:rsid w:val="00AF7156"/>
    <w:rsid w:val="00AF7256"/>
    <w:rsid w:val="00AF7DB0"/>
    <w:rsid w:val="00B005D5"/>
    <w:rsid w:val="00B006A2"/>
    <w:rsid w:val="00B00A08"/>
    <w:rsid w:val="00B00F0A"/>
    <w:rsid w:val="00B0125E"/>
    <w:rsid w:val="00B013A9"/>
    <w:rsid w:val="00B018B5"/>
    <w:rsid w:val="00B0223B"/>
    <w:rsid w:val="00B0274A"/>
    <w:rsid w:val="00B029E1"/>
    <w:rsid w:val="00B02BA6"/>
    <w:rsid w:val="00B02CBD"/>
    <w:rsid w:val="00B03594"/>
    <w:rsid w:val="00B036F2"/>
    <w:rsid w:val="00B03D5F"/>
    <w:rsid w:val="00B04316"/>
    <w:rsid w:val="00B0491C"/>
    <w:rsid w:val="00B0505E"/>
    <w:rsid w:val="00B05972"/>
    <w:rsid w:val="00B059DB"/>
    <w:rsid w:val="00B06893"/>
    <w:rsid w:val="00B101D1"/>
    <w:rsid w:val="00B1073C"/>
    <w:rsid w:val="00B10CC6"/>
    <w:rsid w:val="00B10F3F"/>
    <w:rsid w:val="00B110C3"/>
    <w:rsid w:val="00B11B94"/>
    <w:rsid w:val="00B11E67"/>
    <w:rsid w:val="00B11FAD"/>
    <w:rsid w:val="00B11FDE"/>
    <w:rsid w:val="00B12464"/>
    <w:rsid w:val="00B12C77"/>
    <w:rsid w:val="00B12D0E"/>
    <w:rsid w:val="00B12E5A"/>
    <w:rsid w:val="00B13DEB"/>
    <w:rsid w:val="00B14171"/>
    <w:rsid w:val="00B14993"/>
    <w:rsid w:val="00B15579"/>
    <w:rsid w:val="00B1586D"/>
    <w:rsid w:val="00B168FE"/>
    <w:rsid w:val="00B16A06"/>
    <w:rsid w:val="00B173A0"/>
    <w:rsid w:val="00B177F4"/>
    <w:rsid w:val="00B2099C"/>
    <w:rsid w:val="00B20C22"/>
    <w:rsid w:val="00B212B5"/>
    <w:rsid w:val="00B216F5"/>
    <w:rsid w:val="00B217FF"/>
    <w:rsid w:val="00B22C78"/>
    <w:rsid w:val="00B22D42"/>
    <w:rsid w:val="00B22D6A"/>
    <w:rsid w:val="00B233DE"/>
    <w:rsid w:val="00B23677"/>
    <w:rsid w:val="00B23B7C"/>
    <w:rsid w:val="00B23B85"/>
    <w:rsid w:val="00B23CD0"/>
    <w:rsid w:val="00B23D70"/>
    <w:rsid w:val="00B23F1B"/>
    <w:rsid w:val="00B2430E"/>
    <w:rsid w:val="00B24431"/>
    <w:rsid w:val="00B2466A"/>
    <w:rsid w:val="00B247B5"/>
    <w:rsid w:val="00B24B8C"/>
    <w:rsid w:val="00B251F9"/>
    <w:rsid w:val="00B25503"/>
    <w:rsid w:val="00B256F1"/>
    <w:rsid w:val="00B25F34"/>
    <w:rsid w:val="00B26FED"/>
    <w:rsid w:val="00B2771D"/>
    <w:rsid w:val="00B27E2A"/>
    <w:rsid w:val="00B30301"/>
    <w:rsid w:val="00B303B1"/>
    <w:rsid w:val="00B30803"/>
    <w:rsid w:val="00B30E36"/>
    <w:rsid w:val="00B30EC4"/>
    <w:rsid w:val="00B31573"/>
    <w:rsid w:val="00B318D2"/>
    <w:rsid w:val="00B31C20"/>
    <w:rsid w:val="00B31DEF"/>
    <w:rsid w:val="00B329DB"/>
    <w:rsid w:val="00B329FC"/>
    <w:rsid w:val="00B33D87"/>
    <w:rsid w:val="00B34F2C"/>
    <w:rsid w:val="00B34FCD"/>
    <w:rsid w:val="00B3574D"/>
    <w:rsid w:val="00B357C9"/>
    <w:rsid w:val="00B35BA1"/>
    <w:rsid w:val="00B36144"/>
    <w:rsid w:val="00B36724"/>
    <w:rsid w:val="00B36853"/>
    <w:rsid w:val="00B37823"/>
    <w:rsid w:val="00B3798C"/>
    <w:rsid w:val="00B37C8F"/>
    <w:rsid w:val="00B37D10"/>
    <w:rsid w:val="00B37E8E"/>
    <w:rsid w:val="00B40F0B"/>
    <w:rsid w:val="00B40F3E"/>
    <w:rsid w:val="00B4153C"/>
    <w:rsid w:val="00B415DE"/>
    <w:rsid w:val="00B4285C"/>
    <w:rsid w:val="00B42BF1"/>
    <w:rsid w:val="00B433CC"/>
    <w:rsid w:val="00B43C4B"/>
    <w:rsid w:val="00B43C94"/>
    <w:rsid w:val="00B43E54"/>
    <w:rsid w:val="00B445A0"/>
    <w:rsid w:val="00B44D04"/>
    <w:rsid w:val="00B457D4"/>
    <w:rsid w:val="00B45D13"/>
    <w:rsid w:val="00B46001"/>
    <w:rsid w:val="00B46181"/>
    <w:rsid w:val="00B46D30"/>
    <w:rsid w:val="00B473D8"/>
    <w:rsid w:val="00B47B6B"/>
    <w:rsid w:val="00B47D87"/>
    <w:rsid w:val="00B47EE6"/>
    <w:rsid w:val="00B504B5"/>
    <w:rsid w:val="00B50642"/>
    <w:rsid w:val="00B50E0A"/>
    <w:rsid w:val="00B510B9"/>
    <w:rsid w:val="00B515F4"/>
    <w:rsid w:val="00B51BC9"/>
    <w:rsid w:val="00B51DE3"/>
    <w:rsid w:val="00B52045"/>
    <w:rsid w:val="00B52092"/>
    <w:rsid w:val="00B52925"/>
    <w:rsid w:val="00B52C4D"/>
    <w:rsid w:val="00B5316E"/>
    <w:rsid w:val="00B54628"/>
    <w:rsid w:val="00B54B7F"/>
    <w:rsid w:val="00B54D09"/>
    <w:rsid w:val="00B55670"/>
    <w:rsid w:val="00B55A78"/>
    <w:rsid w:val="00B55DC6"/>
    <w:rsid w:val="00B56705"/>
    <w:rsid w:val="00B567B5"/>
    <w:rsid w:val="00B568EA"/>
    <w:rsid w:val="00B56BA2"/>
    <w:rsid w:val="00B56DD1"/>
    <w:rsid w:val="00B57494"/>
    <w:rsid w:val="00B57772"/>
    <w:rsid w:val="00B578B7"/>
    <w:rsid w:val="00B57914"/>
    <w:rsid w:val="00B57EB6"/>
    <w:rsid w:val="00B57F12"/>
    <w:rsid w:val="00B603E7"/>
    <w:rsid w:val="00B60D82"/>
    <w:rsid w:val="00B60E36"/>
    <w:rsid w:val="00B612C7"/>
    <w:rsid w:val="00B61E07"/>
    <w:rsid w:val="00B62B99"/>
    <w:rsid w:val="00B62D4F"/>
    <w:rsid w:val="00B63C4A"/>
    <w:rsid w:val="00B642BD"/>
    <w:rsid w:val="00B6440B"/>
    <w:rsid w:val="00B645F8"/>
    <w:rsid w:val="00B64909"/>
    <w:rsid w:val="00B64A5A"/>
    <w:rsid w:val="00B64D5E"/>
    <w:rsid w:val="00B6687D"/>
    <w:rsid w:val="00B670DF"/>
    <w:rsid w:val="00B67268"/>
    <w:rsid w:val="00B672DC"/>
    <w:rsid w:val="00B674D4"/>
    <w:rsid w:val="00B67B3B"/>
    <w:rsid w:val="00B701A1"/>
    <w:rsid w:val="00B7030C"/>
    <w:rsid w:val="00B708EF"/>
    <w:rsid w:val="00B70A25"/>
    <w:rsid w:val="00B70DC7"/>
    <w:rsid w:val="00B710C1"/>
    <w:rsid w:val="00B711C8"/>
    <w:rsid w:val="00B71F97"/>
    <w:rsid w:val="00B722BE"/>
    <w:rsid w:val="00B72656"/>
    <w:rsid w:val="00B7324B"/>
    <w:rsid w:val="00B7328F"/>
    <w:rsid w:val="00B744DB"/>
    <w:rsid w:val="00B7495B"/>
    <w:rsid w:val="00B75230"/>
    <w:rsid w:val="00B7555F"/>
    <w:rsid w:val="00B761CB"/>
    <w:rsid w:val="00B766DB"/>
    <w:rsid w:val="00B76F2F"/>
    <w:rsid w:val="00B7735F"/>
    <w:rsid w:val="00B80166"/>
    <w:rsid w:val="00B805C8"/>
    <w:rsid w:val="00B80A27"/>
    <w:rsid w:val="00B80AC0"/>
    <w:rsid w:val="00B80BA7"/>
    <w:rsid w:val="00B80BEF"/>
    <w:rsid w:val="00B816AA"/>
    <w:rsid w:val="00B8172D"/>
    <w:rsid w:val="00B81C6F"/>
    <w:rsid w:val="00B820B0"/>
    <w:rsid w:val="00B82912"/>
    <w:rsid w:val="00B82CB6"/>
    <w:rsid w:val="00B83167"/>
    <w:rsid w:val="00B832A3"/>
    <w:rsid w:val="00B83C21"/>
    <w:rsid w:val="00B83C5E"/>
    <w:rsid w:val="00B84826"/>
    <w:rsid w:val="00B84D81"/>
    <w:rsid w:val="00B851A5"/>
    <w:rsid w:val="00B856F4"/>
    <w:rsid w:val="00B85F4C"/>
    <w:rsid w:val="00B85F9D"/>
    <w:rsid w:val="00B86155"/>
    <w:rsid w:val="00B86162"/>
    <w:rsid w:val="00B8686C"/>
    <w:rsid w:val="00B869F7"/>
    <w:rsid w:val="00B87599"/>
    <w:rsid w:val="00B9015B"/>
    <w:rsid w:val="00B909DB"/>
    <w:rsid w:val="00B9112C"/>
    <w:rsid w:val="00B92AD4"/>
    <w:rsid w:val="00B92AFA"/>
    <w:rsid w:val="00B92C35"/>
    <w:rsid w:val="00B92D68"/>
    <w:rsid w:val="00B92D76"/>
    <w:rsid w:val="00B93222"/>
    <w:rsid w:val="00B93273"/>
    <w:rsid w:val="00B9338D"/>
    <w:rsid w:val="00B9370B"/>
    <w:rsid w:val="00B94342"/>
    <w:rsid w:val="00B946A3"/>
    <w:rsid w:val="00B9472F"/>
    <w:rsid w:val="00B948C4"/>
    <w:rsid w:val="00B94962"/>
    <w:rsid w:val="00B94A91"/>
    <w:rsid w:val="00B94F52"/>
    <w:rsid w:val="00B95080"/>
    <w:rsid w:val="00B95689"/>
    <w:rsid w:val="00B956E3"/>
    <w:rsid w:val="00B95D38"/>
    <w:rsid w:val="00B9665E"/>
    <w:rsid w:val="00B968BA"/>
    <w:rsid w:val="00B968D5"/>
    <w:rsid w:val="00B96E18"/>
    <w:rsid w:val="00B97958"/>
    <w:rsid w:val="00B97BA8"/>
    <w:rsid w:val="00BA015C"/>
    <w:rsid w:val="00BA03C2"/>
    <w:rsid w:val="00BA0F31"/>
    <w:rsid w:val="00BA0F62"/>
    <w:rsid w:val="00BA1338"/>
    <w:rsid w:val="00BA17E8"/>
    <w:rsid w:val="00BA2917"/>
    <w:rsid w:val="00BA3113"/>
    <w:rsid w:val="00BA325C"/>
    <w:rsid w:val="00BA3EA7"/>
    <w:rsid w:val="00BA4065"/>
    <w:rsid w:val="00BA4DBD"/>
    <w:rsid w:val="00BA4E82"/>
    <w:rsid w:val="00BA4F0D"/>
    <w:rsid w:val="00BA4F82"/>
    <w:rsid w:val="00BA52C1"/>
    <w:rsid w:val="00BA5B3A"/>
    <w:rsid w:val="00BA5DF0"/>
    <w:rsid w:val="00BA61A3"/>
    <w:rsid w:val="00BA70DA"/>
    <w:rsid w:val="00BA7977"/>
    <w:rsid w:val="00BA7A69"/>
    <w:rsid w:val="00BA7B13"/>
    <w:rsid w:val="00BA7F2A"/>
    <w:rsid w:val="00BB08F1"/>
    <w:rsid w:val="00BB1702"/>
    <w:rsid w:val="00BB174B"/>
    <w:rsid w:val="00BB184F"/>
    <w:rsid w:val="00BB2EB0"/>
    <w:rsid w:val="00BB324B"/>
    <w:rsid w:val="00BB3FB0"/>
    <w:rsid w:val="00BB434B"/>
    <w:rsid w:val="00BB44E2"/>
    <w:rsid w:val="00BB469A"/>
    <w:rsid w:val="00BB482F"/>
    <w:rsid w:val="00BB4F35"/>
    <w:rsid w:val="00BB508F"/>
    <w:rsid w:val="00BB5AEC"/>
    <w:rsid w:val="00BB5D48"/>
    <w:rsid w:val="00BB6916"/>
    <w:rsid w:val="00BB6C83"/>
    <w:rsid w:val="00BB70C2"/>
    <w:rsid w:val="00BB7C60"/>
    <w:rsid w:val="00BB7E3F"/>
    <w:rsid w:val="00BB7EC8"/>
    <w:rsid w:val="00BC074C"/>
    <w:rsid w:val="00BC0998"/>
    <w:rsid w:val="00BC0E96"/>
    <w:rsid w:val="00BC0F54"/>
    <w:rsid w:val="00BC0F77"/>
    <w:rsid w:val="00BC0FBF"/>
    <w:rsid w:val="00BC1A28"/>
    <w:rsid w:val="00BC1E37"/>
    <w:rsid w:val="00BC2459"/>
    <w:rsid w:val="00BC3031"/>
    <w:rsid w:val="00BC3414"/>
    <w:rsid w:val="00BC3B13"/>
    <w:rsid w:val="00BC3EBC"/>
    <w:rsid w:val="00BC3FFF"/>
    <w:rsid w:val="00BC525C"/>
    <w:rsid w:val="00BC53BA"/>
    <w:rsid w:val="00BC543D"/>
    <w:rsid w:val="00BC58CB"/>
    <w:rsid w:val="00BC5D5B"/>
    <w:rsid w:val="00BC5DFC"/>
    <w:rsid w:val="00BC5EEA"/>
    <w:rsid w:val="00BC6AAE"/>
    <w:rsid w:val="00BC6B11"/>
    <w:rsid w:val="00BC6CC5"/>
    <w:rsid w:val="00BC7516"/>
    <w:rsid w:val="00BC7637"/>
    <w:rsid w:val="00BC7AEC"/>
    <w:rsid w:val="00BC7CFE"/>
    <w:rsid w:val="00BC7D1F"/>
    <w:rsid w:val="00BD045D"/>
    <w:rsid w:val="00BD0BAC"/>
    <w:rsid w:val="00BD0BB3"/>
    <w:rsid w:val="00BD1230"/>
    <w:rsid w:val="00BD1277"/>
    <w:rsid w:val="00BD183D"/>
    <w:rsid w:val="00BD233E"/>
    <w:rsid w:val="00BD245E"/>
    <w:rsid w:val="00BD2D99"/>
    <w:rsid w:val="00BD2F52"/>
    <w:rsid w:val="00BD4029"/>
    <w:rsid w:val="00BD40E2"/>
    <w:rsid w:val="00BD4373"/>
    <w:rsid w:val="00BD4394"/>
    <w:rsid w:val="00BD4762"/>
    <w:rsid w:val="00BD4A29"/>
    <w:rsid w:val="00BD4C97"/>
    <w:rsid w:val="00BD4DCB"/>
    <w:rsid w:val="00BD4FB9"/>
    <w:rsid w:val="00BD5672"/>
    <w:rsid w:val="00BD5A87"/>
    <w:rsid w:val="00BD63AB"/>
    <w:rsid w:val="00BD6B63"/>
    <w:rsid w:val="00BD6D5E"/>
    <w:rsid w:val="00BD6DAF"/>
    <w:rsid w:val="00BD73C1"/>
    <w:rsid w:val="00BD76E3"/>
    <w:rsid w:val="00BE022E"/>
    <w:rsid w:val="00BE185A"/>
    <w:rsid w:val="00BE2886"/>
    <w:rsid w:val="00BE2C7E"/>
    <w:rsid w:val="00BE32D2"/>
    <w:rsid w:val="00BE3A95"/>
    <w:rsid w:val="00BE3C4D"/>
    <w:rsid w:val="00BE4156"/>
    <w:rsid w:val="00BE426B"/>
    <w:rsid w:val="00BE42A3"/>
    <w:rsid w:val="00BE43D7"/>
    <w:rsid w:val="00BE4AEB"/>
    <w:rsid w:val="00BE5025"/>
    <w:rsid w:val="00BE531C"/>
    <w:rsid w:val="00BE5493"/>
    <w:rsid w:val="00BE55B6"/>
    <w:rsid w:val="00BE578D"/>
    <w:rsid w:val="00BE6112"/>
    <w:rsid w:val="00BE615C"/>
    <w:rsid w:val="00BE652D"/>
    <w:rsid w:val="00BE68CD"/>
    <w:rsid w:val="00BE68D0"/>
    <w:rsid w:val="00BE6CE8"/>
    <w:rsid w:val="00BE7177"/>
    <w:rsid w:val="00BE72AA"/>
    <w:rsid w:val="00BE7307"/>
    <w:rsid w:val="00BE7A55"/>
    <w:rsid w:val="00BF05F8"/>
    <w:rsid w:val="00BF0688"/>
    <w:rsid w:val="00BF16C0"/>
    <w:rsid w:val="00BF1ED6"/>
    <w:rsid w:val="00BF2126"/>
    <w:rsid w:val="00BF2140"/>
    <w:rsid w:val="00BF26AE"/>
    <w:rsid w:val="00BF372B"/>
    <w:rsid w:val="00BF3AE1"/>
    <w:rsid w:val="00BF40FC"/>
    <w:rsid w:val="00BF43A5"/>
    <w:rsid w:val="00BF4E16"/>
    <w:rsid w:val="00BF5F6F"/>
    <w:rsid w:val="00BF72DD"/>
    <w:rsid w:val="00BF74AD"/>
    <w:rsid w:val="00BF74CB"/>
    <w:rsid w:val="00BF7504"/>
    <w:rsid w:val="00BF753F"/>
    <w:rsid w:val="00BF7DB9"/>
    <w:rsid w:val="00C00629"/>
    <w:rsid w:val="00C00D7E"/>
    <w:rsid w:val="00C010D3"/>
    <w:rsid w:val="00C010D5"/>
    <w:rsid w:val="00C01178"/>
    <w:rsid w:val="00C01BAF"/>
    <w:rsid w:val="00C01E3E"/>
    <w:rsid w:val="00C01FBF"/>
    <w:rsid w:val="00C0204A"/>
    <w:rsid w:val="00C0280B"/>
    <w:rsid w:val="00C02E13"/>
    <w:rsid w:val="00C03D72"/>
    <w:rsid w:val="00C045BE"/>
    <w:rsid w:val="00C045F7"/>
    <w:rsid w:val="00C04705"/>
    <w:rsid w:val="00C04819"/>
    <w:rsid w:val="00C04F22"/>
    <w:rsid w:val="00C0517F"/>
    <w:rsid w:val="00C053EA"/>
    <w:rsid w:val="00C0571E"/>
    <w:rsid w:val="00C05784"/>
    <w:rsid w:val="00C05D5C"/>
    <w:rsid w:val="00C06A6B"/>
    <w:rsid w:val="00C06A82"/>
    <w:rsid w:val="00C06B94"/>
    <w:rsid w:val="00C06BBE"/>
    <w:rsid w:val="00C071C2"/>
    <w:rsid w:val="00C10368"/>
    <w:rsid w:val="00C1087D"/>
    <w:rsid w:val="00C1096E"/>
    <w:rsid w:val="00C10D01"/>
    <w:rsid w:val="00C10F22"/>
    <w:rsid w:val="00C1135F"/>
    <w:rsid w:val="00C119FF"/>
    <w:rsid w:val="00C11B62"/>
    <w:rsid w:val="00C11BA7"/>
    <w:rsid w:val="00C122B4"/>
    <w:rsid w:val="00C12510"/>
    <w:rsid w:val="00C127B5"/>
    <w:rsid w:val="00C12B0F"/>
    <w:rsid w:val="00C12C49"/>
    <w:rsid w:val="00C12C78"/>
    <w:rsid w:val="00C12CF3"/>
    <w:rsid w:val="00C13E14"/>
    <w:rsid w:val="00C13E29"/>
    <w:rsid w:val="00C14A9E"/>
    <w:rsid w:val="00C14D3A"/>
    <w:rsid w:val="00C14DCF"/>
    <w:rsid w:val="00C15B8A"/>
    <w:rsid w:val="00C16247"/>
    <w:rsid w:val="00C16317"/>
    <w:rsid w:val="00C16900"/>
    <w:rsid w:val="00C1702C"/>
    <w:rsid w:val="00C17DE0"/>
    <w:rsid w:val="00C17F6C"/>
    <w:rsid w:val="00C2103B"/>
    <w:rsid w:val="00C210E6"/>
    <w:rsid w:val="00C21175"/>
    <w:rsid w:val="00C211A4"/>
    <w:rsid w:val="00C21704"/>
    <w:rsid w:val="00C21E11"/>
    <w:rsid w:val="00C22358"/>
    <w:rsid w:val="00C22468"/>
    <w:rsid w:val="00C22679"/>
    <w:rsid w:val="00C2292C"/>
    <w:rsid w:val="00C22D69"/>
    <w:rsid w:val="00C230D7"/>
    <w:rsid w:val="00C23288"/>
    <w:rsid w:val="00C23A44"/>
    <w:rsid w:val="00C23B3A"/>
    <w:rsid w:val="00C24B62"/>
    <w:rsid w:val="00C2503C"/>
    <w:rsid w:val="00C25F0B"/>
    <w:rsid w:val="00C26D6F"/>
    <w:rsid w:val="00C2715A"/>
    <w:rsid w:val="00C305F5"/>
    <w:rsid w:val="00C30C0C"/>
    <w:rsid w:val="00C30D20"/>
    <w:rsid w:val="00C31055"/>
    <w:rsid w:val="00C3114A"/>
    <w:rsid w:val="00C31610"/>
    <w:rsid w:val="00C3168A"/>
    <w:rsid w:val="00C31E3F"/>
    <w:rsid w:val="00C327AE"/>
    <w:rsid w:val="00C333A8"/>
    <w:rsid w:val="00C33427"/>
    <w:rsid w:val="00C33B32"/>
    <w:rsid w:val="00C33FF7"/>
    <w:rsid w:val="00C34C03"/>
    <w:rsid w:val="00C3576B"/>
    <w:rsid w:val="00C36903"/>
    <w:rsid w:val="00C36B4E"/>
    <w:rsid w:val="00C36B9C"/>
    <w:rsid w:val="00C36D3F"/>
    <w:rsid w:val="00C37333"/>
    <w:rsid w:val="00C373C8"/>
    <w:rsid w:val="00C374A7"/>
    <w:rsid w:val="00C37BC3"/>
    <w:rsid w:val="00C37E09"/>
    <w:rsid w:val="00C37F74"/>
    <w:rsid w:val="00C40BD7"/>
    <w:rsid w:val="00C40D8E"/>
    <w:rsid w:val="00C40DF2"/>
    <w:rsid w:val="00C4122F"/>
    <w:rsid w:val="00C41574"/>
    <w:rsid w:val="00C41DC4"/>
    <w:rsid w:val="00C429FB"/>
    <w:rsid w:val="00C42F7B"/>
    <w:rsid w:val="00C43B53"/>
    <w:rsid w:val="00C448EA"/>
    <w:rsid w:val="00C44A29"/>
    <w:rsid w:val="00C450E8"/>
    <w:rsid w:val="00C455D3"/>
    <w:rsid w:val="00C45771"/>
    <w:rsid w:val="00C457F7"/>
    <w:rsid w:val="00C4596E"/>
    <w:rsid w:val="00C4599B"/>
    <w:rsid w:val="00C466BF"/>
    <w:rsid w:val="00C46B8B"/>
    <w:rsid w:val="00C46E7E"/>
    <w:rsid w:val="00C47071"/>
    <w:rsid w:val="00C47451"/>
    <w:rsid w:val="00C50057"/>
    <w:rsid w:val="00C501F0"/>
    <w:rsid w:val="00C50FFF"/>
    <w:rsid w:val="00C51A8A"/>
    <w:rsid w:val="00C51BEF"/>
    <w:rsid w:val="00C52211"/>
    <w:rsid w:val="00C52890"/>
    <w:rsid w:val="00C52C53"/>
    <w:rsid w:val="00C53C43"/>
    <w:rsid w:val="00C545F1"/>
    <w:rsid w:val="00C547D5"/>
    <w:rsid w:val="00C54A36"/>
    <w:rsid w:val="00C550DD"/>
    <w:rsid w:val="00C56060"/>
    <w:rsid w:val="00C5667C"/>
    <w:rsid w:val="00C56A59"/>
    <w:rsid w:val="00C56EB3"/>
    <w:rsid w:val="00C571D5"/>
    <w:rsid w:val="00C5767F"/>
    <w:rsid w:val="00C60469"/>
    <w:rsid w:val="00C60546"/>
    <w:rsid w:val="00C60711"/>
    <w:rsid w:val="00C60FCB"/>
    <w:rsid w:val="00C6125C"/>
    <w:rsid w:val="00C614A8"/>
    <w:rsid w:val="00C6205F"/>
    <w:rsid w:val="00C6217C"/>
    <w:rsid w:val="00C62220"/>
    <w:rsid w:val="00C6239C"/>
    <w:rsid w:val="00C62BCE"/>
    <w:rsid w:val="00C63DF3"/>
    <w:rsid w:val="00C6407C"/>
    <w:rsid w:val="00C641FD"/>
    <w:rsid w:val="00C64223"/>
    <w:rsid w:val="00C64269"/>
    <w:rsid w:val="00C642F6"/>
    <w:rsid w:val="00C64958"/>
    <w:rsid w:val="00C649B7"/>
    <w:rsid w:val="00C6554E"/>
    <w:rsid w:val="00C65882"/>
    <w:rsid w:val="00C66720"/>
    <w:rsid w:val="00C67A52"/>
    <w:rsid w:val="00C704F5"/>
    <w:rsid w:val="00C708B2"/>
    <w:rsid w:val="00C710AC"/>
    <w:rsid w:val="00C71509"/>
    <w:rsid w:val="00C71E55"/>
    <w:rsid w:val="00C723F5"/>
    <w:rsid w:val="00C72523"/>
    <w:rsid w:val="00C729A2"/>
    <w:rsid w:val="00C73BA4"/>
    <w:rsid w:val="00C74159"/>
    <w:rsid w:val="00C74559"/>
    <w:rsid w:val="00C74752"/>
    <w:rsid w:val="00C748DC"/>
    <w:rsid w:val="00C749D9"/>
    <w:rsid w:val="00C74C41"/>
    <w:rsid w:val="00C74F14"/>
    <w:rsid w:val="00C753CA"/>
    <w:rsid w:val="00C75551"/>
    <w:rsid w:val="00C761A3"/>
    <w:rsid w:val="00C7637C"/>
    <w:rsid w:val="00C76405"/>
    <w:rsid w:val="00C764C3"/>
    <w:rsid w:val="00C774B0"/>
    <w:rsid w:val="00C777A8"/>
    <w:rsid w:val="00C778A0"/>
    <w:rsid w:val="00C77AD1"/>
    <w:rsid w:val="00C77CBB"/>
    <w:rsid w:val="00C808F5"/>
    <w:rsid w:val="00C80C02"/>
    <w:rsid w:val="00C80C4C"/>
    <w:rsid w:val="00C80D76"/>
    <w:rsid w:val="00C81C24"/>
    <w:rsid w:val="00C825B6"/>
    <w:rsid w:val="00C82638"/>
    <w:rsid w:val="00C8273E"/>
    <w:rsid w:val="00C828A5"/>
    <w:rsid w:val="00C828D7"/>
    <w:rsid w:val="00C82BEF"/>
    <w:rsid w:val="00C8318E"/>
    <w:rsid w:val="00C832DD"/>
    <w:rsid w:val="00C832FB"/>
    <w:rsid w:val="00C83925"/>
    <w:rsid w:val="00C83E85"/>
    <w:rsid w:val="00C83F25"/>
    <w:rsid w:val="00C849A3"/>
    <w:rsid w:val="00C85042"/>
    <w:rsid w:val="00C850CC"/>
    <w:rsid w:val="00C85232"/>
    <w:rsid w:val="00C852E1"/>
    <w:rsid w:val="00C859C6"/>
    <w:rsid w:val="00C85E41"/>
    <w:rsid w:val="00C86BD0"/>
    <w:rsid w:val="00C8705A"/>
    <w:rsid w:val="00C8747C"/>
    <w:rsid w:val="00C9020D"/>
    <w:rsid w:val="00C902C0"/>
    <w:rsid w:val="00C90979"/>
    <w:rsid w:val="00C90D35"/>
    <w:rsid w:val="00C91113"/>
    <w:rsid w:val="00C919F9"/>
    <w:rsid w:val="00C9246A"/>
    <w:rsid w:val="00C92802"/>
    <w:rsid w:val="00C92BBD"/>
    <w:rsid w:val="00C93B9C"/>
    <w:rsid w:val="00C93CA9"/>
    <w:rsid w:val="00C93E28"/>
    <w:rsid w:val="00C943B4"/>
    <w:rsid w:val="00C94D91"/>
    <w:rsid w:val="00C95414"/>
    <w:rsid w:val="00C95D5D"/>
    <w:rsid w:val="00C962EB"/>
    <w:rsid w:val="00C96746"/>
    <w:rsid w:val="00C969FC"/>
    <w:rsid w:val="00C96D0C"/>
    <w:rsid w:val="00C97419"/>
    <w:rsid w:val="00C9743B"/>
    <w:rsid w:val="00CA0171"/>
    <w:rsid w:val="00CA072E"/>
    <w:rsid w:val="00CA0D4E"/>
    <w:rsid w:val="00CA10A8"/>
    <w:rsid w:val="00CA10DE"/>
    <w:rsid w:val="00CA13EB"/>
    <w:rsid w:val="00CA1BD2"/>
    <w:rsid w:val="00CA1F7F"/>
    <w:rsid w:val="00CA215F"/>
    <w:rsid w:val="00CA2903"/>
    <w:rsid w:val="00CA3146"/>
    <w:rsid w:val="00CA375E"/>
    <w:rsid w:val="00CA40C1"/>
    <w:rsid w:val="00CA4105"/>
    <w:rsid w:val="00CA4747"/>
    <w:rsid w:val="00CA4C73"/>
    <w:rsid w:val="00CA4CB3"/>
    <w:rsid w:val="00CA5767"/>
    <w:rsid w:val="00CA588D"/>
    <w:rsid w:val="00CA5DED"/>
    <w:rsid w:val="00CA614E"/>
    <w:rsid w:val="00CA68C4"/>
    <w:rsid w:val="00CA692F"/>
    <w:rsid w:val="00CA696A"/>
    <w:rsid w:val="00CA6A00"/>
    <w:rsid w:val="00CA6B04"/>
    <w:rsid w:val="00CA6DA8"/>
    <w:rsid w:val="00CA72F6"/>
    <w:rsid w:val="00CA7865"/>
    <w:rsid w:val="00CA791E"/>
    <w:rsid w:val="00CA7AEE"/>
    <w:rsid w:val="00CA7B22"/>
    <w:rsid w:val="00CB038B"/>
    <w:rsid w:val="00CB09D7"/>
    <w:rsid w:val="00CB125A"/>
    <w:rsid w:val="00CB1561"/>
    <w:rsid w:val="00CB1F89"/>
    <w:rsid w:val="00CB21BF"/>
    <w:rsid w:val="00CB2460"/>
    <w:rsid w:val="00CB255C"/>
    <w:rsid w:val="00CB33A3"/>
    <w:rsid w:val="00CB348C"/>
    <w:rsid w:val="00CB3642"/>
    <w:rsid w:val="00CB39C5"/>
    <w:rsid w:val="00CB3A98"/>
    <w:rsid w:val="00CB3E82"/>
    <w:rsid w:val="00CB3F4C"/>
    <w:rsid w:val="00CB43EC"/>
    <w:rsid w:val="00CB4501"/>
    <w:rsid w:val="00CB478B"/>
    <w:rsid w:val="00CB4B7E"/>
    <w:rsid w:val="00CB4BAF"/>
    <w:rsid w:val="00CB5101"/>
    <w:rsid w:val="00CB5986"/>
    <w:rsid w:val="00CB5C91"/>
    <w:rsid w:val="00CB6D3B"/>
    <w:rsid w:val="00CB6E69"/>
    <w:rsid w:val="00CB72F8"/>
    <w:rsid w:val="00CB766F"/>
    <w:rsid w:val="00CB7E83"/>
    <w:rsid w:val="00CC0146"/>
    <w:rsid w:val="00CC043D"/>
    <w:rsid w:val="00CC05EB"/>
    <w:rsid w:val="00CC08FB"/>
    <w:rsid w:val="00CC096D"/>
    <w:rsid w:val="00CC0B96"/>
    <w:rsid w:val="00CC0C38"/>
    <w:rsid w:val="00CC0D87"/>
    <w:rsid w:val="00CC0E84"/>
    <w:rsid w:val="00CC0EC7"/>
    <w:rsid w:val="00CC1198"/>
    <w:rsid w:val="00CC13B0"/>
    <w:rsid w:val="00CC196B"/>
    <w:rsid w:val="00CC2B53"/>
    <w:rsid w:val="00CC3295"/>
    <w:rsid w:val="00CC347C"/>
    <w:rsid w:val="00CC4704"/>
    <w:rsid w:val="00CC513B"/>
    <w:rsid w:val="00CC5AAA"/>
    <w:rsid w:val="00CC5CAA"/>
    <w:rsid w:val="00CC713F"/>
    <w:rsid w:val="00CC7818"/>
    <w:rsid w:val="00CC785D"/>
    <w:rsid w:val="00CD0482"/>
    <w:rsid w:val="00CD0845"/>
    <w:rsid w:val="00CD0A6E"/>
    <w:rsid w:val="00CD16C6"/>
    <w:rsid w:val="00CD1CD7"/>
    <w:rsid w:val="00CD1D09"/>
    <w:rsid w:val="00CD232D"/>
    <w:rsid w:val="00CD264E"/>
    <w:rsid w:val="00CD2A8A"/>
    <w:rsid w:val="00CD3515"/>
    <w:rsid w:val="00CD3B2C"/>
    <w:rsid w:val="00CD4179"/>
    <w:rsid w:val="00CD41E5"/>
    <w:rsid w:val="00CD440B"/>
    <w:rsid w:val="00CD441E"/>
    <w:rsid w:val="00CD47E5"/>
    <w:rsid w:val="00CD4B79"/>
    <w:rsid w:val="00CD52FB"/>
    <w:rsid w:val="00CD53A8"/>
    <w:rsid w:val="00CD53DD"/>
    <w:rsid w:val="00CD55D4"/>
    <w:rsid w:val="00CD5897"/>
    <w:rsid w:val="00CD5947"/>
    <w:rsid w:val="00CD5E9A"/>
    <w:rsid w:val="00CD631B"/>
    <w:rsid w:val="00CD700D"/>
    <w:rsid w:val="00CD7624"/>
    <w:rsid w:val="00CD7C10"/>
    <w:rsid w:val="00CD7EE5"/>
    <w:rsid w:val="00CE01B9"/>
    <w:rsid w:val="00CE0532"/>
    <w:rsid w:val="00CE0CFC"/>
    <w:rsid w:val="00CE1426"/>
    <w:rsid w:val="00CE15D5"/>
    <w:rsid w:val="00CE16C1"/>
    <w:rsid w:val="00CE1932"/>
    <w:rsid w:val="00CE1E01"/>
    <w:rsid w:val="00CE1E0E"/>
    <w:rsid w:val="00CE1F64"/>
    <w:rsid w:val="00CE2435"/>
    <w:rsid w:val="00CE276E"/>
    <w:rsid w:val="00CE2A1F"/>
    <w:rsid w:val="00CE2C49"/>
    <w:rsid w:val="00CE3A31"/>
    <w:rsid w:val="00CE42B2"/>
    <w:rsid w:val="00CE42C3"/>
    <w:rsid w:val="00CE480D"/>
    <w:rsid w:val="00CE498A"/>
    <w:rsid w:val="00CE5048"/>
    <w:rsid w:val="00CE517C"/>
    <w:rsid w:val="00CE5580"/>
    <w:rsid w:val="00CE5768"/>
    <w:rsid w:val="00CE668C"/>
    <w:rsid w:val="00CE67DC"/>
    <w:rsid w:val="00CE7B12"/>
    <w:rsid w:val="00CE7B7B"/>
    <w:rsid w:val="00CE7BBF"/>
    <w:rsid w:val="00CF099C"/>
    <w:rsid w:val="00CF0E4F"/>
    <w:rsid w:val="00CF1BBD"/>
    <w:rsid w:val="00CF22C6"/>
    <w:rsid w:val="00CF455C"/>
    <w:rsid w:val="00CF5A4E"/>
    <w:rsid w:val="00CF5DFF"/>
    <w:rsid w:val="00CF5FCD"/>
    <w:rsid w:val="00CF6667"/>
    <w:rsid w:val="00CF6FDD"/>
    <w:rsid w:val="00CF71A9"/>
    <w:rsid w:val="00CF7213"/>
    <w:rsid w:val="00CF782E"/>
    <w:rsid w:val="00CF7DF1"/>
    <w:rsid w:val="00D000FE"/>
    <w:rsid w:val="00D0074C"/>
    <w:rsid w:val="00D00888"/>
    <w:rsid w:val="00D00BAC"/>
    <w:rsid w:val="00D011FF"/>
    <w:rsid w:val="00D0151A"/>
    <w:rsid w:val="00D0176E"/>
    <w:rsid w:val="00D01980"/>
    <w:rsid w:val="00D01B1A"/>
    <w:rsid w:val="00D01D61"/>
    <w:rsid w:val="00D024F9"/>
    <w:rsid w:val="00D02514"/>
    <w:rsid w:val="00D02738"/>
    <w:rsid w:val="00D02845"/>
    <w:rsid w:val="00D02916"/>
    <w:rsid w:val="00D0292E"/>
    <w:rsid w:val="00D03A41"/>
    <w:rsid w:val="00D03D16"/>
    <w:rsid w:val="00D04456"/>
    <w:rsid w:val="00D04534"/>
    <w:rsid w:val="00D04CBB"/>
    <w:rsid w:val="00D05036"/>
    <w:rsid w:val="00D05771"/>
    <w:rsid w:val="00D05AD6"/>
    <w:rsid w:val="00D05B87"/>
    <w:rsid w:val="00D06077"/>
    <w:rsid w:val="00D060ED"/>
    <w:rsid w:val="00D064CF"/>
    <w:rsid w:val="00D065AB"/>
    <w:rsid w:val="00D06FD4"/>
    <w:rsid w:val="00D0740D"/>
    <w:rsid w:val="00D07D0A"/>
    <w:rsid w:val="00D10344"/>
    <w:rsid w:val="00D10AF1"/>
    <w:rsid w:val="00D11011"/>
    <w:rsid w:val="00D1137F"/>
    <w:rsid w:val="00D115AD"/>
    <w:rsid w:val="00D11807"/>
    <w:rsid w:val="00D119FE"/>
    <w:rsid w:val="00D11EF8"/>
    <w:rsid w:val="00D121EA"/>
    <w:rsid w:val="00D12FF2"/>
    <w:rsid w:val="00D1340E"/>
    <w:rsid w:val="00D13C70"/>
    <w:rsid w:val="00D13C91"/>
    <w:rsid w:val="00D15F9C"/>
    <w:rsid w:val="00D160B3"/>
    <w:rsid w:val="00D1646E"/>
    <w:rsid w:val="00D167CD"/>
    <w:rsid w:val="00D17345"/>
    <w:rsid w:val="00D17814"/>
    <w:rsid w:val="00D17A7D"/>
    <w:rsid w:val="00D20134"/>
    <w:rsid w:val="00D209DA"/>
    <w:rsid w:val="00D20BC9"/>
    <w:rsid w:val="00D20D2C"/>
    <w:rsid w:val="00D20D70"/>
    <w:rsid w:val="00D21138"/>
    <w:rsid w:val="00D2122C"/>
    <w:rsid w:val="00D216F5"/>
    <w:rsid w:val="00D21C55"/>
    <w:rsid w:val="00D21DB1"/>
    <w:rsid w:val="00D22C27"/>
    <w:rsid w:val="00D22ED7"/>
    <w:rsid w:val="00D236A3"/>
    <w:rsid w:val="00D23729"/>
    <w:rsid w:val="00D23834"/>
    <w:rsid w:val="00D24260"/>
    <w:rsid w:val="00D245CB"/>
    <w:rsid w:val="00D249E0"/>
    <w:rsid w:val="00D24EF4"/>
    <w:rsid w:val="00D24FC4"/>
    <w:rsid w:val="00D25651"/>
    <w:rsid w:val="00D25709"/>
    <w:rsid w:val="00D2589C"/>
    <w:rsid w:val="00D25960"/>
    <w:rsid w:val="00D25BC3"/>
    <w:rsid w:val="00D25CE8"/>
    <w:rsid w:val="00D2652B"/>
    <w:rsid w:val="00D26570"/>
    <w:rsid w:val="00D268C6"/>
    <w:rsid w:val="00D2695C"/>
    <w:rsid w:val="00D26B4D"/>
    <w:rsid w:val="00D26BE8"/>
    <w:rsid w:val="00D26E21"/>
    <w:rsid w:val="00D2770C"/>
    <w:rsid w:val="00D2771F"/>
    <w:rsid w:val="00D27A41"/>
    <w:rsid w:val="00D27A6C"/>
    <w:rsid w:val="00D305FB"/>
    <w:rsid w:val="00D3075B"/>
    <w:rsid w:val="00D3086B"/>
    <w:rsid w:val="00D3095A"/>
    <w:rsid w:val="00D31540"/>
    <w:rsid w:val="00D318E4"/>
    <w:rsid w:val="00D31F58"/>
    <w:rsid w:val="00D32305"/>
    <w:rsid w:val="00D32692"/>
    <w:rsid w:val="00D32884"/>
    <w:rsid w:val="00D33DD5"/>
    <w:rsid w:val="00D3407D"/>
    <w:rsid w:val="00D34279"/>
    <w:rsid w:val="00D35205"/>
    <w:rsid w:val="00D354AC"/>
    <w:rsid w:val="00D355A5"/>
    <w:rsid w:val="00D35BD1"/>
    <w:rsid w:val="00D3618C"/>
    <w:rsid w:val="00D363D2"/>
    <w:rsid w:val="00D36936"/>
    <w:rsid w:val="00D36A24"/>
    <w:rsid w:val="00D36B1E"/>
    <w:rsid w:val="00D36F55"/>
    <w:rsid w:val="00D375D1"/>
    <w:rsid w:val="00D37741"/>
    <w:rsid w:val="00D403B6"/>
    <w:rsid w:val="00D407FD"/>
    <w:rsid w:val="00D41D6B"/>
    <w:rsid w:val="00D41DED"/>
    <w:rsid w:val="00D42069"/>
    <w:rsid w:val="00D42084"/>
    <w:rsid w:val="00D4252C"/>
    <w:rsid w:val="00D42DD3"/>
    <w:rsid w:val="00D432BB"/>
    <w:rsid w:val="00D4360E"/>
    <w:rsid w:val="00D4388D"/>
    <w:rsid w:val="00D44514"/>
    <w:rsid w:val="00D44845"/>
    <w:rsid w:val="00D4487F"/>
    <w:rsid w:val="00D44AC3"/>
    <w:rsid w:val="00D44B33"/>
    <w:rsid w:val="00D45349"/>
    <w:rsid w:val="00D454BD"/>
    <w:rsid w:val="00D45C95"/>
    <w:rsid w:val="00D45F23"/>
    <w:rsid w:val="00D47246"/>
    <w:rsid w:val="00D47A08"/>
    <w:rsid w:val="00D47C3D"/>
    <w:rsid w:val="00D47C65"/>
    <w:rsid w:val="00D500D0"/>
    <w:rsid w:val="00D50282"/>
    <w:rsid w:val="00D50569"/>
    <w:rsid w:val="00D5078D"/>
    <w:rsid w:val="00D508A6"/>
    <w:rsid w:val="00D5144C"/>
    <w:rsid w:val="00D5175B"/>
    <w:rsid w:val="00D52091"/>
    <w:rsid w:val="00D52323"/>
    <w:rsid w:val="00D52736"/>
    <w:rsid w:val="00D53071"/>
    <w:rsid w:val="00D5316A"/>
    <w:rsid w:val="00D53795"/>
    <w:rsid w:val="00D53F84"/>
    <w:rsid w:val="00D54C62"/>
    <w:rsid w:val="00D54C9C"/>
    <w:rsid w:val="00D54EB5"/>
    <w:rsid w:val="00D551F5"/>
    <w:rsid w:val="00D554CF"/>
    <w:rsid w:val="00D5577F"/>
    <w:rsid w:val="00D55BE7"/>
    <w:rsid w:val="00D55E10"/>
    <w:rsid w:val="00D55E59"/>
    <w:rsid w:val="00D560B1"/>
    <w:rsid w:val="00D56106"/>
    <w:rsid w:val="00D5624B"/>
    <w:rsid w:val="00D56333"/>
    <w:rsid w:val="00D56353"/>
    <w:rsid w:val="00D569E7"/>
    <w:rsid w:val="00D56B97"/>
    <w:rsid w:val="00D57741"/>
    <w:rsid w:val="00D57B0A"/>
    <w:rsid w:val="00D57BCF"/>
    <w:rsid w:val="00D57BF5"/>
    <w:rsid w:val="00D57EF7"/>
    <w:rsid w:val="00D57F67"/>
    <w:rsid w:val="00D57FFC"/>
    <w:rsid w:val="00D6076B"/>
    <w:rsid w:val="00D607BC"/>
    <w:rsid w:val="00D60CAC"/>
    <w:rsid w:val="00D60CFC"/>
    <w:rsid w:val="00D61E58"/>
    <w:rsid w:val="00D62456"/>
    <w:rsid w:val="00D62768"/>
    <w:rsid w:val="00D63933"/>
    <w:rsid w:val="00D63A83"/>
    <w:rsid w:val="00D63DD6"/>
    <w:rsid w:val="00D641DB"/>
    <w:rsid w:val="00D64BB0"/>
    <w:rsid w:val="00D65A9A"/>
    <w:rsid w:val="00D65BE8"/>
    <w:rsid w:val="00D65CFA"/>
    <w:rsid w:val="00D65F68"/>
    <w:rsid w:val="00D662A0"/>
    <w:rsid w:val="00D662EF"/>
    <w:rsid w:val="00D664B4"/>
    <w:rsid w:val="00D66C7F"/>
    <w:rsid w:val="00D679D8"/>
    <w:rsid w:val="00D67A2B"/>
    <w:rsid w:val="00D7066F"/>
    <w:rsid w:val="00D7090A"/>
    <w:rsid w:val="00D71134"/>
    <w:rsid w:val="00D711D1"/>
    <w:rsid w:val="00D718F9"/>
    <w:rsid w:val="00D7198E"/>
    <w:rsid w:val="00D720BE"/>
    <w:rsid w:val="00D7242A"/>
    <w:rsid w:val="00D72565"/>
    <w:rsid w:val="00D72897"/>
    <w:rsid w:val="00D72AD9"/>
    <w:rsid w:val="00D72BB5"/>
    <w:rsid w:val="00D730CB"/>
    <w:rsid w:val="00D733D3"/>
    <w:rsid w:val="00D736BE"/>
    <w:rsid w:val="00D73A15"/>
    <w:rsid w:val="00D73ACE"/>
    <w:rsid w:val="00D7462F"/>
    <w:rsid w:val="00D74E67"/>
    <w:rsid w:val="00D74FD9"/>
    <w:rsid w:val="00D75250"/>
    <w:rsid w:val="00D7561C"/>
    <w:rsid w:val="00D75DA2"/>
    <w:rsid w:val="00D761EA"/>
    <w:rsid w:val="00D763AF"/>
    <w:rsid w:val="00D765F2"/>
    <w:rsid w:val="00D76C0D"/>
    <w:rsid w:val="00D76CFA"/>
    <w:rsid w:val="00D77404"/>
    <w:rsid w:val="00D7745B"/>
    <w:rsid w:val="00D776C2"/>
    <w:rsid w:val="00D779D9"/>
    <w:rsid w:val="00D77D91"/>
    <w:rsid w:val="00D808B6"/>
    <w:rsid w:val="00D8094B"/>
    <w:rsid w:val="00D80DE0"/>
    <w:rsid w:val="00D818FC"/>
    <w:rsid w:val="00D81BA7"/>
    <w:rsid w:val="00D81D3A"/>
    <w:rsid w:val="00D81F3E"/>
    <w:rsid w:val="00D82254"/>
    <w:rsid w:val="00D827EC"/>
    <w:rsid w:val="00D8287F"/>
    <w:rsid w:val="00D828E7"/>
    <w:rsid w:val="00D85039"/>
    <w:rsid w:val="00D8527C"/>
    <w:rsid w:val="00D8551E"/>
    <w:rsid w:val="00D86BCD"/>
    <w:rsid w:val="00D86CA9"/>
    <w:rsid w:val="00D86F5D"/>
    <w:rsid w:val="00D871E8"/>
    <w:rsid w:val="00D87A7C"/>
    <w:rsid w:val="00D87AA2"/>
    <w:rsid w:val="00D90328"/>
    <w:rsid w:val="00D905FA"/>
    <w:rsid w:val="00D906ED"/>
    <w:rsid w:val="00D90C90"/>
    <w:rsid w:val="00D912A6"/>
    <w:rsid w:val="00D915FE"/>
    <w:rsid w:val="00D91F19"/>
    <w:rsid w:val="00D92108"/>
    <w:rsid w:val="00D922C5"/>
    <w:rsid w:val="00D9270F"/>
    <w:rsid w:val="00D92CEC"/>
    <w:rsid w:val="00D92F1B"/>
    <w:rsid w:val="00D93210"/>
    <w:rsid w:val="00D933C3"/>
    <w:rsid w:val="00D937D8"/>
    <w:rsid w:val="00D94525"/>
    <w:rsid w:val="00D9458A"/>
    <w:rsid w:val="00D945DC"/>
    <w:rsid w:val="00D94675"/>
    <w:rsid w:val="00D94840"/>
    <w:rsid w:val="00D949D6"/>
    <w:rsid w:val="00D94B32"/>
    <w:rsid w:val="00D94D52"/>
    <w:rsid w:val="00D9574C"/>
    <w:rsid w:val="00D95E3F"/>
    <w:rsid w:val="00D95FEB"/>
    <w:rsid w:val="00D965DB"/>
    <w:rsid w:val="00D96E44"/>
    <w:rsid w:val="00D97061"/>
    <w:rsid w:val="00D97945"/>
    <w:rsid w:val="00D97C07"/>
    <w:rsid w:val="00DA0475"/>
    <w:rsid w:val="00DA0BC9"/>
    <w:rsid w:val="00DA0DDE"/>
    <w:rsid w:val="00DA0E40"/>
    <w:rsid w:val="00DA1C72"/>
    <w:rsid w:val="00DA1CBF"/>
    <w:rsid w:val="00DA1F0A"/>
    <w:rsid w:val="00DA269A"/>
    <w:rsid w:val="00DA2F06"/>
    <w:rsid w:val="00DA30A3"/>
    <w:rsid w:val="00DA364B"/>
    <w:rsid w:val="00DA3683"/>
    <w:rsid w:val="00DA3D61"/>
    <w:rsid w:val="00DA3F5A"/>
    <w:rsid w:val="00DA55C0"/>
    <w:rsid w:val="00DA57D6"/>
    <w:rsid w:val="00DA5EF1"/>
    <w:rsid w:val="00DA62F5"/>
    <w:rsid w:val="00DA62F7"/>
    <w:rsid w:val="00DA6B12"/>
    <w:rsid w:val="00DA6FD0"/>
    <w:rsid w:val="00DA7370"/>
    <w:rsid w:val="00DB0235"/>
    <w:rsid w:val="00DB02EE"/>
    <w:rsid w:val="00DB06EB"/>
    <w:rsid w:val="00DB0902"/>
    <w:rsid w:val="00DB1538"/>
    <w:rsid w:val="00DB1F21"/>
    <w:rsid w:val="00DB2369"/>
    <w:rsid w:val="00DB2BD8"/>
    <w:rsid w:val="00DB335D"/>
    <w:rsid w:val="00DB365F"/>
    <w:rsid w:val="00DB3752"/>
    <w:rsid w:val="00DB444C"/>
    <w:rsid w:val="00DB55AD"/>
    <w:rsid w:val="00DB57B9"/>
    <w:rsid w:val="00DB5A59"/>
    <w:rsid w:val="00DB5BE9"/>
    <w:rsid w:val="00DB6558"/>
    <w:rsid w:val="00DB6851"/>
    <w:rsid w:val="00DB68E2"/>
    <w:rsid w:val="00DB6D07"/>
    <w:rsid w:val="00DB71AB"/>
    <w:rsid w:val="00DB72D6"/>
    <w:rsid w:val="00DC0114"/>
    <w:rsid w:val="00DC014D"/>
    <w:rsid w:val="00DC0D44"/>
    <w:rsid w:val="00DC0FC9"/>
    <w:rsid w:val="00DC125E"/>
    <w:rsid w:val="00DC14AA"/>
    <w:rsid w:val="00DC16B9"/>
    <w:rsid w:val="00DC174C"/>
    <w:rsid w:val="00DC1D03"/>
    <w:rsid w:val="00DC1F2D"/>
    <w:rsid w:val="00DC2E11"/>
    <w:rsid w:val="00DC4832"/>
    <w:rsid w:val="00DC5429"/>
    <w:rsid w:val="00DC5F94"/>
    <w:rsid w:val="00DC620C"/>
    <w:rsid w:val="00DC662C"/>
    <w:rsid w:val="00DC68E6"/>
    <w:rsid w:val="00DC6E3F"/>
    <w:rsid w:val="00DC706A"/>
    <w:rsid w:val="00DC73A9"/>
    <w:rsid w:val="00DC7582"/>
    <w:rsid w:val="00DC7586"/>
    <w:rsid w:val="00DC7B76"/>
    <w:rsid w:val="00DC7CF1"/>
    <w:rsid w:val="00DC7E51"/>
    <w:rsid w:val="00DD0388"/>
    <w:rsid w:val="00DD0A12"/>
    <w:rsid w:val="00DD0C75"/>
    <w:rsid w:val="00DD10E3"/>
    <w:rsid w:val="00DD1246"/>
    <w:rsid w:val="00DD19AD"/>
    <w:rsid w:val="00DD1A9A"/>
    <w:rsid w:val="00DD202F"/>
    <w:rsid w:val="00DD20B4"/>
    <w:rsid w:val="00DD2583"/>
    <w:rsid w:val="00DD2A09"/>
    <w:rsid w:val="00DD2B19"/>
    <w:rsid w:val="00DD2C08"/>
    <w:rsid w:val="00DD30FA"/>
    <w:rsid w:val="00DD328A"/>
    <w:rsid w:val="00DD3898"/>
    <w:rsid w:val="00DD39DD"/>
    <w:rsid w:val="00DD3D5C"/>
    <w:rsid w:val="00DD3FB9"/>
    <w:rsid w:val="00DD414F"/>
    <w:rsid w:val="00DD5978"/>
    <w:rsid w:val="00DD6790"/>
    <w:rsid w:val="00DD6C0E"/>
    <w:rsid w:val="00DD6C1F"/>
    <w:rsid w:val="00DD70F1"/>
    <w:rsid w:val="00DD7208"/>
    <w:rsid w:val="00DD723F"/>
    <w:rsid w:val="00DD7559"/>
    <w:rsid w:val="00DD76CA"/>
    <w:rsid w:val="00DD7B42"/>
    <w:rsid w:val="00DE038C"/>
    <w:rsid w:val="00DE0ECA"/>
    <w:rsid w:val="00DE1158"/>
    <w:rsid w:val="00DE1C12"/>
    <w:rsid w:val="00DE21E0"/>
    <w:rsid w:val="00DE23AC"/>
    <w:rsid w:val="00DE2E03"/>
    <w:rsid w:val="00DE3159"/>
    <w:rsid w:val="00DE3358"/>
    <w:rsid w:val="00DE3569"/>
    <w:rsid w:val="00DE3DFE"/>
    <w:rsid w:val="00DE4A40"/>
    <w:rsid w:val="00DE546E"/>
    <w:rsid w:val="00DE54CF"/>
    <w:rsid w:val="00DE552E"/>
    <w:rsid w:val="00DE5853"/>
    <w:rsid w:val="00DE6390"/>
    <w:rsid w:val="00DE649F"/>
    <w:rsid w:val="00DE6575"/>
    <w:rsid w:val="00DE66AD"/>
    <w:rsid w:val="00DE67CA"/>
    <w:rsid w:val="00DE6A77"/>
    <w:rsid w:val="00DE6B16"/>
    <w:rsid w:val="00DE6B29"/>
    <w:rsid w:val="00DE6D64"/>
    <w:rsid w:val="00DE6FC3"/>
    <w:rsid w:val="00DE7224"/>
    <w:rsid w:val="00DF0ED3"/>
    <w:rsid w:val="00DF0F3A"/>
    <w:rsid w:val="00DF1275"/>
    <w:rsid w:val="00DF1521"/>
    <w:rsid w:val="00DF15F9"/>
    <w:rsid w:val="00DF187E"/>
    <w:rsid w:val="00DF27B1"/>
    <w:rsid w:val="00DF28EF"/>
    <w:rsid w:val="00DF363D"/>
    <w:rsid w:val="00DF397E"/>
    <w:rsid w:val="00DF4730"/>
    <w:rsid w:val="00DF4745"/>
    <w:rsid w:val="00DF491A"/>
    <w:rsid w:val="00DF5070"/>
    <w:rsid w:val="00DF549A"/>
    <w:rsid w:val="00DF54EA"/>
    <w:rsid w:val="00DF5A2E"/>
    <w:rsid w:val="00DF673E"/>
    <w:rsid w:val="00DF69E7"/>
    <w:rsid w:val="00DF6DD1"/>
    <w:rsid w:val="00DF6E39"/>
    <w:rsid w:val="00DF70E9"/>
    <w:rsid w:val="00DF758E"/>
    <w:rsid w:val="00DF77BD"/>
    <w:rsid w:val="00E00158"/>
    <w:rsid w:val="00E005FC"/>
    <w:rsid w:val="00E00A1E"/>
    <w:rsid w:val="00E01C9C"/>
    <w:rsid w:val="00E01E82"/>
    <w:rsid w:val="00E025FF"/>
    <w:rsid w:val="00E027E1"/>
    <w:rsid w:val="00E0296D"/>
    <w:rsid w:val="00E02C94"/>
    <w:rsid w:val="00E030D1"/>
    <w:rsid w:val="00E03D86"/>
    <w:rsid w:val="00E03DE6"/>
    <w:rsid w:val="00E045CF"/>
    <w:rsid w:val="00E04833"/>
    <w:rsid w:val="00E04B0A"/>
    <w:rsid w:val="00E05FE2"/>
    <w:rsid w:val="00E063B6"/>
    <w:rsid w:val="00E0656A"/>
    <w:rsid w:val="00E06E23"/>
    <w:rsid w:val="00E071F1"/>
    <w:rsid w:val="00E0767D"/>
    <w:rsid w:val="00E07754"/>
    <w:rsid w:val="00E07757"/>
    <w:rsid w:val="00E07C16"/>
    <w:rsid w:val="00E101D9"/>
    <w:rsid w:val="00E107D5"/>
    <w:rsid w:val="00E108AA"/>
    <w:rsid w:val="00E1092D"/>
    <w:rsid w:val="00E10CE5"/>
    <w:rsid w:val="00E10D1C"/>
    <w:rsid w:val="00E10FD5"/>
    <w:rsid w:val="00E11A24"/>
    <w:rsid w:val="00E11EEE"/>
    <w:rsid w:val="00E1277F"/>
    <w:rsid w:val="00E12EF6"/>
    <w:rsid w:val="00E13718"/>
    <w:rsid w:val="00E14139"/>
    <w:rsid w:val="00E142B3"/>
    <w:rsid w:val="00E143A2"/>
    <w:rsid w:val="00E14793"/>
    <w:rsid w:val="00E14931"/>
    <w:rsid w:val="00E149FC"/>
    <w:rsid w:val="00E14BF0"/>
    <w:rsid w:val="00E14FCA"/>
    <w:rsid w:val="00E1569B"/>
    <w:rsid w:val="00E16219"/>
    <w:rsid w:val="00E16A9F"/>
    <w:rsid w:val="00E16ACE"/>
    <w:rsid w:val="00E171C5"/>
    <w:rsid w:val="00E175DE"/>
    <w:rsid w:val="00E176F4"/>
    <w:rsid w:val="00E2059B"/>
    <w:rsid w:val="00E20A86"/>
    <w:rsid w:val="00E20E39"/>
    <w:rsid w:val="00E2162A"/>
    <w:rsid w:val="00E21942"/>
    <w:rsid w:val="00E22332"/>
    <w:rsid w:val="00E2245E"/>
    <w:rsid w:val="00E2248D"/>
    <w:rsid w:val="00E22BC7"/>
    <w:rsid w:val="00E23B90"/>
    <w:rsid w:val="00E23C14"/>
    <w:rsid w:val="00E23E24"/>
    <w:rsid w:val="00E242FC"/>
    <w:rsid w:val="00E246E5"/>
    <w:rsid w:val="00E24B2C"/>
    <w:rsid w:val="00E24D04"/>
    <w:rsid w:val="00E258EA"/>
    <w:rsid w:val="00E26416"/>
    <w:rsid w:val="00E26F4F"/>
    <w:rsid w:val="00E3014C"/>
    <w:rsid w:val="00E301DE"/>
    <w:rsid w:val="00E305E4"/>
    <w:rsid w:val="00E308DB"/>
    <w:rsid w:val="00E30A79"/>
    <w:rsid w:val="00E31120"/>
    <w:rsid w:val="00E3118C"/>
    <w:rsid w:val="00E318C1"/>
    <w:rsid w:val="00E3256A"/>
    <w:rsid w:val="00E3297E"/>
    <w:rsid w:val="00E32F97"/>
    <w:rsid w:val="00E32FF4"/>
    <w:rsid w:val="00E333AF"/>
    <w:rsid w:val="00E335F4"/>
    <w:rsid w:val="00E337D6"/>
    <w:rsid w:val="00E338D7"/>
    <w:rsid w:val="00E33B0A"/>
    <w:rsid w:val="00E343CE"/>
    <w:rsid w:val="00E346AB"/>
    <w:rsid w:val="00E34B41"/>
    <w:rsid w:val="00E353CC"/>
    <w:rsid w:val="00E35FB3"/>
    <w:rsid w:val="00E370C6"/>
    <w:rsid w:val="00E3754C"/>
    <w:rsid w:val="00E3785A"/>
    <w:rsid w:val="00E378BC"/>
    <w:rsid w:val="00E378D3"/>
    <w:rsid w:val="00E379BD"/>
    <w:rsid w:val="00E37D54"/>
    <w:rsid w:val="00E37F3A"/>
    <w:rsid w:val="00E4082B"/>
    <w:rsid w:val="00E40DA0"/>
    <w:rsid w:val="00E4196D"/>
    <w:rsid w:val="00E419C4"/>
    <w:rsid w:val="00E42263"/>
    <w:rsid w:val="00E428AC"/>
    <w:rsid w:val="00E43745"/>
    <w:rsid w:val="00E43C23"/>
    <w:rsid w:val="00E446C7"/>
    <w:rsid w:val="00E446F2"/>
    <w:rsid w:val="00E45429"/>
    <w:rsid w:val="00E45488"/>
    <w:rsid w:val="00E456C6"/>
    <w:rsid w:val="00E45A62"/>
    <w:rsid w:val="00E45C8E"/>
    <w:rsid w:val="00E45E24"/>
    <w:rsid w:val="00E462B8"/>
    <w:rsid w:val="00E463D7"/>
    <w:rsid w:val="00E47929"/>
    <w:rsid w:val="00E47B17"/>
    <w:rsid w:val="00E50153"/>
    <w:rsid w:val="00E50D70"/>
    <w:rsid w:val="00E50F07"/>
    <w:rsid w:val="00E51EDF"/>
    <w:rsid w:val="00E5247B"/>
    <w:rsid w:val="00E52611"/>
    <w:rsid w:val="00E52788"/>
    <w:rsid w:val="00E528AF"/>
    <w:rsid w:val="00E52AE0"/>
    <w:rsid w:val="00E52EFB"/>
    <w:rsid w:val="00E530B3"/>
    <w:rsid w:val="00E53708"/>
    <w:rsid w:val="00E53D4C"/>
    <w:rsid w:val="00E53EB6"/>
    <w:rsid w:val="00E54419"/>
    <w:rsid w:val="00E54B79"/>
    <w:rsid w:val="00E5550C"/>
    <w:rsid w:val="00E55D49"/>
    <w:rsid w:val="00E561BC"/>
    <w:rsid w:val="00E562C2"/>
    <w:rsid w:val="00E562DC"/>
    <w:rsid w:val="00E56CC8"/>
    <w:rsid w:val="00E56D85"/>
    <w:rsid w:val="00E56ED9"/>
    <w:rsid w:val="00E570E1"/>
    <w:rsid w:val="00E57B33"/>
    <w:rsid w:val="00E57BED"/>
    <w:rsid w:val="00E6004E"/>
    <w:rsid w:val="00E6085E"/>
    <w:rsid w:val="00E608FF"/>
    <w:rsid w:val="00E60C66"/>
    <w:rsid w:val="00E61167"/>
    <w:rsid w:val="00E6193F"/>
    <w:rsid w:val="00E61CC7"/>
    <w:rsid w:val="00E61DE5"/>
    <w:rsid w:val="00E624FE"/>
    <w:rsid w:val="00E628D6"/>
    <w:rsid w:val="00E62DD1"/>
    <w:rsid w:val="00E62F71"/>
    <w:rsid w:val="00E630A8"/>
    <w:rsid w:val="00E630C7"/>
    <w:rsid w:val="00E635D2"/>
    <w:rsid w:val="00E63778"/>
    <w:rsid w:val="00E63AB4"/>
    <w:rsid w:val="00E63DD1"/>
    <w:rsid w:val="00E63EBD"/>
    <w:rsid w:val="00E63F01"/>
    <w:rsid w:val="00E64619"/>
    <w:rsid w:val="00E648CE"/>
    <w:rsid w:val="00E65192"/>
    <w:rsid w:val="00E657F6"/>
    <w:rsid w:val="00E65D05"/>
    <w:rsid w:val="00E6635A"/>
    <w:rsid w:val="00E66AF8"/>
    <w:rsid w:val="00E66E34"/>
    <w:rsid w:val="00E6711A"/>
    <w:rsid w:val="00E67A80"/>
    <w:rsid w:val="00E67F2F"/>
    <w:rsid w:val="00E67FF8"/>
    <w:rsid w:val="00E701DE"/>
    <w:rsid w:val="00E702D0"/>
    <w:rsid w:val="00E70ECA"/>
    <w:rsid w:val="00E7109D"/>
    <w:rsid w:val="00E71601"/>
    <w:rsid w:val="00E717E0"/>
    <w:rsid w:val="00E71878"/>
    <w:rsid w:val="00E71ED3"/>
    <w:rsid w:val="00E7272E"/>
    <w:rsid w:val="00E7298E"/>
    <w:rsid w:val="00E72EFC"/>
    <w:rsid w:val="00E736A3"/>
    <w:rsid w:val="00E73F21"/>
    <w:rsid w:val="00E74757"/>
    <w:rsid w:val="00E74C63"/>
    <w:rsid w:val="00E7511C"/>
    <w:rsid w:val="00E75567"/>
    <w:rsid w:val="00E75847"/>
    <w:rsid w:val="00E75973"/>
    <w:rsid w:val="00E75B93"/>
    <w:rsid w:val="00E75DFD"/>
    <w:rsid w:val="00E75F70"/>
    <w:rsid w:val="00E760A6"/>
    <w:rsid w:val="00E76595"/>
    <w:rsid w:val="00E76DEA"/>
    <w:rsid w:val="00E76EFA"/>
    <w:rsid w:val="00E77A85"/>
    <w:rsid w:val="00E80245"/>
    <w:rsid w:val="00E804EA"/>
    <w:rsid w:val="00E80ACB"/>
    <w:rsid w:val="00E80F3A"/>
    <w:rsid w:val="00E810B0"/>
    <w:rsid w:val="00E813C0"/>
    <w:rsid w:val="00E81424"/>
    <w:rsid w:val="00E814FA"/>
    <w:rsid w:val="00E81B2E"/>
    <w:rsid w:val="00E81F3A"/>
    <w:rsid w:val="00E82ACA"/>
    <w:rsid w:val="00E82C12"/>
    <w:rsid w:val="00E833A7"/>
    <w:rsid w:val="00E835B7"/>
    <w:rsid w:val="00E836B5"/>
    <w:rsid w:val="00E83E01"/>
    <w:rsid w:val="00E83EDA"/>
    <w:rsid w:val="00E842C2"/>
    <w:rsid w:val="00E84448"/>
    <w:rsid w:val="00E8458F"/>
    <w:rsid w:val="00E845A1"/>
    <w:rsid w:val="00E84655"/>
    <w:rsid w:val="00E84DBD"/>
    <w:rsid w:val="00E85210"/>
    <w:rsid w:val="00E85236"/>
    <w:rsid w:val="00E85DF2"/>
    <w:rsid w:val="00E87330"/>
    <w:rsid w:val="00E873A1"/>
    <w:rsid w:val="00E87440"/>
    <w:rsid w:val="00E87859"/>
    <w:rsid w:val="00E87DD0"/>
    <w:rsid w:val="00E9034C"/>
    <w:rsid w:val="00E90557"/>
    <w:rsid w:val="00E905BE"/>
    <w:rsid w:val="00E91FF1"/>
    <w:rsid w:val="00E9267D"/>
    <w:rsid w:val="00E92CC0"/>
    <w:rsid w:val="00E9345B"/>
    <w:rsid w:val="00E937CA"/>
    <w:rsid w:val="00E93B51"/>
    <w:rsid w:val="00E93C24"/>
    <w:rsid w:val="00E944BD"/>
    <w:rsid w:val="00E949FD"/>
    <w:rsid w:val="00E94C66"/>
    <w:rsid w:val="00E95A45"/>
    <w:rsid w:val="00E95B64"/>
    <w:rsid w:val="00E95E7D"/>
    <w:rsid w:val="00E9605F"/>
    <w:rsid w:val="00E968A8"/>
    <w:rsid w:val="00E97E33"/>
    <w:rsid w:val="00E97F75"/>
    <w:rsid w:val="00EA035B"/>
    <w:rsid w:val="00EA07AF"/>
    <w:rsid w:val="00EA0C4C"/>
    <w:rsid w:val="00EA0F51"/>
    <w:rsid w:val="00EA1131"/>
    <w:rsid w:val="00EA19A9"/>
    <w:rsid w:val="00EA1AE3"/>
    <w:rsid w:val="00EA1C03"/>
    <w:rsid w:val="00EA2376"/>
    <w:rsid w:val="00EA28AA"/>
    <w:rsid w:val="00EA2964"/>
    <w:rsid w:val="00EA2F4B"/>
    <w:rsid w:val="00EA310C"/>
    <w:rsid w:val="00EA32E4"/>
    <w:rsid w:val="00EA34E8"/>
    <w:rsid w:val="00EA3822"/>
    <w:rsid w:val="00EA3EA5"/>
    <w:rsid w:val="00EA3EB0"/>
    <w:rsid w:val="00EA4E2E"/>
    <w:rsid w:val="00EA5192"/>
    <w:rsid w:val="00EA5375"/>
    <w:rsid w:val="00EA5702"/>
    <w:rsid w:val="00EA6A66"/>
    <w:rsid w:val="00EA6DA4"/>
    <w:rsid w:val="00EA71AC"/>
    <w:rsid w:val="00EA79B4"/>
    <w:rsid w:val="00EA7ACE"/>
    <w:rsid w:val="00EA7CAB"/>
    <w:rsid w:val="00EB00B3"/>
    <w:rsid w:val="00EB026F"/>
    <w:rsid w:val="00EB0563"/>
    <w:rsid w:val="00EB058C"/>
    <w:rsid w:val="00EB0EC4"/>
    <w:rsid w:val="00EB182F"/>
    <w:rsid w:val="00EB2365"/>
    <w:rsid w:val="00EB2C0B"/>
    <w:rsid w:val="00EB2C7D"/>
    <w:rsid w:val="00EB2D3E"/>
    <w:rsid w:val="00EB2E08"/>
    <w:rsid w:val="00EB30A9"/>
    <w:rsid w:val="00EB3FDE"/>
    <w:rsid w:val="00EB42DC"/>
    <w:rsid w:val="00EB482B"/>
    <w:rsid w:val="00EB4BD5"/>
    <w:rsid w:val="00EB5A8C"/>
    <w:rsid w:val="00EB601D"/>
    <w:rsid w:val="00EB604F"/>
    <w:rsid w:val="00EB629E"/>
    <w:rsid w:val="00EB7500"/>
    <w:rsid w:val="00EB7C9B"/>
    <w:rsid w:val="00EC0098"/>
    <w:rsid w:val="00EC0A2A"/>
    <w:rsid w:val="00EC0F7E"/>
    <w:rsid w:val="00EC1378"/>
    <w:rsid w:val="00EC13C1"/>
    <w:rsid w:val="00EC19E5"/>
    <w:rsid w:val="00EC1E8F"/>
    <w:rsid w:val="00EC208D"/>
    <w:rsid w:val="00EC21C2"/>
    <w:rsid w:val="00EC21CD"/>
    <w:rsid w:val="00EC2727"/>
    <w:rsid w:val="00EC2E2E"/>
    <w:rsid w:val="00EC3797"/>
    <w:rsid w:val="00EC3DA4"/>
    <w:rsid w:val="00EC3FE4"/>
    <w:rsid w:val="00EC4902"/>
    <w:rsid w:val="00EC4DC9"/>
    <w:rsid w:val="00EC4FCD"/>
    <w:rsid w:val="00EC4FFC"/>
    <w:rsid w:val="00EC54D5"/>
    <w:rsid w:val="00EC580D"/>
    <w:rsid w:val="00EC59BF"/>
    <w:rsid w:val="00EC5F40"/>
    <w:rsid w:val="00EC723E"/>
    <w:rsid w:val="00EC73B6"/>
    <w:rsid w:val="00EC74D0"/>
    <w:rsid w:val="00EC777A"/>
    <w:rsid w:val="00EC77CD"/>
    <w:rsid w:val="00EC77FE"/>
    <w:rsid w:val="00ED2073"/>
    <w:rsid w:val="00ED2B8A"/>
    <w:rsid w:val="00ED30B9"/>
    <w:rsid w:val="00ED3397"/>
    <w:rsid w:val="00ED3748"/>
    <w:rsid w:val="00ED3BE2"/>
    <w:rsid w:val="00ED3C4C"/>
    <w:rsid w:val="00ED4235"/>
    <w:rsid w:val="00ED4668"/>
    <w:rsid w:val="00ED47B0"/>
    <w:rsid w:val="00ED4BDB"/>
    <w:rsid w:val="00ED529F"/>
    <w:rsid w:val="00ED5844"/>
    <w:rsid w:val="00ED69DE"/>
    <w:rsid w:val="00ED6F39"/>
    <w:rsid w:val="00ED722D"/>
    <w:rsid w:val="00ED73B6"/>
    <w:rsid w:val="00ED750A"/>
    <w:rsid w:val="00ED7909"/>
    <w:rsid w:val="00ED7BC9"/>
    <w:rsid w:val="00ED7D9E"/>
    <w:rsid w:val="00EE0537"/>
    <w:rsid w:val="00EE0B9A"/>
    <w:rsid w:val="00EE1AC6"/>
    <w:rsid w:val="00EE1BD3"/>
    <w:rsid w:val="00EE20A1"/>
    <w:rsid w:val="00EE2185"/>
    <w:rsid w:val="00EE241F"/>
    <w:rsid w:val="00EE249A"/>
    <w:rsid w:val="00EE26A5"/>
    <w:rsid w:val="00EE2825"/>
    <w:rsid w:val="00EE2BBB"/>
    <w:rsid w:val="00EE3D64"/>
    <w:rsid w:val="00EE432F"/>
    <w:rsid w:val="00EE49DB"/>
    <w:rsid w:val="00EE5498"/>
    <w:rsid w:val="00EE54FE"/>
    <w:rsid w:val="00EE6076"/>
    <w:rsid w:val="00EE622E"/>
    <w:rsid w:val="00EE6BA7"/>
    <w:rsid w:val="00EE7052"/>
    <w:rsid w:val="00EF0037"/>
    <w:rsid w:val="00EF0306"/>
    <w:rsid w:val="00EF0827"/>
    <w:rsid w:val="00EF1659"/>
    <w:rsid w:val="00EF1859"/>
    <w:rsid w:val="00EF1AD2"/>
    <w:rsid w:val="00EF1D84"/>
    <w:rsid w:val="00EF21B1"/>
    <w:rsid w:val="00EF23AD"/>
    <w:rsid w:val="00EF23DB"/>
    <w:rsid w:val="00EF365C"/>
    <w:rsid w:val="00EF3735"/>
    <w:rsid w:val="00EF3E3C"/>
    <w:rsid w:val="00EF43E8"/>
    <w:rsid w:val="00EF4747"/>
    <w:rsid w:val="00EF5126"/>
    <w:rsid w:val="00EF51B0"/>
    <w:rsid w:val="00EF5C92"/>
    <w:rsid w:val="00EF65B5"/>
    <w:rsid w:val="00EF68E3"/>
    <w:rsid w:val="00EF6CC7"/>
    <w:rsid w:val="00EF6ECF"/>
    <w:rsid w:val="00EF73E2"/>
    <w:rsid w:val="00EF7626"/>
    <w:rsid w:val="00EF7C1C"/>
    <w:rsid w:val="00EF7DD6"/>
    <w:rsid w:val="00F005B5"/>
    <w:rsid w:val="00F01634"/>
    <w:rsid w:val="00F01762"/>
    <w:rsid w:val="00F01916"/>
    <w:rsid w:val="00F022DD"/>
    <w:rsid w:val="00F026BA"/>
    <w:rsid w:val="00F029D1"/>
    <w:rsid w:val="00F0338A"/>
    <w:rsid w:val="00F0355F"/>
    <w:rsid w:val="00F03D7F"/>
    <w:rsid w:val="00F0405B"/>
    <w:rsid w:val="00F0523C"/>
    <w:rsid w:val="00F05399"/>
    <w:rsid w:val="00F05C77"/>
    <w:rsid w:val="00F05F6F"/>
    <w:rsid w:val="00F06282"/>
    <w:rsid w:val="00F062BE"/>
    <w:rsid w:val="00F0677C"/>
    <w:rsid w:val="00F06F7F"/>
    <w:rsid w:val="00F0764F"/>
    <w:rsid w:val="00F0798B"/>
    <w:rsid w:val="00F07A10"/>
    <w:rsid w:val="00F07C2F"/>
    <w:rsid w:val="00F07C78"/>
    <w:rsid w:val="00F1001F"/>
    <w:rsid w:val="00F101AB"/>
    <w:rsid w:val="00F105D4"/>
    <w:rsid w:val="00F10885"/>
    <w:rsid w:val="00F110F3"/>
    <w:rsid w:val="00F11334"/>
    <w:rsid w:val="00F1165A"/>
    <w:rsid w:val="00F11B44"/>
    <w:rsid w:val="00F11BED"/>
    <w:rsid w:val="00F11C2F"/>
    <w:rsid w:val="00F11E8F"/>
    <w:rsid w:val="00F12414"/>
    <w:rsid w:val="00F126BC"/>
    <w:rsid w:val="00F12742"/>
    <w:rsid w:val="00F12966"/>
    <w:rsid w:val="00F12C18"/>
    <w:rsid w:val="00F12F2F"/>
    <w:rsid w:val="00F1304A"/>
    <w:rsid w:val="00F134D3"/>
    <w:rsid w:val="00F1350D"/>
    <w:rsid w:val="00F1369F"/>
    <w:rsid w:val="00F13A5C"/>
    <w:rsid w:val="00F13F84"/>
    <w:rsid w:val="00F146D6"/>
    <w:rsid w:val="00F14B40"/>
    <w:rsid w:val="00F14BC3"/>
    <w:rsid w:val="00F154AC"/>
    <w:rsid w:val="00F157AC"/>
    <w:rsid w:val="00F159E3"/>
    <w:rsid w:val="00F15AC4"/>
    <w:rsid w:val="00F15D15"/>
    <w:rsid w:val="00F15E4B"/>
    <w:rsid w:val="00F15EAB"/>
    <w:rsid w:val="00F16097"/>
    <w:rsid w:val="00F164A8"/>
    <w:rsid w:val="00F171A2"/>
    <w:rsid w:val="00F171CA"/>
    <w:rsid w:val="00F17739"/>
    <w:rsid w:val="00F177F8"/>
    <w:rsid w:val="00F17AA0"/>
    <w:rsid w:val="00F2066B"/>
    <w:rsid w:val="00F20863"/>
    <w:rsid w:val="00F20880"/>
    <w:rsid w:val="00F21192"/>
    <w:rsid w:val="00F214A6"/>
    <w:rsid w:val="00F216F9"/>
    <w:rsid w:val="00F21B8F"/>
    <w:rsid w:val="00F21BF5"/>
    <w:rsid w:val="00F22193"/>
    <w:rsid w:val="00F224AE"/>
    <w:rsid w:val="00F249E5"/>
    <w:rsid w:val="00F25146"/>
    <w:rsid w:val="00F25D10"/>
    <w:rsid w:val="00F2690D"/>
    <w:rsid w:val="00F300F2"/>
    <w:rsid w:val="00F302AE"/>
    <w:rsid w:val="00F304C3"/>
    <w:rsid w:val="00F30BEB"/>
    <w:rsid w:val="00F313A3"/>
    <w:rsid w:val="00F31697"/>
    <w:rsid w:val="00F316A3"/>
    <w:rsid w:val="00F32084"/>
    <w:rsid w:val="00F32102"/>
    <w:rsid w:val="00F321ED"/>
    <w:rsid w:val="00F3227A"/>
    <w:rsid w:val="00F32833"/>
    <w:rsid w:val="00F32F87"/>
    <w:rsid w:val="00F333F2"/>
    <w:rsid w:val="00F34073"/>
    <w:rsid w:val="00F340F8"/>
    <w:rsid w:val="00F3469A"/>
    <w:rsid w:val="00F3487C"/>
    <w:rsid w:val="00F34C22"/>
    <w:rsid w:val="00F34CF0"/>
    <w:rsid w:val="00F35369"/>
    <w:rsid w:val="00F3555F"/>
    <w:rsid w:val="00F355DD"/>
    <w:rsid w:val="00F35873"/>
    <w:rsid w:val="00F35E39"/>
    <w:rsid w:val="00F35FA4"/>
    <w:rsid w:val="00F36648"/>
    <w:rsid w:val="00F36D41"/>
    <w:rsid w:val="00F3705C"/>
    <w:rsid w:val="00F374DB"/>
    <w:rsid w:val="00F37761"/>
    <w:rsid w:val="00F37A48"/>
    <w:rsid w:val="00F37AAD"/>
    <w:rsid w:val="00F37B05"/>
    <w:rsid w:val="00F37CF0"/>
    <w:rsid w:val="00F404A0"/>
    <w:rsid w:val="00F409F0"/>
    <w:rsid w:val="00F41091"/>
    <w:rsid w:val="00F416DC"/>
    <w:rsid w:val="00F41ACE"/>
    <w:rsid w:val="00F41D10"/>
    <w:rsid w:val="00F4322C"/>
    <w:rsid w:val="00F4369E"/>
    <w:rsid w:val="00F437DF"/>
    <w:rsid w:val="00F438D4"/>
    <w:rsid w:val="00F43CCA"/>
    <w:rsid w:val="00F443DB"/>
    <w:rsid w:val="00F44534"/>
    <w:rsid w:val="00F44E0C"/>
    <w:rsid w:val="00F45132"/>
    <w:rsid w:val="00F45648"/>
    <w:rsid w:val="00F459AD"/>
    <w:rsid w:val="00F47021"/>
    <w:rsid w:val="00F470F8"/>
    <w:rsid w:val="00F474B9"/>
    <w:rsid w:val="00F47895"/>
    <w:rsid w:val="00F5001C"/>
    <w:rsid w:val="00F503BF"/>
    <w:rsid w:val="00F506B4"/>
    <w:rsid w:val="00F51250"/>
    <w:rsid w:val="00F51274"/>
    <w:rsid w:val="00F513AA"/>
    <w:rsid w:val="00F5167D"/>
    <w:rsid w:val="00F5180E"/>
    <w:rsid w:val="00F52328"/>
    <w:rsid w:val="00F52578"/>
    <w:rsid w:val="00F52722"/>
    <w:rsid w:val="00F52765"/>
    <w:rsid w:val="00F528A7"/>
    <w:rsid w:val="00F533B1"/>
    <w:rsid w:val="00F5344D"/>
    <w:rsid w:val="00F53ACF"/>
    <w:rsid w:val="00F53DED"/>
    <w:rsid w:val="00F54111"/>
    <w:rsid w:val="00F54A34"/>
    <w:rsid w:val="00F55695"/>
    <w:rsid w:val="00F559DE"/>
    <w:rsid w:val="00F55B4D"/>
    <w:rsid w:val="00F55D36"/>
    <w:rsid w:val="00F560BF"/>
    <w:rsid w:val="00F56329"/>
    <w:rsid w:val="00F56423"/>
    <w:rsid w:val="00F56AC8"/>
    <w:rsid w:val="00F570CB"/>
    <w:rsid w:val="00F57776"/>
    <w:rsid w:val="00F577FC"/>
    <w:rsid w:val="00F57DBA"/>
    <w:rsid w:val="00F60555"/>
    <w:rsid w:val="00F605D3"/>
    <w:rsid w:val="00F607DC"/>
    <w:rsid w:val="00F60E8F"/>
    <w:rsid w:val="00F612A8"/>
    <w:rsid w:val="00F613A8"/>
    <w:rsid w:val="00F614A3"/>
    <w:rsid w:val="00F61B87"/>
    <w:rsid w:val="00F61F3F"/>
    <w:rsid w:val="00F622B0"/>
    <w:rsid w:val="00F62EB6"/>
    <w:rsid w:val="00F63394"/>
    <w:rsid w:val="00F63723"/>
    <w:rsid w:val="00F6392C"/>
    <w:rsid w:val="00F641EE"/>
    <w:rsid w:val="00F6422B"/>
    <w:rsid w:val="00F64685"/>
    <w:rsid w:val="00F646A3"/>
    <w:rsid w:val="00F65A68"/>
    <w:rsid w:val="00F65CA6"/>
    <w:rsid w:val="00F65CD9"/>
    <w:rsid w:val="00F660B2"/>
    <w:rsid w:val="00F661C0"/>
    <w:rsid w:val="00F66354"/>
    <w:rsid w:val="00F66492"/>
    <w:rsid w:val="00F66AB2"/>
    <w:rsid w:val="00F67568"/>
    <w:rsid w:val="00F6764B"/>
    <w:rsid w:val="00F67A76"/>
    <w:rsid w:val="00F70440"/>
    <w:rsid w:val="00F7089C"/>
    <w:rsid w:val="00F70E79"/>
    <w:rsid w:val="00F71193"/>
    <w:rsid w:val="00F71B3D"/>
    <w:rsid w:val="00F71D33"/>
    <w:rsid w:val="00F71D44"/>
    <w:rsid w:val="00F7208B"/>
    <w:rsid w:val="00F720A4"/>
    <w:rsid w:val="00F72145"/>
    <w:rsid w:val="00F72172"/>
    <w:rsid w:val="00F7281C"/>
    <w:rsid w:val="00F72DBF"/>
    <w:rsid w:val="00F73BA4"/>
    <w:rsid w:val="00F73F26"/>
    <w:rsid w:val="00F74050"/>
    <w:rsid w:val="00F74439"/>
    <w:rsid w:val="00F74A57"/>
    <w:rsid w:val="00F74C28"/>
    <w:rsid w:val="00F751CB"/>
    <w:rsid w:val="00F75529"/>
    <w:rsid w:val="00F7605C"/>
    <w:rsid w:val="00F76062"/>
    <w:rsid w:val="00F76535"/>
    <w:rsid w:val="00F76A79"/>
    <w:rsid w:val="00F76AAA"/>
    <w:rsid w:val="00F773A3"/>
    <w:rsid w:val="00F77479"/>
    <w:rsid w:val="00F80184"/>
    <w:rsid w:val="00F80574"/>
    <w:rsid w:val="00F809C6"/>
    <w:rsid w:val="00F80AC0"/>
    <w:rsid w:val="00F80D2D"/>
    <w:rsid w:val="00F80D83"/>
    <w:rsid w:val="00F810F3"/>
    <w:rsid w:val="00F813D0"/>
    <w:rsid w:val="00F81419"/>
    <w:rsid w:val="00F81450"/>
    <w:rsid w:val="00F81659"/>
    <w:rsid w:val="00F81B61"/>
    <w:rsid w:val="00F81BE2"/>
    <w:rsid w:val="00F81BFD"/>
    <w:rsid w:val="00F81F38"/>
    <w:rsid w:val="00F83468"/>
    <w:rsid w:val="00F8412A"/>
    <w:rsid w:val="00F8417C"/>
    <w:rsid w:val="00F84FA7"/>
    <w:rsid w:val="00F850A7"/>
    <w:rsid w:val="00F852DB"/>
    <w:rsid w:val="00F85B6F"/>
    <w:rsid w:val="00F86574"/>
    <w:rsid w:val="00F86DA5"/>
    <w:rsid w:val="00F873CD"/>
    <w:rsid w:val="00F87436"/>
    <w:rsid w:val="00F87507"/>
    <w:rsid w:val="00F87C75"/>
    <w:rsid w:val="00F87FC9"/>
    <w:rsid w:val="00F900EC"/>
    <w:rsid w:val="00F90954"/>
    <w:rsid w:val="00F90DDA"/>
    <w:rsid w:val="00F91066"/>
    <w:rsid w:val="00F9146D"/>
    <w:rsid w:val="00F919B1"/>
    <w:rsid w:val="00F92200"/>
    <w:rsid w:val="00F92CD5"/>
    <w:rsid w:val="00F92FC3"/>
    <w:rsid w:val="00F932F7"/>
    <w:rsid w:val="00F93EB4"/>
    <w:rsid w:val="00F94580"/>
    <w:rsid w:val="00F94910"/>
    <w:rsid w:val="00F94A7E"/>
    <w:rsid w:val="00F9511F"/>
    <w:rsid w:val="00F95347"/>
    <w:rsid w:val="00F954EB"/>
    <w:rsid w:val="00F95593"/>
    <w:rsid w:val="00F95653"/>
    <w:rsid w:val="00F96CDC"/>
    <w:rsid w:val="00F96D2F"/>
    <w:rsid w:val="00F97358"/>
    <w:rsid w:val="00F9735D"/>
    <w:rsid w:val="00F976F2"/>
    <w:rsid w:val="00F97AFC"/>
    <w:rsid w:val="00F97C84"/>
    <w:rsid w:val="00FA17CD"/>
    <w:rsid w:val="00FA18D3"/>
    <w:rsid w:val="00FA22AC"/>
    <w:rsid w:val="00FA2563"/>
    <w:rsid w:val="00FA2710"/>
    <w:rsid w:val="00FA2D42"/>
    <w:rsid w:val="00FA33AC"/>
    <w:rsid w:val="00FA34C8"/>
    <w:rsid w:val="00FA3A4D"/>
    <w:rsid w:val="00FA3E43"/>
    <w:rsid w:val="00FA4A91"/>
    <w:rsid w:val="00FA5017"/>
    <w:rsid w:val="00FA5163"/>
    <w:rsid w:val="00FA5203"/>
    <w:rsid w:val="00FA541D"/>
    <w:rsid w:val="00FA58A8"/>
    <w:rsid w:val="00FA591D"/>
    <w:rsid w:val="00FA61E6"/>
    <w:rsid w:val="00FA6559"/>
    <w:rsid w:val="00FA6788"/>
    <w:rsid w:val="00FA6C1A"/>
    <w:rsid w:val="00FA6CB7"/>
    <w:rsid w:val="00FA71D5"/>
    <w:rsid w:val="00FA750D"/>
    <w:rsid w:val="00FA7E0B"/>
    <w:rsid w:val="00FB0536"/>
    <w:rsid w:val="00FB0F2E"/>
    <w:rsid w:val="00FB1606"/>
    <w:rsid w:val="00FB16D7"/>
    <w:rsid w:val="00FB1800"/>
    <w:rsid w:val="00FB1C07"/>
    <w:rsid w:val="00FB21A3"/>
    <w:rsid w:val="00FB2A29"/>
    <w:rsid w:val="00FB503C"/>
    <w:rsid w:val="00FB55F0"/>
    <w:rsid w:val="00FB5FF1"/>
    <w:rsid w:val="00FB6017"/>
    <w:rsid w:val="00FB6D9B"/>
    <w:rsid w:val="00FB6FE9"/>
    <w:rsid w:val="00FB7240"/>
    <w:rsid w:val="00FB73B8"/>
    <w:rsid w:val="00FB77B1"/>
    <w:rsid w:val="00FB7977"/>
    <w:rsid w:val="00FB7D88"/>
    <w:rsid w:val="00FC069D"/>
    <w:rsid w:val="00FC0EC7"/>
    <w:rsid w:val="00FC0F5F"/>
    <w:rsid w:val="00FC11E1"/>
    <w:rsid w:val="00FC12E2"/>
    <w:rsid w:val="00FC2879"/>
    <w:rsid w:val="00FC2F9D"/>
    <w:rsid w:val="00FC3483"/>
    <w:rsid w:val="00FC3CFB"/>
    <w:rsid w:val="00FC3FD6"/>
    <w:rsid w:val="00FC41DF"/>
    <w:rsid w:val="00FC4C2E"/>
    <w:rsid w:val="00FC6207"/>
    <w:rsid w:val="00FC7439"/>
    <w:rsid w:val="00FC755D"/>
    <w:rsid w:val="00FC7642"/>
    <w:rsid w:val="00FC7A2B"/>
    <w:rsid w:val="00FD02AE"/>
    <w:rsid w:val="00FD03FC"/>
    <w:rsid w:val="00FD0AAB"/>
    <w:rsid w:val="00FD0F6A"/>
    <w:rsid w:val="00FD0FE1"/>
    <w:rsid w:val="00FD1029"/>
    <w:rsid w:val="00FD113F"/>
    <w:rsid w:val="00FD1444"/>
    <w:rsid w:val="00FD193F"/>
    <w:rsid w:val="00FD1AF8"/>
    <w:rsid w:val="00FD21EE"/>
    <w:rsid w:val="00FD269D"/>
    <w:rsid w:val="00FD2F48"/>
    <w:rsid w:val="00FD3A1B"/>
    <w:rsid w:val="00FD3C1C"/>
    <w:rsid w:val="00FD42EF"/>
    <w:rsid w:val="00FD5665"/>
    <w:rsid w:val="00FD5828"/>
    <w:rsid w:val="00FD5B44"/>
    <w:rsid w:val="00FD65A2"/>
    <w:rsid w:val="00FD65EE"/>
    <w:rsid w:val="00FD6717"/>
    <w:rsid w:val="00FE06D7"/>
    <w:rsid w:val="00FE08EB"/>
    <w:rsid w:val="00FE0CE0"/>
    <w:rsid w:val="00FE0FF1"/>
    <w:rsid w:val="00FE16ED"/>
    <w:rsid w:val="00FE187E"/>
    <w:rsid w:val="00FE1CF0"/>
    <w:rsid w:val="00FE2B39"/>
    <w:rsid w:val="00FE2F68"/>
    <w:rsid w:val="00FE30E7"/>
    <w:rsid w:val="00FE477A"/>
    <w:rsid w:val="00FE48D2"/>
    <w:rsid w:val="00FE5A5B"/>
    <w:rsid w:val="00FE5D2D"/>
    <w:rsid w:val="00FE616A"/>
    <w:rsid w:val="00FE6447"/>
    <w:rsid w:val="00FE66AE"/>
    <w:rsid w:val="00FE69E3"/>
    <w:rsid w:val="00FE6E4B"/>
    <w:rsid w:val="00FE7203"/>
    <w:rsid w:val="00FE7DE7"/>
    <w:rsid w:val="00FF0077"/>
    <w:rsid w:val="00FF0AAF"/>
    <w:rsid w:val="00FF110E"/>
    <w:rsid w:val="00FF121C"/>
    <w:rsid w:val="00FF1919"/>
    <w:rsid w:val="00FF2155"/>
    <w:rsid w:val="00FF23F9"/>
    <w:rsid w:val="00FF2684"/>
    <w:rsid w:val="00FF29B8"/>
    <w:rsid w:val="00FF2A97"/>
    <w:rsid w:val="00FF2E1C"/>
    <w:rsid w:val="00FF369A"/>
    <w:rsid w:val="00FF3A85"/>
    <w:rsid w:val="00FF3DDC"/>
    <w:rsid w:val="00FF49CF"/>
    <w:rsid w:val="00FF50EE"/>
    <w:rsid w:val="00FF51F9"/>
    <w:rsid w:val="00FF5421"/>
    <w:rsid w:val="00FF585E"/>
    <w:rsid w:val="00FF5998"/>
    <w:rsid w:val="00FF5DB0"/>
    <w:rsid w:val="00FF64B4"/>
    <w:rsid w:val="00FF6B61"/>
    <w:rsid w:val="00FF6BCE"/>
    <w:rsid w:val="00FF6CB6"/>
    <w:rsid w:val="00FF6FCD"/>
    <w:rsid w:val="00FF734A"/>
    <w:rsid w:val="00FF73FD"/>
    <w:rsid w:val="00FF7C73"/>
    <w:rsid w:val="01230FF8"/>
    <w:rsid w:val="013B12AC"/>
    <w:rsid w:val="01840D23"/>
    <w:rsid w:val="01A36639"/>
    <w:rsid w:val="01AA128A"/>
    <w:rsid w:val="01C523EB"/>
    <w:rsid w:val="01CA7DE4"/>
    <w:rsid w:val="01ED0BE8"/>
    <w:rsid w:val="022B52F2"/>
    <w:rsid w:val="02385327"/>
    <w:rsid w:val="02443EBF"/>
    <w:rsid w:val="025C14B4"/>
    <w:rsid w:val="02883974"/>
    <w:rsid w:val="028B271D"/>
    <w:rsid w:val="02BC2A6D"/>
    <w:rsid w:val="02D9001B"/>
    <w:rsid w:val="03511DCB"/>
    <w:rsid w:val="03800958"/>
    <w:rsid w:val="03D42E2E"/>
    <w:rsid w:val="03EA585B"/>
    <w:rsid w:val="042C7234"/>
    <w:rsid w:val="0441088F"/>
    <w:rsid w:val="04AB3904"/>
    <w:rsid w:val="04AC7907"/>
    <w:rsid w:val="04DF2EAE"/>
    <w:rsid w:val="04E05E04"/>
    <w:rsid w:val="050C05C8"/>
    <w:rsid w:val="0525473E"/>
    <w:rsid w:val="053E2602"/>
    <w:rsid w:val="054001A7"/>
    <w:rsid w:val="05D50E7D"/>
    <w:rsid w:val="060A6FDB"/>
    <w:rsid w:val="06362007"/>
    <w:rsid w:val="06452A65"/>
    <w:rsid w:val="06583DFE"/>
    <w:rsid w:val="06654211"/>
    <w:rsid w:val="067803E8"/>
    <w:rsid w:val="068F306A"/>
    <w:rsid w:val="06AE3FEC"/>
    <w:rsid w:val="06E073A0"/>
    <w:rsid w:val="06FB2900"/>
    <w:rsid w:val="072C6C75"/>
    <w:rsid w:val="075229E7"/>
    <w:rsid w:val="07560D8A"/>
    <w:rsid w:val="076F2324"/>
    <w:rsid w:val="07CD517A"/>
    <w:rsid w:val="07E10424"/>
    <w:rsid w:val="081802DB"/>
    <w:rsid w:val="08202AE5"/>
    <w:rsid w:val="082F1310"/>
    <w:rsid w:val="086361B9"/>
    <w:rsid w:val="086E3851"/>
    <w:rsid w:val="0894499D"/>
    <w:rsid w:val="08A2799E"/>
    <w:rsid w:val="08C50AF1"/>
    <w:rsid w:val="08C74C21"/>
    <w:rsid w:val="08E25FED"/>
    <w:rsid w:val="08EC29C7"/>
    <w:rsid w:val="08EE2A4A"/>
    <w:rsid w:val="0946657C"/>
    <w:rsid w:val="0963211F"/>
    <w:rsid w:val="097C5E2F"/>
    <w:rsid w:val="09962C2B"/>
    <w:rsid w:val="09A432A2"/>
    <w:rsid w:val="09D65B51"/>
    <w:rsid w:val="09EC4C0B"/>
    <w:rsid w:val="0A105A61"/>
    <w:rsid w:val="0A1246B0"/>
    <w:rsid w:val="0A3D6BFE"/>
    <w:rsid w:val="0A9B1393"/>
    <w:rsid w:val="0AE4224C"/>
    <w:rsid w:val="0B7078E0"/>
    <w:rsid w:val="0B775E97"/>
    <w:rsid w:val="0B881B32"/>
    <w:rsid w:val="0C61547A"/>
    <w:rsid w:val="0C7B653C"/>
    <w:rsid w:val="0CCA7C6E"/>
    <w:rsid w:val="0D005082"/>
    <w:rsid w:val="0D26294C"/>
    <w:rsid w:val="0D5225D9"/>
    <w:rsid w:val="0D5A1BC5"/>
    <w:rsid w:val="0DB97A81"/>
    <w:rsid w:val="0DDC74AE"/>
    <w:rsid w:val="0E2750C9"/>
    <w:rsid w:val="0E337610"/>
    <w:rsid w:val="0E421BE9"/>
    <w:rsid w:val="0E4312DC"/>
    <w:rsid w:val="0E523341"/>
    <w:rsid w:val="0E540B6A"/>
    <w:rsid w:val="0E581C96"/>
    <w:rsid w:val="0E664FCA"/>
    <w:rsid w:val="0E8A6F0A"/>
    <w:rsid w:val="0EDD34DE"/>
    <w:rsid w:val="0F1867CF"/>
    <w:rsid w:val="0F230F70"/>
    <w:rsid w:val="0F4672D5"/>
    <w:rsid w:val="0FB00E9A"/>
    <w:rsid w:val="0FEB1E42"/>
    <w:rsid w:val="0FF40B56"/>
    <w:rsid w:val="10353209"/>
    <w:rsid w:val="10393380"/>
    <w:rsid w:val="10D3327A"/>
    <w:rsid w:val="11510997"/>
    <w:rsid w:val="115C5F26"/>
    <w:rsid w:val="115D508F"/>
    <w:rsid w:val="11693DA7"/>
    <w:rsid w:val="120038EF"/>
    <w:rsid w:val="12072E82"/>
    <w:rsid w:val="12803FE4"/>
    <w:rsid w:val="12EB3CF1"/>
    <w:rsid w:val="130E6C2F"/>
    <w:rsid w:val="133F0689"/>
    <w:rsid w:val="13690A0D"/>
    <w:rsid w:val="136A730B"/>
    <w:rsid w:val="13A2162B"/>
    <w:rsid w:val="13D76B8F"/>
    <w:rsid w:val="13DE5DEF"/>
    <w:rsid w:val="13FB1111"/>
    <w:rsid w:val="143F2545"/>
    <w:rsid w:val="145E6E6F"/>
    <w:rsid w:val="145F6743"/>
    <w:rsid w:val="147772D7"/>
    <w:rsid w:val="147B7EF0"/>
    <w:rsid w:val="14847A08"/>
    <w:rsid w:val="14983A03"/>
    <w:rsid w:val="14BA416B"/>
    <w:rsid w:val="14E32A3F"/>
    <w:rsid w:val="15061D4E"/>
    <w:rsid w:val="150A2791"/>
    <w:rsid w:val="150E38DD"/>
    <w:rsid w:val="151D481C"/>
    <w:rsid w:val="15320AB9"/>
    <w:rsid w:val="154F21C8"/>
    <w:rsid w:val="155440E0"/>
    <w:rsid w:val="15666B81"/>
    <w:rsid w:val="158A1831"/>
    <w:rsid w:val="158C3568"/>
    <w:rsid w:val="15BD5881"/>
    <w:rsid w:val="15CC108A"/>
    <w:rsid w:val="167518E3"/>
    <w:rsid w:val="16EC2F91"/>
    <w:rsid w:val="1743234C"/>
    <w:rsid w:val="174C286E"/>
    <w:rsid w:val="17995AF5"/>
    <w:rsid w:val="17BB393F"/>
    <w:rsid w:val="17D33B8E"/>
    <w:rsid w:val="17DE53C0"/>
    <w:rsid w:val="17ED4E1B"/>
    <w:rsid w:val="18296E49"/>
    <w:rsid w:val="187A7545"/>
    <w:rsid w:val="187D5677"/>
    <w:rsid w:val="18B96600"/>
    <w:rsid w:val="18D32BEC"/>
    <w:rsid w:val="19076499"/>
    <w:rsid w:val="19377BEF"/>
    <w:rsid w:val="195922D1"/>
    <w:rsid w:val="19872A06"/>
    <w:rsid w:val="19C84D8B"/>
    <w:rsid w:val="19DD1FD8"/>
    <w:rsid w:val="19FD6728"/>
    <w:rsid w:val="1A01795D"/>
    <w:rsid w:val="1A1D1B9A"/>
    <w:rsid w:val="1A1F4525"/>
    <w:rsid w:val="1A2C0828"/>
    <w:rsid w:val="1A5C7440"/>
    <w:rsid w:val="1A824F3A"/>
    <w:rsid w:val="1A854E97"/>
    <w:rsid w:val="1AA063FA"/>
    <w:rsid w:val="1AC437A4"/>
    <w:rsid w:val="1ADB6DE1"/>
    <w:rsid w:val="1AF5395E"/>
    <w:rsid w:val="1B136412"/>
    <w:rsid w:val="1B4839EA"/>
    <w:rsid w:val="1B5C578B"/>
    <w:rsid w:val="1B617AB4"/>
    <w:rsid w:val="1B762C21"/>
    <w:rsid w:val="1B85186B"/>
    <w:rsid w:val="1BE340FE"/>
    <w:rsid w:val="1BF81957"/>
    <w:rsid w:val="1C16002F"/>
    <w:rsid w:val="1C1A2C45"/>
    <w:rsid w:val="1C7B4336"/>
    <w:rsid w:val="1C8C284F"/>
    <w:rsid w:val="1C9E7A0F"/>
    <w:rsid w:val="1CA13D9D"/>
    <w:rsid w:val="1CBA62EB"/>
    <w:rsid w:val="1CCF4A88"/>
    <w:rsid w:val="1CEF7BC8"/>
    <w:rsid w:val="1D060A74"/>
    <w:rsid w:val="1D6848BB"/>
    <w:rsid w:val="1D940AEA"/>
    <w:rsid w:val="1DBE44DB"/>
    <w:rsid w:val="1DF30DBE"/>
    <w:rsid w:val="1E142B63"/>
    <w:rsid w:val="1E193E07"/>
    <w:rsid w:val="1E4A1D6C"/>
    <w:rsid w:val="1E8B31F9"/>
    <w:rsid w:val="1F092DA0"/>
    <w:rsid w:val="1F295211"/>
    <w:rsid w:val="1F5E41C7"/>
    <w:rsid w:val="1F6D7568"/>
    <w:rsid w:val="1F8020B1"/>
    <w:rsid w:val="1F906AC3"/>
    <w:rsid w:val="1FB73513"/>
    <w:rsid w:val="203B0065"/>
    <w:rsid w:val="20796DDF"/>
    <w:rsid w:val="20966D18"/>
    <w:rsid w:val="20CE64F0"/>
    <w:rsid w:val="20E433FD"/>
    <w:rsid w:val="20EC4110"/>
    <w:rsid w:val="21066190"/>
    <w:rsid w:val="212B17D7"/>
    <w:rsid w:val="212E56A3"/>
    <w:rsid w:val="213C5AB2"/>
    <w:rsid w:val="217E2424"/>
    <w:rsid w:val="21C347B6"/>
    <w:rsid w:val="221137F5"/>
    <w:rsid w:val="223A792F"/>
    <w:rsid w:val="223C5CB5"/>
    <w:rsid w:val="22415669"/>
    <w:rsid w:val="225D028B"/>
    <w:rsid w:val="22984977"/>
    <w:rsid w:val="22A10EDD"/>
    <w:rsid w:val="22A279BF"/>
    <w:rsid w:val="22C205C9"/>
    <w:rsid w:val="22E22A19"/>
    <w:rsid w:val="22EA4516"/>
    <w:rsid w:val="231C1F28"/>
    <w:rsid w:val="23A82975"/>
    <w:rsid w:val="23F47CEE"/>
    <w:rsid w:val="24084702"/>
    <w:rsid w:val="243A0633"/>
    <w:rsid w:val="248779A4"/>
    <w:rsid w:val="248B0E8F"/>
    <w:rsid w:val="24C658DF"/>
    <w:rsid w:val="24CE594B"/>
    <w:rsid w:val="24E53988"/>
    <w:rsid w:val="24E94533"/>
    <w:rsid w:val="24F9002D"/>
    <w:rsid w:val="25123EE6"/>
    <w:rsid w:val="255226E4"/>
    <w:rsid w:val="2604433C"/>
    <w:rsid w:val="260E7FC9"/>
    <w:rsid w:val="26A02222"/>
    <w:rsid w:val="26B96187"/>
    <w:rsid w:val="26C17110"/>
    <w:rsid w:val="26C73FBA"/>
    <w:rsid w:val="271D0F6A"/>
    <w:rsid w:val="27427D24"/>
    <w:rsid w:val="27723B5D"/>
    <w:rsid w:val="27AC7A9A"/>
    <w:rsid w:val="27C5210F"/>
    <w:rsid w:val="27FA6E8F"/>
    <w:rsid w:val="284A5288"/>
    <w:rsid w:val="2896788E"/>
    <w:rsid w:val="28B23771"/>
    <w:rsid w:val="28BE5577"/>
    <w:rsid w:val="28C44D66"/>
    <w:rsid w:val="28E15486"/>
    <w:rsid w:val="28FE6FB4"/>
    <w:rsid w:val="291E6CF6"/>
    <w:rsid w:val="293F0351"/>
    <w:rsid w:val="29AA5F3F"/>
    <w:rsid w:val="29AE7AF9"/>
    <w:rsid w:val="29CA7E14"/>
    <w:rsid w:val="29DA1326"/>
    <w:rsid w:val="29E844B4"/>
    <w:rsid w:val="2A57682C"/>
    <w:rsid w:val="2AB300C0"/>
    <w:rsid w:val="2AE17A5A"/>
    <w:rsid w:val="2B042175"/>
    <w:rsid w:val="2BDC6B03"/>
    <w:rsid w:val="2C047EA4"/>
    <w:rsid w:val="2C2E4FDD"/>
    <w:rsid w:val="2C7F577D"/>
    <w:rsid w:val="2C954FA0"/>
    <w:rsid w:val="2CB956FB"/>
    <w:rsid w:val="2CCE67B7"/>
    <w:rsid w:val="2D2F463D"/>
    <w:rsid w:val="2D644DCF"/>
    <w:rsid w:val="2DE6065D"/>
    <w:rsid w:val="2DED2014"/>
    <w:rsid w:val="2E057F04"/>
    <w:rsid w:val="2E1A575D"/>
    <w:rsid w:val="2E3D144C"/>
    <w:rsid w:val="2E474078"/>
    <w:rsid w:val="2E4B1DBB"/>
    <w:rsid w:val="2E501EBB"/>
    <w:rsid w:val="2E7C75D0"/>
    <w:rsid w:val="2EA046D5"/>
    <w:rsid w:val="2EC62C44"/>
    <w:rsid w:val="2ECE479A"/>
    <w:rsid w:val="2EF04D63"/>
    <w:rsid w:val="2EF5428F"/>
    <w:rsid w:val="2EF637EC"/>
    <w:rsid w:val="2EF71C57"/>
    <w:rsid w:val="2F166342"/>
    <w:rsid w:val="2F2F1519"/>
    <w:rsid w:val="2F9C03F4"/>
    <w:rsid w:val="2F9F469B"/>
    <w:rsid w:val="2FDA421D"/>
    <w:rsid w:val="30191A45"/>
    <w:rsid w:val="30901D07"/>
    <w:rsid w:val="30A85B31"/>
    <w:rsid w:val="30D806B0"/>
    <w:rsid w:val="30FC739C"/>
    <w:rsid w:val="315330A1"/>
    <w:rsid w:val="316F3512"/>
    <w:rsid w:val="318B6972"/>
    <w:rsid w:val="319121DA"/>
    <w:rsid w:val="31933321"/>
    <w:rsid w:val="31957588"/>
    <w:rsid w:val="31991B9A"/>
    <w:rsid w:val="31EB07E1"/>
    <w:rsid w:val="320C3A59"/>
    <w:rsid w:val="327F6F84"/>
    <w:rsid w:val="32947696"/>
    <w:rsid w:val="32954240"/>
    <w:rsid w:val="32CC6878"/>
    <w:rsid w:val="32CC6D9C"/>
    <w:rsid w:val="32DF0D23"/>
    <w:rsid w:val="332350B4"/>
    <w:rsid w:val="33287BC2"/>
    <w:rsid w:val="33D85973"/>
    <w:rsid w:val="341425B6"/>
    <w:rsid w:val="34477D1D"/>
    <w:rsid w:val="349873DC"/>
    <w:rsid w:val="34AE30A3"/>
    <w:rsid w:val="34CD1B11"/>
    <w:rsid w:val="34F05E27"/>
    <w:rsid w:val="35411038"/>
    <w:rsid w:val="355E3D20"/>
    <w:rsid w:val="356D6D93"/>
    <w:rsid w:val="35856DD3"/>
    <w:rsid w:val="35B44A00"/>
    <w:rsid w:val="35C71088"/>
    <w:rsid w:val="35EF74CF"/>
    <w:rsid w:val="35FD03A5"/>
    <w:rsid w:val="36266DB4"/>
    <w:rsid w:val="3652180C"/>
    <w:rsid w:val="36551D0E"/>
    <w:rsid w:val="3673757E"/>
    <w:rsid w:val="36A50B59"/>
    <w:rsid w:val="36A75796"/>
    <w:rsid w:val="36D937DF"/>
    <w:rsid w:val="372637B9"/>
    <w:rsid w:val="3742260B"/>
    <w:rsid w:val="374F5784"/>
    <w:rsid w:val="375F2433"/>
    <w:rsid w:val="37E77D99"/>
    <w:rsid w:val="37F67806"/>
    <w:rsid w:val="3811570E"/>
    <w:rsid w:val="38302E8B"/>
    <w:rsid w:val="38500809"/>
    <w:rsid w:val="388A4620"/>
    <w:rsid w:val="388C5551"/>
    <w:rsid w:val="38D806EF"/>
    <w:rsid w:val="38EA5078"/>
    <w:rsid w:val="395D6E46"/>
    <w:rsid w:val="39765FE5"/>
    <w:rsid w:val="399B0739"/>
    <w:rsid w:val="399B4E0F"/>
    <w:rsid w:val="399E5C78"/>
    <w:rsid w:val="39C03EA5"/>
    <w:rsid w:val="39D76B5E"/>
    <w:rsid w:val="39DC420F"/>
    <w:rsid w:val="39FB3DD8"/>
    <w:rsid w:val="3A3F126A"/>
    <w:rsid w:val="3A3F53F0"/>
    <w:rsid w:val="3AB64D0B"/>
    <w:rsid w:val="3AC4420F"/>
    <w:rsid w:val="3B0404E7"/>
    <w:rsid w:val="3B053BAB"/>
    <w:rsid w:val="3B21035D"/>
    <w:rsid w:val="3B234B49"/>
    <w:rsid w:val="3B247C1B"/>
    <w:rsid w:val="3B5322AF"/>
    <w:rsid w:val="3B5F5322"/>
    <w:rsid w:val="3B606603"/>
    <w:rsid w:val="3B626DC2"/>
    <w:rsid w:val="3B9A0B12"/>
    <w:rsid w:val="3BAF30AA"/>
    <w:rsid w:val="3BB53761"/>
    <w:rsid w:val="3BE140CE"/>
    <w:rsid w:val="3C395948"/>
    <w:rsid w:val="3C39735A"/>
    <w:rsid w:val="3C636521"/>
    <w:rsid w:val="3C9A5CBB"/>
    <w:rsid w:val="3CCF5F1D"/>
    <w:rsid w:val="3CD22095"/>
    <w:rsid w:val="3D211EBB"/>
    <w:rsid w:val="3D3B749E"/>
    <w:rsid w:val="3D552A52"/>
    <w:rsid w:val="3D652271"/>
    <w:rsid w:val="3D7A7FC6"/>
    <w:rsid w:val="3D8141C6"/>
    <w:rsid w:val="3D877909"/>
    <w:rsid w:val="3D9D57EB"/>
    <w:rsid w:val="3DD71982"/>
    <w:rsid w:val="3DE03BA2"/>
    <w:rsid w:val="3E016E42"/>
    <w:rsid w:val="3E096027"/>
    <w:rsid w:val="3E636CAD"/>
    <w:rsid w:val="3E84581E"/>
    <w:rsid w:val="3E872C04"/>
    <w:rsid w:val="3E881948"/>
    <w:rsid w:val="3ED26939"/>
    <w:rsid w:val="3F2B6302"/>
    <w:rsid w:val="3F395C5F"/>
    <w:rsid w:val="3F40700F"/>
    <w:rsid w:val="3F4E1F09"/>
    <w:rsid w:val="3F8F1487"/>
    <w:rsid w:val="3FA9748D"/>
    <w:rsid w:val="3FB07D68"/>
    <w:rsid w:val="3FD44A3A"/>
    <w:rsid w:val="3FE563E0"/>
    <w:rsid w:val="3FF54B1F"/>
    <w:rsid w:val="40084600"/>
    <w:rsid w:val="400F5E3A"/>
    <w:rsid w:val="402C565A"/>
    <w:rsid w:val="40550877"/>
    <w:rsid w:val="40723117"/>
    <w:rsid w:val="40787454"/>
    <w:rsid w:val="40953369"/>
    <w:rsid w:val="40D043A1"/>
    <w:rsid w:val="414E4404"/>
    <w:rsid w:val="41605725"/>
    <w:rsid w:val="416074D3"/>
    <w:rsid w:val="4184148D"/>
    <w:rsid w:val="41C5246F"/>
    <w:rsid w:val="41F61BE6"/>
    <w:rsid w:val="42072045"/>
    <w:rsid w:val="422D0034"/>
    <w:rsid w:val="42856656"/>
    <w:rsid w:val="429822BA"/>
    <w:rsid w:val="42B52646"/>
    <w:rsid w:val="42C052DA"/>
    <w:rsid w:val="42C30A3B"/>
    <w:rsid w:val="42D40A26"/>
    <w:rsid w:val="42E278AA"/>
    <w:rsid w:val="4303280C"/>
    <w:rsid w:val="43086870"/>
    <w:rsid w:val="430B4C8C"/>
    <w:rsid w:val="431A1CEF"/>
    <w:rsid w:val="431D107C"/>
    <w:rsid w:val="43377520"/>
    <w:rsid w:val="43822D16"/>
    <w:rsid w:val="438A1DBB"/>
    <w:rsid w:val="43AE2789"/>
    <w:rsid w:val="43B55AC1"/>
    <w:rsid w:val="442A3DC9"/>
    <w:rsid w:val="44767F39"/>
    <w:rsid w:val="44BB41F5"/>
    <w:rsid w:val="45230F44"/>
    <w:rsid w:val="45300BCC"/>
    <w:rsid w:val="45610996"/>
    <w:rsid w:val="458F0387"/>
    <w:rsid w:val="45DA09E7"/>
    <w:rsid w:val="45F742F5"/>
    <w:rsid w:val="4607616F"/>
    <w:rsid w:val="46087583"/>
    <w:rsid w:val="46107F64"/>
    <w:rsid w:val="4622349E"/>
    <w:rsid w:val="462D6C1B"/>
    <w:rsid w:val="466F6384"/>
    <w:rsid w:val="46746674"/>
    <w:rsid w:val="46B45D83"/>
    <w:rsid w:val="46B70B78"/>
    <w:rsid w:val="47615D53"/>
    <w:rsid w:val="47723ABC"/>
    <w:rsid w:val="477567DA"/>
    <w:rsid w:val="47A520E4"/>
    <w:rsid w:val="47A735E5"/>
    <w:rsid w:val="47EB17E0"/>
    <w:rsid w:val="47F15329"/>
    <w:rsid w:val="480A63EB"/>
    <w:rsid w:val="483629D0"/>
    <w:rsid w:val="48363027"/>
    <w:rsid w:val="484A67E7"/>
    <w:rsid w:val="48AE25FD"/>
    <w:rsid w:val="48DE2EEC"/>
    <w:rsid w:val="48E2765F"/>
    <w:rsid w:val="490E1F17"/>
    <w:rsid w:val="492273B8"/>
    <w:rsid w:val="493E0490"/>
    <w:rsid w:val="49AF0FF8"/>
    <w:rsid w:val="49B33F32"/>
    <w:rsid w:val="4A0C3AF3"/>
    <w:rsid w:val="4A16577A"/>
    <w:rsid w:val="4A2B01C6"/>
    <w:rsid w:val="4A436112"/>
    <w:rsid w:val="4A4A0D21"/>
    <w:rsid w:val="4ADB5D0C"/>
    <w:rsid w:val="4B012EB9"/>
    <w:rsid w:val="4B1F21AD"/>
    <w:rsid w:val="4B397174"/>
    <w:rsid w:val="4B4D2D1B"/>
    <w:rsid w:val="4B535031"/>
    <w:rsid w:val="4B5A22C2"/>
    <w:rsid w:val="4B63508A"/>
    <w:rsid w:val="4BA64553"/>
    <w:rsid w:val="4BA82AAC"/>
    <w:rsid w:val="4BC35A11"/>
    <w:rsid w:val="4BDC2892"/>
    <w:rsid w:val="4C285447"/>
    <w:rsid w:val="4C321A40"/>
    <w:rsid w:val="4C7A01BF"/>
    <w:rsid w:val="4CB97774"/>
    <w:rsid w:val="4CDB3689"/>
    <w:rsid w:val="4D3A32CE"/>
    <w:rsid w:val="4D491763"/>
    <w:rsid w:val="4D526B1C"/>
    <w:rsid w:val="4D7560B4"/>
    <w:rsid w:val="4DB26538"/>
    <w:rsid w:val="4E2773C5"/>
    <w:rsid w:val="4E3F0252"/>
    <w:rsid w:val="4E4F476D"/>
    <w:rsid w:val="4E5A0FA7"/>
    <w:rsid w:val="4E6D1482"/>
    <w:rsid w:val="4E8862BB"/>
    <w:rsid w:val="4EFD3A3D"/>
    <w:rsid w:val="4F0F2539"/>
    <w:rsid w:val="4F3851F0"/>
    <w:rsid w:val="4FA20606"/>
    <w:rsid w:val="4FA65486"/>
    <w:rsid w:val="4FDA2B47"/>
    <w:rsid w:val="4FDC2124"/>
    <w:rsid w:val="4FDD735B"/>
    <w:rsid w:val="50411E14"/>
    <w:rsid w:val="505868D5"/>
    <w:rsid w:val="509251CF"/>
    <w:rsid w:val="50E27F05"/>
    <w:rsid w:val="50EA570B"/>
    <w:rsid w:val="51053070"/>
    <w:rsid w:val="514C35D0"/>
    <w:rsid w:val="517D7FDC"/>
    <w:rsid w:val="51A03CD0"/>
    <w:rsid w:val="51B31F28"/>
    <w:rsid w:val="51D77244"/>
    <w:rsid w:val="52136886"/>
    <w:rsid w:val="52585DF9"/>
    <w:rsid w:val="52646708"/>
    <w:rsid w:val="52960109"/>
    <w:rsid w:val="52BD6DD9"/>
    <w:rsid w:val="52F27859"/>
    <w:rsid w:val="53095C1D"/>
    <w:rsid w:val="536551B3"/>
    <w:rsid w:val="537E27A0"/>
    <w:rsid w:val="539A29F7"/>
    <w:rsid w:val="53A02EC9"/>
    <w:rsid w:val="540D4CDB"/>
    <w:rsid w:val="54287D51"/>
    <w:rsid w:val="54707211"/>
    <w:rsid w:val="54FC530D"/>
    <w:rsid w:val="55304A01"/>
    <w:rsid w:val="55474366"/>
    <w:rsid w:val="55495CBC"/>
    <w:rsid w:val="558A762F"/>
    <w:rsid w:val="558D7E67"/>
    <w:rsid w:val="55BB555C"/>
    <w:rsid w:val="55F968E4"/>
    <w:rsid w:val="560721BC"/>
    <w:rsid w:val="563C37BB"/>
    <w:rsid w:val="56631028"/>
    <w:rsid w:val="568C4680"/>
    <w:rsid w:val="56B54986"/>
    <w:rsid w:val="56BE7A1A"/>
    <w:rsid w:val="570778EC"/>
    <w:rsid w:val="57621F66"/>
    <w:rsid w:val="576451E2"/>
    <w:rsid w:val="57A560D7"/>
    <w:rsid w:val="57A70874"/>
    <w:rsid w:val="57AC4DC9"/>
    <w:rsid w:val="57B60F8C"/>
    <w:rsid w:val="57D60097"/>
    <w:rsid w:val="581035A9"/>
    <w:rsid w:val="58A13F78"/>
    <w:rsid w:val="58A720A2"/>
    <w:rsid w:val="58AD704A"/>
    <w:rsid w:val="58B8779D"/>
    <w:rsid w:val="58D824C9"/>
    <w:rsid w:val="58DD3AAF"/>
    <w:rsid w:val="58FB64F2"/>
    <w:rsid w:val="591D4860"/>
    <w:rsid w:val="59423D7D"/>
    <w:rsid w:val="598465B6"/>
    <w:rsid w:val="59CC1752"/>
    <w:rsid w:val="59D93E6F"/>
    <w:rsid w:val="5A4722D5"/>
    <w:rsid w:val="5A8770F5"/>
    <w:rsid w:val="5A8B33BB"/>
    <w:rsid w:val="5AA5407F"/>
    <w:rsid w:val="5AC36D8D"/>
    <w:rsid w:val="5AD24581"/>
    <w:rsid w:val="5ADF2044"/>
    <w:rsid w:val="5AE211D0"/>
    <w:rsid w:val="5AF947C9"/>
    <w:rsid w:val="5B5B1DDE"/>
    <w:rsid w:val="5B7025B1"/>
    <w:rsid w:val="5B752542"/>
    <w:rsid w:val="5B7B6658"/>
    <w:rsid w:val="5BD577D1"/>
    <w:rsid w:val="5BE72873"/>
    <w:rsid w:val="5BF20FBD"/>
    <w:rsid w:val="5BFC48F2"/>
    <w:rsid w:val="5C003584"/>
    <w:rsid w:val="5CAD7093"/>
    <w:rsid w:val="5CE6318C"/>
    <w:rsid w:val="5CEA706D"/>
    <w:rsid w:val="5D171126"/>
    <w:rsid w:val="5D186A5C"/>
    <w:rsid w:val="5D280E34"/>
    <w:rsid w:val="5D310C9F"/>
    <w:rsid w:val="5D604B1C"/>
    <w:rsid w:val="5D64417D"/>
    <w:rsid w:val="5D804D2D"/>
    <w:rsid w:val="5DA70852"/>
    <w:rsid w:val="5DA85D9E"/>
    <w:rsid w:val="5DC705A8"/>
    <w:rsid w:val="5DDF522D"/>
    <w:rsid w:val="5E616368"/>
    <w:rsid w:val="5E800ACA"/>
    <w:rsid w:val="5E8A63F3"/>
    <w:rsid w:val="5EC200EC"/>
    <w:rsid w:val="5ED52D5F"/>
    <w:rsid w:val="5ED5704D"/>
    <w:rsid w:val="5EF27613"/>
    <w:rsid w:val="5F150D64"/>
    <w:rsid w:val="5F577D10"/>
    <w:rsid w:val="5F73441E"/>
    <w:rsid w:val="5FC7787F"/>
    <w:rsid w:val="5FD33E66"/>
    <w:rsid w:val="600531BF"/>
    <w:rsid w:val="604F09E7"/>
    <w:rsid w:val="605132D8"/>
    <w:rsid w:val="60664F57"/>
    <w:rsid w:val="608C24F3"/>
    <w:rsid w:val="60936B26"/>
    <w:rsid w:val="61FF766A"/>
    <w:rsid w:val="62477B55"/>
    <w:rsid w:val="62481BCF"/>
    <w:rsid w:val="626575CA"/>
    <w:rsid w:val="628F4378"/>
    <w:rsid w:val="62AE6AE9"/>
    <w:rsid w:val="62C206F4"/>
    <w:rsid w:val="62D21FE4"/>
    <w:rsid w:val="62D3117C"/>
    <w:rsid w:val="62E91668"/>
    <w:rsid w:val="631B72A6"/>
    <w:rsid w:val="634676E4"/>
    <w:rsid w:val="634C5774"/>
    <w:rsid w:val="63553B34"/>
    <w:rsid w:val="639F57E1"/>
    <w:rsid w:val="63AE011A"/>
    <w:rsid w:val="63B152AA"/>
    <w:rsid w:val="640B7C17"/>
    <w:rsid w:val="64204D90"/>
    <w:rsid w:val="645C09D8"/>
    <w:rsid w:val="651008F6"/>
    <w:rsid w:val="656942F9"/>
    <w:rsid w:val="65AA214A"/>
    <w:rsid w:val="65B35574"/>
    <w:rsid w:val="65B978C3"/>
    <w:rsid w:val="65C32895"/>
    <w:rsid w:val="661E2D6B"/>
    <w:rsid w:val="662930E2"/>
    <w:rsid w:val="66563EB8"/>
    <w:rsid w:val="666A657B"/>
    <w:rsid w:val="666E468A"/>
    <w:rsid w:val="667A22A4"/>
    <w:rsid w:val="66A31A8D"/>
    <w:rsid w:val="66B20069"/>
    <w:rsid w:val="66C66C1C"/>
    <w:rsid w:val="66E91EE7"/>
    <w:rsid w:val="671273F1"/>
    <w:rsid w:val="672E6B7E"/>
    <w:rsid w:val="6736645D"/>
    <w:rsid w:val="676F5DEC"/>
    <w:rsid w:val="67A17DB0"/>
    <w:rsid w:val="67E36561"/>
    <w:rsid w:val="6813696A"/>
    <w:rsid w:val="686D24D1"/>
    <w:rsid w:val="6894189C"/>
    <w:rsid w:val="68E3372E"/>
    <w:rsid w:val="68EA39A3"/>
    <w:rsid w:val="694766FF"/>
    <w:rsid w:val="69562DE6"/>
    <w:rsid w:val="695E73EC"/>
    <w:rsid w:val="698D0D60"/>
    <w:rsid w:val="69AE797C"/>
    <w:rsid w:val="69C272B4"/>
    <w:rsid w:val="69FA7C16"/>
    <w:rsid w:val="6A0960AB"/>
    <w:rsid w:val="6A422325"/>
    <w:rsid w:val="6A6A7556"/>
    <w:rsid w:val="6A9B54B0"/>
    <w:rsid w:val="6AAA0DC2"/>
    <w:rsid w:val="6AE1219C"/>
    <w:rsid w:val="6B4230BA"/>
    <w:rsid w:val="6B517D09"/>
    <w:rsid w:val="6B526D9F"/>
    <w:rsid w:val="6B6C68F1"/>
    <w:rsid w:val="6BA503B5"/>
    <w:rsid w:val="6BBC4452"/>
    <w:rsid w:val="6BD776AA"/>
    <w:rsid w:val="6BE566A3"/>
    <w:rsid w:val="6BF012D0"/>
    <w:rsid w:val="6C4332FD"/>
    <w:rsid w:val="6C904861"/>
    <w:rsid w:val="6CAB53F8"/>
    <w:rsid w:val="6CD04A32"/>
    <w:rsid w:val="6D3B593A"/>
    <w:rsid w:val="6D781E64"/>
    <w:rsid w:val="6DB936D5"/>
    <w:rsid w:val="6DBE7083"/>
    <w:rsid w:val="6DD32B9D"/>
    <w:rsid w:val="6DE17464"/>
    <w:rsid w:val="6DE34760"/>
    <w:rsid w:val="6E1374FB"/>
    <w:rsid w:val="6E295537"/>
    <w:rsid w:val="6E5657A2"/>
    <w:rsid w:val="6EB72579"/>
    <w:rsid w:val="6F00106A"/>
    <w:rsid w:val="6F016B24"/>
    <w:rsid w:val="6F04742A"/>
    <w:rsid w:val="6F167D49"/>
    <w:rsid w:val="6F351EFD"/>
    <w:rsid w:val="6F9A2E4E"/>
    <w:rsid w:val="6FA61C4E"/>
    <w:rsid w:val="6FD4544C"/>
    <w:rsid w:val="6FE93EA0"/>
    <w:rsid w:val="700C41FF"/>
    <w:rsid w:val="701C0289"/>
    <w:rsid w:val="701D63D4"/>
    <w:rsid w:val="70310038"/>
    <w:rsid w:val="70804B34"/>
    <w:rsid w:val="70E91B82"/>
    <w:rsid w:val="70F83B56"/>
    <w:rsid w:val="71061D22"/>
    <w:rsid w:val="71272499"/>
    <w:rsid w:val="71445A5A"/>
    <w:rsid w:val="7150119D"/>
    <w:rsid w:val="71864485"/>
    <w:rsid w:val="719F3A6D"/>
    <w:rsid w:val="71B52674"/>
    <w:rsid w:val="71DC6050"/>
    <w:rsid w:val="7272155E"/>
    <w:rsid w:val="728D72D4"/>
    <w:rsid w:val="72E32380"/>
    <w:rsid w:val="72EB0A43"/>
    <w:rsid w:val="732C2856"/>
    <w:rsid w:val="73894F41"/>
    <w:rsid w:val="739023F4"/>
    <w:rsid w:val="73B52DFF"/>
    <w:rsid w:val="73B947DD"/>
    <w:rsid w:val="73D91A74"/>
    <w:rsid w:val="741049CA"/>
    <w:rsid w:val="74C83DDB"/>
    <w:rsid w:val="7518393E"/>
    <w:rsid w:val="753C5586"/>
    <w:rsid w:val="75690F03"/>
    <w:rsid w:val="75E87721"/>
    <w:rsid w:val="75F23E97"/>
    <w:rsid w:val="7607033B"/>
    <w:rsid w:val="76171CE3"/>
    <w:rsid w:val="761A4997"/>
    <w:rsid w:val="7625426C"/>
    <w:rsid w:val="76283D5C"/>
    <w:rsid w:val="766E53E0"/>
    <w:rsid w:val="766E7E67"/>
    <w:rsid w:val="76734F9E"/>
    <w:rsid w:val="768C15B3"/>
    <w:rsid w:val="76D8404C"/>
    <w:rsid w:val="76EA1012"/>
    <w:rsid w:val="771B72FA"/>
    <w:rsid w:val="77471B4E"/>
    <w:rsid w:val="775C53C8"/>
    <w:rsid w:val="77652D7F"/>
    <w:rsid w:val="776F7428"/>
    <w:rsid w:val="77B21E06"/>
    <w:rsid w:val="77CB0DA9"/>
    <w:rsid w:val="77D31AA6"/>
    <w:rsid w:val="77D9069F"/>
    <w:rsid w:val="78857244"/>
    <w:rsid w:val="789A36A2"/>
    <w:rsid w:val="78AE766F"/>
    <w:rsid w:val="78F61EF0"/>
    <w:rsid w:val="790A2ADD"/>
    <w:rsid w:val="7921652B"/>
    <w:rsid w:val="79443E5C"/>
    <w:rsid w:val="79471A7B"/>
    <w:rsid w:val="794B7388"/>
    <w:rsid w:val="79753F86"/>
    <w:rsid w:val="79C20F31"/>
    <w:rsid w:val="79F00B59"/>
    <w:rsid w:val="7A1C5986"/>
    <w:rsid w:val="7A4B5E8A"/>
    <w:rsid w:val="7A51611D"/>
    <w:rsid w:val="7A6540D7"/>
    <w:rsid w:val="7AF0377E"/>
    <w:rsid w:val="7B0479E2"/>
    <w:rsid w:val="7B375F65"/>
    <w:rsid w:val="7B997BCB"/>
    <w:rsid w:val="7BB47C0C"/>
    <w:rsid w:val="7BD61B65"/>
    <w:rsid w:val="7BFA28CD"/>
    <w:rsid w:val="7C080BE5"/>
    <w:rsid w:val="7C4D36E0"/>
    <w:rsid w:val="7C567566"/>
    <w:rsid w:val="7C6869AC"/>
    <w:rsid w:val="7C8E2F85"/>
    <w:rsid w:val="7D0E4879"/>
    <w:rsid w:val="7D43500E"/>
    <w:rsid w:val="7D845D1C"/>
    <w:rsid w:val="7D8B70AB"/>
    <w:rsid w:val="7DB72057"/>
    <w:rsid w:val="7DB976D8"/>
    <w:rsid w:val="7DED6275"/>
    <w:rsid w:val="7DFA4230"/>
    <w:rsid w:val="7DFB11A0"/>
    <w:rsid w:val="7E262E46"/>
    <w:rsid w:val="7E4D25B2"/>
    <w:rsid w:val="7E7F4735"/>
    <w:rsid w:val="7E9D6F5F"/>
    <w:rsid w:val="7EB75C7D"/>
    <w:rsid w:val="7ED06D3F"/>
    <w:rsid w:val="7ED77789"/>
    <w:rsid w:val="7F1B2941"/>
    <w:rsid w:val="7F443261"/>
    <w:rsid w:val="7F6B7E43"/>
    <w:rsid w:val="7F716A76"/>
    <w:rsid w:val="7F7B7E45"/>
    <w:rsid w:val="7F802513"/>
    <w:rsid w:val="7F8277E8"/>
    <w:rsid w:val="7F8F472F"/>
    <w:rsid w:val="7F95116C"/>
    <w:rsid w:val="7F9E5FA1"/>
    <w:rsid w:val="7FCF218C"/>
    <w:rsid w:val="7FDC59DF"/>
    <w:rsid w:val="7FEC010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0" w:semiHidden="0"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qFormat="1" w:unhideWhenUsed="0" w:uiPriority="0" w:semiHidden="0"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07"/>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59"/>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60"/>
    <w:qFormat/>
    <w:uiPriority w:val="99"/>
    <w:pPr>
      <w:keepNext/>
      <w:keepLines/>
      <w:autoSpaceDE w:val="0"/>
      <w:autoSpaceDN w:val="0"/>
      <w:adjustRightInd w:val="0"/>
      <w:spacing w:before="360" w:after="120"/>
      <w:jc w:val="left"/>
      <w:outlineLvl w:val="2"/>
    </w:pPr>
    <w:rPr>
      <w:rFonts w:ascii="宋体" w:cs="宋体"/>
      <w:b/>
      <w:bCs/>
      <w:kern w:val="0"/>
      <w:sz w:val="24"/>
      <w:szCs w:val="24"/>
      <w:u w:val="single"/>
    </w:rPr>
  </w:style>
  <w:style w:type="paragraph" w:styleId="6">
    <w:name w:val="heading 4"/>
    <w:basedOn w:val="1"/>
    <w:next w:val="7"/>
    <w:link w:val="61"/>
    <w:qFormat/>
    <w:uiPriority w:val="99"/>
    <w:pPr>
      <w:keepNext/>
      <w:keepLines/>
      <w:spacing w:before="280" w:after="290" w:line="376" w:lineRule="auto"/>
      <w:outlineLvl w:val="3"/>
    </w:pPr>
    <w:rPr>
      <w:rFonts w:ascii="Arial" w:hAnsi="Arial" w:eastAsia="黑体" w:cs="Arial"/>
      <w:b/>
      <w:bCs/>
      <w:sz w:val="28"/>
      <w:szCs w:val="28"/>
    </w:rPr>
  </w:style>
  <w:style w:type="paragraph" w:styleId="9">
    <w:name w:val="heading 5"/>
    <w:basedOn w:val="1"/>
    <w:next w:val="1"/>
    <w:link w:val="62"/>
    <w:qFormat/>
    <w:uiPriority w:val="99"/>
    <w:pPr>
      <w:keepNext/>
      <w:keepLines/>
      <w:spacing w:before="280" w:after="290" w:line="376" w:lineRule="auto"/>
      <w:outlineLvl w:val="4"/>
    </w:pPr>
    <w:rPr>
      <w:b/>
      <w:bCs/>
      <w:sz w:val="28"/>
      <w:szCs w:val="28"/>
    </w:rPr>
  </w:style>
  <w:style w:type="paragraph" w:styleId="10">
    <w:name w:val="heading 6"/>
    <w:basedOn w:val="1"/>
    <w:next w:val="1"/>
    <w:link w:val="63"/>
    <w:qFormat/>
    <w:uiPriority w:val="99"/>
    <w:pPr>
      <w:keepNext/>
      <w:keepLines/>
      <w:spacing w:before="240" w:after="64" w:line="320" w:lineRule="auto"/>
      <w:outlineLvl w:val="5"/>
    </w:pPr>
    <w:rPr>
      <w:rFonts w:ascii="Arial" w:hAnsi="Arial" w:eastAsia="黑体" w:cs="Arial"/>
      <w:b/>
      <w:bCs/>
      <w:sz w:val="24"/>
      <w:szCs w:val="24"/>
    </w:rPr>
  </w:style>
  <w:style w:type="paragraph" w:styleId="11">
    <w:name w:val="heading 7"/>
    <w:basedOn w:val="1"/>
    <w:next w:val="1"/>
    <w:link w:val="64"/>
    <w:qFormat/>
    <w:uiPriority w:val="99"/>
    <w:pPr>
      <w:keepNext/>
      <w:keepLines/>
      <w:adjustRightInd w:val="0"/>
      <w:spacing w:before="240" w:after="64" w:line="320" w:lineRule="atLeast"/>
      <w:textAlignment w:val="baseline"/>
      <w:outlineLvl w:val="6"/>
    </w:pPr>
    <w:rPr>
      <w:rFonts w:ascii="宋体" w:eastAsia="仿宋_GB2312" w:cs="宋体"/>
      <w:b/>
      <w:bCs/>
      <w:kern w:val="0"/>
      <w:sz w:val="24"/>
      <w:szCs w:val="24"/>
    </w:rPr>
  </w:style>
  <w:style w:type="paragraph" w:styleId="12">
    <w:name w:val="heading 8"/>
    <w:basedOn w:val="1"/>
    <w:next w:val="1"/>
    <w:link w:val="65"/>
    <w:qFormat/>
    <w:uiPriority w:val="99"/>
    <w:pPr>
      <w:keepNext/>
      <w:keepLines/>
      <w:adjustRightInd w:val="0"/>
      <w:spacing w:before="240" w:after="64" w:line="320" w:lineRule="atLeast"/>
      <w:textAlignment w:val="baseline"/>
      <w:outlineLvl w:val="7"/>
    </w:pPr>
    <w:rPr>
      <w:rFonts w:ascii="Arial" w:hAnsi="Arial" w:eastAsia="黑体" w:cs="Arial"/>
      <w:kern w:val="0"/>
      <w:sz w:val="24"/>
      <w:szCs w:val="24"/>
    </w:rPr>
  </w:style>
  <w:style w:type="paragraph" w:styleId="13">
    <w:name w:val="heading 9"/>
    <w:basedOn w:val="1"/>
    <w:next w:val="1"/>
    <w:link w:val="66"/>
    <w:qFormat/>
    <w:uiPriority w:val="99"/>
    <w:pPr>
      <w:keepNext/>
      <w:keepLines/>
      <w:adjustRightInd w:val="0"/>
      <w:spacing w:before="240" w:after="64" w:line="320" w:lineRule="atLeast"/>
      <w:textAlignment w:val="baseline"/>
      <w:outlineLvl w:val="8"/>
    </w:pPr>
    <w:rPr>
      <w:rFonts w:ascii="Arial" w:hAnsi="Arial" w:eastAsia="黑体" w:cs="Arial"/>
      <w:kern w:val="0"/>
      <w:sz w:val="28"/>
      <w:szCs w:val="28"/>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qFormat/>
    <w:uiPriority w:val="99"/>
  </w:style>
  <w:style w:type="paragraph" w:styleId="7">
    <w:name w:val="Normal Indent"/>
    <w:basedOn w:val="1"/>
    <w:next w:val="8"/>
    <w:link w:val="101"/>
    <w:qFormat/>
    <w:uiPriority w:val="99"/>
    <w:pPr>
      <w:ind w:firstLine="420"/>
    </w:pPr>
  </w:style>
  <w:style w:type="paragraph" w:styleId="8">
    <w:name w:val="Body Text Indent"/>
    <w:basedOn w:val="1"/>
    <w:next w:val="7"/>
    <w:link w:val="67"/>
    <w:qFormat/>
    <w:uiPriority w:val="99"/>
    <w:pPr>
      <w:spacing w:line="200" w:lineRule="exact"/>
      <w:ind w:firstLine="301"/>
    </w:pPr>
    <w:rPr>
      <w:rFonts w:ascii="宋体" w:hAnsi="Courier New" w:cs="宋体"/>
      <w:spacing w:val="-4"/>
      <w:sz w:val="18"/>
      <w:szCs w:val="18"/>
    </w:rPr>
  </w:style>
  <w:style w:type="paragraph" w:styleId="14">
    <w:name w:val="List Number"/>
    <w:basedOn w:val="1"/>
    <w:next w:val="15"/>
    <w:qFormat/>
    <w:uiPriority w:val="99"/>
    <w:pPr>
      <w:widowControl/>
      <w:tabs>
        <w:tab w:val="left" w:pos="454"/>
        <w:tab w:val="left" w:pos="720"/>
      </w:tabs>
      <w:spacing w:afterLines="50"/>
      <w:ind w:left="454" w:hanging="284"/>
      <w:jc w:val="left"/>
    </w:pPr>
    <w:rPr>
      <w:kern w:val="0"/>
      <w:sz w:val="24"/>
      <w:szCs w:val="24"/>
    </w:rPr>
  </w:style>
  <w:style w:type="paragraph" w:styleId="15">
    <w:name w:val="Body Text"/>
    <w:basedOn w:val="1"/>
    <w:next w:val="1"/>
    <w:link w:val="68"/>
    <w:qFormat/>
    <w:uiPriority w:val="99"/>
    <w:pPr>
      <w:spacing w:after="120"/>
    </w:pPr>
    <w:rPr>
      <w:sz w:val="28"/>
      <w:szCs w:val="28"/>
    </w:rPr>
  </w:style>
  <w:style w:type="paragraph" w:styleId="16">
    <w:name w:val="caption"/>
    <w:basedOn w:val="1"/>
    <w:next w:val="1"/>
    <w:qFormat/>
    <w:uiPriority w:val="99"/>
    <w:pPr>
      <w:spacing w:before="152" w:after="160"/>
    </w:pPr>
    <w:rPr>
      <w:rFonts w:ascii="Arial" w:hAnsi="Arial" w:eastAsia="黑体" w:cs="Arial"/>
      <w:sz w:val="20"/>
      <w:szCs w:val="20"/>
    </w:rPr>
  </w:style>
  <w:style w:type="paragraph" w:styleId="17">
    <w:name w:val="List Bullet"/>
    <w:basedOn w:val="1"/>
    <w:qFormat/>
    <w:uiPriority w:val="99"/>
    <w:pPr>
      <w:widowControl/>
      <w:tabs>
        <w:tab w:val="left" w:pos="900"/>
      </w:tabs>
      <w:spacing w:before="100" w:beforeAutospacing="1" w:afterLines="50" w:afterAutospacing="1"/>
      <w:ind w:left="900" w:hanging="420"/>
      <w:jc w:val="left"/>
    </w:pPr>
    <w:rPr>
      <w:kern w:val="0"/>
    </w:rPr>
  </w:style>
  <w:style w:type="paragraph" w:styleId="18">
    <w:name w:val="Document Map"/>
    <w:basedOn w:val="1"/>
    <w:link w:val="69"/>
    <w:semiHidden/>
    <w:qFormat/>
    <w:uiPriority w:val="99"/>
    <w:pPr>
      <w:shd w:val="clear" w:color="auto" w:fill="000080"/>
    </w:pPr>
  </w:style>
  <w:style w:type="paragraph" w:styleId="19">
    <w:name w:val="toa heading"/>
    <w:basedOn w:val="1"/>
    <w:next w:val="1"/>
    <w:qFormat/>
    <w:locked/>
    <w:uiPriority w:val="0"/>
    <w:pPr>
      <w:spacing w:before="120"/>
    </w:pPr>
    <w:rPr>
      <w:rFonts w:ascii="Arial" w:hAnsi="Arial"/>
      <w:sz w:val="24"/>
    </w:rPr>
  </w:style>
  <w:style w:type="paragraph" w:styleId="20">
    <w:name w:val="annotation text"/>
    <w:basedOn w:val="1"/>
    <w:link w:val="70"/>
    <w:semiHidden/>
    <w:qFormat/>
    <w:uiPriority w:val="99"/>
    <w:pPr>
      <w:jc w:val="left"/>
    </w:pPr>
  </w:style>
  <w:style w:type="paragraph" w:styleId="21">
    <w:name w:val="Salutation"/>
    <w:basedOn w:val="1"/>
    <w:next w:val="1"/>
    <w:link w:val="71"/>
    <w:qFormat/>
    <w:uiPriority w:val="99"/>
    <w:rPr>
      <w:sz w:val="24"/>
      <w:szCs w:val="24"/>
    </w:rPr>
  </w:style>
  <w:style w:type="paragraph" w:styleId="22">
    <w:name w:val="Body Text 3"/>
    <w:basedOn w:val="1"/>
    <w:link w:val="72"/>
    <w:qFormat/>
    <w:uiPriority w:val="99"/>
    <w:pPr>
      <w:snapToGrid w:val="0"/>
      <w:spacing w:before="50" w:after="50"/>
    </w:pPr>
  </w:style>
  <w:style w:type="paragraph" w:styleId="23">
    <w:name w:val="List Number 3"/>
    <w:basedOn w:val="1"/>
    <w:qFormat/>
    <w:uiPriority w:val="99"/>
    <w:pPr>
      <w:tabs>
        <w:tab w:val="left" w:pos="1200"/>
      </w:tabs>
      <w:ind w:left="1200" w:leftChars="400" w:hanging="360" w:hangingChars="200"/>
    </w:pPr>
  </w:style>
  <w:style w:type="paragraph" w:styleId="24">
    <w:name w:val="List 2"/>
    <w:basedOn w:val="1"/>
    <w:qFormat/>
    <w:uiPriority w:val="99"/>
    <w:pPr>
      <w:ind w:left="100" w:leftChars="200" w:hanging="200" w:hangingChars="200"/>
    </w:pPr>
    <w:rPr>
      <w:sz w:val="28"/>
      <w:szCs w:val="28"/>
    </w:rPr>
  </w:style>
  <w:style w:type="paragraph" w:styleId="25">
    <w:name w:val="List Bullet 2"/>
    <w:basedOn w:val="1"/>
    <w:qFormat/>
    <w:uiPriority w:val="99"/>
    <w:pPr>
      <w:tabs>
        <w:tab w:val="left" w:pos="360"/>
        <w:tab w:val="left" w:pos="1191"/>
      </w:tabs>
      <w:snapToGrid w:val="0"/>
      <w:spacing w:line="360" w:lineRule="auto"/>
      <w:ind w:left="482" w:hanging="482" w:hangingChars="200"/>
      <w:jc w:val="left"/>
    </w:pPr>
    <w:rPr>
      <w:b/>
      <w:bCs/>
      <w:sz w:val="24"/>
      <w:szCs w:val="24"/>
    </w:rPr>
  </w:style>
  <w:style w:type="paragraph" w:styleId="26">
    <w:name w:val="Plain Text"/>
    <w:basedOn w:val="1"/>
    <w:next w:val="1"/>
    <w:link w:val="73"/>
    <w:qFormat/>
    <w:uiPriority w:val="99"/>
    <w:pPr>
      <w:spacing w:beforeLines="50" w:afterLines="50" w:line="400" w:lineRule="exact"/>
    </w:pPr>
    <w:rPr>
      <w:rFonts w:ascii="宋体" w:hAnsi="Courier New" w:cs="宋体"/>
      <w:sz w:val="24"/>
      <w:szCs w:val="24"/>
    </w:rPr>
  </w:style>
  <w:style w:type="paragraph" w:styleId="27">
    <w:name w:val="Date"/>
    <w:basedOn w:val="1"/>
    <w:next w:val="1"/>
    <w:link w:val="74"/>
    <w:qFormat/>
    <w:uiPriority w:val="99"/>
    <w:pPr>
      <w:ind w:left="2500" w:leftChars="2500"/>
    </w:pPr>
    <w:rPr>
      <w:rFonts w:eastAsia="楷体_GB2312"/>
      <w:sz w:val="32"/>
      <w:szCs w:val="32"/>
    </w:rPr>
  </w:style>
  <w:style w:type="paragraph" w:styleId="28">
    <w:name w:val="Body Text Indent 2"/>
    <w:basedOn w:val="1"/>
    <w:link w:val="75"/>
    <w:qFormat/>
    <w:uiPriority w:val="99"/>
    <w:pPr>
      <w:snapToGrid w:val="0"/>
      <w:ind w:firstLine="542" w:firstLineChars="225"/>
    </w:pPr>
    <w:rPr>
      <w:rFonts w:ascii="仿宋_GB2312" w:hAnsi="宋体" w:cs="仿宋_GB2312"/>
      <w:b/>
      <w:bCs/>
      <w:color w:val="000000"/>
      <w:sz w:val="24"/>
      <w:szCs w:val="24"/>
    </w:rPr>
  </w:style>
  <w:style w:type="paragraph" w:styleId="29">
    <w:name w:val="endnote text"/>
    <w:basedOn w:val="1"/>
    <w:link w:val="76"/>
    <w:semiHidden/>
    <w:qFormat/>
    <w:uiPriority w:val="99"/>
    <w:pPr>
      <w:snapToGrid w:val="0"/>
      <w:spacing w:afterLines="50"/>
      <w:jc w:val="left"/>
    </w:pPr>
    <w:rPr>
      <w:rFonts w:ascii="宋体" w:cs="宋体"/>
      <w:kern w:val="0"/>
    </w:rPr>
  </w:style>
  <w:style w:type="paragraph" w:styleId="30">
    <w:name w:val="Balloon Text"/>
    <w:basedOn w:val="1"/>
    <w:link w:val="77"/>
    <w:semiHidden/>
    <w:qFormat/>
    <w:uiPriority w:val="99"/>
    <w:rPr>
      <w:sz w:val="18"/>
      <w:szCs w:val="18"/>
    </w:rPr>
  </w:style>
  <w:style w:type="paragraph" w:styleId="31">
    <w:name w:val="footer"/>
    <w:basedOn w:val="1"/>
    <w:link w:val="78"/>
    <w:qFormat/>
    <w:uiPriority w:val="99"/>
    <w:pPr>
      <w:tabs>
        <w:tab w:val="center" w:pos="4153"/>
        <w:tab w:val="right" w:pos="8306"/>
      </w:tabs>
      <w:snapToGrid w:val="0"/>
      <w:jc w:val="left"/>
    </w:pPr>
    <w:rPr>
      <w:rFonts w:eastAsia="黑体"/>
      <w:kern w:val="0"/>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rFonts w:eastAsia="仿宋_GB2312"/>
      <w:sz w:val="18"/>
      <w:szCs w:val="18"/>
    </w:rPr>
  </w:style>
  <w:style w:type="paragraph" w:styleId="33">
    <w:name w:val="Subtitle"/>
    <w:basedOn w:val="1"/>
    <w:link w:val="80"/>
    <w:qFormat/>
    <w:uiPriority w:val="99"/>
    <w:pPr>
      <w:spacing w:afterLines="50"/>
      <w:jc w:val="center"/>
    </w:pPr>
    <w:rPr>
      <w:rFonts w:ascii="宋体" w:cs="宋体"/>
      <w:i/>
      <w:iCs/>
      <w:kern w:val="0"/>
      <w:sz w:val="36"/>
      <w:szCs w:val="36"/>
      <w:lang w:val="en-AU"/>
    </w:rPr>
  </w:style>
  <w:style w:type="paragraph" w:styleId="34">
    <w:name w:val="List"/>
    <w:basedOn w:val="1"/>
    <w:qFormat/>
    <w:uiPriority w:val="99"/>
    <w:pPr>
      <w:ind w:left="200" w:hanging="200" w:hangingChars="200"/>
    </w:pPr>
    <w:rPr>
      <w:sz w:val="28"/>
      <w:szCs w:val="28"/>
    </w:rPr>
  </w:style>
  <w:style w:type="paragraph" w:styleId="35">
    <w:name w:val="Body Text Indent 3"/>
    <w:basedOn w:val="1"/>
    <w:next w:val="1"/>
    <w:link w:val="81"/>
    <w:qFormat/>
    <w:uiPriority w:val="99"/>
    <w:pPr>
      <w:snapToGrid w:val="0"/>
      <w:ind w:firstLine="480" w:firstLineChars="200"/>
      <w:jc w:val="left"/>
    </w:pPr>
    <w:rPr>
      <w:rFonts w:ascii="仿宋_GB2312" w:hAnsi="宋体" w:eastAsia="仿宋_GB2312" w:cs="仿宋_GB2312"/>
      <w:color w:val="000000"/>
      <w:sz w:val="24"/>
      <w:szCs w:val="24"/>
    </w:rPr>
  </w:style>
  <w:style w:type="paragraph" w:styleId="36">
    <w:name w:val="table of figures"/>
    <w:basedOn w:val="1"/>
    <w:next w:val="1"/>
    <w:qFormat/>
    <w:locked/>
    <w:uiPriority w:val="0"/>
    <w:pPr>
      <w:tabs>
        <w:tab w:val="left" w:pos="1270"/>
      </w:tabs>
      <w:spacing w:line="360" w:lineRule="auto"/>
      <w:ind w:left="1270" w:hanging="420"/>
      <w:jc w:val="left"/>
    </w:pPr>
    <w:rPr>
      <w:smallCaps/>
      <w:sz w:val="20"/>
      <w:szCs w:val="20"/>
    </w:rPr>
  </w:style>
  <w:style w:type="paragraph" w:styleId="37">
    <w:name w:val="toc 2"/>
    <w:basedOn w:val="1"/>
    <w:next w:val="1"/>
    <w:qFormat/>
    <w:uiPriority w:val="0"/>
    <w:pPr>
      <w:ind w:left="420" w:leftChars="200"/>
    </w:pPr>
  </w:style>
  <w:style w:type="paragraph" w:styleId="38">
    <w:name w:val="Body Text 2"/>
    <w:basedOn w:val="1"/>
    <w:link w:val="82"/>
    <w:qFormat/>
    <w:uiPriority w:val="99"/>
    <w:pPr>
      <w:widowControl/>
      <w:snapToGrid w:val="0"/>
      <w:spacing w:before="50" w:afterLines="50" w:line="400" w:lineRule="exact"/>
      <w:jc w:val="left"/>
    </w:pPr>
    <w:rPr>
      <w:rFonts w:ascii="宋体" w:hAnsi="宋体" w:cs="宋体"/>
      <w:color w:val="000000"/>
      <w:sz w:val="24"/>
      <w:szCs w:val="24"/>
    </w:rPr>
  </w:style>
  <w:style w:type="paragraph" w:styleId="39">
    <w:name w:val="HTML Preformatted"/>
    <w:basedOn w:val="1"/>
    <w:link w:val="83"/>
    <w:qFormat/>
    <w:uiPriority w:val="99"/>
    <w:rPr>
      <w:rFonts w:ascii="Courier New" w:hAnsi="Courier New" w:cs="Courier New"/>
      <w:sz w:val="20"/>
      <w:szCs w:val="20"/>
    </w:rPr>
  </w:style>
  <w:style w:type="paragraph" w:styleId="40">
    <w:name w:val="Normal (Web)"/>
    <w:basedOn w:val="1"/>
    <w:next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41">
    <w:name w:val="Title"/>
    <w:basedOn w:val="1"/>
    <w:link w:val="84"/>
    <w:qFormat/>
    <w:uiPriority w:val="99"/>
    <w:pPr>
      <w:widowControl/>
      <w:overflowPunct w:val="0"/>
      <w:autoSpaceDE w:val="0"/>
      <w:autoSpaceDN w:val="0"/>
      <w:adjustRightInd w:val="0"/>
      <w:jc w:val="center"/>
      <w:textAlignment w:val="baseline"/>
    </w:pPr>
    <w:rPr>
      <w:b/>
      <w:bCs/>
      <w:kern w:val="0"/>
      <w:sz w:val="24"/>
      <w:szCs w:val="24"/>
      <w:lang w:val="en-GB"/>
    </w:rPr>
  </w:style>
  <w:style w:type="paragraph" w:styleId="42">
    <w:name w:val="annotation subject"/>
    <w:basedOn w:val="20"/>
    <w:next w:val="20"/>
    <w:link w:val="85"/>
    <w:semiHidden/>
    <w:qFormat/>
    <w:uiPriority w:val="99"/>
    <w:rPr>
      <w:b/>
      <w:bCs/>
    </w:rPr>
  </w:style>
  <w:style w:type="paragraph" w:styleId="43">
    <w:name w:val="Body Text First Indent"/>
    <w:basedOn w:val="15"/>
    <w:link w:val="86"/>
    <w:qFormat/>
    <w:uiPriority w:val="99"/>
    <w:pPr>
      <w:spacing w:line="360" w:lineRule="auto"/>
      <w:ind w:firstLine="200" w:firstLineChars="200"/>
      <w:jc w:val="left"/>
    </w:pPr>
    <w:rPr>
      <w:sz w:val="24"/>
      <w:szCs w:val="24"/>
    </w:rPr>
  </w:style>
  <w:style w:type="paragraph" w:styleId="44">
    <w:name w:val="Body Text First Indent 2"/>
    <w:basedOn w:val="8"/>
    <w:next w:val="45"/>
    <w:link w:val="87"/>
    <w:qFormat/>
    <w:locked/>
    <w:uiPriority w:val="99"/>
    <w:pPr>
      <w:ind w:firstLine="420" w:firstLineChars="200"/>
    </w:pPr>
  </w:style>
  <w:style w:type="paragraph" w:customStyle="1" w:styleId="45">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47">
    <w:name w:val="Table Grid"/>
    <w:basedOn w:val="4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99"/>
    <w:rPr>
      <w:b/>
      <w:bCs/>
    </w:rPr>
  </w:style>
  <w:style w:type="character" w:styleId="50">
    <w:name w:val="page number"/>
    <w:basedOn w:val="48"/>
    <w:qFormat/>
    <w:uiPriority w:val="99"/>
  </w:style>
  <w:style w:type="character" w:styleId="51">
    <w:name w:val="FollowedHyperlink"/>
    <w:qFormat/>
    <w:uiPriority w:val="99"/>
    <w:rPr>
      <w:color w:val="800080"/>
      <w:u w:val="single"/>
    </w:rPr>
  </w:style>
  <w:style w:type="character" w:styleId="52">
    <w:name w:val="Hyperlink"/>
    <w:basedOn w:val="48"/>
    <w:qFormat/>
    <w:uiPriority w:val="99"/>
    <w:rPr>
      <w:color w:val="0000FF"/>
      <w:u w:val="single"/>
    </w:rPr>
  </w:style>
  <w:style w:type="character" w:styleId="53">
    <w:name w:val="annotation reference"/>
    <w:semiHidden/>
    <w:qFormat/>
    <w:uiPriority w:val="99"/>
    <w:rPr>
      <w:sz w:val="21"/>
      <w:szCs w:val="21"/>
    </w:rPr>
  </w:style>
  <w:style w:type="paragraph" w:customStyle="1" w:styleId="54">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55">
    <w:name w:val="章正文"/>
    <w:basedOn w:val="1"/>
    <w:qFormat/>
    <w:uiPriority w:val="99"/>
    <w:pPr>
      <w:spacing w:beforeLines="50" w:after="120" w:line="300" w:lineRule="auto"/>
      <w:ind w:firstLine="480"/>
    </w:pPr>
    <w:rPr>
      <w:rFonts w:ascii="Helvetica" w:hAnsi="Helvetica" w:cs="Helvetica"/>
      <w:kern w:val="0"/>
      <w:sz w:val="24"/>
      <w:szCs w:val="24"/>
    </w:rPr>
  </w:style>
  <w:style w:type="paragraph" w:customStyle="1" w:styleId="56">
    <w:name w:val="样式 表格正文 + 两端对齐"/>
    <w:basedOn w:val="1"/>
    <w:next w:val="57"/>
    <w:qFormat/>
    <w:uiPriority w:val="0"/>
    <w:pPr>
      <w:spacing w:line="300" w:lineRule="auto"/>
    </w:pPr>
  </w:style>
  <w:style w:type="paragraph" w:customStyle="1" w:styleId="57">
    <w:name w:val="正文1"/>
    <w:basedOn w:val="18"/>
    <w:next w:val="1"/>
    <w:qFormat/>
    <w:uiPriority w:val="99"/>
    <w:pPr>
      <w:adjustRightInd w:val="0"/>
      <w:spacing w:line="360" w:lineRule="atLeast"/>
      <w:jc w:val="left"/>
      <w:textAlignment w:val="baseline"/>
    </w:pPr>
    <w:rPr>
      <w:kern w:val="0"/>
    </w:rPr>
  </w:style>
  <w:style w:type="character" w:customStyle="1" w:styleId="58">
    <w:name w:val="Heading 1 Char"/>
    <w:qFormat/>
    <w:locked/>
    <w:uiPriority w:val="99"/>
    <w:rPr>
      <w:b/>
      <w:bCs/>
      <w:kern w:val="44"/>
      <w:sz w:val="44"/>
      <w:szCs w:val="44"/>
    </w:rPr>
  </w:style>
  <w:style w:type="character" w:customStyle="1" w:styleId="59">
    <w:name w:val="标题 2 字符"/>
    <w:link w:val="4"/>
    <w:qFormat/>
    <w:locked/>
    <w:uiPriority w:val="99"/>
    <w:rPr>
      <w:rFonts w:ascii="Arial" w:hAnsi="Arial" w:eastAsia="黑体" w:cs="Arial"/>
      <w:b/>
      <w:bCs/>
      <w:kern w:val="2"/>
      <w:sz w:val="32"/>
      <w:szCs w:val="32"/>
      <w:lang w:val="en-US" w:eastAsia="zh-CN"/>
    </w:rPr>
  </w:style>
  <w:style w:type="character" w:customStyle="1" w:styleId="60">
    <w:name w:val="标题 3 字符"/>
    <w:link w:val="5"/>
    <w:qFormat/>
    <w:locked/>
    <w:uiPriority w:val="99"/>
    <w:rPr>
      <w:rFonts w:ascii="宋体" w:eastAsia="宋体" w:cs="宋体"/>
      <w:b/>
      <w:bCs/>
      <w:sz w:val="24"/>
      <w:szCs w:val="24"/>
      <w:u w:val="single"/>
      <w:lang w:val="en-US" w:eastAsia="zh-CN"/>
    </w:rPr>
  </w:style>
  <w:style w:type="character" w:customStyle="1" w:styleId="61">
    <w:name w:val="标题 4 字符"/>
    <w:link w:val="6"/>
    <w:qFormat/>
    <w:locked/>
    <w:uiPriority w:val="99"/>
    <w:rPr>
      <w:rFonts w:ascii="Arial" w:hAnsi="Arial" w:eastAsia="黑体" w:cs="Arial"/>
      <w:b/>
      <w:bCs/>
      <w:kern w:val="2"/>
      <w:sz w:val="28"/>
      <w:szCs w:val="28"/>
      <w:lang w:val="en-US" w:eastAsia="zh-CN"/>
    </w:rPr>
  </w:style>
  <w:style w:type="character" w:customStyle="1" w:styleId="62">
    <w:name w:val="标题 5 字符"/>
    <w:link w:val="9"/>
    <w:semiHidden/>
    <w:qFormat/>
    <w:locked/>
    <w:uiPriority w:val="99"/>
    <w:rPr>
      <w:b/>
      <w:bCs/>
      <w:sz w:val="28"/>
      <w:szCs w:val="28"/>
    </w:rPr>
  </w:style>
  <w:style w:type="character" w:customStyle="1" w:styleId="63">
    <w:name w:val="标题 6 字符"/>
    <w:link w:val="10"/>
    <w:semiHidden/>
    <w:qFormat/>
    <w:locked/>
    <w:uiPriority w:val="99"/>
    <w:rPr>
      <w:rFonts w:ascii="Cambria" w:hAnsi="Cambria" w:eastAsia="宋体" w:cs="Cambria"/>
      <w:b/>
      <w:bCs/>
      <w:sz w:val="24"/>
      <w:szCs w:val="24"/>
    </w:rPr>
  </w:style>
  <w:style w:type="character" w:customStyle="1" w:styleId="64">
    <w:name w:val="标题 7 字符"/>
    <w:link w:val="11"/>
    <w:semiHidden/>
    <w:qFormat/>
    <w:locked/>
    <w:uiPriority w:val="99"/>
    <w:rPr>
      <w:b/>
      <w:bCs/>
      <w:sz w:val="24"/>
      <w:szCs w:val="24"/>
    </w:rPr>
  </w:style>
  <w:style w:type="character" w:customStyle="1" w:styleId="65">
    <w:name w:val="标题 8 字符"/>
    <w:link w:val="12"/>
    <w:semiHidden/>
    <w:qFormat/>
    <w:locked/>
    <w:uiPriority w:val="99"/>
    <w:rPr>
      <w:rFonts w:ascii="Cambria" w:hAnsi="Cambria" w:eastAsia="宋体" w:cs="Cambria"/>
      <w:sz w:val="24"/>
      <w:szCs w:val="24"/>
    </w:rPr>
  </w:style>
  <w:style w:type="character" w:customStyle="1" w:styleId="66">
    <w:name w:val="标题 9 字符"/>
    <w:link w:val="13"/>
    <w:semiHidden/>
    <w:qFormat/>
    <w:locked/>
    <w:uiPriority w:val="99"/>
    <w:rPr>
      <w:rFonts w:ascii="Cambria" w:hAnsi="Cambria" w:eastAsia="宋体" w:cs="Cambria"/>
      <w:sz w:val="21"/>
      <w:szCs w:val="21"/>
    </w:rPr>
  </w:style>
  <w:style w:type="character" w:customStyle="1" w:styleId="67">
    <w:name w:val="正文文本缩进 字符"/>
    <w:link w:val="8"/>
    <w:qFormat/>
    <w:locked/>
    <w:uiPriority w:val="99"/>
    <w:rPr>
      <w:rFonts w:ascii="宋体" w:hAnsi="Courier New" w:cs="宋体"/>
      <w:spacing w:val="-4"/>
      <w:kern w:val="2"/>
      <w:sz w:val="18"/>
      <w:szCs w:val="18"/>
    </w:rPr>
  </w:style>
  <w:style w:type="character" w:customStyle="1" w:styleId="68">
    <w:name w:val="正文文本 字符"/>
    <w:link w:val="15"/>
    <w:qFormat/>
    <w:locked/>
    <w:uiPriority w:val="99"/>
    <w:rPr>
      <w:rFonts w:eastAsia="宋体"/>
      <w:kern w:val="2"/>
      <w:sz w:val="24"/>
      <w:szCs w:val="24"/>
      <w:lang w:val="en-US" w:eastAsia="zh-CN"/>
    </w:rPr>
  </w:style>
  <w:style w:type="character" w:customStyle="1" w:styleId="69">
    <w:name w:val="文档结构图 字符"/>
    <w:link w:val="18"/>
    <w:qFormat/>
    <w:locked/>
    <w:uiPriority w:val="99"/>
    <w:rPr>
      <w:rFonts w:eastAsia="宋体"/>
      <w:kern w:val="2"/>
      <w:sz w:val="24"/>
      <w:szCs w:val="24"/>
      <w:lang w:val="en-US" w:eastAsia="zh-CN"/>
    </w:rPr>
  </w:style>
  <w:style w:type="character" w:customStyle="1" w:styleId="70">
    <w:name w:val="批注文字 字符"/>
    <w:link w:val="20"/>
    <w:qFormat/>
    <w:locked/>
    <w:uiPriority w:val="99"/>
    <w:rPr>
      <w:rFonts w:eastAsia="宋体"/>
      <w:kern w:val="2"/>
      <w:sz w:val="24"/>
      <w:szCs w:val="24"/>
      <w:lang w:val="en-US" w:eastAsia="zh-CN"/>
    </w:rPr>
  </w:style>
  <w:style w:type="character" w:customStyle="1" w:styleId="71">
    <w:name w:val="称呼 字符"/>
    <w:link w:val="21"/>
    <w:semiHidden/>
    <w:qFormat/>
    <w:locked/>
    <w:uiPriority w:val="99"/>
    <w:rPr>
      <w:sz w:val="24"/>
      <w:szCs w:val="24"/>
    </w:rPr>
  </w:style>
  <w:style w:type="character" w:customStyle="1" w:styleId="72">
    <w:name w:val="正文文本 3 字符"/>
    <w:link w:val="22"/>
    <w:semiHidden/>
    <w:qFormat/>
    <w:locked/>
    <w:uiPriority w:val="99"/>
    <w:rPr>
      <w:sz w:val="16"/>
      <w:szCs w:val="16"/>
    </w:rPr>
  </w:style>
  <w:style w:type="character" w:customStyle="1" w:styleId="73">
    <w:name w:val="纯文本 字符"/>
    <w:link w:val="26"/>
    <w:qFormat/>
    <w:locked/>
    <w:uiPriority w:val="99"/>
    <w:rPr>
      <w:rFonts w:ascii="宋体" w:hAnsi="Courier New" w:eastAsia="宋体" w:cs="宋体"/>
      <w:kern w:val="2"/>
      <w:sz w:val="24"/>
      <w:szCs w:val="24"/>
      <w:lang w:val="en-US" w:eastAsia="zh-CN"/>
    </w:rPr>
  </w:style>
  <w:style w:type="character" w:customStyle="1" w:styleId="74">
    <w:name w:val="日期 字符"/>
    <w:link w:val="27"/>
    <w:semiHidden/>
    <w:qFormat/>
    <w:locked/>
    <w:uiPriority w:val="99"/>
    <w:rPr>
      <w:sz w:val="24"/>
      <w:szCs w:val="24"/>
    </w:rPr>
  </w:style>
  <w:style w:type="character" w:customStyle="1" w:styleId="75">
    <w:name w:val="正文文本缩进 2 字符"/>
    <w:link w:val="28"/>
    <w:qFormat/>
    <w:locked/>
    <w:uiPriority w:val="99"/>
    <w:rPr>
      <w:rFonts w:ascii="仿宋_GB2312" w:hAnsi="宋体" w:eastAsia="宋体" w:cs="仿宋_GB2312"/>
      <w:b/>
      <w:bCs/>
      <w:color w:val="000000"/>
      <w:kern w:val="2"/>
      <w:sz w:val="24"/>
      <w:szCs w:val="24"/>
      <w:lang w:val="en-US" w:eastAsia="zh-CN"/>
    </w:rPr>
  </w:style>
  <w:style w:type="character" w:customStyle="1" w:styleId="76">
    <w:name w:val="尾注文本 字符"/>
    <w:link w:val="29"/>
    <w:semiHidden/>
    <w:qFormat/>
    <w:locked/>
    <w:uiPriority w:val="99"/>
    <w:rPr>
      <w:sz w:val="24"/>
      <w:szCs w:val="24"/>
    </w:rPr>
  </w:style>
  <w:style w:type="character" w:customStyle="1" w:styleId="77">
    <w:name w:val="批注框文本 字符"/>
    <w:link w:val="30"/>
    <w:qFormat/>
    <w:locked/>
    <w:uiPriority w:val="99"/>
    <w:rPr>
      <w:rFonts w:eastAsia="宋体"/>
      <w:kern w:val="2"/>
      <w:sz w:val="18"/>
      <w:szCs w:val="18"/>
      <w:lang w:val="en-US" w:eastAsia="zh-CN"/>
    </w:rPr>
  </w:style>
  <w:style w:type="character" w:customStyle="1" w:styleId="78">
    <w:name w:val="页脚 字符"/>
    <w:link w:val="31"/>
    <w:qFormat/>
    <w:locked/>
    <w:uiPriority w:val="99"/>
    <w:rPr>
      <w:rFonts w:eastAsia="黑体"/>
      <w:snapToGrid w:val="0"/>
      <w:sz w:val="18"/>
      <w:szCs w:val="18"/>
      <w:lang w:val="en-US" w:eastAsia="zh-CN"/>
    </w:rPr>
  </w:style>
  <w:style w:type="character" w:customStyle="1" w:styleId="79">
    <w:name w:val="页眉 字符"/>
    <w:link w:val="32"/>
    <w:qFormat/>
    <w:locked/>
    <w:uiPriority w:val="99"/>
    <w:rPr>
      <w:rFonts w:eastAsia="仿宋_GB2312"/>
      <w:kern w:val="2"/>
      <w:sz w:val="18"/>
      <w:szCs w:val="18"/>
      <w:lang w:val="en-US" w:eastAsia="zh-CN"/>
    </w:rPr>
  </w:style>
  <w:style w:type="character" w:customStyle="1" w:styleId="80">
    <w:name w:val="副标题 字符"/>
    <w:link w:val="33"/>
    <w:qFormat/>
    <w:locked/>
    <w:uiPriority w:val="99"/>
    <w:rPr>
      <w:rFonts w:ascii="Cambria" w:hAnsi="Cambria" w:cs="Cambria"/>
      <w:b/>
      <w:bCs/>
      <w:kern w:val="28"/>
      <w:sz w:val="32"/>
      <w:szCs w:val="32"/>
    </w:rPr>
  </w:style>
  <w:style w:type="character" w:customStyle="1" w:styleId="81">
    <w:name w:val="正文文本缩进 3 字符"/>
    <w:link w:val="35"/>
    <w:qFormat/>
    <w:locked/>
    <w:uiPriority w:val="99"/>
    <w:rPr>
      <w:rFonts w:ascii="仿宋_GB2312" w:hAnsi="宋体" w:eastAsia="仿宋_GB2312" w:cs="仿宋_GB2312"/>
      <w:color w:val="000000"/>
      <w:kern w:val="2"/>
      <w:sz w:val="24"/>
      <w:szCs w:val="24"/>
      <w:lang w:val="en-US" w:eastAsia="zh-CN"/>
    </w:rPr>
  </w:style>
  <w:style w:type="character" w:customStyle="1" w:styleId="82">
    <w:name w:val="正文文本 2 字符"/>
    <w:link w:val="38"/>
    <w:semiHidden/>
    <w:qFormat/>
    <w:locked/>
    <w:uiPriority w:val="99"/>
    <w:rPr>
      <w:sz w:val="24"/>
      <w:szCs w:val="24"/>
    </w:rPr>
  </w:style>
  <w:style w:type="character" w:customStyle="1" w:styleId="83">
    <w:name w:val="HTML 预设格式 字符"/>
    <w:link w:val="39"/>
    <w:semiHidden/>
    <w:qFormat/>
    <w:locked/>
    <w:uiPriority w:val="99"/>
    <w:rPr>
      <w:rFonts w:ascii="Courier New" w:hAnsi="Courier New" w:cs="Courier New"/>
      <w:sz w:val="20"/>
      <w:szCs w:val="20"/>
    </w:rPr>
  </w:style>
  <w:style w:type="character" w:customStyle="1" w:styleId="84">
    <w:name w:val="标题 字符"/>
    <w:link w:val="41"/>
    <w:qFormat/>
    <w:locked/>
    <w:uiPriority w:val="99"/>
    <w:rPr>
      <w:rFonts w:ascii="Cambria" w:hAnsi="Cambria" w:cs="Cambria"/>
      <w:b/>
      <w:bCs/>
      <w:sz w:val="32"/>
      <w:szCs w:val="32"/>
    </w:rPr>
  </w:style>
  <w:style w:type="character" w:customStyle="1" w:styleId="85">
    <w:name w:val="批注主题 字符"/>
    <w:link w:val="42"/>
    <w:semiHidden/>
    <w:qFormat/>
    <w:locked/>
    <w:uiPriority w:val="99"/>
    <w:rPr>
      <w:rFonts w:eastAsia="宋体"/>
      <w:b/>
      <w:bCs/>
      <w:kern w:val="2"/>
      <w:sz w:val="24"/>
      <w:szCs w:val="24"/>
      <w:lang w:val="en-US" w:eastAsia="zh-CN"/>
    </w:rPr>
  </w:style>
  <w:style w:type="character" w:customStyle="1" w:styleId="86">
    <w:name w:val="正文文本首行缩进 字符"/>
    <w:basedOn w:val="68"/>
    <w:link w:val="43"/>
    <w:semiHidden/>
    <w:qFormat/>
    <w:locked/>
    <w:uiPriority w:val="99"/>
    <w:rPr>
      <w:rFonts w:eastAsia="宋体"/>
      <w:kern w:val="2"/>
      <w:sz w:val="24"/>
      <w:szCs w:val="24"/>
      <w:lang w:val="en-US" w:eastAsia="zh-CN"/>
    </w:rPr>
  </w:style>
  <w:style w:type="character" w:customStyle="1" w:styleId="87">
    <w:name w:val="正文文本首行缩进 2 字符"/>
    <w:link w:val="44"/>
    <w:semiHidden/>
    <w:qFormat/>
    <w:locked/>
    <w:uiPriority w:val="99"/>
    <w:rPr>
      <w:rFonts w:ascii="宋体" w:hAnsi="Courier New" w:cs="宋体"/>
      <w:spacing w:val="-4"/>
      <w:kern w:val="2"/>
      <w:sz w:val="24"/>
      <w:szCs w:val="24"/>
    </w:rPr>
  </w:style>
  <w:style w:type="paragraph" w:customStyle="1" w:styleId="88">
    <w:name w:val="表格文字"/>
    <w:basedOn w:val="1"/>
    <w:next w:val="15"/>
    <w:qFormat/>
    <w:uiPriority w:val="99"/>
    <w:pPr>
      <w:adjustRightInd w:val="0"/>
      <w:spacing w:line="420" w:lineRule="atLeast"/>
      <w:jc w:val="left"/>
      <w:textAlignment w:val="baseline"/>
    </w:pPr>
    <w:rPr>
      <w:kern w:val="0"/>
    </w:rPr>
  </w:style>
  <w:style w:type="character" w:customStyle="1" w:styleId="89">
    <w:name w:val="tw4winInternal"/>
    <w:qFormat/>
    <w:uiPriority w:val="99"/>
    <w:rPr>
      <w:rFonts w:ascii="Courier New" w:hAnsi="Courier New" w:cs="Courier New"/>
      <w:color w:val="FF0000"/>
    </w:rPr>
  </w:style>
  <w:style w:type="character" w:customStyle="1" w:styleId="90">
    <w:name w:val="Char Char3"/>
    <w:qFormat/>
    <w:uiPriority w:val="99"/>
    <w:rPr>
      <w:rFonts w:ascii="仿宋_GB2312" w:hAnsi="宋体" w:eastAsia="仿宋_GB2312" w:cs="仿宋_GB2312"/>
      <w:color w:val="000000"/>
      <w:sz w:val="24"/>
      <w:szCs w:val="24"/>
    </w:rPr>
  </w:style>
  <w:style w:type="character" w:customStyle="1" w:styleId="91">
    <w:name w:val="标题 1 Char Char"/>
    <w:qFormat/>
    <w:uiPriority w:val="99"/>
    <w:rPr>
      <w:rFonts w:eastAsia="宋体"/>
      <w:b/>
      <w:bCs/>
      <w:spacing w:val="-2"/>
      <w:sz w:val="24"/>
      <w:szCs w:val="24"/>
      <w:lang w:val="en-US" w:eastAsia="zh-CN"/>
    </w:rPr>
  </w:style>
  <w:style w:type="character" w:customStyle="1" w:styleId="92">
    <w:name w:val="tw4winMark"/>
    <w:qFormat/>
    <w:uiPriority w:val="99"/>
    <w:rPr>
      <w:rFonts w:ascii="Courier New" w:hAnsi="Courier New" w:cs="Courier New"/>
      <w:vanish/>
      <w:color w:val="800080"/>
      <w:vertAlign w:val="subscript"/>
    </w:rPr>
  </w:style>
  <w:style w:type="character" w:customStyle="1" w:styleId="93">
    <w:name w:val="Normal Indent Char1 Char1 Char2 Char Char Char Char Char Char Char Char Char Char Char Char Char Char"/>
    <w:qFormat/>
    <w:uiPriority w:val="99"/>
    <w:rPr>
      <w:rFonts w:eastAsia="仿宋_GB2312"/>
      <w:kern w:val="2"/>
      <w:sz w:val="24"/>
      <w:szCs w:val="24"/>
      <w:lang w:val="en-US" w:eastAsia="zh-CN"/>
    </w:rPr>
  </w:style>
  <w:style w:type="character" w:customStyle="1" w:styleId="94">
    <w:name w:val="style11"/>
    <w:qFormat/>
    <w:uiPriority w:val="99"/>
    <w:rPr>
      <w:rFonts w:eastAsia="宋体"/>
      <w:kern w:val="2"/>
      <w:sz w:val="21"/>
      <w:szCs w:val="21"/>
      <w:lang w:val="en-US" w:eastAsia="zh-CN"/>
    </w:rPr>
  </w:style>
  <w:style w:type="character" w:customStyle="1" w:styleId="95">
    <w:name w:val="font2"/>
    <w:qFormat/>
    <w:uiPriority w:val="99"/>
    <w:rPr>
      <w:rFonts w:ascii="Arial" w:hAnsi="Arial" w:cs="Arial"/>
      <w:color w:val="auto"/>
      <w:spacing w:val="0"/>
      <w:sz w:val="18"/>
      <w:szCs w:val="18"/>
    </w:rPr>
  </w:style>
  <w:style w:type="character" w:customStyle="1" w:styleId="96">
    <w:name w:val="b titlename wangputoptitle"/>
    <w:basedOn w:val="48"/>
    <w:qFormat/>
    <w:uiPriority w:val="99"/>
  </w:style>
  <w:style w:type="character" w:customStyle="1" w:styleId="97">
    <w:name w:val="tw4winTerm"/>
    <w:qFormat/>
    <w:uiPriority w:val="99"/>
    <w:rPr>
      <w:color w:val="0000FF"/>
    </w:rPr>
  </w:style>
  <w:style w:type="character" w:customStyle="1" w:styleId="98">
    <w:name w:val="样式 小四"/>
    <w:qFormat/>
    <w:uiPriority w:val="99"/>
    <w:rPr>
      <w:sz w:val="21"/>
      <w:szCs w:val="21"/>
    </w:rPr>
  </w:style>
  <w:style w:type="character" w:customStyle="1" w:styleId="99">
    <w:name w:val="para"/>
    <w:basedOn w:val="48"/>
    <w:qFormat/>
    <w:uiPriority w:val="99"/>
  </w:style>
  <w:style w:type="character" w:customStyle="1" w:styleId="100">
    <w:name w:val="tw4winError"/>
    <w:qFormat/>
    <w:uiPriority w:val="99"/>
    <w:rPr>
      <w:rFonts w:ascii="Courier New" w:hAnsi="Courier New" w:cs="Courier New"/>
      <w:color w:val="00FF00"/>
      <w:sz w:val="40"/>
      <w:szCs w:val="40"/>
    </w:rPr>
  </w:style>
  <w:style w:type="character" w:customStyle="1" w:styleId="101">
    <w:name w:val="正文缩进 字符"/>
    <w:link w:val="7"/>
    <w:qFormat/>
    <w:locked/>
    <w:uiPriority w:val="99"/>
    <w:rPr>
      <w:rFonts w:eastAsia="宋体"/>
      <w:kern w:val="2"/>
      <w:sz w:val="21"/>
      <w:szCs w:val="21"/>
      <w:lang w:val="en-US" w:eastAsia="zh-CN"/>
    </w:rPr>
  </w:style>
  <w:style w:type="character" w:customStyle="1" w:styleId="102">
    <w:name w:val="style31"/>
    <w:qFormat/>
    <w:uiPriority w:val="99"/>
    <w:rPr>
      <w:color w:val="auto"/>
    </w:rPr>
  </w:style>
  <w:style w:type="character" w:customStyle="1" w:styleId="103">
    <w:name w:val="!我的正文 Ctr+Q Char"/>
    <w:link w:val="104"/>
    <w:qFormat/>
    <w:locked/>
    <w:uiPriority w:val="99"/>
    <w:rPr>
      <w:rFonts w:ascii="Arial" w:hAnsi="Arial" w:eastAsia="宋体" w:cs="Arial"/>
      <w:kern w:val="2"/>
      <w:sz w:val="21"/>
      <w:szCs w:val="21"/>
      <w:lang w:val="en-US" w:eastAsia="zh-CN"/>
    </w:rPr>
  </w:style>
  <w:style w:type="paragraph" w:customStyle="1" w:styleId="104">
    <w:name w:val="!我的正文 Ctr+Q"/>
    <w:basedOn w:val="1"/>
    <w:link w:val="103"/>
    <w:qFormat/>
    <w:uiPriority w:val="99"/>
    <w:pPr>
      <w:adjustRightInd w:val="0"/>
      <w:snapToGrid w:val="0"/>
      <w:spacing w:line="360" w:lineRule="auto"/>
      <w:ind w:firstLine="480" w:firstLineChars="200"/>
    </w:pPr>
    <w:rPr>
      <w:rFonts w:ascii="Arial" w:hAnsi="Arial" w:cs="Arial"/>
    </w:rPr>
  </w:style>
  <w:style w:type="character" w:customStyle="1" w:styleId="105">
    <w:name w:val="font3"/>
    <w:basedOn w:val="48"/>
    <w:qFormat/>
    <w:uiPriority w:val="99"/>
  </w:style>
  <w:style w:type="character" w:customStyle="1" w:styleId="106">
    <w:name w:val="tw4winExternal"/>
    <w:qFormat/>
    <w:uiPriority w:val="99"/>
    <w:rPr>
      <w:rFonts w:ascii="Courier New" w:hAnsi="Courier New" w:cs="Courier New"/>
      <w:color w:val="808080"/>
    </w:rPr>
  </w:style>
  <w:style w:type="character" w:customStyle="1" w:styleId="107">
    <w:name w:val="标题 1 字符"/>
    <w:link w:val="3"/>
    <w:qFormat/>
    <w:locked/>
    <w:uiPriority w:val="99"/>
    <w:rPr>
      <w:rFonts w:eastAsia="宋体"/>
      <w:b/>
      <w:bCs/>
      <w:kern w:val="44"/>
      <w:sz w:val="44"/>
      <w:szCs w:val="44"/>
      <w:lang w:val="en-US" w:eastAsia="zh-CN"/>
    </w:rPr>
  </w:style>
  <w:style w:type="character" w:customStyle="1" w:styleId="108">
    <w:name w:val="point_normal1"/>
    <w:qFormat/>
    <w:uiPriority w:val="99"/>
    <w:rPr>
      <w:rFonts w:ascii="Arial" w:hAnsi="Arial" w:cs="Arial"/>
      <w:sz w:val="18"/>
      <w:szCs w:val="18"/>
    </w:rPr>
  </w:style>
  <w:style w:type="character" w:customStyle="1" w:styleId="109">
    <w:name w:val="fontblank12"/>
    <w:basedOn w:val="48"/>
    <w:qFormat/>
    <w:uiPriority w:val="99"/>
  </w:style>
  <w:style w:type="character" w:customStyle="1" w:styleId="110">
    <w:name w:val="huide001"/>
    <w:qFormat/>
    <w:uiPriority w:val="99"/>
    <w:rPr>
      <w:rFonts w:ascii="Arial" w:hAnsi="Arial" w:cs="Arial"/>
      <w:color w:val="666666"/>
      <w:sz w:val="18"/>
      <w:szCs w:val="18"/>
    </w:rPr>
  </w:style>
  <w:style w:type="character" w:customStyle="1" w:styleId="111">
    <w:name w:val="tw4winPopup"/>
    <w:qFormat/>
    <w:uiPriority w:val="99"/>
    <w:rPr>
      <w:rFonts w:ascii="Courier New" w:hAnsi="Courier New" w:cs="Courier New"/>
      <w:color w:val="008000"/>
    </w:rPr>
  </w:style>
  <w:style w:type="character" w:customStyle="1" w:styleId="112">
    <w:name w:val="标题 3 Char"/>
    <w:qFormat/>
    <w:uiPriority w:val="99"/>
    <w:rPr>
      <w:rFonts w:eastAsia="宋体"/>
      <w:b/>
      <w:bCs/>
      <w:kern w:val="2"/>
      <w:sz w:val="32"/>
      <w:szCs w:val="32"/>
      <w:lang w:val="en-US" w:eastAsia="zh-CN"/>
    </w:rPr>
  </w:style>
  <w:style w:type="character" w:customStyle="1" w:styleId="113">
    <w:name w:val="unnamed11"/>
    <w:qFormat/>
    <w:uiPriority w:val="99"/>
    <w:rPr>
      <w:sz w:val="20"/>
      <w:szCs w:val="20"/>
    </w:rPr>
  </w:style>
  <w:style w:type="character" w:customStyle="1" w:styleId="114">
    <w:name w:val="pagetitle"/>
    <w:basedOn w:val="48"/>
    <w:qFormat/>
    <w:uiPriority w:val="99"/>
  </w:style>
  <w:style w:type="character" w:customStyle="1" w:styleId="115">
    <w:name w:val="line1"/>
    <w:qFormat/>
    <w:uiPriority w:val="99"/>
    <w:rPr>
      <w:u w:val="none"/>
    </w:rPr>
  </w:style>
  <w:style w:type="character" w:customStyle="1" w:styleId="116">
    <w:name w:val="text11"/>
    <w:qFormat/>
    <w:uiPriority w:val="99"/>
    <w:rPr>
      <w:rFonts w:ascii="Verdana" w:hAnsi="Verdana" w:cs="Verdana"/>
      <w:color w:val="auto"/>
      <w:sz w:val="18"/>
      <w:szCs w:val="18"/>
    </w:rPr>
  </w:style>
  <w:style w:type="character" w:customStyle="1" w:styleId="117">
    <w:name w:val="样式 样式3 + 宋体 五号 Char Char Char Char"/>
    <w:qFormat/>
    <w:uiPriority w:val="99"/>
    <w:rPr>
      <w:rFonts w:ascii="宋体" w:hAnsi="宋体" w:eastAsia="宋体" w:cs="宋体"/>
      <w:b/>
      <w:bCs/>
      <w:kern w:val="2"/>
      <w:sz w:val="24"/>
      <w:szCs w:val="24"/>
      <w:lang w:val="en-US" w:eastAsia="zh-CN"/>
    </w:rPr>
  </w:style>
  <w:style w:type="character" w:customStyle="1" w:styleId="118">
    <w:name w:val="A C"/>
    <w:qFormat/>
    <w:uiPriority w:val="99"/>
    <w:rPr>
      <w:rFonts w:ascii="仿宋_GB2312" w:cs="仿宋_GB2312"/>
      <w:sz w:val="24"/>
      <w:szCs w:val="24"/>
    </w:rPr>
  </w:style>
  <w:style w:type="character" w:customStyle="1" w:styleId="119">
    <w:name w:val="tw4winJump"/>
    <w:qFormat/>
    <w:uiPriority w:val="99"/>
    <w:rPr>
      <w:rFonts w:ascii="Courier New" w:hAnsi="Courier New" w:cs="Courier New"/>
      <w:color w:val="008080"/>
    </w:rPr>
  </w:style>
  <w:style w:type="character" w:customStyle="1" w:styleId="120">
    <w:name w:val="Char Char7"/>
    <w:qFormat/>
    <w:uiPriority w:val="99"/>
    <w:rPr>
      <w:rFonts w:ascii="Cambria" w:hAnsi="Cambria" w:eastAsia="宋体" w:cs="Cambria"/>
      <w:b/>
      <w:bCs/>
      <w:sz w:val="32"/>
      <w:szCs w:val="32"/>
    </w:rPr>
  </w:style>
  <w:style w:type="character" w:customStyle="1" w:styleId="121">
    <w:name w:val="style101"/>
    <w:qFormat/>
    <w:uiPriority w:val="99"/>
    <w:rPr>
      <w:color w:val="FFFFFF"/>
    </w:rPr>
  </w:style>
  <w:style w:type="paragraph" w:customStyle="1" w:styleId="122">
    <w:name w:val="样式2"/>
    <w:basedOn w:val="4"/>
    <w:qFormat/>
    <w:uiPriority w:val="99"/>
    <w:pPr>
      <w:tabs>
        <w:tab w:val="left" w:pos="600"/>
      </w:tabs>
      <w:ind w:left="600" w:hanging="600"/>
    </w:pPr>
    <w:rPr>
      <w:rFonts w:eastAsia="宋体"/>
    </w:rPr>
  </w:style>
  <w:style w:type="paragraph" w:customStyle="1" w:styleId="123">
    <w:name w:val="p0"/>
    <w:basedOn w:val="1"/>
    <w:qFormat/>
    <w:uiPriority w:val="99"/>
    <w:pPr>
      <w:widowControl/>
      <w:spacing w:after="50"/>
    </w:pPr>
    <w:rPr>
      <w:kern w:val="0"/>
    </w:rPr>
  </w:style>
  <w:style w:type="paragraph" w:customStyle="1" w:styleId="124">
    <w:name w:val="样式 正文文本缩进 + 仿宋_GB2312 小四 首行缩进:  0 厘米 行距: 1.5 倍行距"/>
    <w:basedOn w:val="8"/>
    <w:qFormat/>
    <w:uiPriority w:val="99"/>
    <w:pPr>
      <w:spacing w:line="360" w:lineRule="auto"/>
      <w:ind w:firstLine="0"/>
    </w:pPr>
    <w:rPr>
      <w:rFonts w:ascii="仿宋_GB2312" w:hAnsi="Times New Roman" w:eastAsia="新宋体" w:cs="仿宋_GB2312"/>
      <w:spacing w:val="0"/>
      <w:sz w:val="24"/>
      <w:szCs w:val="24"/>
    </w:rPr>
  </w:style>
  <w:style w:type="paragraph" w:customStyle="1" w:styleId="125">
    <w:name w:val="text"/>
    <w:basedOn w:val="1"/>
    <w:qFormat/>
    <w:uiPriority w:val="99"/>
    <w:pPr>
      <w:adjustRightInd w:val="0"/>
      <w:spacing w:before="120" w:line="360" w:lineRule="auto"/>
      <w:ind w:firstLine="425"/>
      <w:jc w:val="left"/>
      <w:textAlignment w:val="baseline"/>
    </w:pPr>
    <w:rPr>
      <w:rFonts w:ascii="宋体" w:hAnsi="Arial" w:cs="宋体"/>
      <w:kern w:val="0"/>
      <w:sz w:val="26"/>
      <w:szCs w:val="26"/>
    </w:rPr>
  </w:style>
  <w:style w:type="paragraph" w:customStyle="1" w:styleId="126">
    <w:name w:val="Paragraph2"/>
    <w:basedOn w:val="1"/>
    <w:qFormat/>
    <w:uiPriority w:val="99"/>
    <w:pPr>
      <w:spacing w:before="80" w:afterLines="50"/>
      <w:ind w:left="720"/>
    </w:pPr>
    <w:rPr>
      <w:rFonts w:ascii="宋体" w:cs="宋体"/>
      <w:color w:val="000000"/>
      <w:kern w:val="0"/>
      <w:lang w:val="en-AU"/>
    </w:rPr>
  </w:style>
  <w:style w:type="paragraph" w:customStyle="1" w:styleId="127">
    <w:name w:val="Char Char Char Char Char Char Char Char Char Char"/>
    <w:basedOn w:val="18"/>
    <w:qFormat/>
    <w:uiPriority w:val="99"/>
    <w:rPr>
      <w:rFonts w:ascii="Tahoma" w:hAnsi="Tahoma" w:cs="Tahoma"/>
      <w:sz w:val="24"/>
      <w:szCs w:val="24"/>
    </w:rPr>
  </w:style>
  <w:style w:type="paragraph" w:customStyle="1" w:styleId="128">
    <w:name w:val="P3"/>
    <w:basedOn w:val="1"/>
    <w:qFormat/>
    <w:uiPriority w:val="99"/>
    <w:pPr>
      <w:widowControl/>
      <w:spacing w:before="240" w:line="240" w:lineRule="atLeast"/>
      <w:ind w:left="1152"/>
      <w:jc w:val="left"/>
    </w:pPr>
    <w:rPr>
      <w:b/>
      <w:bCs/>
      <w:kern w:val="0"/>
      <w:lang w:val="en-AU" w:eastAsia="en-US"/>
    </w:rPr>
  </w:style>
  <w:style w:type="paragraph" w:customStyle="1" w:styleId="129">
    <w:name w:val="Char1 Char Char Char Char Char Char"/>
    <w:basedOn w:val="1"/>
    <w:qFormat/>
    <w:uiPriority w:val="99"/>
    <w:rPr>
      <w:rFonts w:ascii="Tahoma" w:hAnsi="Tahoma" w:cs="Tahoma"/>
      <w:sz w:val="24"/>
      <w:szCs w:val="24"/>
    </w:rPr>
  </w:style>
  <w:style w:type="paragraph" w:customStyle="1" w:styleId="130">
    <w:name w:val="Paragraph4"/>
    <w:basedOn w:val="1"/>
    <w:qFormat/>
    <w:uiPriority w:val="99"/>
    <w:pPr>
      <w:spacing w:before="80" w:afterLines="50"/>
      <w:ind w:left="2250"/>
    </w:pPr>
    <w:rPr>
      <w:rFonts w:ascii="宋体" w:cs="宋体"/>
      <w:kern w:val="0"/>
    </w:rPr>
  </w:style>
  <w:style w:type="paragraph" w:customStyle="1" w:styleId="131">
    <w:name w:val="图"/>
    <w:basedOn w:val="1"/>
    <w:qFormat/>
    <w:uiPriority w:val="99"/>
    <w:pPr>
      <w:keepNext/>
      <w:adjustRightInd w:val="0"/>
      <w:snapToGrid w:val="0"/>
      <w:spacing w:before="60" w:after="60" w:line="300" w:lineRule="auto"/>
      <w:jc w:val="center"/>
    </w:pPr>
    <w:rPr>
      <w:spacing w:val="20"/>
      <w:kern w:val="0"/>
      <w:sz w:val="24"/>
      <w:szCs w:val="24"/>
    </w:rPr>
  </w:style>
  <w:style w:type="paragraph" w:customStyle="1" w:styleId="132">
    <w:name w:val="样式 标题 3Chapter X.X.X. + 五号 段后: 0.5 行"/>
    <w:basedOn w:val="5"/>
    <w:qFormat/>
    <w:uiPriority w:val="99"/>
    <w:pPr>
      <w:keepLines w:val="0"/>
      <w:autoSpaceDE/>
      <w:autoSpaceDN/>
      <w:adjustRightInd/>
      <w:spacing w:before="120" w:afterLines="50"/>
    </w:pPr>
    <w:rPr>
      <w:sz w:val="21"/>
      <w:szCs w:val="21"/>
      <w:u w:val="none"/>
    </w:rPr>
  </w:style>
  <w:style w:type="paragraph" w:customStyle="1" w:styleId="133">
    <w:name w:val="封面标准文稿编辑信息"/>
    <w:qFormat/>
    <w:uiPriority w:val="99"/>
    <w:pPr>
      <w:spacing w:before="180" w:line="180" w:lineRule="exact"/>
      <w:jc w:val="center"/>
    </w:pPr>
    <w:rPr>
      <w:rFonts w:ascii="宋体" w:hAnsi="Times New Roman" w:eastAsia="宋体" w:cs="宋体"/>
      <w:sz w:val="21"/>
      <w:szCs w:val="21"/>
      <w:lang w:val="en-US" w:eastAsia="zh-CN" w:bidi="ar-SA"/>
    </w:rPr>
  </w:style>
  <w:style w:type="paragraph" w:customStyle="1" w:styleId="134">
    <w:name w:val="TableTextLeft"/>
    <w:qFormat/>
    <w:uiPriority w:val="99"/>
    <w:rPr>
      <w:rFonts w:ascii="Century Gothic" w:hAnsi="Century Gothic" w:eastAsia="宋体" w:cs="Century Gothic"/>
      <w:lang w:val="en-US" w:eastAsia="en-US" w:bidi="ar-SA"/>
    </w:rPr>
  </w:style>
  <w:style w:type="paragraph" w:customStyle="1" w:styleId="135">
    <w:name w:val="Body"/>
    <w:basedOn w:val="1"/>
    <w:qFormat/>
    <w:uiPriority w:val="99"/>
    <w:pPr>
      <w:widowControl/>
      <w:spacing w:before="120" w:afterLines="50"/>
    </w:pPr>
    <w:rPr>
      <w:rFonts w:ascii="宋体" w:cs="宋体"/>
      <w:kern w:val="0"/>
    </w:rPr>
  </w:style>
  <w:style w:type="paragraph" w:customStyle="1" w:styleId="136">
    <w:name w:val="Char Char Char Char1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37">
    <w:name w:val="标准标题2"/>
    <w:basedOn w:val="4"/>
    <w:qFormat/>
    <w:uiPriority w:val="99"/>
    <w:pPr>
      <w:spacing w:line="360" w:lineRule="auto"/>
    </w:pPr>
    <w:rPr>
      <w:rFonts w:eastAsia="仿宋_GB2312"/>
      <w:sz w:val="28"/>
      <w:szCs w:val="28"/>
    </w:rPr>
  </w:style>
  <w:style w:type="paragraph" w:customStyle="1" w:styleId="138">
    <w:name w:val="Blockquote"/>
    <w:basedOn w:val="1"/>
    <w:qFormat/>
    <w:uiPriority w:val="99"/>
    <w:pPr>
      <w:widowControl/>
      <w:spacing w:before="100" w:afterLines="50"/>
      <w:ind w:left="360" w:right="360"/>
      <w:jc w:val="left"/>
    </w:pPr>
    <w:rPr>
      <w:rFonts w:ascii="宋体" w:cs="宋体"/>
      <w:kern w:val="0"/>
      <w:sz w:val="24"/>
      <w:szCs w:val="24"/>
      <w:lang w:val="en-CA"/>
    </w:rPr>
  </w:style>
  <w:style w:type="paragraph" w:customStyle="1" w:styleId="139">
    <w:name w:val="Char Char3 Char Char Char Char"/>
    <w:basedOn w:val="1"/>
    <w:qFormat/>
    <w:uiPriority w:val="99"/>
    <w:pPr>
      <w:widowControl/>
      <w:spacing w:after="160" w:line="360" w:lineRule="auto"/>
      <w:jc w:val="left"/>
    </w:pPr>
    <w:rPr>
      <w:rFonts w:ascii="Verdana" w:hAnsi="Verdana" w:cs="Verdana"/>
      <w:kern w:val="0"/>
      <w:sz w:val="24"/>
      <w:szCs w:val="24"/>
      <w:lang w:eastAsia="en-US"/>
    </w:rPr>
  </w:style>
  <w:style w:type="paragraph" w:customStyle="1" w:styleId="140">
    <w:name w:val="Char Char Char Char Char Char Char Char Char Char Char Char Char Char Char Char"/>
    <w:basedOn w:val="1"/>
    <w:qFormat/>
    <w:uiPriority w:val="99"/>
    <w:pPr>
      <w:tabs>
        <w:tab w:val="left" w:pos="360"/>
      </w:tabs>
    </w:pPr>
    <w:rPr>
      <w:sz w:val="24"/>
      <w:szCs w:val="24"/>
    </w:rPr>
  </w:style>
  <w:style w:type="paragraph" w:customStyle="1" w:styleId="141">
    <w:name w:val="表格标题(居中)"/>
    <w:basedOn w:val="1"/>
    <w:qFormat/>
    <w:uiPriority w:val="99"/>
    <w:pPr>
      <w:adjustRightInd w:val="0"/>
      <w:snapToGrid w:val="0"/>
      <w:spacing w:line="300" w:lineRule="auto"/>
      <w:ind w:firstLine="200" w:firstLineChars="200"/>
      <w:jc w:val="center"/>
    </w:pPr>
    <w:rPr>
      <w:rFonts w:eastAsia="黑体"/>
      <w:color w:val="000000"/>
      <w:kern w:val="0"/>
      <w:sz w:val="24"/>
      <w:szCs w:val="24"/>
    </w:rPr>
  </w:style>
  <w:style w:type="paragraph" w:customStyle="1" w:styleId="142">
    <w:name w:val="Char3 Char Char Char"/>
    <w:basedOn w:val="1"/>
    <w:qFormat/>
    <w:uiPriority w:val="99"/>
    <w:pPr>
      <w:tabs>
        <w:tab w:val="left" w:pos="1455"/>
      </w:tabs>
      <w:ind w:left="1455" w:hanging="1275"/>
    </w:pPr>
    <w:rPr>
      <w:sz w:val="24"/>
      <w:szCs w:val="24"/>
    </w:rPr>
  </w:style>
  <w:style w:type="paragraph" w:customStyle="1" w:styleId="143">
    <w:name w:val="样式　标题4"/>
    <w:basedOn w:val="144"/>
    <w:next w:val="1"/>
    <w:qFormat/>
    <w:uiPriority w:val="99"/>
  </w:style>
  <w:style w:type="paragraph" w:customStyle="1" w:styleId="144">
    <w:name w:val="样式 标题 4Chapter X.X.X. + 段后: 0.5 行1"/>
    <w:basedOn w:val="6"/>
    <w:next w:val="6"/>
    <w:qFormat/>
    <w:uiPriority w:val="99"/>
    <w:pPr>
      <w:keepLines w:val="0"/>
      <w:spacing w:before="120" w:afterLines="50" w:line="240" w:lineRule="auto"/>
      <w:ind w:left="425" w:hanging="425"/>
      <w:jc w:val="left"/>
    </w:pPr>
    <w:rPr>
      <w:rFonts w:ascii="宋体" w:hAnsi="Times New Roman" w:eastAsia="宋体" w:cs="宋体"/>
      <w:kern w:val="0"/>
      <w:sz w:val="21"/>
      <w:szCs w:val="21"/>
    </w:rPr>
  </w:style>
  <w:style w:type="paragraph" w:customStyle="1" w:styleId="145">
    <w:name w:val="样式 标题 2 + 五号"/>
    <w:basedOn w:val="4"/>
    <w:qFormat/>
    <w:uiPriority w:val="99"/>
    <w:pPr>
      <w:spacing w:before="0" w:after="0" w:line="240" w:lineRule="auto"/>
    </w:pPr>
    <w:rPr>
      <w:rFonts w:ascii="宋体" w:hAnsi="宋体" w:eastAsia="宋体" w:cs="宋体"/>
      <w:sz w:val="21"/>
      <w:szCs w:val="21"/>
    </w:rPr>
  </w:style>
  <w:style w:type="paragraph" w:customStyle="1" w:styleId="146">
    <w:name w:val="Main Title"/>
    <w:basedOn w:val="1"/>
    <w:qFormat/>
    <w:uiPriority w:val="99"/>
    <w:pPr>
      <w:spacing w:before="480" w:afterLines="50"/>
      <w:jc w:val="center"/>
    </w:pPr>
    <w:rPr>
      <w:rFonts w:ascii="宋体" w:cs="宋体"/>
      <w:b/>
      <w:bCs/>
      <w:kern w:val="28"/>
      <w:sz w:val="32"/>
      <w:szCs w:val="32"/>
    </w:rPr>
  </w:style>
  <w:style w:type="paragraph" w:customStyle="1" w:styleId="147">
    <w:name w:val="表格内容"/>
    <w:basedOn w:val="15"/>
    <w:qFormat/>
    <w:uiPriority w:val="99"/>
    <w:pPr>
      <w:suppressLineNumbers/>
      <w:suppressAutoHyphens/>
    </w:pPr>
    <w:rPr>
      <w:kern w:val="1"/>
      <w:sz w:val="21"/>
      <w:szCs w:val="21"/>
      <w:lang w:eastAsia="ar-SA"/>
    </w:rPr>
  </w:style>
  <w:style w:type="paragraph" w:customStyle="1" w:styleId="148">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49">
    <w:name w:val="S4-L15-C"/>
    <w:basedOn w:val="1"/>
    <w:qFormat/>
    <w:uiPriority w:val="99"/>
    <w:pPr>
      <w:spacing w:after="120" w:line="360" w:lineRule="auto"/>
      <w:jc w:val="center"/>
    </w:pPr>
  </w:style>
  <w:style w:type="paragraph" w:customStyle="1" w:styleId="150">
    <w:name w:val="样式 标题 4 + 段后: 0.5 行"/>
    <w:basedOn w:val="6"/>
    <w:qFormat/>
    <w:uiPriority w:val="99"/>
    <w:pPr>
      <w:keepLines w:val="0"/>
      <w:spacing w:before="120" w:afterLines="50" w:line="240" w:lineRule="auto"/>
      <w:jc w:val="left"/>
    </w:pPr>
    <w:rPr>
      <w:rFonts w:ascii="宋体" w:hAnsi="Times New Roman" w:eastAsia="宋体" w:cs="宋体"/>
      <w:kern w:val="0"/>
      <w:sz w:val="21"/>
      <w:szCs w:val="21"/>
    </w:rPr>
  </w:style>
  <w:style w:type="paragraph" w:customStyle="1" w:styleId="151">
    <w:name w:val="样式 标题 4"/>
    <w:basedOn w:val="152"/>
    <w:next w:val="153"/>
    <w:qFormat/>
    <w:uiPriority w:val="99"/>
    <w:pPr>
      <w:tabs>
        <w:tab w:val="left" w:pos="2100"/>
      </w:tabs>
      <w:spacing w:after="50"/>
      <w:ind w:left="2100" w:hanging="420"/>
    </w:pPr>
  </w:style>
  <w:style w:type="paragraph" w:customStyle="1" w:styleId="152">
    <w:name w:val="样式 标题 4Chapter X.X.X.X. + 段后: 0.5 行1"/>
    <w:basedOn w:val="150"/>
    <w:qFormat/>
    <w:uiPriority w:val="99"/>
    <w:pPr>
      <w:spacing w:after="120"/>
    </w:pPr>
  </w:style>
  <w:style w:type="paragraph" w:customStyle="1" w:styleId="153">
    <w:name w:val="样式 正文"/>
    <w:basedOn w:val="1"/>
    <w:next w:val="1"/>
    <w:qFormat/>
    <w:uiPriority w:val="99"/>
    <w:pPr>
      <w:spacing w:afterLines="50"/>
      <w:jc w:val="left"/>
    </w:pPr>
    <w:rPr>
      <w:rFonts w:ascii="宋体" w:cs="宋体"/>
      <w:kern w:val="0"/>
    </w:rPr>
  </w:style>
  <w:style w:type="paragraph" w:customStyle="1" w:styleId="154">
    <w:name w:val="Char Char"/>
    <w:basedOn w:val="1"/>
    <w:qFormat/>
    <w:uiPriority w:val="99"/>
    <w:pPr>
      <w:spacing w:line="240" w:lineRule="atLeast"/>
      <w:ind w:left="420" w:firstLine="420"/>
    </w:pPr>
    <w:rPr>
      <w:kern w:val="0"/>
    </w:rPr>
  </w:style>
  <w:style w:type="paragraph" w:customStyle="1" w:styleId="155">
    <w:name w:val="表格标题"/>
    <w:basedOn w:val="147"/>
    <w:qFormat/>
    <w:uiPriority w:val="99"/>
    <w:pPr>
      <w:jc w:val="center"/>
    </w:pPr>
    <w:rPr>
      <w:b/>
      <w:bCs/>
      <w:i/>
      <w:iCs/>
    </w:rPr>
  </w:style>
  <w:style w:type="paragraph" w:customStyle="1" w:styleId="156">
    <w:name w:val="样式 标题 1 + 段后: 0.5 行"/>
    <w:basedOn w:val="3"/>
    <w:qFormat/>
    <w:uiPriority w:val="99"/>
    <w:pPr>
      <w:keepLines w:val="0"/>
      <w:spacing w:before="120" w:afterLines="50" w:line="240" w:lineRule="auto"/>
      <w:jc w:val="left"/>
    </w:pPr>
    <w:rPr>
      <w:rFonts w:ascii="宋体" w:cs="宋体"/>
      <w:kern w:val="0"/>
      <w:sz w:val="28"/>
      <w:szCs w:val="28"/>
    </w:rPr>
  </w:style>
  <w:style w:type="paragraph" w:customStyle="1" w:styleId="157">
    <w:name w:val="最新标题3"/>
    <w:basedOn w:val="158"/>
    <w:next w:val="159"/>
    <w:qFormat/>
    <w:uiPriority w:val="99"/>
  </w:style>
  <w:style w:type="paragraph" w:customStyle="1" w:styleId="158">
    <w:name w:val="样式 标题 3"/>
    <w:basedOn w:val="5"/>
    <w:next w:val="159"/>
    <w:qFormat/>
    <w:uiPriority w:val="99"/>
    <w:pPr>
      <w:keepLines w:val="0"/>
      <w:autoSpaceDE/>
      <w:autoSpaceDN/>
      <w:adjustRightInd/>
      <w:spacing w:before="120" w:afterLines="50"/>
    </w:pPr>
    <w:rPr>
      <w:u w:val="none"/>
    </w:rPr>
  </w:style>
  <w:style w:type="paragraph" w:customStyle="1" w:styleId="159">
    <w:name w:val="最新标题4"/>
    <w:basedOn w:val="151"/>
    <w:next w:val="1"/>
    <w:qFormat/>
    <w:uiPriority w:val="99"/>
    <w:pPr>
      <w:tabs>
        <w:tab w:val="clear" w:pos="2100"/>
      </w:tabs>
      <w:spacing w:after="120"/>
      <w:ind w:left="0" w:firstLine="0"/>
    </w:pPr>
  </w:style>
  <w:style w:type="paragraph" w:customStyle="1" w:styleId="160">
    <w:name w:val="Char Char Char1 Char Char Char Char"/>
    <w:basedOn w:val="1"/>
    <w:qFormat/>
    <w:uiPriority w:val="99"/>
    <w:rPr>
      <w:rFonts w:ascii="仿宋_GB2312" w:eastAsia="仿宋_GB2312" w:cs="仿宋_GB2312"/>
      <w:b/>
      <w:bCs/>
      <w:sz w:val="32"/>
      <w:szCs w:val="32"/>
    </w:rPr>
  </w:style>
  <w:style w:type="paragraph" w:customStyle="1" w:styleId="161">
    <w:name w:val="样式 标题 3Chapter X.X.X. + 段后: 0.5 行"/>
    <w:basedOn w:val="5"/>
    <w:qFormat/>
    <w:uiPriority w:val="99"/>
    <w:pPr>
      <w:keepLines w:val="0"/>
      <w:autoSpaceDE/>
      <w:autoSpaceDN/>
      <w:adjustRightInd/>
      <w:spacing w:before="120" w:afterLines="50"/>
    </w:pPr>
    <w:rPr>
      <w:u w:val="none"/>
    </w:rPr>
  </w:style>
  <w:style w:type="paragraph" w:customStyle="1" w:styleId="162">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kern w:val="0"/>
      <w:sz w:val="24"/>
      <w:szCs w:val="24"/>
    </w:rPr>
  </w:style>
  <w:style w:type="paragraph" w:customStyle="1" w:styleId="163">
    <w:name w:val="ÕýÎÄ"/>
    <w:qFormat/>
    <w:uiPriority w:val="99"/>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szCs w:val="21"/>
      <w:lang w:val="en-US" w:eastAsia="zh-CN" w:bidi="ar-SA"/>
    </w:rPr>
  </w:style>
  <w:style w:type="paragraph" w:customStyle="1" w:styleId="164">
    <w:name w:val="标准标题3"/>
    <w:basedOn w:val="5"/>
    <w:qFormat/>
    <w:uiPriority w:val="99"/>
    <w:pPr>
      <w:tabs>
        <w:tab w:val="left" w:pos="1050"/>
      </w:tabs>
      <w:autoSpaceDE/>
      <w:autoSpaceDN/>
      <w:adjustRightInd/>
      <w:spacing w:before="260" w:after="260"/>
      <w:ind w:left="-258" w:leftChars="-258"/>
      <w:jc w:val="both"/>
    </w:pPr>
    <w:rPr>
      <w:rFonts w:ascii="Times New Roman" w:eastAsia="仿宋_GB2312" w:cs="Times New Roman"/>
      <w:kern w:val="2"/>
      <w:sz w:val="28"/>
      <w:szCs w:val="28"/>
      <w:u w:val="none"/>
    </w:rPr>
  </w:style>
  <w:style w:type="paragraph" w:customStyle="1" w:styleId="165">
    <w:name w:val="样式 样式 正文文本缩进 + 仿宋_GB2312 小四 首行缩进:  0 厘米 行距: 1.5 倍行距 + (中文) 仿宋_GB... Char Char"/>
    <w:basedOn w:val="124"/>
    <w:qFormat/>
    <w:uiPriority w:val="99"/>
    <w:pPr>
      <w:ind w:firstLine="480" w:firstLineChars="200"/>
    </w:pPr>
  </w:style>
  <w:style w:type="paragraph" w:customStyle="1" w:styleId="166">
    <w:name w:val="样式 标题 3Chapter X.X.X. + 段后: 0.5 行1"/>
    <w:basedOn w:val="5"/>
    <w:next w:val="1"/>
    <w:qFormat/>
    <w:uiPriority w:val="99"/>
    <w:pPr>
      <w:keepLines w:val="0"/>
      <w:autoSpaceDE/>
      <w:autoSpaceDN/>
      <w:adjustRightInd/>
      <w:spacing w:before="120" w:afterLines="50"/>
    </w:pPr>
    <w:rPr>
      <w:u w:val="none"/>
    </w:rPr>
  </w:style>
  <w:style w:type="paragraph" w:customStyle="1" w:styleId="167">
    <w:name w:val="最新标题1"/>
    <w:basedOn w:val="168"/>
    <w:next w:val="169"/>
    <w:qFormat/>
    <w:uiPriority w:val="99"/>
    <w:pPr>
      <w:tabs>
        <w:tab w:val="left" w:pos="1140"/>
      </w:tabs>
      <w:spacing w:after="120"/>
    </w:pPr>
  </w:style>
  <w:style w:type="paragraph" w:customStyle="1" w:styleId="168">
    <w:name w:val="样式 标题1"/>
    <w:basedOn w:val="156"/>
    <w:next w:val="169"/>
    <w:qFormat/>
    <w:uiPriority w:val="99"/>
    <w:pPr>
      <w:tabs>
        <w:tab w:val="left" w:pos="1140"/>
      </w:tabs>
      <w:spacing w:after="50"/>
      <w:ind w:left="1140" w:hanging="720"/>
    </w:pPr>
    <w:rPr>
      <w:sz w:val="32"/>
      <w:szCs w:val="32"/>
    </w:rPr>
  </w:style>
  <w:style w:type="paragraph" w:customStyle="1" w:styleId="169">
    <w:name w:val="最新标题2"/>
    <w:basedOn w:val="170"/>
    <w:next w:val="157"/>
    <w:qFormat/>
    <w:uiPriority w:val="99"/>
    <w:pPr>
      <w:spacing w:after="120"/>
    </w:pPr>
  </w:style>
  <w:style w:type="paragraph" w:customStyle="1" w:styleId="170">
    <w:name w:val="样式 标题 2"/>
    <w:basedOn w:val="4"/>
    <w:next w:val="157"/>
    <w:qFormat/>
    <w:uiPriority w:val="99"/>
    <w:pPr>
      <w:keepLines w:val="0"/>
      <w:spacing w:before="120" w:afterLines="50" w:line="240" w:lineRule="auto"/>
      <w:ind w:left="380" w:hanging="380"/>
      <w:jc w:val="left"/>
    </w:pPr>
    <w:rPr>
      <w:rFonts w:ascii="宋体" w:hAnsi="Times New Roman" w:eastAsia="宋体" w:cs="宋体"/>
      <w:kern w:val="0"/>
      <w:sz w:val="28"/>
      <w:szCs w:val="28"/>
    </w:rPr>
  </w:style>
  <w:style w:type="paragraph" w:customStyle="1" w:styleId="171">
    <w:name w:val="样式 样式 标题 3Chapter X.X.X. + 段后: 0.5 行 + 段后: 0.5 行"/>
    <w:basedOn w:val="161"/>
    <w:qFormat/>
    <w:uiPriority w:val="99"/>
  </w:style>
  <w:style w:type="paragraph" w:customStyle="1" w:styleId="172">
    <w:name w:val="样式 样式 样式 标题 3Chapter X.X.X. + 段后: 0.5 行 + 段后: 0.5 行 + 段后: 0.5 行"/>
    <w:basedOn w:val="171"/>
    <w:qFormat/>
    <w:uiPriority w:val="99"/>
  </w:style>
  <w:style w:type="paragraph" w:customStyle="1" w:styleId="173">
    <w:name w:val="Char Char Char"/>
    <w:basedOn w:val="1"/>
    <w:qFormat/>
    <w:uiPriority w:val="99"/>
    <w:rPr>
      <w:rFonts w:ascii="Tahoma" w:hAnsi="Tahoma" w:cs="Tahoma"/>
      <w:sz w:val="24"/>
      <w:szCs w:val="24"/>
    </w:rPr>
  </w:style>
  <w:style w:type="paragraph" w:customStyle="1" w:styleId="174">
    <w:name w:val="IBM 正文"/>
    <w:basedOn w:val="1"/>
    <w:qFormat/>
    <w:uiPriority w:val="99"/>
    <w:pPr>
      <w:spacing w:line="360" w:lineRule="atLeast"/>
    </w:pPr>
    <w:rPr>
      <w:sz w:val="24"/>
      <w:szCs w:val="24"/>
    </w:rPr>
  </w:style>
  <w:style w:type="paragraph" w:customStyle="1" w:styleId="175">
    <w:name w:val="第1.3标题"/>
    <w:basedOn w:val="5"/>
    <w:next w:val="1"/>
    <w:qFormat/>
    <w:uiPriority w:val="99"/>
    <w:pPr>
      <w:keepNext w:val="0"/>
      <w:widowControl/>
      <w:spacing w:beforeLines="50" w:afterLines="50" w:line="360" w:lineRule="auto"/>
      <w:textAlignment w:val="baseline"/>
    </w:pPr>
    <w:rPr>
      <w:rFonts w:ascii="Times New Roman" w:cs="Times New Roman"/>
      <w:sz w:val="30"/>
      <w:szCs w:val="30"/>
      <w:u w:val="none"/>
    </w:rPr>
  </w:style>
  <w:style w:type="paragraph" w:customStyle="1" w:styleId="176">
    <w:name w:val="Paragraph1"/>
    <w:basedOn w:val="1"/>
    <w:qFormat/>
    <w:uiPriority w:val="99"/>
    <w:pPr>
      <w:spacing w:before="80" w:afterLines="50"/>
    </w:pPr>
    <w:rPr>
      <w:rFonts w:ascii="宋体" w:cs="宋体"/>
      <w:kern w:val="0"/>
    </w:rPr>
  </w:style>
  <w:style w:type="paragraph" w:customStyle="1" w:styleId="177">
    <w:name w:val="Tabletext"/>
    <w:basedOn w:val="1"/>
    <w:qFormat/>
    <w:uiPriority w:val="99"/>
    <w:pPr>
      <w:keepLines/>
      <w:spacing w:afterLines="50"/>
      <w:jc w:val="left"/>
    </w:pPr>
    <w:rPr>
      <w:rFonts w:ascii="宋体" w:cs="宋体"/>
      <w:kern w:val="0"/>
    </w:rPr>
  </w:style>
  <w:style w:type="paragraph" w:customStyle="1" w:styleId="178">
    <w:name w:val="Char"/>
    <w:basedOn w:val="1"/>
    <w:qFormat/>
    <w:uiPriority w:val="99"/>
  </w:style>
  <w:style w:type="paragraph" w:customStyle="1" w:styleId="179">
    <w:name w:val="Char Char7 Char"/>
    <w:basedOn w:val="1"/>
    <w:qFormat/>
    <w:uiPriority w:val="99"/>
    <w:pPr>
      <w:tabs>
        <w:tab w:val="left" w:pos="425"/>
      </w:tabs>
      <w:ind w:left="420" w:leftChars="200" w:firstLine="270" w:firstLineChars="150"/>
    </w:pPr>
  </w:style>
  <w:style w:type="paragraph" w:customStyle="1" w:styleId="180">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1">
    <w:name w:val="段(正文）"/>
    <w:qFormat/>
    <w:uiPriority w:val="99"/>
    <w:pPr>
      <w:autoSpaceDE w:val="0"/>
      <w:autoSpaceDN w:val="0"/>
      <w:ind w:firstLine="420"/>
      <w:jc w:val="both"/>
    </w:pPr>
    <w:rPr>
      <w:rFonts w:ascii="宋体" w:hAnsi="Times New Roman" w:eastAsia="宋体" w:cs="宋体"/>
      <w:sz w:val="21"/>
      <w:szCs w:val="21"/>
      <w:lang w:val="en-US" w:eastAsia="zh-CN" w:bidi="ar-SA"/>
    </w:rPr>
  </w:style>
  <w:style w:type="paragraph" w:customStyle="1" w:styleId="182">
    <w:name w:val="此正文"/>
    <w:basedOn w:val="1"/>
    <w:qFormat/>
    <w:uiPriority w:val="99"/>
    <w:pPr>
      <w:spacing w:line="360" w:lineRule="auto"/>
      <w:ind w:firstLine="200" w:firstLineChars="200"/>
    </w:pPr>
    <w:rPr>
      <w:sz w:val="24"/>
      <w:szCs w:val="24"/>
    </w:rPr>
  </w:style>
  <w:style w:type="paragraph" w:customStyle="1" w:styleId="183">
    <w:name w:val="InfoBlue"/>
    <w:basedOn w:val="1"/>
    <w:next w:val="15"/>
    <w:qFormat/>
    <w:uiPriority w:val="99"/>
    <w:pPr>
      <w:spacing w:afterLines="50"/>
      <w:ind w:left="720"/>
      <w:jc w:val="left"/>
    </w:pPr>
    <w:rPr>
      <w:rFonts w:ascii="宋体" w:cs="宋体"/>
      <w:i/>
      <w:iCs/>
      <w:color w:val="0000FF"/>
      <w:kern w:val="0"/>
    </w:rPr>
  </w:style>
  <w:style w:type="paragraph" w:customStyle="1" w:styleId="184">
    <w:name w:val="S4-B-L15"/>
    <w:basedOn w:val="1"/>
    <w:qFormat/>
    <w:uiPriority w:val="99"/>
    <w:pPr>
      <w:spacing w:line="360" w:lineRule="auto"/>
    </w:pPr>
    <w:rPr>
      <w:b/>
      <w:bCs/>
      <w:sz w:val="24"/>
      <w:szCs w:val="24"/>
    </w:rPr>
  </w:style>
  <w:style w:type="paragraph" w:customStyle="1" w:styleId="185">
    <w:name w:val="表格(五号)"/>
    <w:basedOn w:val="1"/>
    <w:qFormat/>
    <w:uiPriority w:val="99"/>
    <w:pPr>
      <w:adjustRightInd w:val="0"/>
      <w:snapToGrid w:val="0"/>
      <w:spacing w:line="300" w:lineRule="auto"/>
      <w:jc w:val="center"/>
    </w:pPr>
    <w:rPr>
      <w:kern w:val="0"/>
      <w:sz w:val="18"/>
      <w:szCs w:val="18"/>
    </w:rPr>
  </w:style>
  <w:style w:type="paragraph" w:customStyle="1" w:styleId="186">
    <w:name w:val="Table - Col. Head"/>
    <w:basedOn w:val="1"/>
    <w:qFormat/>
    <w:uiPriority w:val="99"/>
    <w:pPr>
      <w:keepNext/>
      <w:widowControl/>
      <w:spacing w:before="60" w:afterLines="50"/>
      <w:jc w:val="left"/>
    </w:pPr>
    <w:rPr>
      <w:rFonts w:ascii="Arial" w:hAnsi="Arial" w:cs="Arial"/>
      <w:b/>
      <w:bCs/>
      <w:kern w:val="0"/>
      <w:sz w:val="18"/>
      <w:szCs w:val="18"/>
      <w:lang w:eastAsia="en-US"/>
    </w:rPr>
  </w:style>
  <w:style w:type="paragraph" w:customStyle="1" w:styleId="187">
    <w:name w:val="表内文字"/>
    <w:basedOn w:val="1"/>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188">
    <w:name w:val="Char Char Char Char Char Char Char Char Char Char Char Char Char Char Char Char Char Char Char"/>
    <w:basedOn w:val="1"/>
    <w:qFormat/>
    <w:uiPriority w:val="99"/>
    <w:pPr>
      <w:widowControl/>
      <w:spacing w:before="100" w:beforeAutospacing="1" w:after="100" w:afterAutospacing="1" w:line="330" w:lineRule="atLeast"/>
      <w:ind w:left="360"/>
      <w:jc w:val="left"/>
    </w:pPr>
    <w:rPr>
      <w:rFonts w:ascii="??" w:hAnsi="??" w:cs="??"/>
      <w:color w:val="51585D"/>
      <w:kern w:val="0"/>
    </w:rPr>
  </w:style>
  <w:style w:type="paragraph" w:customStyle="1" w:styleId="189">
    <w:name w:val="Char1"/>
    <w:basedOn w:val="1"/>
    <w:qFormat/>
    <w:uiPriority w:val="99"/>
    <w:pPr>
      <w:tabs>
        <w:tab w:val="left" w:pos="432"/>
      </w:tabs>
      <w:spacing w:beforeLines="50" w:afterLines="50"/>
      <w:ind w:left="432" w:hanging="432"/>
    </w:pPr>
    <w:rPr>
      <w:sz w:val="24"/>
      <w:szCs w:val="24"/>
    </w:rPr>
  </w:style>
  <w:style w:type="paragraph" w:customStyle="1" w:styleId="190">
    <w:name w:val="样式 标题 2Chapter X.X. Statementh22Header 2l2Level 2 Headhea...1"/>
    <w:basedOn w:val="5"/>
    <w:qFormat/>
    <w:uiPriority w:val="99"/>
    <w:pPr>
      <w:keepLines w:val="0"/>
      <w:autoSpaceDE/>
      <w:autoSpaceDN/>
      <w:adjustRightInd/>
      <w:spacing w:before="120" w:afterLines="50"/>
    </w:pPr>
    <w:rPr>
      <w:u w:val="none"/>
    </w:rPr>
  </w:style>
  <w:style w:type="paragraph" w:customStyle="1" w:styleId="191">
    <w:name w:val="S4-L15"/>
    <w:basedOn w:val="1"/>
    <w:qFormat/>
    <w:uiPriority w:val="99"/>
    <w:pPr>
      <w:spacing w:after="120" w:line="360" w:lineRule="auto"/>
      <w:ind w:left="720" w:firstLine="392"/>
    </w:pPr>
    <w:rPr>
      <w:lang w:val="fr-FR"/>
    </w:rPr>
  </w:style>
  <w:style w:type="paragraph" w:customStyle="1" w:styleId="192">
    <w:name w:val="标准有序列表（L1）"/>
    <w:basedOn w:val="7"/>
    <w:qFormat/>
    <w:uiPriority w:val="99"/>
    <w:pPr>
      <w:tabs>
        <w:tab w:val="left" w:pos="0"/>
      </w:tabs>
      <w:spacing w:line="360" w:lineRule="auto"/>
      <w:ind w:firstLine="0"/>
    </w:pPr>
    <w:rPr>
      <w:rFonts w:ascii="黑体" w:eastAsia="黑体" w:cs="黑体"/>
      <w:color w:val="000000"/>
      <w:sz w:val="24"/>
      <w:szCs w:val="24"/>
    </w:rPr>
  </w:style>
  <w:style w:type="paragraph" w:customStyle="1" w:styleId="193">
    <w:name w:val="Char Char Char Char Char"/>
    <w:basedOn w:val="1"/>
    <w:qFormat/>
    <w:uiPriority w:val="99"/>
    <w:pPr>
      <w:widowControl/>
      <w:adjustRightInd w:val="0"/>
      <w:ind w:firstLine="200" w:firstLineChars="200"/>
      <w:jc w:val="left"/>
      <w:textAlignment w:val="baseline"/>
    </w:pPr>
  </w:style>
  <w:style w:type="paragraph" w:customStyle="1" w:styleId="194">
    <w:name w:val="标题1"/>
    <w:basedOn w:val="26"/>
    <w:qFormat/>
    <w:uiPriority w:val="99"/>
    <w:pPr>
      <w:spacing w:beforeLines="0" w:afterLines="0" w:line="360" w:lineRule="auto"/>
    </w:pPr>
    <w:rPr>
      <w:b/>
      <w:bCs/>
      <w:sz w:val="30"/>
      <w:szCs w:val="30"/>
    </w:rPr>
  </w:style>
  <w:style w:type="paragraph" w:customStyle="1" w:styleId="195">
    <w:name w:val="沈标题四"/>
    <w:basedOn w:val="6"/>
    <w:next w:val="1"/>
    <w:qFormat/>
    <w:uiPriority w:val="99"/>
    <w:pPr>
      <w:keepNext w:val="0"/>
      <w:keepLines w:val="0"/>
      <w:spacing w:line="377" w:lineRule="auto"/>
    </w:pPr>
    <w:rPr>
      <w:rFonts w:ascii="Arial Narrow" w:hAnsi="Arial Narrow" w:eastAsia="方正姚体" w:cs="Arial Narrow"/>
      <w:b w:val="0"/>
      <w:bCs w:val="0"/>
      <w:sz w:val="24"/>
      <w:szCs w:val="24"/>
    </w:rPr>
  </w:style>
  <w:style w:type="paragraph" w:customStyle="1" w:styleId="196">
    <w:name w:val="样式 标题 1 + 五号"/>
    <w:basedOn w:val="3"/>
    <w:qFormat/>
    <w:uiPriority w:val="99"/>
    <w:pPr>
      <w:spacing w:before="0" w:after="0" w:line="240" w:lineRule="auto"/>
      <w:jc w:val="center"/>
    </w:pPr>
    <w:rPr>
      <w:sz w:val="32"/>
      <w:szCs w:val="32"/>
    </w:rPr>
  </w:style>
  <w:style w:type="paragraph" w:customStyle="1" w:styleId="197">
    <w:name w:val="表格11"/>
    <w:basedOn w:val="1"/>
    <w:qFormat/>
    <w:uiPriority w:val="99"/>
    <w:pPr>
      <w:widowControl/>
      <w:jc w:val="center"/>
    </w:pPr>
    <w:rPr>
      <w:rFonts w:ascii="宋体" w:hAnsi="宋体" w:cs="宋体"/>
      <w:b/>
      <w:bCs/>
      <w:kern w:val="0"/>
    </w:rPr>
  </w:style>
  <w:style w:type="paragraph" w:customStyle="1" w:styleId="198">
    <w:name w:val="huide00"/>
    <w:basedOn w:val="1"/>
    <w:qFormat/>
    <w:uiPriority w:val="99"/>
    <w:pPr>
      <w:widowControl/>
      <w:spacing w:before="100" w:beforeAutospacing="1" w:after="100" w:afterAutospacing="1"/>
      <w:jc w:val="left"/>
    </w:pPr>
    <w:rPr>
      <w:rFonts w:ascii="Arial" w:hAnsi="Arial" w:cs="Arial"/>
      <w:color w:val="666666"/>
      <w:kern w:val="0"/>
      <w:sz w:val="18"/>
      <w:szCs w:val="18"/>
    </w:rPr>
  </w:style>
  <w:style w:type="paragraph" w:customStyle="1" w:styleId="199">
    <w:name w:val="样式 三号 加粗 段后: 0.5 行"/>
    <w:basedOn w:val="1"/>
    <w:qFormat/>
    <w:uiPriority w:val="99"/>
    <w:pPr>
      <w:spacing w:afterLines="50"/>
      <w:jc w:val="left"/>
    </w:pPr>
    <w:rPr>
      <w:rFonts w:ascii="宋体" w:cs="宋体"/>
      <w:b/>
      <w:bCs/>
      <w:kern w:val="0"/>
      <w:sz w:val="32"/>
      <w:szCs w:val="32"/>
    </w:rPr>
  </w:style>
  <w:style w:type="paragraph" w:customStyle="1" w:styleId="200">
    <w:name w:val="Char21"/>
    <w:basedOn w:val="1"/>
    <w:qFormat/>
    <w:uiPriority w:val="99"/>
  </w:style>
  <w:style w:type="paragraph" w:customStyle="1" w:styleId="201">
    <w:name w:val="标题 3Chapter X.X.X. + 段后: 0.5 行 + 段后: 0.5 行 + 段后: 0.5 行1"/>
    <w:basedOn w:val="171"/>
    <w:qFormat/>
    <w:uiPriority w:val="99"/>
  </w:style>
  <w:style w:type="paragraph" w:customStyle="1" w:styleId="202">
    <w:name w:val="S4-I-L15-U"/>
    <w:basedOn w:val="1"/>
    <w:qFormat/>
    <w:uiPriority w:val="99"/>
    <w:pPr>
      <w:spacing w:line="360" w:lineRule="auto"/>
    </w:pPr>
    <w:rPr>
      <w:b/>
      <w:bCs/>
      <w:i/>
      <w:iCs/>
      <w:sz w:val="24"/>
      <w:szCs w:val="24"/>
      <w:u w:val="single"/>
    </w:rPr>
  </w:style>
  <w:style w:type="paragraph" w:customStyle="1" w:styleId="203">
    <w:name w:val="Paragraph3"/>
    <w:basedOn w:val="1"/>
    <w:qFormat/>
    <w:uiPriority w:val="99"/>
    <w:pPr>
      <w:spacing w:before="80" w:afterLines="50"/>
      <w:ind w:left="1530"/>
    </w:pPr>
    <w:rPr>
      <w:rFonts w:ascii="宋体" w:cs="宋体"/>
      <w:kern w:val="0"/>
    </w:rPr>
  </w:style>
  <w:style w:type="paragraph" w:customStyle="1" w:styleId="204">
    <w:name w:val="样式 样式 正文文本缩进 + 仿宋_GB2312 小四 首行缩进:  0 厘米 行距: 1.5 倍行距 + (中文) 仿宋_GB..."/>
    <w:basedOn w:val="124"/>
    <w:qFormat/>
    <w:uiPriority w:val="99"/>
    <w:pPr>
      <w:ind w:firstLine="480" w:firstLineChars="200"/>
    </w:pPr>
  </w:style>
  <w:style w:type="paragraph" w:customStyle="1" w:styleId="205">
    <w:name w:val="样式 标题 1 + 五号1 Char Char Char Char Char Char Char Char Char Char Char Char Char Char Char Char Char"/>
    <w:basedOn w:val="3"/>
    <w:qFormat/>
    <w:uiPriority w:val="99"/>
    <w:pPr>
      <w:spacing w:before="0" w:after="0" w:line="480" w:lineRule="auto"/>
    </w:pPr>
    <w:rPr>
      <w:sz w:val="21"/>
      <w:szCs w:val="21"/>
    </w:rPr>
  </w:style>
  <w:style w:type="paragraph" w:customStyle="1" w:styleId="206">
    <w:name w:val="纯文本1"/>
    <w:basedOn w:val="1"/>
    <w:qFormat/>
    <w:uiPriority w:val="99"/>
    <w:pPr>
      <w:adjustRightInd w:val="0"/>
    </w:pPr>
    <w:rPr>
      <w:rFonts w:ascii="宋体" w:hAnsi="Courier New" w:eastAsia="楷体_GB2312" w:cs="宋体"/>
      <w:sz w:val="28"/>
      <w:szCs w:val="28"/>
    </w:rPr>
  </w:style>
  <w:style w:type="paragraph" w:customStyle="1" w:styleId="207">
    <w:name w:val="Table - Text"/>
    <w:basedOn w:val="1"/>
    <w:qFormat/>
    <w:uiPriority w:val="99"/>
    <w:pPr>
      <w:widowControl/>
      <w:spacing w:before="60" w:afterLines="50"/>
      <w:jc w:val="left"/>
    </w:pPr>
    <w:rPr>
      <w:kern w:val="0"/>
      <w:lang w:eastAsia="en-US"/>
    </w:rPr>
  </w:style>
  <w:style w:type="paragraph" w:customStyle="1" w:styleId="208">
    <w:name w:val="样式 标题 3(A-3)sect1.2.3h3H3level_3PIM 3Level 3 HeadHeading..."/>
    <w:basedOn w:val="5"/>
    <w:qFormat/>
    <w:uiPriority w:val="99"/>
    <w:pPr>
      <w:autoSpaceDE/>
      <w:autoSpaceDN/>
      <w:adjustRightInd/>
      <w:spacing w:before="260" w:after="260" w:line="416" w:lineRule="auto"/>
      <w:jc w:val="both"/>
    </w:pPr>
    <w:rPr>
      <w:rFonts w:ascii="Arial" w:hAnsi="Arial" w:cs="Arial"/>
      <w:kern w:val="2"/>
      <w:sz w:val="30"/>
      <w:szCs w:val="30"/>
      <w:u w:val="none"/>
    </w:rPr>
  </w:style>
  <w:style w:type="paragraph" w:customStyle="1" w:styleId="209">
    <w:name w:val="表格正文"/>
    <w:basedOn w:val="1"/>
    <w:qFormat/>
    <w:uiPriority w:val="99"/>
    <w:pPr>
      <w:adjustRightInd w:val="0"/>
      <w:snapToGrid w:val="0"/>
      <w:spacing w:before="60" w:after="60"/>
      <w:jc w:val="center"/>
      <w:textAlignment w:val="baseline"/>
    </w:pPr>
    <w:rPr>
      <w:kern w:val="0"/>
      <w:sz w:val="24"/>
      <w:szCs w:val="24"/>
    </w:rPr>
  </w:style>
  <w:style w:type="paragraph" w:customStyle="1" w:styleId="210">
    <w:name w:val="Char Char Char Char Char Char Char Char Char"/>
    <w:basedOn w:val="1"/>
    <w:qFormat/>
    <w:uiPriority w:val="99"/>
    <w:rPr>
      <w:rFonts w:ascii="Tahoma" w:hAnsi="Tahoma" w:eastAsia="仿宋_GB2312" w:cs="Tahoma"/>
      <w:sz w:val="24"/>
      <w:szCs w:val="24"/>
    </w:rPr>
  </w:style>
  <w:style w:type="paragraph" w:customStyle="1" w:styleId="211">
    <w:name w:val="列出段落1"/>
    <w:basedOn w:val="1"/>
    <w:qFormat/>
    <w:uiPriority w:val="99"/>
    <w:pPr>
      <w:ind w:firstLine="420" w:firstLineChars="200"/>
    </w:pPr>
    <w:rPr>
      <w:rFonts w:ascii="Calibri" w:hAnsi="Calibri" w:cs="Calibri"/>
    </w:rPr>
  </w:style>
  <w:style w:type="paragraph" w:customStyle="1" w:styleId="212">
    <w:name w:val="标准标题1"/>
    <w:basedOn w:val="3"/>
    <w:qFormat/>
    <w:uiPriority w:val="99"/>
    <w:pPr>
      <w:pageBreakBefore/>
      <w:tabs>
        <w:tab w:val="left" w:pos="1080"/>
      </w:tabs>
      <w:ind w:left="425" w:hanging="425"/>
    </w:pPr>
    <w:rPr>
      <w:rFonts w:eastAsia="仿宋_GB2312"/>
      <w:sz w:val="32"/>
      <w:szCs w:val="32"/>
    </w:rPr>
  </w:style>
  <w:style w:type="paragraph" w:customStyle="1" w:styleId="213">
    <w:name w:val="Char Char Char Char"/>
    <w:basedOn w:val="1"/>
    <w:qFormat/>
    <w:uiPriority w:val="99"/>
  </w:style>
  <w:style w:type="paragraph" w:customStyle="1" w:styleId="214">
    <w:name w:val="样式7"/>
    <w:basedOn w:val="1"/>
    <w:qFormat/>
    <w:uiPriority w:val="99"/>
    <w:pPr>
      <w:adjustRightInd w:val="0"/>
      <w:spacing w:beforeLines="50" w:afterLines="50" w:line="360" w:lineRule="auto"/>
      <w:ind w:firstLine="669"/>
      <w:textAlignment w:val="baseline"/>
    </w:pPr>
    <w:rPr>
      <w:rFonts w:ascii="宋体" w:hAnsi="宋体" w:cs="宋体"/>
      <w:kern w:val="0"/>
      <w:sz w:val="28"/>
      <w:szCs w:val="28"/>
    </w:rPr>
  </w:style>
  <w:style w:type="paragraph" w:customStyle="1" w:styleId="215">
    <w:name w:val="Char Char Char Char1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16">
    <w:name w:val="Bullet1"/>
    <w:basedOn w:val="1"/>
    <w:qFormat/>
    <w:uiPriority w:val="99"/>
    <w:pPr>
      <w:spacing w:afterLines="50"/>
      <w:ind w:left="720" w:hanging="432"/>
      <w:jc w:val="left"/>
    </w:pPr>
    <w:rPr>
      <w:rFonts w:ascii="宋体" w:cs="宋体"/>
      <w:kern w:val="0"/>
    </w:rPr>
  </w:style>
  <w:style w:type="paragraph" w:customStyle="1" w:styleId="217">
    <w:name w:val="列出段落11"/>
    <w:basedOn w:val="1"/>
    <w:qFormat/>
    <w:uiPriority w:val="99"/>
    <w:pPr>
      <w:spacing w:line="360" w:lineRule="auto"/>
      <w:ind w:firstLine="420" w:firstLineChars="200"/>
      <w:jc w:val="left"/>
    </w:pPr>
    <w:rPr>
      <w:rFonts w:ascii="Calibri" w:hAnsi="Calibri" w:cs="Calibri"/>
      <w:sz w:val="24"/>
      <w:szCs w:val="24"/>
    </w:rPr>
  </w:style>
  <w:style w:type="paragraph" w:customStyle="1" w:styleId="218">
    <w:name w:val="样式6"/>
    <w:basedOn w:val="1"/>
    <w:qFormat/>
    <w:uiPriority w:val="99"/>
    <w:pPr>
      <w:adjustRightInd w:val="0"/>
      <w:spacing w:beforeLines="50" w:afterLines="50"/>
      <w:ind w:firstLine="669"/>
      <w:textAlignment w:val="baseline"/>
    </w:pPr>
    <w:rPr>
      <w:rFonts w:ascii="宋体" w:hAnsi="宋体" w:cs="宋体"/>
      <w:kern w:val="0"/>
      <w:sz w:val="28"/>
      <w:szCs w:val="28"/>
    </w:rPr>
  </w:style>
  <w:style w:type="paragraph" w:customStyle="1" w:styleId="219">
    <w:name w:val="Proposals body"/>
    <w:basedOn w:val="1"/>
    <w:next w:val="1"/>
    <w:qFormat/>
    <w:uiPriority w:val="99"/>
    <w:pPr>
      <w:widowControl/>
      <w:spacing w:line="360" w:lineRule="auto"/>
      <w:jc w:val="left"/>
    </w:pPr>
    <w:rPr>
      <w:rFonts w:ascii="宋体" w:cs="宋体"/>
      <w:color w:val="000000"/>
      <w:kern w:val="0"/>
      <w:sz w:val="24"/>
      <w:szCs w:val="24"/>
    </w:rPr>
  </w:style>
  <w:style w:type="paragraph" w:customStyle="1" w:styleId="220">
    <w:name w:val="二级项目符号"/>
    <w:basedOn w:val="1"/>
    <w:qFormat/>
    <w:uiPriority w:val="99"/>
    <w:pPr>
      <w:widowControl/>
      <w:tabs>
        <w:tab w:val="left" w:pos="964"/>
      </w:tabs>
      <w:spacing w:line="360" w:lineRule="auto"/>
      <w:ind w:left="964" w:hanging="482"/>
    </w:pPr>
    <w:rPr>
      <w:kern w:val="0"/>
      <w:sz w:val="24"/>
      <w:szCs w:val="24"/>
    </w:rPr>
  </w:style>
  <w:style w:type="paragraph" w:customStyle="1" w:styleId="221">
    <w:name w:val="列表内容"/>
    <w:basedOn w:val="1"/>
    <w:next w:val="1"/>
    <w:qFormat/>
    <w:uiPriority w:val="99"/>
    <w:pPr>
      <w:widowControl/>
      <w:tabs>
        <w:tab w:val="left" w:pos="840"/>
      </w:tabs>
      <w:ind w:left="840" w:hanging="420"/>
      <w:jc w:val="left"/>
    </w:pPr>
    <w:rPr>
      <w:kern w:val="0"/>
      <w:sz w:val="18"/>
      <w:szCs w:val="18"/>
    </w:rPr>
  </w:style>
  <w:style w:type="paragraph" w:customStyle="1" w:styleId="222">
    <w:name w:val="P2"/>
    <w:basedOn w:val="1"/>
    <w:qFormat/>
    <w:uiPriority w:val="99"/>
    <w:pPr>
      <w:widowControl/>
      <w:spacing w:before="240" w:line="240" w:lineRule="atLeast"/>
      <w:ind w:left="578"/>
      <w:jc w:val="left"/>
    </w:pPr>
    <w:rPr>
      <w:b/>
      <w:bCs/>
      <w:kern w:val="0"/>
      <w:lang w:val="en-AU" w:eastAsia="en-US"/>
    </w:rPr>
  </w:style>
  <w:style w:type="paragraph" w:customStyle="1" w:styleId="223">
    <w:name w:val="样式 标题 3Chapter X.X.X"/>
    <w:basedOn w:val="201"/>
    <w:qFormat/>
    <w:uiPriority w:val="99"/>
  </w:style>
  <w:style w:type="paragraph" w:customStyle="1" w:styleId="224">
    <w:name w:val="样式 左侧:  1 厘米 段后: 0.5 行"/>
    <w:basedOn w:val="1"/>
    <w:qFormat/>
    <w:uiPriority w:val="99"/>
    <w:pPr>
      <w:spacing w:afterLines="50"/>
      <w:ind w:firstLine="425"/>
      <w:jc w:val="left"/>
    </w:pPr>
    <w:rPr>
      <w:rFonts w:ascii="宋体" w:cs="宋体"/>
      <w:kern w:val="0"/>
    </w:rPr>
  </w:style>
  <w:style w:type="paragraph" w:customStyle="1" w:styleId="225">
    <w:name w:val="Style-正文"/>
    <w:basedOn w:val="1"/>
    <w:qFormat/>
    <w:uiPriority w:val="99"/>
    <w:pPr>
      <w:spacing w:line="360" w:lineRule="auto"/>
      <w:ind w:firstLine="420"/>
    </w:pPr>
    <w:rPr>
      <w:rFonts w:ascii="宋体" w:hAnsi="宋体" w:cs="宋体"/>
      <w:sz w:val="24"/>
      <w:szCs w:val="24"/>
    </w:rPr>
  </w:style>
  <w:style w:type="paragraph" w:customStyle="1" w:styleId="226">
    <w:name w:val="Plain Text1"/>
    <w:basedOn w:val="1"/>
    <w:qFormat/>
    <w:uiPriority w:val="99"/>
    <w:pPr>
      <w:autoSpaceDE w:val="0"/>
      <w:autoSpaceDN w:val="0"/>
      <w:adjustRightInd w:val="0"/>
      <w:spacing w:line="360" w:lineRule="auto"/>
    </w:pPr>
    <w:rPr>
      <w:rFonts w:ascii="宋体" w:hAnsi="宋体" w:cs="宋体"/>
      <w:sz w:val="24"/>
      <w:szCs w:val="24"/>
    </w:rPr>
  </w:style>
  <w:style w:type="paragraph" w:customStyle="1" w:styleId="227">
    <w:name w:val="Table Description"/>
    <w:next w:val="1"/>
    <w:qFormat/>
    <w:uiPriority w:val="99"/>
    <w:pPr>
      <w:keepNext/>
      <w:snapToGrid w:val="0"/>
      <w:spacing w:before="160" w:after="80"/>
      <w:ind w:left="1701"/>
      <w:jc w:val="center"/>
    </w:pPr>
    <w:rPr>
      <w:rFonts w:ascii="Arial" w:hAnsi="Arial" w:eastAsia="黑体" w:cs="Arial"/>
      <w:sz w:val="18"/>
      <w:szCs w:val="18"/>
      <w:lang w:val="en-US" w:eastAsia="en-US" w:bidi="ar-SA"/>
    </w:rPr>
  </w:style>
  <w:style w:type="paragraph" w:customStyle="1" w:styleId="228">
    <w:name w:val="样式 模板描述"/>
    <w:basedOn w:val="1"/>
    <w:next w:val="153"/>
    <w:qFormat/>
    <w:uiPriority w:val="99"/>
    <w:pPr>
      <w:spacing w:afterLines="50"/>
      <w:jc w:val="left"/>
    </w:pPr>
    <w:rPr>
      <w:rFonts w:ascii="宋体" w:cs="宋体"/>
      <w:i/>
      <w:iCs/>
      <w:color w:val="0000FF"/>
      <w:kern w:val="0"/>
    </w:rPr>
  </w:style>
  <w:style w:type="paragraph" w:customStyle="1" w:styleId="229">
    <w:name w:val="Char2"/>
    <w:basedOn w:val="1"/>
    <w:qFormat/>
    <w:uiPriority w:val="99"/>
    <w:pPr>
      <w:tabs>
        <w:tab w:val="left" w:pos="432"/>
      </w:tabs>
      <w:spacing w:beforeLines="50" w:afterLines="50"/>
      <w:ind w:left="432" w:hanging="432"/>
    </w:pPr>
    <w:rPr>
      <w:sz w:val="24"/>
      <w:szCs w:val="24"/>
    </w:rPr>
  </w:style>
  <w:style w:type="paragraph" w:customStyle="1" w:styleId="230">
    <w:name w:val="Bullet2"/>
    <w:basedOn w:val="1"/>
    <w:qFormat/>
    <w:uiPriority w:val="99"/>
    <w:pPr>
      <w:spacing w:afterLines="50"/>
      <w:ind w:left="1440" w:hanging="360"/>
      <w:jc w:val="left"/>
    </w:pPr>
    <w:rPr>
      <w:rFonts w:ascii="宋体" w:cs="宋体"/>
      <w:color w:val="000080"/>
      <w:kern w:val="0"/>
    </w:rPr>
  </w:style>
  <w:style w:type="paragraph" w:customStyle="1" w:styleId="231">
    <w:name w:val="S4-I-U-L15-No-dot"/>
    <w:basedOn w:val="1"/>
    <w:qFormat/>
    <w:uiPriority w:val="99"/>
    <w:pPr>
      <w:tabs>
        <w:tab w:val="left" w:pos="1112"/>
      </w:tabs>
      <w:spacing w:after="120" w:line="360" w:lineRule="auto"/>
      <w:ind w:left="1112" w:hanging="420"/>
    </w:pPr>
    <w:rPr>
      <w:i/>
      <w:iCs/>
      <w:sz w:val="24"/>
      <w:szCs w:val="24"/>
      <w:u w:val="single"/>
    </w:rPr>
  </w:style>
  <w:style w:type="paragraph" w:customStyle="1" w:styleId="232">
    <w:name w:val="Item List"/>
    <w:qFormat/>
    <w:uiPriority w:val="99"/>
    <w:pPr>
      <w:tabs>
        <w:tab w:val="left" w:pos="2126"/>
      </w:tabs>
      <w:spacing w:line="300" w:lineRule="auto"/>
      <w:ind w:left="2126" w:hanging="425"/>
      <w:jc w:val="both"/>
    </w:pPr>
    <w:rPr>
      <w:rFonts w:ascii="Arial" w:hAnsi="Arial" w:eastAsia="宋体" w:cs="Arial"/>
      <w:sz w:val="21"/>
      <w:szCs w:val="21"/>
      <w:lang w:val="en-US" w:eastAsia="en-US" w:bidi="ar-SA"/>
    </w:rPr>
  </w:style>
  <w:style w:type="paragraph" w:customStyle="1" w:styleId="233">
    <w:name w:val="样式 样式 标题 4 + 段后: 0.5 行1"/>
    <w:basedOn w:val="150"/>
    <w:next w:val="29"/>
    <w:qFormat/>
    <w:uiPriority w:val="99"/>
    <w:pPr>
      <w:spacing w:after="120"/>
    </w:pPr>
  </w:style>
  <w:style w:type="paragraph" w:customStyle="1" w:styleId="234">
    <w:name w:val="文档正文"/>
    <w:basedOn w:val="1"/>
    <w:qFormat/>
    <w:uiPriority w:val="99"/>
    <w:pPr>
      <w:adjustRightInd w:val="0"/>
      <w:spacing w:line="440" w:lineRule="exact"/>
      <w:ind w:firstLine="567"/>
      <w:textAlignment w:val="baseline"/>
    </w:pPr>
    <w:rPr>
      <w:rFonts w:ascii="Arial Narrow" w:hAnsi="Arial Narrow" w:cs="Arial Narrow"/>
      <w:kern w:val="0"/>
      <w:sz w:val="24"/>
      <w:szCs w:val="24"/>
    </w:rPr>
  </w:style>
  <w:style w:type="paragraph" w:customStyle="1" w:styleId="235">
    <w:name w:val="文本框内文字"/>
    <w:basedOn w:val="1"/>
    <w:qFormat/>
    <w:uiPriority w:val="99"/>
    <w:pPr>
      <w:spacing w:line="240" w:lineRule="atLeast"/>
    </w:pPr>
    <w:rPr>
      <w:rFonts w:eastAsia="仿宋_GB2312"/>
      <w:sz w:val="22"/>
      <w:szCs w:val="22"/>
    </w:rPr>
  </w:style>
  <w:style w:type="paragraph" w:customStyle="1" w:styleId="236">
    <w:name w:val="样式 样式 标题 4 + 段后: 0.5 行 + 段后: 0.5 行"/>
    <w:basedOn w:val="150"/>
    <w:qFormat/>
    <w:uiPriority w:val="99"/>
  </w:style>
  <w:style w:type="paragraph" w:customStyle="1" w:styleId="237">
    <w:name w:val="Figure Description"/>
    <w:next w:val="1"/>
    <w:qFormat/>
    <w:uiPriority w:val="99"/>
    <w:pPr>
      <w:snapToGrid w:val="0"/>
      <w:spacing w:before="80" w:after="320"/>
      <w:ind w:left="1701"/>
      <w:jc w:val="center"/>
    </w:pPr>
    <w:rPr>
      <w:rFonts w:ascii="Arial" w:hAnsi="Arial" w:eastAsia="黑体" w:cs="Arial"/>
      <w:sz w:val="18"/>
      <w:szCs w:val="18"/>
      <w:lang w:val="en-US" w:eastAsia="en-US" w:bidi="ar-SA"/>
    </w:rPr>
  </w:style>
  <w:style w:type="paragraph" w:customStyle="1" w:styleId="238">
    <w:name w:val="paragraph1"/>
    <w:basedOn w:val="1"/>
    <w:qFormat/>
    <w:uiPriority w:val="99"/>
    <w:pPr>
      <w:spacing w:afterLines="30" w:line="360" w:lineRule="auto"/>
      <w:ind w:firstLine="420" w:firstLineChars="200"/>
    </w:pPr>
    <w:rPr>
      <w:rFonts w:eastAsia="楷体_GB2312"/>
      <w:sz w:val="24"/>
      <w:szCs w:val="24"/>
    </w:rPr>
  </w:style>
  <w:style w:type="paragraph" w:customStyle="1" w:styleId="239">
    <w:name w:val="S4-L15-No"/>
    <w:basedOn w:val="191"/>
    <w:qFormat/>
    <w:uiPriority w:val="99"/>
    <w:pPr>
      <w:tabs>
        <w:tab w:val="left" w:pos="720"/>
      </w:tabs>
      <w:ind w:hanging="720"/>
    </w:pPr>
  </w:style>
  <w:style w:type="paragraph" w:customStyle="1" w:styleId="240">
    <w:name w:val="广咨正文"/>
    <w:basedOn w:val="1"/>
    <w:qFormat/>
    <w:uiPriority w:val="99"/>
    <w:pPr>
      <w:snapToGrid w:val="0"/>
      <w:spacing w:line="360" w:lineRule="auto"/>
      <w:ind w:firstLine="480" w:firstLineChars="200"/>
    </w:pPr>
  </w:style>
  <w:style w:type="paragraph" w:customStyle="1" w:styleId="241">
    <w:name w:val="样式 样式3 + 宋体 五号 Char Char Char"/>
    <w:basedOn w:val="1"/>
    <w:qFormat/>
    <w:uiPriority w:val="99"/>
    <w:pPr>
      <w:keepNext/>
      <w:keepLines/>
      <w:tabs>
        <w:tab w:val="left" w:pos="1050"/>
      </w:tabs>
      <w:ind w:left="1050" w:hanging="450"/>
      <w:jc w:val="left"/>
      <w:outlineLvl w:val="7"/>
    </w:pPr>
    <w:rPr>
      <w:rFonts w:ascii="宋体" w:hAnsi="宋体" w:cs="宋体"/>
      <w:b/>
      <w:bCs/>
    </w:rPr>
  </w:style>
  <w:style w:type="paragraph" w:customStyle="1" w:styleId="242">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43">
    <w:name w:val="页面边线"/>
    <w:basedOn w:val="1"/>
    <w:qFormat/>
    <w:uiPriority w:val="99"/>
    <w:pPr>
      <w:adjustRightInd w:val="0"/>
      <w:spacing w:line="360" w:lineRule="atLeast"/>
      <w:textAlignment w:val="baseline"/>
    </w:pPr>
    <w:rPr>
      <w:rFonts w:ascii="Century" w:hAnsi="Century" w:cs="Century"/>
      <w:kern w:val="0"/>
      <w:lang w:eastAsia="ja-JP"/>
    </w:rPr>
  </w:style>
  <w:style w:type="paragraph" w:customStyle="1" w:styleId="244">
    <w:name w:val="正文2"/>
    <w:basedOn w:val="1"/>
    <w:qFormat/>
    <w:uiPriority w:val="99"/>
    <w:pPr>
      <w:spacing w:beforeLines="50" w:afterLines="50" w:line="360" w:lineRule="auto"/>
      <w:ind w:firstLine="480" w:firstLineChars="200"/>
    </w:pPr>
    <w:rPr>
      <w:rFonts w:ascii="仿宋_GB2312" w:cs="仿宋_GB2312"/>
      <w:sz w:val="24"/>
      <w:szCs w:val="24"/>
    </w:rPr>
  </w:style>
  <w:style w:type="paragraph" w:customStyle="1" w:styleId="245">
    <w:name w:val="列出段落2"/>
    <w:basedOn w:val="1"/>
    <w:qFormat/>
    <w:uiPriority w:val="99"/>
    <w:pPr>
      <w:widowControl/>
      <w:spacing w:after="200" w:line="276" w:lineRule="auto"/>
      <w:ind w:left="720"/>
      <w:jc w:val="left"/>
    </w:pPr>
    <w:rPr>
      <w:rFonts w:ascii="Calibri" w:hAnsi="Calibri" w:cs="Calibri"/>
      <w:kern w:val="0"/>
      <w:sz w:val="22"/>
      <w:szCs w:val="22"/>
    </w:rPr>
  </w:style>
  <w:style w:type="paragraph" w:customStyle="1" w:styleId="246">
    <w:name w:val="正文段"/>
    <w:basedOn w:val="1"/>
    <w:qFormat/>
    <w:uiPriority w:val="99"/>
    <w:pPr>
      <w:widowControl/>
      <w:snapToGrid w:val="0"/>
      <w:spacing w:afterLines="50"/>
      <w:ind w:firstLine="200" w:firstLineChars="200"/>
    </w:pPr>
    <w:rPr>
      <w:kern w:val="0"/>
      <w:sz w:val="24"/>
      <w:szCs w:val="24"/>
    </w:rPr>
  </w:style>
  <w:style w:type="paragraph" w:customStyle="1" w:styleId="247">
    <w:name w:val="正文 1.5 倍行距"/>
    <w:basedOn w:val="1"/>
    <w:qFormat/>
    <w:uiPriority w:val="99"/>
    <w:pPr>
      <w:autoSpaceDE w:val="0"/>
      <w:autoSpaceDN w:val="0"/>
      <w:adjustRightInd w:val="0"/>
      <w:spacing w:line="360" w:lineRule="auto"/>
      <w:ind w:firstLine="200" w:firstLineChars="200"/>
      <w:textAlignment w:val="baseline"/>
    </w:pPr>
    <w:rPr>
      <w:kern w:val="0"/>
      <w:sz w:val="28"/>
      <w:szCs w:val="28"/>
    </w:rPr>
  </w:style>
  <w:style w:type="paragraph" w:customStyle="1" w:styleId="248">
    <w:name w:val="Bullet"/>
    <w:basedOn w:val="1"/>
    <w:qFormat/>
    <w:uiPriority w:val="99"/>
    <w:pPr>
      <w:widowControl/>
      <w:tabs>
        <w:tab w:val="left" w:pos="720"/>
        <w:tab w:val="left" w:pos="964"/>
      </w:tabs>
      <w:spacing w:before="120" w:afterLines="50"/>
      <w:ind w:left="720" w:right="360" w:hanging="482"/>
    </w:pPr>
    <w:rPr>
      <w:rFonts w:ascii="宋体" w:cs="宋体"/>
      <w:kern w:val="0"/>
    </w:rPr>
  </w:style>
  <w:style w:type="paragraph" w:customStyle="1" w:styleId="249">
    <w:name w:val="首行缩进"/>
    <w:basedOn w:val="1"/>
    <w:qFormat/>
    <w:uiPriority w:val="99"/>
    <w:pPr>
      <w:widowControl/>
      <w:tabs>
        <w:tab w:val="left" w:pos="822"/>
      </w:tabs>
      <w:snapToGrid w:val="0"/>
      <w:spacing w:before="40" w:after="40" w:line="300" w:lineRule="atLeast"/>
      <w:ind w:left="1701"/>
    </w:pPr>
    <w:rPr>
      <w:rFonts w:ascii="Arial" w:hAnsi="Arial" w:cs="Arial"/>
      <w:kern w:val="0"/>
    </w:rPr>
  </w:style>
  <w:style w:type="paragraph" w:customStyle="1" w:styleId="250">
    <w:name w:val="样式 标题 4Chapter X.X.X. + 段后: 0.5 行1 + 段后: 0.5 行"/>
    <w:basedOn w:val="144"/>
    <w:qFormat/>
    <w:uiPriority w:val="99"/>
  </w:style>
  <w:style w:type="paragraph" w:customStyle="1" w:styleId="251">
    <w:name w:val="P1"/>
    <w:basedOn w:val="1"/>
    <w:qFormat/>
    <w:uiPriority w:val="99"/>
    <w:pPr>
      <w:widowControl/>
      <w:spacing w:before="240" w:line="240" w:lineRule="atLeast"/>
      <w:jc w:val="left"/>
    </w:pPr>
    <w:rPr>
      <w:b/>
      <w:bCs/>
      <w:kern w:val="0"/>
      <w:lang w:val="en-AU" w:eastAsia="en-US"/>
    </w:rPr>
  </w:style>
  <w:style w:type="paragraph" w:customStyle="1" w:styleId="252">
    <w:name w:val="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53">
    <w:name w:val="Char3 Char Char Char1"/>
    <w:basedOn w:val="1"/>
    <w:qFormat/>
    <w:uiPriority w:val="99"/>
    <w:pPr>
      <w:widowControl/>
      <w:spacing w:after="160" w:line="240" w:lineRule="exact"/>
      <w:jc w:val="left"/>
    </w:pPr>
  </w:style>
  <w:style w:type="paragraph" w:customStyle="1" w:styleId="254">
    <w:name w:val="默认段落字体 Para Char Char Char Char Char Char Char Char Char1 Char Char Char Char"/>
    <w:basedOn w:val="1"/>
    <w:qFormat/>
    <w:uiPriority w:val="99"/>
    <w:rPr>
      <w:rFonts w:ascii="Tahoma" w:hAnsi="Tahoma" w:cs="Tahoma"/>
      <w:sz w:val="24"/>
      <w:szCs w:val="24"/>
    </w:rPr>
  </w:style>
  <w:style w:type="paragraph" w:styleId="255">
    <w:name w:val="List Paragraph"/>
    <w:basedOn w:val="1"/>
    <w:qFormat/>
    <w:uiPriority w:val="34"/>
    <w:pPr>
      <w:ind w:firstLine="420" w:firstLineChars="200"/>
    </w:pPr>
  </w:style>
  <w:style w:type="paragraph" w:customStyle="1" w:styleId="256">
    <w:name w:val="样式 宋体 黑色 行距: 1.5 倍行距"/>
    <w:basedOn w:val="1"/>
    <w:qFormat/>
    <w:uiPriority w:val="99"/>
    <w:pPr>
      <w:spacing w:line="360" w:lineRule="auto"/>
    </w:pPr>
    <w:rPr>
      <w:rFonts w:ascii="宋体" w:hAnsi="宋体" w:cs="宋体"/>
      <w:color w:val="000000"/>
      <w:sz w:val="24"/>
      <w:szCs w:val="24"/>
    </w:rPr>
  </w:style>
  <w:style w:type="character" w:customStyle="1" w:styleId="257">
    <w:name w:val="纯文本 Char1"/>
    <w:qFormat/>
    <w:uiPriority w:val="99"/>
    <w:rPr>
      <w:rFonts w:ascii="宋体" w:hAnsi="Courier New" w:eastAsia="宋体" w:cs="宋体"/>
      <w:kern w:val="2"/>
      <w:sz w:val="21"/>
      <w:szCs w:val="21"/>
      <w:lang w:val="en-US" w:eastAsia="zh-CN"/>
    </w:rPr>
  </w:style>
  <w:style w:type="paragraph" w:customStyle="1" w:styleId="258">
    <w:name w:val="Table Paragraph"/>
    <w:basedOn w:val="1"/>
    <w:qFormat/>
    <w:uiPriority w:val="99"/>
    <w:rPr>
      <w:rFonts w:ascii="宋体" w:hAnsi="宋体" w:cs="宋体"/>
      <w:lang w:val="zh-CN"/>
    </w:rPr>
  </w:style>
  <w:style w:type="paragraph" w:customStyle="1" w:styleId="259">
    <w:name w:val="招标-标题1"/>
    <w:basedOn w:val="1"/>
    <w:qFormat/>
    <w:uiPriority w:val="99"/>
    <w:pPr>
      <w:spacing w:line="300" w:lineRule="auto"/>
      <w:ind w:left="560"/>
    </w:pPr>
    <w:rPr>
      <w:rFonts w:ascii="宋体" w:hAnsi="Calibri" w:cs="宋体"/>
      <w:b/>
      <w:bCs/>
    </w:rPr>
  </w:style>
  <w:style w:type="paragraph" w:customStyle="1" w:styleId="260">
    <w:name w:val="表格名称"/>
    <w:basedOn w:val="1"/>
    <w:qFormat/>
    <w:uiPriority w:val="99"/>
    <w:pPr>
      <w:jc w:val="center"/>
    </w:pPr>
    <w:rPr>
      <w:b/>
      <w:bCs/>
      <w:sz w:val="28"/>
      <w:szCs w:val="28"/>
    </w:rPr>
  </w:style>
  <w:style w:type="paragraph" w:customStyle="1" w:styleId="261">
    <w:name w:val="表格文本"/>
    <w:basedOn w:val="1"/>
    <w:next w:val="1"/>
    <w:qFormat/>
    <w:uiPriority w:val="99"/>
    <w:pPr>
      <w:adjustRightInd w:val="0"/>
      <w:snapToGrid w:val="0"/>
      <w:jc w:val="center"/>
    </w:pPr>
    <w:rPr>
      <w:color w:val="000000"/>
      <w:sz w:val="24"/>
      <w:szCs w:val="24"/>
    </w:rPr>
  </w:style>
  <w:style w:type="character" w:customStyle="1" w:styleId="262">
    <w:name w:val="Body text|1_"/>
    <w:link w:val="263"/>
    <w:qFormat/>
    <w:locked/>
    <w:uiPriority w:val="99"/>
    <w:rPr>
      <w:rFonts w:ascii="MingLiU" w:hAnsi="MingLiU" w:eastAsia="MingLiU" w:cs="MingLiU"/>
      <w:lang w:val="zh-TW" w:eastAsia="zh-TW"/>
    </w:rPr>
  </w:style>
  <w:style w:type="paragraph" w:customStyle="1" w:styleId="263">
    <w:name w:val="Body text|1"/>
    <w:basedOn w:val="1"/>
    <w:link w:val="262"/>
    <w:qFormat/>
    <w:uiPriority w:val="99"/>
    <w:pPr>
      <w:spacing w:line="439" w:lineRule="auto"/>
      <w:ind w:firstLine="400"/>
      <w:jc w:val="left"/>
    </w:pPr>
    <w:rPr>
      <w:rFonts w:ascii="MingLiU" w:hAnsi="MingLiU" w:eastAsia="MingLiU" w:cs="MingLiU"/>
      <w:kern w:val="0"/>
      <w:sz w:val="20"/>
      <w:szCs w:val="20"/>
      <w:lang w:val="zh-TW" w:eastAsia="zh-TW"/>
    </w:rPr>
  </w:style>
  <w:style w:type="paragraph" w:customStyle="1" w:styleId="264">
    <w:name w:val="标题 5（有编号）（绿盟科技）"/>
    <w:basedOn w:val="1"/>
    <w:next w:val="265"/>
    <w:qFormat/>
    <w:uiPriority w:val="99"/>
    <w:pPr>
      <w:keepNext/>
      <w:keepLines/>
      <w:numPr>
        <w:ilvl w:val="4"/>
        <w:numId w:val="1"/>
      </w:numPr>
      <w:spacing w:before="280" w:after="156" w:line="377" w:lineRule="auto"/>
      <w:outlineLvl w:val="4"/>
    </w:pPr>
    <w:rPr>
      <w:rFonts w:ascii="Arial" w:hAnsi="Arial" w:eastAsia="黑体" w:cs="Arial"/>
      <w:b/>
      <w:bCs/>
      <w:sz w:val="24"/>
      <w:szCs w:val="24"/>
    </w:rPr>
  </w:style>
  <w:style w:type="paragraph" w:customStyle="1" w:styleId="265">
    <w:name w:val="正文（绿盟科技）"/>
    <w:qFormat/>
    <w:uiPriority w:val="99"/>
    <w:pPr>
      <w:spacing w:line="300" w:lineRule="auto"/>
    </w:pPr>
    <w:rPr>
      <w:rFonts w:ascii="Arial" w:hAnsi="Arial" w:eastAsia="宋体" w:cs="Arial"/>
      <w:sz w:val="21"/>
      <w:szCs w:val="21"/>
      <w:lang w:val="en-US" w:eastAsia="zh-CN" w:bidi="ar-SA"/>
    </w:rPr>
  </w:style>
  <w:style w:type="paragraph" w:customStyle="1" w:styleId="266">
    <w:name w:val="表格用"/>
    <w:basedOn w:val="1"/>
    <w:qFormat/>
    <w:uiPriority w:val="0"/>
    <w:rPr>
      <w:rFonts w:ascii="宋体" w:hAnsi="宋体"/>
      <w:kern w:val="0"/>
    </w:rPr>
  </w:style>
  <w:style w:type="character" w:customStyle="1" w:styleId="267">
    <w:name w:val="标题 2 Char1"/>
    <w:qFormat/>
    <w:uiPriority w:val="0"/>
    <w:rPr>
      <w:rFonts w:ascii="Arial" w:hAnsi="Arial" w:eastAsia="宋体"/>
      <w:b/>
      <w:bCs/>
      <w:kern w:val="2"/>
      <w:sz w:val="28"/>
      <w:szCs w:val="32"/>
      <w:lang w:val="en-US" w:eastAsia="zh-CN" w:bidi="ar-SA"/>
    </w:rPr>
  </w:style>
  <w:style w:type="character" w:customStyle="1" w:styleId="268">
    <w:name w:val="NormalCharacter"/>
    <w:semiHidden/>
    <w:qFormat/>
    <w:uiPriority w:val="0"/>
    <w:rPr>
      <w:kern w:val="2"/>
      <w:sz w:val="21"/>
      <w:szCs w:val="24"/>
      <w:lang w:val="en-US" w:eastAsia="zh-CN" w:bidi="ar-SA"/>
    </w:rPr>
  </w:style>
  <w:style w:type="paragraph" w:customStyle="1" w:styleId="269">
    <w:name w:val="Revision"/>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96B34-BCD9-4604-8B0E-226EA3D72E9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23335</Words>
  <Characters>25232</Characters>
  <Lines>195</Lines>
  <Paragraphs>54</Paragraphs>
  <TotalTime>45</TotalTime>
  <ScaleCrop>false</ScaleCrop>
  <LinksUpToDate>false</LinksUpToDate>
  <CharactersWithSpaces>26172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2021-05-11T02:36:00Z</dcterms:created>
  <dc:creator>Administrator</dc:creator>
  <cp:lastModifiedBy>张晓亮</cp:lastModifiedBy>
  <cp:lastPrinted>2022-06-28T02:09:00Z</cp:lastPrinted>
  <dcterms:modified xsi:type="dcterms:W3CDTF">2022-07-19T02:32:13Z</dcterms:modified>
  <dc:title>浙江省政府采购招标文件范本（试行）</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51AF98F32D5947F9A7CF4E133FE17650</vt:lpwstr>
  </property>
</Properties>
</file>