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auto"/>
          <w:sz w:val="24"/>
          <w:highlight w:val="none"/>
        </w:rPr>
      </w:pPr>
    </w:p>
    <w:p>
      <w:pPr>
        <w:rPr>
          <w:rFonts w:hint="eastAsia" w:ascii="宋体" w:hAnsi="宋体" w:eastAsia="宋体" w:cs="宋体"/>
          <w:color w:val="auto"/>
          <w:highlight w:val="none"/>
        </w:rPr>
      </w:pPr>
    </w:p>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48"/>
          <w:szCs w:val="48"/>
          <w:highlight w:val="none"/>
          <w:lang w:eastAsia="zh-CN"/>
        </w:rPr>
      </w:pPr>
      <w:r>
        <w:rPr>
          <w:rFonts w:hint="eastAsia" w:ascii="宋体" w:hAnsi="宋体" w:eastAsia="宋体" w:cs="宋体"/>
          <w:b/>
          <w:color w:val="auto"/>
          <w:sz w:val="48"/>
          <w:szCs w:val="48"/>
          <w:highlight w:val="none"/>
          <w:lang w:eastAsia="zh-CN"/>
        </w:rPr>
        <w:t>东阳市鑫盛工程咨询有限公司关于</w:t>
      </w:r>
      <w:r>
        <w:rPr>
          <w:rFonts w:hint="eastAsia" w:ascii="宋体" w:hAnsi="宋体" w:cs="宋体"/>
          <w:b/>
          <w:color w:val="auto"/>
          <w:sz w:val="48"/>
          <w:szCs w:val="48"/>
          <w:highlight w:val="none"/>
          <w:lang w:eastAsia="zh-CN"/>
        </w:rPr>
        <w:t>东阳市人民医院中心监护系统、监护仪、</w:t>
      </w:r>
      <w:r>
        <w:rPr>
          <w:rFonts w:hint="eastAsia" w:ascii="宋体" w:hAnsi="宋体" w:cs="宋体"/>
          <w:b/>
          <w:color w:val="auto"/>
          <w:sz w:val="48"/>
          <w:szCs w:val="48"/>
          <w:highlight w:val="none"/>
          <w:lang w:val="en-US" w:eastAsia="zh-CN"/>
        </w:rPr>
        <w:t>麻醉监护仪、</w:t>
      </w:r>
      <w:r>
        <w:rPr>
          <w:rFonts w:hint="eastAsia" w:ascii="宋体" w:hAnsi="宋体" w:cs="宋体"/>
          <w:b/>
          <w:color w:val="auto"/>
          <w:sz w:val="48"/>
          <w:szCs w:val="48"/>
          <w:highlight w:val="none"/>
          <w:lang w:eastAsia="zh-CN"/>
        </w:rPr>
        <w:t>呼吸机设备采购项目</w:t>
      </w:r>
    </w:p>
    <w:p>
      <w:pPr>
        <w:tabs>
          <w:tab w:val="left" w:pos="1836"/>
        </w:tabs>
        <w:bidi w:val="0"/>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rPr>
        <w:tab/>
      </w:r>
      <w:r>
        <w:rPr>
          <w:rFonts w:hint="eastAsia" w:ascii="宋体" w:hAnsi="宋体" w:cs="宋体"/>
          <w:color w:val="auto"/>
          <w:highlight w:val="none"/>
          <w:lang w:eastAsia="zh-CN"/>
        </w:rPr>
        <w:tab/>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highlight w:val="none"/>
          <w:lang w:val="en-US" w:eastAsia="zh-CN"/>
        </w:rPr>
      </w:pPr>
    </w:p>
    <w:p>
      <w:pPr>
        <w:pStyle w:val="47"/>
        <w:rPr>
          <w:rFonts w:hint="eastAsia" w:ascii="宋体" w:hAnsi="宋体" w:eastAsia="宋体" w:cs="宋体"/>
          <w:color w:val="auto"/>
          <w:highlight w:val="none"/>
          <w:lang w:val="en-US" w:eastAsia="zh-CN"/>
        </w:rPr>
      </w:pPr>
    </w:p>
    <w:p>
      <w:pPr>
        <w:pStyle w:val="47"/>
        <w:rPr>
          <w:rFonts w:hint="eastAsia" w:ascii="宋体" w:hAnsi="宋体" w:eastAsia="宋体" w:cs="宋体"/>
          <w:color w:val="auto"/>
          <w:highlight w:val="none"/>
          <w:lang w:val="en-US" w:eastAsia="zh-CN"/>
        </w:rPr>
      </w:pPr>
    </w:p>
    <w:p>
      <w:pPr>
        <w:pStyle w:val="47"/>
        <w:rPr>
          <w:rFonts w:hint="eastAsia" w:ascii="宋体" w:hAnsi="宋体" w:eastAsia="宋体" w:cs="宋体"/>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color w:val="auto"/>
          <w:highlight w:val="none"/>
          <w:lang w:val="en-US"/>
        </w:rPr>
      </w:pPr>
      <w:r>
        <w:rPr>
          <w:rFonts w:hint="eastAsia" w:ascii="宋体" w:hAnsi="宋体" w:cs="宋体"/>
          <w:b/>
          <w:color w:val="auto"/>
          <w:kern w:val="0"/>
          <w:sz w:val="72"/>
          <w:szCs w:val="72"/>
          <w:highlight w:val="none"/>
          <w:lang w:val="en-US" w:eastAsia="zh-CN"/>
        </w:rPr>
        <w:t>公开招标文件</w:t>
      </w:r>
    </w:p>
    <w:p>
      <w:pPr>
        <w:rPr>
          <w:rFonts w:hint="eastAsia" w:ascii="宋体" w:hAnsi="宋体" w:eastAsia="宋体" w:cs="宋体"/>
          <w:color w:val="auto"/>
          <w:highlight w:val="none"/>
        </w:rPr>
      </w:pPr>
    </w:p>
    <w:p>
      <w:pPr>
        <w:pStyle w:val="47"/>
        <w:rPr>
          <w:rFonts w:hint="eastAsia" w:ascii="宋体" w:hAnsi="宋体" w:eastAsia="宋体" w:cs="宋体"/>
          <w:color w:val="auto"/>
          <w:highlight w:val="none"/>
        </w:rPr>
      </w:pPr>
    </w:p>
    <w:p>
      <w:pPr>
        <w:pStyle w:val="47"/>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宋体" w:hAnsi="宋体" w:eastAsia="宋体" w:cs="宋体"/>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auto"/>
        <w:ind w:left="2249" w:leftChars="306" w:hanging="1606" w:hangingChars="500"/>
        <w:textAlignment w:val="auto"/>
        <w:rPr>
          <w:rFonts w:hint="eastAsia" w:ascii="宋体" w:hAnsi="宋体" w:cs="宋体"/>
          <w:b/>
          <w:color w:val="auto"/>
          <w:kern w:val="0"/>
          <w:sz w:val="32"/>
          <w:szCs w:val="32"/>
          <w:highlight w:val="none"/>
          <w:lang w:eastAsia="zh-CN"/>
        </w:rPr>
      </w:pPr>
      <w:r>
        <w:rPr>
          <w:rFonts w:hint="eastAsia" w:ascii="宋体" w:hAnsi="宋体" w:eastAsia="宋体" w:cs="宋体"/>
          <w:b/>
          <w:color w:val="auto"/>
          <w:kern w:val="0"/>
          <w:sz w:val="32"/>
          <w:szCs w:val="32"/>
          <w:highlight w:val="none"/>
        </w:rPr>
        <w:t>项目名称：</w:t>
      </w:r>
      <w:r>
        <w:rPr>
          <w:rFonts w:hint="eastAsia" w:ascii="宋体" w:hAnsi="宋体" w:cs="宋体"/>
          <w:b/>
          <w:color w:val="auto"/>
          <w:kern w:val="0"/>
          <w:sz w:val="32"/>
          <w:szCs w:val="32"/>
          <w:highlight w:val="none"/>
          <w:lang w:eastAsia="zh-CN"/>
        </w:rPr>
        <w:t>东阳市人民医院中心监护系统、监护仪、麻醉监护仪、呼吸机设备采购项目</w:t>
      </w:r>
    </w:p>
    <w:p>
      <w:pPr>
        <w:keepNext w:val="0"/>
        <w:keepLines w:val="0"/>
        <w:pageBreakBefore w:val="0"/>
        <w:widowControl w:val="0"/>
        <w:kinsoku/>
        <w:wordWrap/>
        <w:overflowPunct/>
        <w:topLinePunct w:val="0"/>
        <w:autoSpaceDE/>
        <w:autoSpaceDN/>
        <w:bidi w:val="0"/>
        <w:adjustRightInd/>
        <w:snapToGrid/>
        <w:spacing w:line="600" w:lineRule="auto"/>
        <w:ind w:left="2249" w:leftChars="306" w:hanging="1606" w:hangingChars="500"/>
        <w:textAlignment w:val="auto"/>
        <w:rPr>
          <w:rFonts w:hint="eastAsia" w:ascii="宋体" w:hAnsi="宋体" w:cs="宋体"/>
          <w:b/>
          <w:color w:val="auto"/>
          <w:kern w:val="0"/>
          <w:sz w:val="32"/>
          <w:szCs w:val="32"/>
          <w:highlight w:val="none"/>
          <w:lang w:eastAsia="zh-CN"/>
        </w:rPr>
      </w:pPr>
      <w:r>
        <w:rPr>
          <w:rFonts w:hint="eastAsia" w:ascii="宋体" w:hAnsi="宋体" w:eastAsia="宋体" w:cs="宋体"/>
          <w:b/>
          <w:color w:val="auto"/>
          <w:kern w:val="0"/>
          <w:sz w:val="32"/>
          <w:szCs w:val="32"/>
          <w:highlight w:val="none"/>
        </w:rPr>
        <w:t>项目编号：</w:t>
      </w:r>
      <w:r>
        <w:rPr>
          <w:rFonts w:hint="eastAsia" w:ascii="宋体" w:hAnsi="宋体" w:cs="宋体"/>
          <w:b/>
          <w:color w:val="auto"/>
          <w:kern w:val="0"/>
          <w:sz w:val="32"/>
          <w:szCs w:val="32"/>
          <w:highlight w:val="none"/>
          <w:lang w:eastAsia="zh-CN"/>
        </w:rPr>
        <w:t>XSZFCGDZ2022-208</w:t>
      </w:r>
    </w:p>
    <w:p>
      <w:pPr>
        <w:keepNext w:val="0"/>
        <w:keepLines w:val="0"/>
        <w:pageBreakBefore w:val="0"/>
        <w:widowControl w:val="0"/>
        <w:kinsoku/>
        <w:wordWrap/>
        <w:overflowPunct/>
        <w:topLinePunct w:val="0"/>
        <w:autoSpaceDE/>
        <w:autoSpaceDN/>
        <w:bidi w:val="0"/>
        <w:adjustRightInd/>
        <w:snapToGrid/>
        <w:spacing w:line="600" w:lineRule="auto"/>
        <w:ind w:left="2249" w:leftChars="306" w:hanging="1606" w:hangingChars="500"/>
        <w:textAlignment w:val="auto"/>
        <w:rPr>
          <w:rFonts w:hint="eastAsia" w:ascii="宋体" w:hAnsi="宋体" w:cs="宋体"/>
          <w:b/>
          <w:color w:val="auto"/>
          <w:kern w:val="0"/>
          <w:sz w:val="32"/>
          <w:szCs w:val="32"/>
          <w:highlight w:val="none"/>
          <w:lang w:eastAsia="zh-CN"/>
        </w:rPr>
      </w:pPr>
      <w:r>
        <w:rPr>
          <w:rFonts w:hint="eastAsia" w:ascii="宋体" w:hAnsi="宋体" w:eastAsia="宋体" w:cs="宋体"/>
          <w:b/>
          <w:color w:val="auto"/>
          <w:kern w:val="0"/>
          <w:sz w:val="32"/>
          <w:szCs w:val="32"/>
          <w:highlight w:val="none"/>
        </w:rPr>
        <w:t>采购单位：</w:t>
      </w:r>
      <w:r>
        <w:rPr>
          <w:rFonts w:hint="eastAsia" w:ascii="宋体" w:hAnsi="宋体" w:cs="宋体"/>
          <w:b/>
          <w:color w:val="auto"/>
          <w:kern w:val="0"/>
          <w:sz w:val="32"/>
          <w:szCs w:val="32"/>
          <w:highlight w:val="none"/>
          <w:lang w:eastAsia="zh-CN"/>
        </w:rPr>
        <w:t>东阳市人民医院</w:t>
      </w:r>
    </w:p>
    <w:p>
      <w:pPr>
        <w:keepNext w:val="0"/>
        <w:keepLines w:val="0"/>
        <w:pageBreakBefore w:val="0"/>
        <w:widowControl w:val="0"/>
        <w:kinsoku/>
        <w:wordWrap/>
        <w:overflowPunct/>
        <w:topLinePunct w:val="0"/>
        <w:autoSpaceDE/>
        <w:autoSpaceDN/>
        <w:bidi w:val="0"/>
        <w:adjustRightInd/>
        <w:snapToGrid/>
        <w:spacing w:line="600" w:lineRule="auto"/>
        <w:ind w:left="2249" w:leftChars="306" w:hanging="1606" w:hangingChars="500"/>
        <w:textAlignment w:val="auto"/>
        <w:rPr>
          <w:rFonts w:hint="eastAsia"/>
          <w:color w:val="auto"/>
          <w:highlight w:val="none"/>
        </w:rPr>
      </w:pPr>
      <w:r>
        <w:rPr>
          <w:rFonts w:hint="eastAsia" w:ascii="宋体" w:hAnsi="宋体" w:eastAsia="宋体" w:cs="宋体"/>
          <w:b/>
          <w:color w:val="auto"/>
          <w:kern w:val="0"/>
          <w:sz w:val="32"/>
          <w:szCs w:val="32"/>
          <w:highlight w:val="none"/>
        </w:rPr>
        <w:t>招标机构：东阳市鑫盛工程咨询有限公司</w:t>
      </w:r>
    </w:p>
    <w:p>
      <w:pPr>
        <w:pStyle w:val="2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auto"/>
          <w:sz w:val="32"/>
          <w:szCs w:val="32"/>
          <w:highlight w:val="none"/>
        </w:rPr>
      </w:pPr>
    </w:p>
    <w:p>
      <w:pPr>
        <w:pStyle w:val="2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rPr>
        <w:t>202</w:t>
      </w:r>
      <w:r>
        <w:rPr>
          <w:rFonts w:hint="eastAsia" w:ascii="宋体" w:hAnsi="宋体" w:eastAsia="宋体" w:cs="宋体"/>
          <w:b/>
          <w:color w:val="auto"/>
          <w:sz w:val="32"/>
          <w:szCs w:val="32"/>
          <w:highlight w:val="none"/>
          <w:lang w:val="en-US" w:eastAsia="zh-CN"/>
        </w:rPr>
        <w:t>2</w:t>
      </w:r>
      <w:r>
        <w:rPr>
          <w:rFonts w:hint="eastAsia" w:ascii="宋体" w:hAnsi="宋体" w:eastAsia="宋体" w:cs="宋体"/>
          <w:b/>
          <w:color w:val="auto"/>
          <w:sz w:val="32"/>
          <w:szCs w:val="32"/>
          <w:highlight w:val="none"/>
        </w:rPr>
        <w:t>年</w:t>
      </w:r>
      <w:r>
        <w:rPr>
          <w:rFonts w:hint="eastAsia" w:ascii="宋体" w:hAnsi="宋体" w:cs="宋体"/>
          <w:b/>
          <w:color w:val="auto"/>
          <w:sz w:val="32"/>
          <w:szCs w:val="32"/>
          <w:highlight w:val="none"/>
          <w:lang w:val="en-US" w:eastAsia="zh-CN"/>
        </w:rPr>
        <w:t>7</w:t>
      </w:r>
      <w:r>
        <w:rPr>
          <w:rFonts w:hint="eastAsia" w:ascii="宋体" w:hAnsi="宋体" w:eastAsia="宋体" w:cs="宋体"/>
          <w:b/>
          <w:color w:val="auto"/>
          <w:sz w:val="32"/>
          <w:szCs w:val="32"/>
          <w:highlight w:val="none"/>
        </w:rPr>
        <w:t>月</w:t>
      </w:r>
    </w:p>
    <w:p>
      <w:pPr>
        <w:pStyle w:val="20"/>
        <w:pageBreakBefore/>
        <w:spacing w:line="276" w:lineRule="auto"/>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目    录</w:t>
      </w:r>
    </w:p>
    <w:p>
      <w:pPr>
        <w:pStyle w:val="27"/>
        <w:tabs>
          <w:tab w:val="right" w:leader="dot" w:pos="9070"/>
        </w:tabs>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TOC \o "1-2" \h \z \u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_Toc7016 </w:instrText>
      </w:r>
      <w:r>
        <w:rPr>
          <w:rFonts w:hint="eastAsia" w:ascii="宋体" w:hAnsi="宋体" w:eastAsia="宋体" w:cs="宋体"/>
          <w:highlight w:val="none"/>
        </w:rPr>
        <w:fldChar w:fldCharType="separate"/>
      </w:r>
      <w:r>
        <w:rPr>
          <w:rFonts w:hint="eastAsia" w:ascii="宋体" w:hAnsi="宋体" w:eastAsia="宋体" w:cs="宋体"/>
          <w:highlight w:val="none"/>
        </w:rPr>
        <w:t>第一章  公开招标采购公告</w:t>
      </w:r>
      <w:r>
        <w:tab/>
      </w:r>
      <w:r>
        <w:fldChar w:fldCharType="begin"/>
      </w:r>
      <w:r>
        <w:instrText xml:space="preserve"> PAGEREF _Toc7016 \h </w:instrText>
      </w:r>
      <w:r>
        <w:fldChar w:fldCharType="separate"/>
      </w:r>
      <w:r>
        <w:t>3</w:t>
      </w:r>
      <w:r>
        <w:fldChar w:fldCharType="end"/>
      </w:r>
      <w:r>
        <w:rPr>
          <w:rFonts w:hint="eastAsia" w:ascii="宋体" w:hAnsi="宋体" w:eastAsia="宋体" w:cs="宋体"/>
          <w:color w:val="auto"/>
          <w:highlight w:val="none"/>
        </w:rPr>
        <w:fldChar w:fldCharType="end"/>
      </w:r>
    </w:p>
    <w:p>
      <w:pPr>
        <w:pStyle w:val="2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_Toc12262 </w:instrText>
      </w:r>
      <w:r>
        <w:rPr>
          <w:rFonts w:hint="eastAsia" w:ascii="宋体" w:hAnsi="宋体" w:eastAsia="宋体" w:cs="宋体"/>
          <w:highlight w:val="none"/>
        </w:rPr>
        <w:fldChar w:fldCharType="separate"/>
      </w:r>
      <w:r>
        <w:rPr>
          <w:rFonts w:hint="eastAsia" w:ascii="宋体" w:hAnsi="宋体" w:eastAsia="宋体" w:cs="宋体"/>
          <w:szCs w:val="32"/>
          <w:highlight w:val="none"/>
        </w:rPr>
        <w:t>第二章  招标需求</w:t>
      </w:r>
      <w:r>
        <w:tab/>
      </w:r>
      <w:r>
        <w:fldChar w:fldCharType="begin"/>
      </w:r>
      <w:r>
        <w:instrText xml:space="preserve"> PAGEREF _Toc12262 \h </w:instrText>
      </w:r>
      <w:r>
        <w:fldChar w:fldCharType="separate"/>
      </w:r>
      <w:r>
        <w:t>9</w:t>
      </w:r>
      <w:r>
        <w:fldChar w:fldCharType="end"/>
      </w:r>
      <w:r>
        <w:rPr>
          <w:rFonts w:hint="eastAsia" w:ascii="宋体" w:hAnsi="宋体" w:eastAsia="宋体" w:cs="宋体"/>
          <w:color w:val="auto"/>
          <w:highlight w:val="none"/>
        </w:rPr>
        <w:fldChar w:fldCharType="end"/>
      </w:r>
    </w:p>
    <w:p>
      <w:pPr>
        <w:pStyle w:val="2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_Toc181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第三章   投标人须知</w:t>
      </w:r>
      <w:r>
        <w:tab/>
      </w:r>
      <w:r>
        <w:fldChar w:fldCharType="begin"/>
      </w:r>
      <w:r>
        <w:instrText xml:space="preserve"> PAGEREF _Toc181 \h </w:instrText>
      </w:r>
      <w:r>
        <w:fldChar w:fldCharType="separate"/>
      </w:r>
      <w:r>
        <w:t>21</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_Toc28317 </w:instrText>
      </w:r>
      <w:r>
        <w:rPr>
          <w:rFonts w:hint="eastAsia" w:ascii="宋体" w:hAnsi="宋体" w:eastAsia="宋体" w:cs="宋体"/>
          <w:highlight w:val="none"/>
        </w:rPr>
        <w:fldChar w:fldCharType="separate"/>
      </w:r>
      <w:r>
        <w:rPr>
          <w:rFonts w:hint="eastAsia" w:ascii="宋体" w:hAnsi="宋体" w:eastAsia="宋体" w:cs="宋体"/>
          <w:szCs w:val="24"/>
          <w:highlight w:val="none"/>
        </w:rPr>
        <w:t>前附表</w:t>
      </w:r>
      <w:r>
        <w:tab/>
      </w:r>
      <w:r>
        <w:fldChar w:fldCharType="begin"/>
      </w:r>
      <w:r>
        <w:instrText xml:space="preserve"> PAGEREF _Toc28317 \h </w:instrText>
      </w:r>
      <w:r>
        <w:fldChar w:fldCharType="separate"/>
      </w:r>
      <w:r>
        <w:t>21</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_Toc8791 </w:instrText>
      </w:r>
      <w:r>
        <w:rPr>
          <w:rFonts w:hint="eastAsia" w:ascii="宋体" w:hAnsi="宋体" w:eastAsia="宋体" w:cs="宋体"/>
          <w:highlight w:val="none"/>
        </w:rPr>
        <w:fldChar w:fldCharType="separate"/>
      </w:r>
      <w:r>
        <w:rPr>
          <w:rFonts w:hint="default" w:ascii="宋体" w:hAnsi="宋体" w:eastAsia="宋体" w:cs="宋体"/>
          <w:szCs w:val="24"/>
        </w:rPr>
        <w:t xml:space="preserve">一、 </w:t>
      </w:r>
      <w:r>
        <w:rPr>
          <w:rFonts w:hint="eastAsia" w:ascii="宋体" w:hAnsi="宋体" w:eastAsia="宋体" w:cs="宋体"/>
          <w:szCs w:val="24"/>
          <w:highlight w:val="none"/>
        </w:rPr>
        <w:t>总则</w:t>
      </w:r>
      <w:r>
        <w:tab/>
      </w:r>
      <w:r>
        <w:fldChar w:fldCharType="begin"/>
      </w:r>
      <w:r>
        <w:instrText xml:space="preserve"> PAGEREF _Toc8791 \h </w:instrText>
      </w:r>
      <w:r>
        <w:fldChar w:fldCharType="separate"/>
      </w:r>
      <w:r>
        <w:t>26</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_Toc29574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二、招标文件</w:t>
      </w:r>
      <w:r>
        <w:tab/>
      </w:r>
      <w:r>
        <w:fldChar w:fldCharType="begin"/>
      </w:r>
      <w:r>
        <w:instrText xml:space="preserve"> PAGEREF _Toc29574 \h </w:instrText>
      </w:r>
      <w:r>
        <w:fldChar w:fldCharType="separate"/>
      </w:r>
      <w:r>
        <w:t>31</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_Toc19669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三、投标文件的编制</w:t>
      </w:r>
      <w:r>
        <w:tab/>
      </w:r>
      <w:r>
        <w:fldChar w:fldCharType="begin"/>
      </w:r>
      <w:r>
        <w:instrText xml:space="preserve"> PAGEREF _Toc19669 \h </w:instrText>
      </w:r>
      <w:r>
        <w:fldChar w:fldCharType="separate"/>
      </w:r>
      <w:r>
        <w:t>32</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_Toc25729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四、开标</w:t>
      </w:r>
      <w:r>
        <w:tab/>
      </w:r>
      <w:r>
        <w:fldChar w:fldCharType="begin"/>
      </w:r>
      <w:r>
        <w:instrText xml:space="preserve"> PAGEREF _Toc25729 \h </w:instrText>
      </w:r>
      <w:r>
        <w:fldChar w:fldCharType="separate"/>
      </w:r>
      <w:r>
        <w:t>38</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_Toc21538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五、评标</w:t>
      </w:r>
      <w:r>
        <w:tab/>
      </w:r>
      <w:r>
        <w:fldChar w:fldCharType="begin"/>
      </w:r>
      <w:r>
        <w:instrText xml:space="preserve"> PAGEREF _Toc21538 \h </w:instrText>
      </w:r>
      <w:r>
        <w:fldChar w:fldCharType="separate"/>
      </w:r>
      <w:r>
        <w:t>39</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_Toc15619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六、定标</w:t>
      </w:r>
      <w:r>
        <w:tab/>
      </w:r>
      <w:r>
        <w:fldChar w:fldCharType="begin"/>
      </w:r>
      <w:r>
        <w:instrText xml:space="preserve"> PAGEREF _Toc15619 \h </w:instrText>
      </w:r>
      <w:r>
        <w:fldChar w:fldCharType="separate"/>
      </w:r>
      <w:r>
        <w:t>43</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_Toc2045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七、合同授予</w:t>
      </w:r>
      <w:r>
        <w:tab/>
      </w:r>
      <w:r>
        <w:fldChar w:fldCharType="begin"/>
      </w:r>
      <w:r>
        <w:instrText xml:space="preserve"> PAGEREF _Toc2045 \h </w:instrText>
      </w:r>
      <w:r>
        <w:fldChar w:fldCharType="separate"/>
      </w:r>
      <w:r>
        <w:t>44</w:t>
      </w:r>
      <w:r>
        <w:fldChar w:fldCharType="end"/>
      </w:r>
      <w:r>
        <w:rPr>
          <w:rFonts w:hint="eastAsia" w:ascii="宋体" w:hAnsi="宋体" w:eastAsia="宋体" w:cs="宋体"/>
          <w:color w:val="auto"/>
          <w:highlight w:val="none"/>
        </w:rPr>
        <w:fldChar w:fldCharType="end"/>
      </w:r>
    </w:p>
    <w:p>
      <w:pPr>
        <w:pStyle w:val="2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_Toc20329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第四章  评标办法及评分标准</w:t>
      </w:r>
      <w:r>
        <w:tab/>
      </w:r>
      <w:r>
        <w:fldChar w:fldCharType="begin"/>
      </w:r>
      <w:r>
        <w:instrText xml:space="preserve"> PAGEREF _Toc20329 \h </w:instrText>
      </w:r>
      <w:r>
        <w:fldChar w:fldCharType="separate"/>
      </w:r>
      <w:r>
        <w:t>45</w:t>
      </w:r>
      <w:r>
        <w:fldChar w:fldCharType="end"/>
      </w:r>
      <w:r>
        <w:rPr>
          <w:rFonts w:hint="eastAsia" w:ascii="宋体" w:hAnsi="宋体" w:eastAsia="宋体" w:cs="宋体"/>
          <w:color w:val="auto"/>
          <w:highlight w:val="none"/>
        </w:rPr>
        <w:fldChar w:fldCharType="end"/>
      </w:r>
    </w:p>
    <w:p>
      <w:pPr>
        <w:pStyle w:val="2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_Toc5255 </w:instrText>
      </w:r>
      <w:r>
        <w:rPr>
          <w:rFonts w:hint="eastAsia" w:ascii="宋体" w:hAnsi="宋体" w:eastAsia="宋体" w:cs="宋体"/>
          <w:highlight w:val="none"/>
        </w:rPr>
        <w:fldChar w:fldCharType="separate"/>
      </w:r>
      <w:r>
        <w:rPr>
          <w:rFonts w:hint="eastAsia" w:ascii="宋体" w:hAnsi="宋体" w:eastAsia="宋体" w:cs="宋体"/>
          <w:bCs w:val="0"/>
          <w:szCs w:val="32"/>
        </w:rPr>
        <w:t xml:space="preserve">第五章 </w:t>
      </w:r>
      <w:r>
        <w:rPr>
          <w:rFonts w:hint="eastAsia" w:ascii="宋体" w:hAnsi="宋体" w:eastAsia="宋体" w:cs="宋体"/>
          <w:bCs w:val="0"/>
          <w:szCs w:val="32"/>
          <w:highlight w:val="none"/>
        </w:rPr>
        <w:t>合同主要条款</w:t>
      </w:r>
      <w:r>
        <w:tab/>
      </w:r>
      <w:r>
        <w:fldChar w:fldCharType="begin"/>
      </w:r>
      <w:r>
        <w:instrText xml:space="preserve"> PAGEREF _Toc5255 \h </w:instrText>
      </w:r>
      <w:r>
        <w:fldChar w:fldCharType="separate"/>
      </w:r>
      <w:r>
        <w:t>48</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_Toc30139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东阳市政府采购合同（样本）</w:t>
      </w:r>
      <w:r>
        <w:tab/>
      </w:r>
      <w:r>
        <w:fldChar w:fldCharType="begin"/>
      </w:r>
      <w:r>
        <w:instrText xml:space="preserve"> PAGEREF _Toc30139 \h </w:instrText>
      </w:r>
      <w:r>
        <w:fldChar w:fldCharType="separate"/>
      </w:r>
      <w:r>
        <w:t>48</w:t>
      </w:r>
      <w:r>
        <w:fldChar w:fldCharType="end"/>
      </w:r>
      <w:r>
        <w:rPr>
          <w:rFonts w:hint="eastAsia" w:ascii="宋体" w:hAnsi="宋体" w:eastAsia="宋体" w:cs="宋体"/>
          <w:color w:val="auto"/>
          <w:highlight w:val="none"/>
        </w:rPr>
        <w:fldChar w:fldCharType="end"/>
      </w:r>
    </w:p>
    <w:p>
      <w:pPr>
        <w:pStyle w:val="27"/>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_Toc30824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第六章　投标文件组成内容及格式</w:t>
      </w:r>
      <w:r>
        <w:tab/>
      </w:r>
      <w:r>
        <w:fldChar w:fldCharType="begin"/>
      </w:r>
      <w:r>
        <w:instrText xml:space="preserve"> PAGEREF _Toc30824 \h </w:instrText>
      </w:r>
      <w:r>
        <w:fldChar w:fldCharType="separate"/>
      </w:r>
      <w:r>
        <w:t>53</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_Toc5558 </w:instrText>
      </w:r>
      <w:r>
        <w:rPr>
          <w:rFonts w:hint="eastAsia" w:ascii="宋体" w:hAnsi="宋体" w:eastAsia="宋体" w:cs="宋体"/>
          <w:highlight w:val="none"/>
        </w:rPr>
        <w:fldChar w:fldCharType="separate"/>
      </w:r>
      <w:r>
        <w:rPr>
          <w:rFonts w:hint="eastAsia" w:ascii="宋体" w:hAnsi="宋体" w:eastAsia="宋体" w:cs="宋体"/>
          <w:szCs w:val="24"/>
          <w:highlight w:val="none"/>
        </w:rPr>
        <w:t>一、投标文件封面格式</w:t>
      </w:r>
      <w:r>
        <w:tab/>
      </w:r>
      <w:r>
        <w:fldChar w:fldCharType="begin"/>
      </w:r>
      <w:r>
        <w:instrText xml:space="preserve"> PAGEREF _Toc5558 \h </w:instrText>
      </w:r>
      <w:r>
        <w:fldChar w:fldCharType="separate"/>
      </w:r>
      <w:r>
        <w:t>53</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_Toc17720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附件一：投标声明书</w:t>
      </w:r>
      <w:r>
        <w:tab/>
      </w:r>
      <w:r>
        <w:fldChar w:fldCharType="begin"/>
      </w:r>
      <w:r>
        <w:instrText xml:space="preserve"> PAGEREF _Toc17720 \h </w:instrText>
      </w:r>
      <w:r>
        <w:fldChar w:fldCharType="separate"/>
      </w:r>
      <w:r>
        <w:t>56</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_Toc31266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附件二：</w:t>
      </w:r>
      <w:r>
        <w:rPr>
          <w:rFonts w:hint="eastAsia" w:ascii="宋体" w:hAnsi="宋体" w:eastAsia="宋体" w:cs="宋体"/>
          <w:bCs w:val="0"/>
          <w:szCs w:val="24"/>
          <w:highlight w:val="none"/>
          <w:lang w:val="en-US" w:eastAsia="zh-CN"/>
        </w:rPr>
        <w:t>符合参加政府采购活动应当具备的一般条件的承诺函</w:t>
      </w:r>
      <w:r>
        <w:tab/>
      </w:r>
      <w:r>
        <w:fldChar w:fldCharType="begin"/>
      </w:r>
      <w:r>
        <w:instrText xml:space="preserve"> PAGEREF _Toc31266 \h </w:instrText>
      </w:r>
      <w:r>
        <w:fldChar w:fldCharType="separate"/>
      </w:r>
      <w:r>
        <w:t>57</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_Toc17410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lang w:val="en-US" w:eastAsia="zh-CN"/>
        </w:rPr>
        <w:t>附件三：</w:t>
      </w:r>
      <w:r>
        <w:rPr>
          <w:rFonts w:hint="eastAsia" w:ascii="宋体" w:hAnsi="宋体" w:eastAsia="宋体" w:cs="宋体"/>
          <w:bCs w:val="0"/>
          <w:szCs w:val="24"/>
          <w:highlight w:val="none"/>
        </w:rPr>
        <w:t>政府采购活动现场确认声明书</w:t>
      </w:r>
      <w:r>
        <w:tab/>
      </w:r>
      <w:r>
        <w:fldChar w:fldCharType="begin"/>
      </w:r>
      <w:r>
        <w:instrText xml:space="preserve"> PAGEREF _Toc17410 \h </w:instrText>
      </w:r>
      <w:r>
        <w:fldChar w:fldCharType="separate"/>
      </w:r>
      <w:r>
        <w:t>58</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_Toc21426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w:t>
      </w:r>
      <w:r>
        <w:rPr>
          <w:rFonts w:hint="eastAsia" w:ascii="宋体" w:hAnsi="宋体" w:eastAsia="宋体" w:cs="宋体"/>
          <w:szCs w:val="24"/>
          <w:highlight w:val="none"/>
          <w:lang w:val="en-US" w:eastAsia="zh-CN"/>
        </w:rPr>
        <w:t>四</w:t>
      </w:r>
      <w:r>
        <w:rPr>
          <w:rFonts w:hint="eastAsia" w:ascii="宋体" w:hAnsi="宋体" w:eastAsia="宋体" w:cs="宋体"/>
          <w:szCs w:val="24"/>
          <w:highlight w:val="none"/>
        </w:rPr>
        <w:t>：法定代表人授权委托书</w:t>
      </w:r>
      <w:r>
        <w:tab/>
      </w:r>
      <w:r>
        <w:fldChar w:fldCharType="begin"/>
      </w:r>
      <w:r>
        <w:instrText xml:space="preserve"> PAGEREF _Toc21426 \h </w:instrText>
      </w:r>
      <w:r>
        <w:fldChar w:fldCharType="separate"/>
      </w:r>
      <w:r>
        <w:t>59</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_Toc10019 </w:instrText>
      </w:r>
      <w:r>
        <w:rPr>
          <w:rFonts w:hint="eastAsia" w:ascii="宋体" w:hAnsi="宋体" w:eastAsia="宋体" w:cs="宋体"/>
          <w:highlight w:val="none"/>
        </w:rPr>
        <w:fldChar w:fldCharType="separate"/>
      </w:r>
      <w:r>
        <w:rPr>
          <w:rFonts w:hint="eastAsia" w:ascii="宋体" w:hAnsi="宋体" w:eastAsia="宋体" w:cs="宋体"/>
          <w:szCs w:val="24"/>
          <w:highlight w:val="none"/>
          <w:lang w:eastAsia="zh-CN"/>
        </w:rPr>
        <w:t>附件</w:t>
      </w:r>
      <w:r>
        <w:rPr>
          <w:rFonts w:hint="eastAsia" w:ascii="宋体" w:hAnsi="宋体" w:eastAsia="宋体" w:cs="宋体"/>
          <w:szCs w:val="24"/>
          <w:highlight w:val="none"/>
          <w:lang w:val="en-US" w:eastAsia="zh-CN"/>
        </w:rPr>
        <w:t>五</w:t>
      </w:r>
      <w:r>
        <w:rPr>
          <w:rFonts w:hint="eastAsia" w:ascii="宋体" w:hAnsi="宋体" w:eastAsia="宋体" w:cs="宋体"/>
          <w:szCs w:val="24"/>
          <w:highlight w:val="none"/>
          <w:lang w:eastAsia="zh-CN"/>
        </w:rPr>
        <w:t>：</w:t>
      </w:r>
      <w:r>
        <w:rPr>
          <w:rFonts w:hint="eastAsia" w:ascii="宋体" w:hAnsi="宋体" w:eastAsia="宋体" w:cs="宋体"/>
          <w:szCs w:val="24"/>
          <w:highlight w:val="none"/>
          <w:lang w:val="en-US" w:eastAsia="zh-CN"/>
        </w:rPr>
        <w:t>联合体协议书（联合体投标时提供）</w:t>
      </w:r>
      <w:r>
        <w:tab/>
      </w:r>
      <w:r>
        <w:fldChar w:fldCharType="begin"/>
      </w:r>
      <w:r>
        <w:instrText xml:space="preserve"> PAGEREF _Toc10019 \h </w:instrText>
      </w:r>
      <w:r>
        <w:fldChar w:fldCharType="separate"/>
      </w:r>
      <w:r>
        <w:t>60</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_Toc1536 </w:instrText>
      </w:r>
      <w:r>
        <w:rPr>
          <w:rFonts w:hint="eastAsia" w:ascii="宋体" w:hAnsi="宋体" w:eastAsia="宋体" w:cs="宋体"/>
          <w:highlight w:val="none"/>
        </w:rPr>
        <w:fldChar w:fldCharType="separate"/>
      </w:r>
      <w:r>
        <w:rPr>
          <w:rFonts w:hint="eastAsia" w:ascii="宋体" w:hAnsi="宋体" w:eastAsia="宋体" w:cs="宋体"/>
          <w:szCs w:val="24"/>
          <w:highlight w:val="none"/>
          <w:lang w:eastAsia="zh-CN"/>
        </w:rPr>
        <w:t>附件</w:t>
      </w:r>
      <w:r>
        <w:rPr>
          <w:rFonts w:hint="eastAsia" w:ascii="宋体" w:hAnsi="宋体" w:eastAsia="宋体" w:cs="宋体"/>
          <w:szCs w:val="24"/>
          <w:highlight w:val="none"/>
          <w:lang w:val="en-US" w:eastAsia="zh-CN"/>
        </w:rPr>
        <w:t>六</w:t>
      </w:r>
      <w:r>
        <w:rPr>
          <w:rFonts w:hint="eastAsia" w:ascii="宋体" w:hAnsi="宋体" w:eastAsia="宋体" w:cs="宋体"/>
          <w:szCs w:val="24"/>
          <w:highlight w:val="none"/>
          <w:lang w:eastAsia="zh-CN"/>
        </w:rPr>
        <w:t>：分包意向协议（分包时提供）</w:t>
      </w:r>
      <w:r>
        <w:tab/>
      </w:r>
      <w:r>
        <w:fldChar w:fldCharType="begin"/>
      </w:r>
      <w:r>
        <w:instrText xml:space="preserve"> PAGEREF _Toc1536 \h </w:instrText>
      </w:r>
      <w:r>
        <w:fldChar w:fldCharType="separate"/>
      </w:r>
      <w:r>
        <w:t>61</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_Toc31693 </w:instrText>
      </w:r>
      <w:r>
        <w:rPr>
          <w:rFonts w:hint="eastAsia" w:ascii="宋体" w:hAnsi="宋体" w:eastAsia="宋体" w:cs="宋体"/>
          <w:highlight w:val="none"/>
        </w:rPr>
        <w:fldChar w:fldCharType="separate"/>
      </w:r>
      <w:r>
        <w:rPr>
          <w:rFonts w:hint="eastAsia" w:ascii="宋体" w:hAnsi="宋体"/>
          <w:bCs/>
          <w:szCs w:val="32"/>
          <w:highlight w:val="none"/>
          <w:lang w:val="en-US" w:eastAsia="zh-CN"/>
        </w:rPr>
        <w:t>附件七：</w:t>
      </w:r>
      <w:r>
        <w:rPr>
          <w:rFonts w:hint="eastAsia" w:ascii="宋体" w:hAnsi="宋体"/>
          <w:bCs/>
          <w:szCs w:val="32"/>
          <w:highlight w:val="none"/>
        </w:rPr>
        <w:t>制造商（或国内总代理）授权书（进口产品提供）</w:t>
      </w:r>
      <w:r>
        <w:tab/>
      </w:r>
      <w:r>
        <w:fldChar w:fldCharType="begin"/>
      </w:r>
      <w:r>
        <w:instrText xml:space="preserve"> PAGEREF _Toc31693 \h </w:instrText>
      </w:r>
      <w:r>
        <w:fldChar w:fldCharType="separate"/>
      </w:r>
      <w:r>
        <w:t>62</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_Toc18794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w:t>
      </w:r>
      <w:r>
        <w:rPr>
          <w:rFonts w:hint="eastAsia" w:ascii="宋体" w:hAnsi="宋体" w:eastAsia="宋体" w:cs="宋体"/>
          <w:szCs w:val="24"/>
          <w:highlight w:val="none"/>
          <w:lang w:val="en-US" w:eastAsia="zh-CN"/>
        </w:rPr>
        <w:t>八</w:t>
      </w:r>
      <w:r>
        <w:rPr>
          <w:rFonts w:hint="eastAsia" w:ascii="宋体" w:hAnsi="宋体" w:eastAsia="宋体" w:cs="宋体"/>
          <w:szCs w:val="24"/>
          <w:highlight w:val="none"/>
        </w:rPr>
        <w:t>：投标人资信商务、技术自评得分表</w:t>
      </w:r>
      <w:r>
        <w:tab/>
      </w:r>
      <w:r>
        <w:fldChar w:fldCharType="begin"/>
      </w:r>
      <w:r>
        <w:instrText xml:space="preserve"> PAGEREF _Toc18794 \h </w:instrText>
      </w:r>
      <w:r>
        <w:fldChar w:fldCharType="separate"/>
      </w:r>
      <w:r>
        <w:t>63</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_Toc24822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w:t>
      </w:r>
      <w:r>
        <w:rPr>
          <w:rFonts w:hint="eastAsia" w:ascii="宋体" w:hAnsi="宋体" w:eastAsia="宋体" w:cs="宋体"/>
          <w:szCs w:val="24"/>
          <w:highlight w:val="none"/>
          <w:lang w:val="en-US" w:eastAsia="zh-CN"/>
        </w:rPr>
        <w:t>九</w:t>
      </w:r>
      <w:r>
        <w:rPr>
          <w:rFonts w:hint="eastAsia" w:ascii="宋体" w:hAnsi="宋体" w:eastAsia="宋体" w:cs="宋体"/>
          <w:szCs w:val="24"/>
          <w:highlight w:val="none"/>
        </w:rPr>
        <w:t>：商务响应表</w:t>
      </w:r>
      <w:r>
        <w:tab/>
      </w:r>
      <w:r>
        <w:fldChar w:fldCharType="begin"/>
      </w:r>
      <w:r>
        <w:instrText xml:space="preserve"> PAGEREF _Toc24822 \h </w:instrText>
      </w:r>
      <w:r>
        <w:fldChar w:fldCharType="separate"/>
      </w:r>
      <w:r>
        <w:t>64</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_Toc12506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附件</w:t>
      </w:r>
      <w:r>
        <w:rPr>
          <w:rFonts w:hint="eastAsia" w:ascii="宋体" w:hAnsi="宋体" w:eastAsia="宋体" w:cs="宋体"/>
          <w:bCs w:val="0"/>
          <w:szCs w:val="24"/>
          <w:highlight w:val="none"/>
          <w:lang w:val="en-US" w:eastAsia="zh-CN"/>
        </w:rPr>
        <w:t>十</w:t>
      </w:r>
      <w:r>
        <w:rPr>
          <w:rFonts w:hint="eastAsia" w:ascii="宋体" w:hAnsi="宋体" w:eastAsia="宋体" w:cs="宋体"/>
          <w:bCs w:val="0"/>
          <w:szCs w:val="24"/>
          <w:highlight w:val="none"/>
        </w:rPr>
        <w:t>：技术响应表</w:t>
      </w:r>
      <w:r>
        <w:tab/>
      </w:r>
      <w:r>
        <w:fldChar w:fldCharType="begin"/>
      </w:r>
      <w:r>
        <w:instrText xml:space="preserve"> PAGEREF _Toc12506 \h </w:instrText>
      </w:r>
      <w:r>
        <w:fldChar w:fldCharType="separate"/>
      </w:r>
      <w:r>
        <w:t>65</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_Toc30339 </w:instrText>
      </w:r>
      <w:r>
        <w:rPr>
          <w:rFonts w:hint="eastAsia" w:ascii="宋体" w:hAnsi="宋体" w:eastAsia="宋体" w:cs="宋体"/>
          <w:highlight w:val="none"/>
        </w:rPr>
        <w:fldChar w:fldCharType="separate"/>
      </w:r>
      <w:r>
        <w:rPr>
          <w:rFonts w:hint="eastAsia" w:ascii="宋体" w:hAnsi="宋体" w:eastAsia="宋体"/>
          <w:bCs w:val="0"/>
          <w:szCs w:val="24"/>
          <w:highlight w:val="none"/>
        </w:rPr>
        <w:t>附件</w:t>
      </w:r>
      <w:r>
        <w:rPr>
          <w:rFonts w:hint="eastAsia" w:ascii="宋体" w:hAnsi="宋体" w:eastAsia="宋体"/>
          <w:bCs w:val="0"/>
          <w:szCs w:val="24"/>
          <w:highlight w:val="none"/>
          <w:lang w:val="en-US" w:eastAsia="zh-CN"/>
        </w:rPr>
        <w:t>十一</w:t>
      </w:r>
      <w:r>
        <w:rPr>
          <w:rFonts w:hint="eastAsia" w:ascii="宋体" w:hAnsi="宋体" w:eastAsia="宋体"/>
          <w:bCs w:val="0"/>
          <w:szCs w:val="24"/>
          <w:highlight w:val="none"/>
        </w:rPr>
        <w:t>：</w:t>
      </w:r>
      <w:r>
        <w:rPr>
          <w:rFonts w:hint="eastAsia" w:ascii="宋体" w:hAnsi="宋体" w:eastAsia="宋体"/>
          <w:bCs w:val="0"/>
          <w:szCs w:val="24"/>
          <w:highlight w:val="none"/>
          <w:lang w:eastAsia="zh-CN"/>
        </w:rPr>
        <w:t>产品配置清单</w:t>
      </w:r>
      <w:r>
        <w:tab/>
      </w:r>
      <w:r>
        <w:fldChar w:fldCharType="begin"/>
      </w:r>
      <w:r>
        <w:instrText xml:space="preserve"> PAGEREF _Toc30339 \h </w:instrText>
      </w:r>
      <w:r>
        <w:fldChar w:fldCharType="separate"/>
      </w:r>
      <w:r>
        <w:t>66</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_Toc23228 </w:instrText>
      </w:r>
      <w:r>
        <w:rPr>
          <w:rFonts w:hint="eastAsia" w:ascii="宋体" w:hAnsi="宋体" w:eastAsia="宋体" w:cs="宋体"/>
          <w:highlight w:val="none"/>
        </w:rPr>
        <w:fldChar w:fldCharType="separate"/>
      </w:r>
      <w:r>
        <w:rPr>
          <w:rFonts w:hint="eastAsia" w:ascii="宋体" w:hAnsi="宋体"/>
          <w:szCs w:val="28"/>
          <w:highlight w:val="none"/>
        </w:rPr>
        <w:t>附件</w:t>
      </w:r>
      <w:r>
        <w:rPr>
          <w:rFonts w:hint="eastAsia" w:ascii="宋体" w:hAnsi="宋体"/>
          <w:szCs w:val="28"/>
          <w:highlight w:val="none"/>
          <w:lang w:val="en-US" w:eastAsia="zh-CN"/>
        </w:rPr>
        <w:t>十二</w:t>
      </w:r>
      <w:r>
        <w:rPr>
          <w:rFonts w:hint="eastAsia" w:ascii="宋体" w:hAnsi="宋体"/>
          <w:szCs w:val="28"/>
          <w:highlight w:val="none"/>
        </w:rPr>
        <w:t>：随机标准附件、备品备件、零配件、专用工具清单</w:t>
      </w:r>
      <w:r>
        <w:tab/>
      </w:r>
      <w:r>
        <w:fldChar w:fldCharType="begin"/>
      </w:r>
      <w:r>
        <w:instrText xml:space="preserve"> PAGEREF _Toc23228 \h </w:instrText>
      </w:r>
      <w:r>
        <w:fldChar w:fldCharType="separate"/>
      </w:r>
      <w:r>
        <w:t>67</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_Toc20195 </w:instrText>
      </w:r>
      <w:r>
        <w:rPr>
          <w:rFonts w:hint="eastAsia" w:ascii="宋体" w:hAnsi="宋体" w:eastAsia="宋体" w:cs="宋体"/>
          <w:highlight w:val="none"/>
        </w:rPr>
        <w:fldChar w:fldCharType="separate"/>
      </w:r>
      <w:r>
        <w:rPr>
          <w:rFonts w:hint="eastAsia" w:ascii="宋体" w:hAnsi="宋体" w:eastAsia="宋体" w:cs="宋体"/>
          <w:kern w:val="0"/>
          <w:szCs w:val="24"/>
          <w:highlight w:val="none"/>
        </w:rPr>
        <w:t>附件</w:t>
      </w:r>
      <w:r>
        <w:rPr>
          <w:rFonts w:hint="eastAsia" w:ascii="宋体" w:hAnsi="宋体" w:eastAsia="宋体" w:cs="宋体"/>
          <w:kern w:val="0"/>
          <w:szCs w:val="24"/>
          <w:highlight w:val="none"/>
          <w:lang w:val="en-US" w:eastAsia="zh-CN"/>
        </w:rPr>
        <w:t>十三</w:t>
      </w:r>
      <w:r>
        <w:rPr>
          <w:rFonts w:hint="eastAsia" w:ascii="宋体" w:hAnsi="宋体" w:eastAsia="宋体" w:cs="宋体"/>
          <w:kern w:val="0"/>
          <w:szCs w:val="24"/>
          <w:highlight w:val="none"/>
        </w:rPr>
        <w:t>：同类项目业绩一览表</w:t>
      </w:r>
      <w:r>
        <w:tab/>
      </w:r>
      <w:r>
        <w:fldChar w:fldCharType="begin"/>
      </w:r>
      <w:r>
        <w:instrText xml:space="preserve"> PAGEREF _Toc20195 \h </w:instrText>
      </w:r>
      <w:r>
        <w:fldChar w:fldCharType="separate"/>
      </w:r>
      <w:r>
        <w:t>68</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_Toc3757 </w:instrText>
      </w:r>
      <w:r>
        <w:rPr>
          <w:rFonts w:hint="eastAsia" w:ascii="宋体" w:hAnsi="宋体" w:eastAsia="宋体" w:cs="宋体"/>
          <w:highlight w:val="none"/>
        </w:rPr>
        <w:fldChar w:fldCharType="separate"/>
      </w:r>
      <w:r>
        <w:rPr>
          <w:rFonts w:hint="eastAsia" w:ascii="宋体" w:hAnsi="宋体" w:eastAsia="宋体" w:cs="宋体"/>
          <w:bCs/>
          <w:highlight w:val="none"/>
        </w:rPr>
        <w:t>附件</w:t>
      </w:r>
      <w:r>
        <w:rPr>
          <w:rFonts w:hint="eastAsia" w:ascii="宋体" w:hAnsi="宋体" w:eastAsia="宋体" w:cs="宋体"/>
          <w:bCs/>
          <w:highlight w:val="none"/>
          <w:lang w:val="en-US" w:eastAsia="zh-CN"/>
        </w:rPr>
        <w:t>十</w:t>
      </w:r>
      <w:r>
        <w:rPr>
          <w:rFonts w:hint="eastAsia" w:ascii="宋体" w:hAnsi="宋体" w:cs="宋体"/>
          <w:bCs/>
          <w:highlight w:val="none"/>
          <w:lang w:val="en-US" w:eastAsia="zh-CN"/>
        </w:rPr>
        <w:t>四</w:t>
      </w:r>
      <w:r>
        <w:rPr>
          <w:rFonts w:hint="eastAsia" w:ascii="宋体" w:hAnsi="宋体" w:eastAsia="宋体" w:cs="宋体"/>
          <w:bCs/>
          <w:highlight w:val="none"/>
        </w:rPr>
        <w:t>：服务费承诺书</w:t>
      </w:r>
      <w:r>
        <w:tab/>
      </w:r>
      <w:r>
        <w:fldChar w:fldCharType="begin"/>
      </w:r>
      <w:r>
        <w:instrText xml:space="preserve"> PAGEREF _Toc3757 \h </w:instrText>
      </w:r>
      <w:r>
        <w:fldChar w:fldCharType="separate"/>
      </w:r>
      <w:r>
        <w:t>69</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_Toc15997 </w:instrText>
      </w:r>
      <w:r>
        <w:rPr>
          <w:rFonts w:hint="eastAsia" w:ascii="宋体" w:hAnsi="宋体" w:eastAsia="宋体" w:cs="宋体"/>
          <w:highlight w:val="none"/>
        </w:rPr>
        <w:fldChar w:fldCharType="separate"/>
      </w:r>
      <w:r>
        <w:rPr>
          <w:rFonts w:hint="eastAsia" w:ascii="宋体" w:hAnsi="宋体" w:eastAsia="宋体" w:cs="宋体"/>
          <w:bCs/>
          <w:highlight w:val="none"/>
        </w:rPr>
        <w:t>附件十</w:t>
      </w:r>
      <w:r>
        <w:rPr>
          <w:rFonts w:hint="eastAsia" w:ascii="宋体" w:hAnsi="宋体" w:cs="宋体"/>
          <w:bCs/>
          <w:highlight w:val="none"/>
          <w:lang w:val="en-US" w:eastAsia="zh-CN"/>
        </w:rPr>
        <w:t>五</w:t>
      </w:r>
      <w:r>
        <w:rPr>
          <w:rFonts w:hint="eastAsia" w:ascii="宋体" w:hAnsi="宋体" w:eastAsia="宋体" w:cs="宋体"/>
          <w:bCs/>
          <w:highlight w:val="none"/>
        </w:rPr>
        <w:t>:投标函</w:t>
      </w:r>
      <w:r>
        <w:tab/>
      </w:r>
      <w:r>
        <w:fldChar w:fldCharType="begin"/>
      </w:r>
      <w:r>
        <w:instrText xml:space="preserve"> PAGEREF _Toc15997 \h </w:instrText>
      </w:r>
      <w:r>
        <w:fldChar w:fldCharType="separate"/>
      </w:r>
      <w:r>
        <w:t>70</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_Toc21936 </w:instrText>
      </w:r>
      <w:r>
        <w:rPr>
          <w:rFonts w:hint="eastAsia" w:ascii="宋体" w:hAnsi="宋体" w:eastAsia="宋体" w:cs="宋体"/>
          <w:highlight w:val="none"/>
        </w:rPr>
        <w:fldChar w:fldCharType="separate"/>
      </w:r>
      <w:r>
        <w:rPr>
          <w:rFonts w:hint="eastAsia" w:ascii="宋体" w:hAnsi="宋体" w:eastAsia="宋体" w:cs="宋体"/>
          <w:bCs/>
          <w:highlight w:val="none"/>
        </w:rPr>
        <w:t>附件十</w:t>
      </w:r>
      <w:r>
        <w:rPr>
          <w:rFonts w:hint="eastAsia" w:ascii="宋体" w:hAnsi="宋体" w:cs="宋体"/>
          <w:bCs/>
          <w:highlight w:val="none"/>
          <w:lang w:val="en-US" w:eastAsia="zh-CN"/>
        </w:rPr>
        <w:t>六</w:t>
      </w:r>
      <w:r>
        <w:rPr>
          <w:rFonts w:hint="eastAsia" w:ascii="宋体" w:hAnsi="宋体" w:eastAsia="宋体" w:cs="宋体"/>
          <w:bCs/>
          <w:highlight w:val="none"/>
        </w:rPr>
        <w:t>：开标一览表</w:t>
      </w:r>
      <w:r>
        <w:tab/>
      </w:r>
      <w:r>
        <w:fldChar w:fldCharType="begin"/>
      </w:r>
      <w:r>
        <w:instrText xml:space="preserve"> PAGEREF _Toc21936 \h </w:instrText>
      </w:r>
      <w:r>
        <w:fldChar w:fldCharType="separate"/>
      </w:r>
      <w:r>
        <w:t>71</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_Toc32673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w:t>
      </w:r>
      <w:r>
        <w:rPr>
          <w:rFonts w:ascii="宋体" w:hAnsi="宋体" w:eastAsia="宋体" w:cs="宋体"/>
          <w:szCs w:val="24"/>
          <w:highlight w:val="none"/>
        </w:rPr>
        <w:t>十</w:t>
      </w:r>
      <w:r>
        <w:rPr>
          <w:rFonts w:hint="eastAsia" w:ascii="宋体" w:hAnsi="宋体" w:eastAsia="宋体" w:cs="宋体"/>
          <w:szCs w:val="24"/>
          <w:highlight w:val="none"/>
          <w:lang w:val="en-US" w:eastAsia="zh-CN"/>
        </w:rPr>
        <w:t>七</w:t>
      </w:r>
      <w:r>
        <w:rPr>
          <w:rFonts w:hint="eastAsia" w:ascii="宋体" w:hAnsi="宋体" w:eastAsia="宋体" w:cs="宋体"/>
          <w:szCs w:val="24"/>
          <w:highlight w:val="none"/>
        </w:rPr>
        <w:t>：残疾人福利性单位声明函</w:t>
      </w:r>
      <w:r>
        <w:tab/>
      </w:r>
      <w:r>
        <w:fldChar w:fldCharType="begin"/>
      </w:r>
      <w:r>
        <w:instrText xml:space="preserve"> PAGEREF _Toc32673 \h </w:instrText>
      </w:r>
      <w:r>
        <w:fldChar w:fldCharType="separate"/>
      </w:r>
      <w:r>
        <w:t>72</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_Toc18659 </w:instrText>
      </w:r>
      <w:r>
        <w:rPr>
          <w:rFonts w:hint="eastAsia" w:ascii="宋体" w:hAnsi="宋体" w:eastAsia="宋体" w:cs="宋体"/>
          <w:highlight w:val="none"/>
        </w:rPr>
        <w:fldChar w:fldCharType="separate"/>
      </w:r>
      <w:r>
        <w:rPr>
          <w:rFonts w:hint="eastAsia" w:ascii="宋体" w:hAnsi="宋体" w:eastAsia="宋体" w:cs="宋体"/>
          <w:bCs/>
          <w:highlight w:val="none"/>
        </w:rPr>
        <w:t>附件十</w:t>
      </w:r>
      <w:r>
        <w:rPr>
          <w:rFonts w:hint="eastAsia" w:ascii="宋体" w:hAnsi="宋体" w:cs="宋体"/>
          <w:bCs/>
          <w:highlight w:val="none"/>
          <w:lang w:val="en-US" w:eastAsia="zh-CN"/>
        </w:rPr>
        <w:t>八</w:t>
      </w:r>
      <w:r>
        <w:rPr>
          <w:rFonts w:hint="eastAsia" w:ascii="宋体" w:hAnsi="宋体" w:eastAsia="宋体" w:cs="宋体"/>
          <w:bCs/>
          <w:highlight w:val="none"/>
        </w:rPr>
        <w:t>：中小企业声明函（货物）</w:t>
      </w:r>
      <w:r>
        <w:tab/>
      </w:r>
      <w:r>
        <w:fldChar w:fldCharType="begin"/>
      </w:r>
      <w:r>
        <w:instrText xml:space="preserve"> PAGEREF _Toc18659 \h </w:instrText>
      </w:r>
      <w:r>
        <w:fldChar w:fldCharType="separate"/>
      </w:r>
      <w:r>
        <w:t>73</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_Toc5843 </w:instrText>
      </w:r>
      <w:r>
        <w:rPr>
          <w:rFonts w:hint="eastAsia" w:ascii="宋体" w:hAnsi="宋体" w:eastAsia="宋体" w:cs="宋体"/>
          <w:highlight w:val="none"/>
        </w:rPr>
        <w:fldChar w:fldCharType="separate"/>
      </w:r>
      <w:r>
        <w:rPr>
          <w:rFonts w:hint="eastAsia" w:ascii="宋体" w:hAnsi="宋体" w:eastAsia="宋体" w:cs="宋体"/>
          <w:bCs/>
          <w:highlight w:val="none"/>
        </w:rPr>
        <w:t>附件十</w:t>
      </w:r>
      <w:r>
        <w:rPr>
          <w:rFonts w:hint="eastAsia" w:ascii="宋体" w:hAnsi="宋体" w:cs="宋体"/>
          <w:bCs/>
          <w:highlight w:val="none"/>
          <w:lang w:val="en-US" w:eastAsia="zh-CN"/>
        </w:rPr>
        <w:t>九</w:t>
      </w:r>
      <w:r>
        <w:rPr>
          <w:rFonts w:hint="eastAsia" w:ascii="宋体" w:hAnsi="宋体" w:eastAsia="宋体" w:cs="宋体"/>
          <w:bCs/>
          <w:highlight w:val="none"/>
        </w:rPr>
        <w:t>：东阳市采购项目验收方案</w:t>
      </w:r>
      <w:r>
        <w:tab/>
      </w:r>
      <w:r>
        <w:fldChar w:fldCharType="begin"/>
      </w:r>
      <w:r>
        <w:instrText xml:space="preserve"> PAGEREF _Toc5843 \h </w:instrText>
      </w:r>
      <w:r>
        <w:fldChar w:fldCharType="separate"/>
      </w:r>
      <w:r>
        <w:t>74</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_Toc29452 </w:instrText>
      </w:r>
      <w:r>
        <w:rPr>
          <w:rFonts w:hint="eastAsia" w:ascii="宋体" w:hAnsi="宋体" w:eastAsia="宋体" w:cs="宋体"/>
          <w:highlight w:val="none"/>
        </w:rPr>
        <w:fldChar w:fldCharType="separate"/>
      </w:r>
      <w:r>
        <w:rPr>
          <w:rFonts w:hint="eastAsia" w:ascii="宋体" w:hAnsi="宋体" w:eastAsia="宋体" w:cs="宋体"/>
          <w:bCs/>
          <w:highlight w:val="none"/>
        </w:rPr>
        <w:t>附件</w:t>
      </w:r>
      <w:r>
        <w:rPr>
          <w:rFonts w:hint="eastAsia" w:ascii="宋体" w:hAnsi="宋体" w:cs="宋体"/>
          <w:bCs/>
          <w:highlight w:val="none"/>
          <w:lang w:eastAsia="zh-CN"/>
        </w:rPr>
        <w:t>二十</w:t>
      </w:r>
      <w:r>
        <w:rPr>
          <w:rFonts w:hint="eastAsia" w:ascii="宋体" w:hAnsi="宋体" w:eastAsia="宋体" w:cs="宋体"/>
          <w:bCs/>
          <w:highlight w:val="none"/>
        </w:rPr>
        <w:t>：东阳市政府采购代理机构社会评价表</w:t>
      </w:r>
      <w:r>
        <w:tab/>
      </w:r>
      <w:r>
        <w:fldChar w:fldCharType="begin"/>
      </w:r>
      <w:r>
        <w:instrText xml:space="preserve"> PAGEREF _Toc29452 \h </w:instrText>
      </w:r>
      <w:r>
        <w:fldChar w:fldCharType="separate"/>
      </w:r>
      <w:r>
        <w:t>75</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_Toc691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w:t>
      </w:r>
      <w:r>
        <w:rPr>
          <w:rFonts w:hint="eastAsia" w:ascii="宋体" w:hAnsi="宋体" w:eastAsia="宋体" w:cs="宋体"/>
          <w:szCs w:val="24"/>
          <w:highlight w:val="none"/>
          <w:lang w:val="en-US" w:eastAsia="zh-CN"/>
        </w:rPr>
        <w:t>二十一</w:t>
      </w:r>
      <w:r>
        <w:rPr>
          <w:rFonts w:hint="eastAsia" w:ascii="宋体" w:hAnsi="宋体" w:eastAsia="宋体" w:cs="宋体"/>
          <w:szCs w:val="24"/>
          <w:highlight w:val="none"/>
        </w:rPr>
        <w:t>：办理保函需提供资料</w:t>
      </w:r>
      <w:r>
        <w:tab/>
      </w:r>
      <w:r>
        <w:fldChar w:fldCharType="begin"/>
      </w:r>
      <w:r>
        <w:instrText xml:space="preserve"> PAGEREF _Toc691 \h </w:instrText>
      </w:r>
      <w:r>
        <w:fldChar w:fldCharType="separate"/>
      </w:r>
      <w:r>
        <w:t>76</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_Toc17279 </w:instrText>
      </w:r>
      <w:r>
        <w:rPr>
          <w:rFonts w:hint="eastAsia" w:ascii="宋体" w:hAnsi="宋体" w:eastAsia="宋体" w:cs="宋体"/>
          <w:highlight w:val="none"/>
        </w:rPr>
        <w:fldChar w:fldCharType="separate"/>
      </w:r>
      <w:r>
        <w:rPr>
          <w:rFonts w:hint="eastAsia" w:ascii="宋体" w:hAnsi="宋体" w:eastAsia="宋体" w:cs="宋体"/>
          <w:highlight w:val="none"/>
        </w:rPr>
        <w:t>附件</w:t>
      </w:r>
      <w:r>
        <w:rPr>
          <w:rFonts w:hint="eastAsia" w:ascii="宋体" w:hAnsi="宋体" w:eastAsia="宋体" w:cs="宋体"/>
          <w:highlight w:val="none"/>
          <w:lang w:val="en-US" w:eastAsia="zh-CN"/>
        </w:rPr>
        <w:t>二十二</w:t>
      </w:r>
      <w:r>
        <w:rPr>
          <w:rFonts w:hint="eastAsia" w:ascii="宋体" w:hAnsi="宋体" w:eastAsia="宋体" w:cs="宋体"/>
          <w:highlight w:val="none"/>
        </w:rPr>
        <w:t>：质疑函范本</w:t>
      </w:r>
      <w:r>
        <w:tab/>
      </w:r>
      <w:r>
        <w:fldChar w:fldCharType="begin"/>
      </w:r>
      <w:r>
        <w:instrText xml:space="preserve"> PAGEREF _Toc17279 \h </w:instrText>
      </w:r>
      <w:r>
        <w:fldChar w:fldCharType="separate"/>
      </w:r>
      <w:r>
        <w:t>78</w:t>
      </w:r>
      <w:r>
        <w:fldChar w:fldCharType="end"/>
      </w:r>
      <w:r>
        <w:rPr>
          <w:rFonts w:hint="eastAsia" w:ascii="宋体" w:hAnsi="宋体" w:eastAsia="宋体" w:cs="宋体"/>
          <w:color w:val="auto"/>
          <w:highlight w:val="none"/>
        </w:rPr>
        <w:fldChar w:fldCharType="end"/>
      </w:r>
    </w:p>
    <w:p>
      <w:pPr>
        <w:pStyle w:val="30"/>
        <w:tabs>
          <w:tab w:val="right" w:leader="dot" w:pos="9070"/>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_Toc23493 </w:instrText>
      </w:r>
      <w:r>
        <w:rPr>
          <w:rFonts w:hint="eastAsia" w:ascii="宋体" w:hAnsi="宋体" w:eastAsia="宋体" w:cs="宋体"/>
          <w:highlight w:val="none"/>
        </w:rPr>
        <w:fldChar w:fldCharType="separate"/>
      </w:r>
      <w:r>
        <w:rPr>
          <w:rFonts w:hint="eastAsia" w:ascii="宋体" w:hAnsi="宋体" w:eastAsia="宋体" w:cs="宋体"/>
          <w:highlight w:val="none"/>
        </w:rPr>
        <w:t>附件</w:t>
      </w:r>
      <w:r>
        <w:rPr>
          <w:rFonts w:hint="eastAsia" w:ascii="宋体" w:hAnsi="宋体" w:eastAsia="宋体" w:cs="宋体"/>
          <w:highlight w:val="none"/>
          <w:lang w:val="en-US" w:eastAsia="zh-CN"/>
        </w:rPr>
        <w:t>二十三</w:t>
      </w:r>
      <w:r>
        <w:rPr>
          <w:rFonts w:hint="eastAsia" w:ascii="宋体" w:hAnsi="宋体" w:eastAsia="宋体" w:cs="宋体"/>
          <w:highlight w:val="none"/>
        </w:rPr>
        <w:t>：投诉书范本</w:t>
      </w:r>
      <w:r>
        <w:tab/>
      </w:r>
      <w:r>
        <w:fldChar w:fldCharType="begin"/>
      </w:r>
      <w:r>
        <w:instrText xml:space="preserve"> PAGEREF _Toc23493 \h </w:instrText>
      </w:r>
      <w:r>
        <w:fldChar w:fldCharType="separate"/>
      </w:r>
      <w:r>
        <w:t>80</w:t>
      </w:r>
      <w:r>
        <w:fldChar w:fldCharType="end"/>
      </w:r>
      <w:r>
        <w:rPr>
          <w:rFonts w:hint="eastAsia" w:ascii="宋体" w:hAnsi="宋体" w:eastAsia="宋体" w:cs="宋体"/>
          <w:color w:val="auto"/>
          <w:highlight w:val="none"/>
        </w:rPr>
        <w:fldChar w:fldCharType="end"/>
      </w:r>
    </w:p>
    <w:p>
      <w:pPr>
        <w:pStyle w:val="27"/>
        <w:tabs>
          <w:tab w:val="right" w:leader="dot" w:pos="9402"/>
        </w:tabs>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end"/>
      </w:r>
    </w:p>
    <w:p>
      <w:pPr>
        <w:spacing w:line="360" w:lineRule="auto"/>
        <w:rPr>
          <w:rFonts w:hint="eastAsia" w:ascii="宋体" w:hAnsi="宋体" w:eastAsia="宋体" w:cs="宋体"/>
          <w:color w:val="auto"/>
          <w:sz w:val="24"/>
          <w:highlight w:val="none"/>
        </w:rPr>
      </w:pPr>
    </w:p>
    <w:p>
      <w:pPr>
        <w:pStyle w:val="27"/>
        <w:pageBreakBefore/>
        <w:tabs>
          <w:tab w:val="right" w:leader="dot" w:pos="9402"/>
        </w:tabs>
        <w:spacing w:line="460" w:lineRule="exact"/>
        <w:jc w:val="center"/>
        <w:outlineLvl w:val="0"/>
        <w:rPr>
          <w:rFonts w:hint="eastAsia" w:ascii="宋体" w:hAnsi="宋体" w:eastAsia="宋体" w:cs="宋体"/>
          <w:b/>
          <w:color w:val="auto"/>
          <w:sz w:val="24"/>
          <w:highlight w:val="none"/>
        </w:rPr>
      </w:pPr>
      <w:bookmarkStart w:id="0" w:name="_Toc7016"/>
      <w:r>
        <w:rPr>
          <w:rFonts w:hint="eastAsia" w:ascii="宋体" w:hAnsi="宋体" w:eastAsia="宋体" w:cs="宋体"/>
          <w:b/>
          <w:color w:val="auto"/>
          <w:sz w:val="24"/>
          <w:highlight w:val="none"/>
        </w:rPr>
        <w:t>第一章  公开招标采购公告</w:t>
      </w:r>
      <w:bookmarkEnd w:id="0"/>
      <w:r>
        <w:rPr>
          <w:rFonts w:hint="eastAsia" w:ascii="宋体" w:hAnsi="宋体" w:eastAsia="宋体" w:cs="宋体"/>
          <w:b/>
          <w:color w:val="auto"/>
          <w:sz w:val="24"/>
          <w:highlight w:val="none"/>
        </w:rPr>
        <w:t xml:space="preserve"> </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56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560" w:lineRule="exact"/>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eastAsia="zh-CN"/>
        </w:rPr>
        <w:t>东阳市人民医院中心监护系统、监护仪、麻醉监护仪、呼吸机设备采购项目</w:t>
      </w:r>
      <w:r>
        <w:rPr>
          <w:rFonts w:hint="eastAsia" w:ascii="宋体" w:hAnsi="宋体" w:eastAsia="宋体" w:cs="宋体"/>
          <w:color w:val="auto"/>
          <w:sz w:val="24"/>
          <w:highlight w:val="none"/>
        </w:rPr>
        <w:t>的潜在投标人应在浙江政府采购网（http://zfcg.czt.zj.gov.cn/）；东阳市公共资源交易网(http://www.dongyang.gov.cn/ggzyjy/index.html)获取（下载）招标文件，并于</w:t>
      </w:r>
      <w:r>
        <w:rPr>
          <w:rFonts w:hint="eastAsia" w:ascii="宋体" w:hAnsi="宋体" w:cs="宋体"/>
          <w:color w:val="auto"/>
          <w:sz w:val="24"/>
          <w:highlight w:val="none"/>
          <w:lang w:eastAsia="zh-CN"/>
        </w:rPr>
        <w:t>2022年</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9</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lang w:eastAsia="zh-CN"/>
        </w:rPr>
        <w:t>分</w:t>
      </w:r>
      <w:r>
        <w:rPr>
          <w:rFonts w:hint="eastAsia" w:ascii="宋体" w:hAnsi="宋体" w:eastAsia="宋体" w:cs="宋体"/>
          <w:color w:val="auto"/>
          <w:sz w:val="24"/>
          <w:highlight w:val="none"/>
        </w:rPr>
        <w:t>（北京时间）前递交（上传）电子投标文件。</w:t>
      </w:r>
    </w:p>
    <w:p>
      <w:pPr>
        <w:keepNext w:val="0"/>
        <w:keepLines w:val="0"/>
        <w:pageBreakBefore w:val="0"/>
        <w:numPr>
          <w:ilvl w:val="0"/>
          <w:numId w:val="4"/>
        </w:numPr>
        <w:kinsoku/>
        <w:wordWrap/>
        <w:overflowPunct/>
        <w:topLinePunct w:val="0"/>
        <w:autoSpaceDE/>
        <w:autoSpaceDN/>
        <w:bidi w:val="0"/>
        <w:adjustRightInd/>
        <w:snapToGrid w:val="0"/>
        <w:spacing w:line="56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项目基本情况</w:t>
      </w:r>
    </w:p>
    <w:p>
      <w:pPr>
        <w:keepNext w:val="0"/>
        <w:keepLines w:val="0"/>
        <w:pageBreakBefore w:val="0"/>
        <w:kinsoku/>
        <w:wordWrap/>
        <w:overflowPunct/>
        <w:topLinePunct w:val="0"/>
        <w:autoSpaceDE/>
        <w:autoSpaceDN/>
        <w:bidi w:val="0"/>
        <w:adjustRightInd/>
        <w:spacing w:line="560" w:lineRule="exact"/>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rPr>
        <w:t>项目编号：</w:t>
      </w:r>
      <w:r>
        <w:rPr>
          <w:rFonts w:hint="eastAsia" w:ascii="宋体" w:hAnsi="宋体" w:cs="宋体"/>
          <w:b/>
          <w:bCs/>
          <w:color w:val="auto"/>
          <w:sz w:val="24"/>
          <w:highlight w:val="none"/>
          <w:lang w:eastAsia="zh-CN"/>
        </w:rPr>
        <w:t>XSZFCGDZ2022-208</w:t>
      </w:r>
    </w:p>
    <w:p>
      <w:pPr>
        <w:keepNext w:val="0"/>
        <w:keepLines w:val="0"/>
        <w:pageBreakBefore w:val="0"/>
        <w:kinsoku/>
        <w:wordWrap/>
        <w:overflowPunct/>
        <w:topLinePunct w:val="0"/>
        <w:autoSpaceDE/>
        <w:autoSpaceDN/>
        <w:bidi w:val="0"/>
        <w:adjustRightInd/>
        <w:spacing w:line="560" w:lineRule="exact"/>
        <w:rPr>
          <w:rFonts w:hint="eastAsia" w:ascii="宋体" w:hAnsi="宋体" w:eastAsia="宋体" w:cs="宋体"/>
          <w:color w:val="auto"/>
          <w:sz w:val="24"/>
          <w:highlight w:val="none"/>
          <w:lang w:eastAsia="zh-CN"/>
        </w:rPr>
      </w:pPr>
      <w:r>
        <w:rPr>
          <w:rFonts w:hint="eastAsia" w:ascii="宋体" w:hAnsi="宋体" w:eastAsia="宋体" w:cs="宋体"/>
          <w:b/>
          <w:bCs/>
          <w:color w:val="auto"/>
          <w:sz w:val="24"/>
          <w:highlight w:val="none"/>
        </w:rPr>
        <w:t>项目名称：</w:t>
      </w:r>
      <w:r>
        <w:rPr>
          <w:rFonts w:hint="eastAsia" w:ascii="宋体" w:hAnsi="宋体" w:cs="宋体"/>
          <w:b/>
          <w:bCs/>
          <w:color w:val="auto"/>
          <w:sz w:val="24"/>
          <w:highlight w:val="none"/>
          <w:lang w:eastAsia="zh-CN"/>
        </w:rPr>
        <w:t>东阳市人民医院中心监护系统、监护仪、麻醉监护仪、呼吸机设备采购项目</w:t>
      </w:r>
    </w:p>
    <w:p>
      <w:pPr>
        <w:keepNext w:val="0"/>
        <w:keepLines w:val="0"/>
        <w:pageBreakBefore w:val="0"/>
        <w:kinsoku/>
        <w:wordWrap/>
        <w:overflowPunct/>
        <w:topLinePunct w:val="0"/>
        <w:autoSpaceDE/>
        <w:autoSpaceDN/>
        <w:bidi w:val="0"/>
        <w:adjustRightInd/>
        <w:spacing w:line="560" w:lineRule="exact"/>
        <w:ind w:firstLine="480" w:firstLineChars="200"/>
        <w:rPr>
          <w:rFonts w:hint="eastAsia" w:ascii="宋体" w:hAnsi="宋体" w:cs="宋体"/>
          <w:bCs/>
          <w:color w:val="auto"/>
          <w:sz w:val="24"/>
          <w:highlight w:val="none"/>
          <w:lang w:val="en-US" w:eastAsia="zh-CN"/>
        </w:rPr>
      </w:pPr>
      <w:r>
        <w:rPr>
          <w:rFonts w:hint="eastAsia" w:ascii="宋体" w:hAnsi="宋体" w:eastAsia="宋体" w:cs="宋体"/>
          <w:bCs/>
          <w:color w:val="auto"/>
          <w:sz w:val="24"/>
          <w:highlight w:val="none"/>
        </w:rPr>
        <w:t>预算金额（元）：</w:t>
      </w:r>
      <w:r>
        <w:rPr>
          <w:rFonts w:hint="eastAsia" w:ascii="宋体" w:hAnsi="宋体" w:cs="宋体"/>
          <w:bCs/>
          <w:color w:val="auto"/>
          <w:sz w:val="24"/>
          <w:highlight w:val="none"/>
          <w:lang w:val="en-US" w:eastAsia="zh-CN"/>
        </w:rPr>
        <w:t>标一：5400000；标二：3000000；</w:t>
      </w:r>
    </w:p>
    <w:p>
      <w:pPr>
        <w:keepNext w:val="0"/>
        <w:keepLines w:val="0"/>
        <w:pageBreakBefore w:val="0"/>
        <w:kinsoku/>
        <w:wordWrap/>
        <w:overflowPunct/>
        <w:topLinePunct w:val="0"/>
        <w:autoSpaceDE/>
        <w:autoSpaceDN/>
        <w:bidi w:val="0"/>
        <w:adjustRightInd/>
        <w:spacing w:line="560" w:lineRule="exact"/>
        <w:ind w:firstLine="480" w:firstLineChars="200"/>
        <w:rPr>
          <w:rFonts w:hint="eastAsia" w:ascii="宋体" w:hAnsi="宋体" w:cs="宋体"/>
          <w:color w:val="auto"/>
          <w:sz w:val="24"/>
          <w:highlight w:val="none"/>
          <w:lang w:val="en-US" w:eastAsia="zh-CN"/>
        </w:rPr>
      </w:pPr>
      <w:r>
        <w:rPr>
          <w:rFonts w:hint="eastAsia" w:ascii="宋体" w:hAnsi="宋体" w:eastAsia="宋体" w:cs="宋体"/>
          <w:bCs/>
          <w:color w:val="auto"/>
          <w:sz w:val="24"/>
          <w:highlight w:val="none"/>
        </w:rPr>
        <w:t>最高限价（元）：</w:t>
      </w:r>
      <w:r>
        <w:rPr>
          <w:rFonts w:hint="eastAsia" w:ascii="宋体" w:hAnsi="宋体" w:cs="宋体"/>
          <w:bCs/>
          <w:color w:val="auto"/>
          <w:sz w:val="24"/>
          <w:highlight w:val="none"/>
          <w:lang w:val="en-US" w:eastAsia="zh-CN"/>
        </w:rPr>
        <w:t>标一：5400000；标二：3000000</w:t>
      </w:r>
      <w:r>
        <w:rPr>
          <w:rFonts w:hint="eastAsia" w:ascii="宋体" w:hAnsi="宋体" w:cs="宋体"/>
          <w:color w:val="auto"/>
          <w:sz w:val="24"/>
          <w:highlight w:val="none"/>
          <w:lang w:val="en-US" w:eastAsia="zh-CN"/>
        </w:rPr>
        <w:t>；</w:t>
      </w:r>
    </w:p>
    <w:p>
      <w:pPr>
        <w:keepNext w:val="0"/>
        <w:keepLines w:val="0"/>
        <w:pageBreakBefore w:val="0"/>
        <w:kinsoku/>
        <w:wordWrap/>
        <w:overflowPunct/>
        <w:topLinePunct w:val="0"/>
        <w:autoSpaceDE/>
        <w:autoSpaceDN/>
        <w:bidi w:val="0"/>
        <w:adjustRightInd/>
        <w:spacing w:line="56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采购需求：</w:t>
      </w:r>
    </w:p>
    <w:p>
      <w:pPr>
        <w:pStyle w:val="16"/>
        <w:keepNext w:val="0"/>
        <w:keepLines w:val="0"/>
        <w:pageBreakBefore w:val="0"/>
        <w:kinsoku/>
        <w:wordWrap/>
        <w:overflowPunct/>
        <w:topLinePunct w:val="0"/>
        <w:autoSpaceDE/>
        <w:autoSpaceDN/>
        <w:bidi w:val="0"/>
        <w:adjustRightInd/>
        <w:spacing w:line="56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标项一：</w:t>
      </w:r>
    </w:p>
    <w:p>
      <w:pPr>
        <w:pStyle w:val="16"/>
        <w:keepNext w:val="0"/>
        <w:keepLines w:val="0"/>
        <w:pageBreakBefore w:val="0"/>
        <w:kinsoku/>
        <w:wordWrap/>
        <w:overflowPunct/>
        <w:topLinePunct w:val="0"/>
        <w:autoSpaceDE/>
        <w:autoSpaceDN/>
        <w:bidi w:val="0"/>
        <w:adjustRightInd/>
        <w:spacing w:line="560" w:lineRule="exact"/>
        <w:ind w:left="1679" w:leftChars="228" w:hanging="1200" w:hangingChars="500"/>
        <w:rPr>
          <w:rFonts w:hint="default" w:ascii="宋体" w:hAnsi="宋体" w:eastAsia="宋体" w:cs="宋体"/>
          <w:b w:val="0"/>
          <w:bCs w:val="0"/>
          <w:color w:val="auto"/>
          <w:sz w:val="24"/>
          <w:highlight w:val="none"/>
          <w:lang w:val="en-US"/>
        </w:rPr>
      </w:pPr>
      <w:r>
        <w:rPr>
          <w:rFonts w:hint="eastAsia" w:ascii="宋体" w:hAnsi="宋体" w:eastAsia="宋体" w:cs="宋体"/>
          <w:color w:val="auto"/>
          <w:sz w:val="24"/>
          <w:highlight w:val="none"/>
        </w:rPr>
        <w:t>标项名称：</w:t>
      </w:r>
      <w:r>
        <w:rPr>
          <w:rFonts w:hint="eastAsia" w:ascii="宋体" w:hAnsi="宋体" w:cs="宋体"/>
          <w:b w:val="0"/>
          <w:bCs w:val="0"/>
          <w:color w:val="auto"/>
          <w:sz w:val="24"/>
          <w:highlight w:val="none"/>
          <w:lang w:eastAsia="zh-CN"/>
        </w:rPr>
        <w:t>中心监护系统、监护仪、呼吸机</w:t>
      </w:r>
    </w:p>
    <w:p>
      <w:pPr>
        <w:pStyle w:val="16"/>
        <w:keepNext w:val="0"/>
        <w:keepLines w:val="0"/>
        <w:pageBreakBefore w:val="0"/>
        <w:kinsoku/>
        <w:wordWrap/>
        <w:overflowPunct/>
        <w:topLinePunct w:val="0"/>
        <w:autoSpaceDE/>
        <w:autoSpaceDN/>
        <w:bidi w:val="0"/>
        <w:adjustRightInd/>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数量：1</w:t>
      </w:r>
      <w:r>
        <w:rPr>
          <w:rFonts w:hint="eastAsia" w:ascii="宋体" w:hAnsi="宋体" w:cs="宋体"/>
          <w:color w:val="auto"/>
          <w:sz w:val="24"/>
          <w:highlight w:val="none"/>
          <w:lang w:eastAsia="zh-CN"/>
        </w:rPr>
        <w:t>批</w:t>
      </w:r>
      <w:r>
        <w:rPr>
          <w:rFonts w:hint="eastAsia" w:ascii="宋体" w:hAnsi="宋体" w:eastAsia="宋体" w:cs="宋体"/>
          <w:color w:val="auto"/>
          <w:sz w:val="24"/>
          <w:highlight w:val="none"/>
        </w:rPr>
        <w:t xml:space="preserve"> </w:t>
      </w:r>
    </w:p>
    <w:p>
      <w:pPr>
        <w:pStyle w:val="16"/>
        <w:keepNext w:val="0"/>
        <w:keepLines w:val="0"/>
        <w:pageBreakBefore w:val="0"/>
        <w:kinsoku/>
        <w:wordWrap/>
        <w:overflowPunct/>
        <w:topLinePunct w:val="0"/>
        <w:autoSpaceDE/>
        <w:autoSpaceDN/>
        <w:bidi w:val="0"/>
        <w:adjustRightInd/>
        <w:spacing w:line="560" w:lineRule="exact"/>
        <w:ind w:firstLine="480" w:firstLineChars="200"/>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rPr>
        <w:t>预算金额（元）：</w:t>
      </w:r>
      <w:r>
        <w:rPr>
          <w:rFonts w:hint="eastAsia" w:ascii="宋体" w:hAnsi="宋体" w:cs="宋体"/>
          <w:color w:val="auto"/>
          <w:sz w:val="24"/>
          <w:highlight w:val="none"/>
          <w:lang w:val="en-US" w:eastAsia="zh-CN"/>
        </w:rPr>
        <w:t>5400000</w:t>
      </w:r>
    </w:p>
    <w:p>
      <w:pPr>
        <w:pStyle w:val="16"/>
        <w:keepNext w:val="0"/>
        <w:keepLines w:val="0"/>
        <w:pageBreakBefore w:val="0"/>
        <w:kinsoku/>
        <w:wordWrap/>
        <w:overflowPunct/>
        <w:topLinePunct w:val="0"/>
        <w:autoSpaceDE/>
        <w:autoSpaceDN/>
        <w:bidi w:val="0"/>
        <w:adjustRightInd/>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简要规格描述或项目基本概况介绍、用途：具体要求详见第二章招标需求</w:t>
      </w:r>
    </w:p>
    <w:p>
      <w:pPr>
        <w:pStyle w:val="16"/>
        <w:keepNext w:val="0"/>
        <w:keepLines w:val="0"/>
        <w:pageBreakBefore w:val="0"/>
        <w:kinsoku/>
        <w:wordWrap/>
        <w:overflowPunct/>
        <w:topLinePunct w:val="0"/>
        <w:autoSpaceDE/>
        <w:autoSpaceDN/>
        <w:bidi w:val="0"/>
        <w:adjustRightInd/>
        <w:spacing w:line="560" w:lineRule="exact"/>
        <w:ind w:firstLine="480" w:firstLineChars="200"/>
        <w:rPr>
          <w:rFonts w:hint="eastAsia" w:ascii="宋体" w:hAnsi="宋体" w:cs="宋体"/>
          <w:color w:val="auto"/>
          <w:sz w:val="24"/>
          <w:highlight w:val="none"/>
          <w:lang w:eastAsia="zh-CN"/>
        </w:rPr>
      </w:pPr>
      <w:r>
        <w:rPr>
          <w:rFonts w:hint="eastAsia" w:ascii="宋体" w:hAnsi="宋体" w:eastAsia="宋体" w:cs="宋体"/>
          <w:color w:val="auto"/>
          <w:sz w:val="24"/>
          <w:highlight w:val="none"/>
        </w:rPr>
        <w:t>备注：</w:t>
      </w:r>
      <w:r>
        <w:rPr>
          <w:rFonts w:hint="eastAsia" w:ascii="宋体" w:hAnsi="宋体" w:cs="宋体"/>
          <w:color w:val="auto"/>
          <w:sz w:val="24"/>
          <w:highlight w:val="none"/>
          <w:lang w:eastAsia="zh-CN"/>
        </w:rPr>
        <w:t>允许进口</w:t>
      </w:r>
    </w:p>
    <w:p>
      <w:pPr>
        <w:pStyle w:val="16"/>
        <w:keepNext w:val="0"/>
        <w:keepLines w:val="0"/>
        <w:pageBreakBefore w:val="0"/>
        <w:kinsoku/>
        <w:wordWrap/>
        <w:overflowPunct/>
        <w:topLinePunct w:val="0"/>
        <w:autoSpaceDE/>
        <w:autoSpaceDN/>
        <w:bidi w:val="0"/>
        <w:adjustRightInd/>
        <w:spacing w:line="56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标项</w:t>
      </w:r>
      <w:r>
        <w:rPr>
          <w:rFonts w:hint="eastAsia" w:ascii="宋体" w:hAnsi="宋体" w:cs="宋体"/>
          <w:b/>
          <w:bCs/>
          <w:color w:val="auto"/>
          <w:sz w:val="24"/>
          <w:highlight w:val="none"/>
          <w:lang w:val="en-US" w:eastAsia="zh-CN"/>
        </w:rPr>
        <w:t>二</w:t>
      </w:r>
      <w:r>
        <w:rPr>
          <w:rFonts w:hint="eastAsia" w:ascii="宋体" w:hAnsi="宋体" w:eastAsia="宋体" w:cs="宋体"/>
          <w:b/>
          <w:bCs/>
          <w:color w:val="auto"/>
          <w:sz w:val="24"/>
          <w:highlight w:val="none"/>
          <w:lang w:val="en-US" w:eastAsia="zh-CN"/>
        </w:rPr>
        <w:t>：</w:t>
      </w:r>
    </w:p>
    <w:p>
      <w:pPr>
        <w:pStyle w:val="16"/>
        <w:keepNext w:val="0"/>
        <w:keepLines w:val="0"/>
        <w:pageBreakBefore w:val="0"/>
        <w:kinsoku/>
        <w:wordWrap/>
        <w:overflowPunct/>
        <w:topLinePunct w:val="0"/>
        <w:autoSpaceDE/>
        <w:autoSpaceDN/>
        <w:bidi w:val="0"/>
        <w:adjustRightInd/>
        <w:spacing w:line="560" w:lineRule="exact"/>
        <w:ind w:left="1679" w:leftChars="228" w:hanging="1200" w:hangingChars="500"/>
        <w:rPr>
          <w:rFonts w:hint="default" w:ascii="宋体" w:hAnsi="宋体" w:eastAsia="宋体" w:cs="宋体"/>
          <w:b w:val="0"/>
          <w:bCs w:val="0"/>
          <w:color w:val="auto"/>
          <w:sz w:val="24"/>
          <w:highlight w:val="none"/>
          <w:lang w:val="en-US"/>
        </w:rPr>
      </w:pPr>
      <w:r>
        <w:rPr>
          <w:rFonts w:hint="eastAsia" w:ascii="宋体" w:hAnsi="宋体" w:eastAsia="宋体" w:cs="宋体"/>
          <w:color w:val="auto"/>
          <w:sz w:val="24"/>
          <w:highlight w:val="none"/>
        </w:rPr>
        <w:t>标项名称：</w:t>
      </w:r>
      <w:r>
        <w:rPr>
          <w:rFonts w:hint="eastAsia" w:ascii="宋体" w:hAnsi="宋体" w:cs="宋体"/>
          <w:b w:val="0"/>
          <w:bCs w:val="0"/>
          <w:color w:val="auto"/>
          <w:sz w:val="24"/>
          <w:highlight w:val="none"/>
          <w:lang w:eastAsia="zh-CN"/>
        </w:rPr>
        <w:t>麻醉监护仪、呼吸机</w:t>
      </w:r>
    </w:p>
    <w:p>
      <w:pPr>
        <w:pStyle w:val="16"/>
        <w:keepNext w:val="0"/>
        <w:keepLines w:val="0"/>
        <w:pageBreakBefore w:val="0"/>
        <w:kinsoku/>
        <w:wordWrap/>
        <w:overflowPunct/>
        <w:topLinePunct w:val="0"/>
        <w:autoSpaceDE/>
        <w:autoSpaceDN/>
        <w:bidi w:val="0"/>
        <w:adjustRightInd/>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数量：1</w:t>
      </w:r>
      <w:r>
        <w:rPr>
          <w:rFonts w:hint="eastAsia" w:ascii="宋体" w:hAnsi="宋体" w:cs="宋体"/>
          <w:color w:val="auto"/>
          <w:sz w:val="24"/>
          <w:highlight w:val="none"/>
          <w:lang w:eastAsia="zh-CN"/>
        </w:rPr>
        <w:t>批</w:t>
      </w:r>
      <w:r>
        <w:rPr>
          <w:rFonts w:hint="eastAsia" w:ascii="宋体" w:hAnsi="宋体" w:eastAsia="宋体" w:cs="宋体"/>
          <w:color w:val="auto"/>
          <w:sz w:val="24"/>
          <w:highlight w:val="none"/>
        </w:rPr>
        <w:t xml:space="preserve"> </w:t>
      </w:r>
    </w:p>
    <w:p>
      <w:pPr>
        <w:pStyle w:val="16"/>
        <w:keepNext w:val="0"/>
        <w:keepLines w:val="0"/>
        <w:pageBreakBefore w:val="0"/>
        <w:kinsoku/>
        <w:wordWrap/>
        <w:overflowPunct/>
        <w:topLinePunct w:val="0"/>
        <w:autoSpaceDE/>
        <w:autoSpaceDN/>
        <w:bidi w:val="0"/>
        <w:adjustRightInd/>
        <w:spacing w:line="560" w:lineRule="exact"/>
        <w:ind w:firstLine="480" w:firstLineChars="200"/>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rPr>
        <w:t>预算金额（元）：</w:t>
      </w:r>
      <w:r>
        <w:rPr>
          <w:rFonts w:hint="eastAsia" w:ascii="宋体" w:hAnsi="宋体" w:cs="宋体"/>
          <w:color w:val="auto"/>
          <w:sz w:val="24"/>
          <w:highlight w:val="none"/>
          <w:lang w:val="en-US" w:eastAsia="zh-CN"/>
        </w:rPr>
        <w:t>3000000</w:t>
      </w:r>
    </w:p>
    <w:p>
      <w:pPr>
        <w:pStyle w:val="16"/>
        <w:keepNext w:val="0"/>
        <w:keepLines w:val="0"/>
        <w:pageBreakBefore w:val="0"/>
        <w:kinsoku/>
        <w:wordWrap/>
        <w:overflowPunct/>
        <w:topLinePunct w:val="0"/>
        <w:autoSpaceDE/>
        <w:autoSpaceDN/>
        <w:bidi w:val="0"/>
        <w:adjustRightInd/>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简要规格描述或项目基本概况介绍、用途：具体要求详见第二章招标需求</w:t>
      </w:r>
    </w:p>
    <w:p>
      <w:pPr>
        <w:pStyle w:val="16"/>
        <w:keepNext w:val="0"/>
        <w:keepLines w:val="0"/>
        <w:pageBreakBefore w:val="0"/>
        <w:kinsoku/>
        <w:wordWrap/>
        <w:overflowPunct/>
        <w:topLinePunct w:val="0"/>
        <w:autoSpaceDE/>
        <w:autoSpaceDN/>
        <w:bidi w:val="0"/>
        <w:adjustRightInd/>
        <w:spacing w:line="560" w:lineRule="exact"/>
        <w:ind w:firstLine="480" w:firstLineChars="200"/>
        <w:rPr>
          <w:rFonts w:hint="eastAsia"/>
          <w:highlight w:val="none"/>
          <w:lang w:eastAsia="zh-CN"/>
        </w:rPr>
      </w:pPr>
      <w:r>
        <w:rPr>
          <w:rFonts w:hint="eastAsia" w:ascii="宋体" w:hAnsi="宋体" w:eastAsia="宋体" w:cs="宋体"/>
          <w:color w:val="auto"/>
          <w:sz w:val="24"/>
          <w:highlight w:val="none"/>
        </w:rPr>
        <w:t>备注：</w:t>
      </w:r>
      <w:r>
        <w:rPr>
          <w:rFonts w:hint="eastAsia" w:ascii="宋体" w:hAnsi="宋体" w:cs="宋体"/>
          <w:color w:val="auto"/>
          <w:sz w:val="24"/>
          <w:highlight w:val="none"/>
          <w:lang w:eastAsia="zh-CN"/>
        </w:rPr>
        <w:t>允许进口</w:t>
      </w:r>
    </w:p>
    <w:p>
      <w:pPr>
        <w:pStyle w:val="16"/>
        <w:keepNext w:val="0"/>
        <w:keepLines w:val="0"/>
        <w:pageBreakBefore w:val="0"/>
        <w:kinsoku/>
        <w:wordWrap/>
        <w:overflowPunct/>
        <w:topLinePunct w:val="0"/>
        <w:autoSpaceDE/>
        <w:autoSpaceDN/>
        <w:bidi w:val="0"/>
        <w:adjustRightInd/>
        <w:spacing w:line="56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合同履约期限：详见招标文件</w:t>
      </w:r>
    </w:p>
    <w:p>
      <w:pPr>
        <w:keepNext w:val="0"/>
        <w:keepLines w:val="0"/>
        <w:pageBreakBefore w:val="0"/>
        <w:kinsoku/>
        <w:wordWrap/>
        <w:overflowPunct/>
        <w:topLinePunct w:val="0"/>
        <w:autoSpaceDE/>
        <w:autoSpaceDN/>
        <w:bidi w:val="0"/>
        <w:adjustRightInd/>
        <w:snapToGrid w:val="0"/>
        <w:spacing w:line="56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本项目接受联合体投标</w:t>
      </w:r>
    </w:p>
    <w:p>
      <w:pPr>
        <w:keepNext w:val="0"/>
        <w:keepLines w:val="0"/>
        <w:pageBreakBefore w:val="0"/>
        <w:kinsoku/>
        <w:wordWrap/>
        <w:overflowPunct/>
        <w:topLinePunct w:val="0"/>
        <w:autoSpaceDE/>
        <w:autoSpaceDN/>
        <w:bidi w:val="0"/>
        <w:adjustRightInd/>
        <w:snapToGrid w:val="0"/>
        <w:spacing w:line="560" w:lineRule="exact"/>
        <w:rPr>
          <w:rFonts w:hint="eastAsia" w:ascii="宋体" w:hAnsi="宋体" w:eastAsia="宋体" w:cs="宋体"/>
          <w:b/>
          <w:bCs/>
          <w:strike/>
          <w:color w:val="auto"/>
          <w:sz w:val="24"/>
          <w:highlight w:val="none"/>
        </w:rPr>
      </w:pPr>
      <w:r>
        <w:rPr>
          <w:rFonts w:hint="eastAsia" w:ascii="宋体" w:hAnsi="宋体" w:eastAsia="宋体" w:cs="宋体"/>
          <w:b/>
          <w:bCs/>
          <w:color w:val="auto"/>
          <w:sz w:val="24"/>
          <w:highlight w:val="none"/>
        </w:rPr>
        <w:t xml:space="preserve">▲二、申请人的资格要求： </w:t>
      </w:r>
    </w:p>
    <w:p>
      <w:pPr>
        <w:pStyle w:val="16"/>
        <w:keepNext w:val="0"/>
        <w:keepLines w:val="0"/>
        <w:pageBreakBefore w:val="0"/>
        <w:kinsoku/>
        <w:wordWrap/>
        <w:overflowPunct/>
        <w:topLinePunct w:val="0"/>
        <w:autoSpaceDE/>
        <w:autoSpaceDN/>
        <w:bidi w:val="0"/>
        <w:adjustRightInd/>
        <w:spacing w:line="56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snapToGrid w:val="0"/>
        <w:spacing w:line="360" w:lineRule="auto"/>
        <w:ind w:firstLine="720" w:firstLineChars="300"/>
        <w:rPr>
          <w:rFonts w:hint="eastAsia" w:ascii="宋体" w:hAnsi="宋体" w:cs="宋体"/>
          <w:color w:val="FF0000"/>
          <w:sz w:val="24"/>
          <w:highlight w:val="none"/>
        </w:rPr>
      </w:pPr>
      <w:r>
        <w:rPr>
          <w:rFonts w:hint="eastAsia" w:ascii="宋体" w:hAnsi="宋体" w:cs="宋体"/>
          <w:color w:val="auto"/>
          <w:sz w:val="24"/>
          <w:highlight w:val="none"/>
        </w:rPr>
        <w:t>2.落实政策：</w:t>
      </w:r>
    </w:p>
    <w:p>
      <w:pPr>
        <w:snapToGrid w:val="0"/>
        <w:spacing w:line="360" w:lineRule="auto"/>
        <w:ind w:firstLine="480" w:firstLineChars="200"/>
        <w:rPr>
          <w:rFonts w:hint="default"/>
          <w:color w:val="auto"/>
          <w:highlight w:val="none"/>
          <w:lang w:val="en-US" w:eastAsia="zh-CN"/>
        </w:rPr>
      </w:pPr>
      <w:r>
        <w:rPr>
          <w:rFonts w:hint="eastAsia" w:ascii="宋体" w:hAnsi="宋体" w:eastAsia="宋体" w:cs="宋体"/>
          <w:color w:val="auto"/>
          <w:sz w:val="24"/>
          <w:highlight w:val="none"/>
          <w:lang w:val="en-US" w:eastAsia="zh-CN"/>
        </w:rPr>
        <w:t>（1）落实政府采购政策需满足的资格要求：</w:t>
      </w:r>
      <w:r>
        <w:rPr>
          <w:rFonts w:hint="eastAsia" w:ascii="宋体" w:hAnsi="宋体" w:cs="宋体"/>
          <w:color w:val="auto"/>
          <w:sz w:val="24"/>
          <w:highlight w:val="none"/>
          <w:lang w:val="en-US" w:eastAsia="zh-CN"/>
        </w:rPr>
        <w:t>所有大中小微型企业均可参加投标。</w:t>
      </w:r>
    </w:p>
    <w:p>
      <w:pPr>
        <w:keepNext w:val="0"/>
        <w:keepLines w:val="0"/>
        <w:pageBreakBefore w:val="0"/>
        <w:kinsoku/>
        <w:wordWrap/>
        <w:overflowPunct/>
        <w:topLinePunct w:val="0"/>
        <w:autoSpaceDE/>
        <w:autoSpaceDN/>
        <w:bidi w:val="0"/>
        <w:adjustRightInd/>
        <w:snapToGrid w:val="0"/>
        <w:spacing w:line="56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（1）投标人具有医疗器械经营许可证；</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投标产品具有医疗器械注册证；</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）具有制造商或国内总代理针对本次招标项目的有效授权书及该行业国家规定</w:t>
      </w:r>
    </w:p>
    <w:p>
      <w:pPr>
        <w:keepNext w:val="0"/>
        <w:keepLines w:val="0"/>
        <w:pageBreakBefore w:val="0"/>
        <w:kinsoku/>
        <w:wordWrap/>
        <w:overflowPunct/>
        <w:topLinePunct w:val="0"/>
        <w:autoSpaceDE/>
        <w:autoSpaceDN/>
        <w:bidi w:val="0"/>
        <w:adjustRightInd/>
        <w:snapToGrid w:val="0"/>
        <w:spacing w:line="56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必备的资质、资格；（进口产品需提供厂家授权书，国产产品不需提供）</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（4）投</w:t>
      </w:r>
      <w:r>
        <w:rPr>
          <w:rFonts w:hint="eastAsia" w:ascii="宋体" w:hAnsi="宋体" w:eastAsia="宋体" w:cs="宋体"/>
          <w:color w:val="auto"/>
          <w:sz w:val="24"/>
          <w:highlight w:val="none"/>
        </w:rPr>
        <w:t>标人须为浙江政府采购网注册的正式供应商或承诺中标后30天内注册为浙江政府采购网正式供应商。</w:t>
      </w:r>
    </w:p>
    <w:p>
      <w:pPr>
        <w:keepNext w:val="0"/>
        <w:keepLines w:val="0"/>
        <w:pageBreakBefore w:val="0"/>
        <w:kinsoku/>
        <w:wordWrap/>
        <w:overflowPunct/>
        <w:topLinePunct w:val="0"/>
        <w:autoSpaceDE/>
        <w:autoSpaceDN/>
        <w:bidi w:val="0"/>
        <w:adjustRightInd/>
        <w:snapToGrid w:val="0"/>
        <w:spacing w:line="56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▲三、获取招标文件： </w:t>
      </w:r>
    </w:p>
    <w:p>
      <w:pPr>
        <w:keepNext w:val="0"/>
        <w:keepLines w:val="0"/>
        <w:pageBreakBefore w:val="0"/>
        <w:kinsoku/>
        <w:wordWrap/>
        <w:overflowPunct/>
        <w:topLinePunct w:val="0"/>
        <w:autoSpaceDE/>
        <w:autoSpaceDN/>
        <w:bidi w:val="0"/>
        <w:adjustRightInd/>
        <w:spacing w:line="560" w:lineRule="exact"/>
        <w:ind w:firstLine="640"/>
        <w:rPr>
          <w:rFonts w:hint="eastAsia" w:ascii="宋体" w:hAnsi="宋体" w:eastAsia="宋体" w:cs="宋体"/>
          <w:color w:val="auto"/>
          <w:sz w:val="24"/>
          <w:highlight w:val="none"/>
        </w:rPr>
      </w:pPr>
      <w:r>
        <w:rPr>
          <w:rFonts w:hint="eastAsia" w:ascii="宋体" w:hAnsi="宋体" w:eastAsia="宋体" w:cs="宋体"/>
          <w:color w:val="auto"/>
          <w:sz w:val="24"/>
          <w:highlight w:val="none"/>
        </w:rPr>
        <w:t>时间：/至</w:t>
      </w:r>
      <w:r>
        <w:rPr>
          <w:rFonts w:hint="eastAsia" w:ascii="宋体" w:hAnsi="宋体" w:cs="宋体"/>
          <w:color w:val="auto"/>
          <w:sz w:val="24"/>
          <w:highlight w:val="none"/>
          <w:lang w:eastAsia="zh-CN"/>
        </w:rPr>
        <w:t>2022年</w:t>
      </w:r>
      <w:r>
        <w:rPr>
          <w:rFonts w:hint="eastAsia" w:ascii="宋体" w:hAnsi="宋体" w:cs="宋体"/>
          <w:color w:val="auto"/>
          <w:sz w:val="24"/>
          <w:highlight w:val="none"/>
          <w:lang w:val="en-US" w:eastAsia="zh-CN"/>
        </w:rPr>
        <w:t>8月9日8时30分</w:t>
      </w:r>
      <w:r>
        <w:rPr>
          <w:rFonts w:hint="eastAsia" w:ascii="宋体" w:hAnsi="宋体" w:eastAsia="宋体" w:cs="宋体"/>
          <w:color w:val="auto"/>
          <w:sz w:val="24"/>
          <w:highlight w:val="none"/>
        </w:rPr>
        <w:t>，每天上午00：00至12:00，下午12:00至23:59（北京时间，线上获取法定节假日均可，线下获取文件法定节假日除外）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spacing w:line="560" w:lineRule="exact"/>
        <w:ind w:firstLine="640"/>
        <w:rPr>
          <w:rFonts w:hint="eastAsia" w:ascii="宋体" w:hAnsi="宋体" w:eastAsia="宋体" w:cs="宋体"/>
          <w:color w:val="auto"/>
          <w:sz w:val="24"/>
          <w:highlight w:val="none"/>
        </w:rPr>
      </w:pPr>
      <w:r>
        <w:rPr>
          <w:rFonts w:hint="eastAsia" w:ascii="宋体" w:hAnsi="宋体" w:eastAsia="宋体" w:cs="宋体"/>
          <w:color w:val="auto"/>
          <w:sz w:val="24"/>
          <w:highlight w:val="none"/>
        </w:rPr>
        <w:t>地点（网址）：浙江政府采购网（http://zfcg.czt.zj.gov.cn/）； 东阳市公共资源交易网(http://www.dongyang.gov.cn/ggzyjy/index.html)</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方式：1、由投标人通过登录浙江省政府采购网(http://zfcg.czt.zj.gov.cn/)上的政采云系统进行获取（首次参加投标的单位应先登录浙江省政府采购网(http://zfcg.czt.zj.gov.cn/)进行账户注册，注册完毕待审核成功后方可登录政采云系统获取；注册流程见网址</w:t>
      </w:r>
    </w:p>
    <w:p>
      <w:pPr>
        <w:keepNext w:val="0"/>
        <w:keepLines w:val="0"/>
        <w:pageBreakBefore w:val="0"/>
        <w:kinsoku/>
        <w:wordWrap/>
        <w:overflowPunct/>
        <w:topLinePunct w:val="0"/>
        <w:autoSpaceDE/>
        <w:autoSpaceDN/>
        <w:bidi w:val="0"/>
        <w:adjustRightInd/>
        <w:snapToGrid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http://zfcg.czt.zj.gov.cn/register/2017-07-24/6728.html?_=2017-11-13%2011:10:28）；</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2、招标文件获取流程：浙江政府采购网-政采云用户登录-用户中心-项目采购-获取采购文件管理。</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3、浙江政府采购网上以“游客”身份获取的采购文件仅供阅览；潜在供应商应按上述方式获取采购文件；未按上述方式获取采购文件的，不得对采购文件提起质疑投诉。</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售价（元）：0</w:t>
      </w:r>
    </w:p>
    <w:p>
      <w:pPr>
        <w:keepNext w:val="0"/>
        <w:keepLines w:val="0"/>
        <w:pageBreakBefore w:val="0"/>
        <w:kinsoku/>
        <w:wordWrap/>
        <w:overflowPunct/>
        <w:topLinePunct w:val="0"/>
        <w:autoSpaceDE/>
        <w:autoSpaceDN/>
        <w:bidi w:val="0"/>
        <w:adjustRightInd/>
        <w:snapToGrid w:val="0"/>
        <w:spacing w:line="56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四、提交投标文件截止时间、开标时间和地点</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提交投标文件截止时间：</w:t>
      </w:r>
      <w:r>
        <w:rPr>
          <w:rFonts w:hint="eastAsia" w:ascii="宋体" w:hAnsi="宋体" w:cs="宋体"/>
          <w:color w:val="auto"/>
          <w:sz w:val="24"/>
          <w:highlight w:val="none"/>
          <w:lang w:eastAsia="zh-CN"/>
        </w:rPr>
        <w:t>2022年</w:t>
      </w:r>
      <w:r>
        <w:rPr>
          <w:rFonts w:hint="eastAsia" w:ascii="宋体" w:hAnsi="宋体" w:cs="宋体"/>
          <w:color w:val="auto"/>
          <w:sz w:val="24"/>
          <w:highlight w:val="none"/>
          <w:lang w:val="en-US" w:eastAsia="zh-CN"/>
        </w:rPr>
        <w:t>8月9日8时30分</w:t>
      </w:r>
      <w:r>
        <w:rPr>
          <w:rFonts w:hint="eastAsia" w:ascii="宋体" w:hAnsi="宋体" w:eastAsia="宋体" w:cs="宋体"/>
          <w:color w:val="auto"/>
          <w:sz w:val="24"/>
          <w:highlight w:val="none"/>
        </w:rPr>
        <w:t>（北京时间）</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投标地点（网址）：政采云平台</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开标时间：</w:t>
      </w:r>
      <w:r>
        <w:rPr>
          <w:rFonts w:hint="eastAsia" w:ascii="宋体" w:hAnsi="宋体" w:cs="宋体"/>
          <w:color w:val="auto"/>
          <w:sz w:val="24"/>
          <w:highlight w:val="none"/>
          <w:lang w:eastAsia="zh-CN"/>
        </w:rPr>
        <w:t>2022年</w:t>
      </w:r>
      <w:r>
        <w:rPr>
          <w:rFonts w:hint="eastAsia" w:ascii="宋体" w:hAnsi="宋体" w:cs="宋体"/>
          <w:color w:val="auto"/>
          <w:sz w:val="24"/>
          <w:highlight w:val="none"/>
          <w:lang w:val="en-US" w:eastAsia="zh-CN"/>
        </w:rPr>
        <w:t>8月9日8时30分</w:t>
      </w:r>
    </w:p>
    <w:p>
      <w:pPr>
        <w:keepNext w:val="0"/>
        <w:keepLines w:val="0"/>
        <w:pageBreakBefore w:val="0"/>
        <w:kinsoku/>
        <w:wordWrap/>
        <w:overflowPunct/>
        <w:topLinePunct w:val="0"/>
        <w:autoSpaceDE/>
        <w:autoSpaceDN/>
        <w:bidi w:val="0"/>
        <w:adjustRightInd/>
        <w:snapToGrid w:val="0"/>
        <w:spacing w:line="560" w:lineRule="exact"/>
        <w:ind w:firstLine="481"/>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开标地点（网址）：政采云平台</w:t>
      </w:r>
    </w:p>
    <w:p>
      <w:pPr>
        <w:keepNext w:val="0"/>
        <w:keepLines w:val="0"/>
        <w:pageBreakBefore w:val="0"/>
        <w:numPr>
          <w:ilvl w:val="0"/>
          <w:numId w:val="5"/>
        </w:numPr>
        <w:kinsoku/>
        <w:wordWrap/>
        <w:overflowPunct/>
        <w:topLinePunct w:val="0"/>
        <w:autoSpaceDE/>
        <w:autoSpaceDN/>
        <w:bidi w:val="0"/>
        <w:adjustRightInd/>
        <w:snapToGrid w:val="0"/>
        <w:spacing w:line="560" w:lineRule="exac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采购意向公开链接</w:t>
      </w:r>
    </w:p>
    <w:p>
      <w:pPr>
        <w:keepNext w:val="0"/>
        <w:keepLines w:val="0"/>
        <w:pageBreakBefore w:val="0"/>
        <w:kinsoku/>
        <w:wordWrap/>
        <w:overflowPunct/>
        <w:topLinePunct w:val="0"/>
        <w:autoSpaceDE/>
        <w:autoSpaceDN/>
        <w:bidi w:val="0"/>
        <w:adjustRightInd/>
        <w:snapToGrid w:val="0"/>
        <w:spacing w:line="560" w:lineRule="exact"/>
        <w:rPr>
          <w:rFonts w:hint="eastAsia" w:ascii="微软雅黑" w:hAnsi="微软雅黑" w:eastAsia="微软雅黑" w:cs="微软雅黑"/>
          <w:b w:val="0"/>
          <w:bCs w:val="0"/>
          <w:i w:val="0"/>
          <w:iCs w:val="0"/>
          <w:caps w:val="0"/>
          <w:color w:val="auto"/>
          <w:spacing w:val="0"/>
          <w:sz w:val="21"/>
          <w:szCs w:val="21"/>
          <w:highlight w:val="none"/>
          <w:shd w:val="clear" w:fill="F5FAFF"/>
          <w:lang w:eastAsia="zh-CN"/>
        </w:rPr>
      </w:pPr>
      <w:r>
        <w:rPr>
          <w:rFonts w:hint="eastAsia" w:ascii="微软雅黑" w:hAnsi="微软雅黑" w:eastAsia="微软雅黑" w:cs="微软雅黑"/>
          <w:b w:val="0"/>
          <w:bCs w:val="0"/>
          <w:i w:val="0"/>
          <w:iCs w:val="0"/>
          <w:caps w:val="0"/>
          <w:color w:val="auto"/>
          <w:spacing w:val="0"/>
          <w:sz w:val="21"/>
          <w:szCs w:val="21"/>
          <w:highlight w:val="none"/>
          <w:shd w:val="clear" w:fill="F5FAFF"/>
          <w:lang w:eastAsia="zh-CN"/>
        </w:rPr>
        <w:fldChar w:fldCharType="begin"/>
      </w:r>
      <w:r>
        <w:rPr>
          <w:rFonts w:hint="eastAsia" w:ascii="微软雅黑" w:hAnsi="微软雅黑" w:eastAsia="微软雅黑" w:cs="微软雅黑"/>
          <w:b w:val="0"/>
          <w:bCs w:val="0"/>
          <w:i w:val="0"/>
          <w:iCs w:val="0"/>
          <w:caps w:val="0"/>
          <w:color w:val="auto"/>
          <w:spacing w:val="0"/>
          <w:sz w:val="21"/>
          <w:szCs w:val="21"/>
          <w:highlight w:val="none"/>
          <w:shd w:val="clear" w:fill="F5FAFF"/>
          <w:lang w:eastAsia="zh-CN"/>
        </w:rPr>
        <w:instrText xml:space="preserve"> HYPERLINK "https://zfcg.czt.zj.gov.cn/innerUsed_noticeDetails/index.html?noticeId=8544175&amp;utm=web-government-front.2e418808.0.0.d99a0ff0f20a11ec94cb27a77dc76f76" </w:instrText>
      </w:r>
      <w:r>
        <w:rPr>
          <w:rFonts w:hint="eastAsia" w:ascii="微软雅黑" w:hAnsi="微软雅黑" w:eastAsia="微软雅黑" w:cs="微软雅黑"/>
          <w:b w:val="0"/>
          <w:bCs w:val="0"/>
          <w:i w:val="0"/>
          <w:iCs w:val="0"/>
          <w:caps w:val="0"/>
          <w:color w:val="auto"/>
          <w:spacing w:val="0"/>
          <w:sz w:val="21"/>
          <w:szCs w:val="21"/>
          <w:highlight w:val="none"/>
          <w:shd w:val="clear" w:fill="F5FAFF"/>
          <w:lang w:eastAsia="zh-CN"/>
        </w:rPr>
        <w:fldChar w:fldCharType="separate"/>
      </w:r>
      <w:r>
        <w:rPr>
          <w:rStyle w:val="43"/>
          <w:rFonts w:hint="eastAsia" w:ascii="微软雅黑" w:hAnsi="微软雅黑" w:eastAsia="微软雅黑" w:cs="微软雅黑"/>
          <w:b w:val="0"/>
          <w:bCs w:val="0"/>
          <w:i w:val="0"/>
          <w:iCs w:val="0"/>
          <w:caps w:val="0"/>
          <w:spacing w:val="0"/>
          <w:sz w:val="21"/>
          <w:szCs w:val="21"/>
          <w:highlight w:val="none"/>
          <w:shd w:val="clear" w:fill="F5FAFF"/>
          <w:lang w:eastAsia="zh-CN"/>
        </w:rPr>
        <w:t>https://zfcg.czt.zj.gov.cn/innerUsed_noticeDetails/index.html?noticeId=8544175&amp;utm=web-government-front.2e418808.0.0.d99a0ff0f20a11ec94cb27a77dc76f76</w:t>
      </w:r>
      <w:r>
        <w:rPr>
          <w:rFonts w:hint="eastAsia" w:ascii="微软雅黑" w:hAnsi="微软雅黑" w:eastAsia="微软雅黑" w:cs="微软雅黑"/>
          <w:b w:val="0"/>
          <w:bCs w:val="0"/>
          <w:i w:val="0"/>
          <w:iCs w:val="0"/>
          <w:caps w:val="0"/>
          <w:color w:val="auto"/>
          <w:spacing w:val="0"/>
          <w:sz w:val="21"/>
          <w:szCs w:val="21"/>
          <w:highlight w:val="none"/>
          <w:shd w:val="clear" w:fill="F5FAFF"/>
          <w:lang w:eastAsia="zh-CN"/>
        </w:rPr>
        <w:fldChar w:fldCharType="end"/>
      </w:r>
    </w:p>
    <w:p>
      <w:pPr>
        <w:keepNext w:val="0"/>
        <w:keepLines w:val="0"/>
        <w:pageBreakBefore w:val="0"/>
        <w:kinsoku/>
        <w:wordWrap/>
        <w:overflowPunct/>
        <w:topLinePunct w:val="0"/>
        <w:autoSpaceDE/>
        <w:autoSpaceDN/>
        <w:bidi w:val="0"/>
        <w:adjustRightInd/>
        <w:snapToGrid w:val="0"/>
        <w:spacing w:line="56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六、</w:t>
      </w:r>
      <w:r>
        <w:rPr>
          <w:rFonts w:hint="eastAsia" w:ascii="宋体" w:hAnsi="宋体" w:eastAsia="宋体" w:cs="宋体"/>
          <w:b/>
          <w:bCs/>
          <w:color w:val="auto"/>
          <w:sz w:val="24"/>
          <w:highlight w:val="none"/>
        </w:rPr>
        <w:t>公告期限</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keepNext w:val="0"/>
        <w:keepLines w:val="0"/>
        <w:pageBreakBefore w:val="0"/>
        <w:numPr>
          <w:ilvl w:val="0"/>
          <w:numId w:val="0"/>
        </w:numPr>
        <w:kinsoku/>
        <w:wordWrap/>
        <w:overflowPunct/>
        <w:topLinePunct w:val="0"/>
        <w:autoSpaceDE/>
        <w:autoSpaceDN/>
        <w:bidi w:val="0"/>
        <w:adjustRightInd/>
        <w:snapToGrid w:val="0"/>
        <w:spacing w:line="56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七、</w:t>
      </w:r>
      <w:r>
        <w:rPr>
          <w:rFonts w:hint="eastAsia" w:ascii="宋体" w:hAnsi="宋体" w:eastAsia="宋体" w:cs="宋体"/>
          <w:b/>
          <w:bCs/>
          <w:color w:val="auto"/>
          <w:sz w:val="24"/>
          <w:highlight w:val="none"/>
        </w:rPr>
        <w:t>其他补充事宜</w:t>
      </w:r>
    </w:p>
    <w:p>
      <w:pPr>
        <w:pStyle w:val="3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auto"/>
          <w:sz w:val="24"/>
          <w:highlight w:val="none"/>
        </w:rPr>
        <w:t xml:space="preserve">  </w:t>
      </w:r>
      <w:bookmarkStart w:id="1" w:name="_Toc35393627"/>
      <w:bookmarkStart w:id="2" w:name="_Toc28359008"/>
      <w:bookmarkStart w:id="3" w:name="_Toc28359085"/>
      <w:bookmarkStart w:id="4" w:name="_Toc35393796"/>
      <w:r>
        <w:rPr>
          <w:rFonts w:hint="eastAsia" w:ascii="宋体" w:hAnsi="宋体" w:eastAsia="宋体" w:cs="宋体"/>
          <w:color w:val="auto"/>
          <w:sz w:val="24"/>
          <w:highlight w:val="none"/>
        </w:rPr>
        <w:t xml:space="preserve"> </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480" w:firstLineChars="200"/>
        <w:jc w:val="both"/>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2、其他事项：1.《浙江省财政厅关于进一步发挥政府采购政策功能全力推动经济稳进提质的通知》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p>
      <w:pPr>
        <w:pStyle w:val="3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240" w:firstLineChars="100"/>
        <w:jc w:val="both"/>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cs="宋体"/>
          <w:color w:val="000000" w:themeColor="text1"/>
          <w:kern w:val="2"/>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spacing w:line="560" w:lineRule="exact"/>
        <w:ind w:firstLine="480" w:firstLineChars="200"/>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3.</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https://zfcg.czt.zj.gov.cn)的中小企业信用融资栏目了解相关信息。 供应商可以通过浙江政府采购网(https://zfcg. czt.zj. gov.cn/)首页的“浙江政采贷”模块进入申请，还可以通过政府采购云平台(https://wwwzcygov.cn/)首页的“金融服务”模块进入申请。</w:t>
      </w:r>
    </w:p>
    <w:p>
      <w:pPr>
        <w:keepNext w:val="0"/>
        <w:keepLines w:val="0"/>
        <w:pageBreakBefore w:val="0"/>
        <w:kinsoku/>
        <w:wordWrap/>
        <w:overflowPunct/>
        <w:topLinePunct w:val="0"/>
        <w:autoSpaceDE/>
        <w:autoSpaceDN/>
        <w:bidi w:val="0"/>
        <w:snapToGrid w:val="0"/>
        <w:spacing w:line="56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本项目实行电子投标，投标文件应按照本项目招标文件和政采云平台的要求编制、加密并递交。投标人在使用系统进行投标的过程中遇到涉及平台使用的任何问题，可致电政采云平台技术支持热线咨询，联系方式：400-881-7190。</w:t>
      </w:r>
    </w:p>
    <w:p>
      <w:pPr>
        <w:keepNext w:val="0"/>
        <w:keepLines w:val="0"/>
        <w:pageBreakBefore w:val="0"/>
        <w:kinsoku/>
        <w:wordWrap/>
        <w:overflowPunct/>
        <w:topLinePunct w:val="0"/>
        <w:autoSpaceDE/>
        <w:autoSpaceDN/>
        <w:bidi w:val="0"/>
        <w:snapToGrid w:val="0"/>
        <w:spacing w:line="56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 xml:space="preserve"> 投 标 人 应 在 开 标 前 完 成 CA 数 字 证 书 办 理 。 （ 办 理 流 程 详 见http://zfcg.czt.zj.gov.cn/bidClientTemplate/2019-05-27/12945.html）。完成 CA 数字证书办理预计一周左右，建议各投标人抓紧时间办理。</w:t>
      </w:r>
    </w:p>
    <w:p>
      <w:pPr>
        <w:keepNext w:val="0"/>
        <w:keepLines w:val="0"/>
        <w:pageBreakBefore w:val="0"/>
        <w:kinsoku/>
        <w:wordWrap/>
        <w:overflowPunct/>
        <w:topLinePunct w:val="0"/>
        <w:autoSpaceDE/>
        <w:autoSpaceDN/>
        <w:bidi w:val="0"/>
        <w:snapToGrid w:val="0"/>
        <w:spacing w:line="56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投标人通过政采云平台电子投标工具制作投标文件，电子投标工具请供应商自行前往浙江省政府采购网下载并安装，（下载网址：http://zfcg.czt.zj.gov.cn/bidClientTemplate/2019-08-30/12975.html），</w:t>
      </w:r>
    </w:p>
    <w:p>
      <w:pPr>
        <w:keepNext w:val="0"/>
        <w:keepLines w:val="0"/>
        <w:pageBreakBefore w:val="0"/>
        <w:kinsoku/>
        <w:wordWrap/>
        <w:overflowPunct/>
        <w:topLinePunct w:val="0"/>
        <w:autoSpaceDE/>
        <w:autoSpaceDN/>
        <w:bidi w:val="0"/>
        <w:snapToGrid w:val="0"/>
        <w:spacing w:line="560" w:lineRule="exact"/>
        <w:rPr>
          <w:rStyle w:val="43"/>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电 子 投 标 相 关 学 习 网 址 ： </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"https://edu.zcygov.cn/luban/e-biding?utm=a0004.2ef5001f.0001.0109.2d44db10df9111e9b92b0f36d4889416。）" </w:instrText>
      </w:r>
      <w:r>
        <w:rPr>
          <w:rFonts w:hint="eastAsia" w:ascii="宋体" w:hAnsi="宋体" w:eastAsia="宋体" w:cs="宋体"/>
          <w:color w:val="000000" w:themeColor="text1"/>
          <w:highlight w:val="none"/>
          <w14:textFill>
            <w14:solidFill>
              <w14:schemeClr w14:val="tx1"/>
            </w14:solidFill>
          </w14:textFill>
        </w:rPr>
        <w:fldChar w:fldCharType="separate"/>
      </w:r>
      <w:r>
        <w:rPr>
          <w:rStyle w:val="43"/>
          <w:rFonts w:hint="eastAsia" w:ascii="宋体" w:hAnsi="宋体" w:eastAsia="宋体" w:cs="宋体"/>
          <w:color w:val="000000" w:themeColor="text1"/>
          <w:sz w:val="24"/>
          <w:highlight w:val="none"/>
          <w14:textFill>
            <w14:solidFill>
              <w14:schemeClr w14:val="tx1"/>
            </w14:solidFill>
          </w14:textFill>
        </w:rPr>
        <w:t>https://edu.zcygov.cn/luban/e-biding?utm=a0004.2ef5001f.0001.0109.2d44db10df9111e9b92b0f36d4889416。）</w:t>
      </w:r>
      <w:r>
        <w:rPr>
          <w:rStyle w:val="43"/>
          <w:rFonts w:hint="eastAsia" w:ascii="宋体" w:hAnsi="宋体" w:eastAsia="宋体" w:cs="宋体"/>
          <w:color w:val="000000" w:themeColor="text1"/>
          <w:sz w:val="24"/>
          <w:highlight w:val="none"/>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pacing w:line="560" w:lineRule="exact"/>
        <w:ind w:firstLine="482" w:firstLineChars="200"/>
        <w:textAlignment w:val="auto"/>
        <w:rPr>
          <w:rFonts w:hint="eastAsia" w:ascii="宋体" w:hAnsi="宋体" w:cs="宋体"/>
          <w:b/>
          <w:bCs/>
          <w:color w:val="000000" w:themeColor="text1"/>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 xml:space="preserve">7.政府采购金融服务提示：为扩大政府采购金融服务面，除政采云网上金融服务合作银行外，东阳市范围内增加浙商银行金华分行东阳支行作为线下合作银行。   </w:t>
      </w:r>
    </w:p>
    <w:p>
      <w:pPr>
        <w:keepNext w:val="0"/>
        <w:keepLines w:val="0"/>
        <w:pageBreakBefore w:val="0"/>
        <w:kinsoku/>
        <w:wordWrap/>
        <w:overflowPunct/>
        <w:topLinePunct w:val="0"/>
        <w:autoSpaceDE/>
        <w:autoSpaceDN/>
        <w:bidi w:val="0"/>
        <w:adjustRightInd/>
        <w:spacing w:line="560" w:lineRule="exact"/>
        <w:ind w:firstLine="482" w:firstLineChars="200"/>
        <w:textAlignment w:val="auto"/>
        <w:rPr>
          <w:rFonts w:hint="eastAsia" w:ascii="宋体" w:hAnsi="宋体" w:eastAsia="宋体" w:cs="宋体"/>
          <w:b/>
          <w:bCs/>
          <w:color w:val="auto"/>
          <w:sz w:val="24"/>
          <w:highlight w:val="none"/>
          <w:lang w:val="en-US" w:eastAsia="zh-CN"/>
        </w:rPr>
      </w:pPr>
      <w:r>
        <w:rPr>
          <w:rFonts w:hint="eastAsia" w:ascii="宋体" w:hAnsi="宋体" w:cs="宋体"/>
          <w:b/>
          <w:bCs/>
          <w:color w:val="000000" w:themeColor="text1"/>
          <w:sz w:val="24"/>
          <w:highlight w:val="none"/>
          <w:lang w:val="en-US" w:eastAsia="zh-CN"/>
          <w14:textFill>
            <w14:solidFill>
              <w14:schemeClr w14:val="tx1"/>
            </w14:solidFill>
          </w14:textFill>
        </w:rPr>
        <w:t>浙商银行金华东阳支行  联系人：</w:t>
      </w:r>
      <w:r>
        <w:rPr>
          <w:rFonts w:hint="eastAsia" w:ascii="宋体" w:hAnsi="宋体" w:cs="宋体"/>
          <w:b/>
          <w:bCs/>
          <w:color w:val="000000" w:themeColor="text1"/>
          <w:sz w:val="24"/>
          <w:highlight w:val="none"/>
          <w14:textFill>
            <w14:solidFill>
              <w14:schemeClr w14:val="tx1"/>
            </w14:solidFill>
          </w14:textFill>
        </w:rPr>
        <w:t>许燕  联系电话：13967983441  0579-86222992</w:t>
      </w:r>
    </w:p>
    <w:p>
      <w:pPr>
        <w:keepNext w:val="0"/>
        <w:keepLines w:val="0"/>
        <w:pageBreakBefore w:val="0"/>
        <w:kinsoku/>
        <w:wordWrap/>
        <w:overflowPunct/>
        <w:topLinePunct w:val="0"/>
        <w:autoSpaceDE/>
        <w:autoSpaceDN/>
        <w:bidi w:val="0"/>
        <w:adjustRightInd/>
        <w:spacing w:line="56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八</w:t>
      </w:r>
      <w:r>
        <w:rPr>
          <w:rFonts w:hint="eastAsia" w:ascii="宋体" w:hAnsi="宋体" w:eastAsia="宋体" w:cs="宋体"/>
          <w:b/>
          <w:color w:val="auto"/>
          <w:sz w:val="24"/>
          <w:highlight w:val="none"/>
        </w:rPr>
        <w:t>、</w:t>
      </w:r>
      <w:bookmarkEnd w:id="1"/>
      <w:bookmarkEnd w:id="2"/>
      <w:bookmarkEnd w:id="3"/>
      <w:bookmarkEnd w:id="4"/>
      <w:r>
        <w:rPr>
          <w:rFonts w:hint="eastAsia" w:ascii="宋体" w:hAnsi="宋体" w:eastAsia="宋体" w:cs="宋体"/>
          <w:b/>
          <w:color w:val="auto"/>
          <w:sz w:val="24"/>
          <w:highlight w:val="none"/>
        </w:rPr>
        <w:t>对本次采购提出询问、质疑、投诉，请按以下方式联系。</w:t>
      </w:r>
    </w:p>
    <w:p>
      <w:pPr>
        <w:keepNext w:val="0"/>
        <w:keepLines w:val="0"/>
        <w:pageBreakBefore w:val="0"/>
        <w:kinsoku/>
        <w:wordWrap/>
        <w:overflowPunct/>
        <w:topLinePunct w:val="0"/>
        <w:autoSpaceDE/>
        <w:autoSpaceDN/>
        <w:bidi w:val="0"/>
        <w:adjustRightInd/>
        <w:spacing w:line="560" w:lineRule="exact"/>
        <w:ind w:firstLine="723" w:firstLineChars="3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1.采购人信息  </w:t>
      </w:r>
    </w:p>
    <w:p>
      <w:pPr>
        <w:keepNext w:val="0"/>
        <w:keepLines w:val="0"/>
        <w:pageBreakBefore w:val="0"/>
        <w:kinsoku/>
        <w:wordWrap/>
        <w:overflowPunct/>
        <w:topLinePunct w:val="0"/>
        <w:autoSpaceDE/>
        <w:autoSpaceDN/>
        <w:bidi w:val="0"/>
        <w:adjustRightInd/>
        <w:spacing w:line="560" w:lineRule="exact"/>
        <w:ind w:firstLine="720" w:firstLineChars="300"/>
        <w:rPr>
          <w:rFonts w:hint="eastAsia" w:ascii="宋体" w:hAnsi="宋体" w:eastAsia="宋体" w:cs="宋体"/>
          <w:color w:val="auto"/>
          <w:sz w:val="24"/>
          <w:highlight w:val="none"/>
          <w:lang w:eastAsia="zh-CN"/>
        </w:rPr>
      </w:pPr>
      <w:bookmarkStart w:id="5" w:name="_Toc28359009"/>
      <w:bookmarkStart w:id="6" w:name="_Toc28359086"/>
      <w:r>
        <w:rPr>
          <w:rFonts w:hint="eastAsia" w:ascii="宋体" w:hAnsi="宋体" w:eastAsia="宋体" w:cs="宋体"/>
          <w:color w:val="auto"/>
          <w:sz w:val="24"/>
          <w:highlight w:val="none"/>
        </w:rPr>
        <w:t>名</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称：</w:t>
      </w:r>
      <w:r>
        <w:rPr>
          <w:rFonts w:hint="eastAsia" w:ascii="宋体" w:hAnsi="宋体" w:cs="宋体"/>
          <w:color w:val="auto"/>
          <w:sz w:val="24"/>
          <w:highlight w:val="none"/>
          <w:lang w:eastAsia="zh-CN"/>
        </w:rPr>
        <w:t>东阳市人民医院</w:t>
      </w:r>
    </w:p>
    <w:p>
      <w:pPr>
        <w:keepNext w:val="0"/>
        <w:keepLines w:val="0"/>
        <w:pageBreakBefore w:val="0"/>
        <w:kinsoku/>
        <w:wordWrap/>
        <w:overflowPunct/>
        <w:topLinePunct w:val="0"/>
        <w:autoSpaceDE/>
        <w:autoSpaceDN/>
        <w:bidi w:val="0"/>
        <w:adjustRightInd/>
        <w:spacing w:line="56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地</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址：东阳市吴宁西路60号</w:t>
      </w:r>
    </w:p>
    <w:p>
      <w:pPr>
        <w:keepNext w:val="0"/>
        <w:keepLines w:val="0"/>
        <w:pageBreakBefore w:val="0"/>
        <w:kinsoku/>
        <w:wordWrap/>
        <w:overflowPunct/>
        <w:topLinePunct w:val="0"/>
        <w:autoSpaceDE/>
        <w:autoSpaceDN/>
        <w:bidi w:val="0"/>
        <w:adjustRightInd/>
        <w:spacing w:line="560" w:lineRule="exact"/>
        <w:ind w:firstLine="720" w:firstLineChars="3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 xml:space="preserve">张超         </w:t>
      </w:r>
      <w:r>
        <w:rPr>
          <w:rFonts w:hint="eastAsia" w:ascii="宋体" w:hAnsi="宋体" w:eastAsia="宋体" w:cs="宋体"/>
          <w:color w:val="auto"/>
          <w:sz w:val="24"/>
          <w:highlight w:val="none"/>
        </w:rPr>
        <w:t>项目联系方式（询问）：</w:t>
      </w:r>
      <w:r>
        <w:rPr>
          <w:rFonts w:hint="eastAsia" w:ascii="宋体" w:hAnsi="宋体" w:cs="宋体"/>
          <w:color w:val="auto"/>
          <w:sz w:val="24"/>
          <w:highlight w:val="none"/>
          <w:lang w:val="en-US" w:eastAsia="zh-CN"/>
        </w:rPr>
        <w:t>0579-86856029</w:t>
      </w:r>
    </w:p>
    <w:p>
      <w:pPr>
        <w:keepNext w:val="0"/>
        <w:keepLines w:val="0"/>
        <w:pageBreakBefore w:val="0"/>
        <w:kinsoku/>
        <w:wordWrap/>
        <w:overflowPunct/>
        <w:topLinePunct w:val="0"/>
        <w:autoSpaceDE/>
        <w:autoSpaceDN/>
        <w:bidi w:val="0"/>
        <w:adjustRightInd/>
        <w:spacing w:line="56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w:t>
      </w:r>
      <w:r>
        <w:rPr>
          <w:rFonts w:hint="eastAsia" w:ascii="宋体" w:hAnsi="宋体" w:cs="宋体"/>
          <w:color w:val="auto"/>
          <w:sz w:val="24"/>
          <w:highlight w:val="none"/>
          <w:lang w:val="en-US" w:eastAsia="zh-CN"/>
        </w:rPr>
        <w:t xml:space="preserve">韦忠斌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质疑联系方式：</w:t>
      </w:r>
      <w:r>
        <w:rPr>
          <w:rFonts w:hint="eastAsia" w:ascii="宋体" w:hAnsi="宋体" w:cs="宋体"/>
          <w:color w:val="auto"/>
          <w:sz w:val="24"/>
          <w:highlight w:val="none"/>
          <w:lang w:val="en-US" w:eastAsia="zh-CN"/>
        </w:rPr>
        <w:t>0579-86856029</w:t>
      </w:r>
    </w:p>
    <w:p>
      <w:pPr>
        <w:keepNext w:val="0"/>
        <w:keepLines w:val="0"/>
        <w:pageBreakBefore w:val="0"/>
        <w:kinsoku/>
        <w:wordWrap/>
        <w:overflowPunct/>
        <w:topLinePunct w:val="0"/>
        <w:autoSpaceDE/>
        <w:autoSpaceDN/>
        <w:bidi w:val="0"/>
        <w:adjustRightInd/>
        <w:spacing w:line="560" w:lineRule="exact"/>
        <w:ind w:firstLine="723" w:firstLineChars="3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2.采购代理机构</w:t>
      </w:r>
      <w:bookmarkEnd w:id="5"/>
      <w:bookmarkEnd w:id="6"/>
      <w:r>
        <w:rPr>
          <w:rFonts w:hint="eastAsia" w:ascii="宋体" w:hAnsi="宋体" w:eastAsia="宋体" w:cs="宋体"/>
          <w:b/>
          <w:bCs/>
          <w:color w:val="auto"/>
          <w:sz w:val="24"/>
          <w:highlight w:val="none"/>
        </w:rPr>
        <w:t>信息</w:t>
      </w:r>
    </w:p>
    <w:p>
      <w:pPr>
        <w:keepNext w:val="0"/>
        <w:keepLines w:val="0"/>
        <w:pageBreakBefore w:val="0"/>
        <w:kinsoku/>
        <w:wordWrap/>
        <w:overflowPunct/>
        <w:topLinePunct w:val="0"/>
        <w:autoSpaceDE/>
        <w:autoSpaceDN/>
        <w:bidi w:val="0"/>
        <w:adjustRightInd/>
        <w:spacing w:line="56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名 称：东阳市鑫盛工程咨询有限公司 </w:t>
      </w:r>
    </w:p>
    <w:p>
      <w:pPr>
        <w:keepNext w:val="0"/>
        <w:keepLines w:val="0"/>
        <w:pageBreakBefore w:val="0"/>
        <w:kinsoku/>
        <w:wordWrap/>
        <w:overflowPunct/>
        <w:topLinePunct w:val="0"/>
        <w:autoSpaceDE/>
        <w:autoSpaceDN/>
        <w:bidi w:val="0"/>
        <w:adjustRightInd/>
        <w:spacing w:line="56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eastAsia="zh-CN"/>
        </w:rPr>
        <w:t>东阳市白云街道八华南路63号</w:t>
      </w:r>
      <w:r>
        <w:rPr>
          <w:rFonts w:hint="eastAsia" w:ascii="宋体" w:hAnsi="宋体" w:eastAsia="宋体" w:cs="宋体"/>
          <w:color w:val="auto"/>
          <w:sz w:val="24"/>
          <w:highlight w:val="none"/>
        </w:rPr>
        <w:t xml:space="preserve">      传</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真：0579-86633123 </w:t>
      </w:r>
    </w:p>
    <w:p>
      <w:pPr>
        <w:keepNext w:val="0"/>
        <w:keepLines w:val="0"/>
        <w:pageBreakBefore w:val="0"/>
        <w:kinsoku/>
        <w:wordWrap/>
        <w:overflowPunct/>
        <w:topLinePunct w:val="0"/>
        <w:autoSpaceDE/>
        <w:autoSpaceDN/>
        <w:bidi w:val="0"/>
        <w:adjustRightInd/>
        <w:spacing w:line="560" w:lineRule="exact"/>
        <w:ind w:firstLine="720" w:firstLineChars="3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eastAsia="zh-CN"/>
        </w:rPr>
        <w:t>王晓菲</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项目联系方式（询问）：</w:t>
      </w:r>
      <w:r>
        <w:rPr>
          <w:rFonts w:hint="eastAsia" w:ascii="宋体" w:hAnsi="宋体" w:cs="宋体"/>
          <w:color w:val="auto"/>
          <w:sz w:val="24"/>
          <w:highlight w:val="none"/>
          <w:lang w:eastAsia="zh-CN"/>
        </w:rPr>
        <w:t>0579-860182</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0</w:t>
      </w:r>
    </w:p>
    <w:p>
      <w:pPr>
        <w:keepNext w:val="0"/>
        <w:keepLines w:val="0"/>
        <w:pageBreakBefore w:val="0"/>
        <w:kinsoku/>
        <w:wordWrap/>
        <w:overflowPunct/>
        <w:topLinePunct w:val="0"/>
        <w:autoSpaceDE/>
        <w:autoSpaceDN/>
        <w:bidi w:val="0"/>
        <w:adjustRightInd/>
        <w:spacing w:line="56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w:t>
      </w:r>
      <w:r>
        <w:rPr>
          <w:rFonts w:hint="eastAsia" w:ascii="宋体" w:hAnsi="宋体" w:cs="宋体"/>
          <w:color w:val="auto"/>
          <w:sz w:val="24"/>
          <w:highlight w:val="none"/>
          <w:lang w:val="en-US" w:eastAsia="zh-CN"/>
        </w:rPr>
        <w:t>胡丹春</w:t>
      </w:r>
      <w:r>
        <w:rPr>
          <w:rFonts w:hint="eastAsia" w:ascii="宋体" w:hAnsi="宋体" w:eastAsia="宋体" w:cs="宋体"/>
          <w:color w:val="auto"/>
          <w:sz w:val="24"/>
          <w:highlight w:val="none"/>
        </w:rPr>
        <w:t xml:space="preserve">                质疑联系方式：</w:t>
      </w:r>
      <w:bookmarkStart w:id="7" w:name="_Toc28359087"/>
      <w:bookmarkStart w:id="8" w:name="_Toc28359010"/>
      <w:r>
        <w:rPr>
          <w:rFonts w:hint="eastAsia" w:ascii="宋体" w:hAnsi="宋体" w:eastAsia="宋体" w:cs="宋体"/>
          <w:color w:val="auto"/>
          <w:sz w:val="24"/>
          <w:highlight w:val="none"/>
        </w:rPr>
        <w:t>0579-</w:t>
      </w:r>
      <w:r>
        <w:rPr>
          <w:rFonts w:hint="eastAsia" w:ascii="宋体" w:hAnsi="宋体" w:eastAsia="宋体" w:cs="宋体"/>
          <w:color w:val="auto"/>
          <w:sz w:val="24"/>
          <w:highlight w:val="none"/>
          <w:lang w:eastAsia="zh-CN"/>
        </w:rPr>
        <w:t>86633123</w:t>
      </w:r>
    </w:p>
    <w:p>
      <w:pPr>
        <w:keepNext w:val="0"/>
        <w:keepLines w:val="0"/>
        <w:pageBreakBefore w:val="0"/>
        <w:kinsoku/>
        <w:wordWrap/>
        <w:overflowPunct/>
        <w:topLinePunct w:val="0"/>
        <w:autoSpaceDE/>
        <w:autoSpaceDN/>
        <w:bidi w:val="0"/>
        <w:adjustRightInd/>
        <w:spacing w:line="560" w:lineRule="exact"/>
        <w:ind w:firstLine="723" w:firstLineChars="300"/>
        <w:rPr>
          <w:rFonts w:hint="eastAsia" w:ascii="宋体" w:hAnsi="宋体" w:eastAsia="宋体" w:cs="宋体"/>
          <w:color w:val="auto"/>
          <w:sz w:val="24"/>
          <w:highlight w:val="none"/>
          <w:u w:val="single"/>
        </w:rPr>
      </w:pPr>
      <w:r>
        <w:rPr>
          <w:rFonts w:hint="eastAsia" w:ascii="宋体" w:hAnsi="宋体" w:eastAsia="宋体" w:cs="宋体"/>
          <w:b/>
          <w:bCs/>
          <w:color w:val="auto"/>
          <w:sz w:val="24"/>
          <w:highlight w:val="none"/>
        </w:rPr>
        <w:t>3.</w:t>
      </w:r>
      <w:bookmarkEnd w:id="7"/>
      <w:bookmarkEnd w:id="8"/>
      <w:r>
        <w:rPr>
          <w:rFonts w:hint="eastAsia" w:ascii="宋体" w:hAnsi="宋体" w:eastAsia="宋体" w:cs="宋体"/>
          <w:b/>
          <w:bCs/>
          <w:color w:val="auto"/>
          <w:sz w:val="24"/>
          <w:highlight w:val="none"/>
        </w:rPr>
        <w:t>同级政府采购监督管理部门</w:t>
      </w:r>
    </w:p>
    <w:p>
      <w:pPr>
        <w:keepNext w:val="0"/>
        <w:keepLines w:val="0"/>
        <w:pageBreakBefore w:val="0"/>
        <w:kinsoku/>
        <w:wordWrap/>
        <w:overflowPunct/>
        <w:topLinePunct w:val="0"/>
        <w:autoSpaceDE/>
        <w:autoSpaceDN/>
        <w:bidi w:val="0"/>
        <w:adjustRightInd/>
        <w:spacing w:line="56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名称：东阳市财政局采监科              地址：东阳市人民</w:t>
      </w:r>
      <w:r>
        <w:rPr>
          <w:rFonts w:hint="eastAsia" w:ascii="宋体" w:hAnsi="宋体" w:cs="宋体"/>
          <w:color w:val="auto"/>
          <w:sz w:val="24"/>
          <w:highlight w:val="none"/>
          <w:lang w:eastAsia="zh-CN"/>
        </w:rPr>
        <w:t>北</w:t>
      </w:r>
      <w:r>
        <w:rPr>
          <w:rFonts w:hint="eastAsia" w:ascii="宋体" w:hAnsi="宋体" w:eastAsia="宋体" w:cs="宋体"/>
          <w:color w:val="auto"/>
          <w:sz w:val="24"/>
          <w:highlight w:val="none"/>
        </w:rPr>
        <w:t>路8号</w:t>
      </w:r>
    </w:p>
    <w:p>
      <w:pPr>
        <w:keepNext w:val="0"/>
        <w:keepLines w:val="0"/>
        <w:pageBreakBefore w:val="0"/>
        <w:kinsoku/>
        <w:wordWrap/>
        <w:overflowPunct/>
        <w:topLinePunct w:val="0"/>
        <w:autoSpaceDE/>
        <w:autoSpaceDN/>
        <w:bidi w:val="0"/>
        <w:adjustRightInd/>
        <w:spacing w:line="560" w:lineRule="exact"/>
        <w:ind w:firstLine="720" w:firstLineChars="300"/>
        <w:rPr>
          <w:rFonts w:hint="eastAsia" w:ascii="宋体" w:hAnsi="宋体" w:eastAsia="宋体" w:cs="宋体"/>
          <w:b/>
          <w:color w:val="auto"/>
          <w:sz w:val="24"/>
          <w:highlight w:val="none"/>
        </w:rPr>
      </w:pPr>
      <w:r>
        <w:rPr>
          <w:rFonts w:hint="eastAsia" w:ascii="宋体" w:hAnsi="宋体" w:eastAsia="宋体" w:cs="宋体"/>
          <w:color w:val="auto"/>
          <w:sz w:val="24"/>
          <w:highlight w:val="none"/>
        </w:rPr>
        <w:t>监督投诉电话：0579-86662677</w:t>
      </w:r>
    </w:p>
    <w:p>
      <w:pPr>
        <w:keepNext w:val="0"/>
        <w:keepLines w:val="0"/>
        <w:pageBreakBefore w:val="0"/>
        <w:kinsoku/>
        <w:wordWrap/>
        <w:overflowPunct/>
        <w:topLinePunct w:val="0"/>
        <w:autoSpaceDE/>
        <w:autoSpaceDN/>
        <w:bidi w:val="0"/>
        <w:adjustRightInd/>
        <w:snapToGrid w:val="0"/>
        <w:spacing w:line="560" w:lineRule="exact"/>
        <w:ind w:left="1441" w:leftChars="342" w:hanging="723" w:hanging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附件：</w:t>
      </w:r>
      <w:r>
        <w:rPr>
          <w:rFonts w:hint="eastAsia" w:ascii="宋体" w:hAnsi="宋体" w:cs="宋体"/>
          <w:b/>
          <w:color w:val="auto"/>
          <w:sz w:val="24"/>
          <w:highlight w:val="none"/>
          <w:lang w:eastAsia="zh-CN"/>
        </w:rPr>
        <w:t>东阳市人民医院中心监护系统、监护仪、麻醉监护仪、呼吸机设备采购项目招标文件</w:t>
      </w:r>
      <w:r>
        <w:rPr>
          <w:rFonts w:hint="eastAsia" w:ascii="宋体" w:hAnsi="宋体" w:eastAsia="宋体" w:cs="宋体"/>
          <w:b/>
          <w:color w:val="auto"/>
          <w:sz w:val="24"/>
          <w:highlight w:val="none"/>
        </w:rPr>
        <w:t xml:space="preserve">   </w:t>
      </w:r>
    </w:p>
    <w:p>
      <w:pPr>
        <w:pStyle w:val="47"/>
        <w:keepNext w:val="0"/>
        <w:keepLines w:val="0"/>
        <w:pageBreakBefore w:val="0"/>
        <w:kinsoku/>
        <w:wordWrap/>
        <w:overflowPunct/>
        <w:topLinePunct w:val="0"/>
        <w:autoSpaceDE/>
        <w:autoSpaceDN/>
        <w:bidi w:val="0"/>
        <w:adjustRightInd/>
        <w:spacing w:line="560" w:lineRule="exact"/>
        <w:rPr>
          <w:rFonts w:hint="eastAsia"/>
          <w:color w:val="auto"/>
          <w:highlight w:val="none"/>
        </w:rPr>
      </w:pPr>
    </w:p>
    <w:p>
      <w:pPr>
        <w:keepNext w:val="0"/>
        <w:keepLines w:val="0"/>
        <w:pageBreakBefore w:val="0"/>
        <w:kinsoku/>
        <w:wordWrap/>
        <w:overflowPunct/>
        <w:topLinePunct w:val="0"/>
        <w:autoSpaceDE/>
        <w:autoSpaceDN/>
        <w:bidi w:val="0"/>
        <w:adjustRightInd/>
        <w:snapToGrid w:val="0"/>
        <w:spacing w:line="560" w:lineRule="exact"/>
        <w:ind w:left="5799" w:leftChars="237" w:right="198" w:hanging="5301" w:hangingChars="22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w:t>
      </w:r>
      <w:r>
        <w:rPr>
          <w:rFonts w:hint="eastAsia" w:ascii="宋体" w:hAnsi="宋体" w:cs="宋体"/>
          <w:b/>
          <w:color w:val="auto"/>
          <w:sz w:val="24"/>
          <w:highlight w:val="none"/>
          <w:lang w:eastAsia="zh-CN"/>
        </w:rPr>
        <w:t>东阳市人民医院</w:t>
      </w:r>
      <w:r>
        <w:rPr>
          <w:rFonts w:hint="eastAsia" w:ascii="宋体" w:hAnsi="宋体" w:eastAsia="宋体" w:cs="宋体"/>
          <w:b/>
          <w:color w:val="auto"/>
          <w:sz w:val="24"/>
          <w:highlight w:val="none"/>
        </w:rPr>
        <w:t xml:space="preserve">                           </w:t>
      </w:r>
    </w:p>
    <w:p>
      <w:pPr>
        <w:keepNext w:val="0"/>
        <w:keepLines w:val="0"/>
        <w:pageBreakBefore w:val="0"/>
        <w:kinsoku/>
        <w:wordWrap/>
        <w:overflowPunct/>
        <w:topLinePunct w:val="0"/>
        <w:autoSpaceDE/>
        <w:autoSpaceDN/>
        <w:bidi w:val="0"/>
        <w:adjustRightInd/>
        <w:snapToGrid w:val="0"/>
        <w:spacing w:line="560" w:lineRule="exact"/>
        <w:ind w:left="5799" w:leftChars="237" w:right="198" w:hanging="5301" w:hangingChars="22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东阳市鑫盛工程咨询有限公司</w:t>
      </w:r>
    </w:p>
    <w:p>
      <w:pPr>
        <w:keepNext w:val="0"/>
        <w:keepLines w:val="0"/>
        <w:pageBreakBefore w:val="0"/>
        <w:kinsoku/>
        <w:wordWrap/>
        <w:overflowPunct/>
        <w:topLinePunct w:val="0"/>
        <w:autoSpaceDE/>
        <w:autoSpaceDN/>
        <w:bidi w:val="0"/>
        <w:adjustRightInd/>
        <w:snapToGrid w:val="0"/>
        <w:spacing w:line="560" w:lineRule="exact"/>
        <w:ind w:right="198" w:firstLine="6505" w:firstLineChars="2700"/>
        <w:rPr>
          <w:rFonts w:hint="eastAsia" w:ascii="宋体" w:hAnsi="宋体" w:eastAsia="宋体" w:cs="宋体"/>
          <w:color w:val="auto"/>
          <w:kern w:val="0"/>
          <w:sz w:val="24"/>
          <w:highlight w:val="none"/>
          <w:lang w:bidi="ar"/>
        </w:rPr>
      </w:pPr>
      <w:r>
        <w:rPr>
          <w:rFonts w:hint="eastAsia" w:ascii="宋体" w:hAnsi="宋体" w:eastAsia="宋体" w:cs="宋体"/>
          <w:b/>
          <w:color w:val="auto"/>
          <w:sz w:val="24"/>
          <w:highlight w:val="none"/>
        </w:rPr>
        <w:t>202</w:t>
      </w:r>
      <w:r>
        <w:rPr>
          <w:rFonts w:hint="eastAsia" w:ascii="宋体" w:hAnsi="宋体" w:eastAsia="宋体" w:cs="宋体"/>
          <w:b/>
          <w:color w:val="auto"/>
          <w:sz w:val="24"/>
          <w:highlight w:val="none"/>
          <w:lang w:val="en-US" w:eastAsia="zh-CN"/>
        </w:rPr>
        <w:t>2</w:t>
      </w:r>
      <w:r>
        <w:rPr>
          <w:rFonts w:hint="eastAsia" w:ascii="宋体" w:hAnsi="宋体" w:eastAsia="宋体" w:cs="宋体"/>
          <w:b/>
          <w:color w:val="auto"/>
          <w:sz w:val="24"/>
          <w:highlight w:val="none"/>
        </w:rPr>
        <w:t>年</w:t>
      </w:r>
      <w:r>
        <w:rPr>
          <w:rFonts w:hint="eastAsia" w:ascii="宋体" w:hAnsi="宋体" w:cs="宋体"/>
          <w:b/>
          <w:color w:val="auto"/>
          <w:sz w:val="24"/>
          <w:highlight w:val="none"/>
          <w:lang w:val="en-US" w:eastAsia="zh-CN"/>
        </w:rPr>
        <w:t>7</w:t>
      </w:r>
      <w:r>
        <w:rPr>
          <w:rFonts w:hint="eastAsia" w:ascii="宋体" w:hAnsi="宋体" w:eastAsia="宋体" w:cs="宋体"/>
          <w:b/>
          <w:color w:val="auto"/>
          <w:sz w:val="24"/>
          <w:highlight w:val="none"/>
        </w:rPr>
        <w:t>月</w:t>
      </w:r>
      <w:r>
        <w:rPr>
          <w:rFonts w:hint="eastAsia" w:ascii="宋体" w:hAnsi="宋体" w:cs="宋体"/>
          <w:b/>
          <w:color w:val="auto"/>
          <w:sz w:val="24"/>
          <w:highlight w:val="none"/>
          <w:lang w:val="en-US" w:eastAsia="zh-CN"/>
        </w:rPr>
        <w:t>18</w:t>
      </w:r>
      <w:r>
        <w:rPr>
          <w:rFonts w:hint="eastAsia" w:ascii="宋体" w:hAnsi="宋体" w:eastAsia="宋体" w:cs="宋体"/>
          <w:b/>
          <w:color w:val="auto"/>
          <w:sz w:val="24"/>
          <w:highlight w:val="none"/>
        </w:rPr>
        <w:t>日</w:t>
      </w:r>
    </w:p>
    <w:p>
      <w:pPr>
        <w:keepNext w:val="0"/>
        <w:keepLines w:val="0"/>
        <w:pageBreakBefore w:val="0"/>
        <w:kinsoku/>
        <w:wordWrap/>
        <w:overflowPunct/>
        <w:topLinePunct w:val="0"/>
        <w:autoSpaceDE/>
        <w:autoSpaceDN/>
        <w:bidi w:val="0"/>
        <w:adjustRightInd/>
        <w:snapToGrid w:val="0"/>
        <w:spacing w:line="560" w:lineRule="exact"/>
        <w:ind w:right="198"/>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CA问题联系电话（人工）：汇信CA 400-888-4636；天谷CA 400-087-8198。</w:t>
      </w:r>
    </w:p>
    <w:p>
      <w:pPr>
        <w:pStyle w:val="20"/>
        <w:pageBreakBefore/>
        <w:snapToGrid w:val="0"/>
        <w:spacing w:before="120" w:after="120" w:line="360" w:lineRule="auto"/>
        <w:jc w:val="center"/>
        <w:outlineLvl w:val="0"/>
        <w:rPr>
          <w:rFonts w:hint="eastAsia" w:ascii="宋体" w:hAnsi="宋体" w:eastAsia="宋体" w:cs="宋体"/>
          <w:b/>
          <w:color w:val="auto"/>
          <w:sz w:val="32"/>
          <w:szCs w:val="32"/>
          <w:highlight w:val="none"/>
        </w:rPr>
      </w:pPr>
      <w:bookmarkStart w:id="9" w:name="_Toc12262"/>
      <w:r>
        <w:rPr>
          <w:rFonts w:hint="eastAsia" w:ascii="宋体" w:hAnsi="宋体" w:eastAsia="宋体" w:cs="宋体"/>
          <w:b/>
          <w:color w:val="auto"/>
          <w:sz w:val="32"/>
          <w:szCs w:val="32"/>
          <w:highlight w:val="none"/>
        </w:rPr>
        <w:t>第二章  招标需求</w:t>
      </w:r>
      <w:bookmarkEnd w:id="9"/>
    </w:p>
    <w:p>
      <w:pPr>
        <w:numPr>
          <w:ilvl w:val="0"/>
          <w:numId w:val="6"/>
        </w:numPr>
        <w:spacing w:line="360" w:lineRule="auto"/>
        <w:rPr>
          <w:rFonts w:hint="eastAsia" w:ascii="宋体" w:hAnsi="宋体" w:cs="宋体"/>
          <w:b/>
          <w:color w:val="auto"/>
          <w:sz w:val="28"/>
          <w:highlight w:val="none"/>
          <w:lang w:eastAsia="zh-CN"/>
        </w:rPr>
      </w:pPr>
      <w:r>
        <w:rPr>
          <w:rFonts w:hint="eastAsia" w:ascii="宋体" w:hAnsi="宋体" w:cs="宋体"/>
          <w:b/>
          <w:color w:val="auto"/>
          <w:sz w:val="28"/>
          <w:highlight w:val="none"/>
          <w:lang w:eastAsia="zh-CN"/>
        </w:rPr>
        <w:t>项目编号：XSZFCGDZ2022-208</w:t>
      </w:r>
    </w:p>
    <w:p>
      <w:pPr>
        <w:numPr>
          <w:ilvl w:val="0"/>
          <w:numId w:val="6"/>
        </w:numPr>
        <w:spacing w:line="360" w:lineRule="auto"/>
        <w:rPr>
          <w:rFonts w:hint="eastAsia" w:ascii="宋体" w:hAnsi="宋体" w:cs="宋体"/>
          <w:b/>
          <w:color w:val="auto"/>
          <w:sz w:val="28"/>
          <w:highlight w:val="none"/>
          <w:lang w:eastAsia="zh-CN"/>
        </w:rPr>
      </w:pPr>
      <w:r>
        <w:rPr>
          <w:rFonts w:hint="eastAsia" w:ascii="宋体" w:hAnsi="宋体" w:cs="宋体"/>
          <w:b/>
          <w:color w:val="auto"/>
          <w:sz w:val="28"/>
          <w:highlight w:val="none"/>
          <w:lang w:eastAsia="zh-CN"/>
        </w:rPr>
        <w:t>采购项目名称：</w:t>
      </w:r>
      <w:bookmarkStart w:id="10" w:name="_Toc495926918"/>
      <w:r>
        <w:rPr>
          <w:rFonts w:hint="eastAsia" w:ascii="宋体" w:hAnsi="宋体" w:cs="宋体"/>
          <w:b/>
          <w:color w:val="auto"/>
          <w:sz w:val="28"/>
          <w:highlight w:val="none"/>
          <w:lang w:eastAsia="zh-CN"/>
        </w:rPr>
        <w:t>东阳市人民医院中心监护系统、监护仪、麻醉监护仪、呼吸机设备采购项目</w:t>
      </w:r>
    </w:p>
    <w:p>
      <w:pPr>
        <w:numPr>
          <w:ilvl w:val="0"/>
          <w:numId w:val="6"/>
        </w:numPr>
        <w:spacing w:line="360" w:lineRule="auto"/>
        <w:rPr>
          <w:rFonts w:hint="eastAsia" w:ascii="宋体" w:hAnsi="宋体" w:cs="宋体"/>
          <w:b/>
          <w:color w:val="auto"/>
          <w:sz w:val="28"/>
          <w:highlight w:val="none"/>
          <w:lang w:eastAsia="zh-CN"/>
        </w:rPr>
      </w:pPr>
      <w:r>
        <w:rPr>
          <w:rFonts w:hint="eastAsia" w:ascii="宋体" w:hAnsi="宋体" w:cs="宋体"/>
          <w:b/>
          <w:color w:val="auto"/>
          <w:sz w:val="28"/>
          <w:highlight w:val="none"/>
          <w:lang w:eastAsia="zh-CN"/>
        </w:rPr>
        <w:t xml:space="preserve">采购内容     </w:t>
      </w:r>
    </w:p>
    <w:tbl>
      <w:tblPr>
        <w:tblStyle w:val="36"/>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4017"/>
        <w:gridCol w:w="1327"/>
        <w:gridCol w:w="1775"/>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24" w:type="dxa"/>
            <w:vAlign w:val="center"/>
          </w:tcPr>
          <w:p>
            <w:pPr>
              <w:widowControl/>
              <w:overflowPunct w:val="0"/>
              <w:autoSpaceDE w:val="0"/>
              <w:autoSpaceDN w:val="0"/>
              <w:adjustRightInd w:val="0"/>
              <w:spacing w:line="460" w:lineRule="exact"/>
              <w:jc w:val="center"/>
              <w:textAlignment w:val="baseline"/>
              <w:rPr>
                <w:rFonts w:hint="default" w:eastAsia="宋体"/>
                <w:color w:val="auto"/>
                <w:sz w:val="24"/>
                <w:highlight w:val="none"/>
                <w:lang w:val="en-US" w:eastAsia="zh-CN"/>
              </w:rPr>
            </w:pPr>
            <w:r>
              <w:rPr>
                <w:rFonts w:hint="eastAsia"/>
                <w:color w:val="auto"/>
                <w:sz w:val="24"/>
                <w:highlight w:val="none"/>
                <w:lang w:val="en-US" w:eastAsia="zh-CN"/>
              </w:rPr>
              <w:t>标项</w:t>
            </w:r>
          </w:p>
        </w:tc>
        <w:tc>
          <w:tcPr>
            <w:tcW w:w="4017" w:type="dxa"/>
            <w:vAlign w:val="center"/>
          </w:tcPr>
          <w:p>
            <w:pPr>
              <w:widowControl/>
              <w:overflowPunct w:val="0"/>
              <w:autoSpaceDE w:val="0"/>
              <w:autoSpaceDN w:val="0"/>
              <w:adjustRightInd w:val="0"/>
              <w:spacing w:line="460" w:lineRule="exact"/>
              <w:jc w:val="center"/>
              <w:textAlignment w:val="baseline"/>
              <w:rPr>
                <w:rFonts w:hint="eastAsia" w:ascii="宋体" w:hAnsi="宋体"/>
                <w:bCs/>
                <w:color w:val="auto"/>
                <w:kern w:val="0"/>
                <w:sz w:val="24"/>
                <w:highlight w:val="none"/>
              </w:rPr>
            </w:pPr>
            <w:r>
              <w:rPr>
                <w:rFonts w:hint="eastAsia" w:ascii="宋体" w:hAnsi="宋体"/>
                <w:bCs/>
                <w:color w:val="auto"/>
                <w:kern w:val="0"/>
                <w:sz w:val="24"/>
                <w:highlight w:val="none"/>
              </w:rPr>
              <w:t>采购内容</w:t>
            </w:r>
          </w:p>
        </w:tc>
        <w:tc>
          <w:tcPr>
            <w:tcW w:w="1327" w:type="dxa"/>
            <w:vAlign w:val="center"/>
          </w:tcPr>
          <w:p>
            <w:pPr>
              <w:widowControl/>
              <w:overflowPunct w:val="0"/>
              <w:autoSpaceDE w:val="0"/>
              <w:autoSpaceDN w:val="0"/>
              <w:adjustRightInd w:val="0"/>
              <w:spacing w:line="460" w:lineRule="exact"/>
              <w:jc w:val="center"/>
              <w:textAlignment w:val="baseline"/>
              <w:rPr>
                <w:rFonts w:hint="eastAsia" w:ascii="宋体" w:hAnsi="宋体" w:eastAsia="宋体"/>
                <w:bCs/>
                <w:color w:val="auto"/>
                <w:kern w:val="0"/>
                <w:sz w:val="24"/>
                <w:highlight w:val="none"/>
                <w:lang w:val="en-US" w:eastAsia="zh-CN"/>
              </w:rPr>
            </w:pPr>
            <w:r>
              <w:rPr>
                <w:rFonts w:hint="eastAsia" w:ascii="宋体" w:hAnsi="宋体"/>
                <w:bCs/>
                <w:color w:val="auto"/>
                <w:kern w:val="0"/>
                <w:sz w:val="24"/>
                <w:highlight w:val="none"/>
                <w:lang w:val="en-US" w:eastAsia="zh-CN"/>
              </w:rPr>
              <w:t>数量</w:t>
            </w:r>
          </w:p>
        </w:tc>
        <w:tc>
          <w:tcPr>
            <w:tcW w:w="1775" w:type="dxa"/>
            <w:vAlign w:val="center"/>
          </w:tcPr>
          <w:p>
            <w:pPr>
              <w:widowControl/>
              <w:overflowPunct w:val="0"/>
              <w:autoSpaceDE w:val="0"/>
              <w:autoSpaceDN w:val="0"/>
              <w:adjustRightInd w:val="0"/>
              <w:spacing w:line="460" w:lineRule="exact"/>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宋体" w:hAnsi="宋体"/>
                <w:bCs/>
                <w:color w:val="auto"/>
                <w:kern w:val="0"/>
                <w:sz w:val="24"/>
                <w:highlight w:val="none"/>
              </w:rPr>
              <w:t>预算金额</w:t>
            </w:r>
          </w:p>
        </w:tc>
        <w:tc>
          <w:tcPr>
            <w:tcW w:w="1375" w:type="dxa"/>
            <w:vAlign w:val="center"/>
          </w:tcPr>
          <w:p>
            <w:pPr>
              <w:widowControl/>
              <w:overflowPunct w:val="0"/>
              <w:autoSpaceDE w:val="0"/>
              <w:autoSpaceDN w:val="0"/>
              <w:adjustRightInd w:val="0"/>
              <w:spacing w:line="460" w:lineRule="exact"/>
              <w:jc w:val="center"/>
              <w:textAlignment w:val="baseline"/>
              <w:rPr>
                <w:rFonts w:hint="eastAsia" w:ascii="宋体" w:hAnsi="宋体"/>
                <w:bCs/>
                <w:color w:val="auto"/>
                <w:kern w:val="0"/>
                <w:sz w:val="24"/>
                <w:highlight w:val="none"/>
                <w:lang w:val="en-US" w:eastAsia="zh-CN"/>
              </w:rPr>
            </w:pPr>
            <w:r>
              <w:rPr>
                <w:rFonts w:hint="eastAsia" w:ascii="宋体" w:hAnsi="宋体"/>
                <w:bCs/>
                <w:color w:val="auto"/>
                <w:kern w:val="0"/>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24" w:type="dxa"/>
            <w:vAlign w:val="center"/>
          </w:tcPr>
          <w:p>
            <w:pPr>
              <w:spacing w:line="380" w:lineRule="exac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一</w:t>
            </w:r>
          </w:p>
        </w:tc>
        <w:tc>
          <w:tcPr>
            <w:tcW w:w="4017" w:type="dxa"/>
            <w:vAlign w:val="center"/>
          </w:tcPr>
          <w:p>
            <w:pPr>
              <w:spacing w:line="380" w:lineRule="exact"/>
              <w:jc w:val="center"/>
              <w:rPr>
                <w:rFonts w:hint="eastAsia" w:eastAsia="宋体"/>
                <w:color w:val="auto"/>
                <w:sz w:val="24"/>
                <w:highlight w:val="none"/>
                <w:lang w:eastAsia="zh-CN"/>
              </w:rPr>
            </w:pPr>
            <w:r>
              <w:rPr>
                <w:rFonts w:hint="eastAsia" w:ascii="宋体" w:hAnsi="宋体" w:cs="宋体"/>
                <w:b w:val="0"/>
                <w:bCs w:val="0"/>
                <w:color w:val="auto"/>
                <w:sz w:val="24"/>
                <w:highlight w:val="none"/>
                <w:lang w:eastAsia="zh-CN"/>
              </w:rPr>
              <w:t>中心监护系统、监护仪、呼吸机</w:t>
            </w:r>
          </w:p>
        </w:tc>
        <w:tc>
          <w:tcPr>
            <w:tcW w:w="1327" w:type="dxa"/>
            <w:vAlign w:val="center"/>
          </w:tcPr>
          <w:p>
            <w:pPr>
              <w:spacing w:line="380" w:lineRule="exact"/>
              <w:jc w:val="center"/>
              <w:rPr>
                <w:rFonts w:hint="default"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1批</w:t>
            </w:r>
          </w:p>
        </w:tc>
        <w:tc>
          <w:tcPr>
            <w:tcW w:w="1775" w:type="dxa"/>
            <w:vAlign w:val="center"/>
          </w:tcPr>
          <w:p>
            <w:pPr>
              <w:spacing w:line="38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540万元</w:t>
            </w:r>
          </w:p>
        </w:tc>
        <w:tc>
          <w:tcPr>
            <w:tcW w:w="1375" w:type="dxa"/>
            <w:vAlign w:val="center"/>
          </w:tcPr>
          <w:p>
            <w:pPr>
              <w:spacing w:line="380" w:lineRule="exact"/>
              <w:jc w:val="center"/>
              <w:rPr>
                <w:rFonts w:hint="eastAsia"/>
                <w:color w:val="auto"/>
                <w:sz w:val="24"/>
                <w:highlight w:val="none"/>
                <w:lang w:val="en-US" w:eastAsia="zh-CN"/>
              </w:rPr>
            </w:pPr>
            <w:r>
              <w:rPr>
                <w:rFonts w:hint="eastAsia"/>
                <w:color w:val="auto"/>
                <w:sz w:val="24"/>
                <w:highlight w:val="none"/>
                <w:lang w:val="en-US" w:eastAsia="zh-CN"/>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24" w:type="dxa"/>
            <w:vAlign w:val="center"/>
          </w:tcPr>
          <w:p>
            <w:pPr>
              <w:spacing w:line="380" w:lineRule="exact"/>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二</w:t>
            </w:r>
          </w:p>
        </w:tc>
        <w:tc>
          <w:tcPr>
            <w:tcW w:w="4017" w:type="dxa"/>
            <w:vAlign w:val="center"/>
          </w:tcPr>
          <w:p>
            <w:pPr>
              <w:spacing w:line="380" w:lineRule="exact"/>
              <w:jc w:val="center"/>
              <w:rPr>
                <w:rFonts w:hint="eastAsia"/>
                <w:color w:val="auto"/>
                <w:sz w:val="24"/>
                <w:highlight w:val="none"/>
                <w:lang w:eastAsia="zh-CN"/>
              </w:rPr>
            </w:pPr>
            <w:r>
              <w:rPr>
                <w:rFonts w:hint="eastAsia" w:ascii="宋体" w:hAnsi="宋体" w:cs="宋体"/>
                <w:b w:val="0"/>
                <w:bCs w:val="0"/>
                <w:color w:val="auto"/>
                <w:sz w:val="24"/>
                <w:highlight w:val="none"/>
                <w:lang w:eastAsia="zh-CN"/>
              </w:rPr>
              <w:t>麻醉监护仪、呼吸机</w:t>
            </w:r>
          </w:p>
        </w:tc>
        <w:tc>
          <w:tcPr>
            <w:tcW w:w="1327" w:type="dxa"/>
            <w:vAlign w:val="center"/>
          </w:tcPr>
          <w:p>
            <w:pPr>
              <w:spacing w:line="380" w:lineRule="exact"/>
              <w:jc w:val="center"/>
              <w:rPr>
                <w:rFonts w:hint="default"/>
                <w:color w:val="auto"/>
                <w:sz w:val="24"/>
                <w:highlight w:val="none"/>
                <w:lang w:val="en-US" w:eastAsia="zh-CN"/>
              </w:rPr>
            </w:pPr>
            <w:r>
              <w:rPr>
                <w:rFonts w:hint="eastAsia"/>
                <w:color w:val="auto"/>
                <w:sz w:val="24"/>
                <w:highlight w:val="none"/>
                <w:lang w:val="en-US" w:eastAsia="zh-CN"/>
              </w:rPr>
              <w:t>1批</w:t>
            </w:r>
          </w:p>
        </w:tc>
        <w:tc>
          <w:tcPr>
            <w:tcW w:w="1775" w:type="dxa"/>
            <w:vAlign w:val="center"/>
          </w:tcPr>
          <w:p>
            <w:pPr>
              <w:spacing w:line="380" w:lineRule="exact"/>
              <w:jc w:val="center"/>
              <w:rPr>
                <w:rFonts w:hint="default"/>
                <w:color w:val="auto"/>
                <w:sz w:val="24"/>
                <w:highlight w:val="none"/>
                <w:lang w:val="en-US" w:eastAsia="zh-CN"/>
              </w:rPr>
            </w:pPr>
            <w:r>
              <w:rPr>
                <w:rFonts w:hint="eastAsia"/>
                <w:color w:val="auto"/>
                <w:sz w:val="24"/>
                <w:highlight w:val="none"/>
                <w:lang w:val="en-US" w:eastAsia="zh-CN"/>
              </w:rPr>
              <w:t>300万元</w:t>
            </w:r>
          </w:p>
        </w:tc>
        <w:tc>
          <w:tcPr>
            <w:tcW w:w="1375" w:type="dxa"/>
            <w:vAlign w:val="center"/>
          </w:tcPr>
          <w:p>
            <w:pPr>
              <w:spacing w:line="380" w:lineRule="exact"/>
              <w:jc w:val="center"/>
              <w:rPr>
                <w:rFonts w:hint="eastAsia"/>
                <w:color w:val="auto"/>
                <w:sz w:val="24"/>
                <w:highlight w:val="none"/>
                <w:lang w:val="en-US" w:eastAsia="zh-CN"/>
              </w:rPr>
            </w:pPr>
            <w:r>
              <w:rPr>
                <w:rFonts w:hint="eastAsia"/>
                <w:color w:val="auto"/>
                <w:sz w:val="24"/>
                <w:highlight w:val="none"/>
                <w:lang w:val="en-US" w:eastAsia="zh-CN"/>
              </w:rPr>
              <w:t>允许进口</w:t>
            </w:r>
          </w:p>
        </w:tc>
      </w:tr>
    </w:tbl>
    <w:p>
      <w:pPr>
        <w:numPr>
          <w:ilvl w:val="0"/>
          <w:numId w:val="6"/>
        </w:numPr>
        <w:spacing w:line="360" w:lineRule="auto"/>
        <w:ind w:left="720" w:leftChars="0" w:hanging="720" w:firstLineChars="0"/>
        <w:rPr>
          <w:rFonts w:hint="eastAsia" w:ascii="宋体" w:hAnsi="宋体" w:cs="宋体"/>
          <w:b/>
          <w:color w:val="auto"/>
          <w:sz w:val="28"/>
          <w:highlight w:val="none"/>
          <w:lang w:eastAsia="zh-CN"/>
        </w:rPr>
      </w:pPr>
      <w:r>
        <w:rPr>
          <w:rFonts w:hint="eastAsia" w:ascii="宋体" w:hAnsi="宋体" w:cs="宋体"/>
          <w:b/>
          <w:color w:val="auto"/>
          <w:sz w:val="28"/>
          <w:highlight w:val="none"/>
          <w:lang w:val="en-US" w:eastAsia="zh-CN"/>
        </w:rPr>
        <w:t>标一</w:t>
      </w:r>
      <w:r>
        <w:rPr>
          <w:rFonts w:hint="eastAsia" w:ascii="宋体" w:hAnsi="宋体" w:cs="宋体"/>
          <w:b/>
          <w:color w:val="auto"/>
          <w:sz w:val="28"/>
          <w:highlight w:val="none"/>
          <w:lang w:eastAsia="zh-CN"/>
        </w:rPr>
        <w:t>技术参数</w:t>
      </w:r>
    </w:p>
    <w:p>
      <w:pPr>
        <w:jc w:val="left"/>
        <w:rPr>
          <w:rFonts w:hint="default" w:ascii="宋体" w:hAnsi="宋体" w:eastAsia="宋体"/>
          <w:b/>
          <w:color w:val="000000"/>
          <w:sz w:val="28"/>
          <w:szCs w:val="28"/>
          <w:lang w:val="en-US" w:eastAsia="zh-CN"/>
        </w:rPr>
      </w:pPr>
      <w:r>
        <w:rPr>
          <w:rFonts w:hint="eastAsia" w:ascii="宋体" w:hAnsi="宋体"/>
          <w:b/>
          <w:color w:val="000000"/>
          <w:sz w:val="28"/>
          <w:szCs w:val="28"/>
          <w:lang w:val="en-US" w:eastAsia="zh-CN"/>
        </w:rPr>
        <w:t>（一）ICU中央站一套</w:t>
      </w:r>
    </w:p>
    <w:tbl>
      <w:tblPr>
        <w:tblStyle w:val="36"/>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26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8400" w:type="dxa"/>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260" w:type="dxa"/>
            <w:shd w:val="clear" w:color="auto" w:fill="auto"/>
            <w:vAlign w:val="center"/>
          </w:tcPr>
          <w:p>
            <w:pPr>
              <w:jc w:val="both"/>
              <w:rPr>
                <w:rFonts w:hint="eastAsia" w:ascii="宋体" w:hAnsi="宋体" w:eastAsia="宋体" w:cs="宋体"/>
                <w:b/>
                <w:bCs/>
                <w:sz w:val="24"/>
                <w:szCs w:val="24"/>
              </w:rPr>
            </w:pPr>
          </w:p>
        </w:tc>
        <w:tc>
          <w:tcPr>
            <w:tcW w:w="8400" w:type="dxa"/>
            <w:shd w:val="clear" w:color="auto" w:fill="FFFFFF"/>
            <w:vAlign w:val="center"/>
          </w:tcPr>
          <w:p>
            <w:pPr>
              <w:widowControl/>
              <w:spacing w:line="320" w:lineRule="exact"/>
              <w:rPr>
                <w:rFonts w:hint="eastAsia" w:ascii="宋体" w:hAnsi="宋体" w:eastAsia="宋体" w:cs="宋体"/>
                <w:color w:val="000000"/>
                <w:kern w:val="0"/>
                <w:sz w:val="24"/>
                <w:szCs w:val="24"/>
                <w:lang w:val="en-US" w:eastAsia="zh-CN"/>
              </w:rPr>
            </w:pPr>
            <w:r>
              <w:rPr>
                <w:rFonts w:hint="eastAsia" w:ascii="宋体" w:hAnsi="宋体" w:eastAsia="宋体" w:cs="宋体"/>
                <w:b/>
                <w:bCs/>
                <w:color w:val="000000"/>
                <w:kern w:val="0"/>
                <w:sz w:val="24"/>
                <w:szCs w:val="24"/>
              </w:rPr>
              <w:t>中央监护系统</w:t>
            </w:r>
            <w:r>
              <w:rPr>
                <w:rFonts w:hint="eastAsia" w:ascii="宋体" w:hAnsi="宋体" w:eastAsia="宋体" w:cs="宋体"/>
                <w:b/>
                <w:bCs/>
                <w:color w:val="000000"/>
                <w:kern w:val="0"/>
                <w:sz w:val="24"/>
                <w:szCs w:val="24"/>
                <w:lang w:eastAsia="zh-CN"/>
              </w:rPr>
              <w:t>，</w:t>
            </w:r>
            <w:r>
              <w:rPr>
                <w:rFonts w:hint="eastAsia" w:ascii="宋体" w:hAnsi="宋体" w:eastAsia="宋体" w:cs="宋体"/>
                <w:b/>
                <w:bCs/>
                <w:color w:val="000000"/>
                <w:kern w:val="0"/>
                <w:sz w:val="24"/>
                <w:szCs w:val="24"/>
                <w:lang w:val="en-US" w:eastAsia="zh-CN"/>
              </w:rPr>
              <w:t>数量1套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260" w:type="dxa"/>
            <w:shd w:val="clear" w:color="auto" w:fill="auto"/>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一</w:t>
            </w:r>
          </w:p>
        </w:tc>
        <w:tc>
          <w:tcPr>
            <w:tcW w:w="8400" w:type="dxa"/>
            <w:shd w:val="clear" w:color="auto" w:fill="FFFFFF"/>
            <w:vAlign w:val="center"/>
          </w:tcPr>
          <w:p>
            <w:pPr>
              <w:widowControl/>
              <w:spacing w:line="320" w:lineRule="exac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中央监护系统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260"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8400"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中心监护系统支持Window 7系统，中、英文操作系统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260"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8400"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中心监护系统支持24寸液晶屏幕显示,高分辨率彩色液晶显示。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60"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8400"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可同时集中监护多达64 个病人，单个屏幕可支持16个病人的同时集中监护。支持多达4个显示屏显示。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260"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1.4</w:t>
            </w:r>
          </w:p>
        </w:tc>
        <w:tc>
          <w:tcPr>
            <w:tcW w:w="8400"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多床支持床标识显示，可用来区分护理组、病人组等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60"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1.5</w:t>
            </w:r>
          </w:p>
        </w:tc>
        <w:tc>
          <w:tcPr>
            <w:tcW w:w="8400"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提供声、光、文字多重报警提醒功能，提供高、中、低三级报警。具有报警自动记录或打印功能。保存报警时刻前后32秒的波形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260"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1.6</w:t>
            </w:r>
          </w:p>
        </w:tc>
        <w:tc>
          <w:tcPr>
            <w:tcW w:w="8400"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提供全床位最近24小时的报警事件浏览功能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260"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1.7</w:t>
            </w:r>
          </w:p>
        </w:tc>
        <w:tc>
          <w:tcPr>
            <w:tcW w:w="8400"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支持至少240小时长趋势回顾和4小时短趋势回顾，至少240 小时全息波形回顾，至少720条报警事件回顾，至少240 小时的ST片段回顾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260"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1.8</w:t>
            </w:r>
          </w:p>
        </w:tc>
        <w:tc>
          <w:tcPr>
            <w:tcW w:w="8400"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支持至少2万个历史病人数据存储与回顾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260"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1.9</w:t>
            </w:r>
          </w:p>
        </w:tc>
        <w:tc>
          <w:tcPr>
            <w:tcW w:w="8400"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支持报警报告、波形报告、趋势报告、ARR统计报告等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60"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1.10</w:t>
            </w:r>
          </w:p>
        </w:tc>
        <w:tc>
          <w:tcPr>
            <w:tcW w:w="8400"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中心监护系统支持中央站, 工作站, 浏览站, 远程查询系统等多种产品形态互连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260"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1.11</w:t>
            </w:r>
          </w:p>
        </w:tc>
        <w:tc>
          <w:tcPr>
            <w:tcW w:w="8400"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中心监护系统可支持参数监测，如ECG， ST, QT/QTc， RESP，SPO2， PR， TEMP， NIBP， IBP， C.O.， ScvO2，ICG，BIS，RM，CO2，AG，EEG，NMT，rSO2等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260" w:type="dxa"/>
            <w:shd w:val="clear" w:color="auto" w:fill="FFFFFF"/>
            <w:vAlign w:val="center"/>
          </w:tcPr>
          <w:p>
            <w:pPr>
              <w:widowControl/>
              <w:spacing w:line="320" w:lineRule="exact"/>
              <w:jc w:val="center"/>
              <w:textAlignment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0"/>
                <w:sz w:val="24"/>
                <w:szCs w:val="24"/>
              </w:rPr>
              <w:t>二</w:t>
            </w:r>
          </w:p>
        </w:tc>
        <w:tc>
          <w:tcPr>
            <w:tcW w:w="8400" w:type="dxa"/>
            <w:shd w:val="clear" w:color="auto" w:fill="FFFFFF"/>
            <w:vAlign w:val="center"/>
          </w:tcPr>
          <w:p>
            <w:pPr>
              <w:spacing w:line="320" w:lineRule="exac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插件式监护仪</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数量10台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b/>
                <w:bCs/>
                <w:color w:val="auto"/>
                <w:sz w:val="24"/>
                <w:highlight w:val="none"/>
              </w:rPr>
              <w:t>▲</w:t>
            </w:r>
            <w:r>
              <w:rPr>
                <w:rFonts w:hint="eastAsia" w:ascii="宋体" w:hAnsi="宋体" w:eastAsia="宋体" w:cs="宋体"/>
                <w:color w:val="000000"/>
                <w:kern w:val="0"/>
                <w:sz w:val="24"/>
                <w:szCs w:val="24"/>
              </w:rPr>
              <w:t>2.1</w:t>
            </w:r>
          </w:p>
        </w:tc>
        <w:tc>
          <w:tcPr>
            <w:tcW w:w="0" w:type="auto"/>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sz w:val="24"/>
                <w:szCs w:val="24"/>
              </w:rPr>
              <w:t>≥15英寸显示屏，分辨率≥1920 x 1080像素。电容触摸屏。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2.2</w:t>
            </w:r>
          </w:p>
        </w:tc>
        <w:tc>
          <w:tcPr>
            <w:tcW w:w="0" w:type="auto"/>
            <w:vAlign w:val="center"/>
          </w:tcPr>
          <w:p>
            <w:pPr>
              <w:widowControl/>
              <w:spacing w:line="32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屏幕正面纯平设计，不易积累灰尘，易清洁。显示屏为视角上下、左右视角均达到178度。提供多点触摸和手势操作功能。</w:t>
            </w:r>
            <w:r>
              <w:rPr>
                <w:rFonts w:hint="eastAsia" w:ascii="宋体" w:hAnsi="宋体" w:eastAsia="宋体" w:cs="宋体"/>
                <w:color w:val="000000"/>
                <w:kern w:val="0"/>
                <w:sz w:val="24"/>
                <w:szCs w:val="24"/>
              </w:rPr>
              <w:t>监护仪自身集成</w:t>
            </w:r>
            <w:r>
              <w:rPr>
                <w:rFonts w:hint="eastAsia" w:ascii="宋体" w:hAnsi="宋体" w:eastAsia="宋体" w:cs="宋体"/>
                <w:sz w:val="24"/>
                <w:szCs w:val="24"/>
              </w:rPr>
              <w:t>≥</w:t>
            </w:r>
            <w:r>
              <w:rPr>
                <w:rFonts w:hint="eastAsia" w:ascii="宋体" w:hAnsi="宋体" w:eastAsia="宋体" w:cs="宋体"/>
                <w:color w:val="000000"/>
                <w:kern w:val="0"/>
                <w:sz w:val="24"/>
                <w:szCs w:val="24"/>
              </w:rPr>
              <w:t>6槽插件箱，能够满足大部分临床需求。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2.3</w:t>
            </w:r>
          </w:p>
        </w:tc>
        <w:tc>
          <w:tcPr>
            <w:tcW w:w="0" w:type="auto"/>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用户能够根据自己的使用需要定义快捷键。界面至少能够提供20个快捷键的同时显示。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2.4</w:t>
            </w:r>
          </w:p>
        </w:tc>
        <w:tc>
          <w:tcPr>
            <w:tcW w:w="0" w:type="auto"/>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具备3/5导心电，阻抗呼吸，血氧、无创血压，2通道体温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b/>
                <w:bCs/>
                <w:color w:val="auto"/>
                <w:sz w:val="24"/>
                <w:highlight w:val="none"/>
              </w:rPr>
              <w:t>▲</w:t>
            </w:r>
            <w:r>
              <w:rPr>
                <w:rFonts w:hint="eastAsia" w:ascii="宋体" w:hAnsi="宋体" w:eastAsia="宋体" w:cs="宋体"/>
                <w:color w:val="000000"/>
                <w:kern w:val="0"/>
                <w:sz w:val="24"/>
                <w:szCs w:val="24"/>
              </w:rPr>
              <w:t>2.5</w:t>
            </w:r>
          </w:p>
        </w:tc>
        <w:tc>
          <w:tcPr>
            <w:tcW w:w="0" w:type="auto"/>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可选配IBP，EtCO2，RM，C.O.，PiCCO，ScvO2，ICG，BIS/BISx4，EEG，NMT，rSO2等参数模块，以及记录仪、设备集成模块。模块不需要额外供电，均支持即插即用。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xml:space="preserve"> 2.6</w:t>
            </w:r>
          </w:p>
        </w:tc>
        <w:tc>
          <w:tcPr>
            <w:tcW w:w="0" w:type="auto"/>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sz w:val="24"/>
                <w:szCs w:val="24"/>
              </w:rPr>
              <w:t>具有多导心电监护算法，同步分析至少2通道心电波形，能够良好抗干扰。用户可以更改分析导联。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2.7</w:t>
            </w:r>
          </w:p>
        </w:tc>
        <w:tc>
          <w:tcPr>
            <w:tcW w:w="0" w:type="auto"/>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心电波速提供50mm/s，25 mm/s、12.5 mm/s、6.25 mm/s可选。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2.8</w:t>
            </w:r>
          </w:p>
        </w:tc>
        <w:tc>
          <w:tcPr>
            <w:tcW w:w="0" w:type="auto"/>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提供25种心律失常事件的分析，包括：停搏(Asystole)、室颤/室速(VFib/Vtac)、室速(Vtac)、室性心动过缓(Vent. Brady)、极度心动过速(Extreme Tachy)、极度心动过缓(Extreme Brady)、PVCs/min过高、Pauses/min过高、R on T、多连发室早(Run PVCs)、成对室早(Couplet)、多形室早(Multif. PVC)、单个室早(PVC)、室早二联律(Bigeminy)、室早三联律(Trigeminy)、心动过速(Tachy)、心动过缓(Brady)、起搏器未起搏(Pacer Not Pacing)、起搏器未俘获(Pacer Not Capture)、漏搏(Missed Beat)、短阵室速(Nonsus. Vtac)、室性节律(Vent. Rhythm)、心跳暂停(Pause)、不规则节律(Irr.Rhythm)、房颤(Afib)。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2.9</w:t>
            </w:r>
          </w:p>
        </w:tc>
        <w:tc>
          <w:tcPr>
            <w:tcW w:w="0" w:type="auto"/>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床旁提供ST段分析，提供显示和存储ST值和每个ST的模板。提供ST段ISO点，J点的手动调节和自动调节，且在ST段模板上显示相对位置。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2.10</w:t>
            </w:r>
          </w:p>
        </w:tc>
        <w:tc>
          <w:tcPr>
            <w:tcW w:w="0" w:type="auto"/>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提供起搏信号智能识别。在尚不清楚病人是否佩戴有起搏器的情况下，能够进行自动起搏分析检测。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2.11</w:t>
            </w:r>
          </w:p>
        </w:tc>
        <w:tc>
          <w:tcPr>
            <w:tcW w:w="0" w:type="auto"/>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具有QT/QTc测量功能，提供QT，QTc和ΔQTc参数值。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2.12</w:t>
            </w:r>
          </w:p>
        </w:tc>
        <w:tc>
          <w:tcPr>
            <w:tcW w:w="0" w:type="auto"/>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血氧可显示弱灌注指数（PI）。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2.13</w:t>
            </w:r>
          </w:p>
        </w:tc>
        <w:tc>
          <w:tcPr>
            <w:tcW w:w="0" w:type="auto"/>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具有脉搏调制音功能，可随脉搏血氧饱和度变化而相应变化。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2.14</w:t>
            </w:r>
          </w:p>
        </w:tc>
        <w:tc>
          <w:tcPr>
            <w:tcW w:w="0" w:type="auto"/>
            <w:vAlign w:val="center"/>
          </w:tcPr>
          <w:p>
            <w:pPr>
              <w:spacing w:line="32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可提供双血氧监测功能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2.15</w:t>
            </w:r>
          </w:p>
        </w:tc>
        <w:tc>
          <w:tcPr>
            <w:tcW w:w="0" w:type="auto"/>
            <w:vAlign w:val="center"/>
          </w:tcPr>
          <w:p>
            <w:pPr>
              <w:spacing w:line="32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NIBP提供手动、自动间隔、连续、序列四种测量模式。在监护界面提供NIBP列表显示。NIBP支持辅助静脉穿刺。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2.16</w:t>
            </w:r>
          </w:p>
        </w:tc>
        <w:tc>
          <w:tcPr>
            <w:tcW w:w="0" w:type="auto"/>
            <w:vAlign w:val="center"/>
          </w:tcPr>
          <w:p>
            <w:pPr>
              <w:spacing w:line="32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支持波形叠加，最大支持10道IBP波形叠加。支持实时PPV测量。支持PAWP手动或自动测量。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2.17</w:t>
            </w:r>
          </w:p>
        </w:tc>
        <w:tc>
          <w:tcPr>
            <w:tcW w:w="0" w:type="auto"/>
            <w:vAlign w:val="center"/>
          </w:tcPr>
          <w:p>
            <w:pPr>
              <w:spacing w:line="32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具有LED报警灯，能够进行三级报警状态显示（红，黄，青）。具有三种报警音风格，可根据喜好选择。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2.18</w:t>
            </w:r>
          </w:p>
        </w:tc>
        <w:tc>
          <w:tcPr>
            <w:tcW w:w="0" w:type="auto"/>
            <w:vAlign w:val="center"/>
          </w:tcPr>
          <w:p>
            <w:pPr>
              <w:spacing w:line="32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具有图形化报警指示功能，看报警信息更容易。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2.19</w:t>
            </w:r>
          </w:p>
        </w:tc>
        <w:tc>
          <w:tcPr>
            <w:tcW w:w="0" w:type="auto"/>
            <w:vAlign w:val="center"/>
          </w:tcPr>
          <w:p>
            <w:pPr>
              <w:spacing w:line="32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具备120小时（分辨率1分钟）趋势表、趋势图回顾，4小时（分辨率5秒）趋势表、趋势图回顾。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2.20</w:t>
            </w:r>
          </w:p>
        </w:tc>
        <w:tc>
          <w:tcPr>
            <w:tcW w:w="0" w:type="auto"/>
            <w:vAlign w:val="center"/>
          </w:tcPr>
          <w:p>
            <w:pPr>
              <w:spacing w:line="32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48小时全息波形回顾。全息波形至少能存储所有测量值，以及至少3道波形。监护仪存储48小时全息波形，不需要额外连接外部存储介质。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2.21</w:t>
            </w:r>
          </w:p>
        </w:tc>
        <w:tc>
          <w:tcPr>
            <w:tcW w:w="0" w:type="auto"/>
            <w:vAlign w:val="center"/>
          </w:tcPr>
          <w:p>
            <w:pPr>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具有在线帮助功能，能够指导用户掌握如何设置参数。具有高级参数指导功能，能够指导用户掌握高级参数的使用方法。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2.22</w:t>
            </w:r>
          </w:p>
        </w:tc>
        <w:tc>
          <w:tcPr>
            <w:tcW w:w="0" w:type="auto"/>
            <w:vAlign w:val="center"/>
          </w:tcPr>
          <w:p>
            <w:pPr>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工作模式提供：监护模式、待机模式、体外循环模式、插管模式，夜间模式、隐私模式、演示模式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2.23</w:t>
            </w:r>
          </w:p>
        </w:tc>
        <w:tc>
          <w:tcPr>
            <w:tcW w:w="0" w:type="auto"/>
            <w:vAlign w:val="center"/>
          </w:tcPr>
          <w:p>
            <w:pPr>
              <w:pStyle w:val="116"/>
              <w:widowControl/>
              <w:spacing w:after="120" w:line="264" w:lineRule="auto"/>
              <w:ind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可选配专业的血流动力学辅助应用，能够图形化显示监测参数，体现参数之间的关系，提供目标治疗决策建议，提供抬腿试验辅助工具，提供心功能图指示，提供蛛网图参数跟踪。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2.24</w:t>
            </w:r>
          </w:p>
        </w:tc>
        <w:tc>
          <w:tcPr>
            <w:tcW w:w="0" w:type="auto"/>
            <w:vAlign w:val="center"/>
          </w:tcPr>
          <w:p>
            <w:pPr>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可选配脓毒症筛查工具，以及满足2012 SSC指南和Sepsis3.0的治疗建议检查清单，并提供治疗建议。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2.25</w:t>
            </w:r>
          </w:p>
        </w:tc>
        <w:tc>
          <w:tcPr>
            <w:tcW w:w="0" w:type="auto"/>
            <w:vAlign w:val="center"/>
          </w:tcPr>
          <w:p>
            <w:pPr>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可选配早期预警评分功能，并提供用户自定义评分协议的能力。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2.26</w:t>
            </w:r>
          </w:p>
        </w:tc>
        <w:tc>
          <w:tcPr>
            <w:tcW w:w="0" w:type="auto"/>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配置要求：主机10台，转运监护1台，Picco模块5个，Bis模块5个，脑氧模块1个，CO模块2个</w:t>
            </w:r>
          </w:p>
        </w:tc>
      </w:tr>
    </w:tbl>
    <w:p>
      <w:pPr>
        <w:jc w:val="center"/>
        <w:rPr>
          <w:rFonts w:hint="eastAsia" w:ascii="宋体" w:hAnsi="宋体" w:eastAsia="宋体" w:cs="宋体"/>
          <w:b/>
          <w:color w:val="000000"/>
          <w:sz w:val="24"/>
          <w:szCs w:val="24"/>
          <w:lang w:val="en-US" w:eastAsia="zh-CN"/>
        </w:rPr>
      </w:pPr>
    </w:p>
    <w:p>
      <w:pPr>
        <w:jc w:val="left"/>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（二）复苏室监护系统</w:t>
      </w:r>
    </w:p>
    <w:tbl>
      <w:tblPr>
        <w:tblStyle w:val="36"/>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8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2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8259" w:type="dxa"/>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40" w:type="dxa"/>
            <w:shd w:val="clear" w:color="auto" w:fill="auto"/>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标项一</w:t>
            </w:r>
          </w:p>
        </w:tc>
        <w:tc>
          <w:tcPr>
            <w:tcW w:w="8259" w:type="dxa"/>
            <w:shd w:val="clear" w:color="auto" w:fill="FFFFFF"/>
            <w:vAlign w:val="center"/>
          </w:tcPr>
          <w:p>
            <w:pPr>
              <w:widowControl/>
              <w:spacing w:line="320" w:lineRule="exact"/>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中央监护系统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40" w:type="dxa"/>
            <w:shd w:val="clear" w:color="auto" w:fill="auto"/>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一</w:t>
            </w:r>
          </w:p>
        </w:tc>
        <w:tc>
          <w:tcPr>
            <w:tcW w:w="8259" w:type="dxa"/>
            <w:shd w:val="clear" w:color="auto" w:fill="FFFFFF"/>
            <w:vAlign w:val="center"/>
          </w:tcPr>
          <w:p>
            <w:pPr>
              <w:widowControl/>
              <w:spacing w:line="320" w:lineRule="exac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中央监护系统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40"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8259"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中心监护系统支持Window 7系统，中、英文操作系统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240"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8259"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中心监护系统支持24寸液晶屏幕显示,高分辨率彩色液晶显示。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40"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8259"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可同时集中监护多达64 个病人，单个屏幕可支持16个病人的同时集中监护。支持多达4个显示屏显示。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40"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1.4</w:t>
            </w:r>
          </w:p>
        </w:tc>
        <w:tc>
          <w:tcPr>
            <w:tcW w:w="8259"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多床支持床标识显示，可用来区分护理组、病人组等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40"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1.5</w:t>
            </w:r>
          </w:p>
        </w:tc>
        <w:tc>
          <w:tcPr>
            <w:tcW w:w="8259"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提供声、光、文字多重报警提醒功能，提供高、中、低三级报警。具有报警自动记录或打印功能。保存报警时刻前后32秒的波形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40"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1.6</w:t>
            </w:r>
          </w:p>
        </w:tc>
        <w:tc>
          <w:tcPr>
            <w:tcW w:w="8259"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提供全床位最近24小时的报警事件浏览功能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240"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1.7</w:t>
            </w:r>
          </w:p>
        </w:tc>
        <w:tc>
          <w:tcPr>
            <w:tcW w:w="8259"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支持至少240小时长趋势回顾和4小时短趋势回顾，至少240 小时全息波形回顾，至少720条报警事件回顾，至少240 小时的ST片段回顾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40"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1.8</w:t>
            </w:r>
          </w:p>
        </w:tc>
        <w:tc>
          <w:tcPr>
            <w:tcW w:w="8259"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支持至少2万个历史病人数据存储与回顾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40"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1.9</w:t>
            </w:r>
          </w:p>
        </w:tc>
        <w:tc>
          <w:tcPr>
            <w:tcW w:w="8259"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支持报警报告、波形报告、趋势报告、ARR统计报告等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40"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1.10</w:t>
            </w:r>
          </w:p>
        </w:tc>
        <w:tc>
          <w:tcPr>
            <w:tcW w:w="8259"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中心监护系统支持中央站, 工作站, 浏览站, 远程查询系统等多种产品形态互连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240"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1.11</w:t>
            </w:r>
          </w:p>
        </w:tc>
        <w:tc>
          <w:tcPr>
            <w:tcW w:w="8259"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中心监护系统可支持参数监测，如ECG， ST, QT/QTc， RESP，SPO2， PR， TEMP， NIBP， IBP， C.O.， ScvO2，ICG，BIS，RM，CO2，AG，EEG，NMT，rSO2等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40" w:type="dxa"/>
            <w:shd w:val="clear" w:color="auto" w:fill="FFFFFF"/>
            <w:vAlign w:val="center"/>
          </w:tcPr>
          <w:p>
            <w:pPr>
              <w:widowControl/>
              <w:spacing w:line="320" w:lineRule="exact"/>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二</w:t>
            </w:r>
          </w:p>
        </w:tc>
        <w:tc>
          <w:tcPr>
            <w:tcW w:w="8259" w:type="dxa"/>
            <w:shd w:val="clear" w:color="auto" w:fill="FFFFFF"/>
            <w:vAlign w:val="center"/>
          </w:tcPr>
          <w:p>
            <w:pPr>
              <w:spacing w:line="320" w:lineRule="exact"/>
              <w:rPr>
                <w:rFonts w:hint="eastAsia" w:ascii="宋体" w:hAnsi="宋体" w:eastAsia="宋体" w:cs="宋体"/>
                <w:b/>
                <w:bCs/>
                <w:sz w:val="24"/>
                <w:szCs w:val="24"/>
              </w:rPr>
            </w:pPr>
            <w:r>
              <w:rPr>
                <w:rFonts w:hint="eastAsia" w:ascii="宋体" w:hAnsi="宋体" w:eastAsia="宋体" w:cs="宋体"/>
                <w:b/>
                <w:bCs/>
                <w:sz w:val="24"/>
                <w:szCs w:val="24"/>
              </w:rPr>
              <w:t xml:space="preserve">插件式监护仪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b/>
                <w:bCs/>
                <w:color w:val="auto"/>
                <w:sz w:val="24"/>
                <w:highlight w:val="none"/>
              </w:rPr>
              <w:t>▲</w:t>
            </w:r>
            <w:r>
              <w:rPr>
                <w:rFonts w:hint="eastAsia" w:ascii="宋体" w:hAnsi="宋体" w:eastAsia="宋体" w:cs="宋体"/>
                <w:color w:val="000000"/>
                <w:kern w:val="0"/>
                <w:sz w:val="24"/>
                <w:szCs w:val="24"/>
              </w:rPr>
              <w:t>2.1</w:t>
            </w:r>
          </w:p>
        </w:tc>
        <w:tc>
          <w:tcPr>
            <w:tcW w:w="8259" w:type="dxa"/>
            <w:shd w:val="clear" w:color="auto" w:fill="FFFFFF"/>
            <w:vAlign w:val="center"/>
          </w:tcPr>
          <w:p>
            <w:pPr>
              <w:widowControl/>
              <w:spacing w:line="320" w:lineRule="exact"/>
              <w:rPr>
                <w:rFonts w:hint="eastAsia" w:ascii="宋体" w:hAnsi="宋体" w:eastAsia="宋体" w:cs="宋体"/>
                <w:color w:val="000000"/>
                <w:kern w:val="0"/>
                <w:sz w:val="24"/>
                <w:szCs w:val="24"/>
              </w:rPr>
            </w:pPr>
            <w:r>
              <w:rPr>
                <w:rFonts w:hint="eastAsia" w:ascii="宋体" w:hAnsi="宋体" w:eastAsia="宋体" w:cs="宋体"/>
                <w:kern w:val="0"/>
                <w:sz w:val="24"/>
                <w:szCs w:val="24"/>
              </w:rPr>
              <w:t>≥</w:t>
            </w:r>
            <w:r>
              <w:rPr>
                <w:rFonts w:hint="eastAsia" w:ascii="宋体" w:hAnsi="宋体" w:eastAsia="宋体" w:cs="宋体"/>
                <w:sz w:val="24"/>
                <w:szCs w:val="24"/>
              </w:rPr>
              <w:t>12英寸显示屏，分辨率</w:t>
            </w:r>
            <w:r>
              <w:rPr>
                <w:rFonts w:hint="eastAsia" w:ascii="宋体" w:hAnsi="宋体" w:eastAsia="宋体" w:cs="宋体"/>
                <w:kern w:val="0"/>
                <w:sz w:val="24"/>
                <w:szCs w:val="24"/>
              </w:rPr>
              <w:t>≥</w:t>
            </w:r>
            <w:r>
              <w:rPr>
                <w:rFonts w:hint="eastAsia" w:ascii="宋体" w:hAnsi="宋体" w:eastAsia="宋体" w:cs="宋体"/>
                <w:sz w:val="24"/>
                <w:szCs w:val="24"/>
              </w:rPr>
              <w:t>1280 x 800像素。电容触摸屏。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259" w:type="dxa"/>
            <w:shd w:val="clear" w:color="auto" w:fill="FFFFFF"/>
            <w:vAlign w:val="center"/>
          </w:tcPr>
          <w:p>
            <w:pPr>
              <w:widowControl/>
              <w:spacing w:line="320" w:lineRule="exact"/>
              <w:rPr>
                <w:rFonts w:hint="eastAsia" w:ascii="宋体" w:hAnsi="宋体" w:eastAsia="宋体" w:cs="宋体"/>
                <w:sz w:val="24"/>
                <w:szCs w:val="24"/>
              </w:rPr>
            </w:pPr>
            <w:r>
              <w:rPr>
                <w:rFonts w:hint="eastAsia" w:ascii="宋体" w:hAnsi="宋体" w:eastAsia="宋体" w:cs="宋体"/>
                <w:sz w:val="24"/>
                <w:szCs w:val="24"/>
              </w:rPr>
              <w:t>屏幕正面纯平设计，不易积累灰尘，易清洁。显示屏为视角上下、左右视角均达到178度。提供多点触摸和手势操作功能。</w:t>
            </w:r>
            <w:r>
              <w:rPr>
                <w:rFonts w:hint="eastAsia" w:ascii="宋体" w:hAnsi="宋体" w:eastAsia="宋体" w:cs="宋体"/>
                <w:color w:val="000000"/>
                <w:kern w:val="0"/>
                <w:sz w:val="24"/>
                <w:szCs w:val="24"/>
              </w:rPr>
              <w:t>监护仪自身集成</w:t>
            </w:r>
            <w:r>
              <w:rPr>
                <w:rFonts w:hint="eastAsia" w:ascii="宋体" w:hAnsi="宋体" w:eastAsia="宋体" w:cs="宋体"/>
                <w:kern w:val="0"/>
                <w:sz w:val="24"/>
                <w:szCs w:val="24"/>
              </w:rPr>
              <w:t>≥</w:t>
            </w:r>
            <w:r>
              <w:rPr>
                <w:rFonts w:hint="eastAsia" w:ascii="宋体" w:hAnsi="宋体" w:eastAsia="宋体" w:cs="宋体"/>
                <w:color w:val="000000"/>
                <w:kern w:val="0"/>
                <w:sz w:val="24"/>
                <w:szCs w:val="24"/>
              </w:rPr>
              <w:t>4槽插件箱，能够满足大部分临床需求。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259" w:type="dxa"/>
            <w:shd w:val="clear" w:color="auto" w:fill="FFFFFF"/>
            <w:vAlign w:val="center"/>
          </w:tcPr>
          <w:p>
            <w:pPr>
              <w:widowControl/>
              <w:spacing w:line="32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用户能够根据自己的使用需要定义快捷键。界面至少能够提供20个快捷键的同时显示。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259" w:type="dxa"/>
            <w:shd w:val="clear" w:color="auto" w:fill="FFFFFF"/>
            <w:vAlign w:val="center"/>
          </w:tcPr>
          <w:p>
            <w:pPr>
              <w:widowControl/>
              <w:spacing w:line="32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具备3/5导心电，阻抗呼吸，血氧、无创血压，2通道体温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b/>
                <w:bCs/>
                <w:color w:val="auto"/>
                <w:sz w:val="24"/>
                <w:highlight w:val="none"/>
              </w:rPr>
              <w:t>▲</w:t>
            </w:r>
            <w:r>
              <w:rPr>
                <w:rFonts w:hint="eastAsia" w:ascii="宋体" w:hAnsi="宋体" w:eastAsia="宋体" w:cs="宋体"/>
                <w:color w:val="000000"/>
                <w:kern w:val="0"/>
                <w:sz w:val="24"/>
                <w:szCs w:val="24"/>
              </w:rPr>
              <w:t>2.5</w:t>
            </w:r>
          </w:p>
        </w:tc>
        <w:tc>
          <w:tcPr>
            <w:tcW w:w="8259" w:type="dxa"/>
            <w:shd w:val="clear" w:color="auto" w:fill="FFFFFF"/>
            <w:vAlign w:val="center"/>
          </w:tcPr>
          <w:p>
            <w:pPr>
              <w:widowControl/>
              <w:spacing w:line="32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可选配IBP，EtCO2，RM，C.O.，PiCCO，ScvO2，ICG，BIS/BISx4，EEG，NMT，rSO2等参数模块，以及记录仪、设备集成模块。模块不需要额外供电，均支持即插即用。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2.6</w:t>
            </w:r>
          </w:p>
        </w:tc>
        <w:tc>
          <w:tcPr>
            <w:tcW w:w="8259" w:type="dxa"/>
            <w:shd w:val="clear" w:color="auto" w:fill="FFFFFF"/>
            <w:vAlign w:val="center"/>
          </w:tcPr>
          <w:p>
            <w:pPr>
              <w:widowControl/>
              <w:spacing w:line="320" w:lineRule="exact"/>
              <w:rPr>
                <w:rFonts w:hint="eastAsia" w:ascii="宋体" w:hAnsi="宋体" w:eastAsia="宋体" w:cs="宋体"/>
                <w:color w:val="000000"/>
                <w:kern w:val="0"/>
                <w:sz w:val="24"/>
                <w:szCs w:val="24"/>
              </w:rPr>
            </w:pPr>
            <w:r>
              <w:rPr>
                <w:rFonts w:hint="eastAsia" w:ascii="宋体" w:hAnsi="宋体" w:eastAsia="宋体" w:cs="宋体"/>
                <w:sz w:val="24"/>
                <w:szCs w:val="24"/>
              </w:rPr>
              <w:t>具有多导心电监护算法，同步分析至少2通道心电波形，能够良好抗干扰。用户可以更改分析导联。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259" w:type="dxa"/>
            <w:shd w:val="clear" w:color="auto" w:fill="FFFFFF"/>
            <w:vAlign w:val="center"/>
          </w:tcPr>
          <w:p>
            <w:pPr>
              <w:widowControl/>
              <w:spacing w:line="32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心电波速提供50mm/s，25 mm/s、12.5 mm/s、6.25 mm/s可选。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1"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259" w:type="dxa"/>
            <w:shd w:val="clear" w:color="auto" w:fill="FFFFFF"/>
            <w:vAlign w:val="center"/>
          </w:tcPr>
          <w:p>
            <w:pPr>
              <w:widowControl/>
              <w:spacing w:line="32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提供25种心律失常事件的分析，包括：停搏(Asystole)、室颤/室速(VFib/Vtac)、室速(Vtac)、室性心动过缓(Vent. Brady)、极度心动过速(Extreme Tachy)、极度心动过缓(Extreme Brady)、PVCs/min过高、Pauses/min过高、R on T、多连发室早(Run PVCs)、成对室早(Couplet)、多形室早(Multif. PVC)、单个室早(PVC)、室早二联律(Bigeminy)、室早三联律(Trigeminy)、心动过速(Tachy)、心动过缓(Brady)、起搏器未起搏(Pacer Not Pacing)、起搏器未俘获(Pacer Not Capture)、漏搏(Missed Beat)、短阵室速(Nonsus. Vtac)、室性节律(Vent. Rhythm)、心跳暂停(Pause)、不规则节律(Irr.Rhythm)、房颤(Afib)。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259" w:type="dxa"/>
            <w:shd w:val="clear" w:color="auto" w:fill="FFFFFF"/>
            <w:vAlign w:val="center"/>
          </w:tcPr>
          <w:p>
            <w:pPr>
              <w:widowControl/>
              <w:spacing w:line="32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床旁提供ST段分析，提供显示和存储ST值和每个ST的模板。提供ST段ISO点，J点的手动调节和自动调节，且在ST段模板上显示相对位置。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2.10</w:t>
            </w:r>
          </w:p>
        </w:tc>
        <w:tc>
          <w:tcPr>
            <w:tcW w:w="8259" w:type="dxa"/>
            <w:shd w:val="clear" w:color="auto" w:fill="FFFFFF"/>
            <w:vAlign w:val="center"/>
          </w:tcPr>
          <w:p>
            <w:pPr>
              <w:widowControl/>
              <w:spacing w:line="32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提供起搏信号智能识别。在尚不清楚病人是否佩戴有起搏器的情况下，能够进行自动起搏分析检测。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2.11</w:t>
            </w:r>
          </w:p>
        </w:tc>
        <w:tc>
          <w:tcPr>
            <w:tcW w:w="8259" w:type="dxa"/>
            <w:shd w:val="clear" w:color="auto" w:fill="FFFFFF"/>
            <w:vAlign w:val="center"/>
          </w:tcPr>
          <w:p>
            <w:pPr>
              <w:widowControl/>
              <w:spacing w:line="32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具有QT/QTc测量功能，提供QT，QTc和ΔQTc参数值。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2.12</w:t>
            </w:r>
          </w:p>
        </w:tc>
        <w:tc>
          <w:tcPr>
            <w:tcW w:w="8259" w:type="dxa"/>
            <w:shd w:val="clear" w:color="auto" w:fill="FFFFFF"/>
            <w:vAlign w:val="center"/>
          </w:tcPr>
          <w:p>
            <w:pPr>
              <w:widowControl/>
              <w:spacing w:line="32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血氧可显示弱灌注指数（PI）。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2.13</w:t>
            </w:r>
          </w:p>
        </w:tc>
        <w:tc>
          <w:tcPr>
            <w:tcW w:w="8259" w:type="dxa"/>
            <w:shd w:val="clear" w:color="auto" w:fill="FFFFFF"/>
            <w:vAlign w:val="center"/>
          </w:tcPr>
          <w:p>
            <w:pPr>
              <w:widowControl/>
              <w:spacing w:line="32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具有脉搏调制音功能，可随脉搏血氧饱和度变化而相应变化。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2.14</w:t>
            </w:r>
          </w:p>
        </w:tc>
        <w:tc>
          <w:tcPr>
            <w:tcW w:w="8259" w:type="dxa"/>
            <w:shd w:val="clear" w:color="auto" w:fill="FFFFFF"/>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可提供双血氧监测功能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2.15</w:t>
            </w:r>
          </w:p>
        </w:tc>
        <w:tc>
          <w:tcPr>
            <w:tcW w:w="8259" w:type="dxa"/>
            <w:shd w:val="clear" w:color="auto" w:fill="FFFFFF"/>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NIBP提供手动、自动间隔、连续、序列四种测量模式。在监护界面提供NIBP列表显示。NIBP支持辅助静脉穿刺。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2.16</w:t>
            </w:r>
          </w:p>
        </w:tc>
        <w:tc>
          <w:tcPr>
            <w:tcW w:w="8259" w:type="dxa"/>
            <w:shd w:val="clear" w:color="auto" w:fill="FFFFFF"/>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支持波形叠加，最大支持10道IBP波形叠加。支持实时PPV测量。支持PAWP手动或自动测量。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2.17</w:t>
            </w:r>
          </w:p>
        </w:tc>
        <w:tc>
          <w:tcPr>
            <w:tcW w:w="8259" w:type="dxa"/>
            <w:shd w:val="clear" w:color="auto" w:fill="FFFFFF"/>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具有LED报警灯，能够进行三级报警状态显示（红，黄，青）。具有三种报警音风格，可根据喜好选择。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2.18</w:t>
            </w:r>
          </w:p>
        </w:tc>
        <w:tc>
          <w:tcPr>
            <w:tcW w:w="8259" w:type="dxa"/>
            <w:shd w:val="clear" w:color="auto" w:fill="FFFFFF"/>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具有图形化报警指示功能，看报警信息更容易。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2.19</w:t>
            </w:r>
          </w:p>
        </w:tc>
        <w:tc>
          <w:tcPr>
            <w:tcW w:w="8259" w:type="dxa"/>
            <w:shd w:val="clear" w:color="auto" w:fill="FFFFFF"/>
            <w:vAlign w:val="center"/>
          </w:tcPr>
          <w:p>
            <w:pPr>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具备120小时（分辨率1分钟）趋势表、趋势图回顾，4小时（分辨率5秒）趋势表、趋势图回顾。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2.20</w:t>
            </w:r>
          </w:p>
        </w:tc>
        <w:tc>
          <w:tcPr>
            <w:tcW w:w="8259" w:type="dxa"/>
            <w:shd w:val="clear" w:color="auto" w:fill="FFFFFF"/>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48小时全息波形回顾。全息波形至少能存储所有测量值，以及至少3道波形。监护仪存储48小时全息波形，不需要额外连接外部存储介质。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2.21</w:t>
            </w:r>
          </w:p>
        </w:tc>
        <w:tc>
          <w:tcPr>
            <w:tcW w:w="8259" w:type="dxa"/>
            <w:shd w:val="clear" w:color="auto" w:fill="FFFFFF"/>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具有在线帮助功能，能够指导用户掌握如何设置参数。具有高级参数指导功能，能够指导用户掌握高级参数的使用方法。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2.22</w:t>
            </w:r>
          </w:p>
        </w:tc>
        <w:tc>
          <w:tcPr>
            <w:tcW w:w="8259" w:type="dxa"/>
            <w:shd w:val="clear" w:color="auto" w:fill="FFFFFF"/>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工作模式提供：监护模式、待机模式、体外循环模式、插管模式，夜间模式、隐私模式、演示模式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2.23</w:t>
            </w:r>
          </w:p>
        </w:tc>
        <w:tc>
          <w:tcPr>
            <w:tcW w:w="8259" w:type="dxa"/>
            <w:shd w:val="clear" w:color="auto" w:fill="FFFFFF"/>
            <w:vAlign w:val="center"/>
          </w:tcPr>
          <w:p>
            <w:pPr>
              <w:pStyle w:val="116"/>
              <w:widowControl/>
              <w:spacing w:after="120" w:line="264"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可选配专业的血流动力学辅助应用，能够图形化显示监测参数，体现参数之间的关系，提供目标治疗决策建议，提供抬腿试验辅助工具，提供心功能图指示，提供蛛网图参数跟踪。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2.24</w:t>
            </w:r>
          </w:p>
        </w:tc>
        <w:tc>
          <w:tcPr>
            <w:tcW w:w="8259" w:type="dxa"/>
            <w:shd w:val="clear" w:color="auto" w:fill="FFFFFF"/>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可选配脓毒症筛查工具，以及满足2012 SSC指南和Sepsis3.0的治疗建议检查清单，并提供治疗建议。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2.25</w:t>
            </w:r>
          </w:p>
        </w:tc>
        <w:tc>
          <w:tcPr>
            <w:tcW w:w="8259" w:type="dxa"/>
            <w:shd w:val="clear" w:color="auto" w:fill="FFFFFF"/>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可选配早期预警评分功能，并提供用户自定义评分协议的能力。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40" w:type="dxa"/>
            <w:shd w:val="clear" w:color="auto" w:fill="FFFFFF"/>
            <w:vAlign w:val="center"/>
          </w:tcPr>
          <w:p>
            <w:pPr>
              <w:widowControl/>
              <w:spacing w:line="3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w:t>
            </w:r>
          </w:p>
        </w:tc>
        <w:tc>
          <w:tcPr>
            <w:tcW w:w="8259" w:type="dxa"/>
            <w:shd w:val="clear" w:color="auto" w:fill="FFFFFF"/>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配置要求：监护仪主机12台，中央站1套，呼末模块8个，转运监护仪2台。</w:t>
            </w:r>
          </w:p>
        </w:tc>
      </w:tr>
    </w:tbl>
    <w:p>
      <w:pPr>
        <w:jc w:val="center"/>
        <w:rPr>
          <w:rFonts w:hint="eastAsia" w:ascii="宋体" w:hAnsi="宋体" w:eastAsia="宋体" w:cs="宋体"/>
          <w:b/>
          <w:color w:val="000000"/>
          <w:sz w:val="24"/>
          <w:szCs w:val="24"/>
          <w:lang w:val="en-US" w:eastAsia="zh-CN"/>
        </w:rPr>
      </w:pPr>
    </w:p>
    <w:p>
      <w:pPr>
        <w:jc w:val="left"/>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（三）内镜中心监护系统参数</w:t>
      </w:r>
    </w:p>
    <w:tbl>
      <w:tblPr>
        <w:tblStyle w:val="36"/>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37"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8242" w:type="dxa"/>
            <w:vAlign w:val="center"/>
          </w:tcPr>
          <w:p>
            <w:pPr>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37" w:type="dxa"/>
            <w:shd w:val="clear" w:color="auto" w:fill="auto"/>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标项一</w:t>
            </w:r>
          </w:p>
        </w:tc>
        <w:tc>
          <w:tcPr>
            <w:tcW w:w="8242" w:type="dxa"/>
            <w:shd w:val="clear" w:color="auto" w:fill="FFFFFF"/>
            <w:vAlign w:val="center"/>
          </w:tcPr>
          <w:p>
            <w:pPr>
              <w:widowControl/>
              <w:spacing w:line="320" w:lineRule="exact"/>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中央监护系统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37" w:type="dxa"/>
            <w:shd w:val="clear" w:color="auto" w:fill="auto"/>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一</w:t>
            </w:r>
          </w:p>
        </w:tc>
        <w:tc>
          <w:tcPr>
            <w:tcW w:w="8242" w:type="dxa"/>
            <w:shd w:val="clear" w:color="auto" w:fill="FFFFFF"/>
            <w:vAlign w:val="center"/>
          </w:tcPr>
          <w:p>
            <w:pPr>
              <w:widowControl/>
              <w:spacing w:line="320" w:lineRule="exac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中央监护系统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237"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8242"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中心监护系统支持Window 7系统，中、英文操作系统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237"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8242"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中心监护系统支持24寸液晶屏幕显示,高分辨率彩色液晶显示。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37"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8242"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可同时集中监护多达64 个病人，单个屏幕可支持16个病人的同时集中监护。支持多达4个显示屏显示。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37"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1.4</w:t>
            </w:r>
          </w:p>
        </w:tc>
        <w:tc>
          <w:tcPr>
            <w:tcW w:w="8242"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多床支持床标识显示，可用来区分护理组、病人组等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37"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1.5</w:t>
            </w:r>
          </w:p>
        </w:tc>
        <w:tc>
          <w:tcPr>
            <w:tcW w:w="8242"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提供声、光、文字多重报警提醒功能，提供高、中、低三级报警。具有报警自动记录或打印功能。保存报警时刻前后32秒的波形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37"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1.6</w:t>
            </w:r>
          </w:p>
        </w:tc>
        <w:tc>
          <w:tcPr>
            <w:tcW w:w="8242"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提供全床位最近24小时的报警事件浏览功能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237"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1.7</w:t>
            </w:r>
          </w:p>
        </w:tc>
        <w:tc>
          <w:tcPr>
            <w:tcW w:w="8242"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支持至少240小时长趋势回顾和4小时短趋势回顾，至少240 小时全息波形回顾，至少720条报警事件回顾，至少240 小时的ST片段回顾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37"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1.8</w:t>
            </w:r>
          </w:p>
        </w:tc>
        <w:tc>
          <w:tcPr>
            <w:tcW w:w="8242"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支持至少2万个历史病人数据存储与回顾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37"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1.9</w:t>
            </w:r>
          </w:p>
        </w:tc>
        <w:tc>
          <w:tcPr>
            <w:tcW w:w="8242"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支持报警报告、波形报告、趋势报告、ARR统计报告等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37"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1.10</w:t>
            </w:r>
          </w:p>
        </w:tc>
        <w:tc>
          <w:tcPr>
            <w:tcW w:w="8242"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中心监护系统支持中央站, 工作站, 浏览站, 远程查询系统等多种产品形态互连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237" w:type="dxa"/>
            <w:shd w:val="clear" w:color="auto" w:fill="FFFFFF"/>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1.11</w:t>
            </w:r>
          </w:p>
        </w:tc>
        <w:tc>
          <w:tcPr>
            <w:tcW w:w="8242"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bCs/>
                <w:sz w:val="24"/>
                <w:szCs w:val="24"/>
              </w:rPr>
              <w:t>中心监护系统可支持参数监测，如ECG， ST, QT/QTc， RESP，SPO2， PR， TEMP， NIBP， IBP， C.O.， ScvO2，ICG，BIS，RM，CO2，AG，EEG，NMT，rSO2等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479" w:type="dxa"/>
            <w:gridSpan w:val="2"/>
            <w:shd w:val="clear" w:color="auto" w:fill="FFFFFF"/>
            <w:vAlign w:val="center"/>
          </w:tcPr>
          <w:p>
            <w:pPr>
              <w:spacing w:line="300" w:lineRule="exact"/>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二、监护仪参数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37" w:type="dxa"/>
            <w:shd w:val="clear" w:color="auto" w:fill="FFFFFF"/>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b/>
                <w:bCs/>
                <w:color w:val="auto"/>
                <w:sz w:val="24"/>
                <w:highlight w:val="none"/>
              </w:rPr>
              <w:t>▲</w:t>
            </w:r>
            <w:r>
              <w:rPr>
                <w:rFonts w:hint="eastAsia" w:ascii="宋体" w:hAnsi="宋体" w:eastAsia="宋体" w:cs="宋体"/>
                <w:sz w:val="24"/>
                <w:szCs w:val="24"/>
                <w:lang w:val="en-US" w:eastAsia="zh-CN"/>
              </w:rPr>
              <w:t>2</w:t>
            </w:r>
            <w:r>
              <w:rPr>
                <w:rFonts w:hint="eastAsia" w:ascii="宋体" w:hAnsi="宋体" w:eastAsia="宋体" w:cs="宋体"/>
                <w:sz w:val="24"/>
                <w:szCs w:val="24"/>
              </w:rPr>
              <w:t>.1</w:t>
            </w:r>
          </w:p>
        </w:tc>
        <w:tc>
          <w:tcPr>
            <w:tcW w:w="8242"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sz w:val="24"/>
                <w:szCs w:val="24"/>
              </w:rPr>
              <w:t>模块化监护仪，主机集成内置≥2槽位插件槽，可支持IBP，CO2，AG和BIS任意参数模块的即插即用快速扩展临床应用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237" w:type="dxa"/>
            <w:shd w:val="clear" w:color="auto" w:fill="FFFFFF"/>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w:t>
            </w:r>
            <w:r>
              <w:rPr>
                <w:rFonts w:hint="eastAsia" w:ascii="宋体" w:hAnsi="宋体" w:eastAsia="宋体" w:cs="宋体"/>
                <w:sz w:val="24"/>
                <w:szCs w:val="24"/>
              </w:rPr>
              <w:t>.2</w:t>
            </w:r>
          </w:p>
        </w:tc>
        <w:tc>
          <w:tcPr>
            <w:tcW w:w="8242"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sz w:val="24"/>
                <w:szCs w:val="24"/>
              </w:rPr>
              <w:t>整机无风扇设计，防水等级IPX1或更高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237" w:type="dxa"/>
            <w:shd w:val="clear" w:color="auto" w:fill="FFFFFF"/>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b/>
                <w:bCs/>
                <w:color w:val="auto"/>
                <w:sz w:val="24"/>
                <w:highlight w:val="none"/>
              </w:rPr>
              <w:t>▲</w:t>
            </w:r>
            <w:r>
              <w:rPr>
                <w:rFonts w:hint="eastAsia" w:ascii="宋体" w:hAnsi="宋体" w:eastAsia="宋体" w:cs="宋体"/>
                <w:sz w:val="24"/>
                <w:szCs w:val="24"/>
                <w:lang w:val="en-US" w:eastAsia="zh-CN"/>
              </w:rPr>
              <w:t>2</w:t>
            </w:r>
            <w:r>
              <w:rPr>
                <w:rFonts w:hint="eastAsia" w:ascii="宋体" w:hAnsi="宋体" w:eastAsia="宋体" w:cs="宋体"/>
                <w:sz w:val="24"/>
                <w:szCs w:val="24"/>
              </w:rPr>
              <w:t>.3</w:t>
            </w:r>
          </w:p>
        </w:tc>
        <w:tc>
          <w:tcPr>
            <w:tcW w:w="8242" w:type="dxa"/>
            <w:shd w:val="clear" w:color="auto" w:fill="FFFFFF"/>
            <w:vAlign w:val="center"/>
          </w:tcPr>
          <w:p>
            <w:pPr>
              <w:autoSpaceDE w:val="0"/>
              <w:autoSpaceDN w:val="0"/>
              <w:adjustRightInd w:val="0"/>
              <w:spacing w:line="360" w:lineRule="auto"/>
              <w:ind w:left="420" w:leftChars="200"/>
              <w:jc w:val="left"/>
              <w:rPr>
                <w:rFonts w:hint="eastAsia" w:ascii="宋体" w:hAnsi="宋体" w:eastAsia="宋体" w:cs="宋体"/>
                <w:bCs/>
                <w:sz w:val="24"/>
                <w:szCs w:val="24"/>
              </w:rPr>
            </w:pPr>
            <w:r>
              <w:rPr>
                <w:rFonts w:hint="eastAsia" w:ascii="宋体" w:hAnsi="宋体" w:eastAsia="宋体" w:cs="宋体"/>
                <w:sz w:val="24"/>
                <w:szCs w:val="24"/>
              </w:rPr>
              <w:t>≥10.1英寸彩色液晶触摸屏，分辨率高达≥1280*800像素，≥8通道波形显示。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jc w:val="center"/>
        </w:trPr>
        <w:tc>
          <w:tcPr>
            <w:tcW w:w="1237" w:type="dxa"/>
            <w:shd w:val="clear" w:color="auto" w:fill="FFFFFF"/>
            <w:vAlign w:val="center"/>
          </w:tcPr>
          <w:p>
            <w:pPr>
              <w:widowControl/>
              <w:spacing w:line="320" w:lineRule="exact"/>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w:t>
            </w:r>
            <w:r>
              <w:rPr>
                <w:rFonts w:hint="eastAsia" w:ascii="宋体" w:hAnsi="宋体" w:eastAsia="宋体" w:cs="宋体"/>
                <w:sz w:val="24"/>
                <w:szCs w:val="24"/>
              </w:rPr>
              <w:t>.4</w:t>
            </w:r>
          </w:p>
        </w:tc>
        <w:tc>
          <w:tcPr>
            <w:tcW w:w="8242"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sz w:val="24"/>
                <w:szCs w:val="24"/>
              </w:rPr>
              <w:t>屏幕具备170度宽视角设计技术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37" w:type="dxa"/>
            <w:shd w:val="clear" w:color="auto" w:fill="FFFFFF"/>
            <w:vAlign w:val="center"/>
          </w:tcPr>
          <w:p>
            <w:pPr>
              <w:widowControl/>
              <w:spacing w:line="320" w:lineRule="exact"/>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w:t>
            </w:r>
            <w:r>
              <w:rPr>
                <w:rFonts w:hint="eastAsia" w:ascii="宋体" w:hAnsi="宋体" w:eastAsia="宋体" w:cs="宋体"/>
                <w:sz w:val="24"/>
                <w:szCs w:val="24"/>
              </w:rPr>
              <w:t>.5</w:t>
            </w:r>
          </w:p>
        </w:tc>
        <w:tc>
          <w:tcPr>
            <w:tcW w:w="8242" w:type="dxa"/>
            <w:shd w:val="clear" w:color="auto" w:fill="FFFFFF"/>
            <w:vAlign w:val="center"/>
          </w:tcPr>
          <w:p>
            <w:pPr>
              <w:spacing w:line="300" w:lineRule="exact"/>
              <w:rPr>
                <w:rFonts w:hint="eastAsia" w:ascii="宋体" w:hAnsi="宋体" w:eastAsia="宋体" w:cs="宋体"/>
                <w:bCs/>
                <w:sz w:val="24"/>
                <w:szCs w:val="24"/>
              </w:rPr>
            </w:pPr>
            <w:r>
              <w:rPr>
                <w:rFonts w:hint="eastAsia" w:ascii="宋体" w:hAnsi="宋体" w:eastAsia="宋体" w:cs="宋体"/>
                <w:sz w:val="24"/>
                <w:szCs w:val="24"/>
              </w:rPr>
              <w:t>可支持遥控器无线操作监护仪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0" w:type="auto"/>
            <w:vAlign w:val="center"/>
          </w:tcPr>
          <w:p>
            <w:pPr>
              <w:widowControl/>
              <w:spacing w:line="320" w:lineRule="exact"/>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w:t>
            </w:r>
            <w:r>
              <w:rPr>
                <w:rFonts w:hint="eastAsia" w:ascii="宋体" w:hAnsi="宋体" w:eastAsia="宋体" w:cs="宋体"/>
                <w:sz w:val="24"/>
                <w:szCs w:val="24"/>
              </w:rPr>
              <w:t>.6</w:t>
            </w:r>
          </w:p>
        </w:tc>
        <w:tc>
          <w:tcPr>
            <w:tcW w:w="0" w:type="auto"/>
          </w:tcPr>
          <w:p>
            <w:pPr>
              <w:spacing w:line="300" w:lineRule="exact"/>
              <w:rPr>
                <w:rFonts w:hint="eastAsia" w:ascii="宋体" w:hAnsi="宋体" w:eastAsia="宋体" w:cs="宋体"/>
                <w:bCs/>
                <w:sz w:val="24"/>
                <w:szCs w:val="24"/>
              </w:rPr>
            </w:pPr>
            <w:r>
              <w:rPr>
                <w:rFonts w:hint="eastAsia" w:ascii="宋体" w:hAnsi="宋体" w:eastAsia="宋体" w:cs="宋体"/>
                <w:sz w:val="24"/>
                <w:szCs w:val="24"/>
              </w:rPr>
              <w:t>内置锂电池，插槽式设计，无需螺丝刀工具支持快速拆卸和安装。锂电池支持监护仪工作时间≥4小时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0" w:type="auto"/>
            <w:vAlign w:val="center"/>
          </w:tcPr>
          <w:p>
            <w:pPr>
              <w:widowControl/>
              <w:spacing w:line="320" w:lineRule="exact"/>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b/>
                <w:bCs/>
                <w:color w:val="auto"/>
                <w:sz w:val="24"/>
                <w:highlight w:val="none"/>
              </w:rPr>
              <w:t>▲</w:t>
            </w:r>
            <w:r>
              <w:rPr>
                <w:rFonts w:hint="eastAsia" w:ascii="宋体" w:hAnsi="宋体" w:eastAsia="宋体" w:cs="宋体"/>
                <w:sz w:val="24"/>
                <w:szCs w:val="24"/>
                <w:lang w:val="en-US" w:eastAsia="zh-CN"/>
              </w:rPr>
              <w:t>2</w:t>
            </w:r>
            <w:r>
              <w:rPr>
                <w:rFonts w:hint="eastAsia" w:ascii="宋体" w:hAnsi="宋体" w:eastAsia="宋体" w:cs="宋体"/>
                <w:sz w:val="24"/>
                <w:szCs w:val="24"/>
              </w:rPr>
              <w:t>.7</w:t>
            </w:r>
          </w:p>
        </w:tc>
        <w:tc>
          <w:tcPr>
            <w:tcW w:w="0" w:type="auto"/>
          </w:tcPr>
          <w:p>
            <w:pPr>
              <w:spacing w:line="300" w:lineRule="exact"/>
              <w:rPr>
                <w:rFonts w:hint="eastAsia" w:ascii="宋体" w:hAnsi="宋体" w:eastAsia="宋体" w:cs="宋体"/>
                <w:bCs/>
                <w:sz w:val="24"/>
                <w:szCs w:val="24"/>
              </w:rPr>
            </w:pPr>
            <w:r>
              <w:rPr>
                <w:rFonts w:hint="eastAsia" w:ascii="宋体" w:hAnsi="宋体" w:eastAsia="宋体" w:cs="宋体"/>
                <w:sz w:val="24"/>
                <w:szCs w:val="24"/>
              </w:rPr>
              <w:t>安全规格：ECG, TEMP, IBP, SpO2 , NIBP监测参数抗电击程度为防除颤CF型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vAlign w:val="center"/>
          </w:tcPr>
          <w:p>
            <w:pPr>
              <w:widowControl/>
              <w:spacing w:line="320" w:lineRule="exact"/>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w:t>
            </w:r>
            <w:r>
              <w:rPr>
                <w:rFonts w:hint="eastAsia" w:ascii="宋体" w:hAnsi="宋体" w:eastAsia="宋体" w:cs="宋体"/>
                <w:sz w:val="24"/>
                <w:szCs w:val="24"/>
              </w:rPr>
              <w:t>.8</w:t>
            </w:r>
          </w:p>
        </w:tc>
        <w:tc>
          <w:tcPr>
            <w:tcW w:w="0" w:type="auto"/>
          </w:tcPr>
          <w:p>
            <w:pPr>
              <w:spacing w:line="300" w:lineRule="exact"/>
              <w:rPr>
                <w:rFonts w:hint="eastAsia" w:ascii="宋体" w:hAnsi="宋体" w:eastAsia="宋体" w:cs="宋体"/>
                <w:bCs/>
                <w:sz w:val="24"/>
                <w:szCs w:val="24"/>
              </w:rPr>
            </w:pPr>
            <w:r>
              <w:rPr>
                <w:rFonts w:hint="eastAsia" w:ascii="宋体" w:hAnsi="宋体" w:eastAsia="宋体" w:cs="宋体"/>
                <w:sz w:val="24"/>
                <w:szCs w:val="24"/>
              </w:rPr>
              <w:t>监护仪设计使用年限≥8年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0" w:type="auto"/>
            <w:vAlign w:val="center"/>
          </w:tcPr>
          <w:p>
            <w:pPr>
              <w:widowControl/>
              <w:spacing w:line="320" w:lineRule="exact"/>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w:t>
            </w:r>
            <w:r>
              <w:rPr>
                <w:rFonts w:hint="eastAsia" w:ascii="宋体" w:hAnsi="宋体" w:eastAsia="宋体" w:cs="宋体"/>
                <w:sz w:val="24"/>
                <w:szCs w:val="24"/>
              </w:rPr>
              <w:t>.9</w:t>
            </w:r>
          </w:p>
        </w:tc>
        <w:tc>
          <w:tcPr>
            <w:tcW w:w="0" w:type="auto"/>
          </w:tcPr>
          <w:p>
            <w:pPr>
              <w:spacing w:line="300" w:lineRule="exact"/>
              <w:rPr>
                <w:rFonts w:hint="eastAsia" w:ascii="宋体" w:hAnsi="宋体" w:eastAsia="宋体" w:cs="宋体"/>
                <w:bCs/>
                <w:sz w:val="24"/>
                <w:szCs w:val="24"/>
              </w:rPr>
            </w:pPr>
            <w:r>
              <w:rPr>
                <w:rFonts w:hint="eastAsia" w:ascii="宋体" w:hAnsi="宋体" w:eastAsia="宋体" w:cs="宋体"/>
                <w:sz w:val="24"/>
                <w:szCs w:val="24"/>
              </w:rPr>
              <w:t>监护仪清洁消毒维护支持的消毒剂≥40种，在厂家手册中清晰列举消毒剂的种类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vAlign w:val="center"/>
          </w:tcPr>
          <w:p>
            <w:pPr>
              <w:widowControl/>
              <w:spacing w:line="320" w:lineRule="exact"/>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w:t>
            </w:r>
            <w:r>
              <w:rPr>
                <w:rFonts w:hint="eastAsia" w:ascii="宋体" w:hAnsi="宋体" w:eastAsia="宋体" w:cs="宋体"/>
                <w:sz w:val="24"/>
                <w:szCs w:val="24"/>
              </w:rPr>
              <w:t>.10</w:t>
            </w:r>
          </w:p>
        </w:tc>
        <w:tc>
          <w:tcPr>
            <w:tcW w:w="0" w:type="auto"/>
          </w:tcPr>
          <w:p>
            <w:pPr>
              <w:spacing w:line="300" w:lineRule="exact"/>
              <w:rPr>
                <w:rFonts w:hint="eastAsia" w:ascii="宋体" w:hAnsi="宋体" w:eastAsia="宋体" w:cs="宋体"/>
                <w:bCs/>
                <w:sz w:val="24"/>
                <w:szCs w:val="24"/>
              </w:rPr>
            </w:pPr>
            <w:r>
              <w:rPr>
                <w:rFonts w:hint="eastAsia" w:ascii="宋体" w:hAnsi="宋体" w:eastAsia="宋体" w:cs="宋体"/>
                <w:sz w:val="24"/>
                <w:szCs w:val="24"/>
              </w:rPr>
              <w:t>监护仪主机工作大气压环境范围：57.0~107.4kPa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0" w:type="auto"/>
            <w:vAlign w:val="center"/>
          </w:tcPr>
          <w:p>
            <w:pPr>
              <w:widowControl/>
              <w:spacing w:line="320" w:lineRule="exact"/>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2.11</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监测参数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2.1</w:t>
            </w:r>
            <w:r>
              <w:rPr>
                <w:rFonts w:hint="eastAsia" w:ascii="宋体" w:hAnsi="宋体" w:eastAsia="宋体" w:cs="宋体"/>
                <w:color w:val="000000"/>
                <w:kern w:val="0"/>
                <w:sz w:val="24"/>
                <w:szCs w:val="24"/>
                <w:lang w:val="en-US" w:eastAsia="zh-CN"/>
              </w:rPr>
              <w:t>1.1</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配置3/5导心电，呼吸，无创血压，血氧饱和度，脉搏和双通道体温参数监测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b/>
                <w:bCs/>
                <w:color w:val="auto"/>
                <w:sz w:val="24"/>
                <w:highlight w:val="none"/>
              </w:rPr>
              <w:t>▲</w:t>
            </w: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2</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心电监护支持心率，ST段测量，心律失常分析，QT/QTc连续实时测量和对应报警功能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3</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心电算法通过AHA/MIT-BIH数据库验证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4</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心电波形扫描速度支持6.25mm/s、12.5 mm/s、25 mm/s和50 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5</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提供窗口支持心脏下壁，侧壁和前壁对应多个ST片段的同屏实时显示，提供参考片段和实时片段的对比查看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xml:space="preserve"> 2.</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6</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支持≥20种心律失常分析,包括房颤分析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7</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支持升级提供过去24小时心电概览报告查看与打印，包括心率统计结果，心律失常统计结果，ST统计和QT/QTc统计结果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8</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提供SpO2,PR和PI参数的实时监测，适用于成人，小儿和新生儿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9</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支持指套式血氧探头，IPX7防水等级，支持液体浸泡消毒和清洁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10</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配置无创血压测量，适用于成人，小儿和新生儿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11</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提供手动，自动，连续和序列4种测量模式，并提供24小时动态血压统计结果。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12</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无创血压成人测量范围：收缩压25~290mmHg，舒张压10~250mmHg，平均压15~260mmHg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13</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提供双通道体温和温差参数的监测, 并可根据需要更改体温通道标名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14</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支持升级多达4通道有创压监测，动脉压监测时支持同步监测PPV，适用于成人，小儿和新生儿，通过国家三类注册认证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2.12</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2.12.1</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支持所有监测参数报警限一键自动设置功能，满足医护团队快速管理患者报警需求，产品用户手册提供报警限自动设置规则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2.12.2</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支持肾功能计算功能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2.12.3</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具有图形化技术报警指示功能，帮助医护团队快速识别报警来源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2.12.4</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支持≥120小时趋势图和趋势表回顾，支持选择不同趋势组回顾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2.12.5</w:t>
            </w:r>
          </w:p>
        </w:tc>
        <w:tc>
          <w:tcPr>
            <w:tcW w:w="0" w:type="auto"/>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textAlignment w:val="auto"/>
              <w:rPr>
                <w:rFonts w:hint="eastAsia" w:ascii="宋体" w:hAnsi="宋体" w:eastAsia="宋体" w:cs="宋体"/>
                <w:bCs/>
                <w:sz w:val="24"/>
                <w:szCs w:val="24"/>
                <w:lang w:val="en-US" w:eastAsia="zh-CN"/>
              </w:rPr>
            </w:pPr>
            <w:r>
              <w:rPr>
                <w:rFonts w:hint="eastAsia" w:ascii="宋体" w:hAnsi="宋体" w:eastAsia="宋体" w:cs="宋体"/>
                <w:sz w:val="24"/>
                <w:szCs w:val="24"/>
              </w:rPr>
              <w:t>支持≥1000条事件回顾。每条报警事件至少能够存储32秒三道相关波形，以及报警触发时所有测量参数值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2.12.6</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支持≥1000组NIBP测量结果的存储与回顾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2.12.7</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支持≥120小时（分辨率1分钟）ST模板存储与回顾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2.12.8</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支持</w:t>
            </w:r>
            <w:r>
              <w:rPr>
                <w:rFonts w:hint="eastAsia" w:ascii="宋体" w:hAnsi="宋体" w:eastAsia="宋体" w:cs="宋体"/>
                <w:sz w:val="24"/>
                <w:szCs w:val="24"/>
              </w:rPr>
              <w:t>≥</w:t>
            </w:r>
            <w:r>
              <w:rPr>
                <w:rFonts w:hint="eastAsia" w:ascii="宋体" w:hAnsi="宋体" w:eastAsia="宋体" w:cs="宋体"/>
                <w:color w:val="000000" w:themeColor="text1"/>
                <w:sz w:val="24"/>
                <w:szCs w:val="24"/>
                <w14:textFill>
                  <w14:solidFill>
                    <w14:schemeClr w14:val="tx1"/>
                  </w14:solidFill>
                </w14:textFill>
              </w:rPr>
              <w:t>48小时全息波形的存储与回顾功能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2.12.9</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支持监护仪历史病人数据的存储和回顾，并支持通过USB接口将历史病人数据导出到U盘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2.12.10</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支持RJ45接口进行有线网络通信，和除颤监护仪一起联网通信到中心监护系统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2.12.11</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支持进入夜间模式，隐私模式，演示模式和待机模式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2.12.12</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支持升级临床评分系统，包括MEWS（改良早期预警评分）、NEWS（英国早期预警评分），可支持定时自动EWS评分功能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2.12.13</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提供计时器功能，界面区提供设置≥4个计时器，每个计时器支持独立设置和计时功能，计时方向包括正计时和倒计时两种选择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2.12.14</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支持格拉斯哥昏迷评分（GCS）功能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2.12.15</w:t>
            </w:r>
          </w:p>
        </w:tc>
        <w:tc>
          <w:tcPr>
            <w:tcW w:w="0" w:type="auto"/>
          </w:tcPr>
          <w:p>
            <w:pPr>
              <w:spacing w:line="300" w:lineRule="exact"/>
              <w:rPr>
                <w:rFonts w:hint="eastAsia" w:ascii="宋体" w:hAnsi="宋体" w:eastAsia="宋体" w:cs="宋体"/>
                <w:bCs/>
                <w:sz w:val="24"/>
                <w:szCs w:val="24"/>
                <w:lang w:val="en-US" w:eastAsia="zh-CN"/>
              </w:rPr>
            </w:pPr>
            <w:r>
              <w:rPr>
                <w:rFonts w:hint="eastAsia" w:ascii="宋体" w:hAnsi="宋体" w:eastAsia="宋体" w:cs="宋体"/>
                <w:sz w:val="24"/>
                <w:szCs w:val="24"/>
              </w:rPr>
              <w:t>动态趋势界面可支持统计1-24小时心律失常报警、参数超限报警信息，并对超限报警区间的波形进行高亮显示，帮助医护人员快速识别异常趋势信息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w:t>
            </w:r>
          </w:p>
        </w:tc>
        <w:tc>
          <w:tcPr>
            <w:tcW w:w="0" w:type="auto"/>
          </w:tcPr>
          <w:p>
            <w:pPr>
              <w:spacing w:line="3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配置要求：中央站1套，监护仪10台，呼末模块2个</w:t>
            </w:r>
          </w:p>
        </w:tc>
      </w:tr>
    </w:tbl>
    <w:p>
      <w:pPr>
        <w:jc w:val="both"/>
        <w:rPr>
          <w:rFonts w:hint="eastAsia" w:ascii="宋体" w:hAnsi="宋体" w:eastAsia="宋体" w:cs="宋体"/>
          <w:b/>
          <w:color w:val="000000"/>
          <w:sz w:val="24"/>
          <w:szCs w:val="24"/>
          <w:lang w:val="en-US" w:eastAsia="zh-CN"/>
        </w:rPr>
      </w:pPr>
    </w:p>
    <w:p>
      <w:pPr>
        <w:jc w:val="left"/>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（四）ICU呼吸机参数</w:t>
      </w:r>
    </w:p>
    <w:tbl>
      <w:tblPr>
        <w:tblStyle w:val="37"/>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431" w:type="dxa"/>
            <w:vAlign w:val="center"/>
          </w:tcPr>
          <w:p>
            <w:pPr>
              <w:ind w:right="21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高档呼吸机</w:t>
            </w:r>
            <w:r>
              <w:rPr>
                <w:rFonts w:hint="eastAsia" w:ascii="宋体" w:hAnsi="宋体" w:cs="宋体"/>
                <w:kern w:val="0"/>
                <w:sz w:val="24"/>
                <w:szCs w:val="24"/>
                <w:lang w:val="en-US" w:eastAsia="zh-CN"/>
              </w:rPr>
              <w:t>11</w:t>
            </w:r>
            <w:r>
              <w:rPr>
                <w:rFonts w:hint="eastAsia" w:ascii="宋体" w:hAnsi="宋体" w:eastAsia="宋体" w:cs="宋体"/>
                <w:kern w:val="0"/>
                <w:sz w:val="24"/>
                <w:szCs w:val="24"/>
                <w:lang w:val="en-US" w:eastAsia="zh-CN"/>
              </w:rPr>
              <w:t>台</w:t>
            </w:r>
          </w:p>
        </w:tc>
      </w:tr>
    </w:tbl>
    <w:tbl>
      <w:tblPr>
        <w:tblStyle w:val="36"/>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8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5"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一</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
                <w:sz w:val="24"/>
                <w:szCs w:val="24"/>
              </w:rPr>
            </w:pPr>
            <w:r>
              <w:rPr>
                <w:rFonts w:hint="eastAsia" w:ascii="宋体" w:hAnsi="宋体" w:eastAsia="宋体" w:cs="宋体"/>
                <w:b/>
                <w:sz w:val="24"/>
                <w:szCs w:val="24"/>
              </w:rPr>
              <w:t>基本特征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适用于对成人、小儿和婴幼儿患者进行通气辅助及呼吸支持的呼吸机，机型新颖，中文操作界面。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采用≥15英寸彩色TFT触摸控制屏幕，分辨率</w:t>
            </w:r>
            <w:r>
              <w:rPr>
                <w:rFonts w:hint="eastAsia" w:ascii="宋体" w:hAnsi="宋体" w:cs="宋体"/>
                <w:sz w:val="24"/>
                <w:szCs w:val="24"/>
                <w:lang w:val="en-US" w:eastAsia="zh-CN"/>
              </w:rPr>
              <w:t>≥</w:t>
            </w:r>
            <w:r>
              <w:rPr>
                <w:rFonts w:hint="eastAsia" w:ascii="宋体" w:hAnsi="宋体" w:eastAsia="宋体" w:cs="宋体"/>
                <w:sz w:val="24"/>
                <w:szCs w:val="24"/>
              </w:rPr>
              <w:t>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屏幕显示：多至5道波形同屏显示，可提供4种环图，支持呼吸环、波形和监测参数同屏显示；支持短趋势、波形、监测值同屏显示。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自检功能，检查系统管道阻力、泄漏量和顺应性，测试流量传感器、呼气阀和安全阀等部件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≥90分钟内置后备可充电电池（1块电池），电池总剩余电量能显示在屏幕上。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气动电控呼吸机，可选配备用空气气源，可在断气断电状态下继续工作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1.7</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具有有创通气模式、可选配无创通气模式。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1.8</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具备实时气源压力电子显示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1.9</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病人信息，当前的设置参数、报警限和趋势等数据可导出。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1.10</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呼吸波形及呼吸环可截图，屏幕导出保存U盘。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1.11</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吸气安全阀组件可拆卸，并能高温高压蒸汽消毒（134℃），以防止交叉感染。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1.12</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呼气阀组件一体化设计，内置金属膜片压差流量传感器，精度高，寿命长，并能高温高压蒸汽消毒（134℃），以防止交叉感染。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1.13</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可选配主流/旁流CO2监测。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1.14</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可选配SpO2监测，提供SpO2和PR监测值，提供脉搏波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1.15</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具备图形化显示阻力、顺应性和自主呼吸等生理参数变化，并实时显示其趋势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二</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left="23" w:right="210"/>
              <w:rPr>
                <w:rFonts w:hint="eastAsia" w:ascii="宋体" w:hAnsi="宋体" w:eastAsia="宋体" w:cs="宋体"/>
                <w:b/>
                <w:sz w:val="24"/>
                <w:szCs w:val="24"/>
              </w:rPr>
            </w:pPr>
            <w:r>
              <w:rPr>
                <w:rFonts w:hint="eastAsia" w:ascii="宋体" w:hAnsi="宋体" w:eastAsia="宋体" w:cs="宋体"/>
                <w:b/>
                <w:sz w:val="24"/>
                <w:szCs w:val="24"/>
              </w:rPr>
              <w:t>呼吸模式及功能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2.1</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模式配置：容量控制通气下的辅助控制通气A/C和同步间歇指令通气SIMV、压力控制通气下的A/C和SIMV、CPAP/PSV、窒息通气模式，双水平气道正压通气模式，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b/>
                <w:bCs/>
                <w:color w:val="auto"/>
                <w:sz w:val="24"/>
                <w:highlight w:val="none"/>
              </w:rPr>
              <w:t>▲</w:t>
            </w:r>
            <w:r>
              <w:rPr>
                <w:rFonts w:hint="eastAsia" w:ascii="宋体" w:hAnsi="宋体" w:eastAsia="宋体" w:cs="宋体"/>
                <w:sz w:val="24"/>
                <w:szCs w:val="24"/>
              </w:rPr>
              <w:t>2.2</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高级模式配置：具备心肺复苏通气模式，具备自动适应性压力调整容量控制功能（如AUTOFLOW或者PRVC等），具备自适应分钟通气量通气AMV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2.3</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其他功能：手动呼吸、吸气保持、呼气保持、雾化、增氧、吸痰程序，NIF、PEEPi及P0.1测定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2.4</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可选配置低流速P-V工具，帮助确定最佳PEEP值。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2.5</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可具有自动插管阻力补偿功能，选择不同孔径的气管插管，呼吸机可以自动调节送气压力，使插管末端的压力与呼吸机压力设置值保持一致。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2.6</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具有智能同步技术，可以将【呼气触发】设置为【Auto】，通过对波形特征的抽取和分析，自适应算法动态调节【呼气触发】至最佳值，提高人机同步，使病人呼吸更加舒适，可以减少治疗过程中频繁的呼吸机设置值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▲2.7</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配氧疗功能，可以调节氧疗流速和氧浓度，具有湿化器，加湿加温后氧疗效果更佳。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2.8</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具有单位理想体重输送的潮气量 （TVe/IBW）监测功能。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2.9</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可选配脱机功能，用户可定制脱机指征，提供信息全面的脱机功能看板，一键启动SBT，规范脱机流程。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2.10</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lang w:val="en-US" w:eastAsia="zh-CN"/>
              </w:rPr>
              <w:t>配置</w:t>
            </w:r>
            <w:r>
              <w:rPr>
                <w:rFonts w:hint="eastAsia" w:ascii="宋体" w:hAnsi="宋体" w:eastAsia="宋体" w:cs="宋体"/>
                <w:sz w:val="24"/>
                <w:szCs w:val="24"/>
              </w:rPr>
              <w:t>婴幼儿模块，最小潮气量达2ml。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三</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
                <w:sz w:val="24"/>
                <w:szCs w:val="24"/>
              </w:rPr>
            </w:pPr>
            <w:r>
              <w:rPr>
                <w:rFonts w:hint="eastAsia" w:ascii="宋体" w:hAnsi="宋体" w:eastAsia="宋体" w:cs="宋体"/>
                <w:b/>
                <w:sz w:val="24"/>
                <w:szCs w:val="24"/>
              </w:rPr>
              <w:t>设置参数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3.1</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潮气量：20ml—2000ml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3.2</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呼吸频率：1-100次/min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3.3</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SIMV频率：1-60次/min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3.4</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吸/呼比：4:1—1:10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3.5</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最大峰值流速：≥180L/min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3.6</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吸气压力：1--100 cmH2O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3.7</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压力支持：0—100cmH2O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3.8</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PEEP：0-50 cmH2O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3.9</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压力触发灵敏度：-20 —- 0.5cmH2O，或OFF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3.10</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流速触发灵敏度：0.5—20L/ min，或OFF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3.11</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氧浓度：21—100%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3.12</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叹息功能：有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四</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b/>
                <w:sz w:val="24"/>
                <w:szCs w:val="24"/>
              </w:rPr>
            </w:pPr>
            <w:r>
              <w:rPr>
                <w:rFonts w:hint="eastAsia" w:ascii="宋体" w:hAnsi="宋体" w:eastAsia="宋体" w:cs="宋体"/>
                <w:b/>
                <w:sz w:val="24"/>
                <w:szCs w:val="24"/>
              </w:rPr>
              <w:t>监测参数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4.1</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气道压力：PEEP、气道峰压、平台压、平均压等监测。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4.2</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每分钟呼出通气量：呼气分钟通气量、吸气分钟通气量、自主呼吸分钟通气量、泄漏分钟通气量的监测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4.3</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潮气量的监测：吸入潮气量、呼出潮气量、自主呼吸潮气量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4.4</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呼吸频率监测：总的呼吸频率、自主呼吸频率、机控呼吸频率的监测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4.5</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波形显示：压力/时间、流速/时间、容量/时间。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4.6</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吸入的氧浓度的监测。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4.7</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趋势图和趋势表显示。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4.8</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具有压力/容积、流速/容积、流速/压力环3种呼吸环监测。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4.9</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肺的力学：吸气阻力、呼气阻力、静态顺应性、动态顺应性和时间常数的监测。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4.10</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可支持实时监测压力-时间曲线形态，并量化为牵张指数Stress Index以提示肺损伤风险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4.11</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rPr>
            </w:pPr>
            <w:r>
              <w:rPr>
                <w:rFonts w:hint="eastAsia" w:ascii="宋体" w:hAnsi="宋体" w:eastAsia="宋体" w:cs="宋体"/>
                <w:sz w:val="24"/>
                <w:szCs w:val="24"/>
              </w:rPr>
              <w:t>可支持实时监测压力/容积环形态，并量化为肺过度膨胀系数C20/C以提示肺损伤风险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78"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8621" w:type="dxa"/>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配置要求：主机11台，台车1套，空压机1套，湿化器11套，原装成人硅胶呼吸管路22套，夹板模拟肺11个，呼吸管道固定支架11套；其中1台配置新生儿模式。</w:t>
            </w:r>
          </w:p>
        </w:tc>
      </w:tr>
    </w:tbl>
    <w:p>
      <w:pPr>
        <w:rPr>
          <w:rFonts w:hint="default"/>
          <w:lang w:val="en-US" w:eastAsia="zh-CN"/>
        </w:rPr>
      </w:pPr>
    </w:p>
    <w:p>
      <w:pPr>
        <w:numPr>
          <w:ilvl w:val="0"/>
          <w:numId w:val="6"/>
        </w:numPr>
        <w:spacing w:line="360" w:lineRule="auto"/>
        <w:ind w:left="720" w:leftChars="0" w:hanging="720" w:firstLineChars="0"/>
        <w:rPr>
          <w:rFonts w:hint="eastAsia" w:ascii="宋体" w:hAnsi="宋体" w:eastAsia="宋体" w:cs="宋体"/>
          <w:b/>
          <w:color w:val="auto"/>
          <w:sz w:val="28"/>
          <w:highlight w:val="none"/>
          <w:lang w:eastAsia="zh-CN"/>
        </w:rPr>
      </w:pPr>
      <w:r>
        <w:rPr>
          <w:rFonts w:hint="eastAsia" w:ascii="宋体" w:hAnsi="宋体" w:cs="宋体"/>
          <w:b/>
          <w:color w:val="auto"/>
          <w:sz w:val="28"/>
          <w:highlight w:val="none"/>
          <w:lang w:val="en-US" w:eastAsia="zh-CN"/>
        </w:rPr>
        <w:t>标二技术参数</w:t>
      </w:r>
    </w:p>
    <w:p>
      <w:pPr>
        <w:numPr>
          <w:ilvl w:val="0"/>
          <w:numId w:val="7"/>
        </w:numPr>
        <w:jc w:val="left"/>
        <w:rPr>
          <w:rFonts w:hint="eastAsia" w:ascii="宋体" w:hAnsi="宋体"/>
          <w:b/>
          <w:color w:val="000000"/>
          <w:sz w:val="28"/>
          <w:szCs w:val="28"/>
          <w:lang w:val="en-US" w:eastAsia="zh-CN"/>
        </w:rPr>
      </w:pPr>
      <w:r>
        <w:rPr>
          <w:rFonts w:hint="eastAsia" w:ascii="宋体" w:hAnsi="宋体"/>
          <w:b/>
          <w:color w:val="000000"/>
          <w:sz w:val="28"/>
          <w:szCs w:val="28"/>
          <w:lang w:val="en-US" w:eastAsia="zh-CN"/>
        </w:rPr>
        <w:t>麻醉监护仪</w:t>
      </w:r>
    </w:p>
    <w:p>
      <w:pPr>
        <w:pStyle w:val="47"/>
        <w:numPr>
          <w:ilvl w:val="0"/>
          <w:numId w:val="0"/>
        </w:numPr>
        <w:rPr>
          <w:rFonts w:hint="default"/>
          <w:lang w:val="en-US" w:eastAsia="zh-CN"/>
        </w:rPr>
      </w:pPr>
    </w:p>
    <w:tbl>
      <w:tblPr>
        <w:tblStyle w:val="36"/>
        <w:tblW w:w="51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8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4523" w:type="pct"/>
            <w:vAlign w:val="center"/>
          </w:tcPr>
          <w:p>
            <w:pPr>
              <w:rPr>
                <w:rFonts w:hint="eastAsia" w:ascii="宋体" w:hAnsi="宋体" w:eastAsia="宋体" w:cs="宋体"/>
                <w:sz w:val="24"/>
                <w:szCs w:val="24"/>
              </w:rPr>
            </w:pPr>
            <w:r>
              <w:rPr>
                <w:rFonts w:hint="eastAsia" w:ascii="宋体" w:hAnsi="宋体" w:eastAsia="宋体" w:cs="宋体"/>
                <w:sz w:val="24"/>
                <w:szCs w:val="24"/>
              </w:rPr>
              <w:t>插件式监护仪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color w:val="auto"/>
                <w:sz w:val="24"/>
                <w:highlight w:val="none"/>
              </w:rPr>
              <w:t>▲</w:t>
            </w:r>
            <w:r>
              <w:rPr>
                <w:rFonts w:hint="eastAsia" w:ascii="宋体" w:hAnsi="宋体" w:eastAsia="宋体" w:cs="宋体"/>
                <w:sz w:val="24"/>
                <w:szCs w:val="24"/>
              </w:rPr>
              <w:t>1.1</w:t>
            </w:r>
          </w:p>
        </w:tc>
        <w:tc>
          <w:tcPr>
            <w:tcW w:w="4523" w:type="pct"/>
            <w:vAlign w:val="center"/>
          </w:tcPr>
          <w:p>
            <w:pPr>
              <w:rPr>
                <w:rFonts w:hint="eastAsia" w:ascii="宋体" w:hAnsi="宋体" w:eastAsia="宋体" w:cs="宋体"/>
                <w:sz w:val="24"/>
                <w:szCs w:val="24"/>
              </w:rPr>
            </w:pPr>
            <w:r>
              <w:rPr>
                <w:rFonts w:hint="eastAsia" w:ascii="宋体" w:hAnsi="宋体" w:eastAsia="宋体" w:cs="宋体"/>
                <w:sz w:val="24"/>
                <w:szCs w:val="24"/>
              </w:rPr>
              <w:t>≥15英寸医用专业触摸屏，主机显示器一体化设计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1.2</w:t>
            </w:r>
          </w:p>
        </w:tc>
        <w:tc>
          <w:tcPr>
            <w:tcW w:w="4523" w:type="pct"/>
            <w:vAlign w:val="center"/>
          </w:tcPr>
          <w:p>
            <w:pPr>
              <w:rPr>
                <w:rFonts w:hint="eastAsia" w:ascii="宋体" w:hAnsi="宋体" w:eastAsia="宋体" w:cs="宋体"/>
                <w:sz w:val="24"/>
                <w:szCs w:val="24"/>
              </w:rPr>
            </w:pPr>
            <w:r>
              <w:rPr>
                <w:rFonts w:hint="eastAsia" w:ascii="宋体" w:hAnsi="宋体" w:eastAsia="宋体" w:cs="宋体"/>
                <w:sz w:val="24"/>
                <w:szCs w:val="24"/>
              </w:rPr>
              <w:t>彩色WXGA TFT显示器, 分辨率</w:t>
            </w:r>
            <w:r>
              <w:rPr>
                <w:rFonts w:hint="eastAsia" w:ascii="宋体" w:hAnsi="宋体" w:cs="宋体"/>
                <w:sz w:val="24"/>
                <w:szCs w:val="24"/>
                <w:lang w:val="en-US" w:eastAsia="zh-CN"/>
              </w:rPr>
              <w:t>≥</w:t>
            </w:r>
            <w:r>
              <w:rPr>
                <w:rFonts w:hint="eastAsia" w:ascii="宋体" w:hAnsi="宋体" w:eastAsia="宋体" w:cs="宋体"/>
                <w:sz w:val="24"/>
                <w:szCs w:val="24"/>
              </w:rPr>
              <w:t>1280*768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1.3</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具有智能动态通道，可根据屏幕显示波形的条数，自动调整各波形大小，保证在各种监测状态下均达到波形显示的最优化，充分利用显示空间。使临床医护人员随时获得最为清晰的波形，并且无需手动改变通道数/调节大小，节约操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1.4</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提供多参数的组合重叠显示功能，可任意选择有创压、心电、呼吸等波形进行重叠显示，便于临床工作人将各参数波形进行比较、定位，可更好得发现并定位各类临床事件发生的先后顺序。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1.5</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提供水平趋势图，帮助临床提前预估和评判。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1.6</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≥6通道波形显示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1.7</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模块化插件结构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1.8</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所有测量功能插件可在每个监护仪间互换（热插拔）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1.9</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具备≥2个多功能测量模块插槽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1.10</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具备≥3个单参数测量功能插槽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1.11</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心电，需同屏幕显示12导联功能，每台均配12导联附件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1.12</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抗干扰和低灌注的血氧饱和度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1.13</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提供灌注指数功能，确保血氧监测准确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1.14</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具备无创血压的序列测量功能，医生护士可自定义测量间隔时间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color w:val="auto"/>
                <w:sz w:val="24"/>
                <w:highlight w:val="none"/>
              </w:rPr>
              <w:t>▲</w:t>
            </w:r>
            <w:r>
              <w:rPr>
                <w:rFonts w:hint="eastAsia" w:ascii="宋体" w:hAnsi="宋体" w:eastAsia="宋体" w:cs="宋体"/>
                <w:sz w:val="24"/>
                <w:szCs w:val="24"/>
              </w:rPr>
              <w:t>1.15</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具备连续QTc及△QTc监测，预警猝死发生</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1.16</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≥48小时图形、表格趋势，最高分辨率在30秒以内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1.17</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提供专科监护软件，可实现屏幕显示定制化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1.18</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标配≧23种心律失常分析，含房颤分析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1.19</w:t>
            </w:r>
          </w:p>
        </w:tc>
        <w:tc>
          <w:tcPr>
            <w:tcW w:w="4523"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可通过点击波形更改屏幕上显示显示波形内容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1.20</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具备ST段分析及存储功能，可图形化显示ST段变化、趋势，直观实时监护心肌缺血部位及程度，方便重症监护人员进行监护和诊治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1.21</w:t>
            </w:r>
          </w:p>
        </w:tc>
        <w:tc>
          <w:tcPr>
            <w:tcW w:w="4523"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动态波形大小调整，除了固定大小的波形，屏幕包含“动态波形”区域，在此区域中，波形将自动根据可用空间调整其大小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76" w:type="pct"/>
            <w:vAlign w:val="center"/>
          </w:tcPr>
          <w:p>
            <w:pPr>
              <w:rPr>
                <w:rFonts w:hint="eastAsia" w:ascii="宋体" w:hAnsi="宋体" w:eastAsia="宋体" w:cs="宋体"/>
                <w:sz w:val="24"/>
                <w:szCs w:val="24"/>
              </w:rPr>
            </w:pPr>
            <w:r>
              <w:rPr>
                <w:rFonts w:hint="eastAsia" w:ascii="宋体" w:hAnsi="宋体" w:eastAsia="宋体" w:cs="宋体"/>
                <w:sz w:val="24"/>
                <w:szCs w:val="24"/>
              </w:rPr>
              <w:t>1.22</w:t>
            </w:r>
          </w:p>
        </w:tc>
        <w:tc>
          <w:tcPr>
            <w:tcW w:w="4523" w:type="pct"/>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整机、插件槽及相关附件均无风扇，不影响层流，有利于感控，不易积聚灰尘，提高仪器使用寿命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76" w:type="pct"/>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4523" w:type="pct"/>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配置要求：主机10台（含附件）；双有创模块10个，BIS模块10个，麻醉气体模块10个。</w:t>
            </w:r>
          </w:p>
        </w:tc>
      </w:tr>
    </w:tbl>
    <w:p>
      <w:pPr>
        <w:rPr>
          <w:rFonts w:hint="default"/>
          <w:lang w:val="en-US" w:eastAsia="zh-CN"/>
        </w:rPr>
      </w:pPr>
    </w:p>
    <w:p>
      <w:pPr>
        <w:numPr>
          <w:ilvl w:val="0"/>
          <w:numId w:val="7"/>
        </w:numPr>
        <w:jc w:val="left"/>
        <w:rPr>
          <w:rFonts w:hint="eastAsia" w:ascii="宋体" w:hAnsi="宋体"/>
          <w:b/>
          <w:color w:val="000000"/>
          <w:sz w:val="28"/>
          <w:szCs w:val="28"/>
          <w:lang w:val="en-US" w:eastAsia="zh-CN"/>
        </w:rPr>
      </w:pPr>
      <w:r>
        <w:rPr>
          <w:rFonts w:hint="eastAsia" w:ascii="宋体" w:hAnsi="宋体"/>
          <w:b/>
          <w:color w:val="000000"/>
          <w:sz w:val="28"/>
          <w:szCs w:val="28"/>
          <w:lang w:val="en-US" w:eastAsia="zh-CN"/>
        </w:rPr>
        <w:t>呼吸机</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8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A</w:t>
            </w:r>
          </w:p>
        </w:tc>
        <w:tc>
          <w:tcPr>
            <w:tcW w:w="8560" w:type="dxa"/>
          </w:tcPr>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必要条件描述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1</w:t>
            </w:r>
          </w:p>
        </w:tc>
        <w:tc>
          <w:tcPr>
            <w:tcW w:w="8560" w:type="dxa"/>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可适用于ICU病人的危重症抢救及长时间通气治疗，非涡轮供气方式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B</w:t>
            </w:r>
          </w:p>
        </w:tc>
        <w:tc>
          <w:tcPr>
            <w:tcW w:w="8560" w:type="dxa"/>
          </w:tcPr>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技术性能指标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1</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具有屏幕触摸、旋钮、按键三种操作方式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2</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具有动态呼出阀，可在吸气相实现患者主动呼吸，在呼气相减轻患者呼气阻力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color w:val="auto"/>
                <w:sz w:val="24"/>
                <w:highlight w:val="none"/>
              </w:rPr>
              <w:t>▲</w:t>
            </w:r>
            <w:r>
              <w:rPr>
                <w:rFonts w:hint="eastAsia" w:ascii="宋体" w:hAnsi="宋体" w:eastAsia="宋体" w:cs="宋体"/>
                <w:b/>
                <w:bCs/>
                <w:kern w:val="0"/>
                <w:sz w:val="24"/>
                <w:szCs w:val="24"/>
              </w:rPr>
              <w:t>3</w:t>
            </w:r>
          </w:p>
        </w:tc>
        <w:tc>
          <w:tcPr>
            <w:tcW w:w="8560" w:type="dxa"/>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流量传感器采用超声技术，不受水汽影响，可永久使用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4</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内、外呼吸回路及呼气阀均可清洗、消毒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5</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通气模式：VC/PC/PRVC/PS/CPAP/SIMV(VC+PS)/SIMV(PC+PS)/SIMV(PRVC+PS)/智能后备通气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6</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主机具备待机功能（Standby状态），能快速进入抢救危重病人状态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7</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伺服反馈控制系统，实现对压力和流量的自动调节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C</w:t>
            </w:r>
          </w:p>
        </w:tc>
        <w:tc>
          <w:tcPr>
            <w:tcW w:w="8560" w:type="dxa"/>
          </w:tcPr>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1</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潮气量  100-2000毫升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2</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通气频率  4-100次/分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3</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吸气时间 0.1-5秒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4</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吸气流速 0-180升/分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5</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PEEP 0-50mbar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6</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吸气压力 0-120mbar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7</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压力上升时间 0-2秒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8</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供氧浓度 21%-100%可调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9</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呼气触发灵敏度  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color w:val="auto"/>
                <w:sz w:val="24"/>
                <w:highlight w:val="none"/>
              </w:rPr>
              <w:t>▲</w:t>
            </w:r>
            <w:r>
              <w:rPr>
                <w:rFonts w:hint="eastAsia" w:ascii="宋体" w:hAnsi="宋体" w:eastAsia="宋体" w:cs="宋体"/>
                <w:b/>
                <w:bCs/>
                <w:kern w:val="0"/>
                <w:sz w:val="24"/>
                <w:szCs w:val="24"/>
              </w:rPr>
              <w:t>10</w:t>
            </w:r>
          </w:p>
        </w:tc>
        <w:tc>
          <w:tcPr>
            <w:tcW w:w="8560" w:type="dxa"/>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同时具备压力触发和流速触发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color w:val="auto"/>
                <w:sz w:val="24"/>
                <w:highlight w:val="none"/>
              </w:rPr>
              <w:t>▲</w:t>
            </w:r>
            <w:r>
              <w:rPr>
                <w:rFonts w:hint="eastAsia" w:ascii="宋体" w:hAnsi="宋体" w:eastAsia="宋体" w:cs="宋体"/>
                <w:b/>
                <w:bCs/>
                <w:kern w:val="0"/>
                <w:sz w:val="24"/>
                <w:szCs w:val="24"/>
              </w:rPr>
              <w:t>11</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全中文操作界面，后备电池最少能保证供电60分钟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12</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监测项目齐全，有吸入和呼出潮气量、分钟通气量、自主呼吸潮气量、自主呼吸分钟通气量、峰压、平台压、呼气末正压、平均压、峰值流速、平均流速、呼吸频率、自主呼吸频率、呼吸比、吸气时间、氧浓度监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13</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有智能报警管理系统，包括气道压力、供气压力、分钟通气量、氧浓度、呼吸频率、窒息报警时间、供电、硬件故障等参数报警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9" w:type="dxa"/>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color w:val="auto"/>
                <w:sz w:val="24"/>
                <w:highlight w:val="none"/>
              </w:rPr>
              <w:t>▲</w:t>
            </w:r>
            <w:r>
              <w:rPr>
                <w:rFonts w:hint="eastAsia" w:ascii="宋体" w:hAnsi="宋体" w:eastAsia="宋体" w:cs="宋体"/>
                <w:b/>
                <w:bCs/>
                <w:kern w:val="0"/>
                <w:sz w:val="24"/>
                <w:szCs w:val="24"/>
                <w:highlight w:val="none"/>
              </w:rPr>
              <w:t>14</w:t>
            </w:r>
          </w:p>
        </w:tc>
        <w:tc>
          <w:tcPr>
            <w:tcW w:w="8560" w:type="dxa"/>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肺功能监测，包括动态顺应性、口腔闭合压P0.1、肺弹性阻力、时间常数、呼气末流速等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9" w:type="dxa"/>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15</w:t>
            </w:r>
          </w:p>
        </w:tc>
        <w:tc>
          <w:tcPr>
            <w:tcW w:w="8560" w:type="dxa"/>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可提供24小时内的所有监测参数、报警信息及设置参数的记录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19" w:type="dxa"/>
          </w:tcPr>
          <w:p>
            <w:pPr>
              <w:widowControl/>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D</w:t>
            </w:r>
          </w:p>
        </w:tc>
        <w:tc>
          <w:tcPr>
            <w:tcW w:w="8560" w:type="dxa"/>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配置要求：主机4套，台车4套，湿化器4套，</w:t>
            </w:r>
            <w:r>
              <w:rPr>
                <w:rFonts w:hint="eastAsia" w:ascii="宋体" w:hAnsi="宋体" w:eastAsia="宋体" w:cs="宋体"/>
                <w:sz w:val="24"/>
                <w:szCs w:val="24"/>
              </w:rPr>
              <w:t>原装成人硅胶呼吸管路</w:t>
            </w:r>
            <w:r>
              <w:rPr>
                <w:rFonts w:hint="eastAsia" w:ascii="宋体" w:hAnsi="宋体" w:eastAsia="宋体" w:cs="宋体"/>
                <w:kern w:val="0"/>
                <w:sz w:val="24"/>
                <w:szCs w:val="24"/>
                <w:lang w:val="en-US" w:eastAsia="zh-CN"/>
              </w:rPr>
              <w:t>8套，</w:t>
            </w:r>
            <w:r>
              <w:rPr>
                <w:rFonts w:hint="eastAsia" w:ascii="宋体" w:hAnsi="宋体" w:eastAsia="宋体" w:cs="宋体"/>
                <w:sz w:val="24"/>
                <w:szCs w:val="24"/>
              </w:rPr>
              <w:t>夹板模拟肺</w:t>
            </w:r>
            <w:r>
              <w:rPr>
                <w:rFonts w:hint="eastAsia" w:ascii="宋体" w:hAnsi="宋体" w:eastAsia="宋体" w:cs="宋体"/>
                <w:sz w:val="24"/>
                <w:szCs w:val="24"/>
                <w:lang w:val="en-US" w:eastAsia="zh-CN"/>
              </w:rPr>
              <w:t>4</w:t>
            </w:r>
            <w:r>
              <w:rPr>
                <w:rFonts w:hint="eastAsia" w:ascii="宋体" w:hAnsi="宋体" w:eastAsia="宋体" w:cs="宋体"/>
                <w:sz w:val="24"/>
                <w:szCs w:val="24"/>
              </w:rPr>
              <w:t>个</w:t>
            </w:r>
            <w:r>
              <w:rPr>
                <w:rFonts w:hint="eastAsia" w:ascii="宋体" w:hAnsi="宋体" w:eastAsia="宋体" w:cs="宋体"/>
                <w:sz w:val="24"/>
                <w:szCs w:val="24"/>
                <w:lang w:eastAsia="zh-CN"/>
              </w:rPr>
              <w:t>，</w:t>
            </w:r>
            <w:r>
              <w:rPr>
                <w:rFonts w:hint="eastAsia" w:ascii="宋体" w:hAnsi="宋体" w:eastAsia="宋体" w:cs="宋体"/>
                <w:sz w:val="24"/>
                <w:szCs w:val="24"/>
              </w:rPr>
              <w:t>呼吸管道固定支架</w:t>
            </w:r>
            <w:r>
              <w:rPr>
                <w:rFonts w:hint="eastAsia" w:ascii="宋体" w:hAnsi="宋体" w:eastAsia="宋体" w:cs="宋体"/>
                <w:sz w:val="24"/>
                <w:szCs w:val="24"/>
                <w:lang w:val="en-US" w:eastAsia="zh-CN"/>
              </w:rPr>
              <w:t>4</w:t>
            </w:r>
            <w:r>
              <w:rPr>
                <w:rFonts w:hint="eastAsia" w:ascii="宋体" w:hAnsi="宋体" w:eastAsia="宋体" w:cs="宋体"/>
                <w:sz w:val="24"/>
                <w:szCs w:val="24"/>
              </w:rPr>
              <w:t>套</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1台含儿童呼吸模式。</w:t>
            </w:r>
          </w:p>
        </w:tc>
      </w:tr>
    </w:tbl>
    <w:p>
      <w:pPr>
        <w:pStyle w:val="47"/>
        <w:rPr>
          <w:rFonts w:hint="eastAsia" w:ascii="宋体" w:hAnsi="宋体" w:eastAsia="宋体" w:cs="宋体"/>
          <w:sz w:val="24"/>
          <w:szCs w:val="24"/>
          <w:lang w:eastAsia="zh-CN"/>
        </w:rPr>
      </w:pPr>
    </w:p>
    <w:p>
      <w:pPr>
        <w:numPr>
          <w:ilvl w:val="0"/>
          <w:numId w:val="6"/>
        </w:numPr>
        <w:spacing w:line="360" w:lineRule="auto"/>
        <w:ind w:left="720" w:leftChars="0" w:hanging="720" w:firstLineChars="0"/>
        <w:rPr>
          <w:rFonts w:hint="eastAsia" w:ascii="宋体" w:hAnsi="宋体" w:eastAsia="宋体" w:cs="宋体"/>
          <w:b/>
          <w:color w:val="auto"/>
          <w:sz w:val="28"/>
          <w:highlight w:val="none"/>
          <w:lang w:eastAsia="zh-CN"/>
        </w:rPr>
      </w:pPr>
      <w:r>
        <w:rPr>
          <w:rFonts w:hint="eastAsia" w:ascii="宋体" w:hAnsi="宋体" w:eastAsia="宋体" w:cs="宋体"/>
          <w:b/>
          <w:color w:val="auto"/>
          <w:sz w:val="28"/>
          <w:highlight w:val="none"/>
          <w:lang w:eastAsia="zh-CN"/>
        </w:rPr>
        <w:t>商务要求</w:t>
      </w:r>
    </w:p>
    <w:tbl>
      <w:tblPr>
        <w:tblStyle w:val="36"/>
        <w:tblW w:w="9936"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732"/>
        <w:gridCol w:w="720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68" w:hRule="atLeast"/>
          <w:jc w:val="center"/>
        </w:trPr>
        <w:tc>
          <w:tcPr>
            <w:tcW w:w="2732" w:type="dxa"/>
            <w:vMerge w:val="restart"/>
            <w:tcBorders>
              <w:top w:val="double" w:color="auto" w:sz="4" w:space="0"/>
              <w:left w:val="double" w:color="auto" w:sz="4" w:space="0"/>
              <w:bottom w:val="double" w:color="auto" w:sz="4" w:space="0"/>
              <w:right w:val="double" w:color="auto" w:sz="4" w:space="0"/>
            </w:tcBorders>
            <w:noWrap w:val="0"/>
            <w:vAlign w:val="center"/>
          </w:tcPr>
          <w:p>
            <w:pPr>
              <w:snapToGrid w:val="0"/>
              <w:spacing w:before="120" w:beforeLines="50" w:after="120" w:afterLines="50" w:line="360" w:lineRule="auto"/>
              <w:jc w:val="center"/>
              <w:rPr>
                <w:rFonts w:ascii="宋体" w:hAnsi="宋体"/>
                <w:color w:val="auto"/>
                <w:sz w:val="24"/>
                <w:highlight w:val="none"/>
              </w:rPr>
            </w:pPr>
            <w:bookmarkStart w:id="11" w:name="_Toc404778589"/>
            <w:bookmarkStart w:id="12" w:name="_Toc508353613"/>
            <w:bookmarkStart w:id="13" w:name="_Toc404778372"/>
            <w:bookmarkStart w:id="14" w:name="_Toc404778651"/>
            <w:r>
              <w:rPr>
                <w:rFonts w:hint="eastAsia" w:ascii="宋体" w:hAnsi="宋体"/>
                <w:color w:val="auto"/>
                <w:sz w:val="24"/>
                <w:highlight w:val="none"/>
              </w:rPr>
              <w:t>一、质保期</w:t>
            </w:r>
            <w:bookmarkEnd w:id="11"/>
            <w:bookmarkEnd w:id="12"/>
            <w:bookmarkEnd w:id="13"/>
            <w:bookmarkEnd w:id="14"/>
          </w:p>
        </w:tc>
        <w:tc>
          <w:tcPr>
            <w:tcW w:w="7204" w:type="dxa"/>
            <w:tcBorders>
              <w:top w:val="double" w:color="auto" w:sz="4" w:space="0"/>
              <w:left w:val="double" w:color="auto" w:sz="4" w:space="0"/>
              <w:bottom w:val="double" w:color="auto" w:sz="4" w:space="0"/>
              <w:right w:val="double" w:color="auto" w:sz="4" w:space="0"/>
            </w:tcBorders>
            <w:noWrap w:val="0"/>
            <w:vAlign w:val="center"/>
          </w:tcPr>
          <w:p>
            <w:pPr>
              <w:spacing w:line="360" w:lineRule="auto"/>
              <w:jc w:val="left"/>
              <w:rPr>
                <w:rFonts w:hint="eastAsia" w:ascii="宋体" w:hAnsi="宋体" w:eastAsia="宋体"/>
                <w:b/>
                <w:color w:val="auto"/>
                <w:sz w:val="24"/>
                <w:highlight w:val="none"/>
                <w:lang w:eastAsia="zh-CN"/>
              </w:rPr>
            </w:pPr>
            <w:r>
              <w:rPr>
                <w:rFonts w:hint="eastAsia" w:ascii="宋体" w:hAnsi="宋体"/>
                <w:bCs/>
                <w:color w:val="auto"/>
                <w:sz w:val="24"/>
                <w:highlight w:val="none"/>
              </w:rPr>
              <w:t>设备验收合格后</w:t>
            </w:r>
            <w:r>
              <w:rPr>
                <w:rFonts w:hint="eastAsia" w:ascii="宋体" w:hAnsi="宋体"/>
                <w:bCs/>
                <w:color w:val="auto"/>
                <w:sz w:val="24"/>
                <w:highlight w:val="none"/>
                <w:lang w:val="en-US" w:eastAsia="zh-CN"/>
              </w:rPr>
              <w:t>标一</w:t>
            </w:r>
            <w:r>
              <w:rPr>
                <w:rFonts w:hint="eastAsia" w:ascii="宋体" w:hAnsi="宋体"/>
                <w:bCs/>
                <w:color w:val="auto"/>
                <w:sz w:val="24"/>
                <w:highlight w:val="none"/>
              </w:rPr>
              <w:t>免费保修</w:t>
            </w:r>
            <w:r>
              <w:rPr>
                <w:rFonts w:hint="eastAsia" w:ascii="宋体" w:hAnsi="宋体"/>
                <w:bCs/>
                <w:color w:val="auto"/>
                <w:sz w:val="24"/>
                <w:highlight w:val="none"/>
                <w:lang w:val="en-US" w:eastAsia="zh-CN"/>
              </w:rPr>
              <w:t>期5</w:t>
            </w:r>
            <w:r>
              <w:rPr>
                <w:rFonts w:hint="eastAsia" w:ascii="宋体" w:hAnsi="宋体"/>
                <w:b w:val="0"/>
                <w:bCs/>
                <w:color w:val="auto"/>
                <w:sz w:val="24"/>
                <w:highlight w:val="none"/>
              </w:rPr>
              <w:t>年</w:t>
            </w:r>
            <w:r>
              <w:rPr>
                <w:rFonts w:hint="eastAsia" w:ascii="宋体" w:hAnsi="宋体"/>
                <w:b w:val="0"/>
                <w:bCs/>
                <w:color w:val="auto"/>
                <w:sz w:val="24"/>
                <w:highlight w:val="none"/>
                <w:lang w:eastAsia="zh-CN"/>
              </w:rPr>
              <w:t>；</w:t>
            </w:r>
            <w:r>
              <w:rPr>
                <w:rFonts w:hint="eastAsia" w:ascii="宋体" w:hAnsi="宋体"/>
                <w:bCs/>
                <w:color w:val="auto"/>
                <w:sz w:val="24"/>
                <w:highlight w:val="none"/>
                <w:lang w:val="en-US" w:eastAsia="zh-CN"/>
              </w:rPr>
              <w:t>标二</w:t>
            </w:r>
            <w:r>
              <w:rPr>
                <w:rFonts w:hint="eastAsia" w:ascii="宋体" w:hAnsi="宋体"/>
                <w:bCs/>
                <w:color w:val="auto"/>
                <w:sz w:val="24"/>
                <w:highlight w:val="none"/>
              </w:rPr>
              <w:t>免费保修</w:t>
            </w:r>
            <w:r>
              <w:rPr>
                <w:rFonts w:hint="eastAsia" w:ascii="宋体" w:hAnsi="宋体"/>
                <w:bCs/>
                <w:color w:val="auto"/>
                <w:sz w:val="24"/>
                <w:highlight w:val="none"/>
                <w:lang w:val="en-US" w:eastAsia="zh-CN"/>
              </w:rPr>
              <w:t>期3</w:t>
            </w:r>
            <w:r>
              <w:rPr>
                <w:rFonts w:hint="eastAsia" w:ascii="宋体" w:hAnsi="宋体"/>
                <w:b w:val="0"/>
                <w:bCs/>
                <w:color w:val="auto"/>
                <w:sz w:val="24"/>
                <w:highlight w:val="none"/>
              </w:rPr>
              <w:t>年</w:t>
            </w:r>
            <w:r>
              <w:rPr>
                <w:rFonts w:hint="eastAsia" w:ascii="宋体" w:hAnsi="宋体"/>
                <w:b/>
                <w:bCs w:val="0"/>
                <w:color w:val="auto"/>
                <w:sz w:val="24"/>
                <w:highlight w:val="none"/>
                <w:lang w:eastAsia="zh-CN"/>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2732" w:type="dxa"/>
            <w:vMerge w:val="continue"/>
            <w:tcBorders>
              <w:top w:val="double" w:color="auto" w:sz="4" w:space="0"/>
              <w:left w:val="double" w:color="auto" w:sz="4" w:space="0"/>
              <w:bottom w:val="double" w:color="auto" w:sz="4" w:space="0"/>
              <w:right w:val="double" w:color="auto" w:sz="4" w:space="0"/>
            </w:tcBorders>
            <w:noWrap w:val="0"/>
            <w:vAlign w:val="center"/>
          </w:tcPr>
          <w:p>
            <w:pPr>
              <w:widowControl/>
              <w:spacing w:line="360" w:lineRule="auto"/>
              <w:jc w:val="center"/>
              <w:rPr>
                <w:rFonts w:ascii="宋体" w:hAnsi="宋体"/>
                <w:color w:val="auto"/>
                <w:sz w:val="24"/>
                <w:highlight w:val="none"/>
              </w:rPr>
            </w:pPr>
          </w:p>
        </w:tc>
        <w:tc>
          <w:tcPr>
            <w:tcW w:w="7204" w:type="dxa"/>
            <w:tcBorders>
              <w:top w:val="double" w:color="auto" w:sz="4" w:space="0"/>
              <w:left w:val="double" w:color="auto" w:sz="4" w:space="0"/>
              <w:bottom w:val="double" w:color="auto" w:sz="4" w:space="0"/>
              <w:right w:val="double" w:color="auto" w:sz="4" w:space="0"/>
            </w:tcBorders>
            <w:noWrap w:val="0"/>
            <w:vAlign w:val="center"/>
          </w:tcPr>
          <w:p>
            <w:pPr>
              <w:spacing w:line="360" w:lineRule="auto"/>
              <w:jc w:val="left"/>
              <w:rPr>
                <w:rFonts w:ascii="宋体" w:hAnsi="宋体"/>
                <w:color w:val="auto"/>
                <w:sz w:val="24"/>
                <w:highlight w:val="none"/>
              </w:rPr>
            </w:pPr>
            <w:r>
              <w:rPr>
                <w:rFonts w:hint="eastAsia" w:ascii="宋体" w:hAnsi="宋体"/>
                <w:color w:val="auto"/>
                <w:sz w:val="24"/>
                <w:highlight w:val="none"/>
              </w:rPr>
              <w:t>质保期外不收取任何维修、差旅费等，仅收取配件费。</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2732" w:type="dxa"/>
            <w:vMerge w:val="continue"/>
            <w:tcBorders>
              <w:top w:val="double" w:color="auto" w:sz="4" w:space="0"/>
              <w:left w:val="double" w:color="auto" w:sz="4" w:space="0"/>
              <w:bottom w:val="double" w:color="auto" w:sz="4" w:space="0"/>
              <w:right w:val="double" w:color="auto" w:sz="4" w:space="0"/>
            </w:tcBorders>
            <w:noWrap w:val="0"/>
            <w:vAlign w:val="center"/>
          </w:tcPr>
          <w:p>
            <w:pPr>
              <w:widowControl/>
              <w:spacing w:line="360" w:lineRule="auto"/>
              <w:jc w:val="center"/>
              <w:rPr>
                <w:rFonts w:ascii="宋体" w:hAnsi="宋体"/>
                <w:color w:val="auto"/>
                <w:sz w:val="24"/>
                <w:highlight w:val="none"/>
              </w:rPr>
            </w:pPr>
          </w:p>
        </w:tc>
        <w:tc>
          <w:tcPr>
            <w:tcW w:w="7204" w:type="dxa"/>
            <w:tcBorders>
              <w:top w:val="double" w:color="auto" w:sz="4" w:space="0"/>
              <w:left w:val="double" w:color="auto" w:sz="4" w:space="0"/>
              <w:bottom w:val="double" w:color="auto" w:sz="4" w:space="0"/>
              <w:right w:val="double" w:color="auto" w:sz="4" w:space="0"/>
            </w:tcBorders>
            <w:noWrap w:val="0"/>
            <w:vAlign w:val="center"/>
          </w:tcPr>
          <w:p>
            <w:pPr>
              <w:spacing w:line="360" w:lineRule="auto"/>
              <w:jc w:val="left"/>
              <w:rPr>
                <w:rFonts w:ascii="宋体" w:hAnsi="宋体"/>
                <w:color w:val="auto"/>
                <w:sz w:val="24"/>
                <w:highlight w:val="none"/>
              </w:rPr>
            </w:pPr>
            <w:r>
              <w:rPr>
                <w:rFonts w:hint="eastAsia" w:ascii="宋体" w:hAnsi="宋体"/>
                <w:color w:val="auto"/>
                <w:sz w:val="24"/>
                <w:highlight w:val="none"/>
              </w:rPr>
              <w:t>免费提供软件升级，及时提供最新软件。</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0" w:hRule="atLeast"/>
          <w:jc w:val="center"/>
        </w:trPr>
        <w:tc>
          <w:tcPr>
            <w:tcW w:w="2732" w:type="dxa"/>
            <w:vMerge w:val="restart"/>
            <w:tcBorders>
              <w:top w:val="double" w:color="auto" w:sz="4" w:space="0"/>
              <w:left w:val="double" w:color="auto" w:sz="4" w:space="0"/>
              <w:bottom w:val="double" w:color="auto" w:sz="4" w:space="0"/>
              <w:right w:val="double" w:color="auto" w:sz="4" w:space="0"/>
            </w:tcBorders>
            <w:noWrap w:val="0"/>
            <w:vAlign w:val="center"/>
          </w:tcPr>
          <w:p>
            <w:pPr>
              <w:snapToGrid w:val="0"/>
              <w:spacing w:before="120" w:beforeLines="50" w:after="120" w:afterLines="50" w:line="360" w:lineRule="auto"/>
              <w:jc w:val="center"/>
              <w:rPr>
                <w:rFonts w:ascii="宋体" w:hAnsi="宋体"/>
                <w:color w:val="auto"/>
                <w:sz w:val="24"/>
                <w:highlight w:val="none"/>
              </w:rPr>
            </w:pPr>
            <w:bookmarkStart w:id="15" w:name="_Toc404778590"/>
            <w:bookmarkStart w:id="16" w:name="_Toc508353614"/>
            <w:bookmarkStart w:id="17" w:name="_Toc404778652"/>
            <w:bookmarkStart w:id="18" w:name="_Toc404778373"/>
            <w:r>
              <w:rPr>
                <w:rFonts w:hint="eastAsia" w:ascii="宋体" w:hAnsi="宋体"/>
                <w:color w:val="auto"/>
                <w:sz w:val="24"/>
                <w:highlight w:val="none"/>
              </w:rPr>
              <w:t>二、售后服务要求</w:t>
            </w:r>
            <w:bookmarkEnd w:id="15"/>
            <w:bookmarkEnd w:id="16"/>
            <w:bookmarkEnd w:id="17"/>
            <w:bookmarkEnd w:id="18"/>
          </w:p>
        </w:tc>
        <w:tc>
          <w:tcPr>
            <w:tcW w:w="7204" w:type="dxa"/>
            <w:tcBorders>
              <w:top w:val="double" w:color="auto" w:sz="4" w:space="0"/>
              <w:left w:val="double" w:color="auto" w:sz="4" w:space="0"/>
              <w:bottom w:val="double" w:color="auto" w:sz="4" w:space="0"/>
              <w:right w:val="double" w:color="auto" w:sz="4" w:space="0"/>
            </w:tcBorders>
            <w:noWrap w:val="0"/>
            <w:vAlign w:val="center"/>
          </w:tcPr>
          <w:p>
            <w:pPr>
              <w:spacing w:line="360" w:lineRule="auto"/>
              <w:jc w:val="left"/>
              <w:rPr>
                <w:rFonts w:ascii="宋体" w:hAnsi="宋体"/>
                <w:color w:val="auto"/>
                <w:sz w:val="24"/>
                <w:highlight w:val="none"/>
              </w:rPr>
            </w:pPr>
            <w:r>
              <w:rPr>
                <w:rFonts w:hint="eastAsia" w:ascii="宋体" w:hAnsi="宋体"/>
                <w:color w:val="auto"/>
                <w:sz w:val="24"/>
                <w:highlight w:val="none"/>
              </w:rPr>
              <w:t>1.有维修点及零配件供应点；</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33" w:hRule="atLeast"/>
          <w:jc w:val="center"/>
        </w:trPr>
        <w:tc>
          <w:tcPr>
            <w:tcW w:w="2732" w:type="dxa"/>
            <w:vMerge w:val="continue"/>
            <w:tcBorders>
              <w:top w:val="double" w:color="auto" w:sz="4" w:space="0"/>
              <w:left w:val="double" w:color="auto" w:sz="4" w:space="0"/>
              <w:bottom w:val="double" w:color="auto" w:sz="4" w:space="0"/>
              <w:right w:val="double" w:color="auto" w:sz="4" w:space="0"/>
            </w:tcBorders>
            <w:noWrap w:val="0"/>
            <w:vAlign w:val="center"/>
          </w:tcPr>
          <w:p>
            <w:pPr>
              <w:widowControl/>
              <w:spacing w:line="360" w:lineRule="auto"/>
              <w:jc w:val="center"/>
              <w:rPr>
                <w:rFonts w:ascii="宋体" w:hAnsi="宋体"/>
                <w:color w:val="auto"/>
                <w:sz w:val="24"/>
                <w:highlight w:val="none"/>
              </w:rPr>
            </w:pPr>
          </w:p>
        </w:tc>
        <w:tc>
          <w:tcPr>
            <w:tcW w:w="7204" w:type="dxa"/>
            <w:tcBorders>
              <w:top w:val="double" w:color="auto" w:sz="4" w:space="0"/>
              <w:left w:val="double" w:color="auto" w:sz="4" w:space="0"/>
              <w:bottom w:val="double" w:color="auto" w:sz="4" w:space="0"/>
              <w:right w:val="double" w:color="auto" w:sz="4" w:space="0"/>
            </w:tcBorders>
            <w:noWrap w:val="0"/>
            <w:vAlign w:val="center"/>
          </w:tcPr>
          <w:p>
            <w:pPr>
              <w:spacing w:line="360" w:lineRule="auto"/>
              <w:jc w:val="left"/>
              <w:rPr>
                <w:rFonts w:ascii="宋体" w:hAnsi="宋体"/>
                <w:color w:val="auto"/>
                <w:sz w:val="24"/>
                <w:highlight w:val="none"/>
              </w:rPr>
            </w:pPr>
            <w:r>
              <w:rPr>
                <w:rFonts w:hint="eastAsia" w:ascii="宋体" w:hAnsi="宋体"/>
                <w:color w:val="auto"/>
                <w:sz w:val="24"/>
                <w:highlight w:val="none"/>
              </w:rPr>
              <w:t>2.须明确承诺维修响应时间、保修期内巡视保养措施及保修期后维护保养承诺。</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2732" w:type="dxa"/>
            <w:tcBorders>
              <w:top w:val="double" w:color="auto" w:sz="4" w:space="0"/>
              <w:left w:val="double" w:color="auto" w:sz="4" w:space="0"/>
              <w:bottom w:val="double" w:color="auto" w:sz="4" w:space="0"/>
              <w:right w:val="double" w:color="auto" w:sz="4" w:space="0"/>
            </w:tcBorders>
            <w:noWrap w:val="0"/>
            <w:vAlign w:val="center"/>
          </w:tcPr>
          <w:p>
            <w:pPr>
              <w:snapToGrid w:val="0"/>
              <w:spacing w:before="120" w:beforeLines="50" w:after="120" w:afterLines="50" w:line="360" w:lineRule="auto"/>
              <w:jc w:val="center"/>
              <w:rPr>
                <w:rFonts w:ascii="宋体" w:hAnsi="宋体"/>
                <w:color w:val="auto"/>
                <w:sz w:val="24"/>
                <w:highlight w:val="none"/>
              </w:rPr>
            </w:pPr>
            <w:bookmarkStart w:id="19" w:name="_Toc404778653"/>
            <w:bookmarkStart w:id="20" w:name="_Toc508353615"/>
            <w:bookmarkStart w:id="21" w:name="_Toc404778591"/>
            <w:bookmarkStart w:id="22" w:name="_Toc404778374"/>
            <w:r>
              <w:rPr>
                <w:rFonts w:hint="eastAsia" w:ascii="宋体" w:hAnsi="宋体"/>
                <w:color w:val="auto"/>
                <w:sz w:val="24"/>
                <w:highlight w:val="none"/>
              </w:rPr>
              <w:t>三、售后服务保障或维修响应时间要求</w:t>
            </w:r>
            <w:bookmarkEnd w:id="19"/>
            <w:bookmarkEnd w:id="20"/>
            <w:bookmarkEnd w:id="21"/>
            <w:bookmarkEnd w:id="22"/>
          </w:p>
        </w:tc>
        <w:tc>
          <w:tcPr>
            <w:tcW w:w="7204" w:type="dxa"/>
            <w:tcBorders>
              <w:top w:val="double" w:color="auto" w:sz="4" w:space="0"/>
              <w:left w:val="double" w:color="auto" w:sz="4" w:space="0"/>
              <w:bottom w:val="double" w:color="auto" w:sz="4" w:space="0"/>
              <w:right w:val="double" w:color="auto" w:sz="4" w:space="0"/>
            </w:tcBorders>
            <w:noWrap w:val="0"/>
            <w:vAlign w:val="center"/>
          </w:tcPr>
          <w:p>
            <w:pPr>
              <w:spacing w:line="360" w:lineRule="auto"/>
              <w:rPr>
                <w:rFonts w:ascii="宋体" w:hAnsi="宋体"/>
                <w:b/>
                <w:color w:val="auto"/>
                <w:sz w:val="24"/>
                <w:highlight w:val="none"/>
              </w:rPr>
            </w:pPr>
            <w:r>
              <w:rPr>
                <w:rFonts w:hint="eastAsia" w:ascii="宋体" w:hAnsi="宋体"/>
                <w:color w:val="auto"/>
                <w:sz w:val="24"/>
                <w:highlight w:val="none"/>
              </w:rPr>
              <w:t>如设备在使用时出现故障，中标人接到采购人电话后1小时内响应，必须在24小时内赶到现场维修，并保证在48小时内修复完毕。如不能修复则提供备机使用，质保期内，与维修相关的所有费用由中标方负责。</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8" w:hRule="atLeast"/>
          <w:jc w:val="center"/>
        </w:trPr>
        <w:tc>
          <w:tcPr>
            <w:tcW w:w="2732" w:type="dxa"/>
            <w:tcBorders>
              <w:top w:val="double" w:color="auto" w:sz="4" w:space="0"/>
              <w:left w:val="double" w:color="auto" w:sz="4" w:space="0"/>
              <w:bottom w:val="double" w:color="auto" w:sz="4" w:space="0"/>
              <w:right w:val="double" w:color="auto" w:sz="4" w:space="0"/>
            </w:tcBorders>
            <w:noWrap w:val="0"/>
            <w:vAlign w:val="center"/>
          </w:tcPr>
          <w:p>
            <w:pPr>
              <w:snapToGrid w:val="0"/>
              <w:spacing w:before="120" w:beforeLines="50" w:after="120" w:afterLines="50" w:line="360" w:lineRule="auto"/>
              <w:jc w:val="center"/>
              <w:rPr>
                <w:rFonts w:ascii="宋体" w:hAnsi="宋体"/>
                <w:color w:val="auto"/>
                <w:sz w:val="24"/>
                <w:highlight w:val="none"/>
              </w:rPr>
            </w:pPr>
            <w:bookmarkStart w:id="23" w:name="_Toc508353616"/>
            <w:bookmarkStart w:id="24" w:name="_Toc404778654"/>
            <w:bookmarkStart w:id="25" w:name="_Toc404778375"/>
            <w:bookmarkStart w:id="26" w:name="_Toc404778592"/>
            <w:r>
              <w:rPr>
                <w:rFonts w:hint="eastAsia" w:ascii="宋体" w:hAnsi="宋体"/>
                <w:color w:val="auto"/>
                <w:sz w:val="24"/>
                <w:highlight w:val="none"/>
              </w:rPr>
              <w:t>四、交货时间及地点</w:t>
            </w:r>
            <w:bookmarkEnd w:id="23"/>
            <w:bookmarkEnd w:id="24"/>
            <w:bookmarkEnd w:id="25"/>
            <w:bookmarkEnd w:id="26"/>
          </w:p>
        </w:tc>
        <w:tc>
          <w:tcPr>
            <w:tcW w:w="7204" w:type="dxa"/>
            <w:tcBorders>
              <w:top w:val="double" w:color="auto" w:sz="4" w:space="0"/>
              <w:left w:val="double" w:color="auto" w:sz="4" w:space="0"/>
              <w:bottom w:val="double" w:color="auto" w:sz="4" w:space="0"/>
              <w:right w:val="double" w:color="auto" w:sz="4" w:space="0"/>
            </w:tcBorders>
            <w:noWrap w:val="0"/>
            <w:vAlign w:val="center"/>
          </w:tcPr>
          <w:p>
            <w:pPr>
              <w:spacing w:line="360" w:lineRule="auto"/>
              <w:rPr>
                <w:rFonts w:ascii="宋体" w:hAnsi="宋体"/>
                <w:b/>
                <w:color w:val="auto"/>
                <w:sz w:val="24"/>
                <w:highlight w:val="none"/>
              </w:rPr>
            </w:pPr>
            <w:r>
              <w:rPr>
                <w:rFonts w:hint="eastAsia" w:ascii="宋体" w:hAnsi="宋体"/>
                <w:b/>
                <w:color w:val="auto"/>
                <w:sz w:val="24"/>
                <w:highlight w:val="none"/>
              </w:rPr>
              <w:t>交货时间：</w:t>
            </w:r>
            <w:r>
              <w:rPr>
                <w:rFonts w:ascii="宋体" w:hAnsi="宋体"/>
                <w:b/>
                <w:color w:val="auto"/>
                <w:sz w:val="24"/>
                <w:highlight w:val="none"/>
              </w:rPr>
              <w:t>合同签订后</w:t>
            </w:r>
            <w:r>
              <w:rPr>
                <w:rFonts w:hint="eastAsia" w:ascii="宋体" w:hAnsi="宋体"/>
                <w:b/>
                <w:color w:val="auto"/>
                <w:sz w:val="24"/>
                <w:highlight w:val="none"/>
                <w:lang w:val="en-US" w:eastAsia="zh-CN"/>
              </w:rPr>
              <w:t>40</w:t>
            </w:r>
            <w:r>
              <w:rPr>
                <w:rFonts w:hint="eastAsia" w:ascii="宋体" w:hAnsi="宋体"/>
                <w:b/>
                <w:color w:val="auto"/>
                <w:sz w:val="24"/>
                <w:highlight w:val="none"/>
              </w:rPr>
              <w:t>天</w:t>
            </w:r>
            <w:r>
              <w:rPr>
                <w:rFonts w:ascii="宋体" w:hAnsi="宋体"/>
                <w:b/>
                <w:color w:val="auto"/>
                <w:sz w:val="24"/>
                <w:highlight w:val="none"/>
              </w:rPr>
              <w:t>内</w:t>
            </w:r>
            <w:r>
              <w:rPr>
                <w:rFonts w:hint="eastAsia" w:ascii="宋体" w:hAnsi="宋体"/>
                <w:b/>
                <w:color w:val="auto"/>
                <w:sz w:val="24"/>
                <w:highlight w:val="none"/>
              </w:rPr>
              <w:t>。</w:t>
            </w:r>
          </w:p>
          <w:p>
            <w:pPr>
              <w:spacing w:line="360" w:lineRule="auto"/>
              <w:rPr>
                <w:rFonts w:ascii="宋体" w:hAnsi="宋体"/>
                <w:color w:val="auto"/>
                <w:sz w:val="24"/>
                <w:highlight w:val="none"/>
              </w:rPr>
            </w:pPr>
            <w:r>
              <w:rPr>
                <w:rFonts w:hint="eastAsia" w:ascii="宋体" w:hAnsi="宋体"/>
                <w:b/>
                <w:color w:val="auto"/>
                <w:sz w:val="24"/>
                <w:highlight w:val="none"/>
              </w:rPr>
              <w:t>交货地点：</w:t>
            </w:r>
            <w:r>
              <w:rPr>
                <w:rFonts w:hint="eastAsia" w:ascii="宋体" w:hAnsi="宋体"/>
                <w:color w:val="auto"/>
                <w:sz w:val="24"/>
                <w:highlight w:val="none"/>
              </w:rPr>
              <w:t>按采购人实际要求，送到采购人指定地点。</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2732" w:type="dxa"/>
            <w:tcBorders>
              <w:top w:val="double" w:color="auto" w:sz="4" w:space="0"/>
              <w:left w:val="double" w:color="auto" w:sz="4" w:space="0"/>
              <w:bottom w:val="double" w:color="auto" w:sz="4" w:space="0"/>
              <w:right w:val="double" w:color="auto" w:sz="4" w:space="0"/>
            </w:tcBorders>
            <w:noWrap w:val="0"/>
            <w:vAlign w:val="center"/>
          </w:tcPr>
          <w:p>
            <w:pPr>
              <w:snapToGrid w:val="0"/>
              <w:spacing w:before="120" w:beforeLines="50" w:after="120" w:afterLines="50" w:line="360" w:lineRule="auto"/>
              <w:jc w:val="center"/>
              <w:rPr>
                <w:rFonts w:hint="eastAsia" w:ascii="宋体" w:hAnsi="宋体"/>
                <w:color w:val="auto"/>
                <w:sz w:val="24"/>
                <w:highlight w:val="none"/>
              </w:rPr>
            </w:pPr>
            <w:r>
              <w:rPr>
                <w:rFonts w:hint="eastAsia" w:ascii="宋体" w:hAnsi="宋体"/>
                <w:color w:val="auto"/>
                <w:sz w:val="24"/>
                <w:highlight w:val="none"/>
              </w:rPr>
              <w:t>五、付款方式</w:t>
            </w:r>
          </w:p>
        </w:tc>
        <w:tc>
          <w:tcPr>
            <w:tcW w:w="7204" w:type="dxa"/>
            <w:tcBorders>
              <w:top w:val="double" w:color="auto" w:sz="4" w:space="0"/>
              <w:left w:val="double" w:color="auto" w:sz="4" w:space="0"/>
              <w:bottom w:val="double" w:color="auto" w:sz="4" w:space="0"/>
              <w:right w:val="double" w:color="auto" w:sz="4" w:space="0"/>
            </w:tcBorders>
            <w:noWrap w:val="0"/>
            <w:vAlign w:val="center"/>
          </w:tcPr>
          <w:p>
            <w:pPr>
              <w:spacing w:line="360" w:lineRule="auto"/>
              <w:rPr>
                <w:rFonts w:ascii="宋体" w:hAnsi="宋体"/>
                <w:color w:val="auto"/>
                <w:sz w:val="24"/>
                <w:highlight w:val="none"/>
              </w:rPr>
            </w:pPr>
            <w:r>
              <w:rPr>
                <w:rFonts w:hint="eastAsia" w:ascii="宋体" w:hAnsi="宋体"/>
                <w:b/>
                <w:bCs w:val="0"/>
                <w:color w:val="auto"/>
                <w:sz w:val="24"/>
                <w:highlight w:val="none"/>
              </w:rPr>
              <w:t>付款方式</w:t>
            </w:r>
            <w:r>
              <w:rPr>
                <w:rFonts w:hint="eastAsia" w:ascii="宋体" w:hAnsi="宋体"/>
                <w:b/>
                <w:bCs w:val="0"/>
                <w:color w:val="auto"/>
                <w:sz w:val="24"/>
                <w:highlight w:val="none"/>
                <w:lang w:eastAsia="zh-CN"/>
              </w:rPr>
              <w:t>：</w:t>
            </w:r>
            <w:r>
              <w:rPr>
                <w:rFonts w:hint="eastAsia" w:ascii="宋体" w:hAnsi="宋体"/>
                <w:bCs/>
                <w:color w:val="auto"/>
                <w:sz w:val="24"/>
                <w:highlight w:val="none"/>
              </w:rPr>
              <w:t>合同</w:t>
            </w:r>
            <w:r>
              <w:rPr>
                <w:rFonts w:hint="eastAsia" w:ascii="宋体" w:hAnsi="宋体"/>
                <w:bCs/>
                <w:color w:val="auto"/>
                <w:sz w:val="24"/>
                <w:highlight w:val="none"/>
                <w:lang w:eastAsia="zh-CN"/>
              </w:rPr>
              <w:t>生效</w:t>
            </w:r>
            <w:r>
              <w:rPr>
                <w:rFonts w:hint="eastAsia" w:ascii="宋体" w:hAnsi="宋体"/>
                <w:bCs/>
                <w:color w:val="auto"/>
                <w:sz w:val="24"/>
                <w:highlight w:val="none"/>
              </w:rPr>
              <w:t>以及</w:t>
            </w:r>
            <w:r>
              <w:rPr>
                <w:rFonts w:hint="eastAsia" w:ascii="宋体" w:hAnsi="宋体"/>
                <w:bCs/>
                <w:color w:val="auto"/>
                <w:sz w:val="24"/>
                <w:highlight w:val="none"/>
                <w:lang w:eastAsia="zh-CN"/>
              </w:rPr>
              <w:t>具备实施</w:t>
            </w:r>
            <w:r>
              <w:rPr>
                <w:rFonts w:hint="eastAsia" w:ascii="宋体" w:hAnsi="宋体"/>
                <w:bCs/>
                <w:color w:val="auto"/>
                <w:sz w:val="24"/>
                <w:highlight w:val="none"/>
              </w:rPr>
              <w:t>条件后7个工作日内支付合同价款的</w:t>
            </w:r>
            <w:r>
              <w:rPr>
                <w:rFonts w:hint="eastAsia" w:ascii="宋体" w:hAnsi="宋体"/>
                <w:bCs/>
                <w:color w:val="auto"/>
                <w:sz w:val="24"/>
                <w:highlight w:val="none"/>
                <w:lang w:val="en-US" w:eastAsia="zh-CN"/>
              </w:rPr>
              <w:t>4</w:t>
            </w:r>
            <w:r>
              <w:rPr>
                <w:rFonts w:hint="eastAsia" w:ascii="宋体" w:hAnsi="宋体"/>
                <w:bCs/>
                <w:color w:val="auto"/>
                <w:sz w:val="24"/>
                <w:highlight w:val="none"/>
              </w:rPr>
              <w:t>0%（采购人根据项目特点、供应商诚信等因素，可以要求中标人提交预付款保函），设备安装调试完成、验收合格后支付至</w:t>
            </w:r>
            <w:r>
              <w:rPr>
                <w:rFonts w:ascii="宋体" w:hAnsi="宋体"/>
                <w:bCs/>
                <w:color w:val="auto"/>
                <w:sz w:val="24"/>
                <w:highlight w:val="none"/>
              </w:rPr>
              <w:t>合同</w:t>
            </w:r>
            <w:r>
              <w:rPr>
                <w:rFonts w:hint="eastAsia" w:ascii="宋体" w:hAnsi="宋体"/>
                <w:bCs/>
                <w:color w:val="auto"/>
                <w:sz w:val="24"/>
                <w:highlight w:val="none"/>
                <w:lang w:eastAsia="zh-CN"/>
              </w:rPr>
              <w:t>价款的</w:t>
            </w:r>
            <w:r>
              <w:rPr>
                <w:rFonts w:hint="eastAsia" w:ascii="宋体" w:hAnsi="宋体"/>
                <w:bCs/>
                <w:color w:val="auto"/>
                <w:sz w:val="24"/>
                <w:highlight w:val="none"/>
                <w:lang w:val="en-US" w:eastAsia="zh-CN"/>
              </w:rPr>
              <w:t>100%</w:t>
            </w:r>
            <w:r>
              <w:rPr>
                <w:rFonts w:hint="eastAsia" w:ascii="宋体" w:hAnsi="宋体"/>
                <w:bCs/>
                <w:color w:val="auto"/>
                <w:sz w:val="24"/>
                <w:highlight w:val="none"/>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2732" w:type="dxa"/>
            <w:tcBorders>
              <w:top w:val="double" w:color="auto" w:sz="4" w:space="0"/>
              <w:left w:val="double" w:color="auto" w:sz="4" w:space="0"/>
              <w:bottom w:val="double" w:color="auto" w:sz="4" w:space="0"/>
              <w:right w:val="double" w:color="auto" w:sz="4" w:space="0"/>
            </w:tcBorders>
            <w:noWrap w:val="0"/>
            <w:vAlign w:val="center"/>
          </w:tcPr>
          <w:p>
            <w:pPr>
              <w:snapToGrid w:val="0"/>
              <w:spacing w:before="120" w:beforeLines="50" w:after="120" w:afterLines="50" w:line="360" w:lineRule="auto"/>
              <w:jc w:val="center"/>
              <w:rPr>
                <w:rFonts w:hint="eastAsia" w:ascii="宋体" w:hAnsi="宋体" w:eastAsia="宋体"/>
                <w:color w:val="auto"/>
                <w:sz w:val="24"/>
                <w:highlight w:val="none"/>
                <w:lang w:eastAsia="zh-CN"/>
              </w:rPr>
            </w:pPr>
            <w:bookmarkStart w:id="27" w:name="_Toc404778655"/>
            <w:bookmarkStart w:id="28" w:name="_Toc404778376"/>
            <w:bookmarkStart w:id="29" w:name="_Toc404778593"/>
            <w:bookmarkStart w:id="30" w:name="_Toc508353617"/>
            <w:r>
              <w:rPr>
                <w:rFonts w:hint="eastAsia" w:ascii="宋体" w:hAnsi="宋体"/>
                <w:color w:val="auto"/>
                <w:sz w:val="24"/>
                <w:highlight w:val="none"/>
                <w:lang w:eastAsia="zh-CN"/>
              </w:rPr>
              <w:t>六、技术资料</w:t>
            </w:r>
          </w:p>
        </w:tc>
        <w:tc>
          <w:tcPr>
            <w:tcW w:w="7204" w:type="dxa"/>
            <w:tcBorders>
              <w:top w:val="double" w:color="auto" w:sz="4" w:space="0"/>
              <w:left w:val="double" w:color="auto" w:sz="4" w:space="0"/>
              <w:bottom w:val="double" w:color="auto" w:sz="4" w:space="0"/>
              <w:right w:val="double" w:color="auto" w:sz="4" w:space="0"/>
            </w:tcBorders>
            <w:noWrap w:val="0"/>
            <w:vAlign w:val="center"/>
          </w:tcPr>
          <w:p>
            <w:pPr>
              <w:spacing w:line="360" w:lineRule="auto"/>
              <w:rPr>
                <w:rFonts w:hint="eastAsia" w:ascii="宋体" w:hAnsi="宋体"/>
                <w:b/>
                <w:bCs w:val="0"/>
                <w:color w:val="auto"/>
                <w:sz w:val="24"/>
                <w:highlight w:val="none"/>
              </w:rPr>
            </w:pPr>
            <w:r>
              <w:rPr>
                <w:rFonts w:ascii="宋体" w:hAnsi="宋体"/>
                <w:color w:val="auto"/>
                <w:sz w:val="24"/>
                <w:highlight w:val="none"/>
              </w:rPr>
              <w:t>提供完整的技术资料，包括操作手册、维修手册、软件手册等，同时应提供设备出厂检验报告和质量合格证书等及电子版的操作规程。</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40" w:hRule="atLeast"/>
          <w:jc w:val="center"/>
        </w:trPr>
        <w:tc>
          <w:tcPr>
            <w:tcW w:w="2732" w:type="dxa"/>
            <w:tcBorders>
              <w:top w:val="double" w:color="auto" w:sz="4" w:space="0"/>
              <w:left w:val="double" w:color="auto" w:sz="4" w:space="0"/>
              <w:bottom w:val="double" w:color="auto" w:sz="4" w:space="0"/>
              <w:right w:val="double" w:color="auto" w:sz="4" w:space="0"/>
            </w:tcBorders>
            <w:noWrap w:val="0"/>
            <w:vAlign w:val="center"/>
          </w:tcPr>
          <w:p>
            <w:pPr>
              <w:snapToGrid w:val="0"/>
              <w:spacing w:before="120" w:beforeLines="50" w:after="120" w:afterLines="50" w:line="360" w:lineRule="auto"/>
              <w:jc w:val="center"/>
              <w:rPr>
                <w:rFonts w:ascii="宋体" w:hAnsi="宋体"/>
                <w:color w:val="auto"/>
                <w:sz w:val="24"/>
                <w:highlight w:val="none"/>
              </w:rPr>
            </w:pPr>
            <w:r>
              <w:rPr>
                <w:rFonts w:hint="eastAsia" w:ascii="宋体" w:hAnsi="宋体"/>
                <w:color w:val="auto"/>
                <w:sz w:val="24"/>
                <w:highlight w:val="none"/>
                <w:lang w:eastAsia="zh-CN"/>
              </w:rPr>
              <w:t>七</w:t>
            </w:r>
            <w:r>
              <w:rPr>
                <w:rFonts w:hint="eastAsia" w:ascii="宋体" w:hAnsi="宋体"/>
                <w:color w:val="auto"/>
                <w:sz w:val="24"/>
                <w:highlight w:val="none"/>
              </w:rPr>
              <w:t>、安装</w:t>
            </w:r>
            <w:bookmarkEnd w:id="27"/>
            <w:bookmarkEnd w:id="28"/>
            <w:bookmarkEnd w:id="29"/>
            <w:bookmarkEnd w:id="30"/>
          </w:p>
        </w:tc>
        <w:tc>
          <w:tcPr>
            <w:tcW w:w="7204" w:type="dxa"/>
            <w:tcBorders>
              <w:top w:val="double" w:color="auto" w:sz="4" w:space="0"/>
              <w:left w:val="double" w:color="auto" w:sz="4" w:space="0"/>
              <w:bottom w:val="double" w:color="auto" w:sz="4" w:space="0"/>
              <w:right w:val="double" w:color="auto" w:sz="4"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中标人及时提供有关的安装调试、检测验收、运行维护、维修等相应全过程服务。安装必须符合合同要求和国家有关的技术规范及标准。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2732" w:type="dxa"/>
            <w:tcBorders>
              <w:top w:val="double" w:color="auto" w:sz="4" w:space="0"/>
              <w:left w:val="double" w:color="auto" w:sz="4" w:space="0"/>
              <w:bottom w:val="double" w:color="auto" w:sz="4" w:space="0"/>
              <w:right w:val="double" w:color="auto" w:sz="4" w:space="0"/>
            </w:tcBorders>
            <w:noWrap w:val="0"/>
            <w:vAlign w:val="center"/>
          </w:tcPr>
          <w:p>
            <w:pPr>
              <w:snapToGrid w:val="0"/>
              <w:spacing w:before="120" w:beforeLines="50" w:after="120" w:afterLines="50" w:line="360" w:lineRule="auto"/>
              <w:jc w:val="center"/>
              <w:rPr>
                <w:rFonts w:ascii="宋体" w:hAnsi="宋体"/>
                <w:color w:val="auto"/>
                <w:sz w:val="24"/>
                <w:highlight w:val="none"/>
              </w:rPr>
            </w:pPr>
            <w:bookmarkStart w:id="31" w:name="_Toc404778594"/>
            <w:bookmarkStart w:id="32" w:name="_Toc404778377"/>
            <w:bookmarkStart w:id="33" w:name="_Toc404778656"/>
            <w:bookmarkStart w:id="34" w:name="_Toc508353618"/>
            <w:r>
              <w:rPr>
                <w:rFonts w:hint="eastAsia" w:ascii="宋体" w:hAnsi="宋体"/>
                <w:color w:val="auto"/>
                <w:sz w:val="24"/>
                <w:highlight w:val="none"/>
                <w:lang w:eastAsia="zh-CN"/>
              </w:rPr>
              <w:t>八</w:t>
            </w:r>
            <w:r>
              <w:rPr>
                <w:rFonts w:hint="eastAsia" w:ascii="宋体" w:hAnsi="宋体"/>
                <w:color w:val="auto"/>
                <w:sz w:val="24"/>
                <w:highlight w:val="none"/>
              </w:rPr>
              <w:t>、培训</w:t>
            </w:r>
            <w:bookmarkEnd w:id="31"/>
            <w:bookmarkEnd w:id="32"/>
            <w:bookmarkEnd w:id="33"/>
            <w:bookmarkEnd w:id="34"/>
          </w:p>
        </w:tc>
        <w:tc>
          <w:tcPr>
            <w:tcW w:w="7204" w:type="dxa"/>
            <w:tcBorders>
              <w:top w:val="double" w:color="auto" w:sz="4" w:space="0"/>
              <w:left w:val="double" w:color="auto" w:sz="4" w:space="0"/>
              <w:bottom w:val="double" w:color="auto" w:sz="4" w:space="0"/>
              <w:right w:val="double" w:color="auto" w:sz="4"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中标人必须提供就设备的操作、安装、启动、调试、运行、维护和修理对采购方操作人员进行培训，并向培训人员提供维修所需的特殊工具、口令、图纸及维修手册。提供详细的操作和维护软件。</w:t>
            </w:r>
          </w:p>
          <w:p>
            <w:pPr>
              <w:spacing w:line="360" w:lineRule="auto"/>
              <w:rPr>
                <w:rFonts w:ascii="宋体" w:hAnsi="宋体"/>
                <w:color w:val="auto"/>
                <w:sz w:val="24"/>
                <w:highlight w:val="none"/>
              </w:rPr>
            </w:pPr>
            <w:r>
              <w:rPr>
                <w:rFonts w:hint="eastAsia" w:ascii="宋体" w:hAnsi="宋体"/>
                <w:color w:val="auto"/>
                <w:sz w:val="24"/>
                <w:highlight w:val="none"/>
              </w:rPr>
              <w:t>培训计划须包括计划</w:t>
            </w:r>
            <w:r>
              <w:rPr>
                <w:rFonts w:hint="eastAsia" w:ascii="宋体" w:hAnsi="宋体" w:cs="宋体"/>
                <w:color w:val="auto"/>
                <w:kern w:val="0"/>
                <w:sz w:val="24"/>
                <w:highlight w:val="none"/>
              </w:rPr>
              <w:t>培训的人数、时间、地点</w:t>
            </w:r>
            <w:r>
              <w:rPr>
                <w:rFonts w:hint="eastAsia" w:ascii="宋体" w:hAnsi="宋体"/>
                <w:color w:val="auto"/>
                <w:sz w:val="24"/>
                <w:highlight w:val="none"/>
              </w:rPr>
              <w:t>，所有的培训费用必须计入投标总价。</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2732" w:type="dxa"/>
            <w:vMerge w:val="restart"/>
            <w:tcBorders>
              <w:top w:val="double" w:color="auto" w:sz="4" w:space="0"/>
              <w:left w:val="double" w:color="auto" w:sz="4" w:space="0"/>
              <w:right w:val="double" w:color="auto" w:sz="4" w:space="0"/>
            </w:tcBorders>
            <w:noWrap w:val="0"/>
            <w:vAlign w:val="center"/>
          </w:tcPr>
          <w:p>
            <w:pPr>
              <w:snapToGrid w:val="0"/>
              <w:spacing w:before="120" w:beforeLines="50" w:after="120" w:afterLines="50" w:line="360" w:lineRule="auto"/>
              <w:jc w:val="center"/>
              <w:rPr>
                <w:rFonts w:hint="eastAsia" w:ascii="宋体" w:hAnsi="宋体"/>
                <w:color w:val="auto"/>
                <w:sz w:val="24"/>
                <w:highlight w:val="none"/>
              </w:rPr>
            </w:pPr>
            <w:r>
              <w:rPr>
                <w:rFonts w:hint="eastAsia" w:ascii="宋体" w:hAnsi="宋体"/>
                <w:color w:val="auto"/>
                <w:sz w:val="24"/>
                <w:highlight w:val="none"/>
                <w:lang w:eastAsia="zh-CN"/>
              </w:rPr>
              <w:t>九</w:t>
            </w:r>
            <w:r>
              <w:rPr>
                <w:rFonts w:hint="eastAsia" w:ascii="宋体" w:hAnsi="宋体"/>
                <w:color w:val="auto"/>
                <w:sz w:val="24"/>
                <w:highlight w:val="none"/>
              </w:rPr>
              <w:t>、</w:t>
            </w:r>
            <w:r>
              <w:rPr>
                <w:rFonts w:hint="eastAsia" w:hAnsi="宋体"/>
                <w:color w:val="auto"/>
                <w:sz w:val="24"/>
                <w:highlight w:val="none"/>
              </w:rPr>
              <w:t>验收</w:t>
            </w:r>
          </w:p>
        </w:tc>
        <w:tc>
          <w:tcPr>
            <w:tcW w:w="7204" w:type="dxa"/>
            <w:tcBorders>
              <w:top w:val="double" w:color="auto" w:sz="4" w:space="0"/>
              <w:left w:val="double" w:color="auto" w:sz="4" w:space="0"/>
              <w:bottom w:val="double" w:color="auto" w:sz="4" w:space="0"/>
              <w:right w:val="doub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项目设备安装调试，采购人将按规定对货物的品牌、外观、规格、参数配置、数量、配件及安装调试后的使用性能、运行状况、技术资料及其他进行验收，中标人必须在验收现场提供必要的技术支持，验收费用由中标人承担。</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2732" w:type="dxa"/>
            <w:vMerge w:val="continue"/>
            <w:tcBorders>
              <w:left w:val="double" w:color="auto" w:sz="4" w:space="0"/>
              <w:right w:val="double" w:color="auto" w:sz="4" w:space="0"/>
            </w:tcBorders>
            <w:noWrap w:val="0"/>
            <w:vAlign w:val="center"/>
          </w:tcPr>
          <w:p>
            <w:pPr>
              <w:snapToGrid w:val="0"/>
              <w:spacing w:before="120" w:beforeLines="50" w:after="120" w:afterLines="50" w:line="360" w:lineRule="auto"/>
              <w:jc w:val="center"/>
              <w:rPr>
                <w:rFonts w:hint="eastAsia" w:hAnsi="宋体"/>
                <w:color w:val="auto"/>
                <w:sz w:val="24"/>
                <w:highlight w:val="none"/>
              </w:rPr>
            </w:pPr>
          </w:p>
        </w:tc>
        <w:tc>
          <w:tcPr>
            <w:tcW w:w="7204" w:type="dxa"/>
            <w:tcBorders>
              <w:top w:val="double" w:color="auto" w:sz="4" w:space="0"/>
              <w:left w:val="double" w:color="auto" w:sz="4" w:space="0"/>
              <w:bottom w:val="double" w:color="auto" w:sz="4" w:space="0"/>
              <w:right w:val="doub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如发生所供设备与招标文件中规定的设备不符，由此产生的一切责任和后果由中标人承担，采购方有权要求中标人赔偿相关损失。</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2732" w:type="dxa"/>
            <w:vMerge w:val="continue"/>
            <w:tcBorders>
              <w:left w:val="double" w:color="auto" w:sz="4" w:space="0"/>
              <w:bottom w:val="double" w:color="auto" w:sz="4" w:space="0"/>
              <w:right w:val="double" w:color="auto" w:sz="4" w:space="0"/>
            </w:tcBorders>
            <w:noWrap w:val="0"/>
            <w:vAlign w:val="center"/>
          </w:tcPr>
          <w:p>
            <w:pPr>
              <w:snapToGrid w:val="0"/>
              <w:spacing w:before="120" w:beforeLines="50" w:after="120" w:afterLines="50" w:line="360" w:lineRule="auto"/>
              <w:jc w:val="center"/>
              <w:rPr>
                <w:rFonts w:hint="eastAsia" w:hAnsi="宋体"/>
                <w:color w:val="auto"/>
                <w:sz w:val="24"/>
                <w:highlight w:val="none"/>
              </w:rPr>
            </w:pPr>
          </w:p>
        </w:tc>
        <w:tc>
          <w:tcPr>
            <w:tcW w:w="7204" w:type="dxa"/>
            <w:tcBorders>
              <w:top w:val="double" w:color="auto" w:sz="4" w:space="0"/>
              <w:left w:val="double" w:color="auto" w:sz="4" w:space="0"/>
              <w:bottom w:val="double" w:color="auto" w:sz="4" w:space="0"/>
              <w:right w:val="doub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质量符合国际或国家通用标准，满足招标文件技术标准部分所规定的全部功能。如出现质量问题或系假冒伪劣产品，中标人负责包退、包换，因此而涉及的全部违约责任和费用由中标人承担。</w:t>
            </w:r>
          </w:p>
        </w:tc>
      </w:tr>
    </w:tbl>
    <w:p>
      <w:pPr>
        <w:pStyle w:val="16"/>
        <w:rPr>
          <w:rFonts w:hint="eastAsia"/>
          <w:color w:val="auto"/>
          <w:highlight w:val="none"/>
          <w:lang w:eastAsia="zh-CN"/>
        </w:rPr>
      </w:pPr>
    </w:p>
    <w:bookmarkEnd w:id="10"/>
    <w:p>
      <w:pPr>
        <w:pStyle w:val="3"/>
        <w:keepNext w:val="0"/>
        <w:keepLines w:val="0"/>
        <w:pageBreakBefore/>
        <w:spacing w:line="240" w:lineRule="auto"/>
        <w:jc w:val="center"/>
        <w:rPr>
          <w:rFonts w:hint="eastAsia" w:ascii="宋体" w:hAnsi="宋体" w:eastAsia="宋体" w:cs="宋体"/>
          <w:color w:val="auto"/>
          <w:kern w:val="0"/>
          <w:sz w:val="24"/>
          <w:szCs w:val="24"/>
          <w:highlight w:val="none"/>
        </w:rPr>
      </w:pPr>
      <w:bookmarkStart w:id="35" w:name="_Toc181"/>
      <w:r>
        <w:rPr>
          <w:rFonts w:hint="eastAsia" w:ascii="宋体" w:hAnsi="宋体" w:eastAsia="宋体" w:cs="宋体"/>
          <w:color w:val="auto"/>
          <w:sz w:val="24"/>
          <w:szCs w:val="24"/>
          <w:highlight w:val="none"/>
        </w:rPr>
        <w:t>第三章   投标人须知</w:t>
      </w:r>
      <w:bookmarkEnd w:id="35"/>
    </w:p>
    <w:p>
      <w:pPr>
        <w:pStyle w:val="20"/>
        <w:snapToGrid w:val="0"/>
        <w:spacing w:before="120" w:after="120"/>
        <w:ind w:firstLine="472" w:firstLineChars="196"/>
        <w:jc w:val="center"/>
        <w:outlineLvl w:val="1"/>
        <w:rPr>
          <w:rFonts w:hint="eastAsia" w:ascii="宋体" w:hAnsi="宋体" w:eastAsia="宋体" w:cs="宋体"/>
          <w:b/>
          <w:color w:val="auto"/>
          <w:szCs w:val="24"/>
          <w:highlight w:val="none"/>
        </w:rPr>
      </w:pPr>
      <w:bookmarkStart w:id="36" w:name="_Toc28317"/>
      <w:r>
        <w:rPr>
          <w:rFonts w:hint="eastAsia" w:ascii="宋体" w:hAnsi="宋体" w:eastAsia="宋体" w:cs="宋体"/>
          <w:b/>
          <w:color w:val="auto"/>
          <w:szCs w:val="24"/>
          <w:highlight w:val="none"/>
        </w:rPr>
        <w:t>前附表</w:t>
      </w:r>
      <w:bookmarkEnd w:id="36"/>
    </w:p>
    <w:tbl>
      <w:tblPr>
        <w:tblStyle w:val="36"/>
        <w:tblW w:w="98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0"/>
        <w:gridCol w:w="4"/>
        <w:gridCol w:w="8851"/>
        <w:gridCol w:w="1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94" w:type="dxa"/>
          <w:trHeight w:val="364"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88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94" w:type="dxa"/>
          <w:trHeight w:val="721"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88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b/>
                <w:bCs/>
                <w:color w:val="auto"/>
                <w:sz w:val="24"/>
                <w:highlight w:val="none"/>
                <w:lang w:eastAsia="zh-CN"/>
              </w:rPr>
            </w:pPr>
            <w:r>
              <w:rPr>
                <w:rFonts w:hint="eastAsia" w:ascii="宋体" w:hAnsi="宋体" w:eastAsia="宋体" w:cs="宋体"/>
                <w:color w:val="auto"/>
                <w:sz w:val="24"/>
                <w:highlight w:val="none"/>
              </w:rPr>
              <w:t>项目名称：</w:t>
            </w:r>
            <w:r>
              <w:rPr>
                <w:rFonts w:hint="eastAsia" w:ascii="宋体" w:hAnsi="宋体" w:cs="宋体"/>
                <w:color w:val="auto"/>
                <w:sz w:val="24"/>
                <w:highlight w:val="none"/>
                <w:lang w:eastAsia="zh-CN"/>
              </w:rPr>
              <w:t>东阳市人民医院中心监护系统、监护仪、麻醉监护仪、呼吸机设备采购项目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94" w:type="dxa"/>
          <w:trHeight w:val="1077"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88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投标报价及费用：1、本项目投标应以</w:t>
            </w:r>
            <w:r>
              <w:rPr>
                <w:rFonts w:hint="eastAsia" w:ascii="宋体" w:hAnsi="宋体" w:cs="宋体"/>
                <w:color w:val="auto"/>
                <w:sz w:val="24"/>
                <w:highlight w:val="none"/>
                <w:lang w:val="en-US" w:eastAsia="zh-CN"/>
              </w:rPr>
              <w:t>人民币</w:t>
            </w:r>
            <w:r>
              <w:rPr>
                <w:rFonts w:hint="eastAsia" w:ascii="宋体" w:hAnsi="宋体" w:eastAsia="宋体" w:cs="宋体"/>
                <w:color w:val="auto"/>
                <w:sz w:val="24"/>
                <w:highlight w:val="none"/>
              </w:rPr>
              <w:t>报价；2、不论投标结果如何，投标人均应自行承担所有与投标有关的全部费用；3、投标费用：东阳市鑫盛工程咨询有限公司按照本招标文件总则第（五）条规定向中标人收取中标服务费。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94" w:type="dxa"/>
          <w:trHeight w:val="1077"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val="0"/>
              <w:spacing w:line="42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3</w:t>
            </w:r>
          </w:p>
        </w:tc>
        <w:tc>
          <w:tcPr>
            <w:tcW w:w="8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val="0"/>
              <w:spacing w:line="420" w:lineRule="exact"/>
              <w:rPr>
                <w:rFonts w:hint="eastAsia" w:ascii="宋体" w:hAnsi="宋体" w:eastAsia="宋体" w:cs="宋体"/>
                <w:color w:val="auto"/>
                <w:kern w:val="2"/>
                <w:sz w:val="24"/>
                <w:szCs w:val="24"/>
                <w:highlight w:val="none"/>
                <w:lang w:val="en-US" w:eastAsia="zh-CN" w:bidi="ar-SA"/>
              </w:rPr>
            </w:pPr>
            <w:r>
              <w:rPr>
                <w:rFonts w:hint="eastAsia" w:ascii="宋体" w:hAnsi="宋体" w:cs="宋体"/>
                <w:b/>
                <w:bCs/>
                <w:color w:val="auto"/>
                <w:sz w:val="24"/>
                <w:szCs w:val="24"/>
                <w:highlight w:val="none"/>
              </w:rPr>
              <w:t>根据《政府采购促进中小企业管理办法》及《关于印发中小企业划型标准规定的通</w:t>
            </w:r>
            <w:r>
              <w:rPr>
                <w:rFonts w:hint="eastAsia" w:ascii="宋体" w:hAnsi="宋体" w:cs="宋体"/>
                <w:b/>
                <w:bCs/>
                <w:color w:val="auto"/>
                <w:sz w:val="24"/>
                <w:szCs w:val="24"/>
                <w:highlight w:val="none"/>
                <w:shd w:val="clear"/>
              </w:rPr>
              <w:t>知工信部联企业》（〔2011〕300号）有关规定，本采购标的对应的所属行业为</w:t>
            </w:r>
            <w:r>
              <w:rPr>
                <w:rFonts w:hint="eastAsia" w:ascii="宋体" w:hAnsi="宋体" w:cs="宋体"/>
                <w:b/>
                <w:bCs/>
                <w:color w:val="auto"/>
                <w:sz w:val="24"/>
                <w:szCs w:val="24"/>
                <w:highlight w:val="none"/>
                <w:shd w:val="clear"/>
                <w:lang w:eastAsia="zh-CN"/>
              </w:rPr>
              <w:t>：</w:t>
            </w:r>
            <w:r>
              <w:rPr>
                <w:rFonts w:hint="eastAsia" w:ascii="宋体" w:hAnsi="宋体" w:cs="宋体"/>
                <w:b/>
                <w:bCs/>
                <w:color w:val="auto"/>
                <w:sz w:val="24"/>
                <w:szCs w:val="24"/>
                <w:highlight w:val="none"/>
                <w:shd w:val="clear"/>
                <w:lang w:val="en-US" w:eastAsia="zh-CN"/>
              </w:rPr>
              <w:t>制造业。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val="0"/>
              <w:spacing w:line="420" w:lineRule="exact"/>
              <w:jc w:val="center"/>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根据《关于在政府采购活动中查询及使用信用记录有关问题的通知》财库[2016]125号的规定：</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采购人</w:t>
            </w:r>
            <w:r>
              <w:rPr>
                <w:rFonts w:hint="eastAsia" w:ascii="宋体" w:hAnsi="宋体" w:eastAsia="宋体" w:cs="宋体"/>
                <w:color w:val="000000" w:themeColor="text1"/>
                <w:sz w:val="24"/>
                <w:highlight w:val="none"/>
                <w14:textFill>
                  <w14:solidFill>
                    <w14:schemeClr w14:val="tx1"/>
                  </w14:solidFill>
                </w14:textFill>
              </w:rPr>
              <w:t>或采购代理机构将对本项目供应商的信用记录进行查询。查询渠道为信用中国网站（www.creditchina.gov.cn）、中国政府采购网（www.ccgp.gov.cn）；</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（2）截止时点：提交投标文件（响应文件）截止时间前3年内；</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（3）查询记录和证据的留存：信用信息查询记录和证据以网页截图等方式留存。</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60" w:lineRule="auto"/>
              <w:rPr>
                <w:rFonts w:hint="eastAsia" w:ascii="宋体" w:hAnsi="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答疑与澄清：投标人如认为招标文件表述不清晰、存在歧视性、排他性或者其他违法内容的，应当按照公开招标公告第</w:t>
            </w:r>
            <w:r>
              <w:rPr>
                <w:rFonts w:hint="eastAsia" w:ascii="宋体" w:hAnsi="宋体" w:eastAsia="宋体" w:cs="宋体"/>
                <w:color w:val="000000" w:themeColor="text1"/>
                <w:sz w:val="24"/>
                <w:highlight w:val="none"/>
                <w:lang w:eastAsia="zh-CN"/>
                <w14:textFill>
                  <w14:solidFill>
                    <w14:schemeClr w14:val="tx1"/>
                  </w14:solidFill>
                </w14:textFill>
              </w:rPr>
              <w:t>三、</w:t>
            </w:r>
            <w:r>
              <w:rPr>
                <w:rFonts w:hint="eastAsia" w:ascii="宋体" w:hAnsi="宋体" w:cs="宋体"/>
                <w:color w:val="000000" w:themeColor="text1"/>
                <w:sz w:val="24"/>
                <w:highlight w:val="none"/>
                <w:lang w:val="en-US" w:eastAsia="zh-CN"/>
                <w14:textFill>
                  <w14:solidFill>
                    <w14:schemeClr w14:val="tx1"/>
                  </w14:solidFill>
                </w14:textFill>
              </w:rPr>
              <w:t>七</w:t>
            </w:r>
            <w:r>
              <w:rPr>
                <w:rFonts w:hint="eastAsia" w:ascii="宋体" w:hAnsi="宋体" w:eastAsia="宋体" w:cs="宋体"/>
                <w:color w:val="000000" w:themeColor="text1"/>
                <w:sz w:val="24"/>
                <w:highlight w:val="none"/>
                <w14:textFill>
                  <w14:solidFill>
                    <w14:schemeClr w14:val="tx1"/>
                  </w14:solidFill>
                </w14:textFill>
              </w:rPr>
              <w:t>条规定以书面形式要求招标方作出书面解释、澄清或者向招标方提出书面质疑；</w:t>
            </w:r>
            <w:r>
              <w:rPr>
                <w:rFonts w:hint="eastAsia" w:ascii="宋体" w:hAnsi="宋体" w:eastAsia="宋体" w:cs="宋体"/>
                <w:b/>
                <w:color w:val="000000" w:themeColor="text1"/>
                <w:sz w:val="24"/>
                <w:highlight w:val="none"/>
                <w14:textFill>
                  <w14:solidFill>
                    <w14:schemeClr w14:val="tx1"/>
                  </w14:solidFill>
                </w14:textFill>
              </w:rPr>
              <w:t>在质疑截止时间前，未对招标文件提出质疑时，视投标人对招标文件的默认；</w:t>
            </w:r>
            <w:r>
              <w:rPr>
                <w:rFonts w:hint="eastAsia" w:ascii="宋体" w:hAnsi="宋体" w:eastAsia="宋体" w:cs="宋体"/>
                <w:color w:val="000000" w:themeColor="text1"/>
                <w:sz w:val="24"/>
                <w:highlight w:val="none"/>
                <w14:textFill>
                  <w14:solidFill>
                    <w14:schemeClr w14:val="tx1"/>
                  </w14:solidFill>
                </w14:textFill>
              </w:rPr>
              <w:t>招标采购单位对已发出的招标文件进行必要澄清、答复、修改或者补充的，在财政部门指定的政府采购信息发布媒体上发布更正公告，并以书面形式通知所有已获取招标文件的投标人；答疑内容是招标文件的组成部分；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6</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投标文件的递交：</w:t>
            </w:r>
          </w:p>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本项目投标文件由资格审查文件、商务技术文件和报价文件三部分组成。投标人应按以下方式递交投标文件：</w:t>
            </w:r>
          </w:p>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auto"/>
                <w:sz w:val="24"/>
                <w:highlight w:val="none"/>
              </w:rPr>
              <w:t>▲</w:t>
            </w:r>
            <w:r>
              <w:rPr>
                <w:rFonts w:hint="eastAsia" w:ascii="宋体" w:hAnsi="宋体" w:eastAsia="宋体" w:cs="宋体"/>
                <w:color w:val="000000" w:themeColor="text1"/>
                <w:sz w:val="24"/>
                <w:highlight w:val="none"/>
                <w14:textFill>
                  <w14:solidFill>
                    <w14:schemeClr w14:val="tx1"/>
                  </w14:solidFill>
                </w14:textFill>
              </w:rPr>
              <w:t>1、本项目实行“网上投标、电子评标”，投标人应于投标截止时间前在“政采云”（电子交易平台）上传输、递交电子版投标文件（包括资格审查文件、商务技术文件和报价文件）；</w:t>
            </w:r>
          </w:p>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为了避免由于电子交易平台无法正常运行等技术、安全故障原因造成投标文件无法解密或解密失败，导致投标无效的情况，投标人可以在投标截止时间前将电子备份投标文件（经政采云电子交易客户端和CA驱动制作出的后缀名为“bfbs”的加密电子备份投标文件）发送至东阳市鑫盛工程咨询有限公司邮箱：1816352277@qq.com，逾期发送或发错后缀名的备份投标文件将被视为无效；</w:t>
            </w:r>
          </w:p>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3、投标人仅提交电子备份投标文件的，投标无效；</w:t>
            </w:r>
          </w:p>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4、本项目不强制投标人提交电子备份投标文件；如在开评标时出现电子投标文件无法解密或解密失败等情况，因投标人未提供电子备份投标文件而造成投标无效等一切后果和风险由投标人自行承担。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7</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Cs/>
                <w:color w:val="000000" w:themeColor="text1"/>
                <w:sz w:val="24"/>
                <w:highlight w:val="none"/>
                <w:u w:val="single"/>
                <w:lang w:eastAsia="zh-CN"/>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投标截止时间：</w:t>
            </w:r>
            <w:r>
              <w:rPr>
                <w:rFonts w:hint="eastAsia" w:ascii="宋体" w:hAnsi="宋体" w:cs="宋体"/>
                <w:color w:val="000000" w:themeColor="text1"/>
                <w:sz w:val="24"/>
                <w:highlight w:val="none"/>
                <w:lang w:eastAsia="zh-CN"/>
                <w14:textFill>
                  <w14:solidFill>
                    <w14:schemeClr w14:val="tx1"/>
                  </w14:solidFill>
                </w14:textFill>
              </w:rPr>
              <w:t>2022年</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9</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lang w:eastAsia="zh-CN"/>
              </w:rPr>
              <w:t>分</w:t>
            </w:r>
          </w:p>
          <w:p>
            <w:pPr>
              <w:pStyle w:val="20"/>
              <w:spacing w:line="360" w:lineRule="auto"/>
              <w:rPr>
                <w:rFonts w:hint="eastAsia" w:ascii="宋体" w:hAnsi="宋体" w:eastAsia="宋体" w:cs="宋体"/>
                <w:bCs/>
                <w:color w:val="000000" w:themeColor="text1"/>
                <w:szCs w:val="24"/>
                <w:highlight w:val="none"/>
                <w14:textFill>
                  <w14:solidFill>
                    <w14:schemeClr w14:val="tx1"/>
                  </w14:solidFill>
                </w14:textFill>
              </w:rPr>
            </w:pPr>
            <w:r>
              <w:rPr>
                <w:rFonts w:hint="eastAsia" w:ascii="宋体" w:hAnsi="宋体" w:eastAsia="宋体" w:cs="宋体"/>
                <w:bCs/>
                <w:color w:val="000000" w:themeColor="text1"/>
                <w:szCs w:val="24"/>
                <w:highlight w:val="none"/>
                <w14:textFill>
                  <w14:solidFill>
                    <w14:schemeClr w14:val="tx1"/>
                  </w14:solidFill>
                </w14:textFill>
              </w:rPr>
              <w:t>1、投标人应当在投标截止时间前在“政采云”（电子交易平台）上自行上传加密的电子投标文件。投标截止时间前未完成传输的，视为撤回电子投标文件。投标截止时间后递交的电子投标文件，将被政采云平台拒收。</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2、电子备份投标文件的递交时间：投标人应当在投标截止时间前，逾期未递交的视为自动放弃。</w:t>
            </w:r>
          </w:p>
          <w:p>
            <w:pPr>
              <w:pStyle w:val="20"/>
              <w:spacing w:line="360" w:lineRule="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Cs/>
                <w:color w:val="000000" w:themeColor="text1"/>
                <w:szCs w:val="24"/>
                <w:highlight w:val="none"/>
                <w14:textFill>
                  <w14:solidFill>
                    <w14:schemeClr w14:val="tx1"/>
                  </w14:solidFill>
                </w14:textFill>
              </w:rPr>
              <w:t>3、投标人应当在投标截止时间前完成投标准备事宜（应具备上网的技术条件并保持网络及联系方式畅通）及电子投标文件的传输递交，可以补充、修改或者撤回电子投标文件。补充或者修改电子投标文件的，应当先行撤回原文件，补充、修改后重新传输递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开标时间：</w:t>
            </w:r>
            <w:r>
              <w:rPr>
                <w:rFonts w:hint="eastAsia" w:ascii="宋体" w:hAnsi="宋体" w:cs="宋体"/>
                <w:color w:val="000000" w:themeColor="text1"/>
                <w:sz w:val="24"/>
                <w:highlight w:val="none"/>
                <w:lang w:eastAsia="zh-CN"/>
                <w14:textFill>
                  <w14:solidFill>
                    <w14:schemeClr w14:val="tx1"/>
                  </w14:solidFill>
                </w14:textFill>
              </w:rPr>
              <w:t>2022年</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9</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lang w:eastAsia="zh-CN"/>
              </w:rPr>
              <w:t>分</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不要求投标人到开标现场开标，但投标人应派法定代表人或委托代理人【委托代理人应当是投标人的在职正式职工（以投标人本单位缴纳社保花名册为准）】准时在线出席电子开标会议，随时关注开标进度，如在开标过程中有电子询标，应在规定的时间内对电子询标函进行澄清回复。</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9</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10</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bookmarkStart w:id="37" w:name="_Toc457480905"/>
            <w:r>
              <w:rPr>
                <w:rFonts w:hint="eastAsia" w:ascii="宋体" w:hAnsi="宋体" w:eastAsia="宋体" w:cs="宋体"/>
                <w:color w:val="000000" w:themeColor="text1"/>
                <w:sz w:val="24"/>
                <w:highlight w:val="none"/>
                <w14:textFill>
                  <w14:solidFill>
                    <w14:schemeClr w14:val="tx1"/>
                  </w14:solidFill>
                </w14:textFill>
              </w:rPr>
              <w:t>中标结果公告：自中标人确定之日起2个工作日内，中标结果公告于浙江省政府采购网(http://zfcg.czt.zj.gov.cn/)、东阳市公共资源交易网(http://www.dongyang.gov.cn/ggzyjy/index.html)，公告1个工作日</w:t>
            </w:r>
            <w:bookmarkEnd w:id="37"/>
            <w:r>
              <w:rPr>
                <w:rFonts w:hint="eastAsia" w:ascii="宋体" w:hAnsi="宋体" w:eastAsia="宋体" w:cs="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《中标通知书》的领取时间：中标人应自中标结果公告结束日起，在3个工作日内领取，否则按放弃中标资格处理，并因违反诚信原则，提交财政部门列入政府采购黑名单。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履约保证金：</w:t>
            </w:r>
            <w:r>
              <w:rPr>
                <w:rFonts w:hint="eastAsia" w:ascii="宋体" w:hAnsi="宋体" w:eastAsia="宋体" w:cs="宋体"/>
                <w:color w:val="000000" w:themeColor="text1"/>
                <w:sz w:val="24"/>
                <w:highlight w:val="none"/>
                <w:lang w:val="en-US" w:eastAsia="zh-CN"/>
                <w14:textFill>
                  <w14:solidFill>
                    <w14:schemeClr w14:val="tx1"/>
                  </w14:solidFill>
                </w14:textFill>
              </w:rPr>
              <w:t>本项目不收</w:t>
            </w:r>
            <w:r>
              <w:rPr>
                <w:rFonts w:hint="eastAsia" w:ascii="宋体" w:hAnsi="宋体" w:cs="宋体"/>
                <w:color w:val="000000" w:themeColor="text1"/>
                <w:sz w:val="24"/>
                <w:highlight w:val="none"/>
                <w:lang w:val="en-US" w:eastAsia="zh-CN"/>
                <w14:textFill>
                  <w14:solidFill>
                    <w14:schemeClr w14:val="tx1"/>
                  </w14:solidFill>
                </w14:textFill>
              </w:rPr>
              <w:t>取</w:t>
            </w:r>
            <w:r>
              <w:rPr>
                <w:rFonts w:hint="eastAsia" w:ascii="宋体" w:hAnsi="宋体" w:eastAsia="宋体" w:cs="宋体"/>
                <w:color w:val="000000" w:themeColor="text1"/>
                <w:sz w:val="24"/>
                <w:highlight w:val="none"/>
                <w:lang w:val="en-US" w:eastAsia="zh-CN"/>
                <w14:textFill>
                  <w14:solidFill>
                    <w14:schemeClr w14:val="tx1"/>
                  </w14:solidFill>
                </w14:textFill>
              </w:rPr>
              <w:t>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3</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政府采购金融服务提示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为扩大政府采购金融服务面，除政采云网上金融服务合作银行外，东阳市范围内增加浙商银行金华分行东阳支行作为线下合作银行。   </w:t>
            </w:r>
          </w:p>
          <w:p>
            <w:pPr>
              <w:snapToGrid w:val="0"/>
              <w:spacing w:line="360" w:lineRule="auto"/>
              <w:jc w:val="left"/>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浙商银行金华东阳支行联系人：</w:t>
            </w:r>
            <w:r>
              <w:rPr>
                <w:rFonts w:hint="eastAsia" w:ascii="宋体" w:hAnsi="宋体" w:cs="宋体"/>
                <w:color w:val="000000" w:themeColor="text1"/>
                <w:sz w:val="24"/>
                <w:highlight w:val="none"/>
                <w14:textFill>
                  <w14:solidFill>
                    <w14:schemeClr w14:val="tx1"/>
                  </w14:solidFill>
                </w14:textFill>
              </w:rPr>
              <w:t xml:space="preserve">许燕  联系电话：13967983441 </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0579-86222992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4</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签订合同时间：发出《中标通知书》之日起</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0天内。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w:t>
            </w:r>
            <w:r>
              <w:rPr>
                <w:rFonts w:hint="eastAsia" w:ascii="宋体" w:hAnsi="宋体" w:cs="宋体"/>
                <w:bCs/>
                <w:color w:val="000000" w:themeColor="text1"/>
                <w:sz w:val="24"/>
                <w:highlight w:val="none"/>
                <w:lang w:val="en-US" w:eastAsia="zh-CN"/>
                <w14:textFill>
                  <w14:solidFill>
                    <w14:schemeClr w14:val="tx1"/>
                  </w14:solidFill>
                </w14:textFill>
              </w:rPr>
              <w:t>5</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中标人与</w:t>
            </w:r>
            <w:r>
              <w:rPr>
                <w:rFonts w:hint="eastAsia" w:ascii="宋体" w:hAnsi="宋体" w:cs="宋体"/>
                <w:color w:val="000000" w:themeColor="text1"/>
                <w:sz w:val="24"/>
                <w:highlight w:val="none"/>
                <w:lang w:val="en-US" w:eastAsia="zh-CN"/>
                <w14:textFill>
                  <w14:solidFill>
                    <w14:schemeClr w14:val="tx1"/>
                  </w14:solidFill>
                </w14:textFill>
              </w:rPr>
              <w:t>东阳市人民医院</w:t>
            </w:r>
            <w:r>
              <w:rPr>
                <w:rFonts w:hint="eastAsia" w:ascii="宋体" w:hAnsi="宋体" w:eastAsia="宋体" w:cs="宋体"/>
                <w:color w:val="000000" w:themeColor="text1"/>
                <w:sz w:val="24"/>
                <w:highlight w:val="none"/>
                <w:lang w:eastAsia="zh-CN"/>
                <w14:textFill>
                  <w14:solidFill>
                    <w14:schemeClr w14:val="tx1"/>
                  </w14:solidFill>
                </w14:textFill>
              </w:rPr>
              <w:t>签订政府采购合同</w:t>
            </w:r>
            <w:r>
              <w:rPr>
                <w:rFonts w:hint="eastAsia" w:ascii="宋体" w:hAnsi="宋体" w:cs="宋体"/>
                <w:color w:val="000000" w:themeColor="text1"/>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6</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before="0" w:beforeAutospacing="0" w:after="0" w:afterAutospacing="0" w:line="460" w:lineRule="exact"/>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付款方式：</w:t>
            </w:r>
            <w:r>
              <w:rPr>
                <w:rFonts w:hint="eastAsia" w:ascii="宋体" w:hAnsi="宋体"/>
                <w:bCs/>
                <w:color w:val="auto"/>
                <w:sz w:val="24"/>
                <w:highlight w:val="none"/>
              </w:rPr>
              <w:t>合同</w:t>
            </w:r>
            <w:r>
              <w:rPr>
                <w:rFonts w:hint="eastAsia" w:ascii="宋体" w:hAnsi="宋体"/>
                <w:bCs/>
                <w:color w:val="auto"/>
                <w:sz w:val="24"/>
                <w:highlight w:val="none"/>
                <w:lang w:eastAsia="zh-CN"/>
              </w:rPr>
              <w:t>生效</w:t>
            </w:r>
            <w:r>
              <w:rPr>
                <w:rFonts w:hint="eastAsia" w:ascii="宋体" w:hAnsi="宋体"/>
                <w:bCs/>
                <w:color w:val="auto"/>
                <w:sz w:val="24"/>
                <w:highlight w:val="none"/>
              </w:rPr>
              <w:t>以及</w:t>
            </w:r>
            <w:r>
              <w:rPr>
                <w:rFonts w:hint="eastAsia" w:ascii="宋体" w:hAnsi="宋体"/>
                <w:bCs/>
                <w:color w:val="auto"/>
                <w:sz w:val="24"/>
                <w:highlight w:val="none"/>
                <w:lang w:eastAsia="zh-CN"/>
              </w:rPr>
              <w:t>具备实施</w:t>
            </w:r>
            <w:r>
              <w:rPr>
                <w:rFonts w:hint="eastAsia" w:ascii="宋体" w:hAnsi="宋体"/>
                <w:bCs/>
                <w:color w:val="auto"/>
                <w:sz w:val="24"/>
                <w:highlight w:val="none"/>
              </w:rPr>
              <w:t>条件后7个工作日内支付合同价款的</w:t>
            </w:r>
            <w:r>
              <w:rPr>
                <w:rFonts w:hint="eastAsia" w:ascii="宋体" w:hAnsi="宋体"/>
                <w:bCs/>
                <w:color w:val="auto"/>
                <w:sz w:val="24"/>
                <w:highlight w:val="none"/>
                <w:lang w:val="en-US" w:eastAsia="zh-CN"/>
              </w:rPr>
              <w:t>4</w:t>
            </w:r>
            <w:r>
              <w:rPr>
                <w:rFonts w:hint="eastAsia" w:ascii="宋体" w:hAnsi="宋体"/>
                <w:bCs/>
                <w:color w:val="auto"/>
                <w:sz w:val="24"/>
                <w:highlight w:val="none"/>
              </w:rPr>
              <w:t>0%（采购人根据项目特点、供应商诚信等因素，可以要求中标人提交预付款保函），设备安装调试完成、验收合格后支付至</w:t>
            </w:r>
            <w:r>
              <w:rPr>
                <w:rFonts w:ascii="宋体" w:hAnsi="宋体"/>
                <w:bCs/>
                <w:color w:val="auto"/>
                <w:sz w:val="24"/>
                <w:highlight w:val="none"/>
              </w:rPr>
              <w:t>合同</w:t>
            </w:r>
            <w:r>
              <w:rPr>
                <w:rFonts w:hint="eastAsia" w:ascii="宋体" w:hAnsi="宋体"/>
                <w:bCs/>
                <w:color w:val="auto"/>
                <w:sz w:val="24"/>
                <w:highlight w:val="none"/>
                <w:lang w:eastAsia="zh-CN"/>
              </w:rPr>
              <w:t>价款的</w:t>
            </w:r>
            <w:r>
              <w:rPr>
                <w:rFonts w:hint="eastAsia" w:ascii="宋体" w:hAnsi="宋体"/>
                <w:bCs/>
                <w:color w:val="auto"/>
                <w:sz w:val="24"/>
                <w:highlight w:val="none"/>
                <w:lang w:val="en-US" w:eastAsia="zh-CN"/>
              </w:rPr>
              <w:t>100%</w:t>
            </w:r>
            <w:r>
              <w:rPr>
                <w:rFonts w:hint="eastAsia" w:ascii="宋体" w:hAnsi="宋体"/>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7</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auto"/>
                <w:sz w:val="24"/>
                <w:highlight w:val="none"/>
              </w:rPr>
              <w:t>货物交付/服务地点</w:t>
            </w:r>
            <w:r>
              <w:rPr>
                <w:rFonts w:hint="eastAsia" w:ascii="宋体" w:hAnsi="宋体" w:eastAsia="宋体" w:cs="宋体"/>
                <w:color w:val="000000" w:themeColor="text1"/>
                <w:sz w:val="24"/>
                <w:highlight w:val="none"/>
                <w14:textFill>
                  <w14:solidFill>
                    <w14:schemeClr w14:val="tx1"/>
                  </w14:solidFill>
                </w14:textFill>
              </w:rPr>
              <w:t>：东阳市内，采购人指定的地点。</w:t>
            </w:r>
          </w:p>
          <w:p>
            <w:pPr>
              <w:snapToGrid w:val="0"/>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验收：</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1.采购人组织</w:t>
            </w:r>
            <w:r>
              <w:rPr>
                <w:rFonts w:hint="eastAsia" w:ascii="宋体" w:hAnsi="宋体" w:cs="宋体"/>
                <w:color w:val="auto"/>
                <w:sz w:val="24"/>
                <w:highlight w:val="none"/>
                <w:lang w:eastAsia="zh-CN"/>
              </w:rPr>
              <w:t>相关人员</w:t>
            </w:r>
            <w:r>
              <w:rPr>
                <w:rFonts w:hint="eastAsia" w:ascii="宋体" w:hAnsi="宋体" w:cs="宋体"/>
                <w:color w:val="auto"/>
                <w:sz w:val="24"/>
                <w:highlight w:val="none"/>
              </w:rPr>
              <w:t>对供应商履约的验收</w:t>
            </w:r>
            <w:r>
              <w:rPr>
                <w:rFonts w:hint="eastAsia" w:ascii="宋体" w:hAnsi="宋体" w:cs="宋体"/>
                <w:color w:val="auto"/>
                <w:sz w:val="24"/>
                <w:highlight w:val="none"/>
                <w:lang w:eastAsia="zh-CN"/>
              </w:rPr>
              <w:t>，验收费用由中标人承担；采购人出具一式二份验收报告，一份由中标人保管，一份由东阳市鑫盛工程咨询有限公司（原件）存档</w:t>
            </w:r>
            <w:r>
              <w:rPr>
                <w:rFonts w:hint="eastAsia" w:ascii="宋体" w:hAnsi="宋体" w:cs="宋体"/>
                <w:color w:val="auto"/>
                <w:sz w:val="24"/>
                <w:highlight w:val="none"/>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2.采购人可以邀请参加本项目的其他供应商或者第三方机构参与验收。参与验收的供应商或者第三方机构的意见作为验收书的参考资料一并存档。</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4.采购人原则上应当在履约验收之日起2个工作日内，将履约验收结果在浙江政府采购网上公告。</w:t>
            </w:r>
          </w:p>
          <w:p>
            <w:pPr>
              <w:snapToGrid w:val="0"/>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auto"/>
                <w:sz w:val="24"/>
                <w:highlight w:val="none"/>
              </w:rPr>
              <w:t>5.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8</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outlineLvl w:val="2"/>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供应商有下列情形之一的，列入失信名单，同时依照《政府采购法》第七十七条及《中华人民共和国政府采购法实施条例》第七十二条规定处罚并追求法律责任。</w:t>
            </w:r>
          </w:p>
          <w:p>
            <w:pPr>
              <w:snapToGrid w:val="0"/>
              <w:spacing w:line="360" w:lineRule="auto"/>
              <w:jc w:val="left"/>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1、提供虚假材料谋取中标、成交的； </w:t>
            </w:r>
          </w:p>
          <w:p>
            <w:pPr>
              <w:snapToGrid w:val="0"/>
              <w:spacing w:line="360" w:lineRule="auto"/>
              <w:jc w:val="left"/>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2、采取不正当手段诋毁、排挤其他供应商的； </w:t>
            </w:r>
          </w:p>
          <w:p>
            <w:pPr>
              <w:snapToGrid w:val="0"/>
              <w:spacing w:line="360" w:lineRule="auto"/>
              <w:jc w:val="left"/>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3、与采购人、其他供应商或者采购代理机构恶意串通的； </w:t>
            </w:r>
          </w:p>
          <w:p>
            <w:pPr>
              <w:snapToGrid w:val="0"/>
              <w:spacing w:line="360" w:lineRule="auto"/>
              <w:jc w:val="left"/>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4、向采购人、采购代理机构行贿或者提供其他不正当利益的； </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5、在招标采购过程中与采购人进行协商谈判的； </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6、向评标委员会、竞争性谈判小组或者询价小组成员行贿或者提供其他不正当利益；</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7、中标或者成交后无正当理由拒不与采购人签订政府采购合同；</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8、未按照采购文件确定的事项签订政府采购合同；</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9、将政府采购合同转包；</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10、提供假冒伪劣产品；</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11、擅自变更、中止或者终止政府采购合同。</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12、其他严重扰乱招投标程序的。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9</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投标文件有效期：</w:t>
            </w:r>
            <w:r>
              <w:rPr>
                <w:rFonts w:hint="eastAsia" w:ascii="宋体" w:hAnsi="宋体" w:eastAsia="宋体" w:cs="宋体"/>
                <w:color w:val="000000" w:themeColor="text1"/>
                <w:sz w:val="24"/>
                <w:highlight w:val="none"/>
                <w:u w:val="single"/>
                <w14:textFill>
                  <w14:solidFill>
                    <w14:schemeClr w14:val="tx1"/>
                  </w14:solidFill>
                </w14:textFill>
              </w:rPr>
              <w:t>60</w:t>
            </w:r>
            <w:r>
              <w:rPr>
                <w:rFonts w:hint="eastAsia" w:ascii="宋体" w:hAnsi="宋体" w:eastAsia="宋体" w:cs="宋体"/>
                <w:color w:val="000000" w:themeColor="text1"/>
                <w:sz w:val="24"/>
                <w:highlight w:val="none"/>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20</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招标方对投标人的落选不作出任何解释。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21</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采购人和招标代理机构的任何工作人员对投标人所作的任何口头解释、介绍、答复，仅供投标人参考，不作为招标依据，对采购人、招标代理机构和投标人无任何约束力，一切以网上公告及书面形式为准。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22</w:t>
            </w:r>
          </w:p>
        </w:tc>
        <w:tc>
          <w:tcPr>
            <w:tcW w:w="90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解释：本招标文件的解释权属于东阳市鑫盛工程咨询有限公司。</w:t>
            </w:r>
          </w:p>
        </w:tc>
      </w:tr>
    </w:tbl>
    <w:p>
      <w:pPr>
        <w:pStyle w:val="20"/>
        <w:snapToGrid w:val="0"/>
        <w:spacing w:before="120" w:after="120" w:line="360" w:lineRule="auto"/>
        <w:rPr>
          <w:rFonts w:hint="eastAsia" w:ascii="宋体" w:hAnsi="宋体" w:eastAsia="宋体" w:cs="宋体"/>
          <w:b/>
          <w:color w:val="auto"/>
          <w:szCs w:val="24"/>
          <w:highlight w:val="none"/>
        </w:rPr>
      </w:pPr>
      <w:r>
        <w:rPr>
          <w:rFonts w:hint="eastAsia" w:ascii="宋体" w:hAnsi="宋体" w:eastAsia="宋体" w:cs="宋体"/>
          <w:b/>
          <w:color w:val="000000" w:themeColor="text1"/>
          <w:szCs w:val="24"/>
          <w:highlight w:val="none"/>
          <w14:textFill>
            <w14:solidFill>
              <w14:schemeClr w14:val="tx1"/>
            </w14:solidFill>
          </w14:textFill>
        </w:rPr>
        <w:t>注：如本招标文件后面的条款与本表有矛盾的以本表的内容为准。</w:t>
      </w:r>
    </w:p>
    <w:p>
      <w:pPr>
        <w:pStyle w:val="20"/>
        <w:pageBreakBefore/>
        <w:numPr>
          <w:ilvl w:val="0"/>
          <w:numId w:val="8"/>
        </w:numPr>
        <w:snapToGrid w:val="0"/>
        <w:spacing w:line="360" w:lineRule="auto"/>
        <w:ind w:left="826" w:hanging="826" w:hangingChars="343"/>
        <w:jc w:val="center"/>
        <w:outlineLvl w:val="1"/>
        <w:rPr>
          <w:rFonts w:hint="eastAsia" w:ascii="宋体" w:hAnsi="宋体" w:eastAsia="宋体" w:cs="宋体"/>
          <w:b/>
          <w:color w:val="auto"/>
          <w:szCs w:val="24"/>
          <w:highlight w:val="none"/>
        </w:rPr>
      </w:pPr>
      <w:bookmarkStart w:id="38" w:name="_Toc8791"/>
      <w:r>
        <w:rPr>
          <w:rFonts w:hint="eastAsia" w:ascii="宋体" w:hAnsi="宋体" w:eastAsia="宋体" w:cs="宋体"/>
          <w:b/>
          <w:color w:val="auto"/>
          <w:szCs w:val="24"/>
          <w:highlight w:val="none"/>
        </w:rPr>
        <w:t>总则</w:t>
      </w:r>
      <w:bookmarkEnd w:id="38"/>
    </w:p>
    <w:p>
      <w:pPr>
        <w:spacing w:line="440" w:lineRule="exact"/>
        <w:rPr>
          <w:rFonts w:hint="eastAsia" w:ascii="宋体" w:hAnsi="宋体" w:eastAsia="宋体" w:cs="宋体"/>
          <w:b/>
          <w:color w:val="auto"/>
          <w:sz w:val="24"/>
          <w:highlight w:val="none"/>
        </w:rPr>
      </w:pPr>
      <w:bookmarkStart w:id="39" w:name="_Toc407182093"/>
      <w:r>
        <w:rPr>
          <w:rFonts w:hint="eastAsia" w:ascii="宋体" w:hAnsi="宋体" w:eastAsia="宋体" w:cs="宋体"/>
          <w:b/>
          <w:color w:val="auto"/>
          <w:sz w:val="24"/>
          <w:highlight w:val="none"/>
        </w:rPr>
        <w:t>（一） 适用范围</w:t>
      </w:r>
      <w:bookmarkEnd w:id="39"/>
    </w:p>
    <w:p>
      <w:pPr>
        <w:spacing w:line="44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本招标文件适用于</w:t>
      </w:r>
      <w:r>
        <w:rPr>
          <w:rFonts w:hint="eastAsia" w:ascii="宋体" w:hAnsi="宋体" w:cs="宋体"/>
          <w:color w:val="auto"/>
          <w:sz w:val="24"/>
          <w:highlight w:val="none"/>
          <w:lang w:eastAsia="zh-CN"/>
        </w:rPr>
        <w:t>东阳市人民医院中心监护系统、监护仪、麻醉监护仪、呼吸机设备采购项目</w:t>
      </w:r>
      <w:r>
        <w:rPr>
          <w:rFonts w:hint="eastAsia" w:ascii="宋体" w:hAnsi="宋体" w:eastAsia="宋体" w:cs="宋体"/>
          <w:color w:val="auto"/>
          <w:sz w:val="24"/>
          <w:highlight w:val="none"/>
        </w:rPr>
        <w:t>的招标、投标、评标、定标、验收、合同履约、付款等行为（法律、法规另有规定的，从其规定）。</w:t>
      </w:r>
    </w:p>
    <w:p>
      <w:pPr>
        <w:spacing w:line="440" w:lineRule="exact"/>
        <w:rPr>
          <w:rFonts w:hint="eastAsia" w:ascii="宋体" w:hAnsi="宋体" w:eastAsia="宋体" w:cs="宋体"/>
          <w:b/>
          <w:color w:val="auto"/>
          <w:sz w:val="24"/>
          <w:highlight w:val="none"/>
          <w:lang w:val="en-US" w:eastAsia="zh-CN"/>
        </w:rPr>
      </w:pPr>
      <w:bookmarkStart w:id="40" w:name="_Toc407182094"/>
      <w:r>
        <w:rPr>
          <w:rFonts w:hint="eastAsia" w:ascii="宋体" w:hAnsi="宋体" w:eastAsia="宋体" w:cs="宋体"/>
          <w:b/>
          <w:color w:val="auto"/>
          <w:sz w:val="24"/>
          <w:highlight w:val="none"/>
        </w:rPr>
        <w:t>（二）定义</w:t>
      </w:r>
      <w:bookmarkEnd w:id="40"/>
      <w:r>
        <w:rPr>
          <w:rFonts w:hint="eastAsia" w:ascii="宋体" w:hAnsi="宋体" w:cs="宋体"/>
          <w:b/>
          <w:color w:val="auto"/>
          <w:sz w:val="24"/>
          <w:highlight w:val="none"/>
          <w:lang w:val="en-US" w:eastAsia="zh-CN"/>
        </w:rPr>
        <w:t>及</w:t>
      </w:r>
      <w:r>
        <w:rPr>
          <w:rFonts w:hint="eastAsia" w:ascii="宋体" w:hAnsi="宋体" w:eastAsia="宋体" w:cs="宋体"/>
          <w:b/>
          <w:color w:val="auto"/>
          <w:sz w:val="24"/>
          <w:highlight w:val="none"/>
        </w:rPr>
        <w:t>采购项目需要落实的政府采购政策</w:t>
      </w:r>
    </w:p>
    <w:p>
      <w:pPr>
        <w:spacing w:line="44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1.招标采购单位系指组织本次招标的东阳市鑫盛工程咨询有限公司（“招标方”）和</w:t>
      </w:r>
      <w:r>
        <w:rPr>
          <w:rFonts w:hint="eastAsia" w:ascii="宋体" w:hAnsi="宋体" w:cs="宋体"/>
          <w:color w:val="auto"/>
          <w:sz w:val="24"/>
          <w:highlight w:val="none"/>
          <w:lang w:val="en-US" w:eastAsia="zh-CN"/>
        </w:rPr>
        <w:t>东阳市人民医院</w:t>
      </w:r>
      <w:r>
        <w:rPr>
          <w:rFonts w:hint="eastAsia" w:ascii="宋体" w:hAnsi="宋体" w:eastAsia="宋体" w:cs="宋体"/>
          <w:color w:val="auto"/>
          <w:sz w:val="24"/>
          <w:highlight w:val="none"/>
          <w:lang w:val="en-US" w:eastAsia="zh-CN"/>
        </w:rPr>
        <w:t>（“采购人”）。</w:t>
      </w:r>
    </w:p>
    <w:p>
      <w:pPr>
        <w:spacing w:line="44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2.“投标人”系指向招标方提交投标文件的单位或个人。</w:t>
      </w:r>
    </w:p>
    <w:p>
      <w:pPr>
        <w:spacing w:line="44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3.“产品”系指供方按招标文件规定，须向采购人提供的一切货物、保险、税金、备品备件、工具、手册及其它有关技术资料和材料。</w:t>
      </w:r>
    </w:p>
    <w:p>
      <w:pPr>
        <w:spacing w:line="44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 “服务”系指招标文件规定投标人须承担的安装、调试、技术协助、校准、培训、技术指导以及其他类似的义务。</w:t>
      </w:r>
    </w:p>
    <w:p>
      <w:pPr>
        <w:spacing w:line="44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5.“项目”系指投标人按招标文件规定向采购人提供的产品和服务。</w:t>
      </w:r>
    </w:p>
    <w:p>
      <w:pPr>
        <w:spacing w:line="44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6.“书面形式”包括信函、传真、电报等。</w:t>
      </w:r>
    </w:p>
    <w:p>
      <w:pPr>
        <w:spacing w:line="44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7.“*”、“▲”、“※”、“★”系指实质性要求条款。</w:t>
      </w:r>
    </w:p>
    <w:p>
      <w:pPr>
        <w:spacing w:line="440" w:lineRule="exac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 采购项目需要落实的政府采购政策</w:t>
      </w:r>
    </w:p>
    <w:p>
      <w:pPr>
        <w:spacing w:line="440" w:lineRule="exact"/>
        <w:ind w:firstLine="240" w:firstLineChars="1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8.2 支持绿色发展</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宋体" w:hAnsi="宋体" w:eastAsia="宋体" w:cs="宋体"/>
          <w:color w:val="auto"/>
          <w:sz w:val="24"/>
          <w:highlight w:val="none"/>
          <w:lang w:val="en-US" w:eastAsia="zh-CN"/>
        </w:rPr>
        <w:t>▲</w:t>
      </w:r>
      <w:r>
        <w:rPr>
          <w:rFonts w:hint="eastAsia" w:ascii="宋体" w:hAnsi="宋体" w:cs="宋体"/>
          <w:color w:val="000000" w:themeColor="text1"/>
          <w:sz w:val="24"/>
          <w:highlight w:val="none"/>
          <w:lang w:val="en-US" w:eastAsia="zh-CN"/>
          <w14:textFill>
            <w14:solidFill>
              <w14:schemeClr w14:val="tx1"/>
            </w14:solidFill>
          </w14:textFill>
        </w:rPr>
        <w:t>采购人拟采购的产品属于政府强制采购的节能产品品目清单范围的，供应商未按采购文件要求提供国家确定的认证机构出具的、处于有效期之内的节能产品认证证书的，投标无效。</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8.3支持中小企业发展</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符合中小企业划分标准的个体工商户，在政府采购活动中视同中小企业。</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8.3.2在政府采购活动中，供应商提供的货物、工程或者服务符合下列情形的，享受中小企业扶持政策：</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8.3.2.1在货物采购项目中，货物由中小企业制造，即货物由中小企业生产且使用该中小企业商号或者注册商标；</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8.3.2.2在工程采购项目中，工程由中小企业承建，即工程施工单位为中小企业；</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8.3.2.3在服务采购项目中，服务由中小企业承接，即提供服务的人员为中小企业依照《中华人民共和国劳动合同法》订立劳动合同的从业人员。</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在货物采购项目中，供应商提供的货物既有中小企业制造货物，也有大型企业制造货物的，不享受中小企业扶持政策。</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8.3.4符合《关于促进残疾人就业政府采购政策的通知》（财库〔2017〕141号）规定的条件并提供《残疾人福利性单位声明函》（附件1）的残疾人福利性单位视同小型、微型企业；</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8.3.7中小企业享受扶持政策获得政府采购合同的，小微企业不得将合同分包给大中型企业，中型企业不得将合同分包给大型企业。</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8.4支持创新发展</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8.4.1 采购人优先采购被认定为首台套产品和“制造精品”的自主创新产品。</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8.4.2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p>
      <w:pPr>
        <w:spacing w:line="440" w:lineRule="exac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https://zfcg.czt.zj.gov.cn)的中小企业信用融资栏目了解相关信息。 供应商可以通过浙江政府采购网(https://zfcg. czt.zj. gov.cn/)首页的“浙江政采贷”模块进入申请，还可以通过政府采购云平台(https://wwwzcygov.cn/)首页的“金融服务”模块进入申请。</w:t>
      </w:r>
    </w:p>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（三）招标方式</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本次招标采用公开招标方式进行。</w:t>
      </w:r>
    </w:p>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（四）投标委托</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如投标人代表不是法定代表人，须有法定代表人出具的授权委托书，委托代理人必须为投标人的在职正式职工（以投标人本单位缴纳社保花名册为准）。</w:t>
      </w:r>
    </w:p>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▲（五）投标费用</w:t>
      </w:r>
    </w:p>
    <w:p>
      <w:pPr>
        <w:spacing w:line="44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1.不论投标结果如何，投标人均应自行承担所有与投标有关的全部费用（招标文件有相反规定除外）。</w:t>
      </w:r>
    </w:p>
    <w:p>
      <w:pPr>
        <w:spacing w:line="440" w:lineRule="exact"/>
        <w:ind w:firstLine="482" w:firstLineChars="200"/>
        <w:rPr>
          <w:rFonts w:hint="default" w:eastAsia="宋体"/>
          <w:color w:val="auto"/>
          <w:highlight w:val="none"/>
          <w:lang w:val="en-US" w:eastAsia="zh-CN"/>
        </w:rPr>
      </w:pPr>
      <w:r>
        <w:rPr>
          <w:rFonts w:hint="eastAsia" w:ascii="宋体" w:hAnsi="宋体" w:eastAsia="宋体" w:cs="宋体"/>
          <w:b/>
          <w:color w:val="auto"/>
          <w:sz w:val="24"/>
          <w:szCs w:val="24"/>
          <w:highlight w:val="none"/>
        </w:rPr>
        <w:t>2.东阳市鑫盛工程咨询有限公司按差额定率累进法计算（详见本条下列表格收费标准），向中标人收取中标服务费，在中标结果公示结束之日起3天内（在领取中标通知书前）交纳。</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1"/>
        <w:gridCol w:w="3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5071"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ind w:firstLine="840" w:firstLineChars="400"/>
              <w:rPr>
                <w:rFonts w:hint="eastAsia" w:ascii="宋体" w:hAnsi="宋体" w:cs="宋体"/>
                <w:b/>
                <w:color w:val="auto"/>
                <w:sz w:val="24"/>
                <w:highlight w:val="none"/>
              </w:rPr>
            </w:pPr>
            <w:r>
              <w:rPr>
                <w:rFonts w:hint="eastAsia" w:ascii="宋体" w:hAnsi="宋体" w:cs="宋体"/>
                <w:color w:val="auto"/>
                <w:highlight w:val="non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-6350</wp:posOffset>
                      </wp:positionV>
                      <wp:extent cx="635" cy="0"/>
                      <wp:effectExtent l="0" t="0" r="0" b="0"/>
                      <wp:wrapNone/>
                      <wp:docPr id="140" name="直接连接符 140"/>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pt;margin-top:-0.5pt;height:0pt;width:0.05pt;z-index:25165926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eYluiOMBAAC2AwAADgAAAGRycy9lMm9Eb2MueG1srVPNjtMw&#10;EL4j8Q6W7zRtxSKImu6h1XJZoNIuD+A6TmNheyyP26QvwQsgcYMTR+68DctjMHaasiyXPZCDZc/P&#10;N/N9M1lc9tawgwqowVV8NplyppyEWrtdxd/fXj17yRlG4WphwKmKHxXyy+XTJ4vOl2oOLZhaBUYg&#10;DsvOV7yN0ZdFgbJVVuAEvHLkbCBYEekZdkUdREfo1hTz6fRF0UGofQCpEMm6Hpz8hBgeAwhNo6Va&#10;g9xb5eKAGpQRkShhqz3yZe62aZSM75oGVWSm4sQ05pOK0H2bzmK5EOUuCN9qeWpBPKaFB5ys0I6K&#10;nqHWIgq2D/ofKKtlAIQmTiTYYiCSFSEWs+kDbW5a4VXmQlKjP4uO/w9Wvj1sAtM1bcJz0sQJSyO/&#10;+/T958cvv358pvPu21eWXCRU57Gk+JXbhERV9u7GX4P8gMzBqhVup3LDt0dPGLOUUfyVkh7oqdy2&#10;ewM1xYh9hKxa3wSbIEkP1ufhHM/DUX1kcjDK0VqIckzxAeNrBZalS8WNdkkxUYrDNcbUgijHkGR2&#10;cKWNyVM3jnUVf3Uxv8gJCEbXyZnCMOy2KxPYQaS9yV/mQ577YQH2rh6KGJfyVF65U+WR76DcFurj&#10;Joyi0Dhzb6fVS/ty/52l+/O7L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5HTftUAAAAJAQAA&#10;DwAAAAAAAAABACAAAAAiAAAAZHJzL2Rvd25yZXYueG1sUEsBAhQAFAAAAAgAh07iQHmJbojjAQAA&#10;tgMAAA4AAAAAAAAAAQAgAAAAJAEAAGRycy9lMm9Eb2MueG1sUEsFBgAAAAAGAAYAWQEAAHkFAAAA&#10;AA==&#10;">
                      <v:fill on="f" focussize="0,0"/>
                      <v:stroke color="#000000" joinstyle="round"/>
                      <v:imagedata o:title=""/>
                      <o:lock v:ext="edit" aspectratio="f"/>
                    </v:line>
                  </w:pict>
                </mc:Fallback>
              </mc:AlternateContent>
            </w:r>
            <w:r>
              <w:rPr>
                <w:rFonts w:hint="eastAsia" w:ascii="宋体" w:hAnsi="宋体" w:cs="宋体"/>
                <w:b/>
                <w:color w:val="auto"/>
                <w:sz w:val="24"/>
                <w:highlight w:val="none"/>
              </w:rPr>
              <w:t>服务类型</w:t>
            </w:r>
          </w:p>
          <w:p>
            <w:pPr>
              <w:rPr>
                <w:rFonts w:hint="eastAsia" w:ascii="宋体" w:hAnsi="宋体" w:cs="宋体"/>
                <w:b/>
                <w:color w:val="auto"/>
                <w:sz w:val="24"/>
                <w:highlight w:val="none"/>
              </w:rPr>
            </w:pPr>
            <w:r>
              <w:rPr>
                <w:rFonts w:hint="eastAsia" w:ascii="宋体" w:hAnsi="宋体" w:cs="宋体"/>
                <w:b/>
                <w:color w:val="auto"/>
                <w:sz w:val="24"/>
                <w:highlight w:val="none"/>
              </w:rPr>
              <w:t>费率</w:t>
            </w:r>
          </w:p>
          <w:p>
            <w:pPr>
              <w:rPr>
                <w:rFonts w:hint="eastAsia" w:ascii="宋体" w:hAnsi="宋体" w:cs="宋体"/>
                <w:b/>
                <w:color w:val="auto"/>
                <w:sz w:val="24"/>
                <w:highlight w:val="none"/>
              </w:rPr>
            </w:pPr>
            <w:r>
              <w:rPr>
                <w:rFonts w:hint="eastAsia" w:ascii="宋体" w:hAnsi="宋体" w:cs="宋体"/>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49530</wp:posOffset>
                      </wp:positionV>
                      <wp:extent cx="3342005" cy="417195"/>
                      <wp:effectExtent l="635" t="4445" r="10160" b="16510"/>
                      <wp:wrapNone/>
                      <wp:docPr id="141" name="直接连接符 141"/>
                      <wp:cNvGraphicFramePr/>
                      <a:graphic xmlns:a="http://schemas.openxmlformats.org/drawingml/2006/main">
                        <a:graphicData uri="http://schemas.microsoft.com/office/word/2010/wordprocessingShape">
                          <wps:wsp>
                            <wps:cNvCnPr>
                              <a:cxnSpLocks noChangeShapeType="1"/>
                            </wps:cNvCnPr>
                            <wps:spPr bwMode="auto">
                              <a:xfrm>
                                <a:off x="0" y="0"/>
                                <a:ext cx="3342005" cy="41719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4.7pt;margin-top:3.9pt;height:32.85pt;width:263.15pt;z-index:251660288;mso-width-relative:page;mso-height-relative:page;" filled="f" stroked="t" coordsize="21600,21600" o:gfxdata="UEsDBAoAAAAAAIdO4kAAAAAAAAAAAAAAAAAEAAAAZHJzL1BLAwQUAAAACACHTuJAyhE1itYAAAAH&#10;AQAADwAAAGRycy9kb3ducmV2LnhtbE2PvU7DQBCEeyTe4bRINFFydkICMT6nANzRJBCl3fgW28K3&#10;5/guP/D0LBWUoxnNfJOvLq5TJxpC69lAOklAEVfetlwbeH8rxw+gQkS22HkmA18UYFVcX+WYWX/m&#10;NZ02sVZSwiFDA02MfaZ1qBpyGCa+Jxbvww8Oo8ih1nbAs5S7Tk+TZKEdtiwLDfb01FD1uTk6A6Hc&#10;0qH8HlWjZDerPU0Pz68vaMztTZo8gop0iX9h+MUXdCiEae+PbIPqDIyXd5I0cC8HxJ6niyWovejZ&#10;HHSR6//8xQ9QSwMEFAAAAAgAh07iQKHdEyzvAQAAwQMAAA4AAABkcnMvZTJvRG9jLnhtbK1TzW4T&#10;MRC+I/EOlu9kkzQBusqmh0TlUqBSywM4Xm/WwvZYHiebvAQvgMQNThx7520oj8HYmwRaLj2wB8ue&#10;n2/m+2Z2drGzhm1VQA2u4qPBkDPlJNTarSv+4fbyxWvOMApXCwNOVXyvkF/Mnz+bdb5UY2jB1Cow&#10;AnFYdr7ibYy+LAqUrbICB+CVI2cDwYpIz7Au6iA6QremGA+HL4sOQu0DSIVI1mXv5AfE8BRAaBot&#10;1RLkxioXe9SgjIhECVvtkc9zt02jZHzfNKgiMxUnpjGfVITuq3QW85ko10H4VstDC+IpLTziZIV2&#10;VPQEtRRRsE3Q/0BZLQMgNHEgwRY9kawIsRgNH2lz0wqvMheSGv1JdPx/sPLd9jowXdMmTEacOWFp&#10;5Pef735++vrrxxc6779/Y8lFQnUeS4pfuOuQqMqdu/FXID8ic7BohVur3PDt3hNGzigepKQHeiq3&#10;6t5CTTFiEyGrtmuCTZCkB9vl4exPw1G7yCQZz84mtD5TziT5JqNXo/NpaqoQ5THbB4xvFFiWLhU3&#10;2iXxRCm2Vxj70GNIMju41MbkBTCOdRU/n46nOQHB6Do5UxiG9WphAtuKtEL5O9R9EBZg4+q+iHEp&#10;T+XtO1Q+Uu9FXEG9vw4pONlpspnGYQvT6vz9zlF//rz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oRNYrWAAAABwEAAA8AAAAAAAAAAQAgAAAAIgAAAGRycy9kb3ducmV2LnhtbFBLAQIUABQAAAAI&#10;AIdO4kCh3RMs7wEAAMEDAAAOAAAAAAAAAAEAIAAAACUBAABkcnMvZTJvRG9jLnhtbFBLBQYAAAAA&#10;BgAGAFkBAACGBQAAAAA=&#10;">
                      <v:fill on="f" focussize="0,0"/>
                      <v:stroke color="#000000" joinstyle="round"/>
                      <v:imagedata o:title=""/>
                      <o:lock v:ext="edit" aspectratio="f"/>
                    </v:line>
                  </w:pict>
                </mc:Fallback>
              </mc:AlternateContent>
            </w:r>
          </w:p>
          <w:p>
            <w:pPr>
              <w:rPr>
                <w:rFonts w:hint="eastAsia" w:ascii="宋体" w:hAnsi="宋体" w:cs="宋体"/>
                <w:b/>
                <w:color w:val="auto"/>
                <w:sz w:val="24"/>
                <w:highlight w:val="none"/>
              </w:rPr>
            </w:pPr>
            <w:r>
              <w:rPr>
                <w:rFonts w:hint="eastAsia" w:ascii="宋体" w:hAnsi="宋体" w:cs="宋体"/>
                <w:b/>
                <w:color w:val="auto"/>
                <w:sz w:val="24"/>
                <w:highlight w:val="none"/>
              </w:rPr>
              <w:t>中标金额（万元）</w:t>
            </w:r>
          </w:p>
        </w:tc>
        <w:tc>
          <w:tcPr>
            <w:tcW w:w="39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highlight w:val="none"/>
              </w:rPr>
            </w:pPr>
            <w:r>
              <w:rPr>
                <w:rFonts w:hint="eastAsia" w:ascii="宋体" w:hAnsi="宋体" w:cs="宋体"/>
                <w:b/>
                <w:color w:val="auto"/>
                <w:sz w:val="24"/>
                <w:highlight w:val="none"/>
                <w:lang w:eastAsia="zh-CN"/>
              </w:rPr>
              <w:t>货物</w:t>
            </w:r>
            <w:r>
              <w:rPr>
                <w:rFonts w:hint="eastAsia" w:ascii="宋体" w:hAnsi="宋体" w:cs="宋体"/>
                <w:b/>
                <w:color w:val="auto"/>
                <w:sz w:val="24"/>
                <w:highlight w:val="none"/>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07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100以下</w:t>
            </w:r>
          </w:p>
        </w:tc>
        <w:tc>
          <w:tcPr>
            <w:tcW w:w="3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07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100-500</w:t>
            </w:r>
          </w:p>
        </w:tc>
        <w:tc>
          <w:tcPr>
            <w:tcW w:w="3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07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500-1000</w:t>
            </w:r>
          </w:p>
        </w:tc>
        <w:tc>
          <w:tcPr>
            <w:tcW w:w="3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0.8%</w:t>
            </w:r>
          </w:p>
        </w:tc>
      </w:tr>
    </w:tbl>
    <w:p>
      <w:pPr>
        <w:spacing w:line="44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中标服务费由中标人汇至以下账户：</w:t>
      </w:r>
    </w:p>
    <w:p>
      <w:pPr>
        <w:spacing w:line="440" w:lineRule="exact"/>
        <w:ind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帐户名称：东阳市鑫盛工程咨询有限公司</w:t>
      </w:r>
    </w:p>
    <w:p>
      <w:pPr>
        <w:spacing w:line="440" w:lineRule="exact"/>
        <w:ind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开户银行：兴业银行股份有限公司金华东阳支行</w:t>
      </w:r>
    </w:p>
    <w:p>
      <w:pPr>
        <w:spacing w:line="440" w:lineRule="exact"/>
        <w:ind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账号：356090100100082625</w:t>
      </w:r>
    </w:p>
    <w:p>
      <w:pPr>
        <w:numPr>
          <w:ilvl w:val="0"/>
          <w:numId w:val="9"/>
        </w:num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联合体投标</w:t>
      </w:r>
      <w:r>
        <w:rPr>
          <w:rFonts w:hint="eastAsia" w:ascii="宋体" w:hAnsi="宋体" w:eastAsia="宋体" w:cs="宋体"/>
          <w:b/>
          <w:color w:val="auto"/>
          <w:sz w:val="24"/>
          <w:highlight w:val="none"/>
        </w:rPr>
        <w:tab/>
      </w:r>
    </w:p>
    <w:p>
      <w:pPr>
        <w:spacing w:line="440" w:lineRule="exact"/>
        <w:ind w:firstLine="240" w:firstLineChars="10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本项目接受联合体投标</w:t>
      </w:r>
      <w:r>
        <w:rPr>
          <w:rFonts w:hint="eastAsia" w:ascii="宋体" w:hAnsi="宋体" w:cs="宋体"/>
          <w:color w:val="auto"/>
          <w:kern w:val="0"/>
          <w:sz w:val="24"/>
          <w:highlight w:val="none"/>
          <w:lang w:eastAsia="zh-CN"/>
        </w:rPr>
        <w:t>。</w:t>
      </w:r>
    </w:p>
    <w:p>
      <w:pPr>
        <w:spacing w:line="440" w:lineRule="exact"/>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（七）</w:t>
      </w:r>
      <w:r>
        <w:rPr>
          <w:rFonts w:hint="eastAsia" w:ascii="宋体" w:hAnsi="宋体" w:eastAsia="宋体" w:cs="宋体"/>
          <w:b/>
          <w:color w:val="auto"/>
          <w:kern w:val="0"/>
          <w:sz w:val="24"/>
          <w:highlight w:val="none"/>
        </w:rPr>
        <w:t>转包与分包</w:t>
      </w:r>
    </w:p>
    <w:p>
      <w:pPr>
        <w:spacing w:line="440" w:lineRule="exact"/>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1.本项目不允许转包。</w:t>
      </w:r>
    </w:p>
    <w:p>
      <w:pPr>
        <w:spacing w:line="440" w:lineRule="exact"/>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2.本项目允许分包。</w:t>
      </w:r>
    </w:p>
    <w:p>
      <w:pPr>
        <w:spacing w:line="44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（八）特别说明：</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*1.多家供应商参加投标，如其中两家或两家以上供应商的法定代表人为同一人或相互之间存在投资关系且达到控股的，同时提供的是同一品牌产品的，应当按一个供应商认定。</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评审时，提供相同品牌产品且通过资格审查、符合性审查的不同投标人参加同一合同下投标的，按一家投标人计算，评审后得分最高的同品牌投标人获得中标人推荐资格；评审得分相同的由采购人或者采购人委托评标委员会确定一个投标人获得中标人推荐资格，招标文件未规定的采取随机抽取方式确定，其他同品牌投标人不作为中标候选人。</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多家代理商或经销商参加投标，如其中两家或两家以上供应商存在分级代理或代销关系，且提供的是其所代理品牌产品的，评审时，按上述规定确定其中一家为有效供应商。</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*2.投标人投标所使用的资格、信誉、荣誉与企业认证必须为本法人所拥有。投标人投标所使用的采购项目实施人员必须为本法人员工（或必须为本法人或控股公司正式员工）。</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*3.投标人应仔细阅读招标文件的所有内容，按照招标文件的要求提交投标文件，并对所提供的全部资料的真实性承担法律责任。</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人在投标活动中提供任何虚假材料,其投标无效，并报监管部门查处；中标后发现的,中标人须依照《中华人民共和国消费者权益保护法》第49条之规定，按中标价双倍赔偿采购人，且民事赔偿并不免除违法投标人的行政与刑事责任。</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5.评标委员会认为预中标人的投标报价明显低于其他通过符合性审查投标人的报价，有可能影响产品质量或者不能诚信履约的，应当要求其在评标现场合理的时间内提供书面说明，必要时提交相关证明材料，预中标人不能证明其报价合理性的，评标委员会应当将其作为无效投标处理。</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*6.招标方不保证最低报价者为中标方。</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*7.为维护国家利益及招标方自身利益，允许招标方在合同签订之前仍有选择或拒绝任何或全部投标的权力。</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*8.“政采云”平台运营机构，以及与该机构有直接控股或者管理关系可能影响采购公正性的任何单位和个人，不得在该平台进行的政府采购项目电子交易中投标、响应政府采购项目。</w:t>
      </w:r>
    </w:p>
    <w:p>
      <w:pPr>
        <w:spacing w:line="44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（九）质疑和投诉</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认为招标文件、招标过程或中标结果使自己的合法权益受到损害的，应当在知道或者应知其权益受到损害之日起七个工作日内，以书面形式向采购人、招标方提出质疑。投标人对招标方的质疑答复不满意或者招标方未在规定时间内作出答复的，可以在答复期满后十五个工作日内向同级采购监管部门投诉。</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3.采购人、招标方应当按照《浙江省政府采购供应商质疑处理办法》、中华人民共和国财政部第94号令《政府采购质疑和投诉办法》进行受理与答复质疑。</w:t>
      </w:r>
    </w:p>
    <w:p>
      <w:pPr>
        <w:pStyle w:val="2"/>
        <w:keepNext w:val="0"/>
        <w:keepLines w:val="0"/>
        <w:pageBreakBefore/>
        <w:spacing w:line="360" w:lineRule="auto"/>
        <w:jc w:val="center"/>
        <w:rPr>
          <w:rFonts w:hint="eastAsia" w:ascii="宋体" w:hAnsi="宋体" w:eastAsia="宋体" w:cs="宋体"/>
          <w:b/>
          <w:bCs/>
          <w:color w:val="auto"/>
          <w:sz w:val="24"/>
          <w:szCs w:val="24"/>
          <w:highlight w:val="none"/>
        </w:rPr>
      </w:pPr>
      <w:bookmarkStart w:id="41" w:name="_Toc458697268"/>
      <w:bookmarkStart w:id="42" w:name="_Toc454196066"/>
      <w:bookmarkStart w:id="43" w:name="_Toc29574"/>
      <w:r>
        <w:rPr>
          <w:rFonts w:hint="eastAsia" w:ascii="宋体" w:hAnsi="宋体" w:eastAsia="宋体" w:cs="宋体"/>
          <w:b/>
          <w:bCs/>
          <w:color w:val="auto"/>
          <w:sz w:val="24"/>
          <w:szCs w:val="24"/>
          <w:highlight w:val="none"/>
        </w:rPr>
        <w:t>二、招标文件</w:t>
      </w:r>
      <w:bookmarkEnd w:id="41"/>
      <w:bookmarkEnd w:id="42"/>
      <w:bookmarkEnd w:id="43"/>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（一）招标文件的构成。本招标文件由以下部分组成：</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1.招标公告</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2.招标需求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3.投标人须知</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4.评标办法及标准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5.合同主要条款</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6.投标文件格式</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7.本项目招标文件的澄清、答复、修改、补充的内容</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（二）投标人的风险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投标人没有按照招标文件要求提供全部资料，或者投标人没有对招标文件在各方面作出实质性响应是投标人的风险，并可能导致其投标被拒绝。</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（三）招标文件的澄清与修改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bCs/>
          <w:color w:val="auto"/>
          <w:sz w:val="24"/>
          <w:highlight w:val="none"/>
        </w:rPr>
        <w:t>投标人应认真阅读本招标文件，发现其中有误或有不合理要求的，投标人应当按照公开招标公告第</w:t>
      </w:r>
      <w:r>
        <w:rPr>
          <w:rFonts w:hint="eastAsia" w:ascii="宋体" w:hAnsi="宋体" w:eastAsia="宋体" w:cs="宋体"/>
          <w:bCs/>
          <w:color w:val="auto"/>
          <w:sz w:val="24"/>
          <w:highlight w:val="none"/>
          <w:lang w:eastAsia="zh-CN"/>
        </w:rPr>
        <w:t>三、</w:t>
      </w:r>
      <w:r>
        <w:rPr>
          <w:rFonts w:hint="eastAsia" w:ascii="宋体" w:hAnsi="宋体" w:cs="宋体"/>
          <w:bCs/>
          <w:color w:val="auto"/>
          <w:sz w:val="24"/>
          <w:highlight w:val="none"/>
          <w:lang w:val="en-US" w:eastAsia="zh-CN"/>
        </w:rPr>
        <w:t>七</w:t>
      </w:r>
      <w:r>
        <w:rPr>
          <w:rFonts w:hint="eastAsia" w:ascii="宋体" w:hAnsi="宋体" w:eastAsia="宋体" w:cs="宋体"/>
          <w:bCs/>
          <w:color w:val="auto"/>
          <w:sz w:val="24"/>
          <w:highlight w:val="none"/>
        </w:rPr>
        <w:t>条规定以书面形式要求招标方澄清</w:t>
      </w:r>
      <w:r>
        <w:rPr>
          <w:rFonts w:hint="eastAsia" w:ascii="宋体" w:hAnsi="宋体" w:eastAsia="宋体" w:cs="宋体"/>
          <w:color w:val="auto"/>
          <w:sz w:val="24"/>
          <w:highlight w:val="none"/>
        </w:rPr>
        <w:t>。招标方对已发出的招标文件进行必要澄清、答复、修改或补充的，应当在招标文件要求提交投标文件截止时间15日前，在财政部门指定的政府采购信息发布媒体上发布更正公告，并以书面形式通知所有招标文件收受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2.招标方必须以书面形式答复投标人要求澄清的问题，并将不包含问题来源的答复书面通知所有购买招标文件的投标人；除书面答复以外的其他澄清方式及澄清内容均无效。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3.招标文件澄清、答复、修改、补充的内容为招标文件的组成部分。当招标文件与招标文件的答复、澄清、修改、补充通知就同一内容的表述不一致时，以最后发出的书面文件为准。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4.招标文件的澄清、答复、修改或补充都应该通过本招标机构以法定形式发布，采购人非通过本机构，不得擅自澄清、答复、修改或补充招标文件。</w:t>
      </w:r>
    </w:p>
    <w:p>
      <w:pPr>
        <w:pStyle w:val="2"/>
        <w:keepNext w:val="0"/>
        <w:keepLines w:val="0"/>
        <w:pageBreakBefore/>
        <w:spacing w:line="360" w:lineRule="auto"/>
        <w:jc w:val="center"/>
        <w:rPr>
          <w:rFonts w:hint="eastAsia" w:ascii="宋体" w:hAnsi="宋体" w:eastAsia="宋体" w:cs="宋体"/>
          <w:b/>
          <w:bCs/>
          <w:color w:val="auto"/>
          <w:sz w:val="24"/>
          <w:szCs w:val="24"/>
          <w:highlight w:val="none"/>
        </w:rPr>
      </w:pPr>
      <w:bookmarkStart w:id="44" w:name="_Toc454196067"/>
      <w:bookmarkStart w:id="45" w:name="_Toc19669"/>
      <w:bookmarkStart w:id="46" w:name="_Toc458697269"/>
      <w:r>
        <w:rPr>
          <w:rFonts w:hint="eastAsia" w:ascii="宋体" w:hAnsi="宋体" w:eastAsia="宋体" w:cs="宋体"/>
          <w:b/>
          <w:bCs/>
          <w:color w:val="auto"/>
          <w:sz w:val="24"/>
          <w:szCs w:val="24"/>
          <w:highlight w:val="none"/>
        </w:rPr>
        <w:t>三、投标文件的编制</w:t>
      </w:r>
      <w:bookmarkEnd w:id="44"/>
      <w:bookmarkEnd w:id="45"/>
      <w:bookmarkEnd w:id="46"/>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▲（一）投标文件的组成</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投标文件由资格审查文件、商务技术文件、报价文件三部分组成。</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1.资格审查文件：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（1）具有独立承担民事责任的能力：投标人须在投标文件中出具符合以下情况的证明材料复印件（五选一）：</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①如投标人是企业（包括合伙企业），提供在工商部门注册的有效“企业法人营业执照”或“营业执照”；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②如投标人是事业单位，提供有效的“事业单位法人证书”；</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③如投标人是非企业专业服务机构的，提供执业许可证等证明文件；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④如投标人是个体工商户，提供有效的“个体工商户营业执照”；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⑤如投标人是自然人，提供有效的自然人身份证明（居民身份证正反面或公安机关出具的临时居民身份证正反面或港澳台胞证或护照）。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投标人具有</w:t>
      </w:r>
      <w:r>
        <w:rPr>
          <w:rFonts w:hint="eastAsia" w:ascii="宋体" w:hAnsi="宋体" w:eastAsia="宋体" w:cs="宋体"/>
          <w:color w:val="auto"/>
          <w:sz w:val="24"/>
          <w:highlight w:val="none"/>
        </w:rPr>
        <w:t>医疗器械经营许可证</w:t>
      </w:r>
      <w:r>
        <w:rPr>
          <w:rFonts w:hint="eastAsia" w:ascii="宋体" w:hAnsi="宋体" w:cs="宋体"/>
          <w:color w:val="auto"/>
          <w:sz w:val="24"/>
          <w:highlight w:val="none"/>
          <w:lang w:eastAsia="zh-CN"/>
        </w:rPr>
        <w:t>证书复印件</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）投标产品</w:t>
      </w:r>
      <w:r>
        <w:rPr>
          <w:rFonts w:hint="eastAsia" w:ascii="宋体" w:hAnsi="宋体" w:cs="宋体"/>
          <w:color w:val="auto"/>
          <w:sz w:val="24"/>
          <w:highlight w:val="none"/>
          <w:lang w:val="en-US" w:eastAsia="zh-CN"/>
        </w:rPr>
        <w:t>具有</w:t>
      </w:r>
      <w:r>
        <w:rPr>
          <w:rFonts w:hint="eastAsia" w:ascii="宋体" w:hAnsi="宋体" w:eastAsia="宋体" w:cs="宋体"/>
          <w:color w:val="auto"/>
          <w:sz w:val="24"/>
          <w:highlight w:val="none"/>
        </w:rPr>
        <w:t>医疗器械注册证</w:t>
      </w:r>
      <w:r>
        <w:rPr>
          <w:rFonts w:hint="eastAsia" w:ascii="宋体" w:hAnsi="宋体" w:cs="宋体"/>
          <w:color w:val="auto"/>
          <w:sz w:val="24"/>
          <w:highlight w:val="none"/>
          <w:lang w:eastAsia="zh-CN"/>
        </w:rPr>
        <w:t>证书复印件</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）具有制造商或国内总代理针对本次招标项目的有效授权书及该行业国家规定必备的资质、资格；（进口产品需提供厂家授权书，国产产品不需提供）</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）法定代表人身份证复印件或法定代表人授权委托书(格式见附件)；</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符合参加政府采购活动应当具备的一般条件的承诺函（格式见附件）；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信用记录网络查询页面截图（信用中国与中国政府采购网）；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）浙江政府采购网注册正式供应商的网络截图或承诺中标后30天内注册为浙江政府采购网正式供应商（须提供承诺书）；</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）东阳市政府采购代理机构社会评价表（格式见附件）</w:t>
      </w:r>
      <w:r>
        <w:rPr>
          <w:rFonts w:hint="eastAsia" w:ascii="宋体" w:hAnsi="宋体" w:cs="宋体"/>
          <w:color w:val="auto"/>
          <w:sz w:val="24"/>
          <w:highlight w:val="none"/>
          <w:lang w:eastAsia="zh-CN"/>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rPr>
        <w:t>）投标声明书 (格式见附件)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）政府采购活动现场确认声明书 (格式见附件) ；</w:t>
      </w:r>
    </w:p>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12</w:t>
      </w:r>
      <w:r>
        <w:rPr>
          <w:rFonts w:hint="eastAsia" w:ascii="宋体" w:hAnsi="宋体" w:cs="宋体"/>
          <w:color w:val="auto"/>
          <w:sz w:val="24"/>
          <w:highlight w:val="none"/>
          <w:lang w:eastAsia="zh-CN"/>
        </w:rPr>
        <w:t>）联合体协议书（联合体投标时提供）（格式见附件）；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）投标人情况介绍；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）投标人认为有必要提供的其它文件。</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2</w:t>
      </w:r>
      <w:r>
        <w:rPr>
          <w:rFonts w:hint="eastAsia" w:ascii="宋体" w:hAnsi="宋体" w:eastAsia="宋体" w:cs="宋体"/>
          <w:b/>
          <w:bCs/>
          <w:color w:val="auto"/>
          <w:sz w:val="24"/>
          <w:highlight w:val="none"/>
        </w:rPr>
        <w:t>.商务技术文件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（1）投标人资信商务、技术自评得分表（格式见附件）；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（2）商务响应表（格式见附件）；</w:t>
      </w:r>
    </w:p>
    <w:p>
      <w:pPr>
        <w:spacing w:line="360" w:lineRule="auto"/>
        <w:rPr>
          <w:rFonts w:hint="eastAsia" w:ascii="宋体" w:hAnsi="宋体"/>
          <w:color w:val="auto"/>
          <w:sz w:val="24"/>
          <w:highlight w:val="none"/>
        </w:rPr>
      </w:pPr>
      <w:r>
        <w:rPr>
          <w:rFonts w:hint="eastAsia" w:ascii="宋体" w:hAnsi="宋体" w:eastAsia="宋体" w:cs="宋体"/>
          <w:color w:val="auto"/>
          <w:sz w:val="24"/>
          <w:highlight w:val="none"/>
        </w:rPr>
        <w:t>（3）</w:t>
      </w:r>
      <w:r>
        <w:rPr>
          <w:rFonts w:hint="eastAsia" w:ascii="宋体" w:hAnsi="宋体"/>
          <w:color w:val="auto"/>
          <w:sz w:val="24"/>
          <w:highlight w:val="none"/>
        </w:rPr>
        <w:t>技术响应表（格式见附件）；</w:t>
      </w:r>
    </w:p>
    <w:p>
      <w:pPr>
        <w:spacing w:line="360" w:lineRule="auto"/>
        <w:rPr>
          <w:rFonts w:hint="eastAsia" w:ascii="宋体" w:hAnsi="宋体" w:eastAsia="宋体" w:cs="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4</w:t>
      </w:r>
      <w:r>
        <w:rPr>
          <w:rFonts w:hint="eastAsia" w:ascii="宋体" w:hAnsi="宋体"/>
          <w:color w:val="auto"/>
          <w:sz w:val="24"/>
          <w:highlight w:val="none"/>
          <w:lang w:eastAsia="zh-CN"/>
        </w:rPr>
        <w:t>）</w:t>
      </w:r>
      <w:r>
        <w:rPr>
          <w:rFonts w:hint="eastAsia" w:ascii="宋体" w:hAnsi="宋体" w:cs="宋体"/>
          <w:color w:val="auto"/>
          <w:sz w:val="24"/>
          <w:highlight w:val="none"/>
          <w:lang w:eastAsia="zh-CN"/>
        </w:rPr>
        <w:t>技术响应情况</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设备技术性能</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安装、调试、验收方案；</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培训方案</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质保期</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认证证书</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同类业绩；</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配件、耗材提供及备品备件情况</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售后服务保障</w:t>
      </w:r>
      <w:r>
        <w:rPr>
          <w:rFonts w:hint="eastAsia" w:ascii="宋体" w:hAnsi="宋体" w:eastAsia="宋体" w:cs="宋体"/>
          <w:color w:val="auto"/>
          <w:sz w:val="24"/>
          <w:highlight w:val="none"/>
        </w:rPr>
        <w:t>；</w:t>
      </w:r>
    </w:p>
    <w:p>
      <w:pPr>
        <w:spacing w:line="360" w:lineRule="auto"/>
        <w:rPr>
          <w:rFonts w:hint="eastAsia" w:eastAsia="宋体"/>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13</w:t>
      </w:r>
      <w:r>
        <w:rPr>
          <w:rFonts w:hint="eastAsia" w:ascii="宋体" w:hAnsi="宋体" w:cs="宋体"/>
          <w:color w:val="auto"/>
          <w:sz w:val="24"/>
          <w:highlight w:val="none"/>
          <w:lang w:eastAsia="zh-CN"/>
        </w:rPr>
        <w:t>）产品配置清单</w:t>
      </w:r>
      <w:r>
        <w:rPr>
          <w:rFonts w:hint="eastAsia" w:ascii="宋体" w:hAnsi="宋体" w:eastAsia="宋体" w:cs="宋体"/>
          <w:color w:val="auto"/>
          <w:sz w:val="24"/>
          <w:highlight w:val="none"/>
        </w:rPr>
        <w:t>（格式见附件）</w:t>
      </w:r>
      <w:r>
        <w:rPr>
          <w:rFonts w:hint="eastAsia" w:ascii="宋体" w:hAnsi="宋体" w:cs="宋体"/>
          <w:color w:val="auto"/>
          <w:sz w:val="24"/>
          <w:highlight w:val="none"/>
          <w:lang w:eastAsia="zh-CN"/>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）环保、节能产品；</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）服务费承诺书（格式见附件）；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）投标人需要说明的其他文件和说明。</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3</w:t>
      </w:r>
      <w:r>
        <w:rPr>
          <w:rFonts w:hint="eastAsia" w:ascii="宋体" w:hAnsi="宋体" w:eastAsia="宋体" w:cs="宋体"/>
          <w:b/>
          <w:bCs/>
          <w:color w:val="auto"/>
          <w:sz w:val="24"/>
          <w:highlight w:val="none"/>
        </w:rPr>
        <w:t>.报价文件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（1）投标函（格式见附件）；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）中小企业声明函（格式见附件）；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）监狱企业证明文件；</w:t>
      </w:r>
    </w:p>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残疾人福利性单位声明函（格式见附件）；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联合体协议书、</w:t>
      </w:r>
      <w:r>
        <w:rPr>
          <w:rFonts w:hint="eastAsia" w:ascii="宋体" w:hAnsi="宋体" w:cs="宋体"/>
          <w:color w:val="auto"/>
          <w:sz w:val="24"/>
          <w:highlight w:val="none"/>
          <w:lang w:val="en-US" w:eastAsia="zh-CN"/>
        </w:rPr>
        <w:t>分包意向协议；（联合体投标/分包时提供，格式见附件）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 xml:space="preserve">）开标一览表（格式见附件）； </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）投标人针对报价需要说明的其他文件和说明（格式自拟）。</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▲（二）投标文件的语言及计量</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2.投标计量单位，应采用中华人民共和国法定计量单位（货币单位：人民币元），否则视同未响应。</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▲（三）投标报价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1.投标报价应按招标文件中相关附表格式填写。</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报价是履行合同的最终价格，应包括产品购置费、随机配送（备品备件、另配件、专用工具）、运杂费、保险费、到货验收、保管、安装、调试、试运行、检验、培训费、验收、交付使用、保修期内的售后服务等完成本项目的一切费用及税金。投标人投标报价为投标人所能承受的整个项目的一次性最终最低报价，如有漏项，视同已包含在本项目投标报价中，合同单价和总价不做调整。</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（四）投标文件的有效期</w:t>
      </w:r>
    </w:p>
    <w:p>
      <w:pPr>
        <w:spacing w:line="360" w:lineRule="auto"/>
        <w:rPr>
          <w:rFonts w:hint="eastAsia" w:ascii="宋体" w:hAnsi="宋体" w:eastAsia="宋体" w:cs="宋体"/>
          <w:color w:val="auto"/>
          <w:sz w:val="24"/>
          <w:highlight w:val="none"/>
        </w:rPr>
      </w:pPr>
      <w:bookmarkStart w:id="47" w:name="_Toc405368930"/>
      <w:bookmarkStart w:id="48" w:name="_Toc450548873"/>
      <w:r>
        <w:rPr>
          <w:rFonts w:hint="eastAsia" w:ascii="宋体" w:hAnsi="宋体" w:eastAsia="宋体" w:cs="宋体"/>
          <w:color w:val="auto"/>
          <w:sz w:val="24"/>
          <w:highlight w:val="none"/>
        </w:rPr>
        <w:t>▲1.自投标截止日起</w:t>
      </w:r>
      <w:r>
        <w:rPr>
          <w:rFonts w:hint="eastAsia" w:ascii="宋体" w:hAnsi="宋体" w:eastAsia="宋体" w:cs="宋体"/>
          <w:color w:val="auto"/>
          <w:sz w:val="24"/>
          <w:highlight w:val="none"/>
          <w:u w:val="single"/>
        </w:rPr>
        <w:t>60</w:t>
      </w:r>
      <w:r>
        <w:rPr>
          <w:rFonts w:hint="eastAsia" w:ascii="宋体" w:hAnsi="宋体" w:eastAsia="宋体" w:cs="宋体"/>
          <w:color w:val="auto"/>
          <w:sz w:val="24"/>
          <w:highlight w:val="none"/>
        </w:rPr>
        <w:t>天投标文件应保持有效。有效期不足的投标文件将被拒绝。</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2.在特殊情况下，招标人可与投标人协商延长投标书的有效期，这种要求和答复均以书面形式进行。</w:t>
      </w:r>
    </w:p>
    <w:p>
      <w:pPr>
        <w:spacing w:line="360" w:lineRule="auto"/>
        <w:rPr>
          <w:rFonts w:hint="eastAsia" w:ascii="宋体" w:hAnsi="宋体" w:eastAsia="宋体" w:cs="宋体"/>
          <w:color w:val="auto"/>
          <w:sz w:val="24"/>
          <w:highlight w:val="none"/>
        </w:rPr>
      </w:pPr>
      <w:bookmarkStart w:id="49" w:name="_Toc407182105"/>
      <w:r>
        <w:rPr>
          <w:rFonts w:hint="eastAsia" w:ascii="宋体" w:hAnsi="宋体" w:eastAsia="宋体" w:cs="宋体"/>
          <w:color w:val="auto"/>
          <w:sz w:val="24"/>
          <w:highlight w:val="none"/>
        </w:rPr>
        <w:t>3.投标人可拒绝接受延期要求，若同意延长有效期的投标人，则不能修改投标文件。</w:t>
      </w:r>
      <w:bookmarkEnd w:id="49"/>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4.中标人的投标文件自开标之日起至合同履行完毕止均应保持有效。</w:t>
      </w:r>
    </w:p>
    <w:bookmarkEnd w:id="47"/>
    <w:bookmarkEnd w:id="48"/>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w:t>
      </w:r>
      <w:r>
        <w:rPr>
          <w:rFonts w:hint="eastAsia" w:ascii="宋体" w:hAnsi="宋体" w:cs="宋体"/>
          <w:b/>
          <w:color w:val="auto"/>
          <w:sz w:val="24"/>
          <w:highlight w:val="none"/>
          <w:lang w:val="en-US" w:eastAsia="zh-CN"/>
        </w:rPr>
        <w:t>五</w:t>
      </w:r>
      <w:r>
        <w:rPr>
          <w:rFonts w:hint="eastAsia" w:ascii="宋体" w:hAnsi="宋体" w:eastAsia="宋体" w:cs="宋体"/>
          <w:b/>
          <w:color w:val="auto"/>
          <w:sz w:val="24"/>
          <w:highlight w:val="none"/>
        </w:rPr>
        <w:t>）投标文件的签署和份数</w:t>
      </w:r>
    </w:p>
    <w:p>
      <w:pPr>
        <w:numPr>
          <w:ilvl w:val="0"/>
          <w:numId w:val="10"/>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应按本招标文件规定的格式和顺序编制投标文件并标注页码，因投标文件内容不完整、编排混乱、放弃关联点或关联点错误等原因导致投标文件被误读、漏读或者查找不到相关内容等风险由投标人自行承担。</w:t>
      </w:r>
    </w:p>
    <w:p>
      <w:pPr>
        <w:spacing w:line="360" w:lineRule="auto"/>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2</w:t>
      </w:r>
      <w:r>
        <w:rPr>
          <w:rFonts w:hint="eastAsia" w:ascii="宋体" w:hAnsi="宋体" w:eastAsia="宋体" w:cs="宋体"/>
          <w:b/>
          <w:color w:val="auto"/>
          <w:sz w:val="24"/>
          <w:highlight w:val="none"/>
        </w:rPr>
        <w:t>. 投标文件需盖章签字的地方必须由投标人法定代表人或法定代表人的授权委托人签署并加盖单位公章，投标人应写全称。</w:t>
      </w:r>
    </w:p>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.投标文件不得涂改，若有修改错漏处，须加盖单位公章和由法定代表人或授权委托人签字或盖章。投标文件因字迹潦草或表达不清所引起的后果由投标人负责。</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w:t>
      </w:r>
      <w:r>
        <w:rPr>
          <w:rFonts w:hint="eastAsia" w:ascii="宋体" w:hAnsi="宋体" w:cs="宋体"/>
          <w:b/>
          <w:color w:val="auto"/>
          <w:sz w:val="24"/>
          <w:highlight w:val="none"/>
          <w:lang w:val="en-US" w:eastAsia="zh-CN"/>
        </w:rPr>
        <w:t>六</w:t>
      </w:r>
      <w:r>
        <w:rPr>
          <w:rFonts w:hint="eastAsia" w:ascii="宋体" w:hAnsi="宋体" w:eastAsia="宋体" w:cs="宋体"/>
          <w:b/>
          <w:color w:val="auto"/>
          <w:sz w:val="24"/>
          <w:highlight w:val="none"/>
        </w:rPr>
        <w:t>）投标文件的上传、递交、修改和撤回</w:t>
      </w:r>
    </w:p>
    <w:p>
      <w:pPr>
        <w:spacing w:line="360" w:lineRule="auto"/>
        <w:ind w:firstLine="495"/>
        <w:rPr>
          <w:rFonts w:hint="eastAsia" w:ascii="宋体" w:hAnsi="宋体" w:eastAsia="宋体" w:cs="宋体"/>
          <w:color w:val="auto"/>
          <w:sz w:val="24"/>
          <w:highlight w:val="none"/>
        </w:rPr>
      </w:pPr>
      <w:r>
        <w:rPr>
          <w:rFonts w:hint="eastAsia" w:ascii="宋体" w:hAnsi="宋体" w:eastAsia="宋体" w:cs="宋体"/>
          <w:color w:val="auto"/>
          <w:sz w:val="24"/>
          <w:highlight w:val="none"/>
        </w:rPr>
        <w:t>1. 投标人应当在投标截止时间前在“政采云”（电子交易平台）上自行上传加密的电子投标文件。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2.未按规定上传的投标文件将被拒绝，由此造成投标文件解密失败或被误投的风险由投标人承担。</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 投标人未在“政采云”（电子交易平台）上自行上传加密的电子投标文件，仅提交电子备份投标文件的，投标无效。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上传的投标响应文件，将被政采云平台拒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在投标截止时间之前，可以对已提交的电子备份投标文件进行修改或撤回，并书面通知招标采购单位；修改后重新递交的电子备份投标文件应当按本招标文件的要求签署、盖章。投标截止时间后，投标人不得撤回、修改电子备份投标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 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 电子投标文件无法解密或解密失败时，投标人提供了电子备份投标文件的，以电子备份投标文件作为评审依据，否则视为投标文件撤回。投标文件已按时解密的，电子备份投标文件自动失效。</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w:t>
      </w:r>
      <w:r>
        <w:rPr>
          <w:rFonts w:hint="eastAsia" w:ascii="宋体" w:hAnsi="宋体" w:cs="宋体"/>
          <w:b/>
          <w:color w:val="auto"/>
          <w:sz w:val="24"/>
          <w:highlight w:val="none"/>
          <w:lang w:val="en-US" w:eastAsia="zh-CN"/>
        </w:rPr>
        <w:t>七</w:t>
      </w:r>
      <w:r>
        <w:rPr>
          <w:rFonts w:hint="eastAsia" w:ascii="宋体" w:hAnsi="宋体" w:eastAsia="宋体" w:cs="宋体"/>
          <w:b/>
          <w:color w:val="auto"/>
          <w:sz w:val="24"/>
          <w:highlight w:val="none"/>
        </w:rPr>
        <w:t>）投标无效的情形</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限期内不补正或经补正后仍不符合招标文件要求的，应认定其投标无效。投标人修改、补正投标文件后，不影响评标委员会对其投标文件所作的评价和评分结果。</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1.在符合性审查和商务评审时，如发现下列情形之一的，投标文件将被视为无效：</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）投标人仅提交电子备份投标文件的；</w:t>
      </w:r>
    </w:p>
    <w:p>
      <w:pPr>
        <w:spacing w:line="360" w:lineRule="auto"/>
        <w:ind w:firstLine="120" w:firstLine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 在开评标时出现电子投标文件无法解密或解密失败等情况，投标人未提供电子备份投标文件，无法对投标人继续进行评审的；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）投标人未在规定的时间内对电子询标函进行澄清回复、拒绝澄清回复或澄清回复的内容改变了投标文件的实质性内容的；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 xml:space="preserve">）网上下载的证明文件，不能通过真实性验证的（发现提供虚假资料的，按照提供虚假资料处理）；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）资格证明文件不全的，或者不符合招标文件标明的资格要求的，及未提供招标文件中标有“*”、“ ▲”、“※”、“★”等特殊符号的证明文件的；</w:t>
      </w:r>
    </w:p>
    <w:p>
      <w:pPr>
        <w:keepNext w:val="0"/>
        <w:keepLines w:val="0"/>
        <w:pageBreakBefore w:val="0"/>
        <w:widowControl w:val="0"/>
        <w:kinsoku/>
        <w:wordWrap/>
        <w:overflowPunct/>
        <w:topLinePunct w:val="0"/>
        <w:autoSpaceDE/>
        <w:autoSpaceDN/>
        <w:bidi w:val="0"/>
        <w:adjustRightInd/>
        <w:spacing w:line="45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本项目投标截止之日前三年内，相关主体在“信用中国”网站、中国政府采购网有失信行为或被列入受惩黑名单。</w:t>
      </w:r>
    </w:p>
    <w:p>
      <w:pPr>
        <w:pStyle w:val="10"/>
        <w:rPr>
          <w:rFonts w:hint="eastAsia"/>
          <w:color w:val="auto"/>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）投标文件无法定代表人签字,或未提供法定代表人授权委托书、投标声明书或者填写项目不齐全的；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 xml:space="preserve">）投标代表人未能出具身份证明或与法定代表人授权委托人身份不符的；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）投标文件格式未按招标文件附件规定的格式、未按招标文件规定的内容编制投标文件的或者内容虚假的、未按规定签字或盖章的；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rPr>
        <w:t>）投标文件的实质性内容未使用中文表述的或意思表述不明确、前后矛盾的或者使用计量单位不符合招标文件要求的（经评标委员会认定并允许其当场更正的笔误除外）；</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）投标有效期、服务期（交货期）、质保期、付款方式等商务条款不能满足招标文件要求的；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）未实质性响应招标文件要求或者投标文件有招标方不能接受的附加条件的；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）招标文件规定的其它投标无效的情况；</w:t>
      </w:r>
    </w:p>
    <w:p>
      <w:pPr>
        <w:tabs>
          <w:tab w:val="left" w:pos="401"/>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）法律、法规规定的其它投标无效情况。</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2.在技术资信评审时，如发现下列情形之一的，投标文件将被视为无效：</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（1）投标人未在规定的时间内对电子询标函进行澄清回复、拒绝澄清回复或澄清回复的内容改变了投标文件的实质性内容的；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（2）投标文件标明的响应或偏离与事实不符的或虚假投标的；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（3）明显不符合招标文件质量标准的，或者与招标文件中标有“*”、“ ▲”、“※”、“★”等特殊符号的技术指标、主要功能项目发生实质性偏离的；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（4）招标文件中允许偏离的技术、性能指标或者辅助功能发生较大负偏离的，经评标委员会认定对项目实际使用造成影响的；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（5）投标技术方案不明确，存在一个或一个以上备选（替代）投标方案的；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（6）与其他参加本次投标供应商的投标文件的文字表述内容相同连续20行以上或者差错相同2处以上的；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（7）在资信及商务标、技术标内出现商务报价；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（8）招标文件规定的其它投标无效的情况；</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（9）法律、法规规定的其它投标无效情况。</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3.在报价评审时，如发现下列情形之一的，投标文件将被视为无效：</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（1）投标人未在规定的时间内对电子询标函进行澄清回复、拒绝澄清回复或者澄清回复的内容改变了投标文件的实质性内容的；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（2）未</w:t>
      </w:r>
      <w:r>
        <w:rPr>
          <w:rFonts w:hint="eastAsia" w:ascii="宋体" w:hAnsi="宋体" w:cs="宋体"/>
          <w:color w:val="auto"/>
          <w:sz w:val="24"/>
          <w:highlight w:val="none"/>
          <w:lang w:val="en-US" w:eastAsia="zh-CN"/>
        </w:rPr>
        <w:t>填写投标报价或未</w:t>
      </w:r>
      <w:r>
        <w:rPr>
          <w:rFonts w:hint="eastAsia" w:ascii="宋体" w:hAnsi="宋体" w:eastAsia="宋体" w:cs="宋体"/>
          <w:color w:val="auto"/>
          <w:sz w:val="24"/>
          <w:highlight w:val="none"/>
        </w:rPr>
        <w:t>采用人民币报价或者未按照招标文件标明的币种报价的；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（3）投标报价具有选择性的，或者开标价格与投标文件承诺的优惠（折扣）价格不一致的；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（4）报价</w:t>
      </w:r>
      <w:r>
        <w:rPr>
          <w:rFonts w:hint="eastAsia" w:ascii="宋体" w:hAnsi="宋体" w:cs="宋体"/>
          <w:color w:val="auto"/>
          <w:sz w:val="24"/>
          <w:highlight w:val="none"/>
          <w:lang w:val="en-US" w:eastAsia="zh-CN"/>
        </w:rPr>
        <w:t>高于</w:t>
      </w:r>
      <w:r>
        <w:rPr>
          <w:rFonts w:hint="eastAsia" w:ascii="宋体" w:hAnsi="宋体" w:eastAsia="宋体" w:cs="宋体"/>
          <w:color w:val="auto"/>
          <w:sz w:val="24"/>
          <w:highlight w:val="none"/>
        </w:rPr>
        <w:t>用户设定的最高限价或预算金额的；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（5）招标文件规定的其它投标无效的情况；</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（6）法律、法规规定的其它投标无效情况。</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4.被拒绝的投标文件为无效。</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5.根据有关法律、法规规定为无效、废标的，按法律、法规规定执行。</w:t>
      </w:r>
    </w:p>
    <w:p>
      <w:pPr>
        <w:pStyle w:val="2"/>
        <w:keepNext w:val="0"/>
        <w:keepLines w:val="0"/>
        <w:pageBreakBefore/>
        <w:spacing w:line="360" w:lineRule="auto"/>
        <w:jc w:val="center"/>
        <w:rPr>
          <w:rFonts w:hint="eastAsia" w:ascii="宋体" w:hAnsi="宋体" w:eastAsia="宋体" w:cs="宋体"/>
          <w:b/>
          <w:bCs/>
          <w:color w:val="auto"/>
          <w:sz w:val="24"/>
          <w:szCs w:val="24"/>
          <w:highlight w:val="none"/>
        </w:rPr>
      </w:pPr>
      <w:bookmarkStart w:id="50" w:name="_Toc25729"/>
      <w:bookmarkStart w:id="51" w:name="_Toc458697270"/>
      <w:r>
        <w:rPr>
          <w:rFonts w:hint="eastAsia" w:ascii="宋体" w:hAnsi="宋体" w:eastAsia="宋体" w:cs="宋体"/>
          <w:b/>
          <w:bCs/>
          <w:color w:val="auto"/>
          <w:sz w:val="24"/>
          <w:szCs w:val="24"/>
          <w:highlight w:val="none"/>
        </w:rPr>
        <w:t>四、开标</w:t>
      </w:r>
      <w:bookmarkEnd w:id="50"/>
      <w:bookmarkEnd w:id="51"/>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（一）开标准备   </w:t>
      </w:r>
    </w:p>
    <w:p>
      <w:pPr>
        <w:spacing w:line="360" w:lineRule="auto"/>
        <w:ind w:firstLine="720" w:firstLineChars="3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采购代理机构将在规定的时间和地点进行电子开标，投标人的法定代表人或其委托代理人【委托代理人应当是投标人的在职正式职工（以投标人本单位缴纳社保花名册为准）】应做好投标准备，准时在线参加电子开标会议，随时关注开标进度。</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（二）电子招投标开标程序</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1.开标会由招标代理机构主持，主持人宣布开标会议开始；</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2.主持人宣布评标室会议纪律及评标期间的有关事项；告知应当回避的情形,提请有关人员回避；</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3.开标及评审程序</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3.1在开标时间截止后30分钟内由各投标人自行对投标文件进行解密；</w:t>
      </w:r>
    </w:p>
    <w:p>
      <w:pPr>
        <w:spacing w:line="360" w:lineRule="auto"/>
        <w:ind w:left="480" w:hanging="480" w:hanging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3.2由采购人进行资格审查，通过资格审查的投标人进入商务技术响应文件进行评审；</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3.3系统对各投标人的商务技术进行汇总</w:t>
      </w:r>
      <w:r>
        <w:rPr>
          <w:rFonts w:hint="eastAsia" w:ascii="宋体" w:hAnsi="宋体" w:cs="宋体"/>
          <w:color w:val="auto"/>
          <w:sz w:val="24"/>
          <w:szCs w:val="24"/>
          <w:highlight w:val="none"/>
          <w:lang w:eastAsia="zh-CN"/>
        </w:rPr>
        <w:t>并公布商务技术得分</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3.4在系统上公开报价开标情况；</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3.5评标委员会对报价情况进行评审；</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3.6在系统上公布评审结果。</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特别说明：政采云公司如对电子化开标及评审程序有调整的，按调整后的程序操作。</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4、本项目采用政采云电子招投标开标及评审程序，开评标时出现电子投标文件无法解密或解密失败等情况时，采购代理机构可上传投标人的电子备份投标文件继续评审。</w:t>
      </w:r>
    </w:p>
    <w:p>
      <w:pPr>
        <w:pStyle w:val="2"/>
        <w:keepNext w:val="0"/>
        <w:keepLines w:val="0"/>
        <w:pageBreakBefore/>
        <w:spacing w:line="360" w:lineRule="auto"/>
        <w:jc w:val="center"/>
        <w:rPr>
          <w:rFonts w:hint="eastAsia" w:ascii="宋体" w:hAnsi="宋体" w:eastAsia="宋体" w:cs="宋体"/>
          <w:b/>
          <w:bCs/>
          <w:color w:val="auto"/>
          <w:sz w:val="24"/>
          <w:szCs w:val="24"/>
          <w:highlight w:val="none"/>
        </w:rPr>
      </w:pPr>
      <w:bookmarkStart w:id="52" w:name="_Toc458697271"/>
      <w:bookmarkStart w:id="53" w:name="_Toc21538"/>
      <w:r>
        <w:rPr>
          <w:rFonts w:hint="eastAsia" w:ascii="宋体" w:hAnsi="宋体" w:eastAsia="宋体" w:cs="宋体"/>
          <w:b/>
          <w:bCs/>
          <w:color w:val="auto"/>
          <w:sz w:val="24"/>
          <w:szCs w:val="24"/>
          <w:highlight w:val="none"/>
        </w:rPr>
        <w:t>五、评标</w:t>
      </w:r>
      <w:bookmarkEnd w:id="52"/>
      <w:bookmarkEnd w:id="53"/>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（一）组建评标委员会</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本项目评标委员会由政府采购评审专家</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rPr>
        <w:t>人和采购人代表</w:t>
      </w:r>
      <w:r>
        <w:rPr>
          <w:rFonts w:hint="eastAsia" w:ascii="宋体" w:hAnsi="宋体" w:cs="宋体"/>
          <w:color w:val="auto"/>
          <w:sz w:val="24"/>
          <w:highlight w:val="none"/>
          <w:u w:val="single"/>
          <w:lang w:val="en-US" w:eastAsia="zh-CN"/>
        </w:rPr>
        <w:t>1</w:t>
      </w:r>
      <w:r>
        <w:rPr>
          <w:rFonts w:hint="eastAsia" w:ascii="宋体" w:hAnsi="宋体" w:eastAsia="宋体" w:cs="宋体"/>
          <w:color w:val="auto"/>
          <w:sz w:val="24"/>
          <w:highlight w:val="none"/>
        </w:rPr>
        <w:t>人,共</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人组成。（允许采购人不推荐采购人代表参加，如采购人不推荐采购人代表参加评审时，评标委员会（</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人）都从评标专家库中抽取）。</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（二）评标的方式</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本项目采用不公开方式评标，评标的依据为招标文件和投标文件。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（三）评标程序</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1.形式审查</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招标方工作人员协助评标委员会对投标人的商务技术文件、报价投标文件的完整性、合法性等进行审查。</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2.实质审查与比较</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（1）评标委员会审查投标文件的实质性内容是否符合招标文件的实质性要求。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（2）评标委员会将对投标人的投标文件进行审查、核对,如有疑问,将对投标人进行电子询标,投标人须在规定的时间内向评标委员会澄清有关问题,并在政采云上进行询标答复。</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投标人代表未在规定的时间内进行澄清、拒绝澄清或者澄清的内容改变了投标文件的实质性内容的，评标委员会有权对该投标文件作出不利于投标人的评判。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（3）各投标人的技术得分为所有评委的有效评分的算术平均数，由指定专人进行计算复核。</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（4）招标方工作人员协助评标委员会审核商务报价有无计算错误，并根据本项目的评分标准计算各投标人的商务报价得分。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（5）评标委员会完成评标后, 招标方工作人员对系统中的得分汇总进行复核,计算出本项目最终得分，评标委员会按评标原则推荐中标候选人并起草评标报告。</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（四）澄清问题的形式</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对投标文件中含义不明确、同类问题表述不一致或者有明显文字和计算错误的内容，评标委员会可要求投标人作出必要的澄清、说明或者纠正，投标人应在询标规定时间内进行澄清或说明（需盖CA电子签章或实体公章），并不得超出投标文件的范围或者改变投标文件的实质性内容。</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（五）错误修正</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投标文件如果出现计算或表达上的错误，修正错误的原则如下：</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1.投标文件中开标一览表（报价表）内容与与投标文件中相应内容不一致的，以开标一览表（报价表）为准；</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2.大写金额和小写金额不一致的，以大写金额为准；</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3.单价金额小数点或者百分比有明显错位的，以开标一览表的总价为准，并修改单价；</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4.总价金额与按单价汇总金额不一致的，以单价金额计算结果为准；</w:t>
      </w:r>
    </w:p>
    <w:p>
      <w:pPr>
        <w:pStyle w:val="35"/>
        <w:spacing w:line="360" w:lineRule="auto"/>
        <w:ind w:left="0" w:leftChars="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5.政采云系统投标报价与投标文件中开标一览表（报价表）相应内容不一致的，以开标一览表（报价表）为准。</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6.对不同文字文本投标文件的解释发生异议的，以中文文本为准。</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同时出现两种以上不一致的，按照前款规定的顺序修正。修正后的报价按照《政府采购货物和服务招标投标管理办法》（第87号令）第五十一条第二款规定：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pPr>
        <w:spacing w:line="360" w:lineRule="auto"/>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（六）评标原则和评标办法</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评审专家必须公平、公正评审，遵纪守法，客观、廉洁地履行职责。</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评审专家在评审开始前，应关闭并上交随身携带的各种通信工具。</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评审专家在评审过程中，未经许可不得中途离开评审现场，不得迟到早退。</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评审专家和工作人员不得透露评审过程中的讨论情况和评审结果。</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6.采购人、采购代理机构不得向评审委员会的评审专家作倾向性、误导性的解释或者说明。</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评审专家在评审过程中不得将自己的观点强加给其他评审专家，评审专家应自主发表见解，对评审意见承担个人责任。</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10.</w:t>
      </w:r>
      <w:r>
        <w:rPr>
          <w:rFonts w:hint="eastAsia" w:ascii="宋体" w:hAnsi="宋体" w:cs="宋体"/>
          <w:color w:val="auto"/>
          <w:sz w:val="24"/>
          <w:highlight w:val="none"/>
        </w:rPr>
        <w:t>评审专家应当独立、客观、公正地提出评审意见，不得带有倾向性，不得影响其他评审专家评审，并在评审报告上签字；如对评审报告有异议的，可在报告上签署不同意见，并说明理由，否则将视为同意。</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11.</w:t>
      </w:r>
      <w:r>
        <w:rPr>
          <w:rFonts w:hint="eastAsia" w:ascii="宋体" w:hAnsi="宋体" w:cs="宋体"/>
          <w:color w:val="auto"/>
          <w:sz w:val="24"/>
          <w:highlight w:val="none"/>
        </w:rPr>
        <w:t>评审专家应当遵守评审工作纪律，不得泄露评审文件、评审情况和评审中获悉的商业秘密。</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评审委员会在评审过程中发现投标人有行贿、提供虚假材料或者串通等违法行为的，应当及时向财政部门报告。</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12.</w:t>
      </w:r>
      <w:r>
        <w:rPr>
          <w:rFonts w:hint="eastAsia" w:ascii="宋体" w:hAnsi="宋体" w:cs="宋体"/>
          <w:color w:val="auto"/>
          <w:sz w:val="24"/>
          <w:highlight w:val="none"/>
        </w:rPr>
        <w:t>招标文件内容违反国家有关强制性规定的，评审委员会应当停止评审并向采购代理机构说明情况。</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13.</w:t>
      </w:r>
      <w:r>
        <w:rPr>
          <w:rFonts w:hint="eastAsia" w:ascii="宋体" w:hAnsi="宋体" w:cs="宋体"/>
          <w:color w:val="auto"/>
          <w:sz w:val="24"/>
          <w:highlight w:val="none"/>
        </w:rPr>
        <w:t>评审专家应当配合采购代理机构答复投标人提出的质疑。</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14.</w:t>
      </w:r>
      <w:r>
        <w:rPr>
          <w:rFonts w:hint="eastAsia" w:ascii="宋体" w:hAnsi="宋体" w:cs="宋体"/>
          <w:color w:val="auto"/>
          <w:sz w:val="24"/>
          <w:highlight w:val="none"/>
        </w:rPr>
        <w:t>评审专家应当配合财政部门的投诉处理工作。</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15.</w:t>
      </w:r>
      <w:r>
        <w:rPr>
          <w:rFonts w:hint="eastAsia" w:ascii="宋体" w:hAnsi="宋体" w:cs="宋体"/>
          <w:color w:val="auto"/>
          <w:sz w:val="24"/>
          <w:highlight w:val="none"/>
        </w:rPr>
        <w:t>评审专家有如下行为之一的，责令改正，给予警告，可以并处一千元以下的罚款：</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①</w:t>
      </w:r>
      <w:r>
        <w:rPr>
          <w:rFonts w:hint="eastAsia" w:ascii="宋体" w:hAnsi="宋体" w:cs="宋体"/>
          <w:color w:val="auto"/>
          <w:sz w:val="24"/>
          <w:highlight w:val="none"/>
        </w:rPr>
        <w:t>明知应当回避而未主动回避的；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②</w:t>
      </w:r>
      <w:r>
        <w:rPr>
          <w:rFonts w:hint="eastAsia" w:ascii="宋体" w:hAnsi="宋体" w:cs="宋体"/>
          <w:color w:val="auto"/>
          <w:sz w:val="24"/>
          <w:highlight w:val="none"/>
        </w:rPr>
        <w:t>在</w:t>
      </w:r>
      <w:r>
        <w:rPr>
          <w:rFonts w:hint="eastAsia" w:ascii="宋体" w:hAnsi="宋体" w:cs="宋体"/>
          <w:color w:val="auto"/>
          <w:sz w:val="24"/>
          <w:highlight w:val="none"/>
          <w:lang w:eastAsia="zh-CN"/>
        </w:rPr>
        <w:t>得知</w:t>
      </w:r>
      <w:r>
        <w:rPr>
          <w:rFonts w:hint="eastAsia" w:ascii="宋体" w:hAnsi="宋体" w:cs="宋体"/>
          <w:color w:val="auto"/>
          <w:sz w:val="24"/>
          <w:highlight w:val="none"/>
        </w:rPr>
        <w:t>自己为评审专家身份后至评审结束前时段内私下接触投标人的；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③</w:t>
      </w:r>
      <w:r>
        <w:rPr>
          <w:rFonts w:hint="eastAsia" w:ascii="宋体" w:hAnsi="宋体" w:cs="宋体"/>
          <w:color w:val="auto"/>
          <w:sz w:val="24"/>
          <w:highlight w:val="none"/>
        </w:rPr>
        <w:t>在评审过程中擅离职守，影响评审程序正常进行的；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④</w:t>
      </w:r>
      <w:r>
        <w:rPr>
          <w:rFonts w:hint="eastAsia" w:ascii="宋体" w:hAnsi="宋体" w:cs="宋体"/>
          <w:color w:val="auto"/>
          <w:sz w:val="24"/>
          <w:highlight w:val="none"/>
        </w:rPr>
        <w:t>在评审过程有明显不合理或者不正当倾向性的；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⑤</w:t>
      </w:r>
      <w:r>
        <w:rPr>
          <w:rFonts w:hint="eastAsia" w:ascii="宋体" w:hAnsi="宋体" w:cs="宋体"/>
          <w:color w:val="auto"/>
          <w:sz w:val="24"/>
          <w:highlight w:val="none"/>
        </w:rPr>
        <w:t>未按招标文件规定的评审方法和标准进行评审的。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⑥</w:t>
      </w:r>
      <w:r>
        <w:rPr>
          <w:rFonts w:hint="eastAsia" w:ascii="宋体" w:hAnsi="宋体" w:cs="宋体"/>
          <w:color w:val="auto"/>
          <w:sz w:val="24"/>
          <w:highlight w:val="none"/>
        </w:rPr>
        <w:t>上述</w:t>
      </w:r>
      <w:r>
        <w:rPr>
          <w:rFonts w:hint="eastAsia" w:ascii="宋体" w:hAnsi="宋体" w:cs="宋体"/>
          <w:color w:val="auto"/>
          <w:sz w:val="24"/>
          <w:highlight w:val="none"/>
          <w:lang w:eastAsia="zh-CN"/>
        </w:rPr>
        <w:t>①</w:t>
      </w:r>
      <w:r>
        <w:rPr>
          <w:rFonts w:hint="eastAsia" w:ascii="宋体" w:hAnsi="宋体" w:cs="宋体"/>
          <w:color w:val="auto"/>
          <w:sz w:val="24"/>
          <w:highlight w:val="none"/>
        </w:rPr>
        <w:t>至</w:t>
      </w:r>
      <w:r>
        <w:rPr>
          <w:rFonts w:hint="eastAsia" w:ascii="宋体" w:hAnsi="宋体" w:cs="宋体"/>
          <w:color w:val="auto"/>
          <w:sz w:val="24"/>
          <w:highlight w:val="none"/>
          <w:lang w:eastAsia="zh-CN"/>
        </w:rPr>
        <w:t>⑤</w:t>
      </w:r>
      <w:r>
        <w:rPr>
          <w:rFonts w:hint="eastAsia" w:ascii="宋体" w:hAnsi="宋体" w:cs="宋体"/>
          <w:color w:val="auto"/>
          <w:sz w:val="24"/>
          <w:highlight w:val="none"/>
        </w:rPr>
        <w:t>行为影响中标结果的，中标结果无效。</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16.</w:t>
      </w:r>
      <w:r>
        <w:rPr>
          <w:rFonts w:hint="eastAsia" w:ascii="宋体" w:hAnsi="宋体" w:cs="宋体"/>
          <w:color w:val="auto"/>
          <w:sz w:val="24"/>
          <w:highlight w:val="none"/>
        </w:rPr>
        <w:t>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政府采购评审专家与投标人存在利害关系未回避的，处2万元以上5万元以下的罚款，禁止其参加政府采购评审活动。</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政府采购评审专家收受采购人、采购代理机构、投标人贿赂或者获取其他不正当利益，构成犯罪的，依法追究刑事责任；尚不构成犯罪的，处2万元以上5万元以下的罚款，禁止其参加政府采购评审活动。</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政府采购评审专家有上述违法行为的，其评审意见无效，不得获取评审费；有违法所得的，没收违法所得；给他人造成损失的，依法承担民事责任。</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17</w:t>
      </w:r>
      <w:r>
        <w:rPr>
          <w:rFonts w:hint="eastAsia" w:ascii="宋体" w:hAnsi="宋体" w:cs="宋体"/>
          <w:color w:val="auto"/>
          <w:sz w:val="24"/>
          <w:highlight w:val="none"/>
        </w:rPr>
        <w:t>.评标办法。</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本项目评标办法是：综合评分法，具体评标内容及评分标准等详见《第四章：评标办法及评分标准》。</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（七）评标过程的监控</w:t>
      </w:r>
    </w:p>
    <w:p>
      <w:pPr>
        <w:spacing w:line="360" w:lineRule="auto"/>
        <w:ind w:firstLine="120" w:firstLine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本项目评标过程实行全程录音、录像监控，投标人在评标过程中所进行的试图影响评标结果的不公正活动，可能导致其投标被拒绝。</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（八）其他</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采购过程中出现以下情形，导致电子交易平台无法正常运行，或者无法保证电子交易的公平、公正和安全时，采购组织机构可中止电子交易活动：</w:t>
      </w:r>
    </w:p>
    <w:p>
      <w:pPr>
        <w:spacing w:line="360" w:lineRule="auto"/>
        <w:ind w:firstLine="352" w:firstLineChars="147"/>
        <w:rPr>
          <w:rFonts w:hint="eastAsia" w:ascii="宋体" w:hAnsi="宋体" w:eastAsia="宋体" w:cs="宋体"/>
          <w:color w:val="auto"/>
          <w:sz w:val="24"/>
          <w:highlight w:val="none"/>
        </w:rPr>
      </w:pPr>
      <w:r>
        <w:rPr>
          <w:rFonts w:hint="eastAsia" w:ascii="宋体" w:hAnsi="宋体" w:eastAsia="宋体" w:cs="宋体"/>
          <w:color w:val="auto"/>
          <w:sz w:val="24"/>
          <w:highlight w:val="none"/>
        </w:rPr>
        <w:t>1、电子交易平台发生故障而无法登录访问的；</w:t>
      </w:r>
    </w:p>
    <w:p>
      <w:pPr>
        <w:spacing w:line="360" w:lineRule="auto"/>
        <w:ind w:firstLine="352" w:firstLineChars="147"/>
        <w:rPr>
          <w:rFonts w:hint="eastAsia" w:ascii="宋体" w:hAnsi="宋体" w:eastAsia="宋体" w:cs="宋体"/>
          <w:color w:val="auto"/>
          <w:sz w:val="24"/>
          <w:highlight w:val="none"/>
        </w:rPr>
      </w:pPr>
      <w:r>
        <w:rPr>
          <w:rFonts w:hint="eastAsia" w:ascii="宋体" w:hAnsi="宋体" w:eastAsia="宋体" w:cs="宋体"/>
          <w:color w:val="auto"/>
          <w:sz w:val="24"/>
          <w:highlight w:val="none"/>
        </w:rPr>
        <w:t>2、电子交易平台应用或数据库出现错误，不能进行正常操作的；</w:t>
      </w:r>
    </w:p>
    <w:p>
      <w:pPr>
        <w:spacing w:line="360" w:lineRule="auto"/>
        <w:ind w:firstLine="352" w:firstLineChars="147"/>
        <w:rPr>
          <w:rFonts w:hint="eastAsia" w:ascii="宋体" w:hAnsi="宋体" w:eastAsia="宋体" w:cs="宋体"/>
          <w:color w:val="auto"/>
          <w:sz w:val="24"/>
          <w:highlight w:val="none"/>
        </w:rPr>
      </w:pPr>
      <w:r>
        <w:rPr>
          <w:rFonts w:hint="eastAsia" w:ascii="宋体" w:hAnsi="宋体" w:eastAsia="宋体" w:cs="宋体"/>
          <w:color w:val="auto"/>
          <w:sz w:val="24"/>
          <w:highlight w:val="none"/>
        </w:rPr>
        <w:t>3、电子交易平台发现严重安全漏洞，有潜在泄密危险的；</w:t>
      </w:r>
    </w:p>
    <w:p>
      <w:pPr>
        <w:spacing w:line="360" w:lineRule="auto"/>
        <w:ind w:firstLine="352" w:firstLineChars="147"/>
        <w:rPr>
          <w:rFonts w:hint="eastAsia" w:ascii="宋体" w:hAnsi="宋体" w:eastAsia="宋体" w:cs="宋体"/>
          <w:color w:val="auto"/>
          <w:sz w:val="24"/>
          <w:highlight w:val="none"/>
        </w:rPr>
      </w:pPr>
      <w:r>
        <w:rPr>
          <w:rFonts w:hint="eastAsia" w:ascii="宋体" w:hAnsi="宋体" w:eastAsia="宋体" w:cs="宋体"/>
          <w:color w:val="auto"/>
          <w:sz w:val="24"/>
          <w:highlight w:val="none"/>
        </w:rPr>
        <w:t>4、病毒发作导致不能进行正常操作的；</w:t>
      </w:r>
    </w:p>
    <w:p>
      <w:pPr>
        <w:spacing w:line="360" w:lineRule="auto"/>
        <w:ind w:firstLine="352" w:firstLineChars="147"/>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5、其他无法保证电子交易的公平、公正和安全的情况。</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出现前款规定情形，不影响采购公平、公正性的，采购组织机构可以待上述情形消除后继续组织电子交易活动；影响或可能影响采购公平、公正性的，应当重新采购。</w:t>
      </w:r>
    </w:p>
    <w:p>
      <w:pPr>
        <w:pStyle w:val="2"/>
        <w:keepNext w:val="0"/>
        <w:keepLines w:val="0"/>
        <w:pageBreakBefore/>
        <w:spacing w:line="360" w:lineRule="auto"/>
        <w:jc w:val="center"/>
        <w:rPr>
          <w:rFonts w:hint="eastAsia" w:ascii="宋体" w:hAnsi="宋体" w:eastAsia="宋体" w:cs="宋体"/>
          <w:b/>
          <w:bCs/>
          <w:color w:val="auto"/>
          <w:sz w:val="24"/>
          <w:szCs w:val="24"/>
          <w:highlight w:val="none"/>
        </w:rPr>
      </w:pPr>
      <w:bookmarkStart w:id="54" w:name="_Toc15619"/>
      <w:bookmarkStart w:id="55" w:name="_Toc458697272"/>
      <w:r>
        <w:rPr>
          <w:rFonts w:hint="eastAsia" w:ascii="宋体" w:hAnsi="宋体" w:eastAsia="宋体" w:cs="宋体"/>
          <w:b/>
          <w:bCs/>
          <w:color w:val="auto"/>
          <w:sz w:val="24"/>
          <w:szCs w:val="24"/>
          <w:highlight w:val="none"/>
        </w:rPr>
        <w:t>六、定标</w:t>
      </w:r>
      <w:bookmarkEnd w:id="54"/>
      <w:bookmarkEnd w:id="55"/>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（一）确定中标人 </w:t>
      </w:r>
    </w:p>
    <w:p>
      <w:pPr>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本项目由采购人授权评标委员会确定中标人。</w:t>
      </w:r>
    </w:p>
    <w:p>
      <w:pPr>
        <w:spacing w:line="360" w:lineRule="auto"/>
        <w:rPr>
          <w:rFonts w:hint="eastAsia" w:ascii="宋体" w:hAnsi="宋体" w:cs="宋体"/>
          <w:color w:val="auto"/>
          <w:sz w:val="24"/>
          <w:szCs w:val="24"/>
          <w:highlight w:val="none"/>
        </w:rPr>
      </w:pPr>
      <w:bookmarkStart w:id="56" w:name="_Toc458697273"/>
      <w:r>
        <w:rPr>
          <w:rFonts w:hint="eastAsia" w:ascii="宋体" w:hAnsi="宋体" w:cs="宋体"/>
          <w:color w:val="auto"/>
          <w:sz w:val="24"/>
          <w:szCs w:val="24"/>
          <w:highlight w:val="none"/>
        </w:rPr>
        <w:t>1.招标方在评标结束后2个工作日内将评标报告交采购人确认。</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2.采购人应在收到评标报告后5个工作日内对评标结果进行确认。如有投标人对评标结果提出质疑的，采购人可在质疑处理完毕后确定中标人。</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3.采购人依法确定中标人后2个工作日内，招标方以书面形式发出《中标通知书》,并同时在相关网站上发布中标公告。</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4. 确定中标人后，中标人应在三个工作日内，向招标方领取《中标通知书》，否则按放弃中标资格处理，并因违反诚信原则，提交财政部门列入政府采购黑名单。</w:t>
      </w:r>
    </w:p>
    <w:p>
      <w:pPr>
        <w:pStyle w:val="2"/>
        <w:keepNext w:val="0"/>
        <w:keepLines w:val="0"/>
        <w:pageBreakBefore/>
        <w:spacing w:line="360" w:lineRule="auto"/>
        <w:jc w:val="center"/>
        <w:rPr>
          <w:rFonts w:hint="eastAsia" w:ascii="宋体" w:hAnsi="宋体" w:eastAsia="宋体" w:cs="宋体"/>
          <w:b/>
          <w:bCs/>
          <w:color w:val="auto"/>
          <w:sz w:val="24"/>
          <w:szCs w:val="24"/>
          <w:highlight w:val="none"/>
        </w:rPr>
      </w:pPr>
      <w:bookmarkStart w:id="57" w:name="_Toc2045"/>
      <w:r>
        <w:rPr>
          <w:rFonts w:hint="eastAsia" w:ascii="宋体" w:hAnsi="宋体" w:eastAsia="宋体" w:cs="宋体"/>
          <w:b/>
          <w:bCs/>
          <w:color w:val="auto"/>
          <w:sz w:val="24"/>
          <w:szCs w:val="24"/>
          <w:highlight w:val="none"/>
        </w:rPr>
        <w:t>七、合同授予</w:t>
      </w:r>
      <w:bookmarkEnd w:id="56"/>
      <w:bookmarkEnd w:id="57"/>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（一）签订合同</w:t>
      </w:r>
    </w:p>
    <w:p>
      <w:pPr>
        <w:spacing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除不可抗力等特殊情况外，采购人原则上应当在中标通知书发出之日起20日内，与成交人按照采购文件确定的事项签订政府采购合同，并在签订之日起2个工作日内将政府采购合同在浙江政府采购网上公告。</w:t>
      </w:r>
    </w:p>
    <w:p>
      <w:pPr>
        <w:spacing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成交人按规定的日期、时间、地点，由法定代表人或其授权代表与采购人代表签订合同。如成交人为联合体的，由联合体成员各方法定代表人或其授权代表与采购人代表签订合同。</w:t>
      </w:r>
    </w:p>
    <w:p>
      <w:pPr>
        <w:spacing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如签订合同并生效后，供应商无故拒绝或延期，除按照合同条款处理外，列入不良行为记录一次，并给予通报。</w:t>
      </w:r>
    </w:p>
    <w:p>
      <w:pPr>
        <w:spacing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成交人拒绝与采购人签订合同的，采购人可以按照评审报告推荐的中标或者成交候选人名单排序，确定下一候选人为成交人，也可以重新开展政府采购活动。</w:t>
      </w:r>
    </w:p>
    <w:p>
      <w:pPr>
        <w:spacing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采购合同由采购人与成交人根据采购文件、磋商响应文件等内容通过政府采购电子交易平台在线签订，自动备案。</w:t>
      </w:r>
    </w:p>
    <w:p>
      <w:pPr>
        <w:rPr>
          <w:rFonts w:hint="eastAsia" w:ascii="宋体" w:hAnsi="宋体" w:eastAsia="宋体" w:cs="宋体"/>
          <w:color w:val="auto"/>
          <w:sz w:val="24"/>
          <w:highlight w:val="none"/>
        </w:rPr>
      </w:pPr>
    </w:p>
    <w:p>
      <w:pPr>
        <w:pStyle w:val="20"/>
        <w:pageBreakBefore/>
        <w:snapToGrid w:val="0"/>
        <w:spacing w:before="120" w:after="120" w:line="360" w:lineRule="auto"/>
        <w:jc w:val="center"/>
        <w:outlineLvl w:val="0"/>
        <w:rPr>
          <w:rFonts w:hint="eastAsia" w:ascii="宋体" w:hAnsi="宋体" w:eastAsia="宋体" w:cs="宋体"/>
          <w:b/>
          <w:color w:val="auto"/>
          <w:szCs w:val="24"/>
          <w:highlight w:val="none"/>
        </w:rPr>
      </w:pPr>
      <w:bookmarkStart w:id="58" w:name="_Toc20329"/>
      <w:r>
        <w:rPr>
          <w:rFonts w:hint="eastAsia" w:ascii="宋体" w:hAnsi="宋体" w:eastAsia="宋体" w:cs="宋体"/>
          <w:b/>
          <w:color w:val="auto"/>
          <w:szCs w:val="24"/>
          <w:highlight w:val="none"/>
        </w:rPr>
        <w:t>第四章  评标办法及评分标准</w:t>
      </w:r>
      <w:bookmarkEnd w:id="58"/>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为公正、公平、科学地选择中标人，根据《中华人民共和国政府采购法》等有关法律法规的规定，并结合本项目的实际，制定本办法。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本办法适用于</w:t>
      </w:r>
      <w:r>
        <w:rPr>
          <w:rFonts w:hint="eastAsia" w:ascii="宋体" w:hAnsi="宋体" w:cs="宋体"/>
          <w:color w:val="auto"/>
          <w:sz w:val="24"/>
          <w:highlight w:val="none"/>
          <w:lang w:eastAsia="zh-CN"/>
        </w:rPr>
        <w:t>东阳市人民医院中心监护系统、监护仪、麻醉监护仪、呼吸机设备采购项目</w:t>
      </w:r>
      <w:r>
        <w:rPr>
          <w:rFonts w:hint="eastAsia" w:ascii="宋体" w:hAnsi="宋体" w:eastAsia="宋体" w:cs="宋体"/>
          <w:color w:val="auto"/>
          <w:sz w:val="24"/>
          <w:highlight w:val="none"/>
        </w:rPr>
        <w:t>的评标。</w:t>
      </w:r>
    </w:p>
    <w:p>
      <w:pPr>
        <w:spacing w:line="360" w:lineRule="auto"/>
        <w:rPr>
          <w:rFonts w:hint="eastAsia" w:ascii="宋体" w:hAnsi="宋体" w:eastAsia="宋体" w:cs="宋体"/>
          <w:b/>
          <w:color w:val="auto"/>
          <w:sz w:val="24"/>
          <w:highlight w:val="none"/>
        </w:rPr>
      </w:pPr>
      <w:bookmarkStart w:id="59" w:name="_Toc26574"/>
      <w:bookmarkStart w:id="60" w:name="_Toc12525"/>
      <w:bookmarkStart w:id="61" w:name="_Toc31315"/>
      <w:bookmarkStart w:id="62" w:name="_Toc452728219"/>
      <w:r>
        <w:rPr>
          <w:rFonts w:hint="eastAsia" w:ascii="宋体" w:hAnsi="宋体" w:eastAsia="宋体" w:cs="宋体"/>
          <w:b/>
          <w:color w:val="auto"/>
          <w:sz w:val="24"/>
          <w:highlight w:val="none"/>
        </w:rPr>
        <w:t>一、总则</w:t>
      </w:r>
      <w:bookmarkEnd w:id="59"/>
      <w:bookmarkEnd w:id="60"/>
      <w:bookmarkEnd w:id="61"/>
      <w:bookmarkEnd w:id="62"/>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本次评标采用综合评分法，总分为100分，其中价格分</w:t>
      </w:r>
      <w:r>
        <w:rPr>
          <w:rFonts w:hint="eastAsia" w:ascii="宋体" w:hAnsi="宋体" w:cs="宋体"/>
          <w:color w:val="auto"/>
          <w:sz w:val="24"/>
          <w:highlight w:val="none"/>
          <w:lang w:val="en-US" w:eastAsia="zh-CN"/>
        </w:rPr>
        <w:t>30</w:t>
      </w:r>
      <w:r>
        <w:rPr>
          <w:rFonts w:hint="eastAsia" w:ascii="宋体" w:hAnsi="宋体" w:eastAsia="宋体" w:cs="宋体"/>
          <w:color w:val="auto"/>
          <w:sz w:val="24"/>
          <w:highlight w:val="none"/>
        </w:rPr>
        <w:t>分，技术、商务、资信及其他分</w:t>
      </w:r>
      <w:r>
        <w:rPr>
          <w:rFonts w:hint="eastAsia" w:ascii="宋体" w:hAnsi="宋体" w:cs="宋体"/>
          <w:color w:val="auto"/>
          <w:sz w:val="24"/>
          <w:highlight w:val="none"/>
          <w:lang w:val="en-US" w:eastAsia="zh-CN"/>
        </w:rPr>
        <w:t>70</w:t>
      </w:r>
      <w:r>
        <w:rPr>
          <w:rFonts w:hint="eastAsia" w:ascii="宋体" w:hAnsi="宋体" w:eastAsia="宋体" w:cs="宋体"/>
          <w:color w:val="auto"/>
          <w:sz w:val="24"/>
          <w:highlight w:val="none"/>
        </w:rPr>
        <w:t>分；合格投标人的评标得分为各项目汇总得分，中标候选资格按评标综合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评分过程中采用四舍五入法，并保留小数2位。</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投标人评标综合得分=价格分+(技术分+商务分+资信及其他分)</w:t>
      </w:r>
    </w:p>
    <w:p>
      <w:pPr>
        <w:numPr>
          <w:ilvl w:val="0"/>
          <w:numId w:val="8"/>
        </w:numPr>
        <w:spacing w:line="360" w:lineRule="auto"/>
        <w:rPr>
          <w:rFonts w:hint="eastAsia" w:ascii="宋体" w:hAnsi="宋体" w:eastAsia="宋体" w:cs="宋体"/>
          <w:b/>
          <w:color w:val="auto"/>
          <w:sz w:val="24"/>
          <w:highlight w:val="none"/>
        </w:rPr>
      </w:pPr>
      <w:bookmarkStart w:id="63" w:name="_Toc16785"/>
      <w:bookmarkStart w:id="64" w:name="_Toc6122"/>
      <w:bookmarkStart w:id="65" w:name="_Toc452728220"/>
      <w:bookmarkStart w:id="66" w:name="_Toc12387"/>
      <w:r>
        <w:rPr>
          <w:rFonts w:hint="eastAsia" w:ascii="宋体" w:hAnsi="宋体" w:eastAsia="宋体" w:cs="宋体"/>
          <w:b/>
          <w:color w:val="auto"/>
          <w:sz w:val="24"/>
          <w:highlight w:val="none"/>
        </w:rPr>
        <w:t>评标内容及标准</w:t>
      </w:r>
      <w:bookmarkEnd w:id="63"/>
      <w:bookmarkEnd w:id="64"/>
      <w:bookmarkEnd w:id="65"/>
      <w:bookmarkEnd w:id="66"/>
      <w:bookmarkStart w:id="67" w:name="_Toc502652282"/>
      <w:bookmarkStart w:id="68" w:name="_Hlt452359758"/>
      <w:bookmarkStart w:id="69" w:name="_Hlt452359757"/>
    </w:p>
    <w:p>
      <w:pPr>
        <w:pStyle w:val="20"/>
        <w:spacing w:before="120" w:after="120" w:line="360" w:lineRule="auto"/>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（一）技术、商务、资信及其他分（</w:t>
      </w:r>
      <w:r>
        <w:rPr>
          <w:rFonts w:hint="eastAsia" w:ascii="宋体" w:hAnsi="宋体" w:cs="宋体"/>
          <w:b/>
          <w:bCs/>
          <w:color w:val="auto"/>
          <w:szCs w:val="24"/>
          <w:highlight w:val="none"/>
          <w:lang w:val="en-US" w:eastAsia="zh-CN"/>
        </w:rPr>
        <w:t>70</w:t>
      </w:r>
      <w:r>
        <w:rPr>
          <w:rFonts w:hint="eastAsia" w:ascii="宋体" w:hAnsi="宋体" w:eastAsia="宋体" w:cs="宋体"/>
          <w:b/>
          <w:bCs/>
          <w:color w:val="auto"/>
          <w:szCs w:val="24"/>
          <w:highlight w:val="none"/>
        </w:rPr>
        <w:t>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技术、商务资信及其他分响应标书要求的投标单位全部进入商务报价评审。</w:t>
      </w:r>
    </w:p>
    <w:p>
      <w:pPr>
        <w:pStyle w:val="11"/>
        <w:spacing w:line="360" w:lineRule="auto"/>
        <w:ind w:left="0" w:leftChars="0"/>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（二）</w:t>
      </w:r>
      <w:r>
        <w:rPr>
          <w:rFonts w:hint="eastAsia" w:ascii="宋体" w:hAnsi="宋体" w:eastAsia="宋体" w:cs="宋体"/>
          <w:b/>
          <w:bCs/>
          <w:color w:val="auto"/>
          <w:sz w:val="24"/>
          <w:highlight w:val="none"/>
        </w:rPr>
        <w:t>价格分（</w:t>
      </w: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rPr>
        <w:t xml:space="preserve">0分） </w:t>
      </w:r>
    </w:p>
    <w:p>
      <w:pPr>
        <w:keepNext w:val="0"/>
        <w:keepLines w:val="0"/>
        <w:pageBreakBefore w:val="0"/>
        <w:widowControl w:val="0"/>
        <w:kinsoku/>
        <w:wordWrap/>
        <w:overflowPunct/>
        <w:topLinePunct w:val="0"/>
        <w:autoSpaceDE/>
        <w:autoSpaceDN/>
        <w:bidi w:val="0"/>
        <w:adjustRightInd/>
        <w:spacing w:before="120" w:beforeLines="50" w:after="120" w:afterLines="50" w:line="480" w:lineRule="exact"/>
        <w:ind w:firstLine="464"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pacing w:val="-4"/>
          <w:sz w:val="24"/>
          <w:szCs w:val="20"/>
          <w:highlight w:val="none"/>
        </w:rPr>
        <w:t>（1）</w:t>
      </w:r>
      <w:r>
        <w:rPr>
          <w:rFonts w:hint="eastAsia" w:ascii="宋体" w:hAnsi="宋体" w:eastAsia="宋体" w:cs="宋体"/>
          <w:bCs/>
          <w:color w:val="auto"/>
          <w:sz w:val="24"/>
          <w:highlight w:val="none"/>
        </w:rPr>
        <w:t>价格分采用低价优先法计算，取所有技术、资信商务得分入围投标人中，投标价格最低的投标报价为评标基准价（</w:t>
      </w:r>
      <w:r>
        <w:rPr>
          <w:rFonts w:hint="eastAsia" w:ascii="宋体" w:hAnsi="宋体" w:eastAsia="宋体" w:cs="宋体"/>
          <w:color w:val="auto"/>
          <w:sz w:val="24"/>
          <w:highlight w:val="none"/>
        </w:rPr>
        <w:t>小型、微型企业待遇报价</w:t>
      </w:r>
      <w:r>
        <w:rPr>
          <w:rFonts w:hint="eastAsia" w:ascii="宋体" w:hAnsi="宋体" w:eastAsia="宋体" w:cs="宋体"/>
          <w:bCs/>
          <w:color w:val="auto"/>
          <w:spacing w:val="-4"/>
          <w:sz w:val="24"/>
          <w:szCs w:val="20"/>
          <w:highlight w:val="none"/>
        </w:rPr>
        <w:t>或监狱企业待遇报价或残疾人福利企业待遇报价</w:t>
      </w:r>
      <w:r>
        <w:rPr>
          <w:rFonts w:hint="eastAsia" w:ascii="宋体" w:hAnsi="宋体" w:eastAsia="宋体" w:cs="宋体"/>
          <w:color w:val="auto"/>
          <w:sz w:val="24"/>
          <w:highlight w:val="none"/>
        </w:rPr>
        <w:t>低于最低投标报价时，小型、微型企业待遇报价</w:t>
      </w:r>
      <w:r>
        <w:rPr>
          <w:rFonts w:hint="eastAsia" w:ascii="宋体" w:hAnsi="宋体" w:eastAsia="宋体" w:cs="宋体"/>
          <w:bCs/>
          <w:color w:val="auto"/>
          <w:spacing w:val="-4"/>
          <w:sz w:val="24"/>
          <w:szCs w:val="20"/>
          <w:highlight w:val="none"/>
        </w:rPr>
        <w:t>或监狱企业待遇报价或残疾人福利企业待遇报价</w:t>
      </w:r>
      <w:r>
        <w:rPr>
          <w:rFonts w:hint="eastAsia" w:ascii="宋体" w:hAnsi="宋体" w:eastAsia="宋体" w:cs="宋体"/>
          <w:color w:val="auto"/>
          <w:sz w:val="24"/>
          <w:highlight w:val="none"/>
        </w:rPr>
        <w:t>为评标基准价</w:t>
      </w:r>
      <w:r>
        <w:rPr>
          <w:rFonts w:hint="eastAsia" w:ascii="宋体" w:hAnsi="宋体" w:eastAsia="宋体" w:cs="宋体"/>
          <w:bCs/>
          <w:color w:val="auto"/>
          <w:sz w:val="24"/>
          <w:highlight w:val="none"/>
        </w:rPr>
        <w:t>），其他投标人的价格分按照下列公式计算：</w:t>
      </w:r>
    </w:p>
    <w:p>
      <w:pPr>
        <w:keepNext w:val="0"/>
        <w:keepLines w:val="0"/>
        <w:pageBreakBefore w:val="0"/>
        <w:widowControl w:val="0"/>
        <w:kinsoku/>
        <w:wordWrap/>
        <w:overflowPunct/>
        <w:topLinePunct w:val="0"/>
        <w:autoSpaceDE/>
        <w:autoSpaceDN/>
        <w:bidi w:val="0"/>
        <w:adjustRightInd/>
        <w:spacing w:before="120" w:beforeLines="50" w:after="120" w:afterLines="50" w:line="480" w:lineRule="exact"/>
        <w:ind w:firstLine="464" w:firstLineChars="200"/>
        <w:textAlignment w:val="auto"/>
        <w:rPr>
          <w:rFonts w:hint="default" w:ascii="宋体" w:hAnsi="宋体" w:eastAsia="宋体" w:cs="宋体"/>
          <w:bCs/>
          <w:color w:val="auto"/>
          <w:spacing w:val="-4"/>
          <w:sz w:val="24"/>
          <w:szCs w:val="20"/>
          <w:highlight w:val="none"/>
          <w:lang w:val="en-US" w:eastAsia="zh-CN"/>
        </w:rPr>
      </w:pPr>
      <w:r>
        <w:rPr>
          <w:rFonts w:hint="eastAsia" w:ascii="宋体" w:hAnsi="宋体" w:eastAsia="宋体" w:cs="宋体"/>
          <w:bCs/>
          <w:color w:val="auto"/>
          <w:spacing w:val="-4"/>
          <w:sz w:val="24"/>
          <w:szCs w:val="20"/>
          <w:highlight w:val="none"/>
        </w:rPr>
        <w:t>价格分=评标基准价/投标报价（或小型、微型企业待遇报价或监狱企业待遇报价或残疾人福利企业待遇报价）×</w:t>
      </w:r>
      <w:r>
        <w:rPr>
          <w:rFonts w:hint="eastAsia" w:ascii="宋体" w:hAnsi="宋体" w:cs="宋体"/>
          <w:bCs/>
          <w:color w:val="auto"/>
          <w:spacing w:val="-4"/>
          <w:sz w:val="24"/>
          <w:szCs w:val="20"/>
          <w:highlight w:val="none"/>
          <w:lang w:val="en-US" w:eastAsia="zh-CN"/>
        </w:rPr>
        <w:t>30</w:t>
      </w:r>
    </w:p>
    <w:p>
      <w:pPr>
        <w:widowControl/>
        <w:numPr>
          <w:ilvl w:val="0"/>
          <w:numId w:val="0"/>
        </w:numPr>
        <w:snapToGrid w:val="0"/>
        <w:spacing w:line="360" w:lineRule="auto"/>
        <w:ind w:firstLine="480" w:firstLineChars="200"/>
        <w:jc w:val="left"/>
        <w:rPr>
          <w:rFonts w:hint="eastAsia" w:ascii="宋体" w:hAnsi="宋体" w:eastAsia="宋体" w:cs="宋体"/>
          <w:b w:val="0"/>
          <w:bCs/>
          <w:color w:val="auto"/>
          <w:spacing w:val="-4"/>
          <w:sz w:val="24"/>
          <w:highlight w:val="none"/>
        </w:rPr>
      </w:pPr>
      <w:r>
        <w:rPr>
          <w:rFonts w:hint="eastAsia" w:ascii="宋体" w:hAnsi="宋体" w:eastAsia="宋体" w:cs="宋体"/>
          <w:color w:val="auto"/>
          <w:sz w:val="24"/>
          <w:highlight w:val="none"/>
          <w:lang w:val="en-US" w:eastAsia="zh-CN"/>
        </w:rPr>
        <w:t>根据</w:t>
      </w:r>
      <w:r>
        <w:rPr>
          <w:rFonts w:hint="eastAsia" w:ascii="宋体" w:hAnsi="宋体" w:eastAsia="宋体" w:cs="宋体"/>
          <w:b w:val="0"/>
          <w:bCs/>
          <w:color w:val="auto"/>
          <w:spacing w:val="-4"/>
          <w:sz w:val="24"/>
          <w:highlight w:val="none"/>
        </w:rPr>
        <w:t>《关于印发&lt;政府采购促进中小企业发展管理办法&gt;的通知》(财库〔2020〕46号)文件、《财政部、司法部关于政府采购支持监狱企业发展有关问题的通知》（财库〔2014〕68号）文件及《财政部、民政部、中国残疾人联合会关于促进残疾人就业政府采购政策的通知》（财库〔2017〕141号）的规定，</w:t>
      </w:r>
      <w:r>
        <w:rPr>
          <w:rFonts w:hint="eastAsia" w:ascii="宋体" w:hAnsi="宋体" w:eastAsia="宋体" w:cs="宋体"/>
          <w:b w:val="0"/>
          <w:bCs/>
          <w:color w:val="auto"/>
          <w:spacing w:val="-4"/>
          <w:sz w:val="24"/>
          <w:highlight w:val="none"/>
          <w:lang w:eastAsia="zh-CN"/>
        </w:rPr>
        <w:t>本项目</w:t>
      </w:r>
      <w:r>
        <w:rPr>
          <w:rFonts w:hint="eastAsia" w:ascii="宋体" w:hAnsi="宋体" w:eastAsia="宋体" w:cs="宋体"/>
          <w:b w:val="0"/>
          <w:bCs/>
          <w:color w:val="auto"/>
          <w:spacing w:val="-4"/>
          <w:sz w:val="24"/>
          <w:highlight w:val="none"/>
        </w:rPr>
        <w:t>对小型和微型企业、监狱企业、残疾人福利性单位价格给予</w:t>
      </w:r>
      <w:r>
        <w:rPr>
          <w:rFonts w:hint="eastAsia" w:ascii="宋体" w:hAnsi="宋体" w:cs="宋体"/>
          <w:b w:val="0"/>
          <w:bCs/>
          <w:color w:val="auto"/>
          <w:spacing w:val="-4"/>
          <w:sz w:val="24"/>
          <w:highlight w:val="none"/>
          <w:lang w:val="en-US" w:eastAsia="zh-CN"/>
        </w:rPr>
        <w:t>20</w:t>
      </w:r>
      <w:r>
        <w:rPr>
          <w:rFonts w:hint="eastAsia" w:ascii="宋体" w:hAnsi="宋体" w:eastAsia="宋体" w:cs="宋体"/>
          <w:b w:val="0"/>
          <w:bCs/>
          <w:color w:val="auto"/>
          <w:spacing w:val="-4"/>
          <w:sz w:val="24"/>
          <w:highlight w:val="none"/>
        </w:rPr>
        <w:t>%扣除</w:t>
      </w:r>
      <w:r>
        <w:rPr>
          <w:rFonts w:hint="eastAsia" w:ascii="宋体" w:hAnsi="宋体" w:cs="宋体"/>
          <w:b w:val="0"/>
          <w:bCs/>
          <w:color w:val="auto"/>
          <w:spacing w:val="-4"/>
          <w:sz w:val="24"/>
          <w:highlight w:val="none"/>
          <w:lang w:eastAsia="zh-CN"/>
        </w:rPr>
        <w:t>，用扣除后的价格参与评审</w:t>
      </w:r>
      <w:r>
        <w:rPr>
          <w:rFonts w:hint="eastAsia" w:ascii="宋体" w:hAnsi="宋体" w:cs="宋体"/>
          <w:b w:val="0"/>
          <w:bCs/>
          <w:color w:val="auto"/>
          <w:spacing w:val="-4"/>
          <w:sz w:val="24"/>
          <w:highlight w:val="none"/>
          <w:lang w:val="en-US" w:eastAsia="zh-CN"/>
        </w:rPr>
        <w:t>；</w:t>
      </w:r>
      <w:r>
        <w:rPr>
          <w:rFonts w:hint="eastAsia" w:ascii="宋体" w:hAnsi="宋体" w:eastAsia="宋体" w:cs="宋体"/>
          <w:b w:val="0"/>
          <w:bCs/>
          <w:color w:val="auto"/>
          <w:spacing w:val="-4"/>
          <w:sz w:val="24"/>
          <w:highlight w:val="none"/>
          <w:lang w:eastAsia="zh-CN"/>
        </w:rPr>
        <w:t>对于联合协议或者分包意向协议约定小微企业的合同份额占到合同总金额30%以上的，采购单位、采购代理机构应结合项目实际，对联合体或者大中型企业的报价原则上按最高优惠幅度6%给予扣除，用扣除后的价格参加评审</w:t>
      </w:r>
      <w:r>
        <w:rPr>
          <w:rFonts w:hint="eastAsia" w:ascii="宋体" w:hAnsi="宋体" w:eastAsia="宋体" w:cs="宋体"/>
          <w:b w:val="0"/>
          <w:bCs/>
          <w:color w:val="auto"/>
          <w:spacing w:val="-4"/>
          <w:sz w:val="24"/>
          <w:highlight w:val="none"/>
          <w:lang w:val="en-US" w:eastAsia="zh-CN"/>
        </w:rPr>
        <w:t>；</w:t>
      </w:r>
      <w:r>
        <w:rPr>
          <w:rFonts w:hint="eastAsia" w:ascii="宋体" w:hAnsi="宋体" w:cs="宋体"/>
          <w:b w:val="0"/>
          <w:bCs/>
          <w:color w:val="auto"/>
          <w:spacing w:val="-4"/>
          <w:sz w:val="24"/>
          <w:highlight w:val="none"/>
          <w:lang w:eastAsia="zh-CN"/>
        </w:rPr>
        <w:t>但不重复享受价格扣除。</w:t>
      </w:r>
    </w:p>
    <w:p>
      <w:pPr>
        <w:keepNext w:val="0"/>
        <w:keepLines w:val="0"/>
        <w:pageBreakBefore w:val="0"/>
        <w:widowControl w:val="0"/>
        <w:numPr>
          <w:ilvl w:val="0"/>
          <w:numId w:val="0"/>
        </w:numPr>
        <w:tabs>
          <w:tab w:val="left" w:pos="982"/>
        </w:tabs>
        <w:kinsoku/>
        <w:wordWrap/>
        <w:overflowPunct/>
        <w:topLinePunct w:val="0"/>
        <w:autoSpaceDE/>
        <w:autoSpaceDN/>
        <w:bidi w:val="0"/>
        <w:adjustRightInd/>
        <w:snapToGrid w:val="0"/>
        <w:spacing w:line="360" w:lineRule="auto"/>
        <w:ind w:firstLine="464" w:firstLineChars="200"/>
        <w:textAlignment w:val="auto"/>
        <w:rPr>
          <w:rFonts w:hint="eastAsia" w:ascii="宋体" w:hAnsi="宋体" w:eastAsia="宋体" w:cs="宋体"/>
          <w:color w:val="auto"/>
          <w:sz w:val="24"/>
          <w:highlight w:val="none"/>
        </w:rPr>
      </w:pPr>
      <w:r>
        <w:rPr>
          <w:rFonts w:hint="eastAsia" w:ascii="宋体" w:hAnsi="宋体" w:eastAsia="宋体" w:cs="宋体"/>
          <w:b w:val="0"/>
          <w:bCs/>
          <w:color w:val="auto"/>
          <w:spacing w:val="-4"/>
          <w:sz w:val="24"/>
          <w:highlight w:val="none"/>
        </w:rPr>
        <w:t>小型和微型企业是指投标文件中提供了中小企业声明函且符合《关于印发&lt;政府采购促进中小企业发展管理办法&gt;的通知》(财库〔2020〕46号)规定的要求。残疾人福利性单位是指投标文件中提供了残疾人福利性单位声明函且符合《财政部、民政部、中国残疾人联合会关于促进残疾人就业政府采购政策的通知》（财库〔2017〕141号）规定的企业。监狱企业是指投标文件中提供了由省级以上监狱管理局、戒毒管理局（含新疆生产建设兵团）出具的属于监狱企业的证明文件的企业。</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（三）技术、商务、资信及其他分的计算</w:t>
      </w:r>
    </w:p>
    <w:p>
      <w:pPr>
        <w:spacing w:before="120" w:beforeLines="50" w:after="120" w:after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技术、商务、资信及其他分按照评标委员会成员的独立评分结果的算术平均分计算，计算公式为：</w:t>
      </w:r>
    </w:p>
    <w:p>
      <w:pPr>
        <w:spacing w:before="120" w:beforeLines="50" w:after="120" w:afterLines="50" w:line="360" w:lineRule="auto"/>
        <w:ind w:firstLine="480" w:firstLineChars="200"/>
        <w:rPr>
          <w:rFonts w:hint="eastAsia" w:ascii="宋体" w:hAnsi="宋体" w:eastAsia="宋体" w:cs="宋体"/>
          <w:b/>
          <w:color w:val="auto"/>
          <w:sz w:val="24"/>
          <w:highlight w:val="none"/>
          <w:lang w:val="en-US" w:eastAsia="zh-CN"/>
        </w:rPr>
      </w:pPr>
      <w:r>
        <w:rPr>
          <w:rFonts w:hint="eastAsia" w:ascii="宋体" w:hAnsi="宋体" w:eastAsia="宋体" w:cs="宋体"/>
          <w:color w:val="auto"/>
          <w:sz w:val="24"/>
          <w:highlight w:val="none"/>
        </w:rPr>
        <w:t>技术商务资信及其他分=评标委员会所有成员有效评分合计数/</w:t>
      </w:r>
      <w:r>
        <w:rPr>
          <w:rFonts w:hint="eastAsia" w:ascii="宋体" w:hAnsi="宋体" w:cs="宋体"/>
          <w:color w:val="auto"/>
          <w:sz w:val="24"/>
          <w:highlight w:val="none"/>
          <w:lang w:val="en-US" w:eastAsia="zh-CN"/>
        </w:rPr>
        <w:t>5</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w:t>
      </w:r>
      <w:r>
        <w:rPr>
          <w:rFonts w:hint="eastAsia" w:ascii="宋体" w:hAnsi="宋体" w:cs="宋体"/>
          <w:b/>
          <w:bCs/>
          <w:color w:val="auto"/>
          <w:sz w:val="24"/>
          <w:highlight w:val="none"/>
          <w:lang w:val="en-US" w:eastAsia="zh-CN"/>
        </w:rPr>
        <w:t>四</w:t>
      </w:r>
      <w:r>
        <w:rPr>
          <w:rFonts w:hint="eastAsia" w:ascii="宋体" w:hAnsi="宋体" w:eastAsia="宋体" w:cs="宋体"/>
          <w:b/>
          <w:bCs/>
          <w:color w:val="auto"/>
          <w:sz w:val="24"/>
          <w:highlight w:val="none"/>
        </w:rPr>
        <w:t>）技术分、商务分、资信及其他分评分标准，共</w:t>
      </w:r>
      <w:r>
        <w:rPr>
          <w:rFonts w:hint="eastAsia" w:ascii="宋体" w:hAnsi="宋体" w:eastAsia="宋体" w:cs="宋体"/>
          <w:b/>
          <w:bCs/>
          <w:color w:val="auto"/>
          <w:sz w:val="24"/>
          <w:highlight w:val="none"/>
          <w:lang w:val="en-US" w:eastAsia="zh-CN"/>
        </w:rPr>
        <w:t>7</w:t>
      </w:r>
      <w:r>
        <w:rPr>
          <w:rFonts w:hint="eastAsia" w:ascii="宋体" w:hAnsi="宋体" w:eastAsia="宋体" w:cs="宋体"/>
          <w:b/>
          <w:bCs/>
          <w:color w:val="auto"/>
          <w:sz w:val="24"/>
          <w:highlight w:val="none"/>
        </w:rPr>
        <w:t>0分</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标一、标二</w:t>
      </w:r>
    </w:p>
    <w:tbl>
      <w:tblPr>
        <w:tblStyle w:val="36"/>
        <w:tblpPr w:leftFromText="180" w:rightFromText="180" w:vertAnchor="text" w:horzAnchor="page" w:tblpX="1196" w:tblpY="453"/>
        <w:tblOverlap w:val="never"/>
        <w:tblW w:w="99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7"/>
        <w:gridCol w:w="562"/>
        <w:gridCol w:w="1314"/>
        <w:gridCol w:w="6596"/>
        <w:gridCol w:w="7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pStyle w:val="29"/>
              <w:spacing w:line="360" w:lineRule="auto"/>
              <w:ind w:firstLine="0"/>
              <w:jc w:val="center"/>
              <w:rPr>
                <w:rFonts w:ascii="宋体"/>
                <w:b/>
                <w:bCs/>
                <w:color w:val="auto"/>
                <w:sz w:val="24"/>
                <w:highlight w:val="none"/>
              </w:rPr>
            </w:pPr>
            <w:r>
              <w:rPr>
                <w:rFonts w:hint="eastAsia" w:ascii="宋体"/>
                <w:b/>
                <w:bCs/>
                <w:color w:val="auto"/>
                <w:sz w:val="24"/>
                <w:highlight w:val="none"/>
              </w:rPr>
              <w:t>序号</w:t>
            </w:r>
          </w:p>
        </w:tc>
        <w:tc>
          <w:tcPr>
            <w:tcW w:w="1876" w:type="dxa"/>
            <w:gridSpan w:val="2"/>
            <w:tcBorders>
              <w:top w:val="single" w:color="auto" w:sz="4" w:space="0"/>
              <w:left w:val="single" w:color="auto" w:sz="4" w:space="0"/>
              <w:bottom w:val="single" w:color="auto" w:sz="4" w:space="0"/>
              <w:right w:val="single" w:color="auto" w:sz="4" w:space="0"/>
            </w:tcBorders>
            <w:noWrap w:val="0"/>
            <w:vAlign w:val="center"/>
          </w:tcPr>
          <w:p>
            <w:pPr>
              <w:pStyle w:val="29"/>
              <w:spacing w:line="360" w:lineRule="auto"/>
              <w:ind w:firstLine="0"/>
              <w:jc w:val="center"/>
              <w:rPr>
                <w:rFonts w:ascii="宋体"/>
                <w:b/>
                <w:bCs/>
                <w:color w:val="auto"/>
                <w:sz w:val="24"/>
                <w:highlight w:val="none"/>
              </w:rPr>
            </w:pPr>
            <w:r>
              <w:rPr>
                <w:rFonts w:hint="eastAsia" w:ascii="宋体"/>
                <w:b/>
                <w:bCs/>
                <w:color w:val="auto"/>
                <w:sz w:val="24"/>
                <w:highlight w:val="none"/>
              </w:rPr>
              <w:t>评审内容</w:t>
            </w:r>
          </w:p>
        </w:tc>
        <w:tc>
          <w:tcPr>
            <w:tcW w:w="6596" w:type="dxa"/>
            <w:tcBorders>
              <w:top w:val="single" w:color="auto" w:sz="4" w:space="0"/>
              <w:left w:val="single" w:color="auto" w:sz="4" w:space="0"/>
              <w:bottom w:val="single" w:color="auto" w:sz="4" w:space="0"/>
              <w:right w:val="single" w:color="auto" w:sz="4" w:space="0"/>
            </w:tcBorders>
            <w:noWrap w:val="0"/>
            <w:vAlign w:val="center"/>
          </w:tcPr>
          <w:p>
            <w:pPr>
              <w:pStyle w:val="29"/>
              <w:spacing w:line="360" w:lineRule="auto"/>
              <w:ind w:firstLine="482"/>
              <w:jc w:val="center"/>
              <w:rPr>
                <w:rFonts w:ascii="宋体"/>
                <w:b/>
                <w:bCs/>
                <w:color w:val="auto"/>
                <w:sz w:val="24"/>
                <w:highlight w:val="none"/>
              </w:rPr>
            </w:pPr>
            <w:r>
              <w:rPr>
                <w:rFonts w:hint="eastAsia" w:ascii="宋体"/>
                <w:b/>
                <w:bCs/>
                <w:color w:val="auto"/>
                <w:sz w:val="24"/>
                <w:highlight w:val="none"/>
              </w:rPr>
              <w:t>评分标准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pStyle w:val="29"/>
              <w:spacing w:line="360" w:lineRule="auto"/>
              <w:ind w:firstLine="0"/>
              <w:jc w:val="center"/>
              <w:rPr>
                <w:rFonts w:ascii="宋体"/>
                <w:b/>
                <w:bCs/>
                <w:color w:val="auto"/>
                <w:sz w:val="24"/>
                <w:highlight w:val="none"/>
              </w:rPr>
            </w:pPr>
            <w:r>
              <w:rPr>
                <w:rFonts w:hint="eastAsia" w:ascii="宋体"/>
                <w:b/>
                <w:bCs/>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pStyle w:val="29"/>
              <w:spacing w:line="360" w:lineRule="auto"/>
              <w:ind w:firstLine="0"/>
              <w:jc w:val="center"/>
              <w:rPr>
                <w:rFonts w:ascii="宋体"/>
                <w:b/>
                <w:bCs/>
                <w:color w:val="auto"/>
                <w:sz w:val="24"/>
                <w:highlight w:val="none"/>
              </w:rPr>
            </w:pPr>
            <w:r>
              <w:rPr>
                <w:rFonts w:hint="eastAsia" w:ascii="宋体"/>
                <w:b/>
                <w:bCs/>
                <w:color w:val="auto"/>
                <w:sz w:val="24"/>
                <w:highlight w:val="none"/>
              </w:rPr>
              <w:t>一</w:t>
            </w:r>
          </w:p>
        </w:tc>
        <w:tc>
          <w:tcPr>
            <w:tcW w:w="8472" w:type="dxa"/>
            <w:gridSpan w:val="3"/>
            <w:tcBorders>
              <w:top w:val="single" w:color="auto" w:sz="4" w:space="0"/>
              <w:left w:val="single" w:color="auto" w:sz="4" w:space="0"/>
              <w:bottom w:val="single" w:color="auto" w:sz="4" w:space="0"/>
              <w:right w:val="single" w:color="auto" w:sz="4" w:space="0"/>
            </w:tcBorders>
            <w:noWrap w:val="0"/>
            <w:vAlign w:val="center"/>
          </w:tcPr>
          <w:p>
            <w:pPr>
              <w:pStyle w:val="29"/>
              <w:spacing w:line="360" w:lineRule="auto"/>
              <w:ind w:firstLine="482"/>
              <w:jc w:val="center"/>
              <w:rPr>
                <w:rFonts w:ascii="宋体"/>
                <w:b/>
                <w:bCs/>
                <w:color w:val="auto"/>
                <w:sz w:val="24"/>
                <w:highlight w:val="none"/>
              </w:rPr>
            </w:pPr>
            <w:r>
              <w:rPr>
                <w:rFonts w:hint="eastAsia" w:ascii="宋体"/>
                <w:b/>
                <w:bCs/>
                <w:color w:val="auto"/>
                <w:sz w:val="24"/>
                <w:highlight w:val="none"/>
              </w:rPr>
              <w:t>技术分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pStyle w:val="29"/>
              <w:spacing w:line="360" w:lineRule="auto"/>
              <w:ind w:firstLine="0"/>
              <w:jc w:val="center"/>
              <w:rPr>
                <w:rFonts w:hint="eastAsia" w:ascii="宋体"/>
                <w:b/>
                <w:bCs/>
                <w:color w:val="auto"/>
                <w:sz w:val="24"/>
                <w:highlight w:val="none"/>
              </w:rPr>
            </w:pPr>
            <w:r>
              <w:rPr>
                <w:rFonts w:hint="eastAsia" w:ascii="宋体"/>
                <w:b/>
                <w:bCs/>
                <w:color w:val="auto"/>
                <w:sz w:val="24"/>
                <w:szCs w:val="28"/>
                <w:highlight w:val="none"/>
                <w:lang w:val="en-US" w:eastAsia="zh-CN"/>
              </w:rPr>
              <w:t>50</w:t>
            </w:r>
            <w:r>
              <w:rPr>
                <w:rFonts w:hint="eastAsia" w:ascii="宋体"/>
                <w:b/>
                <w:bCs/>
                <w:color w:val="auto"/>
                <w:sz w:val="24"/>
                <w:szCs w:val="28"/>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pStyle w:val="29"/>
              <w:spacing w:line="360" w:lineRule="auto"/>
              <w:ind w:firstLine="0"/>
              <w:jc w:val="center"/>
              <w:rPr>
                <w:rFonts w:hint="eastAsia" w:ascii="宋体"/>
                <w:b/>
                <w:bCs/>
                <w:color w:val="auto"/>
                <w:sz w:val="24"/>
                <w:highlight w:val="none"/>
              </w:rPr>
            </w:pPr>
            <w:r>
              <w:rPr>
                <w:rFonts w:hint="eastAsia" w:ascii="宋体"/>
                <w:color w:val="auto"/>
                <w:sz w:val="24"/>
                <w:highlight w:val="none"/>
              </w:rPr>
              <w:t>1</w:t>
            </w:r>
          </w:p>
        </w:tc>
        <w:tc>
          <w:tcPr>
            <w:tcW w:w="562"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r>
              <w:rPr>
                <w:rFonts w:hint="eastAsia" w:hAnsi="宋体" w:cs="宋体"/>
                <w:color w:val="auto"/>
                <w:sz w:val="24"/>
                <w:highlight w:val="none"/>
              </w:rPr>
              <w:t>技术服务水平</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b/>
                <w:bCs/>
                <w:color w:val="auto"/>
                <w:highlight w:val="none"/>
              </w:rPr>
            </w:pPr>
            <w:r>
              <w:rPr>
                <w:rFonts w:hint="eastAsia" w:hAnsi="宋体" w:cs="宋体"/>
                <w:color w:val="auto"/>
                <w:sz w:val="24"/>
                <w:highlight w:val="none"/>
              </w:rPr>
              <w:t>技术响应情况</w:t>
            </w:r>
          </w:p>
        </w:tc>
        <w:tc>
          <w:tcPr>
            <w:tcW w:w="65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hAnsi="宋体" w:cs="宋体"/>
                <w:color w:val="auto"/>
                <w:sz w:val="24"/>
                <w:highlight w:val="none"/>
                <w:lang w:eastAsia="zh-CN"/>
              </w:rPr>
            </w:pPr>
            <w:r>
              <w:rPr>
                <w:rFonts w:hint="eastAsia" w:hAnsi="宋体" w:cs="宋体"/>
                <w:color w:val="auto"/>
                <w:sz w:val="24"/>
                <w:highlight w:val="none"/>
                <w:lang w:eastAsia="zh-CN"/>
              </w:rPr>
              <w:t>投标人所投产品除不可偏离指标外，均满足招标需求的得</w:t>
            </w:r>
            <w:r>
              <w:rPr>
                <w:rFonts w:hint="eastAsia" w:hAnsi="宋体" w:cs="宋体"/>
                <w:color w:val="auto"/>
                <w:sz w:val="24"/>
                <w:highlight w:val="none"/>
                <w:lang w:val="en-US" w:eastAsia="zh-CN"/>
              </w:rPr>
              <w:t>35</w:t>
            </w:r>
            <w:r>
              <w:rPr>
                <w:rFonts w:hint="eastAsia" w:hAnsi="宋体" w:cs="宋体"/>
                <w:color w:val="auto"/>
                <w:sz w:val="24"/>
                <w:highlight w:val="none"/>
                <w:lang w:eastAsia="zh-CN"/>
              </w:rPr>
              <w:t>分，负偏离每项扣</w:t>
            </w:r>
            <w:r>
              <w:rPr>
                <w:rFonts w:hint="eastAsia" w:hAnsi="宋体" w:cs="宋体"/>
                <w:color w:val="auto"/>
                <w:sz w:val="24"/>
                <w:highlight w:val="none"/>
                <w:lang w:val="en-US" w:eastAsia="zh-CN"/>
              </w:rPr>
              <w:t>1</w:t>
            </w:r>
            <w:r>
              <w:rPr>
                <w:rFonts w:hint="eastAsia" w:hAnsi="宋体" w:cs="宋体"/>
                <w:color w:val="auto"/>
                <w:sz w:val="24"/>
                <w:highlight w:val="none"/>
                <w:lang w:eastAsia="zh-CN"/>
              </w:rPr>
              <w:t>分，扣完为止；</w:t>
            </w:r>
          </w:p>
          <w:p>
            <w:pPr>
              <w:spacing w:line="360" w:lineRule="auto"/>
              <w:jc w:val="left"/>
              <w:rPr>
                <w:rFonts w:hint="eastAsia"/>
                <w:color w:val="auto"/>
                <w:highlight w:val="none"/>
              </w:rPr>
            </w:pPr>
            <w:r>
              <w:rPr>
                <w:rFonts w:hint="eastAsia" w:hAnsi="宋体" w:cs="宋体"/>
                <w:color w:val="auto"/>
                <w:sz w:val="24"/>
                <w:highlight w:val="none"/>
                <w:lang w:eastAsia="zh-CN"/>
              </w:rPr>
              <w:t>对每一项（含技术参数、性能或产品功能）对采购人有实质意义的正偏离得</w:t>
            </w:r>
            <w:r>
              <w:rPr>
                <w:rFonts w:hint="eastAsia" w:hAnsi="宋体" w:cs="宋体"/>
                <w:color w:val="auto"/>
                <w:sz w:val="24"/>
                <w:highlight w:val="none"/>
                <w:lang w:val="en-US" w:eastAsia="zh-CN"/>
              </w:rPr>
              <w:t>1</w:t>
            </w:r>
            <w:r>
              <w:rPr>
                <w:rFonts w:hint="eastAsia" w:hAnsi="宋体" w:cs="宋体"/>
                <w:color w:val="auto"/>
                <w:sz w:val="24"/>
                <w:highlight w:val="none"/>
                <w:lang w:eastAsia="zh-CN"/>
              </w:rPr>
              <w:t>分，最高得</w:t>
            </w:r>
            <w:r>
              <w:rPr>
                <w:rFonts w:hint="eastAsia" w:hAnsi="宋体" w:cs="宋体"/>
                <w:color w:val="auto"/>
                <w:sz w:val="24"/>
                <w:highlight w:val="none"/>
                <w:lang w:val="en-US" w:eastAsia="zh-CN"/>
              </w:rPr>
              <w:t>3</w:t>
            </w:r>
            <w:r>
              <w:rPr>
                <w:rFonts w:hint="eastAsia" w:hAnsi="宋体" w:cs="宋体"/>
                <w:color w:val="auto"/>
                <w:sz w:val="24"/>
                <w:highlight w:val="none"/>
                <w:lang w:eastAsia="zh-CN"/>
              </w:rPr>
              <w:t>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b/>
                <w:bCs/>
                <w:color w:val="auto"/>
                <w:highlight w:val="none"/>
                <w:lang w:val="en-US" w:eastAsia="zh-CN"/>
              </w:rPr>
            </w:pPr>
            <w:r>
              <w:rPr>
                <w:rFonts w:hint="eastAsia" w:ascii="宋体" w:hAnsi="宋体" w:cs="宋体"/>
                <w:color w:val="auto"/>
                <w:sz w:val="24"/>
                <w:highlight w:val="none"/>
                <w:lang w:val="en-US" w:eastAsia="zh-CN"/>
              </w:rPr>
              <w:t>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91"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pStyle w:val="29"/>
              <w:spacing w:line="360" w:lineRule="auto"/>
              <w:ind w:firstLine="0"/>
              <w:jc w:val="center"/>
              <w:rPr>
                <w:rFonts w:hint="eastAsia" w:ascii="宋体"/>
                <w:color w:val="auto"/>
                <w:sz w:val="24"/>
                <w:highlight w:val="none"/>
              </w:rPr>
            </w:pPr>
            <w:r>
              <w:rPr>
                <w:rFonts w:hint="eastAsia" w:ascii="宋体"/>
                <w:color w:val="auto"/>
                <w:sz w:val="24"/>
                <w:highlight w:val="none"/>
              </w:rPr>
              <w:t>2</w:t>
            </w:r>
          </w:p>
        </w:tc>
        <w:tc>
          <w:tcPr>
            <w:tcW w:w="562"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cs="宋体"/>
                <w:color w:val="auto"/>
                <w:sz w:val="24"/>
                <w:highlight w:val="none"/>
                <w:lang w:eastAsia="zh-CN"/>
              </w:rPr>
            </w:pPr>
            <w:r>
              <w:rPr>
                <w:rFonts w:hint="eastAsia" w:hAnsi="宋体" w:cs="宋体"/>
                <w:color w:val="auto"/>
                <w:sz w:val="24"/>
                <w:highlight w:val="none"/>
                <w:lang w:eastAsia="zh-CN"/>
              </w:rPr>
              <w:t>设备技术性能</w:t>
            </w:r>
          </w:p>
        </w:tc>
        <w:tc>
          <w:tcPr>
            <w:tcW w:w="65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Times New Roman" w:hAnsi="宋体" w:eastAsia="宋体" w:cs="宋体"/>
                <w:color w:val="auto"/>
                <w:kern w:val="2"/>
                <w:sz w:val="24"/>
                <w:szCs w:val="24"/>
                <w:highlight w:val="none"/>
                <w:lang w:val="en-US" w:eastAsia="zh-CN" w:bidi="ar-SA"/>
              </w:rPr>
            </w:pPr>
            <w:r>
              <w:rPr>
                <w:rFonts w:hint="eastAsia" w:ascii="Times New Roman" w:hAnsi="宋体" w:eastAsia="宋体" w:cs="宋体"/>
                <w:color w:val="auto"/>
                <w:kern w:val="2"/>
                <w:sz w:val="24"/>
                <w:szCs w:val="24"/>
                <w:highlight w:val="none"/>
                <w:lang w:val="en-US" w:eastAsia="zh-CN" w:bidi="ar-SA"/>
              </w:rPr>
              <w:t>根据所投设备技术性能先进程度、设备的稳定程度等</w:t>
            </w:r>
            <w:r>
              <w:rPr>
                <w:rFonts w:hint="eastAsia" w:hAnsi="宋体" w:cs="宋体"/>
                <w:color w:val="auto"/>
                <w:kern w:val="2"/>
                <w:sz w:val="24"/>
                <w:szCs w:val="24"/>
                <w:highlight w:val="none"/>
                <w:lang w:val="en-US" w:eastAsia="zh-CN" w:bidi="ar-SA"/>
              </w:rPr>
              <w:t>情况进行打分</w:t>
            </w:r>
            <w:r>
              <w:rPr>
                <w:rFonts w:hint="eastAsia" w:ascii="Times New Roman" w:hAnsi="宋体" w:eastAsia="宋体" w:cs="宋体"/>
                <w:color w:val="auto"/>
                <w:kern w:val="2"/>
                <w:sz w:val="24"/>
                <w:szCs w:val="24"/>
                <w:highlight w:val="none"/>
                <w:lang w:val="en-US" w:eastAsia="zh-CN" w:bidi="ar-SA"/>
              </w:rPr>
              <w:t>。</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66"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3</w:t>
            </w:r>
          </w:p>
        </w:tc>
        <w:tc>
          <w:tcPr>
            <w:tcW w:w="562"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14"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color w:val="auto"/>
                <w:sz w:val="24"/>
                <w:highlight w:val="none"/>
              </w:rPr>
            </w:pPr>
            <w:r>
              <w:rPr>
                <w:rFonts w:hint="eastAsia" w:hAnsi="宋体" w:cs="宋体"/>
                <w:color w:val="auto"/>
                <w:sz w:val="24"/>
                <w:highlight w:val="none"/>
              </w:rPr>
              <w:t>安装、调试、验收</w:t>
            </w:r>
          </w:p>
        </w:tc>
        <w:tc>
          <w:tcPr>
            <w:tcW w:w="65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Ansi="宋体" w:cs="宋体"/>
                <w:color w:val="auto"/>
                <w:sz w:val="24"/>
                <w:highlight w:val="none"/>
              </w:rPr>
            </w:pPr>
            <w:r>
              <w:rPr>
                <w:rFonts w:hint="eastAsia" w:hAnsi="宋体" w:cs="宋体"/>
                <w:color w:val="auto"/>
                <w:sz w:val="24"/>
                <w:highlight w:val="none"/>
              </w:rPr>
              <w:t>根据</w:t>
            </w:r>
            <w:r>
              <w:rPr>
                <w:rFonts w:hint="eastAsia" w:hAnsi="宋体" w:cs="宋体"/>
                <w:color w:val="auto"/>
                <w:sz w:val="24"/>
                <w:highlight w:val="none"/>
                <w:lang w:eastAsia="zh-CN"/>
              </w:rPr>
              <w:t>投标人</w:t>
            </w:r>
            <w:r>
              <w:rPr>
                <w:rFonts w:hint="eastAsia" w:hAnsi="宋体" w:cs="宋体"/>
                <w:color w:val="auto"/>
                <w:sz w:val="24"/>
                <w:highlight w:val="none"/>
              </w:rPr>
              <w:t>所提供的安装、调试、验收方法或方案，根据方案和措施科学性、有效性</w:t>
            </w:r>
            <w:r>
              <w:rPr>
                <w:rFonts w:hint="eastAsia" w:hAnsi="宋体" w:cs="宋体"/>
                <w:color w:val="auto"/>
                <w:sz w:val="24"/>
                <w:highlight w:val="none"/>
                <w:lang w:eastAsia="zh-CN"/>
              </w:rPr>
              <w:t>进行</w:t>
            </w:r>
            <w:r>
              <w:rPr>
                <w:rFonts w:hint="eastAsia" w:hAnsi="宋体" w:cs="宋体"/>
                <w:color w:val="auto"/>
                <w:sz w:val="24"/>
                <w:highlight w:val="none"/>
              </w:rPr>
              <w:t>打分</w:t>
            </w:r>
            <w:r>
              <w:rPr>
                <w:rFonts w:hint="eastAsia" w:hAnsi="宋体" w:cs="宋体"/>
                <w:color w:val="auto"/>
                <w:sz w:val="24"/>
                <w:highlight w:val="none"/>
                <w:lang w:eastAsia="zh-CN"/>
              </w:rPr>
              <w:t>，</w:t>
            </w:r>
            <w:r>
              <w:rPr>
                <w:rFonts w:hint="eastAsia" w:ascii="宋体" w:eastAsia="宋体" w:cs="宋体"/>
                <w:color w:val="auto"/>
                <w:sz w:val="24"/>
                <w:szCs w:val="24"/>
                <w:highlight w:val="none"/>
              </w:rPr>
              <w:t>无方案无措施的不得分。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5"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4</w:t>
            </w:r>
          </w:p>
        </w:tc>
        <w:tc>
          <w:tcPr>
            <w:tcW w:w="562"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r>
              <w:rPr>
                <w:rFonts w:hint="eastAsia" w:hAnsi="宋体" w:cs="宋体"/>
                <w:color w:val="auto"/>
                <w:sz w:val="24"/>
                <w:highlight w:val="none"/>
              </w:rPr>
              <w:t>培训方案</w:t>
            </w:r>
          </w:p>
        </w:tc>
        <w:tc>
          <w:tcPr>
            <w:tcW w:w="65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hAnsi="宋体" w:cs="宋体"/>
                <w:color w:val="auto"/>
                <w:sz w:val="24"/>
                <w:highlight w:val="none"/>
              </w:rPr>
            </w:pPr>
            <w:r>
              <w:rPr>
                <w:rFonts w:hint="eastAsia" w:hAnsi="宋体" w:cs="宋体"/>
                <w:color w:val="auto"/>
                <w:sz w:val="24"/>
                <w:highlight w:val="none"/>
              </w:rPr>
              <w:t>根据投标产品应用培训计划的完整性，合理性等方面</w:t>
            </w:r>
            <w:r>
              <w:rPr>
                <w:rFonts w:hint="eastAsia" w:ascii="宋体" w:hAnsi="宋体" w:cs="宋体"/>
                <w:color w:val="auto"/>
                <w:sz w:val="24"/>
                <w:highlight w:val="none"/>
                <w:lang w:eastAsia="zh-CN"/>
              </w:rPr>
              <w:t>进行</w:t>
            </w:r>
            <w:r>
              <w:rPr>
                <w:rFonts w:hint="eastAsia" w:ascii="宋体" w:hAnsi="宋体" w:cs="宋体"/>
                <w:color w:val="auto"/>
                <w:sz w:val="24"/>
                <w:highlight w:val="none"/>
              </w:rPr>
              <w:t>打分</w:t>
            </w:r>
            <w:r>
              <w:rPr>
                <w:rFonts w:hint="eastAsia" w:ascii="宋体" w:hAnsi="宋体" w:cs="宋体"/>
                <w:color w:val="auto"/>
                <w:sz w:val="24"/>
                <w:highlight w:val="none"/>
                <w:lang w:eastAsia="zh-CN"/>
              </w:rPr>
              <w:t>，</w:t>
            </w:r>
            <w:r>
              <w:rPr>
                <w:rFonts w:hint="eastAsia" w:ascii="宋体" w:eastAsia="宋体" w:cs="宋体"/>
                <w:color w:val="auto"/>
                <w:sz w:val="24"/>
                <w:szCs w:val="24"/>
                <w:highlight w:val="none"/>
              </w:rPr>
              <w:t>无</w:t>
            </w:r>
            <w:r>
              <w:rPr>
                <w:rFonts w:hint="eastAsia" w:ascii="宋体" w:eastAsia="宋体" w:cs="宋体"/>
                <w:color w:val="auto"/>
                <w:sz w:val="24"/>
                <w:szCs w:val="24"/>
                <w:highlight w:val="none"/>
                <w:lang w:val="en-US" w:eastAsia="zh-CN"/>
              </w:rPr>
              <w:t>培训计划</w:t>
            </w:r>
            <w:r>
              <w:rPr>
                <w:rFonts w:hint="eastAsia" w:ascii="宋体" w:eastAsia="宋体" w:cs="宋体"/>
                <w:color w:val="auto"/>
                <w:sz w:val="24"/>
                <w:szCs w:val="24"/>
                <w:highlight w:val="none"/>
              </w:rPr>
              <w:t>的不得分。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81"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5</w:t>
            </w:r>
          </w:p>
        </w:tc>
        <w:tc>
          <w:tcPr>
            <w:tcW w:w="562"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r>
              <w:rPr>
                <w:rFonts w:hint="eastAsia" w:hAnsi="宋体" w:cs="宋体"/>
                <w:color w:val="auto"/>
                <w:sz w:val="24"/>
                <w:highlight w:val="none"/>
              </w:rPr>
              <w:t>质保期</w:t>
            </w:r>
          </w:p>
        </w:tc>
        <w:tc>
          <w:tcPr>
            <w:tcW w:w="65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hAnsi="宋体" w:cs="宋体"/>
                <w:color w:val="auto"/>
                <w:sz w:val="24"/>
                <w:highlight w:val="none"/>
              </w:rPr>
            </w:pPr>
            <w:r>
              <w:rPr>
                <w:rFonts w:hint="eastAsia" w:hAnsi="宋体" w:cs="宋体"/>
                <w:color w:val="auto"/>
                <w:sz w:val="24"/>
                <w:highlight w:val="none"/>
              </w:rPr>
              <w:t>质</w:t>
            </w:r>
            <w:r>
              <w:rPr>
                <w:rFonts w:hint="eastAsia" w:ascii="宋体" w:eastAsia="宋体" w:cs="宋体"/>
                <w:color w:val="auto"/>
                <w:sz w:val="24"/>
                <w:szCs w:val="24"/>
                <w:highlight w:val="none"/>
              </w:rPr>
              <w:t>保期</w:t>
            </w:r>
            <w:r>
              <w:rPr>
                <w:rFonts w:hint="eastAsia" w:ascii="宋体" w:cs="宋体"/>
                <w:color w:val="auto"/>
                <w:sz w:val="24"/>
                <w:szCs w:val="24"/>
                <w:highlight w:val="none"/>
                <w:lang w:eastAsia="zh-CN"/>
              </w:rPr>
              <w:t>超过</w:t>
            </w:r>
            <w:r>
              <w:rPr>
                <w:rFonts w:hint="eastAsia" w:ascii="宋体" w:eastAsia="宋体" w:cs="宋体"/>
                <w:color w:val="auto"/>
                <w:sz w:val="24"/>
                <w:szCs w:val="24"/>
                <w:highlight w:val="none"/>
              </w:rPr>
              <w:t>招标</w:t>
            </w:r>
            <w:r>
              <w:rPr>
                <w:rFonts w:hint="eastAsia" w:hAnsi="宋体" w:cs="宋体"/>
                <w:color w:val="auto"/>
                <w:sz w:val="24"/>
                <w:highlight w:val="none"/>
              </w:rPr>
              <w:t>文件规定的，每增加半年得0.5分，最多得</w:t>
            </w:r>
            <w:r>
              <w:rPr>
                <w:rFonts w:hint="eastAsia" w:hAnsi="宋体" w:cs="宋体"/>
                <w:color w:val="auto"/>
                <w:sz w:val="24"/>
                <w:highlight w:val="none"/>
                <w:lang w:val="en-US" w:eastAsia="zh-CN"/>
              </w:rPr>
              <w:t>3</w:t>
            </w:r>
            <w:r>
              <w:rPr>
                <w:rFonts w:hint="eastAsia" w:hAnsi="宋体" w:cs="宋体"/>
                <w:color w:val="auto"/>
                <w:sz w:val="24"/>
                <w:highlight w:val="none"/>
              </w:rPr>
              <w:t>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0"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pStyle w:val="29"/>
              <w:spacing w:line="360" w:lineRule="auto"/>
              <w:ind w:firstLine="0"/>
              <w:jc w:val="center"/>
              <w:rPr>
                <w:rFonts w:hint="eastAsia" w:ascii="宋体"/>
                <w:b/>
                <w:bCs/>
                <w:color w:val="auto"/>
                <w:sz w:val="24"/>
                <w:highlight w:val="none"/>
              </w:rPr>
            </w:pPr>
            <w:r>
              <w:rPr>
                <w:rFonts w:hint="eastAsia" w:ascii="宋体"/>
                <w:b/>
                <w:bCs/>
                <w:color w:val="auto"/>
                <w:sz w:val="24"/>
                <w:highlight w:val="none"/>
              </w:rPr>
              <w:t>二</w:t>
            </w:r>
          </w:p>
        </w:tc>
        <w:tc>
          <w:tcPr>
            <w:tcW w:w="8472" w:type="dxa"/>
            <w:gridSpan w:val="3"/>
            <w:tcBorders>
              <w:top w:val="single" w:color="auto" w:sz="4" w:space="0"/>
              <w:left w:val="single" w:color="auto" w:sz="4" w:space="0"/>
              <w:bottom w:val="single" w:color="auto" w:sz="4" w:space="0"/>
              <w:right w:val="single" w:color="auto" w:sz="4" w:space="0"/>
            </w:tcBorders>
            <w:noWrap w:val="0"/>
            <w:vAlign w:val="center"/>
          </w:tcPr>
          <w:p>
            <w:pPr>
              <w:pStyle w:val="29"/>
              <w:spacing w:line="360" w:lineRule="auto"/>
              <w:ind w:firstLine="0"/>
              <w:jc w:val="center"/>
              <w:rPr>
                <w:rFonts w:hint="eastAsia" w:ascii="宋体"/>
                <w:b/>
                <w:bCs/>
                <w:color w:val="auto"/>
                <w:sz w:val="24"/>
                <w:highlight w:val="none"/>
              </w:rPr>
            </w:pPr>
            <w:r>
              <w:rPr>
                <w:rFonts w:hint="eastAsia" w:ascii="宋体"/>
                <w:b/>
                <w:bCs/>
                <w:color w:val="auto"/>
                <w:sz w:val="24"/>
                <w:highlight w:val="none"/>
              </w:rPr>
              <w:t>商务资信及其他分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pStyle w:val="29"/>
              <w:spacing w:line="360" w:lineRule="auto"/>
              <w:ind w:firstLine="0"/>
              <w:jc w:val="center"/>
              <w:rPr>
                <w:rFonts w:hint="eastAsia" w:ascii="宋体"/>
                <w:b/>
                <w:bCs/>
                <w:color w:val="auto"/>
                <w:sz w:val="24"/>
                <w:highlight w:val="none"/>
              </w:rPr>
            </w:pPr>
            <w:r>
              <w:rPr>
                <w:rFonts w:hint="eastAsia" w:ascii="宋体"/>
                <w:b/>
                <w:bCs/>
                <w:color w:val="auto"/>
                <w:sz w:val="24"/>
                <w:highlight w:val="none"/>
                <w:lang w:val="en-US" w:eastAsia="zh-CN"/>
              </w:rPr>
              <w:t>20</w:t>
            </w:r>
            <w:r>
              <w:rPr>
                <w:rFonts w:hint="eastAsia" w:ascii="宋体"/>
                <w:b/>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50"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6</w:t>
            </w:r>
          </w:p>
        </w:tc>
        <w:tc>
          <w:tcPr>
            <w:tcW w:w="562" w:type="dxa"/>
            <w:vMerge w:val="restart"/>
            <w:tcBorders>
              <w:top w:val="single" w:color="auto" w:sz="4" w:space="0"/>
              <w:left w:val="single" w:color="auto" w:sz="4" w:space="0"/>
              <w:right w:val="single" w:color="auto" w:sz="4" w:space="0"/>
            </w:tcBorders>
            <w:noWrap w:val="0"/>
            <w:vAlign w:val="center"/>
          </w:tcPr>
          <w:p>
            <w:pPr>
              <w:spacing w:line="360" w:lineRule="auto"/>
              <w:jc w:val="both"/>
              <w:rPr>
                <w:rFonts w:hint="eastAsia" w:hAnsi="宋体" w:cs="宋体"/>
                <w:color w:val="auto"/>
                <w:sz w:val="24"/>
                <w:highlight w:val="none"/>
              </w:rPr>
            </w:pPr>
          </w:p>
          <w:p>
            <w:pPr>
              <w:spacing w:line="360" w:lineRule="auto"/>
              <w:jc w:val="center"/>
              <w:rPr>
                <w:rFonts w:hint="eastAsia" w:hAnsi="宋体" w:cs="宋体"/>
                <w:color w:val="auto"/>
                <w:sz w:val="24"/>
                <w:highlight w:val="none"/>
              </w:rPr>
            </w:pPr>
            <w:r>
              <w:rPr>
                <w:rFonts w:hint="eastAsia" w:hAnsi="宋体" w:cs="宋体"/>
                <w:color w:val="auto"/>
                <w:sz w:val="24"/>
                <w:highlight w:val="none"/>
              </w:rPr>
              <w:t>履约及售后</w:t>
            </w:r>
            <w:r>
              <w:rPr>
                <w:rFonts w:hint="eastAsia" w:hAnsi="宋体" w:cs="宋体"/>
                <w:color w:val="auto"/>
                <w:sz w:val="24"/>
                <w:highlight w:val="none"/>
                <w:lang w:eastAsia="zh-CN"/>
              </w:rPr>
              <w:t>服务</w:t>
            </w:r>
            <w:r>
              <w:rPr>
                <w:rFonts w:hint="eastAsia" w:hAnsi="宋体" w:cs="宋体"/>
                <w:color w:val="auto"/>
                <w:sz w:val="24"/>
                <w:highlight w:val="none"/>
              </w:rPr>
              <w:t>能力</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r>
              <w:rPr>
                <w:rFonts w:hint="eastAsia" w:hAnsi="宋体" w:cs="宋体"/>
                <w:color w:val="auto"/>
                <w:sz w:val="24"/>
                <w:highlight w:val="none"/>
              </w:rPr>
              <w:t>认证证书</w:t>
            </w:r>
          </w:p>
        </w:tc>
        <w:tc>
          <w:tcPr>
            <w:tcW w:w="65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hAnsi="宋体" w:cs="宋体"/>
                <w:color w:val="auto"/>
                <w:sz w:val="24"/>
                <w:highlight w:val="none"/>
              </w:rPr>
            </w:pPr>
            <w:r>
              <w:rPr>
                <w:rFonts w:hint="eastAsia" w:hAnsi="宋体" w:cs="宋体"/>
                <w:color w:val="auto"/>
                <w:sz w:val="24"/>
                <w:highlight w:val="none"/>
              </w:rPr>
              <w:t>投标产品生产厂商通过质量管理体系、环境认证体系及其他国际、国内权威机构认证并获得相关证书的，凭相关证书复印件每项得1分，最高得4分。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2"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7</w:t>
            </w:r>
          </w:p>
        </w:tc>
        <w:tc>
          <w:tcPr>
            <w:tcW w:w="562"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r>
              <w:rPr>
                <w:rFonts w:hint="eastAsia" w:hAnsi="宋体" w:cs="宋体"/>
                <w:color w:val="auto"/>
                <w:sz w:val="24"/>
                <w:highlight w:val="none"/>
              </w:rPr>
              <w:t>同类业绩</w:t>
            </w:r>
          </w:p>
        </w:tc>
        <w:tc>
          <w:tcPr>
            <w:tcW w:w="65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Ansi="宋体" w:cs="宋体"/>
                <w:color w:val="auto"/>
                <w:sz w:val="24"/>
                <w:highlight w:val="none"/>
              </w:rPr>
            </w:pPr>
            <w:r>
              <w:rPr>
                <w:rFonts w:hint="eastAsia" w:hAnsi="宋体" w:cs="宋体"/>
                <w:color w:val="auto"/>
                <w:sz w:val="24"/>
                <w:highlight w:val="none"/>
              </w:rPr>
              <w:t>投标人（联合体</w:t>
            </w:r>
            <w:r>
              <w:rPr>
                <w:rFonts w:hint="eastAsia" w:hAnsi="宋体" w:cs="宋体"/>
                <w:color w:val="auto"/>
                <w:sz w:val="24"/>
                <w:highlight w:val="none"/>
                <w:lang w:val="en-US" w:eastAsia="zh-CN"/>
              </w:rPr>
              <w:t>投标</w:t>
            </w:r>
            <w:r>
              <w:rPr>
                <w:rFonts w:hint="eastAsia" w:hAnsi="宋体" w:cs="宋体"/>
                <w:color w:val="auto"/>
                <w:sz w:val="24"/>
                <w:highlight w:val="none"/>
              </w:rPr>
              <w:t>的，指牵头人）自201</w:t>
            </w:r>
            <w:r>
              <w:rPr>
                <w:rFonts w:hint="eastAsia" w:hAnsi="宋体" w:cs="宋体"/>
                <w:color w:val="auto"/>
                <w:sz w:val="24"/>
                <w:highlight w:val="none"/>
                <w:lang w:val="en-US" w:eastAsia="zh-CN"/>
              </w:rPr>
              <w:t>9</w:t>
            </w:r>
            <w:r>
              <w:rPr>
                <w:rFonts w:hint="eastAsia" w:hAnsi="宋体" w:cs="宋体"/>
                <w:color w:val="auto"/>
                <w:sz w:val="24"/>
                <w:highlight w:val="none"/>
              </w:rPr>
              <w:t>年1月以来，提供同类项目业绩的，每个得1分，最多得</w:t>
            </w:r>
            <w:r>
              <w:rPr>
                <w:rFonts w:hint="eastAsia" w:hAnsi="宋体" w:cs="宋体"/>
                <w:color w:val="auto"/>
                <w:sz w:val="24"/>
                <w:highlight w:val="none"/>
                <w:lang w:val="en-US" w:eastAsia="zh-CN"/>
              </w:rPr>
              <w:t>3</w:t>
            </w:r>
            <w:r>
              <w:rPr>
                <w:rFonts w:hint="eastAsia" w:hAnsi="宋体" w:cs="宋体"/>
                <w:color w:val="auto"/>
                <w:sz w:val="24"/>
                <w:highlight w:val="none"/>
              </w:rPr>
              <w:t>分。（以提供中标通知书或合同复印件为准）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1"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8</w:t>
            </w:r>
          </w:p>
        </w:tc>
        <w:tc>
          <w:tcPr>
            <w:tcW w:w="562"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14"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r>
              <w:rPr>
                <w:rFonts w:hint="eastAsia" w:hAnsi="宋体" w:cs="宋体"/>
                <w:color w:val="auto"/>
                <w:sz w:val="24"/>
                <w:highlight w:val="none"/>
              </w:rPr>
              <w:t>配件</w:t>
            </w:r>
            <w:r>
              <w:rPr>
                <w:rFonts w:hint="eastAsia" w:hAnsi="宋体" w:cs="宋体"/>
                <w:color w:val="auto"/>
                <w:sz w:val="24"/>
                <w:highlight w:val="none"/>
                <w:lang w:eastAsia="zh-CN"/>
              </w:rPr>
              <w:t>、</w:t>
            </w:r>
            <w:r>
              <w:rPr>
                <w:rFonts w:hint="eastAsia" w:hAnsi="宋体" w:cs="宋体"/>
                <w:color w:val="auto"/>
                <w:sz w:val="24"/>
                <w:highlight w:val="none"/>
              </w:rPr>
              <w:t>耗材提供及备品备件</w:t>
            </w:r>
          </w:p>
        </w:tc>
        <w:tc>
          <w:tcPr>
            <w:tcW w:w="6596" w:type="dxa"/>
            <w:tcBorders>
              <w:top w:val="single" w:color="auto" w:sz="4" w:space="0"/>
              <w:left w:val="single" w:color="auto" w:sz="4" w:space="0"/>
              <w:bottom w:val="single" w:color="auto" w:sz="4" w:space="0"/>
              <w:right w:val="single" w:color="auto" w:sz="4" w:space="0"/>
            </w:tcBorders>
            <w:noWrap w:val="0"/>
            <w:vAlign w:val="center"/>
          </w:tcPr>
          <w:p>
            <w:pPr>
              <w:pStyle w:val="29"/>
              <w:ind w:firstLine="0" w:firstLineChars="0"/>
              <w:jc w:val="both"/>
              <w:rPr>
                <w:rFonts w:hint="eastAsia" w:ascii="Times New Roman" w:hAnsi="宋体" w:eastAsia="宋体" w:cs="宋体"/>
                <w:color w:val="auto"/>
                <w:kern w:val="2"/>
                <w:sz w:val="24"/>
                <w:szCs w:val="24"/>
                <w:highlight w:val="none"/>
                <w:lang w:val="en-US" w:eastAsia="zh-CN" w:bidi="ar-SA"/>
              </w:rPr>
            </w:pPr>
            <w:r>
              <w:rPr>
                <w:rFonts w:hint="eastAsia" w:ascii="Times New Roman" w:hAnsi="宋体" w:eastAsia="宋体" w:cs="宋体"/>
                <w:color w:val="auto"/>
                <w:kern w:val="2"/>
                <w:sz w:val="24"/>
                <w:szCs w:val="24"/>
                <w:highlight w:val="none"/>
                <w:lang w:val="en-US" w:eastAsia="zh-CN" w:bidi="ar-SA"/>
              </w:rPr>
              <w:t>运行成本：</w:t>
            </w:r>
            <w:r>
              <w:rPr>
                <w:rFonts w:hint="eastAsia" w:hAnsi="宋体" w:cs="宋体"/>
                <w:color w:val="auto"/>
                <w:kern w:val="2"/>
                <w:sz w:val="24"/>
                <w:szCs w:val="24"/>
                <w:highlight w:val="none"/>
                <w:lang w:val="en-US" w:eastAsia="zh-CN" w:bidi="ar-SA"/>
              </w:rPr>
              <w:t>根据投标产品</w:t>
            </w:r>
            <w:r>
              <w:rPr>
                <w:rFonts w:hint="eastAsia" w:ascii="Times New Roman" w:hAnsi="宋体" w:eastAsia="宋体" w:cs="宋体"/>
                <w:color w:val="auto"/>
                <w:kern w:val="2"/>
                <w:sz w:val="24"/>
                <w:szCs w:val="24"/>
                <w:highlight w:val="none"/>
                <w:lang w:val="en-US" w:eastAsia="zh-CN" w:bidi="ar-SA"/>
              </w:rPr>
              <w:t>消耗品或易耗品的使用周期、价格</w:t>
            </w:r>
            <w:r>
              <w:rPr>
                <w:rFonts w:hint="eastAsia" w:hAnsi="宋体" w:cs="宋体"/>
                <w:color w:val="auto"/>
                <w:kern w:val="2"/>
                <w:sz w:val="24"/>
                <w:szCs w:val="24"/>
                <w:highlight w:val="none"/>
                <w:lang w:val="en-US" w:eastAsia="zh-CN" w:bidi="ar-SA"/>
              </w:rPr>
              <w:t>打分。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9</w:t>
            </w:r>
          </w:p>
        </w:tc>
        <w:tc>
          <w:tcPr>
            <w:tcW w:w="562"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14"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6596" w:type="dxa"/>
            <w:tcBorders>
              <w:top w:val="single" w:color="auto" w:sz="4" w:space="0"/>
              <w:left w:val="single" w:color="auto" w:sz="4" w:space="0"/>
              <w:bottom w:val="single" w:color="auto" w:sz="4" w:space="0"/>
              <w:right w:val="single" w:color="auto" w:sz="4" w:space="0"/>
            </w:tcBorders>
            <w:noWrap w:val="0"/>
            <w:vAlign w:val="center"/>
          </w:tcPr>
          <w:p>
            <w:pPr>
              <w:pStyle w:val="29"/>
              <w:ind w:firstLine="0" w:firstLineChars="0"/>
              <w:jc w:val="both"/>
              <w:rPr>
                <w:rFonts w:hint="default" w:ascii="Times New Roman" w:hAnsi="宋体" w:eastAsia="宋体" w:cs="宋体"/>
                <w:color w:val="auto"/>
                <w:kern w:val="2"/>
                <w:sz w:val="24"/>
                <w:szCs w:val="24"/>
                <w:highlight w:val="none"/>
                <w:lang w:val="en-US" w:eastAsia="zh-CN" w:bidi="ar-SA"/>
              </w:rPr>
            </w:pPr>
            <w:r>
              <w:rPr>
                <w:rFonts w:hint="eastAsia" w:ascii="Times New Roman" w:hAnsi="宋体" w:eastAsia="宋体" w:cs="宋体"/>
                <w:color w:val="auto"/>
                <w:kern w:val="2"/>
                <w:sz w:val="24"/>
                <w:szCs w:val="24"/>
                <w:highlight w:val="none"/>
                <w:lang w:val="en-US" w:eastAsia="zh-CN" w:bidi="ar-SA"/>
              </w:rPr>
              <w:t>维修成本：根据保修价格优惠情况、</w:t>
            </w:r>
            <w:r>
              <w:rPr>
                <w:rFonts w:hint="eastAsia" w:hAnsi="宋体" w:cs="宋体"/>
                <w:color w:val="auto"/>
                <w:kern w:val="2"/>
                <w:sz w:val="24"/>
                <w:szCs w:val="24"/>
                <w:highlight w:val="none"/>
                <w:lang w:val="en-US" w:eastAsia="zh-CN" w:bidi="ar-SA"/>
              </w:rPr>
              <w:t>设备</w:t>
            </w:r>
            <w:r>
              <w:rPr>
                <w:rFonts w:hint="eastAsia" w:ascii="Times New Roman" w:hAnsi="宋体" w:eastAsia="宋体" w:cs="宋体"/>
                <w:color w:val="auto"/>
                <w:kern w:val="2"/>
                <w:sz w:val="24"/>
                <w:szCs w:val="24"/>
                <w:highlight w:val="none"/>
                <w:lang w:val="en-US" w:eastAsia="zh-CN" w:bidi="ar-SA"/>
              </w:rPr>
              <w:t>配件价格优惠情况、维修费用</w:t>
            </w:r>
            <w:r>
              <w:rPr>
                <w:rFonts w:hint="eastAsia" w:hAnsi="宋体" w:cs="宋体"/>
                <w:color w:val="auto"/>
                <w:kern w:val="2"/>
                <w:sz w:val="24"/>
                <w:szCs w:val="24"/>
                <w:highlight w:val="none"/>
                <w:lang w:val="en-US" w:eastAsia="zh-CN" w:bidi="ar-SA"/>
              </w:rPr>
              <w:t>情况打</w:t>
            </w:r>
            <w:r>
              <w:rPr>
                <w:rFonts w:hint="eastAsia" w:ascii="Times New Roman" w:hAnsi="宋体" w:eastAsia="宋体" w:cs="宋体"/>
                <w:color w:val="auto"/>
                <w:kern w:val="2"/>
                <w:sz w:val="24"/>
                <w:szCs w:val="24"/>
                <w:highlight w:val="none"/>
                <w:lang w:val="en-US" w:eastAsia="zh-CN" w:bidi="ar-SA"/>
              </w:rPr>
              <w:t>分</w:t>
            </w:r>
            <w:r>
              <w:rPr>
                <w:rFonts w:hint="eastAsia" w:hAnsi="宋体" w:cs="宋体"/>
                <w:color w:val="auto"/>
                <w:kern w:val="2"/>
                <w:sz w:val="24"/>
                <w:szCs w:val="24"/>
                <w:highlight w:val="none"/>
                <w:lang w:val="en-US" w:eastAsia="zh-CN" w:bidi="ar-SA"/>
              </w:rPr>
              <w:t>。</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4"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10</w:t>
            </w:r>
          </w:p>
        </w:tc>
        <w:tc>
          <w:tcPr>
            <w:tcW w:w="562"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14"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6596" w:type="dxa"/>
            <w:tcBorders>
              <w:top w:val="single" w:color="auto" w:sz="4" w:space="0"/>
              <w:left w:val="single" w:color="auto" w:sz="4" w:space="0"/>
              <w:bottom w:val="single" w:color="auto" w:sz="4" w:space="0"/>
              <w:right w:val="single" w:color="auto" w:sz="4" w:space="0"/>
            </w:tcBorders>
            <w:noWrap w:val="0"/>
            <w:vAlign w:val="center"/>
          </w:tcPr>
          <w:p>
            <w:pPr>
              <w:pStyle w:val="29"/>
              <w:ind w:firstLine="0" w:firstLineChars="0"/>
              <w:jc w:val="both"/>
              <w:rPr>
                <w:rFonts w:hint="eastAsia" w:ascii="Times New Roman" w:hAnsi="宋体" w:eastAsia="宋体" w:cs="宋体"/>
                <w:color w:val="auto"/>
                <w:kern w:val="2"/>
                <w:sz w:val="24"/>
                <w:szCs w:val="24"/>
                <w:highlight w:val="none"/>
                <w:lang w:val="en-US" w:eastAsia="zh-CN" w:bidi="ar-SA"/>
              </w:rPr>
            </w:pPr>
            <w:r>
              <w:rPr>
                <w:rFonts w:hint="eastAsia" w:ascii="Times New Roman" w:hAnsi="宋体" w:eastAsia="宋体" w:cs="宋体"/>
                <w:color w:val="auto"/>
                <w:kern w:val="2"/>
                <w:sz w:val="24"/>
                <w:szCs w:val="24"/>
                <w:highlight w:val="none"/>
                <w:lang w:val="en-US" w:eastAsia="zh-CN" w:bidi="ar-SA"/>
              </w:rPr>
              <w:t>备品备件的提供情况。</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11</w:t>
            </w:r>
          </w:p>
        </w:tc>
        <w:tc>
          <w:tcPr>
            <w:tcW w:w="562"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14"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r>
              <w:rPr>
                <w:rFonts w:hint="eastAsia" w:hAnsi="宋体" w:cs="宋体"/>
                <w:color w:val="auto"/>
                <w:sz w:val="24"/>
                <w:highlight w:val="none"/>
              </w:rPr>
              <w:t>售后服务保障</w:t>
            </w:r>
          </w:p>
        </w:tc>
        <w:tc>
          <w:tcPr>
            <w:tcW w:w="65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hAnsi="宋体" w:cs="宋体"/>
                <w:color w:val="auto"/>
                <w:sz w:val="24"/>
                <w:highlight w:val="none"/>
              </w:rPr>
            </w:pPr>
            <w:r>
              <w:rPr>
                <w:rFonts w:hint="eastAsia" w:ascii="Times New Roman" w:hAnsi="宋体" w:eastAsia="宋体" w:cs="宋体"/>
                <w:color w:val="auto"/>
                <w:kern w:val="2"/>
                <w:sz w:val="24"/>
                <w:szCs w:val="24"/>
                <w:highlight w:val="none"/>
                <w:lang w:val="en-US" w:eastAsia="zh-CN" w:bidi="ar-SA"/>
              </w:rPr>
              <w:t>根据售后服务体系完善性、售后服务条款的针对性</w:t>
            </w:r>
            <w:r>
              <w:rPr>
                <w:rFonts w:hint="eastAsia" w:hAnsi="宋体" w:cs="宋体"/>
                <w:color w:val="auto"/>
                <w:kern w:val="2"/>
                <w:sz w:val="24"/>
                <w:szCs w:val="24"/>
                <w:highlight w:val="none"/>
                <w:lang w:val="en-US" w:eastAsia="zh-CN" w:bidi="ar-SA"/>
              </w:rPr>
              <w:t>，酌情打</w:t>
            </w:r>
            <w:r>
              <w:rPr>
                <w:rFonts w:hint="eastAsia" w:ascii="Times New Roman" w:hAnsi="宋体" w:eastAsia="宋体" w:cs="宋体"/>
                <w:color w:val="auto"/>
                <w:kern w:val="2"/>
                <w:sz w:val="24"/>
                <w:szCs w:val="24"/>
                <w:highlight w:val="none"/>
                <w:lang w:val="en-US" w:eastAsia="zh-CN" w:bidi="ar-SA"/>
              </w:rPr>
              <w:t>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3"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12</w:t>
            </w:r>
          </w:p>
        </w:tc>
        <w:tc>
          <w:tcPr>
            <w:tcW w:w="562"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14"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65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hAnsi="宋体" w:cs="宋体"/>
                <w:color w:val="auto"/>
                <w:sz w:val="24"/>
                <w:highlight w:val="none"/>
              </w:rPr>
            </w:pPr>
            <w:r>
              <w:rPr>
                <w:rFonts w:hint="eastAsia" w:ascii="Times New Roman" w:hAnsi="宋体" w:eastAsia="宋体" w:cs="宋体"/>
                <w:color w:val="auto"/>
                <w:kern w:val="2"/>
                <w:sz w:val="24"/>
                <w:szCs w:val="24"/>
                <w:highlight w:val="none"/>
                <w:lang w:val="en-US" w:eastAsia="zh-CN" w:bidi="ar-SA"/>
              </w:rPr>
              <w:t>根据投标人</w:t>
            </w:r>
            <w:r>
              <w:rPr>
                <w:rFonts w:hint="eastAsia" w:hAnsi="宋体" w:cs="宋体"/>
                <w:color w:val="auto"/>
                <w:kern w:val="2"/>
                <w:sz w:val="24"/>
                <w:szCs w:val="24"/>
                <w:highlight w:val="none"/>
                <w:lang w:val="en-US" w:eastAsia="zh-CN" w:bidi="ar-SA"/>
              </w:rPr>
              <w:t>提供</w:t>
            </w:r>
            <w:r>
              <w:rPr>
                <w:rFonts w:hint="eastAsia" w:ascii="Times New Roman" w:hAnsi="宋体" w:eastAsia="宋体" w:cs="宋体"/>
                <w:color w:val="auto"/>
                <w:kern w:val="2"/>
                <w:sz w:val="24"/>
                <w:szCs w:val="24"/>
                <w:highlight w:val="none"/>
                <w:lang w:val="en-US" w:eastAsia="zh-CN" w:bidi="ar-SA"/>
              </w:rPr>
              <w:t>售后服务的便捷性、响应的及时性，</w:t>
            </w:r>
            <w:r>
              <w:rPr>
                <w:rFonts w:hint="eastAsia" w:hAnsi="宋体" w:cs="宋体"/>
                <w:color w:val="auto"/>
                <w:kern w:val="2"/>
                <w:sz w:val="24"/>
                <w:szCs w:val="24"/>
                <w:highlight w:val="none"/>
                <w:lang w:val="en-US" w:eastAsia="zh-CN" w:bidi="ar-SA"/>
              </w:rPr>
              <w:t>酌情</w:t>
            </w:r>
            <w:r>
              <w:rPr>
                <w:rFonts w:hint="eastAsia" w:ascii="Times New Roman" w:hAnsi="宋体" w:eastAsia="宋体" w:cs="宋体"/>
                <w:color w:val="auto"/>
                <w:kern w:val="2"/>
                <w:sz w:val="24"/>
                <w:szCs w:val="24"/>
                <w:highlight w:val="none"/>
                <w:lang w:val="en-US" w:eastAsia="zh-CN" w:bidi="ar-SA"/>
              </w:rPr>
              <w:t>打分</w:t>
            </w:r>
            <w:r>
              <w:rPr>
                <w:rFonts w:hint="eastAsia" w:hAnsi="宋体" w:cs="宋体"/>
                <w:color w:val="auto"/>
                <w:kern w:val="2"/>
                <w:sz w:val="24"/>
                <w:szCs w:val="24"/>
                <w:highlight w:val="none"/>
                <w:lang w:val="en-US" w:eastAsia="zh-CN" w:bidi="ar-SA"/>
              </w:rPr>
              <w:t>。</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10"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13</w:t>
            </w:r>
          </w:p>
        </w:tc>
        <w:tc>
          <w:tcPr>
            <w:tcW w:w="187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r>
              <w:rPr>
                <w:rFonts w:hint="eastAsia" w:hAnsi="宋体" w:cs="宋体"/>
                <w:color w:val="auto"/>
                <w:sz w:val="24"/>
                <w:highlight w:val="none"/>
              </w:rPr>
              <w:t>环保节能产品</w:t>
            </w:r>
          </w:p>
        </w:tc>
        <w:tc>
          <w:tcPr>
            <w:tcW w:w="65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hAnsi="宋体" w:cs="宋体"/>
                <w:color w:val="auto"/>
                <w:sz w:val="24"/>
                <w:highlight w:val="none"/>
              </w:rPr>
            </w:pPr>
            <w:r>
              <w:rPr>
                <w:rFonts w:hint="eastAsia" w:hAnsi="宋体" w:cs="宋体"/>
                <w:color w:val="auto"/>
                <w:sz w:val="24"/>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spacing w:line="360" w:lineRule="auto"/>
              <w:rPr>
                <w:rFonts w:hint="eastAsia" w:hAnsi="宋体" w:cs="宋体"/>
                <w:color w:val="auto"/>
                <w:sz w:val="24"/>
                <w:highlight w:val="none"/>
              </w:rPr>
            </w:pPr>
            <w:r>
              <w:rPr>
                <w:rFonts w:hint="eastAsia" w:hAnsi="宋体" w:cs="宋体"/>
                <w:color w:val="auto"/>
                <w:sz w:val="24"/>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p>
        </w:tc>
      </w:tr>
    </w:tbl>
    <w:p>
      <w:pPr>
        <w:pStyle w:val="3"/>
        <w:keepNext w:val="0"/>
        <w:keepLines w:val="0"/>
        <w:pageBreakBefore/>
        <w:numPr>
          <w:ilvl w:val="0"/>
          <w:numId w:val="11"/>
        </w:numPr>
        <w:spacing w:line="240" w:lineRule="auto"/>
        <w:jc w:val="center"/>
        <w:rPr>
          <w:rFonts w:hint="eastAsia" w:ascii="宋体" w:hAnsi="宋体" w:eastAsia="宋体" w:cs="宋体"/>
          <w:bCs w:val="0"/>
          <w:color w:val="auto"/>
          <w:sz w:val="32"/>
          <w:szCs w:val="32"/>
          <w:highlight w:val="none"/>
        </w:rPr>
      </w:pPr>
      <w:bookmarkStart w:id="70" w:name="_Toc5255"/>
      <w:r>
        <w:rPr>
          <w:rFonts w:hint="eastAsia" w:ascii="宋体" w:hAnsi="宋体" w:eastAsia="宋体" w:cs="宋体"/>
          <w:bCs w:val="0"/>
          <w:color w:val="auto"/>
          <w:sz w:val="32"/>
          <w:szCs w:val="32"/>
          <w:highlight w:val="none"/>
        </w:rPr>
        <w:t>合同主要条款</w:t>
      </w:r>
      <w:bookmarkEnd w:id="67"/>
      <w:bookmarkEnd w:id="70"/>
    </w:p>
    <w:p>
      <w:pPr>
        <w:pStyle w:val="2"/>
        <w:jc w:val="center"/>
        <w:rPr>
          <w:rFonts w:hint="eastAsia" w:ascii="宋体" w:hAnsi="宋体" w:eastAsia="宋体" w:cs="宋体"/>
          <w:bCs w:val="0"/>
          <w:color w:val="auto"/>
          <w:sz w:val="24"/>
          <w:szCs w:val="24"/>
          <w:highlight w:val="none"/>
        </w:rPr>
      </w:pPr>
      <w:bookmarkStart w:id="71" w:name="_Toc22775"/>
      <w:bookmarkStart w:id="72" w:name="_Toc14942605"/>
      <w:bookmarkStart w:id="73" w:name="_Toc30139"/>
      <w:bookmarkStart w:id="74" w:name="_Toc26017"/>
      <w:r>
        <w:rPr>
          <w:rFonts w:hint="eastAsia" w:ascii="宋体" w:hAnsi="宋体" w:eastAsia="宋体" w:cs="宋体"/>
          <w:bCs w:val="0"/>
          <w:color w:val="auto"/>
          <w:sz w:val="24"/>
          <w:szCs w:val="24"/>
          <w:highlight w:val="none"/>
        </w:rPr>
        <w:t>东阳市政府采购合同（样本）</w:t>
      </w:r>
      <w:bookmarkEnd w:id="71"/>
      <w:bookmarkEnd w:id="72"/>
      <w:bookmarkEnd w:id="73"/>
      <w:bookmarkEnd w:id="74"/>
    </w:p>
    <w:p>
      <w:pPr>
        <w:spacing w:line="420" w:lineRule="exact"/>
        <w:rPr>
          <w:rFonts w:hint="eastAsia" w:ascii="宋体" w:hAnsi="宋体"/>
          <w:color w:val="auto"/>
          <w:sz w:val="24"/>
          <w:highlight w:val="none"/>
        </w:rPr>
      </w:pPr>
      <w:r>
        <w:rPr>
          <w:rFonts w:hint="eastAsia" w:ascii="宋体" w:hAnsi="宋体"/>
          <w:color w:val="auto"/>
          <w:sz w:val="24"/>
          <w:highlight w:val="none"/>
        </w:rPr>
        <w:t>项目名称：                   项目编号：               合同号：</w:t>
      </w:r>
    </w:p>
    <w:p>
      <w:pPr>
        <w:spacing w:line="420" w:lineRule="exact"/>
        <w:rPr>
          <w:rFonts w:hint="eastAsia" w:ascii="宋体" w:hAnsi="宋体"/>
          <w:color w:val="auto"/>
          <w:sz w:val="24"/>
          <w:highlight w:val="none"/>
        </w:rPr>
      </w:pPr>
      <w:r>
        <w:rPr>
          <w:rFonts w:hint="eastAsia" w:ascii="宋体" w:hAnsi="宋体"/>
          <w:color w:val="auto"/>
          <w:sz w:val="24"/>
          <w:highlight w:val="none"/>
        </w:rPr>
        <w:t>甲方（买方）：</w:t>
      </w:r>
    </w:p>
    <w:p>
      <w:pPr>
        <w:spacing w:line="420" w:lineRule="exact"/>
        <w:rPr>
          <w:rFonts w:hint="eastAsia" w:ascii="宋体" w:hAnsi="宋体"/>
          <w:color w:val="auto"/>
          <w:sz w:val="24"/>
          <w:highlight w:val="none"/>
        </w:rPr>
      </w:pPr>
      <w:r>
        <w:rPr>
          <w:rFonts w:hint="eastAsia" w:ascii="宋体" w:hAnsi="宋体"/>
          <w:color w:val="auto"/>
          <w:sz w:val="24"/>
          <w:highlight w:val="none"/>
        </w:rPr>
        <w:t>乙方（卖方）：</w:t>
      </w:r>
    </w:p>
    <w:p>
      <w:pPr>
        <w:spacing w:line="420" w:lineRule="exact"/>
        <w:rPr>
          <w:rFonts w:hint="eastAsia" w:ascii="宋体" w:hAnsi="宋体"/>
          <w:color w:val="auto"/>
          <w:sz w:val="24"/>
          <w:highlight w:val="none"/>
        </w:rPr>
      </w:pPr>
      <w:r>
        <w:rPr>
          <w:rFonts w:hint="eastAsia" w:ascii="宋体" w:hAnsi="宋体"/>
          <w:color w:val="auto"/>
          <w:sz w:val="24"/>
          <w:highlight w:val="none"/>
        </w:rPr>
        <w:t>鉴证方（招标方）：</w:t>
      </w:r>
    </w:p>
    <w:p>
      <w:pPr>
        <w:spacing w:line="420" w:lineRule="exact"/>
        <w:rPr>
          <w:rFonts w:hint="eastAsia" w:ascii="宋体" w:hAnsi="宋体"/>
          <w:b/>
          <w:color w:val="auto"/>
          <w:sz w:val="24"/>
          <w:highlight w:val="none"/>
        </w:rPr>
      </w:pPr>
      <w:r>
        <w:rPr>
          <w:rFonts w:hint="eastAsia" w:ascii="宋体" w:hAnsi="宋体"/>
          <w:b/>
          <w:color w:val="auto"/>
          <w:sz w:val="24"/>
          <w:highlight w:val="none"/>
        </w:rPr>
        <w:t xml:space="preserve">   </w:t>
      </w:r>
      <w:r>
        <w:rPr>
          <w:rFonts w:hint="eastAsia" w:ascii="宋体" w:hAnsi="宋体"/>
          <w:color w:val="auto"/>
          <w:sz w:val="24"/>
          <w:highlight w:val="none"/>
        </w:rPr>
        <w:t>甲、乙双方根据</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日东阳市鑫盛工程咨询有限公司关于</w:t>
      </w:r>
      <w:r>
        <w:rPr>
          <w:rFonts w:hint="eastAsia" w:ascii="宋体" w:hAnsi="宋体"/>
          <w:color w:val="auto"/>
          <w:sz w:val="24"/>
          <w:highlight w:val="none"/>
          <w:u w:val="single"/>
        </w:rPr>
        <w:t xml:space="preserve">        </w:t>
      </w:r>
      <w:r>
        <w:rPr>
          <w:rFonts w:hint="eastAsia" w:ascii="宋体" w:hAnsi="宋体"/>
          <w:color w:val="auto"/>
          <w:sz w:val="24"/>
          <w:highlight w:val="none"/>
        </w:rPr>
        <w:t>项目公开招标的结果，签署本合同。</w:t>
      </w:r>
    </w:p>
    <w:p>
      <w:pPr>
        <w:spacing w:line="420" w:lineRule="exact"/>
        <w:rPr>
          <w:rFonts w:hint="eastAsia" w:ascii="宋体" w:hAnsi="宋体"/>
          <w:b/>
          <w:color w:val="auto"/>
          <w:sz w:val="24"/>
          <w:highlight w:val="none"/>
        </w:rPr>
      </w:pPr>
      <w:r>
        <w:rPr>
          <w:rFonts w:hint="eastAsia" w:ascii="宋体" w:hAnsi="宋体"/>
          <w:b/>
          <w:color w:val="auto"/>
          <w:sz w:val="24"/>
          <w:highlight w:val="none"/>
        </w:rPr>
        <w:t>一、货物内容</w:t>
      </w:r>
    </w:p>
    <w:p>
      <w:pPr>
        <w:spacing w:line="420" w:lineRule="exact"/>
        <w:rPr>
          <w:rFonts w:hint="eastAsia" w:ascii="宋体" w:hAnsi="宋体"/>
          <w:color w:val="auto"/>
          <w:sz w:val="24"/>
          <w:highlight w:val="none"/>
        </w:rPr>
      </w:pPr>
      <w:r>
        <w:rPr>
          <w:rFonts w:hint="eastAsia" w:ascii="宋体" w:hAnsi="宋体"/>
          <w:color w:val="auto"/>
          <w:sz w:val="24"/>
          <w:highlight w:val="none"/>
        </w:rPr>
        <w:t>1. 货物名称：</w:t>
      </w:r>
    </w:p>
    <w:p>
      <w:pPr>
        <w:spacing w:line="420" w:lineRule="exact"/>
        <w:rPr>
          <w:rFonts w:hint="eastAsia" w:ascii="宋体" w:hAnsi="宋体"/>
          <w:color w:val="auto"/>
          <w:sz w:val="24"/>
          <w:highlight w:val="none"/>
        </w:rPr>
      </w:pPr>
      <w:r>
        <w:rPr>
          <w:rFonts w:hint="eastAsia" w:ascii="宋体" w:hAnsi="宋体"/>
          <w:color w:val="auto"/>
          <w:sz w:val="24"/>
          <w:highlight w:val="none"/>
        </w:rPr>
        <w:t>2. 型号规格：</w:t>
      </w:r>
      <w:bookmarkStart w:id="140" w:name="_GoBack"/>
      <w:bookmarkEnd w:id="140"/>
    </w:p>
    <w:p>
      <w:pPr>
        <w:spacing w:line="420" w:lineRule="exact"/>
        <w:rPr>
          <w:rFonts w:hint="eastAsia" w:ascii="宋体" w:hAnsi="宋体"/>
          <w:color w:val="auto"/>
          <w:sz w:val="24"/>
          <w:highlight w:val="none"/>
        </w:rPr>
      </w:pPr>
      <w:r>
        <w:rPr>
          <w:rFonts w:hint="eastAsia" w:ascii="宋体" w:hAnsi="宋体"/>
          <w:color w:val="auto"/>
          <w:sz w:val="24"/>
          <w:highlight w:val="none"/>
        </w:rPr>
        <w:t>3. 技术参数：</w:t>
      </w:r>
    </w:p>
    <w:p>
      <w:pPr>
        <w:spacing w:line="420" w:lineRule="exact"/>
        <w:rPr>
          <w:rFonts w:hint="eastAsia" w:ascii="宋体" w:hAnsi="宋体"/>
          <w:color w:val="auto"/>
          <w:sz w:val="24"/>
          <w:highlight w:val="none"/>
        </w:rPr>
      </w:pPr>
      <w:r>
        <w:rPr>
          <w:rFonts w:hint="eastAsia" w:ascii="宋体" w:hAnsi="宋体"/>
          <w:color w:val="auto"/>
          <w:sz w:val="24"/>
          <w:highlight w:val="none"/>
        </w:rPr>
        <w:t>4. 数量（单位）：</w:t>
      </w:r>
    </w:p>
    <w:p>
      <w:pPr>
        <w:spacing w:line="420" w:lineRule="exact"/>
        <w:rPr>
          <w:rFonts w:hint="eastAsia" w:ascii="宋体" w:hAnsi="宋体"/>
          <w:b/>
          <w:color w:val="auto"/>
          <w:sz w:val="24"/>
          <w:highlight w:val="none"/>
        </w:rPr>
      </w:pPr>
      <w:r>
        <w:rPr>
          <w:rFonts w:hint="eastAsia" w:ascii="宋体" w:hAnsi="宋体"/>
          <w:b/>
          <w:color w:val="auto"/>
          <w:sz w:val="24"/>
          <w:highlight w:val="none"/>
        </w:rPr>
        <w:t>二、合同金额</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本合同金额为（大写）：_______________元（￥_______________元）人民币。</w:t>
      </w:r>
    </w:p>
    <w:p>
      <w:pPr>
        <w:spacing w:line="420" w:lineRule="exact"/>
        <w:rPr>
          <w:rFonts w:hint="eastAsia" w:ascii="宋体" w:hAnsi="宋体"/>
          <w:b/>
          <w:color w:val="auto"/>
          <w:sz w:val="24"/>
          <w:highlight w:val="none"/>
        </w:rPr>
      </w:pPr>
      <w:r>
        <w:rPr>
          <w:rFonts w:hint="eastAsia" w:ascii="宋体" w:hAnsi="宋体"/>
          <w:b/>
          <w:color w:val="auto"/>
          <w:sz w:val="24"/>
          <w:highlight w:val="none"/>
        </w:rPr>
        <w:t>三、技术资料</w:t>
      </w:r>
    </w:p>
    <w:p>
      <w:pPr>
        <w:spacing w:line="420" w:lineRule="exact"/>
        <w:rPr>
          <w:rFonts w:hint="eastAsia" w:ascii="宋体" w:hAnsi="宋体"/>
          <w:color w:val="auto"/>
          <w:sz w:val="24"/>
          <w:highlight w:val="none"/>
        </w:rPr>
      </w:pPr>
      <w:r>
        <w:rPr>
          <w:rFonts w:hint="eastAsia" w:ascii="宋体" w:hAnsi="宋体"/>
          <w:color w:val="auto"/>
          <w:sz w:val="24"/>
          <w:highlight w:val="none"/>
        </w:rPr>
        <w:t>1.乙方应按招标文件规定的时间向甲方提供使用货物的有关技术资料。</w:t>
      </w:r>
    </w:p>
    <w:p>
      <w:pPr>
        <w:spacing w:line="420" w:lineRule="exact"/>
        <w:rPr>
          <w:rFonts w:hint="eastAsia" w:ascii="宋体" w:hAnsi="宋体"/>
          <w:color w:val="auto"/>
          <w:sz w:val="24"/>
          <w:highlight w:val="none"/>
        </w:rPr>
      </w:pPr>
      <w:r>
        <w:rPr>
          <w:rFonts w:hint="eastAsia" w:ascii="宋体" w:hAnsi="宋体"/>
          <w:color w:val="auto"/>
          <w:sz w:val="24"/>
          <w:highlight w:val="none"/>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20" w:lineRule="exact"/>
        <w:rPr>
          <w:rFonts w:hint="eastAsia" w:ascii="宋体" w:hAnsi="宋体"/>
          <w:b/>
          <w:color w:val="auto"/>
          <w:sz w:val="24"/>
          <w:highlight w:val="none"/>
        </w:rPr>
      </w:pPr>
      <w:r>
        <w:rPr>
          <w:rFonts w:hint="eastAsia" w:ascii="宋体" w:hAnsi="宋体"/>
          <w:b/>
          <w:color w:val="auto"/>
          <w:sz w:val="24"/>
          <w:highlight w:val="none"/>
        </w:rPr>
        <w:t>四、知识产权</w:t>
      </w:r>
    </w:p>
    <w:p>
      <w:pPr>
        <w:spacing w:line="420" w:lineRule="exact"/>
        <w:rPr>
          <w:rFonts w:hint="eastAsia" w:ascii="宋体" w:hAnsi="宋体" w:eastAsia="宋体" w:cs="Times New Roman"/>
          <w:b/>
          <w:color w:val="auto"/>
          <w:sz w:val="24"/>
          <w:highlight w:val="none"/>
        </w:rPr>
      </w:pPr>
      <w:r>
        <w:rPr>
          <w:rFonts w:hint="eastAsia" w:ascii="宋体" w:hAnsi="宋体"/>
          <w:color w:val="auto"/>
          <w:sz w:val="24"/>
          <w:highlight w:val="none"/>
        </w:rPr>
        <w:t>乙方应保证所提供的货物或其任何一部分均不会侵犯任何第三方的知识产权</w:t>
      </w:r>
      <w:r>
        <w:rPr>
          <w:rFonts w:hint="eastAsia" w:ascii="宋体" w:hAnsi="宋体"/>
          <w:bCs/>
          <w:color w:val="auto"/>
          <w:sz w:val="24"/>
          <w:highlight w:val="none"/>
        </w:rPr>
        <w:t>。</w:t>
      </w:r>
    </w:p>
    <w:p>
      <w:pPr>
        <w:numPr>
          <w:ilvl w:val="0"/>
          <w:numId w:val="0"/>
        </w:numPr>
        <w:spacing w:line="420" w:lineRule="exact"/>
        <w:ind w:leftChars="0"/>
        <w:rPr>
          <w:rFonts w:hint="default" w:ascii="宋体" w:hAnsi="宋体"/>
          <w:b/>
          <w:color w:val="auto"/>
          <w:sz w:val="24"/>
          <w:highlight w:val="none"/>
          <w:lang w:val="en-US" w:eastAsia="zh-CN"/>
        </w:rPr>
      </w:pPr>
      <w:r>
        <w:rPr>
          <w:rFonts w:hint="eastAsia" w:ascii="宋体" w:hAnsi="宋体"/>
          <w:b/>
          <w:color w:val="auto"/>
          <w:sz w:val="24"/>
          <w:highlight w:val="none"/>
          <w:lang w:val="en-US" w:eastAsia="zh-CN"/>
        </w:rPr>
        <w:t>五、履约保证金：/</w:t>
      </w:r>
    </w:p>
    <w:p>
      <w:pPr>
        <w:numPr>
          <w:ilvl w:val="0"/>
          <w:numId w:val="5"/>
        </w:numPr>
        <w:spacing w:line="420" w:lineRule="exact"/>
        <w:ind w:left="0" w:leftChars="0" w:firstLine="0" w:firstLineChars="0"/>
        <w:rPr>
          <w:rFonts w:hint="eastAsia" w:ascii="宋体" w:hAnsi="宋体"/>
          <w:color w:val="auto"/>
          <w:sz w:val="24"/>
          <w:highlight w:val="none"/>
          <w:u w:val="single"/>
        </w:rPr>
      </w:pPr>
      <w:r>
        <w:rPr>
          <w:rFonts w:hint="eastAsia" w:ascii="宋体" w:hAnsi="宋体"/>
          <w:b/>
          <w:color w:val="auto"/>
          <w:sz w:val="24"/>
          <w:highlight w:val="none"/>
        </w:rPr>
        <w:t>产权担保</w:t>
      </w:r>
    </w:p>
    <w:p>
      <w:pPr>
        <w:spacing w:line="420" w:lineRule="exact"/>
        <w:rPr>
          <w:rFonts w:hint="eastAsia" w:ascii="宋体" w:hAnsi="宋体"/>
          <w:color w:val="auto"/>
          <w:sz w:val="24"/>
          <w:highlight w:val="none"/>
          <w:u w:val="single"/>
        </w:rPr>
      </w:pPr>
      <w:r>
        <w:rPr>
          <w:rFonts w:hint="eastAsia" w:ascii="宋体" w:hAnsi="宋体"/>
          <w:color w:val="auto"/>
          <w:sz w:val="24"/>
          <w:highlight w:val="none"/>
        </w:rPr>
        <w:t>乙方保证所交付的货物的所有权完全属于乙方且无任何抵押、查封等产权瑕疵。</w:t>
      </w:r>
    </w:p>
    <w:p>
      <w:pPr>
        <w:spacing w:line="420" w:lineRule="exact"/>
        <w:rPr>
          <w:rFonts w:hint="eastAsia" w:ascii="宋体" w:hAnsi="宋体"/>
          <w:b/>
          <w:color w:val="auto"/>
          <w:sz w:val="24"/>
          <w:highlight w:val="none"/>
        </w:rPr>
      </w:pPr>
      <w:r>
        <w:rPr>
          <w:rFonts w:hint="eastAsia" w:ascii="宋体" w:hAnsi="宋体"/>
          <w:b/>
          <w:color w:val="auto"/>
          <w:sz w:val="24"/>
          <w:highlight w:val="none"/>
          <w:lang w:val="en-US" w:eastAsia="zh-CN"/>
        </w:rPr>
        <w:t>七</w:t>
      </w:r>
      <w:r>
        <w:rPr>
          <w:rFonts w:hint="eastAsia" w:ascii="宋体" w:hAnsi="宋体"/>
          <w:b/>
          <w:color w:val="auto"/>
          <w:sz w:val="24"/>
          <w:highlight w:val="none"/>
        </w:rPr>
        <w:t>、转包</w:t>
      </w:r>
    </w:p>
    <w:p>
      <w:pPr>
        <w:spacing w:line="420" w:lineRule="exact"/>
        <w:rPr>
          <w:rFonts w:hint="eastAsia" w:ascii="宋体" w:hAnsi="宋体"/>
          <w:color w:val="auto"/>
          <w:sz w:val="24"/>
          <w:highlight w:val="none"/>
        </w:rPr>
      </w:pPr>
      <w:r>
        <w:rPr>
          <w:rFonts w:hint="eastAsia" w:ascii="宋体" w:hAnsi="宋体"/>
          <w:color w:val="auto"/>
          <w:sz w:val="24"/>
          <w:highlight w:val="none"/>
        </w:rPr>
        <w:t>1.本合同范围的货物，应由乙方直接供应，不得转包他人供应；</w:t>
      </w:r>
    </w:p>
    <w:p>
      <w:pPr>
        <w:spacing w:line="420" w:lineRule="exact"/>
        <w:rPr>
          <w:rFonts w:hint="eastAsia" w:ascii="宋体" w:hAnsi="宋体"/>
          <w:color w:val="auto"/>
          <w:sz w:val="24"/>
          <w:highlight w:val="none"/>
        </w:rPr>
      </w:pPr>
      <w:r>
        <w:rPr>
          <w:rFonts w:hint="eastAsia" w:ascii="宋体" w:hAnsi="宋体"/>
          <w:color w:val="auto"/>
          <w:sz w:val="24"/>
          <w:highlight w:val="none"/>
        </w:rPr>
        <w:t>2.乙方如有转包行为，甲方有权解除合同，并追究乙方的违约责任。</w:t>
      </w:r>
    </w:p>
    <w:p>
      <w:pPr>
        <w:spacing w:line="420" w:lineRule="exact"/>
        <w:rPr>
          <w:rFonts w:hint="eastAsia" w:ascii="宋体" w:hAnsi="宋体"/>
          <w:color w:val="auto"/>
          <w:sz w:val="24"/>
          <w:highlight w:val="none"/>
        </w:rPr>
      </w:pPr>
      <w:r>
        <w:rPr>
          <w:rFonts w:hint="eastAsia" w:ascii="宋体" w:hAnsi="宋体"/>
          <w:b/>
          <w:color w:val="auto"/>
          <w:sz w:val="24"/>
          <w:highlight w:val="none"/>
          <w:lang w:val="en-US" w:eastAsia="zh-CN"/>
        </w:rPr>
        <w:t>八</w:t>
      </w:r>
      <w:r>
        <w:rPr>
          <w:rFonts w:hint="eastAsia" w:ascii="宋体" w:hAnsi="宋体"/>
          <w:b/>
          <w:color w:val="auto"/>
          <w:sz w:val="24"/>
          <w:highlight w:val="none"/>
        </w:rPr>
        <w:t>、质保期</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质保期</w:t>
      </w:r>
      <w:r>
        <w:rPr>
          <w:rFonts w:hint="eastAsia" w:ascii="宋体" w:hAnsi="宋体"/>
          <w:color w:val="auto"/>
          <w:sz w:val="24"/>
          <w:highlight w:val="none"/>
          <w:u w:val="single"/>
        </w:rPr>
        <w:t xml:space="preserve">      </w:t>
      </w:r>
      <w:r>
        <w:rPr>
          <w:rFonts w:hint="eastAsia" w:ascii="宋体" w:hAnsi="宋体"/>
          <w:color w:val="auto"/>
          <w:sz w:val="24"/>
          <w:highlight w:val="none"/>
        </w:rPr>
        <w:t>年。（自交货验收合格之日起计）</w:t>
      </w:r>
    </w:p>
    <w:p>
      <w:pPr>
        <w:spacing w:line="420" w:lineRule="exact"/>
        <w:rPr>
          <w:rFonts w:hint="eastAsia" w:ascii="宋体" w:hAnsi="宋体"/>
          <w:b/>
          <w:color w:val="auto"/>
          <w:sz w:val="24"/>
          <w:highlight w:val="none"/>
        </w:rPr>
      </w:pPr>
      <w:r>
        <w:rPr>
          <w:rFonts w:hint="eastAsia" w:ascii="宋体" w:hAnsi="宋体"/>
          <w:b/>
          <w:color w:val="auto"/>
          <w:sz w:val="24"/>
          <w:highlight w:val="none"/>
          <w:lang w:val="en-US" w:eastAsia="zh-CN"/>
        </w:rPr>
        <w:t>九</w:t>
      </w:r>
      <w:r>
        <w:rPr>
          <w:rFonts w:hint="eastAsia" w:ascii="宋体" w:hAnsi="宋体"/>
          <w:b/>
          <w:color w:val="auto"/>
          <w:sz w:val="24"/>
          <w:highlight w:val="none"/>
        </w:rPr>
        <w:t>、交货期、交货地点</w:t>
      </w:r>
    </w:p>
    <w:p>
      <w:pPr>
        <w:spacing w:line="420" w:lineRule="exact"/>
        <w:rPr>
          <w:rFonts w:hint="eastAsia" w:ascii="宋体" w:hAnsi="宋体"/>
          <w:bCs/>
          <w:color w:val="auto"/>
          <w:sz w:val="24"/>
          <w:highlight w:val="none"/>
          <w:u w:val="single"/>
        </w:rPr>
      </w:pPr>
      <w:r>
        <w:rPr>
          <w:rFonts w:hint="eastAsia" w:ascii="宋体" w:hAnsi="宋体"/>
          <w:bCs/>
          <w:color w:val="auto"/>
          <w:sz w:val="24"/>
          <w:highlight w:val="none"/>
        </w:rPr>
        <w:t>1. 交货期：</w:t>
      </w:r>
      <w:r>
        <w:rPr>
          <w:rFonts w:hint="eastAsia" w:ascii="宋体" w:hAnsi="宋体"/>
          <w:bCs/>
          <w:color w:val="auto"/>
          <w:sz w:val="24"/>
          <w:highlight w:val="none"/>
          <w:u w:val="single"/>
        </w:rPr>
        <w:t xml:space="preserve">                 </w:t>
      </w:r>
    </w:p>
    <w:p>
      <w:pPr>
        <w:spacing w:line="420" w:lineRule="exact"/>
        <w:rPr>
          <w:rFonts w:hint="eastAsia" w:ascii="宋体" w:hAnsi="宋体"/>
          <w:b/>
          <w:color w:val="auto"/>
          <w:sz w:val="24"/>
          <w:highlight w:val="none"/>
          <w:u w:val="single"/>
        </w:rPr>
      </w:pPr>
      <w:r>
        <w:rPr>
          <w:rFonts w:hint="eastAsia" w:ascii="宋体" w:hAnsi="宋体"/>
          <w:bCs/>
          <w:color w:val="auto"/>
          <w:sz w:val="24"/>
          <w:highlight w:val="none"/>
        </w:rPr>
        <w:t>2.交货地点：</w:t>
      </w:r>
      <w:r>
        <w:rPr>
          <w:rFonts w:hint="eastAsia" w:ascii="宋体" w:hAnsi="宋体"/>
          <w:bCs/>
          <w:color w:val="auto"/>
          <w:sz w:val="24"/>
          <w:highlight w:val="none"/>
          <w:u w:val="single"/>
        </w:rPr>
        <w:t xml:space="preserve">                </w:t>
      </w:r>
    </w:p>
    <w:p>
      <w:pPr>
        <w:spacing w:line="420" w:lineRule="exact"/>
        <w:rPr>
          <w:rFonts w:hint="eastAsia" w:ascii="宋体" w:hAnsi="宋体"/>
          <w:b/>
          <w:color w:val="auto"/>
          <w:sz w:val="24"/>
          <w:highlight w:val="none"/>
        </w:rPr>
      </w:pPr>
      <w:r>
        <w:rPr>
          <w:rFonts w:hint="eastAsia" w:ascii="宋体" w:hAnsi="宋体"/>
          <w:b/>
          <w:color w:val="auto"/>
          <w:sz w:val="24"/>
          <w:highlight w:val="none"/>
          <w:lang w:val="en-US" w:eastAsia="zh-CN"/>
        </w:rPr>
        <w:t>十</w:t>
      </w:r>
      <w:r>
        <w:rPr>
          <w:rFonts w:hint="eastAsia" w:ascii="宋体" w:hAnsi="宋体"/>
          <w:b/>
          <w:color w:val="auto"/>
          <w:sz w:val="24"/>
          <w:highlight w:val="none"/>
        </w:rPr>
        <w:t>、</w:t>
      </w:r>
      <w:r>
        <w:rPr>
          <w:rFonts w:hint="eastAsia" w:ascii="宋体" w:hAnsi="宋体"/>
          <w:b/>
          <w:bCs/>
          <w:color w:val="auto"/>
          <w:sz w:val="24"/>
          <w:highlight w:val="none"/>
        </w:rPr>
        <w:t>付款方式：</w:t>
      </w:r>
    </w:p>
    <w:p>
      <w:pPr>
        <w:spacing w:line="420" w:lineRule="exact"/>
        <w:rPr>
          <w:rFonts w:hint="eastAsia" w:ascii="宋体" w:hAnsi="宋体"/>
          <w:b/>
          <w:color w:val="auto"/>
          <w:sz w:val="24"/>
          <w:szCs w:val="20"/>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一</w:t>
      </w:r>
      <w:r>
        <w:rPr>
          <w:rFonts w:hint="eastAsia" w:ascii="宋体" w:hAnsi="宋体"/>
          <w:b/>
          <w:color w:val="auto"/>
          <w:sz w:val="24"/>
          <w:highlight w:val="none"/>
        </w:rPr>
        <w:t>、税费</w:t>
      </w:r>
    </w:p>
    <w:p>
      <w:pPr>
        <w:spacing w:line="420" w:lineRule="exact"/>
        <w:rPr>
          <w:rFonts w:hint="eastAsia" w:ascii="宋体" w:hAnsi="宋体"/>
          <w:color w:val="auto"/>
          <w:sz w:val="24"/>
          <w:szCs w:val="20"/>
          <w:highlight w:val="none"/>
        </w:rPr>
      </w:pPr>
      <w:r>
        <w:rPr>
          <w:rFonts w:hint="eastAsia" w:ascii="宋体" w:hAnsi="宋体"/>
          <w:color w:val="auto"/>
          <w:sz w:val="24"/>
          <w:highlight w:val="none"/>
        </w:rPr>
        <w:t>本合同执行中相关的一切税费均由乙方负担。</w:t>
      </w:r>
    </w:p>
    <w:p>
      <w:pPr>
        <w:spacing w:line="420" w:lineRule="exact"/>
        <w:rPr>
          <w:rFonts w:hint="eastAsia" w:ascii="宋体" w:hAnsi="宋体"/>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二</w:t>
      </w:r>
      <w:r>
        <w:rPr>
          <w:rFonts w:hint="eastAsia" w:ascii="宋体" w:hAnsi="宋体"/>
          <w:b/>
          <w:color w:val="auto"/>
          <w:sz w:val="24"/>
          <w:highlight w:val="none"/>
        </w:rPr>
        <w:t>、质量保证及售后服务</w:t>
      </w:r>
    </w:p>
    <w:p>
      <w:pPr>
        <w:spacing w:line="420" w:lineRule="exact"/>
        <w:rPr>
          <w:rFonts w:hint="eastAsia" w:ascii="宋体" w:hAnsi="宋体"/>
          <w:color w:val="auto"/>
          <w:sz w:val="24"/>
          <w:highlight w:val="none"/>
        </w:rPr>
      </w:pPr>
      <w:r>
        <w:rPr>
          <w:rFonts w:hint="eastAsia" w:ascii="宋体" w:hAnsi="宋体"/>
          <w:color w:val="auto"/>
          <w:sz w:val="24"/>
          <w:highlight w:val="none"/>
        </w:rPr>
        <w:t>1. 乙方应按招标文件规定的货物性能、技术要求、质量标准向甲方提供未经使用的全新产品。</w:t>
      </w:r>
    </w:p>
    <w:p>
      <w:pPr>
        <w:spacing w:line="420" w:lineRule="exact"/>
        <w:rPr>
          <w:rFonts w:hint="eastAsia" w:ascii="宋体" w:hAnsi="宋体"/>
          <w:color w:val="auto"/>
          <w:sz w:val="24"/>
          <w:highlight w:val="none"/>
        </w:rPr>
      </w:pPr>
      <w:r>
        <w:rPr>
          <w:rFonts w:hint="eastAsia" w:ascii="宋体" w:hAnsi="宋体"/>
          <w:color w:val="auto"/>
          <w:sz w:val="24"/>
          <w:highlight w:val="none"/>
        </w:rPr>
        <w:t>2. 乙方提供的货物在质保期内因货物本身的质量问题发生故障，乙方应负责免费更换。对达不到技术要求者，根据实际情况，经双方协商，可按以下办法处理：</w:t>
      </w:r>
    </w:p>
    <w:p>
      <w:pPr>
        <w:spacing w:line="420" w:lineRule="exact"/>
        <w:rPr>
          <w:rFonts w:hint="eastAsia" w:ascii="宋体" w:hAnsi="宋体"/>
          <w:color w:val="auto"/>
          <w:sz w:val="24"/>
          <w:highlight w:val="none"/>
        </w:rPr>
      </w:pPr>
      <w:r>
        <w:rPr>
          <w:rFonts w:hint="eastAsia" w:ascii="宋体" w:hAnsi="宋体"/>
          <w:color w:val="auto"/>
          <w:sz w:val="24"/>
          <w:highlight w:val="none"/>
        </w:rPr>
        <w:t>⑴更换：由乙方承担所发生的全部费用。</w:t>
      </w:r>
    </w:p>
    <w:p>
      <w:pPr>
        <w:spacing w:line="420" w:lineRule="exact"/>
        <w:rPr>
          <w:rFonts w:hint="eastAsia" w:ascii="宋体" w:hAnsi="宋体"/>
          <w:color w:val="auto"/>
          <w:sz w:val="24"/>
          <w:highlight w:val="none"/>
        </w:rPr>
      </w:pPr>
      <w:r>
        <w:rPr>
          <w:rFonts w:hint="eastAsia" w:ascii="宋体" w:hAnsi="宋体"/>
          <w:color w:val="auto"/>
          <w:sz w:val="24"/>
          <w:highlight w:val="none"/>
        </w:rPr>
        <w:t>⑵贬值处理：由甲乙双方合议定价。</w:t>
      </w:r>
    </w:p>
    <w:p>
      <w:pPr>
        <w:spacing w:line="420" w:lineRule="exact"/>
        <w:rPr>
          <w:rFonts w:hint="eastAsia" w:ascii="宋体" w:hAnsi="宋体"/>
          <w:color w:val="auto"/>
          <w:sz w:val="24"/>
          <w:highlight w:val="none"/>
        </w:rPr>
      </w:pPr>
      <w:r>
        <w:rPr>
          <w:rFonts w:hint="eastAsia" w:ascii="宋体" w:hAnsi="宋体"/>
          <w:color w:val="auto"/>
          <w:sz w:val="24"/>
          <w:highlight w:val="none"/>
        </w:rPr>
        <w:t>⑶退货处理：乙方应退还甲方支付的合同款，同时应承担该货物的直接费用（运输、保险、检验、货款利息及银行手续费等）。</w:t>
      </w:r>
    </w:p>
    <w:p>
      <w:pPr>
        <w:spacing w:line="420" w:lineRule="exact"/>
        <w:rPr>
          <w:rFonts w:hint="eastAsia" w:ascii="宋体" w:hAnsi="宋体"/>
          <w:color w:val="auto"/>
          <w:sz w:val="24"/>
          <w:highlight w:val="none"/>
        </w:rPr>
      </w:pPr>
      <w:r>
        <w:rPr>
          <w:rFonts w:hint="eastAsia" w:ascii="宋体" w:hAnsi="宋体"/>
          <w:color w:val="auto"/>
          <w:sz w:val="24"/>
          <w:highlight w:val="none"/>
        </w:rPr>
        <w:t>3. 如在使用过程中发生质量问题，乙方在接到甲方通知后在</w:t>
      </w:r>
      <w:r>
        <w:rPr>
          <w:rFonts w:hint="eastAsia" w:ascii="宋体" w:hAnsi="宋体"/>
          <w:color w:val="auto"/>
          <w:sz w:val="24"/>
          <w:highlight w:val="none"/>
          <w:u w:val="single"/>
        </w:rPr>
        <w:t xml:space="preserve">    </w:t>
      </w:r>
      <w:r>
        <w:rPr>
          <w:rFonts w:hint="eastAsia" w:ascii="宋体" w:hAnsi="宋体"/>
          <w:color w:val="auto"/>
          <w:sz w:val="24"/>
          <w:highlight w:val="none"/>
        </w:rPr>
        <w:t>小时内到达甲方现场。</w:t>
      </w:r>
    </w:p>
    <w:p>
      <w:pPr>
        <w:spacing w:line="420" w:lineRule="exact"/>
        <w:rPr>
          <w:rFonts w:hint="eastAsia" w:ascii="宋体" w:hAnsi="宋体"/>
          <w:color w:val="auto"/>
          <w:sz w:val="24"/>
          <w:highlight w:val="none"/>
        </w:rPr>
      </w:pPr>
      <w:r>
        <w:rPr>
          <w:rFonts w:hint="eastAsia" w:ascii="宋体" w:hAnsi="宋体"/>
          <w:color w:val="auto"/>
          <w:sz w:val="24"/>
          <w:highlight w:val="none"/>
        </w:rPr>
        <w:t>4. 在质保期内，乙方应对货物出现的质量及安全问题负责处理解决并承担一切</w:t>
      </w:r>
    </w:p>
    <w:p>
      <w:pPr>
        <w:spacing w:line="420" w:lineRule="exact"/>
        <w:rPr>
          <w:rFonts w:hint="eastAsia" w:ascii="宋体" w:hAnsi="宋体"/>
          <w:color w:val="auto"/>
          <w:sz w:val="24"/>
          <w:highlight w:val="none"/>
        </w:rPr>
      </w:pPr>
      <w:r>
        <w:rPr>
          <w:rFonts w:hint="eastAsia" w:ascii="宋体" w:hAnsi="宋体"/>
          <w:color w:val="auto"/>
          <w:sz w:val="24"/>
          <w:highlight w:val="none"/>
        </w:rPr>
        <w:t>费用。</w:t>
      </w:r>
    </w:p>
    <w:p>
      <w:pPr>
        <w:spacing w:line="420" w:lineRule="exact"/>
        <w:rPr>
          <w:rFonts w:hint="eastAsia" w:ascii="宋体" w:hAnsi="宋体"/>
          <w:color w:val="auto"/>
          <w:sz w:val="24"/>
          <w:highlight w:val="none"/>
        </w:rPr>
      </w:pPr>
      <w:r>
        <w:rPr>
          <w:rFonts w:hint="eastAsia" w:ascii="宋体" w:hAnsi="宋体"/>
          <w:color w:val="auto"/>
          <w:sz w:val="24"/>
          <w:highlight w:val="none"/>
        </w:rPr>
        <w:t>5.上述的货物免费保修期为</w:t>
      </w:r>
      <w:r>
        <w:rPr>
          <w:rFonts w:hint="eastAsia" w:ascii="宋体" w:hAnsi="宋体"/>
          <w:color w:val="auto"/>
          <w:sz w:val="24"/>
          <w:highlight w:val="none"/>
          <w:u w:val="single"/>
        </w:rPr>
        <w:t xml:space="preserve">     </w:t>
      </w:r>
      <w:r>
        <w:rPr>
          <w:rFonts w:hint="eastAsia" w:ascii="宋体" w:hAnsi="宋体"/>
          <w:color w:val="auto"/>
          <w:sz w:val="24"/>
          <w:highlight w:val="none"/>
        </w:rPr>
        <w:t>年，因人为因素出现的故障不在免费保修范围内。超过保修期的机器货物，终生维修，维修时只收部件成本费。</w:t>
      </w:r>
    </w:p>
    <w:p>
      <w:pPr>
        <w:spacing w:line="420" w:lineRule="exac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三</w:t>
      </w:r>
      <w:r>
        <w:rPr>
          <w:rFonts w:hint="eastAsia" w:ascii="宋体" w:hAnsi="宋体"/>
          <w:b/>
          <w:color w:val="auto"/>
          <w:sz w:val="24"/>
          <w:highlight w:val="none"/>
        </w:rPr>
        <w:t>、调试和验收</w:t>
      </w:r>
    </w:p>
    <w:p>
      <w:pPr>
        <w:spacing w:line="420" w:lineRule="exact"/>
        <w:rPr>
          <w:rFonts w:hint="eastAsia" w:ascii="宋体" w:hAnsi="宋体"/>
          <w:color w:val="auto"/>
          <w:sz w:val="24"/>
          <w:highlight w:val="none"/>
        </w:rPr>
      </w:pPr>
      <w:r>
        <w:rPr>
          <w:rFonts w:hint="eastAsia" w:ascii="宋体" w:hAnsi="宋体"/>
          <w:color w:val="auto"/>
          <w:sz w:val="24"/>
          <w:highlight w:val="none"/>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pacing w:line="420" w:lineRule="exact"/>
        <w:rPr>
          <w:rFonts w:hint="eastAsia" w:ascii="宋体" w:hAnsi="宋体"/>
          <w:color w:val="auto"/>
          <w:sz w:val="24"/>
          <w:highlight w:val="none"/>
        </w:rPr>
      </w:pPr>
      <w:r>
        <w:rPr>
          <w:rFonts w:hint="eastAsia" w:ascii="宋体" w:hAnsi="宋体"/>
          <w:color w:val="auto"/>
          <w:sz w:val="24"/>
          <w:highlight w:val="none"/>
        </w:rPr>
        <w:t>2. 乙方交货前应对产品作出全面检查和对验收文件进行整理，并列出清单，作为甲方收货验收和使用的技术条件依据，检验的结果应随货物交甲方。</w:t>
      </w:r>
    </w:p>
    <w:p>
      <w:pPr>
        <w:spacing w:line="420" w:lineRule="exact"/>
        <w:rPr>
          <w:rFonts w:hint="eastAsia" w:ascii="宋体" w:hAnsi="宋体"/>
          <w:color w:val="auto"/>
          <w:sz w:val="24"/>
          <w:highlight w:val="none"/>
          <w:u w:val="single"/>
        </w:rPr>
      </w:pPr>
      <w:r>
        <w:rPr>
          <w:rFonts w:hint="eastAsia" w:ascii="宋体" w:hAnsi="宋体"/>
          <w:color w:val="auto"/>
          <w:sz w:val="24"/>
          <w:highlight w:val="none"/>
        </w:rPr>
        <w:t>3. 甲方对乙方提供的货物在使用前进行调试时，乙方需负责安装并培训甲方的使用操作人员，并协助甲方一起调试，直到符合技术要求，甲方才做最终验收。</w:t>
      </w:r>
    </w:p>
    <w:p>
      <w:pPr>
        <w:spacing w:line="420" w:lineRule="exact"/>
        <w:rPr>
          <w:rFonts w:hint="eastAsia" w:ascii="宋体" w:hAnsi="宋体"/>
          <w:color w:val="auto"/>
          <w:sz w:val="24"/>
          <w:highlight w:val="none"/>
        </w:rPr>
      </w:pPr>
      <w:r>
        <w:rPr>
          <w:rFonts w:hint="eastAsia" w:ascii="宋体" w:hAnsi="宋体"/>
          <w:color w:val="auto"/>
          <w:sz w:val="24"/>
          <w:highlight w:val="none"/>
        </w:rPr>
        <w:t>4. 对技术复杂的货物，甲方应请国家认可的专业检测机构参与初步验收及最终验收，并由其出具质量检测报告。</w:t>
      </w:r>
    </w:p>
    <w:p>
      <w:pPr>
        <w:spacing w:line="420" w:lineRule="exact"/>
        <w:rPr>
          <w:rFonts w:hint="eastAsia" w:ascii="宋体" w:hAnsi="宋体"/>
          <w:color w:val="auto"/>
          <w:sz w:val="24"/>
          <w:highlight w:val="none"/>
        </w:rPr>
      </w:pPr>
      <w:r>
        <w:rPr>
          <w:rFonts w:hint="eastAsia" w:ascii="宋体" w:hAnsi="宋体"/>
          <w:color w:val="auto"/>
          <w:sz w:val="24"/>
          <w:highlight w:val="none"/>
        </w:rPr>
        <w:t>5. 验收时乙方必须在现场，验收完毕后作出验收结果报告；验收费用由乙方负责。</w:t>
      </w:r>
    </w:p>
    <w:p>
      <w:pPr>
        <w:spacing w:line="420" w:lineRule="exac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四</w:t>
      </w:r>
      <w:r>
        <w:rPr>
          <w:rFonts w:hint="eastAsia" w:ascii="宋体" w:hAnsi="宋体"/>
          <w:b/>
          <w:color w:val="auto"/>
          <w:sz w:val="24"/>
          <w:highlight w:val="none"/>
        </w:rPr>
        <w:t>、货物包装、发运及运输</w:t>
      </w:r>
    </w:p>
    <w:p>
      <w:pPr>
        <w:spacing w:line="420" w:lineRule="exact"/>
        <w:rPr>
          <w:rFonts w:hint="eastAsia" w:ascii="宋体" w:hAnsi="宋体"/>
          <w:color w:val="auto"/>
          <w:sz w:val="24"/>
          <w:highlight w:val="none"/>
        </w:rPr>
      </w:pPr>
      <w:r>
        <w:rPr>
          <w:rFonts w:hint="eastAsia" w:ascii="宋体" w:hAnsi="宋体"/>
          <w:color w:val="auto"/>
          <w:sz w:val="24"/>
          <w:highlight w:val="none"/>
        </w:rPr>
        <w:t>1. 乙方应在货物发运前对其进行满足运输距离、防潮、防震、防锈和防破损装卸等要求包装，以保证货物安全运达甲方指定地点。</w:t>
      </w:r>
    </w:p>
    <w:p>
      <w:pPr>
        <w:spacing w:line="420" w:lineRule="exact"/>
        <w:rPr>
          <w:rFonts w:hint="eastAsia" w:ascii="宋体" w:hAnsi="宋体"/>
          <w:color w:val="auto"/>
          <w:sz w:val="24"/>
          <w:highlight w:val="none"/>
        </w:rPr>
      </w:pPr>
      <w:r>
        <w:rPr>
          <w:rFonts w:hint="eastAsia" w:ascii="宋体" w:hAnsi="宋体"/>
          <w:color w:val="auto"/>
          <w:sz w:val="24"/>
          <w:highlight w:val="none"/>
        </w:rPr>
        <w:t>2. 使用说明书、质量检验证明书、随配附件和工具以及清单一并附于货物内。</w:t>
      </w:r>
    </w:p>
    <w:p>
      <w:pPr>
        <w:spacing w:line="420" w:lineRule="exact"/>
        <w:rPr>
          <w:rFonts w:hint="eastAsia" w:ascii="宋体" w:hAnsi="宋体"/>
          <w:color w:val="auto"/>
          <w:sz w:val="24"/>
          <w:highlight w:val="none"/>
        </w:rPr>
      </w:pPr>
      <w:r>
        <w:rPr>
          <w:rFonts w:hint="eastAsia" w:ascii="宋体" w:hAnsi="宋体"/>
          <w:color w:val="auto"/>
          <w:sz w:val="24"/>
          <w:highlight w:val="none"/>
        </w:rPr>
        <w:t>3. 乙方在货物发运手续办理完毕后24小时内或货到甲方48小时前通知甲方，以准备接货。</w:t>
      </w:r>
    </w:p>
    <w:p>
      <w:pPr>
        <w:spacing w:line="420" w:lineRule="exact"/>
        <w:rPr>
          <w:rFonts w:hint="eastAsia" w:ascii="宋体" w:hAnsi="宋体"/>
          <w:color w:val="auto"/>
          <w:sz w:val="24"/>
          <w:highlight w:val="none"/>
        </w:rPr>
      </w:pPr>
      <w:r>
        <w:rPr>
          <w:rFonts w:hint="eastAsia" w:ascii="宋体" w:hAnsi="宋体"/>
          <w:color w:val="auto"/>
          <w:sz w:val="24"/>
          <w:highlight w:val="none"/>
        </w:rPr>
        <w:t>4. 货物在交付甲方前发生的风险均由乙方负责。</w:t>
      </w:r>
    </w:p>
    <w:p>
      <w:pPr>
        <w:spacing w:line="420" w:lineRule="exact"/>
        <w:rPr>
          <w:rFonts w:hint="eastAsia" w:ascii="宋体" w:hAnsi="宋体"/>
          <w:color w:val="auto"/>
          <w:sz w:val="24"/>
          <w:highlight w:val="none"/>
        </w:rPr>
      </w:pPr>
      <w:r>
        <w:rPr>
          <w:rFonts w:hint="eastAsia" w:ascii="宋体" w:hAnsi="宋体"/>
          <w:color w:val="auto"/>
          <w:sz w:val="24"/>
          <w:highlight w:val="none"/>
        </w:rPr>
        <w:t>5. 货物在规定的交付期限内由乙方送达甲方指定的地点视为交付，乙方同时需通知甲方货物已送达。</w:t>
      </w:r>
    </w:p>
    <w:p>
      <w:pPr>
        <w:spacing w:line="420" w:lineRule="exac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五</w:t>
      </w:r>
      <w:r>
        <w:rPr>
          <w:rFonts w:hint="eastAsia" w:ascii="宋体" w:hAnsi="宋体"/>
          <w:b/>
          <w:color w:val="auto"/>
          <w:sz w:val="24"/>
          <w:highlight w:val="none"/>
        </w:rPr>
        <w:t>、违约责任</w:t>
      </w:r>
    </w:p>
    <w:p>
      <w:pPr>
        <w:spacing w:line="420" w:lineRule="exact"/>
        <w:rPr>
          <w:rFonts w:hint="eastAsia" w:ascii="宋体" w:hAnsi="宋体"/>
          <w:color w:val="auto"/>
          <w:sz w:val="24"/>
          <w:highlight w:val="none"/>
        </w:rPr>
      </w:pPr>
      <w:r>
        <w:rPr>
          <w:rFonts w:hint="eastAsia" w:ascii="宋体" w:hAnsi="宋体"/>
          <w:color w:val="auto"/>
          <w:sz w:val="24"/>
          <w:highlight w:val="none"/>
        </w:rPr>
        <w:t>1. 甲方无正当理由拒收货物的，甲方向乙方偿付拒收货款总值的百分之五违约金。</w:t>
      </w:r>
    </w:p>
    <w:p>
      <w:pPr>
        <w:spacing w:line="420" w:lineRule="exact"/>
        <w:rPr>
          <w:rFonts w:hint="eastAsia" w:ascii="宋体" w:hAnsi="宋体"/>
          <w:color w:val="auto"/>
          <w:sz w:val="24"/>
          <w:highlight w:val="none"/>
        </w:rPr>
      </w:pPr>
      <w:r>
        <w:rPr>
          <w:rFonts w:hint="eastAsia" w:ascii="宋体" w:hAnsi="宋体"/>
          <w:color w:val="auto"/>
          <w:sz w:val="24"/>
          <w:highlight w:val="none"/>
        </w:rPr>
        <w:t>2. 甲方无故逾期验收和办理货款支付手续的,甲方应按逾期付款总额每日万分之五向乙方支付违约金。</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420" w:lineRule="exact"/>
        <w:rPr>
          <w:rFonts w:hint="eastAsia" w:ascii="宋体" w:hAnsi="宋体"/>
          <w:color w:val="auto"/>
          <w:sz w:val="24"/>
          <w:highlight w:val="none"/>
        </w:rPr>
      </w:pPr>
      <w:r>
        <w:rPr>
          <w:rFonts w:hint="eastAsia" w:ascii="宋体" w:hAnsi="宋体"/>
          <w:color w:val="auto"/>
          <w:sz w:val="24"/>
          <w:highlight w:val="none"/>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pacing w:line="420" w:lineRule="exac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六</w:t>
      </w:r>
      <w:r>
        <w:rPr>
          <w:rFonts w:hint="eastAsia" w:ascii="宋体" w:hAnsi="宋体"/>
          <w:b/>
          <w:color w:val="auto"/>
          <w:sz w:val="24"/>
          <w:highlight w:val="none"/>
        </w:rPr>
        <w:t>、不可抗力事件处理</w:t>
      </w:r>
    </w:p>
    <w:p>
      <w:pPr>
        <w:spacing w:line="420" w:lineRule="exact"/>
        <w:rPr>
          <w:rFonts w:hint="eastAsia" w:ascii="宋体" w:hAnsi="宋体"/>
          <w:color w:val="auto"/>
          <w:sz w:val="24"/>
          <w:highlight w:val="none"/>
        </w:rPr>
      </w:pPr>
      <w:r>
        <w:rPr>
          <w:rFonts w:hint="eastAsia" w:ascii="宋体" w:hAnsi="宋体"/>
          <w:color w:val="auto"/>
          <w:sz w:val="24"/>
          <w:highlight w:val="none"/>
        </w:rPr>
        <w:t>1. 在合同有效期内，任何一方因不可抗力事件导致不能履行合同，则合同履行期可延长，其延长期与不可抗力影响期相同。</w:t>
      </w:r>
    </w:p>
    <w:p>
      <w:pPr>
        <w:spacing w:line="420" w:lineRule="exact"/>
        <w:rPr>
          <w:rFonts w:hint="eastAsia" w:ascii="宋体" w:hAnsi="宋体"/>
          <w:color w:val="auto"/>
          <w:sz w:val="24"/>
          <w:highlight w:val="none"/>
        </w:rPr>
      </w:pPr>
      <w:r>
        <w:rPr>
          <w:rFonts w:hint="eastAsia" w:ascii="宋体" w:hAnsi="宋体"/>
          <w:color w:val="auto"/>
          <w:sz w:val="24"/>
          <w:highlight w:val="none"/>
        </w:rPr>
        <w:t>2. 不可抗力事件发生后，应立即通知对方，并寄送有关权威机构出具的证明。</w:t>
      </w:r>
    </w:p>
    <w:p>
      <w:pPr>
        <w:spacing w:line="420" w:lineRule="exact"/>
        <w:rPr>
          <w:rFonts w:hint="eastAsia" w:ascii="宋体" w:hAnsi="宋体"/>
          <w:color w:val="auto"/>
          <w:sz w:val="24"/>
          <w:highlight w:val="none"/>
        </w:rPr>
      </w:pPr>
      <w:r>
        <w:rPr>
          <w:rFonts w:hint="eastAsia" w:ascii="宋体" w:hAnsi="宋体"/>
          <w:color w:val="auto"/>
          <w:sz w:val="24"/>
          <w:highlight w:val="none"/>
        </w:rPr>
        <w:t>3. 不可抗力事件延续120天以上，双方应通过友好协商，确定是否继续履行合同。</w:t>
      </w:r>
    </w:p>
    <w:p>
      <w:pPr>
        <w:spacing w:line="420" w:lineRule="exac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七</w:t>
      </w:r>
      <w:r>
        <w:rPr>
          <w:rFonts w:hint="eastAsia" w:ascii="宋体" w:hAnsi="宋体"/>
          <w:b/>
          <w:color w:val="auto"/>
          <w:sz w:val="24"/>
          <w:highlight w:val="none"/>
        </w:rPr>
        <w:t>、诉讼</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双方在执行合同中所发生的一切争议，应通过协商解决。如协商不成，可向甲方所在地法院起诉。</w:t>
      </w:r>
    </w:p>
    <w:p>
      <w:pPr>
        <w:spacing w:line="420" w:lineRule="exac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八</w:t>
      </w:r>
      <w:r>
        <w:rPr>
          <w:rFonts w:hint="eastAsia" w:ascii="宋体" w:hAnsi="宋体"/>
          <w:b/>
          <w:color w:val="auto"/>
          <w:sz w:val="24"/>
          <w:highlight w:val="none"/>
        </w:rPr>
        <w:t>、合同生效及其它</w:t>
      </w:r>
    </w:p>
    <w:p>
      <w:pPr>
        <w:spacing w:line="420" w:lineRule="exact"/>
        <w:rPr>
          <w:rFonts w:hint="eastAsia" w:ascii="宋体" w:hAnsi="宋体"/>
          <w:color w:val="auto"/>
          <w:sz w:val="24"/>
          <w:highlight w:val="none"/>
        </w:rPr>
      </w:pPr>
      <w:r>
        <w:rPr>
          <w:rFonts w:hint="eastAsia" w:ascii="宋体" w:hAnsi="宋体"/>
          <w:color w:val="auto"/>
          <w:sz w:val="24"/>
          <w:highlight w:val="none"/>
        </w:rPr>
        <w:t>1. 合同经三方法定代表人或委托代理人签字并加盖单位公章后，报东阳市财政局采监科备案后生效。</w:t>
      </w:r>
    </w:p>
    <w:p>
      <w:pPr>
        <w:spacing w:line="420" w:lineRule="exact"/>
        <w:rPr>
          <w:rFonts w:hint="eastAsia" w:ascii="宋体" w:hAnsi="宋体"/>
          <w:color w:val="auto"/>
          <w:sz w:val="24"/>
          <w:highlight w:val="none"/>
        </w:rPr>
      </w:pPr>
      <w:r>
        <w:rPr>
          <w:rFonts w:hint="eastAsia" w:ascii="宋体" w:hAnsi="宋体"/>
          <w:color w:val="auto"/>
          <w:sz w:val="24"/>
          <w:highlight w:val="none"/>
        </w:rPr>
        <w:t>2.合同执行中涉及采购资金和采购内容修改或补充的，须经财政部门审批，并签书面补充协议报政府采购监督管理部门备案，方可作为主合同不可分割的一部分。</w:t>
      </w:r>
    </w:p>
    <w:p>
      <w:pPr>
        <w:spacing w:line="420" w:lineRule="exact"/>
        <w:rPr>
          <w:rFonts w:hint="eastAsia" w:ascii="宋体" w:hAnsi="宋体"/>
          <w:color w:val="auto"/>
          <w:sz w:val="24"/>
          <w:highlight w:val="none"/>
        </w:rPr>
      </w:pPr>
      <w:r>
        <w:rPr>
          <w:rFonts w:hint="eastAsia" w:ascii="宋体" w:hAnsi="宋体"/>
          <w:color w:val="auto"/>
          <w:sz w:val="24"/>
          <w:highlight w:val="none"/>
        </w:rPr>
        <w:t>3.本合同未尽事宜，遵照《中华人民共和国民法典》有关条文执行。</w:t>
      </w:r>
    </w:p>
    <w:p>
      <w:pPr>
        <w:spacing w:line="420" w:lineRule="exact"/>
        <w:rPr>
          <w:rFonts w:hint="eastAsia" w:ascii="宋体" w:hAnsi="宋体"/>
          <w:color w:val="auto"/>
          <w:sz w:val="24"/>
          <w:highlight w:val="none"/>
        </w:rPr>
      </w:pPr>
      <w:r>
        <w:rPr>
          <w:rFonts w:hint="eastAsia" w:ascii="宋体" w:hAnsi="宋体"/>
          <w:color w:val="auto"/>
          <w:sz w:val="24"/>
          <w:highlight w:val="none"/>
        </w:rPr>
        <w:t>4.本合同一式六份， 东阳市财政局采监科、招标代理机构各执一份，甲、乙双方各执二份，其都具有同等法律效力。</w:t>
      </w:r>
    </w:p>
    <w:p>
      <w:pPr>
        <w:spacing w:line="420" w:lineRule="exact"/>
        <w:rPr>
          <w:rFonts w:hint="eastAsia" w:ascii="宋体" w:hAnsi="宋体"/>
          <w:b/>
          <w:color w:val="auto"/>
          <w:sz w:val="24"/>
          <w:highlight w:val="none"/>
        </w:rPr>
      </w:pPr>
      <w:r>
        <w:rPr>
          <w:rFonts w:hint="eastAsia" w:ascii="宋体" w:hAnsi="宋体"/>
          <w:b/>
          <w:color w:val="auto"/>
          <w:sz w:val="24"/>
          <w:highlight w:val="none"/>
        </w:rPr>
        <w:t>5. 后附政府采购廉洁承诺书。</w:t>
      </w:r>
    </w:p>
    <w:p>
      <w:pPr>
        <w:spacing w:line="420" w:lineRule="exact"/>
        <w:rPr>
          <w:rFonts w:hint="eastAsia" w:ascii="宋体" w:hAnsi="宋体"/>
          <w:b/>
          <w:bCs/>
          <w:color w:val="auto"/>
          <w:sz w:val="24"/>
          <w:highlight w:val="none"/>
        </w:rPr>
      </w:pPr>
    </w:p>
    <w:p>
      <w:pPr>
        <w:spacing w:line="420" w:lineRule="exact"/>
        <w:rPr>
          <w:rFonts w:hint="eastAsia" w:ascii="宋体" w:hAnsi="宋体"/>
          <w:color w:val="auto"/>
          <w:sz w:val="24"/>
          <w:highlight w:val="none"/>
        </w:rPr>
      </w:pPr>
      <w:r>
        <w:rPr>
          <w:rFonts w:hint="eastAsia" w:ascii="宋体" w:hAnsi="宋体"/>
          <w:b/>
          <w:bCs/>
          <w:color w:val="auto"/>
          <w:sz w:val="24"/>
          <w:highlight w:val="none"/>
        </w:rPr>
        <w:t>甲方（盖公章）：                     乙方（盖公章）：</w:t>
      </w:r>
    </w:p>
    <w:p>
      <w:pPr>
        <w:spacing w:line="420" w:lineRule="exact"/>
        <w:rPr>
          <w:rFonts w:hint="eastAsia" w:ascii="宋体" w:hAnsi="宋体"/>
          <w:color w:val="auto"/>
          <w:sz w:val="24"/>
          <w:highlight w:val="none"/>
        </w:rPr>
      </w:pPr>
      <w:r>
        <w:rPr>
          <w:rFonts w:hint="eastAsia" w:ascii="宋体" w:hAnsi="宋体"/>
          <w:color w:val="auto"/>
          <w:sz w:val="24"/>
          <w:highlight w:val="none"/>
        </w:rPr>
        <w:t>法定代表人或受委托人                 法定代表人或受委托人</w:t>
      </w:r>
    </w:p>
    <w:p>
      <w:pPr>
        <w:spacing w:line="420" w:lineRule="exact"/>
        <w:rPr>
          <w:rFonts w:hint="eastAsia" w:ascii="宋体" w:hAnsi="宋体"/>
          <w:color w:val="auto"/>
          <w:sz w:val="24"/>
          <w:highlight w:val="none"/>
        </w:rPr>
      </w:pPr>
      <w:r>
        <w:rPr>
          <w:rFonts w:hint="eastAsia" w:ascii="宋体" w:hAnsi="宋体"/>
          <w:color w:val="auto"/>
          <w:sz w:val="24"/>
          <w:highlight w:val="none"/>
        </w:rPr>
        <w:t>（签字）                            （签字）</w:t>
      </w:r>
    </w:p>
    <w:p>
      <w:pPr>
        <w:spacing w:line="420" w:lineRule="exact"/>
        <w:rPr>
          <w:rFonts w:hint="eastAsia" w:ascii="宋体" w:hAnsi="宋体"/>
          <w:color w:val="auto"/>
          <w:sz w:val="24"/>
          <w:highlight w:val="none"/>
        </w:rPr>
      </w:pPr>
      <w:r>
        <w:rPr>
          <w:rFonts w:hint="eastAsia" w:ascii="宋体" w:hAnsi="宋体"/>
          <w:color w:val="auto"/>
          <w:sz w:val="24"/>
          <w:highlight w:val="none"/>
        </w:rPr>
        <w:t>地址：</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地址： </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邮编：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邮编：</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电话：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电话：</w:t>
      </w:r>
    </w:p>
    <w:p>
      <w:pPr>
        <w:spacing w:line="420" w:lineRule="exact"/>
        <w:rPr>
          <w:rFonts w:hint="eastAsia" w:ascii="宋体" w:hAnsi="宋体"/>
          <w:color w:val="auto"/>
          <w:sz w:val="24"/>
          <w:highlight w:val="none"/>
        </w:rPr>
      </w:pPr>
      <w:r>
        <w:rPr>
          <w:rFonts w:hint="eastAsia" w:ascii="宋体" w:hAnsi="宋体"/>
          <w:color w:val="auto"/>
          <w:sz w:val="24"/>
          <w:highlight w:val="none"/>
        </w:rPr>
        <w:t>传真：                               传真：</w:t>
      </w:r>
    </w:p>
    <w:p>
      <w:pPr>
        <w:spacing w:line="420" w:lineRule="exact"/>
        <w:rPr>
          <w:rFonts w:hint="eastAsia" w:ascii="宋体" w:hAnsi="宋体"/>
          <w:color w:val="auto"/>
          <w:sz w:val="24"/>
          <w:highlight w:val="none"/>
        </w:rPr>
      </w:pPr>
      <w:r>
        <w:rPr>
          <w:rFonts w:hint="eastAsia" w:ascii="宋体" w:hAnsi="宋体"/>
          <w:color w:val="auto"/>
          <w:sz w:val="24"/>
          <w:highlight w:val="none"/>
        </w:rPr>
        <w:t>开户银行：                           开户银行：</w:t>
      </w:r>
    </w:p>
    <w:p>
      <w:pPr>
        <w:spacing w:line="420" w:lineRule="exact"/>
        <w:rPr>
          <w:rFonts w:hint="eastAsia" w:ascii="宋体" w:hAnsi="宋体"/>
          <w:color w:val="auto"/>
          <w:sz w:val="24"/>
          <w:highlight w:val="none"/>
        </w:rPr>
      </w:pPr>
      <w:r>
        <w:rPr>
          <w:rFonts w:hint="eastAsia" w:ascii="宋体" w:hAnsi="宋体"/>
          <w:color w:val="auto"/>
          <w:sz w:val="24"/>
          <w:highlight w:val="none"/>
        </w:rPr>
        <w:t>帐号：                               帐号：</w:t>
      </w:r>
    </w:p>
    <w:p>
      <w:pPr>
        <w:spacing w:line="420" w:lineRule="exact"/>
        <w:rPr>
          <w:rFonts w:hint="eastAsia" w:ascii="宋体" w:hAnsi="宋体"/>
          <w:color w:val="auto"/>
          <w:sz w:val="24"/>
          <w:highlight w:val="none"/>
        </w:rPr>
      </w:pPr>
    </w:p>
    <w:p>
      <w:pPr>
        <w:spacing w:line="420" w:lineRule="exact"/>
        <w:rPr>
          <w:rFonts w:hint="eastAsia" w:ascii="宋体" w:hAnsi="宋体"/>
          <w:color w:val="auto"/>
          <w:sz w:val="24"/>
          <w:highlight w:val="none"/>
        </w:rPr>
      </w:pPr>
    </w:p>
    <w:p>
      <w:pPr>
        <w:spacing w:line="420" w:lineRule="exact"/>
        <w:rPr>
          <w:rFonts w:hint="eastAsia" w:ascii="宋体" w:hAnsi="宋体"/>
          <w:color w:val="auto"/>
          <w:sz w:val="24"/>
          <w:highlight w:val="none"/>
        </w:rPr>
      </w:pPr>
      <w:r>
        <w:rPr>
          <w:rFonts w:hint="eastAsia" w:ascii="宋体" w:hAnsi="宋体"/>
          <w:color w:val="auto"/>
          <w:sz w:val="24"/>
          <w:highlight w:val="none"/>
        </w:rPr>
        <w:t>鉴证方:</w:t>
      </w:r>
    </w:p>
    <w:p>
      <w:pPr>
        <w:spacing w:line="420" w:lineRule="exact"/>
        <w:rPr>
          <w:rFonts w:hint="eastAsia" w:ascii="宋体" w:hAnsi="宋体"/>
          <w:color w:val="auto"/>
          <w:sz w:val="24"/>
          <w:highlight w:val="none"/>
        </w:rPr>
      </w:pPr>
      <w:r>
        <w:rPr>
          <w:rFonts w:hint="eastAsia" w:ascii="宋体" w:hAnsi="宋体"/>
          <w:color w:val="auto"/>
          <w:sz w:val="24"/>
          <w:highlight w:val="none"/>
        </w:rPr>
        <w:t>法定代表人或主要负责人:</w:t>
      </w:r>
    </w:p>
    <w:p>
      <w:pPr>
        <w:spacing w:line="420" w:lineRule="exact"/>
        <w:rPr>
          <w:rFonts w:hint="eastAsia" w:ascii="宋体" w:hAnsi="宋体"/>
          <w:color w:val="auto"/>
          <w:sz w:val="24"/>
          <w:highlight w:val="none"/>
        </w:rPr>
      </w:pPr>
      <w:r>
        <w:rPr>
          <w:rFonts w:hint="eastAsia" w:ascii="宋体" w:hAnsi="宋体"/>
          <w:color w:val="auto"/>
          <w:sz w:val="24"/>
          <w:highlight w:val="none"/>
        </w:rPr>
        <w:t>签约地点：                           签约时间：</w:t>
      </w:r>
    </w:p>
    <w:p>
      <w:pPr>
        <w:spacing w:line="420" w:lineRule="exact"/>
        <w:jc w:val="center"/>
        <w:rPr>
          <w:rFonts w:hint="eastAsia" w:ascii="宋体" w:hAnsi="宋体"/>
          <w:b/>
          <w:color w:val="auto"/>
          <w:sz w:val="24"/>
          <w:highlight w:val="none"/>
        </w:rPr>
      </w:pPr>
    </w:p>
    <w:p>
      <w:pPr>
        <w:spacing w:line="420" w:lineRule="exact"/>
        <w:jc w:val="center"/>
        <w:rPr>
          <w:rFonts w:hint="eastAsia" w:ascii="宋体" w:hAnsi="宋体"/>
          <w:b/>
          <w:color w:val="auto"/>
          <w:sz w:val="24"/>
          <w:highlight w:val="none"/>
        </w:rPr>
      </w:pPr>
    </w:p>
    <w:p>
      <w:pPr>
        <w:spacing w:line="420" w:lineRule="exact"/>
        <w:jc w:val="center"/>
        <w:rPr>
          <w:rFonts w:hint="eastAsia" w:ascii="宋体" w:hAnsi="宋体"/>
          <w:b/>
          <w:bCs/>
          <w:color w:val="auto"/>
          <w:sz w:val="24"/>
          <w:highlight w:val="none"/>
        </w:rPr>
      </w:pPr>
      <w:r>
        <w:rPr>
          <w:rFonts w:hint="eastAsia" w:ascii="宋体" w:hAnsi="宋体"/>
          <w:b/>
          <w:bCs/>
          <w:color w:val="auto"/>
          <w:sz w:val="24"/>
          <w:highlight w:val="none"/>
        </w:rPr>
        <w:t>注：签订合同时，可以使用项目相关国家标准合同文本。</w:t>
      </w:r>
    </w:p>
    <w:p>
      <w:pPr>
        <w:pageBreakBefore/>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政府采购廉洁承诺书</w:t>
      </w: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（中标人须将此表附在合同后）</w:t>
      </w:r>
    </w:p>
    <w:p>
      <w:pPr>
        <w:spacing w:line="360" w:lineRule="auto"/>
        <w:jc w:val="center"/>
        <w:rPr>
          <w:rFonts w:hint="eastAsia" w:ascii="宋体" w:hAnsi="宋体" w:eastAsia="宋体" w:cs="宋体"/>
          <w:b/>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                                     项目编号：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中标人：</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为加强政府采购活动中的廉政建设，防止发生商业贿赂等违法违纪行为，保护国家、集体和当事人的合法权益，根据《中华人民共和国政府采购法》和党风廉政建设及反腐败工作有关规定，我方自愿签订本承诺书，并严格执行。</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第一条参与政府采购活动时，除具备采购文件规定的资格、资质要求外，我方还将严格遵守有关法律、法规、政策以及国家、地方关于廉政建设的各项规定。</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第二条遵循公开、公平、公正、诚实信用原则，不发生损害上述原则及各方当事人合法权益得不正当竞争行为。</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第三条与政府采购各方当事人保持正常的业务交往，不向采购人、采购代理机构、监督机构、评审专家、工作人员及其他参与采购活动的人员提供不正当利益。主要有：</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（一）向上述人员赠送礼金、有价证券、贵重物品及回扣、好处费、感谢费等。</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（二）为上述人员或单位报销应由对方支付的费用。</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（三）暗示为上述人员装修住房、婚丧嫁娶、配偶子女的工作安排以及出国（境）、旅游等提供方便。</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（四）为上述人员或单位提供可能影响采购活动开展的宴请、健身、娱乐等活动。</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第四条严格执行采购合同，自觉按合同办事；在合同执行过程中，不发生本承诺书第三条中所列不良行为。    </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第五条 发现采购活动各方当事人有违规、违纪、违法行为的，及时提醒对方，情节严重的，主动向其主管部门或纪检监察、司法等机关举报。</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第六条 自觉接受政府采购管理部门的监管。在采购活动中出现违反本承诺书规定行为的，自觉接受政府采购管理部门的处罚，因违法违规行为给其他当事人造成经济损失的，按规定予以赔偿。</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第七条 本承诺书自签署之日起生效。</w:t>
      </w:r>
    </w:p>
    <w:p>
      <w:pPr>
        <w:spacing w:line="360" w:lineRule="auto"/>
        <w:ind w:left="840" w:hanging="840" w:hangingChars="350"/>
        <w:jc w:val="center"/>
        <w:rPr>
          <w:rFonts w:hint="eastAsia" w:ascii="宋体" w:hAnsi="宋体" w:eastAsia="宋体" w:cs="宋体"/>
          <w:color w:val="auto"/>
          <w:sz w:val="24"/>
          <w:highlight w:val="none"/>
        </w:rPr>
      </w:pPr>
    </w:p>
    <w:p>
      <w:pPr>
        <w:spacing w:line="360" w:lineRule="auto"/>
        <w:ind w:left="840" w:hanging="840" w:hangingChars="3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投标人（盖章）：</w:t>
      </w:r>
    </w:p>
    <w:p>
      <w:pPr>
        <w:spacing w:line="360" w:lineRule="auto"/>
        <w:ind w:left="840" w:hanging="840" w:hanging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法定代表人：</w:t>
      </w:r>
    </w:p>
    <w:p>
      <w:pPr>
        <w:spacing w:line="360" w:lineRule="auto"/>
        <w:ind w:left="840" w:hanging="840" w:hanging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spacing w:line="360" w:lineRule="auto"/>
        <w:ind w:left="840" w:hanging="840" w:hangingChars="350"/>
        <w:rPr>
          <w:rFonts w:hint="eastAsia" w:ascii="宋体" w:hAnsi="宋体" w:eastAsia="宋体" w:cs="宋体"/>
          <w:color w:val="auto"/>
          <w:sz w:val="24"/>
          <w:highlight w:val="none"/>
        </w:rPr>
      </w:pPr>
    </w:p>
    <w:p>
      <w:pPr>
        <w:pStyle w:val="3"/>
        <w:jc w:val="center"/>
        <w:rPr>
          <w:rFonts w:hint="eastAsia" w:ascii="宋体" w:hAnsi="宋体" w:eastAsia="宋体" w:cs="宋体"/>
          <w:color w:val="auto"/>
          <w:sz w:val="24"/>
          <w:szCs w:val="24"/>
          <w:highlight w:val="none"/>
        </w:rPr>
      </w:pPr>
      <w:bookmarkStart w:id="75" w:name="_Toc30824"/>
      <w:r>
        <w:rPr>
          <w:rFonts w:hint="eastAsia" w:ascii="宋体" w:hAnsi="宋体" w:eastAsia="宋体" w:cs="宋体"/>
          <w:color w:val="auto"/>
          <w:sz w:val="24"/>
          <w:szCs w:val="24"/>
          <w:highlight w:val="none"/>
        </w:rPr>
        <w:t>第六章　投标文件组成内容及格式</w:t>
      </w:r>
      <w:bookmarkEnd w:id="75"/>
    </w:p>
    <w:bookmarkEnd w:id="68"/>
    <w:bookmarkEnd w:id="69"/>
    <w:p>
      <w:pPr>
        <w:pStyle w:val="20"/>
        <w:spacing w:before="120" w:after="120" w:line="360" w:lineRule="auto"/>
        <w:rPr>
          <w:rFonts w:hint="eastAsia" w:ascii="宋体" w:hAnsi="宋体" w:eastAsia="宋体" w:cs="宋体"/>
          <w:color w:val="auto"/>
          <w:szCs w:val="24"/>
          <w:highlight w:val="none"/>
          <w:u w:val="single"/>
        </w:rPr>
      </w:pPr>
    </w:p>
    <w:p>
      <w:pPr>
        <w:pStyle w:val="2"/>
        <w:jc w:val="center"/>
        <w:rPr>
          <w:rFonts w:hint="eastAsia" w:ascii="宋体" w:hAnsi="宋体" w:eastAsia="宋体" w:cs="宋体"/>
          <w:b w:val="0"/>
          <w:color w:val="auto"/>
          <w:sz w:val="24"/>
          <w:szCs w:val="24"/>
          <w:highlight w:val="none"/>
        </w:rPr>
      </w:pPr>
      <w:bookmarkStart w:id="76" w:name="_Toc5558"/>
      <w:bookmarkStart w:id="77" w:name="_Toc405368940"/>
      <w:r>
        <w:rPr>
          <w:rFonts w:hint="eastAsia" w:ascii="宋体" w:hAnsi="宋体" w:eastAsia="宋体" w:cs="宋体"/>
          <w:b w:val="0"/>
          <w:color w:val="auto"/>
          <w:sz w:val="24"/>
          <w:szCs w:val="24"/>
          <w:highlight w:val="none"/>
        </w:rPr>
        <w:t>一、投标文件封面格式</w:t>
      </w:r>
      <w:bookmarkEnd w:id="76"/>
      <w:bookmarkEnd w:id="77"/>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1.投标文件封面格式：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正本/或副本</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资格审查文件、商务技术文件、报价文件（相应选择一个投标文件封面外包装名称）</w:t>
      </w:r>
    </w:p>
    <w:p>
      <w:pPr>
        <w:spacing w:line="48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项目名称：</w:t>
      </w:r>
      <w:r>
        <w:rPr>
          <w:rFonts w:hint="eastAsia" w:ascii="宋体" w:hAnsi="宋体" w:cs="宋体"/>
          <w:color w:val="auto"/>
          <w:sz w:val="24"/>
          <w:highlight w:val="none"/>
          <w:lang w:eastAsia="zh-CN"/>
        </w:rPr>
        <w:t>东阳市人民医院中心监护系统、监护仪、麻醉监护仪、呼吸机设备采购项目</w:t>
      </w:r>
    </w:p>
    <w:p>
      <w:pPr>
        <w:spacing w:line="48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项目编号：</w:t>
      </w:r>
      <w:r>
        <w:rPr>
          <w:rFonts w:hint="eastAsia" w:ascii="宋体" w:hAnsi="宋体" w:cs="宋体"/>
          <w:color w:val="auto"/>
          <w:sz w:val="24"/>
          <w:highlight w:val="none"/>
          <w:lang w:eastAsia="zh-CN"/>
        </w:rPr>
        <w:t>XSZFCGDZ2022-208</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标项：</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投标人地址：</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spacing w:line="360" w:lineRule="auto"/>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pStyle w:val="47"/>
        <w:rPr>
          <w:rFonts w:hint="eastAsia" w:ascii="宋体" w:hAnsi="宋体" w:eastAsia="宋体" w:cs="宋体"/>
          <w:b/>
          <w:color w:val="auto"/>
          <w:sz w:val="24"/>
          <w:highlight w:val="none"/>
        </w:rPr>
      </w:pPr>
    </w:p>
    <w:p>
      <w:pPr>
        <w:pStyle w:val="47"/>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2</w:t>
      </w:r>
      <w:r>
        <w:rPr>
          <w:rFonts w:hint="eastAsia" w:ascii="宋体" w:hAnsi="宋体" w:eastAsia="宋体" w:cs="宋体"/>
          <w:b/>
          <w:color w:val="auto"/>
          <w:sz w:val="24"/>
          <w:highlight w:val="none"/>
        </w:rPr>
        <w:t>.资格审查文件：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（1）具有独立承担民事责任的能力：投标人须在投标文件中出具符合以下情况的证明材料复印件（五选一）：</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①如投标人是企业（包括合伙企业），提供在工商部门注册的有效“企业法人营业执照”或“营业执照”；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②如投标人是事业单位，提供有效的“事业单位法人证书”；</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③如投标人是非企业专业服务机构的，提供执业许可证等证明文件；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④如投标人是个体工商户，提供有效的“个体工商户营业执照”；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⑤如投标人是自然人，提供有效的自然人身份证明（居民身份证正反面或公安机关出具的临时居民身份证正反面或港澳台胞证或护照）。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投标人具有</w:t>
      </w:r>
      <w:r>
        <w:rPr>
          <w:rFonts w:hint="eastAsia" w:ascii="宋体" w:hAnsi="宋体" w:eastAsia="宋体" w:cs="宋体"/>
          <w:color w:val="auto"/>
          <w:sz w:val="24"/>
          <w:highlight w:val="none"/>
        </w:rPr>
        <w:t>医疗器械经营许可证</w:t>
      </w:r>
      <w:r>
        <w:rPr>
          <w:rFonts w:hint="eastAsia" w:ascii="宋体" w:hAnsi="宋体" w:cs="宋体"/>
          <w:color w:val="auto"/>
          <w:sz w:val="24"/>
          <w:highlight w:val="none"/>
          <w:lang w:eastAsia="zh-CN"/>
        </w:rPr>
        <w:t>证书复印件</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）投标产品</w:t>
      </w:r>
      <w:r>
        <w:rPr>
          <w:rFonts w:hint="eastAsia" w:ascii="宋体" w:hAnsi="宋体" w:cs="宋体"/>
          <w:color w:val="auto"/>
          <w:sz w:val="24"/>
          <w:highlight w:val="none"/>
          <w:lang w:val="en-US" w:eastAsia="zh-CN"/>
        </w:rPr>
        <w:t>具有</w:t>
      </w:r>
      <w:r>
        <w:rPr>
          <w:rFonts w:hint="eastAsia" w:ascii="宋体" w:hAnsi="宋体" w:eastAsia="宋体" w:cs="宋体"/>
          <w:color w:val="auto"/>
          <w:sz w:val="24"/>
          <w:highlight w:val="none"/>
        </w:rPr>
        <w:t>医疗器械注册证</w:t>
      </w:r>
      <w:r>
        <w:rPr>
          <w:rFonts w:hint="eastAsia" w:ascii="宋体" w:hAnsi="宋体" w:cs="宋体"/>
          <w:color w:val="auto"/>
          <w:sz w:val="24"/>
          <w:highlight w:val="none"/>
          <w:lang w:eastAsia="zh-CN"/>
        </w:rPr>
        <w:t>证书复印件</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）具有制造商或国内总代理针对本次招标项目的有效授权书及该行业国家规定必备的资质、资格；（进口产品需提供厂家授权书，国产产品不需提供）</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）法定代表人身份证复印件或法定代表人授权委托书(格式见附件)；</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符合参加政府采购活动应当具备的一般条件的承诺函（格式见附件）；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信用记录网络查询页面截图（信用中国与中国政府采购网）；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）浙江政府采购网注册正式供应商的网络截图或承诺中标后30天内注册为浙江政府采购网正式供应商（须提供承诺书）；</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）东阳市政府采购代理机构社会评价表（格式见附件）</w:t>
      </w:r>
      <w:r>
        <w:rPr>
          <w:rFonts w:hint="eastAsia" w:ascii="宋体" w:hAnsi="宋体" w:cs="宋体"/>
          <w:color w:val="auto"/>
          <w:sz w:val="24"/>
          <w:highlight w:val="none"/>
          <w:lang w:eastAsia="zh-CN"/>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rPr>
        <w:t>）投标声明书 (格式见附件)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）政府采购活动现场确认声明书 (格式见附件) ；</w:t>
      </w:r>
    </w:p>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12</w:t>
      </w:r>
      <w:r>
        <w:rPr>
          <w:rFonts w:hint="eastAsia" w:ascii="宋体" w:hAnsi="宋体" w:cs="宋体"/>
          <w:color w:val="auto"/>
          <w:sz w:val="24"/>
          <w:highlight w:val="none"/>
          <w:lang w:eastAsia="zh-CN"/>
        </w:rPr>
        <w:t>）联合体协议书（联合体投标时提供）（格式见附件）；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）投标人情况介绍；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）投标人认为有必要提供的其它文件。</w:t>
      </w:r>
    </w:p>
    <w:p>
      <w:pPr>
        <w:spacing w:line="360" w:lineRule="auto"/>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rPr>
        <w:t>.商务技术文件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（1）投标人资信商务、技术自评得分表（格式见附件）；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（2）商务响应表（格式见附件）；</w:t>
      </w:r>
    </w:p>
    <w:p>
      <w:pPr>
        <w:spacing w:line="360" w:lineRule="auto"/>
        <w:rPr>
          <w:rFonts w:hint="eastAsia" w:ascii="宋体" w:hAnsi="宋体"/>
          <w:color w:val="auto"/>
          <w:sz w:val="24"/>
          <w:highlight w:val="none"/>
        </w:rPr>
      </w:pPr>
      <w:r>
        <w:rPr>
          <w:rFonts w:hint="eastAsia" w:ascii="宋体" w:hAnsi="宋体" w:eastAsia="宋体" w:cs="宋体"/>
          <w:color w:val="auto"/>
          <w:sz w:val="24"/>
          <w:highlight w:val="none"/>
        </w:rPr>
        <w:t>（3）</w:t>
      </w:r>
      <w:r>
        <w:rPr>
          <w:rFonts w:hint="eastAsia" w:ascii="宋体" w:hAnsi="宋体"/>
          <w:color w:val="auto"/>
          <w:sz w:val="24"/>
          <w:highlight w:val="none"/>
        </w:rPr>
        <w:t>技术响应表（格式见附件）；</w:t>
      </w:r>
    </w:p>
    <w:p>
      <w:pPr>
        <w:spacing w:line="360" w:lineRule="auto"/>
        <w:rPr>
          <w:rFonts w:hint="eastAsia" w:ascii="宋体" w:hAnsi="宋体" w:eastAsia="宋体" w:cs="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4</w:t>
      </w:r>
      <w:r>
        <w:rPr>
          <w:rFonts w:hint="eastAsia" w:ascii="宋体" w:hAnsi="宋体"/>
          <w:color w:val="auto"/>
          <w:sz w:val="24"/>
          <w:highlight w:val="none"/>
          <w:lang w:eastAsia="zh-CN"/>
        </w:rPr>
        <w:t>）</w:t>
      </w:r>
      <w:r>
        <w:rPr>
          <w:rFonts w:hint="eastAsia" w:ascii="宋体" w:hAnsi="宋体" w:cs="宋体"/>
          <w:color w:val="auto"/>
          <w:sz w:val="24"/>
          <w:highlight w:val="none"/>
          <w:lang w:eastAsia="zh-CN"/>
        </w:rPr>
        <w:t>技术响应情况</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设备技术性能</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安装、调试、验收方案；</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培训方案</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质保期</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认证证书</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同类业绩；</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配件、耗材提供及备品备件情况</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售后服务保障</w:t>
      </w:r>
      <w:r>
        <w:rPr>
          <w:rFonts w:hint="eastAsia" w:ascii="宋体" w:hAnsi="宋体" w:eastAsia="宋体" w:cs="宋体"/>
          <w:color w:val="auto"/>
          <w:sz w:val="24"/>
          <w:highlight w:val="none"/>
        </w:rPr>
        <w:t>；</w:t>
      </w:r>
    </w:p>
    <w:p>
      <w:pPr>
        <w:spacing w:line="360" w:lineRule="auto"/>
        <w:rPr>
          <w:rFonts w:hint="eastAsia" w:eastAsia="宋体"/>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13</w:t>
      </w:r>
      <w:r>
        <w:rPr>
          <w:rFonts w:hint="eastAsia" w:ascii="宋体" w:hAnsi="宋体" w:cs="宋体"/>
          <w:color w:val="auto"/>
          <w:sz w:val="24"/>
          <w:highlight w:val="none"/>
          <w:lang w:eastAsia="zh-CN"/>
        </w:rPr>
        <w:t>）产品配置清单</w:t>
      </w:r>
      <w:r>
        <w:rPr>
          <w:rFonts w:hint="eastAsia" w:ascii="宋体" w:hAnsi="宋体" w:eastAsia="宋体" w:cs="宋体"/>
          <w:color w:val="auto"/>
          <w:sz w:val="24"/>
          <w:highlight w:val="none"/>
        </w:rPr>
        <w:t>（格式见附件）</w:t>
      </w:r>
      <w:r>
        <w:rPr>
          <w:rFonts w:hint="eastAsia" w:ascii="宋体" w:hAnsi="宋体" w:cs="宋体"/>
          <w:color w:val="auto"/>
          <w:sz w:val="24"/>
          <w:highlight w:val="none"/>
          <w:lang w:eastAsia="zh-CN"/>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）环保、节能产品；</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）服务费承诺书（格式见附件）；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）投标人需要说明的其他文件和说明。</w:t>
      </w:r>
    </w:p>
    <w:p>
      <w:pPr>
        <w:spacing w:line="360" w:lineRule="auto"/>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4</w:t>
      </w:r>
      <w:r>
        <w:rPr>
          <w:rFonts w:hint="eastAsia" w:ascii="宋体" w:hAnsi="宋体" w:eastAsia="宋体" w:cs="宋体"/>
          <w:b/>
          <w:bCs/>
          <w:color w:val="auto"/>
          <w:sz w:val="24"/>
          <w:highlight w:val="none"/>
        </w:rPr>
        <w:t>.报价文件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（1）投标函（格式见附件）；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）中小企业声明函（格式见附件）；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）监狱企业证明文件；</w:t>
      </w:r>
    </w:p>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残疾人福利性单位声明函（格式见附件）；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联合体协议书、</w:t>
      </w:r>
      <w:r>
        <w:rPr>
          <w:rFonts w:hint="eastAsia" w:ascii="宋体" w:hAnsi="宋体" w:cs="宋体"/>
          <w:color w:val="auto"/>
          <w:sz w:val="24"/>
          <w:highlight w:val="none"/>
          <w:lang w:val="en-US" w:eastAsia="zh-CN"/>
        </w:rPr>
        <w:t>分包意向协议；（联合体投标/分包时提供，格式见附件）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 xml:space="preserve">）开标一览表（格式见附件）； </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）投标人针对报价需要说明的其他文件和说明（格式自拟）。</w:t>
      </w:r>
    </w:p>
    <w:p>
      <w:pPr>
        <w:pStyle w:val="2"/>
        <w:keepNext w:val="0"/>
        <w:keepLines w:val="0"/>
        <w:pageBreakBefore/>
        <w:spacing w:line="360" w:lineRule="auto"/>
        <w:rPr>
          <w:rFonts w:hint="eastAsia" w:ascii="宋体" w:hAnsi="宋体" w:eastAsia="宋体" w:cs="宋体"/>
          <w:b w:val="0"/>
          <w:color w:val="auto"/>
          <w:sz w:val="24"/>
          <w:szCs w:val="24"/>
          <w:highlight w:val="none"/>
        </w:rPr>
      </w:pPr>
      <w:bookmarkStart w:id="78" w:name="_Toc17720"/>
      <w:r>
        <w:rPr>
          <w:rFonts w:hint="eastAsia" w:ascii="宋体" w:hAnsi="宋体" w:eastAsia="宋体" w:cs="宋体"/>
          <w:b w:val="0"/>
          <w:color w:val="auto"/>
          <w:sz w:val="24"/>
          <w:szCs w:val="24"/>
          <w:highlight w:val="none"/>
        </w:rPr>
        <w:t>附件一：投标声明书</w:t>
      </w:r>
      <w:bookmarkEnd w:id="78"/>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投标声明书</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（招标采购单位名称）：</w:t>
      </w:r>
    </w:p>
    <w:p>
      <w:pPr>
        <w:snapToGrid w:val="0"/>
        <w:spacing w:before="120" w:beforeLines="50" w:after="50" w:line="276" w:lineRule="auto"/>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（投标人名称）系中华人民共和国合法企业，经营地址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napToGrid w:val="0"/>
        <w:spacing w:before="120" w:beforeLines="50" w:after="50" w:line="276" w:lineRule="auto"/>
        <w:ind w:firstLine="645"/>
        <w:rPr>
          <w:rFonts w:hint="eastAsia" w:ascii="宋体" w:hAnsi="宋体" w:eastAsia="宋体" w:cs="宋体"/>
          <w:color w:val="auto"/>
          <w:sz w:val="24"/>
          <w:highlight w:val="none"/>
        </w:rPr>
      </w:pPr>
      <w:r>
        <w:rPr>
          <w:rFonts w:hint="eastAsia" w:ascii="宋体" w:hAnsi="宋体" w:eastAsia="宋体" w:cs="宋体"/>
          <w:color w:val="auto"/>
          <w:sz w:val="24"/>
          <w:highlight w:val="none"/>
        </w:rPr>
        <w:t>我</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（投标人名称）的法定代表人，我方愿意参加贵方组织的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项目的投标，为便于贵方公正、择优地确定中标人及其投标服务，我方就本次投标有关事项郑重声明如下：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1.我方向贵方提交的所有投标文件、资料都是准确的和真实的。若有违背，我公司愿为由此而产生的一切后果负责。</w:t>
      </w:r>
    </w:p>
    <w:p>
      <w:pPr>
        <w:snapToGrid w:val="0"/>
        <w:spacing w:before="120" w:beforeLines="50" w:line="276"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2.我方不是采购人的附属机构；在获知本项目采购信息后，与采购人聘请的为此项目提供咨询服务的公司及其附属机构没有任何联系。</w:t>
      </w:r>
    </w:p>
    <w:p>
      <w:pPr>
        <w:snapToGrid w:val="0"/>
        <w:spacing w:before="120" w:beforeLines="50" w:line="27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 我方诚意提请贵方关注：近期有</w:t>
      </w:r>
      <w:r>
        <w:rPr>
          <w:rFonts w:hint="eastAsia" w:ascii="宋体" w:hAnsi="宋体" w:eastAsia="宋体" w:cs="宋体"/>
          <w:color w:val="auto"/>
          <w:sz w:val="24"/>
          <w:highlight w:val="none"/>
          <w:u w:val="single"/>
        </w:rPr>
        <w:t xml:space="preserve">                   （采购内容）</w:t>
      </w:r>
      <w:r>
        <w:rPr>
          <w:rFonts w:hint="eastAsia" w:ascii="宋体" w:hAnsi="宋体" w:eastAsia="宋体" w:cs="宋体"/>
          <w:color w:val="auto"/>
          <w:sz w:val="24"/>
          <w:highlight w:val="none"/>
        </w:rPr>
        <w:t>等方面的重大决策和事项有：</w:t>
      </w:r>
    </w:p>
    <w:p>
      <w:pPr>
        <w:snapToGrid w:val="0"/>
        <w:spacing w:before="120" w:beforeLines="50" w:line="276"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　　　　　　　　　　　　　　　　　　　　　　　　　　　</w:t>
      </w:r>
    </w:p>
    <w:p>
      <w:pPr>
        <w:snapToGrid w:val="0"/>
        <w:spacing w:before="120" w:beforeLines="50" w:line="27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w:t>
      </w:r>
    </w:p>
    <w:p>
      <w:pPr>
        <w:pStyle w:val="11"/>
        <w:snapToGrid w:val="0"/>
        <w:spacing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4.我方及由本人担任法定代表人的其他机构最近三年内被通报或者被处罚的违法行为有：</w:t>
      </w:r>
    </w:p>
    <w:p>
      <w:pPr>
        <w:snapToGrid w:val="0"/>
        <w:spacing w:before="120" w:beforeLines="50" w:line="276"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　　　　　　　　　　　　　　　　　　　　　　　　　　　</w:t>
      </w:r>
    </w:p>
    <w:p>
      <w:pPr>
        <w:snapToGrid w:val="0"/>
        <w:spacing w:before="120" w:beforeLines="50" w:line="276"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　　　　　　　　　　　　　　　　　　　　　　　　　　　</w:t>
      </w:r>
    </w:p>
    <w:p>
      <w:pPr>
        <w:snapToGrid w:val="0"/>
        <w:spacing w:line="27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5.以上事项如有虚假或隐瞒，我方愿意承担一切后果，并不再寻求任何旨在减轻或免除法律责任的辩解。</w:t>
      </w:r>
    </w:p>
    <w:p>
      <w:pPr>
        <w:pStyle w:val="19"/>
        <w:tabs>
          <w:tab w:val="left" w:pos="939"/>
        </w:tabs>
        <w:snapToGrid w:val="0"/>
        <w:spacing w:line="276" w:lineRule="auto"/>
        <w:ind w:left="773" w:leftChars="150" w:hanging="458" w:hangingChars="191"/>
        <w:rPr>
          <w:rFonts w:hint="eastAsia" w:ascii="宋体" w:hAnsi="宋体" w:eastAsia="宋体" w:cs="宋体"/>
          <w:color w:val="auto"/>
          <w:sz w:val="24"/>
          <w:highlight w:val="none"/>
        </w:rPr>
      </w:pPr>
    </w:p>
    <w:p>
      <w:pPr>
        <w:pStyle w:val="113"/>
        <w:snapToGrid w:val="0"/>
        <w:spacing w:before="120" w:beforeLines="50" w:line="276" w:lineRule="auto"/>
        <w:ind w:firstLine="200"/>
        <w:rPr>
          <w:rFonts w:hint="eastAsia" w:ascii="宋体" w:hAnsi="宋体" w:eastAsia="宋体" w:cs="宋体"/>
          <w:color w:val="auto"/>
          <w:szCs w:val="24"/>
          <w:highlight w:val="none"/>
        </w:rPr>
      </w:pPr>
    </w:p>
    <w:p>
      <w:pPr>
        <w:snapToGrid w:val="0"/>
        <w:spacing w:before="120" w:beforeLines="50" w:line="276" w:lineRule="auto"/>
        <w:ind w:firstLine="319" w:firstLineChars="133"/>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法定代表人或委托代理人签字：</w:t>
      </w:r>
      <w:r>
        <w:rPr>
          <w:rFonts w:hint="eastAsia" w:ascii="宋体" w:hAnsi="宋体" w:eastAsia="宋体" w:cs="宋体"/>
          <w:color w:val="auto"/>
          <w:sz w:val="24"/>
          <w:highlight w:val="none"/>
          <w:u w:val="single"/>
        </w:rPr>
        <w:t xml:space="preserve">             </w:t>
      </w:r>
    </w:p>
    <w:p>
      <w:pPr>
        <w:snapToGrid w:val="0"/>
        <w:spacing w:before="120" w:beforeLines="50" w:after="50" w:line="276"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投标人公章：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napToGrid w:val="0"/>
        <w:spacing w:before="120" w:beforeLines="50" w:after="50" w:line="276" w:lineRule="auto"/>
        <w:ind w:firstLine="6240" w:firstLineChars="2600"/>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snapToGrid w:val="0"/>
        <w:spacing w:before="120" w:beforeLines="50" w:after="50" w:line="276" w:lineRule="auto"/>
        <w:ind w:firstLine="6240" w:firstLineChars="2600"/>
        <w:rPr>
          <w:rFonts w:hint="eastAsia" w:ascii="宋体" w:hAnsi="宋体" w:eastAsia="宋体" w:cs="宋体"/>
          <w:color w:val="auto"/>
          <w:sz w:val="24"/>
          <w:highlight w:val="none"/>
        </w:rPr>
      </w:pPr>
    </w:p>
    <w:p>
      <w:pPr>
        <w:snapToGrid w:val="0"/>
        <w:spacing w:before="120" w:beforeLines="50" w:after="50" w:line="276" w:lineRule="auto"/>
        <w:ind w:firstLine="6240" w:firstLineChars="2600"/>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pStyle w:val="2"/>
        <w:keepNext w:val="0"/>
        <w:keepLines w:val="0"/>
        <w:pageBreakBefore/>
        <w:spacing w:line="360" w:lineRule="auto"/>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bookmarkStart w:id="79" w:name="_Toc31266"/>
      <w:bookmarkStart w:id="80" w:name="_Toc10320"/>
      <w:r>
        <w:rPr>
          <w:rFonts w:hint="eastAsia" w:ascii="宋体" w:hAnsi="宋体" w:eastAsia="宋体" w:cs="宋体"/>
          <w:b w:val="0"/>
          <w:bCs w:val="0"/>
          <w:color w:val="auto"/>
          <w:sz w:val="24"/>
          <w:szCs w:val="24"/>
          <w:highlight w:val="none"/>
        </w:rPr>
        <w:t>附件二：</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符合参加政府采购活动应当具备的一般条件的承诺函</w:t>
      </w:r>
      <w:bookmarkEnd w:id="79"/>
    </w:p>
    <w:p>
      <w:pPr>
        <w:pStyle w:val="32"/>
        <w:keepNext w:val="0"/>
        <w:keepLines w:val="0"/>
        <w:widowControl/>
        <w:suppressLineNumbers w:val="0"/>
        <w:spacing w:before="100" w:beforeAutospacing="0" w:after="100" w:afterAutospacing="0" w:line="360" w:lineRule="auto"/>
        <w:ind w:left="0" w:right="0"/>
        <w:jc w:val="center"/>
      </w:pPr>
      <w:r>
        <w:rPr>
          <w:rFonts w:ascii="黑体" w:hAnsi="宋体" w:eastAsia="黑体" w:cs="黑体"/>
          <w:b/>
          <w:bCs/>
          <w:i w:val="0"/>
          <w:iCs w:val="0"/>
          <w:color w:val="000000"/>
          <w:spacing w:val="0"/>
          <w:w w:val="100"/>
          <w:sz w:val="27"/>
          <w:szCs w:val="27"/>
          <w:vertAlign w:val="baseline"/>
        </w:rPr>
        <w:t>符合参加政府采购活动应当具备的一般条件的承诺函</w:t>
      </w:r>
    </w:p>
    <w:p>
      <w:pPr>
        <w:pStyle w:val="32"/>
        <w:keepNext w:val="0"/>
        <w:keepLines w:val="0"/>
        <w:widowControl/>
        <w:suppressLineNumbers w:val="0"/>
        <w:spacing w:before="0" w:beforeAutospacing="0" w:after="0" w:afterAutospacing="0" w:line="360" w:lineRule="auto"/>
        <w:ind w:left="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（采购人）、（采购代理机构）：</w:t>
      </w:r>
    </w:p>
    <w:p>
      <w:pPr>
        <w:pStyle w:val="32"/>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我方参与</w:t>
      </w:r>
      <w:r>
        <w:rPr>
          <w:rFonts w:hint="eastAsia" w:cs="宋体"/>
          <w:b w:val="0"/>
          <w:bCs w:val="0"/>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项目【项目编号：</w:t>
      </w:r>
      <w:r>
        <w:rPr>
          <w:rFonts w:hint="eastAsia" w:cs="宋体"/>
          <w:b w:val="0"/>
          <w:bCs w:val="0"/>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】政府采购活动，郑重承诺：</w:t>
      </w:r>
    </w:p>
    <w:p>
      <w:pPr>
        <w:pStyle w:val="32"/>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（一）具备《中华人民共和国政府采购法》第二十二条第一款规定的条件：</w:t>
      </w:r>
    </w:p>
    <w:p>
      <w:pPr>
        <w:pStyle w:val="32"/>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1、具有独立承担民事责任的能力；</w:t>
      </w:r>
    </w:p>
    <w:p>
      <w:pPr>
        <w:pStyle w:val="32"/>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 xml:space="preserve">2、具有良好的商业信誉和健全的财务会计制度； </w:t>
      </w:r>
    </w:p>
    <w:p>
      <w:pPr>
        <w:pStyle w:val="32"/>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3、具有履行合同所必需的设备和专业技术能力；</w:t>
      </w:r>
    </w:p>
    <w:p>
      <w:pPr>
        <w:pStyle w:val="32"/>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4、有依法缴纳税收和社会保障资金的良好记录；</w:t>
      </w:r>
    </w:p>
    <w:p>
      <w:pPr>
        <w:pStyle w:val="32"/>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5、参加政府采购活动前三年内，在经营活动中没有重大违法记录；</w:t>
      </w:r>
    </w:p>
    <w:p>
      <w:pPr>
        <w:pStyle w:val="32"/>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6、具有法律、行政法规规定的其他条件。</w:t>
      </w:r>
    </w:p>
    <w:p>
      <w:pPr>
        <w:pStyle w:val="32"/>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pStyle w:val="32"/>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（三）不存在以下情况：</w:t>
      </w:r>
    </w:p>
    <w:p>
      <w:pPr>
        <w:pStyle w:val="32"/>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1、单位负责人为同一人或者存在直接控股、管理关系的不同供应商参加同一合同项下的政府采购活动的；</w:t>
      </w:r>
    </w:p>
    <w:p>
      <w:pPr>
        <w:pStyle w:val="32"/>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2、为采购项目提供整体设计、规范编制或者项目管理、监理、检测等服务后再参加该采购项目的其他采购活动的。</w:t>
      </w:r>
    </w:p>
    <w:p>
      <w:pPr>
        <w:pStyle w:val="32"/>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p>
    <w:p>
      <w:pPr>
        <w:pStyle w:val="32"/>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p>
    <w:p>
      <w:pPr>
        <w:pStyle w:val="32"/>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p>
    <w:p>
      <w:pPr>
        <w:snapToGrid w:val="0"/>
        <w:spacing w:before="50" w:after="50"/>
        <w:rPr>
          <w:rFonts w:ascii="宋体" w:hAnsi="宋体" w:cs="宋体"/>
          <w:color w:val="auto"/>
          <w:spacing w:val="20"/>
          <w:sz w:val="24"/>
          <w:highlight w:val="none"/>
          <w:u w:val="single"/>
        </w:rPr>
      </w:pPr>
      <w:r>
        <w:rPr>
          <w:rFonts w:hint="eastAsia" w:ascii="宋体" w:hAnsi="宋体" w:cs="宋体"/>
          <w:color w:val="auto"/>
          <w:sz w:val="24"/>
          <w:highlight w:val="none"/>
        </w:rPr>
        <w:t>法定代表人或委托代理人签字</w:t>
      </w:r>
      <w:r>
        <w:rPr>
          <w:rFonts w:hint="eastAsia" w:ascii="宋体" w:hAnsi="宋体" w:cs="宋体"/>
          <w:color w:val="auto"/>
          <w:spacing w:val="20"/>
          <w:sz w:val="24"/>
          <w:highlight w:val="none"/>
        </w:rPr>
        <w:t>：</w:t>
      </w:r>
      <w:r>
        <w:rPr>
          <w:rFonts w:hint="eastAsia" w:ascii="宋体" w:hAnsi="宋体" w:cs="宋体"/>
          <w:color w:val="auto"/>
          <w:spacing w:val="20"/>
          <w:sz w:val="24"/>
          <w:highlight w:val="none"/>
          <w:u w:val="single"/>
        </w:rPr>
        <w:t xml:space="preserve">        </w:t>
      </w:r>
    </w:p>
    <w:p>
      <w:pPr>
        <w:snapToGrid w:val="0"/>
        <w:spacing w:before="120" w:beforeLines="50"/>
        <w:rPr>
          <w:rFonts w:ascii="宋体" w:hAnsi="宋体" w:cs="宋体"/>
          <w:color w:val="auto"/>
          <w:sz w:val="24"/>
          <w:highlight w:val="none"/>
        </w:rPr>
      </w:pPr>
      <w:r>
        <w:rPr>
          <w:rFonts w:hint="eastAsia" w:ascii="宋体" w:hAnsi="宋体" w:cs="宋体"/>
          <w:color w:val="auto"/>
          <w:spacing w:val="20"/>
          <w:sz w:val="24"/>
          <w:highlight w:val="none"/>
        </w:rPr>
        <w:t>投标人盖章：</w:t>
      </w:r>
      <w:r>
        <w:rPr>
          <w:rFonts w:hint="eastAsia" w:ascii="宋体" w:hAnsi="宋体" w:cs="宋体"/>
          <w:color w:val="auto"/>
          <w:spacing w:val="20"/>
          <w:sz w:val="24"/>
          <w:highlight w:val="none"/>
          <w:u w:val="single"/>
        </w:rPr>
        <w:t xml:space="preserve">            </w:t>
      </w:r>
      <w:r>
        <w:rPr>
          <w:rFonts w:hint="eastAsia" w:ascii="宋体" w:hAnsi="宋体" w:cs="宋体"/>
          <w:color w:val="auto"/>
          <w:spacing w:val="20"/>
          <w:sz w:val="24"/>
          <w:highlight w:val="none"/>
        </w:rPr>
        <w:t xml:space="preserve">              日 期：</w:t>
      </w:r>
      <w:r>
        <w:rPr>
          <w:rFonts w:hint="eastAsia" w:ascii="宋体" w:hAnsi="宋体" w:cs="宋体"/>
          <w:color w:val="auto"/>
          <w:spacing w:val="20"/>
          <w:sz w:val="24"/>
          <w:highlight w:val="none"/>
          <w:u w:val="single"/>
        </w:rPr>
        <w:t xml:space="preserve">            </w:t>
      </w:r>
    </w:p>
    <w:p>
      <w:pPr>
        <w:rPr>
          <w:rFonts w:ascii="宋体" w:hAnsi="宋体" w:cs="宋体"/>
          <w:color w:val="auto"/>
          <w:sz w:val="24"/>
          <w:highlight w:val="none"/>
        </w:rPr>
      </w:pPr>
    </w:p>
    <w:p>
      <w:pPr>
        <w:pStyle w:val="32"/>
        <w:keepNext w:val="0"/>
        <w:keepLines w:val="0"/>
        <w:widowControl/>
        <w:suppressLineNumbers w:val="0"/>
        <w:spacing w:before="100" w:beforeAutospacing="0" w:after="100" w:afterAutospacing="0" w:line="360" w:lineRule="auto"/>
        <w:ind w:left="0" w:right="0"/>
        <w:jc w:val="left"/>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p>
    <w:p>
      <w:pPr>
        <w:rPr>
          <w:rFonts w:hint="eastAsia" w:ascii="宋体" w:hAnsi="宋体" w:eastAsia="宋体" w:cs="宋体"/>
          <w:b w:val="0"/>
          <w:bCs w:val="0"/>
          <w:color w:val="000000" w:themeColor="text1"/>
          <w:sz w:val="24"/>
          <w:szCs w:val="24"/>
          <w:highlight w:val="none"/>
          <w14:textFill>
            <w14:solidFill>
              <w14:schemeClr w14:val="tx1"/>
            </w14:solidFill>
          </w14:textFill>
        </w:rPr>
      </w:pPr>
    </w:p>
    <w:p>
      <w:pPr>
        <w:pStyle w:val="2"/>
        <w:keepNext w:val="0"/>
        <w:keepLines w:val="0"/>
        <w:pageBreakBefore/>
        <w:spacing w:line="360" w:lineRule="auto"/>
        <w:rPr>
          <w:rFonts w:hint="eastAsia" w:ascii="宋体" w:hAnsi="宋体" w:eastAsia="宋体" w:cs="宋体"/>
          <w:b w:val="0"/>
          <w:bCs w:val="0"/>
          <w:color w:val="auto"/>
          <w:sz w:val="24"/>
          <w:szCs w:val="24"/>
          <w:highlight w:val="none"/>
        </w:rPr>
      </w:pPr>
      <w:bookmarkStart w:id="81" w:name="_Toc17410"/>
      <w:r>
        <w:rPr>
          <w:rFonts w:hint="eastAsia" w:ascii="宋体" w:hAnsi="宋体" w:eastAsia="宋体" w:cs="宋体"/>
          <w:b w:val="0"/>
          <w:bCs w:val="0"/>
          <w:color w:val="auto"/>
          <w:sz w:val="24"/>
          <w:szCs w:val="24"/>
          <w:highlight w:val="none"/>
          <w:lang w:val="en-US" w:eastAsia="zh-CN"/>
        </w:rPr>
        <w:t>附件三：</w:t>
      </w:r>
      <w:r>
        <w:rPr>
          <w:rFonts w:hint="eastAsia" w:ascii="宋体" w:hAnsi="宋体" w:eastAsia="宋体" w:cs="宋体"/>
          <w:b w:val="0"/>
          <w:bCs w:val="0"/>
          <w:color w:val="auto"/>
          <w:sz w:val="24"/>
          <w:szCs w:val="24"/>
          <w:highlight w:val="none"/>
        </w:rPr>
        <w:t>政府采购活动现场确认声明书</w:t>
      </w:r>
      <w:bookmarkEnd w:id="80"/>
      <w:bookmarkEnd w:id="81"/>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政府采购活动现场确认声明书</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东阳市鑫盛工程咨询有限公司 :</w:t>
      </w:r>
    </w:p>
    <w:p>
      <w:pPr>
        <w:snapToGrid w:val="0"/>
        <w:spacing w:before="120" w:beforeLines="50" w:after="50" w:line="276" w:lineRule="auto"/>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本人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（授权代表姓名），经由</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（单位）</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（法定代表人姓名）合法授权参加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）政府采购活动．经与本单位法人代表（负责人）联系确认，现就有关公平竞争事项郑重声明如下:</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一、本单位与采购人之间口不存在利害关系口存在下列利害关系: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A．投资关系</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B．行政隶属关系</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C．业务指导关系  D．其他可能影响采购公正的利害关系（如有，请如实说明）。</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二、现己清楚知道参加本项目采购活动的其他所有供应商名称，本单位 口与其他所有供应商之间均不存在利害关系 口与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（供应商名称）之间存在下列利害关系: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A．法定代表人或负责人或实际控制人是同一人B．法定代表人或负责人或实际控制人是夫妻关系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C.法定代表人或负责人或实际控制人是直系血亲关系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D.法定代表人或负责人或实际控制人存在三代以内旁系血亲关系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E．法定代表人或负责人或实际控制人存在近姻亲关系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F．法定代表人或负责人或实际控制人存在股份控制或实际控制关系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G．存在共同直接或间接投资设立子公司、联营企业和合营企业情况</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H.存在分级代理或代销关系、同一生产制造商关系、管理关系、重要业务（占主昔业务收入 50 ％以上）或重要财务往来关系（如融资）等其他实质性控制关系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I.其他利害关系情况</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三、现己清楚知道并严格遵守政府采购法律法规和现场纪律。</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四、我发现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供应商之间存在或可能存在上述第二条第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项利害关系。</w:t>
      </w: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（供应商代表签名）: </w:t>
      </w:r>
    </w:p>
    <w:p>
      <w:pPr>
        <w:snapToGrid w:val="0"/>
        <w:spacing w:before="120" w:beforeLines="50" w:after="50" w:line="276" w:lineRule="auto"/>
        <w:jc w:val="center"/>
        <w:rPr>
          <w:rFonts w:hint="eastAsia" w:ascii="宋体" w:hAnsi="宋体" w:eastAsia="宋体" w:cs="宋体"/>
          <w:b/>
          <w:color w:val="auto"/>
          <w:sz w:val="24"/>
          <w:highlight w:val="none"/>
        </w:rPr>
      </w:pPr>
      <w:r>
        <w:rPr>
          <w:rFonts w:hint="eastAsia" w:ascii="宋体" w:hAnsi="宋体" w:eastAsia="宋体" w:cs="宋体"/>
          <w:color w:val="auto"/>
          <w:sz w:val="24"/>
          <w:highlight w:val="none"/>
        </w:rPr>
        <w:t xml:space="preserve">                                                     年   月   日</w:t>
      </w:r>
    </w:p>
    <w:p>
      <w:pPr>
        <w:pStyle w:val="2"/>
        <w:keepNext w:val="0"/>
        <w:keepLines w:val="0"/>
        <w:pageBreakBefore/>
        <w:spacing w:line="276" w:lineRule="auto"/>
        <w:rPr>
          <w:rFonts w:hint="eastAsia" w:ascii="宋体" w:hAnsi="宋体" w:eastAsia="宋体" w:cs="宋体"/>
          <w:b w:val="0"/>
          <w:color w:val="auto"/>
          <w:sz w:val="24"/>
          <w:szCs w:val="24"/>
          <w:highlight w:val="none"/>
        </w:rPr>
      </w:pPr>
      <w:bookmarkStart w:id="82" w:name="_Toc21426"/>
      <w:r>
        <w:rPr>
          <w:rFonts w:hint="eastAsia" w:ascii="宋体" w:hAnsi="宋体" w:eastAsia="宋体" w:cs="宋体"/>
          <w:b w:val="0"/>
          <w:color w:val="auto"/>
          <w:sz w:val="24"/>
          <w:szCs w:val="24"/>
          <w:highlight w:val="none"/>
        </w:rPr>
        <w:t>附件</w:t>
      </w:r>
      <w:r>
        <w:rPr>
          <w:rFonts w:hint="eastAsia" w:ascii="宋体" w:hAnsi="宋体" w:eastAsia="宋体" w:cs="宋体"/>
          <w:b w:val="0"/>
          <w:color w:val="auto"/>
          <w:sz w:val="24"/>
          <w:szCs w:val="24"/>
          <w:highlight w:val="none"/>
          <w:lang w:val="en-US" w:eastAsia="zh-CN"/>
        </w:rPr>
        <w:t>四</w:t>
      </w:r>
      <w:r>
        <w:rPr>
          <w:rFonts w:hint="eastAsia" w:ascii="宋体" w:hAnsi="宋体" w:eastAsia="宋体" w:cs="宋体"/>
          <w:b w:val="0"/>
          <w:color w:val="auto"/>
          <w:sz w:val="24"/>
          <w:szCs w:val="24"/>
          <w:highlight w:val="none"/>
        </w:rPr>
        <w:t>：法定代表人授权委托书</w:t>
      </w:r>
      <w:bookmarkEnd w:id="82"/>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法定代表人授权委托书</w:t>
      </w:r>
    </w:p>
    <w:p>
      <w:pPr>
        <w:snapToGrid w:val="0"/>
        <w:spacing w:before="120" w:beforeLines="50" w:after="50" w:line="276" w:lineRule="auto"/>
        <w:rPr>
          <w:rFonts w:hint="eastAsia" w:ascii="宋体" w:hAnsi="宋体" w:eastAsia="宋体" w:cs="宋体"/>
          <w:b/>
          <w:bCs/>
          <w:color w:val="auto"/>
          <w:sz w:val="24"/>
          <w:highlight w:val="none"/>
        </w:rPr>
      </w:pPr>
      <w:r>
        <w:rPr>
          <w:rFonts w:hint="eastAsia" w:ascii="宋体" w:hAnsi="宋体" w:eastAsia="宋体" w:cs="宋体"/>
          <w:bCs/>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（招标采购单位名称）：</w:t>
      </w:r>
    </w:p>
    <w:p>
      <w:pPr>
        <w:snapToGrid w:val="0"/>
        <w:spacing w:before="120" w:beforeLines="50" w:after="50" w:line="276" w:lineRule="auto"/>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我</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（投标人名称）的法定代表人，现授权委托本单位在职职工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（姓名）以我方的名义参加</w:t>
      </w:r>
      <w:r>
        <w:rPr>
          <w:rFonts w:hint="eastAsia" w:ascii="宋体" w:hAnsi="宋体" w:cs="宋体"/>
          <w:color w:val="auto"/>
          <w:sz w:val="24"/>
          <w:highlight w:val="none"/>
          <w:u w:val="single"/>
          <w:lang w:eastAsia="zh-CN"/>
        </w:rPr>
        <w:t>东阳市人民医院中心监护系统、监护仪、麻醉监护仪、呼吸机设备采购项目</w:t>
      </w:r>
      <w:r>
        <w:rPr>
          <w:rFonts w:hint="eastAsia" w:ascii="宋体" w:hAnsi="宋体" w:eastAsia="宋体" w:cs="宋体"/>
          <w:color w:val="auto"/>
          <w:sz w:val="24"/>
          <w:highlight w:val="none"/>
        </w:rPr>
        <w:t>的投标活动，并代表我方全权办理针对上述项目的投标、开标、评标、签约等具体事务和签署相关文件。</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我方对委托代理人的签名事项负全部责任。</w:t>
      </w:r>
    </w:p>
    <w:p>
      <w:pPr>
        <w:snapToGrid w:val="0"/>
        <w:spacing w:before="120" w:beforeLines="50" w:after="50" w:line="276"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在撤销授权的书面通知以前，本授权书一直有效。</w:t>
      </w:r>
      <w:r>
        <w:rPr>
          <w:rFonts w:hint="eastAsia" w:ascii="宋体" w:hAnsi="宋体" w:eastAsia="宋体" w:cs="宋体"/>
          <w:color w:val="auto"/>
          <w:sz w:val="24"/>
          <w:highlight w:val="none"/>
        </w:rPr>
        <w:t>委托代理人在授权书有效期内签署的所有文件不因授权的撤销而失效。</w:t>
      </w:r>
    </w:p>
    <w:p>
      <w:pPr>
        <w:snapToGrid w:val="0"/>
        <w:spacing w:before="120" w:beforeLines="50" w:after="50" w:line="276"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委托代理人无转委托权，特此委托。</w:t>
      </w:r>
    </w:p>
    <w:p>
      <w:pPr>
        <w:snapToGrid w:val="0"/>
        <w:spacing w:before="120" w:beforeLines="50" w:after="50" w:line="276"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委托代理人签名：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法定代表人签名：</w:t>
      </w:r>
      <w:r>
        <w:rPr>
          <w:rFonts w:hint="eastAsia" w:ascii="宋体" w:hAnsi="宋体" w:eastAsia="宋体" w:cs="宋体"/>
          <w:color w:val="auto"/>
          <w:sz w:val="24"/>
          <w:highlight w:val="none"/>
          <w:u w:val="single"/>
        </w:rPr>
        <w:t xml:space="preserve">          </w:t>
      </w:r>
    </w:p>
    <w:p>
      <w:pPr>
        <w:snapToGrid w:val="0"/>
        <w:spacing w:before="120" w:beforeLines="50" w:after="50" w:line="276"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职务：</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职务：</w:t>
      </w:r>
      <w:r>
        <w:rPr>
          <w:rFonts w:hint="eastAsia" w:ascii="宋体" w:hAnsi="宋体" w:eastAsia="宋体" w:cs="宋体"/>
          <w:color w:val="auto"/>
          <w:sz w:val="24"/>
          <w:highlight w:val="none"/>
          <w:u w:val="single"/>
        </w:rPr>
        <w:t xml:space="preserve">          </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委托代理人身份证复印件（正反双面）：</w:t>
      </w:r>
    </w:p>
    <w:tbl>
      <w:tblPr>
        <w:tblStyle w:val="36"/>
        <w:tblpPr w:leftFromText="180" w:rightFromText="180" w:vertAnchor="text" w:tblpX="109" w:tblpY="151"/>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3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6232" w:hRule="atLeast"/>
        </w:trPr>
        <w:tc>
          <w:tcPr>
            <w:tcW w:w="5328" w:type="dxa"/>
          </w:tcPr>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粘</w:t>
            </w:r>
          </w:p>
          <w:p>
            <w:pPr>
              <w:snapToGrid w:val="0"/>
              <w:spacing w:before="120" w:beforeLines="50" w:after="50" w:line="276" w:lineRule="auto"/>
              <w:jc w:val="center"/>
              <w:rPr>
                <w:rFonts w:hint="eastAsia" w:ascii="宋体" w:hAnsi="宋体" w:eastAsia="宋体" w:cs="宋体"/>
                <w:color w:val="auto"/>
                <w:sz w:val="24"/>
                <w:highlight w:val="none"/>
              </w:rPr>
            </w:pPr>
          </w:p>
          <w:p>
            <w:pPr>
              <w:snapToGrid w:val="0"/>
              <w:spacing w:before="120" w:beforeLines="50" w:after="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贴</w:t>
            </w:r>
          </w:p>
          <w:p>
            <w:pPr>
              <w:snapToGrid w:val="0"/>
              <w:spacing w:before="120" w:beforeLines="50" w:after="50" w:line="276" w:lineRule="auto"/>
              <w:jc w:val="center"/>
              <w:rPr>
                <w:rFonts w:hint="eastAsia" w:ascii="宋体" w:hAnsi="宋体" w:eastAsia="宋体" w:cs="宋体"/>
                <w:color w:val="auto"/>
                <w:sz w:val="24"/>
                <w:highlight w:val="none"/>
              </w:rPr>
            </w:pPr>
          </w:p>
          <w:p>
            <w:pPr>
              <w:snapToGrid w:val="0"/>
              <w:spacing w:before="120" w:beforeLines="50" w:after="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处</w:t>
            </w:r>
          </w:p>
        </w:tc>
      </w:tr>
    </w:tbl>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投标人公章：</w:t>
      </w:r>
    </w:p>
    <w:p>
      <w:pPr>
        <w:snapToGrid w:val="0"/>
        <w:spacing w:before="120" w:beforeLines="50" w:after="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rPr>
          <w:rFonts w:hint="eastAsia" w:ascii="宋体" w:hAnsi="宋体" w:eastAsia="宋体" w:cs="宋体"/>
          <w:color w:val="auto"/>
          <w:sz w:val="24"/>
          <w:highlight w:val="none"/>
        </w:rPr>
      </w:pPr>
      <w:r>
        <w:rPr>
          <w:rFonts w:hint="eastAsia" w:ascii="宋体" w:hAnsi="宋体" w:eastAsia="宋体" w:cs="宋体"/>
          <w:b/>
          <w:color w:val="auto"/>
          <w:sz w:val="24"/>
          <w:highlight w:val="none"/>
        </w:rPr>
        <w:t>*</w:t>
      </w:r>
      <w:r>
        <w:rPr>
          <w:rFonts w:hint="eastAsia" w:ascii="宋体" w:hAnsi="宋体" w:eastAsia="宋体" w:cs="宋体"/>
          <w:color w:val="auto"/>
          <w:sz w:val="24"/>
          <w:highlight w:val="none"/>
        </w:rPr>
        <w:t>注；此表格格式不得修改</w:t>
      </w:r>
    </w:p>
    <w:p>
      <w:pPr>
        <w:pStyle w:val="11"/>
        <w:ind w:left="0" w:leftChars="0" w:firstLine="0" w:firstLineChars="0"/>
        <w:rPr>
          <w:rFonts w:hint="eastAsia"/>
          <w:color w:val="auto"/>
          <w:highlight w:val="none"/>
        </w:rPr>
      </w:pPr>
    </w:p>
    <w:p>
      <w:pPr>
        <w:pStyle w:val="2"/>
        <w:keepNext w:val="0"/>
        <w:keepLines w:val="0"/>
        <w:pageBreakBefore/>
        <w:spacing w:line="276" w:lineRule="auto"/>
        <w:rPr>
          <w:rFonts w:hint="eastAsia" w:ascii="宋体" w:hAnsi="宋体" w:eastAsia="宋体" w:cs="宋体"/>
          <w:b w:val="0"/>
          <w:color w:val="auto"/>
          <w:sz w:val="24"/>
          <w:szCs w:val="24"/>
          <w:highlight w:val="none"/>
          <w:lang w:val="en-US" w:eastAsia="zh-CN"/>
        </w:rPr>
      </w:pPr>
      <w:bookmarkStart w:id="83" w:name="_Toc10019"/>
      <w:r>
        <w:rPr>
          <w:rFonts w:hint="eastAsia" w:ascii="宋体" w:hAnsi="宋体" w:eastAsia="宋体" w:cs="宋体"/>
          <w:b w:val="0"/>
          <w:color w:val="auto"/>
          <w:sz w:val="24"/>
          <w:szCs w:val="24"/>
          <w:highlight w:val="none"/>
          <w:lang w:eastAsia="zh-CN"/>
        </w:rPr>
        <w:t>附件</w:t>
      </w:r>
      <w:r>
        <w:rPr>
          <w:rFonts w:hint="eastAsia" w:ascii="宋体" w:hAnsi="宋体" w:eastAsia="宋体" w:cs="宋体"/>
          <w:b w:val="0"/>
          <w:color w:val="auto"/>
          <w:sz w:val="24"/>
          <w:szCs w:val="24"/>
          <w:highlight w:val="none"/>
          <w:lang w:val="en-US" w:eastAsia="zh-CN"/>
        </w:rPr>
        <w:t>五</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lang w:val="en-US" w:eastAsia="zh-CN"/>
        </w:rPr>
        <w:t>联合体协议书（联合体投标时提供）</w:t>
      </w:r>
      <w:bookmarkEnd w:id="83"/>
    </w:p>
    <w:p>
      <w:pPr>
        <w:widowControl/>
        <w:spacing w:line="360" w:lineRule="auto"/>
        <w:ind w:firstLine="643" w:firstLineChars="200"/>
        <w:jc w:val="center"/>
        <w:rPr>
          <w:rFonts w:hint="eastAsia" w:ascii="宋体" w:hAnsi="宋体" w:cs="宋体"/>
          <w:b/>
          <w:bCs/>
          <w:color w:val="auto"/>
          <w:kern w:val="2"/>
          <w:sz w:val="32"/>
          <w:szCs w:val="32"/>
          <w:highlight w:val="none"/>
          <w:lang w:val="en-US" w:eastAsia="zh-CN" w:bidi="ar-SA"/>
        </w:rPr>
      </w:pPr>
      <w:r>
        <w:rPr>
          <w:rFonts w:hint="eastAsia" w:ascii="宋体" w:hAnsi="宋体" w:cs="宋体"/>
          <w:b/>
          <w:bCs/>
          <w:color w:val="auto"/>
          <w:kern w:val="2"/>
          <w:sz w:val="32"/>
          <w:szCs w:val="32"/>
          <w:highlight w:val="none"/>
          <w:lang w:val="en-US" w:eastAsia="zh-CN" w:bidi="ar-SA"/>
        </w:rPr>
        <w:t>联合体协议书</w:t>
      </w:r>
    </w:p>
    <w:p>
      <w:pPr>
        <w:keepNext w:val="0"/>
        <w:keepLines w:val="0"/>
        <w:pageBreakBefore w:val="0"/>
        <w:widowControl/>
        <w:kinsoku/>
        <w:wordWrap/>
        <w:overflowPunct/>
        <w:topLinePunct w:val="0"/>
        <w:autoSpaceDE/>
        <w:autoSpaceDN/>
        <w:bidi w:val="0"/>
        <w:adjustRightInd/>
        <w:spacing w:line="420" w:lineRule="exact"/>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（以联合体形式投标的，提供联合协议；本项目不接受联合体投标或者投标人不以联合体形式投标的，则不需要提供）</w:t>
      </w:r>
    </w:p>
    <w:p>
      <w:pPr>
        <w:keepNext w:val="0"/>
        <w:keepLines w:val="0"/>
        <w:pageBreakBefore w:val="0"/>
        <w:kinsoku/>
        <w:wordWrap/>
        <w:overflowPunct/>
        <w:topLinePunct w:val="0"/>
        <w:autoSpaceDE/>
        <w:autoSpaceDN/>
        <w:bidi w:val="0"/>
        <w:adjustRightInd/>
        <w:snapToGrid w:val="0"/>
        <w:spacing w:line="420" w:lineRule="exact"/>
        <w:ind w:firstLine="576"/>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u w:val="single"/>
        </w:rPr>
        <w:t>（联合体所有成员名称）</w:t>
      </w:r>
      <w:r>
        <w:rPr>
          <w:rFonts w:hint="eastAsia" w:ascii="宋体" w:hAnsi="宋体" w:eastAsia="宋体" w:cs="宋体"/>
          <w:kern w:val="0"/>
          <w:sz w:val="24"/>
          <w:szCs w:val="24"/>
        </w:rPr>
        <w:t>自愿</w:t>
      </w:r>
      <w:r>
        <w:rPr>
          <w:rFonts w:hint="eastAsia" w:ascii="宋体" w:hAnsi="宋体" w:eastAsia="宋体" w:cs="宋体"/>
          <w:kern w:val="0"/>
          <w:sz w:val="24"/>
          <w:szCs w:val="24"/>
          <w:lang w:val="zh-CN"/>
        </w:rPr>
        <w:t>组成一个联合体，以一个投标人的身份</w:t>
      </w:r>
      <w:r>
        <w:rPr>
          <w:rFonts w:hint="eastAsia" w:ascii="宋体" w:hAnsi="宋体" w:eastAsia="宋体" w:cs="宋体"/>
          <w:kern w:val="0"/>
          <w:sz w:val="24"/>
          <w:szCs w:val="24"/>
        </w:rPr>
        <w:t>参加</w:t>
      </w:r>
      <w:r>
        <w:rPr>
          <w:rFonts w:hint="eastAsia" w:ascii="宋体" w:hAnsi="宋体" w:eastAsia="宋体" w:cs="宋体"/>
          <w:sz w:val="24"/>
          <w:szCs w:val="24"/>
        </w:rPr>
        <w:t>（项目名称）【招标编号：（采购编号）】</w:t>
      </w:r>
      <w:r>
        <w:rPr>
          <w:rFonts w:hint="eastAsia" w:ascii="宋体" w:hAnsi="宋体" w:eastAsia="宋体" w:cs="宋体"/>
          <w:kern w:val="0"/>
          <w:sz w:val="24"/>
          <w:szCs w:val="24"/>
          <w:lang w:val="zh-CN"/>
        </w:rPr>
        <w:t xml:space="preserve">投标。 </w:t>
      </w:r>
    </w:p>
    <w:p>
      <w:pPr>
        <w:keepNext w:val="0"/>
        <w:keepLines w:val="0"/>
        <w:pageBreakBefore w:val="0"/>
        <w:kinsoku/>
        <w:wordWrap/>
        <w:overflowPunct/>
        <w:topLinePunct w:val="0"/>
        <w:autoSpaceDE/>
        <w:autoSpaceDN/>
        <w:bidi w:val="0"/>
        <w:adjustRightInd/>
        <w:snapToGrid w:val="0"/>
        <w:spacing w:line="420" w:lineRule="exact"/>
        <w:ind w:firstLine="576"/>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一、各方一致决定，</w:t>
      </w:r>
      <w:r>
        <w:rPr>
          <w:rFonts w:hint="eastAsia" w:ascii="宋体" w:hAnsi="宋体" w:eastAsia="宋体" w:cs="宋体"/>
          <w:kern w:val="0"/>
          <w:sz w:val="24"/>
          <w:szCs w:val="24"/>
          <w:u w:val="single"/>
        </w:rPr>
        <w:t>（某联合体成员名称）</w:t>
      </w:r>
      <w:r>
        <w:rPr>
          <w:rFonts w:hint="eastAsia" w:ascii="宋体" w:hAnsi="宋体" w:eastAsia="宋体" w:cs="宋体"/>
          <w:kern w:val="0"/>
          <w:sz w:val="24"/>
          <w:szCs w:val="24"/>
        </w:rPr>
        <w:t>为联合体</w:t>
      </w:r>
      <w:r>
        <w:rPr>
          <w:rFonts w:hint="eastAsia" w:ascii="宋体" w:hAnsi="宋体" w:eastAsia="宋体" w:cs="宋体"/>
          <w:kern w:val="0"/>
          <w:sz w:val="24"/>
          <w:szCs w:val="24"/>
          <w:lang w:val="zh-CN"/>
        </w:rPr>
        <w:t>牵头人</w:t>
      </w:r>
      <w:r>
        <w:rPr>
          <w:rFonts w:hint="eastAsia" w:ascii="宋体" w:hAnsi="宋体" w:eastAsia="宋体" w:cs="宋体"/>
          <w:sz w:val="24"/>
          <w:szCs w:val="24"/>
        </w:rPr>
        <w:t>，代表所有联合体成员负责投标和合同实施阶段的主办、协调工作</w:t>
      </w:r>
      <w:r>
        <w:rPr>
          <w:rFonts w:hint="eastAsia" w:ascii="宋体" w:hAnsi="宋体" w:eastAsia="宋体" w:cs="宋体"/>
          <w:kern w:val="0"/>
          <w:sz w:val="24"/>
          <w:szCs w:val="24"/>
          <w:lang w:val="zh-CN"/>
        </w:rPr>
        <w:t>。</w:t>
      </w:r>
    </w:p>
    <w:p>
      <w:pPr>
        <w:keepNext w:val="0"/>
        <w:keepLines w:val="0"/>
        <w:pageBreakBefore w:val="0"/>
        <w:kinsoku/>
        <w:wordWrap/>
        <w:overflowPunct/>
        <w:topLinePunct w:val="0"/>
        <w:autoSpaceDE/>
        <w:autoSpaceDN/>
        <w:bidi w:val="0"/>
        <w:adjustRightInd/>
        <w:snapToGrid w:val="0"/>
        <w:spacing w:line="420" w:lineRule="exact"/>
        <w:ind w:firstLine="576"/>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二、</w:t>
      </w:r>
      <w:r>
        <w:rPr>
          <w:rFonts w:hint="eastAsia" w:ascii="宋体" w:hAnsi="宋体" w:eastAsia="宋体" w:cs="宋体"/>
          <w:sz w:val="24"/>
          <w:szCs w:val="24"/>
        </w:rPr>
        <w:t>所有联合体成员各方签署授权书，授权书载明的</w:t>
      </w:r>
      <w:r>
        <w:rPr>
          <w:rFonts w:hint="eastAsia" w:ascii="宋体" w:hAnsi="宋体" w:eastAsia="宋体" w:cs="宋体"/>
          <w:kern w:val="0"/>
          <w:sz w:val="24"/>
          <w:szCs w:val="24"/>
          <w:lang w:val="zh-CN"/>
        </w:rPr>
        <w:t>授权代表根据招标文件规定及投标内容而对采购人、采购机构所作的任何合法承诺，包括书面澄清及相应等均对联合投标各方产生约束力。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snapToGrid w:val="0"/>
        <w:spacing w:line="420" w:lineRule="exact"/>
        <w:ind w:firstLine="576"/>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三、本次联合投标中，分工如下：</w:t>
      </w:r>
      <w:r>
        <w:rPr>
          <w:rFonts w:hint="eastAsia" w:ascii="宋体" w:hAnsi="宋体" w:eastAsia="宋体" w:cs="宋体"/>
          <w:kern w:val="0"/>
          <w:sz w:val="24"/>
          <w:szCs w:val="24"/>
          <w:u w:val="single"/>
        </w:rPr>
        <w:t>（联合体其中一方成员名称）</w:t>
      </w:r>
      <w:r>
        <w:rPr>
          <w:rFonts w:hint="eastAsia" w:ascii="宋体" w:hAnsi="宋体" w:eastAsia="宋体" w:cs="宋体"/>
          <w:kern w:val="0"/>
          <w:sz w:val="24"/>
          <w:szCs w:val="24"/>
          <w:lang w:val="zh-CN"/>
        </w:rPr>
        <w:t>承担的工作和义务为：</w:t>
      </w:r>
      <w:r>
        <w:rPr>
          <w:rFonts w:hint="eastAsia" w:ascii="宋体" w:hAnsi="宋体" w:eastAsia="宋体" w:cs="宋体"/>
          <w:sz w:val="24"/>
          <w:szCs w:val="24"/>
          <w:u w:val="single"/>
        </w:rPr>
        <w:t xml:space="preserve">             </w:t>
      </w:r>
      <w:r>
        <w:rPr>
          <w:rFonts w:hint="eastAsia" w:ascii="宋体" w:hAnsi="宋体" w:eastAsia="宋体" w:cs="宋体"/>
          <w:kern w:val="0"/>
          <w:sz w:val="24"/>
          <w:szCs w:val="24"/>
          <w:lang w:val="zh-CN"/>
        </w:rPr>
        <w:t>；……。</w:t>
      </w:r>
    </w:p>
    <w:p>
      <w:pPr>
        <w:keepNext w:val="0"/>
        <w:keepLines w:val="0"/>
        <w:pageBreakBefore w:val="0"/>
        <w:kinsoku/>
        <w:wordWrap/>
        <w:overflowPunct/>
        <w:topLinePunct w:val="0"/>
        <w:autoSpaceDE/>
        <w:autoSpaceDN/>
        <w:bidi w:val="0"/>
        <w:adjustRightInd/>
        <w:snapToGrid w:val="0"/>
        <w:spacing w:line="420" w:lineRule="exact"/>
        <w:ind w:firstLine="576"/>
        <w:textAlignment w:val="auto"/>
        <w:rPr>
          <w:rFonts w:hint="eastAsia" w:ascii="宋体" w:hAnsi="宋体" w:eastAsia="宋体" w:cs="宋体"/>
          <w:b/>
          <w:color w:val="auto"/>
          <w:kern w:val="0"/>
          <w:sz w:val="24"/>
          <w:szCs w:val="24"/>
          <w:highlight w:val="none"/>
          <w:lang w:val="zh-CN"/>
        </w:rPr>
      </w:pPr>
      <w:r>
        <w:rPr>
          <w:rFonts w:hint="eastAsia" w:ascii="宋体" w:hAnsi="宋体" w:eastAsia="宋体" w:cs="宋体"/>
          <w:kern w:val="0"/>
          <w:sz w:val="24"/>
          <w:szCs w:val="24"/>
          <w:lang w:val="zh-CN"/>
        </w:rPr>
        <w:t>四、</w:t>
      </w:r>
      <w:r>
        <w:rPr>
          <w:rFonts w:hint="eastAsia" w:ascii="宋体" w:hAnsi="宋体" w:eastAsia="宋体" w:cs="宋体"/>
          <w:kern w:val="0"/>
          <w:sz w:val="24"/>
          <w:szCs w:val="24"/>
          <w:u w:val="single"/>
        </w:rPr>
        <w:t>（联合体其中一方成员名称）</w:t>
      </w:r>
      <w:r>
        <w:rPr>
          <w:rFonts w:hint="eastAsia" w:ascii="宋体" w:hAnsi="宋体" w:eastAsia="宋体" w:cs="宋体"/>
          <w:kern w:val="0"/>
          <w:sz w:val="24"/>
          <w:szCs w:val="24"/>
        </w:rPr>
        <w:t>提供的全部货物由小微企业制造，其合同份额占到合同总金额</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%以上；</w:t>
      </w:r>
      <w:r>
        <w:rPr>
          <w:rFonts w:hint="eastAsia" w:ascii="宋体" w:hAnsi="宋体" w:eastAsia="宋体" w:cs="宋体"/>
          <w:kern w:val="0"/>
          <w:sz w:val="24"/>
          <w:szCs w:val="24"/>
          <w:lang w:val="zh-CN"/>
        </w:rPr>
        <w:t>……。</w:t>
      </w:r>
      <w:r>
        <w:rPr>
          <w:rFonts w:hint="eastAsia" w:ascii="宋体" w:hAnsi="宋体" w:eastAsia="宋体" w:cs="宋体"/>
          <w:b/>
          <w:color w:val="auto"/>
          <w:kern w:val="0"/>
          <w:sz w:val="24"/>
          <w:szCs w:val="24"/>
          <w:highlight w:val="none"/>
          <w:lang w:val="zh-CN"/>
        </w:rPr>
        <w:t>（联合体其中一方提供的货物全部由小微企业制造，且其合同份额占到合同总金额30%以上，对联合体报价给予</w:t>
      </w:r>
      <w:r>
        <w:rPr>
          <w:rFonts w:hint="eastAsia" w:ascii="宋体" w:hAnsi="宋体" w:cs="宋体"/>
          <w:b/>
          <w:color w:val="auto"/>
          <w:kern w:val="0"/>
          <w:sz w:val="24"/>
          <w:szCs w:val="24"/>
          <w:highlight w:val="none"/>
          <w:lang w:val="en-US" w:eastAsia="zh-CN"/>
        </w:rPr>
        <w:t>6</w:t>
      </w:r>
      <w:r>
        <w:rPr>
          <w:rFonts w:hint="eastAsia" w:ascii="宋体" w:hAnsi="宋体" w:eastAsia="宋体" w:cs="宋体"/>
          <w:b/>
          <w:color w:val="auto"/>
          <w:kern w:val="0"/>
          <w:sz w:val="24"/>
          <w:szCs w:val="24"/>
          <w:highlight w:val="none"/>
          <w:lang w:val="zh-CN"/>
        </w:rPr>
        <w:t>%的扣除）</w:t>
      </w:r>
    </w:p>
    <w:p>
      <w:pPr>
        <w:keepNext w:val="0"/>
        <w:keepLines w:val="0"/>
        <w:pageBreakBefore w:val="0"/>
        <w:kinsoku/>
        <w:wordWrap/>
        <w:overflowPunct/>
        <w:topLinePunct w:val="0"/>
        <w:autoSpaceDE/>
        <w:autoSpaceDN/>
        <w:bidi w:val="0"/>
        <w:adjustRightInd/>
        <w:snapToGrid w:val="0"/>
        <w:spacing w:line="420" w:lineRule="exact"/>
        <w:ind w:firstLine="576"/>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五、如果中标，</w:t>
      </w:r>
      <w:r>
        <w:rPr>
          <w:rFonts w:hint="eastAsia" w:ascii="宋体" w:hAnsi="宋体" w:eastAsia="宋体" w:cs="宋体"/>
          <w:sz w:val="24"/>
          <w:szCs w:val="24"/>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snapToGrid w:val="0"/>
        <w:spacing w:line="420" w:lineRule="exact"/>
        <w:ind w:firstLine="576"/>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六、有关本次联合投标的其他事宜：</w:t>
      </w:r>
    </w:p>
    <w:p>
      <w:pPr>
        <w:keepNext w:val="0"/>
        <w:keepLines w:val="0"/>
        <w:pageBreakBefore w:val="0"/>
        <w:kinsoku/>
        <w:wordWrap/>
        <w:overflowPunct/>
        <w:topLinePunct w:val="0"/>
        <w:autoSpaceDE/>
        <w:autoSpaceDN/>
        <w:bidi w:val="0"/>
        <w:adjustRightInd/>
        <w:snapToGrid w:val="0"/>
        <w:spacing w:line="420" w:lineRule="exact"/>
        <w:ind w:firstLine="576"/>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snapToGrid w:val="0"/>
        <w:spacing w:line="420" w:lineRule="exact"/>
        <w:ind w:firstLine="576"/>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snapToGrid w:val="0"/>
        <w:spacing w:line="420" w:lineRule="exact"/>
        <w:ind w:firstLine="576"/>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3、本协议提交采购人、采购机构后，联合体各方不得以任何形式对上述内容进行修改或撤销。</w:t>
      </w:r>
    </w:p>
    <w:p>
      <w:pPr>
        <w:keepNext w:val="0"/>
        <w:keepLines w:val="0"/>
        <w:pageBreakBefore w:val="0"/>
        <w:kinsoku/>
        <w:wordWrap/>
        <w:overflowPunct/>
        <w:topLinePunct w:val="0"/>
        <w:autoSpaceDE/>
        <w:autoSpaceDN/>
        <w:bidi w:val="0"/>
        <w:adjustRightInd/>
        <w:snapToGrid w:val="0"/>
        <w:spacing w:line="420" w:lineRule="exact"/>
        <w:ind w:firstLine="5040" w:firstLineChars="21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联合体成员名称(电子签名/公章)：</w:t>
      </w:r>
    </w:p>
    <w:p>
      <w:pPr>
        <w:keepNext w:val="0"/>
        <w:keepLines w:val="0"/>
        <w:pageBreakBefore w:val="0"/>
        <w:kinsoku/>
        <w:wordWrap/>
        <w:overflowPunct/>
        <w:topLinePunct w:val="0"/>
        <w:autoSpaceDE/>
        <w:autoSpaceDN/>
        <w:bidi w:val="0"/>
        <w:adjustRightInd/>
        <w:snapToGrid w:val="0"/>
        <w:spacing w:line="420" w:lineRule="exact"/>
        <w:ind w:firstLine="5760" w:firstLineChars="2400"/>
        <w:textAlignment w:val="auto"/>
        <w:rPr>
          <w:rFonts w:hint="eastAsia" w:ascii="宋体" w:hAnsi="宋体" w:eastAsia="宋体" w:cs="宋体"/>
          <w:sz w:val="24"/>
          <w:szCs w:val="24"/>
        </w:rPr>
      </w:pPr>
      <w:r>
        <w:rPr>
          <w:rFonts w:hint="eastAsia" w:ascii="宋体" w:hAnsi="宋体" w:eastAsia="宋体" w:cs="宋体"/>
          <w:kern w:val="0"/>
          <w:sz w:val="24"/>
          <w:szCs w:val="24"/>
          <w:lang w:val="zh-CN"/>
        </w:rPr>
        <w:t>……</w:t>
      </w:r>
    </w:p>
    <w:p>
      <w:pPr>
        <w:keepNext w:val="0"/>
        <w:keepLines w:val="0"/>
        <w:pageBreakBefore w:val="0"/>
        <w:kinsoku/>
        <w:wordWrap/>
        <w:overflowPunct/>
        <w:topLinePunct w:val="0"/>
        <w:autoSpaceDE/>
        <w:autoSpaceDN/>
        <w:bidi w:val="0"/>
        <w:adjustRightInd/>
        <w:snapToGrid w:val="0"/>
        <w:spacing w:line="420" w:lineRule="exac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                                               日期：  年  月   日</w:t>
      </w:r>
    </w:p>
    <w:p>
      <w:pPr>
        <w:keepNext w:val="0"/>
        <w:keepLines w:val="0"/>
        <w:pageBreakBefore w:val="0"/>
        <w:kinsoku/>
        <w:wordWrap/>
        <w:overflowPunct/>
        <w:topLinePunct w:val="0"/>
        <w:autoSpaceDE/>
        <w:autoSpaceDN/>
        <w:bidi w:val="0"/>
        <w:adjustRightInd/>
        <w:snapToGrid w:val="0"/>
        <w:spacing w:line="420" w:lineRule="exact"/>
        <w:ind w:right="480"/>
        <w:textAlignment w:val="auto"/>
        <w:rPr>
          <w:rFonts w:hint="eastAsia" w:ascii="宋体" w:hAnsi="宋体" w:eastAsia="宋体" w:cs="宋体"/>
          <w:b/>
          <w:kern w:val="0"/>
          <w:sz w:val="24"/>
          <w:szCs w:val="24"/>
          <w:lang w:val="zh-CN"/>
        </w:rPr>
        <w:sectPr>
          <w:headerReference r:id="rId4" w:type="first"/>
          <w:footerReference r:id="rId6" w:type="first"/>
          <w:headerReference r:id="rId3" w:type="default"/>
          <w:footerReference r:id="rId5" w:type="default"/>
          <w:pgSz w:w="11906" w:h="16838"/>
          <w:pgMar w:top="1276" w:right="1418" w:bottom="1247" w:left="1418" w:header="851" w:footer="992" w:gutter="0"/>
          <w:pgNumType w:fmt="decimal"/>
          <w:cols w:space="720" w:num="1"/>
          <w:titlePg/>
          <w:docGrid w:linePitch="312" w:charSpace="0"/>
        </w:sectPr>
      </w:pPr>
    </w:p>
    <w:p>
      <w:pPr>
        <w:pStyle w:val="2"/>
        <w:keepNext w:val="0"/>
        <w:keepLines w:val="0"/>
        <w:pageBreakBefore/>
        <w:spacing w:line="276" w:lineRule="auto"/>
        <w:rPr>
          <w:rFonts w:hint="eastAsia" w:ascii="宋体" w:hAnsi="宋体" w:eastAsia="宋体" w:cs="宋体"/>
          <w:b w:val="0"/>
          <w:color w:val="auto"/>
          <w:sz w:val="24"/>
          <w:szCs w:val="24"/>
          <w:highlight w:val="none"/>
          <w:lang w:eastAsia="zh-CN"/>
        </w:rPr>
      </w:pPr>
      <w:bookmarkStart w:id="84" w:name="_Toc1536"/>
      <w:r>
        <w:rPr>
          <w:rFonts w:hint="eastAsia" w:ascii="宋体" w:hAnsi="宋体" w:eastAsia="宋体" w:cs="宋体"/>
          <w:b w:val="0"/>
          <w:color w:val="auto"/>
          <w:sz w:val="24"/>
          <w:szCs w:val="24"/>
          <w:highlight w:val="none"/>
          <w:lang w:eastAsia="zh-CN"/>
        </w:rPr>
        <w:t>附件</w:t>
      </w:r>
      <w:r>
        <w:rPr>
          <w:rFonts w:hint="eastAsia" w:ascii="宋体" w:hAnsi="宋体" w:eastAsia="宋体" w:cs="宋体"/>
          <w:b w:val="0"/>
          <w:color w:val="auto"/>
          <w:sz w:val="24"/>
          <w:szCs w:val="24"/>
          <w:highlight w:val="none"/>
          <w:lang w:val="en-US" w:eastAsia="zh-CN"/>
        </w:rPr>
        <w:t>六</w:t>
      </w:r>
      <w:r>
        <w:rPr>
          <w:rFonts w:hint="eastAsia" w:ascii="宋体" w:hAnsi="宋体" w:eastAsia="宋体" w:cs="宋体"/>
          <w:b w:val="0"/>
          <w:color w:val="auto"/>
          <w:sz w:val="24"/>
          <w:szCs w:val="24"/>
          <w:highlight w:val="none"/>
          <w:lang w:eastAsia="zh-CN"/>
        </w:rPr>
        <w:t>：分包意向协议（分包时提供）</w:t>
      </w:r>
      <w:bookmarkEnd w:id="84"/>
    </w:p>
    <w:p>
      <w:pPr>
        <w:snapToGrid w:val="0"/>
        <w:spacing w:beforeLines="50" w:after="50"/>
        <w:rPr>
          <w:rFonts w:ascii="Arial" w:hAnsi="Arial"/>
          <w:b/>
          <w:bCs/>
          <w:sz w:val="28"/>
          <w:szCs w:val="32"/>
        </w:rPr>
      </w:pPr>
    </w:p>
    <w:p>
      <w:pPr>
        <w:snapToGrid w:val="0"/>
        <w:spacing w:line="360" w:lineRule="auto"/>
        <w:ind w:firstLine="3855" w:firstLineChars="12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snapToGrid w:val="0"/>
        <w:spacing w:line="360" w:lineRule="auto"/>
        <w:ind w:firstLine="576"/>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napToGrid w:val="0"/>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r>
        <w:rPr>
          <w:rFonts w:hint="eastAsia" w:ascii="宋体" w:hAnsi="宋体" w:eastAsia="宋体" w:cs="宋体"/>
          <w:color w:val="auto"/>
          <w:highlight w:val="none"/>
          <w:u w:val="single"/>
        </w:rPr>
        <w:t xml:space="preserve">                                                                              </w:t>
      </w:r>
    </w:p>
    <w:p>
      <w:pPr>
        <w:snapToGrid w:val="0"/>
        <w:spacing w:line="360" w:lineRule="auto"/>
        <w:rPr>
          <w:rFonts w:hint="eastAsia" w:ascii="宋体" w:hAnsi="宋体" w:eastAsia="宋体" w:cs="宋体"/>
          <w:color w:val="auto"/>
          <w:kern w:val="0"/>
          <w:sz w:val="24"/>
          <w:highlight w:val="none"/>
          <w:lang w:val="zh-CN"/>
        </w:rPr>
      </w:pP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b w:val="0"/>
          <w:bCs/>
          <w:color w:val="auto"/>
          <w:kern w:val="0"/>
          <w:sz w:val="24"/>
          <w:highlight w:val="none"/>
          <w:lang w:val="zh-CN"/>
        </w:rPr>
        <w:t>（分包供应商名称）提供的货物全部由小微企业制造，其合同份额占到合同总金额</w:t>
      </w:r>
      <w:r>
        <w:rPr>
          <w:rFonts w:hint="eastAsia" w:ascii="宋体" w:hAnsi="宋体" w:eastAsia="宋体" w:cs="宋体"/>
          <w:b w:val="0"/>
          <w:bCs/>
          <w:color w:val="auto"/>
          <w:kern w:val="0"/>
          <w:sz w:val="24"/>
          <w:highlight w:val="none"/>
          <w:u w:val="single"/>
          <w:lang w:val="zh-CN"/>
        </w:rPr>
        <w:t xml:space="preserve">     </w:t>
      </w:r>
      <w:r>
        <w:rPr>
          <w:rFonts w:hint="eastAsia" w:ascii="宋体" w:hAnsi="宋体" w:eastAsia="宋体" w:cs="宋体"/>
          <w:b w:val="0"/>
          <w:bCs/>
          <w:color w:val="auto"/>
          <w:kern w:val="0"/>
          <w:sz w:val="24"/>
          <w:highlight w:val="none"/>
          <w:lang w:val="zh-CN"/>
        </w:rPr>
        <w:t>%以上。</w:t>
      </w:r>
      <w:r>
        <w:rPr>
          <w:rFonts w:hint="eastAsia" w:ascii="宋体" w:hAnsi="宋体" w:eastAsia="宋体" w:cs="宋体"/>
          <w:b/>
          <w:color w:val="auto"/>
          <w:kern w:val="0"/>
          <w:sz w:val="24"/>
          <w:highlight w:val="none"/>
          <w:lang w:val="zh-CN"/>
        </w:rPr>
        <w:t>（分包供应商提供的货物全部由小微企业制造，且其合同份额占到合同总金额 30%以上的，对大中型企业的报价给予</w:t>
      </w:r>
      <w:r>
        <w:rPr>
          <w:rFonts w:hint="eastAsia" w:ascii="宋体" w:hAnsi="宋体" w:cs="宋体"/>
          <w:b/>
          <w:color w:val="auto"/>
          <w:kern w:val="0"/>
          <w:sz w:val="24"/>
          <w:highlight w:val="none"/>
          <w:lang w:val="en-US" w:eastAsia="zh-CN"/>
        </w:rPr>
        <w:t>6</w:t>
      </w:r>
      <w:r>
        <w:rPr>
          <w:rFonts w:hint="eastAsia" w:ascii="宋体" w:hAnsi="宋体" w:eastAsia="宋体" w:cs="宋体"/>
          <w:b/>
          <w:color w:val="auto"/>
          <w:kern w:val="0"/>
          <w:sz w:val="24"/>
          <w:highlight w:val="none"/>
          <w:lang w:val="zh-CN"/>
        </w:rPr>
        <w:t>%的扣除）</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投标人名称(签名)：</w:t>
      </w:r>
    </w:p>
    <w:p>
      <w:pPr>
        <w:snapToGrid w:val="0"/>
        <w:spacing w:line="360" w:lineRule="auto"/>
        <w:ind w:firstLine="5640" w:firstLineChars="2350"/>
        <w:rPr>
          <w:color w:val="auto"/>
          <w:highlight w:val="none"/>
        </w:rPr>
      </w:pPr>
      <w:r>
        <w:rPr>
          <w:rFonts w:hint="eastAsia" w:ascii="宋体" w:hAnsi="宋体" w:eastAsia="宋体" w:cs="宋体"/>
          <w:color w:val="auto"/>
          <w:kern w:val="0"/>
          <w:sz w:val="24"/>
          <w:highlight w:val="none"/>
          <w:lang w:val="zh-CN"/>
        </w:rPr>
        <w:t>分包供应商名称：</w:t>
      </w:r>
    </w:p>
    <w:p>
      <w:pPr>
        <w:snapToGrid w:val="0"/>
        <w:spacing w:line="360" w:lineRule="auto"/>
        <w:rPr>
          <w:rFonts w:hint="eastAsia" w:ascii="宋体" w:hAnsi="宋体" w:eastAsia="宋体" w:cs="宋体"/>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r>
        <w:rPr>
          <w:rFonts w:hint="eastAsia" w:ascii="宋体" w:hAnsi="宋体" w:eastAsia="宋体" w:cs="宋体"/>
          <w:color w:val="auto"/>
          <w:kern w:val="0"/>
          <w:sz w:val="24"/>
          <w:highlight w:val="none"/>
          <w:lang w:val="zh-CN"/>
        </w:rPr>
        <w:t xml:space="preserve"> 日期：  年  月   日</w:t>
      </w:r>
    </w:p>
    <w:p>
      <w:pPr>
        <w:rPr>
          <w:rFonts w:hint="default" w:eastAsia="宋体"/>
          <w:color w:val="auto"/>
          <w:highlight w:val="none"/>
          <w:lang w:val="en-US" w:eastAsia="zh-CN"/>
        </w:rPr>
      </w:pPr>
    </w:p>
    <w:p>
      <w:pPr>
        <w:pageBreakBefore/>
        <w:spacing w:before="260" w:after="260" w:line="360" w:lineRule="auto"/>
        <w:outlineLvl w:val="1"/>
        <w:rPr>
          <w:rFonts w:hint="eastAsia" w:ascii="宋体" w:hAnsi="宋体"/>
          <w:bCs/>
          <w:color w:val="auto"/>
          <w:sz w:val="24"/>
          <w:szCs w:val="32"/>
          <w:highlight w:val="none"/>
        </w:rPr>
      </w:pPr>
      <w:bookmarkStart w:id="85" w:name="_Toc31693"/>
      <w:r>
        <w:rPr>
          <w:rFonts w:hint="eastAsia" w:ascii="宋体" w:hAnsi="宋体"/>
          <w:bCs/>
          <w:color w:val="auto"/>
          <w:sz w:val="24"/>
          <w:szCs w:val="32"/>
          <w:highlight w:val="none"/>
          <w:lang w:val="en-US" w:eastAsia="zh-CN"/>
        </w:rPr>
        <w:t>附件七：</w:t>
      </w:r>
      <w:r>
        <w:rPr>
          <w:rFonts w:hint="eastAsia" w:ascii="宋体" w:hAnsi="宋体"/>
          <w:bCs/>
          <w:color w:val="auto"/>
          <w:sz w:val="24"/>
          <w:szCs w:val="32"/>
          <w:highlight w:val="none"/>
        </w:rPr>
        <w:t>制造商（或国内总代理）授权书（进口产品提供）</w:t>
      </w:r>
      <w:bookmarkEnd w:id="85"/>
    </w:p>
    <w:p>
      <w:pPr>
        <w:snapToGrid w:val="0"/>
        <w:spacing w:before="50"/>
        <w:jc w:val="center"/>
        <w:rPr>
          <w:rFonts w:hint="eastAsia" w:ascii="宋体" w:hAnsi="宋体"/>
          <w:b/>
          <w:bCs/>
          <w:color w:val="auto"/>
          <w:sz w:val="28"/>
          <w:szCs w:val="21"/>
          <w:highlight w:val="none"/>
        </w:rPr>
      </w:pPr>
      <w:r>
        <w:rPr>
          <w:rFonts w:hint="eastAsia" w:ascii="宋体" w:hAnsi="宋体"/>
          <w:b/>
          <w:bCs/>
          <w:color w:val="auto"/>
          <w:sz w:val="28"/>
          <w:szCs w:val="28"/>
          <w:highlight w:val="none"/>
        </w:rPr>
        <w:t>制造商（或国内总代理）授权书（进口产品提供）</w:t>
      </w:r>
    </w:p>
    <w:p>
      <w:pPr>
        <w:snapToGrid w:val="0"/>
        <w:spacing w:before="50"/>
        <w:rPr>
          <w:rFonts w:hint="eastAsia" w:ascii="宋体" w:hAnsi="宋体"/>
          <w:color w:val="auto"/>
          <w:sz w:val="24"/>
          <w:szCs w:val="20"/>
          <w:highlight w:val="none"/>
        </w:rPr>
      </w:pPr>
      <w:r>
        <w:rPr>
          <w:rFonts w:hint="eastAsia" w:ascii="宋体" w:hAnsi="宋体"/>
          <w:color w:val="auto"/>
          <w:sz w:val="24"/>
          <w:highlight w:val="none"/>
        </w:rPr>
        <w:t>致：</w:t>
      </w:r>
      <w:r>
        <w:rPr>
          <w:rFonts w:hint="eastAsia" w:ascii="宋体" w:hAnsi="宋体"/>
          <w:color w:val="auto"/>
          <w:sz w:val="24"/>
          <w:highlight w:val="none"/>
          <w:u w:val="single"/>
        </w:rPr>
        <w:t xml:space="preserve">                        </w:t>
      </w:r>
      <w:r>
        <w:rPr>
          <w:rFonts w:hint="eastAsia" w:ascii="宋体" w:hAnsi="宋体"/>
          <w:color w:val="auto"/>
          <w:sz w:val="24"/>
          <w:highlight w:val="none"/>
        </w:rPr>
        <w:t>（招标采购单位名称）：</w:t>
      </w:r>
    </w:p>
    <w:p>
      <w:pPr>
        <w:snapToGrid w:val="0"/>
        <w:spacing w:before="50"/>
        <w:ind w:firstLine="480"/>
        <w:jc w:val="left"/>
        <w:rPr>
          <w:rFonts w:hint="eastAsia" w:ascii="宋体" w:hAnsi="宋体"/>
          <w:color w:val="auto"/>
          <w:sz w:val="24"/>
          <w:szCs w:val="20"/>
          <w:highlight w:val="none"/>
        </w:rPr>
      </w:pPr>
      <w:r>
        <w:rPr>
          <w:rFonts w:hint="eastAsia" w:ascii="宋体" w:hAnsi="宋体"/>
          <w:color w:val="auto"/>
          <w:sz w:val="24"/>
          <w:highlight w:val="none"/>
        </w:rPr>
        <w:t>我们</w:t>
      </w:r>
      <w:r>
        <w:rPr>
          <w:rFonts w:hint="eastAsia" w:ascii="宋体" w:hAnsi="宋体"/>
          <w:color w:val="auto"/>
          <w:sz w:val="24"/>
          <w:highlight w:val="none"/>
          <w:u w:val="single"/>
        </w:rPr>
        <w:t xml:space="preserve">                    </w:t>
      </w:r>
      <w:r>
        <w:rPr>
          <w:rFonts w:hint="eastAsia" w:ascii="宋体" w:hAnsi="宋体"/>
          <w:color w:val="auto"/>
          <w:sz w:val="24"/>
          <w:highlight w:val="none"/>
        </w:rPr>
        <w:t>（制造商或者国内总代理名称）是按</w:t>
      </w:r>
      <w:r>
        <w:rPr>
          <w:rFonts w:hint="eastAsia" w:ascii="宋体" w:hAnsi="宋体"/>
          <w:color w:val="auto"/>
          <w:sz w:val="24"/>
          <w:highlight w:val="none"/>
          <w:u w:val="single"/>
        </w:rPr>
        <w:t xml:space="preserve">              </w:t>
      </w:r>
      <w:r>
        <w:rPr>
          <w:rFonts w:hint="eastAsia" w:ascii="宋体" w:hAnsi="宋体"/>
          <w:color w:val="auto"/>
          <w:sz w:val="24"/>
          <w:highlight w:val="none"/>
        </w:rPr>
        <w:t>（国家名称）法律成立的一家公司，主要营业地址设在</w:t>
      </w:r>
      <w:r>
        <w:rPr>
          <w:rFonts w:hint="eastAsia" w:ascii="宋体" w:hAnsi="宋体"/>
          <w:color w:val="auto"/>
          <w:sz w:val="24"/>
          <w:highlight w:val="none"/>
          <w:u w:val="single"/>
        </w:rPr>
        <w:t xml:space="preserve">                      </w:t>
      </w:r>
      <w:r>
        <w:rPr>
          <w:rFonts w:hint="eastAsia" w:ascii="宋体" w:hAnsi="宋体"/>
          <w:color w:val="auto"/>
          <w:sz w:val="24"/>
          <w:highlight w:val="none"/>
        </w:rPr>
        <w:t>。兹指派按</w:t>
      </w:r>
      <w:r>
        <w:rPr>
          <w:rFonts w:hint="eastAsia" w:ascii="宋体" w:hAnsi="宋体"/>
          <w:color w:val="auto"/>
          <w:sz w:val="24"/>
          <w:highlight w:val="none"/>
          <w:u w:val="single"/>
        </w:rPr>
        <w:t xml:space="preserve">              </w:t>
      </w:r>
      <w:r>
        <w:rPr>
          <w:rFonts w:hint="eastAsia" w:ascii="宋体" w:hAnsi="宋体"/>
          <w:color w:val="auto"/>
          <w:sz w:val="24"/>
          <w:highlight w:val="none"/>
        </w:rPr>
        <w:t>（国家名称）法律成立的、主要营业地址在</w:t>
      </w:r>
      <w:r>
        <w:rPr>
          <w:rFonts w:hint="eastAsia" w:ascii="宋体" w:hAnsi="宋体"/>
          <w:color w:val="auto"/>
          <w:sz w:val="24"/>
          <w:highlight w:val="none"/>
          <w:u w:val="single"/>
        </w:rPr>
        <w:t xml:space="preserve">              </w:t>
      </w:r>
      <w:r>
        <w:rPr>
          <w:rFonts w:hint="eastAsia" w:ascii="宋体" w:hAnsi="宋体"/>
          <w:color w:val="auto"/>
          <w:sz w:val="24"/>
          <w:highlight w:val="none"/>
        </w:rPr>
        <w:t>的</w:t>
      </w:r>
      <w:r>
        <w:rPr>
          <w:rFonts w:hint="eastAsia" w:ascii="宋体" w:hAnsi="宋体"/>
          <w:color w:val="auto"/>
          <w:sz w:val="24"/>
          <w:highlight w:val="none"/>
          <w:u w:val="single"/>
        </w:rPr>
        <w:t xml:space="preserve">                 </w:t>
      </w:r>
      <w:r>
        <w:rPr>
          <w:rFonts w:hint="eastAsia" w:ascii="宋体" w:hAnsi="宋体"/>
          <w:color w:val="auto"/>
          <w:sz w:val="24"/>
          <w:highlight w:val="none"/>
        </w:rPr>
        <w:t>（投标人名称）作为我方真正的和合法的代理人进行下列有效活动：</w:t>
      </w:r>
    </w:p>
    <w:p>
      <w:pPr>
        <w:snapToGrid w:val="0"/>
        <w:spacing w:before="50"/>
        <w:ind w:firstLine="480"/>
        <w:jc w:val="left"/>
        <w:rPr>
          <w:rFonts w:hint="eastAsia" w:ascii="宋体" w:hAnsi="宋体"/>
          <w:color w:val="auto"/>
          <w:sz w:val="24"/>
          <w:szCs w:val="20"/>
          <w:highlight w:val="none"/>
        </w:rPr>
      </w:pPr>
      <w:r>
        <w:rPr>
          <w:rFonts w:hint="eastAsia" w:ascii="宋体" w:hAnsi="宋体"/>
          <w:color w:val="auto"/>
          <w:sz w:val="24"/>
          <w:highlight w:val="none"/>
        </w:rPr>
        <w:t>1.代表我方办理贵方关于</w:t>
      </w:r>
      <w:r>
        <w:rPr>
          <w:rFonts w:hint="eastAsia" w:ascii="宋体" w:hAnsi="宋体"/>
          <w:color w:val="auto"/>
          <w:sz w:val="24"/>
          <w:highlight w:val="none"/>
          <w:u w:val="single"/>
        </w:rPr>
        <w:t xml:space="preserve">                  </w:t>
      </w:r>
      <w:r>
        <w:rPr>
          <w:rFonts w:hint="eastAsia" w:ascii="宋体" w:hAnsi="宋体"/>
          <w:color w:val="auto"/>
          <w:sz w:val="24"/>
          <w:highlight w:val="none"/>
        </w:rPr>
        <w:t>项目（招标编号：</w:t>
      </w:r>
      <w:r>
        <w:rPr>
          <w:rFonts w:hint="eastAsia" w:ascii="宋体" w:hAnsi="宋体"/>
          <w:color w:val="auto"/>
          <w:sz w:val="24"/>
          <w:highlight w:val="none"/>
          <w:u w:val="single"/>
        </w:rPr>
        <w:t xml:space="preserve">          </w:t>
      </w:r>
      <w:r>
        <w:rPr>
          <w:rFonts w:hint="eastAsia" w:ascii="宋体" w:hAnsi="宋体"/>
          <w:color w:val="auto"/>
          <w:sz w:val="24"/>
          <w:highlight w:val="none"/>
        </w:rPr>
        <w:t>）要求采购的由我方制造/或进口的货物的有关事宜，并对我方具有约束力。</w:t>
      </w:r>
    </w:p>
    <w:p>
      <w:pPr>
        <w:pStyle w:val="16"/>
        <w:snapToGrid w:val="0"/>
        <w:spacing w:after="0"/>
        <w:ind w:firstLine="480" w:firstLineChars="200"/>
        <w:rPr>
          <w:rFonts w:hint="eastAsia" w:ascii="宋体" w:hAnsi="宋体"/>
          <w:color w:val="auto"/>
          <w:sz w:val="24"/>
          <w:highlight w:val="none"/>
        </w:rPr>
      </w:pPr>
      <w:r>
        <w:rPr>
          <w:rFonts w:hint="eastAsia" w:ascii="宋体" w:hAnsi="宋体"/>
          <w:color w:val="auto"/>
          <w:sz w:val="24"/>
          <w:highlight w:val="none"/>
        </w:rPr>
        <w:t>2.作为制造商（国内总代理），我方保证为本项目的组织实施、售后服务提供纯正的、专业化的技术支持。</w:t>
      </w:r>
    </w:p>
    <w:p>
      <w:pPr>
        <w:snapToGrid w:val="0"/>
        <w:spacing w:before="120" w:beforeLines="50"/>
        <w:ind w:firstLine="480" w:firstLineChars="200"/>
        <w:rPr>
          <w:rFonts w:hint="eastAsia" w:ascii="宋体" w:hAnsi="宋体"/>
          <w:color w:val="auto"/>
          <w:sz w:val="24"/>
          <w:highlight w:val="none"/>
        </w:rPr>
      </w:pPr>
      <w:r>
        <w:rPr>
          <w:rFonts w:hint="eastAsia" w:ascii="宋体" w:hAnsi="宋体"/>
          <w:color w:val="auto"/>
          <w:sz w:val="24"/>
          <w:highlight w:val="none"/>
        </w:rPr>
        <w:t>3.我方此次向贵方提供的产品名称为：</w:t>
      </w:r>
      <w:r>
        <w:rPr>
          <w:rFonts w:hint="eastAsia" w:ascii="宋体" w:hAnsi="宋体"/>
          <w:color w:val="auto"/>
          <w:sz w:val="24"/>
          <w:highlight w:val="none"/>
          <w:u w:val="single"/>
        </w:rPr>
        <w:t xml:space="preserve">                              </w:t>
      </w:r>
      <w:r>
        <w:rPr>
          <w:rFonts w:hint="eastAsia" w:ascii="宋体" w:hAnsi="宋体"/>
          <w:color w:val="auto"/>
          <w:sz w:val="24"/>
          <w:highlight w:val="none"/>
        </w:rPr>
        <w:t>；规格型号：</w:t>
      </w:r>
      <w:r>
        <w:rPr>
          <w:rFonts w:hint="eastAsia" w:ascii="宋体" w:hAnsi="宋体"/>
          <w:color w:val="auto"/>
          <w:sz w:val="24"/>
          <w:highlight w:val="none"/>
          <w:u w:val="single"/>
        </w:rPr>
        <w:t xml:space="preserve">                           </w:t>
      </w:r>
      <w:r>
        <w:rPr>
          <w:rFonts w:hint="eastAsia" w:ascii="宋体" w:hAnsi="宋体"/>
          <w:color w:val="auto"/>
          <w:sz w:val="24"/>
          <w:highlight w:val="none"/>
        </w:rPr>
        <w:t>；我方保证：该产品既非试验产品也非积压产品，而是于</w:t>
      </w:r>
      <w:r>
        <w:rPr>
          <w:rFonts w:hint="eastAsia" w:ascii="宋体" w:hAnsi="宋体"/>
          <w:color w:val="auto"/>
          <w:sz w:val="24"/>
          <w:highlight w:val="none"/>
          <w:u w:val="single"/>
        </w:rPr>
        <w:t xml:space="preserve">       </w:t>
      </w:r>
      <w:r>
        <w:rPr>
          <w:rFonts w:hint="eastAsia" w:ascii="宋体" w:hAnsi="宋体"/>
          <w:color w:val="auto"/>
          <w:sz w:val="24"/>
          <w:highlight w:val="none"/>
        </w:rPr>
        <w:t>年达产的成熟产品，且生产（完工）日期不早于</w:t>
      </w:r>
    </w:p>
    <w:p>
      <w:pPr>
        <w:snapToGrid w:val="0"/>
        <w:spacing w:before="120" w:beforeLines="50"/>
        <w:rPr>
          <w:rFonts w:hint="eastAsia" w:ascii="宋体" w:hAnsi="宋体"/>
          <w:color w:val="auto"/>
          <w:sz w:val="24"/>
          <w:szCs w:val="20"/>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月；在可以预见的</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（天）内，我方没有对该型号产品进行升级、停产、淘汰的计划。    </w:t>
      </w:r>
    </w:p>
    <w:p>
      <w:pPr>
        <w:snapToGrid w:val="0"/>
        <w:spacing w:before="50"/>
        <w:ind w:firstLine="480"/>
        <w:jc w:val="left"/>
        <w:rPr>
          <w:rFonts w:hint="eastAsia" w:ascii="宋体" w:hAnsi="宋体"/>
          <w:color w:val="auto"/>
          <w:sz w:val="24"/>
          <w:szCs w:val="20"/>
          <w:highlight w:val="none"/>
        </w:rPr>
      </w:pPr>
      <w:r>
        <w:rPr>
          <w:rFonts w:hint="eastAsia" w:ascii="宋体" w:hAnsi="宋体"/>
          <w:color w:val="auto"/>
          <w:sz w:val="24"/>
          <w:highlight w:val="none"/>
        </w:rPr>
        <w:t>4.我方该型号产品的市场销售情况良好，最近实施（完工）的同类项目有：</w:t>
      </w:r>
    </w:p>
    <w:tbl>
      <w:tblPr>
        <w:tblStyle w:val="3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11"/>
        <w:gridCol w:w="995"/>
        <w:gridCol w:w="796"/>
        <w:gridCol w:w="1592"/>
        <w:gridCol w:w="1393"/>
        <w:gridCol w:w="995"/>
        <w:gridCol w:w="19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atLeast"/>
        </w:trPr>
        <w:tc>
          <w:tcPr>
            <w:tcW w:w="171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ascii="宋体" w:hAnsi="宋体"/>
                <w:color w:val="auto"/>
                <w:sz w:val="24"/>
                <w:szCs w:val="20"/>
                <w:highlight w:val="none"/>
              </w:rPr>
            </w:pPr>
            <w:r>
              <w:rPr>
                <w:rFonts w:hint="eastAsia" w:ascii="宋体" w:hAnsi="宋体"/>
                <w:color w:val="auto"/>
                <w:sz w:val="24"/>
                <w:highlight w:val="none"/>
              </w:rPr>
              <w:t>采购单位</w:t>
            </w:r>
          </w:p>
          <w:p>
            <w:pPr>
              <w:snapToGrid w:val="0"/>
              <w:spacing w:before="50"/>
              <w:jc w:val="center"/>
              <w:rPr>
                <w:rFonts w:ascii="宋体" w:hAnsi="宋体"/>
                <w:color w:val="auto"/>
                <w:sz w:val="24"/>
                <w:szCs w:val="20"/>
                <w:highlight w:val="none"/>
              </w:rPr>
            </w:pPr>
            <w:r>
              <w:rPr>
                <w:rFonts w:hint="eastAsia" w:ascii="宋体" w:hAnsi="宋体"/>
                <w:color w:val="auto"/>
                <w:sz w:val="24"/>
                <w:highlight w:val="none"/>
              </w:rPr>
              <w:t>名称</w:t>
            </w:r>
          </w:p>
        </w:tc>
        <w:tc>
          <w:tcPr>
            <w:tcW w:w="99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ascii="宋体" w:hAnsi="宋体"/>
                <w:color w:val="auto"/>
                <w:sz w:val="24"/>
                <w:szCs w:val="20"/>
                <w:highlight w:val="none"/>
              </w:rPr>
            </w:pPr>
            <w:r>
              <w:rPr>
                <w:rFonts w:hint="eastAsia" w:ascii="宋体" w:hAnsi="宋体"/>
                <w:color w:val="auto"/>
                <w:sz w:val="24"/>
                <w:highlight w:val="none"/>
              </w:rPr>
              <w:t>采购</w:t>
            </w:r>
          </w:p>
          <w:p>
            <w:pPr>
              <w:snapToGrid w:val="0"/>
              <w:spacing w:before="50"/>
              <w:jc w:val="center"/>
              <w:rPr>
                <w:rFonts w:ascii="宋体" w:hAnsi="宋体"/>
                <w:color w:val="auto"/>
                <w:sz w:val="24"/>
                <w:szCs w:val="20"/>
                <w:highlight w:val="none"/>
              </w:rPr>
            </w:pPr>
            <w:r>
              <w:rPr>
                <w:rFonts w:hint="eastAsia" w:ascii="宋体" w:hAnsi="宋体"/>
                <w:color w:val="auto"/>
                <w:sz w:val="24"/>
                <w:highlight w:val="none"/>
              </w:rPr>
              <w:t>数量</w:t>
            </w:r>
          </w:p>
        </w:tc>
        <w:tc>
          <w:tcPr>
            <w:tcW w:w="79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ascii="宋体" w:hAnsi="宋体"/>
                <w:color w:val="auto"/>
                <w:sz w:val="24"/>
                <w:szCs w:val="20"/>
                <w:highlight w:val="none"/>
              </w:rPr>
            </w:pPr>
            <w:r>
              <w:rPr>
                <w:rFonts w:hint="eastAsia" w:ascii="宋体" w:hAnsi="宋体"/>
                <w:color w:val="auto"/>
                <w:sz w:val="24"/>
                <w:highlight w:val="none"/>
              </w:rPr>
              <w:t>单价</w:t>
            </w:r>
          </w:p>
          <w:p>
            <w:pPr>
              <w:snapToGrid w:val="0"/>
              <w:spacing w:before="50"/>
              <w:jc w:val="center"/>
              <w:rPr>
                <w:rFonts w:ascii="宋体" w:hAnsi="宋体"/>
                <w:color w:val="auto"/>
                <w:sz w:val="24"/>
                <w:szCs w:val="20"/>
                <w:highlight w:val="none"/>
              </w:rPr>
            </w:pPr>
          </w:p>
        </w:tc>
        <w:tc>
          <w:tcPr>
            <w:tcW w:w="159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ascii="宋体" w:hAnsi="宋体"/>
                <w:color w:val="auto"/>
                <w:sz w:val="24"/>
                <w:szCs w:val="20"/>
                <w:highlight w:val="none"/>
              </w:rPr>
            </w:pPr>
            <w:r>
              <w:rPr>
                <w:rFonts w:hint="eastAsia" w:ascii="宋体" w:hAnsi="宋体"/>
                <w:color w:val="auto"/>
                <w:sz w:val="24"/>
                <w:highlight w:val="none"/>
              </w:rPr>
              <w:t>合同金额</w:t>
            </w:r>
          </w:p>
          <w:p>
            <w:pPr>
              <w:snapToGrid w:val="0"/>
              <w:spacing w:before="50"/>
              <w:jc w:val="center"/>
              <w:rPr>
                <w:rFonts w:ascii="宋体" w:hAnsi="宋体"/>
                <w:color w:val="auto"/>
                <w:sz w:val="24"/>
                <w:szCs w:val="20"/>
                <w:highlight w:val="none"/>
              </w:rPr>
            </w:pPr>
            <w:r>
              <w:rPr>
                <w:rFonts w:hint="eastAsia" w:ascii="宋体" w:hAnsi="宋体"/>
                <w:color w:val="auto"/>
                <w:sz w:val="24"/>
                <w:highlight w:val="none"/>
              </w:rPr>
              <w:t>（万元）</w:t>
            </w:r>
          </w:p>
        </w:tc>
        <w:tc>
          <w:tcPr>
            <w:tcW w:w="139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ascii="宋体" w:hAnsi="宋体"/>
                <w:color w:val="auto"/>
                <w:sz w:val="24"/>
                <w:szCs w:val="20"/>
                <w:highlight w:val="none"/>
              </w:rPr>
            </w:pPr>
            <w:r>
              <w:rPr>
                <w:rFonts w:hint="eastAsia" w:ascii="宋体" w:hAnsi="宋体"/>
                <w:color w:val="auto"/>
                <w:sz w:val="24"/>
                <w:highlight w:val="none"/>
              </w:rPr>
              <w:t>合同签订</w:t>
            </w:r>
          </w:p>
          <w:p>
            <w:pPr>
              <w:snapToGrid w:val="0"/>
              <w:spacing w:before="50"/>
              <w:jc w:val="center"/>
              <w:rPr>
                <w:rFonts w:ascii="宋体" w:hAnsi="宋体"/>
                <w:color w:val="auto"/>
                <w:sz w:val="24"/>
                <w:szCs w:val="20"/>
                <w:highlight w:val="none"/>
              </w:rPr>
            </w:pPr>
            <w:r>
              <w:rPr>
                <w:rFonts w:hint="eastAsia" w:ascii="宋体" w:hAnsi="宋体"/>
                <w:color w:val="auto"/>
                <w:sz w:val="24"/>
                <w:highlight w:val="none"/>
              </w:rPr>
              <w:t>日期</w:t>
            </w:r>
          </w:p>
        </w:tc>
        <w:tc>
          <w:tcPr>
            <w:tcW w:w="99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ascii="宋体" w:hAnsi="宋体"/>
                <w:color w:val="auto"/>
                <w:sz w:val="24"/>
                <w:szCs w:val="20"/>
                <w:highlight w:val="none"/>
              </w:rPr>
            </w:pPr>
            <w:r>
              <w:rPr>
                <w:rFonts w:hint="eastAsia" w:ascii="宋体" w:hAnsi="宋体"/>
                <w:color w:val="auto"/>
                <w:sz w:val="24"/>
                <w:highlight w:val="none"/>
              </w:rPr>
              <w:t>验收</w:t>
            </w:r>
          </w:p>
          <w:p>
            <w:pPr>
              <w:snapToGrid w:val="0"/>
              <w:spacing w:before="50"/>
              <w:jc w:val="center"/>
              <w:rPr>
                <w:rFonts w:ascii="宋体" w:hAnsi="宋体"/>
                <w:color w:val="auto"/>
                <w:sz w:val="24"/>
                <w:szCs w:val="20"/>
                <w:highlight w:val="none"/>
              </w:rPr>
            </w:pPr>
            <w:r>
              <w:rPr>
                <w:rFonts w:hint="eastAsia" w:ascii="宋体" w:hAnsi="宋体"/>
                <w:color w:val="auto"/>
                <w:sz w:val="24"/>
                <w:highlight w:val="none"/>
              </w:rPr>
              <w:t>日期</w:t>
            </w:r>
          </w:p>
        </w:tc>
        <w:tc>
          <w:tcPr>
            <w:tcW w:w="198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ascii="宋体" w:hAnsi="宋体"/>
                <w:color w:val="auto"/>
                <w:sz w:val="24"/>
                <w:szCs w:val="20"/>
                <w:highlight w:val="none"/>
              </w:rPr>
            </w:pPr>
            <w:r>
              <w:rPr>
                <w:rFonts w:hint="eastAsia" w:ascii="宋体" w:hAnsi="宋体"/>
                <w:color w:val="auto"/>
                <w:sz w:val="24"/>
                <w:highlight w:val="none"/>
              </w:rPr>
              <w:t>联系人及</w:t>
            </w:r>
          </w:p>
          <w:p>
            <w:pPr>
              <w:snapToGrid w:val="0"/>
              <w:spacing w:before="50"/>
              <w:jc w:val="center"/>
              <w:rPr>
                <w:rFonts w:ascii="宋体" w:hAnsi="宋体"/>
                <w:color w:val="auto"/>
                <w:sz w:val="24"/>
                <w:szCs w:val="20"/>
                <w:highlight w:val="none"/>
              </w:rPr>
            </w:pPr>
            <w:r>
              <w:rPr>
                <w:rFonts w:hint="eastAsia" w:ascii="宋体" w:hAnsi="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9" w:hRule="atLeast"/>
        </w:trPr>
        <w:tc>
          <w:tcPr>
            <w:tcW w:w="1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 w:val="24"/>
                <w:szCs w:val="20"/>
                <w:highlight w:val="none"/>
              </w:rPr>
            </w:pPr>
          </w:p>
        </w:tc>
        <w:tc>
          <w:tcPr>
            <w:tcW w:w="9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 w:val="24"/>
                <w:szCs w:val="20"/>
                <w:highlight w:val="none"/>
              </w:rPr>
            </w:pPr>
          </w:p>
        </w:tc>
        <w:tc>
          <w:tcPr>
            <w:tcW w:w="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 w:val="24"/>
                <w:szCs w:val="20"/>
                <w:highlight w:val="none"/>
              </w:rPr>
            </w:pPr>
          </w:p>
        </w:tc>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 w:val="24"/>
                <w:szCs w:val="20"/>
                <w:highlight w:val="none"/>
              </w:rPr>
            </w:pPr>
          </w:p>
        </w:tc>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 w:val="24"/>
                <w:szCs w:val="20"/>
                <w:highlight w:val="none"/>
              </w:rPr>
            </w:pPr>
          </w:p>
        </w:tc>
        <w:tc>
          <w:tcPr>
            <w:tcW w:w="9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 w:val="24"/>
                <w:szCs w:val="20"/>
                <w:highlight w:val="none"/>
              </w:rPr>
            </w:pPr>
          </w:p>
        </w:tc>
        <w:tc>
          <w:tcPr>
            <w:tcW w:w="19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71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ascii="宋体" w:hAnsi="宋体"/>
                <w:color w:val="auto"/>
                <w:sz w:val="24"/>
                <w:szCs w:val="20"/>
                <w:highlight w:val="none"/>
              </w:rPr>
            </w:pPr>
          </w:p>
          <w:p>
            <w:pPr>
              <w:snapToGrid w:val="0"/>
              <w:spacing w:before="50"/>
              <w:jc w:val="left"/>
              <w:rPr>
                <w:rFonts w:ascii="宋体" w:hAnsi="宋体"/>
                <w:color w:val="auto"/>
                <w:sz w:val="24"/>
                <w:szCs w:val="20"/>
                <w:highlight w:val="none"/>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ascii="宋体" w:hAnsi="宋体"/>
                <w:color w:val="auto"/>
                <w:sz w:val="24"/>
                <w:szCs w:val="20"/>
                <w:highlight w:val="none"/>
              </w:rPr>
            </w:pPr>
          </w:p>
        </w:tc>
        <w:tc>
          <w:tcPr>
            <w:tcW w:w="7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ascii="宋体" w:hAnsi="宋体"/>
                <w:color w:val="auto"/>
                <w:sz w:val="24"/>
                <w:szCs w:val="20"/>
                <w:highlight w:val="none"/>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ascii="宋体" w:hAnsi="宋体"/>
                <w:color w:val="auto"/>
                <w:sz w:val="24"/>
                <w:szCs w:val="20"/>
                <w:highlight w:val="none"/>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ascii="宋体" w:hAnsi="宋体"/>
                <w:color w:val="auto"/>
                <w:sz w:val="24"/>
                <w:szCs w:val="20"/>
                <w:highlight w:val="none"/>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ascii="宋体" w:hAnsi="宋体"/>
                <w:color w:val="auto"/>
                <w:sz w:val="24"/>
                <w:szCs w:val="20"/>
                <w:highlight w:val="none"/>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71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ascii="宋体" w:hAnsi="宋体"/>
                <w:color w:val="auto"/>
                <w:sz w:val="24"/>
                <w:szCs w:val="20"/>
                <w:highlight w:val="none"/>
              </w:rPr>
            </w:pPr>
          </w:p>
          <w:p>
            <w:pPr>
              <w:snapToGrid w:val="0"/>
              <w:spacing w:before="50"/>
              <w:jc w:val="left"/>
              <w:rPr>
                <w:rFonts w:ascii="宋体" w:hAnsi="宋体"/>
                <w:color w:val="auto"/>
                <w:sz w:val="24"/>
                <w:szCs w:val="20"/>
                <w:highlight w:val="none"/>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ascii="宋体" w:hAnsi="宋体"/>
                <w:color w:val="auto"/>
                <w:sz w:val="24"/>
                <w:szCs w:val="20"/>
                <w:highlight w:val="none"/>
              </w:rPr>
            </w:pPr>
          </w:p>
        </w:tc>
        <w:tc>
          <w:tcPr>
            <w:tcW w:w="7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ascii="宋体" w:hAnsi="宋体"/>
                <w:color w:val="auto"/>
                <w:sz w:val="24"/>
                <w:szCs w:val="20"/>
                <w:highlight w:val="none"/>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ascii="宋体" w:hAnsi="宋体"/>
                <w:color w:val="auto"/>
                <w:sz w:val="24"/>
                <w:szCs w:val="20"/>
                <w:highlight w:val="none"/>
              </w:rPr>
            </w:pPr>
          </w:p>
        </w:tc>
        <w:tc>
          <w:tcPr>
            <w:tcW w:w="139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ascii="宋体" w:hAnsi="宋体"/>
                <w:color w:val="auto"/>
                <w:sz w:val="24"/>
                <w:szCs w:val="20"/>
                <w:highlight w:val="none"/>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ascii="宋体" w:hAnsi="宋体"/>
                <w:color w:val="auto"/>
                <w:sz w:val="24"/>
                <w:szCs w:val="20"/>
                <w:highlight w:val="none"/>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ascii="宋体" w:hAnsi="宋体"/>
                <w:color w:val="auto"/>
                <w:sz w:val="24"/>
                <w:szCs w:val="20"/>
                <w:highlight w:val="none"/>
              </w:rPr>
            </w:pPr>
          </w:p>
        </w:tc>
      </w:tr>
    </w:tbl>
    <w:p>
      <w:pPr>
        <w:snapToGrid w:val="0"/>
        <w:spacing w:before="50"/>
        <w:ind w:firstLine="480" w:firstLineChars="200"/>
        <w:jc w:val="left"/>
        <w:rPr>
          <w:rFonts w:hint="eastAsia" w:ascii="宋体" w:hAnsi="宋体"/>
          <w:color w:val="auto"/>
          <w:sz w:val="24"/>
          <w:szCs w:val="20"/>
          <w:highlight w:val="none"/>
        </w:rPr>
      </w:pPr>
      <w:r>
        <w:rPr>
          <w:rFonts w:hint="eastAsia" w:ascii="宋体" w:hAnsi="宋体"/>
          <w:color w:val="auto"/>
          <w:sz w:val="24"/>
          <w:highlight w:val="none"/>
        </w:rPr>
        <w:t>5.我方诚意提请贵方关注：有关该型号产品的生产、供货、售后服务以及性能等方面的重大决策和事项有：</w:t>
      </w:r>
    </w:p>
    <w:p>
      <w:pPr>
        <w:snapToGrid w:val="0"/>
        <w:spacing w:before="120" w:beforeLines="50"/>
        <w:ind w:firstLine="480" w:firstLineChars="200"/>
        <w:rPr>
          <w:rFonts w:hint="eastAsia" w:ascii="宋体" w:hAnsi="宋体"/>
          <w:color w:val="auto"/>
          <w:sz w:val="24"/>
          <w:szCs w:val="20"/>
          <w:highlight w:val="none"/>
          <w:u w:val="single"/>
        </w:rPr>
      </w:pPr>
      <w:r>
        <w:rPr>
          <w:rFonts w:hint="eastAsia" w:ascii="宋体" w:hAnsi="宋体"/>
          <w:color w:val="auto"/>
          <w:sz w:val="24"/>
          <w:highlight w:val="none"/>
          <w:u w:val="single"/>
        </w:rPr>
        <w:t>　　　　　　　　　　　　　　　　　　　　　　　　　　　</w:t>
      </w:r>
    </w:p>
    <w:p>
      <w:pPr>
        <w:snapToGrid w:val="0"/>
        <w:spacing w:before="50"/>
        <w:ind w:firstLine="480" w:firstLineChars="200"/>
        <w:jc w:val="left"/>
        <w:rPr>
          <w:rFonts w:hint="eastAsia" w:ascii="宋体" w:hAnsi="宋体"/>
          <w:color w:val="auto"/>
          <w:sz w:val="24"/>
          <w:szCs w:val="20"/>
          <w:highlight w:val="none"/>
        </w:rPr>
      </w:pPr>
      <w:r>
        <w:rPr>
          <w:rFonts w:hint="eastAsia" w:ascii="宋体" w:hAnsi="宋体"/>
          <w:color w:val="auto"/>
          <w:sz w:val="24"/>
          <w:highlight w:val="none"/>
        </w:rPr>
        <w:t>6.我方同意按照贵方要求提供与投标有关的一切数据或资料。</w:t>
      </w:r>
    </w:p>
    <w:p>
      <w:pPr>
        <w:snapToGrid w:val="0"/>
        <w:spacing w:before="50"/>
        <w:ind w:left="480"/>
        <w:jc w:val="left"/>
        <w:rPr>
          <w:rFonts w:hint="eastAsia" w:ascii="宋体" w:hAnsi="宋体"/>
          <w:color w:val="auto"/>
          <w:sz w:val="24"/>
          <w:szCs w:val="20"/>
          <w:highlight w:val="none"/>
        </w:rPr>
      </w:pPr>
    </w:p>
    <w:p>
      <w:pPr>
        <w:snapToGrid w:val="0"/>
        <w:spacing w:before="50"/>
        <w:ind w:left="480"/>
        <w:jc w:val="left"/>
        <w:rPr>
          <w:rFonts w:hint="eastAsia" w:ascii="宋体" w:hAnsi="宋体"/>
          <w:color w:val="auto"/>
          <w:sz w:val="24"/>
          <w:szCs w:val="20"/>
          <w:highlight w:val="none"/>
        </w:rPr>
      </w:pPr>
    </w:p>
    <w:p>
      <w:pPr>
        <w:widowControl/>
        <w:snapToGrid w:val="0"/>
        <w:rPr>
          <w:rFonts w:hint="eastAsia" w:ascii="宋体" w:hAnsi="宋体"/>
          <w:color w:val="auto"/>
          <w:kern w:val="0"/>
          <w:sz w:val="24"/>
          <w:highlight w:val="none"/>
        </w:rPr>
      </w:pPr>
      <w:r>
        <w:rPr>
          <w:rFonts w:hint="eastAsia" w:ascii="宋体" w:hAnsi="宋体"/>
          <w:color w:val="auto"/>
          <w:kern w:val="0"/>
          <w:sz w:val="24"/>
          <w:highlight w:val="none"/>
        </w:rPr>
        <w:t>制造商（国内总代理）（公章）                  投标单位名称（公章）</w:t>
      </w:r>
    </w:p>
    <w:p>
      <w:pPr>
        <w:widowControl/>
        <w:snapToGrid w:val="0"/>
        <w:ind w:firstLine="489" w:firstLineChars="204"/>
        <w:rPr>
          <w:rFonts w:hint="eastAsia" w:ascii="宋体" w:hAnsi="宋体"/>
          <w:color w:val="auto"/>
          <w:kern w:val="0"/>
          <w:sz w:val="24"/>
          <w:highlight w:val="none"/>
        </w:rPr>
      </w:pPr>
    </w:p>
    <w:p>
      <w:pPr>
        <w:widowControl/>
        <w:snapToGrid w:val="0"/>
        <w:rPr>
          <w:rFonts w:hint="eastAsia" w:ascii="宋体" w:hAnsi="宋体"/>
          <w:color w:val="auto"/>
          <w:kern w:val="0"/>
          <w:sz w:val="24"/>
          <w:highlight w:val="none"/>
        </w:rPr>
      </w:pPr>
      <w:r>
        <w:rPr>
          <w:rFonts w:hint="eastAsia" w:ascii="宋体" w:hAnsi="宋体"/>
          <w:color w:val="auto"/>
          <w:kern w:val="0"/>
          <w:sz w:val="24"/>
          <w:highlight w:val="none"/>
        </w:rPr>
        <w:t>签字人职务和部门                 签字人职务和部门</w:t>
      </w:r>
    </w:p>
    <w:p>
      <w:pPr>
        <w:widowControl/>
        <w:snapToGrid w:val="0"/>
        <w:rPr>
          <w:rFonts w:hint="eastAsia" w:ascii="宋体" w:hAnsi="宋体"/>
          <w:color w:val="auto"/>
          <w:kern w:val="0"/>
          <w:sz w:val="24"/>
          <w:highlight w:val="none"/>
        </w:rPr>
      </w:pPr>
    </w:p>
    <w:p>
      <w:pPr>
        <w:widowControl/>
        <w:snapToGrid w:val="0"/>
        <w:rPr>
          <w:rFonts w:hint="eastAsia" w:ascii="宋体" w:hAnsi="宋体"/>
          <w:color w:val="auto"/>
          <w:kern w:val="0"/>
          <w:sz w:val="24"/>
          <w:highlight w:val="none"/>
        </w:rPr>
      </w:pPr>
      <w:r>
        <w:rPr>
          <w:rFonts w:hint="eastAsia" w:ascii="宋体" w:hAnsi="宋体"/>
          <w:color w:val="auto"/>
          <w:kern w:val="0"/>
          <w:sz w:val="24"/>
          <w:highlight w:val="none"/>
        </w:rPr>
        <w:t>签字人签名                   签字人签名</w:t>
      </w:r>
    </w:p>
    <w:p>
      <w:pPr>
        <w:snapToGrid w:val="0"/>
        <w:spacing w:before="50"/>
        <w:ind w:left="480"/>
        <w:jc w:val="left"/>
        <w:rPr>
          <w:rFonts w:ascii="宋体" w:hAnsi="宋体"/>
          <w:color w:val="auto"/>
          <w:sz w:val="24"/>
          <w:szCs w:val="20"/>
          <w:highlight w:val="none"/>
        </w:rPr>
      </w:pPr>
    </w:p>
    <w:p>
      <w:pPr>
        <w:pStyle w:val="2"/>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color w:val="auto"/>
          <w:highlight w:val="none"/>
        </w:rPr>
      </w:pPr>
    </w:p>
    <w:p>
      <w:pPr>
        <w:snapToGrid w:val="0"/>
        <w:spacing w:before="50"/>
        <w:ind w:firstLine="5280" w:firstLineChars="2200"/>
        <w:jc w:val="left"/>
        <w:rPr>
          <w:rFonts w:ascii="宋体" w:hAnsi="宋体"/>
          <w:color w:val="auto"/>
          <w:sz w:val="24"/>
          <w:szCs w:val="20"/>
          <w:highlight w:val="none"/>
        </w:rPr>
      </w:pPr>
      <w:r>
        <w:rPr>
          <w:rFonts w:hint="eastAsia" w:ascii="宋体" w:hAnsi="宋体"/>
          <w:color w:val="auto"/>
          <w:sz w:val="24"/>
          <w:highlight w:val="none"/>
        </w:rPr>
        <w:t xml:space="preserve">   年    月    日</w:t>
      </w:r>
    </w:p>
    <w:p>
      <w:pPr>
        <w:pStyle w:val="11"/>
        <w:rPr>
          <w:rFonts w:hint="eastAsia"/>
          <w:color w:val="auto"/>
          <w:highlight w:val="none"/>
        </w:rPr>
      </w:pPr>
    </w:p>
    <w:p>
      <w:pPr>
        <w:pStyle w:val="2"/>
        <w:rPr>
          <w:rFonts w:hint="eastAsia" w:ascii="宋体" w:hAnsi="宋体" w:eastAsia="宋体" w:cs="宋体"/>
          <w:b w:val="0"/>
          <w:color w:val="auto"/>
          <w:sz w:val="24"/>
          <w:szCs w:val="24"/>
          <w:highlight w:val="none"/>
        </w:rPr>
      </w:pPr>
      <w:bookmarkStart w:id="86" w:name="_Toc18794"/>
      <w:r>
        <w:rPr>
          <w:rFonts w:hint="eastAsia" w:ascii="宋体" w:hAnsi="宋体" w:eastAsia="宋体" w:cs="宋体"/>
          <w:b w:val="0"/>
          <w:color w:val="auto"/>
          <w:sz w:val="24"/>
          <w:szCs w:val="24"/>
          <w:highlight w:val="none"/>
        </w:rPr>
        <w:t>附件</w:t>
      </w:r>
      <w:r>
        <w:rPr>
          <w:rFonts w:hint="eastAsia" w:ascii="宋体" w:hAnsi="宋体" w:eastAsia="宋体" w:cs="宋体"/>
          <w:b w:val="0"/>
          <w:color w:val="auto"/>
          <w:sz w:val="24"/>
          <w:szCs w:val="24"/>
          <w:highlight w:val="none"/>
          <w:lang w:val="en-US" w:eastAsia="zh-CN"/>
        </w:rPr>
        <w:t>八</w:t>
      </w:r>
      <w:r>
        <w:rPr>
          <w:rFonts w:hint="eastAsia" w:ascii="宋体" w:hAnsi="宋体" w:eastAsia="宋体" w:cs="宋体"/>
          <w:b w:val="0"/>
          <w:color w:val="auto"/>
          <w:sz w:val="24"/>
          <w:szCs w:val="24"/>
          <w:highlight w:val="none"/>
        </w:rPr>
        <w:t>：投标人资信商务、技术自评得分表</w:t>
      </w:r>
      <w:bookmarkEnd w:id="86"/>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投标人资信商务、技术自评得分表</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550"/>
        <w:gridCol w:w="3200"/>
        <w:gridCol w:w="916"/>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355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评分标准</w:t>
            </w:r>
          </w:p>
        </w:tc>
        <w:tc>
          <w:tcPr>
            <w:tcW w:w="320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得分内容</w:t>
            </w:r>
          </w:p>
        </w:tc>
        <w:tc>
          <w:tcPr>
            <w:tcW w:w="91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自评</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得分</w:t>
            </w:r>
          </w:p>
        </w:tc>
        <w:tc>
          <w:tcPr>
            <w:tcW w:w="121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bl>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投标人名称（盖章）：                         年   月    日</w:t>
      </w:r>
    </w:p>
    <w:p>
      <w:pPr>
        <w:pStyle w:val="2"/>
        <w:keepNext w:val="0"/>
        <w:keepLines w:val="0"/>
        <w:pageBreakBefore/>
        <w:rPr>
          <w:rFonts w:hint="eastAsia" w:ascii="宋体" w:hAnsi="宋体" w:eastAsia="宋体" w:cs="宋体"/>
          <w:b w:val="0"/>
          <w:color w:val="auto"/>
          <w:sz w:val="24"/>
          <w:szCs w:val="24"/>
          <w:highlight w:val="none"/>
        </w:rPr>
      </w:pPr>
      <w:bookmarkStart w:id="87" w:name="_Toc24822"/>
      <w:r>
        <w:rPr>
          <w:rFonts w:hint="eastAsia" w:ascii="宋体" w:hAnsi="宋体" w:eastAsia="宋体" w:cs="宋体"/>
          <w:b w:val="0"/>
          <w:color w:val="auto"/>
          <w:sz w:val="24"/>
          <w:szCs w:val="24"/>
          <w:highlight w:val="none"/>
        </w:rPr>
        <w:t>附件</w:t>
      </w:r>
      <w:r>
        <w:rPr>
          <w:rFonts w:hint="eastAsia" w:ascii="宋体" w:hAnsi="宋体" w:eastAsia="宋体" w:cs="宋体"/>
          <w:b w:val="0"/>
          <w:color w:val="auto"/>
          <w:sz w:val="24"/>
          <w:szCs w:val="24"/>
          <w:highlight w:val="none"/>
          <w:lang w:val="en-US" w:eastAsia="zh-CN"/>
        </w:rPr>
        <w:t>九</w:t>
      </w:r>
      <w:r>
        <w:rPr>
          <w:rFonts w:hint="eastAsia" w:ascii="宋体" w:hAnsi="宋体" w:eastAsia="宋体" w:cs="宋体"/>
          <w:b w:val="0"/>
          <w:color w:val="auto"/>
          <w:sz w:val="24"/>
          <w:szCs w:val="24"/>
          <w:highlight w:val="none"/>
        </w:rPr>
        <w:t>：商务响应表</w:t>
      </w:r>
      <w:bookmarkEnd w:id="87"/>
    </w:p>
    <w:p>
      <w:pPr>
        <w:snapToGrid w:val="0"/>
        <w:spacing w:line="360" w:lineRule="auto"/>
        <w:jc w:val="center"/>
        <w:rPr>
          <w:rFonts w:hint="eastAsia" w:ascii="宋体" w:hAnsi="宋体" w:eastAsia="宋体" w:cs="宋体"/>
          <w:b/>
          <w:color w:val="auto"/>
          <w:kern w:val="0"/>
          <w:sz w:val="32"/>
          <w:szCs w:val="32"/>
          <w:highlight w:val="none"/>
        </w:rPr>
      </w:pPr>
      <w:bookmarkStart w:id="88" w:name="_Toc496598991"/>
      <w:r>
        <w:rPr>
          <w:rFonts w:hint="eastAsia" w:ascii="宋体" w:hAnsi="宋体" w:eastAsia="宋体" w:cs="宋体"/>
          <w:b/>
          <w:color w:val="auto"/>
          <w:kern w:val="0"/>
          <w:sz w:val="32"/>
          <w:szCs w:val="32"/>
          <w:highlight w:val="none"/>
        </w:rPr>
        <w:t>商务响应表</w:t>
      </w:r>
    </w:p>
    <w:p>
      <w:pPr>
        <w:snapToGrid w:val="0"/>
        <w:spacing w:before="50" w:after="120" w:afterLines="50"/>
        <w:jc w:val="left"/>
        <w:rPr>
          <w:rFonts w:hint="eastAsia" w:ascii="宋体" w:hAnsi="宋体" w:eastAsia="宋体" w:cs="宋体"/>
          <w:color w:val="auto"/>
          <w:sz w:val="24"/>
          <w:highlight w:val="none"/>
          <w:u w:val="single"/>
        </w:rPr>
      </w:pPr>
    </w:p>
    <w:tbl>
      <w:tblPr>
        <w:tblStyle w:val="3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3"/>
        <w:gridCol w:w="2969"/>
        <w:gridCol w:w="1386"/>
        <w:gridCol w:w="33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w:t>
            </w:r>
          </w:p>
        </w:tc>
        <w:tc>
          <w:tcPr>
            <w:tcW w:w="29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招标文件要求</w:t>
            </w: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响应及偏离情况</w:t>
            </w:r>
          </w:p>
        </w:tc>
        <w:tc>
          <w:tcPr>
            <w:tcW w:w="33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bl>
    <w:p>
      <w:pPr>
        <w:snapToGrid w:val="0"/>
        <w:spacing w:before="120" w:beforeLines="50"/>
        <w:rPr>
          <w:rFonts w:hint="eastAsia" w:ascii="宋体" w:hAnsi="宋体" w:eastAsia="宋体" w:cs="宋体"/>
          <w:color w:val="auto"/>
          <w:sz w:val="24"/>
          <w:highlight w:val="none"/>
        </w:rPr>
      </w:pPr>
    </w:p>
    <w:p>
      <w:pPr>
        <w:snapToGrid w:val="0"/>
        <w:spacing w:before="50" w:after="50"/>
        <w:rPr>
          <w:rFonts w:hint="eastAsia" w:ascii="宋体" w:hAnsi="宋体" w:eastAsia="宋体" w:cs="宋体"/>
          <w:color w:val="auto"/>
          <w:spacing w:val="20"/>
          <w:sz w:val="24"/>
          <w:highlight w:val="none"/>
          <w:u w:val="single"/>
        </w:rPr>
      </w:pPr>
      <w:r>
        <w:rPr>
          <w:rFonts w:hint="eastAsia" w:ascii="宋体" w:hAnsi="宋体" w:eastAsia="宋体" w:cs="宋体"/>
          <w:color w:val="auto"/>
          <w:sz w:val="24"/>
          <w:highlight w:val="none"/>
        </w:rPr>
        <w:t>法定代表人或委托代理人签字</w:t>
      </w:r>
      <w:r>
        <w:rPr>
          <w:rFonts w:hint="eastAsia" w:ascii="宋体" w:hAnsi="宋体" w:eastAsia="宋体" w:cs="宋体"/>
          <w:color w:val="auto"/>
          <w:spacing w:val="20"/>
          <w:sz w:val="24"/>
          <w:highlight w:val="none"/>
        </w:rPr>
        <w:t>：</w:t>
      </w:r>
      <w:r>
        <w:rPr>
          <w:rFonts w:hint="eastAsia" w:ascii="宋体" w:hAnsi="宋体" w:eastAsia="宋体" w:cs="宋体"/>
          <w:color w:val="auto"/>
          <w:spacing w:val="20"/>
          <w:sz w:val="24"/>
          <w:highlight w:val="none"/>
          <w:u w:val="single"/>
        </w:rPr>
        <w:t xml:space="preserve">        </w:t>
      </w:r>
    </w:p>
    <w:p>
      <w:pPr>
        <w:snapToGrid w:val="0"/>
        <w:spacing w:before="120" w:beforeLines="50"/>
        <w:rPr>
          <w:rFonts w:hint="eastAsia" w:ascii="宋体" w:hAnsi="宋体" w:eastAsia="宋体" w:cs="宋体"/>
          <w:color w:val="auto"/>
          <w:sz w:val="24"/>
          <w:highlight w:val="none"/>
        </w:rPr>
      </w:pPr>
      <w:r>
        <w:rPr>
          <w:rFonts w:hint="eastAsia" w:ascii="宋体" w:hAnsi="宋体" w:eastAsia="宋体" w:cs="宋体"/>
          <w:color w:val="auto"/>
          <w:spacing w:val="20"/>
          <w:sz w:val="24"/>
          <w:highlight w:val="none"/>
        </w:rPr>
        <w:t>投标人盖章：</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日 期：</w:t>
      </w:r>
      <w:r>
        <w:rPr>
          <w:rFonts w:hint="eastAsia" w:ascii="宋体" w:hAnsi="宋体" w:eastAsia="宋体" w:cs="宋体"/>
          <w:color w:val="auto"/>
          <w:spacing w:val="20"/>
          <w:sz w:val="24"/>
          <w:highlight w:val="none"/>
          <w:u w:val="single"/>
        </w:rPr>
        <w:t xml:space="preserve">            </w:t>
      </w:r>
    </w:p>
    <w:p>
      <w:pPr>
        <w:rPr>
          <w:rFonts w:hint="eastAsia" w:ascii="宋体" w:hAnsi="宋体" w:eastAsia="宋体" w:cs="宋体"/>
          <w:color w:val="auto"/>
          <w:sz w:val="24"/>
          <w:highlight w:val="none"/>
        </w:rPr>
      </w:pPr>
    </w:p>
    <w:p>
      <w:pPr>
        <w:pStyle w:val="2"/>
        <w:keepNext w:val="0"/>
        <w:keepLines w:val="0"/>
        <w:pageBreakBefore/>
        <w:spacing w:line="415" w:lineRule="auto"/>
        <w:rPr>
          <w:rFonts w:hint="eastAsia" w:ascii="宋体" w:hAnsi="宋体" w:eastAsia="宋体" w:cs="宋体"/>
          <w:b w:val="0"/>
          <w:bCs w:val="0"/>
          <w:color w:val="auto"/>
          <w:sz w:val="24"/>
          <w:szCs w:val="24"/>
          <w:highlight w:val="none"/>
        </w:rPr>
      </w:pPr>
      <w:bookmarkStart w:id="89" w:name="_Toc12506"/>
      <w:r>
        <w:rPr>
          <w:rFonts w:hint="eastAsia" w:ascii="宋体" w:hAnsi="宋体" w:eastAsia="宋体" w:cs="宋体"/>
          <w:b w:val="0"/>
          <w:bCs w:val="0"/>
          <w:color w:val="auto"/>
          <w:sz w:val="24"/>
          <w:szCs w:val="24"/>
          <w:highlight w:val="none"/>
        </w:rPr>
        <w:t>附件</w:t>
      </w:r>
      <w:r>
        <w:rPr>
          <w:rFonts w:hint="eastAsia" w:ascii="宋体" w:hAnsi="宋体" w:eastAsia="宋体" w:cs="宋体"/>
          <w:b w:val="0"/>
          <w:bCs w:val="0"/>
          <w:color w:val="auto"/>
          <w:sz w:val="24"/>
          <w:szCs w:val="24"/>
          <w:highlight w:val="none"/>
          <w:lang w:val="en-US" w:eastAsia="zh-CN"/>
        </w:rPr>
        <w:t>十</w:t>
      </w:r>
      <w:r>
        <w:rPr>
          <w:rFonts w:hint="eastAsia" w:ascii="宋体" w:hAnsi="宋体" w:eastAsia="宋体" w:cs="宋体"/>
          <w:b w:val="0"/>
          <w:bCs w:val="0"/>
          <w:color w:val="auto"/>
          <w:sz w:val="24"/>
          <w:szCs w:val="24"/>
          <w:highlight w:val="none"/>
        </w:rPr>
        <w:t>：</w:t>
      </w:r>
      <w:bookmarkEnd w:id="88"/>
      <w:r>
        <w:rPr>
          <w:rFonts w:hint="eastAsia" w:ascii="宋体" w:hAnsi="宋体" w:eastAsia="宋体" w:cs="宋体"/>
          <w:b w:val="0"/>
          <w:bCs w:val="0"/>
          <w:color w:val="auto"/>
          <w:sz w:val="24"/>
          <w:szCs w:val="24"/>
          <w:highlight w:val="none"/>
        </w:rPr>
        <w:t>技术响应表</w:t>
      </w:r>
      <w:bookmarkEnd w:id="89"/>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技术响应表</w:t>
      </w:r>
    </w:p>
    <w:p>
      <w:pPr>
        <w:snapToGrid w:val="0"/>
        <w:spacing w:before="50" w:after="120" w:afterLine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招标编号：</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004"/>
        <w:gridCol w:w="2113"/>
        <w:gridCol w:w="1750"/>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20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内  容</w:t>
            </w:r>
          </w:p>
        </w:tc>
        <w:tc>
          <w:tcPr>
            <w:tcW w:w="21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规范要求</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对应规范</w:t>
            </w:r>
          </w:p>
        </w:tc>
        <w:tc>
          <w:tcPr>
            <w:tcW w:w="2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偏离情况</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（注明正偏离、负偏离或无偏离）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bl>
    <w:p>
      <w:pPr>
        <w:snapToGrid w:val="0"/>
        <w:spacing w:before="50" w:after="50"/>
        <w:rPr>
          <w:rFonts w:hint="eastAsia" w:ascii="宋体" w:hAnsi="宋体" w:eastAsia="宋体" w:cs="宋体"/>
          <w:b/>
          <w:bCs/>
          <w:color w:val="auto"/>
          <w:sz w:val="24"/>
          <w:highlight w:val="none"/>
        </w:rPr>
      </w:pPr>
    </w:p>
    <w:p>
      <w:pPr>
        <w:snapToGrid w:val="0"/>
        <w:spacing w:before="50" w:after="50"/>
        <w:rPr>
          <w:rFonts w:hint="eastAsia" w:ascii="宋体" w:hAnsi="宋体" w:eastAsia="宋体" w:cs="宋体"/>
          <w:b/>
          <w:bCs/>
          <w:color w:val="auto"/>
          <w:spacing w:val="20"/>
          <w:sz w:val="24"/>
          <w:highlight w:val="none"/>
        </w:rPr>
      </w:pPr>
      <w:r>
        <w:rPr>
          <w:rFonts w:hint="eastAsia" w:ascii="宋体" w:hAnsi="宋体" w:eastAsia="宋体" w:cs="宋体"/>
          <w:b/>
          <w:bCs/>
          <w:color w:val="auto"/>
          <w:sz w:val="24"/>
          <w:highlight w:val="none"/>
        </w:rPr>
        <w:t>注：投标人应根据投标货物的性能指标、对照招标文件要求在“偏离情况”栏注明“正偏离”、“负偏离”或“无偏离”。</w:t>
      </w:r>
    </w:p>
    <w:p>
      <w:pPr>
        <w:snapToGrid w:val="0"/>
        <w:spacing w:before="50" w:after="50"/>
        <w:rPr>
          <w:rFonts w:hint="eastAsia" w:ascii="宋体" w:hAnsi="宋体" w:eastAsia="宋体" w:cs="宋体"/>
          <w:color w:val="auto"/>
          <w:spacing w:val="20"/>
          <w:sz w:val="24"/>
          <w:highlight w:val="none"/>
        </w:rPr>
      </w:pPr>
    </w:p>
    <w:p>
      <w:pPr>
        <w:snapToGrid w:val="0"/>
        <w:spacing w:before="50" w:after="50"/>
        <w:rPr>
          <w:rFonts w:hint="eastAsia" w:ascii="宋体" w:hAnsi="宋体" w:eastAsia="宋体" w:cs="宋体"/>
          <w:color w:val="auto"/>
          <w:spacing w:val="20"/>
          <w:sz w:val="24"/>
          <w:highlight w:val="none"/>
          <w:u w:val="single"/>
        </w:rPr>
      </w:pPr>
      <w:r>
        <w:rPr>
          <w:rFonts w:hint="eastAsia" w:ascii="宋体" w:hAnsi="宋体" w:eastAsia="宋体" w:cs="宋体"/>
          <w:color w:val="auto"/>
          <w:sz w:val="24"/>
          <w:highlight w:val="none"/>
        </w:rPr>
        <w:t>法定代表人或委托代理人签字</w:t>
      </w:r>
      <w:r>
        <w:rPr>
          <w:rFonts w:hint="eastAsia" w:ascii="宋体" w:hAnsi="宋体" w:eastAsia="宋体" w:cs="宋体"/>
          <w:color w:val="auto"/>
          <w:spacing w:val="20"/>
          <w:sz w:val="24"/>
          <w:highlight w:val="none"/>
        </w:rPr>
        <w:t>：</w:t>
      </w:r>
      <w:r>
        <w:rPr>
          <w:rFonts w:hint="eastAsia" w:ascii="宋体" w:hAnsi="宋体" w:eastAsia="宋体" w:cs="宋体"/>
          <w:color w:val="auto"/>
          <w:spacing w:val="20"/>
          <w:sz w:val="24"/>
          <w:highlight w:val="none"/>
          <w:u w:val="single"/>
        </w:rPr>
        <w:t xml:space="preserve">        </w:t>
      </w:r>
    </w:p>
    <w:p>
      <w:pPr>
        <w:snapToGrid w:val="0"/>
        <w:spacing w:before="50" w:after="50"/>
        <w:rPr>
          <w:rFonts w:hint="eastAsia" w:ascii="宋体" w:hAnsi="宋体" w:eastAsia="宋体" w:cs="宋体"/>
          <w:color w:val="auto"/>
          <w:sz w:val="24"/>
          <w:highlight w:val="none"/>
        </w:rPr>
      </w:pPr>
      <w:r>
        <w:rPr>
          <w:rFonts w:hint="eastAsia" w:ascii="宋体" w:hAnsi="宋体" w:eastAsia="宋体" w:cs="宋体"/>
          <w:color w:val="auto"/>
          <w:spacing w:val="20"/>
          <w:sz w:val="24"/>
          <w:highlight w:val="none"/>
        </w:rPr>
        <w:t>投标人盖章：</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日 期：</w:t>
      </w:r>
      <w:r>
        <w:rPr>
          <w:rFonts w:hint="eastAsia" w:ascii="宋体" w:hAnsi="宋体" w:eastAsia="宋体" w:cs="宋体"/>
          <w:color w:val="auto"/>
          <w:spacing w:val="20"/>
          <w:sz w:val="24"/>
          <w:highlight w:val="none"/>
          <w:u w:val="single"/>
        </w:rPr>
        <w:t xml:space="preserve">            </w:t>
      </w:r>
    </w:p>
    <w:p>
      <w:pPr>
        <w:snapToGrid w:val="0"/>
        <w:spacing w:before="50" w:after="120" w:afterLines="50"/>
        <w:jc w:val="left"/>
        <w:rPr>
          <w:rFonts w:hint="eastAsia" w:ascii="宋体" w:hAnsi="宋体" w:eastAsia="宋体" w:cs="宋体"/>
          <w:color w:val="auto"/>
          <w:sz w:val="24"/>
          <w:highlight w:val="none"/>
        </w:rPr>
      </w:pPr>
    </w:p>
    <w:p>
      <w:pPr>
        <w:spacing w:before="260" w:after="260" w:line="415" w:lineRule="auto"/>
        <w:rPr>
          <w:rFonts w:hint="eastAsia" w:ascii="宋体" w:hAnsi="宋体" w:eastAsia="宋体" w:cs="宋体"/>
          <w:bCs/>
          <w:color w:val="auto"/>
          <w:sz w:val="24"/>
          <w:highlight w:val="none"/>
        </w:rPr>
      </w:pPr>
    </w:p>
    <w:p>
      <w:pPr>
        <w:spacing w:before="260" w:after="260" w:line="415" w:lineRule="auto"/>
        <w:rPr>
          <w:rFonts w:hint="eastAsia" w:ascii="宋体" w:hAnsi="宋体" w:eastAsia="宋体" w:cs="宋体"/>
          <w:bCs/>
          <w:color w:val="auto"/>
          <w:sz w:val="24"/>
          <w:highlight w:val="none"/>
        </w:rPr>
      </w:pPr>
    </w:p>
    <w:p>
      <w:pPr>
        <w:spacing w:before="260" w:after="260" w:line="415" w:lineRule="auto"/>
        <w:rPr>
          <w:rFonts w:hint="eastAsia" w:ascii="宋体" w:hAnsi="宋体" w:eastAsia="宋体" w:cs="宋体"/>
          <w:bCs/>
          <w:color w:val="auto"/>
          <w:sz w:val="24"/>
          <w:highlight w:val="none"/>
        </w:rPr>
      </w:pPr>
    </w:p>
    <w:p>
      <w:pPr>
        <w:pStyle w:val="2"/>
        <w:keepNext w:val="0"/>
        <w:keepLines w:val="0"/>
        <w:pageBreakBefore/>
        <w:spacing w:line="360" w:lineRule="auto"/>
        <w:rPr>
          <w:rFonts w:hint="eastAsia" w:ascii="宋体" w:hAnsi="宋体" w:eastAsia="宋体"/>
          <w:b w:val="0"/>
          <w:bCs w:val="0"/>
          <w:color w:val="auto"/>
          <w:sz w:val="24"/>
          <w:szCs w:val="24"/>
          <w:highlight w:val="none"/>
          <w:lang w:eastAsia="zh-CN"/>
        </w:rPr>
      </w:pPr>
      <w:bookmarkStart w:id="90" w:name="_Toc381274750"/>
      <w:bookmarkStart w:id="91" w:name="_Toc135017409"/>
      <w:bookmarkStart w:id="92" w:name="_Toc153783423"/>
      <w:bookmarkStart w:id="93" w:name="_Toc496598993"/>
      <w:bookmarkStart w:id="94" w:name="_Toc113618083"/>
      <w:bookmarkStart w:id="95" w:name="_Toc142122886"/>
      <w:bookmarkStart w:id="96" w:name="_Toc443464315"/>
      <w:bookmarkStart w:id="97" w:name="_Toc444630800"/>
      <w:bookmarkStart w:id="98" w:name="_Toc472926109"/>
      <w:bookmarkStart w:id="99" w:name="_Toc482692803"/>
      <w:bookmarkStart w:id="100" w:name="_Toc10018850"/>
      <w:bookmarkStart w:id="101" w:name="_Toc27419"/>
      <w:bookmarkStart w:id="102" w:name="_Toc30339"/>
      <w:bookmarkStart w:id="103" w:name="_Toc29497"/>
      <w:r>
        <w:rPr>
          <w:rFonts w:hint="eastAsia" w:ascii="宋体" w:hAnsi="宋体" w:eastAsia="宋体"/>
          <w:b w:val="0"/>
          <w:bCs w:val="0"/>
          <w:color w:val="auto"/>
          <w:sz w:val="24"/>
          <w:szCs w:val="24"/>
          <w:highlight w:val="none"/>
        </w:rPr>
        <w:t>附件</w:t>
      </w:r>
      <w:bookmarkEnd w:id="90"/>
      <w:bookmarkEnd w:id="91"/>
      <w:bookmarkEnd w:id="92"/>
      <w:bookmarkEnd w:id="93"/>
      <w:bookmarkEnd w:id="94"/>
      <w:bookmarkEnd w:id="95"/>
      <w:bookmarkEnd w:id="96"/>
      <w:bookmarkEnd w:id="97"/>
      <w:bookmarkEnd w:id="98"/>
      <w:bookmarkEnd w:id="99"/>
      <w:r>
        <w:rPr>
          <w:rFonts w:hint="eastAsia" w:ascii="宋体" w:hAnsi="宋体" w:eastAsia="宋体"/>
          <w:b w:val="0"/>
          <w:bCs w:val="0"/>
          <w:color w:val="auto"/>
          <w:sz w:val="24"/>
          <w:szCs w:val="24"/>
          <w:highlight w:val="none"/>
          <w:lang w:val="en-US" w:eastAsia="zh-CN"/>
        </w:rPr>
        <w:t>十一</w:t>
      </w:r>
      <w:r>
        <w:rPr>
          <w:rFonts w:hint="eastAsia" w:ascii="宋体" w:hAnsi="宋体" w:eastAsia="宋体"/>
          <w:b w:val="0"/>
          <w:bCs w:val="0"/>
          <w:color w:val="auto"/>
          <w:sz w:val="24"/>
          <w:szCs w:val="24"/>
          <w:highlight w:val="none"/>
        </w:rPr>
        <w:t>：</w:t>
      </w:r>
      <w:bookmarkEnd w:id="100"/>
      <w:bookmarkEnd w:id="101"/>
      <w:r>
        <w:rPr>
          <w:rFonts w:hint="eastAsia" w:ascii="宋体" w:hAnsi="宋体" w:eastAsia="宋体"/>
          <w:b w:val="0"/>
          <w:bCs w:val="0"/>
          <w:color w:val="auto"/>
          <w:sz w:val="24"/>
          <w:szCs w:val="24"/>
          <w:highlight w:val="none"/>
          <w:lang w:eastAsia="zh-CN"/>
        </w:rPr>
        <w:t>产品配置清单</w:t>
      </w:r>
      <w:bookmarkEnd w:id="102"/>
    </w:p>
    <w:p>
      <w:pPr>
        <w:snapToGrid w:val="0"/>
        <w:spacing w:before="120" w:beforeLines="50" w:after="50" w:line="360" w:lineRule="auto"/>
        <w:jc w:val="center"/>
        <w:rPr>
          <w:rFonts w:hint="eastAsia" w:ascii="宋体" w:hAnsi="宋体"/>
          <w:b/>
          <w:color w:val="auto"/>
          <w:sz w:val="24"/>
          <w:highlight w:val="none"/>
        </w:rPr>
      </w:pPr>
      <w:r>
        <w:rPr>
          <w:rFonts w:hint="eastAsia" w:ascii="宋体" w:hAnsi="宋体"/>
          <w:b/>
          <w:color w:val="auto"/>
          <w:sz w:val="28"/>
          <w:szCs w:val="28"/>
          <w:highlight w:val="none"/>
        </w:rPr>
        <w:t>产品配置清单</w:t>
      </w:r>
      <w:r>
        <w:rPr>
          <w:rFonts w:ascii="宋体" w:hAnsi="宋体"/>
          <w:b/>
          <w:color w:val="auto"/>
          <w:sz w:val="28"/>
          <w:szCs w:val="28"/>
          <w:highlight w:val="none"/>
        </w:rPr>
        <w:t xml:space="preserve"> </w:t>
      </w:r>
    </w:p>
    <w:p>
      <w:pPr>
        <w:pStyle w:val="20"/>
        <w:spacing w:line="360" w:lineRule="auto"/>
        <w:ind w:right="904"/>
        <w:rPr>
          <w:rFonts w:hint="eastAsia"/>
          <w:color w:val="auto"/>
          <w:highlight w:val="none"/>
        </w:rPr>
      </w:pPr>
      <w:r>
        <w:rPr>
          <w:rFonts w:hint="eastAsia"/>
          <w:color w:val="auto"/>
          <w:highlight w:val="none"/>
        </w:rPr>
        <w:t xml:space="preserve">项目名称：                                             </w:t>
      </w:r>
      <w:r>
        <w:rPr>
          <w:color w:val="auto"/>
          <w:highlight w:val="none"/>
        </w:rPr>
        <w:t>招标编号：</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596"/>
        <w:gridCol w:w="596"/>
        <w:gridCol w:w="1260"/>
        <w:gridCol w:w="1260"/>
        <w:gridCol w:w="334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95" w:hRule="exact"/>
          <w:jc w:val="center"/>
        </w:trPr>
        <w:tc>
          <w:tcPr>
            <w:tcW w:w="596" w:type="dxa"/>
            <w:tcBorders>
              <w:bottom w:val="nil"/>
            </w:tcBorders>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品牌型号</w:t>
            </w:r>
          </w:p>
        </w:tc>
        <w:tc>
          <w:tcPr>
            <w:tcW w:w="596" w:type="dxa"/>
            <w:tcBorders>
              <w:bottom w:val="nil"/>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序号</w:t>
            </w:r>
          </w:p>
        </w:tc>
        <w:tc>
          <w:tcPr>
            <w:tcW w:w="1260" w:type="dxa"/>
            <w:tcBorders>
              <w:bottom w:val="nil"/>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配件名称型号</w:t>
            </w:r>
          </w:p>
        </w:tc>
        <w:tc>
          <w:tcPr>
            <w:tcW w:w="1260"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配件品牌</w:t>
            </w:r>
          </w:p>
        </w:tc>
        <w:tc>
          <w:tcPr>
            <w:tcW w:w="3348" w:type="dxa"/>
            <w:noWrap w:val="0"/>
            <w:vAlign w:val="center"/>
          </w:tcPr>
          <w:p>
            <w:pPr>
              <w:ind w:right="54"/>
              <w:jc w:val="center"/>
              <w:rPr>
                <w:rFonts w:ascii="宋体" w:hAnsi="宋体"/>
                <w:color w:val="auto"/>
                <w:sz w:val="24"/>
                <w:highlight w:val="none"/>
              </w:rPr>
            </w:pPr>
            <w:r>
              <w:rPr>
                <w:rFonts w:hint="eastAsia" w:ascii="宋体" w:hAnsi="宋体"/>
                <w:color w:val="auto"/>
                <w:sz w:val="24"/>
                <w:highlight w:val="none"/>
              </w:rPr>
              <w:t>技术指标、功能及配置描述</w:t>
            </w:r>
          </w:p>
        </w:tc>
        <w:tc>
          <w:tcPr>
            <w:tcW w:w="1080" w:type="dxa"/>
            <w:noWrap w:val="0"/>
            <w:vAlign w:val="center"/>
          </w:tcPr>
          <w:p>
            <w:pPr>
              <w:ind w:right="54"/>
              <w:jc w:val="center"/>
              <w:rPr>
                <w:rFonts w:ascii="宋体" w:hAnsi="宋体"/>
                <w:color w:val="auto"/>
                <w:sz w:val="24"/>
                <w:highlight w:val="none"/>
              </w:rPr>
            </w:pPr>
            <w:r>
              <w:rPr>
                <w:rFonts w:hint="eastAsia" w:ascii="宋体" w:hAnsi="宋体"/>
                <w:color w:val="auto"/>
                <w:sz w:val="24"/>
                <w:highlight w:val="none"/>
              </w:rPr>
              <w:t>产地</w:t>
            </w:r>
          </w:p>
        </w:tc>
        <w:tc>
          <w:tcPr>
            <w:tcW w:w="1080" w:type="dxa"/>
            <w:noWrap w:val="0"/>
            <w:vAlign w:val="center"/>
          </w:tcPr>
          <w:p>
            <w:pPr>
              <w:ind w:right="54"/>
              <w:jc w:val="center"/>
              <w:rPr>
                <w:rFonts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restart"/>
            <w:noWrap w:val="0"/>
            <w:vAlign w:val="center"/>
          </w:tcPr>
          <w:p>
            <w:pPr>
              <w:spacing w:line="360" w:lineRule="auto"/>
              <w:jc w:val="center"/>
              <w:rPr>
                <w:rFonts w:ascii="宋体" w:hAnsi="宋体"/>
                <w:color w:val="auto"/>
                <w:sz w:val="24"/>
                <w:highlight w:val="none"/>
              </w:rPr>
            </w:pPr>
          </w:p>
        </w:tc>
        <w:tc>
          <w:tcPr>
            <w:tcW w:w="596"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3348"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noWrap w:val="0"/>
            <w:vAlign w:val="center"/>
          </w:tcPr>
          <w:p>
            <w:pPr>
              <w:spacing w:line="360" w:lineRule="auto"/>
              <w:jc w:val="center"/>
              <w:rPr>
                <w:rFonts w:ascii="宋体" w:hAnsi="宋体"/>
                <w:color w:val="auto"/>
                <w:sz w:val="24"/>
                <w:highlight w:val="none"/>
              </w:rPr>
            </w:pPr>
          </w:p>
        </w:tc>
        <w:tc>
          <w:tcPr>
            <w:tcW w:w="596"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3348"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noWrap w:val="0"/>
            <w:vAlign w:val="center"/>
          </w:tcPr>
          <w:p>
            <w:pPr>
              <w:spacing w:line="360" w:lineRule="auto"/>
              <w:jc w:val="center"/>
              <w:rPr>
                <w:rFonts w:ascii="宋体" w:hAnsi="宋体"/>
                <w:color w:val="auto"/>
                <w:sz w:val="24"/>
                <w:highlight w:val="none"/>
              </w:rPr>
            </w:pPr>
          </w:p>
        </w:tc>
        <w:tc>
          <w:tcPr>
            <w:tcW w:w="596"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3348"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noWrap w:val="0"/>
            <w:vAlign w:val="center"/>
          </w:tcPr>
          <w:p>
            <w:pPr>
              <w:spacing w:line="360" w:lineRule="auto"/>
              <w:jc w:val="center"/>
              <w:rPr>
                <w:rFonts w:ascii="宋体" w:hAnsi="宋体"/>
                <w:color w:val="auto"/>
                <w:sz w:val="24"/>
                <w:highlight w:val="none"/>
              </w:rPr>
            </w:pPr>
          </w:p>
        </w:tc>
        <w:tc>
          <w:tcPr>
            <w:tcW w:w="596"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3348"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noWrap w:val="0"/>
            <w:vAlign w:val="center"/>
          </w:tcPr>
          <w:p>
            <w:pPr>
              <w:spacing w:line="360" w:lineRule="auto"/>
              <w:jc w:val="center"/>
              <w:rPr>
                <w:rFonts w:ascii="宋体" w:hAnsi="宋体"/>
                <w:color w:val="auto"/>
                <w:sz w:val="24"/>
                <w:highlight w:val="none"/>
              </w:rPr>
            </w:pPr>
          </w:p>
        </w:tc>
        <w:tc>
          <w:tcPr>
            <w:tcW w:w="596"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3348"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noWrap w:val="0"/>
            <w:vAlign w:val="center"/>
          </w:tcPr>
          <w:p>
            <w:pPr>
              <w:spacing w:line="360" w:lineRule="auto"/>
              <w:jc w:val="center"/>
              <w:rPr>
                <w:rFonts w:ascii="宋体" w:hAnsi="宋体"/>
                <w:color w:val="auto"/>
                <w:sz w:val="24"/>
                <w:highlight w:val="none"/>
              </w:rPr>
            </w:pPr>
          </w:p>
        </w:tc>
        <w:tc>
          <w:tcPr>
            <w:tcW w:w="596"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3348"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noWrap w:val="0"/>
            <w:vAlign w:val="center"/>
          </w:tcPr>
          <w:p>
            <w:pPr>
              <w:spacing w:line="360" w:lineRule="auto"/>
              <w:jc w:val="center"/>
              <w:rPr>
                <w:rFonts w:ascii="宋体" w:hAnsi="宋体"/>
                <w:color w:val="auto"/>
                <w:sz w:val="24"/>
                <w:highlight w:val="none"/>
              </w:rPr>
            </w:pPr>
          </w:p>
        </w:tc>
        <w:tc>
          <w:tcPr>
            <w:tcW w:w="596"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3348"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noWrap w:val="0"/>
            <w:vAlign w:val="center"/>
          </w:tcPr>
          <w:p>
            <w:pPr>
              <w:spacing w:line="360" w:lineRule="auto"/>
              <w:jc w:val="center"/>
              <w:rPr>
                <w:rFonts w:ascii="宋体" w:hAnsi="宋体"/>
                <w:color w:val="auto"/>
                <w:sz w:val="24"/>
                <w:highlight w:val="none"/>
              </w:rPr>
            </w:pPr>
          </w:p>
        </w:tc>
        <w:tc>
          <w:tcPr>
            <w:tcW w:w="596"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3348"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noWrap w:val="0"/>
            <w:vAlign w:val="center"/>
          </w:tcPr>
          <w:p>
            <w:pPr>
              <w:spacing w:line="360" w:lineRule="auto"/>
              <w:jc w:val="center"/>
              <w:rPr>
                <w:rFonts w:ascii="宋体" w:hAnsi="宋体"/>
                <w:color w:val="auto"/>
                <w:sz w:val="24"/>
                <w:highlight w:val="none"/>
              </w:rPr>
            </w:pPr>
          </w:p>
        </w:tc>
        <w:tc>
          <w:tcPr>
            <w:tcW w:w="596"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1260" w:type="dxa"/>
            <w:noWrap w:val="0"/>
            <w:vAlign w:val="center"/>
          </w:tcPr>
          <w:p>
            <w:pPr>
              <w:spacing w:line="360" w:lineRule="auto"/>
              <w:jc w:val="center"/>
              <w:rPr>
                <w:rFonts w:ascii="宋体" w:hAnsi="宋体"/>
                <w:color w:val="auto"/>
                <w:sz w:val="24"/>
                <w:highlight w:val="none"/>
              </w:rPr>
            </w:pPr>
          </w:p>
        </w:tc>
        <w:tc>
          <w:tcPr>
            <w:tcW w:w="3348"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c>
          <w:tcPr>
            <w:tcW w:w="1080" w:type="dxa"/>
            <w:noWrap w:val="0"/>
            <w:vAlign w:val="center"/>
          </w:tcPr>
          <w:p>
            <w:pPr>
              <w:spacing w:line="360" w:lineRule="auto"/>
              <w:ind w:right="54"/>
              <w:jc w:val="center"/>
              <w:rPr>
                <w:rFonts w:ascii="宋体" w:hAnsi="宋体"/>
                <w:color w:val="auto"/>
                <w:sz w:val="24"/>
                <w:highlight w:val="none"/>
              </w:rPr>
            </w:pPr>
          </w:p>
        </w:tc>
      </w:tr>
    </w:tbl>
    <w:p>
      <w:pPr>
        <w:pStyle w:val="20"/>
        <w:tabs>
          <w:tab w:val="left" w:pos="4312"/>
        </w:tabs>
        <w:spacing w:line="360" w:lineRule="auto"/>
        <w:rPr>
          <w:rFonts w:hint="eastAsia"/>
          <w:color w:val="auto"/>
          <w:highlight w:val="none"/>
        </w:rPr>
      </w:pPr>
      <w:r>
        <w:rPr>
          <w:color w:val="auto"/>
          <w:highlight w:val="none"/>
        </w:rPr>
        <w:t xml:space="preserve"> </w:t>
      </w:r>
    </w:p>
    <w:p>
      <w:pPr>
        <w:pStyle w:val="20"/>
        <w:tabs>
          <w:tab w:val="left" w:pos="4312"/>
        </w:tabs>
        <w:spacing w:line="360" w:lineRule="auto"/>
        <w:rPr>
          <w:rFonts w:hint="eastAsia"/>
          <w:color w:val="auto"/>
          <w:highlight w:val="none"/>
        </w:rPr>
      </w:pPr>
      <w:r>
        <w:rPr>
          <w:rFonts w:hint="eastAsia"/>
          <w:color w:val="auto"/>
          <w:highlight w:val="none"/>
        </w:rPr>
        <w:t>投标单位（公章）：</w:t>
      </w:r>
    </w:p>
    <w:p>
      <w:pPr>
        <w:pStyle w:val="20"/>
        <w:tabs>
          <w:tab w:val="left" w:pos="4312"/>
        </w:tabs>
        <w:spacing w:line="360" w:lineRule="auto"/>
        <w:rPr>
          <w:rFonts w:hint="eastAsia"/>
          <w:color w:val="auto"/>
          <w:highlight w:val="none"/>
        </w:rPr>
      </w:pPr>
      <w:r>
        <w:rPr>
          <w:rFonts w:hint="eastAsia"/>
          <w:color w:val="auto"/>
          <w:highlight w:val="none"/>
        </w:rPr>
        <w:t>授权</w:t>
      </w:r>
      <w:r>
        <w:rPr>
          <w:color w:val="auto"/>
          <w:highlight w:val="none"/>
        </w:rPr>
        <w:t>代表签字：</w:t>
      </w:r>
    </w:p>
    <w:p>
      <w:pPr>
        <w:pStyle w:val="20"/>
        <w:tabs>
          <w:tab w:val="left" w:pos="4312"/>
        </w:tabs>
        <w:spacing w:line="360" w:lineRule="auto"/>
        <w:ind w:firstLine="360" w:firstLineChars="150"/>
        <w:rPr>
          <w:rFonts w:hint="eastAsia"/>
          <w:color w:val="auto"/>
          <w:highlight w:val="none"/>
        </w:rPr>
      </w:pPr>
      <w:r>
        <w:rPr>
          <w:rFonts w:hint="eastAsia"/>
          <w:color w:val="auto"/>
          <w:highlight w:val="none"/>
        </w:rPr>
        <w:t xml:space="preserve">      日期：</w:t>
      </w: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r>
        <w:rPr>
          <w:rFonts w:hint="eastAsia"/>
          <w:color w:val="auto"/>
          <w:sz w:val="24"/>
          <w:highlight w:val="none"/>
        </w:rPr>
        <w:t>注：此表在不改变投标内容的情况下可自行制作</w:t>
      </w:r>
    </w:p>
    <w:p>
      <w:pPr>
        <w:rPr>
          <w:rFonts w:hint="eastAsia"/>
          <w:color w:val="auto"/>
          <w:sz w:val="24"/>
          <w:highlight w:val="none"/>
        </w:rPr>
      </w:pPr>
    </w:p>
    <w:p>
      <w:pPr>
        <w:rPr>
          <w:rFonts w:hint="eastAsia"/>
          <w:color w:val="auto"/>
          <w:sz w:val="24"/>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ageBreakBefore/>
        <w:spacing w:line="360" w:lineRule="auto"/>
        <w:ind w:right="1123"/>
        <w:jc w:val="left"/>
        <w:outlineLvl w:val="1"/>
        <w:rPr>
          <w:rFonts w:hint="eastAsia" w:ascii="宋体" w:hAnsi="宋体"/>
          <w:color w:val="auto"/>
          <w:sz w:val="24"/>
          <w:szCs w:val="28"/>
          <w:highlight w:val="none"/>
        </w:rPr>
      </w:pPr>
      <w:bookmarkStart w:id="104" w:name="_Toc10018851"/>
      <w:bookmarkStart w:id="105" w:name="_Toc22614"/>
      <w:bookmarkStart w:id="106" w:name="_Toc11354"/>
      <w:bookmarkStart w:id="107" w:name="_Toc23228"/>
      <w:r>
        <w:rPr>
          <w:rFonts w:hint="eastAsia" w:ascii="宋体" w:hAnsi="宋体"/>
          <w:color w:val="auto"/>
          <w:sz w:val="24"/>
          <w:szCs w:val="28"/>
          <w:highlight w:val="none"/>
        </w:rPr>
        <w:t>附件</w:t>
      </w:r>
      <w:r>
        <w:rPr>
          <w:rFonts w:hint="eastAsia" w:ascii="宋体" w:hAnsi="宋体"/>
          <w:color w:val="auto"/>
          <w:sz w:val="24"/>
          <w:szCs w:val="28"/>
          <w:highlight w:val="none"/>
          <w:lang w:val="en-US" w:eastAsia="zh-CN"/>
        </w:rPr>
        <w:t>十二</w:t>
      </w:r>
      <w:r>
        <w:rPr>
          <w:rFonts w:hint="eastAsia" w:ascii="宋体" w:hAnsi="宋体"/>
          <w:color w:val="auto"/>
          <w:sz w:val="24"/>
          <w:szCs w:val="28"/>
          <w:highlight w:val="none"/>
        </w:rPr>
        <w:t>：</w:t>
      </w:r>
      <w:bookmarkEnd w:id="104"/>
      <w:bookmarkEnd w:id="105"/>
      <w:bookmarkEnd w:id="106"/>
      <w:r>
        <w:rPr>
          <w:rFonts w:hint="eastAsia" w:ascii="宋体" w:hAnsi="宋体"/>
          <w:color w:val="auto"/>
          <w:sz w:val="24"/>
          <w:szCs w:val="28"/>
          <w:highlight w:val="none"/>
        </w:rPr>
        <w:t>随机标准附件、备品备件、零配件、专用工具清单</w:t>
      </w:r>
      <w:bookmarkEnd w:id="107"/>
    </w:p>
    <w:p>
      <w:pPr>
        <w:spacing w:line="360" w:lineRule="auto"/>
        <w:ind w:right="1120"/>
        <w:jc w:val="left"/>
        <w:rPr>
          <w:rFonts w:hint="eastAsia" w:ascii="宋体" w:hAnsi="宋体"/>
          <w:color w:val="auto"/>
          <w:sz w:val="24"/>
          <w:szCs w:val="28"/>
          <w:highlight w:val="none"/>
        </w:rPr>
      </w:pPr>
    </w:p>
    <w:p>
      <w:pPr>
        <w:snapToGrid w:val="0"/>
        <w:spacing w:line="300" w:lineRule="auto"/>
        <w:jc w:val="center"/>
        <w:rPr>
          <w:rFonts w:ascii="宋体" w:hAnsi="宋体"/>
          <w:b/>
          <w:bCs/>
          <w:color w:val="auto"/>
          <w:kern w:val="0"/>
          <w:sz w:val="28"/>
          <w:szCs w:val="20"/>
          <w:highlight w:val="none"/>
        </w:rPr>
      </w:pPr>
      <w:bookmarkStart w:id="108" w:name="_Toc10018852"/>
      <w:bookmarkStart w:id="109" w:name="_Toc13153"/>
      <w:bookmarkStart w:id="110" w:name="_Toc10825"/>
      <w:r>
        <w:rPr>
          <w:rFonts w:ascii="宋体" w:hAnsi="宋体"/>
          <w:b/>
          <w:bCs/>
          <w:color w:val="auto"/>
          <w:kern w:val="0"/>
          <w:sz w:val="28"/>
          <w:szCs w:val="20"/>
          <w:highlight w:val="none"/>
        </w:rPr>
        <w:t>随机标准附件、备品备件、零配件、专用工具清单</w:t>
      </w:r>
    </w:p>
    <w:p>
      <w:pPr>
        <w:adjustRightInd w:val="0"/>
        <w:snapToGrid w:val="0"/>
        <w:spacing w:line="300" w:lineRule="auto"/>
        <w:rPr>
          <w:rFonts w:ascii="宋体" w:hAnsi="宋体"/>
          <w:bCs/>
          <w:color w:val="auto"/>
          <w:kern w:val="0"/>
          <w:sz w:val="24"/>
          <w:szCs w:val="20"/>
          <w:highlight w:val="none"/>
        </w:rPr>
      </w:pPr>
      <w:r>
        <w:rPr>
          <w:rFonts w:ascii="宋体" w:hAnsi="宋体"/>
          <w:bCs/>
          <w:color w:val="auto"/>
          <w:kern w:val="0"/>
          <w:sz w:val="24"/>
          <w:szCs w:val="20"/>
          <w:highlight w:val="none"/>
        </w:rPr>
        <w:t>项目名称：</w:t>
      </w:r>
      <w:r>
        <w:rPr>
          <w:rFonts w:hint="eastAsia" w:ascii="宋体" w:hAnsi="宋体"/>
          <w:bCs/>
          <w:color w:val="auto"/>
          <w:kern w:val="0"/>
          <w:sz w:val="24"/>
          <w:szCs w:val="20"/>
          <w:highlight w:val="none"/>
        </w:rPr>
        <w:t xml:space="preserve">                                               </w:t>
      </w:r>
    </w:p>
    <w:p>
      <w:pPr>
        <w:adjustRightInd w:val="0"/>
        <w:snapToGrid w:val="0"/>
        <w:spacing w:line="300" w:lineRule="auto"/>
        <w:rPr>
          <w:rFonts w:ascii="宋体" w:hAnsi="宋体"/>
          <w:bCs/>
          <w:color w:val="auto"/>
          <w:kern w:val="0"/>
          <w:sz w:val="24"/>
          <w:szCs w:val="20"/>
          <w:highlight w:val="none"/>
        </w:rPr>
      </w:pPr>
      <w:r>
        <w:rPr>
          <w:rFonts w:ascii="宋体" w:hAnsi="宋体"/>
          <w:bCs/>
          <w:color w:val="auto"/>
          <w:kern w:val="0"/>
          <w:sz w:val="24"/>
          <w:szCs w:val="20"/>
          <w:highlight w:val="none"/>
        </w:rPr>
        <w:t>招标项目编号：</w:t>
      </w:r>
      <w:r>
        <w:rPr>
          <w:rFonts w:hint="eastAsia" w:ascii="宋体" w:hAnsi="宋体"/>
          <w:bCs/>
          <w:color w:val="auto"/>
          <w:kern w:val="0"/>
          <w:sz w:val="24"/>
          <w:szCs w:val="20"/>
          <w:highlight w:val="none"/>
        </w:rPr>
        <w:t xml:space="preserve">                                           </w:t>
      </w:r>
      <w:r>
        <w:rPr>
          <w:rFonts w:ascii="宋体" w:hAnsi="宋体"/>
          <w:bCs/>
          <w:color w:val="auto"/>
          <w:kern w:val="0"/>
          <w:sz w:val="24"/>
          <w:szCs w:val="20"/>
          <w:highlight w:val="none"/>
        </w:rPr>
        <w:t>单位：元</w:t>
      </w:r>
    </w:p>
    <w:tbl>
      <w:tblPr>
        <w:tblStyle w:val="3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350"/>
        <w:gridCol w:w="1316"/>
        <w:gridCol w:w="720"/>
        <w:gridCol w:w="720"/>
        <w:gridCol w:w="1380"/>
        <w:gridCol w:w="780"/>
        <w:gridCol w:w="720"/>
        <w:gridCol w:w="1656"/>
        <w:gridCol w:w="7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38" w:type="dxa"/>
            <w:noWrap w:val="0"/>
            <w:vAlign w:val="center"/>
          </w:tcPr>
          <w:p>
            <w:pPr>
              <w:snapToGrid w:val="0"/>
              <w:spacing w:line="300" w:lineRule="auto"/>
              <w:jc w:val="center"/>
              <w:rPr>
                <w:rFonts w:ascii="宋体" w:hAnsi="宋体"/>
                <w:bCs/>
                <w:color w:val="auto"/>
                <w:kern w:val="0"/>
                <w:sz w:val="24"/>
                <w:szCs w:val="20"/>
                <w:highlight w:val="none"/>
              </w:rPr>
            </w:pPr>
            <w:r>
              <w:rPr>
                <w:rFonts w:ascii="宋体" w:hAnsi="宋体"/>
                <w:bCs/>
                <w:color w:val="auto"/>
                <w:kern w:val="0"/>
                <w:sz w:val="24"/>
                <w:szCs w:val="20"/>
                <w:highlight w:val="none"/>
              </w:rPr>
              <w:t>序号</w:t>
            </w:r>
          </w:p>
        </w:tc>
        <w:tc>
          <w:tcPr>
            <w:tcW w:w="1350" w:type="dxa"/>
            <w:noWrap w:val="0"/>
            <w:vAlign w:val="center"/>
          </w:tcPr>
          <w:p>
            <w:pPr>
              <w:snapToGrid w:val="0"/>
              <w:spacing w:line="300" w:lineRule="auto"/>
              <w:jc w:val="center"/>
              <w:rPr>
                <w:rFonts w:ascii="宋体" w:hAnsi="宋体"/>
                <w:bCs/>
                <w:color w:val="auto"/>
                <w:kern w:val="0"/>
                <w:sz w:val="24"/>
                <w:szCs w:val="20"/>
                <w:highlight w:val="none"/>
              </w:rPr>
            </w:pPr>
            <w:r>
              <w:rPr>
                <w:rFonts w:ascii="宋体" w:hAnsi="宋体"/>
                <w:bCs/>
                <w:color w:val="auto"/>
                <w:kern w:val="0"/>
                <w:sz w:val="24"/>
                <w:szCs w:val="20"/>
                <w:highlight w:val="none"/>
              </w:rPr>
              <w:t>材料及部件名称</w:t>
            </w:r>
          </w:p>
        </w:tc>
        <w:tc>
          <w:tcPr>
            <w:tcW w:w="1316" w:type="dxa"/>
            <w:noWrap w:val="0"/>
            <w:vAlign w:val="center"/>
          </w:tcPr>
          <w:p>
            <w:pPr>
              <w:snapToGrid w:val="0"/>
              <w:spacing w:line="300" w:lineRule="auto"/>
              <w:jc w:val="center"/>
              <w:rPr>
                <w:rFonts w:hint="eastAsia" w:ascii="宋体" w:hAnsi="宋体"/>
                <w:bCs/>
                <w:color w:val="auto"/>
                <w:kern w:val="0"/>
                <w:sz w:val="24"/>
                <w:szCs w:val="20"/>
                <w:highlight w:val="none"/>
              </w:rPr>
            </w:pPr>
            <w:r>
              <w:rPr>
                <w:rFonts w:ascii="宋体" w:hAnsi="宋体"/>
                <w:bCs/>
                <w:color w:val="auto"/>
                <w:kern w:val="0"/>
                <w:sz w:val="24"/>
                <w:szCs w:val="20"/>
                <w:highlight w:val="none"/>
              </w:rPr>
              <w:t>型号</w:t>
            </w:r>
          </w:p>
          <w:p>
            <w:pPr>
              <w:snapToGrid w:val="0"/>
              <w:spacing w:line="300" w:lineRule="auto"/>
              <w:jc w:val="center"/>
              <w:rPr>
                <w:rFonts w:ascii="宋体" w:hAnsi="宋体"/>
                <w:bCs/>
                <w:color w:val="auto"/>
                <w:kern w:val="0"/>
                <w:sz w:val="24"/>
                <w:szCs w:val="20"/>
                <w:highlight w:val="none"/>
              </w:rPr>
            </w:pPr>
            <w:r>
              <w:rPr>
                <w:rFonts w:ascii="宋体" w:hAnsi="宋体"/>
                <w:bCs/>
                <w:color w:val="auto"/>
                <w:kern w:val="0"/>
                <w:sz w:val="24"/>
                <w:szCs w:val="20"/>
                <w:highlight w:val="none"/>
              </w:rPr>
              <w:t>规格</w:t>
            </w:r>
          </w:p>
        </w:tc>
        <w:tc>
          <w:tcPr>
            <w:tcW w:w="720" w:type="dxa"/>
            <w:noWrap w:val="0"/>
            <w:vAlign w:val="center"/>
          </w:tcPr>
          <w:p>
            <w:pPr>
              <w:snapToGrid w:val="0"/>
              <w:spacing w:line="300" w:lineRule="auto"/>
              <w:jc w:val="center"/>
              <w:rPr>
                <w:rFonts w:ascii="宋体" w:hAnsi="宋体"/>
                <w:bCs/>
                <w:color w:val="auto"/>
                <w:kern w:val="0"/>
                <w:sz w:val="24"/>
                <w:szCs w:val="20"/>
                <w:highlight w:val="none"/>
              </w:rPr>
            </w:pPr>
            <w:r>
              <w:rPr>
                <w:rFonts w:ascii="宋体" w:hAnsi="宋体"/>
                <w:bCs/>
                <w:color w:val="auto"/>
                <w:kern w:val="0"/>
                <w:sz w:val="24"/>
                <w:szCs w:val="20"/>
                <w:highlight w:val="none"/>
              </w:rPr>
              <w:t>数量</w:t>
            </w:r>
          </w:p>
        </w:tc>
        <w:tc>
          <w:tcPr>
            <w:tcW w:w="720" w:type="dxa"/>
            <w:noWrap w:val="0"/>
            <w:vAlign w:val="center"/>
          </w:tcPr>
          <w:p>
            <w:pPr>
              <w:snapToGrid w:val="0"/>
              <w:spacing w:line="300" w:lineRule="auto"/>
              <w:jc w:val="center"/>
              <w:rPr>
                <w:rFonts w:ascii="宋体" w:hAnsi="宋体"/>
                <w:bCs/>
                <w:color w:val="auto"/>
                <w:kern w:val="0"/>
                <w:sz w:val="24"/>
                <w:szCs w:val="20"/>
                <w:highlight w:val="none"/>
              </w:rPr>
            </w:pPr>
            <w:r>
              <w:rPr>
                <w:rFonts w:ascii="宋体" w:hAnsi="宋体"/>
                <w:bCs/>
                <w:color w:val="auto"/>
                <w:kern w:val="0"/>
                <w:sz w:val="24"/>
                <w:szCs w:val="20"/>
                <w:highlight w:val="none"/>
              </w:rPr>
              <w:t>单位</w:t>
            </w:r>
          </w:p>
        </w:tc>
        <w:tc>
          <w:tcPr>
            <w:tcW w:w="1380" w:type="dxa"/>
            <w:noWrap w:val="0"/>
            <w:vAlign w:val="center"/>
          </w:tcPr>
          <w:p>
            <w:pPr>
              <w:snapToGrid w:val="0"/>
              <w:spacing w:line="300" w:lineRule="auto"/>
              <w:jc w:val="center"/>
              <w:rPr>
                <w:rFonts w:ascii="宋体" w:hAnsi="宋体"/>
                <w:bCs/>
                <w:color w:val="auto"/>
                <w:kern w:val="0"/>
                <w:sz w:val="24"/>
                <w:szCs w:val="20"/>
                <w:highlight w:val="none"/>
              </w:rPr>
            </w:pPr>
            <w:r>
              <w:rPr>
                <w:rFonts w:ascii="宋体" w:hAnsi="宋体"/>
                <w:bCs/>
                <w:color w:val="auto"/>
                <w:kern w:val="0"/>
                <w:sz w:val="24"/>
                <w:szCs w:val="20"/>
                <w:highlight w:val="none"/>
              </w:rPr>
              <w:t>制造商/产地/品牌</w:t>
            </w:r>
          </w:p>
        </w:tc>
        <w:tc>
          <w:tcPr>
            <w:tcW w:w="780" w:type="dxa"/>
            <w:noWrap w:val="0"/>
            <w:vAlign w:val="center"/>
          </w:tcPr>
          <w:p>
            <w:pPr>
              <w:snapToGrid w:val="0"/>
              <w:spacing w:line="300" w:lineRule="auto"/>
              <w:jc w:val="center"/>
              <w:rPr>
                <w:rFonts w:ascii="宋体" w:hAnsi="宋体"/>
                <w:bCs/>
                <w:color w:val="auto"/>
                <w:kern w:val="0"/>
                <w:sz w:val="24"/>
                <w:szCs w:val="20"/>
                <w:highlight w:val="none"/>
              </w:rPr>
            </w:pPr>
            <w:r>
              <w:rPr>
                <w:rFonts w:ascii="宋体" w:hAnsi="宋体"/>
                <w:bCs/>
                <w:color w:val="auto"/>
                <w:kern w:val="0"/>
                <w:sz w:val="24"/>
                <w:szCs w:val="20"/>
                <w:highlight w:val="none"/>
              </w:rPr>
              <w:t>单价</w:t>
            </w:r>
          </w:p>
        </w:tc>
        <w:tc>
          <w:tcPr>
            <w:tcW w:w="720" w:type="dxa"/>
            <w:noWrap w:val="0"/>
            <w:vAlign w:val="center"/>
          </w:tcPr>
          <w:p>
            <w:pPr>
              <w:snapToGrid w:val="0"/>
              <w:spacing w:line="300" w:lineRule="auto"/>
              <w:jc w:val="center"/>
              <w:rPr>
                <w:rFonts w:ascii="宋体" w:hAnsi="宋体"/>
                <w:bCs/>
                <w:color w:val="auto"/>
                <w:kern w:val="0"/>
                <w:sz w:val="24"/>
                <w:szCs w:val="20"/>
                <w:highlight w:val="none"/>
              </w:rPr>
            </w:pPr>
            <w:r>
              <w:rPr>
                <w:rFonts w:ascii="宋体" w:hAnsi="宋体"/>
                <w:bCs/>
                <w:color w:val="auto"/>
                <w:kern w:val="0"/>
                <w:sz w:val="24"/>
                <w:szCs w:val="20"/>
                <w:highlight w:val="none"/>
              </w:rPr>
              <w:t>总价</w:t>
            </w:r>
          </w:p>
        </w:tc>
        <w:tc>
          <w:tcPr>
            <w:tcW w:w="1656" w:type="dxa"/>
            <w:noWrap w:val="0"/>
            <w:vAlign w:val="center"/>
          </w:tcPr>
          <w:p>
            <w:pPr>
              <w:snapToGrid w:val="0"/>
              <w:spacing w:line="300" w:lineRule="auto"/>
              <w:jc w:val="center"/>
              <w:rPr>
                <w:rFonts w:ascii="宋体" w:hAnsi="宋体"/>
                <w:bCs/>
                <w:color w:val="auto"/>
                <w:kern w:val="0"/>
                <w:sz w:val="24"/>
                <w:szCs w:val="20"/>
                <w:highlight w:val="none"/>
              </w:rPr>
            </w:pPr>
            <w:r>
              <w:rPr>
                <w:rFonts w:ascii="宋体" w:hAnsi="宋体"/>
                <w:bCs/>
                <w:color w:val="auto"/>
                <w:kern w:val="0"/>
                <w:sz w:val="24"/>
                <w:szCs w:val="20"/>
                <w:highlight w:val="none"/>
              </w:rPr>
              <w:t>对应设备名称</w:t>
            </w:r>
          </w:p>
        </w:tc>
        <w:tc>
          <w:tcPr>
            <w:tcW w:w="720" w:type="dxa"/>
            <w:noWrap w:val="0"/>
            <w:vAlign w:val="center"/>
          </w:tcPr>
          <w:p>
            <w:pPr>
              <w:snapToGrid w:val="0"/>
              <w:spacing w:line="300" w:lineRule="auto"/>
              <w:jc w:val="center"/>
              <w:rPr>
                <w:rFonts w:ascii="宋体" w:hAnsi="宋体"/>
                <w:bCs/>
                <w:color w:val="auto"/>
                <w:kern w:val="0"/>
                <w:sz w:val="24"/>
                <w:szCs w:val="20"/>
                <w:highlight w:val="none"/>
              </w:rPr>
            </w:pPr>
            <w:r>
              <w:rPr>
                <w:rFonts w:ascii="宋体" w:hAnsi="宋体"/>
                <w:bCs/>
                <w:color w:val="auto"/>
                <w:kern w:val="0"/>
                <w:sz w:val="24"/>
                <w:szCs w:val="20"/>
                <w:highlight w:val="none"/>
              </w:rPr>
              <w:t>用途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38" w:type="dxa"/>
            <w:noWrap w:val="0"/>
            <w:vAlign w:val="center"/>
          </w:tcPr>
          <w:p>
            <w:pPr>
              <w:snapToGrid w:val="0"/>
              <w:spacing w:line="300" w:lineRule="auto"/>
              <w:jc w:val="center"/>
              <w:rPr>
                <w:rFonts w:ascii="宋体" w:hAnsi="宋体"/>
                <w:bCs/>
                <w:color w:val="auto"/>
                <w:kern w:val="0"/>
                <w:sz w:val="24"/>
                <w:szCs w:val="20"/>
                <w:highlight w:val="none"/>
              </w:rPr>
            </w:pPr>
          </w:p>
        </w:tc>
        <w:tc>
          <w:tcPr>
            <w:tcW w:w="1350" w:type="dxa"/>
            <w:noWrap w:val="0"/>
            <w:vAlign w:val="center"/>
          </w:tcPr>
          <w:p>
            <w:pPr>
              <w:snapToGrid w:val="0"/>
              <w:spacing w:line="300" w:lineRule="auto"/>
              <w:rPr>
                <w:rFonts w:ascii="宋体" w:hAnsi="宋体"/>
                <w:bCs/>
                <w:color w:val="auto"/>
                <w:kern w:val="0"/>
                <w:sz w:val="24"/>
                <w:szCs w:val="20"/>
                <w:highlight w:val="none"/>
              </w:rPr>
            </w:pPr>
          </w:p>
        </w:tc>
        <w:tc>
          <w:tcPr>
            <w:tcW w:w="1316" w:type="dxa"/>
            <w:noWrap w:val="0"/>
            <w:vAlign w:val="center"/>
          </w:tcPr>
          <w:p>
            <w:pPr>
              <w:snapToGrid w:val="0"/>
              <w:spacing w:line="300" w:lineRule="auto"/>
              <w:jc w:val="center"/>
              <w:rPr>
                <w:rFonts w:ascii="宋体" w:hAnsi="宋体"/>
                <w:bCs/>
                <w:color w:val="auto"/>
                <w:kern w:val="0"/>
                <w:sz w:val="24"/>
                <w:szCs w:val="20"/>
                <w:highlight w:val="none"/>
              </w:rPr>
            </w:pPr>
          </w:p>
        </w:tc>
        <w:tc>
          <w:tcPr>
            <w:tcW w:w="720" w:type="dxa"/>
            <w:noWrap w:val="0"/>
            <w:vAlign w:val="center"/>
          </w:tcPr>
          <w:p>
            <w:pPr>
              <w:snapToGrid w:val="0"/>
              <w:spacing w:line="300" w:lineRule="auto"/>
              <w:jc w:val="center"/>
              <w:rPr>
                <w:rFonts w:ascii="宋体" w:hAnsi="宋体"/>
                <w:bCs/>
                <w:color w:val="auto"/>
                <w:kern w:val="0"/>
                <w:sz w:val="24"/>
                <w:szCs w:val="20"/>
                <w:highlight w:val="none"/>
              </w:rPr>
            </w:pPr>
          </w:p>
        </w:tc>
        <w:tc>
          <w:tcPr>
            <w:tcW w:w="720" w:type="dxa"/>
            <w:noWrap w:val="0"/>
            <w:vAlign w:val="center"/>
          </w:tcPr>
          <w:p>
            <w:pPr>
              <w:snapToGrid w:val="0"/>
              <w:spacing w:line="300" w:lineRule="auto"/>
              <w:jc w:val="center"/>
              <w:rPr>
                <w:rFonts w:ascii="宋体" w:hAnsi="宋体"/>
                <w:bCs/>
                <w:color w:val="auto"/>
                <w:kern w:val="0"/>
                <w:sz w:val="24"/>
                <w:szCs w:val="20"/>
                <w:highlight w:val="none"/>
              </w:rPr>
            </w:pPr>
          </w:p>
        </w:tc>
        <w:tc>
          <w:tcPr>
            <w:tcW w:w="1380" w:type="dxa"/>
            <w:noWrap w:val="0"/>
            <w:vAlign w:val="center"/>
          </w:tcPr>
          <w:p>
            <w:pPr>
              <w:snapToGrid w:val="0"/>
              <w:spacing w:line="300" w:lineRule="auto"/>
              <w:jc w:val="center"/>
              <w:rPr>
                <w:rFonts w:ascii="宋体" w:hAnsi="宋体"/>
                <w:bCs/>
                <w:color w:val="auto"/>
                <w:kern w:val="0"/>
                <w:sz w:val="24"/>
                <w:szCs w:val="20"/>
                <w:highlight w:val="none"/>
              </w:rPr>
            </w:pPr>
          </w:p>
        </w:tc>
        <w:tc>
          <w:tcPr>
            <w:tcW w:w="780" w:type="dxa"/>
            <w:noWrap w:val="0"/>
            <w:vAlign w:val="center"/>
          </w:tcPr>
          <w:p>
            <w:pPr>
              <w:snapToGrid w:val="0"/>
              <w:spacing w:line="300" w:lineRule="auto"/>
              <w:jc w:val="center"/>
              <w:rPr>
                <w:rFonts w:ascii="宋体" w:hAnsi="宋体"/>
                <w:bCs/>
                <w:color w:val="auto"/>
                <w:kern w:val="0"/>
                <w:sz w:val="24"/>
                <w:szCs w:val="20"/>
                <w:highlight w:val="none"/>
              </w:rPr>
            </w:pPr>
          </w:p>
        </w:tc>
        <w:tc>
          <w:tcPr>
            <w:tcW w:w="720" w:type="dxa"/>
            <w:noWrap w:val="0"/>
            <w:vAlign w:val="center"/>
          </w:tcPr>
          <w:p>
            <w:pPr>
              <w:snapToGrid w:val="0"/>
              <w:spacing w:line="300" w:lineRule="auto"/>
              <w:jc w:val="center"/>
              <w:rPr>
                <w:rFonts w:ascii="宋体" w:hAnsi="宋体"/>
                <w:bCs/>
                <w:color w:val="auto"/>
                <w:kern w:val="0"/>
                <w:sz w:val="24"/>
                <w:szCs w:val="20"/>
                <w:highlight w:val="none"/>
              </w:rPr>
            </w:pPr>
          </w:p>
        </w:tc>
        <w:tc>
          <w:tcPr>
            <w:tcW w:w="1656" w:type="dxa"/>
            <w:noWrap w:val="0"/>
            <w:vAlign w:val="center"/>
          </w:tcPr>
          <w:p>
            <w:pPr>
              <w:snapToGrid w:val="0"/>
              <w:spacing w:line="300" w:lineRule="auto"/>
              <w:jc w:val="center"/>
              <w:rPr>
                <w:rFonts w:ascii="宋体" w:hAnsi="宋体"/>
                <w:bCs/>
                <w:color w:val="auto"/>
                <w:kern w:val="0"/>
                <w:sz w:val="24"/>
                <w:szCs w:val="20"/>
                <w:highlight w:val="none"/>
              </w:rPr>
            </w:pPr>
          </w:p>
        </w:tc>
        <w:tc>
          <w:tcPr>
            <w:tcW w:w="720" w:type="dxa"/>
            <w:noWrap w:val="0"/>
            <w:vAlign w:val="center"/>
          </w:tcPr>
          <w:p>
            <w:pPr>
              <w:snapToGrid w:val="0"/>
              <w:spacing w:line="300" w:lineRule="auto"/>
              <w:jc w:val="center"/>
              <w:rPr>
                <w:rFonts w:ascii="宋体" w:hAnsi="宋体"/>
                <w:bCs/>
                <w:color w:val="auto"/>
                <w:kern w:val="0"/>
                <w:sz w:val="24"/>
                <w:szCs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38" w:type="dxa"/>
            <w:noWrap w:val="0"/>
            <w:vAlign w:val="center"/>
          </w:tcPr>
          <w:p>
            <w:pPr>
              <w:snapToGrid w:val="0"/>
              <w:spacing w:line="300" w:lineRule="auto"/>
              <w:jc w:val="center"/>
              <w:rPr>
                <w:rFonts w:ascii="宋体" w:hAnsi="宋体"/>
                <w:bCs/>
                <w:color w:val="auto"/>
                <w:kern w:val="0"/>
                <w:sz w:val="24"/>
                <w:szCs w:val="20"/>
                <w:highlight w:val="none"/>
              </w:rPr>
            </w:pPr>
          </w:p>
        </w:tc>
        <w:tc>
          <w:tcPr>
            <w:tcW w:w="1350" w:type="dxa"/>
            <w:noWrap w:val="0"/>
            <w:vAlign w:val="center"/>
          </w:tcPr>
          <w:p>
            <w:pPr>
              <w:snapToGrid w:val="0"/>
              <w:spacing w:line="300" w:lineRule="auto"/>
              <w:rPr>
                <w:rFonts w:ascii="宋体" w:hAnsi="宋体"/>
                <w:bCs/>
                <w:color w:val="auto"/>
                <w:kern w:val="0"/>
                <w:sz w:val="24"/>
                <w:szCs w:val="20"/>
                <w:highlight w:val="none"/>
              </w:rPr>
            </w:pPr>
          </w:p>
        </w:tc>
        <w:tc>
          <w:tcPr>
            <w:tcW w:w="1316" w:type="dxa"/>
            <w:noWrap w:val="0"/>
            <w:vAlign w:val="center"/>
          </w:tcPr>
          <w:p>
            <w:pPr>
              <w:snapToGrid w:val="0"/>
              <w:spacing w:line="300" w:lineRule="auto"/>
              <w:jc w:val="center"/>
              <w:rPr>
                <w:rFonts w:ascii="宋体" w:hAnsi="宋体"/>
                <w:bCs/>
                <w:color w:val="auto"/>
                <w:kern w:val="0"/>
                <w:sz w:val="24"/>
                <w:szCs w:val="20"/>
                <w:highlight w:val="none"/>
              </w:rPr>
            </w:pPr>
          </w:p>
        </w:tc>
        <w:tc>
          <w:tcPr>
            <w:tcW w:w="720" w:type="dxa"/>
            <w:noWrap w:val="0"/>
            <w:vAlign w:val="center"/>
          </w:tcPr>
          <w:p>
            <w:pPr>
              <w:snapToGrid w:val="0"/>
              <w:spacing w:line="300" w:lineRule="auto"/>
              <w:jc w:val="center"/>
              <w:rPr>
                <w:rFonts w:ascii="宋体" w:hAnsi="宋体"/>
                <w:bCs/>
                <w:color w:val="auto"/>
                <w:kern w:val="0"/>
                <w:sz w:val="24"/>
                <w:szCs w:val="20"/>
                <w:highlight w:val="none"/>
              </w:rPr>
            </w:pPr>
          </w:p>
        </w:tc>
        <w:tc>
          <w:tcPr>
            <w:tcW w:w="720" w:type="dxa"/>
            <w:noWrap w:val="0"/>
            <w:vAlign w:val="center"/>
          </w:tcPr>
          <w:p>
            <w:pPr>
              <w:snapToGrid w:val="0"/>
              <w:spacing w:line="300" w:lineRule="auto"/>
              <w:jc w:val="center"/>
              <w:rPr>
                <w:rFonts w:ascii="宋体" w:hAnsi="宋体"/>
                <w:bCs/>
                <w:color w:val="auto"/>
                <w:kern w:val="0"/>
                <w:sz w:val="24"/>
                <w:szCs w:val="20"/>
                <w:highlight w:val="none"/>
              </w:rPr>
            </w:pPr>
          </w:p>
        </w:tc>
        <w:tc>
          <w:tcPr>
            <w:tcW w:w="1380" w:type="dxa"/>
            <w:noWrap w:val="0"/>
            <w:vAlign w:val="center"/>
          </w:tcPr>
          <w:p>
            <w:pPr>
              <w:snapToGrid w:val="0"/>
              <w:spacing w:line="300" w:lineRule="auto"/>
              <w:jc w:val="center"/>
              <w:rPr>
                <w:rFonts w:ascii="宋体" w:hAnsi="宋体"/>
                <w:bCs/>
                <w:color w:val="auto"/>
                <w:kern w:val="0"/>
                <w:sz w:val="24"/>
                <w:szCs w:val="20"/>
                <w:highlight w:val="none"/>
              </w:rPr>
            </w:pPr>
          </w:p>
        </w:tc>
        <w:tc>
          <w:tcPr>
            <w:tcW w:w="780" w:type="dxa"/>
            <w:noWrap w:val="0"/>
            <w:vAlign w:val="center"/>
          </w:tcPr>
          <w:p>
            <w:pPr>
              <w:snapToGrid w:val="0"/>
              <w:spacing w:line="300" w:lineRule="auto"/>
              <w:jc w:val="center"/>
              <w:rPr>
                <w:rFonts w:ascii="宋体" w:hAnsi="宋体"/>
                <w:bCs/>
                <w:color w:val="auto"/>
                <w:kern w:val="0"/>
                <w:sz w:val="24"/>
                <w:szCs w:val="20"/>
                <w:highlight w:val="none"/>
              </w:rPr>
            </w:pPr>
          </w:p>
        </w:tc>
        <w:tc>
          <w:tcPr>
            <w:tcW w:w="720" w:type="dxa"/>
            <w:noWrap w:val="0"/>
            <w:vAlign w:val="center"/>
          </w:tcPr>
          <w:p>
            <w:pPr>
              <w:snapToGrid w:val="0"/>
              <w:spacing w:line="300" w:lineRule="auto"/>
              <w:jc w:val="center"/>
              <w:rPr>
                <w:rFonts w:ascii="宋体" w:hAnsi="宋体"/>
                <w:bCs/>
                <w:color w:val="auto"/>
                <w:kern w:val="0"/>
                <w:sz w:val="24"/>
                <w:szCs w:val="20"/>
                <w:highlight w:val="none"/>
              </w:rPr>
            </w:pPr>
          </w:p>
        </w:tc>
        <w:tc>
          <w:tcPr>
            <w:tcW w:w="1656" w:type="dxa"/>
            <w:noWrap w:val="0"/>
            <w:vAlign w:val="center"/>
          </w:tcPr>
          <w:p>
            <w:pPr>
              <w:snapToGrid w:val="0"/>
              <w:spacing w:line="300" w:lineRule="auto"/>
              <w:jc w:val="center"/>
              <w:rPr>
                <w:rFonts w:ascii="宋体" w:hAnsi="宋体"/>
                <w:bCs/>
                <w:color w:val="auto"/>
                <w:kern w:val="0"/>
                <w:sz w:val="24"/>
                <w:szCs w:val="20"/>
                <w:highlight w:val="none"/>
              </w:rPr>
            </w:pPr>
          </w:p>
        </w:tc>
        <w:tc>
          <w:tcPr>
            <w:tcW w:w="720" w:type="dxa"/>
            <w:noWrap w:val="0"/>
            <w:vAlign w:val="center"/>
          </w:tcPr>
          <w:p>
            <w:pPr>
              <w:snapToGrid w:val="0"/>
              <w:spacing w:line="300" w:lineRule="auto"/>
              <w:jc w:val="center"/>
              <w:rPr>
                <w:rFonts w:ascii="宋体" w:hAnsi="宋体"/>
                <w:bCs/>
                <w:color w:val="auto"/>
                <w:kern w:val="0"/>
                <w:sz w:val="24"/>
                <w:szCs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38" w:type="dxa"/>
            <w:noWrap w:val="0"/>
            <w:vAlign w:val="center"/>
          </w:tcPr>
          <w:p>
            <w:pPr>
              <w:snapToGrid w:val="0"/>
              <w:spacing w:line="300" w:lineRule="auto"/>
              <w:jc w:val="center"/>
              <w:rPr>
                <w:rFonts w:ascii="宋体" w:hAnsi="宋体"/>
                <w:bCs/>
                <w:color w:val="auto"/>
                <w:kern w:val="0"/>
                <w:sz w:val="24"/>
                <w:szCs w:val="20"/>
                <w:highlight w:val="none"/>
              </w:rPr>
            </w:pPr>
          </w:p>
        </w:tc>
        <w:tc>
          <w:tcPr>
            <w:tcW w:w="1350" w:type="dxa"/>
            <w:noWrap w:val="0"/>
            <w:vAlign w:val="center"/>
          </w:tcPr>
          <w:p>
            <w:pPr>
              <w:snapToGrid w:val="0"/>
              <w:spacing w:line="300" w:lineRule="auto"/>
              <w:rPr>
                <w:rFonts w:ascii="宋体" w:hAnsi="宋体"/>
                <w:bCs/>
                <w:color w:val="auto"/>
                <w:kern w:val="0"/>
                <w:sz w:val="24"/>
                <w:szCs w:val="20"/>
                <w:highlight w:val="none"/>
              </w:rPr>
            </w:pPr>
          </w:p>
        </w:tc>
        <w:tc>
          <w:tcPr>
            <w:tcW w:w="1316" w:type="dxa"/>
            <w:noWrap w:val="0"/>
            <w:vAlign w:val="center"/>
          </w:tcPr>
          <w:p>
            <w:pPr>
              <w:snapToGrid w:val="0"/>
              <w:spacing w:line="300" w:lineRule="auto"/>
              <w:jc w:val="center"/>
              <w:rPr>
                <w:rFonts w:ascii="宋体" w:hAnsi="宋体"/>
                <w:bCs/>
                <w:color w:val="auto"/>
                <w:kern w:val="0"/>
                <w:sz w:val="24"/>
                <w:szCs w:val="20"/>
                <w:highlight w:val="none"/>
              </w:rPr>
            </w:pPr>
          </w:p>
        </w:tc>
        <w:tc>
          <w:tcPr>
            <w:tcW w:w="720" w:type="dxa"/>
            <w:noWrap w:val="0"/>
            <w:vAlign w:val="center"/>
          </w:tcPr>
          <w:p>
            <w:pPr>
              <w:snapToGrid w:val="0"/>
              <w:spacing w:line="300" w:lineRule="auto"/>
              <w:jc w:val="center"/>
              <w:rPr>
                <w:rFonts w:ascii="宋体" w:hAnsi="宋体"/>
                <w:bCs/>
                <w:color w:val="auto"/>
                <w:kern w:val="0"/>
                <w:sz w:val="24"/>
                <w:szCs w:val="20"/>
                <w:highlight w:val="none"/>
              </w:rPr>
            </w:pPr>
          </w:p>
        </w:tc>
        <w:tc>
          <w:tcPr>
            <w:tcW w:w="720" w:type="dxa"/>
            <w:noWrap w:val="0"/>
            <w:vAlign w:val="center"/>
          </w:tcPr>
          <w:p>
            <w:pPr>
              <w:snapToGrid w:val="0"/>
              <w:spacing w:line="300" w:lineRule="auto"/>
              <w:jc w:val="center"/>
              <w:rPr>
                <w:rFonts w:ascii="宋体" w:hAnsi="宋体"/>
                <w:bCs/>
                <w:color w:val="auto"/>
                <w:kern w:val="0"/>
                <w:sz w:val="24"/>
                <w:szCs w:val="20"/>
                <w:highlight w:val="none"/>
              </w:rPr>
            </w:pPr>
          </w:p>
        </w:tc>
        <w:tc>
          <w:tcPr>
            <w:tcW w:w="1380" w:type="dxa"/>
            <w:noWrap w:val="0"/>
            <w:vAlign w:val="center"/>
          </w:tcPr>
          <w:p>
            <w:pPr>
              <w:snapToGrid w:val="0"/>
              <w:spacing w:line="300" w:lineRule="auto"/>
              <w:jc w:val="center"/>
              <w:rPr>
                <w:rFonts w:ascii="宋体" w:hAnsi="宋体"/>
                <w:bCs/>
                <w:color w:val="auto"/>
                <w:kern w:val="0"/>
                <w:sz w:val="24"/>
                <w:szCs w:val="20"/>
                <w:highlight w:val="none"/>
              </w:rPr>
            </w:pPr>
          </w:p>
        </w:tc>
        <w:tc>
          <w:tcPr>
            <w:tcW w:w="780" w:type="dxa"/>
            <w:noWrap w:val="0"/>
            <w:vAlign w:val="center"/>
          </w:tcPr>
          <w:p>
            <w:pPr>
              <w:snapToGrid w:val="0"/>
              <w:spacing w:line="300" w:lineRule="auto"/>
              <w:jc w:val="center"/>
              <w:rPr>
                <w:rFonts w:ascii="宋体" w:hAnsi="宋体"/>
                <w:bCs/>
                <w:color w:val="auto"/>
                <w:kern w:val="0"/>
                <w:sz w:val="24"/>
                <w:szCs w:val="20"/>
                <w:highlight w:val="none"/>
              </w:rPr>
            </w:pPr>
          </w:p>
        </w:tc>
        <w:tc>
          <w:tcPr>
            <w:tcW w:w="720" w:type="dxa"/>
            <w:noWrap w:val="0"/>
            <w:vAlign w:val="center"/>
          </w:tcPr>
          <w:p>
            <w:pPr>
              <w:snapToGrid w:val="0"/>
              <w:spacing w:line="300" w:lineRule="auto"/>
              <w:jc w:val="center"/>
              <w:rPr>
                <w:rFonts w:ascii="宋体" w:hAnsi="宋体"/>
                <w:bCs/>
                <w:color w:val="auto"/>
                <w:kern w:val="0"/>
                <w:sz w:val="24"/>
                <w:szCs w:val="20"/>
                <w:highlight w:val="none"/>
              </w:rPr>
            </w:pPr>
          </w:p>
        </w:tc>
        <w:tc>
          <w:tcPr>
            <w:tcW w:w="1656" w:type="dxa"/>
            <w:noWrap w:val="0"/>
            <w:vAlign w:val="center"/>
          </w:tcPr>
          <w:p>
            <w:pPr>
              <w:snapToGrid w:val="0"/>
              <w:spacing w:line="300" w:lineRule="auto"/>
              <w:jc w:val="center"/>
              <w:rPr>
                <w:rFonts w:ascii="宋体" w:hAnsi="宋体"/>
                <w:bCs/>
                <w:color w:val="auto"/>
                <w:kern w:val="0"/>
                <w:sz w:val="24"/>
                <w:szCs w:val="20"/>
                <w:highlight w:val="none"/>
              </w:rPr>
            </w:pPr>
          </w:p>
        </w:tc>
        <w:tc>
          <w:tcPr>
            <w:tcW w:w="720" w:type="dxa"/>
            <w:noWrap w:val="0"/>
            <w:vAlign w:val="center"/>
          </w:tcPr>
          <w:p>
            <w:pPr>
              <w:snapToGrid w:val="0"/>
              <w:spacing w:line="300" w:lineRule="auto"/>
              <w:jc w:val="center"/>
              <w:rPr>
                <w:rFonts w:ascii="宋体" w:hAnsi="宋体"/>
                <w:bCs/>
                <w:color w:val="auto"/>
                <w:kern w:val="0"/>
                <w:sz w:val="24"/>
                <w:szCs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38" w:type="dxa"/>
            <w:noWrap w:val="0"/>
            <w:vAlign w:val="center"/>
          </w:tcPr>
          <w:p>
            <w:pPr>
              <w:snapToGrid w:val="0"/>
              <w:spacing w:line="300" w:lineRule="auto"/>
              <w:jc w:val="center"/>
              <w:rPr>
                <w:rFonts w:ascii="宋体" w:hAnsi="宋体"/>
                <w:bCs/>
                <w:color w:val="auto"/>
                <w:kern w:val="0"/>
                <w:sz w:val="24"/>
                <w:szCs w:val="20"/>
                <w:highlight w:val="none"/>
              </w:rPr>
            </w:pPr>
          </w:p>
        </w:tc>
        <w:tc>
          <w:tcPr>
            <w:tcW w:w="1350" w:type="dxa"/>
            <w:noWrap w:val="0"/>
            <w:vAlign w:val="center"/>
          </w:tcPr>
          <w:p>
            <w:pPr>
              <w:snapToGrid w:val="0"/>
              <w:spacing w:line="300" w:lineRule="auto"/>
              <w:rPr>
                <w:rFonts w:ascii="宋体" w:hAnsi="宋体"/>
                <w:bCs/>
                <w:color w:val="auto"/>
                <w:kern w:val="0"/>
                <w:sz w:val="24"/>
                <w:szCs w:val="20"/>
                <w:highlight w:val="none"/>
              </w:rPr>
            </w:pPr>
          </w:p>
        </w:tc>
        <w:tc>
          <w:tcPr>
            <w:tcW w:w="1316" w:type="dxa"/>
            <w:noWrap w:val="0"/>
            <w:vAlign w:val="center"/>
          </w:tcPr>
          <w:p>
            <w:pPr>
              <w:snapToGrid w:val="0"/>
              <w:spacing w:line="300" w:lineRule="auto"/>
              <w:jc w:val="center"/>
              <w:rPr>
                <w:rFonts w:ascii="宋体" w:hAnsi="宋体"/>
                <w:bCs/>
                <w:color w:val="auto"/>
                <w:kern w:val="0"/>
                <w:sz w:val="24"/>
                <w:szCs w:val="20"/>
                <w:highlight w:val="none"/>
              </w:rPr>
            </w:pPr>
          </w:p>
        </w:tc>
        <w:tc>
          <w:tcPr>
            <w:tcW w:w="720" w:type="dxa"/>
            <w:noWrap w:val="0"/>
            <w:vAlign w:val="center"/>
          </w:tcPr>
          <w:p>
            <w:pPr>
              <w:snapToGrid w:val="0"/>
              <w:spacing w:line="300" w:lineRule="auto"/>
              <w:jc w:val="center"/>
              <w:rPr>
                <w:rFonts w:ascii="宋体" w:hAnsi="宋体"/>
                <w:bCs/>
                <w:color w:val="auto"/>
                <w:kern w:val="0"/>
                <w:sz w:val="24"/>
                <w:szCs w:val="20"/>
                <w:highlight w:val="none"/>
              </w:rPr>
            </w:pPr>
          </w:p>
        </w:tc>
        <w:tc>
          <w:tcPr>
            <w:tcW w:w="720" w:type="dxa"/>
            <w:noWrap w:val="0"/>
            <w:vAlign w:val="center"/>
          </w:tcPr>
          <w:p>
            <w:pPr>
              <w:snapToGrid w:val="0"/>
              <w:spacing w:line="300" w:lineRule="auto"/>
              <w:jc w:val="center"/>
              <w:rPr>
                <w:rFonts w:ascii="宋体" w:hAnsi="宋体"/>
                <w:bCs/>
                <w:color w:val="auto"/>
                <w:kern w:val="0"/>
                <w:sz w:val="24"/>
                <w:szCs w:val="20"/>
                <w:highlight w:val="none"/>
              </w:rPr>
            </w:pPr>
          </w:p>
        </w:tc>
        <w:tc>
          <w:tcPr>
            <w:tcW w:w="1380" w:type="dxa"/>
            <w:noWrap w:val="0"/>
            <w:vAlign w:val="center"/>
          </w:tcPr>
          <w:p>
            <w:pPr>
              <w:snapToGrid w:val="0"/>
              <w:spacing w:line="300" w:lineRule="auto"/>
              <w:jc w:val="center"/>
              <w:rPr>
                <w:rFonts w:ascii="宋体" w:hAnsi="宋体"/>
                <w:bCs/>
                <w:color w:val="auto"/>
                <w:kern w:val="0"/>
                <w:sz w:val="24"/>
                <w:szCs w:val="20"/>
                <w:highlight w:val="none"/>
              </w:rPr>
            </w:pPr>
          </w:p>
        </w:tc>
        <w:tc>
          <w:tcPr>
            <w:tcW w:w="780" w:type="dxa"/>
            <w:noWrap w:val="0"/>
            <w:vAlign w:val="center"/>
          </w:tcPr>
          <w:p>
            <w:pPr>
              <w:snapToGrid w:val="0"/>
              <w:spacing w:line="300" w:lineRule="auto"/>
              <w:jc w:val="center"/>
              <w:rPr>
                <w:rFonts w:ascii="宋体" w:hAnsi="宋体"/>
                <w:bCs/>
                <w:color w:val="auto"/>
                <w:kern w:val="0"/>
                <w:sz w:val="24"/>
                <w:szCs w:val="20"/>
                <w:highlight w:val="none"/>
              </w:rPr>
            </w:pPr>
          </w:p>
        </w:tc>
        <w:tc>
          <w:tcPr>
            <w:tcW w:w="720" w:type="dxa"/>
            <w:noWrap w:val="0"/>
            <w:vAlign w:val="center"/>
          </w:tcPr>
          <w:p>
            <w:pPr>
              <w:snapToGrid w:val="0"/>
              <w:spacing w:line="300" w:lineRule="auto"/>
              <w:jc w:val="center"/>
              <w:rPr>
                <w:rFonts w:ascii="宋体" w:hAnsi="宋体"/>
                <w:bCs/>
                <w:color w:val="auto"/>
                <w:kern w:val="0"/>
                <w:sz w:val="24"/>
                <w:szCs w:val="20"/>
                <w:highlight w:val="none"/>
              </w:rPr>
            </w:pPr>
          </w:p>
        </w:tc>
        <w:tc>
          <w:tcPr>
            <w:tcW w:w="1656" w:type="dxa"/>
            <w:noWrap w:val="0"/>
            <w:vAlign w:val="center"/>
          </w:tcPr>
          <w:p>
            <w:pPr>
              <w:snapToGrid w:val="0"/>
              <w:spacing w:line="300" w:lineRule="auto"/>
              <w:jc w:val="center"/>
              <w:rPr>
                <w:rFonts w:ascii="宋体" w:hAnsi="宋体"/>
                <w:bCs/>
                <w:color w:val="auto"/>
                <w:kern w:val="0"/>
                <w:sz w:val="24"/>
                <w:szCs w:val="20"/>
                <w:highlight w:val="none"/>
              </w:rPr>
            </w:pPr>
          </w:p>
        </w:tc>
        <w:tc>
          <w:tcPr>
            <w:tcW w:w="720" w:type="dxa"/>
            <w:noWrap w:val="0"/>
            <w:vAlign w:val="center"/>
          </w:tcPr>
          <w:p>
            <w:pPr>
              <w:snapToGrid w:val="0"/>
              <w:spacing w:line="300" w:lineRule="auto"/>
              <w:jc w:val="center"/>
              <w:rPr>
                <w:rFonts w:ascii="宋体" w:hAnsi="宋体"/>
                <w:bCs/>
                <w:color w:val="auto"/>
                <w:kern w:val="0"/>
                <w:sz w:val="24"/>
                <w:szCs w:val="20"/>
                <w:highlight w:val="none"/>
              </w:rPr>
            </w:pPr>
          </w:p>
        </w:tc>
      </w:tr>
    </w:tbl>
    <w:p>
      <w:pPr>
        <w:snapToGrid w:val="0"/>
        <w:spacing w:line="360" w:lineRule="auto"/>
        <w:rPr>
          <w:rFonts w:ascii="宋体" w:hAnsi="宋体"/>
          <w:bCs/>
          <w:color w:val="auto"/>
          <w:kern w:val="0"/>
          <w:sz w:val="24"/>
          <w:highlight w:val="none"/>
        </w:rPr>
      </w:pPr>
      <w:r>
        <w:rPr>
          <w:rFonts w:hint="eastAsia" w:ascii="宋体" w:hAnsi="宋体"/>
          <w:color w:val="auto"/>
          <w:sz w:val="24"/>
          <w:highlight w:val="none"/>
        </w:rPr>
        <w:t>注：</w:t>
      </w:r>
      <w:r>
        <w:rPr>
          <w:rFonts w:ascii="宋体" w:hAnsi="宋体"/>
          <w:color w:val="auto"/>
          <w:sz w:val="24"/>
          <w:highlight w:val="none"/>
        </w:rPr>
        <w:t>1</w:t>
      </w:r>
      <w:r>
        <w:rPr>
          <w:rFonts w:hint="eastAsia" w:ascii="宋体" w:hAnsi="宋体"/>
          <w:color w:val="auto"/>
          <w:sz w:val="24"/>
          <w:highlight w:val="none"/>
        </w:rPr>
        <w:t>、</w:t>
      </w:r>
      <w:r>
        <w:rPr>
          <w:rFonts w:ascii="宋体" w:hAnsi="宋体"/>
          <w:bCs/>
          <w:color w:val="auto"/>
          <w:kern w:val="0"/>
          <w:sz w:val="24"/>
          <w:highlight w:val="none"/>
        </w:rPr>
        <w:t>表中所列内容的价格已包含在投标价中，均为采购人所有。</w:t>
      </w:r>
    </w:p>
    <w:p>
      <w:pPr>
        <w:snapToGrid w:val="0"/>
        <w:spacing w:line="360" w:lineRule="auto"/>
        <w:rPr>
          <w:rFonts w:hint="eastAsia" w:ascii="宋体" w:hAnsi="宋体"/>
          <w:bCs/>
          <w:color w:val="auto"/>
          <w:kern w:val="0"/>
          <w:sz w:val="24"/>
          <w:highlight w:val="none"/>
        </w:rPr>
      </w:pPr>
      <w:r>
        <w:rPr>
          <w:rFonts w:hint="eastAsia" w:ascii="宋体" w:hAnsi="宋体"/>
          <w:color w:val="auto"/>
          <w:sz w:val="24"/>
          <w:highlight w:val="none"/>
        </w:rPr>
        <w:t>2、</w:t>
      </w:r>
      <w:r>
        <w:rPr>
          <w:rFonts w:ascii="宋体" w:hAnsi="宋体"/>
          <w:bCs/>
          <w:color w:val="auto"/>
          <w:kern w:val="0"/>
          <w:sz w:val="24"/>
          <w:highlight w:val="none"/>
        </w:rPr>
        <w:t>随机标准附件、备品备件、另配件、专用工具是指为方便甲方使用而提供的、产品能够正常运行并达到采购文件性能之外的辅助性物品。</w:t>
      </w:r>
    </w:p>
    <w:p>
      <w:pPr>
        <w:snapToGrid w:val="0"/>
        <w:spacing w:line="360" w:lineRule="auto"/>
        <w:rPr>
          <w:rFonts w:ascii="宋体" w:hAnsi="宋体"/>
          <w:bCs/>
          <w:color w:val="auto"/>
          <w:kern w:val="0"/>
          <w:sz w:val="24"/>
          <w:highlight w:val="none"/>
        </w:rPr>
      </w:pPr>
      <w:r>
        <w:rPr>
          <w:rFonts w:hint="eastAsia" w:ascii="宋体" w:hAnsi="宋体"/>
          <w:color w:val="auto"/>
          <w:sz w:val="24"/>
          <w:highlight w:val="none"/>
        </w:rPr>
        <w:t>3、</w:t>
      </w:r>
      <w:r>
        <w:rPr>
          <w:rFonts w:ascii="宋体" w:hAnsi="宋体"/>
          <w:bCs/>
          <w:color w:val="auto"/>
          <w:kern w:val="0"/>
          <w:sz w:val="24"/>
          <w:highlight w:val="none"/>
        </w:rPr>
        <w:t>采购文件中所列随机标准附件、备品备件、另配件、专用工具为采购人要求必须配送，投标人应在此表中列出。</w:t>
      </w:r>
    </w:p>
    <w:p>
      <w:pPr>
        <w:snapToGrid w:val="0"/>
        <w:spacing w:line="360" w:lineRule="auto"/>
        <w:rPr>
          <w:rFonts w:hint="eastAsia" w:ascii="宋体" w:hAnsi="宋体"/>
          <w:bCs/>
          <w:color w:val="auto"/>
          <w:kern w:val="0"/>
          <w:sz w:val="24"/>
          <w:highlight w:val="none"/>
        </w:rPr>
      </w:pPr>
      <w:r>
        <w:rPr>
          <w:rFonts w:hint="eastAsia" w:ascii="宋体" w:hAnsi="宋体"/>
          <w:color w:val="auto"/>
          <w:sz w:val="24"/>
          <w:highlight w:val="none"/>
        </w:rPr>
        <w:t>4、</w:t>
      </w:r>
      <w:r>
        <w:rPr>
          <w:rFonts w:ascii="宋体" w:hAnsi="宋体"/>
          <w:bCs/>
          <w:color w:val="auto"/>
          <w:kern w:val="0"/>
          <w:sz w:val="24"/>
          <w:highlight w:val="none"/>
        </w:rPr>
        <w:t>除采购文件中所列内容外，投标人自行配送随机标准附件、备品备件、另配件、专用工具的，请在此表中列出。</w:t>
      </w:r>
    </w:p>
    <w:p>
      <w:pPr>
        <w:tabs>
          <w:tab w:val="left" w:pos="874"/>
        </w:tabs>
        <w:snapToGrid w:val="0"/>
        <w:spacing w:line="360" w:lineRule="auto"/>
        <w:rPr>
          <w:rFonts w:ascii="宋体" w:hAnsi="宋体"/>
          <w:bCs/>
          <w:color w:val="auto"/>
          <w:kern w:val="0"/>
          <w:sz w:val="24"/>
          <w:highlight w:val="none"/>
        </w:rPr>
      </w:pPr>
      <w:r>
        <w:rPr>
          <w:rFonts w:hint="eastAsia" w:ascii="宋体" w:hAnsi="宋体"/>
          <w:color w:val="auto"/>
          <w:sz w:val="24"/>
          <w:highlight w:val="none"/>
        </w:rPr>
        <w:t>5、</w:t>
      </w:r>
      <w:r>
        <w:rPr>
          <w:rFonts w:ascii="宋体" w:hAnsi="宋体"/>
          <w:bCs/>
          <w:color w:val="auto"/>
          <w:kern w:val="0"/>
          <w:sz w:val="24"/>
          <w:highlight w:val="none"/>
        </w:rPr>
        <w:t>此表仅提供了表格形式，可扩展。投标人应根据需要及采购文件的具体要求，准备足够数量的表格按实填写。</w:t>
      </w:r>
    </w:p>
    <w:p>
      <w:pPr>
        <w:snapToGrid w:val="0"/>
        <w:spacing w:line="360" w:lineRule="auto"/>
        <w:rPr>
          <w:rFonts w:hint="eastAsia" w:ascii="宋体" w:hAnsi="宋体"/>
          <w:bCs/>
          <w:color w:val="auto"/>
          <w:kern w:val="0"/>
          <w:sz w:val="24"/>
          <w:highlight w:val="none"/>
        </w:rPr>
      </w:pPr>
    </w:p>
    <w:p>
      <w:pPr>
        <w:snapToGrid w:val="0"/>
        <w:spacing w:line="360" w:lineRule="auto"/>
        <w:rPr>
          <w:rFonts w:ascii="宋体" w:hAnsi="宋体"/>
          <w:bCs/>
          <w:color w:val="auto"/>
          <w:kern w:val="0"/>
          <w:sz w:val="24"/>
          <w:highlight w:val="none"/>
        </w:rPr>
      </w:pPr>
    </w:p>
    <w:p>
      <w:pPr>
        <w:snapToGrid w:val="0"/>
        <w:spacing w:line="360" w:lineRule="auto"/>
        <w:ind w:firstLine="480"/>
        <w:rPr>
          <w:rFonts w:hint="eastAsia" w:ascii="宋体" w:hAnsi="宋体"/>
          <w:color w:val="auto"/>
          <w:sz w:val="24"/>
          <w:highlight w:val="none"/>
        </w:rPr>
      </w:pPr>
    </w:p>
    <w:p>
      <w:pPr>
        <w:snapToGrid w:val="0"/>
        <w:spacing w:line="360" w:lineRule="auto"/>
        <w:rPr>
          <w:rFonts w:ascii="宋体" w:hAnsi="宋体"/>
          <w:color w:val="auto"/>
          <w:sz w:val="24"/>
          <w:highlight w:val="none"/>
        </w:rPr>
      </w:pPr>
      <w:r>
        <w:rPr>
          <w:rFonts w:hint="eastAsia" w:ascii="宋体" w:hAnsi="宋体"/>
          <w:color w:val="auto"/>
          <w:sz w:val="24"/>
          <w:highlight w:val="none"/>
        </w:rPr>
        <w:t>法定代表人或授权委托人签名：</w:t>
      </w:r>
      <w:r>
        <w:rPr>
          <w:rFonts w:ascii="宋体" w:hAnsi="宋体"/>
          <w:color w:val="auto"/>
          <w:spacing w:val="20"/>
          <w:sz w:val="24"/>
          <w:highlight w:val="none"/>
          <w:u w:val="single"/>
        </w:rPr>
        <w:t xml:space="preserve">            </w:t>
      </w:r>
    </w:p>
    <w:p>
      <w:pPr>
        <w:snapToGrid w:val="0"/>
        <w:spacing w:line="360" w:lineRule="auto"/>
        <w:jc w:val="left"/>
        <w:rPr>
          <w:rFonts w:hint="eastAsia" w:ascii="宋体" w:hAnsi="宋体"/>
          <w:color w:val="auto"/>
          <w:spacing w:val="20"/>
          <w:sz w:val="24"/>
          <w:highlight w:val="none"/>
        </w:rPr>
      </w:pPr>
      <w:r>
        <w:rPr>
          <w:rFonts w:hint="eastAsia" w:ascii="宋体" w:hAnsi="宋体"/>
          <w:color w:val="auto"/>
          <w:spacing w:val="20"/>
          <w:sz w:val="24"/>
          <w:highlight w:val="none"/>
        </w:rPr>
        <w:t>投标人全称（盖章）：</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line="360" w:lineRule="auto"/>
        <w:jc w:val="left"/>
        <w:rPr>
          <w:rFonts w:ascii="宋体" w:hAnsi="宋体"/>
          <w:color w:val="auto"/>
          <w:spacing w:val="20"/>
          <w:sz w:val="24"/>
          <w:highlight w:val="none"/>
          <w:u w:val="single"/>
        </w:rPr>
      </w:pPr>
      <w:r>
        <w:rPr>
          <w:rFonts w:hint="eastAsia" w:ascii="宋体" w:hAnsi="宋体"/>
          <w:color w:val="auto"/>
          <w:spacing w:val="20"/>
          <w:sz w:val="24"/>
          <w:highlight w:val="none"/>
        </w:rPr>
        <w:t>日</w:t>
      </w:r>
      <w:r>
        <w:rPr>
          <w:rFonts w:ascii="宋体" w:hAnsi="宋体"/>
          <w:color w:val="auto"/>
          <w:spacing w:val="20"/>
          <w:sz w:val="24"/>
          <w:highlight w:val="none"/>
        </w:rPr>
        <w:t xml:space="preserve">  </w:t>
      </w:r>
      <w:r>
        <w:rPr>
          <w:rFonts w:hint="eastAsia" w:ascii="宋体" w:hAnsi="宋体"/>
          <w:color w:val="auto"/>
          <w:spacing w:val="20"/>
          <w:sz w:val="24"/>
          <w:highlight w:val="none"/>
        </w:rPr>
        <w:t>期：</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35"/>
        <w:rPr>
          <w:rFonts w:ascii="宋体" w:hAnsi="宋体"/>
          <w:color w:val="auto"/>
          <w:spacing w:val="20"/>
          <w:sz w:val="24"/>
          <w:highlight w:val="none"/>
          <w:u w:val="single"/>
        </w:rPr>
      </w:pPr>
    </w:p>
    <w:p>
      <w:pPr>
        <w:pStyle w:val="35"/>
        <w:rPr>
          <w:rFonts w:ascii="宋体" w:hAnsi="宋体"/>
          <w:color w:val="auto"/>
          <w:spacing w:val="20"/>
          <w:sz w:val="24"/>
          <w:highlight w:val="none"/>
          <w:u w:val="single"/>
        </w:rPr>
      </w:pPr>
    </w:p>
    <w:p>
      <w:pPr>
        <w:pStyle w:val="35"/>
        <w:rPr>
          <w:rFonts w:ascii="宋体" w:hAnsi="宋体"/>
          <w:color w:val="auto"/>
          <w:spacing w:val="20"/>
          <w:sz w:val="24"/>
          <w:highlight w:val="none"/>
          <w:u w:val="single"/>
        </w:rPr>
      </w:pPr>
    </w:p>
    <w:bookmarkEnd w:id="108"/>
    <w:bookmarkEnd w:id="109"/>
    <w:bookmarkEnd w:id="110"/>
    <w:p>
      <w:pPr>
        <w:pStyle w:val="2"/>
        <w:keepNext w:val="0"/>
        <w:keepLines w:val="0"/>
        <w:pageBreakBefore/>
        <w:rPr>
          <w:rFonts w:hint="eastAsia" w:ascii="宋体" w:hAnsi="宋体" w:eastAsia="宋体" w:cs="宋体"/>
          <w:b w:val="0"/>
          <w:color w:val="auto"/>
          <w:kern w:val="0"/>
          <w:sz w:val="24"/>
          <w:szCs w:val="24"/>
          <w:highlight w:val="none"/>
        </w:rPr>
      </w:pPr>
      <w:bookmarkStart w:id="111" w:name="_Toc20195"/>
      <w:r>
        <w:rPr>
          <w:rFonts w:hint="eastAsia" w:ascii="宋体" w:hAnsi="宋体" w:eastAsia="宋体" w:cs="宋体"/>
          <w:b w:val="0"/>
          <w:color w:val="auto"/>
          <w:kern w:val="0"/>
          <w:sz w:val="24"/>
          <w:szCs w:val="24"/>
          <w:highlight w:val="none"/>
        </w:rPr>
        <w:t>附件</w:t>
      </w:r>
      <w:r>
        <w:rPr>
          <w:rFonts w:hint="eastAsia" w:ascii="宋体" w:hAnsi="宋体" w:eastAsia="宋体" w:cs="宋体"/>
          <w:b w:val="0"/>
          <w:color w:val="auto"/>
          <w:kern w:val="0"/>
          <w:sz w:val="24"/>
          <w:szCs w:val="24"/>
          <w:highlight w:val="none"/>
          <w:lang w:val="en-US" w:eastAsia="zh-CN"/>
        </w:rPr>
        <w:t>十三</w:t>
      </w:r>
      <w:r>
        <w:rPr>
          <w:rFonts w:hint="eastAsia" w:ascii="宋体" w:hAnsi="宋体" w:eastAsia="宋体" w:cs="宋体"/>
          <w:b w:val="0"/>
          <w:color w:val="auto"/>
          <w:kern w:val="0"/>
          <w:sz w:val="24"/>
          <w:szCs w:val="24"/>
          <w:highlight w:val="none"/>
        </w:rPr>
        <w:t>：同类项目业绩一览表</w:t>
      </w:r>
      <w:bookmarkEnd w:id="103"/>
      <w:bookmarkEnd w:id="111"/>
    </w:p>
    <w:p>
      <w:pPr>
        <w:widowControl/>
        <w:jc w:val="left"/>
        <w:rPr>
          <w:rFonts w:hint="eastAsia" w:ascii="宋体" w:hAnsi="宋体" w:eastAsia="宋体" w:cs="宋体"/>
          <w:color w:val="auto"/>
          <w:kern w:val="0"/>
          <w:sz w:val="24"/>
          <w:highlight w:val="none"/>
        </w:rPr>
      </w:pPr>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同类项目业绩一览表</w:t>
      </w:r>
    </w:p>
    <w:p>
      <w:pPr>
        <w:widowControl/>
        <w:jc w:val="left"/>
        <w:rPr>
          <w:rFonts w:hint="eastAsia" w:ascii="宋体" w:hAnsi="宋体" w:eastAsia="宋体" w:cs="宋体"/>
          <w:color w:val="auto"/>
          <w:kern w:val="0"/>
          <w:sz w:val="24"/>
          <w:highlight w:val="none"/>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2"/>
        <w:gridCol w:w="1312"/>
        <w:gridCol w:w="1312"/>
        <w:gridCol w:w="1312"/>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项目名称</w:t>
            </w:r>
          </w:p>
        </w:tc>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项目</w:t>
            </w:r>
          </w:p>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类型</w:t>
            </w:r>
          </w:p>
        </w:tc>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简要描述</w:t>
            </w:r>
          </w:p>
        </w:tc>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项目</w:t>
            </w:r>
          </w:p>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金额</w:t>
            </w:r>
          </w:p>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（万元）</w:t>
            </w:r>
          </w:p>
        </w:tc>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实施时间</w:t>
            </w:r>
          </w:p>
        </w:tc>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项目单位、联系人及电话</w:t>
            </w:r>
          </w:p>
        </w:tc>
        <w:tc>
          <w:tcPr>
            <w:tcW w:w="1313"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bl>
    <w:p>
      <w:pPr>
        <w:snapToGrid w:val="0"/>
        <w:spacing w:line="360" w:lineRule="auto"/>
        <w:rPr>
          <w:rFonts w:hint="eastAsia" w:ascii="宋体" w:hAnsi="宋体" w:eastAsia="宋体" w:cs="宋体"/>
          <w:b/>
          <w:color w:val="auto"/>
          <w:sz w:val="24"/>
          <w:highlight w:val="none"/>
        </w:rPr>
      </w:pP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注：1、各投标人可以根据各自业绩量准备充分的表格，此页后须附证明材料。</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2、投标人须真实仔细地填写本表格。</w:t>
      </w:r>
    </w:p>
    <w:p>
      <w:pPr>
        <w:widowControl/>
        <w:jc w:val="left"/>
        <w:rPr>
          <w:rFonts w:hint="eastAsia" w:ascii="宋体" w:hAnsi="宋体" w:eastAsia="宋体" w:cs="宋体"/>
          <w:color w:val="auto"/>
          <w:kern w:val="0"/>
          <w:sz w:val="24"/>
          <w:highlight w:val="none"/>
        </w:rPr>
      </w:pPr>
    </w:p>
    <w:p>
      <w:pPr>
        <w:widowControl/>
        <w:jc w:val="left"/>
        <w:rPr>
          <w:rFonts w:hint="eastAsia" w:ascii="宋体" w:hAnsi="宋体" w:eastAsia="宋体" w:cs="宋体"/>
          <w:color w:val="auto"/>
          <w:kern w:val="0"/>
          <w:sz w:val="24"/>
          <w:highlight w:val="none"/>
        </w:rPr>
      </w:pPr>
    </w:p>
    <w:p>
      <w:pPr>
        <w:widowControl/>
        <w:jc w:val="left"/>
        <w:rPr>
          <w:rFonts w:hint="eastAsia" w:ascii="宋体" w:hAnsi="宋体" w:eastAsia="宋体" w:cs="宋体"/>
          <w:color w:val="auto"/>
          <w:kern w:val="0"/>
          <w:sz w:val="24"/>
          <w:highlight w:val="none"/>
        </w:rPr>
      </w:pPr>
    </w:p>
    <w:p>
      <w:pPr>
        <w:pStyle w:val="10"/>
        <w:overflowPunct w:val="0"/>
        <w:spacing w:line="360" w:lineRule="auto"/>
        <w:ind w:right="420" w:firstLine="3300" w:firstLineChars="1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投标人（单位盖章）：</w:t>
      </w:r>
    </w:p>
    <w:p>
      <w:pPr>
        <w:pStyle w:val="10"/>
        <w:overflowPunct w:val="0"/>
        <w:spacing w:line="360" w:lineRule="auto"/>
        <w:ind w:right="420"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法定代表人或委托代理人（签字或盖章）：                         </w:t>
      </w:r>
    </w:p>
    <w:p>
      <w:pPr>
        <w:spacing w:before="120" w:beforeLines="50" w:line="360" w:lineRule="auto"/>
        <w:ind w:right="-21" w:rightChars="-10" w:firstLine="470" w:firstLineChars="196"/>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rPr>
          <w:rFonts w:hint="eastAsia" w:ascii="宋体" w:hAnsi="宋体" w:eastAsia="宋体" w:cs="宋体"/>
          <w:bCs/>
          <w:color w:val="auto"/>
          <w:sz w:val="24"/>
          <w:highlight w:val="none"/>
        </w:rPr>
      </w:pPr>
    </w:p>
    <w:p>
      <w:pPr>
        <w:rPr>
          <w:rFonts w:hint="eastAsia" w:ascii="宋体" w:hAnsi="宋体" w:eastAsia="宋体" w:cs="宋体"/>
          <w:bCs/>
          <w:color w:val="auto"/>
          <w:sz w:val="24"/>
          <w:highlight w:val="none"/>
        </w:rPr>
      </w:pPr>
    </w:p>
    <w:p>
      <w:pPr>
        <w:rPr>
          <w:rFonts w:hint="eastAsia" w:ascii="宋体" w:hAnsi="宋体" w:eastAsia="宋体" w:cs="宋体"/>
          <w:color w:val="auto"/>
          <w:sz w:val="24"/>
          <w:highlight w:val="none"/>
        </w:rPr>
      </w:pPr>
    </w:p>
    <w:p>
      <w:pPr>
        <w:pageBreakBefore/>
        <w:spacing w:before="260" w:after="260" w:line="415" w:lineRule="auto"/>
        <w:outlineLvl w:val="1"/>
        <w:rPr>
          <w:rFonts w:hint="eastAsia" w:ascii="宋体" w:hAnsi="宋体" w:eastAsia="宋体" w:cs="宋体"/>
          <w:bCs/>
          <w:color w:val="auto"/>
          <w:sz w:val="24"/>
          <w:highlight w:val="none"/>
        </w:rPr>
      </w:pPr>
      <w:bookmarkStart w:id="112" w:name="_Toc3757"/>
      <w:r>
        <w:rPr>
          <w:rFonts w:hint="eastAsia" w:ascii="宋体" w:hAnsi="宋体" w:eastAsia="宋体" w:cs="宋体"/>
          <w:bCs/>
          <w:color w:val="auto"/>
          <w:sz w:val="24"/>
          <w:highlight w:val="none"/>
        </w:rPr>
        <w:t>附件</w:t>
      </w:r>
      <w:r>
        <w:rPr>
          <w:rFonts w:hint="eastAsia" w:ascii="宋体" w:hAnsi="宋体" w:eastAsia="宋体" w:cs="宋体"/>
          <w:bCs/>
          <w:color w:val="auto"/>
          <w:sz w:val="24"/>
          <w:highlight w:val="none"/>
          <w:lang w:val="en-US" w:eastAsia="zh-CN"/>
        </w:rPr>
        <w:t>十</w:t>
      </w:r>
      <w:r>
        <w:rPr>
          <w:rFonts w:hint="eastAsia" w:ascii="宋体" w:hAnsi="宋体" w:cs="宋体"/>
          <w:bCs/>
          <w:color w:val="auto"/>
          <w:sz w:val="24"/>
          <w:highlight w:val="none"/>
          <w:lang w:val="en-US" w:eastAsia="zh-CN"/>
        </w:rPr>
        <w:t>四</w:t>
      </w:r>
      <w:r>
        <w:rPr>
          <w:rFonts w:hint="eastAsia" w:ascii="宋体" w:hAnsi="宋体" w:eastAsia="宋体" w:cs="宋体"/>
          <w:bCs/>
          <w:color w:val="auto"/>
          <w:sz w:val="24"/>
          <w:highlight w:val="none"/>
        </w:rPr>
        <w:t>：服务费承诺书</w:t>
      </w:r>
      <w:bookmarkEnd w:id="112"/>
    </w:p>
    <w:p>
      <w:pPr>
        <w:snapToGrid w:val="0"/>
        <w:spacing w:line="360" w:lineRule="auto"/>
        <w:jc w:val="cente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承 诺 书</w:t>
      </w: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line="360" w:lineRule="auto"/>
        <w:jc w:val="left"/>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东阳市鑫盛工程咨询有限公司</w:t>
      </w:r>
      <w:r>
        <w:rPr>
          <w:rFonts w:hint="eastAsia" w:ascii="宋体" w:hAnsi="宋体" w:eastAsia="宋体" w:cs="宋体"/>
          <w:b/>
          <w:bCs/>
          <w:color w:val="auto"/>
          <w:sz w:val="24"/>
          <w:highlight w:val="none"/>
        </w:rPr>
        <w:t>：</w:t>
      </w:r>
    </w:p>
    <w:p>
      <w:pPr>
        <w:snapToGrid w:val="0"/>
        <w:spacing w:before="50" w:after="120" w:afterLines="50" w:line="360" w:lineRule="auto"/>
        <w:ind w:firstLine="472" w:firstLineChars="196"/>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若我公司中标时，在中标结果公示结束之日起3天内，愿按本招标文件总则第（五）条规定向东阳市鑫盛工程咨询有限公司支付中标服务费。    </w:t>
      </w:r>
    </w:p>
    <w:p>
      <w:pPr>
        <w:snapToGrid w:val="0"/>
        <w:spacing w:before="50" w:after="120" w:afterLines="50" w:line="360" w:lineRule="auto"/>
        <w:ind w:firstLine="472" w:firstLineChars="196"/>
        <w:jc w:val="left"/>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我方如未在规定时间内交纳时，承诺凭贵方开出的违约通知，按上述承诺金额标准的200%交纳，由采购人在本次招标项目的货款/服务款中直接扣缴，并同意贵方以失信单位上报东阳市财政局采监科。</w:t>
      </w:r>
    </w:p>
    <w:p>
      <w:pPr>
        <w:snapToGrid w:val="0"/>
        <w:spacing w:before="50" w:after="120" w:afterLines="50"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特此承诺！</w:t>
      </w:r>
    </w:p>
    <w:p>
      <w:pPr>
        <w:snapToGrid w:val="0"/>
        <w:spacing w:before="50" w:after="120" w:afterLines="50" w:line="360" w:lineRule="auto"/>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ind w:firstLine="236" w:firstLineChars="98"/>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承诺单位(盖章)：</w:t>
      </w: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ind w:firstLine="236" w:firstLineChars="98"/>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法定代表人或委托代理人(签字)：</w:t>
      </w:r>
    </w:p>
    <w:p>
      <w:pPr>
        <w:snapToGrid w:val="0"/>
        <w:spacing w:before="50" w:after="120" w:afterLines="50"/>
        <w:jc w:val="left"/>
        <w:rPr>
          <w:rFonts w:hint="eastAsia" w:ascii="宋体" w:hAnsi="宋体" w:eastAsia="宋体" w:cs="宋体"/>
          <w:b/>
          <w:bCs/>
          <w:color w:val="auto"/>
          <w:sz w:val="24"/>
          <w:highlight w:val="none"/>
        </w:rPr>
      </w:pPr>
    </w:p>
    <w:p>
      <w:pPr>
        <w:snapToGrid w:val="0"/>
        <w:spacing w:before="50" w:after="120" w:afterLines="50"/>
        <w:jc w:val="left"/>
        <w:rPr>
          <w:rFonts w:hint="eastAsia" w:ascii="宋体" w:hAnsi="宋体" w:eastAsia="宋体" w:cs="宋体"/>
          <w:b/>
          <w:bCs/>
          <w:color w:val="auto"/>
          <w:sz w:val="24"/>
          <w:highlight w:val="none"/>
        </w:rPr>
      </w:pPr>
    </w:p>
    <w:p>
      <w:pPr>
        <w:snapToGrid w:val="0"/>
        <w:spacing w:before="50" w:after="120" w:afterLines="50"/>
        <w:ind w:firstLine="5980" w:firstLineChars="2482"/>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年     月    日</w:t>
      </w:r>
    </w:p>
    <w:p>
      <w:pPr>
        <w:snapToGrid w:val="0"/>
        <w:spacing w:before="50" w:after="120" w:afterLines="50"/>
        <w:jc w:val="left"/>
        <w:rPr>
          <w:rFonts w:hint="eastAsia" w:ascii="宋体" w:hAnsi="宋体" w:eastAsia="宋体" w:cs="宋体"/>
          <w:b/>
          <w:color w:val="auto"/>
          <w:sz w:val="24"/>
          <w:highlight w:val="none"/>
        </w:rPr>
      </w:pPr>
    </w:p>
    <w:p>
      <w:pPr>
        <w:snapToGrid w:val="0"/>
        <w:spacing w:before="120" w:beforeLines="50" w:after="50" w:line="276" w:lineRule="auto"/>
        <w:jc w:val="left"/>
        <w:rPr>
          <w:rFonts w:hint="eastAsia" w:ascii="宋体" w:hAnsi="宋体" w:eastAsia="宋体" w:cs="宋体"/>
          <w:color w:val="auto"/>
          <w:sz w:val="24"/>
          <w:highlight w:val="none"/>
        </w:rPr>
      </w:pPr>
    </w:p>
    <w:p>
      <w:pPr>
        <w:snapToGrid w:val="0"/>
        <w:spacing w:before="120" w:beforeLines="50" w:after="50" w:line="276" w:lineRule="auto"/>
        <w:jc w:val="left"/>
        <w:rPr>
          <w:rFonts w:hint="eastAsia" w:ascii="宋体" w:hAnsi="宋体" w:eastAsia="宋体" w:cs="宋体"/>
          <w:color w:val="auto"/>
          <w:sz w:val="24"/>
          <w:highlight w:val="none"/>
        </w:rPr>
      </w:pPr>
    </w:p>
    <w:p>
      <w:pPr>
        <w:snapToGrid w:val="0"/>
        <w:spacing w:before="120" w:beforeLines="50" w:after="50" w:line="276" w:lineRule="auto"/>
        <w:jc w:val="left"/>
        <w:rPr>
          <w:rFonts w:hint="eastAsia" w:ascii="宋体" w:hAnsi="宋体" w:eastAsia="宋体" w:cs="宋体"/>
          <w:color w:val="auto"/>
          <w:sz w:val="24"/>
          <w:highlight w:val="none"/>
        </w:rPr>
      </w:pPr>
    </w:p>
    <w:p>
      <w:pPr>
        <w:rPr>
          <w:rFonts w:hint="eastAsia" w:ascii="宋体" w:hAnsi="宋体" w:eastAsia="宋体" w:cs="宋体"/>
          <w:bCs/>
          <w:color w:val="auto"/>
          <w:sz w:val="24"/>
          <w:highlight w:val="none"/>
        </w:rPr>
      </w:pPr>
      <w:bookmarkStart w:id="113" w:name="_Toc7166659"/>
      <w:bookmarkStart w:id="114" w:name="_Toc514425251"/>
    </w:p>
    <w:bookmarkEnd w:id="113"/>
    <w:bookmarkEnd w:id="114"/>
    <w:p>
      <w:pPr>
        <w:rPr>
          <w:rFonts w:hint="eastAsia" w:ascii="宋体" w:hAnsi="宋体" w:eastAsia="宋体" w:cs="宋体"/>
          <w:b/>
          <w:color w:val="auto"/>
          <w:sz w:val="24"/>
          <w:highlight w:val="none"/>
        </w:rPr>
      </w:pPr>
    </w:p>
    <w:p>
      <w:pPr>
        <w:pageBreakBefore/>
        <w:spacing w:before="260" w:after="260" w:line="415" w:lineRule="auto"/>
        <w:outlineLvl w:val="1"/>
        <w:rPr>
          <w:rFonts w:hint="eastAsia" w:ascii="宋体" w:hAnsi="宋体" w:eastAsia="宋体" w:cs="宋体"/>
          <w:bCs/>
          <w:color w:val="auto"/>
          <w:sz w:val="24"/>
          <w:highlight w:val="none"/>
        </w:rPr>
      </w:pPr>
      <w:bookmarkStart w:id="115" w:name="_Toc496598995"/>
      <w:bookmarkStart w:id="116" w:name="_Toc15997"/>
      <w:r>
        <w:rPr>
          <w:rFonts w:hint="eastAsia" w:ascii="宋体" w:hAnsi="宋体" w:eastAsia="宋体" w:cs="宋体"/>
          <w:bCs/>
          <w:color w:val="auto"/>
          <w:sz w:val="24"/>
          <w:highlight w:val="none"/>
        </w:rPr>
        <w:t>附件十</w:t>
      </w:r>
      <w:r>
        <w:rPr>
          <w:rFonts w:hint="eastAsia" w:ascii="宋体" w:hAnsi="宋体" w:cs="宋体"/>
          <w:bCs/>
          <w:color w:val="auto"/>
          <w:sz w:val="24"/>
          <w:highlight w:val="none"/>
          <w:lang w:val="en-US" w:eastAsia="zh-CN"/>
        </w:rPr>
        <w:t>五</w:t>
      </w:r>
      <w:r>
        <w:rPr>
          <w:rFonts w:hint="eastAsia" w:ascii="宋体" w:hAnsi="宋体" w:eastAsia="宋体" w:cs="宋体"/>
          <w:bCs/>
          <w:color w:val="auto"/>
          <w:sz w:val="24"/>
          <w:highlight w:val="none"/>
        </w:rPr>
        <w:t>:</w:t>
      </w:r>
      <w:bookmarkEnd w:id="115"/>
      <w:r>
        <w:rPr>
          <w:rFonts w:hint="eastAsia" w:ascii="宋体" w:hAnsi="宋体" w:eastAsia="宋体" w:cs="宋体"/>
          <w:bCs/>
          <w:color w:val="auto"/>
          <w:sz w:val="24"/>
          <w:highlight w:val="none"/>
        </w:rPr>
        <w:t>投标函</w:t>
      </w:r>
      <w:bookmarkEnd w:id="116"/>
    </w:p>
    <w:p>
      <w:pPr>
        <w:snapToGrid w:val="0"/>
        <w:spacing w:line="360" w:lineRule="auto"/>
        <w:jc w:val="cente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投 标 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（招标采购单位名称）：</w:t>
      </w:r>
    </w:p>
    <w:p>
      <w:pPr>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根据贵方为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项目的招标公告/投标邀请书</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），签字代表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（全名）经正式授权并代表投标人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（投标人名称）提交电子投标文件。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据此函，签字代表宣布同意如下：</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3.本投标有效期自开标日起 ______天。</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5.投标人同意按照贵方要求提供与投标有关的一切数据或资料。</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6.与本投标有关的一切正式往来信函请寄：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地址：__________</w:t>
      </w:r>
      <w:r>
        <w:rPr>
          <w:rFonts w:hint="eastAsia" w:ascii="宋体" w:hAnsi="宋体" w:eastAsia="宋体" w:cs="宋体"/>
          <w:color w:val="auto"/>
          <w:sz w:val="24"/>
          <w:highlight w:val="none"/>
          <w:u w:val="single"/>
        </w:rPr>
        <w:t xml:space="preserve">        _</w:t>
      </w:r>
      <w:r>
        <w:rPr>
          <w:rFonts w:hint="eastAsia" w:ascii="宋体" w:hAnsi="宋体" w:eastAsia="宋体" w:cs="宋体"/>
          <w:color w:val="auto"/>
          <w:sz w:val="24"/>
          <w:highlight w:val="none"/>
        </w:rPr>
        <w:t>____邮编：__________   电话：______________</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传真：______________投标人代表姓名 ___________  职务：______</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_______</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投标人名称(公章):___________________</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委托代理人签字:___________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日期:_____年___月___日</w:t>
      </w:r>
    </w:p>
    <w:p>
      <w:pPr>
        <w:snapToGrid w:val="0"/>
        <w:spacing w:before="156" w:after="156" w:line="360" w:lineRule="auto"/>
        <w:rPr>
          <w:rFonts w:hint="eastAsia" w:ascii="宋体" w:hAnsi="宋体" w:eastAsia="宋体" w:cs="宋体"/>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keepNext/>
        <w:keepLines/>
        <w:spacing w:before="260" w:after="260" w:line="360" w:lineRule="auto"/>
        <w:outlineLvl w:val="1"/>
        <w:rPr>
          <w:rFonts w:hint="eastAsia" w:ascii="宋体" w:hAnsi="宋体" w:eastAsia="宋体" w:cs="宋体"/>
          <w:bCs/>
          <w:color w:val="auto"/>
          <w:sz w:val="24"/>
          <w:highlight w:val="none"/>
          <w:lang w:val="en-US" w:eastAsia="zh-CN"/>
        </w:rPr>
      </w:pPr>
      <w:bookmarkStart w:id="117" w:name="_Toc14942623"/>
      <w:bookmarkStart w:id="118" w:name="_Toc21936"/>
      <w:bookmarkStart w:id="119" w:name="_Toc26482"/>
      <w:bookmarkStart w:id="120" w:name="_Toc12413"/>
      <w:bookmarkStart w:id="121" w:name="_Toc1663"/>
      <w:bookmarkStart w:id="122" w:name="_Toc2590"/>
      <w:bookmarkStart w:id="123" w:name="_Toc496598998"/>
      <w:r>
        <w:rPr>
          <w:rFonts w:hint="eastAsia" w:ascii="宋体" w:hAnsi="宋体" w:eastAsia="宋体" w:cs="宋体"/>
          <w:bCs/>
          <w:color w:val="auto"/>
          <w:sz w:val="24"/>
          <w:highlight w:val="none"/>
        </w:rPr>
        <w:t>附件十</w:t>
      </w:r>
      <w:r>
        <w:rPr>
          <w:rFonts w:hint="eastAsia" w:ascii="宋体" w:hAnsi="宋体" w:cs="宋体"/>
          <w:bCs/>
          <w:color w:val="auto"/>
          <w:sz w:val="24"/>
          <w:highlight w:val="none"/>
          <w:lang w:val="en-US" w:eastAsia="zh-CN"/>
        </w:rPr>
        <w:t>六</w:t>
      </w:r>
      <w:r>
        <w:rPr>
          <w:rFonts w:hint="eastAsia" w:ascii="宋体" w:hAnsi="宋体" w:eastAsia="宋体" w:cs="宋体"/>
          <w:bCs/>
          <w:color w:val="auto"/>
          <w:sz w:val="24"/>
          <w:highlight w:val="none"/>
        </w:rPr>
        <w:t>：开标一览表</w:t>
      </w:r>
      <w:bookmarkEnd w:id="117"/>
      <w:bookmarkEnd w:id="118"/>
      <w:bookmarkEnd w:id="119"/>
      <w:bookmarkEnd w:id="120"/>
    </w:p>
    <w:bookmarkEnd w:id="121"/>
    <w:bookmarkEnd w:id="122"/>
    <w:p>
      <w:pPr>
        <w:spacing w:line="360" w:lineRule="auto"/>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rPr>
        <w:t>开标一览表</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招标编号：         </w:t>
      </w:r>
    </w:p>
    <w:p>
      <w:pPr>
        <w:spacing w:line="360" w:lineRule="auto"/>
        <w:rPr>
          <w:rFonts w:hint="eastAsia" w:ascii="宋体" w:hAnsi="宋体" w:cs="宋体"/>
          <w:b/>
          <w:bCs/>
          <w:color w:val="auto"/>
          <w:sz w:val="24"/>
          <w:highlight w:val="none"/>
        </w:rPr>
      </w:pPr>
      <w:r>
        <w:rPr>
          <w:rFonts w:hint="eastAsia" w:ascii="宋体" w:hAnsi="宋体" w:cs="宋体"/>
          <w:color w:val="auto"/>
          <w:sz w:val="24"/>
          <w:highlight w:val="none"/>
        </w:rPr>
        <w:t>投标人名称：                                                      单位：元</w:t>
      </w:r>
    </w:p>
    <w:tbl>
      <w:tblPr>
        <w:tblStyle w:val="36"/>
        <w:tblpPr w:leftFromText="180" w:rightFromText="180" w:vertAnchor="text" w:horzAnchor="page" w:tblpX="1113" w:tblpY="311"/>
        <w:tblOverlap w:val="never"/>
        <w:tblW w:w="994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1192"/>
        <w:gridCol w:w="1200"/>
        <w:gridCol w:w="1250"/>
        <w:gridCol w:w="1366"/>
        <w:gridCol w:w="867"/>
        <w:gridCol w:w="1750"/>
        <w:gridCol w:w="15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auto"/>
                <w:sz w:val="22"/>
                <w:szCs w:val="32"/>
                <w:highlight w:val="none"/>
              </w:rPr>
            </w:pPr>
            <w:r>
              <w:rPr>
                <w:rFonts w:hint="eastAsia" w:ascii="宋体" w:hAnsi="宋体"/>
                <w:b/>
                <w:color w:val="auto"/>
                <w:sz w:val="22"/>
                <w:szCs w:val="32"/>
                <w:highlight w:val="none"/>
              </w:rPr>
              <w:t>序号</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auto"/>
                <w:sz w:val="22"/>
                <w:szCs w:val="32"/>
                <w:highlight w:val="none"/>
              </w:rPr>
            </w:pPr>
            <w:r>
              <w:rPr>
                <w:rFonts w:hint="eastAsia" w:ascii="宋体" w:hAnsi="宋体"/>
                <w:b/>
                <w:color w:val="auto"/>
                <w:sz w:val="22"/>
                <w:szCs w:val="32"/>
                <w:highlight w:val="none"/>
              </w:rPr>
              <w:t>货物名称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auto"/>
                <w:sz w:val="22"/>
                <w:szCs w:val="32"/>
                <w:highlight w:val="none"/>
              </w:rPr>
            </w:pPr>
            <w:r>
              <w:rPr>
                <w:rFonts w:hint="eastAsia" w:ascii="宋体" w:hAnsi="宋体"/>
                <w:b/>
                <w:color w:val="auto"/>
                <w:sz w:val="22"/>
                <w:szCs w:val="32"/>
                <w:highlight w:val="none"/>
              </w:rPr>
              <w:t>规格型号</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auto"/>
                <w:sz w:val="22"/>
                <w:szCs w:val="32"/>
                <w:highlight w:val="none"/>
              </w:rPr>
            </w:pPr>
            <w:r>
              <w:rPr>
                <w:rFonts w:hint="eastAsia" w:ascii="宋体" w:hAnsi="宋体"/>
                <w:b/>
                <w:color w:val="auto"/>
                <w:sz w:val="22"/>
                <w:szCs w:val="32"/>
                <w:highlight w:val="none"/>
              </w:rPr>
              <w:t>制造商/产地/品牌</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auto"/>
                <w:sz w:val="22"/>
                <w:szCs w:val="32"/>
                <w:highlight w:val="none"/>
              </w:rPr>
            </w:pPr>
            <w:r>
              <w:rPr>
                <w:rFonts w:hint="eastAsia" w:ascii="宋体" w:hAnsi="宋体"/>
                <w:b/>
                <w:color w:val="auto"/>
                <w:sz w:val="22"/>
                <w:szCs w:val="32"/>
                <w:highlight w:val="none"/>
              </w:rPr>
              <w:t>数量/</w:t>
            </w:r>
            <w:r>
              <w:rPr>
                <w:b/>
                <w:color w:val="auto"/>
                <w:sz w:val="22"/>
                <w:szCs w:val="28"/>
                <w:highlight w:val="none"/>
              </w:rPr>
              <w:t>单位</w:t>
            </w:r>
          </w:p>
        </w:tc>
        <w:tc>
          <w:tcPr>
            <w:tcW w:w="86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auto"/>
                <w:sz w:val="22"/>
                <w:szCs w:val="32"/>
                <w:highlight w:val="none"/>
              </w:rPr>
            </w:pPr>
            <w:r>
              <w:rPr>
                <w:rFonts w:hint="eastAsia" w:ascii="宋体" w:hAnsi="宋体"/>
                <w:b/>
                <w:color w:val="auto"/>
                <w:sz w:val="22"/>
                <w:szCs w:val="32"/>
                <w:highlight w:val="none"/>
              </w:rPr>
              <w:t>单价</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auto"/>
                <w:sz w:val="22"/>
                <w:szCs w:val="32"/>
                <w:highlight w:val="none"/>
              </w:rPr>
            </w:pPr>
            <w:r>
              <w:rPr>
                <w:rFonts w:hint="eastAsia" w:ascii="宋体" w:hAnsi="宋体"/>
                <w:b/>
                <w:color w:val="auto"/>
                <w:sz w:val="22"/>
                <w:szCs w:val="32"/>
                <w:highlight w:val="none"/>
              </w:rPr>
              <w:t>投标报价小计</w:t>
            </w:r>
          </w:p>
        </w:tc>
        <w:tc>
          <w:tcPr>
            <w:tcW w:w="15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auto"/>
                <w:sz w:val="22"/>
                <w:szCs w:val="32"/>
                <w:highlight w:val="none"/>
              </w:rPr>
            </w:pPr>
            <w:r>
              <w:rPr>
                <w:rFonts w:hint="eastAsia" w:ascii="宋体" w:hAnsi="宋体"/>
                <w:b/>
                <w:color w:val="auto"/>
                <w:sz w:val="22"/>
                <w:szCs w:val="32"/>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4" w:hRule="atLeast"/>
        </w:trPr>
        <w:tc>
          <w:tcPr>
            <w:tcW w:w="817" w:type="dxa"/>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color w:val="auto"/>
                <w:sz w:val="24"/>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Arial"/>
                <w:bCs/>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auto"/>
                <w:sz w:val="24"/>
                <w:highlight w:val="none"/>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auto"/>
                <w:sz w:val="24"/>
                <w:highlight w:val="none"/>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auto"/>
                <w:sz w:val="32"/>
                <w:szCs w:val="21"/>
                <w:highlight w:val="none"/>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c>
          <w:tcPr>
            <w:tcW w:w="17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c>
          <w:tcPr>
            <w:tcW w:w="1502" w:type="dxa"/>
            <w:vMerge w:val="restart"/>
            <w:tcBorders>
              <w:top w:val="single" w:color="auto" w:sz="4" w:space="0"/>
              <w:left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4" w:hRule="atLeast"/>
        </w:trPr>
        <w:tc>
          <w:tcPr>
            <w:tcW w:w="817" w:type="dxa"/>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color w:val="auto"/>
                <w:sz w:val="24"/>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Arial"/>
                <w:bCs/>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auto"/>
                <w:sz w:val="24"/>
                <w:highlight w:val="none"/>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auto"/>
                <w:sz w:val="24"/>
                <w:highlight w:val="none"/>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auto"/>
                <w:sz w:val="32"/>
                <w:szCs w:val="21"/>
                <w:highlight w:val="none"/>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c>
          <w:tcPr>
            <w:tcW w:w="17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b/>
                <w:bCs/>
                <w:color w:val="auto"/>
                <w:sz w:val="32"/>
                <w:szCs w:val="21"/>
                <w:highlight w:val="none"/>
              </w:rPr>
            </w:pPr>
          </w:p>
        </w:tc>
        <w:tc>
          <w:tcPr>
            <w:tcW w:w="1502" w:type="dxa"/>
            <w:vMerge w:val="continue"/>
            <w:tcBorders>
              <w:left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4" w:hRule="atLeast"/>
        </w:trPr>
        <w:tc>
          <w:tcPr>
            <w:tcW w:w="817" w:type="dxa"/>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color w:val="auto"/>
                <w:sz w:val="24"/>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Arial"/>
                <w:bCs/>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auto"/>
                <w:sz w:val="24"/>
                <w:highlight w:val="none"/>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auto"/>
                <w:sz w:val="24"/>
                <w:highlight w:val="none"/>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auto"/>
                <w:sz w:val="32"/>
                <w:szCs w:val="21"/>
                <w:highlight w:val="none"/>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c>
          <w:tcPr>
            <w:tcW w:w="17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c>
          <w:tcPr>
            <w:tcW w:w="1502" w:type="dxa"/>
            <w:vMerge w:val="continue"/>
            <w:tcBorders>
              <w:left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4" w:hRule="atLeast"/>
        </w:trPr>
        <w:tc>
          <w:tcPr>
            <w:tcW w:w="817" w:type="dxa"/>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color w:val="auto"/>
                <w:sz w:val="24"/>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Arial"/>
                <w:bCs/>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auto"/>
                <w:sz w:val="24"/>
                <w:highlight w:val="none"/>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auto"/>
                <w:sz w:val="24"/>
                <w:highlight w:val="none"/>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auto"/>
                <w:sz w:val="32"/>
                <w:szCs w:val="21"/>
                <w:highlight w:val="none"/>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c>
          <w:tcPr>
            <w:tcW w:w="17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c>
          <w:tcPr>
            <w:tcW w:w="1502" w:type="dxa"/>
            <w:vMerge w:val="continue"/>
            <w:tcBorders>
              <w:left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4" w:hRule="atLeast"/>
        </w:trPr>
        <w:tc>
          <w:tcPr>
            <w:tcW w:w="817" w:type="dxa"/>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color w:val="auto"/>
                <w:sz w:val="24"/>
                <w:highlight w:val="none"/>
              </w:rPr>
            </w:pPr>
            <w:r>
              <w:rPr>
                <w:rFonts w:hint="eastAsia"/>
                <w:color w:val="auto"/>
                <w:sz w:val="24"/>
                <w:highlight w:val="none"/>
              </w:rPr>
              <w:t>。。。</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Arial"/>
                <w:bCs/>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auto"/>
                <w:sz w:val="24"/>
                <w:highlight w:val="none"/>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auto"/>
                <w:sz w:val="24"/>
                <w:highlight w:val="none"/>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auto"/>
                <w:sz w:val="32"/>
                <w:szCs w:val="21"/>
                <w:highlight w:val="none"/>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c>
          <w:tcPr>
            <w:tcW w:w="17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c>
          <w:tcPr>
            <w:tcW w:w="1502" w:type="dxa"/>
            <w:vMerge w:val="continue"/>
            <w:tcBorders>
              <w:left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trPr>
        <w:tc>
          <w:tcPr>
            <w:tcW w:w="817" w:type="dxa"/>
            <w:vMerge w:val="restart"/>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color w:val="auto"/>
                <w:sz w:val="24"/>
                <w:highlight w:val="none"/>
              </w:rPr>
            </w:pPr>
            <w:r>
              <w:rPr>
                <w:rFonts w:hint="eastAsia"/>
                <w:color w:val="auto"/>
                <w:sz w:val="24"/>
                <w:highlight w:val="none"/>
              </w:rPr>
              <w:t>专用</w:t>
            </w:r>
          </w:p>
          <w:p>
            <w:pPr>
              <w:snapToGrid w:val="0"/>
              <w:spacing w:before="50" w:after="50"/>
              <w:jc w:val="center"/>
              <w:rPr>
                <w:rFonts w:hint="eastAsia"/>
                <w:color w:val="auto"/>
                <w:sz w:val="28"/>
                <w:szCs w:val="28"/>
                <w:highlight w:val="none"/>
              </w:rPr>
            </w:pPr>
            <w:r>
              <w:rPr>
                <w:rFonts w:hint="eastAsia"/>
                <w:color w:val="auto"/>
                <w:sz w:val="24"/>
                <w:highlight w:val="none"/>
              </w:rPr>
              <w:t>耗材</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Arial"/>
                <w:bCs/>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auto"/>
                <w:sz w:val="24"/>
                <w:highlight w:val="none"/>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auto"/>
                <w:sz w:val="24"/>
                <w:highlight w:val="none"/>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auto"/>
                <w:sz w:val="32"/>
                <w:szCs w:val="21"/>
                <w:highlight w:val="none"/>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c>
          <w:tcPr>
            <w:tcW w:w="17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c>
          <w:tcPr>
            <w:tcW w:w="1502" w:type="dxa"/>
            <w:vMerge w:val="continue"/>
            <w:tcBorders>
              <w:left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1" w:hRule="atLeast"/>
        </w:trPr>
        <w:tc>
          <w:tcPr>
            <w:tcW w:w="817" w:type="dxa"/>
            <w:vMerge w:val="continue"/>
            <w:tcBorders>
              <w:left w:val="single" w:color="auto" w:sz="4" w:space="0"/>
              <w:bottom w:val="single" w:color="auto" w:sz="4" w:space="0"/>
              <w:right w:val="single" w:color="auto" w:sz="4" w:space="0"/>
            </w:tcBorders>
            <w:noWrap w:val="0"/>
            <w:vAlign w:val="center"/>
          </w:tcPr>
          <w:p>
            <w:pPr>
              <w:snapToGrid w:val="0"/>
              <w:spacing w:before="50" w:after="50"/>
              <w:jc w:val="center"/>
              <w:rPr>
                <w:rFonts w:hint="eastAsia"/>
                <w:color w:val="auto"/>
                <w:sz w:val="28"/>
                <w:szCs w:val="28"/>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Arial"/>
                <w:bCs/>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auto"/>
                <w:sz w:val="24"/>
                <w:highlight w:val="none"/>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auto"/>
                <w:sz w:val="24"/>
                <w:highlight w:val="none"/>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auto"/>
                <w:sz w:val="32"/>
                <w:szCs w:val="21"/>
                <w:highlight w:val="none"/>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c>
          <w:tcPr>
            <w:tcW w:w="17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c>
          <w:tcPr>
            <w:tcW w:w="1502" w:type="dxa"/>
            <w:vMerge w:val="continue"/>
            <w:tcBorders>
              <w:left w:val="single" w:color="auto" w:sz="4" w:space="0"/>
              <w:bottom w:val="single" w:color="auto" w:sz="4" w:space="0"/>
              <w:right w:val="single" w:color="auto" w:sz="4" w:space="0"/>
            </w:tcBorders>
            <w:noWrap w:val="0"/>
            <w:vAlign w:val="top"/>
          </w:tcPr>
          <w:p>
            <w:pPr>
              <w:snapToGrid w:val="0"/>
              <w:spacing w:before="50" w:after="50"/>
              <w:rPr>
                <w:rFonts w:ascii="宋体" w:hAnsi="宋体"/>
                <w:color w:val="auto"/>
                <w:sz w:val="3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9944"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hint="eastAsia" w:ascii="宋体" w:hAnsi="宋体"/>
                <w:color w:val="auto"/>
                <w:sz w:val="24"/>
                <w:highlight w:val="none"/>
              </w:rPr>
            </w:pPr>
            <w:r>
              <w:rPr>
                <w:rFonts w:hint="eastAsia" w:ascii="宋体" w:hAnsi="宋体"/>
                <w:color w:val="auto"/>
                <w:sz w:val="24"/>
                <w:highlight w:val="none"/>
              </w:rPr>
              <w:t>投标报价大写（人民币）：</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小写：</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tc>
      </w:tr>
    </w:tbl>
    <w:p>
      <w:pPr>
        <w:spacing w:line="360" w:lineRule="auto"/>
        <w:rPr>
          <w:rFonts w:hint="eastAsia" w:ascii="宋体" w:hAnsi="宋体"/>
          <w:color w:val="auto"/>
          <w:sz w:val="24"/>
          <w:highlight w:val="none"/>
        </w:rPr>
      </w:pPr>
      <w:r>
        <w:rPr>
          <w:rFonts w:hint="eastAsia" w:ascii="宋体" w:hAnsi="宋体"/>
          <w:color w:val="auto"/>
          <w:sz w:val="24"/>
          <w:highlight w:val="none"/>
        </w:rPr>
        <w:t>注：1、投标报价必须填写，否则其投标作无效标处理。</w:t>
      </w:r>
    </w:p>
    <w:p>
      <w:pPr>
        <w:spacing w:line="360" w:lineRule="auto"/>
        <w:rPr>
          <w:rFonts w:hint="eastAsia" w:ascii="宋体" w:hAnsi="宋体"/>
          <w:color w:val="auto"/>
          <w:sz w:val="24"/>
          <w:highlight w:val="none"/>
        </w:rPr>
      </w:pPr>
      <w:r>
        <w:rPr>
          <w:rFonts w:hint="eastAsia" w:ascii="宋体" w:hAnsi="宋体"/>
          <w:color w:val="auto"/>
          <w:sz w:val="24"/>
          <w:highlight w:val="none"/>
        </w:rPr>
        <w:t>2、投标报价一经涂改，应在涂改处加盖单位公章或者由法定代表人或授权委托人签字或盖章，否则其投标作无效标处理。</w:t>
      </w:r>
    </w:p>
    <w:p>
      <w:pPr>
        <w:spacing w:line="360" w:lineRule="auto"/>
        <w:rPr>
          <w:rFonts w:hint="eastAsia" w:ascii="宋体" w:hAnsi="宋体"/>
          <w:b/>
          <w:bCs/>
          <w:color w:val="auto"/>
          <w:sz w:val="24"/>
          <w:highlight w:val="none"/>
        </w:rPr>
      </w:pPr>
      <w:r>
        <w:rPr>
          <w:rFonts w:hint="eastAsia" w:ascii="宋体" w:hAnsi="宋体"/>
          <w:color w:val="auto"/>
          <w:sz w:val="24"/>
          <w:highlight w:val="none"/>
        </w:rPr>
        <w:t>3、投标报价包括产品购置费、随机配送（备品备件、另配件、专用工具）、运杂费、保险费、到货验收、保管、安装、调试、试运行、检验、培训费、验收、交付使用、保修期内的售后服务等完成本项目的一切费用及税金。</w:t>
      </w:r>
    </w:p>
    <w:p>
      <w:pPr>
        <w:spacing w:line="360" w:lineRule="auto"/>
        <w:rPr>
          <w:rFonts w:hint="eastAsia" w:ascii="宋体" w:hAnsi="宋体" w:cs="Arial"/>
          <w:color w:val="auto"/>
          <w:sz w:val="24"/>
          <w:szCs w:val="20"/>
          <w:highlight w:val="none"/>
        </w:rPr>
      </w:pPr>
      <w:r>
        <w:rPr>
          <w:rFonts w:hint="eastAsia" w:ascii="宋体" w:hAnsi="宋体"/>
          <w:color w:val="auto"/>
          <w:sz w:val="24"/>
          <w:highlight w:val="none"/>
        </w:rPr>
        <w:t>4、交货期：</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（必须填写）。</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5、本表格式不允许修改，否则作无效标处理。</w:t>
      </w:r>
    </w:p>
    <w:p>
      <w:pPr>
        <w:snapToGrid w:val="0"/>
        <w:spacing w:line="380" w:lineRule="exact"/>
        <w:ind w:firstLine="480" w:firstLineChars="200"/>
        <w:jc w:val="left"/>
        <w:rPr>
          <w:rFonts w:hint="eastAsia" w:ascii="宋体" w:hAnsi="宋体"/>
          <w:color w:val="auto"/>
          <w:sz w:val="24"/>
          <w:highlight w:val="none"/>
        </w:rPr>
      </w:pPr>
    </w:p>
    <w:p>
      <w:pPr>
        <w:snapToGrid w:val="0"/>
        <w:spacing w:before="50" w:after="50" w:line="380" w:lineRule="exact"/>
        <w:ind w:left="-2" w:leftChars="-1" w:right="-817" w:rightChars="-389" w:firstLine="360" w:firstLineChars="150"/>
        <w:rPr>
          <w:rFonts w:hint="eastAsia" w:ascii="宋体" w:hAnsi="宋体"/>
          <w:color w:val="auto"/>
          <w:sz w:val="24"/>
          <w:highlight w:val="none"/>
        </w:rPr>
      </w:pPr>
      <w:r>
        <w:rPr>
          <w:rFonts w:hint="eastAsia" w:ascii="宋体" w:hAnsi="宋体"/>
          <w:color w:val="auto"/>
          <w:sz w:val="24"/>
          <w:highlight w:val="none"/>
        </w:rPr>
        <w:t>法定代表人或委托代理人（签字或盖章）：</w:t>
      </w:r>
    </w:p>
    <w:p>
      <w:pPr>
        <w:snapToGrid w:val="0"/>
        <w:spacing w:before="50" w:after="50" w:line="380" w:lineRule="exact"/>
        <w:ind w:left="-2" w:leftChars="-1" w:right="-817" w:rightChars="-389" w:firstLine="360" w:firstLineChars="150"/>
        <w:rPr>
          <w:rFonts w:hint="eastAsia" w:ascii="宋体" w:hAnsi="宋体"/>
          <w:color w:val="auto"/>
          <w:sz w:val="24"/>
          <w:highlight w:val="none"/>
        </w:rPr>
      </w:pPr>
    </w:p>
    <w:p>
      <w:pPr>
        <w:snapToGrid w:val="0"/>
        <w:spacing w:before="50" w:after="50" w:line="380" w:lineRule="exact"/>
        <w:ind w:right="-817" w:rightChars="-389" w:firstLine="360" w:firstLineChars="150"/>
        <w:rPr>
          <w:rFonts w:hint="eastAsia" w:ascii="宋体" w:hAnsi="宋体"/>
          <w:color w:val="auto"/>
          <w:sz w:val="24"/>
          <w:highlight w:val="none"/>
        </w:rPr>
      </w:pPr>
      <w:r>
        <w:rPr>
          <w:rFonts w:hint="eastAsia" w:ascii="宋体" w:hAnsi="宋体"/>
          <w:color w:val="auto"/>
          <w:sz w:val="24"/>
          <w:highlight w:val="none"/>
        </w:rPr>
        <w:t xml:space="preserve">投标人名称（盖章）：                                         </w:t>
      </w:r>
    </w:p>
    <w:p>
      <w:pPr>
        <w:snapToGrid w:val="0"/>
        <w:spacing w:before="50" w:after="50"/>
        <w:ind w:right="-817" w:rightChars="-389"/>
        <w:rPr>
          <w:rFonts w:hint="eastAsia" w:ascii="宋体" w:hAnsi="宋体"/>
          <w:color w:val="auto"/>
          <w:sz w:val="24"/>
          <w:highlight w:val="none"/>
        </w:rPr>
      </w:pPr>
    </w:p>
    <w:p>
      <w:pPr>
        <w:spacing w:line="380" w:lineRule="exact"/>
        <w:ind w:firstLine="6240" w:firstLineChars="2600"/>
        <w:rPr>
          <w:rFonts w:hint="eastAsia" w:ascii="宋体" w:hAnsi="宋体"/>
          <w:color w:val="auto"/>
          <w:sz w:val="24"/>
          <w:highlight w:val="none"/>
        </w:rPr>
      </w:pPr>
      <w:r>
        <w:rPr>
          <w:rFonts w:hint="eastAsia" w:ascii="宋体" w:hAnsi="宋体"/>
          <w:color w:val="auto"/>
          <w:sz w:val="24"/>
          <w:highlight w:val="none"/>
        </w:rPr>
        <w:t>日期：    年   月   日</w:t>
      </w:r>
    </w:p>
    <w:bookmarkEnd w:id="123"/>
    <w:p>
      <w:pPr>
        <w:pStyle w:val="2"/>
        <w:keepNext w:val="0"/>
        <w:keepLines w:val="0"/>
        <w:pageBreakBefore/>
        <w:spacing w:line="415" w:lineRule="auto"/>
        <w:rPr>
          <w:rFonts w:hint="eastAsia" w:ascii="宋体" w:hAnsi="宋体" w:eastAsia="宋体" w:cs="宋体"/>
          <w:b w:val="0"/>
          <w:color w:val="auto"/>
          <w:sz w:val="24"/>
          <w:szCs w:val="24"/>
          <w:highlight w:val="none"/>
        </w:rPr>
      </w:pPr>
      <w:bookmarkStart w:id="124" w:name="_Toc32673"/>
      <w:bookmarkStart w:id="125" w:name="_Toc5557"/>
      <w:bookmarkStart w:id="126" w:name="_Toc496599000"/>
      <w:r>
        <w:rPr>
          <w:rFonts w:hint="eastAsia" w:ascii="宋体" w:hAnsi="宋体" w:eastAsia="宋体" w:cs="宋体"/>
          <w:b w:val="0"/>
          <w:color w:val="auto"/>
          <w:sz w:val="24"/>
          <w:szCs w:val="24"/>
          <w:highlight w:val="none"/>
        </w:rPr>
        <w:t>附件</w:t>
      </w:r>
      <w:r>
        <w:rPr>
          <w:rFonts w:ascii="宋体" w:hAnsi="宋体" w:eastAsia="宋体" w:cs="宋体"/>
          <w:b w:val="0"/>
          <w:color w:val="auto"/>
          <w:sz w:val="24"/>
          <w:szCs w:val="24"/>
          <w:highlight w:val="none"/>
        </w:rPr>
        <w:t>十</w:t>
      </w:r>
      <w:r>
        <w:rPr>
          <w:rFonts w:hint="eastAsia" w:ascii="宋体" w:hAnsi="宋体" w:eastAsia="宋体" w:cs="宋体"/>
          <w:b w:val="0"/>
          <w:color w:val="auto"/>
          <w:sz w:val="24"/>
          <w:szCs w:val="24"/>
          <w:highlight w:val="none"/>
          <w:lang w:val="en-US" w:eastAsia="zh-CN"/>
        </w:rPr>
        <w:t>七</w:t>
      </w:r>
      <w:r>
        <w:rPr>
          <w:rFonts w:hint="eastAsia" w:ascii="宋体" w:hAnsi="宋体" w:eastAsia="宋体" w:cs="宋体"/>
          <w:b w:val="0"/>
          <w:color w:val="auto"/>
          <w:sz w:val="24"/>
          <w:szCs w:val="24"/>
          <w:highlight w:val="none"/>
        </w:rPr>
        <w:t>：残疾人福利性单位声明函</w:t>
      </w:r>
      <w:bookmarkEnd w:id="124"/>
      <w:bookmarkEnd w:id="125"/>
    </w:p>
    <w:p>
      <w:pPr>
        <w:spacing w:after="120"/>
        <w:ind w:right="960" w:firstLine="2533" w:firstLineChars="701"/>
        <w:jc w:val="left"/>
        <w:rPr>
          <w:rFonts w:hint="eastAsia" w:ascii="宋体" w:hAnsi="宋体" w:cs="宋体"/>
          <w:b/>
          <w:color w:val="auto"/>
          <w:sz w:val="36"/>
          <w:highlight w:val="none"/>
        </w:rPr>
      </w:pPr>
      <w:r>
        <w:rPr>
          <w:rFonts w:hint="eastAsia" w:ascii="宋体" w:hAnsi="宋体" w:cs="宋体"/>
          <w:b/>
          <w:color w:val="auto"/>
          <w:sz w:val="36"/>
          <w:highlight w:val="none"/>
        </w:rPr>
        <w:t>残疾人福利性单位声明函</w:t>
      </w:r>
    </w:p>
    <w:p>
      <w:pPr>
        <w:spacing w:after="120" w:line="360" w:lineRule="auto"/>
        <w:ind w:right="960" w:firstLine="548" w:firstLineChars="196"/>
        <w:jc w:val="left"/>
        <w:rPr>
          <w:rFonts w:hint="eastAsia" w:ascii="宋体" w:hAnsi="宋体" w:cs="宋体"/>
          <w:color w:val="auto"/>
          <w:sz w:val="28"/>
          <w:highlight w:val="none"/>
        </w:rPr>
      </w:pPr>
    </w:p>
    <w:p>
      <w:pPr>
        <w:spacing w:after="120" w:line="360" w:lineRule="auto"/>
        <w:ind w:right="960" w:firstLine="548" w:firstLineChars="196"/>
        <w:jc w:val="left"/>
        <w:rPr>
          <w:rFonts w:hint="eastAsia" w:ascii="宋体" w:hAnsi="宋体" w:cs="宋体"/>
          <w:color w:val="auto"/>
          <w:sz w:val="28"/>
          <w:highlight w:val="none"/>
        </w:rPr>
      </w:pPr>
      <w:r>
        <w:rPr>
          <w:rFonts w:hint="eastAsia" w:ascii="宋体" w:hAnsi="宋体" w:cs="宋体"/>
          <w:color w:val="auto"/>
          <w:sz w:val="28"/>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sz w:val="28"/>
          <w:highlight w:val="none"/>
          <w:u w:val="single"/>
        </w:rPr>
        <w:t xml:space="preserve">               </w:t>
      </w:r>
      <w:r>
        <w:rPr>
          <w:rFonts w:hint="eastAsia" w:ascii="宋体" w:hAnsi="宋体" w:cs="宋体"/>
          <w:color w:val="auto"/>
          <w:sz w:val="28"/>
          <w:highlight w:val="none"/>
        </w:rPr>
        <w:t>单位的</w:t>
      </w:r>
      <w:r>
        <w:rPr>
          <w:rFonts w:hint="eastAsia" w:ascii="宋体" w:hAnsi="宋体" w:cs="宋体"/>
          <w:color w:val="auto"/>
          <w:sz w:val="28"/>
          <w:highlight w:val="none"/>
          <w:u w:val="single"/>
        </w:rPr>
        <w:t xml:space="preserve">        </w:t>
      </w:r>
      <w:r>
        <w:rPr>
          <w:rFonts w:hint="eastAsia" w:ascii="宋体" w:hAnsi="宋体" w:cs="宋体"/>
          <w:color w:val="auto"/>
          <w:sz w:val="28"/>
          <w:highlight w:val="none"/>
        </w:rPr>
        <w:t>项目采购活动提供本单位制造的货物（由本单位承担工程/服务），或者提供其他残疾人福利性单位制造的货物（不包括使用非残疾人福利性单位注册商标的货物）。</w:t>
      </w:r>
    </w:p>
    <w:p>
      <w:pPr>
        <w:spacing w:after="120" w:line="360" w:lineRule="auto"/>
        <w:ind w:right="960" w:firstLine="548" w:firstLineChars="196"/>
        <w:jc w:val="left"/>
        <w:rPr>
          <w:rFonts w:hint="eastAsia" w:ascii="宋体" w:hAnsi="宋体" w:cs="宋体"/>
          <w:color w:val="auto"/>
          <w:sz w:val="28"/>
          <w:highlight w:val="none"/>
        </w:rPr>
      </w:pPr>
      <w:r>
        <w:rPr>
          <w:rFonts w:hint="eastAsia" w:ascii="宋体" w:hAnsi="宋体" w:cs="宋体"/>
          <w:color w:val="auto"/>
          <w:sz w:val="28"/>
          <w:highlight w:val="none"/>
        </w:rPr>
        <w:t>本单位对上述声明的真实性负责。如有虚假，将依法承担相应责任。</w:t>
      </w:r>
    </w:p>
    <w:p>
      <w:pPr>
        <w:spacing w:after="120" w:line="360" w:lineRule="auto"/>
        <w:ind w:right="960" w:firstLine="4200" w:firstLineChars="1500"/>
        <w:jc w:val="left"/>
        <w:rPr>
          <w:rFonts w:hint="eastAsia" w:ascii="宋体" w:hAnsi="宋体" w:cs="宋体"/>
          <w:color w:val="auto"/>
          <w:sz w:val="28"/>
          <w:highlight w:val="none"/>
        </w:rPr>
      </w:pPr>
    </w:p>
    <w:p>
      <w:pPr>
        <w:spacing w:after="120" w:line="360" w:lineRule="auto"/>
        <w:ind w:right="960" w:firstLine="4200" w:firstLineChars="1500"/>
        <w:jc w:val="left"/>
        <w:rPr>
          <w:rFonts w:hint="eastAsia" w:ascii="宋体" w:hAnsi="宋体" w:cs="宋体"/>
          <w:color w:val="auto"/>
          <w:sz w:val="28"/>
          <w:highlight w:val="none"/>
        </w:rPr>
      </w:pPr>
    </w:p>
    <w:p>
      <w:pPr>
        <w:spacing w:after="120" w:line="360" w:lineRule="auto"/>
        <w:ind w:right="960" w:firstLine="4200" w:firstLineChars="1500"/>
        <w:jc w:val="left"/>
        <w:rPr>
          <w:rFonts w:hint="eastAsia" w:ascii="宋体" w:hAnsi="宋体" w:cs="宋体"/>
          <w:color w:val="auto"/>
          <w:sz w:val="28"/>
          <w:highlight w:val="none"/>
        </w:rPr>
      </w:pPr>
      <w:r>
        <w:rPr>
          <w:rFonts w:hint="eastAsia" w:ascii="宋体" w:hAnsi="宋体" w:cs="宋体"/>
          <w:color w:val="auto"/>
          <w:sz w:val="28"/>
          <w:highlight w:val="none"/>
        </w:rPr>
        <w:t>单位名称（盖章）:</w:t>
      </w:r>
    </w:p>
    <w:p>
      <w:pPr>
        <w:spacing w:after="120" w:line="360" w:lineRule="auto"/>
        <w:ind w:right="960" w:firstLine="4200" w:firstLineChars="1500"/>
        <w:jc w:val="left"/>
        <w:rPr>
          <w:rFonts w:hint="eastAsia" w:ascii="宋体" w:hAnsi="宋体" w:cs="宋体"/>
          <w:color w:val="auto"/>
          <w:sz w:val="28"/>
          <w:highlight w:val="none"/>
        </w:rPr>
      </w:pPr>
      <w:r>
        <w:rPr>
          <w:rFonts w:hint="eastAsia" w:ascii="宋体" w:hAnsi="宋体" w:cs="宋体"/>
          <w:color w:val="auto"/>
          <w:sz w:val="28"/>
          <w:highlight w:val="none"/>
        </w:rPr>
        <w:t xml:space="preserve">日期：        </w:t>
      </w:r>
    </w:p>
    <w:p>
      <w:pPr>
        <w:spacing w:after="120"/>
        <w:jc w:val="center"/>
        <w:rPr>
          <w:rFonts w:hint="eastAsia" w:ascii="宋体" w:hAnsi="宋体" w:cs="宋体"/>
          <w:b/>
          <w:color w:val="auto"/>
          <w:sz w:val="36"/>
          <w:szCs w:val="36"/>
          <w:highlight w:val="none"/>
        </w:rPr>
      </w:pPr>
    </w:p>
    <w:p>
      <w:pPr>
        <w:numPr>
          <w:ilvl w:val="0"/>
          <w:numId w:val="12"/>
        </w:numPr>
        <w:tabs>
          <w:tab w:val="left" w:pos="420"/>
          <w:tab w:val="clear" w:pos="1244"/>
        </w:tabs>
        <w:spacing w:before="100" w:beforeAutospacing="1" w:after="100" w:afterAutospacing="1" w:line="432" w:lineRule="auto"/>
        <w:ind w:hanging="1244"/>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残疾人福利性单位视同小型、微型企业，享受价格扣除。</w:t>
      </w:r>
    </w:p>
    <w:p>
      <w:pPr>
        <w:numPr>
          <w:ilvl w:val="0"/>
          <w:numId w:val="12"/>
        </w:numPr>
        <w:tabs>
          <w:tab w:val="left" w:pos="420"/>
          <w:tab w:val="clear" w:pos="1244"/>
        </w:tabs>
        <w:spacing w:before="100" w:beforeAutospacing="1" w:after="100" w:afterAutospacing="1" w:line="432" w:lineRule="auto"/>
        <w:ind w:hanging="1244"/>
        <w:rPr>
          <w:rFonts w:hint="eastAsia" w:ascii="宋体" w:hAnsi="宋体" w:eastAsia="宋体" w:cs="宋体"/>
          <w:bCs/>
          <w:color w:val="auto"/>
          <w:sz w:val="24"/>
          <w:highlight w:val="none"/>
        </w:rPr>
      </w:pPr>
      <w:r>
        <w:rPr>
          <w:rFonts w:hint="eastAsia" w:ascii="宋体" w:hAnsi="宋体" w:eastAsia="宋体" w:cs="Times New Roman"/>
          <w:b/>
          <w:color w:val="auto"/>
          <w:szCs w:val="21"/>
          <w:highlight w:val="none"/>
        </w:rPr>
        <w:t>残疾人福利性单位属于小型、微型企业的，不重复享受</w:t>
      </w:r>
      <w:r>
        <w:rPr>
          <w:rFonts w:hint="eastAsia" w:ascii="宋体" w:hAnsi="宋体" w:eastAsia="宋体" w:cs="Times New Roman"/>
          <w:b/>
          <w:color w:val="auto"/>
          <w:szCs w:val="21"/>
          <w:highlight w:val="none"/>
          <w:lang w:eastAsia="zh-CN"/>
        </w:rPr>
        <w:t>价格扣除</w:t>
      </w:r>
      <w:r>
        <w:rPr>
          <w:rFonts w:hint="eastAsia" w:ascii="宋体" w:hAnsi="宋体" w:eastAsia="宋体" w:cs="Times New Roman"/>
          <w:b/>
          <w:color w:val="auto"/>
          <w:szCs w:val="21"/>
          <w:highlight w:val="none"/>
        </w:rPr>
        <w:t>。</w:t>
      </w:r>
    </w:p>
    <w:p>
      <w:pPr>
        <w:numPr>
          <w:ilvl w:val="0"/>
          <w:numId w:val="12"/>
        </w:numPr>
        <w:tabs>
          <w:tab w:val="left" w:pos="420"/>
          <w:tab w:val="clear" w:pos="1244"/>
        </w:tabs>
        <w:spacing w:before="100" w:beforeAutospacing="1" w:after="100" w:afterAutospacing="1" w:line="432" w:lineRule="auto"/>
        <w:ind w:hanging="1244"/>
        <w:rPr>
          <w:rFonts w:hint="eastAsia" w:ascii="宋体" w:hAnsi="宋体" w:eastAsia="宋体" w:cs="宋体"/>
          <w:bCs/>
          <w:color w:val="auto"/>
          <w:sz w:val="24"/>
          <w:highlight w:val="none"/>
        </w:rPr>
      </w:pPr>
      <w:r>
        <w:rPr>
          <w:rFonts w:hint="eastAsia" w:ascii="宋体" w:hAnsi="宋体"/>
          <w:b/>
          <w:color w:val="auto"/>
          <w:szCs w:val="21"/>
          <w:highlight w:val="none"/>
        </w:rPr>
        <w:t>如中标人声明为残疾人福利性单位，本声明函将随中标结果同时公告，接受社会监督。</w:t>
      </w:r>
    </w:p>
    <w:p>
      <w:pPr>
        <w:pageBreakBefore/>
        <w:spacing w:before="260" w:after="260" w:line="415" w:lineRule="auto"/>
        <w:outlineLvl w:val="1"/>
        <w:rPr>
          <w:rFonts w:hint="eastAsia" w:ascii="宋体" w:hAnsi="宋体" w:eastAsia="宋体" w:cs="宋体"/>
          <w:bCs/>
          <w:color w:val="auto"/>
          <w:sz w:val="24"/>
          <w:highlight w:val="none"/>
        </w:rPr>
      </w:pPr>
      <w:bookmarkStart w:id="127" w:name="_Toc18659"/>
      <w:r>
        <w:rPr>
          <w:rFonts w:hint="eastAsia" w:ascii="宋体" w:hAnsi="宋体" w:eastAsia="宋体" w:cs="宋体"/>
          <w:bCs/>
          <w:color w:val="auto"/>
          <w:sz w:val="24"/>
          <w:highlight w:val="none"/>
        </w:rPr>
        <w:t>附件十</w:t>
      </w:r>
      <w:r>
        <w:rPr>
          <w:rFonts w:hint="eastAsia" w:ascii="宋体" w:hAnsi="宋体" w:cs="宋体"/>
          <w:bCs/>
          <w:color w:val="auto"/>
          <w:sz w:val="24"/>
          <w:highlight w:val="none"/>
          <w:lang w:val="en-US" w:eastAsia="zh-CN"/>
        </w:rPr>
        <w:t>八</w:t>
      </w:r>
      <w:r>
        <w:rPr>
          <w:rFonts w:hint="eastAsia" w:ascii="宋体" w:hAnsi="宋体" w:eastAsia="宋体" w:cs="宋体"/>
          <w:bCs/>
          <w:color w:val="auto"/>
          <w:sz w:val="24"/>
          <w:highlight w:val="none"/>
        </w:rPr>
        <w:t>：</w:t>
      </w:r>
      <w:bookmarkEnd w:id="126"/>
      <w:r>
        <w:rPr>
          <w:rFonts w:hint="eastAsia" w:ascii="宋体" w:hAnsi="宋体" w:eastAsia="宋体" w:cs="宋体"/>
          <w:bCs/>
          <w:color w:val="auto"/>
          <w:sz w:val="24"/>
          <w:highlight w:val="none"/>
        </w:rPr>
        <w:t>中小企业声明函（货物）</w:t>
      </w:r>
      <w:bookmarkEnd w:id="127"/>
    </w:p>
    <w:p>
      <w:pPr>
        <w:jc w:val="center"/>
        <w:rPr>
          <w:rFonts w:hint="eastAsia" w:ascii="宋体" w:hAnsi="宋体" w:cs="宋体"/>
          <w:b/>
          <w:bCs/>
          <w:color w:val="auto"/>
          <w:sz w:val="40"/>
          <w:szCs w:val="40"/>
          <w:highlight w:val="none"/>
        </w:rPr>
      </w:pPr>
      <w:bookmarkStart w:id="128" w:name="_Toc496599001"/>
      <w:r>
        <w:rPr>
          <w:rFonts w:hint="eastAsia" w:ascii="宋体" w:hAnsi="宋体" w:cs="宋体"/>
          <w:b/>
          <w:bCs/>
          <w:color w:val="auto"/>
          <w:sz w:val="40"/>
          <w:szCs w:val="40"/>
          <w:highlight w:val="none"/>
        </w:rPr>
        <w:t>中小企业声明函（货物）</w:t>
      </w:r>
    </w:p>
    <w:p>
      <w:pPr>
        <w:jc w:val="center"/>
        <w:rPr>
          <w:rFonts w:hint="eastAsia" w:ascii="宋体" w:hAnsi="宋体" w:cs="宋体"/>
          <w:color w:val="auto"/>
          <w:sz w:val="30"/>
          <w:szCs w:val="30"/>
          <w:highlight w:val="none"/>
        </w:rPr>
      </w:pP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本公司（联合体）郑重声明，根据《政府采购促进中小企业发展管理办法》（财库﹝2020﹞46 号）的规定，本公司（联合体）参加</w:t>
      </w:r>
      <w:r>
        <w:rPr>
          <w:rFonts w:hint="eastAsia" w:ascii="宋体" w:hAnsi="宋体" w:cs="宋体"/>
          <w:color w:val="auto"/>
          <w:sz w:val="24"/>
          <w:szCs w:val="32"/>
          <w:highlight w:val="none"/>
          <w:u w:val="single"/>
        </w:rPr>
        <w:t xml:space="preserve">  （单位名称）  </w:t>
      </w:r>
      <w:r>
        <w:rPr>
          <w:rFonts w:hint="eastAsia" w:ascii="宋体" w:hAnsi="宋体" w:cs="宋体"/>
          <w:color w:val="auto"/>
          <w:sz w:val="24"/>
          <w:szCs w:val="32"/>
          <w:highlight w:val="none"/>
        </w:rPr>
        <w:t>的</w:t>
      </w:r>
      <w:r>
        <w:rPr>
          <w:rFonts w:hint="eastAsia" w:ascii="宋体" w:hAnsi="宋体" w:cs="宋体"/>
          <w:color w:val="auto"/>
          <w:sz w:val="24"/>
          <w:szCs w:val="32"/>
          <w:highlight w:val="none"/>
          <w:u w:val="single"/>
        </w:rPr>
        <w:t xml:space="preserve">  （项目名称）  </w:t>
      </w:r>
      <w:r>
        <w:rPr>
          <w:rFonts w:hint="eastAsia" w:ascii="宋体" w:hAnsi="宋体" w:cs="宋体"/>
          <w:color w:val="auto"/>
          <w:sz w:val="24"/>
          <w:szCs w:val="32"/>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u w:val="single"/>
        </w:rPr>
        <w:t xml:space="preserve">  （标的名称）  </w:t>
      </w:r>
      <w:r>
        <w:rPr>
          <w:rFonts w:hint="eastAsia" w:ascii="宋体" w:hAnsi="宋体" w:cs="宋体"/>
          <w:color w:val="auto"/>
          <w:sz w:val="24"/>
          <w:szCs w:val="32"/>
          <w:highlight w:val="none"/>
        </w:rPr>
        <w:t>，属于</w:t>
      </w:r>
      <w:r>
        <w:rPr>
          <w:rFonts w:hint="eastAsia" w:ascii="宋体" w:hAnsi="宋体" w:cs="宋体"/>
          <w:color w:val="auto"/>
          <w:sz w:val="24"/>
          <w:szCs w:val="32"/>
          <w:highlight w:val="none"/>
          <w:u w:val="single"/>
          <w:lang w:val="en-US" w:eastAsia="zh-CN"/>
        </w:rPr>
        <w:t xml:space="preserve"> </w:t>
      </w:r>
      <w:r>
        <w:rPr>
          <w:rFonts w:hint="eastAsia" w:ascii="宋体" w:hAnsi="宋体" w:cs="宋体"/>
          <w:color w:val="auto"/>
          <w:sz w:val="24"/>
          <w:szCs w:val="32"/>
          <w:highlight w:val="none"/>
          <w:u w:val="single"/>
          <w:lang w:eastAsia="zh-CN"/>
        </w:rPr>
        <w:t>制造业</w:t>
      </w:r>
      <w:r>
        <w:rPr>
          <w:rFonts w:hint="eastAsia" w:ascii="宋体" w:hAnsi="宋体" w:cs="宋体"/>
          <w:color w:val="auto"/>
          <w:sz w:val="24"/>
          <w:szCs w:val="32"/>
          <w:highlight w:val="none"/>
          <w:u w:val="single"/>
          <w:lang w:val="en-US" w:eastAsia="zh-CN"/>
        </w:rPr>
        <w:t xml:space="preserve"> </w:t>
      </w:r>
      <w:r>
        <w:rPr>
          <w:rFonts w:hint="eastAsia" w:ascii="宋体" w:hAnsi="宋体" w:cs="宋体"/>
          <w:color w:val="auto"/>
          <w:sz w:val="24"/>
          <w:szCs w:val="32"/>
          <w:highlight w:val="none"/>
        </w:rPr>
        <w:t>行业；制造商为</w:t>
      </w:r>
      <w:r>
        <w:rPr>
          <w:rFonts w:hint="eastAsia" w:ascii="宋体" w:hAnsi="宋体" w:cs="宋体"/>
          <w:color w:val="auto"/>
          <w:sz w:val="24"/>
          <w:szCs w:val="32"/>
          <w:highlight w:val="none"/>
          <w:u w:val="single"/>
        </w:rPr>
        <w:t xml:space="preserve">  （企业名称）  </w:t>
      </w:r>
      <w:r>
        <w:rPr>
          <w:rFonts w:hint="eastAsia" w:ascii="宋体" w:hAnsi="宋体" w:cs="宋体"/>
          <w:color w:val="auto"/>
          <w:sz w:val="24"/>
          <w:szCs w:val="32"/>
          <w:highlight w:val="none"/>
        </w:rPr>
        <w:t>，从业人员</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人，营业收入为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万元，资产总额为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万元，</w:t>
      </w:r>
      <w:r>
        <w:rPr>
          <w:rFonts w:hint="eastAsia" w:ascii="宋体" w:hAnsi="宋体" w:cs="宋体"/>
          <w:b/>
          <w:bCs/>
          <w:color w:val="auto"/>
          <w:sz w:val="24"/>
          <w:szCs w:val="32"/>
          <w:highlight w:val="none"/>
        </w:rPr>
        <w:t>属于</w:t>
      </w:r>
      <w:r>
        <w:rPr>
          <w:rFonts w:hint="eastAsia" w:ascii="宋体" w:hAnsi="宋体" w:cs="宋体"/>
          <w:b/>
          <w:bCs/>
          <w:color w:val="auto"/>
          <w:sz w:val="24"/>
          <w:szCs w:val="32"/>
          <w:highlight w:val="none"/>
          <w:u w:val="single"/>
        </w:rPr>
        <w:t xml:space="preserve">         </w:t>
      </w:r>
      <w:r>
        <w:rPr>
          <w:rFonts w:hint="eastAsia" w:ascii="宋体" w:hAnsi="宋体" w:cs="宋体"/>
          <w:b/>
          <w:bCs/>
          <w:color w:val="auto"/>
          <w:sz w:val="24"/>
          <w:szCs w:val="32"/>
          <w:highlight w:val="none"/>
          <w:u w:val="none"/>
        </w:rPr>
        <w:t>企业</w:t>
      </w:r>
      <w:r>
        <w:rPr>
          <w:rFonts w:hint="eastAsia" w:ascii="宋体" w:hAnsi="宋体" w:cs="宋体"/>
          <w:color w:val="auto"/>
          <w:sz w:val="24"/>
          <w:szCs w:val="32"/>
          <w:highlight w:val="none"/>
          <w:u w:val="none"/>
        </w:rPr>
        <w:t>（中型企业或小型企业或微型企业）</w:t>
      </w:r>
      <w:r>
        <w:rPr>
          <w:rFonts w:hint="eastAsia" w:ascii="宋体" w:hAnsi="宋体" w:cs="宋体"/>
          <w:color w:val="auto"/>
          <w:sz w:val="24"/>
          <w:szCs w:val="32"/>
          <w:highlight w:val="none"/>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u w:val="single"/>
        </w:rPr>
        <w:t xml:space="preserve">  （标的名称）  </w:t>
      </w:r>
      <w:r>
        <w:rPr>
          <w:rFonts w:hint="eastAsia" w:ascii="宋体" w:hAnsi="宋体" w:cs="宋体"/>
          <w:color w:val="auto"/>
          <w:sz w:val="24"/>
          <w:szCs w:val="32"/>
          <w:highlight w:val="none"/>
        </w:rPr>
        <w:t>，属于</w:t>
      </w:r>
      <w:r>
        <w:rPr>
          <w:rFonts w:hint="eastAsia" w:ascii="宋体" w:hAnsi="宋体" w:cs="宋体"/>
          <w:color w:val="auto"/>
          <w:sz w:val="24"/>
          <w:szCs w:val="32"/>
          <w:highlight w:val="none"/>
          <w:u w:val="single"/>
          <w:lang w:eastAsia="zh-CN"/>
        </w:rPr>
        <w:t>制造业</w:t>
      </w:r>
      <w:r>
        <w:rPr>
          <w:rFonts w:hint="eastAsia" w:ascii="宋体" w:hAnsi="宋体" w:cs="宋体"/>
          <w:color w:val="auto"/>
          <w:sz w:val="24"/>
          <w:szCs w:val="32"/>
          <w:highlight w:val="none"/>
        </w:rPr>
        <w:t>行业；制造商为</w:t>
      </w:r>
      <w:r>
        <w:rPr>
          <w:rFonts w:hint="eastAsia" w:ascii="宋体" w:hAnsi="宋体" w:cs="宋体"/>
          <w:color w:val="auto"/>
          <w:sz w:val="24"/>
          <w:szCs w:val="32"/>
          <w:highlight w:val="none"/>
          <w:u w:val="single"/>
        </w:rPr>
        <w:t xml:space="preserve">  （企业名称）  </w:t>
      </w:r>
      <w:r>
        <w:rPr>
          <w:rFonts w:hint="eastAsia" w:ascii="宋体" w:hAnsi="宋体" w:cs="宋体"/>
          <w:color w:val="auto"/>
          <w:sz w:val="24"/>
          <w:szCs w:val="32"/>
          <w:highlight w:val="none"/>
        </w:rPr>
        <w:t>，从业人员</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人，营业收入为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万元，资产总额为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万元，</w:t>
      </w:r>
      <w:r>
        <w:rPr>
          <w:rFonts w:hint="eastAsia" w:ascii="宋体" w:hAnsi="宋体" w:cs="宋体"/>
          <w:b/>
          <w:bCs/>
          <w:color w:val="auto"/>
          <w:sz w:val="24"/>
          <w:szCs w:val="32"/>
          <w:highlight w:val="none"/>
        </w:rPr>
        <w:t>属于</w:t>
      </w:r>
      <w:r>
        <w:rPr>
          <w:rFonts w:hint="eastAsia" w:ascii="宋体" w:hAnsi="宋体" w:cs="宋体"/>
          <w:b/>
          <w:bCs/>
          <w:color w:val="auto"/>
          <w:sz w:val="24"/>
          <w:szCs w:val="32"/>
          <w:highlight w:val="none"/>
          <w:u w:val="single"/>
        </w:rPr>
        <w:t xml:space="preserve">         </w:t>
      </w:r>
      <w:r>
        <w:rPr>
          <w:rFonts w:hint="eastAsia" w:ascii="宋体" w:hAnsi="宋体" w:cs="宋体"/>
          <w:b/>
          <w:bCs/>
          <w:color w:val="auto"/>
          <w:sz w:val="24"/>
          <w:szCs w:val="32"/>
          <w:highlight w:val="none"/>
        </w:rPr>
        <w:t>企业</w:t>
      </w:r>
      <w:r>
        <w:rPr>
          <w:rFonts w:hint="eastAsia" w:ascii="宋体" w:hAnsi="宋体" w:cs="宋体"/>
          <w:color w:val="auto"/>
          <w:sz w:val="24"/>
          <w:szCs w:val="32"/>
          <w:highlight w:val="none"/>
        </w:rPr>
        <w:t>（中型企业或小型企业或微型企业）；</w:t>
      </w:r>
    </w:p>
    <w:p>
      <w:pPr>
        <w:spacing w:line="360" w:lineRule="auto"/>
        <w:rPr>
          <w:rFonts w:hint="eastAsia" w:ascii="宋体" w:hAnsi="宋体" w:cs="宋体"/>
          <w:color w:val="auto"/>
          <w:sz w:val="24"/>
          <w:szCs w:val="32"/>
          <w:highlight w:val="none"/>
        </w:rPr>
      </w:pPr>
      <w:r>
        <w:rPr>
          <w:rFonts w:hint="eastAsia" w:ascii="宋体" w:hAnsi="宋体" w:cs="宋体"/>
          <w:color w:val="auto"/>
          <w:sz w:val="24"/>
          <w:szCs w:val="32"/>
          <w:highlight w:val="none"/>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本企业对上述声明内容的真实性负责。如有虚假，将依法承担相应责任。</w:t>
      </w:r>
    </w:p>
    <w:p>
      <w:pPr>
        <w:spacing w:line="360" w:lineRule="auto"/>
        <w:rPr>
          <w:rFonts w:hint="eastAsia" w:ascii="宋体" w:hAnsi="宋体" w:cs="宋体"/>
          <w:color w:val="auto"/>
          <w:sz w:val="24"/>
          <w:szCs w:val="32"/>
          <w:highlight w:val="none"/>
        </w:rPr>
      </w:pPr>
    </w:p>
    <w:p>
      <w:pPr>
        <w:spacing w:line="360" w:lineRule="auto"/>
        <w:rPr>
          <w:rFonts w:hint="eastAsia" w:ascii="宋体" w:hAnsi="宋体" w:cs="宋体"/>
          <w:color w:val="auto"/>
          <w:sz w:val="24"/>
          <w:szCs w:val="32"/>
          <w:highlight w:val="none"/>
        </w:rPr>
      </w:pPr>
    </w:p>
    <w:p>
      <w:pPr>
        <w:spacing w:line="360" w:lineRule="auto"/>
        <w:ind w:firstLine="5280" w:firstLineChars="2200"/>
        <w:rPr>
          <w:rFonts w:hint="eastAsia" w:ascii="宋体" w:hAnsi="宋体" w:cs="宋体"/>
          <w:color w:val="auto"/>
          <w:sz w:val="24"/>
          <w:szCs w:val="32"/>
          <w:highlight w:val="none"/>
        </w:rPr>
      </w:pPr>
      <w:r>
        <w:rPr>
          <w:rFonts w:hint="eastAsia" w:ascii="宋体" w:hAnsi="宋体" w:cs="宋体"/>
          <w:color w:val="auto"/>
          <w:sz w:val="24"/>
          <w:szCs w:val="32"/>
          <w:highlight w:val="none"/>
        </w:rPr>
        <w:t>企业名称（盖章）：</w:t>
      </w:r>
    </w:p>
    <w:p>
      <w:pPr>
        <w:spacing w:line="360" w:lineRule="auto"/>
        <w:ind w:firstLine="5280" w:firstLineChars="2200"/>
        <w:rPr>
          <w:rFonts w:hint="eastAsia" w:ascii="宋体" w:hAnsi="宋体" w:cs="宋体"/>
          <w:color w:val="auto"/>
          <w:sz w:val="24"/>
          <w:szCs w:val="32"/>
          <w:highlight w:val="none"/>
        </w:rPr>
      </w:pPr>
      <w:r>
        <w:rPr>
          <w:rFonts w:hint="eastAsia" w:ascii="宋体" w:hAnsi="宋体" w:cs="宋体"/>
          <w:color w:val="auto"/>
          <w:sz w:val="24"/>
          <w:szCs w:val="32"/>
          <w:highlight w:val="none"/>
        </w:rPr>
        <w:t>日期：</w:t>
      </w:r>
    </w:p>
    <w:p>
      <w:pPr>
        <w:spacing w:line="360" w:lineRule="auto"/>
        <w:rPr>
          <w:rFonts w:hint="eastAsia" w:ascii="宋体" w:hAnsi="宋体" w:cs="宋体"/>
          <w:color w:val="auto"/>
          <w:sz w:val="28"/>
          <w:szCs w:val="36"/>
          <w:highlight w:val="none"/>
        </w:rPr>
      </w:pPr>
    </w:p>
    <w:p>
      <w:pPr>
        <w:spacing w:line="360" w:lineRule="auto"/>
        <w:rPr>
          <w:rFonts w:hint="eastAsia" w:ascii="宋体" w:hAnsi="宋体" w:cs="宋体"/>
          <w:b/>
          <w:bCs/>
          <w:color w:val="auto"/>
          <w:sz w:val="22"/>
          <w:szCs w:val="28"/>
          <w:highlight w:val="none"/>
        </w:rPr>
      </w:pPr>
      <w:r>
        <w:rPr>
          <w:rFonts w:hint="eastAsia" w:ascii="宋体" w:hAnsi="宋体" w:cs="宋体"/>
          <w:b/>
          <w:bCs/>
          <w:color w:val="auto"/>
          <w:sz w:val="22"/>
          <w:szCs w:val="28"/>
          <w:highlight w:val="none"/>
        </w:rPr>
        <w:t>备注：</w:t>
      </w:r>
    </w:p>
    <w:p>
      <w:pPr>
        <w:spacing w:line="360" w:lineRule="auto"/>
        <w:rPr>
          <w:rFonts w:hint="eastAsia" w:ascii="宋体" w:hAnsi="宋体" w:cs="宋体"/>
          <w:b/>
          <w:bCs/>
          <w:color w:val="auto"/>
          <w:highlight w:val="none"/>
        </w:rPr>
      </w:pPr>
      <w:r>
        <w:rPr>
          <w:rFonts w:hint="eastAsia" w:ascii="宋体" w:hAnsi="宋体" w:cs="宋体"/>
          <w:b/>
          <w:bCs/>
          <w:color w:val="auto"/>
          <w:highlight w:val="none"/>
          <w:lang w:val="en-US" w:eastAsia="zh-CN"/>
        </w:rPr>
        <w:t>1</w:t>
      </w:r>
      <w:r>
        <w:rPr>
          <w:rFonts w:hint="eastAsia" w:ascii="宋体" w:hAnsi="宋体" w:cs="宋体"/>
          <w:b/>
          <w:bCs/>
          <w:color w:val="auto"/>
          <w:highlight w:val="none"/>
        </w:rPr>
        <w:t>、从业人员、营业收入、资产总额填报上一年度数据，无上一年度数据的新成立企业可不填报。</w:t>
      </w:r>
    </w:p>
    <w:p>
      <w:pPr>
        <w:pStyle w:val="16"/>
        <w:spacing w:line="360" w:lineRule="auto"/>
        <w:rPr>
          <w:rFonts w:hint="eastAsia" w:ascii="宋体" w:hAnsi="宋体" w:eastAsia="宋体" w:cs="宋体"/>
          <w:b/>
          <w:bCs/>
          <w:color w:val="auto"/>
          <w:sz w:val="24"/>
          <w:highlight w:val="none"/>
        </w:rPr>
      </w:pPr>
      <w:r>
        <w:rPr>
          <w:rFonts w:hint="eastAsia"/>
          <w:b/>
          <w:bCs/>
          <w:color w:val="auto"/>
          <w:highlight w:val="none"/>
          <w:lang w:val="en-US" w:eastAsia="zh-CN"/>
        </w:rPr>
        <w:t>2</w:t>
      </w:r>
      <w:r>
        <w:rPr>
          <w:rFonts w:hint="eastAsia"/>
          <w:b/>
          <w:bCs/>
          <w:color w:val="auto"/>
          <w:highlight w:val="none"/>
        </w:rPr>
        <w:t>、如中标人声明为小微企业，本声明函将随中标结果同时公告，接受社会监督。</w:t>
      </w:r>
    </w:p>
    <w:p>
      <w:pPr>
        <w:pageBreakBefore/>
        <w:spacing w:before="260" w:after="260" w:line="415" w:lineRule="auto"/>
        <w:outlineLvl w:val="1"/>
        <w:rPr>
          <w:rFonts w:hint="eastAsia" w:ascii="宋体" w:hAnsi="宋体" w:eastAsia="宋体" w:cs="宋体"/>
          <w:bCs/>
          <w:color w:val="auto"/>
          <w:sz w:val="24"/>
          <w:highlight w:val="none"/>
        </w:rPr>
      </w:pPr>
      <w:bookmarkStart w:id="129" w:name="_Toc5843"/>
      <w:r>
        <w:rPr>
          <w:rFonts w:hint="eastAsia" w:ascii="宋体" w:hAnsi="宋体" w:eastAsia="宋体" w:cs="宋体"/>
          <w:bCs/>
          <w:color w:val="auto"/>
          <w:sz w:val="24"/>
          <w:highlight w:val="none"/>
        </w:rPr>
        <w:t>附件十</w:t>
      </w:r>
      <w:r>
        <w:rPr>
          <w:rFonts w:hint="eastAsia" w:ascii="宋体" w:hAnsi="宋体" w:cs="宋体"/>
          <w:bCs/>
          <w:color w:val="auto"/>
          <w:sz w:val="24"/>
          <w:highlight w:val="none"/>
          <w:lang w:val="en-US" w:eastAsia="zh-CN"/>
        </w:rPr>
        <w:t>九</w:t>
      </w:r>
      <w:r>
        <w:rPr>
          <w:rFonts w:hint="eastAsia" w:ascii="宋体" w:hAnsi="宋体" w:eastAsia="宋体" w:cs="宋体"/>
          <w:bCs/>
          <w:color w:val="auto"/>
          <w:sz w:val="24"/>
          <w:highlight w:val="none"/>
        </w:rPr>
        <w:t>：</w:t>
      </w:r>
      <w:bookmarkEnd w:id="128"/>
      <w:r>
        <w:rPr>
          <w:rFonts w:hint="eastAsia" w:ascii="宋体" w:hAnsi="宋体" w:eastAsia="宋体" w:cs="宋体"/>
          <w:bCs/>
          <w:color w:val="auto"/>
          <w:sz w:val="24"/>
          <w:highlight w:val="none"/>
        </w:rPr>
        <w:t>东阳市采购项目验收方案</w:t>
      </w:r>
      <w:bookmarkEnd w:id="129"/>
    </w:p>
    <w:p>
      <w:pPr>
        <w:snapToGrid w:val="0"/>
        <w:spacing w:line="360" w:lineRule="auto"/>
        <w:jc w:val="cente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东阳市采购项目验收方案</w:t>
      </w:r>
    </w:p>
    <w:p>
      <w:pPr>
        <w:spacing w:before="120" w:beforeLines="50" w:after="120" w:after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根据《政府采购法》及东阳市政府采购办东财预〔2009〕98号《关于加强政府采购管理工作的补充规定》等有关文件规定，为做好</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采购项目的验收管理工作，特制定本项目验收方案，具体如下。</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一、验收项目说明</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1、招标编号：               </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2、采购内容：</w:t>
      </w:r>
    </w:p>
    <w:p>
      <w:pPr>
        <w:spacing w:after="120" w:line="360" w:lineRule="auto"/>
        <w:rPr>
          <w:rFonts w:hint="eastAsia" w:ascii="宋体" w:hAnsi="宋体" w:eastAsia="宋体" w:cs="宋体"/>
          <w:b/>
          <w:color w:val="auto"/>
          <w:sz w:val="24"/>
          <w:highlight w:val="none"/>
        </w:rPr>
      </w:pPr>
    </w:p>
    <w:p>
      <w:pPr>
        <w:spacing w:after="12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二、验收小组人员</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1、本次验收由</w:t>
      </w:r>
      <w:r>
        <w:rPr>
          <w:rFonts w:hint="eastAsia" w:ascii="宋体" w:hAnsi="宋体" w:eastAsia="宋体" w:cs="宋体"/>
          <w:b/>
          <w:color w:val="auto"/>
          <w:sz w:val="24"/>
          <w:highlight w:val="none"/>
          <w:u w:val="singl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b/>
          <w:color w:val="auto"/>
          <w:sz w:val="24"/>
          <w:highlight w:val="none"/>
        </w:rPr>
        <w:t>组织。</w:t>
      </w:r>
    </w:p>
    <w:p>
      <w:pPr>
        <w:spacing w:after="120" w:line="360" w:lineRule="auto"/>
        <w:ind w:firstLine="472" w:firstLineChars="196"/>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2、验收小组成员名单：</w:t>
      </w:r>
      <w:r>
        <w:rPr>
          <w:rFonts w:hint="eastAsia" w:ascii="宋体" w:hAnsi="宋体" w:eastAsia="宋体" w:cs="宋体"/>
          <w:b/>
          <w:color w:val="auto"/>
          <w:sz w:val="24"/>
          <w:highlight w:val="none"/>
          <w:u w:val="single"/>
        </w:rPr>
        <w:t xml:space="preserve">                                                       </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3、验收小组成员签名：</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rPr>
        <w:t xml:space="preserve">                                                                        </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三、验收方法与内容</w:t>
      </w:r>
    </w:p>
    <w:p>
      <w:pPr>
        <w:spacing w:after="120" w:line="360" w:lineRule="auto"/>
        <w:rPr>
          <w:rFonts w:hint="eastAsia" w:ascii="宋体" w:hAnsi="宋体" w:eastAsia="宋体" w:cs="宋体"/>
          <w:b/>
          <w:color w:val="auto"/>
          <w:sz w:val="24"/>
          <w:highlight w:val="none"/>
        </w:rPr>
      </w:pPr>
    </w:p>
    <w:p>
      <w:pPr>
        <w:spacing w:after="12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四、验收时间</w:t>
      </w:r>
    </w:p>
    <w:p>
      <w:pPr>
        <w:spacing w:after="120" w:line="360" w:lineRule="auto"/>
        <w:rPr>
          <w:rFonts w:hint="eastAsia" w:ascii="宋体" w:hAnsi="宋体" w:eastAsia="宋体" w:cs="宋体"/>
          <w:b/>
          <w:color w:val="auto"/>
          <w:sz w:val="24"/>
          <w:highlight w:val="none"/>
        </w:rPr>
      </w:pP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五、验收地点</w:t>
      </w:r>
    </w:p>
    <w:p>
      <w:pPr>
        <w:spacing w:after="120" w:line="360" w:lineRule="auto"/>
        <w:rPr>
          <w:rFonts w:hint="eastAsia" w:ascii="宋体" w:hAnsi="宋体" w:eastAsia="宋体" w:cs="宋体"/>
          <w:b/>
          <w:color w:val="auto"/>
          <w:sz w:val="24"/>
          <w:highlight w:val="none"/>
        </w:rPr>
      </w:pP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六、验收程序</w:t>
      </w:r>
    </w:p>
    <w:p>
      <w:pPr>
        <w:spacing w:after="120" w:line="360" w:lineRule="auto"/>
        <w:ind w:left="479" w:leftChars="228" w:firstLine="470" w:firstLineChars="195"/>
        <w:rPr>
          <w:rFonts w:hint="eastAsia" w:ascii="宋体" w:hAnsi="宋体" w:eastAsia="宋体" w:cs="宋体"/>
          <w:b/>
          <w:color w:val="auto"/>
          <w:sz w:val="24"/>
          <w:highlight w:val="none"/>
        </w:rPr>
      </w:pPr>
    </w:p>
    <w:p>
      <w:pPr>
        <w:spacing w:after="120" w:line="360" w:lineRule="auto"/>
        <w:ind w:left="479" w:leftChars="228" w:firstLine="470" w:firstLineChars="195"/>
        <w:rPr>
          <w:rFonts w:hint="eastAsia" w:ascii="宋体" w:hAnsi="宋体" w:eastAsia="宋体" w:cs="宋体"/>
          <w:b/>
          <w:color w:val="auto"/>
          <w:sz w:val="24"/>
          <w:highlight w:val="none"/>
        </w:rPr>
      </w:pPr>
    </w:p>
    <w:p>
      <w:pPr>
        <w:spacing w:after="120" w:line="360" w:lineRule="auto"/>
        <w:ind w:right="-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采购单位（盖章）：</w:t>
      </w:r>
    </w:p>
    <w:p>
      <w:pPr>
        <w:spacing w:after="120" w:line="360" w:lineRule="auto"/>
        <w:ind w:right="960" w:firstLine="470" w:firstLineChars="196"/>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pageBreakBefore/>
        <w:spacing w:before="260" w:after="260" w:line="415" w:lineRule="auto"/>
        <w:outlineLvl w:val="1"/>
        <w:rPr>
          <w:rFonts w:hint="eastAsia" w:ascii="宋体" w:hAnsi="宋体" w:eastAsia="宋体" w:cs="宋体"/>
          <w:bCs/>
          <w:color w:val="auto"/>
          <w:sz w:val="24"/>
          <w:highlight w:val="none"/>
        </w:rPr>
      </w:pPr>
      <w:bookmarkStart w:id="130" w:name="_Toc496599002"/>
      <w:bookmarkStart w:id="131" w:name="_Toc29452"/>
      <w:r>
        <w:rPr>
          <w:rFonts w:hint="eastAsia" w:ascii="宋体" w:hAnsi="宋体" w:eastAsia="宋体" w:cs="宋体"/>
          <w:bCs/>
          <w:color w:val="auto"/>
          <w:sz w:val="24"/>
          <w:highlight w:val="none"/>
        </w:rPr>
        <w:t>附件</w:t>
      </w:r>
      <w:r>
        <w:rPr>
          <w:rFonts w:hint="eastAsia" w:ascii="宋体" w:hAnsi="宋体" w:cs="宋体"/>
          <w:bCs/>
          <w:color w:val="auto"/>
          <w:sz w:val="24"/>
          <w:highlight w:val="none"/>
          <w:lang w:eastAsia="zh-CN"/>
        </w:rPr>
        <w:t>二十</w:t>
      </w:r>
      <w:r>
        <w:rPr>
          <w:rFonts w:hint="eastAsia" w:ascii="宋体" w:hAnsi="宋体" w:eastAsia="宋体" w:cs="宋体"/>
          <w:bCs/>
          <w:color w:val="auto"/>
          <w:sz w:val="24"/>
          <w:highlight w:val="none"/>
        </w:rPr>
        <w:t>：</w:t>
      </w:r>
      <w:bookmarkEnd w:id="130"/>
      <w:r>
        <w:rPr>
          <w:rFonts w:hint="eastAsia" w:ascii="宋体" w:hAnsi="宋体" w:eastAsia="宋体" w:cs="宋体"/>
          <w:bCs/>
          <w:color w:val="auto"/>
          <w:sz w:val="24"/>
          <w:highlight w:val="none"/>
        </w:rPr>
        <w:t>东阳市政府采购代理机构社会评价表</w:t>
      </w:r>
      <w:bookmarkEnd w:id="131"/>
    </w:p>
    <w:p>
      <w:pPr>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东阳市政府采购代理机构社会评价表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代理机构名称： </w:t>
      </w:r>
    </w:p>
    <w:tbl>
      <w:tblPr>
        <w:tblStyle w:val="3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69"/>
        <w:gridCol w:w="696"/>
        <w:gridCol w:w="1067"/>
        <w:gridCol w:w="1031"/>
        <w:gridCol w:w="792"/>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填表人类别</w:t>
            </w:r>
          </w:p>
        </w:tc>
        <w:tc>
          <w:tcPr>
            <w:tcW w:w="7938" w:type="dxa"/>
            <w:gridSpan w:val="6"/>
            <w:tcBorders>
              <w:top w:val="single" w:color="auto" w:sz="4" w:space="0"/>
              <w:left w:val="nil"/>
              <w:bottom w:val="single" w:color="auto" w:sz="4" w:space="0"/>
              <w:right w:val="single" w:color="auto" w:sz="4" w:space="0"/>
            </w:tcBorders>
            <w:vAlign w:val="center"/>
          </w:tcPr>
          <w:p>
            <w:pPr>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□采购单位      □供应商      □专家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填表人名称或姓名</w:t>
            </w:r>
          </w:p>
        </w:tc>
        <w:tc>
          <w:tcPr>
            <w:tcW w:w="4266"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c>
          <w:tcPr>
            <w:tcW w:w="79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p>
        </w:tc>
        <w:tc>
          <w:tcPr>
            <w:tcW w:w="14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c>
          <w:tcPr>
            <w:tcW w:w="6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电话</w:t>
            </w:r>
          </w:p>
        </w:tc>
        <w:tc>
          <w:tcPr>
            <w:tcW w:w="210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c>
          <w:tcPr>
            <w:tcW w:w="7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传真</w:t>
            </w:r>
          </w:p>
        </w:tc>
        <w:tc>
          <w:tcPr>
            <w:tcW w:w="2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对代理机构的评价</w:t>
            </w: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是否严格执行政府采购纪律、法规和规章制度等（2分）。</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操作程序是否规范，采购行为、过程、结果是否公开、公平、公正，采购组织管理是否规范严谨（2分）</w:t>
            </w:r>
            <w:r>
              <w:rPr>
                <w:rFonts w:hint="eastAsia" w:ascii="宋体" w:hAnsi="宋体" w:eastAsia="宋体" w:cs="宋体"/>
                <w:color w:val="auto"/>
                <w:kern w:val="0"/>
                <w:sz w:val="24"/>
                <w:highlight w:val="none"/>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是否及时组织采购，是否有承诺办事时间并能限时办结（2分）</w:t>
            </w:r>
            <w:r>
              <w:rPr>
                <w:rFonts w:hint="eastAsia" w:ascii="宋体" w:hAnsi="宋体" w:eastAsia="宋体" w:cs="宋体"/>
                <w:color w:val="auto"/>
                <w:kern w:val="0"/>
                <w:sz w:val="24"/>
                <w:highlight w:val="none"/>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是否能积极</w:t>
            </w:r>
            <w:r>
              <w:rPr>
                <w:rFonts w:hint="eastAsia" w:ascii="宋体" w:hAnsi="宋体" w:eastAsia="宋体" w:cs="宋体"/>
                <w:color w:val="auto"/>
                <w:kern w:val="0"/>
                <w:sz w:val="24"/>
                <w:highlight w:val="none"/>
              </w:rPr>
              <w:t>主动</w:t>
            </w:r>
            <w:r>
              <w:rPr>
                <w:rFonts w:hint="eastAsia" w:ascii="宋体" w:hAnsi="宋体" w:eastAsia="宋体" w:cs="宋体"/>
                <w:color w:val="auto"/>
                <w:sz w:val="24"/>
                <w:highlight w:val="none"/>
              </w:rPr>
              <w:t>与当事人沟通</w:t>
            </w:r>
            <w:r>
              <w:rPr>
                <w:rFonts w:hint="eastAsia" w:ascii="宋体" w:hAnsi="宋体" w:eastAsia="宋体" w:cs="宋体"/>
                <w:color w:val="auto"/>
                <w:kern w:val="0"/>
                <w:sz w:val="24"/>
                <w:highlight w:val="none"/>
              </w:rPr>
              <w:t>对接；对采购政策进行详细解读；</w:t>
            </w:r>
            <w:r>
              <w:rPr>
                <w:rFonts w:hint="eastAsia" w:ascii="宋体" w:hAnsi="宋体" w:eastAsia="宋体" w:cs="宋体"/>
                <w:color w:val="auto"/>
                <w:sz w:val="24"/>
                <w:highlight w:val="none"/>
              </w:rPr>
              <w:t>咨询答复是否热情周到、耐心细致（2分）</w:t>
            </w:r>
            <w:r>
              <w:rPr>
                <w:rFonts w:hint="eastAsia" w:ascii="宋体" w:hAnsi="宋体" w:eastAsia="宋体" w:cs="宋体"/>
                <w:color w:val="auto"/>
                <w:kern w:val="0"/>
                <w:sz w:val="24"/>
                <w:highlight w:val="none"/>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采购的质量、服务是否满意（2分）。</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合计</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对代理机构的意见和建议</w:t>
            </w:r>
          </w:p>
        </w:tc>
        <w:tc>
          <w:tcPr>
            <w:tcW w:w="7938" w:type="dxa"/>
            <w:gridSpan w:val="6"/>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c>
          <w:tcPr>
            <w:tcW w:w="7938" w:type="dxa"/>
            <w:gridSpan w:val="6"/>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r>
    </w:tbl>
    <w:p>
      <w:pPr>
        <w:spacing w:after="120"/>
        <w:ind w:right="1240"/>
        <w:rPr>
          <w:rFonts w:hint="eastAsia" w:ascii="宋体" w:hAnsi="宋体" w:eastAsia="宋体" w:cs="宋体"/>
          <w:color w:val="auto"/>
          <w:sz w:val="24"/>
          <w:highlight w:val="none"/>
        </w:rPr>
      </w:pPr>
      <w:r>
        <w:rPr>
          <w:rFonts w:hint="eastAsia" w:ascii="宋体" w:hAnsi="宋体" w:eastAsia="宋体" w:cs="宋体"/>
          <w:color w:val="auto"/>
          <w:sz w:val="24"/>
          <w:highlight w:val="none"/>
        </w:rPr>
        <w:t>填表人签字盖章：                    日期</w:t>
      </w:r>
    </w:p>
    <w:p>
      <w:pPr>
        <w:spacing w:after="120"/>
        <w:ind w:right="-154"/>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注：投标单位须加盖单位红章。</w:t>
      </w:r>
    </w:p>
    <w:p>
      <w:pPr>
        <w:pStyle w:val="16"/>
        <w:rPr>
          <w:rFonts w:hint="eastAsia" w:ascii="宋体" w:hAnsi="宋体" w:eastAsia="宋体" w:cs="宋体"/>
          <w:color w:val="auto"/>
          <w:szCs w:val="21"/>
          <w:highlight w:val="none"/>
        </w:rPr>
      </w:pPr>
    </w:p>
    <w:p>
      <w:pPr>
        <w:pStyle w:val="2"/>
        <w:rPr>
          <w:rFonts w:hint="eastAsia" w:ascii="宋体" w:hAnsi="宋体" w:eastAsia="宋体" w:cs="宋体"/>
          <w:b w:val="0"/>
          <w:color w:val="auto"/>
          <w:sz w:val="24"/>
          <w:szCs w:val="24"/>
          <w:highlight w:val="none"/>
        </w:rPr>
      </w:pPr>
      <w:bookmarkStart w:id="132" w:name="_Toc691"/>
      <w:bookmarkStart w:id="133" w:name="_Toc5598"/>
      <w:bookmarkStart w:id="134" w:name="_Toc24160"/>
      <w:bookmarkStart w:id="135" w:name="_Toc2489"/>
      <w:r>
        <w:rPr>
          <w:rFonts w:hint="eastAsia" w:ascii="宋体" w:hAnsi="宋体" w:eastAsia="宋体" w:cs="宋体"/>
          <w:b w:val="0"/>
          <w:color w:val="auto"/>
          <w:sz w:val="24"/>
          <w:szCs w:val="24"/>
          <w:highlight w:val="none"/>
        </w:rPr>
        <w:t>附件</w:t>
      </w:r>
      <w:r>
        <w:rPr>
          <w:rFonts w:hint="eastAsia" w:ascii="宋体" w:hAnsi="宋体" w:eastAsia="宋体" w:cs="宋体"/>
          <w:b w:val="0"/>
          <w:color w:val="auto"/>
          <w:sz w:val="24"/>
          <w:szCs w:val="24"/>
          <w:highlight w:val="none"/>
          <w:lang w:val="en-US" w:eastAsia="zh-CN"/>
        </w:rPr>
        <w:t>二十一</w:t>
      </w:r>
      <w:r>
        <w:rPr>
          <w:rFonts w:hint="eastAsia" w:ascii="宋体" w:hAnsi="宋体" w:eastAsia="宋体" w:cs="宋体"/>
          <w:b w:val="0"/>
          <w:color w:val="auto"/>
          <w:sz w:val="24"/>
          <w:szCs w:val="24"/>
          <w:highlight w:val="none"/>
        </w:rPr>
        <w:t>：办理保函需提供资料</w:t>
      </w:r>
      <w:bookmarkEnd w:id="132"/>
      <w:bookmarkEnd w:id="133"/>
    </w:p>
    <w:p>
      <w:pPr>
        <w:spacing w:after="120"/>
        <w:ind w:right="-154"/>
        <w:rPr>
          <w:rFonts w:hint="eastAsia" w:ascii="宋体" w:hAnsi="宋体" w:cs="宋体"/>
          <w:color w:val="auto"/>
          <w:sz w:val="24"/>
          <w:szCs w:val="24"/>
          <w:highlight w:val="none"/>
        </w:rPr>
      </w:pPr>
    </w:p>
    <w:p>
      <w:pPr>
        <w:spacing w:after="120"/>
        <w:ind w:right="-154"/>
        <w:jc w:val="center"/>
        <w:rPr>
          <w:rFonts w:hint="eastAsia" w:ascii="宋体" w:hAnsi="宋体" w:cs="宋体"/>
          <w:b/>
          <w:color w:val="auto"/>
          <w:sz w:val="40"/>
          <w:szCs w:val="40"/>
          <w:highlight w:val="none"/>
        </w:rPr>
      </w:pPr>
      <w:r>
        <w:rPr>
          <w:rFonts w:hint="eastAsia" w:ascii="宋体" w:hAnsi="宋体" w:cs="宋体"/>
          <w:b/>
          <w:color w:val="auto"/>
          <w:sz w:val="40"/>
          <w:szCs w:val="40"/>
          <w:highlight w:val="none"/>
        </w:rPr>
        <w:t>办理保函需提供资料</w:t>
      </w:r>
    </w:p>
    <w:p>
      <w:pPr>
        <w:numPr>
          <w:ilvl w:val="0"/>
          <w:numId w:val="13"/>
        </w:numPr>
        <w:spacing w:line="8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营业执照</w:t>
      </w:r>
    </w:p>
    <w:p>
      <w:pPr>
        <w:numPr>
          <w:ilvl w:val="0"/>
          <w:numId w:val="13"/>
        </w:numPr>
        <w:spacing w:line="8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法人身份证</w:t>
      </w:r>
    </w:p>
    <w:p>
      <w:pPr>
        <w:numPr>
          <w:ilvl w:val="0"/>
          <w:numId w:val="13"/>
        </w:numPr>
        <w:spacing w:line="8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近两年财务报表</w:t>
      </w:r>
    </w:p>
    <w:p>
      <w:pPr>
        <w:numPr>
          <w:ilvl w:val="0"/>
          <w:numId w:val="13"/>
        </w:numPr>
        <w:spacing w:line="8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资质证书或安装，维修证书</w:t>
      </w:r>
    </w:p>
    <w:p>
      <w:pPr>
        <w:numPr>
          <w:ilvl w:val="0"/>
          <w:numId w:val="13"/>
        </w:numPr>
        <w:spacing w:line="8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中标通知书</w:t>
      </w:r>
    </w:p>
    <w:p>
      <w:pPr>
        <w:numPr>
          <w:ilvl w:val="0"/>
          <w:numId w:val="13"/>
        </w:numPr>
        <w:spacing w:line="8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招标文件电子版</w:t>
      </w:r>
    </w:p>
    <w:p>
      <w:pPr>
        <w:numPr>
          <w:ilvl w:val="0"/>
          <w:numId w:val="13"/>
        </w:numPr>
        <w:spacing w:line="8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信用反担保函</w:t>
      </w:r>
    </w:p>
    <w:p>
      <w:pPr>
        <w:spacing w:line="8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注：所有资料复印件加盖公章</w:t>
      </w:r>
    </w:p>
    <w:p>
      <w:pPr>
        <w:spacing w:after="120"/>
        <w:ind w:right="-154"/>
        <w:rPr>
          <w:rFonts w:hint="eastAsia" w:ascii="宋体" w:hAnsi="宋体" w:cs="宋体"/>
          <w:b/>
          <w:color w:val="auto"/>
          <w:sz w:val="24"/>
          <w:szCs w:val="24"/>
          <w:highlight w:val="none"/>
        </w:rPr>
      </w:pPr>
    </w:p>
    <w:p>
      <w:pPr>
        <w:spacing w:after="120"/>
        <w:ind w:right="-154"/>
        <w:rPr>
          <w:rFonts w:hint="eastAsia" w:ascii="宋体" w:hAnsi="宋体" w:cs="宋体"/>
          <w:b/>
          <w:color w:val="auto"/>
          <w:sz w:val="24"/>
          <w:szCs w:val="24"/>
          <w:highlight w:val="none"/>
        </w:rPr>
      </w:pPr>
    </w:p>
    <w:p>
      <w:pPr>
        <w:spacing w:after="120"/>
        <w:ind w:right="-154"/>
        <w:rPr>
          <w:rFonts w:hint="eastAsia" w:ascii="宋体" w:hAnsi="宋体" w:cs="宋体"/>
          <w:b/>
          <w:color w:val="auto"/>
          <w:sz w:val="24"/>
          <w:szCs w:val="24"/>
          <w:highlight w:val="none"/>
        </w:rPr>
      </w:pPr>
    </w:p>
    <w:p>
      <w:pPr>
        <w:spacing w:after="120"/>
        <w:ind w:right="-154"/>
        <w:rPr>
          <w:rFonts w:hint="eastAsia" w:ascii="宋体" w:hAnsi="宋体" w:cs="宋体"/>
          <w:b/>
          <w:color w:val="auto"/>
          <w:sz w:val="24"/>
          <w:szCs w:val="24"/>
          <w:highlight w:val="none"/>
        </w:rPr>
      </w:pPr>
    </w:p>
    <w:p>
      <w:pPr>
        <w:spacing w:after="120"/>
        <w:ind w:right="-154"/>
        <w:rPr>
          <w:rFonts w:hint="eastAsia" w:ascii="宋体" w:hAnsi="宋体" w:cs="宋体"/>
          <w:b/>
          <w:color w:val="auto"/>
          <w:sz w:val="24"/>
          <w:szCs w:val="24"/>
          <w:highlight w:val="none"/>
        </w:rPr>
      </w:pPr>
    </w:p>
    <w:p>
      <w:pPr>
        <w:spacing w:after="120"/>
        <w:ind w:right="-154"/>
        <w:rPr>
          <w:rFonts w:hint="eastAsia" w:ascii="宋体" w:hAnsi="宋体" w:cs="宋体"/>
          <w:b/>
          <w:color w:val="auto"/>
          <w:sz w:val="24"/>
          <w:szCs w:val="24"/>
          <w:highlight w:val="none"/>
        </w:rPr>
      </w:pPr>
    </w:p>
    <w:p>
      <w:pPr>
        <w:spacing w:after="120"/>
        <w:ind w:right="-154"/>
        <w:rPr>
          <w:rFonts w:hint="eastAsia" w:ascii="宋体" w:hAnsi="宋体" w:cs="宋体"/>
          <w:b/>
          <w:color w:val="auto"/>
          <w:sz w:val="24"/>
          <w:szCs w:val="24"/>
          <w:highlight w:val="none"/>
        </w:rPr>
      </w:pPr>
    </w:p>
    <w:p>
      <w:pPr>
        <w:spacing w:after="120"/>
        <w:ind w:right="-154"/>
        <w:rPr>
          <w:rFonts w:hint="eastAsia" w:ascii="宋体" w:hAnsi="宋体" w:cs="宋体"/>
          <w:b/>
          <w:color w:val="auto"/>
          <w:sz w:val="24"/>
          <w:szCs w:val="24"/>
          <w:highlight w:val="none"/>
        </w:rPr>
      </w:pPr>
    </w:p>
    <w:p>
      <w:pPr>
        <w:spacing w:after="120"/>
        <w:ind w:right="-154"/>
        <w:rPr>
          <w:rFonts w:hint="eastAsia" w:ascii="宋体" w:hAnsi="宋体" w:cs="宋体"/>
          <w:b/>
          <w:color w:val="auto"/>
          <w:sz w:val="24"/>
          <w:szCs w:val="24"/>
          <w:highlight w:val="none"/>
        </w:rPr>
      </w:pPr>
    </w:p>
    <w:p>
      <w:pPr>
        <w:spacing w:after="120"/>
        <w:ind w:right="-154"/>
        <w:rPr>
          <w:rFonts w:hint="eastAsia" w:ascii="宋体" w:hAnsi="宋体" w:cs="宋体"/>
          <w:b/>
          <w:color w:val="auto"/>
          <w:sz w:val="24"/>
          <w:szCs w:val="24"/>
          <w:highlight w:val="none"/>
        </w:rPr>
      </w:pPr>
    </w:p>
    <w:p>
      <w:pPr>
        <w:spacing w:after="120"/>
        <w:ind w:right="-154"/>
        <w:rPr>
          <w:rFonts w:hint="eastAsia" w:ascii="宋体" w:hAnsi="宋体" w:cs="宋体"/>
          <w:b/>
          <w:color w:val="auto"/>
          <w:sz w:val="24"/>
          <w:szCs w:val="24"/>
          <w:highlight w:val="none"/>
        </w:rPr>
      </w:pPr>
    </w:p>
    <w:p>
      <w:pPr>
        <w:spacing w:after="120"/>
        <w:ind w:right="-154"/>
        <w:rPr>
          <w:rFonts w:hint="eastAsia" w:ascii="宋体" w:hAnsi="宋体" w:cs="宋体"/>
          <w:b/>
          <w:color w:val="auto"/>
          <w:sz w:val="24"/>
          <w:szCs w:val="24"/>
          <w:highlight w:val="none"/>
        </w:rPr>
      </w:pPr>
    </w:p>
    <w:p>
      <w:pPr>
        <w:pageBreakBefore/>
        <w:spacing w:line="360" w:lineRule="auto"/>
        <w:jc w:val="center"/>
        <w:rPr>
          <w:rFonts w:hint="eastAsia" w:ascii="宋体" w:hAnsi="宋体" w:cs="宋体"/>
          <w:color w:val="auto"/>
          <w:sz w:val="44"/>
          <w:szCs w:val="44"/>
          <w:highlight w:val="none"/>
        </w:rPr>
      </w:pPr>
      <w:r>
        <w:rPr>
          <w:rFonts w:hint="eastAsia" w:ascii="宋体" w:hAnsi="宋体" w:cs="宋体"/>
          <w:color w:val="auto"/>
          <w:sz w:val="44"/>
          <w:szCs w:val="44"/>
          <w:highlight w:val="none"/>
        </w:rPr>
        <w:t>信用反担保保证函</w:t>
      </w:r>
    </w:p>
    <w:p>
      <w:pPr>
        <w:spacing w:line="52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中国人民财产保险股份有限公司</w:t>
      </w:r>
      <w:r>
        <w:rPr>
          <w:rFonts w:hint="eastAsia" w:ascii="宋体" w:hAnsi="宋体" w:cs="宋体"/>
          <w:b/>
          <w:bCs/>
          <w:color w:val="auto"/>
          <w:sz w:val="24"/>
          <w:szCs w:val="24"/>
          <w:highlight w:val="none"/>
          <w:u w:val="single"/>
        </w:rPr>
        <w:t>东阳</w:t>
      </w:r>
      <w:r>
        <w:rPr>
          <w:rFonts w:hint="eastAsia" w:ascii="宋体" w:hAnsi="宋体" w:cs="宋体"/>
          <w:color w:val="auto"/>
          <w:sz w:val="24"/>
          <w:szCs w:val="24"/>
          <w:highlight w:val="none"/>
        </w:rPr>
        <w:t>支公司：</w:t>
      </w:r>
    </w:p>
    <w:p>
      <w:pPr>
        <w:spacing w:line="520" w:lineRule="exact"/>
        <w:ind w:firstLine="480" w:firstLineChars="200"/>
        <w:rPr>
          <w:rFonts w:hint="eastAsia" w:ascii="宋体" w:hAnsi="宋体" w:cs="宋体"/>
          <w:b/>
          <w:bCs/>
          <w:color w:val="auto"/>
          <w:sz w:val="24"/>
          <w:szCs w:val="24"/>
          <w:highlight w:val="none"/>
          <w:u w:val="single"/>
        </w:rPr>
      </w:pPr>
      <w:r>
        <w:rPr>
          <w:rFonts w:hint="eastAsia" w:ascii="宋体" w:hAnsi="宋体" w:cs="宋体"/>
          <w:color w:val="auto"/>
          <w:sz w:val="24"/>
          <w:szCs w:val="24"/>
          <w:highlight w:val="none"/>
        </w:rPr>
        <w:t>鉴于中国人民财产保险股份有限公司</w:t>
      </w:r>
      <w:r>
        <w:rPr>
          <w:rFonts w:hint="eastAsia" w:ascii="宋体" w:hAnsi="宋体" w:cs="宋体"/>
          <w:b/>
          <w:bCs/>
          <w:color w:val="auto"/>
          <w:sz w:val="24"/>
          <w:szCs w:val="24"/>
          <w:highlight w:val="none"/>
          <w:u w:val="single"/>
        </w:rPr>
        <w:t>东阳</w:t>
      </w:r>
      <w:r>
        <w:rPr>
          <w:rFonts w:hint="eastAsia" w:ascii="宋体" w:hAnsi="宋体" w:cs="宋体"/>
          <w:color w:val="auto"/>
          <w:sz w:val="24"/>
          <w:szCs w:val="24"/>
          <w:highlight w:val="none"/>
        </w:rPr>
        <w:t>支公司向</w:t>
      </w:r>
    </w:p>
    <w:p>
      <w:pPr>
        <w:spacing w:line="520" w:lineRule="exact"/>
        <w:ind w:firstLine="482" w:firstLineChars="200"/>
        <w:jc w:val="left"/>
        <w:rPr>
          <w:rFonts w:hint="eastAsia" w:ascii="宋体" w:hAnsi="宋体" w:cs="宋体"/>
          <w:color w:val="auto"/>
          <w:sz w:val="24"/>
          <w:szCs w:val="24"/>
          <w:highlight w:val="none"/>
          <w:u w:val="single"/>
        </w:rPr>
      </w:pPr>
      <w:r>
        <w:rPr>
          <w:rFonts w:hint="eastAsia" w:ascii="宋体" w:hAnsi="宋体" w:cs="宋体"/>
          <w:b/>
          <w:bCs/>
          <w:color w:val="auto"/>
          <w:sz w:val="24"/>
          <w:szCs w:val="24"/>
          <w:highlight w:val="none"/>
          <w:u w:val="single"/>
        </w:rPr>
        <w:t xml:space="preserve">             </w:t>
      </w:r>
      <w:r>
        <w:rPr>
          <w:rFonts w:hint="eastAsia" w:ascii="宋体" w:hAnsi="宋体" w:cs="宋体"/>
          <w:color w:val="auto"/>
          <w:sz w:val="24"/>
          <w:szCs w:val="24"/>
          <w:highlight w:val="none"/>
        </w:rPr>
        <w:t>公司出具《供货履约保证保险》保单（保单编号：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），并承担相应的保险责任（具体以保险合同条款为准），最高保险金额为人民币（大写）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（小写：</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）；为促进该业务的良好开展，</w:t>
      </w:r>
      <w:r>
        <w:rPr>
          <w:rFonts w:hint="eastAsia" w:ascii="宋体" w:hAnsi="宋体" w:cs="宋体"/>
          <w:color w:val="auto"/>
          <w:sz w:val="24"/>
          <w:szCs w:val="24"/>
          <w:highlight w:val="none"/>
          <w:u w:val="single"/>
        </w:rPr>
        <w:t xml:space="preserve">                                                     </w:t>
      </w:r>
    </w:p>
    <w:p>
      <w:pPr>
        <w:spacing w:line="52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有限责任公司（以下称本信用反担保保证人）愿意为中国人民财产保险股份有限公司</w:t>
      </w:r>
      <w:r>
        <w:rPr>
          <w:rFonts w:hint="eastAsia" w:ascii="宋体" w:hAnsi="宋体" w:cs="宋体"/>
          <w:b/>
          <w:bCs/>
          <w:color w:val="auto"/>
          <w:sz w:val="24"/>
          <w:szCs w:val="24"/>
          <w:highlight w:val="none"/>
          <w:u w:val="single"/>
        </w:rPr>
        <w:t>东阳</w:t>
      </w:r>
      <w:r>
        <w:rPr>
          <w:rFonts w:hint="eastAsia" w:ascii="宋体" w:hAnsi="宋体" w:cs="宋体"/>
          <w:color w:val="auto"/>
          <w:sz w:val="24"/>
          <w:szCs w:val="24"/>
          <w:highlight w:val="none"/>
        </w:rPr>
        <w:t>支公司在保险合同项下的一系列保险保障提供信用反担保保证，同意履行以下保证内容：</w:t>
      </w:r>
    </w:p>
    <w:p>
      <w:pPr>
        <w:spacing w:line="520" w:lineRule="exact"/>
        <w:ind w:firstLine="600" w:firstLineChars="250"/>
        <w:rPr>
          <w:rFonts w:hint="eastAsia" w:ascii="宋体" w:hAnsi="宋体" w:cs="宋体"/>
          <w:color w:val="auto"/>
          <w:sz w:val="24"/>
          <w:szCs w:val="24"/>
          <w:highlight w:val="none"/>
        </w:rPr>
      </w:pPr>
      <w:r>
        <w:rPr>
          <w:rFonts w:hint="eastAsia" w:ascii="宋体" w:hAnsi="宋体" w:cs="宋体"/>
          <w:color w:val="auto"/>
          <w:sz w:val="24"/>
          <w:szCs w:val="24"/>
          <w:highlight w:val="none"/>
        </w:rPr>
        <w:t>一、 本信用反担保保证人同意承担的保证范围：</w:t>
      </w:r>
    </w:p>
    <w:p>
      <w:pPr>
        <w:spacing w:line="52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（一）中国人民财产保险股份有限公司</w:t>
      </w:r>
      <w:r>
        <w:rPr>
          <w:rFonts w:hint="eastAsia" w:ascii="宋体" w:hAnsi="宋体" w:cs="宋体"/>
          <w:b/>
          <w:bCs/>
          <w:color w:val="auto"/>
          <w:sz w:val="24"/>
          <w:szCs w:val="24"/>
          <w:highlight w:val="none"/>
          <w:u w:val="single"/>
        </w:rPr>
        <w:t>东阳</w:t>
      </w:r>
      <w:r>
        <w:rPr>
          <w:rFonts w:hint="eastAsia" w:ascii="宋体" w:hAnsi="宋体" w:cs="宋体"/>
          <w:color w:val="auto"/>
          <w:sz w:val="24"/>
          <w:szCs w:val="24"/>
          <w:highlight w:val="none"/>
        </w:rPr>
        <w:t>支公司承保的保单号为：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的供货履约保证保险合同约定的保险责任、保险金额和履行保证责任而实际发生的费用（包括但不限于诉讼费、公告费、保全费、律师费等）及损失；</w:t>
      </w:r>
    </w:p>
    <w:p>
      <w:pPr>
        <w:spacing w:line="52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（二）本信用反担保保证人承担保证责任的方式为连带保证责任。</w:t>
      </w:r>
    </w:p>
    <w:p>
      <w:pPr>
        <w:spacing w:line="52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二、本信用反担保保证人承担的保证期间为：从中国人民财产保险股份有限公司</w:t>
      </w:r>
      <w:r>
        <w:rPr>
          <w:rFonts w:hint="eastAsia" w:ascii="宋体" w:hAnsi="宋体" w:cs="宋体"/>
          <w:b/>
          <w:bCs/>
          <w:color w:val="auto"/>
          <w:sz w:val="24"/>
          <w:szCs w:val="24"/>
          <w:highlight w:val="none"/>
          <w:u w:val="single"/>
        </w:rPr>
        <w:t>东阳</w:t>
      </w:r>
      <w:r>
        <w:rPr>
          <w:rFonts w:hint="eastAsia" w:ascii="宋体" w:hAnsi="宋体" w:cs="宋体"/>
          <w:color w:val="auto"/>
          <w:sz w:val="24"/>
          <w:szCs w:val="24"/>
          <w:highlight w:val="none"/>
        </w:rPr>
        <w:t>支公司与本信用反担保保证人签订的保险合同生效之日起，至保险合同结束之日起的两年届满时止。</w:t>
      </w:r>
    </w:p>
    <w:p>
      <w:pPr>
        <w:spacing w:line="52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三、中国人民财产保险股份有限公司</w:t>
      </w:r>
      <w:r>
        <w:rPr>
          <w:rFonts w:hint="eastAsia" w:ascii="宋体" w:hAnsi="宋体" w:cs="宋体"/>
          <w:b/>
          <w:bCs/>
          <w:color w:val="auto"/>
          <w:sz w:val="24"/>
          <w:szCs w:val="24"/>
          <w:highlight w:val="none"/>
          <w:u w:val="single"/>
        </w:rPr>
        <w:t>东阳</w:t>
      </w:r>
      <w:r>
        <w:rPr>
          <w:rFonts w:hint="eastAsia" w:ascii="宋体" w:hAnsi="宋体" w:cs="宋体"/>
          <w:color w:val="auto"/>
          <w:sz w:val="24"/>
          <w:szCs w:val="24"/>
          <w:highlight w:val="none"/>
        </w:rPr>
        <w:t>支公司所承保的《供货履约保证保险》合同发生保险事故后，有权要求本信用反担保保证人优先履行偿债责任，且优先偿债比例为100%。</w:t>
      </w:r>
    </w:p>
    <w:p>
      <w:pPr>
        <w:spacing w:line="520" w:lineRule="exact"/>
        <w:ind w:left="560"/>
        <w:rPr>
          <w:rFonts w:hint="eastAsia" w:ascii="宋体" w:hAnsi="宋体" w:cs="宋体"/>
          <w:color w:val="auto"/>
          <w:sz w:val="24"/>
          <w:szCs w:val="24"/>
          <w:highlight w:val="none"/>
        </w:rPr>
      </w:pPr>
      <w:r>
        <w:rPr>
          <w:rFonts w:hint="eastAsia" w:ascii="宋体" w:hAnsi="宋体" w:cs="宋体"/>
          <w:color w:val="auto"/>
          <w:sz w:val="24"/>
          <w:szCs w:val="24"/>
          <w:highlight w:val="none"/>
        </w:rPr>
        <w:t>四、本信用反担保保证人放弃反担保措施的优先偿债抗辩权。</w:t>
      </w:r>
    </w:p>
    <w:p>
      <w:pPr>
        <w:spacing w:line="520" w:lineRule="exact"/>
        <w:rPr>
          <w:rFonts w:hint="eastAsia" w:ascii="宋体" w:hAnsi="宋体" w:cs="宋体"/>
          <w:color w:val="auto"/>
          <w:sz w:val="24"/>
          <w:szCs w:val="24"/>
          <w:highlight w:val="none"/>
        </w:rPr>
      </w:pPr>
    </w:p>
    <w:p>
      <w:pPr>
        <w:spacing w:line="52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信用反担保保证人：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520" w:lineRule="exact"/>
        <w:ind w:left="4680" w:hanging="4680" w:hangingChars="1950"/>
        <w:rPr>
          <w:rFonts w:hint="eastAsia" w:ascii="宋体" w:hAnsi="宋体" w:cs="宋体"/>
          <w:color w:val="auto"/>
          <w:sz w:val="24"/>
          <w:szCs w:val="24"/>
          <w:highlight w:val="none"/>
        </w:rPr>
      </w:pPr>
    </w:p>
    <w:p>
      <w:pPr>
        <w:spacing w:line="520" w:lineRule="exact"/>
        <w:ind w:left="5460" w:leftChars="260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年  月   日</w:t>
      </w:r>
    </w:p>
    <w:p>
      <w:pPr>
        <w:spacing w:line="360" w:lineRule="auto"/>
        <w:rPr>
          <w:rFonts w:hint="eastAsia" w:ascii="宋体" w:hAnsi="宋体" w:cs="宋体"/>
          <w:color w:val="auto"/>
          <w:sz w:val="24"/>
          <w:szCs w:val="24"/>
          <w:highlight w:val="none"/>
        </w:rPr>
      </w:pPr>
    </w:p>
    <w:p>
      <w:pPr>
        <w:spacing w:line="480" w:lineRule="exact"/>
        <w:ind w:left="5460" w:leftChars="2600" w:firstLine="361" w:firstLineChars="150"/>
        <w:rPr>
          <w:rFonts w:hint="eastAsia" w:ascii="宋体" w:hAnsi="宋体" w:cs="宋体"/>
          <w:b/>
          <w:color w:val="auto"/>
          <w:sz w:val="24"/>
          <w:szCs w:val="24"/>
          <w:highlight w:val="none"/>
        </w:rPr>
      </w:pPr>
    </w:p>
    <w:p>
      <w:pPr>
        <w:pStyle w:val="2"/>
        <w:keepNext w:val="0"/>
        <w:keepLines w:val="0"/>
        <w:pageBreakBefore/>
        <w:rPr>
          <w:rFonts w:hint="eastAsia" w:ascii="宋体" w:hAnsi="宋体" w:eastAsia="宋体" w:cs="宋体"/>
          <w:b w:val="0"/>
          <w:color w:val="auto"/>
          <w:sz w:val="24"/>
          <w:highlight w:val="none"/>
        </w:rPr>
      </w:pPr>
      <w:bookmarkStart w:id="136" w:name="_Toc17279"/>
      <w:r>
        <w:rPr>
          <w:rFonts w:hint="eastAsia" w:ascii="宋体" w:hAnsi="宋体" w:eastAsia="宋体" w:cs="宋体"/>
          <w:b w:val="0"/>
          <w:color w:val="auto"/>
          <w:sz w:val="24"/>
          <w:highlight w:val="none"/>
        </w:rPr>
        <w:t>附件</w:t>
      </w:r>
      <w:r>
        <w:rPr>
          <w:rFonts w:hint="eastAsia" w:ascii="宋体" w:hAnsi="宋体" w:eastAsia="宋体" w:cs="宋体"/>
          <w:b w:val="0"/>
          <w:color w:val="auto"/>
          <w:sz w:val="24"/>
          <w:highlight w:val="none"/>
          <w:lang w:val="en-US" w:eastAsia="zh-CN"/>
        </w:rPr>
        <w:t>二十二</w:t>
      </w:r>
      <w:r>
        <w:rPr>
          <w:rFonts w:hint="eastAsia" w:ascii="宋体" w:hAnsi="宋体" w:eastAsia="宋体" w:cs="宋体"/>
          <w:b w:val="0"/>
          <w:color w:val="auto"/>
          <w:sz w:val="24"/>
          <w:highlight w:val="none"/>
        </w:rPr>
        <w:t>：质疑函范本</w:t>
      </w:r>
      <w:bookmarkEnd w:id="134"/>
      <w:bookmarkEnd w:id="135"/>
      <w:bookmarkEnd w:id="136"/>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质疑函范本</w:t>
      </w:r>
    </w:p>
    <w:p>
      <w:pPr>
        <w:adjustRightInd w:val="0"/>
        <w:snapToGrid w:val="0"/>
        <w:spacing w:before="240" w:beforeLines="100" w:line="360"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32"/>
          <w:szCs w:val="32"/>
          <w:highlight w:val="none"/>
        </w:rPr>
        <w:t>一</w:t>
      </w:r>
      <w:r>
        <w:rPr>
          <w:rFonts w:hint="eastAsia" w:ascii="宋体" w:hAnsi="宋体" w:eastAsia="宋体" w:cs="宋体"/>
          <w:bCs/>
          <w:color w:val="auto"/>
          <w:sz w:val="28"/>
          <w:szCs w:val="28"/>
          <w:highlight w:val="none"/>
        </w:rPr>
        <w:t>、质疑供应商基本信息</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质疑供应商：</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授权代表：</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 </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二、质疑项目基本情况</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质疑项目的名称：</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质疑项目的编号：</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包号：</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采购人名称：</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采购文件获取日期：</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三、质疑事项具体内容</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质疑事项1：</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事实依据：</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法律依据：</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质疑事项2</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p>
    <w:p>
      <w:pPr>
        <w:adjustRightInd w:val="0"/>
        <w:snapToGrid w:val="0"/>
        <w:spacing w:line="360"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四、与质疑事项相关的质疑请求</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请求：</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签字(签章)：                   公章：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日期：    </w:t>
      </w:r>
    </w:p>
    <w:p>
      <w:pPr>
        <w:adjustRightInd w:val="0"/>
        <w:snapToGrid w:val="0"/>
        <w:spacing w:line="360" w:lineRule="auto"/>
        <w:rPr>
          <w:rFonts w:hint="eastAsia" w:ascii="宋体" w:hAnsi="宋体" w:eastAsia="宋体" w:cs="宋体"/>
          <w:color w:val="auto"/>
          <w:sz w:val="28"/>
          <w:szCs w:val="28"/>
          <w:highlight w:val="none"/>
        </w:rPr>
      </w:pPr>
    </w:p>
    <w:p>
      <w:pPr>
        <w:adjustRightInd w:val="0"/>
        <w:snapToGrid w:val="0"/>
        <w:spacing w:line="360" w:lineRule="auto"/>
        <w:rPr>
          <w:rFonts w:hint="eastAsia" w:ascii="宋体" w:hAnsi="宋体" w:eastAsia="宋体" w:cs="宋体"/>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ind w:firstLine="48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rPr>
          <w:rFonts w:hint="eastAsia" w:ascii="宋体" w:hAnsi="宋体" w:eastAsia="宋体" w:cs="宋体"/>
          <w:color w:val="auto"/>
          <w:sz w:val="20"/>
          <w:szCs w:val="22"/>
          <w:highlight w:val="none"/>
        </w:rPr>
      </w:pPr>
    </w:p>
    <w:p>
      <w:pPr>
        <w:pStyle w:val="17"/>
        <w:ind w:firstLine="560"/>
        <w:rPr>
          <w:rFonts w:hint="eastAsia" w:ascii="宋体" w:hAnsi="宋体" w:eastAsia="宋体" w:cs="宋体"/>
          <w:color w:val="auto"/>
          <w:sz w:val="28"/>
          <w:szCs w:val="22"/>
          <w:highlight w:val="none"/>
        </w:rPr>
      </w:pPr>
    </w:p>
    <w:p>
      <w:pPr>
        <w:pStyle w:val="18"/>
        <w:rPr>
          <w:rFonts w:hint="eastAsia" w:ascii="宋体" w:hAnsi="宋体" w:eastAsia="宋体" w:cs="宋体"/>
          <w:color w:val="auto"/>
          <w:sz w:val="20"/>
          <w:szCs w:val="22"/>
          <w:highlight w:val="none"/>
        </w:rPr>
      </w:pPr>
    </w:p>
    <w:p>
      <w:pPr>
        <w:rPr>
          <w:rFonts w:hint="eastAsia" w:ascii="宋体" w:hAnsi="宋体" w:eastAsia="宋体" w:cs="宋体"/>
          <w:color w:val="auto"/>
          <w:sz w:val="20"/>
          <w:szCs w:val="22"/>
          <w:highlight w:val="none"/>
        </w:rPr>
      </w:pPr>
    </w:p>
    <w:p>
      <w:pPr>
        <w:pStyle w:val="2"/>
        <w:keepNext w:val="0"/>
        <w:keepLines w:val="0"/>
        <w:pageBreakBefore/>
        <w:rPr>
          <w:rFonts w:hint="eastAsia" w:ascii="宋体" w:hAnsi="宋体" w:eastAsia="宋体" w:cs="宋体"/>
          <w:b w:val="0"/>
          <w:color w:val="auto"/>
          <w:sz w:val="24"/>
          <w:highlight w:val="none"/>
        </w:rPr>
      </w:pPr>
      <w:bookmarkStart w:id="137" w:name="_Toc32533"/>
      <w:bookmarkStart w:id="138" w:name="_Toc23493"/>
      <w:bookmarkStart w:id="139" w:name="_Toc28792"/>
      <w:r>
        <w:rPr>
          <w:rFonts w:hint="eastAsia" w:ascii="宋体" w:hAnsi="宋体" w:eastAsia="宋体" w:cs="宋体"/>
          <w:b w:val="0"/>
          <w:color w:val="auto"/>
          <w:sz w:val="24"/>
          <w:highlight w:val="none"/>
        </w:rPr>
        <w:t>附件</w:t>
      </w:r>
      <w:r>
        <w:rPr>
          <w:rFonts w:hint="eastAsia" w:ascii="宋体" w:hAnsi="宋体" w:eastAsia="宋体" w:cs="宋体"/>
          <w:b w:val="0"/>
          <w:color w:val="auto"/>
          <w:sz w:val="24"/>
          <w:highlight w:val="none"/>
          <w:lang w:val="en-US" w:eastAsia="zh-CN"/>
        </w:rPr>
        <w:t>二十三</w:t>
      </w:r>
      <w:r>
        <w:rPr>
          <w:rFonts w:hint="eastAsia" w:ascii="宋体" w:hAnsi="宋体" w:eastAsia="宋体" w:cs="宋体"/>
          <w:b w:val="0"/>
          <w:color w:val="auto"/>
          <w:sz w:val="24"/>
          <w:highlight w:val="none"/>
        </w:rPr>
        <w:t>：投诉书范本</w:t>
      </w:r>
      <w:bookmarkEnd w:id="137"/>
      <w:bookmarkEnd w:id="138"/>
      <w:bookmarkEnd w:id="139"/>
    </w:p>
    <w:p>
      <w:pPr>
        <w:jc w:val="center"/>
        <w:rPr>
          <w:rFonts w:hint="eastAsia" w:ascii="宋体" w:hAnsi="宋体" w:eastAsia="宋体" w:cs="宋体"/>
          <w:b/>
          <w:color w:val="auto"/>
          <w:sz w:val="40"/>
          <w:szCs w:val="40"/>
          <w:highlight w:val="none"/>
        </w:rPr>
      </w:pPr>
      <w:r>
        <w:rPr>
          <w:rFonts w:hint="eastAsia" w:ascii="宋体" w:hAnsi="宋体" w:eastAsia="宋体" w:cs="宋体"/>
          <w:b/>
          <w:color w:val="auto"/>
          <w:sz w:val="40"/>
          <w:szCs w:val="40"/>
          <w:highlight w:val="none"/>
        </w:rPr>
        <w:t>投诉书范本</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一、投诉相关主体基本情况</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投诉人：</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tabs>
          <w:tab w:val="left" w:pos="6510"/>
        </w:tabs>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法定代表人/主要负责人：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tabs>
          <w:tab w:val="left" w:pos="6510"/>
        </w:tabs>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授权代表：</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被投诉人1：</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被投诉人2</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相关供应商：</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二、投诉项目基本情况</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采购项目名称：</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采购项目编号：</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包号：</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采购人名称：</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代理机构名称：</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采购文件公告:</w:t>
      </w:r>
      <w:r>
        <w:rPr>
          <w:rFonts w:hint="eastAsia" w:ascii="宋体" w:hAnsi="宋体" w:eastAsia="宋体" w:cs="宋体"/>
          <w:color w:val="auto"/>
          <w:sz w:val="28"/>
          <w:szCs w:val="28"/>
          <w:highlight w:val="none"/>
          <w:u w:val="dotted"/>
        </w:rPr>
        <w:t xml:space="preserve">是/否 </w:t>
      </w:r>
      <w:r>
        <w:rPr>
          <w:rFonts w:hint="eastAsia" w:ascii="宋体" w:hAnsi="宋体" w:eastAsia="宋体" w:cs="宋体"/>
          <w:color w:val="auto"/>
          <w:sz w:val="28"/>
          <w:szCs w:val="28"/>
          <w:highlight w:val="none"/>
        </w:rPr>
        <w:t>公告期限：</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采购结果公告:</w:t>
      </w:r>
      <w:r>
        <w:rPr>
          <w:rFonts w:hint="eastAsia" w:ascii="宋体" w:hAnsi="宋体" w:eastAsia="宋体" w:cs="宋体"/>
          <w:color w:val="auto"/>
          <w:sz w:val="28"/>
          <w:szCs w:val="28"/>
          <w:highlight w:val="none"/>
          <w:u w:val="dotted"/>
        </w:rPr>
        <w:t xml:space="preserve">是/否 </w:t>
      </w:r>
      <w:r>
        <w:rPr>
          <w:rFonts w:hint="eastAsia" w:ascii="宋体" w:hAnsi="宋体" w:eastAsia="宋体" w:cs="宋体"/>
          <w:color w:val="auto"/>
          <w:sz w:val="28"/>
          <w:szCs w:val="28"/>
          <w:highlight w:val="none"/>
        </w:rPr>
        <w:t>公告期限：</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三、质疑基本情况</w:t>
      </w:r>
    </w:p>
    <w:p>
      <w:pPr>
        <w:ind w:firstLine="560" w:firstLineChars="200"/>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投诉人于</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日,向</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提出质疑，质疑事项为：</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ind w:firstLine="420" w:firstLineChars="1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dotted"/>
        </w:rPr>
        <w:t>采购人/代理机构</w:t>
      </w:r>
      <w:r>
        <w:rPr>
          <w:rFonts w:hint="eastAsia" w:ascii="宋体" w:hAnsi="宋体" w:eastAsia="宋体" w:cs="宋体"/>
          <w:color w:val="auto"/>
          <w:sz w:val="28"/>
          <w:szCs w:val="28"/>
          <w:highlight w:val="none"/>
        </w:rPr>
        <w:t>于</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日,就质疑事项作出了答复/没有在法定期限内作出答复。</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四、投诉事项具体内容</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投诉事项 1：</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事实依据：</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法律依据：</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投诉事项2</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五、与投诉事项相关的投诉请求</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请求：</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签字(签章)：                   公章：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日期：    </w:t>
      </w: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jc w:val="left"/>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b/>
          <w:color w:val="auto"/>
          <w:sz w:val="28"/>
          <w:szCs w:val="28"/>
          <w:highlight w:val="none"/>
        </w:rPr>
        <w:t xml:space="preserve"> </w:t>
      </w:r>
    </w:p>
    <w:p>
      <w:pPr>
        <w:jc w:val="left"/>
        <w:rPr>
          <w:rFonts w:hint="eastAsia" w:ascii="宋体" w:hAnsi="宋体" w:eastAsia="宋体" w:cs="宋体"/>
          <w:b/>
          <w:color w:val="auto"/>
          <w:sz w:val="28"/>
          <w:szCs w:val="28"/>
          <w:highlight w:val="none"/>
        </w:rPr>
      </w:pPr>
    </w:p>
    <w:p>
      <w:pPr>
        <w:rPr>
          <w:rFonts w:hint="eastAsia" w:ascii="宋体" w:hAnsi="宋体" w:eastAsia="宋体" w:cs="宋体"/>
          <w:color w:val="auto"/>
          <w:sz w:val="20"/>
          <w:szCs w:val="22"/>
          <w:highlight w:val="none"/>
        </w:rPr>
      </w:pPr>
    </w:p>
    <w:p>
      <w:pPr>
        <w:rPr>
          <w:rFonts w:hint="eastAsia" w:ascii="宋体" w:hAnsi="宋体" w:eastAsia="宋体" w:cs="宋体"/>
          <w:color w:val="auto"/>
          <w:sz w:val="20"/>
          <w:szCs w:val="22"/>
          <w:highlight w:val="none"/>
        </w:rPr>
      </w:pPr>
    </w:p>
    <w:p>
      <w:pPr>
        <w:pStyle w:val="17"/>
        <w:ind w:firstLine="600"/>
        <w:rPr>
          <w:rFonts w:hint="eastAsia" w:ascii="宋体" w:hAnsi="宋体" w:eastAsia="宋体" w:cs="宋体"/>
          <w:color w:val="auto"/>
          <w:highlight w:val="none"/>
        </w:rPr>
      </w:pPr>
    </w:p>
    <w:p>
      <w:pPr>
        <w:pStyle w:val="18"/>
        <w:ind w:left="0" w:leftChars="0"/>
        <w:rPr>
          <w:rFonts w:hint="eastAsia" w:ascii="宋体" w:hAnsi="宋体" w:eastAsia="宋体" w:cs="宋体"/>
          <w:color w:val="auto"/>
          <w:highlight w:val="none"/>
        </w:rPr>
      </w:pPr>
    </w:p>
    <w:p>
      <w:pPr>
        <w:pStyle w:val="18"/>
        <w:ind w:left="0" w:leftChars="0"/>
        <w:rPr>
          <w:rFonts w:hint="eastAsia" w:ascii="宋体" w:hAnsi="宋体" w:eastAsia="宋体" w:cs="宋体"/>
          <w:color w:val="auto"/>
          <w:highlight w:val="none"/>
        </w:rPr>
      </w:pPr>
    </w:p>
    <w:sectPr>
      <w:headerReference r:id="rId8" w:type="first"/>
      <w:footerReference r:id="rId11" w:type="first"/>
      <w:headerReference r:id="rId7" w:type="default"/>
      <w:footerReference r:id="rId9" w:type="default"/>
      <w:footerReference r:id="rId10" w:type="even"/>
      <w:pgSz w:w="11906" w:h="16838"/>
      <w:pgMar w:top="1134" w:right="1247" w:bottom="1134" w:left="1247" w:header="851" w:footer="907"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504020202030204"/>
    <w:charset w:val="00"/>
    <w:family w:val="auto"/>
    <w:pitch w:val="default"/>
    <w:sig w:usb0="00000000" w:usb1="00000000" w:usb2="00000000" w:usb3="00000000" w:csb0="00000093"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幼圆">
    <w:altName w:val="宋体"/>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4320" w:firstLineChars="240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63</w:t>
                    </w:r>
                    <w:r>
                      <w:fldChar w:fldCharType="end"/>
                    </w:r>
                  </w:p>
                </w:txbxContent>
              </v:textbox>
            </v:shape>
          </w:pict>
        </mc:Fallback>
      </mc:AlternateContent>
    </w:r>
    <w:r>
      <w:rPr>
        <w:rFonts w:hint="eastAsia"/>
      </w:rPr>
      <w:t xml:space="preserve">  </w:t>
    </w:r>
    <w:r>
      <w:t xml:space="preserve">   </w:t>
    </w:r>
    <w:r>
      <w:rPr>
        <w:rFonts w:hint="eastAsia"/>
      </w:rPr>
      <w:t xml:space="preserve">                       东阳市鑫盛工程咨询有限公司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1"/>
      </w:rPr>
    </w:pPr>
    <w:r>
      <w:fldChar w:fldCharType="begin"/>
    </w:r>
    <w:r>
      <w:rPr>
        <w:rStyle w:val="41"/>
      </w:rPr>
      <w:instrText xml:space="preserve">PAGE  </w:instrText>
    </w:r>
    <w:r>
      <w:fldChar w:fldCharType="end"/>
    </w:r>
  </w:p>
  <w:p>
    <w:pPr>
      <w:pStyle w:val="2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rPr>
        <w:rFonts w:hint="eastAsia" w:ascii="宋体" w:hAnsi="宋体" w:eastAsia="宋体" w:cs="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62</w:t>
                    </w:r>
                    <w:r>
                      <w:fldChar w:fldCharType="end"/>
                    </w:r>
                  </w:p>
                </w:txbxContent>
              </v:textbox>
            </v:shape>
          </w:pict>
        </mc:Fallback>
      </mc:AlternateContent>
    </w:r>
  </w:p>
  <w:p>
    <w:pPr>
      <w:rPr>
        <w:rFonts w:hint="eastAsia" w:ascii="宋体" w:hAnsi="宋体" w:eastAsia="宋体" w:cs="宋体"/>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hint="eastAsia" w:ascii="仿宋_GB2312" w:eastAsia="宋体"/>
        <w:b/>
        <w:i/>
        <w:u w:val="single"/>
        <w:lang w:eastAsia="zh-CN"/>
      </w:rPr>
    </w:pPr>
    <w:r>
      <w:rPr>
        <w:rFonts w:hint="eastAsia"/>
        <w:lang w:eastAsia="zh-CN"/>
      </w:rPr>
      <w:t>东阳市人民医院中心监护系统、监护仪、麻醉监护仪、呼吸机设备采购项目</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hint="eastAsia" w:eastAsia="宋体"/>
        <w:lang w:eastAsia="zh-CN"/>
      </w:rPr>
    </w:pPr>
    <w:r>
      <w:rPr>
        <w:rFonts w:hint="eastAsia"/>
        <w:lang w:eastAsia="zh-CN"/>
      </w:rPr>
      <w:t>东阳市人民医院中心监护系统、监护仪、麻醉监护仪、呼吸机设备采购项目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rPr>
        <w:rFonts w:hint="eastAsia" w:eastAsia="宋体"/>
        <w:lang w:eastAsia="zh-CN"/>
      </w:rPr>
    </w:pPr>
    <w:r>
      <w:rPr>
        <w:rFonts w:hint="eastAsia" w:cs="Arial"/>
        <w:color w:val="000000"/>
        <w:lang w:eastAsia="zh-CN"/>
      </w:rPr>
      <w:t>东阳市人民医院中心监护系统、监护仪、麻醉监护仪、呼吸机设备采购项目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hint="eastAsia" w:eastAsia="宋体" w:cs="Arial"/>
        <w:color w:val="000000"/>
        <w:lang w:eastAsia="zh-CN"/>
      </w:rPr>
    </w:pPr>
    <w:r>
      <w:rPr>
        <w:rFonts w:hint="eastAsia" w:cs="Arial"/>
        <w:color w:val="000000"/>
        <w:lang w:eastAsia="zh-CN"/>
      </w:rPr>
      <w:t>东阳市人民医院中心监护系统、监护仪、麻醉监护仪、呼吸机设备采购项目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025FC"/>
    <w:multiLevelType w:val="singleLevel"/>
    <w:tmpl w:val="C6D025FC"/>
    <w:lvl w:ilvl="0" w:tentative="0">
      <w:start w:val="1"/>
      <w:numFmt w:val="decimal"/>
      <w:lvlText w:val="%1."/>
      <w:lvlJc w:val="left"/>
      <w:pPr>
        <w:tabs>
          <w:tab w:val="left" w:pos="312"/>
        </w:tabs>
      </w:pPr>
    </w:lvl>
  </w:abstractNum>
  <w:abstractNum w:abstractNumId="1">
    <w:nsid w:val="FA5E8E8B"/>
    <w:multiLevelType w:val="singleLevel"/>
    <w:tmpl w:val="FA5E8E8B"/>
    <w:lvl w:ilvl="0" w:tentative="0">
      <w:start w:val="1"/>
      <w:numFmt w:val="chineseCounting"/>
      <w:suff w:val="nothing"/>
      <w:lvlText w:val="%1、"/>
      <w:lvlJc w:val="left"/>
      <w:rPr>
        <w:rFonts w:hint="eastAsia"/>
      </w:rPr>
    </w:lvl>
  </w:abstractNum>
  <w:abstractNum w:abstractNumId="2">
    <w:nsid w:val="16495001"/>
    <w:multiLevelType w:val="singleLevel"/>
    <w:tmpl w:val="16495001"/>
    <w:lvl w:ilvl="0" w:tentative="0">
      <w:start w:val="6"/>
      <w:numFmt w:val="chineseCounting"/>
      <w:suff w:val="nothing"/>
      <w:lvlText w:val="（%1）"/>
      <w:lvlJc w:val="left"/>
      <w:rPr>
        <w:rFonts w:hint="eastAsia"/>
      </w:rPr>
    </w:lvl>
  </w:abstractNum>
  <w:abstractNum w:abstractNumId="3">
    <w:nsid w:val="23E1191B"/>
    <w:multiLevelType w:val="multilevel"/>
    <w:tmpl w:val="23E1191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A646790"/>
    <w:multiLevelType w:val="multilevel"/>
    <w:tmpl w:val="2A646790"/>
    <w:lvl w:ilvl="0" w:tentative="0">
      <w:start w:val="1"/>
      <w:numFmt w:val="decimal"/>
      <w:lvlText w:val="%1."/>
      <w:lvlJc w:val="left"/>
      <w:pPr>
        <w:tabs>
          <w:tab w:val="left" w:pos="1224"/>
        </w:tabs>
        <w:ind w:left="1224" w:hanging="1224"/>
      </w:pPr>
      <w:rPr>
        <w:rFonts w:hint="eastAsia"/>
      </w:rPr>
    </w:lvl>
    <w:lvl w:ilvl="1" w:tentative="0">
      <w:start w:val="1"/>
      <w:numFmt w:val="decimal"/>
      <w:lvlText w:val="%1.%2"/>
      <w:lvlJc w:val="left"/>
      <w:pPr>
        <w:tabs>
          <w:tab w:val="left" w:pos="1224"/>
        </w:tabs>
        <w:ind w:left="1224" w:hanging="1224"/>
      </w:pPr>
      <w:rPr>
        <w:rFonts w:hint="eastAsia"/>
        <w:sz w:val="24"/>
        <w:szCs w:val="24"/>
      </w:rPr>
    </w:lvl>
    <w:lvl w:ilvl="2" w:tentative="0">
      <w:start w:val="1"/>
      <w:numFmt w:val="decimal"/>
      <w:pStyle w:val="53"/>
      <w:lvlText w:val="%1.%2.%3"/>
      <w:lvlJc w:val="left"/>
      <w:pPr>
        <w:tabs>
          <w:tab w:val="left" w:pos="1224"/>
        </w:tabs>
        <w:ind w:left="1224" w:hanging="1224"/>
      </w:pPr>
      <w:rPr>
        <w:rFonts w:hint="default" w:ascii="Arial Narrow" w:hAnsi="Arial Narrow" w:eastAsia="仿宋_GB2312"/>
        <w:sz w:val="24"/>
        <w:szCs w:val="24"/>
      </w:rPr>
    </w:lvl>
    <w:lvl w:ilvl="3" w:tentative="0">
      <w:start w:val="1"/>
      <w:numFmt w:val="decimal"/>
      <w:lvlText w:val="%1.%2.%3.%4."/>
      <w:lvlJc w:val="left"/>
      <w:pPr>
        <w:tabs>
          <w:tab w:val="left" w:pos="1225"/>
        </w:tabs>
        <w:ind w:left="1225" w:hanging="1225"/>
      </w:pPr>
      <w:rPr>
        <w:rFonts w:hint="eastAsia"/>
        <w:sz w:val="24"/>
        <w:szCs w:val="24"/>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3C68C646"/>
    <w:multiLevelType w:val="singleLevel"/>
    <w:tmpl w:val="3C68C646"/>
    <w:lvl w:ilvl="0" w:tentative="0">
      <w:start w:val="1"/>
      <w:numFmt w:val="chineseCounting"/>
      <w:suff w:val="nothing"/>
      <w:lvlText w:val="（%1）"/>
      <w:lvlJc w:val="left"/>
      <w:rPr>
        <w:rFonts w:hint="eastAsia"/>
      </w:rPr>
    </w:lvl>
  </w:abstractNum>
  <w:abstractNum w:abstractNumId="6">
    <w:nsid w:val="5BA933FE"/>
    <w:multiLevelType w:val="multilevel"/>
    <w:tmpl w:val="5BA933F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pStyle w:val="110"/>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5D410D0D"/>
    <w:multiLevelType w:val="singleLevel"/>
    <w:tmpl w:val="5D410D0D"/>
    <w:lvl w:ilvl="0" w:tentative="0">
      <w:start w:val="5"/>
      <w:numFmt w:val="chineseCounting"/>
      <w:suff w:val="space"/>
      <w:lvlText w:val="第%1章"/>
      <w:lvlJc w:val="left"/>
      <w:rPr>
        <w:rFonts w:hint="eastAsia"/>
      </w:rPr>
    </w:lvl>
  </w:abstractNum>
  <w:abstractNum w:abstractNumId="8">
    <w:nsid w:val="612C0E64"/>
    <w:multiLevelType w:val="multilevel"/>
    <w:tmpl w:val="612C0E64"/>
    <w:lvl w:ilvl="0" w:tentative="0">
      <w:start w:val="1"/>
      <w:numFmt w:val="decimal"/>
      <w:lvlText w:val="%1."/>
      <w:lvlJc w:val="left"/>
      <w:pPr>
        <w:tabs>
          <w:tab w:val="left" w:pos="1244"/>
        </w:tabs>
        <w:ind w:left="1244" w:hanging="420"/>
      </w:pPr>
      <w:rPr>
        <w:rFonts w:hint="eastAsia"/>
      </w:r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9">
    <w:nsid w:val="61ADA8C3"/>
    <w:multiLevelType w:val="singleLevel"/>
    <w:tmpl w:val="61ADA8C3"/>
    <w:lvl w:ilvl="0" w:tentative="0">
      <w:start w:val="5"/>
      <w:numFmt w:val="chineseCounting"/>
      <w:suff w:val="nothing"/>
      <w:lvlText w:val="%1、"/>
      <w:lvlJc w:val="left"/>
    </w:lvl>
  </w:abstractNum>
  <w:abstractNum w:abstractNumId="10">
    <w:nsid w:val="64DE61C4"/>
    <w:multiLevelType w:val="multilevel"/>
    <w:tmpl w:val="64DE61C4"/>
    <w:lvl w:ilvl="0" w:tentative="0">
      <w:start w:val="1"/>
      <w:numFmt w:val="decimal"/>
      <w:pStyle w:val="9"/>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685F539A"/>
    <w:multiLevelType w:val="multilevel"/>
    <w:tmpl w:val="685F539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E234718"/>
    <w:multiLevelType w:val="multilevel"/>
    <w:tmpl w:val="7E23471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4"/>
  </w:num>
  <w:num w:numId="3">
    <w:abstractNumId w:val="6"/>
  </w:num>
  <w:num w:numId="4">
    <w:abstractNumId w:val="1"/>
  </w:num>
  <w:num w:numId="5">
    <w:abstractNumId w:val="9"/>
  </w:num>
  <w:num w:numId="6">
    <w:abstractNumId w:val="3"/>
  </w:num>
  <w:num w:numId="7">
    <w:abstractNumId w:val="5"/>
  </w:num>
  <w:num w:numId="8">
    <w:abstractNumId w:val="12"/>
  </w:num>
  <w:num w:numId="9">
    <w:abstractNumId w:val="2"/>
  </w:num>
  <w:num w:numId="10">
    <w:abstractNumId w:val="0"/>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BlMjVhODAxMDQ5MDdlZDVmZDJjNWViZmJiMWFkNzIifQ=="/>
  </w:docVars>
  <w:rsids>
    <w:rsidRoot w:val="00DE79CC"/>
    <w:rsid w:val="0000006C"/>
    <w:rsid w:val="00000158"/>
    <w:rsid w:val="0000017A"/>
    <w:rsid w:val="00000345"/>
    <w:rsid w:val="0000047D"/>
    <w:rsid w:val="00000F83"/>
    <w:rsid w:val="000013EE"/>
    <w:rsid w:val="00001B93"/>
    <w:rsid w:val="00001E25"/>
    <w:rsid w:val="00001E64"/>
    <w:rsid w:val="00002A93"/>
    <w:rsid w:val="0000318B"/>
    <w:rsid w:val="000038C7"/>
    <w:rsid w:val="00003E13"/>
    <w:rsid w:val="00003F42"/>
    <w:rsid w:val="00004CDD"/>
    <w:rsid w:val="00004E27"/>
    <w:rsid w:val="00005219"/>
    <w:rsid w:val="000058C1"/>
    <w:rsid w:val="000058F6"/>
    <w:rsid w:val="00005CEE"/>
    <w:rsid w:val="00006144"/>
    <w:rsid w:val="000072CA"/>
    <w:rsid w:val="00007837"/>
    <w:rsid w:val="00007965"/>
    <w:rsid w:val="00007AF4"/>
    <w:rsid w:val="00007F1A"/>
    <w:rsid w:val="000107D0"/>
    <w:rsid w:val="00010A81"/>
    <w:rsid w:val="000114AC"/>
    <w:rsid w:val="00011A08"/>
    <w:rsid w:val="00011DC3"/>
    <w:rsid w:val="00011DCD"/>
    <w:rsid w:val="00012744"/>
    <w:rsid w:val="00012FAE"/>
    <w:rsid w:val="00013108"/>
    <w:rsid w:val="000131C4"/>
    <w:rsid w:val="0001341F"/>
    <w:rsid w:val="000156C7"/>
    <w:rsid w:val="00015DCC"/>
    <w:rsid w:val="000163EB"/>
    <w:rsid w:val="000165AD"/>
    <w:rsid w:val="000202F3"/>
    <w:rsid w:val="000203B3"/>
    <w:rsid w:val="00020413"/>
    <w:rsid w:val="000208BD"/>
    <w:rsid w:val="000209DC"/>
    <w:rsid w:val="000209E4"/>
    <w:rsid w:val="000219BD"/>
    <w:rsid w:val="00021ACA"/>
    <w:rsid w:val="0002216D"/>
    <w:rsid w:val="00022380"/>
    <w:rsid w:val="0002246D"/>
    <w:rsid w:val="00022CAD"/>
    <w:rsid w:val="00022CB5"/>
    <w:rsid w:val="00024090"/>
    <w:rsid w:val="000247CA"/>
    <w:rsid w:val="000251DC"/>
    <w:rsid w:val="000264B4"/>
    <w:rsid w:val="00026993"/>
    <w:rsid w:val="00026EAB"/>
    <w:rsid w:val="00027031"/>
    <w:rsid w:val="00027134"/>
    <w:rsid w:val="00027A01"/>
    <w:rsid w:val="00030A35"/>
    <w:rsid w:val="00030D38"/>
    <w:rsid w:val="00031012"/>
    <w:rsid w:val="0003172E"/>
    <w:rsid w:val="00031765"/>
    <w:rsid w:val="00032701"/>
    <w:rsid w:val="00034343"/>
    <w:rsid w:val="00034360"/>
    <w:rsid w:val="000344E1"/>
    <w:rsid w:val="00034675"/>
    <w:rsid w:val="00035843"/>
    <w:rsid w:val="00036337"/>
    <w:rsid w:val="00036686"/>
    <w:rsid w:val="00036A0E"/>
    <w:rsid w:val="000373E9"/>
    <w:rsid w:val="00037B61"/>
    <w:rsid w:val="00040F9B"/>
    <w:rsid w:val="000414E0"/>
    <w:rsid w:val="00041A99"/>
    <w:rsid w:val="00041C40"/>
    <w:rsid w:val="0004282D"/>
    <w:rsid w:val="000428CF"/>
    <w:rsid w:val="00043778"/>
    <w:rsid w:val="00044217"/>
    <w:rsid w:val="00044368"/>
    <w:rsid w:val="00044D8B"/>
    <w:rsid w:val="00046899"/>
    <w:rsid w:val="0004693E"/>
    <w:rsid w:val="0004713C"/>
    <w:rsid w:val="00047408"/>
    <w:rsid w:val="0005003E"/>
    <w:rsid w:val="00050E6F"/>
    <w:rsid w:val="00050ECE"/>
    <w:rsid w:val="0005120C"/>
    <w:rsid w:val="0005138C"/>
    <w:rsid w:val="00051F29"/>
    <w:rsid w:val="00052350"/>
    <w:rsid w:val="000524B5"/>
    <w:rsid w:val="00052BAF"/>
    <w:rsid w:val="00052DBB"/>
    <w:rsid w:val="00053218"/>
    <w:rsid w:val="00053700"/>
    <w:rsid w:val="000544D4"/>
    <w:rsid w:val="000547EE"/>
    <w:rsid w:val="000550B0"/>
    <w:rsid w:val="000553DC"/>
    <w:rsid w:val="00055FBE"/>
    <w:rsid w:val="0005654D"/>
    <w:rsid w:val="00056B0D"/>
    <w:rsid w:val="00056C73"/>
    <w:rsid w:val="00056E9B"/>
    <w:rsid w:val="00056ECC"/>
    <w:rsid w:val="00057AD2"/>
    <w:rsid w:val="00057F20"/>
    <w:rsid w:val="00060214"/>
    <w:rsid w:val="00060D89"/>
    <w:rsid w:val="00061041"/>
    <w:rsid w:val="00061153"/>
    <w:rsid w:val="000611F3"/>
    <w:rsid w:val="000618B9"/>
    <w:rsid w:val="00062941"/>
    <w:rsid w:val="000632B6"/>
    <w:rsid w:val="000634DB"/>
    <w:rsid w:val="00063936"/>
    <w:rsid w:val="00063CB5"/>
    <w:rsid w:val="00063F87"/>
    <w:rsid w:val="000641AE"/>
    <w:rsid w:val="0006464C"/>
    <w:rsid w:val="00064686"/>
    <w:rsid w:val="000646B9"/>
    <w:rsid w:val="00064917"/>
    <w:rsid w:val="00064CA8"/>
    <w:rsid w:val="00065A2B"/>
    <w:rsid w:val="0006660C"/>
    <w:rsid w:val="00066907"/>
    <w:rsid w:val="00066EB7"/>
    <w:rsid w:val="000670FA"/>
    <w:rsid w:val="00067114"/>
    <w:rsid w:val="0006732C"/>
    <w:rsid w:val="000677AD"/>
    <w:rsid w:val="000677CE"/>
    <w:rsid w:val="00067C76"/>
    <w:rsid w:val="0007091A"/>
    <w:rsid w:val="00070EA9"/>
    <w:rsid w:val="00071493"/>
    <w:rsid w:val="00071843"/>
    <w:rsid w:val="00071A27"/>
    <w:rsid w:val="00071E0D"/>
    <w:rsid w:val="00071E15"/>
    <w:rsid w:val="00072720"/>
    <w:rsid w:val="00073C15"/>
    <w:rsid w:val="00073DE6"/>
    <w:rsid w:val="0007498C"/>
    <w:rsid w:val="00074ED8"/>
    <w:rsid w:val="00075147"/>
    <w:rsid w:val="00075B60"/>
    <w:rsid w:val="00075D84"/>
    <w:rsid w:val="0007638D"/>
    <w:rsid w:val="00076A1A"/>
    <w:rsid w:val="00076AF9"/>
    <w:rsid w:val="000770B5"/>
    <w:rsid w:val="000772C1"/>
    <w:rsid w:val="0007755A"/>
    <w:rsid w:val="00077AC3"/>
    <w:rsid w:val="00077E8A"/>
    <w:rsid w:val="0008006D"/>
    <w:rsid w:val="00080BD8"/>
    <w:rsid w:val="0008112A"/>
    <w:rsid w:val="0008194F"/>
    <w:rsid w:val="00081A3D"/>
    <w:rsid w:val="00081CB9"/>
    <w:rsid w:val="00082C7E"/>
    <w:rsid w:val="000832EC"/>
    <w:rsid w:val="000844A2"/>
    <w:rsid w:val="00084D41"/>
    <w:rsid w:val="00085177"/>
    <w:rsid w:val="00085420"/>
    <w:rsid w:val="0008636A"/>
    <w:rsid w:val="00087087"/>
    <w:rsid w:val="000875C3"/>
    <w:rsid w:val="000878D0"/>
    <w:rsid w:val="00090010"/>
    <w:rsid w:val="0009091C"/>
    <w:rsid w:val="00090BC3"/>
    <w:rsid w:val="00090F65"/>
    <w:rsid w:val="00092342"/>
    <w:rsid w:val="00092F7D"/>
    <w:rsid w:val="0009377D"/>
    <w:rsid w:val="000937FF"/>
    <w:rsid w:val="00094045"/>
    <w:rsid w:val="00094086"/>
    <w:rsid w:val="000943F9"/>
    <w:rsid w:val="000950BD"/>
    <w:rsid w:val="00095470"/>
    <w:rsid w:val="00095BFC"/>
    <w:rsid w:val="0009627F"/>
    <w:rsid w:val="000965F5"/>
    <w:rsid w:val="0009662A"/>
    <w:rsid w:val="00096E5A"/>
    <w:rsid w:val="00097153"/>
    <w:rsid w:val="00097339"/>
    <w:rsid w:val="000974F2"/>
    <w:rsid w:val="00097B41"/>
    <w:rsid w:val="00097B7A"/>
    <w:rsid w:val="000A0218"/>
    <w:rsid w:val="000A02FA"/>
    <w:rsid w:val="000A0919"/>
    <w:rsid w:val="000A10C4"/>
    <w:rsid w:val="000A137A"/>
    <w:rsid w:val="000A1F2A"/>
    <w:rsid w:val="000A1FB5"/>
    <w:rsid w:val="000A27BD"/>
    <w:rsid w:val="000A337D"/>
    <w:rsid w:val="000A3AFC"/>
    <w:rsid w:val="000A3BAB"/>
    <w:rsid w:val="000A3FF2"/>
    <w:rsid w:val="000A4262"/>
    <w:rsid w:val="000A4632"/>
    <w:rsid w:val="000A46EB"/>
    <w:rsid w:val="000A493D"/>
    <w:rsid w:val="000A503C"/>
    <w:rsid w:val="000A5040"/>
    <w:rsid w:val="000A510B"/>
    <w:rsid w:val="000A57BD"/>
    <w:rsid w:val="000A5834"/>
    <w:rsid w:val="000A6F50"/>
    <w:rsid w:val="000A7334"/>
    <w:rsid w:val="000A7768"/>
    <w:rsid w:val="000A7E56"/>
    <w:rsid w:val="000B0313"/>
    <w:rsid w:val="000B047A"/>
    <w:rsid w:val="000B07AD"/>
    <w:rsid w:val="000B15AC"/>
    <w:rsid w:val="000B242E"/>
    <w:rsid w:val="000B2615"/>
    <w:rsid w:val="000B2CB3"/>
    <w:rsid w:val="000B32DF"/>
    <w:rsid w:val="000B3F05"/>
    <w:rsid w:val="000B41F3"/>
    <w:rsid w:val="000B4255"/>
    <w:rsid w:val="000B4979"/>
    <w:rsid w:val="000B4F4D"/>
    <w:rsid w:val="000B517A"/>
    <w:rsid w:val="000B54FD"/>
    <w:rsid w:val="000B6339"/>
    <w:rsid w:val="000B663D"/>
    <w:rsid w:val="000B6738"/>
    <w:rsid w:val="000B6F98"/>
    <w:rsid w:val="000B7885"/>
    <w:rsid w:val="000C032B"/>
    <w:rsid w:val="000C15D3"/>
    <w:rsid w:val="000C211C"/>
    <w:rsid w:val="000C2C5F"/>
    <w:rsid w:val="000C2D42"/>
    <w:rsid w:val="000C37AB"/>
    <w:rsid w:val="000C4473"/>
    <w:rsid w:val="000C4525"/>
    <w:rsid w:val="000C5216"/>
    <w:rsid w:val="000C541A"/>
    <w:rsid w:val="000C575F"/>
    <w:rsid w:val="000C6F54"/>
    <w:rsid w:val="000C781B"/>
    <w:rsid w:val="000C789B"/>
    <w:rsid w:val="000C7D89"/>
    <w:rsid w:val="000C7F30"/>
    <w:rsid w:val="000D0457"/>
    <w:rsid w:val="000D08C4"/>
    <w:rsid w:val="000D18BE"/>
    <w:rsid w:val="000D1E86"/>
    <w:rsid w:val="000D3209"/>
    <w:rsid w:val="000D3657"/>
    <w:rsid w:val="000D3916"/>
    <w:rsid w:val="000D3D2A"/>
    <w:rsid w:val="000D4240"/>
    <w:rsid w:val="000D4886"/>
    <w:rsid w:val="000D4AA5"/>
    <w:rsid w:val="000D52FB"/>
    <w:rsid w:val="000D62AD"/>
    <w:rsid w:val="000D6BEE"/>
    <w:rsid w:val="000D6ED2"/>
    <w:rsid w:val="000D7583"/>
    <w:rsid w:val="000D78BE"/>
    <w:rsid w:val="000E006E"/>
    <w:rsid w:val="000E0224"/>
    <w:rsid w:val="000E0782"/>
    <w:rsid w:val="000E115A"/>
    <w:rsid w:val="000E1635"/>
    <w:rsid w:val="000E1F8E"/>
    <w:rsid w:val="000E2BCF"/>
    <w:rsid w:val="000E2FDF"/>
    <w:rsid w:val="000E3CA5"/>
    <w:rsid w:val="000E4595"/>
    <w:rsid w:val="000E4940"/>
    <w:rsid w:val="000E534C"/>
    <w:rsid w:val="000E6114"/>
    <w:rsid w:val="000E61C8"/>
    <w:rsid w:val="000E6560"/>
    <w:rsid w:val="000E6B96"/>
    <w:rsid w:val="000E736F"/>
    <w:rsid w:val="000E76C2"/>
    <w:rsid w:val="000E7E37"/>
    <w:rsid w:val="000F0003"/>
    <w:rsid w:val="000F1FF1"/>
    <w:rsid w:val="000F22A3"/>
    <w:rsid w:val="000F2869"/>
    <w:rsid w:val="000F2AF3"/>
    <w:rsid w:val="000F2FE2"/>
    <w:rsid w:val="000F35B1"/>
    <w:rsid w:val="000F3DB5"/>
    <w:rsid w:val="000F4830"/>
    <w:rsid w:val="000F4FC7"/>
    <w:rsid w:val="000F544F"/>
    <w:rsid w:val="000F5708"/>
    <w:rsid w:val="000F5966"/>
    <w:rsid w:val="000F5FF7"/>
    <w:rsid w:val="000F6242"/>
    <w:rsid w:val="000F6B92"/>
    <w:rsid w:val="000F7DE2"/>
    <w:rsid w:val="0010027E"/>
    <w:rsid w:val="0010129D"/>
    <w:rsid w:val="0010178F"/>
    <w:rsid w:val="001017B1"/>
    <w:rsid w:val="0010197C"/>
    <w:rsid w:val="00101CF6"/>
    <w:rsid w:val="00101D6A"/>
    <w:rsid w:val="00102358"/>
    <w:rsid w:val="0010277E"/>
    <w:rsid w:val="001027EB"/>
    <w:rsid w:val="00102C71"/>
    <w:rsid w:val="00102F65"/>
    <w:rsid w:val="001030C6"/>
    <w:rsid w:val="00103374"/>
    <w:rsid w:val="001034A5"/>
    <w:rsid w:val="001035FB"/>
    <w:rsid w:val="00103A8F"/>
    <w:rsid w:val="001040BF"/>
    <w:rsid w:val="00104588"/>
    <w:rsid w:val="0010486D"/>
    <w:rsid w:val="00105B30"/>
    <w:rsid w:val="00106504"/>
    <w:rsid w:val="001078AF"/>
    <w:rsid w:val="00107DA0"/>
    <w:rsid w:val="00110349"/>
    <w:rsid w:val="00110575"/>
    <w:rsid w:val="0011078E"/>
    <w:rsid w:val="00110971"/>
    <w:rsid w:val="00111B72"/>
    <w:rsid w:val="001139DC"/>
    <w:rsid w:val="00114AD1"/>
    <w:rsid w:val="00115269"/>
    <w:rsid w:val="001153A9"/>
    <w:rsid w:val="00115A7B"/>
    <w:rsid w:val="001160AD"/>
    <w:rsid w:val="0011681F"/>
    <w:rsid w:val="001168AD"/>
    <w:rsid w:val="001173A4"/>
    <w:rsid w:val="001179A2"/>
    <w:rsid w:val="00117C09"/>
    <w:rsid w:val="00117E1F"/>
    <w:rsid w:val="00121F83"/>
    <w:rsid w:val="00122B38"/>
    <w:rsid w:val="0012341E"/>
    <w:rsid w:val="00123BA6"/>
    <w:rsid w:val="00124CD9"/>
    <w:rsid w:val="001254B6"/>
    <w:rsid w:val="00125C0D"/>
    <w:rsid w:val="00126294"/>
    <w:rsid w:val="0012652D"/>
    <w:rsid w:val="00126704"/>
    <w:rsid w:val="00127C05"/>
    <w:rsid w:val="001302F8"/>
    <w:rsid w:val="00131BE0"/>
    <w:rsid w:val="001324DF"/>
    <w:rsid w:val="00132E59"/>
    <w:rsid w:val="001339D0"/>
    <w:rsid w:val="001340B5"/>
    <w:rsid w:val="001348CC"/>
    <w:rsid w:val="001349A6"/>
    <w:rsid w:val="00134A43"/>
    <w:rsid w:val="00134A81"/>
    <w:rsid w:val="00134A97"/>
    <w:rsid w:val="00134B12"/>
    <w:rsid w:val="00135923"/>
    <w:rsid w:val="00135E77"/>
    <w:rsid w:val="00135F13"/>
    <w:rsid w:val="00136561"/>
    <w:rsid w:val="00136CB1"/>
    <w:rsid w:val="00136CEF"/>
    <w:rsid w:val="00136E5E"/>
    <w:rsid w:val="00137157"/>
    <w:rsid w:val="00137485"/>
    <w:rsid w:val="00140A89"/>
    <w:rsid w:val="0014116B"/>
    <w:rsid w:val="001413FD"/>
    <w:rsid w:val="00141E29"/>
    <w:rsid w:val="00142AD7"/>
    <w:rsid w:val="00142BCD"/>
    <w:rsid w:val="00142C3B"/>
    <w:rsid w:val="0014366A"/>
    <w:rsid w:val="001438C9"/>
    <w:rsid w:val="00146232"/>
    <w:rsid w:val="00146398"/>
    <w:rsid w:val="001464BF"/>
    <w:rsid w:val="00146945"/>
    <w:rsid w:val="001476B6"/>
    <w:rsid w:val="001508E3"/>
    <w:rsid w:val="001518E1"/>
    <w:rsid w:val="001528E6"/>
    <w:rsid w:val="00152D0F"/>
    <w:rsid w:val="00153087"/>
    <w:rsid w:val="001533C4"/>
    <w:rsid w:val="00153539"/>
    <w:rsid w:val="001539F9"/>
    <w:rsid w:val="00154642"/>
    <w:rsid w:val="00154A42"/>
    <w:rsid w:val="00154A4E"/>
    <w:rsid w:val="00154BFD"/>
    <w:rsid w:val="00154D3A"/>
    <w:rsid w:val="0015574B"/>
    <w:rsid w:val="00155B0F"/>
    <w:rsid w:val="001560E5"/>
    <w:rsid w:val="00156274"/>
    <w:rsid w:val="00160037"/>
    <w:rsid w:val="00162646"/>
    <w:rsid w:val="0016325A"/>
    <w:rsid w:val="00163337"/>
    <w:rsid w:val="0016355A"/>
    <w:rsid w:val="00163DF4"/>
    <w:rsid w:val="00163E9B"/>
    <w:rsid w:val="001647ED"/>
    <w:rsid w:val="001654E7"/>
    <w:rsid w:val="00165CFF"/>
    <w:rsid w:val="00166A89"/>
    <w:rsid w:val="001674F5"/>
    <w:rsid w:val="00167A3C"/>
    <w:rsid w:val="00167D97"/>
    <w:rsid w:val="00167E89"/>
    <w:rsid w:val="0017029C"/>
    <w:rsid w:val="001709BA"/>
    <w:rsid w:val="00170A41"/>
    <w:rsid w:val="00170C94"/>
    <w:rsid w:val="00170E65"/>
    <w:rsid w:val="0017111A"/>
    <w:rsid w:val="00171981"/>
    <w:rsid w:val="0017231F"/>
    <w:rsid w:val="00172A3E"/>
    <w:rsid w:val="00172D51"/>
    <w:rsid w:val="001733F6"/>
    <w:rsid w:val="00174601"/>
    <w:rsid w:val="0017468F"/>
    <w:rsid w:val="001751FD"/>
    <w:rsid w:val="00175D02"/>
    <w:rsid w:val="00175D9D"/>
    <w:rsid w:val="001763CF"/>
    <w:rsid w:val="001765BD"/>
    <w:rsid w:val="0017666D"/>
    <w:rsid w:val="001805BD"/>
    <w:rsid w:val="00180FEA"/>
    <w:rsid w:val="001810F2"/>
    <w:rsid w:val="00181DAD"/>
    <w:rsid w:val="00181DC0"/>
    <w:rsid w:val="00181FA4"/>
    <w:rsid w:val="0018213E"/>
    <w:rsid w:val="00182BD6"/>
    <w:rsid w:val="0018418A"/>
    <w:rsid w:val="00184AA5"/>
    <w:rsid w:val="00186A27"/>
    <w:rsid w:val="001875A9"/>
    <w:rsid w:val="0018798C"/>
    <w:rsid w:val="00187E5E"/>
    <w:rsid w:val="00190092"/>
    <w:rsid w:val="0019063E"/>
    <w:rsid w:val="00190965"/>
    <w:rsid w:val="001911CB"/>
    <w:rsid w:val="00191541"/>
    <w:rsid w:val="001915C3"/>
    <w:rsid w:val="0019171E"/>
    <w:rsid w:val="00191939"/>
    <w:rsid w:val="00193259"/>
    <w:rsid w:val="001932C6"/>
    <w:rsid w:val="00193731"/>
    <w:rsid w:val="001941DE"/>
    <w:rsid w:val="00194A53"/>
    <w:rsid w:val="00195507"/>
    <w:rsid w:val="00195FD6"/>
    <w:rsid w:val="00196CA4"/>
    <w:rsid w:val="00196D4C"/>
    <w:rsid w:val="001971BC"/>
    <w:rsid w:val="00197321"/>
    <w:rsid w:val="001976BF"/>
    <w:rsid w:val="00197C88"/>
    <w:rsid w:val="001A0902"/>
    <w:rsid w:val="001A0F6F"/>
    <w:rsid w:val="001A122D"/>
    <w:rsid w:val="001A1EE0"/>
    <w:rsid w:val="001A2210"/>
    <w:rsid w:val="001A329E"/>
    <w:rsid w:val="001A3501"/>
    <w:rsid w:val="001A367B"/>
    <w:rsid w:val="001A368A"/>
    <w:rsid w:val="001A3AC4"/>
    <w:rsid w:val="001A4241"/>
    <w:rsid w:val="001A4489"/>
    <w:rsid w:val="001A4A0A"/>
    <w:rsid w:val="001A4C3B"/>
    <w:rsid w:val="001A55FA"/>
    <w:rsid w:val="001A56BD"/>
    <w:rsid w:val="001A6D75"/>
    <w:rsid w:val="001B03A2"/>
    <w:rsid w:val="001B0AA8"/>
    <w:rsid w:val="001B0DAE"/>
    <w:rsid w:val="001B1098"/>
    <w:rsid w:val="001B1BFD"/>
    <w:rsid w:val="001B1E10"/>
    <w:rsid w:val="001B2498"/>
    <w:rsid w:val="001B30F8"/>
    <w:rsid w:val="001B361E"/>
    <w:rsid w:val="001B3F5C"/>
    <w:rsid w:val="001B412E"/>
    <w:rsid w:val="001B4150"/>
    <w:rsid w:val="001B4E86"/>
    <w:rsid w:val="001B509E"/>
    <w:rsid w:val="001B50EA"/>
    <w:rsid w:val="001B58DF"/>
    <w:rsid w:val="001B62D7"/>
    <w:rsid w:val="001B62DC"/>
    <w:rsid w:val="001B67C3"/>
    <w:rsid w:val="001B69A0"/>
    <w:rsid w:val="001B70A7"/>
    <w:rsid w:val="001B74D6"/>
    <w:rsid w:val="001B7622"/>
    <w:rsid w:val="001B7B0B"/>
    <w:rsid w:val="001C0362"/>
    <w:rsid w:val="001C0843"/>
    <w:rsid w:val="001C126A"/>
    <w:rsid w:val="001C16F3"/>
    <w:rsid w:val="001C2606"/>
    <w:rsid w:val="001C2B37"/>
    <w:rsid w:val="001C3467"/>
    <w:rsid w:val="001C370A"/>
    <w:rsid w:val="001C46CD"/>
    <w:rsid w:val="001C4823"/>
    <w:rsid w:val="001C4DCF"/>
    <w:rsid w:val="001C4E27"/>
    <w:rsid w:val="001C53CF"/>
    <w:rsid w:val="001C5CE5"/>
    <w:rsid w:val="001C627B"/>
    <w:rsid w:val="001C644A"/>
    <w:rsid w:val="001C65B8"/>
    <w:rsid w:val="001C6690"/>
    <w:rsid w:val="001C6823"/>
    <w:rsid w:val="001C6AF5"/>
    <w:rsid w:val="001C7E2A"/>
    <w:rsid w:val="001D0253"/>
    <w:rsid w:val="001D05C6"/>
    <w:rsid w:val="001D0B86"/>
    <w:rsid w:val="001D0D76"/>
    <w:rsid w:val="001D1598"/>
    <w:rsid w:val="001D1CE9"/>
    <w:rsid w:val="001D24AD"/>
    <w:rsid w:val="001D26DB"/>
    <w:rsid w:val="001D2E43"/>
    <w:rsid w:val="001D3748"/>
    <w:rsid w:val="001D3EBF"/>
    <w:rsid w:val="001D4391"/>
    <w:rsid w:val="001D442D"/>
    <w:rsid w:val="001D5A33"/>
    <w:rsid w:val="001D5EC5"/>
    <w:rsid w:val="001D6D2C"/>
    <w:rsid w:val="001D7CD1"/>
    <w:rsid w:val="001E0A2C"/>
    <w:rsid w:val="001E1AB3"/>
    <w:rsid w:val="001E1BD5"/>
    <w:rsid w:val="001E21DC"/>
    <w:rsid w:val="001E2530"/>
    <w:rsid w:val="001E25F3"/>
    <w:rsid w:val="001E4657"/>
    <w:rsid w:val="001E473B"/>
    <w:rsid w:val="001E5577"/>
    <w:rsid w:val="001E5803"/>
    <w:rsid w:val="001E5B59"/>
    <w:rsid w:val="001E5C79"/>
    <w:rsid w:val="001E65DC"/>
    <w:rsid w:val="001E6A47"/>
    <w:rsid w:val="001E6C3F"/>
    <w:rsid w:val="001E6D40"/>
    <w:rsid w:val="001E6D6A"/>
    <w:rsid w:val="001E6ECD"/>
    <w:rsid w:val="001E71CF"/>
    <w:rsid w:val="001E740D"/>
    <w:rsid w:val="001E75EF"/>
    <w:rsid w:val="001F0748"/>
    <w:rsid w:val="001F07BA"/>
    <w:rsid w:val="001F0D39"/>
    <w:rsid w:val="001F1A90"/>
    <w:rsid w:val="001F2673"/>
    <w:rsid w:val="001F2935"/>
    <w:rsid w:val="001F2D3A"/>
    <w:rsid w:val="001F2E97"/>
    <w:rsid w:val="001F2F2D"/>
    <w:rsid w:val="001F3219"/>
    <w:rsid w:val="001F34CD"/>
    <w:rsid w:val="001F3D5D"/>
    <w:rsid w:val="001F43B8"/>
    <w:rsid w:val="001F459C"/>
    <w:rsid w:val="001F45BE"/>
    <w:rsid w:val="001F4C68"/>
    <w:rsid w:val="001F5C57"/>
    <w:rsid w:val="001F6487"/>
    <w:rsid w:val="001F6754"/>
    <w:rsid w:val="001F7F0E"/>
    <w:rsid w:val="0020017E"/>
    <w:rsid w:val="0020072E"/>
    <w:rsid w:val="002011B8"/>
    <w:rsid w:val="00201541"/>
    <w:rsid w:val="00201CDF"/>
    <w:rsid w:val="00201FB6"/>
    <w:rsid w:val="002027DA"/>
    <w:rsid w:val="00203033"/>
    <w:rsid w:val="00203913"/>
    <w:rsid w:val="00203F4F"/>
    <w:rsid w:val="002043B4"/>
    <w:rsid w:val="00204524"/>
    <w:rsid w:val="002046DC"/>
    <w:rsid w:val="00204C7A"/>
    <w:rsid w:val="00204C84"/>
    <w:rsid w:val="00205FB7"/>
    <w:rsid w:val="002061F2"/>
    <w:rsid w:val="00206288"/>
    <w:rsid w:val="00206983"/>
    <w:rsid w:val="00206985"/>
    <w:rsid w:val="00206B08"/>
    <w:rsid w:val="00206F66"/>
    <w:rsid w:val="0020738E"/>
    <w:rsid w:val="002114ED"/>
    <w:rsid w:val="002118B6"/>
    <w:rsid w:val="00212835"/>
    <w:rsid w:val="00212E6B"/>
    <w:rsid w:val="002136FD"/>
    <w:rsid w:val="00213974"/>
    <w:rsid w:val="00213A50"/>
    <w:rsid w:val="00214086"/>
    <w:rsid w:val="002147E8"/>
    <w:rsid w:val="00215773"/>
    <w:rsid w:val="00215CAF"/>
    <w:rsid w:val="00215CF1"/>
    <w:rsid w:val="002173FC"/>
    <w:rsid w:val="00221222"/>
    <w:rsid w:val="0022167D"/>
    <w:rsid w:val="002223E8"/>
    <w:rsid w:val="00222613"/>
    <w:rsid w:val="00222B6C"/>
    <w:rsid w:val="00224186"/>
    <w:rsid w:val="00224B68"/>
    <w:rsid w:val="00224D5D"/>
    <w:rsid w:val="00226A58"/>
    <w:rsid w:val="00227287"/>
    <w:rsid w:val="00227330"/>
    <w:rsid w:val="00227B80"/>
    <w:rsid w:val="002302CE"/>
    <w:rsid w:val="002307EF"/>
    <w:rsid w:val="00231201"/>
    <w:rsid w:val="002321BF"/>
    <w:rsid w:val="00232485"/>
    <w:rsid w:val="00232C3C"/>
    <w:rsid w:val="00232CB6"/>
    <w:rsid w:val="00232D9B"/>
    <w:rsid w:val="00232E77"/>
    <w:rsid w:val="002331CF"/>
    <w:rsid w:val="00233652"/>
    <w:rsid w:val="00233746"/>
    <w:rsid w:val="00233796"/>
    <w:rsid w:val="002345C6"/>
    <w:rsid w:val="00234C3A"/>
    <w:rsid w:val="00237485"/>
    <w:rsid w:val="00240DCF"/>
    <w:rsid w:val="002410C9"/>
    <w:rsid w:val="00241257"/>
    <w:rsid w:val="002416CE"/>
    <w:rsid w:val="002426BC"/>
    <w:rsid w:val="00243BC4"/>
    <w:rsid w:val="00243E59"/>
    <w:rsid w:val="00243E6F"/>
    <w:rsid w:val="00243EF9"/>
    <w:rsid w:val="00244ED9"/>
    <w:rsid w:val="0024565A"/>
    <w:rsid w:val="002463B2"/>
    <w:rsid w:val="00246500"/>
    <w:rsid w:val="0024728D"/>
    <w:rsid w:val="002478ED"/>
    <w:rsid w:val="00250ACB"/>
    <w:rsid w:val="00251AFF"/>
    <w:rsid w:val="00251B1E"/>
    <w:rsid w:val="00251C97"/>
    <w:rsid w:val="002523EA"/>
    <w:rsid w:val="00252ADD"/>
    <w:rsid w:val="00252D79"/>
    <w:rsid w:val="00253490"/>
    <w:rsid w:val="00253578"/>
    <w:rsid w:val="00253D5E"/>
    <w:rsid w:val="00254603"/>
    <w:rsid w:val="00254D7E"/>
    <w:rsid w:val="00254EDC"/>
    <w:rsid w:val="00254EF3"/>
    <w:rsid w:val="00255042"/>
    <w:rsid w:val="002556AA"/>
    <w:rsid w:val="0025594F"/>
    <w:rsid w:val="00255D1B"/>
    <w:rsid w:val="00255D41"/>
    <w:rsid w:val="00256514"/>
    <w:rsid w:val="00256E1C"/>
    <w:rsid w:val="0025706D"/>
    <w:rsid w:val="002571A6"/>
    <w:rsid w:val="002571C7"/>
    <w:rsid w:val="00257815"/>
    <w:rsid w:val="0026068A"/>
    <w:rsid w:val="002606F1"/>
    <w:rsid w:val="00261681"/>
    <w:rsid w:val="00261A17"/>
    <w:rsid w:val="00261A2A"/>
    <w:rsid w:val="0026218E"/>
    <w:rsid w:val="00262ACA"/>
    <w:rsid w:val="00262F6B"/>
    <w:rsid w:val="002631FE"/>
    <w:rsid w:val="00263375"/>
    <w:rsid w:val="00264578"/>
    <w:rsid w:val="00264789"/>
    <w:rsid w:val="002649A0"/>
    <w:rsid w:val="00264E43"/>
    <w:rsid w:val="00264F6C"/>
    <w:rsid w:val="00264FFA"/>
    <w:rsid w:val="00265220"/>
    <w:rsid w:val="0026542F"/>
    <w:rsid w:val="00265534"/>
    <w:rsid w:val="00265564"/>
    <w:rsid w:val="0026576A"/>
    <w:rsid w:val="002659E6"/>
    <w:rsid w:val="00266B58"/>
    <w:rsid w:val="00266DA6"/>
    <w:rsid w:val="00267256"/>
    <w:rsid w:val="00267878"/>
    <w:rsid w:val="00267BE0"/>
    <w:rsid w:val="0027097B"/>
    <w:rsid w:val="00270EE7"/>
    <w:rsid w:val="0027115D"/>
    <w:rsid w:val="002717DF"/>
    <w:rsid w:val="00272E7D"/>
    <w:rsid w:val="002732A1"/>
    <w:rsid w:val="00273957"/>
    <w:rsid w:val="0027398E"/>
    <w:rsid w:val="00274212"/>
    <w:rsid w:val="002745B3"/>
    <w:rsid w:val="00274A41"/>
    <w:rsid w:val="0027501E"/>
    <w:rsid w:val="002754C1"/>
    <w:rsid w:val="002754E1"/>
    <w:rsid w:val="002757D2"/>
    <w:rsid w:val="0027581A"/>
    <w:rsid w:val="00275AB7"/>
    <w:rsid w:val="0027616F"/>
    <w:rsid w:val="002763BE"/>
    <w:rsid w:val="00277110"/>
    <w:rsid w:val="0027730D"/>
    <w:rsid w:val="00277352"/>
    <w:rsid w:val="00277527"/>
    <w:rsid w:val="0027775F"/>
    <w:rsid w:val="00277CF6"/>
    <w:rsid w:val="00277F90"/>
    <w:rsid w:val="0028040B"/>
    <w:rsid w:val="002806C9"/>
    <w:rsid w:val="0028076C"/>
    <w:rsid w:val="00280DFA"/>
    <w:rsid w:val="002815EB"/>
    <w:rsid w:val="0028176B"/>
    <w:rsid w:val="00281C87"/>
    <w:rsid w:val="002825DC"/>
    <w:rsid w:val="002826A9"/>
    <w:rsid w:val="00282D0A"/>
    <w:rsid w:val="00282FFF"/>
    <w:rsid w:val="00283A19"/>
    <w:rsid w:val="00283E87"/>
    <w:rsid w:val="002842B0"/>
    <w:rsid w:val="00284C34"/>
    <w:rsid w:val="00284C62"/>
    <w:rsid w:val="00285CB2"/>
    <w:rsid w:val="00285F10"/>
    <w:rsid w:val="0028622B"/>
    <w:rsid w:val="0028634A"/>
    <w:rsid w:val="00286366"/>
    <w:rsid w:val="002864A6"/>
    <w:rsid w:val="0028664C"/>
    <w:rsid w:val="002877F4"/>
    <w:rsid w:val="00290906"/>
    <w:rsid w:val="0029106A"/>
    <w:rsid w:val="00291945"/>
    <w:rsid w:val="00291BBB"/>
    <w:rsid w:val="00291FB1"/>
    <w:rsid w:val="00292CE6"/>
    <w:rsid w:val="00293775"/>
    <w:rsid w:val="00293A03"/>
    <w:rsid w:val="00293F43"/>
    <w:rsid w:val="00294010"/>
    <w:rsid w:val="002948EE"/>
    <w:rsid w:val="00295550"/>
    <w:rsid w:val="002955DA"/>
    <w:rsid w:val="00295FE4"/>
    <w:rsid w:val="002966FE"/>
    <w:rsid w:val="00296B8B"/>
    <w:rsid w:val="00296E41"/>
    <w:rsid w:val="00296E65"/>
    <w:rsid w:val="002971E8"/>
    <w:rsid w:val="00297D26"/>
    <w:rsid w:val="002A02EB"/>
    <w:rsid w:val="002A0507"/>
    <w:rsid w:val="002A06E4"/>
    <w:rsid w:val="002A112C"/>
    <w:rsid w:val="002A142A"/>
    <w:rsid w:val="002A1D2B"/>
    <w:rsid w:val="002A21DD"/>
    <w:rsid w:val="002A2353"/>
    <w:rsid w:val="002A2E8F"/>
    <w:rsid w:val="002A325C"/>
    <w:rsid w:val="002A3552"/>
    <w:rsid w:val="002A3826"/>
    <w:rsid w:val="002A383F"/>
    <w:rsid w:val="002A3849"/>
    <w:rsid w:val="002A401B"/>
    <w:rsid w:val="002A4E68"/>
    <w:rsid w:val="002A566C"/>
    <w:rsid w:val="002A5C27"/>
    <w:rsid w:val="002A5C5D"/>
    <w:rsid w:val="002A5EDA"/>
    <w:rsid w:val="002A61F9"/>
    <w:rsid w:val="002A69E5"/>
    <w:rsid w:val="002A6BE0"/>
    <w:rsid w:val="002B0329"/>
    <w:rsid w:val="002B03DA"/>
    <w:rsid w:val="002B05AA"/>
    <w:rsid w:val="002B1EC1"/>
    <w:rsid w:val="002B2421"/>
    <w:rsid w:val="002B2CF4"/>
    <w:rsid w:val="002B364C"/>
    <w:rsid w:val="002B3AE7"/>
    <w:rsid w:val="002B42BC"/>
    <w:rsid w:val="002B4466"/>
    <w:rsid w:val="002B4762"/>
    <w:rsid w:val="002B4DAD"/>
    <w:rsid w:val="002B4EEB"/>
    <w:rsid w:val="002B5D76"/>
    <w:rsid w:val="002B5F04"/>
    <w:rsid w:val="002B6793"/>
    <w:rsid w:val="002B6ABE"/>
    <w:rsid w:val="002B718A"/>
    <w:rsid w:val="002B72FB"/>
    <w:rsid w:val="002B76EB"/>
    <w:rsid w:val="002C041E"/>
    <w:rsid w:val="002C09BB"/>
    <w:rsid w:val="002C15B9"/>
    <w:rsid w:val="002C1F39"/>
    <w:rsid w:val="002C1F3E"/>
    <w:rsid w:val="002C256C"/>
    <w:rsid w:val="002C339E"/>
    <w:rsid w:val="002C3546"/>
    <w:rsid w:val="002C4413"/>
    <w:rsid w:val="002C4CD0"/>
    <w:rsid w:val="002C5364"/>
    <w:rsid w:val="002C58A8"/>
    <w:rsid w:val="002C5B87"/>
    <w:rsid w:val="002C5D35"/>
    <w:rsid w:val="002C6739"/>
    <w:rsid w:val="002C6934"/>
    <w:rsid w:val="002C6A1A"/>
    <w:rsid w:val="002C6E3B"/>
    <w:rsid w:val="002C6F6F"/>
    <w:rsid w:val="002C6FEF"/>
    <w:rsid w:val="002C746A"/>
    <w:rsid w:val="002C790C"/>
    <w:rsid w:val="002D0343"/>
    <w:rsid w:val="002D0861"/>
    <w:rsid w:val="002D08EF"/>
    <w:rsid w:val="002D10F5"/>
    <w:rsid w:val="002D166B"/>
    <w:rsid w:val="002D1F29"/>
    <w:rsid w:val="002D290B"/>
    <w:rsid w:val="002D30FD"/>
    <w:rsid w:val="002D31FD"/>
    <w:rsid w:val="002D32B3"/>
    <w:rsid w:val="002D372F"/>
    <w:rsid w:val="002D37A4"/>
    <w:rsid w:val="002D3843"/>
    <w:rsid w:val="002D3A14"/>
    <w:rsid w:val="002D4129"/>
    <w:rsid w:val="002D474E"/>
    <w:rsid w:val="002D6565"/>
    <w:rsid w:val="002D665D"/>
    <w:rsid w:val="002D69B5"/>
    <w:rsid w:val="002D6AA7"/>
    <w:rsid w:val="002D7BD4"/>
    <w:rsid w:val="002E03D1"/>
    <w:rsid w:val="002E1866"/>
    <w:rsid w:val="002E2AC2"/>
    <w:rsid w:val="002E3086"/>
    <w:rsid w:val="002E38CE"/>
    <w:rsid w:val="002E3B80"/>
    <w:rsid w:val="002E3FD4"/>
    <w:rsid w:val="002E4DC2"/>
    <w:rsid w:val="002E5295"/>
    <w:rsid w:val="002E547B"/>
    <w:rsid w:val="002E5662"/>
    <w:rsid w:val="002E56F4"/>
    <w:rsid w:val="002E58E6"/>
    <w:rsid w:val="002E5A32"/>
    <w:rsid w:val="002E5C2E"/>
    <w:rsid w:val="002E5F11"/>
    <w:rsid w:val="002E6CAE"/>
    <w:rsid w:val="002E6CE8"/>
    <w:rsid w:val="002E6D6E"/>
    <w:rsid w:val="002E7B53"/>
    <w:rsid w:val="002F1458"/>
    <w:rsid w:val="002F25A1"/>
    <w:rsid w:val="002F2FA5"/>
    <w:rsid w:val="002F304B"/>
    <w:rsid w:val="002F356B"/>
    <w:rsid w:val="002F3C31"/>
    <w:rsid w:val="002F408C"/>
    <w:rsid w:val="002F43F9"/>
    <w:rsid w:val="002F472D"/>
    <w:rsid w:val="002F544B"/>
    <w:rsid w:val="002F70D6"/>
    <w:rsid w:val="002F78FD"/>
    <w:rsid w:val="00300245"/>
    <w:rsid w:val="0030071B"/>
    <w:rsid w:val="00300D5B"/>
    <w:rsid w:val="00301226"/>
    <w:rsid w:val="00301614"/>
    <w:rsid w:val="00301662"/>
    <w:rsid w:val="00302312"/>
    <w:rsid w:val="0030238A"/>
    <w:rsid w:val="00302695"/>
    <w:rsid w:val="003026C0"/>
    <w:rsid w:val="0030340B"/>
    <w:rsid w:val="00303BC6"/>
    <w:rsid w:val="003059A6"/>
    <w:rsid w:val="00305AC8"/>
    <w:rsid w:val="003068E4"/>
    <w:rsid w:val="00306CDD"/>
    <w:rsid w:val="003077FB"/>
    <w:rsid w:val="0030793C"/>
    <w:rsid w:val="003104EC"/>
    <w:rsid w:val="00311A9F"/>
    <w:rsid w:val="00312175"/>
    <w:rsid w:val="00312DC0"/>
    <w:rsid w:val="003134CB"/>
    <w:rsid w:val="00313B56"/>
    <w:rsid w:val="00313BE2"/>
    <w:rsid w:val="003146DD"/>
    <w:rsid w:val="0031477F"/>
    <w:rsid w:val="00314E9A"/>
    <w:rsid w:val="00315228"/>
    <w:rsid w:val="0031544D"/>
    <w:rsid w:val="003155E2"/>
    <w:rsid w:val="00315D37"/>
    <w:rsid w:val="0031610A"/>
    <w:rsid w:val="0031612E"/>
    <w:rsid w:val="00316E18"/>
    <w:rsid w:val="003204BD"/>
    <w:rsid w:val="003206AC"/>
    <w:rsid w:val="00320DE2"/>
    <w:rsid w:val="00321074"/>
    <w:rsid w:val="00321DE2"/>
    <w:rsid w:val="00322005"/>
    <w:rsid w:val="0032219D"/>
    <w:rsid w:val="003223DB"/>
    <w:rsid w:val="00322940"/>
    <w:rsid w:val="00322AAE"/>
    <w:rsid w:val="00323CCF"/>
    <w:rsid w:val="00323E26"/>
    <w:rsid w:val="00323F30"/>
    <w:rsid w:val="00324353"/>
    <w:rsid w:val="003244D8"/>
    <w:rsid w:val="00324A44"/>
    <w:rsid w:val="00324AAD"/>
    <w:rsid w:val="00324B5E"/>
    <w:rsid w:val="00325134"/>
    <w:rsid w:val="00325445"/>
    <w:rsid w:val="00325706"/>
    <w:rsid w:val="00325D64"/>
    <w:rsid w:val="00327C3C"/>
    <w:rsid w:val="00330627"/>
    <w:rsid w:val="00330E4F"/>
    <w:rsid w:val="003310FD"/>
    <w:rsid w:val="00331BAC"/>
    <w:rsid w:val="003321D8"/>
    <w:rsid w:val="00332656"/>
    <w:rsid w:val="003326B4"/>
    <w:rsid w:val="00332794"/>
    <w:rsid w:val="00332D6E"/>
    <w:rsid w:val="00332F5A"/>
    <w:rsid w:val="00333396"/>
    <w:rsid w:val="00333E85"/>
    <w:rsid w:val="0033466D"/>
    <w:rsid w:val="003349E5"/>
    <w:rsid w:val="003366B9"/>
    <w:rsid w:val="00336A5F"/>
    <w:rsid w:val="00336B53"/>
    <w:rsid w:val="00336FFA"/>
    <w:rsid w:val="003375B4"/>
    <w:rsid w:val="0033761A"/>
    <w:rsid w:val="00337883"/>
    <w:rsid w:val="00337954"/>
    <w:rsid w:val="00337A4B"/>
    <w:rsid w:val="00337B2B"/>
    <w:rsid w:val="003408BA"/>
    <w:rsid w:val="003408F8"/>
    <w:rsid w:val="00340C73"/>
    <w:rsid w:val="00340EAE"/>
    <w:rsid w:val="00341A39"/>
    <w:rsid w:val="003424E9"/>
    <w:rsid w:val="0034294F"/>
    <w:rsid w:val="00342A25"/>
    <w:rsid w:val="00343004"/>
    <w:rsid w:val="0034327E"/>
    <w:rsid w:val="00343359"/>
    <w:rsid w:val="003443DB"/>
    <w:rsid w:val="00344A40"/>
    <w:rsid w:val="00344B1B"/>
    <w:rsid w:val="0034529D"/>
    <w:rsid w:val="00345AC7"/>
    <w:rsid w:val="00346428"/>
    <w:rsid w:val="00347882"/>
    <w:rsid w:val="00347AD7"/>
    <w:rsid w:val="003501D3"/>
    <w:rsid w:val="0035047D"/>
    <w:rsid w:val="003539A8"/>
    <w:rsid w:val="00353ACD"/>
    <w:rsid w:val="00353C63"/>
    <w:rsid w:val="00353C97"/>
    <w:rsid w:val="00353CBB"/>
    <w:rsid w:val="00353E2B"/>
    <w:rsid w:val="003540F7"/>
    <w:rsid w:val="00354793"/>
    <w:rsid w:val="00354A02"/>
    <w:rsid w:val="00354BAF"/>
    <w:rsid w:val="00354E84"/>
    <w:rsid w:val="00355582"/>
    <w:rsid w:val="00355B83"/>
    <w:rsid w:val="00355D39"/>
    <w:rsid w:val="00356256"/>
    <w:rsid w:val="003562EE"/>
    <w:rsid w:val="00356C2F"/>
    <w:rsid w:val="00356FF4"/>
    <w:rsid w:val="00357007"/>
    <w:rsid w:val="00357083"/>
    <w:rsid w:val="003600B8"/>
    <w:rsid w:val="00361098"/>
    <w:rsid w:val="00361138"/>
    <w:rsid w:val="00361767"/>
    <w:rsid w:val="00361EB5"/>
    <w:rsid w:val="00362102"/>
    <w:rsid w:val="0036298F"/>
    <w:rsid w:val="00362B48"/>
    <w:rsid w:val="00362DAE"/>
    <w:rsid w:val="00363905"/>
    <w:rsid w:val="003647E8"/>
    <w:rsid w:val="003648BA"/>
    <w:rsid w:val="00365389"/>
    <w:rsid w:val="00365443"/>
    <w:rsid w:val="0036552A"/>
    <w:rsid w:val="003657A8"/>
    <w:rsid w:val="003658A2"/>
    <w:rsid w:val="00365E40"/>
    <w:rsid w:val="00365E8F"/>
    <w:rsid w:val="00366460"/>
    <w:rsid w:val="003669F3"/>
    <w:rsid w:val="00366CCD"/>
    <w:rsid w:val="00366E6B"/>
    <w:rsid w:val="00367139"/>
    <w:rsid w:val="00370A09"/>
    <w:rsid w:val="003719AA"/>
    <w:rsid w:val="00371A95"/>
    <w:rsid w:val="00371D29"/>
    <w:rsid w:val="00372A9F"/>
    <w:rsid w:val="0037397A"/>
    <w:rsid w:val="00373995"/>
    <w:rsid w:val="00373B40"/>
    <w:rsid w:val="0037427D"/>
    <w:rsid w:val="0037474B"/>
    <w:rsid w:val="00374888"/>
    <w:rsid w:val="00375136"/>
    <w:rsid w:val="00375354"/>
    <w:rsid w:val="003759E4"/>
    <w:rsid w:val="0037606F"/>
    <w:rsid w:val="0037683E"/>
    <w:rsid w:val="00377174"/>
    <w:rsid w:val="00377FFD"/>
    <w:rsid w:val="003801DF"/>
    <w:rsid w:val="0038032E"/>
    <w:rsid w:val="0038045C"/>
    <w:rsid w:val="0038054E"/>
    <w:rsid w:val="0038099E"/>
    <w:rsid w:val="003810AD"/>
    <w:rsid w:val="0038126F"/>
    <w:rsid w:val="00381537"/>
    <w:rsid w:val="00381829"/>
    <w:rsid w:val="0038183C"/>
    <w:rsid w:val="003824A5"/>
    <w:rsid w:val="003833E5"/>
    <w:rsid w:val="0038349D"/>
    <w:rsid w:val="00383DBB"/>
    <w:rsid w:val="00383F08"/>
    <w:rsid w:val="00384B79"/>
    <w:rsid w:val="003856B9"/>
    <w:rsid w:val="003857FB"/>
    <w:rsid w:val="00385C09"/>
    <w:rsid w:val="0038761B"/>
    <w:rsid w:val="00387A95"/>
    <w:rsid w:val="003900C5"/>
    <w:rsid w:val="0039012B"/>
    <w:rsid w:val="00390408"/>
    <w:rsid w:val="00390F30"/>
    <w:rsid w:val="003916C1"/>
    <w:rsid w:val="00391B96"/>
    <w:rsid w:val="00391BC0"/>
    <w:rsid w:val="00391D48"/>
    <w:rsid w:val="00391E84"/>
    <w:rsid w:val="00392542"/>
    <w:rsid w:val="00392863"/>
    <w:rsid w:val="00392A03"/>
    <w:rsid w:val="003933D0"/>
    <w:rsid w:val="00394261"/>
    <w:rsid w:val="0039460F"/>
    <w:rsid w:val="00395ED4"/>
    <w:rsid w:val="00396338"/>
    <w:rsid w:val="00396529"/>
    <w:rsid w:val="003966AD"/>
    <w:rsid w:val="003967F6"/>
    <w:rsid w:val="00397570"/>
    <w:rsid w:val="00397B99"/>
    <w:rsid w:val="003A06D3"/>
    <w:rsid w:val="003A097E"/>
    <w:rsid w:val="003A0C26"/>
    <w:rsid w:val="003A0EA0"/>
    <w:rsid w:val="003A1471"/>
    <w:rsid w:val="003A1B9B"/>
    <w:rsid w:val="003A28A0"/>
    <w:rsid w:val="003A353C"/>
    <w:rsid w:val="003A3AB4"/>
    <w:rsid w:val="003A3FD1"/>
    <w:rsid w:val="003A3FF7"/>
    <w:rsid w:val="003A52A1"/>
    <w:rsid w:val="003A535E"/>
    <w:rsid w:val="003A638D"/>
    <w:rsid w:val="003A6743"/>
    <w:rsid w:val="003A7C27"/>
    <w:rsid w:val="003B03DC"/>
    <w:rsid w:val="003B0D92"/>
    <w:rsid w:val="003B16F1"/>
    <w:rsid w:val="003B1D58"/>
    <w:rsid w:val="003B2100"/>
    <w:rsid w:val="003B35C4"/>
    <w:rsid w:val="003B385C"/>
    <w:rsid w:val="003B3900"/>
    <w:rsid w:val="003B3E80"/>
    <w:rsid w:val="003B4298"/>
    <w:rsid w:val="003B509C"/>
    <w:rsid w:val="003B57E2"/>
    <w:rsid w:val="003B75A1"/>
    <w:rsid w:val="003B7B47"/>
    <w:rsid w:val="003C071E"/>
    <w:rsid w:val="003C1CBB"/>
    <w:rsid w:val="003C1CEB"/>
    <w:rsid w:val="003C2808"/>
    <w:rsid w:val="003C2AB6"/>
    <w:rsid w:val="003C2D90"/>
    <w:rsid w:val="003C3B3C"/>
    <w:rsid w:val="003C3BC2"/>
    <w:rsid w:val="003C3CC8"/>
    <w:rsid w:val="003C3D9E"/>
    <w:rsid w:val="003C3F07"/>
    <w:rsid w:val="003C46C9"/>
    <w:rsid w:val="003C57B6"/>
    <w:rsid w:val="003C5975"/>
    <w:rsid w:val="003C60BF"/>
    <w:rsid w:val="003C67BD"/>
    <w:rsid w:val="003C73EC"/>
    <w:rsid w:val="003C74A3"/>
    <w:rsid w:val="003D0E96"/>
    <w:rsid w:val="003D1464"/>
    <w:rsid w:val="003D19C8"/>
    <w:rsid w:val="003D1B5E"/>
    <w:rsid w:val="003D1D9C"/>
    <w:rsid w:val="003D2496"/>
    <w:rsid w:val="003D2561"/>
    <w:rsid w:val="003D301F"/>
    <w:rsid w:val="003D3A49"/>
    <w:rsid w:val="003D46A1"/>
    <w:rsid w:val="003D4C55"/>
    <w:rsid w:val="003D4E3C"/>
    <w:rsid w:val="003D51ED"/>
    <w:rsid w:val="003D5204"/>
    <w:rsid w:val="003D5BD0"/>
    <w:rsid w:val="003D605B"/>
    <w:rsid w:val="003D6324"/>
    <w:rsid w:val="003D6342"/>
    <w:rsid w:val="003D6EBB"/>
    <w:rsid w:val="003D72D8"/>
    <w:rsid w:val="003D73BF"/>
    <w:rsid w:val="003D73F1"/>
    <w:rsid w:val="003E0293"/>
    <w:rsid w:val="003E0413"/>
    <w:rsid w:val="003E0A0C"/>
    <w:rsid w:val="003E0B1F"/>
    <w:rsid w:val="003E18EC"/>
    <w:rsid w:val="003E213B"/>
    <w:rsid w:val="003E29DD"/>
    <w:rsid w:val="003E2A98"/>
    <w:rsid w:val="003E3C16"/>
    <w:rsid w:val="003E417A"/>
    <w:rsid w:val="003E46D5"/>
    <w:rsid w:val="003E507D"/>
    <w:rsid w:val="003E563C"/>
    <w:rsid w:val="003E56A6"/>
    <w:rsid w:val="003E70EA"/>
    <w:rsid w:val="003F0336"/>
    <w:rsid w:val="003F1BCA"/>
    <w:rsid w:val="003F1C3B"/>
    <w:rsid w:val="003F2182"/>
    <w:rsid w:val="003F2C0A"/>
    <w:rsid w:val="003F2E1D"/>
    <w:rsid w:val="003F2E3C"/>
    <w:rsid w:val="003F41DA"/>
    <w:rsid w:val="003F46FA"/>
    <w:rsid w:val="003F48E7"/>
    <w:rsid w:val="003F4D70"/>
    <w:rsid w:val="003F64D1"/>
    <w:rsid w:val="003F65D7"/>
    <w:rsid w:val="003F682E"/>
    <w:rsid w:val="003F7238"/>
    <w:rsid w:val="003F7425"/>
    <w:rsid w:val="003F7C95"/>
    <w:rsid w:val="0040004D"/>
    <w:rsid w:val="00400254"/>
    <w:rsid w:val="004018DB"/>
    <w:rsid w:val="004023F3"/>
    <w:rsid w:val="004026A1"/>
    <w:rsid w:val="00402BF3"/>
    <w:rsid w:val="0040321F"/>
    <w:rsid w:val="00403489"/>
    <w:rsid w:val="00403BD5"/>
    <w:rsid w:val="00403DBF"/>
    <w:rsid w:val="00403FA5"/>
    <w:rsid w:val="00404694"/>
    <w:rsid w:val="00404B2E"/>
    <w:rsid w:val="00404E3C"/>
    <w:rsid w:val="00404E5C"/>
    <w:rsid w:val="00404FC0"/>
    <w:rsid w:val="00405965"/>
    <w:rsid w:val="00405975"/>
    <w:rsid w:val="00405D25"/>
    <w:rsid w:val="0040698F"/>
    <w:rsid w:val="00407FFC"/>
    <w:rsid w:val="00410306"/>
    <w:rsid w:val="0041088B"/>
    <w:rsid w:val="004109FB"/>
    <w:rsid w:val="00411123"/>
    <w:rsid w:val="004113BF"/>
    <w:rsid w:val="00411E37"/>
    <w:rsid w:val="00411F81"/>
    <w:rsid w:val="004120A8"/>
    <w:rsid w:val="00412754"/>
    <w:rsid w:val="004148B8"/>
    <w:rsid w:val="00415960"/>
    <w:rsid w:val="00415A0B"/>
    <w:rsid w:val="004161E3"/>
    <w:rsid w:val="00416917"/>
    <w:rsid w:val="004169DE"/>
    <w:rsid w:val="0041716B"/>
    <w:rsid w:val="004175F7"/>
    <w:rsid w:val="0042042A"/>
    <w:rsid w:val="00420972"/>
    <w:rsid w:val="00420984"/>
    <w:rsid w:val="00420B1B"/>
    <w:rsid w:val="00420C25"/>
    <w:rsid w:val="00420E34"/>
    <w:rsid w:val="00420ED4"/>
    <w:rsid w:val="0042104C"/>
    <w:rsid w:val="00421056"/>
    <w:rsid w:val="004212A2"/>
    <w:rsid w:val="00421BE8"/>
    <w:rsid w:val="00421FA1"/>
    <w:rsid w:val="0042225C"/>
    <w:rsid w:val="004226BF"/>
    <w:rsid w:val="00422B18"/>
    <w:rsid w:val="00423396"/>
    <w:rsid w:val="00423FAE"/>
    <w:rsid w:val="00424550"/>
    <w:rsid w:val="00424753"/>
    <w:rsid w:val="00424862"/>
    <w:rsid w:val="0042499F"/>
    <w:rsid w:val="00424AF3"/>
    <w:rsid w:val="00425119"/>
    <w:rsid w:val="00425E6E"/>
    <w:rsid w:val="00426836"/>
    <w:rsid w:val="0042690C"/>
    <w:rsid w:val="00427061"/>
    <w:rsid w:val="004277FA"/>
    <w:rsid w:val="00427941"/>
    <w:rsid w:val="00427B16"/>
    <w:rsid w:val="00427D7B"/>
    <w:rsid w:val="004305EF"/>
    <w:rsid w:val="00430B64"/>
    <w:rsid w:val="00430BEF"/>
    <w:rsid w:val="00430DA1"/>
    <w:rsid w:val="0043115B"/>
    <w:rsid w:val="00431AD9"/>
    <w:rsid w:val="00433808"/>
    <w:rsid w:val="00433EFF"/>
    <w:rsid w:val="004340E7"/>
    <w:rsid w:val="0043455A"/>
    <w:rsid w:val="00434FE9"/>
    <w:rsid w:val="0043538C"/>
    <w:rsid w:val="004359E7"/>
    <w:rsid w:val="00436439"/>
    <w:rsid w:val="00436756"/>
    <w:rsid w:val="00436D35"/>
    <w:rsid w:val="004372BF"/>
    <w:rsid w:val="0043777E"/>
    <w:rsid w:val="0044030B"/>
    <w:rsid w:val="0044053A"/>
    <w:rsid w:val="00441C06"/>
    <w:rsid w:val="00441DD5"/>
    <w:rsid w:val="00441F43"/>
    <w:rsid w:val="00442098"/>
    <w:rsid w:val="00442700"/>
    <w:rsid w:val="00442EF6"/>
    <w:rsid w:val="004434C8"/>
    <w:rsid w:val="004441F7"/>
    <w:rsid w:val="00444FF2"/>
    <w:rsid w:val="00445224"/>
    <w:rsid w:val="0044581A"/>
    <w:rsid w:val="0044650E"/>
    <w:rsid w:val="004465DA"/>
    <w:rsid w:val="004467F3"/>
    <w:rsid w:val="004504C3"/>
    <w:rsid w:val="00451431"/>
    <w:rsid w:val="00451565"/>
    <w:rsid w:val="004525D9"/>
    <w:rsid w:val="00452A25"/>
    <w:rsid w:val="00452D0C"/>
    <w:rsid w:val="00453B3C"/>
    <w:rsid w:val="004542CE"/>
    <w:rsid w:val="00454638"/>
    <w:rsid w:val="0045499A"/>
    <w:rsid w:val="00454E9E"/>
    <w:rsid w:val="00454FE9"/>
    <w:rsid w:val="0045535A"/>
    <w:rsid w:val="00455671"/>
    <w:rsid w:val="0045579C"/>
    <w:rsid w:val="00456E39"/>
    <w:rsid w:val="00461A62"/>
    <w:rsid w:val="004625E0"/>
    <w:rsid w:val="00462B5C"/>
    <w:rsid w:val="00462E3F"/>
    <w:rsid w:val="00463347"/>
    <w:rsid w:val="00463AC0"/>
    <w:rsid w:val="004640F4"/>
    <w:rsid w:val="00464663"/>
    <w:rsid w:val="00464C68"/>
    <w:rsid w:val="0046549B"/>
    <w:rsid w:val="00465A47"/>
    <w:rsid w:val="00466536"/>
    <w:rsid w:val="00466802"/>
    <w:rsid w:val="00466A86"/>
    <w:rsid w:val="00466E0C"/>
    <w:rsid w:val="0046722D"/>
    <w:rsid w:val="00467874"/>
    <w:rsid w:val="00467CDD"/>
    <w:rsid w:val="004703C9"/>
    <w:rsid w:val="00470C4C"/>
    <w:rsid w:val="00470CCD"/>
    <w:rsid w:val="00470EF5"/>
    <w:rsid w:val="00471935"/>
    <w:rsid w:val="00471F9D"/>
    <w:rsid w:val="004724A9"/>
    <w:rsid w:val="00473534"/>
    <w:rsid w:val="00473960"/>
    <w:rsid w:val="00473C1F"/>
    <w:rsid w:val="00473C27"/>
    <w:rsid w:val="0047481D"/>
    <w:rsid w:val="004749DB"/>
    <w:rsid w:val="00474A12"/>
    <w:rsid w:val="00474D0A"/>
    <w:rsid w:val="004753C0"/>
    <w:rsid w:val="00475554"/>
    <w:rsid w:val="00475D31"/>
    <w:rsid w:val="0047625F"/>
    <w:rsid w:val="00477030"/>
    <w:rsid w:val="00477B60"/>
    <w:rsid w:val="004816E5"/>
    <w:rsid w:val="0048236C"/>
    <w:rsid w:val="0048279B"/>
    <w:rsid w:val="004828BE"/>
    <w:rsid w:val="00482A1A"/>
    <w:rsid w:val="00482A7B"/>
    <w:rsid w:val="00482FAA"/>
    <w:rsid w:val="004835E9"/>
    <w:rsid w:val="00483A37"/>
    <w:rsid w:val="004850AA"/>
    <w:rsid w:val="004851BB"/>
    <w:rsid w:val="004866A8"/>
    <w:rsid w:val="00486D38"/>
    <w:rsid w:val="00487021"/>
    <w:rsid w:val="0048733C"/>
    <w:rsid w:val="00487607"/>
    <w:rsid w:val="00487BBC"/>
    <w:rsid w:val="00487BCE"/>
    <w:rsid w:val="0049045D"/>
    <w:rsid w:val="00490EBF"/>
    <w:rsid w:val="00491072"/>
    <w:rsid w:val="0049141C"/>
    <w:rsid w:val="004921A1"/>
    <w:rsid w:val="00492885"/>
    <w:rsid w:val="00492A8C"/>
    <w:rsid w:val="00493621"/>
    <w:rsid w:val="00493C02"/>
    <w:rsid w:val="00493C67"/>
    <w:rsid w:val="00493D19"/>
    <w:rsid w:val="004941D5"/>
    <w:rsid w:val="004942EB"/>
    <w:rsid w:val="004944E9"/>
    <w:rsid w:val="0049455F"/>
    <w:rsid w:val="004948D7"/>
    <w:rsid w:val="00494B09"/>
    <w:rsid w:val="00494D4A"/>
    <w:rsid w:val="00495493"/>
    <w:rsid w:val="00495495"/>
    <w:rsid w:val="00495E6E"/>
    <w:rsid w:val="004960FE"/>
    <w:rsid w:val="004964BD"/>
    <w:rsid w:val="00496B5F"/>
    <w:rsid w:val="004975A8"/>
    <w:rsid w:val="004A026F"/>
    <w:rsid w:val="004A0912"/>
    <w:rsid w:val="004A1186"/>
    <w:rsid w:val="004A3C5C"/>
    <w:rsid w:val="004A459F"/>
    <w:rsid w:val="004A4E6E"/>
    <w:rsid w:val="004A4EB0"/>
    <w:rsid w:val="004A51C6"/>
    <w:rsid w:val="004A55B6"/>
    <w:rsid w:val="004A589B"/>
    <w:rsid w:val="004A6BEF"/>
    <w:rsid w:val="004A72F7"/>
    <w:rsid w:val="004A740A"/>
    <w:rsid w:val="004A75D6"/>
    <w:rsid w:val="004A75ED"/>
    <w:rsid w:val="004A76F6"/>
    <w:rsid w:val="004A7D4B"/>
    <w:rsid w:val="004A7F63"/>
    <w:rsid w:val="004B068D"/>
    <w:rsid w:val="004B0E1A"/>
    <w:rsid w:val="004B11D1"/>
    <w:rsid w:val="004B15B6"/>
    <w:rsid w:val="004B1906"/>
    <w:rsid w:val="004B1A12"/>
    <w:rsid w:val="004B2298"/>
    <w:rsid w:val="004B2777"/>
    <w:rsid w:val="004B279C"/>
    <w:rsid w:val="004B3154"/>
    <w:rsid w:val="004B37A1"/>
    <w:rsid w:val="004B38A7"/>
    <w:rsid w:val="004B3DE1"/>
    <w:rsid w:val="004B61A4"/>
    <w:rsid w:val="004B7B40"/>
    <w:rsid w:val="004C0231"/>
    <w:rsid w:val="004C04DA"/>
    <w:rsid w:val="004C15B5"/>
    <w:rsid w:val="004C3479"/>
    <w:rsid w:val="004C35C5"/>
    <w:rsid w:val="004C38D6"/>
    <w:rsid w:val="004C3AA2"/>
    <w:rsid w:val="004C4965"/>
    <w:rsid w:val="004C52C3"/>
    <w:rsid w:val="004C5357"/>
    <w:rsid w:val="004C561C"/>
    <w:rsid w:val="004C579E"/>
    <w:rsid w:val="004C5F91"/>
    <w:rsid w:val="004C623B"/>
    <w:rsid w:val="004C6277"/>
    <w:rsid w:val="004C685A"/>
    <w:rsid w:val="004C6BA6"/>
    <w:rsid w:val="004C7CC4"/>
    <w:rsid w:val="004D044C"/>
    <w:rsid w:val="004D04AD"/>
    <w:rsid w:val="004D0C2C"/>
    <w:rsid w:val="004D21AC"/>
    <w:rsid w:val="004D2300"/>
    <w:rsid w:val="004D2308"/>
    <w:rsid w:val="004D44AD"/>
    <w:rsid w:val="004D4B88"/>
    <w:rsid w:val="004D4BEB"/>
    <w:rsid w:val="004D4FA1"/>
    <w:rsid w:val="004D5033"/>
    <w:rsid w:val="004D52CD"/>
    <w:rsid w:val="004D5DFA"/>
    <w:rsid w:val="004D6954"/>
    <w:rsid w:val="004D6F5F"/>
    <w:rsid w:val="004D7484"/>
    <w:rsid w:val="004D798F"/>
    <w:rsid w:val="004D79A9"/>
    <w:rsid w:val="004E03B0"/>
    <w:rsid w:val="004E06A0"/>
    <w:rsid w:val="004E11BE"/>
    <w:rsid w:val="004E1932"/>
    <w:rsid w:val="004E1AC1"/>
    <w:rsid w:val="004E1B64"/>
    <w:rsid w:val="004E1CDB"/>
    <w:rsid w:val="004E1D36"/>
    <w:rsid w:val="004E1DF4"/>
    <w:rsid w:val="004E2698"/>
    <w:rsid w:val="004E2A7F"/>
    <w:rsid w:val="004E3069"/>
    <w:rsid w:val="004E31C3"/>
    <w:rsid w:val="004E359D"/>
    <w:rsid w:val="004E3AB4"/>
    <w:rsid w:val="004E3AEA"/>
    <w:rsid w:val="004E3E38"/>
    <w:rsid w:val="004E40CC"/>
    <w:rsid w:val="004E40E5"/>
    <w:rsid w:val="004E45E9"/>
    <w:rsid w:val="004E4CC6"/>
    <w:rsid w:val="004E52F2"/>
    <w:rsid w:val="004E63BA"/>
    <w:rsid w:val="004F07BC"/>
    <w:rsid w:val="004F08D8"/>
    <w:rsid w:val="004F0EB3"/>
    <w:rsid w:val="004F12DB"/>
    <w:rsid w:val="004F13BF"/>
    <w:rsid w:val="004F19D1"/>
    <w:rsid w:val="004F1B7D"/>
    <w:rsid w:val="004F1BAE"/>
    <w:rsid w:val="004F1D71"/>
    <w:rsid w:val="004F3EAC"/>
    <w:rsid w:val="004F425C"/>
    <w:rsid w:val="004F4355"/>
    <w:rsid w:val="004F440D"/>
    <w:rsid w:val="004F4E92"/>
    <w:rsid w:val="004F5492"/>
    <w:rsid w:val="004F5C55"/>
    <w:rsid w:val="004F5D6C"/>
    <w:rsid w:val="004F6B49"/>
    <w:rsid w:val="004F73A8"/>
    <w:rsid w:val="005000AD"/>
    <w:rsid w:val="00500FE5"/>
    <w:rsid w:val="005022B1"/>
    <w:rsid w:val="005023FD"/>
    <w:rsid w:val="005025AA"/>
    <w:rsid w:val="00502CF2"/>
    <w:rsid w:val="00502F3F"/>
    <w:rsid w:val="00503958"/>
    <w:rsid w:val="00503D6D"/>
    <w:rsid w:val="00503D97"/>
    <w:rsid w:val="00503FB0"/>
    <w:rsid w:val="005041D1"/>
    <w:rsid w:val="00504741"/>
    <w:rsid w:val="00505393"/>
    <w:rsid w:val="00505EBD"/>
    <w:rsid w:val="0050626A"/>
    <w:rsid w:val="005105E6"/>
    <w:rsid w:val="00511006"/>
    <w:rsid w:val="0051136A"/>
    <w:rsid w:val="00511771"/>
    <w:rsid w:val="0051205D"/>
    <w:rsid w:val="00512702"/>
    <w:rsid w:val="00512C18"/>
    <w:rsid w:val="00514509"/>
    <w:rsid w:val="00514835"/>
    <w:rsid w:val="00516125"/>
    <w:rsid w:val="00516510"/>
    <w:rsid w:val="00516D7C"/>
    <w:rsid w:val="00516D8B"/>
    <w:rsid w:val="00517A8C"/>
    <w:rsid w:val="00517B88"/>
    <w:rsid w:val="00517EDF"/>
    <w:rsid w:val="00520111"/>
    <w:rsid w:val="005215EB"/>
    <w:rsid w:val="00522043"/>
    <w:rsid w:val="00522674"/>
    <w:rsid w:val="00522BAE"/>
    <w:rsid w:val="00522C84"/>
    <w:rsid w:val="005230F5"/>
    <w:rsid w:val="0052311E"/>
    <w:rsid w:val="005237B8"/>
    <w:rsid w:val="00524328"/>
    <w:rsid w:val="005243E0"/>
    <w:rsid w:val="005246B1"/>
    <w:rsid w:val="00524DC7"/>
    <w:rsid w:val="00524FFA"/>
    <w:rsid w:val="005253C9"/>
    <w:rsid w:val="0052549C"/>
    <w:rsid w:val="005255FC"/>
    <w:rsid w:val="00525670"/>
    <w:rsid w:val="005266AB"/>
    <w:rsid w:val="005275DF"/>
    <w:rsid w:val="00527DF8"/>
    <w:rsid w:val="00527F25"/>
    <w:rsid w:val="00530580"/>
    <w:rsid w:val="005306EB"/>
    <w:rsid w:val="00530850"/>
    <w:rsid w:val="005318B6"/>
    <w:rsid w:val="0053308A"/>
    <w:rsid w:val="00533152"/>
    <w:rsid w:val="005331B6"/>
    <w:rsid w:val="00533C14"/>
    <w:rsid w:val="00533C1D"/>
    <w:rsid w:val="00533E06"/>
    <w:rsid w:val="00533F7A"/>
    <w:rsid w:val="00534C3A"/>
    <w:rsid w:val="00534CF7"/>
    <w:rsid w:val="0053585A"/>
    <w:rsid w:val="00536F1B"/>
    <w:rsid w:val="005374F6"/>
    <w:rsid w:val="005402DD"/>
    <w:rsid w:val="00540714"/>
    <w:rsid w:val="00540C45"/>
    <w:rsid w:val="00540D8B"/>
    <w:rsid w:val="00541055"/>
    <w:rsid w:val="00541252"/>
    <w:rsid w:val="00541D75"/>
    <w:rsid w:val="005421CE"/>
    <w:rsid w:val="00542B61"/>
    <w:rsid w:val="00542D0C"/>
    <w:rsid w:val="0054395C"/>
    <w:rsid w:val="00543F24"/>
    <w:rsid w:val="005454EA"/>
    <w:rsid w:val="005456AD"/>
    <w:rsid w:val="00545787"/>
    <w:rsid w:val="00546268"/>
    <w:rsid w:val="00546953"/>
    <w:rsid w:val="00546B4D"/>
    <w:rsid w:val="00547129"/>
    <w:rsid w:val="0054796D"/>
    <w:rsid w:val="00550578"/>
    <w:rsid w:val="00550591"/>
    <w:rsid w:val="00550DEE"/>
    <w:rsid w:val="0055182B"/>
    <w:rsid w:val="005518A9"/>
    <w:rsid w:val="00551AB9"/>
    <w:rsid w:val="005520B3"/>
    <w:rsid w:val="005522D8"/>
    <w:rsid w:val="00552680"/>
    <w:rsid w:val="005526AF"/>
    <w:rsid w:val="0055291B"/>
    <w:rsid w:val="00552EA2"/>
    <w:rsid w:val="005531FA"/>
    <w:rsid w:val="00556089"/>
    <w:rsid w:val="005562C7"/>
    <w:rsid w:val="00556791"/>
    <w:rsid w:val="005567EF"/>
    <w:rsid w:val="00556818"/>
    <w:rsid w:val="00556CCB"/>
    <w:rsid w:val="005574ED"/>
    <w:rsid w:val="00557EC6"/>
    <w:rsid w:val="005601A6"/>
    <w:rsid w:val="00560A52"/>
    <w:rsid w:val="00561875"/>
    <w:rsid w:val="00561AC6"/>
    <w:rsid w:val="00561D97"/>
    <w:rsid w:val="00561DC6"/>
    <w:rsid w:val="005627F2"/>
    <w:rsid w:val="005628AC"/>
    <w:rsid w:val="00562938"/>
    <w:rsid w:val="00562D45"/>
    <w:rsid w:val="00563A00"/>
    <w:rsid w:val="00563D71"/>
    <w:rsid w:val="005647DE"/>
    <w:rsid w:val="00564DE7"/>
    <w:rsid w:val="005654E8"/>
    <w:rsid w:val="00565811"/>
    <w:rsid w:val="00565A20"/>
    <w:rsid w:val="00565A46"/>
    <w:rsid w:val="00565C0D"/>
    <w:rsid w:val="00565E35"/>
    <w:rsid w:val="00565FB0"/>
    <w:rsid w:val="00566314"/>
    <w:rsid w:val="005664ED"/>
    <w:rsid w:val="00566A86"/>
    <w:rsid w:val="00566FDB"/>
    <w:rsid w:val="00567227"/>
    <w:rsid w:val="00567FF5"/>
    <w:rsid w:val="00570014"/>
    <w:rsid w:val="00570375"/>
    <w:rsid w:val="005706A3"/>
    <w:rsid w:val="00570AD0"/>
    <w:rsid w:val="0057177B"/>
    <w:rsid w:val="0057195A"/>
    <w:rsid w:val="00571B41"/>
    <w:rsid w:val="00571EDC"/>
    <w:rsid w:val="00572160"/>
    <w:rsid w:val="00572F53"/>
    <w:rsid w:val="005731FE"/>
    <w:rsid w:val="00573340"/>
    <w:rsid w:val="005747E1"/>
    <w:rsid w:val="005748D4"/>
    <w:rsid w:val="00574B86"/>
    <w:rsid w:val="00575056"/>
    <w:rsid w:val="005750FD"/>
    <w:rsid w:val="00575C5C"/>
    <w:rsid w:val="005763E8"/>
    <w:rsid w:val="0057667C"/>
    <w:rsid w:val="005766A2"/>
    <w:rsid w:val="005768BC"/>
    <w:rsid w:val="00577B3E"/>
    <w:rsid w:val="00577B4B"/>
    <w:rsid w:val="00577E54"/>
    <w:rsid w:val="00580018"/>
    <w:rsid w:val="00580DAB"/>
    <w:rsid w:val="00580E20"/>
    <w:rsid w:val="00580F9B"/>
    <w:rsid w:val="005810CB"/>
    <w:rsid w:val="005818E3"/>
    <w:rsid w:val="00581BD1"/>
    <w:rsid w:val="00582D7F"/>
    <w:rsid w:val="005830E1"/>
    <w:rsid w:val="005833C8"/>
    <w:rsid w:val="00583838"/>
    <w:rsid w:val="005849DB"/>
    <w:rsid w:val="0058504A"/>
    <w:rsid w:val="00585446"/>
    <w:rsid w:val="00585D72"/>
    <w:rsid w:val="0058764A"/>
    <w:rsid w:val="005877C9"/>
    <w:rsid w:val="00590372"/>
    <w:rsid w:val="0059054D"/>
    <w:rsid w:val="0059062C"/>
    <w:rsid w:val="00590F1F"/>
    <w:rsid w:val="005913F3"/>
    <w:rsid w:val="00591C2D"/>
    <w:rsid w:val="005926A8"/>
    <w:rsid w:val="005929B1"/>
    <w:rsid w:val="00593348"/>
    <w:rsid w:val="00593BE4"/>
    <w:rsid w:val="00593D89"/>
    <w:rsid w:val="00594B6C"/>
    <w:rsid w:val="0059634B"/>
    <w:rsid w:val="005968B2"/>
    <w:rsid w:val="00597CCA"/>
    <w:rsid w:val="005A028D"/>
    <w:rsid w:val="005A03CA"/>
    <w:rsid w:val="005A05F7"/>
    <w:rsid w:val="005A0B62"/>
    <w:rsid w:val="005A1455"/>
    <w:rsid w:val="005A1AA3"/>
    <w:rsid w:val="005A2328"/>
    <w:rsid w:val="005A2744"/>
    <w:rsid w:val="005A2D8D"/>
    <w:rsid w:val="005A3FD4"/>
    <w:rsid w:val="005A4319"/>
    <w:rsid w:val="005A4A1D"/>
    <w:rsid w:val="005A4CF4"/>
    <w:rsid w:val="005A5B9B"/>
    <w:rsid w:val="005A6953"/>
    <w:rsid w:val="005A6A3F"/>
    <w:rsid w:val="005A6A83"/>
    <w:rsid w:val="005A6CA1"/>
    <w:rsid w:val="005A70B5"/>
    <w:rsid w:val="005A75CF"/>
    <w:rsid w:val="005A7746"/>
    <w:rsid w:val="005B013B"/>
    <w:rsid w:val="005B01F7"/>
    <w:rsid w:val="005B1226"/>
    <w:rsid w:val="005B123A"/>
    <w:rsid w:val="005B184F"/>
    <w:rsid w:val="005B1EB2"/>
    <w:rsid w:val="005B261D"/>
    <w:rsid w:val="005B2946"/>
    <w:rsid w:val="005B2B11"/>
    <w:rsid w:val="005B3135"/>
    <w:rsid w:val="005B387C"/>
    <w:rsid w:val="005B3D63"/>
    <w:rsid w:val="005B4D12"/>
    <w:rsid w:val="005B5486"/>
    <w:rsid w:val="005B5B90"/>
    <w:rsid w:val="005B6041"/>
    <w:rsid w:val="005B734A"/>
    <w:rsid w:val="005B7906"/>
    <w:rsid w:val="005C02E8"/>
    <w:rsid w:val="005C0B03"/>
    <w:rsid w:val="005C18C6"/>
    <w:rsid w:val="005C3953"/>
    <w:rsid w:val="005C3C85"/>
    <w:rsid w:val="005C41CC"/>
    <w:rsid w:val="005C4E68"/>
    <w:rsid w:val="005C58EC"/>
    <w:rsid w:val="005C5973"/>
    <w:rsid w:val="005C5C2B"/>
    <w:rsid w:val="005C60A7"/>
    <w:rsid w:val="005C6394"/>
    <w:rsid w:val="005C697C"/>
    <w:rsid w:val="005C6AF0"/>
    <w:rsid w:val="005C7591"/>
    <w:rsid w:val="005C77B0"/>
    <w:rsid w:val="005C7D7E"/>
    <w:rsid w:val="005C7FDA"/>
    <w:rsid w:val="005D09C7"/>
    <w:rsid w:val="005D0EA8"/>
    <w:rsid w:val="005D1044"/>
    <w:rsid w:val="005D1D07"/>
    <w:rsid w:val="005D2640"/>
    <w:rsid w:val="005D3B00"/>
    <w:rsid w:val="005D3EC5"/>
    <w:rsid w:val="005D4805"/>
    <w:rsid w:val="005D482E"/>
    <w:rsid w:val="005D48C3"/>
    <w:rsid w:val="005D495A"/>
    <w:rsid w:val="005D4DE6"/>
    <w:rsid w:val="005D5850"/>
    <w:rsid w:val="005D64AB"/>
    <w:rsid w:val="005D6567"/>
    <w:rsid w:val="005D6BB4"/>
    <w:rsid w:val="005E01A0"/>
    <w:rsid w:val="005E044E"/>
    <w:rsid w:val="005E0D33"/>
    <w:rsid w:val="005E0FC9"/>
    <w:rsid w:val="005E2056"/>
    <w:rsid w:val="005E265D"/>
    <w:rsid w:val="005E2ED1"/>
    <w:rsid w:val="005E2FC7"/>
    <w:rsid w:val="005E4436"/>
    <w:rsid w:val="005E58A4"/>
    <w:rsid w:val="005E6084"/>
    <w:rsid w:val="005E608A"/>
    <w:rsid w:val="005E70EE"/>
    <w:rsid w:val="005F0373"/>
    <w:rsid w:val="005F07C8"/>
    <w:rsid w:val="005F19E6"/>
    <w:rsid w:val="005F1D2D"/>
    <w:rsid w:val="005F2037"/>
    <w:rsid w:val="005F2DFC"/>
    <w:rsid w:val="005F2EE0"/>
    <w:rsid w:val="005F3516"/>
    <w:rsid w:val="005F402C"/>
    <w:rsid w:val="005F40AA"/>
    <w:rsid w:val="005F48E4"/>
    <w:rsid w:val="005F5E99"/>
    <w:rsid w:val="005F6025"/>
    <w:rsid w:val="005F6421"/>
    <w:rsid w:val="005F6AC3"/>
    <w:rsid w:val="005F6B63"/>
    <w:rsid w:val="005F70A9"/>
    <w:rsid w:val="005F71A1"/>
    <w:rsid w:val="005F73FB"/>
    <w:rsid w:val="005F782D"/>
    <w:rsid w:val="005F795C"/>
    <w:rsid w:val="005F7CDF"/>
    <w:rsid w:val="00600942"/>
    <w:rsid w:val="00601A6A"/>
    <w:rsid w:val="00601E0E"/>
    <w:rsid w:val="0060208B"/>
    <w:rsid w:val="006021C4"/>
    <w:rsid w:val="00602C0A"/>
    <w:rsid w:val="00603134"/>
    <w:rsid w:val="0060329A"/>
    <w:rsid w:val="0060394F"/>
    <w:rsid w:val="00604372"/>
    <w:rsid w:val="00604FA4"/>
    <w:rsid w:val="00604FC4"/>
    <w:rsid w:val="00605139"/>
    <w:rsid w:val="00605605"/>
    <w:rsid w:val="00605990"/>
    <w:rsid w:val="00605A94"/>
    <w:rsid w:val="00605EF7"/>
    <w:rsid w:val="00605F17"/>
    <w:rsid w:val="00607343"/>
    <w:rsid w:val="006077E1"/>
    <w:rsid w:val="00610326"/>
    <w:rsid w:val="00610D9F"/>
    <w:rsid w:val="0061173A"/>
    <w:rsid w:val="0061191D"/>
    <w:rsid w:val="00611EF4"/>
    <w:rsid w:val="006121A6"/>
    <w:rsid w:val="00613928"/>
    <w:rsid w:val="00613E6A"/>
    <w:rsid w:val="006140FD"/>
    <w:rsid w:val="0061414A"/>
    <w:rsid w:val="0061417B"/>
    <w:rsid w:val="0061535D"/>
    <w:rsid w:val="00616551"/>
    <w:rsid w:val="00616E42"/>
    <w:rsid w:val="00616FDC"/>
    <w:rsid w:val="006178B9"/>
    <w:rsid w:val="00617A5E"/>
    <w:rsid w:val="00617DEC"/>
    <w:rsid w:val="00620AFE"/>
    <w:rsid w:val="00620C27"/>
    <w:rsid w:val="00621E45"/>
    <w:rsid w:val="00622258"/>
    <w:rsid w:val="00622434"/>
    <w:rsid w:val="00622C70"/>
    <w:rsid w:val="00622DAF"/>
    <w:rsid w:val="00622E11"/>
    <w:rsid w:val="00623275"/>
    <w:rsid w:val="006235C9"/>
    <w:rsid w:val="00623665"/>
    <w:rsid w:val="00623741"/>
    <w:rsid w:val="00623BA6"/>
    <w:rsid w:val="00623CB2"/>
    <w:rsid w:val="006240CB"/>
    <w:rsid w:val="00624B9C"/>
    <w:rsid w:val="00624F05"/>
    <w:rsid w:val="006252C2"/>
    <w:rsid w:val="0062636A"/>
    <w:rsid w:val="00626921"/>
    <w:rsid w:val="00626EBB"/>
    <w:rsid w:val="00626ECC"/>
    <w:rsid w:val="00627855"/>
    <w:rsid w:val="006311E0"/>
    <w:rsid w:val="006314AE"/>
    <w:rsid w:val="00631C4F"/>
    <w:rsid w:val="0063214E"/>
    <w:rsid w:val="00632253"/>
    <w:rsid w:val="006322B3"/>
    <w:rsid w:val="00632D87"/>
    <w:rsid w:val="00632E92"/>
    <w:rsid w:val="00633B60"/>
    <w:rsid w:val="00633B87"/>
    <w:rsid w:val="00633CFA"/>
    <w:rsid w:val="00634233"/>
    <w:rsid w:val="0063433E"/>
    <w:rsid w:val="00634546"/>
    <w:rsid w:val="006345AC"/>
    <w:rsid w:val="00634649"/>
    <w:rsid w:val="006347F1"/>
    <w:rsid w:val="006350F1"/>
    <w:rsid w:val="0063521C"/>
    <w:rsid w:val="00635B36"/>
    <w:rsid w:val="00635FA4"/>
    <w:rsid w:val="006363D5"/>
    <w:rsid w:val="00636BFF"/>
    <w:rsid w:val="00636CAD"/>
    <w:rsid w:val="00636D69"/>
    <w:rsid w:val="00637144"/>
    <w:rsid w:val="006376DF"/>
    <w:rsid w:val="00637C45"/>
    <w:rsid w:val="00640616"/>
    <w:rsid w:val="006406A4"/>
    <w:rsid w:val="00640833"/>
    <w:rsid w:val="006416F7"/>
    <w:rsid w:val="00641A2A"/>
    <w:rsid w:val="00641F04"/>
    <w:rsid w:val="00641F52"/>
    <w:rsid w:val="0064245C"/>
    <w:rsid w:val="00642535"/>
    <w:rsid w:val="00642C88"/>
    <w:rsid w:val="00644A2B"/>
    <w:rsid w:val="006453EA"/>
    <w:rsid w:val="00645440"/>
    <w:rsid w:val="00645C73"/>
    <w:rsid w:val="0064618B"/>
    <w:rsid w:val="006461F1"/>
    <w:rsid w:val="0064674D"/>
    <w:rsid w:val="00646AB7"/>
    <w:rsid w:val="0065014C"/>
    <w:rsid w:val="006507C6"/>
    <w:rsid w:val="00650E45"/>
    <w:rsid w:val="0065129A"/>
    <w:rsid w:val="0065184B"/>
    <w:rsid w:val="00651905"/>
    <w:rsid w:val="00652206"/>
    <w:rsid w:val="0065299F"/>
    <w:rsid w:val="00652B79"/>
    <w:rsid w:val="00652BA3"/>
    <w:rsid w:val="00653710"/>
    <w:rsid w:val="0065459D"/>
    <w:rsid w:val="00654E02"/>
    <w:rsid w:val="00655010"/>
    <w:rsid w:val="00655143"/>
    <w:rsid w:val="006555B0"/>
    <w:rsid w:val="006558E2"/>
    <w:rsid w:val="0065592B"/>
    <w:rsid w:val="006559D2"/>
    <w:rsid w:val="006559FD"/>
    <w:rsid w:val="00655CCD"/>
    <w:rsid w:val="00656451"/>
    <w:rsid w:val="00656AD9"/>
    <w:rsid w:val="00656AEE"/>
    <w:rsid w:val="00660363"/>
    <w:rsid w:val="006615E6"/>
    <w:rsid w:val="00661C86"/>
    <w:rsid w:val="00663E43"/>
    <w:rsid w:val="00664228"/>
    <w:rsid w:val="006642CD"/>
    <w:rsid w:val="0066435C"/>
    <w:rsid w:val="00664418"/>
    <w:rsid w:val="00664603"/>
    <w:rsid w:val="00664B93"/>
    <w:rsid w:val="00664E16"/>
    <w:rsid w:val="0066589A"/>
    <w:rsid w:val="00665D8E"/>
    <w:rsid w:val="0066644A"/>
    <w:rsid w:val="00666848"/>
    <w:rsid w:val="00667269"/>
    <w:rsid w:val="00667F8F"/>
    <w:rsid w:val="0067081B"/>
    <w:rsid w:val="0067100E"/>
    <w:rsid w:val="006712B8"/>
    <w:rsid w:val="0067137F"/>
    <w:rsid w:val="00671648"/>
    <w:rsid w:val="0067176F"/>
    <w:rsid w:val="0067283C"/>
    <w:rsid w:val="00672A63"/>
    <w:rsid w:val="00673F25"/>
    <w:rsid w:val="00675B7F"/>
    <w:rsid w:val="00675C43"/>
    <w:rsid w:val="00675F60"/>
    <w:rsid w:val="0067667B"/>
    <w:rsid w:val="00676C0B"/>
    <w:rsid w:val="00677230"/>
    <w:rsid w:val="006776B2"/>
    <w:rsid w:val="00681524"/>
    <w:rsid w:val="00681A79"/>
    <w:rsid w:val="00681DE1"/>
    <w:rsid w:val="00682633"/>
    <w:rsid w:val="006826BB"/>
    <w:rsid w:val="00682773"/>
    <w:rsid w:val="00682855"/>
    <w:rsid w:val="00682A65"/>
    <w:rsid w:val="006834ED"/>
    <w:rsid w:val="00683658"/>
    <w:rsid w:val="0068482F"/>
    <w:rsid w:val="00684E5A"/>
    <w:rsid w:val="006857D0"/>
    <w:rsid w:val="006861FB"/>
    <w:rsid w:val="006872F9"/>
    <w:rsid w:val="00687D6D"/>
    <w:rsid w:val="00687F43"/>
    <w:rsid w:val="0069048E"/>
    <w:rsid w:val="0069099C"/>
    <w:rsid w:val="00691432"/>
    <w:rsid w:val="00691944"/>
    <w:rsid w:val="00691A10"/>
    <w:rsid w:val="00691ACB"/>
    <w:rsid w:val="00692203"/>
    <w:rsid w:val="0069250D"/>
    <w:rsid w:val="00692A7B"/>
    <w:rsid w:val="00692E7C"/>
    <w:rsid w:val="00693765"/>
    <w:rsid w:val="00693E50"/>
    <w:rsid w:val="006942E9"/>
    <w:rsid w:val="006942EC"/>
    <w:rsid w:val="00694DB3"/>
    <w:rsid w:val="006952EF"/>
    <w:rsid w:val="0069572E"/>
    <w:rsid w:val="006960FF"/>
    <w:rsid w:val="0069631F"/>
    <w:rsid w:val="00696BC1"/>
    <w:rsid w:val="00696C20"/>
    <w:rsid w:val="00696E64"/>
    <w:rsid w:val="0069714B"/>
    <w:rsid w:val="00697CF8"/>
    <w:rsid w:val="00697DCD"/>
    <w:rsid w:val="006A06F1"/>
    <w:rsid w:val="006A0B80"/>
    <w:rsid w:val="006A0CCE"/>
    <w:rsid w:val="006A0E12"/>
    <w:rsid w:val="006A2881"/>
    <w:rsid w:val="006A2EFF"/>
    <w:rsid w:val="006A3B9B"/>
    <w:rsid w:val="006A4428"/>
    <w:rsid w:val="006A44B6"/>
    <w:rsid w:val="006A47B9"/>
    <w:rsid w:val="006A4906"/>
    <w:rsid w:val="006A4AB2"/>
    <w:rsid w:val="006A562C"/>
    <w:rsid w:val="006A5D76"/>
    <w:rsid w:val="006A5DD7"/>
    <w:rsid w:val="006A69B7"/>
    <w:rsid w:val="006A7AFE"/>
    <w:rsid w:val="006B004D"/>
    <w:rsid w:val="006B0E9E"/>
    <w:rsid w:val="006B0F2B"/>
    <w:rsid w:val="006B1901"/>
    <w:rsid w:val="006B1902"/>
    <w:rsid w:val="006B2175"/>
    <w:rsid w:val="006B2462"/>
    <w:rsid w:val="006B27AE"/>
    <w:rsid w:val="006B2AAC"/>
    <w:rsid w:val="006B2B88"/>
    <w:rsid w:val="006B2D63"/>
    <w:rsid w:val="006B333F"/>
    <w:rsid w:val="006B39A2"/>
    <w:rsid w:val="006B47F6"/>
    <w:rsid w:val="006B4E1B"/>
    <w:rsid w:val="006B506E"/>
    <w:rsid w:val="006B5101"/>
    <w:rsid w:val="006B55D5"/>
    <w:rsid w:val="006B5895"/>
    <w:rsid w:val="006B5EF9"/>
    <w:rsid w:val="006B6059"/>
    <w:rsid w:val="006B69F5"/>
    <w:rsid w:val="006B6C19"/>
    <w:rsid w:val="006B6CC8"/>
    <w:rsid w:val="006B6DCE"/>
    <w:rsid w:val="006B77CA"/>
    <w:rsid w:val="006B7B04"/>
    <w:rsid w:val="006C03DC"/>
    <w:rsid w:val="006C05A3"/>
    <w:rsid w:val="006C0A4F"/>
    <w:rsid w:val="006C0FF0"/>
    <w:rsid w:val="006C12DE"/>
    <w:rsid w:val="006C132C"/>
    <w:rsid w:val="006C2CB3"/>
    <w:rsid w:val="006C2E3F"/>
    <w:rsid w:val="006C30F6"/>
    <w:rsid w:val="006C3DDD"/>
    <w:rsid w:val="006C417F"/>
    <w:rsid w:val="006C431E"/>
    <w:rsid w:val="006C47AD"/>
    <w:rsid w:val="006C47BB"/>
    <w:rsid w:val="006C4EB1"/>
    <w:rsid w:val="006C5156"/>
    <w:rsid w:val="006C5362"/>
    <w:rsid w:val="006C58B8"/>
    <w:rsid w:val="006C58FC"/>
    <w:rsid w:val="006C59C8"/>
    <w:rsid w:val="006C5DD7"/>
    <w:rsid w:val="006C6481"/>
    <w:rsid w:val="006C659E"/>
    <w:rsid w:val="006C6802"/>
    <w:rsid w:val="006C6DCC"/>
    <w:rsid w:val="006C701D"/>
    <w:rsid w:val="006C735F"/>
    <w:rsid w:val="006C74DC"/>
    <w:rsid w:val="006C7A5E"/>
    <w:rsid w:val="006D0388"/>
    <w:rsid w:val="006D0944"/>
    <w:rsid w:val="006D0957"/>
    <w:rsid w:val="006D0B87"/>
    <w:rsid w:val="006D0D5D"/>
    <w:rsid w:val="006D1C16"/>
    <w:rsid w:val="006D1E45"/>
    <w:rsid w:val="006D2122"/>
    <w:rsid w:val="006D24EB"/>
    <w:rsid w:val="006D2E1A"/>
    <w:rsid w:val="006D2F8A"/>
    <w:rsid w:val="006D339B"/>
    <w:rsid w:val="006D34EB"/>
    <w:rsid w:val="006D37A8"/>
    <w:rsid w:val="006D3824"/>
    <w:rsid w:val="006D395C"/>
    <w:rsid w:val="006D39B5"/>
    <w:rsid w:val="006D3F4B"/>
    <w:rsid w:val="006D3F7C"/>
    <w:rsid w:val="006D5071"/>
    <w:rsid w:val="006D56C3"/>
    <w:rsid w:val="006D6CDF"/>
    <w:rsid w:val="006D6FAA"/>
    <w:rsid w:val="006D6FF9"/>
    <w:rsid w:val="006D7F31"/>
    <w:rsid w:val="006D7F9D"/>
    <w:rsid w:val="006E0DB6"/>
    <w:rsid w:val="006E0F47"/>
    <w:rsid w:val="006E12DB"/>
    <w:rsid w:val="006E15ED"/>
    <w:rsid w:val="006E2370"/>
    <w:rsid w:val="006E3017"/>
    <w:rsid w:val="006E3383"/>
    <w:rsid w:val="006E34F5"/>
    <w:rsid w:val="006E427D"/>
    <w:rsid w:val="006E517D"/>
    <w:rsid w:val="006E5222"/>
    <w:rsid w:val="006E581C"/>
    <w:rsid w:val="006E5EC2"/>
    <w:rsid w:val="006E64BA"/>
    <w:rsid w:val="006E6D9A"/>
    <w:rsid w:val="006E7C92"/>
    <w:rsid w:val="006F028B"/>
    <w:rsid w:val="006F1934"/>
    <w:rsid w:val="006F2030"/>
    <w:rsid w:val="006F2D15"/>
    <w:rsid w:val="006F2D96"/>
    <w:rsid w:val="006F3742"/>
    <w:rsid w:val="006F383E"/>
    <w:rsid w:val="006F3D9B"/>
    <w:rsid w:val="006F3F14"/>
    <w:rsid w:val="006F42AD"/>
    <w:rsid w:val="006F4571"/>
    <w:rsid w:val="006F49CD"/>
    <w:rsid w:val="006F4D43"/>
    <w:rsid w:val="006F50B4"/>
    <w:rsid w:val="006F57A4"/>
    <w:rsid w:val="0070005D"/>
    <w:rsid w:val="00700413"/>
    <w:rsid w:val="00700BD8"/>
    <w:rsid w:val="00700D9F"/>
    <w:rsid w:val="00701159"/>
    <w:rsid w:val="007016FA"/>
    <w:rsid w:val="0070224B"/>
    <w:rsid w:val="007023FC"/>
    <w:rsid w:val="00702D1D"/>
    <w:rsid w:val="00703599"/>
    <w:rsid w:val="00703B23"/>
    <w:rsid w:val="0070472D"/>
    <w:rsid w:val="00706C03"/>
    <w:rsid w:val="00706EA7"/>
    <w:rsid w:val="007070D6"/>
    <w:rsid w:val="0070716A"/>
    <w:rsid w:val="007103F8"/>
    <w:rsid w:val="007105BE"/>
    <w:rsid w:val="00710AEB"/>
    <w:rsid w:val="00710DB2"/>
    <w:rsid w:val="00710E2B"/>
    <w:rsid w:val="00711AA8"/>
    <w:rsid w:val="007123E0"/>
    <w:rsid w:val="00712F2C"/>
    <w:rsid w:val="00714056"/>
    <w:rsid w:val="00714175"/>
    <w:rsid w:val="0071429A"/>
    <w:rsid w:val="00714C14"/>
    <w:rsid w:val="00715DCB"/>
    <w:rsid w:val="00716C91"/>
    <w:rsid w:val="00716E11"/>
    <w:rsid w:val="00717C76"/>
    <w:rsid w:val="00720869"/>
    <w:rsid w:val="00720BB0"/>
    <w:rsid w:val="00720F60"/>
    <w:rsid w:val="00721884"/>
    <w:rsid w:val="00721D3F"/>
    <w:rsid w:val="007220E2"/>
    <w:rsid w:val="007226BD"/>
    <w:rsid w:val="00722BA5"/>
    <w:rsid w:val="00722E66"/>
    <w:rsid w:val="00722F39"/>
    <w:rsid w:val="00723271"/>
    <w:rsid w:val="0072349B"/>
    <w:rsid w:val="00724A6D"/>
    <w:rsid w:val="007252DE"/>
    <w:rsid w:val="00725416"/>
    <w:rsid w:val="00725962"/>
    <w:rsid w:val="007266A7"/>
    <w:rsid w:val="00726861"/>
    <w:rsid w:val="00726A1B"/>
    <w:rsid w:val="00726A53"/>
    <w:rsid w:val="00726EB0"/>
    <w:rsid w:val="00730B1C"/>
    <w:rsid w:val="00730E28"/>
    <w:rsid w:val="00730EEF"/>
    <w:rsid w:val="00732D6B"/>
    <w:rsid w:val="00733221"/>
    <w:rsid w:val="007335A0"/>
    <w:rsid w:val="0073390D"/>
    <w:rsid w:val="007339C6"/>
    <w:rsid w:val="00733C9D"/>
    <w:rsid w:val="00733F28"/>
    <w:rsid w:val="007345DF"/>
    <w:rsid w:val="00734C3B"/>
    <w:rsid w:val="0073506D"/>
    <w:rsid w:val="007365D0"/>
    <w:rsid w:val="00736B16"/>
    <w:rsid w:val="00737259"/>
    <w:rsid w:val="00737480"/>
    <w:rsid w:val="00740C9B"/>
    <w:rsid w:val="00741B97"/>
    <w:rsid w:val="00741D3C"/>
    <w:rsid w:val="0074407C"/>
    <w:rsid w:val="00744240"/>
    <w:rsid w:val="00744AFB"/>
    <w:rsid w:val="00744D57"/>
    <w:rsid w:val="00747175"/>
    <w:rsid w:val="0074756E"/>
    <w:rsid w:val="00747BE0"/>
    <w:rsid w:val="00747E8A"/>
    <w:rsid w:val="0075061C"/>
    <w:rsid w:val="007506FB"/>
    <w:rsid w:val="00750C9F"/>
    <w:rsid w:val="00750F66"/>
    <w:rsid w:val="00752396"/>
    <w:rsid w:val="007529D6"/>
    <w:rsid w:val="00752FE8"/>
    <w:rsid w:val="007530FF"/>
    <w:rsid w:val="00753188"/>
    <w:rsid w:val="00753486"/>
    <w:rsid w:val="00753D5A"/>
    <w:rsid w:val="00753E17"/>
    <w:rsid w:val="007543BA"/>
    <w:rsid w:val="007547AB"/>
    <w:rsid w:val="00754A75"/>
    <w:rsid w:val="00754B28"/>
    <w:rsid w:val="007555C7"/>
    <w:rsid w:val="00755AC0"/>
    <w:rsid w:val="00755CD4"/>
    <w:rsid w:val="00755EFA"/>
    <w:rsid w:val="007563B1"/>
    <w:rsid w:val="007567C7"/>
    <w:rsid w:val="0075730C"/>
    <w:rsid w:val="00757B9C"/>
    <w:rsid w:val="007610BF"/>
    <w:rsid w:val="00761769"/>
    <w:rsid w:val="007617A9"/>
    <w:rsid w:val="00761A28"/>
    <w:rsid w:val="00761E9F"/>
    <w:rsid w:val="00761F8C"/>
    <w:rsid w:val="0076233F"/>
    <w:rsid w:val="00763C7C"/>
    <w:rsid w:val="00764945"/>
    <w:rsid w:val="007649CE"/>
    <w:rsid w:val="00764B17"/>
    <w:rsid w:val="00764B79"/>
    <w:rsid w:val="00765665"/>
    <w:rsid w:val="007656EF"/>
    <w:rsid w:val="00765940"/>
    <w:rsid w:val="007661C9"/>
    <w:rsid w:val="0076625E"/>
    <w:rsid w:val="00766889"/>
    <w:rsid w:val="00766FF4"/>
    <w:rsid w:val="00767A4F"/>
    <w:rsid w:val="00767ABD"/>
    <w:rsid w:val="00767C67"/>
    <w:rsid w:val="00770901"/>
    <w:rsid w:val="00771DB6"/>
    <w:rsid w:val="0077233C"/>
    <w:rsid w:val="00772B77"/>
    <w:rsid w:val="00774961"/>
    <w:rsid w:val="00774F78"/>
    <w:rsid w:val="0077554F"/>
    <w:rsid w:val="00775CC6"/>
    <w:rsid w:val="00776372"/>
    <w:rsid w:val="00777AE6"/>
    <w:rsid w:val="00777B05"/>
    <w:rsid w:val="00780379"/>
    <w:rsid w:val="00780BE8"/>
    <w:rsid w:val="00780F4C"/>
    <w:rsid w:val="00781094"/>
    <w:rsid w:val="00781984"/>
    <w:rsid w:val="00781D16"/>
    <w:rsid w:val="007822C6"/>
    <w:rsid w:val="00782703"/>
    <w:rsid w:val="007827BB"/>
    <w:rsid w:val="007829BC"/>
    <w:rsid w:val="00782A7C"/>
    <w:rsid w:val="00782DF6"/>
    <w:rsid w:val="007834E6"/>
    <w:rsid w:val="007839BE"/>
    <w:rsid w:val="007839F6"/>
    <w:rsid w:val="00783DFB"/>
    <w:rsid w:val="00784856"/>
    <w:rsid w:val="00785058"/>
    <w:rsid w:val="007853A7"/>
    <w:rsid w:val="00785679"/>
    <w:rsid w:val="00786381"/>
    <w:rsid w:val="007866BB"/>
    <w:rsid w:val="00786E55"/>
    <w:rsid w:val="0078739E"/>
    <w:rsid w:val="00787E2A"/>
    <w:rsid w:val="00791553"/>
    <w:rsid w:val="00791F34"/>
    <w:rsid w:val="007921B7"/>
    <w:rsid w:val="00792449"/>
    <w:rsid w:val="00792480"/>
    <w:rsid w:val="007931B1"/>
    <w:rsid w:val="007933D2"/>
    <w:rsid w:val="00793ECE"/>
    <w:rsid w:val="00793FEB"/>
    <w:rsid w:val="0079509F"/>
    <w:rsid w:val="0079511B"/>
    <w:rsid w:val="00795122"/>
    <w:rsid w:val="007952CB"/>
    <w:rsid w:val="00795A35"/>
    <w:rsid w:val="00795BBC"/>
    <w:rsid w:val="00796116"/>
    <w:rsid w:val="007964A1"/>
    <w:rsid w:val="00796642"/>
    <w:rsid w:val="00796A17"/>
    <w:rsid w:val="00796E27"/>
    <w:rsid w:val="00796EA5"/>
    <w:rsid w:val="00797AAD"/>
    <w:rsid w:val="00797F53"/>
    <w:rsid w:val="007A0347"/>
    <w:rsid w:val="007A0661"/>
    <w:rsid w:val="007A0EEF"/>
    <w:rsid w:val="007A14B3"/>
    <w:rsid w:val="007A1658"/>
    <w:rsid w:val="007A1C14"/>
    <w:rsid w:val="007A1EC8"/>
    <w:rsid w:val="007A248E"/>
    <w:rsid w:val="007A28FC"/>
    <w:rsid w:val="007A2A2B"/>
    <w:rsid w:val="007A40B6"/>
    <w:rsid w:val="007A40CD"/>
    <w:rsid w:val="007A41A8"/>
    <w:rsid w:val="007A5873"/>
    <w:rsid w:val="007A7346"/>
    <w:rsid w:val="007B058D"/>
    <w:rsid w:val="007B127F"/>
    <w:rsid w:val="007B187A"/>
    <w:rsid w:val="007B228E"/>
    <w:rsid w:val="007B288D"/>
    <w:rsid w:val="007B2CBF"/>
    <w:rsid w:val="007B3B3B"/>
    <w:rsid w:val="007B4508"/>
    <w:rsid w:val="007B477D"/>
    <w:rsid w:val="007B4805"/>
    <w:rsid w:val="007B4B95"/>
    <w:rsid w:val="007B5266"/>
    <w:rsid w:val="007B5C5E"/>
    <w:rsid w:val="007B640A"/>
    <w:rsid w:val="007B6C36"/>
    <w:rsid w:val="007B6FF7"/>
    <w:rsid w:val="007B79E3"/>
    <w:rsid w:val="007C0476"/>
    <w:rsid w:val="007C07C5"/>
    <w:rsid w:val="007C07E8"/>
    <w:rsid w:val="007C1C3E"/>
    <w:rsid w:val="007C1EAA"/>
    <w:rsid w:val="007C1F29"/>
    <w:rsid w:val="007C2997"/>
    <w:rsid w:val="007C2F7D"/>
    <w:rsid w:val="007C30B4"/>
    <w:rsid w:val="007C384E"/>
    <w:rsid w:val="007C3D75"/>
    <w:rsid w:val="007C415F"/>
    <w:rsid w:val="007C42C6"/>
    <w:rsid w:val="007C5333"/>
    <w:rsid w:val="007C53F9"/>
    <w:rsid w:val="007C57A6"/>
    <w:rsid w:val="007C5962"/>
    <w:rsid w:val="007C5B13"/>
    <w:rsid w:val="007C5E6E"/>
    <w:rsid w:val="007C66B9"/>
    <w:rsid w:val="007C67CA"/>
    <w:rsid w:val="007C6933"/>
    <w:rsid w:val="007C6C12"/>
    <w:rsid w:val="007C6E3B"/>
    <w:rsid w:val="007C7404"/>
    <w:rsid w:val="007C7787"/>
    <w:rsid w:val="007D040E"/>
    <w:rsid w:val="007D067A"/>
    <w:rsid w:val="007D07FF"/>
    <w:rsid w:val="007D1090"/>
    <w:rsid w:val="007D2BAF"/>
    <w:rsid w:val="007D2E02"/>
    <w:rsid w:val="007D315C"/>
    <w:rsid w:val="007D3322"/>
    <w:rsid w:val="007D3FFF"/>
    <w:rsid w:val="007D4599"/>
    <w:rsid w:val="007D53F7"/>
    <w:rsid w:val="007D583C"/>
    <w:rsid w:val="007D5BD6"/>
    <w:rsid w:val="007D6511"/>
    <w:rsid w:val="007D7243"/>
    <w:rsid w:val="007D72C2"/>
    <w:rsid w:val="007D778B"/>
    <w:rsid w:val="007D7B37"/>
    <w:rsid w:val="007D7C9C"/>
    <w:rsid w:val="007D7E4A"/>
    <w:rsid w:val="007E089C"/>
    <w:rsid w:val="007E0C87"/>
    <w:rsid w:val="007E2131"/>
    <w:rsid w:val="007E2241"/>
    <w:rsid w:val="007E246B"/>
    <w:rsid w:val="007E2854"/>
    <w:rsid w:val="007E2CBD"/>
    <w:rsid w:val="007E2CF0"/>
    <w:rsid w:val="007E330C"/>
    <w:rsid w:val="007E355A"/>
    <w:rsid w:val="007E36D9"/>
    <w:rsid w:val="007E3B17"/>
    <w:rsid w:val="007E3BD2"/>
    <w:rsid w:val="007E430D"/>
    <w:rsid w:val="007E46D5"/>
    <w:rsid w:val="007E47FE"/>
    <w:rsid w:val="007E4B24"/>
    <w:rsid w:val="007E5248"/>
    <w:rsid w:val="007E529A"/>
    <w:rsid w:val="007E5322"/>
    <w:rsid w:val="007E56E3"/>
    <w:rsid w:val="007E7DFB"/>
    <w:rsid w:val="007F018D"/>
    <w:rsid w:val="007F092A"/>
    <w:rsid w:val="007F136E"/>
    <w:rsid w:val="007F16AB"/>
    <w:rsid w:val="007F174C"/>
    <w:rsid w:val="007F19FF"/>
    <w:rsid w:val="007F1D68"/>
    <w:rsid w:val="007F1FBE"/>
    <w:rsid w:val="007F2421"/>
    <w:rsid w:val="007F287A"/>
    <w:rsid w:val="007F2AB5"/>
    <w:rsid w:val="007F38C3"/>
    <w:rsid w:val="007F3989"/>
    <w:rsid w:val="007F4049"/>
    <w:rsid w:val="007F4146"/>
    <w:rsid w:val="007F5134"/>
    <w:rsid w:val="007F57B2"/>
    <w:rsid w:val="007F58FD"/>
    <w:rsid w:val="007F5F0E"/>
    <w:rsid w:val="007F6142"/>
    <w:rsid w:val="007F6150"/>
    <w:rsid w:val="007F6F76"/>
    <w:rsid w:val="007F7A15"/>
    <w:rsid w:val="008001C4"/>
    <w:rsid w:val="008004AD"/>
    <w:rsid w:val="0080062D"/>
    <w:rsid w:val="00801749"/>
    <w:rsid w:val="00801EAC"/>
    <w:rsid w:val="00801F3E"/>
    <w:rsid w:val="008038F8"/>
    <w:rsid w:val="00805295"/>
    <w:rsid w:val="00805E21"/>
    <w:rsid w:val="00805E25"/>
    <w:rsid w:val="00805FFC"/>
    <w:rsid w:val="008062E6"/>
    <w:rsid w:val="008068DB"/>
    <w:rsid w:val="00806FEE"/>
    <w:rsid w:val="008070D2"/>
    <w:rsid w:val="0080753A"/>
    <w:rsid w:val="00807AC2"/>
    <w:rsid w:val="00807B55"/>
    <w:rsid w:val="00807D4D"/>
    <w:rsid w:val="00807E15"/>
    <w:rsid w:val="00810604"/>
    <w:rsid w:val="008116E9"/>
    <w:rsid w:val="00811BCF"/>
    <w:rsid w:val="008120C6"/>
    <w:rsid w:val="00812824"/>
    <w:rsid w:val="00812839"/>
    <w:rsid w:val="008129D0"/>
    <w:rsid w:val="00812DEE"/>
    <w:rsid w:val="008131D6"/>
    <w:rsid w:val="00813B25"/>
    <w:rsid w:val="00814281"/>
    <w:rsid w:val="00814480"/>
    <w:rsid w:val="00814918"/>
    <w:rsid w:val="0081505B"/>
    <w:rsid w:val="008150E3"/>
    <w:rsid w:val="008158F0"/>
    <w:rsid w:val="00815DC4"/>
    <w:rsid w:val="00815E1E"/>
    <w:rsid w:val="00815FDA"/>
    <w:rsid w:val="008167A8"/>
    <w:rsid w:val="00816A4A"/>
    <w:rsid w:val="00816E3F"/>
    <w:rsid w:val="00817416"/>
    <w:rsid w:val="00817AA6"/>
    <w:rsid w:val="008211B6"/>
    <w:rsid w:val="0082188B"/>
    <w:rsid w:val="00822CB5"/>
    <w:rsid w:val="00823681"/>
    <w:rsid w:val="0082373D"/>
    <w:rsid w:val="00823982"/>
    <w:rsid w:val="00823A70"/>
    <w:rsid w:val="00824E8F"/>
    <w:rsid w:val="008254A6"/>
    <w:rsid w:val="0082599E"/>
    <w:rsid w:val="00825A86"/>
    <w:rsid w:val="00826A06"/>
    <w:rsid w:val="00826A71"/>
    <w:rsid w:val="00826BB5"/>
    <w:rsid w:val="0082742D"/>
    <w:rsid w:val="00827549"/>
    <w:rsid w:val="0082767C"/>
    <w:rsid w:val="00827A5B"/>
    <w:rsid w:val="00827F03"/>
    <w:rsid w:val="00830506"/>
    <w:rsid w:val="00830606"/>
    <w:rsid w:val="00831798"/>
    <w:rsid w:val="00831A4B"/>
    <w:rsid w:val="00831BF3"/>
    <w:rsid w:val="00832180"/>
    <w:rsid w:val="00832563"/>
    <w:rsid w:val="00832BED"/>
    <w:rsid w:val="00833113"/>
    <w:rsid w:val="0083366D"/>
    <w:rsid w:val="00833E3F"/>
    <w:rsid w:val="00834967"/>
    <w:rsid w:val="008367A0"/>
    <w:rsid w:val="00837158"/>
    <w:rsid w:val="008374AB"/>
    <w:rsid w:val="00837542"/>
    <w:rsid w:val="00840597"/>
    <w:rsid w:val="0084059E"/>
    <w:rsid w:val="008405C9"/>
    <w:rsid w:val="00841692"/>
    <w:rsid w:val="00841762"/>
    <w:rsid w:val="00841E24"/>
    <w:rsid w:val="008431BA"/>
    <w:rsid w:val="00843218"/>
    <w:rsid w:val="008435CD"/>
    <w:rsid w:val="008439DF"/>
    <w:rsid w:val="00843D25"/>
    <w:rsid w:val="00843DA4"/>
    <w:rsid w:val="00843EBA"/>
    <w:rsid w:val="00844E6D"/>
    <w:rsid w:val="0084612D"/>
    <w:rsid w:val="008467EA"/>
    <w:rsid w:val="00846AF8"/>
    <w:rsid w:val="0084781A"/>
    <w:rsid w:val="00847E13"/>
    <w:rsid w:val="0085058F"/>
    <w:rsid w:val="008509FD"/>
    <w:rsid w:val="00851290"/>
    <w:rsid w:val="00851409"/>
    <w:rsid w:val="00851B44"/>
    <w:rsid w:val="00853F70"/>
    <w:rsid w:val="00854031"/>
    <w:rsid w:val="00854220"/>
    <w:rsid w:val="00855357"/>
    <w:rsid w:val="008553B4"/>
    <w:rsid w:val="00855522"/>
    <w:rsid w:val="008555A2"/>
    <w:rsid w:val="0085566D"/>
    <w:rsid w:val="008556A1"/>
    <w:rsid w:val="008557B0"/>
    <w:rsid w:val="00855A68"/>
    <w:rsid w:val="00855C45"/>
    <w:rsid w:val="00855ED9"/>
    <w:rsid w:val="008561C4"/>
    <w:rsid w:val="00856253"/>
    <w:rsid w:val="0085655E"/>
    <w:rsid w:val="00856725"/>
    <w:rsid w:val="00860977"/>
    <w:rsid w:val="00860A2B"/>
    <w:rsid w:val="008615A9"/>
    <w:rsid w:val="0086196C"/>
    <w:rsid w:val="00863BA5"/>
    <w:rsid w:val="00863E41"/>
    <w:rsid w:val="008641E8"/>
    <w:rsid w:val="00864C48"/>
    <w:rsid w:val="0086515C"/>
    <w:rsid w:val="00865F7E"/>
    <w:rsid w:val="008661CE"/>
    <w:rsid w:val="0086625E"/>
    <w:rsid w:val="0086658E"/>
    <w:rsid w:val="00866EC4"/>
    <w:rsid w:val="00867113"/>
    <w:rsid w:val="008675AD"/>
    <w:rsid w:val="00867CEA"/>
    <w:rsid w:val="0087050B"/>
    <w:rsid w:val="008706FB"/>
    <w:rsid w:val="00870763"/>
    <w:rsid w:val="0087169C"/>
    <w:rsid w:val="00871EEA"/>
    <w:rsid w:val="008729BC"/>
    <w:rsid w:val="00872D4D"/>
    <w:rsid w:val="008730BC"/>
    <w:rsid w:val="00873DC6"/>
    <w:rsid w:val="008741B2"/>
    <w:rsid w:val="0087441C"/>
    <w:rsid w:val="00874A07"/>
    <w:rsid w:val="00874C54"/>
    <w:rsid w:val="00875137"/>
    <w:rsid w:val="008765E1"/>
    <w:rsid w:val="008771B2"/>
    <w:rsid w:val="0087778C"/>
    <w:rsid w:val="008778AA"/>
    <w:rsid w:val="00877B50"/>
    <w:rsid w:val="00877D0D"/>
    <w:rsid w:val="00877FA1"/>
    <w:rsid w:val="0088036E"/>
    <w:rsid w:val="00880EB6"/>
    <w:rsid w:val="00880EEA"/>
    <w:rsid w:val="00880F04"/>
    <w:rsid w:val="008815C2"/>
    <w:rsid w:val="00881E08"/>
    <w:rsid w:val="008825A2"/>
    <w:rsid w:val="0088285C"/>
    <w:rsid w:val="0088330C"/>
    <w:rsid w:val="0088351A"/>
    <w:rsid w:val="00883CD0"/>
    <w:rsid w:val="00883D78"/>
    <w:rsid w:val="00884233"/>
    <w:rsid w:val="00884742"/>
    <w:rsid w:val="00884DDC"/>
    <w:rsid w:val="0088503D"/>
    <w:rsid w:val="00885AFE"/>
    <w:rsid w:val="00885C9D"/>
    <w:rsid w:val="0088678F"/>
    <w:rsid w:val="00886934"/>
    <w:rsid w:val="00886DFC"/>
    <w:rsid w:val="00887019"/>
    <w:rsid w:val="00887825"/>
    <w:rsid w:val="00887F1F"/>
    <w:rsid w:val="00890511"/>
    <w:rsid w:val="0089062C"/>
    <w:rsid w:val="00890754"/>
    <w:rsid w:val="00890E93"/>
    <w:rsid w:val="00890F0E"/>
    <w:rsid w:val="0089129E"/>
    <w:rsid w:val="008925A5"/>
    <w:rsid w:val="0089269D"/>
    <w:rsid w:val="00892854"/>
    <w:rsid w:val="0089285E"/>
    <w:rsid w:val="00893330"/>
    <w:rsid w:val="00893A71"/>
    <w:rsid w:val="00893D03"/>
    <w:rsid w:val="008943AE"/>
    <w:rsid w:val="00894489"/>
    <w:rsid w:val="008944D0"/>
    <w:rsid w:val="00894509"/>
    <w:rsid w:val="00894629"/>
    <w:rsid w:val="00895109"/>
    <w:rsid w:val="00895AD6"/>
    <w:rsid w:val="00895D07"/>
    <w:rsid w:val="0089660F"/>
    <w:rsid w:val="00896BD1"/>
    <w:rsid w:val="00896D82"/>
    <w:rsid w:val="00897028"/>
    <w:rsid w:val="0089758A"/>
    <w:rsid w:val="008975F3"/>
    <w:rsid w:val="00897918"/>
    <w:rsid w:val="00897EAC"/>
    <w:rsid w:val="008A0539"/>
    <w:rsid w:val="008A0E52"/>
    <w:rsid w:val="008A1110"/>
    <w:rsid w:val="008A1168"/>
    <w:rsid w:val="008A17F6"/>
    <w:rsid w:val="008A2357"/>
    <w:rsid w:val="008A2E95"/>
    <w:rsid w:val="008A34B9"/>
    <w:rsid w:val="008A45BA"/>
    <w:rsid w:val="008A4BFF"/>
    <w:rsid w:val="008A61D7"/>
    <w:rsid w:val="008A672B"/>
    <w:rsid w:val="008A7639"/>
    <w:rsid w:val="008A7A00"/>
    <w:rsid w:val="008A7C71"/>
    <w:rsid w:val="008A7C87"/>
    <w:rsid w:val="008B085E"/>
    <w:rsid w:val="008B0D93"/>
    <w:rsid w:val="008B1D58"/>
    <w:rsid w:val="008B2A83"/>
    <w:rsid w:val="008B3484"/>
    <w:rsid w:val="008B37F0"/>
    <w:rsid w:val="008B3C27"/>
    <w:rsid w:val="008B49F6"/>
    <w:rsid w:val="008B4AE9"/>
    <w:rsid w:val="008B4FCC"/>
    <w:rsid w:val="008B601E"/>
    <w:rsid w:val="008B638C"/>
    <w:rsid w:val="008B668F"/>
    <w:rsid w:val="008B6F21"/>
    <w:rsid w:val="008B7410"/>
    <w:rsid w:val="008B7507"/>
    <w:rsid w:val="008B7D92"/>
    <w:rsid w:val="008B7DC2"/>
    <w:rsid w:val="008C0168"/>
    <w:rsid w:val="008C05DD"/>
    <w:rsid w:val="008C07D7"/>
    <w:rsid w:val="008C09DC"/>
    <w:rsid w:val="008C11AB"/>
    <w:rsid w:val="008C1E7A"/>
    <w:rsid w:val="008C1ECC"/>
    <w:rsid w:val="008C1EEA"/>
    <w:rsid w:val="008C2500"/>
    <w:rsid w:val="008C2EEE"/>
    <w:rsid w:val="008C3521"/>
    <w:rsid w:val="008C385D"/>
    <w:rsid w:val="008C38D1"/>
    <w:rsid w:val="008C3987"/>
    <w:rsid w:val="008C3F13"/>
    <w:rsid w:val="008C3F1E"/>
    <w:rsid w:val="008C4342"/>
    <w:rsid w:val="008C4A76"/>
    <w:rsid w:val="008C54F8"/>
    <w:rsid w:val="008C555E"/>
    <w:rsid w:val="008C559A"/>
    <w:rsid w:val="008C55E3"/>
    <w:rsid w:val="008C5EAB"/>
    <w:rsid w:val="008C5F24"/>
    <w:rsid w:val="008C606A"/>
    <w:rsid w:val="008C6A81"/>
    <w:rsid w:val="008C7D1D"/>
    <w:rsid w:val="008C7EFE"/>
    <w:rsid w:val="008D0154"/>
    <w:rsid w:val="008D02BD"/>
    <w:rsid w:val="008D04DB"/>
    <w:rsid w:val="008D05BF"/>
    <w:rsid w:val="008D07DA"/>
    <w:rsid w:val="008D08F6"/>
    <w:rsid w:val="008D0D57"/>
    <w:rsid w:val="008D13E2"/>
    <w:rsid w:val="008D1AE5"/>
    <w:rsid w:val="008D1E33"/>
    <w:rsid w:val="008D22D7"/>
    <w:rsid w:val="008D395B"/>
    <w:rsid w:val="008D3C60"/>
    <w:rsid w:val="008D3E01"/>
    <w:rsid w:val="008D4366"/>
    <w:rsid w:val="008D4971"/>
    <w:rsid w:val="008D4C90"/>
    <w:rsid w:val="008D58AC"/>
    <w:rsid w:val="008D597F"/>
    <w:rsid w:val="008D61F5"/>
    <w:rsid w:val="008D6B23"/>
    <w:rsid w:val="008D7236"/>
    <w:rsid w:val="008D7CF0"/>
    <w:rsid w:val="008D7D8A"/>
    <w:rsid w:val="008D7F38"/>
    <w:rsid w:val="008E027F"/>
    <w:rsid w:val="008E1E86"/>
    <w:rsid w:val="008E1E92"/>
    <w:rsid w:val="008E1ED7"/>
    <w:rsid w:val="008E216E"/>
    <w:rsid w:val="008E2318"/>
    <w:rsid w:val="008E2FFE"/>
    <w:rsid w:val="008E33E3"/>
    <w:rsid w:val="008E386E"/>
    <w:rsid w:val="008E3FD4"/>
    <w:rsid w:val="008E437D"/>
    <w:rsid w:val="008E4C9E"/>
    <w:rsid w:val="008E4E55"/>
    <w:rsid w:val="008E4FED"/>
    <w:rsid w:val="008E544E"/>
    <w:rsid w:val="008E5673"/>
    <w:rsid w:val="008E5E8F"/>
    <w:rsid w:val="008E6644"/>
    <w:rsid w:val="008E69D8"/>
    <w:rsid w:val="008E72B0"/>
    <w:rsid w:val="008E7604"/>
    <w:rsid w:val="008E77ED"/>
    <w:rsid w:val="008E7BD8"/>
    <w:rsid w:val="008E7D92"/>
    <w:rsid w:val="008F0476"/>
    <w:rsid w:val="008F072A"/>
    <w:rsid w:val="008F0EE6"/>
    <w:rsid w:val="008F2A46"/>
    <w:rsid w:val="008F323E"/>
    <w:rsid w:val="008F32A5"/>
    <w:rsid w:val="008F47F2"/>
    <w:rsid w:val="008F4BED"/>
    <w:rsid w:val="008F552D"/>
    <w:rsid w:val="008F577F"/>
    <w:rsid w:val="008F61C8"/>
    <w:rsid w:val="008F6BDC"/>
    <w:rsid w:val="008F702B"/>
    <w:rsid w:val="008F70BD"/>
    <w:rsid w:val="008F7C60"/>
    <w:rsid w:val="009006EB"/>
    <w:rsid w:val="00900991"/>
    <w:rsid w:val="00900BE2"/>
    <w:rsid w:val="00900EDC"/>
    <w:rsid w:val="00901620"/>
    <w:rsid w:val="00901B27"/>
    <w:rsid w:val="009023A7"/>
    <w:rsid w:val="0090278D"/>
    <w:rsid w:val="0090285F"/>
    <w:rsid w:val="00902C72"/>
    <w:rsid w:val="00903740"/>
    <w:rsid w:val="00903757"/>
    <w:rsid w:val="00903D41"/>
    <w:rsid w:val="00904549"/>
    <w:rsid w:val="00904583"/>
    <w:rsid w:val="0090492B"/>
    <w:rsid w:val="00904F4A"/>
    <w:rsid w:val="00905079"/>
    <w:rsid w:val="00905C9B"/>
    <w:rsid w:val="00907479"/>
    <w:rsid w:val="009103FF"/>
    <w:rsid w:val="009105B4"/>
    <w:rsid w:val="00910935"/>
    <w:rsid w:val="0091123A"/>
    <w:rsid w:val="0091208B"/>
    <w:rsid w:val="0091274F"/>
    <w:rsid w:val="00912A24"/>
    <w:rsid w:val="00912C68"/>
    <w:rsid w:val="00912D40"/>
    <w:rsid w:val="00913400"/>
    <w:rsid w:val="00913975"/>
    <w:rsid w:val="00913DD4"/>
    <w:rsid w:val="00914D06"/>
    <w:rsid w:val="00914F18"/>
    <w:rsid w:val="00914F9B"/>
    <w:rsid w:val="00915A5D"/>
    <w:rsid w:val="00915FF6"/>
    <w:rsid w:val="00916163"/>
    <w:rsid w:val="00917C70"/>
    <w:rsid w:val="00917D7C"/>
    <w:rsid w:val="009202B7"/>
    <w:rsid w:val="009212C7"/>
    <w:rsid w:val="0092192B"/>
    <w:rsid w:val="0092286A"/>
    <w:rsid w:val="00923470"/>
    <w:rsid w:val="00924647"/>
    <w:rsid w:val="00924B5B"/>
    <w:rsid w:val="00924FDD"/>
    <w:rsid w:val="0092559B"/>
    <w:rsid w:val="0092559F"/>
    <w:rsid w:val="0092562C"/>
    <w:rsid w:val="0092562E"/>
    <w:rsid w:val="009257EA"/>
    <w:rsid w:val="00925C1C"/>
    <w:rsid w:val="00925E48"/>
    <w:rsid w:val="00926254"/>
    <w:rsid w:val="00926963"/>
    <w:rsid w:val="00926BA7"/>
    <w:rsid w:val="00926E39"/>
    <w:rsid w:val="00926F16"/>
    <w:rsid w:val="00927C68"/>
    <w:rsid w:val="0093077D"/>
    <w:rsid w:val="00931FED"/>
    <w:rsid w:val="00932B78"/>
    <w:rsid w:val="00932DF5"/>
    <w:rsid w:val="00933141"/>
    <w:rsid w:val="0093319C"/>
    <w:rsid w:val="00933428"/>
    <w:rsid w:val="0093632A"/>
    <w:rsid w:val="009368D1"/>
    <w:rsid w:val="009403D8"/>
    <w:rsid w:val="009404AE"/>
    <w:rsid w:val="00941023"/>
    <w:rsid w:val="009414CB"/>
    <w:rsid w:val="00941AAA"/>
    <w:rsid w:val="00941B44"/>
    <w:rsid w:val="00941BB0"/>
    <w:rsid w:val="009423C2"/>
    <w:rsid w:val="009426ED"/>
    <w:rsid w:val="009429E0"/>
    <w:rsid w:val="009431DE"/>
    <w:rsid w:val="0094346A"/>
    <w:rsid w:val="009434B9"/>
    <w:rsid w:val="009438B6"/>
    <w:rsid w:val="00943C4F"/>
    <w:rsid w:val="00943F27"/>
    <w:rsid w:val="009443D8"/>
    <w:rsid w:val="0094498D"/>
    <w:rsid w:val="00944D77"/>
    <w:rsid w:val="00944E53"/>
    <w:rsid w:val="009452AB"/>
    <w:rsid w:val="00945CF2"/>
    <w:rsid w:val="00946661"/>
    <w:rsid w:val="0094785C"/>
    <w:rsid w:val="00950833"/>
    <w:rsid w:val="0095098E"/>
    <w:rsid w:val="009518FE"/>
    <w:rsid w:val="00951D42"/>
    <w:rsid w:val="0095245C"/>
    <w:rsid w:val="00952A7B"/>
    <w:rsid w:val="00952E47"/>
    <w:rsid w:val="0095314E"/>
    <w:rsid w:val="009537CB"/>
    <w:rsid w:val="00953EC4"/>
    <w:rsid w:val="00954B6E"/>
    <w:rsid w:val="00954F1F"/>
    <w:rsid w:val="00955094"/>
    <w:rsid w:val="00955B59"/>
    <w:rsid w:val="00955B9C"/>
    <w:rsid w:val="00955F18"/>
    <w:rsid w:val="00956667"/>
    <w:rsid w:val="00956FEF"/>
    <w:rsid w:val="0095731C"/>
    <w:rsid w:val="00960381"/>
    <w:rsid w:val="00961367"/>
    <w:rsid w:val="009614CC"/>
    <w:rsid w:val="00961564"/>
    <w:rsid w:val="009615A9"/>
    <w:rsid w:val="00961A46"/>
    <w:rsid w:val="00961B76"/>
    <w:rsid w:val="00962464"/>
    <w:rsid w:val="00962C07"/>
    <w:rsid w:val="00962CA6"/>
    <w:rsid w:val="00963361"/>
    <w:rsid w:val="00963843"/>
    <w:rsid w:val="0096387D"/>
    <w:rsid w:val="00964B83"/>
    <w:rsid w:val="00964C96"/>
    <w:rsid w:val="009651CB"/>
    <w:rsid w:val="009661FB"/>
    <w:rsid w:val="009663F8"/>
    <w:rsid w:val="00967382"/>
    <w:rsid w:val="00967A8C"/>
    <w:rsid w:val="00967D2F"/>
    <w:rsid w:val="00970004"/>
    <w:rsid w:val="009704C7"/>
    <w:rsid w:val="00970709"/>
    <w:rsid w:val="00970720"/>
    <w:rsid w:val="009708D6"/>
    <w:rsid w:val="00970D43"/>
    <w:rsid w:val="0097239E"/>
    <w:rsid w:val="0097251A"/>
    <w:rsid w:val="00972FD8"/>
    <w:rsid w:val="009736EF"/>
    <w:rsid w:val="00974795"/>
    <w:rsid w:val="009749F6"/>
    <w:rsid w:val="00974FAE"/>
    <w:rsid w:val="009750B8"/>
    <w:rsid w:val="009757A2"/>
    <w:rsid w:val="009767C5"/>
    <w:rsid w:val="00976840"/>
    <w:rsid w:val="00976A61"/>
    <w:rsid w:val="00977053"/>
    <w:rsid w:val="009772A2"/>
    <w:rsid w:val="009802AA"/>
    <w:rsid w:val="00980EE4"/>
    <w:rsid w:val="0098156B"/>
    <w:rsid w:val="009827BD"/>
    <w:rsid w:val="00982ED9"/>
    <w:rsid w:val="0098321F"/>
    <w:rsid w:val="00983423"/>
    <w:rsid w:val="00984EF8"/>
    <w:rsid w:val="0098519F"/>
    <w:rsid w:val="00985CDC"/>
    <w:rsid w:val="00986577"/>
    <w:rsid w:val="0098668B"/>
    <w:rsid w:val="009869D4"/>
    <w:rsid w:val="00987A91"/>
    <w:rsid w:val="00987E87"/>
    <w:rsid w:val="00990840"/>
    <w:rsid w:val="00990A32"/>
    <w:rsid w:val="00990F8F"/>
    <w:rsid w:val="009912EC"/>
    <w:rsid w:val="00991416"/>
    <w:rsid w:val="009916BD"/>
    <w:rsid w:val="00991907"/>
    <w:rsid w:val="00991E7A"/>
    <w:rsid w:val="009924F6"/>
    <w:rsid w:val="00992C67"/>
    <w:rsid w:val="00992C71"/>
    <w:rsid w:val="00993430"/>
    <w:rsid w:val="009939EA"/>
    <w:rsid w:val="00994467"/>
    <w:rsid w:val="00995330"/>
    <w:rsid w:val="00995376"/>
    <w:rsid w:val="009955FD"/>
    <w:rsid w:val="0099593C"/>
    <w:rsid w:val="00996034"/>
    <w:rsid w:val="00996CA4"/>
    <w:rsid w:val="00996E60"/>
    <w:rsid w:val="0099704F"/>
    <w:rsid w:val="00997892"/>
    <w:rsid w:val="00997C72"/>
    <w:rsid w:val="009A06CD"/>
    <w:rsid w:val="009A0B14"/>
    <w:rsid w:val="009A0CB6"/>
    <w:rsid w:val="009A137F"/>
    <w:rsid w:val="009A178D"/>
    <w:rsid w:val="009A19EE"/>
    <w:rsid w:val="009A20D5"/>
    <w:rsid w:val="009A21F3"/>
    <w:rsid w:val="009A22A7"/>
    <w:rsid w:val="009A2483"/>
    <w:rsid w:val="009A2BA1"/>
    <w:rsid w:val="009A2FF7"/>
    <w:rsid w:val="009A325B"/>
    <w:rsid w:val="009A3D6E"/>
    <w:rsid w:val="009A43A9"/>
    <w:rsid w:val="009A45AE"/>
    <w:rsid w:val="009A4D83"/>
    <w:rsid w:val="009A5122"/>
    <w:rsid w:val="009A5EDB"/>
    <w:rsid w:val="009A6DEC"/>
    <w:rsid w:val="009A6F0D"/>
    <w:rsid w:val="009A710F"/>
    <w:rsid w:val="009A7BE2"/>
    <w:rsid w:val="009B006C"/>
    <w:rsid w:val="009B0574"/>
    <w:rsid w:val="009B073E"/>
    <w:rsid w:val="009B1410"/>
    <w:rsid w:val="009B1594"/>
    <w:rsid w:val="009B19E0"/>
    <w:rsid w:val="009B3733"/>
    <w:rsid w:val="009B39B1"/>
    <w:rsid w:val="009B5388"/>
    <w:rsid w:val="009B5C82"/>
    <w:rsid w:val="009B5C87"/>
    <w:rsid w:val="009B5F79"/>
    <w:rsid w:val="009B6248"/>
    <w:rsid w:val="009B678F"/>
    <w:rsid w:val="009B70D1"/>
    <w:rsid w:val="009B755D"/>
    <w:rsid w:val="009B7647"/>
    <w:rsid w:val="009B7D01"/>
    <w:rsid w:val="009C07D2"/>
    <w:rsid w:val="009C2825"/>
    <w:rsid w:val="009C35F9"/>
    <w:rsid w:val="009C3B81"/>
    <w:rsid w:val="009C3CC6"/>
    <w:rsid w:val="009C5752"/>
    <w:rsid w:val="009C5D51"/>
    <w:rsid w:val="009C6358"/>
    <w:rsid w:val="009C6595"/>
    <w:rsid w:val="009C65B0"/>
    <w:rsid w:val="009C65CB"/>
    <w:rsid w:val="009C76FF"/>
    <w:rsid w:val="009C7F4F"/>
    <w:rsid w:val="009D118E"/>
    <w:rsid w:val="009D2179"/>
    <w:rsid w:val="009D236D"/>
    <w:rsid w:val="009D243E"/>
    <w:rsid w:val="009D2C8B"/>
    <w:rsid w:val="009D3539"/>
    <w:rsid w:val="009D3712"/>
    <w:rsid w:val="009D38EA"/>
    <w:rsid w:val="009D3C92"/>
    <w:rsid w:val="009D4031"/>
    <w:rsid w:val="009D4221"/>
    <w:rsid w:val="009D469A"/>
    <w:rsid w:val="009D60D7"/>
    <w:rsid w:val="009D690C"/>
    <w:rsid w:val="009D697E"/>
    <w:rsid w:val="009D7879"/>
    <w:rsid w:val="009D7928"/>
    <w:rsid w:val="009D7971"/>
    <w:rsid w:val="009D7FDB"/>
    <w:rsid w:val="009E02A9"/>
    <w:rsid w:val="009E0303"/>
    <w:rsid w:val="009E0333"/>
    <w:rsid w:val="009E055F"/>
    <w:rsid w:val="009E0F85"/>
    <w:rsid w:val="009E1A5F"/>
    <w:rsid w:val="009E1EF6"/>
    <w:rsid w:val="009E2279"/>
    <w:rsid w:val="009E2EF2"/>
    <w:rsid w:val="009E30E5"/>
    <w:rsid w:val="009E3C3B"/>
    <w:rsid w:val="009E40FB"/>
    <w:rsid w:val="009E4105"/>
    <w:rsid w:val="009E4502"/>
    <w:rsid w:val="009E491C"/>
    <w:rsid w:val="009E4ACF"/>
    <w:rsid w:val="009E4E4F"/>
    <w:rsid w:val="009E5637"/>
    <w:rsid w:val="009E5690"/>
    <w:rsid w:val="009E5E2C"/>
    <w:rsid w:val="009E6E80"/>
    <w:rsid w:val="009E733F"/>
    <w:rsid w:val="009E773F"/>
    <w:rsid w:val="009F00D0"/>
    <w:rsid w:val="009F0182"/>
    <w:rsid w:val="009F02DC"/>
    <w:rsid w:val="009F093B"/>
    <w:rsid w:val="009F0AF9"/>
    <w:rsid w:val="009F0DE8"/>
    <w:rsid w:val="009F1C53"/>
    <w:rsid w:val="009F1D49"/>
    <w:rsid w:val="009F2078"/>
    <w:rsid w:val="009F239F"/>
    <w:rsid w:val="009F3155"/>
    <w:rsid w:val="009F381D"/>
    <w:rsid w:val="009F3863"/>
    <w:rsid w:val="009F3F22"/>
    <w:rsid w:val="009F4203"/>
    <w:rsid w:val="009F4619"/>
    <w:rsid w:val="009F5130"/>
    <w:rsid w:val="009F569E"/>
    <w:rsid w:val="009F570F"/>
    <w:rsid w:val="009F72A5"/>
    <w:rsid w:val="009F73B5"/>
    <w:rsid w:val="009F7CAB"/>
    <w:rsid w:val="009F7D3C"/>
    <w:rsid w:val="009F7E12"/>
    <w:rsid w:val="009F7F18"/>
    <w:rsid w:val="009F7FBB"/>
    <w:rsid w:val="00A003E0"/>
    <w:rsid w:val="00A0053B"/>
    <w:rsid w:val="00A0076C"/>
    <w:rsid w:val="00A00AB5"/>
    <w:rsid w:val="00A00C56"/>
    <w:rsid w:val="00A00EF0"/>
    <w:rsid w:val="00A01732"/>
    <w:rsid w:val="00A01EDE"/>
    <w:rsid w:val="00A0263B"/>
    <w:rsid w:val="00A02839"/>
    <w:rsid w:val="00A03A29"/>
    <w:rsid w:val="00A03DE1"/>
    <w:rsid w:val="00A04314"/>
    <w:rsid w:val="00A04393"/>
    <w:rsid w:val="00A04612"/>
    <w:rsid w:val="00A04EFA"/>
    <w:rsid w:val="00A051F2"/>
    <w:rsid w:val="00A059D8"/>
    <w:rsid w:val="00A05AF9"/>
    <w:rsid w:val="00A07CD4"/>
    <w:rsid w:val="00A07DF3"/>
    <w:rsid w:val="00A10118"/>
    <w:rsid w:val="00A102DA"/>
    <w:rsid w:val="00A10DEB"/>
    <w:rsid w:val="00A12707"/>
    <w:rsid w:val="00A12DFA"/>
    <w:rsid w:val="00A1330B"/>
    <w:rsid w:val="00A135E2"/>
    <w:rsid w:val="00A13CF6"/>
    <w:rsid w:val="00A13F8F"/>
    <w:rsid w:val="00A14CE7"/>
    <w:rsid w:val="00A15859"/>
    <w:rsid w:val="00A15D80"/>
    <w:rsid w:val="00A161C5"/>
    <w:rsid w:val="00A16469"/>
    <w:rsid w:val="00A1646B"/>
    <w:rsid w:val="00A17151"/>
    <w:rsid w:val="00A20034"/>
    <w:rsid w:val="00A2095C"/>
    <w:rsid w:val="00A20D1B"/>
    <w:rsid w:val="00A20F77"/>
    <w:rsid w:val="00A215F5"/>
    <w:rsid w:val="00A21D50"/>
    <w:rsid w:val="00A22A44"/>
    <w:rsid w:val="00A2367A"/>
    <w:rsid w:val="00A23A91"/>
    <w:rsid w:val="00A242C4"/>
    <w:rsid w:val="00A24779"/>
    <w:rsid w:val="00A24BEB"/>
    <w:rsid w:val="00A25534"/>
    <w:rsid w:val="00A256EC"/>
    <w:rsid w:val="00A259EA"/>
    <w:rsid w:val="00A26F6B"/>
    <w:rsid w:val="00A278C1"/>
    <w:rsid w:val="00A279C1"/>
    <w:rsid w:val="00A27ADA"/>
    <w:rsid w:val="00A305B3"/>
    <w:rsid w:val="00A305DD"/>
    <w:rsid w:val="00A30890"/>
    <w:rsid w:val="00A3135B"/>
    <w:rsid w:val="00A3142E"/>
    <w:rsid w:val="00A31798"/>
    <w:rsid w:val="00A3202B"/>
    <w:rsid w:val="00A339C0"/>
    <w:rsid w:val="00A33CBE"/>
    <w:rsid w:val="00A33DF7"/>
    <w:rsid w:val="00A34F90"/>
    <w:rsid w:val="00A353A4"/>
    <w:rsid w:val="00A35536"/>
    <w:rsid w:val="00A35AC4"/>
    <w:rsid w:val="00A35D73"/>
    <w:rsid w:val="00A36674"/>
    <w:rsid w:val="00A3677B"/>
    <w:rsid w:val="00A37636"/>
    <w:rsid w:val="00A4026D"/>
    <w:rsid w:val="00A4155A"/>
    <w:rsid w:val="00A4157F"/>
    <w:rsid w:val="00A428A9"/>
    <w:rsid w:val="00A43299"/>
    <w:rsid w:val="00A44517"/>
    <w:rsid w:val="00A453B8"/>
    <w:rsid w:val="00A45E78"/>
    <w:rsid w:val="00A466AF"/>
    <w:rsid w:val="00A46CDD"/>
    <w:rsid w:val="00A4789B"/>
    <w:rsid w:val="00A47B51"/>
    <w:rsid w:val="00A50151"/>
    <w:rsid w:val="00A501AC"/>
    <w:rsid w:val="00A507B9"/>
    <w:rsid w:val="00A50EFC"/>
    <w:rsid w:val="00A51E2D"/>
    <w:rsid w:val="00A52C2E"/>
    <w:rsid w:val="00A52FA2"/>
    <w:rsid w:val="00A53A8B"/>
    <w:rsid w:val="00A53B21"/>
    <w:rsid w:val="00A53F30"/>
    <w:rsid w:val="00A54081"/>
    <w:rsid w:val="00A5412B"/>
    <w:rsid w:val="00A5450F"/>
    <w:rsid w:val="00A54826"/>
    <w:rsid w:val="00A54A55"/>
    <w:rsid w:val="00A55174"/>
    <w:rsid w:val="00A56858"/>
    <w:rsid w:val="00A5694E"/>
    <w:rsid w:val="00A56C27"/>
    <w:rsid w:val="00A57767"/>
    <w:rsid w:val="00A57AB7"/>
    <w:rsid w:val="00A60804"/>
    <w:rsid w:val="00A60B0C"/>
    <w:rsid w:val="00A60E02"/>
    <w:rsid w:val="00A60F0C"/>
    <w:rsid w:val="00A60F52"/>
    <w:rsid w:val="00A61057"/>
    <w:rsid w:val="00A610A9"/>
    <w:rsid w:val="00A61892"/>
    <w:rsid w:val="00A61A38"/>
    <w:rsid w:val="00A61A7D"/>
    <w:rsid w:val="00A61CFD"/>
    <w:rsid w:val="00A6208C"/>
    <w:rsid w:val="00A62E75"/>
    <w:rsid w:val="00A63501"/>
    <w:rsid w:val="00A63CDA"/>
    <w:rsid w:val="00A64A88"/>
    <w:rsid w:val="00A64D1D"/>
    <w:rsid w:val="00A657AC"/>
    <w:rsid w:val="00A661A9"/>
    <w:rsid w:val="00A66281"/>
    <w:rsid w:val="00A66600"/>
    <w:rsid w:val="00A668EF"/>
    <w:rsid w:val="00A66AFF"/>
    <w:rsid w:val="00A671E3"/>
    <w:rsid w:val="00A67277"/>
    <w:rsid w:val="00A67CC6"/>
    <w:rsid w:val="00A701A1"/>
    <w:rsid w:val="00A70617"/>
    <w:rsid w:val="00A70836"/>
    <w:rsid w:val="00A710DA"/>
    <w:rsid w:val="00A7231E"/>
    <w:rsid w:val="00A725B7"/>
    <w:rsid w:val="00A72889"/>
    <w:rsid w:val="00A748A8"/>
    <w:rsid w:val="00A74D33"/>
    <w:rsid w:val="00A74E64"/>
    <w:rsid w:val="00A7511E"/>
    <w:rsid w:val="00A755BF"/>
    <w:rsid w:val="00A75728"/>
    <w:rsid w:val="00A761A7"/>
    <w:rsid w:val="00A77316"/>
    <w:rsid w:val="00A774FA"/>
    <w:rsid w:val="00A77AF7"/>
    <w:rsid w:val="00A77BFF"/>
    <w:rsid w:val="00A8060F"/>
    <w:rsid w:val="00A807E1"/>
    <w:rsid w:val="00A80A18"/>
    <w:rsid w:val="00A80E69"/>
    <w:rsid w:val="00A8210C"/>
    <w:rsid w:val="00A82D58"/>
    <w:rsid w:val="00A82D62"/>
    <w:rsid w:val="00A835E0"/>
    <w:rsid w:val="00A836F0"/>
    <w:rsid w:val="00A838D5"/>
    <w:rsid w:val="00A83ED1"/>
    <w:rsid w:val="00A8402E"/>
    <w:rsid w:val="00A84191"/>
    <w:rsid w:val="00A84477"/>
    <w:rsid w:val="00A84A35"/>
    <w:rsid w:val="00A85EFA"/>
    <w:rsid w:val="00A860AB"/>
    <w:rsid w:val="00A8613A"/>
    <w:rsid w:val="00A865C4"/>
    <w:rsid w:val="00A86A59"/>
    <w:rsid w:val="00A86C1F"/>
    <w:rsid w:val="00A877CC"/>
    <w:rsid w:val="00A878D4"/>
    <w:rsid w:val="00A9142F"/>
    <w:rsid w:val="00A91D3C"/>
    <w:rsid w:val="00A91D3D"/>
    <w:rsid w:val="00A9209A"/>
    <w:rsid w:val="00A9268E"/>
    <w:rsid w:val="00A92691"/>
    <w:rsid w:val="00A93432"/>
    <w:rsid w:val="00A947DA"/>
    <w:rsid w:val="00A95022"/>
    <w:rsid w:val="00A9620B"/>
    <w:rsid w:val="00A9646D"/>
    <w:rsid w:val="00A972CF"/>
    <w:rsid w:val="00A973E8"/>
    <w:rsid w:val="00A97401"/>
    <w:rsid w:val="00A9765C"/>
    <w:rsid w:val="00A97A9A"/>
    <w:rsid w:val="00AA045C"/>
    <w:rsid w:val="00AA078F"/>
    <w:rsid w:val="00AA0A18"/>
    <w:rsid w:val="00AA144E"/>
    <w:rsid w:val="00AA1568"/>
    <w:rsid w:val="00AA1585"/>
    <w:rsid w:val="00AA1767"/>
    <w:rsid w:val="00AA2247"/>
    <w:rsid w:val="00AA2680"/>
    <w:rsid w:val="00AA269A"/>
    <w:rsid w:val="00AA3360"/>
    <w:rsid w:val="00AA4003"/>
    <w:rsid w:val="00AA59D3"/>
    <w:rsid w:val="00AA60F6"/>
    <w:rsid w:val="00AA65D5"/>
    <w:rsid w:val="00AB0AFA"/>
    <w:rsid w:val="00AB0E95"/>
    <w:rsid w:val="00AB0F88"/>
    <w:rsid w:val="00AB0FCF"/>
    <w:rsid w:val="00AB134B"/>
    <w:rsid w:val="00AB17C6"/>
    <w:rsid w:val="00AB1AD0"/>
    <w:rsid w:val="00AB203C"/>
    <w:rsid w:val="00AB2E34"/>
    <w:rsid w:val="00AB2FA4"/>
    <w:rsid w:val="00AB400F"/>
    <w:rsid w:val="00AB426D"/>
    <w:rsid w:val="00AB4F64"/>
    <w:rsid w:val="00AB536B"/>
    <w:rsid w:val="00AB5C39"/>
    <w:rsid w:val="00AB5E37"/>
    <w:rsid w:val="00AB67DF"/>
    <w:rsid w:val="00AB696D"/>
    <w:rsid w:val="00AB6D1F"/>
    <w:rsid w:val="00AB6D83"/>
    <w:rsid w:val="00AB6DBE"/>
    <w:rsid w:val="00AB7471"/>
    <w:rsid w:val="00AB7A29"/>
    <w:rsid w:val="00AB7A6F"/>
    <w:rsid w:val="00AB7BC1"/>
    <w:rsid w:val="00AB7E3B"/>
    <w:rsid w:val="00AC01AD"/>
    <w:rsid w:val="00AC0E2F"/>
    <w:rsid w:val="00AC0E76"/>
    <w:rsid w:val="00AC1216"/>
    <w:rsid w:val="00AC1607"/>
    <w:rsid w:val="00AC1D91"/>
    <w:rsid w:val="00AC1DFD"/>
    <w:rsid w:val="00AC240E"/>
    <w:rsid w:val="00AC2453"/>
    <w:rsid w:val="00AC2F8F"/>
    <w:rsid w:val="00AC31DF"/>
    <w:rsid w:val="00AC3656"/>
    <w:rsid w:val="00AC3B2F"/>
    <w:rsid w:val="00AC4199"/>
    <w:rsid w:val="00AC41C4"/>
    <w:rsid w:val="00AC5DB3"/>
    <w:rsid w:val="00AC5FBA"/>
    <w:rsid w:val="00AC6435"/>
    <w:rsid w:val="00AC6BFE"/>
    <w:rsid w:val="00AC6CA8"/>
    <w:rsid w:val="00AC7B48"/>
    <w:rsid w:val="00AC7EDA"/>
    <w:rsid w:val="00AD02F4"/>
    <w:rsid w:val="00AD03FE"/>
    <w:rsid w:val="00AD1529"/>
    <w:rsid w:val="00AD1A8B"/>
    <w:rsid w:val="00AD1D71"/>
    <w:rsid w:val="00AD252F"/>
    <w:rsid w:val="00AD26F1"/>
    <w:rsid w:val="00AD33B0"/>
    <w:rsid w:val="00AD3B34"/>
    <w:rsid w:val="00AD3B4A"/>
    <w:rsid w:val="00AD3BD9"/>
    <w:rsid w:val="00AD3E03"/>
    <w:rsid w:val="00AD47B2"/>
    <w:rsid w:val="00AD4876"/>
    <w:rsid w:val="00AD5325"/>
    <w:rsid w:val="00AD5D29"/>
    <w:rsid w:val="00AD61FD"/>
    <w:rsid w:val="00AD6421"/>
    <w:rsid w:val="00AD651A"/>
    <w:rsid w:val="00AD7209"/>
    <w:rsid w:val="00AE060F"/>
    <w:rsid w:val="00AE145F"/>
    <w:rsid w:val="00AE18B8"/>
    <w:rsid w:val="00AE1AEA"/>
    <w:rsid w:val="00AE1B45"/>
    <w:rsid w:val="00AE1B78"/>
    <w:rsid w:val="00AE1C34"/>
    <w:rsid w:val="00AE1E55"/>
    <w:rsid w:val="00AE273D"/>
    <w:rsid w:val="00AE2AFD"/>
    <w:rsid w:val="00AE32DF"/>
    <w:rsid w:val="00AE338A"/>
    <w:rsid w:val="00AE3D9E"/>
    <w:rsid w:val="00AE425B"/>
    <w:rsid w:val="00AE46A7"/>
    <w:rsid w:val="00AE4A57"/>
    <w:rsid w:val="00AE4FE3"/>
    <w:rsid w:val="00AE60B8"/>
    <w:rsid w:val="00AE6956"/>
    <w:rsid w:val="00AE6C69"/>
    <w:rsid w:val="00AE70F8"/>
    <w:rsid w:val="00AE715C"/>
    <w:rsid w:val="00AE768A"/>
    <w:rsid w:val="00AE7745"/>
    <w:rsid w:val="00AE7BC5"/>
    <w:rsid w:val="00AE7FE4"/>
    <w:rsid w:val="00AE7FF1"/>
    <w:rsid w:val="00AF01FC"/>
    <w:rsid w:val="00AF02C2"/>
    <w:rsid w:val="00AF033E"/>
    <w:rsid w:val="00AF12D1"/>
    <w:rsid w:val="00AF26DD"/>
    <w:rsid w:val="00AF2834"/>
    <w:rsid w:val="00AF314C"/>
    <w:rsid w:val="00AF4F81"/>
    <w:rsid w:val="00AF5777"/>
    <w:rsid w:val="00AF5D45"/>
    <w:rsid w:val="00AF602D"/>
    <w:rsid w:val="00AF63CD"/>
    <w:rsid w:val="00AF66B8"/>
    <w:rsid w:val="00AF6890"/>
    <w:rsid w:val="00AF6948"/>
    <w:rsid w:val="00AF6FCA"/>
    <w:rsid w:val="00AF73A3"/>
    <w:rsid w:val="00AF7516"/>
    <w:rsid w:val="00AF7C7B"/>
    <w:rsid w:val="00B000CD"/>
    <w:rsid w:val="00B0076E"/>
    <w:rsid w:val="00B00874"/>
    <w:rsid w:val="00B00ECE"/>
    <w:rsid w:val="00B022F1"/>
    <w:rsid w:val="00B0238A"/>
    <w:rsid w:val="00B02A97"/>
    <w:rsid w:val="00B037A1"/>
    <w:rsid w:val="00B03914"/>
    <w:rsid w:val="00B03FAB"/>
    <w:rsid w:val="00B04051"/>
    <w:rsid w:val="00B04666"/>
    <w:rsid w:val="00B04676"/>
    <w:rsid w:val="00B048FB"/>
    <w:rsid w:val="00B04FEA"/>
    <w:rsid w:val="00B057D6"/>
    <w:rsid w:val="00B05D4A"/>
    <w:rsid w:val="00B078B9"/>
    <w:rsid w:val="00B07ECF"/>
    <w:rsid w:val="00B1066E"/>
    <w:rsid w:val="00B10C67"/>
    <w:rsid w:val="00B10C6D"/>
    <w:rsid w:val="00B11940"/>
    <w:rsid w:val="00B11B57"/>
    <w:rsid w:val="00B12DF0"/>
    <w:rsid w:val="00B1345D"/>
    <w:rsid w:val="00B13473"/>
    <w:rsid w:val="00B13710"/>
    <w:rsid w:val="00B13A2C"/>
    <w:rsid w:val="00B13FEF"/>
    <w:rsid w:val="00B14016"/>
    <w:rsid w:val="00B14579"/>
    <w:rsid w:val="00B14709"/>
    <w:rsid w:val="00B1506B"/>
    <w:rsid w:val="00B15646"/>
    <w:rsid w:val="00B157AC"/>
    <w:rsid w:val="00B15B14"/>
    <w:rsid w:val="00B16024"/>
    <w:rsid w:val="00B167A5"/>
    <w:rsid w:val="00B16BA6"/>
    <w:rsid w:val="00B17543"/>
    <w:rsid w:val="00B213F3"/>
    <w:rsid w:val="00B2242B"/>
    <w:rsid w:val="00B22A2E"/>
    <w:rsid w:val="00B22CB2"/>
    <w:rsid w:val="00B23554"/>
    <w:rsid w:val="00B236E3"/>
    <w:rsid w:val="00B23C38"/>
    <w:rsid w:val="00B23F57"/>
    <w:rsid w:val="00B242F9"/>
    <w:rsid w:val="00B24EAC"/>
    <w:rsid w:val="00B25046"/>
    <w:rsid w:val="00B25621"/>
    <w:rsid w:val="00B25865"/>
    <w:rsid w:val="00B25A86"/>
    <w:rsid w:val="00B267C1"/>
    <w:rsid w:val="00B2689F"/>
    <w:rsid w:val="00B26904"/>
    <w:rsid w:val="00B269A1"/>
    <w:rsid w:val="00B274D9"/>
    <w:rsid w:val="00B27D78"/>
    <w:rsid w:val="00B30A7C"/>
    <w:rsid w:val="00B30BE3"/>
    <w:rsid w:val="00B31AB6"/>
    <w:rsid w:val="00B325B3"/>
    <w:rsid w:val="00B32600"/>
    <w:rsid w:val="00B32B28"/>
    <w:rsid w:val="00B32CF2"/>
    <w:rsid w:val="00B32FA7"/>
    <w:rsid w:val="00B33268"/>
    <w:rsid w:val="00B3355D"/>
    <w:rsid w:val="00B3378F"/>
    <w:rsid w:val="00B337C1"/>
    <w:rsid w:val="00B33A9F"/>
    <w:rsid w:val="00B33B8D"/>
    <w:rsid w:val="00B33C4F"/>
    <w:rsid w:val="00B345BF"/>
    <w:rsid w:val="00B34737"/>
    <w:rsid w:val="00B355D7"/>
    <w:rsid w:val="00B35901"/>
    <w:rsid w:val="00B35BA6"/>
    <w:rsid w:val="00B35BFA"/>
    <w:rsid w:val="00B35DB3"/>
    <w:rsid w:val="00B35EBB"/>
    <w:rsid w:val="00B3623C"/>
    <w:rsid w:val="00B362A3"/>
    <w:rsid w:val="00B3672F"/>
    <w:rsid w:val="00B36A76"/>
    <w:rsid w:val="00B36AF9"/>
    <w:rsid w:val="00B4186C"/>
    <w:rsid w:val="00B4287D"/>
    <w:rsid w:val="00B42DB8"/>
    <w:rsid w:val="00B42E9C"/>
    <w:rsid w:val="00B4453F"/>
    <w:rsid w:val="00B44700"/>
    <w:rsid w:val="00B4495B"/>
    <w:rsid w:val="00B44B92"/>
    <w:rsid w:val="00B45737"/>
    <w:rsid w:val="00B458AE"/>
    <w:rsid w:val="00B45D5F"/>
    <w:rsid w:val="00B464DC"/>
    <w:rsid w:val="00B46C85"/>
    <w:rsid w:val="00B46D8A"/>
    <w:rsid w:val="00B46EDA"/>
    <w:rsid w:val="00B474D0"/>
    <w:rsid w:val="00B47E45"/>
    <w:rsid w:val="00B47EB2"/>
    <w:rsid w:val="00B5025E"/>
    <w:rsid w:val="00B50589"/>
    <w:rsid w:val="00B50B23"/>
    <w:rsid w:val="00B50F3A"/>
    <w:rsid w:val="00B5108F"/>
    <w:rsid w:val="00B51520"/>
    <w:rsid w:val="00B51717"/>
    <w:rsid w:val="00B52178"/>
    <w:rsid w:val="00B5299A"/>
    <w:rsid w:val="00B52F08"/>
    <w:rsid w:val="00B53242"/>
    <w:rsid w:val="00B53794"/>
    <w:rsid w:val="00B542E3"/>
    <w:rsid w:val="00B548E2"/>
    <w:rsid w:val="00B5515D"/>
    <w:rsid w:val="00B55C45"/>
    <w:rsid w:val="00B55C81"/>
    <w:rsid w:val="00B56A88"/>
    <w:rsid w:val="00B577C7"/>
    <w:rsid w:val="00B603FB"/>
    <w:rsid w:val="00B60F21"/>
    <w:rsid w:val="00B615DC"/>
    <w:rsid w:val="00B6165F"/>
    <w:rsid w:val="00B61A53"/>
    <w:rsid w:val="00B62AF0"/>
    <w:rsid w:val="00B62FED"/>
    <w:rsid w:val="00B63091"/>
    <w:rsid w:val="00B633F6"/>
    <w:rsid w:val="00B63420"/>
    <w:rsid w:val="00B63851"/>
    <w:rsid w:val="00B63952"/>
    <w:rsid w:val="00B640FC"/>
    <w:rsid w:val="00B644FB"/>
    <w:rsid w:val="00B65121"/>
    <w:rsid w:val="00B6567F"/>
    <w:rsid w:val="00B65B16"/>
    <w:rsid w:val="00B662BC"/>
    <w:rsid w:val="00B66632"/>
    <w:rsid w:val="00B66A7E"/>
    <w:rsid w:val="00B67E1E"/>
    <w:rsid w:val="00B71DCA"/>
    <w:rsid w:val="00B72553"/>
    <w:rsid w:val="00B725C8"/>
    <w:rsid w:val="00B726FE"/>
    <w:rsid w:val="00B7362F"/>
    <w:rsid w:val="00B73D51"/>
    <w:rsid w:val="00B7412E"/>
    <w:rsid w:val="00B74981"/>
    <w:rsid w:val="00B74A82"/>
    <w:rsid w:val="00B74F21"/>
    <w:rsid w:val="00B75019"/>
    <w:rsid w:val="00B7503E"/>
    <w:rsid w:val="00B75180"/>
    <w:rsid w:val="00B751CE"/>
    <w:rsid w:val="00B754FD"/>
    <w:rsid w:val="00B75B26"/>
    <w:rsid w:val="00B75C66"/>
    <w:rsid w:val="00B7639D"/>
    <w:rsid w:val="00B76573"/>
    <w:rsid w:val="00B77452"/>
    <w:rsid w:val="00B77AED"/>
    <w:rsid w:val="00B804E9"/>
    <w:rsid w:val="00B807BB"/>
    <w:rsid w:val="00B81302"/>
    <w:rsid w:val="00B8140D"/>
    <w:rsid w:val="00B8162E"/>
    <w:rsid w:val="00B82D30"/>
    <w:rsid w:val="00B82DE4"/>
    <w:rsid w:val="00B83ACD"/>
    <w:rsid w:val="00B83BE1"/>
    <w:rsid w:val="00B84235"/>
    <w:rsid w:val="00B8446C"/>
    <w:rsid w:val="00B85021"/>
    <w:rsid w:val="00B860E1"/>
    <w:rsid w:val="00B86DF0"/>
    <w:rsid w:val="00B87378"/>
    <w:rsid w:val="00B875EF"/>
    <w:rsid w:val="00B87745"/>
    <w:rsid w:val="00B87BCC"/>
    <w:rsid w:val="00B87C05"/>
    <w:rsid w:val="00B87F86"/>
    <w:rsid w:val="00B900AA"/>
    <w:rsid w:val="00B9033D"/>
    <w:rsid w:val="00B9047D"/>
    <w:rsid w:val="00B90AC8"/>
    <w:rsid w:val="00B91A8B"/>
    <w:rsid w:val="00B91AFA"/>
    <w:rsid w:val="00B92585"/>
    <w:rsid w:val="00B93669"/>
    <w:rsid w:val="00B937CE"/>
    <w:rsid w:val="00B9408A"/>
    <w:rsid w:val="00B94329"/>
    <w:rsid w:val="00B94B25"/>
    <w:rsid w:val="00B95137"/>
    <w:rsid w:val="00B95A1D"/>
    <w:rsid w:val="00B95FD5"/>
    <w:rsid w:val="00B9674C"/>
    <w:rsid w:val="00B96A14"/>
    <w:rsid w:val="00B97691"/>
    <w:rsid w:val="00B97949"/>
    <w:rsid w:val="00BA0A62"/>
    <w:rsid w:val="00BA0BD7"/>
    <w:rsid w:val="00BA13C4"/>
    <w:rsid w:val="00BA161D"/>
    <w:rsid w:val="00BA1E75"/>
    <w:rsid w:val="00BA225C"/>
    <w:rsid w:val="00BA3257"/>
    <w:rsid w:val="00BA32AD"/>
    <w:rsid w:val="00BA34CF"/>
    <w:rsid w:val="00BA34E0"/>
    <w:rsid w:val="00BA3BCA"/>
    <w:rsid w:val="00BA405A"/>
    <w:rsid w:val="00BA416E"/>
    <w:rsid w:val="00BA4396"/>
    <w:rsid w:val="00BA44F2"/>
    <w:rsid w:val="00BA45BF"/>
    <w:rsid w:val="00BA5442"/>
    <w:rsid w:val="00BA5A4F"/>
    <w:rsid w:val="00BA6403"/>
    <w:rsid w:val="00BA6B2F"/>
    <w:rsid w:val="00BA7151"/>
    <w:rsid w:val="00BA7CD6"/>
    <w:rsid w:val="00BB0727"/>
    <w:rsid w:val="00BB1356"/>
    <w:rsid w:val="00BB1525"/>
    <w:rsid w:val="00BB155C"/>
    <w:rsid w:val="00BB1676"/>
    <w:rsid w:val="00BB1EF3"/>
    <w:rsid w:val="00BB29C5"/>
    <w:rsid w:val="00BB367E"/>
    <w:rsid w:val="00BB3807"/>
    <w:rsid w:val="00BB381D"/>
    <w:rsid w:val="00BB3C83"/>
    <w:rsid w:val="00BB458C"/>
    <w:rsid w:val="00BB45B3"/>
    <w:rsid w:val="00BB4B46"/>
    <w:rsid w:val="00BB54E4"/>
    <w:rsid w:val="00BB558D"/>
    <w:rsid w:val="00BB5D8D"/>
    <w:rsid w:val="00BB7319"/>
    <w:rsid w:val="00BB771A"/>
    <w:rsid w:val="00BB7B58"/>
    <w:rsid w:val="00BC09BC"/>
    <w:rsid w:val="00BC12CD"/>
    <w:rsid w:val="00BC1402"/>
    <w:rsid w:val="00BC1558"/>
    <w:rsid w:val="00BC1FCA"/>
    <w:rsid w:val="00BC258E"/>
    <w:rsid w:val="00BC28A9"/>
    <w:rsid w:val="00BC338F"/>
    <w:rsid w:val="00BC44B7"/>
    <w:rsid w:val="00BC4569"/>
    <w:rsid w:val="00BC49E0"/>
    <w:rsid w:val="00BC4B06"/>
    <w:rsid w:val="00BC51B7"/>
    <w:rsid w:val="00BC573E"/>
    <w:rsid w:val="00BC61BE"/>
    <w:rsid w:val="00BC65F2"/>
    <w:rsid w:val="00BC69ED"/>
    <w:rsid w:val="00BC6E04"/>
    <w:rsid w:val="00BC7335"/>
    <w:rsid w:val="00BC736C"/>
    <w:rsid w:val="00BC75AA"/>
    <w:rsid w:val="00BD019A"/>
    <w:rsid w:val="00BD0892"/>
    <w:rsid w:val="00BD20B0"/>
    <w:rsid w:val="00BD21E0"/>
    <w:rsid w:val="00BD28E5"/>
    <w:rsid w:val="00BD311D"/>
    <w:rsid w:val="00BD3EAA"/>
    <w:rsid w:val="00BD4504"/>
    <w:rsid w:val="00BD4642"/>
    <w:rsid w:val="00BD4894"/>
    <w:rsid w:val="00BD4AE8"/>
    <w:rsid w:val="00BD529F"/>
    <w:rsid w:val="00BD5723"/>
    <w:rsid w:val="00BD576D"/>
    <w:rsid w:val="00BD5DEF"/>
    <w:rsid w:val="00BD668E"/>
    <w:rsid w:val="00BD7A09"/>
    <w:rsid w:val="00BE068E"/>
    <w:rsid w:val="00BE0994"/>
    <w:rsid w:val="00BE0B73"/>
    <w:rsid w:val="00BE1492"/>
    <w:rsid w:val="00BE1A9F"/>
    <w:rsid w:val="00BE1E14"/>
    <w:rsid w:val="00BE24E5"/>
    <w:rsid w:val="00BE2A68"/>
    <w:rsid w:val="00BE2D7D"/>
    <w:rsid w:val="00BE352F"/>
    <w:rsid w:val="00BE384B"/>
    <w:rsid w:val="00BE3F06"/>
    <w:rsid w:val="00BE407C"/>
    <w:rsid w:val="00BE50E7"/>
    <w:rsid w:val="00BE5218"/>
    <w:rsid w:val="00BE5518"/>
    <w:rsid w:val="00BE562E"/>
    <w:rsid w:val="00BE5F94"/>
    <w:rsid w:val="00BE5FFE"/>
    <w:rsid w:val="00BE61DD"/>
    <w:rsid w:val="00BF060A"/>
    <w:rsid w:val="00BF06D9"/>
    <w:rsid w:val="00BF1557"/>
    <w:rsid w:val="00BF16E4"/>
    <w:rsid w:val="00BF1937"/>
    <w:rsid w:val="00BF1BC6"/>
    <w:rsid w:val="00BF1BDB"/>
    <w:rsid w:val="00BF1CDE"/>
    <w:rsid w:val="00BF2F69"/>
    <w:rsid w:val="00BF2FE1"/>
    <w:rsid w:val="00BF3280"/>
    <w:rsid w:val="00BF3556"/>
    <w:rsid w:val="00BF37D5"/>
    <w:rsid w:val="00BF4069"/>
    <w:rsid w:val="00BF48C0"/>
    <w:rsid w:val="00BF56C4"/>
    <w:rsid w:val="00BF5EEC"/>
    <w:rsid w:val="00BF61B4"/>
    <w:rsid w:val="00BF6260"/>
    <w:rsid w:val="00BF63CD"/>
    <w:rsid w:val="00BF673E"/>
    <w:rsid w:val="00BF67CD"/>
    <w:rsid w:val="00BF79F2"/>
    <w:rsid w:val="00C00082"/>
    <w:rsid w:val="00C00C4F"/>
    <w:rsid w:val="00C020A6"/>
    <w:rsid w:val="00C02522"/>
    <w:rsid w:val="00C027B4"/>
    <w:rsid w:val="00C0319E"/>
    <w:rsid w:val="00C032C6"/>
    <w:rsid w:val="00C03332"/>
    <w:rsid w:val="00C03409"/>
    <w:rsid w:val="00C034B1"/>
    <w:rsid w:val="00C03B4E"/>
    <w:rsid w:val="00C03CE2"/>
    <w:rsid w:val="00C052F5"/>
    <w:rsid w:val="00C059A3"/>
    <w:rsid w:val="00C06136"/>
    <w:rsid w:val="00C0640C"/>
    <w:rsid w:val="00C06613"/>
    <w:rsid w:val="00C0683E"/>
    <w:rsid w:val="00C06966"/>
    <w:rsid w:val="00C0733F"/>
    <w:rsid w:val="00C07A4A"/>
    <w:rsid w:val="00C104B2"/>
    <w:rsid w:val="00C114BD"/>
    <w:rsid w:val="00C11610"/>
    <w:rsid w:val="00C11978"/>
    <w:rsid w:val="00C11C84"/>
    <w:rsid w:val="00C120F5"/>
    <w:rsid w:val="00C12175"/>
    <w:rsid w:val="00C13B10"/>
    <w:rsid w:val="00C14F20"/>
    <w:rsid w:val="00C1574F"/>
    <w:rsid w:val="00C16504"/>
    <w:rsid w:val="00C16928"/>
    <w:rsid w:val="00C17185"/>
    <w:rsid w:val="00C17211"/>
    <w:rsid w:val="00C17CCE"/>
    <w:rsid w:val="00C17D5E"/>
    <w:rsid w:val="00C17DF7"/>
    <w:rsid w:val="00C17FC1"/>
    <w:rsid w:val="00C2003D"/>
    <w:rsid w:val="00C2017D"/>
    <w:rsid w:val="00C203E2"/>
    <w:rsid w:val="00C20AC2"/>
    <w:rsid w:val="00C20F98"/>
    <w:rsid w:val="00C224D2"/>
    <w:rsid w:val="00C2307D"/>
    <w:rsid w:val="00C2356E"/>
    <w:rsid w:val="00C2377D"/>
    <w:rsid w:val="00C23E49"/>
    <w:rsid w:val="00C24060"/>
    <w:rsid w:val="00C2443C"/>
    <w:rsid w:val="00C248E3"/>
    <w:rsid w:val="00C249D7"/>
    <w:rsid w:val="00C24CA6"/>
    <w:rsid w:val="00C25AAC"/>
    <w:rsid w:val="00C270DF"/>
    <w:rsid w:val="00C275EA"/>
    <w:rsid w:val="00C278DA"/>
    <w:rsid w:val="00C27E78"/>
    <w:rsid w:val="00C30130"/>
    <w:rsid w:val="00C301BC"/>
    <w:rsid w:val="00C30DB2"/>
    <w:rsid w:val="00C30E34"/>
    <w:rsid w:val="00C31439"/>
    <w:rsid w:val="00C3147B"/>
    <w:rsid w:val="00C31E9A"/>
    <w:rsid w:val="00C31E9C"/>
    <w:rsid w:val="00C3205C"/>
    <w:rsid w:val="00C320DD"/>
    <w:rsid w:val="00C32FBC"/>
    <w:rsid w:val="00C33AD7"/>
    <w:rsid w:val="00C33BF8"/>
    <w:rsid w:val="00C3579F"/>
    <w:rsid w:val="00C359B2"/>
    <w:rsid w:val="00C36102"/>
    <w:rsid w:val="00C370B8"/>
    <w:rsid w:val="00C3785D"/>
    <w:rsid w:val="00C40326"/>
    <w:rsid w:val="00C403A6"/>
    <w:rsid w:val="00C404B8"/>
    <w:rsid w:val="00C40C01"/>
    <w:rsid w:val="00C41CDE"/>
    <w:rsid w:val="00C41DA7"/>
    <w:rsid w:val="00C41E92"/>
    <w:rsid w:val="00C42096"/>
    <w:rsid w:val="00C42245"/>
    <w:rsid w:val="00C4349C"/>
    <w:rsid w:val="00C448F4"/>
    <w:rsid w:val="00C44BC7"/>
    <w:rsid w:val="00C45534"/>
    <w:rsid w:val="00C45BD2"/>
    <w:rsid w:val="00C45DD8"/>
    <w:rsid w:val="00C45E29"/>
    <w:rsid w:val="00C46B95"/>
    <w:rsid w:val="00C46F0A"/>
    <w:rsid w:val="00C47275"/>
    <w:rsid w:val="00C475A4"/>
    <w:rsid w:val="00C476AD"/>
    <w:rsid w:val="00C476EA"/>
    <w:rsid w:val="00C50077"/>
    <w:rsid w:val="00C500B5"/>
    <w:rsid w:val="00C502B0"/>
    <w:rsid w:val="00C50B83"/>
    <w:rsid w:val="00C50E1E"/>
    <w:rsid w:val="00C51305"/>
    <w:rsid w:val="00C513D4"/>
    <w:rsid w:val="00C52D06"/>
    <w:rsid w:val="00C537AC"/>
    <w:rsid w:val="00C53C89"/>
    <w:rsid w:val="00C540B8"/>
    <w:rsid w:val="00C54306"/>
    <w:rsid w:val="00C546B9"/>
    <w:rsid w:val="00C54934"/>
    <w:rsid w:val="00C54E0A"/>
    <w:rsid w:val="00C5513E"/>
    <w:rsid w:val="00C5526D"/>
    <w:rsid w:val="00C55D11"/>
    <w:rsid w:val="00C55FD4"/>
    <w:rsid w:val="00C56080"/>
    <w:rsid w:val="00C56167"/>
    <w:rsid w:val="00C566D8"/>
    <w:rsid w:val="00C56E76"/>
    <w:rsid w:val="00C57001"/>
    <w:rsid w:val="00C57690"/>
    <w:rsid w:val="00C57C57"/>
    <w:rsid w:val="00C604D0"/>
    <w:rsid w:val="00C60A14"/>
    <w:rsid w:val="00C60D7C"/>
    <w:rsid w:val="00C61F77"/>
    <w:rsid w:val="00C6206A"/>
    <w:rsid w:val="00C6257C"/>
    <w:rsid w:val="00C628D6"/>
    <w:rsid w:val="00C63059"/>
    <w:rsid w:val="00C6338C"/>
    <w:rsid w:val="00C63475"/>
    <w:rsid w:val="00C638C0"/>
    <w:rsid w:val="00C641E9"/>
    <w:rsid w:val="00C642A9"/>
    <w:rsid w:val="00C651FF"/>
    <w:rsid w:val="00C65CA4"/>
    <w:rsid w:val="00C65F39"/>
    <w:rsid w:val="00C66EE8"/>
    <w:rsid w:val="00C67452"/>
    <w:rsid w:val="00C676EF"/>
    <w:rsid w:val="00C677D9"/>
    <w:rsid w:val="00C6783F"/>
    <w:rsid w:val="00C704DB"/>
    <w:rsid w:val="00C70B91"/>
    <w:rsid w:val="00C70F93"/>
    <w:rsid w:val="00C71067"/>
    <w:rsid w:val="00C7137E"/>
    <w:rsid w:val="00C7146C"/>
    <w:rsid w:val="00C714D0"/>
    <w:rsid w:val="00C715CD"/>
    <w:rsid w:val="00C72069"/>
    <w:rsid w:val="00C725E8"/>
    <w:rsid w:val="00C727F5"/>
    <w:rsid w:val="00C7281A"/>
    <w:rsid w:val="00C72BF2"/>
    <w:rsid w:val="00C73DE2"/>
    <w:rsid w:val="00C73F14"/>
    <w:rsid w:val="00C73F21"/>
    <w:rsid w:val="00C7422A"/>
    <w:rsid w:val="00C7462D"/>
    <w:rsid w:val="00C74CD1"/>
    <w:rsid w:val="00C74DC0"/>
    <w:rsid w:val="00C759C9"/>
    <w:rsid w:val="00C75CAD"/>
    <w:rsid w:val="00C76308"/>
    <w:rsid w:val="00C76E18"/>
    <w:rsid w:val="00C76FB0"/>
    <w:rsid w:val="00C77C82"/>
    <w:rsid w:val="00C80C99"/>
    <w:rsid w:val="00C810D0"/>
    <w:rsid w:val="00C816AA"/>
    <w:rsid w:val="00C819AD"/>
    <w:rsid w:val="00C81CF9"/>
    <w:rsid w:val="00C81F31"/>
    <w:rsid w:val="00C82CED"/>
    <w:rsid w:val="00C835A5"/>
    <w:rsid w:val="00C84085"/>
    <w:rsid w:val="00C84306"/>
    <w:rsid w:val="00C84514"/>
    <w:rsid w:val="00C84680"/>
    <w:rsid w:val="00C84F76"/>
    <w:rsid w:val="00C85270"/>
    <w:rsid w:val="00C85989"/>
    <w:rsid w:val="00C859D7"/>
    <w:rsid w:val="00C86A10"/>
    <w:rsid w:val="00C8764A"/>
    <w:rsid w:val="00C879A0"/>
    <w:rsid w:val="00C87C9E"/>
    <w:rsid w:val="00C87D51"/>
    <w:rsid w:val="00C90ECC"/>
    <w:rsid w:val="00C91569"/>
    <w:rsid w:val="00C9157E"/>
    <w:rsid w:val="00C92AC1"/>
    <w:rsid w:val="00C92FEA"/>
    <w:rsid w:val="00C9387D"/>
    <w:rsid w:val="00C94533"/>
    <w:rsid w:val="00C9682A"/>
    <w:rsid w:val="00C975AE"/>
    <w:rsid w:val="00C97960"/>
    <w:rsid w:val="00CA0061"/>
    <w:rsid w:val="00CA065B"/>
    <w:rsid w:val="00CA0710"/>
    <w:rsid w:val="00CA24A3"/>
    <w:rsid w:val="00CA29E0"/>
    <w:rsid w:val="00CA2BCE"/>
    <w:rsid w:val="00CA2C7A"/>
    <w:rsid w:val="00CA36C4"/>
    <w:rsid w:val="00CA4159"/>
    <w:rsid w:val="00CA5FE8"/>
    <w:rsid w:val="00CA6469"/>
    <w:rsid w:val="00CA6670"/>
    <w:rsid w:val="00CA6E57"/>
    <w:rsid w:val="00CA7EC4"/>
    <w:rsid w:val="00CB010F"/>
    <w:rsid w:val="00CB0BE0"/>
    <w:rsid w:val="00CB1837"/>
    <w:rsid w:val="00CB18D0"/>
    <w:rsid w:val="00CB1AA3"/>
    <w:rsid w:val="00CB2B57"/>
    <w:rsid w:val="00CB2F62"/>
    <w:rsid w:val="00CB3418"/>
    <w:rsid w:val="00CB454C"/>
    <w:rsid w:val="00CB5076"/>
    <w:rsid w:val="00CB52E5"/>
    <w:rsid w:val="00CB5611"/>
    <w:rsid w:val="00CB591A"/>
    <w:rsid w:val="00CB5FB2"/>
    <w:rsid w:val="00CB6B0A"/>
    <w:rsid w:val="00CB71F4"/>
    <w:rsid w:val="00CB729D"/>
    <w:rsid w:val="00CB7341"/>
    <w:rsid w:val="00CB7698"/>
    <w:rsid w:val="00CB78AE"/>
    <w:rsid w:val="00CB799A"/>
    <w:rsid w:val="00CC007D"/>
    <w:rsid w:val="00CC0711"/>
    <w:rsid w:val="00CC143F"/>
    <w:rsid w:val="00CC1FE6"/>
    <w:rsid w:val="00CC2DEC"/>
    <w:rsid w:val="00CC301A"/>
    <w:rsid w:val="00CC38EB"/>
    <w:rsid w:val="00CC3CF6"/>
    <w:rsid w:val="00CC41EF"/>
    <w:rsid w:val="00CC42CD"/>
    <w:rsid w:val="00CC4D68"/>
    <w:rsid w:val="00CC5A73"/>
    <w:rsid w:val="00CC62DD"/>
    <w:rsid w:val="00CC6441"/>
    <w:rsid w:val="00CC66F5"/>
    <w:rsid w:val="00CC67D3"/>
    <w:rsid w:val="00CC67E3"/>
    <w:rsid w:val="00CC6E49"/>
    <w:rsid w:val="00CC6F92"/>
    <w:rsid w:val="00CC74CA"/>
    <w:rsid w:val="00CC78EF"/>
    <w:rsid w:val="00CC7F43"/>
    <w:rsid w:val="00CD044D"/>
    <w:rsid w:val="00CD0E49"/>
    <w:rsid w:val="00CD1273"/>
    <w:rsid w:val="00CD2B1F"/>
    <w:rsid w:val="00CD2B8C"/>
    <w:rsid w:val="00CD2EDF"/>
    <w:rsid w:val="00CD327A"/>
    <w:rsid w:val="00CD33D3"/>
    <w:rsid w:val="00CD3C4E"/>
    <w:rsid w:val="00CD3E86"/>
    <w:rsid w:val="00CD4554"/>
    <w:rsid w:val="00CD45DD"/>
    <w:rsid w:val="00CD4C1E"/>
    <w:rsid w:val="00CD5282"/>
    <w:rsid w:val="00CD52E3"/>
    <w:rsid w:val="00CD53AD"/>
    <w:rsid w:val="00CD53F8"/>
    <w:rsid w:val="00CD586C"/>
    <w:rsid w:val="00CD600D"/>
    <w:rsid w:val="00CD6102"/>
    <w:rsid w:val="00CD634B"/>
    <w:rsid w:val="00CD6550"/>
    <w:rsid w:val="00CD7924"/>
    <w:rsid w:val="00CE0528"/>
    <w:rsid w:val="00CE0A5F"/>
    <w:rsid w:val="00CE0B0D"/>
    <w:rsid w:val="00CE143D"/>
    <w:rsid w:val="00CE1CBD"/>
    <w:rsid w:val="00CE2207"/>
    <w:rsid w:val="00CE28BD"/>
    <w:rsid w:val="00CE33C3"/>
    <w:rsid w:val="00CE34B5"/>
    <w:rsid w:val="00CE3508"/>
    <w:rsid w:val="00CE3EC6"/>
    <w:rsid w:val="00CE45BB"/>
    <w:rsid w:val="00CE46A4"/>
    <w:rsid w:val="00CE50A6"/>
    <w:rsid w:val="00CE57D7"/>
    <w:rsid w:val="00CE5EB9"/>
    <w:rsid w:val="00CE619E"/>
    <w:rsid w:val="00CE7047"/>
    <w:rsid w:val="00CE7503"/>
    <w:rsid w:val="00CE7D7D"/>
    <w:rsid w:val="00CF061E"/>
    <w:rsid w:val="00CF1AA8"/>
    <w:rsid w:val="00CF1AEC"/>
    <w:rsid w:val="00CF3183"/>
    <w:rsid w:val="00CF3194"/>
    <w:rsid w:val="00CF34F6"/>
    <w:rsid w:val="00CF3C4E"/>
    <w:rsid w:val="00CF3F7E"/>
    <w:rsid w:val="00CF41F5"/>
    <w:rsid w:val="00CF5268"/>
    <w:rsid w:val="00CF552F"/>
    <w:rsid w:val="00CF5797"/>
    <w:rsid w:val="00CF597B"/>
    <w:rsid w:val="00CF5986"/>
    <w:rsid w:val="00CF5FD5"/>
    <w:rsid w:val="00CF623A"/>
    <w:rsid w:val="00CF6364"/>
    <w:rsid w:val="00CF64FA"/>
    <w:rsid w:val="00CF78A5"/>
    <w:rsid w:val="00CF7A16"/>
    <w:rsid w:val="00CF7C18"/>
    <w:rsid w:val="00D008F2"/>
    <w:rsid w:val="00D012DA"/>
    <w:rsid w:val="00D018FF"/>
    <w:rsid w:val="00D01C56"/>
    <w:rsid w:val="00D01C6B"/>
    <w:rsid w:val="00D01CF8"/>
    <w:rsid w:val="00D02447"/>
    <w:rsid w:val="00D02892"/>
    <w:rsid w:val="00D02936"/>
    <w:rsid w:val="00D02B79"/>
    <w:rsid w:val="00D0324B"/>
    <w:rsid w:val="00D0350B"/>
    <w:rsid w:val="00D037E8"/>
    <w:rsid w:val="00D039EE"/>
    <w:rsid w:val="00D03B80"/>
    <w:rsid w:val="00D03E24"/>
    <w:rsid w:val="00D0468D"/>
    <w:rsid w:val="00D04D60"/>
    <w:rsid w:val="00D05234"/>
    <w:rsid w:val="00D05A38"/>
    <w:rsid w:val="00D05D43"/>
    <w:rsid w:val="00D05E18"/>
    <w:rsid w:val="00D0606C"/>
    <w:rsid w:val="00D075E9"/>
    <w:rsid w:val="00D10DCD"/>
    <w:rsid w:val="00D1151F"/>
    <w:rsid w:val="00D11D2F"/>
    <w:rsid w:val="00D12424"/>
    <w:rsid w:val="00D1265B"/>
    <w:rsid w:val="00D12DDD"/>
    <w:rsid w:val="00D12ED0"/>
    <w:rsid w:val="00D13595"/>
    <w:rsid w:val="00D13663"/>
    <w:rsid w:val="00D13C12"/>
    <w:rsid w:val="00D1490E"/>
    <w:rsid w:val="00D14BC3"/>
    <w:rsid w:val="00D14CFB"/>
    <w:rsid w:val="00D14EBB"/>
    <w:rsid w:val="00D15094"/>
    <w:rsid w:val="00D1512D"/>
    <w:rsid w:val="00D1587C"/>
    <w:rsid w:val="00D15C87"/>
    <w:rsid w:val="00D16321"/>
    <w:rsid w:val="00D16422"/>
    <w:rsid w:val="00D167E4"/>
    <w:rsid w:val="00D16A42"/>
    <w:rsid w:val="00D16BCB"/>
    <w:rsid w:val="00D1738E"/>
    <w:rsid w:val="00D17A7F"/>
    <w:rsid w:val="00D17BB1"/>
    <w:rsid w:val="00D17DA4"/>
    <w:rsid w:val="00D20362"/>
    <w:rsid w:val="00D203DB"/>
    <w:rsid w:val="00D2074A"/>
    <w:rsid w:val="00D210CA"/>
    <w:rsid w:val="00D21270"/>
    <w:rsid w:val="00D216E3"/>
    <w:rsid w:val="00D21A29"/>
    <w:rsid w:val="00D21D2D"/>
    <w:rsid w:val="00D21D33"/>
    <w:rsid w:val="00D227D4"/>
    <w:rsid w:val="00D22A5C"/>
    <w:rsid w:val="00D232DE"/>
    <w:rsid w:val="00D2348F"/>
    <w:rsid w:val="00D24B23"/>
    <w:rsid w:val="00D256B9"/>
    <w:rsid w:val="00D25C61"/>
    <w:rsid w:val="00D25E29"/>
    <w:rsid w:val="00D25F87"/>
    <w:rsid w:val="00D2600E"/>
    <w:rsid w:val="00D26227"/>
    <w:rsid w:val="00D27508"/>
    <w:rsid w:val="00D278E2"/>
    <w:rsid w:val="00D27C34"/>
    <w:rsid w:val="00D30291"/>
    <w:rsid w:val="00D30416"/>
    <w:rsid w:val="00D305A8"/>
    <w:rsid w:val="00D305AA"/>
    <w:rsid w:val="00D30E05"/>
    <w:rsid w:val="00D31375"/>
    <w:rsid w:val="00D32089"/>
    <w:rsid w:val="00D32170"/>
    <w:rsid w:val="00D3239F"/>
    <w:rsid w:val="00D32701"/>
    <w:rsid w:val="00D32A20"/>
    <w:rsid w:val="00D32EC7"/>
    <w:rsid w:val="00D3340A"/>
    <w:rsid w:val="00D338FF"/>
    <w:rsid w:val="00D339A7"/>
    <w:rsid w:val="00D340FD"/>
    <w:rsid w:val="00D34303"/>
    <w:rsid w:val="00D34AE9"/>
    <w:rsid w:val="00D3554E"/>
    <w:rsid w:val="00D360D5"/>
    <w:rsid w:val="00D365F2"/>
    <w:rsid w:val="00D372D9"/>
    <w:rsid w:val="00D37639"/>
    <w:rsid w:val="00D37F61"/>
    <w:rsid w:val="00D403D2"/>
    <w:rsid w:val="00D404C1"/>
    <w:rsid w:val="00D40B65"/>
    <w:rsid w:val="00D40D6F"/>
    <w:rsid w:val="00D41105"/>
    <w:rsid w:val="00D415FD"/>
    <w:rsid w:val="00D41BD6"/>
    <w:rsid w:val="00D41EB4"/>
    <w:rsid w:val="00D41FC0"/>
    <w:rsid w:val="00D42024"/>
    <w:rsid w:val="00D42389"/>
    <w:rsid w:val="00D42865"/>
    <w:rsid w:val="00D4310F"/>
    <w:rsid w:val="00D436C5"/>
    <w:rsid w:val="00D43B78"/>
    <w:rsid w:val="00D43C11"/>
    <w:rsid w:val="00D444D6"/>
    <w:rsid w:val="00D45872"/>
    <w:rsid w:val="00D46340"/>
    <w:rsid w:val="00D47B26"/>
    <w:rsid w:val="00D50579"/>
    <w:rsid w:val="00D50694"/>
    <w:rsid w:val="00D5091C"/>
    <w:rsid w:val="00D51826"/>
    <w:rsid w:val="00D51AC8"/>
    <w:rsid w:val="00D52365"/>
    <w:rsid w:val="00D5244D"/>
    <w:rsid w:val="00D52EF4"/>
    <w:rsid w:val="00D53225"/>
    <w:rsid w:val="00D5419A"/>
    <w:rsid w:val="00D55483"/>
    <w:rsid w:val="00D556DA"/>
    <w:rsid w:val="00D55766"/>
    <w:rsid w:val="00D56021"/>
    <w:rsid w:val="00D568A9"/>
    <w:rsid w:val="00D56962"/>
    <w:rsid w:val="00D5710E"/>
    <w:rsid w:val="00D57131"/>
    <w:rsid w:val="00D57158"/>
    <w:rsid w:val="00D5774C"/>
    <w:rsid w:val="00D57F95"/>
    <w:rsid w:val="00D6014C"/>
    <w:rsid w:val="00D60634"/>
    <w:rsid w:val="00D6063A"/>
    <w:rsid w:val="00D60CC5"/>
    <w:rsid w:val="00D615B1"/>
    <w:rsid w:val="00D61AE8"/>
    <w:rsid w:val="00D623B9"/>
    <w:rsid w:val="00D623FC"/>
    <w:rsid w:val="00D627CD"/>
    <w:rsid w:val="00D62AD5"/>
    <w:rsid w:val="00D62E02"/>
    <w:rsid w:val="00D62EB6"/>
    <w:rsid w:val="00D6332D"/>
    <w:rsid w:val="00D6395D"/>
    <w:rsid w:val="00D642A0"/>
    <w:rsid w:val="00D649BA"/>
    <w:rsid w:val="00D659AB"/>
    <w:rsid w:val="00D660DC"/>
    <w:rsid w:val="00D665EF"/>
    <w:rsid w:val="00D6688E"/>
    <w:rsid w:val="00D66B0D"/>
    <w:rsid w:val="00D66FEE"/>
    <w:rsid w:val="00D706C5"/>
    <w:rsid w:val="00D70A78"/>
    <w:rsid w:val="00D70AAB"/>
    <w:rsid w:val="00D70C48"/>
    <w:rsid w:val="00D70CE2"/>
    <w:rsid w:val="00D71811"/>
    <w:rsid w:val="00D71BF0"/>
    <w:rsid w:val="00D71C15"/>
    <w:rsid w:val="00D71CEB"/>
    <w:rsid w:val="00D71D92"/>
    <w:rsid w:val="00D72230"/>
    <w:rsid w:val="00D722A1"/>
    <w:rsid w:val="00D7416F"/>
    <w:rsid w:val="00D745E3"/>
    <w:rsid w:val="00D7499C"/>
    <w:rsid w:val="00D74C8E"/>
    <w:rsid w:val="00D754CD"/>
    <w:rsid w:val="00D75669"/>
    <w:rsid w:val="00D75CCA"/>
    <w:rsid w:val="00D7600E"/>
    <w:rsid w:val="00D763A5"/>
    <w:rsid w:val="00D778C5"/>
    <w:rsid w:val="00D779FC"/>
    <w:rsid w:val="00D77E78"/>
    <w:rsid w:val="00D80061"/>
    <w:rsid w:val="00D8010F"/>
    <w:rsid w:val="00D8035F"/>
    <w:rsid w:val="00D80A6F"/>
    <w:rsid w:val="00D810CF"/>
    <w:rsid w:val="00D81CF1"/>
    <w:rsid w:val="00D82995"/>
    <w:rsid w:val="00D82B8B"/>
    <w:rsid w:val="00D83081"/>
    <w:rsid w:val="00D843E6"/>
    <w:rsid w:val="00D84EB8"/>
    <w:rsid w:val="00D85282"/>
    <w:rsid w:val="00D8598A"/>
    <w:rsid w:val="00D8607E"/>
    <w:rsid w:val="00D86419"/>
    <w:rsid w:val="00D86626"/>
    <w:rsid w:val="00D867F6"/>
    <w:rsid w:val="00D8689C"/>
    <w:rsid w:val="00D8764B"/>
    <w:rsid w:val="00D87E97"/>
    <w:rsid w:val="00D901D1"/>
    <w:rsid w:val="00D91424"/>
    <w:rsid w:val="00D9172E"/>
    <w:rsid w:val="00D91AE8"/>
    <w:rsid w:val="00D9212A"/>
    <w:rsid w:val="00D92D5B"/>
    <w:rsid w:val="00D95406"/>
    <w:rsid w:val="00D954FD"/>
    <w:rsid w:val="00D9589E"/>
    <w:rsid w:val="00D95C92"/>
    <w:rsid w:val="00D96184"/>
    <w:rsid w:val="00D96B54"/>
    <w:rsid w:val="00D970A9"/>
    <w:rsid w:val="00D97103"/>
    <w:rsid w:val="00D974ED"/>
    <w:rsid w:val="00DA0069"/>
    <w:rsid w:val="00DA0341"/>
    <w:rsid w:val="00DA0C6E"/>
    <w:rsid w:val="00DA17CC"/>
    <w:rsid w:val="00DA1E1A"/>
    <w:rsid w:val="00DA29E0"/>
    <w:rsid w:val="00DA3318"/>
    <w:rsid w:val="00DA387E"/>
    <w:rsid w:val="00DA3B96"/>
    <w:rsid w:val="00DA3C6D"/>
    <w:rsid w:val="00DA3DA8"/>
    <w:rsid w:val="00DA4FCB"/>
    <w:rsid w:val="00DA5DED"/>
    <w:rsid w:val="00DA5F1A"/>
    <w:rsid w:val="00DA614E"/>
    <w:rsid w:val="00DA6469"/>
    <w:rsid w:val="00DA6B88"/>
    <w:rsid w:val="00DA6DA0"/>
    <w:rsid w:val="00DA767F"/>
    <w:rsid w:val="00DA76F2"/>
    <w:rsid w:val="00DB0E6C"/>
    <w:rsid w:val="00DB0EF6"/>
    <w:rsid w:val="00DB15F2"/>
    <w:rsid w:val="00DB177F"/>
    <w:rsid w:val="00DB235A"/>
    <w:rsid w:val="00DB2668"/>
    <w:rsid w:val="00DB2811"/>
    <w:rsid w:val="00DB3A3F"/>
    <w:rsid w:val="00DB3B99"/>
    <w:rsid w:val="00DB3C54"/>
    <w:rsid w:val="00DB4260"/>
    <w:rsid w:val="00DB4366"/>
    <w:rsid w:val="00DB48A7"/>
    <w:rsid w:val="00DB494B"/>
    <w:rsid w:val="00DB53BD"/>
    <w:rsid w:val="00DB56A7"/>
    <w:rsid w:val="00DB6136"/>
    <w:rsid w:val="00DB64EF"/>
    <w:rsid w:val="00DB7A11"/>
    <w:rsid w:val="00DB7BAF"/>
    <w:rsid w:val="00DB7DB7"/>
    <w:rsid w:val="00DC04E9"/>
    <w:rsid w:val="00DC08EA"/>
    <w:rsid w:val="00DC0E28"/>
    <w:rsid w:val="00DC1163"/>
    <w:rsid w:val="00DC1497"/>
    <w:rsid w:val="00DC21C5"/>
    <w:rsid w:val="00DC22D7"/>
    <w:rsid w:val="00DC2D44"/>
    <w:rsid w:val="00DC2E19"/>
    <w:rsid w:val="00DC3030"/>
    <w:rsid w:val="00DC3181"/>
    <w:rsid w:val="00DC3F11"/>
    <w:rsid w:val="00DC4EB5"/>
    <w:rsid w:val="00DC5452"/>
    <w:rsid w:val="00DC5974"/>
    <w:rsid w:val="00DC6196"/>
    <w:rsid w:val="00DC6F10"/>
    <w:rsid w:val="00DC796B"/>
    <w:rsid w:val="00DD1788"/>
    <w:rsid w:val="00DD220C"/>
    <w:rsid w:val="00DD22A2"/>
    <w:rsid w:val="00DD2E7E"/>
    <w:rsid w:val="00DD40A4"/>
    <w:rsid w:val="00DD4517"/>
    <w:rsid w:val="00DD49DA"/>
    <w:rsid w:val="00DD49F4"/>
    <w:rsid w:val="00DD4CB9"/>
    <w:rsid w:val="00DD4DD3"/>
    <w:rsid w:val="00DD57E7"/>
    <w:rsid w:val="00DD5ABC"/>
    <w:rsid w:val="00DD5AD7"/>
    <w:rsid w:val="00DD66E2"/>
    <w:rsid w:val="00DD7DC3"/>
    <w:rsid w:val="00DE096B"/>
    <w:rsid w:val="00DE1C64"/>
    <w:rsid w:val="00DE20AA"/>
    <w:rsid w:val="00DE279E"/>
    <w:rsid w:val="00DE3027"/>
    <w:rsid w:val="00DE396E"/>
    <w:rsid w:val="00DE3FA7"/>
    <w:rsid w:val="00DE40B9"/>
    <w:rsid w:val="00DE42D9"/>
    <w:rsid w:val="00DE4D8E"/>
    <w:rsid w:val="00DE4E28"/>
    <w:rsid w:val="00DE51AC"/>
    <w:rsid w:val="00DE529D"/>
    <w:rsid w:val="00DE53C2"/>
    <w:rsid w:val="00DE547D"/>
    <w:rsid w:val="00DE7295"/>
    <w:rsid w:val="00DE73CB"/>
    <w:rsid w:val="00DE79CC"/>
    <w:rsid w:val="00DE7B84"/>
    <w:rsid w:val="00DF0E06"/>
    <w:rsid w:val="00DF0EDC"/>
    <w:rsid w:val="00DF1DE6"/>
    <w:rsid w:val="00DF252B"/>
    <w:rsid w:val="00DF2D98"/>
    <w:rsid w:val="00DF2E62"/>
    <w:rsid w:val="00DF3116"/>
    <w:rsid w:val="00DF37E2"/>
    <w:rsid w:val="00DF3AB2"/>
    <w:rsid w:val="00DF3BC9"/>
    <w:rsid w:val="00DF3BEE"/>
    <w:rsid w:val="00DF40E6"/>
    <w:rsid w:val="00DF53EE"/>
    <w:rsid w:val="00DF62CC"/>
    <w:rsid w:val="00DF6823"/>
    <w:rsid w:val="00DF68C2"/>
    <w:rsid w:val="00DF69D6"/>
    <w:rsid w:val="00DF6A27"/>
    <w:rsid w:val="00DF723E"/>
    <w:rsid w:val="00DF78D6"/>
    <w:rsid w:val="00E003C6"/>
    <w:rsid w:val="00E003DB"/>
    <w:rsid w:val="00E00A96"/>
    <w:rsid w:val="00E00E3A"/>
    <w:rsid w:val="00E0161F"/>
    <w:rsid w:val="00E021F0"/>
    <w:rsid w:val="00E026A1"/>
    <w:rsid w:val="00E03A2B"/>
    <w:rsid w:val="00E03AB2"/>
    <w:rsid w:val="00E03ADC"/>
    <w:rsid w:val="00E03AE4"/>
    <w:rsid w:val="00E03F86"/>
    <w:rsid w:val="00E0433C"/>
    <w:rsid w:val="00E04444"/>
    <w:rsid w:val="00E05E45"/>
    <w:rsid w:val="00E0613F"/>
    <w:rsid w:val="00E068AA"/>
    <w:rsid w:val="00E06C7D"/>
    <w:rsid w:val="00E06FC7"/>
    <w:rsid w:val="00E070BA"/>
    <w:rsid w:val="00E077E4"/>
    <w:rsid w:val="00E1088A"/>
    <w:rsid w:val="00E10E08"/>
    <w:rsid w:val="00E112A0"/>
    <w:rsid w:val="00E113BF"/>
    <w:rsid w:val="00E117E3"/>
    <w:rsid w:val="00E118C0"/>
    <w:rsid w:val="00E11B19"/>
    <w:rsid w:val="00E12185"/>
    <w:rsid w:val="00E1233A"/>
    <w:rsid w:val="00E12542"/>
    <w:rsid w:val="00E129EF"/>
    <w:rsid w:val="00E12CF1"/>
    <w:rsid w:val="00E13170"/>
    <w:rsid w:val="00E13550"/>
    <w:rsid w:val="00E13B6C"/>
    <w:rsid w:val="00E1503B"/>
    <w:rsid w:val="00E15A8F"/>
    <w:rsid w:val="00E15EC8"/>
    <w:rsid w:val="00E16FF5"/>
    <w:rsid w:val="00E20C31"/>
    <w:rsid w:val="00E2101B"/>
    <w:rsid w:val="00E2104F"/>
    <w:rsid w:val="00E210CE"/>
    <w:rsid w:val="00E21953"/>
    <w:rsid w:val="00E21B16"/>
    <w:rsid w:val="00E22337"/>
    <w:rsid w:val="00E228BE"/>
    <w:rsid w:val="00E229CD"/>
    <w:rsid w:val="00E22B50"/>
    <w:rsid w:val="00E22F1B"/>
    <w:rsid w:val="00E23653"/>
    <w:rsid w:val="00E23E7A"/>
    <w:rsid w:val="00E24CA4"/>
    <w:rsid w:val="00E27759"/>
    <w:rsid w:val="00E301E2"/>
    <w:rsid w:val="00E302E7"/>
    <w:rsid w:val="00E3033C"/>
    <w:rsid w:val="00E30BD0"/>
    <w:rsid w:val="00E30CCA"/>
    <w:rsid w:val="00E30FD8"/>
    <w:rsid w:val="00E310CE"/>
    <w:rsid w:val="00E31F1D"/>
    <w:rsid w:val="00E335E9"/>
    <w:rsid w:val="00E34078"/>
    <w:rsid w:val="00E34453"/>
    <w:rsid w:val="00E36AE6"/>
    <w:rsid w:val="00E36F06"/>
    <w:rsid w:val="00E37927"/>
    <w:rsid w:val="00E37B12"/>
    <w:rsid w:val="00E4015C"/>
    <w:rsid w:val="00E4050F"/>
    <w:rsid w:val="00E406BF"/>
    <w:rsid w:val="00E41A44"/>
    <w:rsid w:val="00E41A8A"/>
    <w:rsid w:val="00E42069"/>
    <w:rsid w:val="00E433D7"/>
    <w:rsid w:val="00E43714"/>
    <w:rsid w:val="00E43908"/>
    <w:rsid w:val="00E44077"/>
    <w:rsid w:val="00E4410F"/>
    <w:rsid w:val="00E44427"/>
    <w:rsid w:val="00E45331"/>
    <w:rsid w:val="00E453CB"/>
    <w:rsid w:val="00E4552B"/>
    <w:rsid w:val="00E45554"/>
    <w:rsid w:val="00E45BB9"/>
    <w:rsid w:val="00E46023"/>
    <w:rsid w:val="00E46513"/>
    <w:rsid w:val="00E46F66"/>
    <w:rsid w:val="00E47A90"/>
    <w:rsid w:val="00E47D36"/>
    <w:rsid w:val="00E47E9C"/>
    <w:rsid w:val="00E47F4E"/>
    <w:rsid w:val="00E50C1F"/>
    <w:rsid w:val="00E50D65"/>
    <w:rsid w:val="00E513F0"/>
    <w:rsid w:val="00E51661"/>
    <w:rsid w:val="00E51CFE"/>
    <w:rsid w:val="00E5270D"/>
    <w:rsid w:val="00E52916"/>
    <w:rsid w:val="00E529BE"/>
    <w:rsid w:val="00E52F9F"/>
    <w:rsid w:val="00E53AF0"/>
    <w:rsid w:val="00E542A3"/>
    <w:rsid w:val="00E54396"/>
    <w:rsid w:val="00E544E5"/>
    <w:rsid w:val="00E5565B"/>
    <w:rsid w:val="00E56286"/>
    <w:rsid w:val="00E566B3"/>
    <w:rsid w:val="00E569C6"/>
    <w:rsid w:val="00E56B0E"/>
    <w:rsid w:val="00E60023"/>
    <w:rsid w:val="00E60441"/>
    <w:rsid w:val="00E60A35"/>
    <w:rsid w:val="00E60E88"/>
    <w:rsid w:val="00E617F2"/>
    <w:rsid w:val="00E624E6"/>
    <w:rsid w:val="00E626C5"/>
    <w:rsid w:val="00E62BFE"/>
    <w:rsid w:val="00E62F1B"/>
    <w:rsid w:val="00E636F3"/>
    <w:rsid w:val="00E63F1A"/>
    <w:rsid w:val="00E63F73"/>
    <w:rsid w:val="00E64149"/>
    <w:rsid w:val="00E64A02"/>
    <w:rsid w:val="00E65256"/>
    <w:rsid w:val="00E66469"/>
    <w:rsid w:val="00E66654"/>
    <w:rsid w:val="00E668F0"/>
    <w:rsid w:val="00E6799D"/>
    <w:rsid w:val="00E679A2"/>
    <w:rsid w:val="00E700D7"/>
    <w:rsid w:val="00E704FC"/>
    <w:rsid w:val="00E70C3A"/>
    <w:rsid w:val="00E712E9"/>
    <w:rsid w:val="00E7222B"/>
    <w:rsid w:val="00E72266"/>
    <w:rsid w:val="00E7243E"/>
    <w:rsid w:val="00E72820"/>
    <w:rsid w:val="00E72D00"/>
    <w:rsid w:val="00E731AD"/>
    <w:rsid w:val="00E735DA"/>
    <w:rsid w:val="00E7417E"/>
    <w:rsid w:val="00E746C8"/>
    <w:rsid w:val="00E74B67"/>
    <w:rsid w:val="00E74D14"/>
    <w:rsid w:val="00E76697"/>
    <w:rsid w:val="00E76AC2"/>
    <w:rsid w:val="00E76F89"/>
    <w:rsid w:val="00E76FD0"/>
    <w:rsid w:val="00E77221"/>
    <w:rsid w:val="00E77644"/>
    <w:rsid w:val="00E77858"/>
    <w:rsid w:val="00E77981"/>
    <w:rsid w:val="00E80C10"/>
    <w:rsid w:val="00E819A0"/>
    <w:rsid w:val="00E819FD"/>
    <w:rsid w:val="00E821F1"/>
    <w:rsid w:val="00E827A3"/>
    <w:rsid w:val="00E827CC"/>
    <w:rsid w:val="00E83104"/>
    <w:rsid w:val="00E83294"/>
    <w:rsid w:val="00E833CC"/>
    <w:rsid w:val="00E83828"/>
    <w:rsid w:val="00E84449"/>
    <w:rsid w:val="00E8445C"/>
    <w:rsid w:val="00E847ED"/>
    <w:rsid w:val="00E84B00"/>
    <w:rsid w:val="00E85326"/>
    <w:rsid w:val="00E856C6"/>
    <w:rsid w:val="00E85D6F"/>
    <w:rsid w:val="00E8600F"/>
    <w:rsid w:val="00E86042"/>
    <w:rsid w:val="00E86315"/>
    <w:rsid w:val="00E86484"/>
    <w:rsid w:val="00E87A02"/>
    <w:rsid w:val="00E90385"/>
    <w:rsid w:val="00E912B9"/>
    <w:rsid w:val="00E91502"/>
    <w:rsid w:val="00E916E7"/>
    <w:rsid w:val="00E91936"/>
    <w:rsid w:val="00E91EAC"/>
    <w:rsid w:val="00E9258E"/>
    <w:rsid w:val="00E92B5A"/>
    <w:rsid w:val="00E939EE"/>
    <w:rsid w:val="00E93B89"/>
    <w:rsid w:val="00E94715"/>
    <w:rsid w:val="00E94A87"/>
    <w:rsid w:val="00E95509"/>
    <w:rsid w:val="00E95A26"/>
    <w:rsid w:val="00E95CCE"/>
    <w:rsid w:val="00E96026"/>
    <w:rsid w:val="00E9671F"/>
    <w:rsid w:val="00E96BA1"/>
    <w:rsid w:val="00E97161"/>
    <w:rsid w:val="00EA0095"/>
    <w:rsid w:val="00EA0B9E"/>
    <w:rsid w:val="00EA0E56"/>
    <w:rsid w:val="00EA0F70"/>
    <w:rsid w:val="00EA1205"/>
    <w:rsid w:val="00EA1418"/>
    <w:rsid w:val="00EA2594"/>
    <w:rsid w:val="00EA289D"/>
    <w:rsid w:val="00EA2C43"/>
    <w:rsid w:val="00EA3080"/>
    <w:rsid w:val="00EA381F"/>
    <w:rsid w:val="00EA395D"/>
    <w:rsid w:val="00EA4552"/>
    <w:rsid w:val="00EA47D4"/>
    <w:rsid w:val="00EA4A32"/>
    <w:rsid w:val="00EA4BEA"/>
    <w:rsid w:val="00EA5892"/>
    <w:rsid w:val="00EA5A62"/>
    <w:rsid w:val="00EA5D52"/>
    <w:rsid w:val="00EA642F"/>
    <w:rsid w:val="00EA68C2"/>
    <w:rsid w:val="00EB0198"/>
    <w:rsid w:val="00EB0BEE"/>
    <w:rsid w:val="00EB0E11"/>
    <w:rsid w:val="00EB135A"/>
    <w:rsid w:val="00EB1A87"/>
    <w:rsid w:val="00EB2270"/>
    <w:rsid w:val="00EB288C"/>
    <w:rsid w:val="00EB2A0B"/>
    <w:rsid w:val="00EB2F4F"/>
    <w:rsid w:val="00EB397E"/>
    <w:rsid w:val="00EB3D6C"/>
    <w:rsid w:val="00EB47BE"/>
    <w:rsid w:val="00EB4851"/>
    <w:rsid w:val="00EB4B6F"/>
    <w:rsid w:val="00EB4BEB"/>
    <w:rsid w:val="00EB4DFB"/>
    <w:rsid w:val="00EB53BB"/>
    <w:rsid w:val="00EB5472"/>
    <w:rsid w:val="00EB5558"/>
    <w:rsid w:val="00EB57CE"/>
    <w:rsid w:val="00EB57D8"/>
    <w:rsid w:val="00EB6240"/>
    <w:rsid w:val="00EB644D"/>
    <w:rsid w:val="00EB7140"/>
    <w:rsid w:val="00EB72DC"/>
    <w:rsid w:val="00EB77BD"/>
    <w:rsid w:val="00EB7BB1"/>
    <w:rsid w:val="00EC056E"/>
    <w:rsid w:val="00EC057A"/>
    <w:rsid w:val="00EC1656"/>
    <w:rsid w:val="00EC184E"/>
    <w:rsid w:val="00EC19E6"/>
    <w:rsid w:val="00EC26DB"/>
    <w:rsid w:val="00EC2B2F"/>
    <w:rsid w:val="00EC2F8B"/>
    <w:rsid w:val="00EC3426"/>
    <w:rsid w:val="00EC3F18"/>
    <w:rsid w:val="00EC4AE5"/>
    <w:rsid w:val="00EC4FF4"/>
    <w:rsid w:val="00EC6966"/>
    <w:rsid w:val="00EC6C06"/>
    <w:rsid w:val="00EC7531"/>
    <w:rsid w:val="00EC753E"/>
    <w:rsid w:val="00EC7780"/>
    <w:rsid w:val="00EC78EB"/>
    <w:rsid w:val="00ED0247"/>
    <w:rsid w:val="00ED0537"/>
    <w:rsid w:val="00ED0BA7"/>
    <w:rsid w:val="00ED0C2E"/>
    <w:rsid w:val="00ED122E"/>
    <w:rsid w:val="00ED131A"/>
    <w:rsid w:val="00ED135E"/>
    <w:rsid w:val="00ED1903"/>
    <w:rsid w:val="00ED1FA3"/>
    <w:rsid w:val="00ED34DF"/>
    <w:rsid w:val="00ED3B5C"/>
    <w:rsid w:val="00ED3D92"/>
    <w:rsid w:val="00ED3EB8"/>
    <w:rsid w:val="00ED414A"/>
    <w:rsid w:val="00ED482D"/>
    <w:rsid w:val="00ED5107"/>
    <w:rsid w:val="00ED5670"/>
    <w:rsid w:val="00ED5800"/>
    <w:rsid w:val="00ED5F25"/>
    <w:rsid w:val="00ED60FB"/>
    <w:rsid w:val="00ED612A"/>
    <w:rsid w:val="00ED6A56"/>
    <w:rsid w:val="00ED6E0D"/>
    <w:rsid w:val="00ED6F66"/>
    <w:rsid w:val="00ED7150"/>
    <w:rsid w:val="00ED7D85"/>
    <w:rsid w:val="00EE001B"/>
    <w:rsid w:val="00EE0654"/>
    <w:rsid w:val="00EE07A5"/>
    <w:rsid w:val="00EE0F9A"/>
    <w:rsid w:val="00EE15B1"/>
    <w:rsid w:val="00EE1A5A"/>
    <w:rsid w:val="00EE2B5E"/>
    <w:rsid w:val="00EE3217"/>
    <w:rsid w:val="00EE34D6"/>
    <w:rsid w:val="00EE3E8D"/>
    <w:rsid w:val="00EE4095"/>
    <w:rsid w:val="00EE460C"/>
    <w:rsid w:val="00EE48E8"/>
    <w:rsid w:val="00EE4C76"/>
    <w:rsid w:val="00EE4DDE"/>
    <w:rsid w:val="00EE4F1E"/>
    <w:rsid w:val="00EE5784"/>
    <w:rsid w:val="00EE6138"/>
    <w:rsid w:val="00EE628E"/>
    <w:rsid w:val="00EE6882"/>
    <w:rsid w:val="00EE68D4"/>
    <w:rsid w:val="00EF07D0"/>
    <w:rsid w:val="00EF08B0"/>
    <w:rsid w:val="00EF0D7C"/>
    <w:rsid w:val="00EF0E6D"/>
    <w:rsid w:val="00EF109B"/>
    <w:rsid w:val="00EF156B"/>
    <w:rsid w:val="00EF1CC0"/>
    <w:rsid w:val="00EF2B89"/>
    <w:rsid w:val="00EF356D"/>
    <w:rsid w:val="00EF3A49"/>
    <w:rsid w:val="00EF3C52"/>
    <w:rsid w:val="00EF3CDD"/>
    <w:rsid w:val="00EF4F82"/>
    <w:rsid w:val="00EF5D51"/>
    <w:rsid w:val="00EF5DC7"/>
    <w:rsid w:val="00EF6094"/>
    <w:rsid w:val="00EF647B"/>
    <w:rsid w:val="00EF69C2"/>
    <w:rsid w:val="00EF6C83"/>
    <w:rsid w:val="00EF701F"/>
    <w:rsid w:val="00EF71E7"/>
    <w:rsid w:val="00EF7AB0"/>
    <w:rsid w:val="00EF7FB3"/>
    <w:rsid w:val="00F001D0"/>
    <w:rsid w:val="00F005AA"/>
    <w:rsid w:val="00F01C99"/>
    <w:rsid w:val="00F0207A"/>
    <w:rsid w:val="00F0215C"/>
    <w:rsid w:val="00F022FB"/>
    <w:rsid w:val="00F02EE2"/>
    <w:rsid w:val="00F03681"/>
    <w:rsid w:val="00F03E44"/>
    <w:rsid w:val="00F04822"/>
    <w:rsid w:val="00F04EAF"/>
    <w:rsid w:val="00F05BF9"/>
    <w:rsid w:val="00F06038"/>
    <w:rsid w:val="00F11347"/>
    <w:rsid w:val="00F11DDB"/>
    <w:rsid w:val="00F12732"/>
    <w:rsid w:val="00F127FD"/>
    <w:rsid w:val="00F13634"/>
    <w:rsid w:val="00F13763"/>
    <w:rsid w:val="00F13D74"/>
    <w:rsid w:val="00F13E55"/>
    <w:rsid w:val="00F1432D"/>
    <w:rsid w:val="00F1451A"/>
    <w:rsid w:val="00F14B02"/>
    <w:rsid w:val="00F14B80"/>
    <w:rsid w:val="00F14B85"/>
    <w:rsid w:val="00F14D4B"/>
    <w:rsid w:val="00F15956"/>
    <w:rsid w:val="00F15F95"/>
    <w:rsid w:val="00F1697A"/>
    <w:rsid w:val="00F16C46"/>
    <w:rsid w:val="00F17DD0"/>
    <w:rsid w:val="00F20E40"/>
    <w:rsid w:val="00F2124C"/>
    <w:rsid w:val="00F21B4E"/>
    <w:rsid w:val="00F22005"/>
    <w:rsid w:val="00F232E4"/>
    <w:rsid w:val="00F234D0"/>
    <w:rsid w:val="00F2449C"/>
    <w:rsid w:val="00F25B86"/>
    <w:rsid w:val="00F2755A"/>
    <w:rsid w:val="00F2775A"/>
    <w:rsid w:val="00F278FB"/>
    <w:rsid w:val="00F30174"/>
    <w:rsid w:val="00F30237"/>
    <w:rsid w:val="00F306DB"/>
    <w:rsid w:val="00F310B3"/>
    <w:rsid w:val="00F316C8"/>
    <w:rsid w:val="00F31884"/>
    <w:rsid w:val="00F326CE"/>
    <w:rsid w:val="00F33211"/>
    <w:rsid w:val="00F336D2"/>
    <w:rsid w:val="00F3373D"/>
    <w:rsid w:val="00F33ABA"/>
    <w:rsid w:val="00F33F96"/>
    <w:rsid w:val="00F343F2"/>
    <w:rsid w:val="00F3463D"/>
    <w:rsid w:val="00F34702"/>
    <w:rsid w:val="00F34BC2"/>
    <w:rsid w:val="00F34F06"/>
    <w:rsid w:val="00F35592"/>
    <w:rsid w:val="00F35A54"/>
    <w:rsid w:val="00F360FA"/>
    <w:rsid w:val="00F36257"/>
    <w:rsid w:val="00F3717C"/>
    <w:rsid w:val="00F37A6A"/>
    <w:rsid w:val="00F37CBE"/>
    <w:rsid w:val="00F40191"/>
    <w:rsid w:val="00F40662"/>
    <w:rsid w:val="00F40B17"/>
    <w:rsid w:val="00F40DC5"/>
    <w:rsid w:val="00F40F93"/>
    <w:rsid w:val="00F41637"/>
    <w:rsid w:val="00F41C88"/>
    <w:rsid w:val="00F420EA"/>
    <w:rsid w:val="00F421AE"/>
    <w:rsid w:val="00F42587"/>
    <w:rsid w:val="00F4369A"/>
    <w:rsid w:val="00F4388E"/>
    <w:rsid w:val="00F4495D"/>
    <w:rsid w:val="00F44BED"/>
    <w:rsid w:val="00F44C3D"/>
    <w:rsid w:val="00F44D9C"/>
    <w:rsid w:val="00F44F68"/>
    <w:rsid w:val="00F45890"/>
    <w:rsid w:val="00F45917"/>
    <w:rsid w:val="00F45974"/>
    <w:rsid w:val="00F45992"/>
    <w:rsid w:val="00F4628B"/>
    <w:rsid w:val="00F46819"/>
    <w:rsid w:val="00F46936"/>
    <w:rsid w:val="00F5181B"/>
    <w:rsid w:val="00F51835"/>
    <w:rsid w:val="00F51A95"/>
    <w:rsid w:val="00F520E1"/>
    <w:rsid w:val="00F5254C"/>
    <w:rsid w:val="00F52AC1"/>
    <w:rsid w:val="00F52E33"/>
    <w:rsid w:val="00F52E91"/>
    <w:rsid w:val="00F52E98"/>
    <w:rsid w:val="00F53E1E"/>
    <w:rsid w:val="00F54165"/>
    <w:rsid w:val="00F541DD"/>
    <w:rsid w:val="00F54910"/>
    <w:rsid w:val="00F54E3D"/>
    <w:rsid w:val="00F54FDB"/>
    <w:rsid w:val="00F55165"/>
    <w:rsid w:val="00F55313"/>
    <w:rsid w:val="00F55E87"/>
    <w:rsid w:val="00F565FA"/>
    <w:rsid w:val="00F567E3"/>
    <w:rsid w:val="00F56CE9"/>
    <w:rsid w:val="00F570E4"/>
    <w:rsid w:val="00F60901"/>
    <w:rsid w:val="00F60AB0"/>
    <w:rsid w:val="00F6102B"/>
    <w:rsid w:val="00F6158C"/>
    <w:rsid w:val="00F6173C"/>
    <w:rsid w:val="00F619CC"/>
    <w:rsid w:val="00F62615"/>
    <w:rsid w:val="00F6299B"/>
    <w:rsid w:val="00F62D08"/>
    <w:rsid w:val="00F63B70"/>
    <w:rsid w:val="00F63C89"/>
    <w:rsid w:val="00F63D6E"/>
    <w:rsid w:val="00F64537"/>
    <w:rsid w:val="00F665A3"/>
    <w:rsid w:val="00F673FA"/>
    <w:rsid w:val="00F706D0"/>
    <w:rsid w:val="00F71510"/>
    <w:rsid w:val="00F721FF"/>
    <w:rsid w:val="00F7276B"/>
    <w:rsid w:val="00F72CE2"/>
    <w:rsid w:val="00F74995"/>
    <w:rsid w:val="00F74BF2"/>
    <w:rsid w:val="00F7590A"/>
    <w:rsid w:val="00F75999"/>
    <w:rsid w:val="00F76A4E"/>
    <w:rsid w:val="00F76BFA"/>
    <w:rsid w:val="00F770B9"/>
    <w:rsid w:val="00F77431"/>
    <w:rsid w:val="00F77485"/>
    <w:rsid w:val="00F77756"/>
    <w:rsid w:val="00F77F2E"/>
    <w:rsid w:val="00F804E6"/>
    <w:rsid w:val="00F80760"/>
    <w:rsid w:val="00F809FC"/>
    <w:rsid w:val="00F80FF6"/>
    <w:rsid w:val="00F81505"/>
    <w:rsid w:val="00F815B3"/>
    <w:rsid w:val="00F81FC1"/>
    <w:rsid w:val="00F82751"/>
    <w:rsid w:val="00F829CE"/>
    <w:rsid w:val="00F834E8"/>
    <w:rsid w:val="00F83684"/>
    <w:rsid w:val="00F84325"/>
    <w:rsid w:val="00F84A7B"/>
    <w:rsid w:val="00F84CFE"/>
    <w:rsid w:val="00F85285"/>
    <w:rsid w:val="00F856F4"/>
    <w:rsid w:val="00F85DA4"/>
    <w:rsid w:val="00F8649B"/>
    <w:rsid w:val="00F86D86"/>
    <w:rsid w:val="00F86FD9"/>
    <w:rsid w:val="00F876FD"/>
    <w:rsid w:val="00F877F2"/>
    <w:rsid w:val="00F879B8"/>
    <w:rsid w:val="00F90056"/>
    <w:rsid w:val="00F901A7"/>
    <w:rsid w:val="00F91280"/>
    <w:rsid w:val="00F914BF"/>
    <w:rsid w:val="00F914E5"/>
    <w:rsid w:val="00F91A2E"/>
    <w:rsid w:val="00F91DB3"/>
    <w:rsid w:val="00F9249B"/>
    <w:rsid w:val="00F9267F"/>
    <w:rsid w:val="00F932B5"/>
    <w:rsid w:val="00F934F0"/>
    <w:rsid w:val="00F93CE1"/>
    <w:rsid w:val="00F95349"/>
    <w:rsid w:val="00F9559F"/>
    <w:rsid w:val="00F958B1"/>
    <w:rsid w:val="00F95B03"/>
    <w:rsid w:val="00F96627"/>
    <w:rsid w:val="00F96732"/>
    <w:rsid w:val="00F96C0E"/>
    <w:rsid w:val="00F972F9"/>
    <w:rsid w:val="00F97557"/>
    <w:rsid w:val="00FA2222"/>
    <w:rsid w:val="00FA2459"/>
    <w:rsid w:val="00FA27B2"/>
    <w:rsid w:val="00FA331B"/>
    <w:rsid w:val="00FA37CC"/>
    <w:rsid w:val="00FA41BB"/>
    <w:rsid w:val="00FA44F1"/>
    <w:rsid w:val="00FA4C09"/>
    <w:rsid w:val="00FA5751"/>
    <w:rsid w:val="00FA5963"/>
    <w:rsid w:val="00FA65CC"/>
    <w:rsid w:val="00FA696E"/>
    <w:rsid w:val="00FA75E4"/>
    <w:rsid w:val="00FA7886"/>
    <w:rsid w:val="00FA7A70"/>
    <w:rsid w:val="00FB00F4"/>
    <w:rsid w:val="00FB02DB"/>
    <w:rsid w:val="00FB0B19"/>
    <w:rsid w:val="00FB1189"/>
    <w:rsid w:val="00FB230C"/>
    <w:rsid w:val="00FB377E"/>
    <w:rsid w:val="00FB3E8E"/>
    <w:rsid w:val="00FB4D9B"/>
    <w:rsid w:val="00FB68E0"/>
    <w:rsid w:val="00FB6964"/>
    <w:rsid w:val="00FB73FC"/>
    <w:rsid w:val="00FB7734"/>
    <w:rsid w:val="00FB7C2F"/>
    <w:rsid w:val="00FB7CC7"/>
    <w:rsid w:val="00FC0206"/>
    <w:rsid w:val="00FC05D4"/>
    <w:rsid w:val="00FC0D32"/>
    <w:rsid w:val="00FC177F"/>
    <w:rsid w:val="00FC1A00"/>
    <w:rsid w:val="00FC1AE0"/>
    <w:rsid w:val="00FC1B55"/>
    <w:rsid w:val="00FC2161"/>
    <w:rsid w:val="00FC32F1"/>
    <w:rsid w:val="00FC3325"/>
    <w:rsid w:val="00FC4292"/>
    <w:rsid w:val="00FC43D8"/>
    <w:rsid w:val="00FC4C95"/>
    <w:rsid w:val="00FC4F9C"/>
    <w:rsid w:val="00FC5437"/>
    <w:rsid w:val="00FC5AA6"/>
    <w:rsid w:val="00FC6D04"/>
    <w:rsid w:val="00FC71AA"/>
    <w:rsid w:val="00FC7296"/>
    <w:rsid w:val="00FC72A1"/>
    <w:rsid w:val="00FC7369"/>
    <w:rsid w:val="00FC7EF8"/>
    <w:rsid w:val="00FD03E4"/>
    <w:rsid w:val="00FD0FFB"/>
    <w:rsid w:val="00FD11B0"/>
    <w:rsid w:val="00FD125C"/>
    <w:rsid w:val="00FD15ED"/>
    <w:rsid w:val="00FD18B1"/>
    <w:rsid w:val="00FD1C24"/>
    <w:rsid w:val="00FD42F8"/>
    <w:rsid w:val="00FD4CCF"/>
    <w:rsid w:val="00FD4FAA"/>
    <w:rsid w:val="00FD542C"/>
    <w:rsid w:val="00FD63F4"/>
    <w:rsid w:val="00FD6506"/>
    <w:rsid w:val="00FD66E7"/>
    <w:rsid w:val="00FE025A"/>
    <w:rsid w:val="00FE0359"/>
    <w:rsid w:val="00FE0922"/>
    <w:rsid w:val="00FE0AE9"/>
    <w:rsid w:val="00FE0B90"/>
    <w:rsid w:val="00FE182F"/>
    <w:rsid w:val="00FE21C7"/>
    <w:rsid w:val="00FE24EE"/>
    <w:rsid w:val="00FE2822"/>
    <w:rsid w:val="00FE2D56"/>
    <w:rsid w:val="00FE320B"/>
    <w:rsid w:val="00FE4216"/>
    <w:rsid w:val="00FE4A0A"/>
    <w:rsid w:val="00FE568B"/>
    <w:rsid w:val="00FE6791"/>
    <w:rsid w:val="00FE6A56"/>
    <w:rsid w:val="00FE6AB3"/>
    <w:rsid w:val="00FE6C8E"/>
    <w:rsid w:val="00FE7152"/>
    <w:rsid w:val="00FE7771"/>
    <w:rsid w:val="00FF0CBC"/>
    <w:rsid w:val="00FF190C"/>
    <w:rsid w:val="00FF1CE6"/>
    <w:rsid w:val="00FF2107"/>
    <w:rsid w:val="00FF213F"/>
    <w:rsid w:val="00FF296A"/>
    <w:rsid w:val="00FF31F7"/>
    <w:rsid w:val="00FF3285"/>
    <w:rsid w:val="00FF3461"/>
    <w:rsid w:val="00FF418C"/>
    <w:rsid w:val="00FF42E4"/>
    <w:rsid w:val="00FF567B"/>
    <w:rsid w:val="00FF573A"/>
    <w:rsid w:val="00FF5E23"/>
    <w:rsid w:val="00FF65F7"/>
    <w:rsid w:val="00FF696C"/>
    <w:rsid w:val="00FF6A56"/>
    <w:rsid w:val="00FF6A6D"/>
    <w:rsid w:val="00FF6B8A"/>
    <w:rsid w:val="00FF70DE"/>
    <w:rsid w:val="00FF7301"/>
    <w:rsid w:val="00FF767C"/>
    <w:rsid w:val="00FF76E6"/>
    <w:rsid w:val="00FF77B7"/>
    <w:rsid w:val="00FF7A75"/>
    <w:rsid w:val="00FF7B92"/>
    <w:rsid w:val="00FF7D6F"/>
    <w:rsid w:val="0117551A"/>
    <w:rsid w:val="012A4E21"/>
    <w:rsid w:val="012F3B55"/>
    <w:rsid w:val="013A690F"/>
    <w:rsid w:val="015A1913"/>
    <w:rsid w:val="015A7948"/>
    <w:rsid w:val="015E2839"/>
    <w:rsid w:val="016B05BC"/>
    <w:rsid w:val="01777E30"/>
    <w:rsid w:val="01936020"/>
    <w:rsid w:val="01C15437"/>
    <w:rsid w:val="01C67396"/>
    <w:rsid w:val="01C90029"/>
    <w:rsid w:val="01E92329"/>
    <w:rsid w:val="01EE0EE9"/>
    <w:rsid w:val="01F125AA"/>
    <w:rsid w:val="01FA6612"/>
    <w:rsid w:val="01FE0052"/>
    <w:rsid w:val="02122AAF"/>
    <w:rsid w:val="021235EC"/>
    <w:rsid w:val="021671FC"/>
    <w:rsid w:val="02221DF9"/>
    <w:rsid w:val="0242118E"/>
    <w:rsid w:val="024F2D27"/>
    <w:rsid w:val="025C69AC"/>
    <w:rsid w:val="02790E31"/>
    <w:rsid w:val="027F2E0D"/>
    <w:rsid w:val="029F3EC4"/>
    <w:rsid w:val="02AD79EA"/>
    <w:rsid w:val="02AF1E27"/>
    <w:rsid w:val="02BE3F94"/>
    <w:rsid w:val="02BE5535"/>
    <w:rsid w:val="02C357E3"/>
    <w:rsid w:val="02DF6410"/>
    <w:rsid w:val="02F016DD"/>
    <w:rsid w:val="02F43A2B"/>
    <w:rsid w:val="03056DC8"/>
    <w:rsid w:val="03145467"/>
    <w:rsid w:val="031B7166"/>
    <w:rsid w:val="031C76EC"/>
    <w:rsid w:val="032A5E87"/>
    <w:rsid w:val="03333AA1"/>
    <w:rsid w:val="037D3E51"/>
    <w:rsid w:val="0395476E"/>
    <w:rsid w:val="039E3ADE"/>
    <w:rsid w:val="039E75C5"/>
    <w:rsid w:val="039F7B73"/>
    <w:rsid w:val="03B1695E"/>
    <w:rsid w:val="03E156A2"/>
    <w:rsid w:val="03EE4033"/>
    <w:rsid w:val="03F21F57"/>
    <w:rsid w:val="04003EB2"/>
    <w:rsid w:val="04020541"/>
    <w:rsid w:val="04271AF0"/>
    <w:rsid w:val="045460E0"/>
    <w:rsid w:val="045A31A4"/>
    <w:rsid w:val="04643AB8"/>
    <w:rsid w:val="046A6998"/>
    <w:rsid w:val="047E396A"/>
    <w:rsid w:val="0480087C"/>
    <w:rsid w:val="04873FF4"/>
    <w:rsid w:val="048C4BA2"/>
    <w:rsid w:val="04916503"/>
    <w:rsid w:val="04990B69"/>
    <w:rsid w:val="04AB2DF4"/>
    <w:rsid w:val="04BF5FAF"/>
    <w:rsid w:val="04D043AD"/>
    <w:rsid w:val="04F17197"/>
    <w:rsid w:val="0511593E"/>
    <w:rsid w:val="05132475"/>
    <w:rsid w:val="05141DF0"/>
    <w:rsid w:val="051D5FC6"/>
    <w:rsid w:val="05284395"/>
    <w:rsid w:val="05285B11"/>
    <w:rsid w:val="0531620D"/>
    <w:rsid w:val="05415BBD"/>
    <w:rsid w:val="05481A3A"/>
    <w:rsid w:val="0549490C"/>
    <w:rsid w:val="055178E9"/>
    <w:rsid w:val="05603190"/>
    <w:rsid w:val="057000C1"/>
    <w:rsid w:val="05713132"/>
    <w:rsid w:val="058D12A0"/>
    <w:rsid w:val="0598798D"/>
    <w:rsid w:val="05990C7D"/>
    <w:rsid w:val="05AE30F1"/>
    <w:rsid w:val="05B40ECA"/>
    <w:rsid w:val="05C100EB"/>
    <w:rsid w:val="05DD77DA"/>
    <w:rsid w:val="05E570CC"/>
    <w:rsid w:val="05E60001"/>
    <w:rsid w:val="05E61160"/>
    <w:rsid w:val="05E64FBA"/>
    <w:rsid w:val="05EF52C8"/>
    <w:rsid w:val="062A44AF"/>
    <w:rsid w:val="06612458"/>
    <w:rsid w:val="06633218"/>
    <w:rsid w:val="066D5F43"/>
    <w:rsid w:val="066F5090"/>
    <w:rsid w:val="067A5870"/>
    <w:rsid w:val="067A6032"/>
    <w:rsid w:val="068805E7"/>
    <w:rsid w:val="06881577"/>
    <w:rsid w:val="06992382"/>
    <w:rsid w:val="069F394E"/>
    <w:rsid w:val="06A170F3"/>
    <w:rsid w:val="06C26FEB"/>
    <w:rsid w:val="06C620FA"/>
    <w:rsid w:val="06C75CB5"/>
    <w:rsid w:val="06D13A06"/>
    <w:rsid w:val="06D56611"/>
    <w:rsid w:val="06DA6F81"/>
    <w:rsid w:val="06DC3A32"/>
    <w:rsid w:val="06E45F93"/>
    <w:rsid w:val="06F37001"/>
    <w:rsid w:val="07005B38"/>
    <w:rsid w:val="0705457D"/>
    <w:rsid w:val="07364A4C"/>
    <w:rsid w:val="075B095F"/>
    <w:rsid w:val="07687B73"/>
    <w:rsid w:val="076D2C0D"/>
    <w:rsid w:val="078968F1"/>
    <w:rsid w:val="078C107C"/>
    <w:rsid w:val="078E4C5C"/>
    <w:rsid w:val="07A359AA"/>
    <w:rsid w:val="07B00F1D"/>
    <w:rsid w:val="07DF782C"/>
    <w:rsid w:val="07F51BAB"/>
    <w:rsid w:val="080647CE"/>
    <w:rsid w:val="081A2A1A"/>
    <w:rsid w:val="08276797"/>
    <w:rsid w:val="082A5356"/>
    <w:rsid w:val="082D6F32"/>
    <w:rsid w:val="08625011"/>
    <w:rsid w:val="08682F69"/>
    <w:rsid w:val="08767126"/>
    <w:rsid w:val="0884628E"/>
    <w:rsid w:val="088816B9"/>
    <w:rsid w:val="089E1642"/>
    <w:rsid w:val="08BA426F"/>
    <w:rsid w:val="08D84358"/>
    <w:rsid w:val="08E522B1"/>
    <w:rsid w:val="08EB7112"/>
    <w:rsid w:val="08EC2B41"/>
    <w:rsid w:val="08EE5F29"/>
    <w:rsid w:val="08F07C2D"/>
    <w:rsid w:val="08F4703A"/>
    <w:rsid w:val="08F66B32"/>
    <w:rsid w:val="08FA146D"/>
    <w:rsid w:val="090030B6"/>
    <w:rsid w:val="090620B8"/>
    <w:rsid w:val="09127C2A"/>
    <w:rsid w:val="091A2C9A"/>
    <w:rsid w:val="091A7D77"/>
    <w:rsid w:val="09281FD6"/>
    <w:rsid w:val="09292548"/>
    <w:rsid w:val="092A2DE7"/>
    <w:rsid w:val="094314F2"/>
    <w:rsid w:val="09465B74"/>
    <w:rsid w:val="094846AB"/>
    <w:rsid w:val="0948646A"/>
    <w:rsid w:val="09551119"/>
    <w:rsid w:val="09577B8B"/>
    <w:rsid w:val="09675EB5"/>
    <w:rsid w:val="096E6879"/>
    <w:rsid w:val="098803D8"/>
    <w:rsid w:val="0992244E"/>
    <w:rsid w:val="0998469B"/>
    <w:rsid w:val="09A9515D"/>
    <w:rsid w:val="09AB6505"/>
    <w:rsid w:val="09AC384F"/>
    <w:rsid w:val="09B16020"/>
    <w:rsid w:val="09B76C6A"/>
    <w:rsid w:val="09BB62F2"/>
    <w:rsid w:val="09D26AB5"/>
    <w:rsid w:val="09EA7679"/>
    <w:rsid w:val="0A097FBA"/>
    <w:rsid w:val="0A1C2502"/>
    <w:rsid w:val="0A2B4270"/>
    <w:rsid w:val="0A452777"/>
    <w:rsid w:val="0A4632D9"/>
    <w:rsid w:val="0A4E36C6"/>
    <w:rsid w:val="0A5C220E"/>
    <w:rsid w:val="0A8B7316"/>
    <w:rsid w:val="0A8C110E"/>
    <w:rsid w:val="0AA16F7A"/>
    <w:rsid w:val="0AAA7062"/>
    <w:rsid w:val="0AAD4EDD"/>
    <w:rsid w:val="0AB55D02"/>
    <w:rsid w:val="0ABF0BD3"/>
    <w:rsid w:val="0ACC08EE"/>
    <w:rsid w:val="0AD05264"/>
    <w:rsid w:val="0ADB3B99"/>
    <w:rsid w:val="0AE5691F"/>
    <w:rsid w:val="0AEC6CAF"/>
    <w:rsid w:val="0AF639B0"/>
    <w:rsid w:val="0AF65375"/>
    <w:rsid w:val="0AFB19E5"/>
    <w:rsid w:val="0B081D3B"/>
    <w:rsid w:val="0B0C32F3"/>
    <w:rsid w:val="0B0C4720"/>
    <w:rsid w:val="0B197E66"/>
    <w:rsid w:val="0B266A33"/>
    <w:rsid w:val="0B2D2AD7"/>
    <w:rsid w:val="0B2E01DA"/>
    <w:rsid w:val="0B2E5519"/>
    <w:rsid w:val="0B346A82"/>
    <w:rsid w:val="0B38067D"/>
    <w:rsid w:val="0B3C6044"/>
    <w:rsid w:val="0B535598"/>
    <w:rsid w:val="0B5B4093"/>
    <w:rsid w:val="0B6E17CE"/>
    <w:rsid w:val="0B704E99"/>
    <w:rsid w:val="0B7371A6"/>
    <w:rsid w:val="0B7609EE"/>
    <w:rsid w:val="0B893A5C"/>
    <w:rsid w:val="0B8A79AF"/>
    <w:rsid w:val="0BA55BDE"/>
    <w:rsid w:val="0BB7E64E"/>
    <w:rsid w:val="0BBE3164"/>
    <w:rsid w:val="0BBE65A8"/>
    <w:rsid w:val="0BC407FB"/>
    <w:rsid w:val="0BDC277F"/>
    <w:rsid w:val="0BEF6659"/>
    <w:rsid w:val="0BF81BBC"/>
    <w:rsid w:val="0C015150"/>
    <w:rsid w:val="0C121E0B"/>
    <w:rsid w:val="0C195DBC"/>
    <w:rsid w:val="0C27651D"/>
    <w:rsid w:val="0C342351"/>
    <w:rsid w:val="0C347EB6"/>
    <w:rsid w:val="0C36466D"/>
    <w:rsid w:val="0C4161CB"/>
    <w:rsid w:val="0C5313A4"/>
    <w:rsid w:val="0C580538"/>
    <w:rsid w:val="0C5A588C"/>
    <w:rsid w:val="0C635FA4"/>
    <w:rsid w:val="0C682019"/>
    <w:rsid w:val="0C6B0C28"/>
    <w:rsid w:val="0C721CF1"/>
    <w:rsid w:val="0C751045"/>
    <w:rsid w:val="0C8E3C60"/>
    <w:rsid w:val="0C954B1D"/>
    <w:rsid w:val="0CAC493E"/>
    <w:rsid w:val="0CB85B3B"/>
    <w:rsid w:val="0CD10C70"/>
    <w:rsid w:val="0CDC30BC"/>
    <w:rsid w:val="0CE07323"/>
    <w:rsid w:val="0CE07C46"/>
    <w:rsid w:val="0CF5147B"/>
    <w:rsid w:val="0D025EA5"/>
    <w:rsid w:val="0D0B0957"/>
    <w:rsid w:val="0D142F14"/>
    <w:rsid w:val="0D2C0E94"/>
    <w:rsid w:val="0D2F35F9"/>
    <w:rsid w:val="0D66545C"/>
    <w:rsid w:val="0D6B717A"/>
    <w:rsid w:val="0D6F45C7"/>
    <w:rsid w:val="0DA25357"/>
    <w:rsid w:val="0DB1705C"/>
    <w:rsid w:val="0DB37D75"/>
    <w:rsid w:val="0DB811DB"/>
    <w:rsid w:val="0DBA2787"/>
    <w:rsid w:val="0DC12134"/>
    <w:rsid w:val="0DC31923"/>
    <w:rsid w:val="0DCA7B13"/>
    <w:rsid w:val="0DE44432"/>
    <w:rsid w:val="0DEF149A"/>
    <w:rsid w:val="0DF504D7"/>
    <w:rsid w:val="0E036A28"/>
    <w:rsid w:val="0E0552CC"/>
    <w:rsid w:val="0E2E0EBE"/>
    <w:rsid w:val="0E47447A"/>
    <w:rsid w:val="0E4C14FB"/>
    <w:rsid w:val="0E514EA5"/>
    <w:rsid w:val="0E634B18"/>
    <w:rsid w:val="0E6401D1"/>
    <w:rsid w:val="0E651521"/>
    <w:rsid w:val="0E661FB6"/>
    <w:rsid w:val="0E663744"/>
    <w:rsid w:val="0E6F23C7"/>
    <w:rsid w:val="0E763E38"/>
    <w:rsid w:val="0E836419"/>
    <w:rsid w:val="0E8854FB"/>
    <w:rsid w:val="0E947A66"/>
    <w:rsid w:val="0E9833E6"/>
    <w:rsid w:val="0EA77ADD"/>
    <w:rsid w:val="0EC37076"/>
    <w:rsid w:val="0EC37A24"/>
    <w:rsid w:val="0ED41EEF"/>
    <w:rsid w:val="0EF034AB"/>
    <w:rsid w:val="0F091448"/>
    <w:rsid w:val="0F154E41"/>
    <w:rsid w:val="0F1E70E7"/>
    <w:rsid w:val="0F293DB0"/>
    <w:rsid w:val="0F2E5D4C"/>
    <w:rsid w:val="0F355373"/>
    <w:rsid w:val="0F392121"/>
    <w:rsid w:val="0F500AAD"/>
    <w:rsid w:val="0F5838F2"/>
    <w:rsid w:val="0F7E7043"/>
    <w:rsid w:val="0FA04025"/>
    <w:rsid w:val="0FA96591"/>
    <w:rsid w:val="0FAA1800"/>
    <w:rsid w:val="0FAD455E"/>
    <w:rsid w:val="0FB94A66"/>
    <w:rsid w:val="0FBF12DE"/>
    <w:rsid w:val="0FC00FD2"/>
    <w:rsid w:val="0FC67B7E"/>
    <w:rsid w:val="0FCF6175"/>
    <w:rsid w:val="0FDE179C"/>
    <w:rsid w:val="0FE30618"/>
    <w:rsid w:val="0FE81C1D"/>
    <w:rsid w:val="0FF87DD2"/>
    <w:rsid w:val="10077BBA"/>
    <w:rsid w:val="101629EB"/>
    <w:rsid w:val="102736D0"/>
    <w:rsid w:val="102C7D44"/>
    <w:rsid w:val="10350AA9"/>
    <w:rsid w:val="106344F9"/>
    <w:rsid w:val="106E7C51"/>
    <w:rsid w:val="107B3173"/>
    <w:rsid w:val="10914F88"/>
    <w:rsid w:val="10A13E2A"/>
    <w:rsid w:val="10AF05A0"/>
    <w:rsid w:val="10B21301"/>
    <w:rsid w:val="10B75631"/>
    <w:rsid w:val="10C45CE4"/>
    <w:rsid w:val="110B2FB0"/>
    <w:rsid w:val="11315402"/>
    <w:rsid w:val="115D46B1"/>
    <w:rsid w:val="116537E5"/>
    <w:rsid w:val="1169450A"/>
    <w:rsid w:val="116B772E"/>
    <w:rsid w:val="118F3035"/>
    <w:rsid w:val="11902D52"/>
    <w:rsid w:val="1193139F"/>
    <w:rsid w:val="119836EC"/>
    <w:rsid w:val="11A113D2"/>
    <w:rsid w:val="11A337C2"/>
    <w:rsid w:val="11B91225"/>
    <w:rsid w:val="11D53A3D"/>
    <w:rsid w:val="11DE26F6"/>
    <w:rsid w:val="120F0E58"/>
    <w:rsid w:val="121635CE"/>
    <w:rsid w:val="12307B5E"/>
    <w:rsid w:val="1238707D"/>
    <w:rsid w:val="123F7018"/>
    <w:rsid w:val="125D54CB"/>
    <w:rsid w:val="126A535E"/>
    <w:rsid w:val="12822265"/>
    <w:rsid w:val="129B148F"/>
    <w:rsid w:val="12A204D0"/>
    <w:rsid w:val="12AF73DE"/>
    <w:rsid w:val="12B76B0D"/>
    <w:rsid w:val="12E332FA"/>
    <w:rsid w:val="12F12F9E"/>
    <w:rsid w:val="12F75FF5"/>
    <w:rsid w:val="13004C3E"/>
    <w:rsid w:val="130F7CE7"/>
    <w:rsid w:val="13135703"/>
    <w:rsid w:val="131362DC"/>
    <w:rsid w:val="132D7A2F"/>
    <w:rsid w:val="133409BB"/>
    <w:rsid w:val="133F3392"/>
    <w:rsid w:val="13492B62"/>
    <w:rsid w:val="136E7CAF"/>
    <w:rsid w:val="139522A0"/>
    <w:rsid w:val="139E732A"/>
    <w:rsid w:val="13B72832"/>
    <w:rsid w:val="13BA0AF5"/>
    <w:rsid w:val="13BA0BEB"/>
    <w:rsid w:val="13BD18F7"/>
    <w:rsid w:val="13C35CD1"/>
    <w:rsid w:val="13C63A51"/>
    <w:rsid w:val="13D1169E"/>
    <w:rsid w:val="13D56B53"/>
    <w:rsid w:val="13DD011A"/>
    <w:rsid w:val="13E30590"/>
    <w:rsid w:val="13E843A1"/>
    <w:rsid w:val="13FB3D98"/>
    <w:rsid w:val="1403644B"/>
    <w:rsid w:val="141731A4"/>
    <w:rsid w:val="143A501D"/>
    <w:rsid w:val="143C398A"/>
    <w:rsid w:val="14540FBC"/>
    <w:rsid w:val="14691F61"/>
    <w:rsid w:val="147036BF"/>
    <w:rsid w:val="1497147D"/>
    <w:rsid w:val="14A27F30"/>
    <w:rsid w:val="14A763BF"/>
    <w:rsid w:val="14AA798D"/>
    <w:rsid w:val="14B045A3"/>
    <w:rsid w:val="14E94451"/>
    <w:rsid w:val="14FD7E50"/>
    <w:rsid w:val="150F496E"/>
    <w:rsid w:val="15251BDA"/>
    <w:rsid w:val="152557F8"/>
    <w:rsid w:val="152E4435"/>
    <w:rsid w:val="15303EC3"/>
    <w:rsid w:val="153756DA"/>
    <w:rsid w:val="15421D14"/>
    <w:rsid w:val="154C1133"/>
    <w:rsid w:val="15500816"/>
    <w:rsid w:val="155E28B8"/>
    <w:rsid w:val="15821B76"/>
    <w:rsid w:val="158E445F"/>
    <w:rsid w:val="159D64B9"/>
    <w:rsid w:val="159F4AC2"/>
    <w:rsid w:val="15B2020C"/>
    <w:rsid w:val="15B27B74"/>
    <w:rsid w:val="15C1538F"/>
    <w:rsid w:val="15D905AC"/>
    <w:rsid w:val="15DD5FFB"/>
    <w:rsid w:val="15F020C0"/>
    <w:rsid w:val="15F250DF"/>
    <w:rsid w:val="15F77F8C"/>
    <w:rsid w:val="16053AF1"/>
    <w:rsid w:val="160D7966"/>
    <w:rsid w:val="161C0D90"/>
    <w:rsid w:val="16365169"/>
    <w:rsid w:val="163F67DF"/>
    <w:rsid w:val="16400D29"/>
    <w:rsid w:val="164A4609"/>
    <w:rsid w:val="164B037A"/>
    <w:rsid w:val="165916AA"/>
    <w:rsid w:val="16596D58"/>
    <w:rsid w:val="16755FAF"/>
    <w:rsid w:val="168228A2"/>
    <w:rsid w:val="16867800"/>
    <w:rsid w:val="16893C88"/>
    <w:rsid w:val="168B753F"/>
    <w:rsid w:val="169556B0"/>
    <w:rsid w:val="16A22220"/>
    <w:rsid w:val="16C96D7D"/>
    <w:rsid w:val="16D62CF8"/>
    <w:rsid w:val="16DC62F6"/>
    <w:rsid w:val="16F7709F"/>
    <w:rsid w:val="17032F48"/>
    <w:rsid w:val="170412C1"/>
    <w:rsid w:val="170C5D38"/>
    <w:rsid w:val="170E56B0"/>
    <w:rsid w:val="17326510"/>
    <w:rsid w:val="1733456F"/>
    <w:rsid w:val="17412155"/>
    <w:rsid w:val="17560404"/>
    <w:rsid w:val="17574A29"/>
    <w:rsid w:val="175936C3"/>
    <w:rsid w:val="177C3F5A"/>
    <w:rsid w:val="17B374D2"/>
    <w:rsid w:val="17C07725"/>
    <w:rsid w:val="17CD000B"/>
    <w:rsid w:val="17D2179B"/>
    <w:rsid w:val="17D81ED7"/>
    <w:rsid w:val="17E01A41"/>
    <w:rsid w:val="17ED2E4D"/>
    <w:rsid w:val="17F5409B"/>
    <w:rsid w:val="17F730B7"/>
    <w:rsid w:val="18046E47"/>
    <w:rsid w:val="1823219C"/>
    <w:rsid w:val="18283386"/>
    <w:rsid w:val="182A420E"/>
    <w:rsid w:val="183C6202"/>
    <w:rsid w:val="185C0435"/>
    <w:rsid w:val="186F6AE2"/>
    <w:rsid w:val="186F7706"/>
    <w:rsid w:val="18763CB0"/>
    <w:rsid w:val="18794169"/>
    <w:rsid w:val="188C54E8"/>
    <w:rsid w:val="189B4117"/>
    <w:rsid w:val="18A46D85"/>
    <w:rsid w:val="18A907DC"/>
    <w:rsid w:val="18AC32DE"/>
    <w:rsid w:val="18B12E63"/>
    <w:rsid w:val="18B57E8E"/>
    <w:rsid w:val="18DF39A8"/>
    <w:rsid w:val="18E6739D"/>
    <w:rsid w:val="18F32BB1"/>
    <w:rsid w:val="18F84666"/>
    <w:rsid w:val="19137858"/>
    <w:rsid w:val="192E43BC"/>
    <w:rsid w:val="19326E77"/>
    <w:rsid w:val="194016CC"/>
    <w:rsid w:val="19414540"/>
    <w:rsid w:val="194145A5"/>
    <w:rsid w:val="19424A38"/>
    <w:rsid w:val="195327C0"/>
    <w:rsid w:val="196C749E"/>
    <w:rsid w:val="1996146A"/>
    <w:rsid w:val="19AA3DA4"/>
    <w:rsid w:val="19AC5BAE"/>
    <w:rsid w:val="19C91205"/>
    <w:rsid w:val="19DB0F94"/>
    <w:rsid w:val="19F54655"/>
    <w:rsid w:val="19FA7004"/>
    <w:rsid w:val="1A0C0B39"/>
    <w:rsid w:val="1A1D0BAD"/>
    <w:rsid w:val="1A202464"/>
    <w:rsid w:val="1A3167A7"/>
    <w:rsid w:val="1A375A2D"/>
    <w:rsid w:val="1A3E7639"/>
    <w:rsid w:val="1A4702CC"/>
    <w:rsid w:val="1A7E3697"/>
    <w:rsid w:val="1A83598B"/>
    <w:rsid w:val="1A8B0436"/>
    <w:rsid w:val="1A9433BA"/>
    <w:rsid w:val="1A9E141F"/>
    <w:rsid w:val="1AA822FA"/>
    <w:rsid w:val="1AB5371D"/>
    <w:rsid w:val="1AB556B6"/>
    <w:rsid w:val="1ABB4B98"/>
    <w:rsid w:val="1AC71448"/>
    <w:rsid w:val="1AD01DA7"/>
    <w:rsid w:val="1AD07A86"/>
    <w:rsid w:val="1AD70E60"/>
    <w:rsid w:val="1AD75236"/>
    <w:rsid w:val="1ADC4DC3"/>
    <w:rsid w:val="1ADD447F"/>
    <w:rsid w:val="1AF30AA9"/>
    <w:rsid w:val="1B052446"/>
    <w:rsid w:val="1B2D779D"/>
    <w:rsid w:val="1B39458C"/>
    <w:rsid w:val="1B490950"/>
    <w:rsid w:val="1B5B2232"/>
    <w:rsid w:val="1B5D0D89"/>
    <w:rsid w:val="1B6A35DB"/>
    <w:rsid w:val="1B6E3B2A"/>
    <w:rsid w:val="1B782C3F"/>
    <w:rsid w:val="1B7D7C38"/>
    <w:rsid w:val="1B8A7FBC"/>
    <w:rsid w:val="1B9072AB"/>
    <w:rsid w:val="1B9423A4"/>
    <w:rsid w:val="1B9C0FD3"/>
    <w:rsid w:val="1BAF77A5"/>
    <w:rsid w:val="1BB719B2"/>
    <w:rsid w:val="1BBA544D"/>
    <w:rsid w:val="1BBB2CBB"/>
    <w:rsid w:val="1BBC7041"/>
    <w:rsid w:val="1BC06BF9"/>
    <w:rsid w:val="1BC449CF"/>
    <w:rsid w:val="1BCA5234"/>
    <w:rsid w:val="1BDA7F06"/>
    <w:rsid w:val="1BEA1165"/>
    <w:rsid w:val="1BF520EC"/>
    <w:rsid w:val="1C071B9A"/>
    <w:rsid w:val="1C0C5C5F"/>
    <w:rsid w:val="1C167B0B"/>
    <w:rsid w:val="1C1A20C8"/>
    <w:rsid w:val="1C2771EF"/>
    <w:rsid w:val="1C3D1800"/>
    <w:rsid w:val="1C401C28"/>
    <w:rsid w:val="1C4667B9"/>
    <w:rsid w:val="1C797C46"/>
    <w:rsid w:val="1C7E350E"/>
    <w:rsid w:val="1C821C46"/>
    <w:rsid w:val="1C8454F9"/>
    <w:rsid w:val="1C954279"/>
    <w:rsid w:val="1CB415D1"/>
    <w:rsid w:val="1CBC7FC0"/>
    <w:rsid w:val="1CBD2332"/>
    <w:rsid w:val="1CC7091E"/>
    <w:rsid w:val="1CCB392B"/>
    <w:rsid w:val="1CE14E51"/>
    <w:rsid w:val="1CE32E87"/>
    <w:rsid w:val="1CF86CEC"/>
    <w:rsid w:val="1CFB5568"/>
    <w:rsid w:val="1CFD4736"/>
    <w:rsid w:val="1D004728"/>
    <w:rsid w:val="1D1E1870"/>
    <w:rsid w:val="1D226B51"/>
    <w:rsid w:val="1D33733A"/>
    <w:rsid w:val="1D370DB7"/>
    <w:rsid w:val="1D3A6321"/>
    <w:rsid w:val="1D4E2A7B"/>
    <w:rsid w:val="1D5A5F8D"/>
    <w:rsid w:val="1D753D60"/>
    <w:rsid w:val="1D95240A"/>
    <w:rsid w:val="1DA52FDB"/>
    <w:rsid w:val="1DB064E6"/>
    <w:rsid w:val="1DE351BB"/>
    <w:rsid w:val="1DE5754E"/>
    <w:rsid w:val="1DF84BBF"/>
    <w:rsid w:val="1DFE7449"/>
    <w:rsid w:val="1E0C08E5"/>
    <w:rsid w:val="1E5B1377"/>
    <w:rsid w:val="1E725C5C"/>
    <w:rsid w:val="1E7E4039"/>
    <w:rsid w:val="1E901FEE"/>
    <w:rsid w:val="1E9442E7"/>
    <w:rsid w:val="1E994219"/>
    <w:rsid w:val="1EA078AE"/>
    <w:rsid w:val="1EA45EC1"/>
    <w:rsid w:val="1EA721E8"/>
    <w:rsid w:val="1EB40283"/>
    <w:rsid w:val="1EC630A4"/>
    <w:rsid w:val="1ED02528"/>
    <w:rsid w:val="1ED45CAE"/>
    <w:rsid w:val="1F210717"/>
    <w:rsid w:val="1F3C77CC"/>
    <w:rsid w:val="1F424DC2"/>
    <w:rsid w:val="1F5401CC"/>
    <w:rsid w:val="1F570644"/>
    <w:rsid w:val="1F59199D"/>
    <w:rsid w:val="1F684DF5"/>
    <w:rsid w:val="1F7E4383"/>
    <w:rsid w:val="1F8C6911"/>
    <w:rsid w:val="1FAD03A2"/>
    <w:rsid w:val="1FB05B86"/>
    <w:rsid w:val="1FB63256"/>
    <w:rsid w:val="1FC619C3"/>
    <w:rsid w:val="1FD323FE"/>
    <w:rsid w:val="1FD4042C"/>
    <w:rsid w:val="1FE1419D"/>
    <w:rsid w:val="1FE97CC1"/>
    <w:rsid w:val="1FF0410F"/>
    <w:rsid w:val="1FF34102"/>
    <w:rsid w:val="1FF82DDD"/>
    <w:rsid w:val="200E2178"/>
    <w:rsid w:val="20102412"/>
    <w:rsid w:val="204228BF"/>
    <w:rsid w:val="20614265"/>
    <w:rsid w:val="207447E3"/>
    <w:rsid w:val="20A6660B"/>
    <w:rsid w:val="20A7119D"/>
    <w:rsid w:val="20B77808"/>
    <w:rsid w:val="20C26B79"/>
    <w:rsid w:val="20E52835"/>
    <w:rsid w:val="20FB711F"/>
    <w:rsid w:val="2130504F"/>
    <w:rsid w:val="21382F0C"/>
    <w:rsid w:val="214A05AE"/>
    <w:rsid w:val="214B28B3"/>
    <w:rsid w:val="216B68D1"/>
    <w:rsid w:val="217B3E84"/>
    <w:rsid w:val="217B6C76"/>
    <w:rsid w:val="218D4CC7"/>
    <w:rsid w:val="21934972"/>
    <w:rsid w:val="21AD7069"/>
    <w:rsid w:val="21CE76F6"/>
    <w:rsid w:val="21CF3C44"/>
    <w:rsid w:val="21DB4941"/>
    <w:rsid w:val="21DE7C36"/>
    <w:rsid w:val="21DF3A01"/>
    <w:rsid w:val="21E257BE"/>
    <w:rsid w:val="21F506E7"/>
    <w:rsid w:val="220A5EF5"/>
    <w:rsid w:val="22197D89"/>
    <w:rsid w:val="224D398A"/>
    <w:rsid w:val="224E2203"/>
    <w:rsid w:val="22585F0F"/>
    <w:rsid w:val="225F0503"/>
    <w:rsid w:val="226B5CC4"/>
    <w:rsid w:val="226D7641"/>
    <w:rsid w:val="227A0DBF"/>
    <w:rsid w:val="228B0CE6"/>
    <w:rsid w:val="229159BD"/>
    <w:rsid w:val="229C5EDB"/>
    <w:rsid w:val="22AB3A42"/>
    <w:rsid w:val="22AF2482"/>
    <w:rsid w:val="22B44D35"/>
    <w:rsid w:val="22B8500B"/>
    <w:rsid w:val="22CB52CD"/>
    <w:rsid w:val="230F3C1C"/>
    <w:rsid w:val="231B258A"/>
    <w:rsid w:val="23287AA7"/>
    <w:rsid w:val="23305F0F"/>
    <w:rsid w:val="23357659"/>
    <w:rsid w:val="233905CD"/>
    <w:rsid w:val="235718E1"/>
    <w:rsid w:val="23694959"/>
    <w:rsid w:val="236C4F12"/>
    <w:rsid w:val="23882286"/>
    <w:rsid w:val="23925F3C"/>
    <w:rsid w:val="23A4229C"/>
    <w:rsid w:val="23AE55A9"/>
    <w:rsid w:val="23B118CE"/>
    <w:rsid w:val="23B6003B"/>
    <w:rsid w:val="23B80D83"/>
    <w:rsid w:val="23E6337C"/>
    <w:rsid w:val="23F36F4D"/>
    <w:rsid w:val="23F46D82"/>
    <w:rsid w:val="24034D8D"/>
    <w:rsid w:val="240864B0"/>
    <w:rsid w:val="24105E6F"/>
    <w:rsid w:val="24296431"/>
    <w:rsid w:val="24316E6F"/>
    <w:rsid w:val="24340869"/>
    <w:rsid w:val="24487901"/>
    <w:rsid w:val="24547731"/>
    <w:rsid w:val="24680378"/>
    <w:rsid w:val="246F2D0E"/>
    <w:rsid w:val="24734B0E"/>
    <w:rsid w:val="24742464"/>
    <w:rsid w:val="248E11DE"/>
    <w:rsid w:val="24913210"/>
    <w:rsid w:val="24B81CD3"/>
    <w:rsid w:val="24C512AC"/>
    <w:rsid w:val="24C8071E"/>
    <w:rsid w:val="24C91FF8"/>
    <w:rsid w:val="24D01D21"/>
    <w:rsid w:val="24D22D5D"/>
    <w:rsid w:val="24EA59AA"/>
    <w:rsid w:val="24EE62D2"/>
    <w:rsid w:val="251B6945"/>
    <w:rsid w:val="251F5695"/>
    <w:rsid w:val="252140E8"/>
    <w:rsid w:val="252C0FEC"/>
    <w:rsid w:val="25441B85"/>
    <w:rsid w:val="254870C0"/>
    <w:rsid w:val="254A4A2E"/>
    <w:rsid w:val="25551B8C"/>
    <w:rsid w:val="255A60CD"/>
    <w:rsid w:val="25661A5A"/>
    <w:rsid w:val="25843F8F"/>
    <w:rsid w:val="259B6168"/>
    <w:rsid w:val="259F79AE"/>
    <w:rsid w:val="25A01A43"/>
    <w:rsid w:val="25CB4857"/>
    <w:rsid w:val="25CC59DE"/>
    <w:rsid w:val="25D83187"/>
    <w:rsid w:val="25D907CC"/>
    <w:rsid w:val="25E655C8"/>
    <w:rsid w:val="26045771"/>
    <w:rsid w:val="26074F8F"/>
    <w:rsid w:val="26196CB2"/>
    <w:rsid w:val="263C3E80"/>
    <w:rsid w:val="264708E7"/>
    <w:rsid w:val="26593999"/>
    <w:rsid w:val="26753D2C"/>
    <w:rsid w:val="267611D3"/>
    <w:rsid w:val="26835127"/>
    <w:rsid w:val="268E4BBA"/>
    <w:rsid w:val="26941A92"/>
    <w:rsid w:val="26A257DB"/>
    <w:rsid w:val="26B90F8E"/>
    <w:rsid w:val="26C05A32"/>
    <w:rsid w:val="26C54E27"/>
    <w:rsid w:val="26CC3C07"/>
    <w:rsid w:val="26DE7854"/>
    <w:rsid w:val="26E70BC5"/>
    <w:rsid w:val="26F9459F"/>
    <w:rsid w:val="27074D3E"/>
    <w:rsid w:val="271116DB"/>
    <w:rsid w:val="27113F6C"/>
    <w:rsid w:val="271A51DA"/>
    <w:rsid w:val="27254946"/>
    <w:rsid w:val="272C72DE"/>
    <w:rsid w:val="274A08FC"/>
    <w:rsid w:val="274C764E"/>
    <w:rsid w:val="2756302F"/>
    <w:rsid w:val="275F12B3"/>
    <w:rsid w:val="276026EB"/>
    <w:rsid w:val="2772471C"/>
    <w:rsid w:val="2789575F"/>
    <w:rsid w:val="27A74434"/>
    <w:rsid w:val="27AB06FA"/>
    <w:rsid w:val="27AE734E"/>
    <w:rsid w:val="27B23F45"/>
    <w:rsid w:val="27B85561"/>
    <w:rsid w:val="27BC3987"/>
    <w:rsid w:val="27BD611A"/>
    <w:rsid w:val="27BE3D53"/>
    <w:rsid w:val="27C71330"/>
    <w:rsid w:val="27E269CB"/>
    <w:rsid w:val="27E91A8C"/>
    <w:rsid w:val="27EC7DE5"/>
    <w:rsid w:val="280005C1"/>
    <w:rsid w:val="28013A27"/>
    <w:rsid w:val="280D0EB8"/>
    <w:rsid w:val="28126C32"/>
    <w:rsid w:val="282D1E68"/>
    <w:rsid w:val="28325075"/>
    <w:rsid w:val="28476258"/>
    <w:rsid w:val="28574C9E"/>
    <w:rsid w:val="287439A8"/>
    <w:rsid w:val="287823EF"/>
    <w:rsid w:val="287A594C"/>
    <w:rsid w:val="288E24C6"/>
    <w:rsid w:val="289567A3"/>
    <w:rsid w:val="28A120BA"/>
    <w:rsid w:val="28A526C6"/>
    <w:rsid w:val="28A74DCB"/>
    <w:rsid w:val="28D53B72"/>
    <w:rsid w:val="28EF1B17"/>
    <w:rsid w:val="29030E83"/>
    <w:rsid w:val="29175D2F"/>
    <w:rsid w:val="292110CC"/>
    <w:rsid w:val="29226060"/>
    <w:rsid w:val="294076BB"/>
    <w:rsid w:val="29415380"/>
    <w:rsid w:val="294A3E5A"/>
    <w:rsid w:val="294C4D5F"/>
    <w:rsid w:val="29583A9F"/>
    <w:rsid w:val="29702606"/>
    <w:rsid w:val="298B3C64"/>
    <w:rsid w:val="29956E43"/>
    <w:rsid w:val="29982FE8"/>
    <w:rsid w:val="299B61C1"/>
    <w:rsid w:val="29AA7CF7"/>
    <w:rsid w:val="29B4253B"/>
    <w:rsid w:val="29B5574C"/>
    <w:rsid w:val="29B8457E"/>
    <w:rsid w:val="29BD744E"/>
    <w:rsid w:val="29D43999"/>
    <w:rsid w:val="29D65CF5"/>
    <w:rsid w:val="29E209F9"/>
    <w:rsid w:val="2A13132B"/>
    <w:rsid w:val="2A19034C"/>
    <w:rsid w:val="2A386EBD"/>
    <w:rsid w:val="2A4A4818"/>
    <w:rsid w:val="2A4C1250"/>
    <w:rsid w:val="2A58670E"/>
    <w:rsid w:val="2A6E0E4E"/>
    <w:rsid w:val="2A7108CA"/>
    <w:rsid w:val="2A7A6E34"/>
    <w:rsid w:val="2A904695"/>
    <w:rsid w:val="2AA147F9"/>
    <w:rsid w:val="2AA50BDA"/>
    <w:rsid w:val="2ABA0D7B"/>
    <w:rsid w:val="2AC564FC"/>
    <w:rsid w:val="2ACF0152"/>
    <w:rsid w:val="2ADA4DFF"/>
    <w:rsid w:val="2AE150F8"/>
    <w:rsid w:val="2AF46D91"/>
    <w:rsid w:val="2AF86B85"/>
    <w:rsid w:val="2AFC41F1"/>
    <w:rsid w:val="2B011FE4"/>
    <w:rsid w:val="2B0702E2"/>
    <w:rsid w:val="2B28410E"/>
    <w:rsid w:val="2B517956"/>
    <w:rsid w:val="2B525722"/>
    <w:rsid w:val="2B5D39BA"/>
    <w:rsid w:val="2B6D1A08"/>
    <w:rsid w:val="2B753C76"/>
    <w:rsid w:val="2B785630"/>
    <w:rsid w:val="2B793974"/>
    <w:rsid w:val="2B86355C"/>
    <w:rsid w:val="2B8F1184"/>
    <w:rsid w:val="2B9065E0"/>
    <w:rsid w:val="2B9729CB"/>
    <w:rsid w:val="2BB7608B"/>
    <w:rsid w:val="2BC211D1"/>
    <w:rsid w:val="2BC41B44"/>
    <w:rsid w:val="2BDE14EC"/>
    <w:rsid w:val="2BF84D8E"/>
    <w:rsid w:val="2C033ABC"/>
    <w:rsid w:val="2C047B3A"/>
    <w:rsid w:val="2C1305B1"/>
    <w:rsid w:val="2C1758CF"/>
    <w:rsid w:val="2C1A354E"/>
    <w:rsid w:val="2C1F3B79"/>
    <w:rsid w:val="2C452B2D"/>
    <w:rsid w:val="2C492C36"/>
    <w:rsid w:val="2C60237D"/>
    <w:rsid w:val="2C6A57CD"/>
    <w:rsid w:val="2C6E6FCD"/>
    <w:rsid w:val="2C72135B"/>
    <w:rsid w:val="2C83572D"/>
    <w:rsid w:val="2C8C5A7E"/>
    <w:rsid w:val="2C8D55AD"/>
    <w:rsid w:val="2C9248BA"/>
    <w:rsid w:val="2CBE3246"/>
    <w:rsid w:val="2CC802D9"/>
    <w:rsid w:val="2CDC502F"/>
    <w:rsid w:val="2CDF4F09"/>
    <w:rsid w:val="2CE27524"/>
    <w:rsid w:val="2CEB0142"/>
    <w:rsid w:val="2CF320D2"/>
    <w:rsid w:val="2CF83F53"/>
    <w:rsid w:val="2D1E33D5"/>
    <w:rsid w:val="2D336006"/>
    <w:rsid w:val="2D3D4E17"/>
    <w:rsid w:val="2D4935AD"/>
    <w:rsid w:val="2DA26D95"/>
    <w:rsid w:val="2DA413CA"/>
    <w:rsid w:val="2DC05192"/>
    <w:rsid w:val="2DE805FC"/>
    <w:rsid w:val="2DF0342C"/>
    <w:rsid w:val="2E0C6F3E"/>
    <w:rsid w:val="2E0F2B6F"/>
    <w:rsid w:val="2E1977B8"/>
    <w:rsid w:val="2E2200F6"/>
    <w:rsid w:val="2E3A22AB"/>
    <w:rsid w:val="2E3C0D78"/>
    <w:rsid w:val="2E570AA3"/>
    <w:rsid w:val="2E6B2CE1"/>
    <w:rsid w:val="2E7B61FD"/>
    <w:rsid w:val="2E7F48C7"/>
    <w:rsid w:val="2E883F4F"/>
    <w:rsid w:val="2E995B75"/>
    <w:rsid w:val="2E9A38AB"/>
    <w:rsid w:val="2E9F7ACE"/>
    <w:rsid w:val="2EA035D3"/>
    <w:rsid w:val="2EB00084"/>
    <w:rsid w:val="2EB13533"/>
    <w:rsid w:val="2EBC0113"/>
    <w:rsid w:val="2EBC74B9"/>
    <w:rsid w:val="2EC15360"/>
    <w:rsid w:val="2ED7075B"/>
    <w:rsid w:val="2F0322BF"/>
    <w:rsid w:val="2F137D96"/>
    <w:rsid w:val="2F1D4987"/>
    <w:rsid w:val="2F226F35"/>
    <w:rsid w:val="2F540C31"/>
    <w:rsid w:val="2F574071"/>
    <w:rsid w:val="2F5E2555"/>
    <w:rsid w:val="2F6B2E0E"/>
    <w:rsid w:val="2F6E14A3"/>
    <w:rsid w:val="2F7C06CC"/>
    <w:rsid w:val="2F9835CF"/>
    <w:rsid w:val="2FA166ED"/>
    <w:rsid w:val="2FB151D3"/>
    <w:rsid w:val="2FB944E5"/>
    <w:rsid w:val="2FC871E6"/>
    <w:rsid w:val="2FDE5F50"/>
    <w:rsid w:val="2FEC4EBA"/>
    <w:rsid w:val="2FEE3B1C"/>
    <w:rsid w:val="300D33B1"/>
    <w:rsid w:val="300E7796"/>
    <w:rsid w:val="301E0F2A"/>
    <w:rsid w:val="301E5143"/>
    <w:rsid w:val="302C3DCE"/>
    <w:rsid w:val="303E1D0E"/>
    <w:rsid w:val="30403475"/>
    <w:rsid w:val="30424964"/>
    <w:rsid w:val="30576568"/>
    <w:rsid w:val="30695D27"/>
    <w:rsid w:val="30867943"/>
    <w:rsid w:val="308F608C"/>
    <w:rsid w:val="3097480E"/>
    <w:rsid w:val="309C57CB"/>
    <w:rsid w:val="30A309C3"/>
    <w:rsid w:val="30B059A2"/>
    <w:rsid w:val="30B67543"/>
    <w:rsid w:val="30B77036"/>
    <w:rsid w:val="30BA3015"/>
    <w:rsid w:val="30EB518F"/>
    <w:rsid w:val="310137B1"/>
    <w:rsid w:val="3106476B"/>
    <w:rsid w:val="3107368E"/>
    <w:rsid w:val="31102DE7"/>
    <w:rsid w:val="31323F94"/>
    <w:rsid w:val="313E524F"/>
    <w:rsid w:val="315149DE"/>
    <w:rsid w:val="3154270A"/>
    <w:rsid w:val="31573DD5"/>
    <w:rsid w:val="315A64D4"/>
    <w:rsid w:val="31607574"/>
    <w:rsid w:val="31671616"/>
    <w:rsid w:val="3178186F"/>
    <w:rsid w:val="3189428A"/>
    <w:rsid w:val="318D37BB"/>
    <w:rsid w:val="319464D1"/>
    <w:rsid w:val="31973A57"/>
    <w:rsid w:val="31983637"/>
    <w:rsid w:val="31A04336"/>
    <w:rsid w:val="31AE341C"/>
    <w:rsid w:val="31B22405"/>
    <w:rsid w:val="31B30043"/>
    <w:rsid w:val="31B64C69"/>
    <w:rsid w:val="31B82294"/>
    <w:rsid w:val="31BF264E"/>
    <w:rsid w:val="31C20764"/>
    <w:rsid w:val="31C262F6"/>
    <w:rsid w:val="31C75D39"/>
    <w:rsid w:val="31DA0183"/>
    <w:rsid w:val="31E10BE3"/>
    <w:rsid w:val="31EA1749"/>
    <w:rsid w:val="31FD1227"/>
    <w:rsid w:val="32054F90"/>
    <w:rsid w:val="320A243D"/>
    <w:rsid w:val="32190430"/>
    <w:rsid w:val="32191252"/>
    <w:rsid w:val="322828A8"/>
    <w:rsid w:val="32495110"/>
    <w:rsid w:val="325311BF"/>
    <w:rsid w:val="325D07E4"/>
    <w:rsid w:val="32682E98"/>
    <w:rsid w:val="327556FE"/>
    <w:rsid w:val="32884F63"/>
    <w:rsid w:val="32953F41"/>
    <w:rsid w:val="32A12652"/>
    <w:rsid w:val="32B73DE5"/>
    <w:rsid w:val="32BE200C"/>
    <w:rsid w:val="32C56718"/>
    <w:rsid w:val="32E410C9"/>
    <w:rsid w:val="32E419E9"/>
    <w:rsid w:val="32EA5881"/>
    <w:rsid w:val="32ED0BAC"/>
    <w:rsid w:val="32F5691F"/>
    <w:rsid w:val="32F73699"/>
    <w:rsid w:val="32F75A72"/>
    <w:rsid w:val="33027260"/>
    <w:rsid w:val="330B21BF"/>
    <w:rsid w:val="330F1298"/>
    <w:rsid w:val="33160B51"/>
    <w:rsid w:val="33260492"/>
    <w:rsid w:val="332A12B8"/>
    <w:rsid w:val="333155AA"/>
    <w:rsid w:val="333F704E"/>
    <w:rsid w:val="33444067"/>
    <w:rsid w:val="334D06E6"/>
    <w:rsid w:val="334F1AED"/>
    <w:rsid w:val="33560AA5"/>
    <w:rsid w:val="338F7FCA"/>
    <w:rsid w:val="33A06995"/>
    <w:rsid w:val="33A2330C"/>
    <w:rsid w:val="33AA291B"/>
    <w:rsid w:val="33AA3D46"/>
    <w:rsid w:val="33AA7294"/>
    <w:rsid w:val="33AB4C42"/>
    <w:rsid w:val="33B52EAF"/>
    <w:rsid w:val="33B57D19"/>
    <w:rsid w:val="33C55A7A"/>
    <w:rsid w:val="33D85A5E"/>
    <w:rsid w:val="33DE3E45"/>
    <w:rsid w:val="33EA7F6D"/>
    <w:rsid w:val="33ED7016"/>
    <w:rsid w:val="33EF0E80"/>
    <w:rsid w:val="33F2465D"/>
    <w:rsid w:val="33F92E29"/>
    <w:rsid w:val="34056924"/>
    <w:rsid w:val="341A5E32"/>
    <w:rsid w:val="341F6FAE"/>
    <w:rsid w:val="34385041"/>
    <w:rsid w:val="34442C19"/>
    <w:rsid w:val="344472CD"/>
    <w:rsid w:val="345327B1"/>
    <w:rsid w:val="346511A8"/>
    <w:rsid w:val="347A77AC"/>
    <w:rsid w:val="34825E5D"/>
    <w:rsid w:val="34877CE8"/>
    <w:rsid w:val="348F6779"/>
    <w:rsid w:val="34A769E4"/>
    <w:rsid w:val="34A94D04"/>
    <w:rsid w:val="34B9357A"/>
    <w:rsid w:val="34CA38A2"/>
    <w:rsid w:val="34CD29A6"/>
    <w:rsid w:val="34CD7521"/>
    <w:rsid w:val="34DA72F9"/>
    <w:rsid w:val="34EC124D"/>
    <w:rsid w:val="34F55E2F"/>
    <w:rsid w:val="35105594"/>
    <w:rsid w:val="35292FF1"/>
    <w:rsid w:val="35327B80"/>
    <w:rsid w:val="35394C91"/>
    <w:rsid w:val="35515F95"/>
    <w:rsid w:val="35543640"/>
    <w:rsid w:val="35574017"/>
    <w:rsid w:val="355F699B"/>
    <w:rsid w:val="3561044A"/>
    <w:rsid w:val="35623B07"/>
    <w:rsid w:val="356E580A"/>
    <w:rsid w:val="358D6E32"/>
    <w:rsid w:val="359F2ED6"/>
    <w:rsid w:val="35A235B9"/>
    <w:rsid w:val="35A564CA"/>
    <w:rsid w:val="35B00899"/>
    <w:rsid w:val="35B56676"/>
    <w:rsid w:val="35BB2261"/>
    <w:rsid w:val="35BF4704"/>
    <w:rsid w:val="35D43977"/>
    <w:rsid w:val="35E13599"/>
    <w:rsid w:val="360416D1"/>
    <w:rsid w:val="36043EF2"/>
    <w:rsid w:val="360945C3"/>
    <w:rsid w:val="361F1924"/>
    <w:rsid w:val="362F1EE3"/>
    <w:rsid w:val="363F5B8C"/>
    <w:rsid w:val="36411A34"/>
    <w:rsid w:val="36420F4B"/>
    <w:rsid w:val="3650452F"/>
    <w:rsid w:val="36552BC1"/>
    <w:rsid w:val="36565AF9"/>
    <w:rsid w:val="365D7E36"/>
    <w:rsid w:val="366A6FEF"/>
    <w:rsid w:val="36760927"/>
    <w:rsid w:val="3682507D"/>
    <w:rsid w:val="368976A0"/>
    <w:rsid w:val="368C04FF"/>
    <w:rsid w:val="3692120B"/>
    <w:rsid w:val="36E8025C"/>
    <w:rsid w:val="36EB13E7"/>
    <w:rsid w:val="36ED061B"/>
    <w:rsid w:val="3701296E"/>
    <w:rsid w:val="37150E5D"/>
    <w:rsid w:val="371D7C59"/>
    <w:rsid w:val="371F2C21"/>
    <w:rsid w:val="37386315"/>
    <w:rsid w:val="373966BF"/>
    <w:rsid w:val="37443715"/>
    <w:rsid w:val="376B6698"/>
    <w:rsid w:val="377B0086"/>
    <w:rsid w:val="3784033C"/>
    <w:rsid w:val="37873001"/>
    <w:rsid w:val="37881941"/>
    <w:rsid w:val="379C4FD9"/>
    <w:rsid w:val="37AD19A5"/>
    <w:rsid w:val="37AD4051"/>
    <w:rsid w:val="37D77088"/>
    <w:rsid w:val="37E8799D"/>
    <w:rsid w:val="37EF21FA"/>
    <w:rsid w:val="380C307C"/>
    <w:rsid w:val="380D1DF8"/>
    <w:rsid w:val="38177104"/>
    <w:rsid w:val="38343CF8"/>
    <w:rsid w:val="383C1156"/>
    <w:rsid w:val="384560CE"/>
    <w:rsid w:val="384E7871"/>
    <w:rsid w:val="38511657"/>
    <w:rsid w:val="38573E77"/>
    <w:rsid w:val="38851852"/>
    <w:rsid w:val="38971FD1"/>
    <w:rsid w:val="38A3384A"/>
    <w:rsid w:val="38A90CC2"/>
    <w:rsid w:val="38A92F35"/>
    <w:rsid w:val="38AD6712"/>
    <w:rsid w:val="38B251EF"/>
    <w:rsid w:val="38B94B3B"/>
    <w:rsid w:val="38C4306E"/>
    <w:rsid w:val="38CD6301"/>
    <w:rsid w:val="38EF420E"/>
    <w:rsid w:val="38F66432"/>
    <w:rsid w:val="38FA6045"/>
    <w:rsid w:val="38FB1D5E"/>
    <w:rsid w:val="390013A5"/>
    <w:rsid w:val="390C5C90"/>
    <w:rsid w:val="3915321F"/>
    <w:rsid w:val="39380364"/>
    <w:rsid w:val="39614166"/>
    <w:rsid w:val="39827A75"/>
    <w:rsid w:val="398D796F"/>
    <w:rsid w:val="399145CA"/>
    <w:rsid w:val="39970FB4"/>
    <w:rsid w:val="399A3A79"/>
    <w:rsid w:val="39A65D00"/>
    <w:rsid w:val="39B027BA"/>
    <w:rsid w:val="39B4592A"/>
    <w:rsid w:val="39B723E4"/>
    <w:rsid w:val="39C50DE6"/>
    <w:rsid w:val="39D55263"/>
    <w:rsid w:val="39FC7488"/>
    <w:rsid w:val="3A011023"/>
    <w:rsid w:val="3A022510"/>
    <w:rsid w:val="3A0B3E07"/>
    <w:rsid w:val="3A14138F"/>
    <w:rsid w:val="3A331870"/>
    <w:rsid w:val="3A527966"/>
    <w:rsid w:val="3A581FA4"/>
    <w:rsid w:val="3A616393"/>
    <w:rsid w:val="3A6C67A5"/>
    <w:rsid w:val="3A79719B"/>
    <w:rsid w:val="3AFA227D"/>
    <w:rsid w:val="3B074C1B"/>
    <w:rsid w:val="3B0C5A81"/>
    <w:rsid w:val="3B10564F"/>
    <w:rsid w:val="3B173BFD"/>
    <w:rsid w:val="3B1D03BA"/>
    <w:rsid w:val="3B387052"/>
    <w:rsid w:val="3B3924F6"/>
    <w:rsid w:val="3B3E4F61"/>
    <w:rsid w:val="3B457FCA"/>
    <w:rsid w:val="3B493D2A"/>
    <w:rsid w:val="3B9725CA"/>
    <w:rsid w:val="3BA672A9"/>
    <w:rsid w:val="3BB3668C"/>
    <w:rsid w:val="3BC51E5E"/>
    <w:rsid w:val="3BC81B99"/>
    <w:rsid w:val="3BD176FB"/>
    <w:rsid w:val="3BDD01B1"/>
    <w:rsid w:val="3BE24B60"/>
    <w:rsid w:val="3C0F3747"/>
    <w:rsid w:val="3C0F6E42"/>
    <w:rsid w:val="3C125DB2"/>
    <w:rsid w:val="3C13580F"/>
    <w:rsid w:val="3C177613"/>
    <w:rsid w:val="3C2900DB"/>
    <w:rsid w:val="3C2F42C7"/>
    <w:rsid w:val="3C3A59BA"/>
    <w:rsid w:val="3C434BD1"/>
    <w:rsid w:val="3C4A48CA"/>
    <w:rsid w:val="3C4A49AD"/>
    <w:rsid w:val="3C511290"/>
    <w:rsid w:val="3C734CC5"/>
    <w:rsid w:val="3C8D47B1"/>
    <w:rsid w:val="3C962E05"/>
    <w:rsid w:val="3CAE0A5F"/>
    <w:rsid w:val="3CB61674"/>
    <w:rsid w:val="3CBA14E0"/>
    <w:rsid w:val="3CBA4266"/>
    <w:rsid w:val="3CD2281C"/>
    <w:rsid w:val="3CFF4D03"/>
    <w:rsid w:val="3D08650E"/>
    <w:rsid w:val="3D1D679D"/>
    <w:rsid w:val="3D2C36BB"/>
    <w:rsid w:val="3D323458"/>
    <w:rsid w:val="3D353732"/>
    <w:rsid w:val="3D482113"/>
    <w:rsid w:val="3D5237A1"/>
    <w:rsid w:val="3D695658"/>
    <w:rsid w:val="3D6C1CB7"/>
    <w:rsid w:val="3D74592B"/>
    <w:rsid w:val="3D760D32"/>
    <w:rsid w:val="3D8262BA"/>
    <w:rsid w:val="3D897263"/>
    <w:rsid w:val="3DD45235"/>
    <w:rsid w:val="3DE95026"/>
    <w:rsid w:val="3DF81119"/>
    <w:rsid w:val="3E0006CE"/>
    <w:rsid w:val="3E0223A7"/>
    <w:rsid w:val="3E117CD5"/>
    <w:rsid w:val="3E162874"/>
    <w:rsid w:val="3E266E38"/>
    <w:rsid w:val="3E2823FC"/>
    <w:rsid w:val="3E3667C6"/>
    <w:rsid w:val="3E4E515B"/>
    <w:rsid w:val="3E6BB673"/>
    <w:rsid w:val="3E750542"/>
    <w:rsid w:val="3E8F0CD4"/>
    <w:rsid w:val="3EA052EA"/>
    <w:rsid w:val="3EA411C3"/>
    <w:rsid w:val="3EB97976"/>
    <w:rsid w:val="3EC06511"/>
    <w:rsid w:val="3EC86A2B"/>
    <w:rsid w:val="3ECA3DB3"/>
    <w:rsid w:val="3ECD49ED"/>
    <w:rsid w:val="3ED02D59"/>
    <w:rsid w:val="3ED16010"/>
    <w:rsid w:val="3EDE6AE7"/>
    <w:rsid w:val="3EE63037"/>
    <w:rsid w:val="3EEE270C"/>
    <w:rsid w:val="3EF577E2"/>
    <w:rsid w:val="3EFD5398"/>
    <w:rsid w:val="3F075E85"/>
    <w:rsid w:val="3F0A5CA1"/>
    <w:rsid w:val="3F1039ED"/>
    <w:rsid w:val="3F1228ED"/>
    <w:rsid w:val="3F1C01BA"/>
    <w:rsid w:val="3F1D78E0"/>
    <w:rsid w:val="3F3AC10B"/>
    <w:rsid w:val="3F417614"/>
    <w:rsid w:val="3F59568A"/>
    <w:rsid w:val="3F636B27"/>
    <w:rsid w:val="3F77070A"/>
    <w:rsid w:val="3F846153"/>
    <w:rsid w:val="3F877B3E"/>
    <w:rsid w:val="3FB97A7C"/>
    <w:rsid w:val="3FBE4111"/>
    <w:rsid w:val="3FC7C282"/>
    <w:rsid w:val="3FCE51D0"/>
    <w:rsid w:val="3FE54875"/>
    <w:rsid w:val="3FF80A31"/>
    <w:rsid w:val="3FF913F8"/>
    <w:rsid w:val="3FF951A1"/>
    <w:rsid w:val="3FFF6F51"/>
    <w:rsid w:val="402079EC"/>
    <w:rsid w:val="402D1133"/>
    <w:rsid w:val="40380746"/>
    <w:rsid w:val="40465640"/>
    <w:rsid w:val="4061642F"/>
    <w:rsid w:val="406C5052"/>
    <w:rsid w:val="4071077E"/>
    <w:rsid w:val="4075728F"/>
    <w:rsid w:val="40857C93"/>
    <w:rsid w:val="409022B4"/>
    <w:rsid w:val="40986D02"/>
    <w:rsid w:val="40A23CC4"/>
    <w:rsid w:val="40BA5753"/>
    <w:rsid w:val="40D64733"/>
    <w:rsid w:val="40E0015D"/>
    <w:rsid w:val="40EA717A"/>
    <w:rsid w:val="40ED7524"/>
    <w:rsid w:val="40F305CF"/>
    <w:rsid w:val="41063807"/>
    <w:rsid w:val="410D5848"/>
    <w:rsid w:val="4121689F"/>
    <w:rsid w:val="41302438"/>
    <w:rsid w:val="4132477C"/>
    <w:rsid w:val="41347F62"/>
    <w:rsid w:val="41373AA9"/>
    <w:rsid w:val="415E01D3"/>
    <w:rsid w:val="41634A00"/>
    <w:rsid w:val="41672961"/>
    <w:rsid w:val="4167612A"/>
    <w:rsid w:val="416A48C8"/>
    <w:rsid w:val="41836E09"/>
    <w:rsid w:val="41915C07"/>
    <w:rsid w:val="419D25D7"/>
    <w:rsid w:val="419E0E65"/>
    <w:rsid w:val="41BD6B8D"/>
    <w:rsid w:val="41BD7E87"/>
    <w:rsid w:val="41CF16CA"/>
    <w:rsid w:val="41DF5A9C"/>
    <w:rsid w:val="41FA6B62"/>
    <w:rsid w:val="41FC26E4"/>
    <w:rsid w:val="4206132D"/>
    <w:rsid w:val="421E2360"/>
    <w:rsid w:val="42313CAB"/>
    <w:rsid w:val="424C727A"/>
    <w:rsid w:val="425E5134"/>
    <w:rsid w:val="427916F6"/>
    <w:rsid w:val="428C3511"/>
    <w:rsid w:val="42936229"/>
    <w:rsid w:val="42947140"/>
    <w:rsid w:val="429E6289"/>
    <w:rsid w:val="42A7124B"/>
    <w:rsid w:val="42BB04D5"/>
    <w:rsid w:val="42BF1F59"/>
    <w:rsid w:val="42C11494"/>
    <w:rsid w:val="42D431E7"/>
    <w:rsid w:val="42DD3C7C"/>
    <w:rsid w:val="42E06D3F"/>
    <w:rsid w:val="42E47497"/>
    <w:rsid w:val="42EB703C"/>
    <w:rsid w:val="42F44809"/>
    <w:rsid w:val="4311783D"/>
    <w:rsid w:val="43540190"/>
    <w:rsid w:val="436F4138"/>
    <w:rsid w:val="4376192C"/>
    <w:rsid w:val="43826334"/>
    <w:rsid w:val="438274D6"/>
    <w:rsid w:val="43836937"/>
    <w:rsid w:val="43942D3C"/>
    <w:rsid w:val="43AA1A3A"/>
    <w:rsid w:val="43CA7F97"/>
    <w:rsid w:val="43D527A2"/>
    <w:rsid w:val="43E5117C"/>
    <w:rsid w:val="43EF46DE"/>
    <w:rsid w:val="441F0428"/>
    <w:rsid w:val="442A23D0"/>
    <w:rsid w:val="442A5A37"/>
    <w:rsid w:val="44316DCA"/>
    <w:rsid w:val="4451500F"/>
    <w:rsid w:val="44567BE7"/>
    <w:rsid w:val="445A043F"/>
    <w:rsid w:val="445D1C18"/>
    <w:rsid w:val="44686728"/>
    <w:rsid w:val="44772570"/>
    <w:rsid w:val="448B156B"/>
    <w:rsid w:val="44B622C6"/>
    <w:rsid w:val="44C1122D"/>
    <w:rsid w:val="44DB3BAD"/>
    <w:rsid w:val="44EF7556"/>
    <w:rsid w:val="45161D33"/>
    <w:rsid w:val="452269D1"/>
    <w:rsid w:val="452913B3"/>
    <w:rsid w:val="454C27BA"/>
    <w:rsid w:val="45521D98"/>
    <w:rsid w:val="455519C6"/>
    <w:rsid w:val="459021C4"/>
    <w:rsid w:val="45982CA1"/>
    <w:rsid w:val="45A603D9"/>
    <w:rsid w:val="45CA658D"/>
    <w:rsid w:val="45D33AEA"/>
    <w:rsid w:val="45D945AF"/>
    <w:rsid w:val="45D9497A"/>
    <w:rsid w:val="45DC6E49"/>
    <w:rsid w:val="45E72D80"/>
    <w:rsid w:val="45E73807"/>
    <w:rsid w:val="46267B8D"/>
    <w:rsid w:val="46296CFD"/>
    <w:rsid w:val="466A0926"/>
    <w:rsid w:val="4672561E"/>
    <w:rsid w:val="46813229"/>
    <w:rsid w:val="46832CE2"/>
    <w:rsid w:val="46865B07"/>
    <w:rsid w:val="46886B3E"/>
    <w:rsid w:val="469F5BC1"/>
    <w:rsid w:val="46A42EB0"/>
    <w:rsid w:val="46A86972"/>
    <w:rsid w:val="46A97BC8"/>
    <w:rsid w:val="46B12A0C"/>
    <w:rsid w:val="46B22AFA"/>
    <w:rsid w:val="46B313F7"/>
    <w:rsid w:val="46B31897"/>
    <w:rsid w:val="46BF4928"/>
    <w:rsid w:val="46C16951"/>
    <w:rsid w:val="46C430AB"/>
    <w:rsid w:val="46CD5BB3"/>
    <w:rsid w:val="46F527EC"/>
    <w:rsid w:val="47095803"/>
    <w:rsid w:val="471367B5"/>
    <w:rsid w:val="47200D37"/>
    <w:rsid w:val="47215D02"/>
    <w:rsid w:val="47370ABA"/>
    <w:rsid w:val="47621DD1"/>
    <w:rsid w:val="47672A3E"/>
    <w:rsid w:val="4776763C"/>
    <w:rsid w:val="477B1305"/>
    <w:rsid w:val="477C200F"/>
    <w:rsid w:val="4790353E"/>
    <w:rsid w:val="4794500D"/>
    <w:rsid w:val="4797719D"/>
    <w:rsid w:val="47A002F6"/>
    <w:rsid w:val="47B90B7F"/>
    <w:rsid w:val="47E45A99"/>
    <w:rsid w:val="47F907C5"/>
    <w:rsid w:val="480B079C"/>
    <w:rsid w:val="480C0168"/>
    <w:rsid w:val="480D0453"/>
    <w:rsid w:val="48310949"/>
    <w:rsid w:val="483551AB"/>
    <w:rsid w:val="483D22CC"/>
    <w:rsid w:val="484963E0"/>
    <w:rsid w:val="486B00BB"/>
    <w:rsid w:val="486D2526"/>
    <w:rsid w:val="488127A7"/>
    <w:rsid w:val="48991076"/>
    <w:rsid w:val="489B0AD4"/>
    <w:rsid w:val="489C0E7C"/>
    <w:rsid w:val="48AC735F"/>
    <w:rsid w:val="48C22C2E"/>
    <w:rsid w:val="48C5646E"/>
    <w:rsid w:val="48D96C7C"/>
    <w:rsid w:val="48FD7317"/>
    <w:rsid w:val="490F06E0"/>
    <w:rsid w:val="49112F05"/>
    <w:rsid w:val="492C2F96"/>
    <w:rsid w:val="492E3C4E"/>
    <w:rsid w:val="49366E7B"/>
    <w:rsid w:val="49447356"/>
    <w:rsid w:val="494576F1"/>
    <w:rsid w:val="494C493D"/>
    <w:rsid w:val="49570857"/>
    <w:rsid w:val="49602550"/>
    <w:rsid w:val="4964111E"/>
    <w:rsid w:val="496B42DA"/>
    <w:rsid w:val="49831760"/>
    <w:rsid w:val="49881965"/>
    <w:rsid w:val="498979C8"/>
    <w:rsid w:val="498F3A3D"/>
    <w:rsid w:val="499B4196"/>
    <w:rsid w:val="499C77BB"/>
    <w:rsid w:val="49A27191"/>
    <w:rsid w:val="49A642F4"/>
    <w:rsid w:val="49A935D9"/>
    <w:rsid w:val="49C314EF"/>
    <w:rsid w:val="49C97224"/>
    <w:rsid w:val="49E26DC6"/>
    <w:rsid w:val="49FC288D"/>
    <w:rsid w:val="4A082DB9"/>
    <w:rsid w:val="4A11777F"/>
    <w:rsid w:val="4A317D5F"/>
    <w:rsid w:val="4A4B730C"/>
    <w:rsid w:val="4A50523D"/>
    <w:rsid w:val="4A5D7291"/>
    <w:rsid w:val="4A6B6A74"/>
    <w:rsid w:val="4A7E3750"/>
    <w:rsid w:val="4A806DBF"/>
    <w:rsid w:val="4A821296"/>
    <w:rsid w:val="4AA002B4"/>
    <w:rsid w:val="4AA065F5"/>
    <w:rsid w:val="4AB11ED4"/>
    <w:rsid w:val="4AB23C03"/>
    <w:rsid w:val="4ABD4294"/>
    <w:rsid w:val="4ACD23D6"/>
    <w:rsid w:val="4AD15731"/>
    <w:rsid w:val="4AD16930"/>
    <w:rsid w:val="4AD62DA1"/>
    <w:rsid w:val="4AE023DD"/>
    <w:rsid w:val="4AE276BC"/>
    <w:rsid w:val="4AF6508E"/>
    <w:rsid w:val="4B00283F"/>
    <w:rsid w:val="4B0870AC"/>
    <w:rsid w:val="4B0E4511"/>
    <w:rsid w:val="4B127154"/>
    <w:rsid w:val="4B1371CB"/>
    <w:rsid w:val="4B197687"/>
    <w:rsid w:val="4B1A6945"/>
    <w:rsid w:val="4B1C0B28"/>
    <w:rsid w:val="4B5A3F7D"/>
    <w:rsid w:val="4B5E121D"/>
    <w:rsid w:val="4B88462C"/>
    <w:rsid w:val="4B897671"/>
    <w:rsid w:val="4B9B0EA7"/>
    <w:rsid w:val="4B9C58D4"/>
    <w:rsid w:val="4B9E042B"/>
    <w:rsid w:val="4BB15DD7"/>
    <w:rsid w:val="4BB673BE"/>
    <w:rsid w:val="4BD72A7F"/>
    <w:rsid w:val="4BE2319E"/>
    <w:rsid w:val="4BEB3A83"/>
    <w:rsid w:val="4BF43354"/>
    <w:rsid w:val="4BFF4460"/>
    <w:rsid w:val="4C070F38"/>
    <w:rsid w:val="4C1106C3"/>
    <w:rsid w:val="4C19280C"/>
    <w:rsid w:val="4C217FD6"/>
    <w:rsid w:val="4C2E7741"/>
    <w:rsid w:val="4C3E2CC4"/>
    <w:rsid w:val="4C4307E7"/>
    <w:rsid w:val="4C471FD7"/>
    <w:rsid w:val="4C4E6B2B"/>
    <w:rsid w:val="4C6B25BB"/>
    <w:rsid w:val="4C870790"/>
    <w:rsid w:val="4C8F52A1"/>
    <w:rsid w:val="4C99297E"/>
    <w:rsid w:val="4C9F4318"/>
    <w:rsid w:val="4CA472A7"/>
    <w:rsid w:val="4CAE0DC6"/>
    <w:rsid w:val="4CB437F6"/>
    <w:rsid w:val="4CB52377"/>
    <w:rsid w:val="4CC435DD"/>
    <w:rsid w:val="4CC46FA7"/>
    <w:rsid w:val="4CCF0B8F"/>
    <w:rsid w:val="4CD1167C"/>
    <w:rsid w:val="4CF91D35"/>
    <w:rsid w:val="4CFB17E6"/>
    <w:rsid w:val="4CFD2BF9"/>
    <w:rsid w:val="4D0261E9"/>
    <w:rsid w:val="4D034783"/>
    <w:rsid w:val="4D053F15"/>
    <w:rsid w:val="4D191AD4"/>
    <w:rsid w:val="4D2668B3"/>
    <w:rsid w:val="4D3219C4"/>
    <w:rsid w:val="4D595B24"/>
    <w:rsid w:val="4D641BDB"/>
    <w:rsid w:val="4D7D5612"/>
    <w:rsid w:val="4D852885"/>
    <w:rsid w:val="4D8860D7"/>
    <w:rsid w:val="4DA24D1C"/>
    <w:rsid w:val="4DBB3186"/>
    <w:rsid w:val="4DC41DA7"/>
    <w:rsid w:val="4DC4528E"/>
    <w:rsid w:val="4DC746DC"/>
    <w:rsid w:val="4DD27265"/>
    <w:rsid w:val="4DD752A2"/>
    <w:rsid w:val="4DE86678"/>
    <w:rsid w:val="4DF2276D"/>
    <w:rsid w:val="4E0975E7"/>
    <w:rsid w:val="4E191EAF"/>
    <w:rsid w:val="4E1F6EB3"/>
    <w:rsid w:val="4E4F1AF9"/>
    <w:rsid w:val="4E771F3E"/>
    <w:rsid w:val="4E803FA8"/>
    <w:rsid w:val="4E814E30"/>
    <w:rsid w:val="4E8B2588"/>
    <w:rsid w:val="4E9E3C23"/>
    <w:rsid w:val="4ED62ECF"/>
    <w:rsid w:val="4EEF578A"/>
    <w:rsid w:val="4EFA6DC1"/>
    <w:rsid w:val="4F0B2582"/>
    <w:rsid w:val="4F0F2B70"/>
    <w:rsid w:val="4F1D06F4"/>
    <w:rsid w:val="4F212A01"/>
    <w:rsid w:val="4F241B17"/>
    <w:rsid w:val="4F257073"/>
    <w:rsid w:val="4F301857"/>
    <w:rsid w:val="4F681936"/>
    <w:rsid w:val="4F6B6C90"/>
    <w:rsid w:val="4F844786"/>
    <w:rsid w:val="4F8B3E56"/>
    <w:rsid w:val="4F8B78F2"/>
    <w:rsid w:val="4F910446"/>
    <w:rsid w:val="4FA87C71"/>
    <w:rsid w:val="4FAD6B06"/>
    <w:rsid w:val="4FD5663B"/>
    <w:rsid w:val="4FDF28D3"/>
    <w:rsid w:val="4FFC5148"/>
    <w:rsid w:val="500E2189"/>
    <w:rsid w:val="501C5F4C"/>
    <w:rsid w:val="50242873"/>
    <w:rsid w:val="503B680E"/>
    <w:rsid w:val="50594100"/>
    <w:rsid w:val="5065405F"/>
    <w:rsid w:val="5067531C"/>
    <w:rsid w:val="50794F72"/>
    <w:rsid w:val="507D0CA9"/>
    <w:rsid w:val="509141B6"/>
    <w:rsid w:val="509938D9"/>
    <w:rsid w:val="50A06E91"/>
    <w:rsid w:val="50BF076D"/>
    <w:rsid w:val="50C11560"/>
    <w:rsid w:val="50EB753F"/>
    <w:rsid w:val="50F3057B"/>
    <w:rsid w:val="51033E28"/>
    <w:rsid w:val="51094825"/>
    <w:rsid w:val="51194A6B"/>
    <w:rsid w:val="512372CC"/>
    <w:rsid w:val="512460B3"/>
    <w:rsid w:val="512D7670"/>
    <w:rsid w:val="512E7C5E"/>
    <w:rsid w:val="513D5554"/>
    <w:rsid w:val="51433A26"/>
    <w:rsid w:val="51435AD8"/>
    <w:rsid w:val="514E026B"/>
    <w:rsid w:val="515606F2"/>
    <w:rsid w:val="515E027B"/>
    <w:rsid w:val="51A14AB5"/>
    <w:rsid w:val="51B72D2A"/>
    <w:rsid w:val="51BF35FD"/>
    <w:rsid w:val="51C8796C"/>
    <w:rsid w:val="51CA1D55"/>
    <w:rsid w:val="51D3518D"/>
    <w:rsid w:val="51D51773"/>
    <w:rsid w:val="51DD06A1"/>
    <w:rsid w:val="51EC7E84"/>
    <w:rsid w:val="51F02ACF"/>
    <w:rsid w:val="51FA7F99"/>
    <w:rsid w:val="520720D4"/>
    <w:rsid w:val="520D307D"/>
    <w:rsid w:val="520E4894"/>
    <w:rsid w:val="52106F7E"/>
    <w:rsid w:val="521B5AC1"/>
    <w:rsid w:val="522A551E"/>
    <w:rsid w:val="522F264F"/>
    <w:rsid w:val="523909B7"/>
    <w:rsid w:val="524C35A0"/>
    <w:rsid w:val="525A6760"/>
    <w:rsid w:val="52644A8E"/>
    <w:rsid w:val="52657824"/>
    <w:rsid w:val="52693783"/>
    <w:rsid w:val="526D567F"/>
    <w:rsid w:val="52765DE3"/>
    <w:rsid w:val="528909E8"/>
    <w:rsid w:val="528F0266"/>
    <w:rsid w:val="52A44B1D"/>
    <w:rsid w:val="52A606BB"/>
    <w:rsid w:val="52BE70DE"/>
    <w:rsid w:val="52BF2AF6"/>
    <w:rsid w:val="52C67421"/>
    <w:rsid w:val="52DF6103"/>
    <w:rsid w:val="52EE408A"/>
    <w:rsid w:val="52F43DE1"/>
    <w:rsid w:val="52FA2967"/>
    <w:rsid w:val="52FC482C"/>
    <w:rsid w:val="53041292"/>
    <w:rsid w:val="53106487"/>
    <w:rsid w:val="531320FF"/>
    <w:rsid w:val="532A36C6"/>
    <w:rsid w:val="53385111"/>
    <w:rsid w:val="53395347"/>
    <w:rsid w:val="535B00EA"/>
    <w:rsid w:val="535D08F2"/>
    <w:rsid w:val="536D0B73"/>
    <w:rsid w:val="536E77DF"/>
    <w:rsid w:val="538542B6"/>
    <w:rsid w:val="53A7310B"/>
    <w:rsid w:val="53AD61E2"/>
    <w:rsid w:val="53AE6E89"/>
    <w:rsid w:val="53BD55C2"/>
    <w:rsid w:val="53D73D1F"/>
    <w:rsid w:val="53EA12F8"/>
    <w:rsid w:val="53F82FA0"/>
    <w:rsid w:val="53FD3203"/>
    <w:rsid w:val="540F471F"/>
    <w:rsid w:val="540F7498"/>
    <w:rsid w:val="541B565F"/>
    <w:rsid w:val="541F2266"/>
    <w:rsid w:val="54511490"/>
    <w:rsid w:val="54567CF8"/>
    <w:rsid w:val="546B1F56"/>
    <w:rsid w:val="54705FA3"/>
    <w:rsid w:val="54A9350D"/>
    <w:rsid w:val="54AE3555"/>
    <w:rsid w:val="54B44F3E"/>
    <w:rsid w:val="54C10E0B"/>
    <w:rsid w:val="54C6239B"/>
    <w:rsid w:val="54D21FF4"/>
    <w:rsid w:val="54D22C63"/>
    <w:rsid w:val="54D51D92"/>
    <w:rsid w:val="54E33E07"/>
    <w:rsid w:val="550020CC"/>
    <w:rsid w:val="55053FB1"/>
    <w:rsid w:val="550F738D"/>
    <w:rsid w:val="55105D67"/>
    <w:rsid w:val="551925EB"/>
    <w:rsid w:val="552E42B1"/>
    <w:rsid w:val="552F2073"/>
    <w:rsid w:val="5533296C"/>
    <w:rsid w:val="5539496E"/>
    <w:rsid w:val="553C0B0B"/>
    <w:rsid w:val="555B3708"/>
    <w:rsid w:val="555C1021"/>
    <w:rsid w:val="55650DD4"/>
    <w:rsid w:val="55881FEB"/>
    <w:rsid w:val="559544A1"/>
    <w:rsid w:val="559D1B18"/>
    <w:rsid w:val="559E0C79"/>
    <w:rsid w:val="55A0105D"/>
    <w:rsid w:val="55A86518"/>
    <w:rsid w:val="55B45E9B"/>
    <w:rsid w:val="55B5218C"/>
    <w:rsid w:val="55BA16AD"/>
    <w:rsid w:val="55BB2305"/>
    <w:rsid w:val="55C3004F"/>
    <w:rsid w:val="55C84E61"/>
    <w:rsid w:val="55CD530D"/>
    <w:rsid w:val="55CF199A"/>
    <w:rsid w:val="55CF2C93"/>
    <w:rsid w:val="55E768E8"/>
    <w:rsid w:val="55F35561"/>
    <w:rsid w:val="55FC21C4"/>
    <w:rsid w:val="560E1DBD"/>
    <w:rsid w:val="563E5808"/>
    <w:rsid w:val="56487C06"/>
    <w:rsid w:val="564F2FD6"/>
    <w:rsid w:val="564F4A1A"/>
    <w:rsid w:val="56520BF9"/>
    <w:rsid w:val="565F38EE"/>
    <w:rsid w:val="56604784"/>
    <w:rsid w:val="566E51D6"/>
    <w:rsid w:val="56775267"/>
    <w:rsid w:val="568411BB"/>
    <w:rsid w:val="56931F37"/>
    <w:rsid w:val="569E3EE6"/>
    <w:rsid w:val="56CB403F"/>
    <w:rsid w:val="56D06A51"/>
    <w:rsid w:val="56D11496"/>
    <w:rsid w:val="56E270E9"/>
    <w:rsid w:val="56F94094"/>
    <w:rsid w:val="57071F4E"/>
    <w:rsid w:val="570E60BE"/>
    <w:rsid w:val="571B01F2"/>
    <w:rsid w:val="57295EA1"/>
    <w:rsid w:val="57437223"/>
    <w:rsid w:val="574E4E5E"/>
    <w:rsid w:val="576206B2"/>
    <w:rsid w:val="57710B44"/>
    <w:rsid w:val="57797801"/>
    <w:rsid w:val="577A1F44"/>
    <w:rsid w:val="57823EDB"/>
    <w:rsid w:val="57883229"/>
    <w:rsid w:val="57971AFC"/>
    <w:rsid w:val="57996E2C"/>
    <w:rsid w:val="579A046A"/>
    <w:rsid w:val="57B3566A"/>
    <w:rsid w:val="57B83882"/>
    <w:rsid w:val="57C72719"/>
    <w:rsid w:val="57CE1ADE"/>
    <w:rsid w:val="57E87254"/>
    <w:rsid w:val="57EC2FBD"/>
    <w:rsid w:val="57FD0454"/>
    <w:rsid w:val="58083745"/>
    <w:rsid w:val="580B1B5D"/>
    <w:rsid w:val="580F52DD"/>
    <w:rsid w:val="58115893"/>
    <w:rsid w:val="582F21FE"/>
    <w:rsid w:val="583A6AE1"/>
    <w:rsid w:val="583D1EC5"/>
    <w:rsid w:val="58430E04"/>
    <w:rsid w:val="58447EEA"/>
    <w:rsid w:val="585710E6"/>
    <w:rsid w:val="585B630B"/>
    <w:rsid w:val="58621F05"/>
    <w:rsid w:val="586356A5"/>
    <w:rsid w:val="58707502"/>
    <w:rsid w:val="58723FE4"/>
    <w:rsid w:val="5888199F"/>
    <w:rsid w:val="589E75EC"/>
    <w:rsid w:val="58AB7AD4"/>
    <w:rsid w:val="58BD7BC2"/>
    <w:rsid w:val="58C12364"/>
    <w:rsid w:val="58EB0BCA"/>
    <w:rsid w:val="58F51F77"/>
    <w:rsid w:val="59025B0D"/>
    <w:rsid w:val="59055CCE"/>
    <w:rsid w:val="590E22DB"/>
    <w:rsid w:val="590E638E"/>
    <w:rsid w:val="59170A87"/>
    <w:rsid w:val="59184160"/>
    <w:rsid w:val="59442859"/>
    <w:rsid w:val="594A6DE7"/>
    <w:rsid w:val="594E370F"/>
    <w:rsid w:val="59526FF3"/>
    <w:rsid w:val="5956265F"/>
    <w:rsid w:val="595A36C1"/>
    <w:rsid w:val="595B3C40"/>
    <w:rsid w:val="59610727"/>
    <w:rsid w:val="5970339B"/>
    <w:rsid w:val="598F4F95"/>
    <w:rsid w:val="5999739E"/>
    <w:rsid w:val="59A41164"/>
    <w:rsid w:val="59B569AB"/>
    <w:rsid w:val="59C254A5"/>
    <w:rsid w:val="59E06376"/>
    <w:rsid w:val="59E142DC"/>
    <w:rsid w:val="59ED46EB"/>
    <w:rsid w:val="59FF75BE"/>
    <w:rsid w:val="5A0111E2"/>
    <w:rsid w:val="5A0176D1"/>
    <w:rsid w:val="5A1D15B3"/>
    <w:rsid w:val="5A1D4EFE"/>
    <w:rsid w:val="5A394566"/>
    <w:rsid w:val="5A3A2204"/>
    <w:rsid w:val="5A472CEC"/>
    <w:rsid w:val="5A616BCF"/>
    <w:rsid w:val="5A666518"/>
    <w:rsid w:val="5A782AA3"/>
    <w:rsid w:val="5A8805AD"/>
    <w:rsid w:val="5A891532"/>
    <w:rsid w:val="5A982B0C"/>
    <w:rsid w:val="5A9E5948"/>
    <w:rsid w:val="5AA409B2"/>
    <w:rsid w:val="5AA669DF"/>
    <w:rsid w:val="5ABB7EBA"/>
    <w:rsid w:val="5ABD5EDB"/>
    <w:rsid w:val="5ACD4C19"/>
    <w:rsid w:val="5AD32AD3"/>
    <w:rsid w:val="5AD61301"/>
    <w:rsid w:val="5ADA0571"/>
    <w:rsid w:val="5AEE2462"/>
    <w:rsid w:val="5AEF6BF7"/>
    <w:rsid w:val="5AFF59AA"/>
    <w:rsid w:val="5B0C1D95"/>
    <w:rsid w:val="5B0D1838"/>
    <w:rsid w:val="5B270F8B"/>
    <w:rsid w:val="5B7222F3"/>
    <w:rsid w:val="5B725324"/>
    <w:rsid w:val="5B78635A"/>
    <w:rsid w:val="5B7A74E3"/>
    <w:rsid w:val="5B7F07D5"/>
    <w:rsid w:val="5B8526E3"/>
    <w:rsid w:val="5B895676"/>
    <w:rsid w:val="5B936127"/>
    <w:rsid w:val="5BB3092C"/>
    <w:rsid w:val="5BC540D1"/>
    <w:rsid w:val="5BCF7A15"/>
    <w:rsid w:val="5BD74746"/>
    <w:rsid w:val="5BDC5587"/>
    <w:rsid w:val="5BF11664"/>
    <w:rsid w:val="5BF758DA"/>
    <w:rsid w:val="5BFA5443"/>
    <w:rsid w:val="5C0033F1"/>
    <w:rsid w:val="5C022EEB"/>
    <w:rsid w:val="5C0D0B16"/>
    <w:rsid w:val="5C3A050C"/>
    <w:rsid w:val="5C3C1A99"/>
    <w:rsid w:val="5C451D6A"/>
    <w:rsid w:val="5C647285"/>
    <w:rsid w:val="5C7A19BD"/>
    <w:rsid w:val="5C9A394F"/>
    <w:rsid w:val="5CAC6FC5"/>
    <w:rsid w:val="5CB53A34"/>
    <w:rsid w:val="5CB77667"/>
    <w:rsid w:val="5CBB7530"/>
    <w:rsid w:val="5CC16D8D"/>
    <w:rsid w:val="5CC95D32"/>
    <w:rsid w:val="5CDC179B"/>
    <w:rsid w:val="5CDF7FD7"/>
    <w:rsid w:val="5CF073E9"/>
    <w:rsid w:val="5CFF6E54"/>
    <w:rsid w:val="5D0120B0"/>
    <w:rsid w:val="5D0803AB"/>
    <w:rsid w:val="5D0870B9"/>
    <w:rsid w:val="5D0F0B56"/>
    <w:rsid w:val="5D0F2892"/>
    <w:rsid w:val="5D26311B"/>
    <w:rsid w:val="5D577A94"/>
    <w:rsid w:val="5D697D79"/>
    <w:rsid w:val="5D6F1CCC"/>
    <w:rsid w:val="5D7520B0"/>
    <w:rsid w:val="5D75491A"/>
    <w:rsid w:val="5D7D2CD6"/>
    <w:rsid w:val="5D8C2F31"/>
    <w:rsid w:val="5D94650F"/>
    <w:rsid w:val="5DA05548"/>
    <w:rsid w:val="5DA46239"/>
    <w:rsid w:val="5DA4679E"/>
    <w:rsid w:val="5DC2282B"/>
    <w:rsid w:val="5DD3264E"/>
    <w:rsid w:val="5E041265"/>
    <w:rsid w:val="5E2B7697"/>
    <w:rsid w:val="5E3B36FA"/>
    <w:rsid w:val="5E4D2A9C"/>
    <w:rsid w:val="5E521E1C"/>
    <w:rsid w:val="5E5571A4"/>
    <w:rsid w:val="5E5576F3"/>
    <w:rsid w:val="5E617C2B"/>
    <w:rsid w:val="5E723EB4"/>
    <w:rsid w:val="5EA23921"/>
    <w:rsid w:val="5EB323C8"/>
    <w:rsid w:val="5EC46CBD"/>
    <w:rsid w:val="5EC54381"/>
    <w:rsid w:val="5EC9488F"/>
    <w:rsid w:val="5EDE5C89"/>
    <w:rsid w:val="5EE64AAF"/>
    <w:rsid w:val="5EEF1885"/>
    <w:rsid w:val="5EF47E31"/>
    <w:rsid w:val="5EFB4BF2"/>
    <w:rsid w:val="5F0132CA"/>
    <w:rsid w:val="5F1E58A2"/>
    <w:rsid w:val="5F1F2B83"/>
    <w:rsid w:val="5F215050"/>
    <w:rsid w:val="5F28008C"/>
    <w:rsid w:val="5F2E659A"/>
    <w:rsid w:val="5F4462D9"/>
    <w:rsid w:val="5F4B574C"/>
    <w:rsid w:val="5F526781"/>
    <w:rsid w:val="5F69AEF8"/>
    <w:rsid w:val="5F6C2068"/>
    <w:rsid w:val="5F6C31C7"/>
    <w:rsid w:val="5F6E316F"/>
    <w:rsid w:val="5F733EF1"/>
    <w:rsid w:val="5F743B13"/>
    <w:rsid w:val="5F786A3F"/>
    <w:rsid w:val="5F7F46FC"/>
    <w:rsid w:val="5F7FE304"/>
    <w:rsid w:val="5F9B0D23"/>
    <w:rsid w:val="5F9D4C85"/>
    <w:rsid w:val="5F9F8873"/>
    <w:rsid w:val="5FA66085"/>
    <w:rsid w:val="5FB51FCB"/>
    <w:rsid w:val="5FC2688A"/>
    <w:rsid w:val="5FDC7CD6"/>
    <w:rsid w:val="5FEE3BCE"/>
    <w:rsid w:val="600153BE"/>
    <w:rsid w:val="60094F35"/>
    <w:rsid w:val="600D4CEE"/>
    <w:rsid w:val="60113E2C"/>
    <w:rsid w:val="601A3702"/>
    <w:rsid w:val="602C7C48"/>
    <w:rsid w:val="604343F0"/>
    <w:rsid w:val="60437DE9"/>
    <w:rsid w:val="6046318F"/>
    <w:rsid w:val="604B6CCB"/>
    <w:rsid w:val="6070442A"/>
    <w:rsid w:val="60B9239F"/>
    <w:rsid w:val="60C645AB"/>
    <w:rsid w:val="60E20DAE"/>
    <w:rsid w:val="60E27E53"/>
    <w:rsid w:val="61031D76"/>
    <w:rsid w:val="61206F49"/>
    <w:rsid w:val="612D4771"/>
    <w:rsid w:val="61321B4C"/>
    <w:rsid w:val="613D6BAA"/>
    <w:rsid w:val="61400A45"/>
    <w:rsid w:val="61410D80"/>
    <w:rsid w:val="6167427F"/>
    <w:rsid w:val="616A3192"/>
    <w:rsid w:val="616D37C2"/>
    <w:rsid w:val="618755C4"/>
    <w:rsid w:val="61953350"/>
    <w:rsid w:val="619E139C"/>
    <w:rsid w:val="61AC2E6E"/>
    <w:rsid w:val="61BE5377"/>
    <w:rsid w:val="61DE71DE"/>
    <w:rsid w:val="61F05A3D"/>
    <w:rsid w:val="62127C3C"/>
    <w:rsid w:val="6224730C"/>
    <w:rsid w:val="622567A5"/>
    <w:rsid w:val="622977EA"/>
    <w:rsid w:val="622B010A"/>
    <w:rsid w:val="622C73DE"/>
    <w:rsid w:val="62577D9F"/>
    <w:rsid w:val="626C7A15"/>
    <w:rsid w:val="626F3F92"/>
    <w:rsid w:val="6287216F"/>
    <w:rsid w:val="62892A53"/>
    <w:rsid w:val="629831F9"/>
    <w:rsid w:val="62A63F25"/>
    <w:rsid w:val="62BC5DE9"/>
    <w:rsid w:val="62C10FD0"/>
    <w:rsid w:val="62D62672"/>
    <w:rsid w:val="62DD422F"/>
    <w:rsid w:val="62E41E7C"/>
    <w:rsid w:val="62E65643"/>
    <w:rsid w:val="62E8190E"/>
    <w:rsid w:val="62FC541B"/>
    <w:rsid w:val="6300634C"/>
    <w:rsid w:val="63114765"/>
    <w:rsid w:val="63287B7B"/>
    <w:rsid w:val="63382085"/>
    <w:rsid w:val="63422B24"/>
    <w:rsid w:val="63471E94"/>
    <w:rsid w:val="635C1ED9"/>
    <w:rsid w:val="636607F7"/>
    <w:rsid w:val="636965D4"/>
    <w:rsid w:val="637029F7"/>
    <w:rsid w:val="63726B6C"/>
    <w:rsid w:val="637B7A06"/>
    <w:rsid w:val="637C0E46"/>
    <w:rsid w:val="63835232"/>
    <w:rsid w:val="63965A29"/>
    <w:rsid w:val="63A044C9"/>
    <w:rsid w:val="63AE2B07"/>
    <w:rsid w:val="63AE435F"/>
    <w:rsid w:val="63B14BC4"/>
    <w:rsid w:val="63BB7AF9"/>
    <w:rsid w:val="63BD1501"/>
    <w:rsid w:val="63CC0088"/>
    <w:rsid w:val="63E8694B"/>
    <w:rsid w:val="63F86267"/>
    <w:rsid w:val="640E3B92"/>
    <w:rsid w:val="646D6D6E"/>
    <w:rsid w:val="647A3430"/>
    <w:rsid w:val="648B159F"/>
    <w:rsid w:val="648D6976"/>
    <w:rsid w:val="64BB2F3B"/>
    <w:rsid w:val="64BF61CB"/>
    <w:rsid w:val="64C93DE9"/>
    <w:rsid w:val="64DA6181"/>
    <w:rsid w:val="64FA5B55"/>
    <w:rsid w:val="651C0482"/>
    <w:rsid w:val="65461ECA"/>
    <w:rsid w:val="654A5961"/>
    <w:rsid w:val="655075F6"/>
    <w:rsid w:val="657E46FF"/>
    <w:rsid w:val="65803402"/>
    <w:rsid w:val="658E1E84"/>
    <w:rsid w:val="659A5AD1"/>
    <w:rsid w:val="65A4596F"/>
    <w:rsid w:val="65C437BF"/>
    <w:rsid w:val="65C72292"/>
    <w:rsid w:val="65D117B7"/>
    <w:rsid w:val="65F1617E"/>
    <w:rsid w:val="65F5223C"/>
    <w:rsid w:val="66022B47"/>
    <w:rsid w:val="660245B8"/>
    <w:rsid w:val="661829F8"/>
    <w:rsid w:val="661A727C"/>
    <w:rsid w:val="661B4BCF"/>
    <w:rsid w:val="662E096C"/>
    <w:rsid w:val="665C4E79"/>
    <w:rsid w:val="666D0C7A"/>
    <w:rsid w:val="66821FD7"/>
    <w:rsid w:val="66975803"/>
    <w:rsid w:val="66B132A5"/>
    <w:rsid w:val="66C306A0"/>
    <w:rsid w:val="66D52CAC"/>
    <w:rsid w:val="66E717C1"/>
    <w:rsid w:val="66E757AC"/>
    <w:rsid w:val="66F276B6"/>
    <w:rsid w:val="66FB2125"/>
    <w:rsid w:val="672A5A8A"/>
    <w:rsid w:val="672B6BEF"/>
    <w:rsid w:val="672F287A"/>
    <w:rsid w:val="67340A23"/>
    <w:rsid w:val="67574DE2"/>
    <w:rsid w:val="675F6FD0"/>
    <w:rsid w:val="67717EA6"/>
    <w:rsid w:val="67753D45"/>
    <w:rsid w:val="677E7AB0"/>
    <w:rsid w:val="678D7669"/>
    <w:rsid w:val="67D03E67"/>
    <w:rsid w:val="67D33548"/>
    <w:rsid w:val="67E633C8"/>
    <w:rsid w:val="67E86292"/>
    <w:rsid w:val="67EC221C"/>
    <w:rsid w:val="67F72C98"/>
    <w:rsid w:val="68144D69"/>
    <w:rsid w:val="68174EC4"/>
    <w:rsid w:val="68450B54"/>
    <w:rsid w:val="6853226F"/>
    <w:rsid w:val="68534AC8"/>
    <w:rsid w:val="68557724"/>
    <w:rsid w:val="68830BF5"/>
    <w:rsid w:val="689D7887"/>
    <w:rsid w:val="689F7918"/>
    <w:rsid w:val="68B411EB"/>
    <w:rsid w:val="68C53CF8"/>
    <w:rsid w:val="68CE059F"/>
    <w:rsid w:val="68DE37E4"/>
    <w:rsid w:val="68DE3B49"/>
    <w:rsid w:val="68DF04D4"/>
    <w:rsid w:val="68E02C65"/>
    <w:rsid w:val="68FF3B24"/>
    <w:rsid w:val="69024E7D"/>
    <w:rsid w:val="69032A8F"/>
    <w:rsid w:val="690E397F"/>
    <w:rsid w:val="691471F2"/>
    <w:rsid w:val="691F3219"/>
    <w:rsid w:val="696C085C"/>
    <w:rsid w:val="69884761"/>
    <w:rsid w:val="699613C0"/>
    <w:rsid w:val="699F0AC7"/>
    <w:rsid w:val="69C1601A"/>
    <w:rsid w:val="69DE523F"/>
    <w:rsid w:val="69E45415"/>
    <w:rsid w:val="69EF0BEC"/>
    <w:rsid w:val="69F878CA"/>
    <w:rsid w:val="69FD21F7"/>
    <w:rsid w:val="6A03117B"/>
    <w:rsid w:val="6A18692A"/>
    <w:rsid w:val="6A1B663F"/>
    <w:rsid w:val="6A354F27"/>
    <w:rsid w:val="6A5A4712"/>
    <w:rsid w:val="6A5D229E"/>
    <w:rsid w:val="6A6661F0"/>
    <w:rsid w:val="6A7933E7"/>
    <w:rsid w:val="6A7D6314"/>
    <w:rsid w:val="6A8F06CC"/>
    <w:rsid w:val="6A9B4E64"/>
    <w:rsid w:val="6A9B7C73"/>
    <w:rsid w:val="6AB0509A"/>
    <w:rsid w:val="6ABB323D"/>
    <w:rsid w:val="6ABB571C"/>
    <w:rsid w:val="6ACB2456"/>
    <w:rsid w:val="6ACC4257"/>
    <w:rsid w:val="6ACE1E05"/>
    <w:rsid w:val="6ACE6EC4"/>
    <w:rsid w:val="6AE32434"/>
    <w:rsid w:val="6AF4202E"/>
    <w:rsid w:val="6AF81E4E"/>
    <w:rsid w:val="6B0873F3"/>
    <w:rsid w:val="6B0E0FF6"/>
    <w:rsid w:val="6B185226"/>
    <w:rsid w:val="6B1A13F6"/>
    <w:rsid w:val="6B1A1DDB"/>
    <w:rsid w:val="6B2172B8"/>
    <w:rsid w:val="6B2B5C9F"/>
    <w:rsid w:val="6B33535D"/>
    <w:rsid w:val="6B337530"/>
    <w:rsid w:val="6B372C9C"/>
    <w:rsid w:val="6B3753C8"/>
    <w:rsid w:val="6B3D63CA"/>
    <w:rsid w:val="6B425B21"/>
    <w:rsid w:val="6B712827"/>
    <w:rsid w:val="6B8C5E66"/>
    <w:rsid w:val="6B972271"/>
    <w:rsid w:val="6B9B6206"/>
    <w:rsid w:val="6BA12924"/>
    <w:rsid w:val="6BA31786"/>
    <w:rsid w:val="6BC1250C"/>
    <w:rsid w:val="6BDD4CE3"/>
    <w:rsid w:val="6BE2471A"/>
    <w:rsid w:val="6BF27AD3"/>
    <w:rsid w:val="6C127E8F"/>
    <w:rsid w:val="6C2643D1"/>
    <w:rsid w:val="6C2A19E5"/>
    <w:rsid w:val="6C3239D1"/>
    <w:rsid w:val="6C367D5D"/>
    <w:rsid w:val="6C371E8E"/>
    <w:rsid w:val="6C4707FB"/>
    <w:rsid w:val="6C4A583D"/>
    <w:rsid w:val="6C626635"/>
    <w:rsid w:val="6C6D191B"/>
    <w:rsid w:val="6C6D3F0B"/>
    <w:rsid w:val="6C8F5271"/>
    <w:rsid w:val="6CAA75A0"/>
    <w:rsid w:val="6CAD2B5D"/>
    <w:rsid w:val="6CB565B0"/>
    <w:rsid w:val="6CB7686A"/>
    <w:rsid w:val="6CFB0FDE"/>
    <w:rsid w:val="6D0B3E55"/>
    <w:rsid w:val="6D0E128B"/>
    <w:rsid w:val="6D1E1EB0"/>
    <w:rsid w:val="6D231B03"/>
    <w:rsid w:val="6D245DF6"/>
    <w:rsid w:val="6D2C0992"/>
    <w:rsid w:val="6D3C4065"/>
    <w:rsid w:val="6D4D6E7A"/>
    <w:rsid w:val="6D5A180E"/>
    <w:rsid w:val="6D6A62D7"/>
    <w:rsid w:val="6D733879"/>
    <w:rsid w:val="6D857D9D"/>
    <w:rsid w:val="6D8F032A"/>
    <w:rsid w:val="6DBA4C07"/>
    <w:rsid w:val="6DD975D8"/>
    <w:rsid w:val="6DDF631C"/>
    <w:rsid w:val="6DF73529"/>
    <w:rsid w:val="6E032FC2"/>
    <w:rsid w:val="6E090563"/>
    <w:rsid w:val="6E220D75"/>
    <w:rsid w:val="6E285408"/>
    <w:rsid w:val="6E317E32"/>
    <w:rsid w:val="6E3877ED"/>
    <w:rsid w:val="6E3967BB"/>
    <w:rsid w:val="6E433EAF"/>
    <w:rsid w:val="6E496928"/>
    <w:rsid w:val="6E5340CB"/>
    <w:rsid w:val="6E56640B"/>
    <w:rsid w:val="6E851BF4"/>
    <w:rsid w:val="6E943958"/>
    <w:rsid w:val="6E953AA3"/>
    <w:rsid w:val="6E9B23D4"/>
    <w:rsid w:val="6E9F711B"/>
    <w:rsid w:val="6EAF3A57"/>
    <w:rsid w:val="6EC95E08"/>
    <w:rsid w:val="6ED011FC"/>
    <w:rsid w:val="6ED770CD"/>
    <w:rsid w:val="6EDF77F5"/>
    <w:rsid w:val="6F076F7D"/>
    <w:rsid w:val="6F1144A4"/>
    <w:rsid w:val="6F323167"/>
    <w:rsid w:val="6F33446A"/>
    <w:rsid w:val="6F3444B6"/>
    <w:rsid w:val="6F5E1BD4"/>
    <w:rsid w:val="6F7B6954"/>
    <w:rsid w:val="6F814C70"/>
    <w:rsid w:val="6F85563F"/>
    <w:rsid w:val="6F8C2487"/>
    <w:rsid w:val="6FA46580"/>
    <w:rsid w:val="6FB73240"/>
    <w:rsid w:val="6FB93B4D"/>
    <w:rsid w:val="6FBF0D34"/>
    <w:rsid w:val="6FC92DA9"/>
    <w:rsid w:val="6FD93B73"/>
    <w:rsid w:val="6FD96993"/>
    <w:rsid w:val="6FDFDB66"/>
    <w:rsid w:val="6FE90101"/>
    <w:rsid w:val="6FF22532"/>
    <w:rsid w:val="6FF31452"/>
    <w:rsid w:val="70027159"/>
    <w:rsid w:val="70185CDC"/>
    <w:rsid w:val="703A551C"/>
    <w:rsid w:val="703A5856"/>
    <w:rsid w:val="703C2781"/>
    <w:rsid w:val="70563559"/>
    <w:rsid w:val="706436BB"/>
    <w:rsid w:val="707C47D6"/>
    <w:rsid w:val="70A0799F"/>
    <w:rsid w:val="70A30D27"/>
    <w:rsid w:val="70AC3D7A"/>
    <w:rsid w:val="70AE7F6F"/>
    <w:rsid w:val="70C76C10"/>
    <w:rsid w:val="70CC36B5"/>
    <w:rsid w:val="70CC526B"/>
    <w:rsid w:val="70F244FE"/>
    <w:rsid w:val="70FE0A22"/>
    <w:rsid w:val="70FE78F0"/>
    <w:rsid w:val="710F4243"/>
    <w:rsid w:val="712269D3"/>
    <w:rsid w:val="713573F8"/>
    <w:rsid w:val="71550DEF"/>
    <w:rsid w:val="715B625B"/>
    <w:rsid w:val="71667BAE"/>
    <w:rsid w:val="71743D65"/>
    <w:rsid w:val="718E2962"/>
    <w:rsid w:val="719152B5"/>
    <w:rsid w:val="719438CB"/>
    <w:rsid w:val="71997EB8"/>
    <w:rsid w:val="71A20DB3"/>
    <w:rsid w:val="71A42F48"/>
    <w:rsid w:val="71A517D9"/>
    <w:rsid w:val="71A61A92"/>
    <w:rsid w:val="71AA4E17"/>
    <w:rsid w:val="71AB0D1E"/>
    <w:rsid w:val="71C21F5C"/>
    <w:rsid w:val="71CC32AB"/>
    <w:rsid w:val="71D0293D"/>
    <w:rsid w:val="71EE5087"/>
    <w:rsid w:val="71F06A5C"/>
    <w:rsid w:val="72057567"/>
    <w:rsid w:val="72104CF8"/>
    <w:rsid w:val="721D12AF"/>
    <w:rsid w:val="721D3A01"/>
    <w:rsid w:val="7226152F"/>
    <w:rsid w:val="722E2629"/>
    <w:rsid w:val="723830FF"/>
    <w:rsid w:val="723F518D"/>
    <w:rsid w:val="72581DED"/>
    <w:rsid w:val="725A4ECA"/>
    <w:rsid w:val="725D58A8"/>
    <w:rsid w:val="72931016"/>
    <w:rsid w:val="729E12ED"/>
    <w:rsid w:val="729F57FE"/>
    <w:rsid w:val="72AF7364"/>
    <w:rsid w:val="72B50674"/>
    <w:rsid w:val="72C216C0"/>
    <w:rsid w:val="72C7190D"/>
    <w:rsid w:val="72E07EB3"/>
    <w:rsid w:val="72EC7E3D"/>
    <w:rsid w:val="72F04094"/>
    <w:rsid w:val="72F21EB4"/>
    <w:rsid w:val="730E3420"/>
    <w:rsid w:val="731A52E5"/>
    <w:rsid w:val="731D71E7"/>
    <w:rsid w:val="73203209"/>
    <w:rsid w:val="732A6D4F"/>
    <w:rsid w:val="73342F94"/>
    <w:rsid w:val="733551EA"/>
    <w:rsid w:val="73361B37"/>
    <w:rsid w:val="733A1A9C"/>
    <w:rsid w:val="733E66FD"/>
    <w:rsid w:val="734165F8"/>
    <w:rsid w:val="734F3909"/>
    <w:rsid w:val="734F6B4A"/>
    <w:rsid w:val="735341A2"/>
    <w:rsid w:val="7362374F"/>
    <w:rsid w:val="736C1B8C"/>
    <w:rsid w:val="736C5135"/>
    <w:rsid w:val="737E1D9A"/>
    <w:rsid w:val="738B0393"/>
    <w:rsid w:val="739978C7"/>
    <w:rsid w:val="73A56453"/>
    <w:rsid w:val="73AB798B"/>
    <w:rsid w:val="73CD3AF9"/>
    <w:rsid w:val="73CF470B"/>
    <w:rsid w:val="74082529"/>
    <w:rsid w:val="741D2018"/>
    <w:rsid w:val="741F35DB"/>
    <w:rsid w:val="742A7931"/>
    <w:rsid w:val="74330594"/>
    <w:rsid w:val="74363265"/>
    <w:rsid w:val="7439521B"/>
    <w:rsid w:val="743B15E2"/>
    <w:rsid w:val="743C03B7"/>
    <w:rsid w:val="744864FF"/>
    <w:rsid w:val="74487C11"/>
    <w:rsid w:val="745C1CA8"/>
    <w:rsid w:val="746304B0"/>
    <w:rsid w:val="748816E2"/>
    <w:rsid w:val="748C3F4B"/>
    <w:rsid w:val="7492141F"/>
    <w:rsid w:val="74D114D6"/>
    <w:rsid w:val="74D25EEE"/>
    <w:rsid w:val="74F93B59"/>
    <w:rsid w:val="750937B8"/>
    <w:rsid w:val="750B48FC"/>
    <w:rsid w:val="750B5B44"/>
    <w:rsid w:val="750D3415"/>
    <w:rsid w:val="751A6619"/>
    <w:rsid w:val="75384563"/>
    <w:rsid w:val="754760B8"/>
    <w:rsid w:val="754C091C"/>
    <w:rsid w:val="754C13F7"/>
    <w:rsid w:val="754D342B"/>
    <w:rsid w:val="755F7F87"/>
    <w:rsid w:val="756B7229"/>
    <w:rsid w:val="756C070F"/>
    <w:rsid w:val="757822AE"/>
    <w:rsid w:val="757E66CB"/>
    <w:rsid w:val="758950A4"/>
    <w:rsid w:val="758F6AE1"/>
    <w:rsid w:val="7590208C"/>
    <w:rsid w:val="75923DAC"/>
    <w:rsid w:val="75945B8C"/>
    <w:rsid w:val="75A7573B"/>
    <w:rsid w:val="75AD4F0B"/>
    <w:rsid w:val="75BA5D24"/>
    <w:rsid w:val="75BD268A"/>
    <w:rsid w:val="75D30E1D"/>
    <w:rsid w:val="75D31876"/>
    <w:rsid w:val="7603234A"/>
    <w:rsid w:val="76054613"/>
    <w:rsid w:val="760A5CDB"/>
    <w:rsid w:val="76202E19"/>
    <w:rsid w:val="7634632A"/>
    <w:rsid w:val="763738F1"/>
    <w:rsid w:val="76385E60"/>
    <w:rsid w:val="76402E54"/>
    <w:rsid w:val="764E068A"/>
    <w:rsid w:val="76790F36"/>
    <w:rsid w:val="767A6BDE"/>
    <w:rsid w:val="767B0CC7"/>
    <w:rsid w:val="7694751B"/>
    <w:rsid w:val="76AE1308"/>
    <w:rsid w:val="76B714B3"/>
    <w:rsid w:val="76C73C9A"/>
    <w:rsid w:val="76D70271"/>
    <w:rsid w:val="76EA2DC0"/>
    <w:rsid w:val="76FB0B73"/>
    <w:rsid w:val="77017347"/>
    <w:rsid w:val="77041C61"/>
    <w:rsid w:val="771522A2"/>
    <w:rsid w:val="77377037"/>
    <w:rsid w:val="773B615A"/>
    <w:rsid w:val="77450149"/>
    <w:rsid w:val="774C54A1"/>
    <w:rsid w:val="77534D32"/>
    <w:rsid w:val="775929E7"/>
    <w:rsid w:val="775C4878"/>
    <w:rsid w:val="775F6F8F"/>
    <w:rsid w:val="77764D81"/>
    <w:rsid w:val="77793034"/>
    <w:rsid w:val="777F5402"/>
    <w:rsid w:val="77983F25"/>
    <w:rsid w:val="77AD4728"/>
    <w:rsid w:val="77B40BB1"/>
    <w:rsid w:val="77B5746C"/>
    <w:rsid w:val="77BA131D"/>
    <w:rsid w:val="77BA3B1C"/>
    <w:rsid w:val="77BF57C7"/>
    <w:rsid w:val="77CA7A19"/>
    <w:rsid w:val="77DF3E51"/>
    <w:rsid w:val="77DF47F4"/>
    <w:rsid w:val="77E83F2A"/>
    <w:rsid w:val="77E91DF6"/>
    <w:rsid w:val="77EA5752"/>
    <w:rsid w:val="7803223D"/>
    <w:rsid w:val="780A45ED"/>
    <w:rsid w:val="780A4DFA"/>
    <w:rsid w:val="78157CF7"/>
    <w:rsid w:val="78301DAE"/>
    <w:rsid w:val="783E4375"/>
    <w:rsid w:val="784F56DF"/>
    <w:rsid w:val="78520D00"/>
    <w:rsid w:val="78526FC2"/>
    <w:rsid w:val="7857629B"/>
    <w:rsid w:val="78693808"/>
    <w:rsid w:val="786E0F9C"/>
    <w:rsid w:val="788437FF"/>
    <w:rsid w:val="78857C89"/>
    <w:rsid w:val="788D5D18"/>
    <w:rsid w:val="7890698E"/>
    <w:rsid w:val="78A97A27"/>
    <w:rsid w:val="78BB2564"/>
    <w:rsid w:val="78BC323C"/>
    <w:rsid w:val="78CC0DC3"/>
    <w:rsid w:val="78D4689D"/>
    <w:rsid w:val="78DF464D"/>
    <w:rsid w:val="78E440AD"/>
    <w:rsid w:val="78E56CA1"/>
    <w:rsid w:val="78F411E5"/>
    <w:rsid w:val="78F54C80"/>
    <w:rsid w:val="79156E0F"/>
    <w:rsid w:val="791902A3"/>
    <w:rsid w:val="793555E7"/>
    <w:rsid w:val="7944014D"/>
    <w:rsid w:val="79446284"/>
    <w:rsid w:val="79482F61"/>
    <w:rsid w:val="7956060E"/>
    <w:rsid w:val="79653DE6"/>
    <w:rsid w:val="79782A0A"/>
    <w:rsid w:val="7994314C"/>
    <w:rsid w:val="79952599"/>
    <w:rsid w:val="79A35F49"/>
    <w:rsid w:val="79BC168A"/>
    <w:rsid w:val="79D85272"/>
    <w:rsid w:val="79E06189"/>
    <w:rsid w:val="79E06CEF"/>
    <w:rsid w:val="79EA62EB"/>
    <w:rsid w:val="79EB45A1"/>
    <w:rsid w:val="79ED12C9"/>
    <w:rsid w:val="79FD76E9"/>
    <w:rsid w:val="7A215C00"/>
    <w:rsid w:val="7A290DC0"/>
    <w:rsid w:val="7A296EFF"/>
    <w:rsid w:val="7A4B51FA"/>
    <w:rsid w:val="7A4C6089"/>
    <w:rsid w:val="7A5252C7"/>
    <w:rsid w:val="7A531C9F"/>
    <w:rsid w:val="7A5F6682"/>
    <w:rsid w:val="7A8A2F3D"/>
    <w:rsid w:val="7A921AE4"/>
    <w:rsid w:val="7A940832"/>
    <w:rsid w:val="7AA9530D"/>
    <w:rsid w:val="7AB20E79"/>
    <w:rsid w:val="7AB32860"/>
    <w:rsid w:val="7AE70572"/>
    <w:rsid w:val="7AE815FC"/>
    <w:rsid w:val="7AF05A27"/>
    <w:rsid w:val="7AF37A02"/>
    <w:rsid w:val="7B0B455A"/>
    <w:rsid w:val="7B0E68E7"/>
    <w:rsid w:val="7B283017"/>
    <w:rsid w:val="7B347486"/>
    <w:rsid w:val="7B51212C"/>
    <w:rsid w:val="7B581841"/>
    <w:rsid w:val="7B5B428C"/>
    <w:rsid w:val="7B5C2D8B"/>
    <w:rsid w:val="7B5F5CEE"/>
    <w:rsid w:val="7B6C7089"/>
    <w:rsid w:val="7B7C4ED1"/>
    <w:rsid w:val="7BB13620"/>
    <w:rsid w:val="7BB87930"/>
    <w:rsid w:val="7BBA5E68"/>
    <w:rsid w:val="7BC7163F"/>
    <w:rsid w:val="7BC96C5E"/>
    <w:rsid w:val="7BCA02B2"/>
    <w:rsid w:val="7BCE0DF2"/>
    <w:rsid w:val="7BCF19A0"/>
    <w:rsid w:val="7BD01566"/>
    <w:rsid w:val="7BE307E7"/>
    <w:rsid w:val="7C30326B"/>
    <w:rsid w:val="7C33006F"/>
    <w:rsid w:val="7C411BDF"/>
    <w:rsid w:val="7C56302C"/>
    <w:rsid w:val="7C59178C"/>
    <w:rsid w:val="7C5E5C42"/>
    <w:rsid w:val="7C6F071E"/>
    <w:rsid w:val="7C7C6A3F"/>
    <w:rsid w:val="7C8D0E31"/>
    <w:rsid w:val="7C9567F4"/>
    <w:rsid w:val="7C961F7D"/>
    <w:rsid w:val="7C9E14D5"/>
    <w:rsid w:val="7CA13E1C"/>
    <w:rsid w:val="7CB56D7D"/>
    <w:rsid w:val="7CC916E8"/>
    <w:rsid w:val="7CC92BE4"/>
    <w:rsid w:val="7CEE536B"/>
    <w:rsid w:val="7CFF1283"/>
    <w:rsid w:val="7CFFEFA1"/>
    <w:rsid w:val="7D00284C"/>
    <w:rsid w:val="7D0A7401"/>
    <w:rsid w:val="7D0E042B"/>
    <w:rsid w:val="7D1740A3"/>
    <w:rsid w:val="7D1E3FBC"/>
    <w:rsid w:val="7D2021D2"/>
    <w:rsid w:val="7D2122C5"/>
    <w:rsid w:val="7D342C2D"/>
    <w:rsid w:val="7D346302"/>
    <w:rsid w:val="7D3A7495"/>
    <w:rsid w:val="7D5C2AB9"/>
    <w:rsid w:val="7D5E1AB7"/>
    <w:rsid w:val="7D65430E"/>
    <w:rsid w:val="7D7F7019"/>
    <w:rsid w:val="7D8852F8"/>
    <w:rsid w:val="7D94398B"/>
    <w:rsid w:val="7D971692"/>
    <w:rsid w:val="7D9865FF"/>
    <w:rsid w:val="7DA036B4"/>
    <w:rsid w:val="7DCD136B"/>
    <w:rsid w:val="7DD85480"/>
    <w:rsid w:val="7DDDCE29"/>
    <w:rsid w:val="7DF616D0"/>
    <w:rsid w:val="7E097B7D"/>
    <w:rsid w:val="7E0A3645"/>
    <w:rsid w:val="7E244E09"/>
    <w:rsid w:val="7E261F2C"/>
    <w:rsid w:val="7E3056E0"/>
    <w:rsid w:val="7E305AC4"/>
    <w:rsid w:val="7E327D9E"/>
    <w:rsid w:val="7E3F1D1F"/>
    <w:rsid w:val="7E6063D6"/>
    <w:rsid w:val="7E64706F"/>
    <w:rsid w:val="7E712CB7"/>
    <w:rsid w:val="7E7C0838"/>
    <w:rsid w:val="7E7C1973"/>
    <w:rsid w:val="7E7F2C24"/>
    <w:rsid w:val="7E8D3214"/>
    <w:rsid w:val="7E915650"/>
    <w:rsid w:val="7E923BFA"/>
    <w:rsid w:val="7E9674C8"/>
    <w:rsid w:val="7E997755"/>
    <w:rsid w:val="7EAB3212"/>
    <w:rsid w:val="7EB73BF1"/>
    <w:rsid w:val="7EB75F10"/>
    <w:rsid w:val="7EB80529"/>
    <w:rsid w:val="7EB92E8B"/>
    <w:rsid w:val="7EBD08BF"/>
    <w:rsid w:val="7EC52331"/>
    <w:rsid w:val="7ECF5F7A"/>
    <w:rsid w:val="7ED04D1C"/>
    <w:rsid w:val="7ED752CD"/>
    <w:rsid w:val="7EEA7E01"/>
    <w:rsid w:val="7EEC1096"/>
    <w:rsid w:val="7EFC0461"/>
    <w:rsid w:val="7F1B05FD"/>
    <w:rsid w:val="7F337199"/>
    <w:rsid w:val="7F40213C"/>
    <w:rsid w:val="7F4C0ED5"/>
    <w:rsid w:val="7F5C3BF7"/>
    <w:rsid w:val="7F695587"/>
    <w:rsid w:val="7F76D771"/>
    <w:rsid w:val="7F7F7BF0"/>
    <w:rsid w:val="7F8440CB"/>
    <w:rsid w:val="7F943F09"/>
    <w:rsid w:val="7F9A1937"/>
    <w:rsid w:val="7F9E51A4"/>
    <w:rsid w:val="7FA00957"/>
    <w:rsid w:val="7FA072B5"/>
    <w:rsid w:val="7FA62219"/>
    <w:rsid w:val="7FAE0F58"/>
    <w:rsid w:val="7FB76872"/>
    <w:rsid w:val="7FBF9542"/>
    <w:rsid w:val="7FC932D6"/>
    <w:rsid w:val="7FE93226"/>
    <w:rsid w:val="7FF35F6F"/>
    <w:rsid w:val="7FF739AB"/>
    <w:rsid w:val="7FF847B0"/>
    <w:rsid w:val="7FFE7C82"/>
    <w:rsid w:val="7FFF55D0"/>
    <w:rsid w:val="9ECF4E12"/>
    <w:rsid w:val="9F7F0CC7"/>
    <w:rsid w:val="A3FD840D"/>
    <w:rsid w:val="B5FCB43E"/>
    <w:rsid w:val="B6F56A9A"/>
    <w:rsid w:val="B7FDAA39"/>
    <w:rsid w:val="BB5BC08A"/>
    <w:rsid w:val="BBEF4418"/>
    <w:rsid w:val="BFCF897A"/>
    <w:rsid w:val="BFE6DD2C"/>
    <w:rsid w:val="C0F64476"/>
    <w:rsid w:val="CBEF6EF8"/>
    <w:rsid w:val="DE7D76AF"/>
    <w:rsid w:val="DFEFA6F6"/>
    <w:rsid w:val="E9D6DDAA"/>
    <w:rsid w:val="EEAF5766"/>
    <w:rsid w:val="EEFCB4F8"/>
    <w:rsid w:val="EFAEFBD7"/>
    <w:rsid w:val="EFFEADF8"/>
    <w:rsid w:val="EFFF1A8E"/>
    <w:rsid w:val="F1F3E90F"/>
    <w:rsid w:val="F8FAD7A1"/>
    <w:rsid w:val="FAEFD0B4"/>
    <w:rsid w:val="FB27EE18"/>
    <w:rsid w:val="FC7D4D40"/>
    <w:rsid w:val="FC7F8352"/>
    <w:rsid w:val="FDD34B8F"/>
    <w:rsid w:val="FE7DFF5C"/>
    <w:rsid w:val="FEFD66C9"/>
    <w:rsid w:val="FFDFC374"/>
    <w:rsid w:val="FFFE368D"/>
    <w:rsid w:val="FFFEF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65"/>
    <w:qFormat/>
    <w:uiPriority w:val="9"/>
    <w:pPr>
      <w:keepNext/>
      <w:keepLines/>
      <w:spacing w:before="260" w:after="260" w:line="416" w:lineRule="auto"/>
      <w:outlineLvl w:val="1"/>
    </w:pPr>
    <w:rPr>
      <w:rFonts w:ascii="Arial" w:hAnsi="Arial" w:eastAsia="黑体"/>
      <w:sz w:val="32"/>
      <w:szCs w:val="32"/>
    </w:rPr>
  </w:style>
  <w:style w:type="paragraph" w:styleId="4">
    <w:name w:val="heading 3"/>
    <w:basedOn w:val="1"/>
    <w:next w:val="1"/>
    <w:link w:val="58"/>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rPr>
  </w:style>
  <w:style w:type="paragraph" w:styleId="6">
    <w:name w:val="heading 6"/>
    <w:basedOn w:val="1"/>
    <w:next w:val="1"/>
    <w:link w:val="59"/>
    <w:qFormat/>
    <w:uiPriority w:val="0"/>
    <w:pPr>
      <w:keepNext/>
      <w:keepLines/>
      <w:spacing w:before="240" w:after="64" w:line="320" w:lineRule="auto"/>
      <w:outlineLvl w:val="5"/>
    </w:pPr>
    <w:rPr>
      <w:rFonts w:ascii="Cambria" w:hAnsi="Cambria"/>
      <w:b/>
      <w:bCs/>
      <w:sz w:val="24"/>
    </w:rPr>
  </w:style>
  <w:style w:type="paragraph" w:styleId="7">
    <w:name w:val="heading 8"/>
    <w:basedOn w:val="1"/>
    <w:next w:val="1"/>
    <w:qFormat/>
    <w:uiPriority w:val="1"/>
    <w:pPr>
      <w:ind w:left="220" w:hanging="223"/>
      <w:outlineLvl w:val="7"/>
    </w:pPr>
    <w:rPr>
      <w:rFonts w:ascii="宋体" w:hAnsi="宋体" w:cs="宋体"/>
      <w:sz w:val="22"/>
      <w:szCs w:val="22"/>
      <w:lang w:val="zh-CN" w:bidi="zh-CN"/>
    </w:rPr>
  </w:style>
  <w:style w:type="paragraph" w:styleId="8">
    <w:name w:val="heading 9"/>
    <w:basedOn w:val="1"/>
    <w:next w:val="1"/>
    <w:qFormat/>
    <w:uiPriority w:val="1"/>
    <w:pPr>
      <w:ind w:left="640"/>
      <w:outlineLvl w:val="8"/>
    </w:pPr>
    <w:rPr>
      <w:rFonts w:ascii="宋体" w:hAnsi="宋体" w:cs="宋体"/>
      <w:b/>
      <w:bCs/>
      <w:szCs w:val="21"/>
      <w:lang w:val="zh-CN" w:bidi="zh-CN"/>
    </w:rPr>
  </w:style>
  <w:style w:type="character" w:default="1" w:styleId="38">
    <w:name w:val="Default Paragraph Font"/>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9">
    <w:name w:val="List Number"/>
    <w:basedOn w:val="1"/>
    <w:qFormat/>
    <w:uiPriority w:val="0"/>
    <w:pPr>
      <w:widowControl/>
      <w:numPr>
        <w:ilvl w:val="0"/>
        <w:numId w:val="1"/>
      </w:numPr>
      <w:tabs>
        <w:tab w:val="left" w:pos="454"/>
        <w:tab w:val="left" w:pos="720"/>
      </w:tabs>
      <w:spacing w:after="156" w:afterLines="50"/>
      <w:jc w:val="left"/>
    </w:pPr>
    <w:rPr>
      <w:kern w:val="0"/>
      <w:sz w:val="24"/>
      <w:szCs w:val="20"/>
    </w:rPr>
  </w:style>
  <w:style w:type="paragraph" w:styleId="10">
    <w:name w:val="Normal Indent"/>
    <w:basedOn w:val="1"/>
    <w:next w:val="11"/>
    <w:link w:val="84"/>
    <w:qFormat/>
    <w:uiPriority w:val="0"/>
    <w:pPr>
      <w:ind w:firstLine="420"/>
    </w:pPr>
    <w:rPr>
      <w:szCs w:val="20"/>
    </w:rPr>
  </w:style>
  <w:style w:type="paragraph" w:styleId="11">
    <w:name w:val="Body Text Indent"/>
    <w:basedOn w:val="1"/>
    <w:next w:val="10"/>
    <w:qFormat/>
    <w:uiPriority w:val="0"/>
    <w:pPr>
      <w:spacing w:after="120"/>
      <w:ind w:left="420" w:leftChars="200"/>
    </w:pPr>
  </w:style>
  <w:style w:type="paragraph" w:styleId="12">
    <w:name w:val="caption"/>
    <w:basedOn w:val="1"/>
    <w:next w:val="1"/>
    <w:qFormat/>
    <w:uiPriority w:val="0"/>
    <w:pPr>
      <w:spacing w:before="152" w:after="160"/>
    </w:pPr>
    <w:rPr>
      <w:rFonts w:ascii="Arial" w:hAnsi="Arial" w:eastAsia="黑体" w:cs="Arial"/>
      <w:sz w:val="20"/>
      <w:szCs w:val="20"/>
    </w:rPr>
  </w:style>
  <w:style w:type="paragraph" w:styleId="13">
    <w:name w:val="Document Map"/>
    <w:basedOn w:val="1"/>
    <w:link w:val="67"/>
    <w:qFormat/>
    <w:uiPriority w:val="0"/>
    <w:rPr>
      <w:rFonts w:ascii="Helvetica" w:hAnsi="Helvetica"/>
      <w:sz w:val="24"/>
    </w:rPr>
  </w:style>
  <w:style w:type="paragraph" w:styleId="14">
    <w:name w:val="annotation text"/>
    <w:basedOn w:val="1"/>
    <w:link w:val="69"/>
    <w:qFormat/>
    <w:uiPriority w:val="0"/>
    <w:pPr>
      <w:jc w:val="left"/>
    </w:pPr>
  </w:style>
  <w:style w:type="paragraph" w:styleId="15">
    <w:name w:val="Body Text 3"/>
    <w:basedOn w:val="1"/>
    <w:link w:val="54"/>
    <w:qFormat/>
    <w:uiPriority w:val="0"/>
    <w:pPr>
      <w:spacing w:after="120"/>
    </w:pPr>
    <w:rPr>
      <w:sz w:val="16"/>
      <w:szCs w:val="16"/>
    </w:rPr>
  </w:style>
  <w:style w:type="paragraph" w:styleId="16">
    <w:name w:val="Body Text"/>
    <w:basedOn w:val="1"/>
    <w:next w:val="17"/>
    <w:link w:val="56"/>
    <w:qFormat/>
    <w:uiPriority w:val="0"/>
    <w:pPr>
      <w:spacing w:after="120"/>
    </w:pPr>
  </w:style>
  <w:style w:type="paragraph" w:styleId="17">
    <w:name w:val="Body Text First Indent"/>
    <w:basedOn w:val="16"/>
    <w:next w:val="18"/>
    <w:unhideWhenUsed/>
    <w:qFormat/>
    <w:uiPriority w:val="99"/>
    <w:pPr>
      <w:spacing w:line="360" w:lineRule="auto"/>
      <w:ind w:firstLine="200" w:firstLineChars="200"/>
    </w:pPr>
    <w:rPr>
      <w:rFonts w:ascii="仿宋_GB2312" w:eastAsia="仿宋_GB2312"/>
      <w:bCs/>
      <w:sz w:val="30"/>
    </w:rPr>
  </w:style>
  <w:style w:type="paragraph" w:styleId="18">
    <w:name w:val="toc 6"/>
    <w:basedOn w:val="1"/>
    <w:next w:val="1"/>
    <w:unhideWhenUsed/>
    <w:qFormat/>
    <w:uiPriority w:val="39"/>
    <w:pPr>
      <w:ind w:left="2100" w:leftChars="1000"/>
    </w:pPr>
  </w:style>
  <w:style w:type="paragraph" w:styleId="19">
    <w:name w:val="List 2"/>
    <w:basedOn w:val="1"/>
    <w:qFormat/>
    <w:uiPriority w:val="0"/>
    <w:pPr>
      <w:ind w:left="100" w:leftChars="200" w:hanging="200" w:hangingChars="200"/>
    </w:pPr>
  </w:style>
  <w:style w:type="paragraph" w:styleId="20">
    <w:name w:val="Plain Text"/>
    <w:basedOn w:val="1"/>
    <w:next w:val="1"/>
    <w:link w:val="62"/>
    <w:qFormat/>
    <w:uiPriority w:val="0"/>
    <w:rPr>
      <w:sz w:val="24"/>
      <w:szCs w:val="20"/>
    </w:rPr>
  </w:style>
  <w:style w:type="paragraph" w:styleId="21">
    <w:name w:val="Date"/>
    <w:basedOn w:val="1"/>
    <w:next w:val="1"/>
    <w:link w:val="72"/>
    <w:qFormat/>
    <w:uiPriority w:val="0"/>
    <w:pPr>
      <w:ind w:left="2500" w:leftChars="2500"/>
    </w:pPr>
    <w:rPr>
      <w:rFonts w:eastAsia="楷体_GB2312"/>
      <w:sz w:val="32"/>
      <w:szCs w:val="20"/>
    </w:rPr>
  </w:style>
  <w:style w:type="paragraph" w:styleId="22">
    <w:name w:val="Body Text Indent 2"/>
    <w:basedOn w:val="1"/>
    <w:link w:val="66"/>
    <w:qFormat/>
    <w:uiPriority w:val="0"/>
    <w:pPr>
      <w:spacing w:after="120" w:line="480" w:lineRule="auto"/>
      <w:ind w:left="420" w:leftChars="200"/>
    </w:pPr>
  </w:style>
  <w:style w:type="paragraph" w:styleId="23">
    <w:name w:val="endnote text"/>
    <w:basedOn w:val="1"/>
    <w:link w:val="55"/>
    <w:qFormat/>
    <w:uiPriority w:val="0"/>
    <w:pPr>
      <w:snapToGrid w:val="0"/>
      <w:jc w:val="left"/>
    </w:pPr>
  </w:style>
  <w:style w:type="paragraph" w:styleId="24">
    <w:name w:val="Balloon Text"/>
    <w:basedOn w:val="1"/>
    <w:link w:val="75"/>
    <w:qFormat/>
    <w:uiPriority w:val="0"/>
    <w:rPr>
      <w:sz w:val="18"/>
      <w:szCs w:val="18"/>
    </w:rPr>
  </w:style>
  <w:style w:type="paragraph" w:styleId="25">
    <w:name w:val="footer"/>
    <w:basedOn w:val="1"/>
    <w:link w:val="70"/>
    <w:qFormat/>
    <w:uiPriority w:val="99"/>
    <w:pPr>
      <w:tabs>
        <w:tab w:val="center" w:pos="4153"/>
        <w:tab w:val="right" w:pos="8306"/>
      </w:tabs>
      <w:snapToGrid w:val="0"/>
      <w:jc w:val="left"/>
    </w:pPr>
    <w:rPr>
      <w:sz w:val="18"/>
      <w:szCs w:val="18"/>
    </w:rPr>
  </w:style>
  <w:style w:type="paragraph" w:styleId="26">
    <w:name w:val="header"/>
    <w:basedOn w:val="1"/>
    <w:link w:val="81"/>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List"/>
    <w:basedOn w:val="1"/>
    <w:qFormat/>
    <w:uiPriority w:val="0"/>
    <w:pPr>
      <w:ind w:left="200" w:hanging="200" w:hangingChars="200"/>
    </w:pPr>
  </w:style>
  <w:style w:type="paragraph" w:styleId="29">
    <w:name w:val="Body Text Indent 3"/>
    <w:basedOn w:val="1"/>
    <w:link w:val="60"/>
    <w:qFormat/>
    <w:uiPriority w:val="0"/>
    <w:pPr>
      <w:ind w:firstLine="435"/>
    </w:pPr>
  </w:style>
  <w:style w:type="paragraph" w:styleId="30">
    <w:name w:val="toc 2"/>
    <w:basedOn w:val="1"/>
    <w:next w:val="1"/>
    <w:qFormat/>
    <w:uiPriority w:val="39"/>
    <w:pPr>
      <w:ind w:left="420" w:leftChars="200"/>
    </w:pPr>
  </w:style>
  <w:style w:type="paragraph" w:styleId="31">
    <w:name w:val="Body Text 2"/>
    <w:basedOn w:val="1"/>
    <w:link w:val="61"/>
    <w:qFormat/>
    <w:uiPriority w:val="0"/>
    <w:pPr>
      <w:spacing w:after="120" w:line="480" w:lineRule="auto"/>
    </w:pPr>
  </w:style>
  <w:style w:type="paragraph" w:styleId="32">
    <w:name w:val="Normal (Web)"/>
    <w:basedOn w:val="1"/>
    <w:unhideWhenUsed/>
    <w:qFormat/>
    <w:uiPriority w:val="0"/>
    <w:pPr>
      <w:widowControl/>
      <w:spacing w:before="240" w:after="240"/>
      <w:jc w:val="left"/>
    </w:pPr>
    <w:rPr>
      <w:rFonts w:ascii="宋体" w:hAnsi="宋体" w:cs="宋体"/>
      <w:kern w:val="0"/>
      <w:sz w:val="24"/>
    </w:rPr>
  </w:style>
  <w:style w:type="paragraph" w:styleId="33">
    <w:name w:val="Title"/>
    <w:basedOn w:val="1"/>
    <w:next w:val="1"/>
    <w:link w:val="83"/>
    <w:qFormat/>
    <w:uiPriority w:val="10"/>
    <w:pPr>
      <w:spacing w:before="240" w:after="60"/>
      <w:jc w:val="center"/>
      <w:outlineLvl w:val="0"/>
    </w:pPr>
    <w:rPr>
      <w:rFonts w:ascii="Cambria" w:hAnsi="Cambria"/>
      <w:b/>
      <w:bCs/>
      <w:sz w:val="32"/>
      <w:szCs w:val="32"/>
    </w:rPr>
  </w:style>
  <w:style w:type="paragraph" w:styleId="34">
    <w:name w:val="annotation subject"/>
    <w:basedOn w:val="14"/>
    <w:next w:val="14"/>
    <w:link w:val="74"/>
    <w:qFormat/>
    <w:uiPriority w:val="0"/>
    <w:rPr>
      <w:b/>
      <w:bCs/>
    </w:rPr>
  </w:style>
  <w:style w:type="paragraph" w:styleId="35">
    <w:name w:val="Body Text First Indent 2"/>
    <w:basedOn w:val="11"/>
    <w:qFormat/>
    <w:uiPriority w:val="0"/>
    <w:pPr>
      <w:autoSpaceDE w:val="0"/>
      <w:autoSpaceDN w:val="0"/>
      <w:adjustRightInd w:val="0"/>
      <w:ind w:firstLine="420" w:firstLineChars="200"/>
      <w:jc w:val="left"/>
    </w:p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22"/>
    <w:rPr>
      <w:b/>
    </w:rPr>
  </w:style>
  <w:style w:type="character" w:styleId="40">
    <w:name w:val="endnote reference"/>
    <w:qFormat/>
    <w:uiPriority w:val="0"/>
    <w:rPr>
      <w:vertAlign w:val="superscript"/>
    </w:rPr>
  </w:style>
  <w:style w:type="character" w:styleId="41">
    <w:name w:val="page number"/>
    <w:basedOn w:val="38"/>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paragraph" w:customStyle="1" w:styleId="45">
    <w:name w:val="样式 表格正文 + 两端对齐"/>
    <w:basedOn w:val="1"/>
    <w:next w:val="46"/>
    <w:qFormat/>
    <w:uiPriority w:val="0"/>
    <w:pPr>
      <w:spacing w:line="300" w:lineRule="auto"/>
    </w:pPr>
  </w:style>
  <w:style w:type="paragraph" w:customStyle="1" w:styleId="46">
    <w:name w:val="正文1"/>
    <w:basedOn w:val="13"/>
    <w:next w:val="1"/>
    <w:qFormat/>
    <w:uiPriority w:val="99"/>
    <w:pPr>
      <w:widowControl/>
      <w:overflowPunct w:val="0"/>
      <w:autoSpaceDE w:val="0"/>
      <w:autoSpaceDN w:val="0"/>
      <w:adjustRightInd w:val="0"/>
      <w:spacing w:line="400" w:lineRule="exact"/>
      <w:textAlignment w:val="baseline"/>
    </w:pPr>
    <w:rPr>
      <w:kern w:val="0"/>
      <w:szCs w:val="20"/>
    </w:rPr>
  </w:style>
  <w:style w:type="paragraph" w:customStyle="1" w:styleId="47">
    <w:name w:val="BodyText1I"/>
    <w:basedOn w:val="48"/>
    <w:qFormat/>
    <w:uiPriority w:val="0"/>
    <w:pPr>
      <w:ind w:firstLine="420" w:firstLineChars="100"/>
      <w:jc w:val="both"/>
      <w:textAlignment w:val="baseline"/>
    </w:pPr>
  </w:style>
  <w:style w:type="paragraph" w:customStyle="1" w:styleId="48">
    <w:name w:val="BodyText"/>
    <w:basedOn w:val="1"/>
    <w:next w:val="49"/>
    <w:qFormat/>
    <w:uiPriority w:val="0"/>
    <w:pPr>
      <w:jc w:val="both"/>
      <w:textAlignment w:val="baseline"/>
    </w:pPr>
    <w:rPr>
      <w:rFonts w:ascii="宋体" w:hAnsi="宋体" w:eastAsia="宋体"/>
      <w:kern w:val="2"/>
      <w:sz w:val="21"/>
      <w:szCs w:val="21"/>
      <w:lang w:val="zh-CN" w:eastAsia="zh-CN" w:bidi="zh-CN"/>
    </w:rPr>
  </w:style>
  <w:style w:type="paragraph" w:customStyle="1" w:styleId="49">
    <w:name w:val="TOC2"/>
    <w:basedOn w:val="1"/>
    <w:next w:val="1"/>
    <w:qFormat/>
    <w:uiPriority w:val="0"/>
    <w:pPr>
      <w:ind w:left="420" w:leftChars="200"/>
      <w:jc w:val="both"/>
      <w:textAlignment w:val="baseline"/>
    </w:pPr>
  </w:style>
  <w:style w:type="paragraph" w:customStyle="1" w:styleId="50">
    <w:name w:val="表格文字"/>
    <w:next w:val="16"/>
    <w:link w:val="79"/>
    <w:qFormat/>
    <w:locked/>
    <w:uiPriority w:val="0"/>
    <w:pPr>
      <w:spacing w:beforeLines="25" w:afterLines="25"/>
      <w:jc w:val="center"/>
    </w:pPr>
    <w:rPr>
      <w:rFonts w:ascii="Times New Roman" w:hAnsi="Times New Roman" w:eastAsia="宋体" w:cs="Times New Roman"/>
      <w:kern w:val="2"/>
      <w:sz w:val="24"/>
      <w:szCs w:val="28"/>
      <w:lang w:val="en-US" w:eastAsia="zh-CN" w:bidi="ar-SA"/>
    </w:rPr>
  </w:style>
  <w:style w:type="character" w:customStyle="1" w:styleId="51">
    <w:name w:val="NormalCharacter"/>
    <w:qFormat/>
    <w:uiPriority w:val="0"/>
    <w:rPr>
      <w:rFonts w:ascii="Times New Roman" w:hAnsi="Times New Roman" w:eastAsia="宋体" w:cs="Times New Roman"/>
    </w:rPr>
  </w:style>
  <w:style w:type="character" w:customStyle="1" w:styleId="52">
    <w:name w:val="标3 Char"/>
    <w:link w:val="53"/>
    <w:qFormat/>
    <w:uiPriority w:val="0"/>
    <w:rPr>
      <w:rFonts w:ascii="Arial Narrow" w:hAnsi="Arial Narrow" w:eastAsia="仿宋_GB2312"/>
      <w:sz w:val="32"/>
      <w:szCs w:val="32"/>
    </w:rPr>
  </w:style>
  <w:style w:type="paragraph" w:customStyle="1" w:styleId="53">
    <w:name w:val="标3"/>
    <w:basedOn w:val="1"/>
    <w:link w:val="52"/>
    <w:qFormat/>
    <w:uiPriority w:val="0"/>
    <w:pPr>
      <w:numPr>
        <w:ilvl w:val="2"/>
        <w:numId w:val="2"/>
      </w:numPr>
      <w:adjustRightInd w:val="0"/>
      <w:snapToGrid w:val="0"/>
      <w:spacing w:before="156" w:beforeLines="50"/>
      <w:outlineLvl w:val="2"/>
    </w:pPr>
    <w:rPr>
      <w:rFonts w:ascii="Arial Narrow" w:hAnsi="Arial Narrow" w:eastAsia="仿宋_GB2312"/>
      <w:kern w:val="0"/>
      <w:sz w:val="32"/>
      <w:szCs w:val="32"/>
    </w:rPr>
  </w:style>
  <w:style w:type="character" w:customStyle="1" w:styleId="54">
    <w:name w:val="正文文本 3 字符"/>
    <w:link w:val="15"/>
    <w:qFormat/>
    <w:uiPriority w:val="0"/>
    <w:rPr>
      <w:kern w:val="2"/>
      <w:sz w:val="16"/>
      <w:szCs w:val="16"/>
    </w:rPr>
  </w:style>
  <w:style w:type="character" w:customStyle="1" w:styleId="55">
    <w:name w:val="尾注文本 字符"/>
    <w:link w:val="23"/>
    <w:qFormat/>
    <w:uiPriority w:val="0"/>
    <w:rPr>
      <w:kern w:val="2"/>
      <w:sz w:val="21"/>
      <w:szCs w:val="24"/>
    </w:rPr>
  </w:style>
  <w:style w:type="character" w:customStyle="1" w:styleId="56">
    <w:name w:val="正文文本 字符"/>
    <w:link w:val="16"/>
    <w:qFormat/>
    <w:uiPriority w:val="0"/>
    <w:rPr>
      <w:kern w:val="2"/>
      <w:sz w:val="21"/>
      <w:szCs w:val="24"/>
    </w:rPr>
  </w:style>
  <w:style w:type="character" w:customStyle="1" w:styleId="57">
    <w:name w:val="font31"/>
    <w:qFormat/>
    <w:uiPriority w:val="0"/>
    <w:rPr>
      <w:rFonts w:hint="eastAsia" w:ascii="宋体" w:hAnsi="宋体" w:eastAsia="宋体" w:cs="宋体"/>
      <w:color w:val="000000"/>
      <w:sz w:val="24"/>
      <w:szCs w:val="24"/>
      <w:u w:val="none"/>
    </w:rPr>
  </w:style>
  <w:style w:type="character" w:customStyle="1" w:styleId="58">
    <w:name w:val="标题 3 字符"/>
    <w:link w:val="4"/>
    <w:qFormat/>
    <w:uiPriority w:val="0"/>
    <w:rPr>
      <w:b/>
      <w:bCs/>
      <w:kern w:val="2"/>
      <w:sz w:val="32"/>
      <w:szCs w:val="32"/>
    </w:rPr>
  </w:style>
  <w:style w:type="character" w:customStyle="1" w:styleId="59">
    <w:name w:val="标题 6 字符"/>
    <w:link w:val="6"/>
    <w:semiHidden/>
    <w:qFormat/>
    <w:uiPriority w:val="0"/>
    <w:rPr>
      <w:rFonts w:ascii="Cambria" w:hAnsi="Cambria" w:eastAsia="宋体" w:cs="Times New Roman"/>
      <w:b/>
      <w:bCs/>
      <w:kern w:val="2"/>
      <w:sz w:val="24"/>
      <w:szCs w:val="24"/>
    </w:rPr>
  </w:style>
  <w:style w:type="character" w:customStyle="1" w:styleId="60">
    <w:name w:val="正文文本缩进 3 字符"/>
    <w:link w:val="29"/>
    <w:qFormat/>
    <w:uiPriority w:val="0"/>
    <w:rPr>
      <w:kern w:val="2"/>
      <w:sz w:val="21"/>
      <w:szCs w:val="24"/>
    </w:rPr>
  </w:style>
  <w:style w:type="character" w:customStyle="1" w:styleId="61">
    <w:name w:val="正文文本 2 字符"/>
    <w:link w:val="31"/>
    <w:qFormat/>
    <w:uiPriority w:val="0"/>
    <w:rPr>
      <w:kern w:val="2"/>
      <w:sz w:val="21"/>
      <w:szCs w:val="24"/>
    </w:rPr>
  </w:style>
  <w:style w:type="character" w:customStyle="1" w:styleId="62">
    <w:name w:val="纯文本 字符"/>
    <w:link w:val="20"/>
    <w:qFormat/>
    <w:uiPriority w:val="0"/>
    <w:rPr>
      <w:rFonts w:eastAsia="宋体"/>
      <w:kern w:val="2"/>
      <w:sz w:val="24"/>
      <w:lang w:val="en-US" w:eastAsia="zh-CN" w:bidi="ar-SA"/>
    </w:rPr>
  </w:style>
  <w:style w:type="character" w:customStyle="1" w:styleId="63">
    <w:name w:val="标题 1字符"/>
    <w:qFormat/>
    <w:uiPriority w:val="0"/>
    <w:rPr>
      <w:b/>
      <w:bCs/>
      <w:kern w:val="44"/>
      <w:sz w:val="44"/>
      <w:szCs w:val="44"/>
    </w:rPr>
  </w:style>
  <w:style w:type="character" w:customStyle="1" w:styleId="64">
    <w:name w:val="无"/>
    <w:qFormat/>
    <w:uiPriority w:val="99"/>
  </w:style>
  <w:style w:type="character" w:customStyle="1" w:styleId="65">
    <w:name w:val="标题 2 字符"/>
    <w:link w:val="2"/>
    <w:qFormat/>
    <w:uiPriority w:val="9"/>
    <w:rPr>
      <w:rFonts w:ascii="Arial" w:hAnsi="Arial" w:eastAsia="黑体"/>
      <w:b/>
      <w:bCs/>
      <w:kern w:val="2"/>
      <w:sz w:val="32"/>
      <w:szCs w:val="32"/>
    </w:rPr>
  </w:style>
  <w:style w:type="character" w:customStyle="1" w:styleId="66">
    <w:name w:val="正文文本缩进 2 字符"/>
    <w:link w:val="22"/>
    <w:qFormat/>
    <w:uiPriority w:val="0"/>
    <w:rPr>
      <w:kern w:val="2"/>
      <w:sz w:val="21"/>
      <w:szCs w:val="24"/>
    </w:rPr>
  </w:style>
  <w:style w:type="character" w:customStyle="1" w:styleId="67">
    <w:name w:val="文档结构图 字符"/>
    <w:link w:val="13"/>
    <w:qFormat/>
    <w:uiPriority w:val="0"/>
    <w:rPr>
      <w:rFonts w:ascii="Helvetica" w:hAnsi="Helvetica"/>
      <w:kern w:val="2"/>
      <w:sz w:val="24"/>
      <w:szCs w:val="24"/>
    </w:rPr>
  </w:style>
  <w:style w:type="character" w:customStyle="1" w:styleId="68">
    <w:name w:val="Char Char Char"/>
    <w:qFormat/>
    <w:uiPriority w:val="0"/>
    <w:rPr>
      <w:rFonts w:ascii="宋体" w:hAnsi="Courier New" w:eastAsia="宋体"/>
      <w:kern w:val="2"/>
      <w:sz w:val="24"/>
      <w:szCs w:val="24"/>
      <w:lang w:val="en-US" w:eastAsia="zh-CN" w:bidi="ar-SA"/>
    </w:rPr>
  </w:style>
  <w:style w:type="character" w:customStyle="1" w:styleId="69">
    <w:name w:val="批注文字 字符"/>
    <w:link w:val="14"/>
    <w:qFormat/>
    <w:uiPriority w:val="0"/>
    <w:rPr>
      <w:kern w:val="2"/>
      <w:sz w:val="21"/>
      <w:szCs w:val="24"/>
    </w:rPr>
  </w:style>
  <w:style w:type="character" w:customStyle="1" w:styleId="70">
    <w:name w:val="页脚 字符"/>
    <w:link w:val="25"/>
    <w:qFormat/>
    <w:uiPriority w:val="99"/>
    <w:rPr>
      <w:kern w:val="2"/>
      <w:sz w:val="18"/>
      <w:szCs w:val="18"/>
    </w:rPr>
  </w:style>
  <w:style w:type="character" w:customStyle="1" w:styleId="71">
    <w:name w:val="纯文本 Char1"/>
    <w:qFormat/>
    <w:locked/>
    <w:uiPriority w:val="0"/>
    <w:rPr>
      <w:rFonts w:ascii="宋体" w:hAnsi="Courier New" w:eastAsia="宋体" w:cs="Times New Roman"/>
      <w:szCs w:val="21"/>
    </w:rPr>
  </w:style>
  <w:style w:type="character" w:customStyle="1" w:styleId="72">
    <w:name w:val="日期 字符"/>
    <w:link w:val="21"/>
    <w:qFormat/>
    <w:uiPriority w:val="0"/>
    <w:rPr>
      <w:rFonts w:eastAsia="楷体_GB2312"/>
      <w:kern w:val="2"/>
      <w:sz w:val="32"/>
    </w:rPr>
  </w:style>
  <w:style w:type="character" w:customStyle="1" w:styleId="73">
    <w:name w:val="Char Char"/>
    <w:qFormat/>
    <w:uiPriority w:val="0"/>
    <w:rPr>
      <w:rFonts w:ascii="宋体" w:hAnsi="Courier New" w:eastAsia="宋体"/>
      <w:kern w:val="2"/>
      <w:sz w:val="24"/>
      <w:szCs w:val="24"/>
      <w:lang w:val="en-US" w:eastAsia="zh-CN" w:bidi="ar-SA"/>
    </w:rPr>
  </w:style>
  <w:style w:type="character" w:customStyle="1" w:styleId="74">
    <w:name w:val="批注主题 字符"/>
    <w:link w:val="34"/>
    <w:qFormat/>
    <w:uiPriority w:val="0"/>
    <w:rPr>
      <w:b/>
      <w:bCs/>
      <w:kern w:val="2"/>
      <w:sz w:val="21"/>
      <w:szCs w:val="24"/>
    </w:rPr>
  </w:style>
  <w:style w:type="character" w:customStyle="1" w:styleId="75">
    <w:name w:val="批注框文本 字符"/>
    <w:link w:val="24"/>
    <w:qFormat/>
    <w:uiPriority w:val="0"/>
    <w:rPr>
      <w:kern w:val="2"/>
      <w:sz w:val="18"/>
      <w:szCs w:val="18"/>
    </w:rPr>
  </w:style>
  <w:style w:type="character" w:customStyle="1" w:styleId="76">
    <w:name w:val="font01"/>
    <w:qFormat/>
    <w:uiPriority w:val="0"/>
    <w:rPr>
      <w:rFonts w:hint="default" w:ascii="Arial" w:hAnsi="Arial" w:cs="Arial"/>
      <w:color w:val="000000"/>
      <w:sz w:val="24"/>
      <w:szCs w:val="24"/>
      <w:u w:val="none"/>
    </w:rPr>
  </w:style>
  <w:style w:type="character" w:customStyle="1" w:styleId="77">
    <w:name w:val="font11"/>
    <w:qFormat/>
    <w:uiPriority w:val="0"/>
    <w:rPr>
      <w:rFonts w:hint="eastAsia" w:ascii="宋体" w:hAnsi="宋体" w:eastAsia="宋体" w:cs="宋体"/>
      <w:b/>
      <w:color w:val="000000"/>
      <w:sz w:val="24"/>
      <w:szCs w:val="24"/>
      <w:u w:val="none"/>
    </w:rPr>
  </w:style>
  <w:style w:type="character" w:customStyle="1" w:styleId="78">
    <w:name w:val="apple-converted-space"/>
    <w:qFormat/>
    <w:uiPriority w:val="0"/>
  </w:style>
  <w:style w:type="character" w:customStyle="1" w:styleId="79">
    <w:name w:val="表格文字 Char Char"/>
    <w:link w:val="50"/>
    <w:qFormat/>
    <w:locked/>
    <w:uiPriority w:val="0"/>
    <w:rPr>
      <w:kern w:val="2"/>
      <w:sz w:val="24"/>
      <w:szCs w:val="28"/>
      <w:lang w:val="en-US" w:eastAsia="zh-CN" w:bidi="ar-SA"/>
    </w:rPr>
  </w:style>
  <w:style w:type="character" w:customStyle="1" w:styleId="80">
    <w:name w:val="标题 1 字符"/>
    <w:link w:val="3"/>
    <w:qFormat/>
    <w:uiPriority w:val="0"/>
    <w:rPr>
      <w:rFonts w:ascii="Times New Roman" w:hAnsi="Times New Roman" w:eastAsia="宋体"/>
      <w:b/>
      <w:bCs/>
      <w:kern w:val="44"/>
      <w:sz w:val="44"/>
      <w:szCs w:val="44"/>
      <w:lang w:val="en-US" w:eastAsia="zh-CN" w:bidi="ar-SA"/>
    </w:rPr>
  </w:style>
  <w:style w:type="character" w:customStyle="1" w:styleId="81">
    <w:name w:val="页眉 字符"/>
    <w:link w:val="26"/>
    <w:qFormat/>
    <w:uiPriority w:val="99"/>
    <w:rPr>
      <w:kern w:val="2"/>
      <w:sz w:val="18"/>
      <w:szCs w:val="18"/>
    </w:rPr>
  </w:style>
  <w:style w:type="character" w:customStyle="1" w:styleId="82">
    <w:name w:val="标题 1 Char1"/>
    <w:qFormat/>
    <w:uiPriority w:val="0"/>
    <w:rPr>
      <w:rFonts w:ascii="Times New Roman" w:hAnsi="Times New Roman" w:eastAsia="宋体"/>
      <w:b/>
      <w:bCs/>
      <w:kern w:val="44"/>
      <w:sz w:val="44"/>
      <w:szCs w:val="44"/>
      <w:lang w:val="en-US" w:eastAsia="zh-CN" w:bidi="ar-SA"/>
    </w:rPr>
  </w:style>
  <w:style w:type="character" w:customStyle="1" w:styleId="83">
    <w:name w:val="标题 字符"/>
    <w:link w:val="33"/>
    <w:qFormat/>
    <w:uiPriority w:val="10"/>
    <w:rPr>
      <w:rFonts w:ascii="Cambria" w:hAnsi="Cambria"/>
      <w:b/>
      <w:bCs/>
      <w:kern w:val="2"/>
      <w:sz w:val="32"/>
      <w:szCs w:val="32"/>
    </w:rPr>
  </w:style>
  <w:style w:type="character" w:customStyle="1" w:styleId="84">
    <w:name w:val="正文缩进 字符"/>
    <w:link w:val="10"/>
    <w:qFormat/>
    <w:uiPriority w:val="0"/>
    <w:rPr>
      <w:kern w:val="2"/>
      <w:sz w:val="21"/>
    </w:rPr>
  </w:style>
  <w:style w:type="character" w:customStyle="1" w:styleId="85">
    <w:name w:val="font21"/>
    <w:qFormat/>
    <w:uiPriority w:val="0"/>
    <w:rPr>
      <w:rFonts w:ascii="幼圆" w:hAnsi="幼圆" w:eastAsia="幼圆" w:cs="幼圆"/>
      <w:color w:val="000000"/>
      <w:sz w:val="20"/>
      <w:szCs w:val="20"/>
      <w:u w:val="none"/>
    </w:rPr>
  </w:style>
  <w:style w:type="paragraph" w:customStyle="1" w:styleId="86">
    <w:name w:val="章正文"/>
    <w:basedOn w:val="1"/>
    <w:qFormat/>
    <w:uiPriority w:val="99"/>
    <w:pPr>
      <w:spacing w:before="156" w:beforeLines="50" w:after="120" w:line="300" w:lineRule="auto"/>
      <w:ind w:firstLine="480"/>
    </w:pPr>
    <w:rPr>
      <w:rFonts w:ascii="Helvetica" w:hAnsi="Helvetica"/>
      <w:kern w:val="0"/>
      <w:sz w:val="24"/>
    </w:rPr>
  </w:style>
  <w:style w:type="paragraph" w:customStyle="1" w:styleId="87">
    <w:name w:val="Char Char3"/>
    <w:basedOn w:val="1"/>
    <w:qFormat/>
    <w:uiPriority w:val="0"/>
  </w:style>
  <w:style w:type="paragraph" w:customStyle="1" w:styleId="88">
    <w:name w:val="彩色列表1"/>
    <w:basedOn w:val="1"/>
    <w:qFormat/>
    <w:uiPriority w:val="34"/>
    <w:pPr>
      <w:ind w:firstLine="420" w:firstLineChars="200"/>
    </w:pPr>
    <w:rPr>
      <w:rFonts w:ascii="Verdana" w:hAnsi="Verdana" w:eastAsia="微软雅黑"/>
      <w:szCs w:val="22"/>
    </w:rPr>
  </w:style>
  <w:style w:type="paragraph" w:customStyle="1" w:styleId="89">
    <w:name w:val="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90">
    <w:name w:val="p0"/>
    <w:basedOn w:val="1"/>
    <w:qFormat/>
    <w:uiPriority w:val="0"/>
    <w:pPr>
      <w:widowControl/>
    </w:pPr>
    <w:rPr>
      <w:rFonts w:ascii="Calibri" w:hAnsi="Calibri"/>
      <w:kern w:val="0"/>
      <w:szCs w:val="21"/>
    </w:rPr>
  </w:style>
  <w:style w:type="paragraph" w:customStyle="1" w:styleId="91">
    <w:name w:val="正文样式"/>
    <w:basedOn w:val="1"/>
    <w:unhideWhenUsed/>
    <w:qFormat/>
    <w:uiPriority w:val="7"/>
    <w:pPr>
      <w:spacing w:line="360" w:lineRule="auto"/>
      <w:ind w:firstLine="480" w:firstLineChars="200"/>
    </w:pPr>
    <w:rPr>
      <w:rFonts w:hAnsi="Calibri"/>
      <w:sz w:val="24"/>
      <w:szCs w:val="20"/>
    </w:rPr>
  </w:style>
  <w:style w:type="paragraph" w:customStyle="1" w:styleId="92">
    <w:name w:val="样式 宋体 黑色 行距: 1.5 倍行距"/>
    <w:basedOn w:val="1"/>
    <w:qFormat/>
    <w:uiPriority w:val="0"/>
    <w:pPr>
      <w:spacing w:line="360" w:lineRule="auto"/>
    </w:pPr>
    <w:rPr>
      <w:rFonts w:ascii="宋体" w:hAnsi="宋体" w:cs="宋体"/>
      <w:color w:val="000000"/>
      <w:sz w:val="24"/>
      <w:szCs w:val="20"/>
    </w:rPr>
  </w:style>
  <w:style w:type="paragraph" w:customStyle="1" w:styleId="93">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4">
    <w:name w:val="_Style 1"/>
    <w:qFormat/>
    <w:uiPriority w:val="0"/>
    <w:rPr>
      <w:rFonts w:ascii="Times New Roman" w:hAnsi="Times New Roman" w:eastAsia="宋体" w:cs="Times New Roman"/>
      <w:kern w:val="2"/>
      <w:sz w:val="28"/>
      <w:szCs w:val="22"/>
      <w:lang w:val="en-US" w:eastAsia="zh-CN" w:bidi="ar-SA"/>
    </w:rPr>
  </w:style>
  <w:style w:type="paragraph" w:customStyle="1" w:styleId="95">
    <w:name w:val="_Style 40"/>
    <w:basedOn w:val="1"/>
    <w:qFormat/>
    <w:uiPriority w:val="0"/>
  </w:style>
  <w:style w:type="paragraph" w:customStyle="1" w:styleId="96">
    <w:name w:val="Char Char5"/>
    <w:basedOn w:val="1"/>
    <w:qFormat/>
    <w:uiPriority w:val="0"/>
  </w:style>
  <w:style w:type="paragraph" w:customStyle="1" w:styleId="97">
    <w:name w:val="Table Paragraph"/>
    <w:basedOn w:val="1"/>
    <w:qFormat/>
    <w:uiPriority w:val="1"/>
  </w:style>
  <w:style w:type="paragraph" w:customStyle="1" w:styleId="98">
    <w:name w:val="xl49"/>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99">
    <w:name w:val="List Paragraph1"/>
    <w:basedOn w:val="1"/>
    <w:qFormat/>
    <w:uiPriority w:val="99"/>
    <w:pPr>
      <w:widowControl/>
      <w:spacing w:after="200" w:line="276" w:lineRule="auto"/>
      <w:ind w:left="720"/>
      <w:jc w:val="left"/>
    </w:pPr>
    <w:rPr>
      <w:kern w:val="0"/>
      <w:sz w:val="22"/>
      <w:szCs w:val="22"/>
      <w:lang w:eastAsia="zh-TW"/>
    </w:rPr>
  </w:style>
  <w:style w:type="paragraph" w:customStyle="1" w:styleId="100">
    <w:name w:val="彩色列表 - 强调文字颜色 11"/>
    <w:basedOn w:val="1"/>
    <w:qFormat/>
    <w:uiPriority w:val="34"/>
    <w:pPr>
      <w:ind w:firstLine="420" w:firstLineChars="200"/>
    </w:pPr>
    <w:rPr>
      <w:rFonts w:ascii="Calibri" w:hAnsi="Calibri"/>
      <w:szCs w:val="22"/>
    </w:rPr>
  </w:style>
  <w:style w:type="paragraph" w:customStyle="1" w:styleId="101">
    <w:name w:val="_Style 23"/>
    <w:basedOn w:val="1"/>
    <w:qFormat/>
    <w:uiPriority w:val="0"/>
  </w:style>
  <w:style w:type="paragraph" w:customStyle="1" w:styleId="102">
    <w:name w:val="_Style 10"/>
    <w:basedOn w:val="1"/>
    <w:qFormat/>
    <w:uiPriority w:val="0"/>
    <w:rPr>
      <w:rFonts w:ascii="仿宋_GB2312" w:eastAsia="仿宋_GB2312"/>
      <w:b/>
      <w:sz w:val="32"/>
      <w:szCs w:val="32"/>
    </w:rPr>
  </w:style>
  <w:style w:type="paragraph" w:customStyle="1" w:styleId="103">
    <w:name w:val="列表段落1"/>
    <w:basedOn w:val="1"/>
    <w:qFormat/>
    <w:uiPriority w:val="0"/>
    <w:pPr>
      <w:ind w:firstLine="420" w:firstLineChars="200"/>
    </w:pPr>
    <w:rPr>
      <w:rFonts w:ascii="Calibri" w:hAnsi="Calibri"/>
      <w:szCs w:val="22"/>
    </w:rPr>
  </w:style>
  <w:style w:type="paragraph" w:customStyle="1" w:styleId="104">
    <w:name w:val="Char Char Char Char Char Char Char"/>
    <w:basedOn w:val="1"/>
    <w:qFormat/>
    <w:uiPriority w:val="0"/>
  </w:style>
  <w:style w:type="paragraph" w:customStyle="1" w:styleId="105">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sz w:val="24"/>
      <w:szCs w:val="24"/>
      <w:u w:color="000000"/>
      <w:lang w:val="en-US" w:eastAsia="zh-CN" w:bidi="ar-SA"/>
    </w:rPr>
  </w:style>
  <w:style w:type="paragraph" w:customStyle="1" w:styleId="106">
    <w:name w:val="★章标题"/>
    <w:basedOn w:val="1"/>
    <w:qFormat/>
    <w:uiPriority w:val="99"/>
    <w:pPr>
      <w:spacing w:before="120" w:after="120" w:line="360" w:lineRule="auto"/>
      <w:ind w:firstLine="200" w:firstLineChars="200"/>
      <w:jc w:val="center"/>
      <w:outlineLvl w:val="0"/>
    </w:pPr>
    <w:rPr>
      <w:rFonts w:eastAsia="黑体" w:cs="宋体"/>
      <w:b/>
      <w:bCs/>
      <w:color w:val="000000"/>
      <w:kern w:val="44"/>
      <w:sz w:val="44"/>
      <w:szCs w:val="20"/>
    </w:rPr>
  </w:style>
  <w:style w:type="paragraph" w:customStyle="1" w:styleId="107">
    <w:name w:val="正文2"/>
    <w:basedOn w:val="1"/>
    <w:qFormat/>
    <w:uiPriority w:val="0"/>
    <w:pPr>
      <w:spacing w:before="156" w:line="360" w:lineRule="auto"/>
      <w:ind w:firstLine="510" w:firstLineChars="200"/>
    </w:pPr>
    <w:rPr>
      <w:sz w:val="24"/>
      <w:szCs w:val="20"/>
    </w:rPr>
  </w:style>
  <w:style w:type="paragraph" w:customStyle="1" w:styleId="10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9">
    <w:name w:val="彩色列表2"/>
    <w:basedOn w:val="1"/>
    <w:qFormat/>
    <w:uiPriority w:val="34"/>
    <w:pPr>
      <w:ind w:firstLine="420" w:firstLineChars="200"/>
    </w:pPr>
  </w:style>
  <w:style w:type="paragraph" w:customStyle="1" w:styleId="110">
    <w:name w:val="样式1"/>
    <w:qFormat/>
    <w:uiPriority w:val="0"/>
    <w:pPr>
      <w:numPr>
        <w:ilvl w:val="2"/>
        <w:numId w:val="3"/>
      </w:numPr>
      <w:tabs>
        <w:tab w:val="left" w:pos="735"/>
      </w:tabs>
      <w:adjustRightInd w:val="0"/>
      <w:snapToGrid w:val="0"/>
      <w:spacing w:line="360" w:lineRule="auto"/>
      <w:jc w:val="both"/>
    </w:pPr>
    <w:rPr>
      <w:rFonts w:ascii="Times New Roman" w:hAnsi="Times New Roman" w:eastAsia="宋体" w:cs="Times New Roman"/>
      <w:bCs/>
      <w:kern w:val="2"/>
      <w:sz w:val="24"/>
      <w:szCs w:val="32"/>
      <w:lang w:val="en-US" w:eastAsia="zh-CN" w:bidi="ar-SA"/>
    </w:rPr>
  </w:style>
  <w:style w:type="paragraph" w:customStyle="1" w:styleId="111">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12">
    <w:name w:val="首行缩进"/>
    <w:basedOn w:val="1"/>
    <w:qFormat/>
    <w:uiPriority w:val="0"/>
    <w:pPr>
      <w:spacing w:line="360" w:lineRule="auto"/>
      <w:ind w:firstLine="480" w:firstLineChars="200"/>
    </w:pPr>
    <w:rPr>
      <w:sz w:val="24"/>
      <w:szCs w:val="22"/>
      <w:lang w:val="zh-CN"/>
    </w:rPr>
  </w:style>
  <w:style w:type="paragraph" w:customStyle="1" w:styleId="113">
    <w:name w:val="默认段落字体 Para Char Char Char Char Char Char Char Char Char1 Char Char Char Char"/>
    <w:basedOn w:val="1"/>
    <w:qFormat/>
    <w:uiPriority w:val="0"/>
    <w:rPr>
      <w:rFonts w:ascii="Tahoma" w:hAnsi="Tahoma"/>
      <w:sz w:val="24"/>
      <w:szCs w:val="20"/>
    </w:rPr>
  </w:style>
  <w:style w:type="paragraph" w:customStyle="1" w:styleId="114">
    <w:name w:val="彩色列表11"/>
    <w:basedOn w:val="1"/>
    <w:qFormat/>
    <w:uiPriority w:val="34"/>
    <w:pPr>
      <w:ind w:firstLine="420" w:firstLineChars="200"/>
    </w:pPr>
  </w:style>
  <w:style w:type="paragraph" w:customStyle="1" w:styleId="115">
    <w:name w:val="AbsatzTableFormat"/>
    <w:basedOn w:val="1"/>
    <w:qFormat/>
    <w:uiPriority w:val="0"/>
    <w:rPr>
      <w:rFonts w:hAnsi="宋体" w:cs="宋体"/>
      <w:bCs/>
      <w:kern w:val="0"/>
      <w:sz w:val="21"/>
      <w:szCs w:val="22"/>
      <w:u w:val="none"/>
      <w:lang w:val="de-DE"/>
    </w:rPr>
  </w:style>
  <w:style w:type="paragraph" w:customStyle="1" w:styleId="116">
    <w:name w:val="列出段落1"/>
    <w:basedOn w:val="1"/>
    <w:qFormat/>
    <w:uiPriority w:val="34"/>
    <w:pPr>
      <w:ind w:firstLine="420" w:firstLineChars="200"/>
    </w:pPr>
  </w:style>
  <w:style w:type="paragraph" w:customStyle="1" w:styleId="117">
    <w:name w:val="纯文本1"/>
    <w:basedOn w:val="107"/>
    <w:qFormat/>
    <w:uiPriority w:val="0"/>
    <w:rPr>
      <w:rFonts w:hint="default" w:ascii="宋体" w:hAnsi="Courier New"/>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81</Pages>
  <Words>42795</Words>
  <Characters>46904</Characters>
  <Lines>87</Lines>
  <Paragraphs>73</Paragraphs>
  <TotalTime>2</TotalTime>
  <ScaleCrop>false</ScaleCrop>
  <LinksUpToDate>false</LinksUpToDate>
  <CharactersWithSpaces>53155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2021-07-09T10:15:00Z</dcterms:created>
  <dc:creator>Administrator</dc:creator>
  <cp:lastModifiedBy>lenovo</cp:lastModifiedBy>
  <cp:lastPrinted>2022-07-15T08:09:00Z</cp:lastPrinted>
  <dcterms:modified xsi:type="dcterms:W3CDTF">2022-07-18T01:57:40Z</dcterms:modified>
  <dc:title>东阳市鑫盛工程咨询有限公司关于东阳市广福路以南、望江路以西地块-上王公寓</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C672A57F958E4674A7BCD7DB80A8E639</vt:lpwstr>
  </property>
</Properties>
</file>