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color w:val="auto"/>
          <w:sz w:val="42"/>
          <w:szCs w:val="42"/>
          <w:highlight w:val="none"/>
        </w:rPr>
      </w:pPr>
      <w:r>
        <w:rPr>
          <w:rFonts w:hint="eastAsia" w:ascii="宋体" w:hAnsi="宋体"/>
          <w:b/>
          <w:color w:val="auto"/>
          <w:sz w:val="42"/>
          <w:szCs w:val="42"/>
          <w:highlight w:val="none"/>
        </w:rPr>
        <w:t>金华市公共资源交易中心东阳分中心关于</w:t>
      </w:r>
    </w:p>
    <w:p>
      <w:pPr>
        <w:jc w:val="center"/>
        <w:rPr>
          <w:rFonts w:ascii="宋体" w:hAnsi="宋体"/>
          <w:b/>
          <w:color w:val="auto"/>
          <w:sz w:val="42"/>
          <w:szCs w:val="42"/>
          <w:highlight w:val="none"/>
        </w:rPr>
      </w:pPr>
      <w:r>
        <w:rPr>
          <w:rFonts w:hint="eastAsia" w:ascii="宋体" w:hAnsi="宋体"/>
          <w:b/>
          <w:color w:val="auto"/>
          <w:sz w:val="42"/>
          <w:szCs w:val="42"/>
          <w:highlight w:val="none"/>
        </w:rPr>
        <w:t>东阳市自然资源和规划局办公家具采购项目</w:t>
      </w:r>
    </w:p>
    <w:p>
      <w:pPr>
        <w:spacing w:before="120" w:beforeLines="50"/>
        <w:jc w:val="center"/>
        <w:rPr>
          <w:rFonts w:ascii="宋体" w:hAnsi="宋体"/>
          <w:b/>
          <w:bCs/>
          <w:color w:val="auto"/>
          <w:sz w:val="36"/>
          <w:szCs w:val="36"/>
          <w:highlight w:val="none"/>
        </w:rPr>
      </w:pPr>
    </w:p>
    <w:p>
      <w:pPr>
        <w:spacing w:before="120" w:beforeLines="50"/>
        <w:jc w:val="center"/>
        <w:rPr>
          <w:rFonts w:ascii="宋体" w:hAnsi="宋体"/>
          <w:b/>
          <w:color w:val="auto"/>
          <w:sz w:val="48"/>
          <w:szCs w:val="48"/>
          <w:highlight w:val="none"/>
        </w:rPr>
      </w:pPr>
    </w:p>
    <w:p>
      <w:pPr>
        <w:spacing w:before="120" w:beforeLines="50"/>
        <w:jc w:val="center"/>
        <w:rPr>
          <w:rFonts w:ascii="宋体" w:hAnsi="宋体"/>
          <w:b/>
          <w:color w:val="auto"/>
          <w:sz w:val="48"/>
          <w:szCs w:val="48"/>
          <w:highlight w:val="none"/>
        </w:rPr>
      </w:pPr>
    </w:p>
    <w:p>
      <w:pPr>
        <w:spacing w:before="120" w:beforeLines="50"/>
        <w:jc w:val="center"/>
        <w:rPr>
          <w:rFonts w:ascii="宋体" w:hAnsi="宋体"/>
          <w:b/>
          <w:color w:val="auto"/>
          <w:sz w:val="48"/>
          <w:szCs w:val="48"/>
          <w:highlight w:val="none"/>
        </w:rPr>
      </w:pPr>
    </w:p>
    <w:p>
      <w:pPr>
        <w:spacing w:before="120" w:beforeLines="50"/>
        <w:jc w:val="center"/>
        <w:rPr>
          <w:rFonts w:ascii="宋体" w:hAnsi="宋体"/>
          <w:b/>
          <w:color w:val="auto"/>
          <w:sz w:val="48"/>
          <w:szCs w:val="48"/>
          <w:highlight w:val="none"/>
        </w:rPr>
      </w:pPr>
    </w:p>
    <w:p>
      <w:pPr>
        <w:spacing w:before="120" w:beforeLines="50"/>
        <w:jc w:val="center"/>
        <w:rPr>
          <w:rFonts w:ascii="宋体" w:hAnsi="宋体"/>
          <w:b/>
          <w:color w:val="auto"/>
          <w:sz w:val="52"/>
          <w:szCs w:val="52"/>
          <w:highlight w:val="none"/>
        </w:rPr>
      </w:pPr>
      <w:r>
        <w:rPr>
          <w:rFonts w:hint="eastAsia" w:ascii="宋体" w:hAnsi="宋体"/>
          <w:b/>
          <w:color w:val="auto"/>
          <w:sz w:val="52"/>
          <w:szCs w:val="52"/>
          <w:highlight w:val="none"/>
        </w:rPr>
        <w:t>公开招标采购文件</w:t>
      </w:r>
    </w:p>
    <w:p>
      <w:pPr>
        <w:tabs>
          <w:tab w:val="left" w:pos="5743"/>
        </w:tabs>
        <w:snapToGrid w:val="0"/>
        <w:spacing w:before="120" w:beforeLines="50" w:line="360" w:lineRule="auto"/>
        <w:rPr>
          <w:rFonts w:ascii="宋体" w:hAnsi="宋体"/>
          <w:color w:val="auto"/>
          <w:sz w:val="30"/>
          <w:szCs w:val="72"/>
          <w:highlight w:val="none"/>
        </w:rPr>
      </w:pPr>
      <w:r>
        <w:rPr>
          <w:rFonts w:ascii="宋体" w:hAnsi="宋体"/>
          <w:color w:val="auto"/>
          <w:sz w:val="30"/>
          <w:szCs w:val="72"/>
          <w:highlight w:val="none"/>
        </w:rPr>
        <w:tab/>
      </w:r>
    </w:p>
    <w:p>
      <w:pPr>
        <w:snapToGrid w:val="0"/>
        <w:spacing w:before="120" w:beforeLines="50" w:line="360" w:lineRule="auto"/>
        <w:rPr>
          <w:rFonts w:ascii="宋体" w:hAnsi="宋体"/>
          <w:color w:val="auto"/>
          <w:sz w:val="30"/>
          <w:szCs w:val="72"/>
          <w:highlight w:val="none"/>
        </w:rPr>
      </w:pPr>
    </w:p>
    <w:p>
      <w:pPr>
        <w:snapToGrid w:val="0"/>
        <w:spacing w:before="120" w:beforeLines="50" w:line="360" w:lineRule="auto"/>
        <w:rPr>
          <w:rFonts w:ascii="宋体" w:hAnsi="宋体"/>
          <w:color w:val="auto"/>
          <w:sz w:val="30"/>
          <w:szCs w:val="72"/>
          <w:highlight w:val="none"/>
        </w:rPr>
      </w:pPr>
    </w:p>
    <w:p>
      <w:pPr>
        <w:snapToGrid w:val="0"/>
        <w:spacing w:before="120" w:beforeLines="50" w:line="360" w:lineRule="auto"/>
        <w:rPr>
          <w:rFonts w:ascii="宋体" w:hAnsi="宋体"/>
          <w:color w:val="auto"/>
          <w:sz w:val="30"/>
          <w:szCs w:val="72"/>
          <w:highlight w:val="none"/>
        </w:rPr>
      </w:pPr>
    </w:p>
    <w:p>
      <w:pPr>
        <w:snapToGrid w:val="0"/>
        <w:spacing w:before="120" w:beforeLines="50" w:line="360" w:lineRule="auto"/>
        <w:rPr>
          <w:rFonts w:ascii="宋体" w:hAnsi="宋体"/>
          <w:color w:val="auto"/>
          <w:sz w:val="30"/>
          <w:szCs w:val="72"/>
          <w:highlight w:val="none"/>
        </w:rPr>
      </w:pPr>
    </w:p>
    <w:p>
      <w:pPr>
        <w:pStyle w:val="8"/>
        <w:tabs>
          <w:tab w:val="left" w:pos="3600"/>
        </w:tabs>
        <w:snapToGrid w:val="0"/>
        <w:spacing w:before="120" w:after="120" w:line="360" w:lineRule="auto"/>
        <w:rPr>
          <w:rFonts w:hAnsi="宋体"/>
          <w:b/>
          <w:bCs/>
          <w:color w:val="auto"/>
          <w:sz w:val="28"/>
          <w:szCs w:val="28"/>
          <w:highlight w:val="none"/>
        </w:rPr>
      </w:pPr>
      <w:r>
        <w:rPr>
          <w:rFonts w:hAnsi="宋体"/>
          <w:b/>
          <w:bCs/>
          <w:color w:val="auto"/>
          <w:sz w:val="28"/>
          <w:szCs w:val="28"/>
          <w:highlight w:val="none"/>
        </w:rPr>
        <w:t>项目编号：</w:t>
      </w:r>
      <w:r>
        <w:rPr>
          <w:rFonts w:hint="eastAsia" w:hAnsi="宋体"/>
          <w:b/>
          <w:bCs/>
          <w:color w:val="auto"/>
          <w:sz w:val="28"/>
          <w:szCs w:val="28"/>
          <w:highlight w:val="none"/>
        </w:rPr>
        <w:t>DYCG2019-A020</w:t>
      </w:r>
    </w:p>
    <w:p>
      <w:pPr>
        <w:pStyle w:val="8"/>
        <w:tabs>
          <w:tab w:val="left" w:pos="3600"/>
        </w:tabs>
        <w:snapToGrid w:val="0"/>
        <w:spacing w:before="120" w:after="120" w:line="360" w:lineRule="auto"/>
        <w:rPr>
          <w:rFonts w:hAnsi="宋体"/>
          <w:b/>
          <w:bCs/>
          <w:color w:val="auto"/>
          <w:spacing w:val="-6"/>
          <w:kern w:val="0"/>
          <w:sz w:val="28"/>
          <w:szCs w:val="28"/>
          <w:highlight w:val="none"/>
        </w:rPr>
      </w:pPr>
      <w:r>
        <w:rPr>
          <w:rFonts w:hint="eastAsia" w:hAnsi="宋体"/>
          <w:b/>
          <w:bCs/>
          <w:color w:val="auto"/>
          <w:sz w:val="28"/>
          <w:szCs w:val="28"/>
          <w:highlight w:val="none"/>
        </w:rPr>
        <w:t>项目名称：</w:t>
      </w:r>
      <w:r>
        <w:rPr>
          <w:rFonts w:hint="eastAsia" w:hAnsi="宋体"/>
          <w:b/>
          <w:bCs/>
          <w:color w:val="auto"/>
          <w:spacing w:val="-6"/>
          <w:kern w:val="0"/>
          <w:sz w:val="28"/>
          <w:szCs w:val="28"/>
          <w:highlight w:val="none"/>
        </w:rPr>
        <w:t>东阳市自然资源和规划局办公家具采购项目</w:t>
      </w:r>
    </w:p>
    <w:p>
      <w:pPr>
        <w:pStyle w:val="8"/>
        <w:tabs>
          <w:tab w:val="left" w:pos="3600"/>
        </w:tabs>
        <w:snapToGrid w:val="0"/>
        <w:spacing w:before="120" w:after="120" w:line="360" w:lineRule="auto"/>
        <w:rPr>
          <w:rFonts w:hAnsi="宋体"/>
          <w:b/>
          <w:bCs/>
          <w:color w:val="auto"/>
          <w:sz w:val="28"/>
          <w:szCs w:val="28"/>
          <w:highlight w:val="none"/>
        </w:rPr>
      </w:pPr>
      <w:r>
        <w:rPr>
          <w:rFonts w:hint="eastAsia" w:hAnsi="宋体"/>
          <w:b/>
          <w:bCs/>
          <w:color w:val="auto"/>
          <w:sz w:val="28"/>
          <w:szCs w:val="28"/>
          <w:highlight w:val="none"/>
        </w:rPr>
        <w:t>采购单位：东阳市自然资源和规划局</w:t>
      </w:r>
    </w:p>
    <w:p>
      <w:pPr>
        <w:pStyle w:val="8"/>
        <w:tabs>
          <w:tab w:val="left" w:pos="3600"/>
        </w:tabs>
        <w:snapToGrid w:val="0"/>
        <w:spacing w:before="120" w:after="120" w:line="360" w:lineRule="auto"/>
        <w:rPr>
          <w:rFonts w:hAnsi="宋体"/>
          <w:b/>
          <w:bCs/>
          <w:color w:val="auto"/>
          <w:sz w:val="28"/>
          <w:szCs w:val="28"/>
          <w:highlight w:val="none"/>
        </w:rPr>
      </w:pPr>
      <w:r>
        <w:rPr>
          <w:rFonts w:hint="eastAsia" w:hAnsi="宋体"/>
          <w:b/>
          <w:bCs/>
          <w:color w:val="auto"/>
          <w:sz w:val="28"/>
          <w:szCs w:val="28"/>
          <w:highlight w:val="none"/>
        </w:rPr>
        <w:t>招标单位</w:t>
      </w:r>
      <w:r>
        <w:rPr>
          <w:rFonts w:hAnsi="宋体"/>
          <w:b/>
          <w:bCs/>
          <w:color w:val="auto"/>
          <w:sz w:val="28"/>
          <w:szCs w:val="28"/>
          <w:highlight w:val="none"/>
        </w:rPr>
        <w:t>：</w:t>
      </w:r>
      <w:r>
        <w:rPr>
          <w:rFonts w:hint="eastAsia" w:hAnsi="宋体"/>
          <w:b/>
          <w:bCs/>
          <w:color w:val="auto"/>
          <w:sz w:val="28"/>
          <w:szCs w:val="28"/>
          <w:highlight w:val="none"/>
        </w:rPr>
        <w:t>金华市公共资源交易中心东阳分中心</w:t>
      </w:r>
    </w:p>
    <w:p>
      <w:pPr>
        <w:pStyle w:val="8"/>
        <w:tabs>
          <w:tab w:val="left" w:pos="3600"/>
        </w:tabs>
        <w:snapToGrid w:val="0"/>
        <w:spacing w:before="120" w:after="120" w:line="360" w:lineRule="auto"/>
        <w:rPr>
          <w:rFonts w:hAnsi="宋体"/>
          <w:b/>
          <w:bCs/>
          <w:color w:val="auto"/>
          <w:sz w:val="28"/>
          <w:szCs w:val="28"/>
          <w:highlight w:val="none"/>
        </w:rPr>
      </w:pPr>
    </w:p>
    <w:p>
      <w:pPr>
        <w:snapToGrid w:val="0"/>
        <w:spacing w:before="120" w:beforeLines="50" w:line="360" w:lineRule="auto"/>
        <w:ind w:firstLine="5609" w:firstLineChars="2100"/>
        <w:rPr>
          <w:rFonts w:ascii="宋体" w:hAnsi="宋体"/>
          <w:color w:val="auto"/>
          <w:sz w:val="28"/>
          <w:szCs w:val="28"/>
          <w:highlight w:val="none"/>
        </w:rPr>
      </w:pPr>
      <w:r>
        <w:rPr>
          <w:rFonts w:hint="eastAsia" w:ascii="宋体" w:hAnsi="宋体"/>
          <w:b/>
          <w:bCs/>
          <w:color w:val="auto"/>
          <w:w w:val="95"/>
          <w:sz w:val="28"/>
          <w:szCs w:val="28"/>
          <w:highlight w:val="none"/>
        </w:rPr>
        <w:t>2019</w:t>
      </w:r>
      <w:r>
        <w:rPr>
          <w:rFonts w:ascii="宋体" w:hAnsi="宋体"/>
          <w:b/>
          <w:bCs/>
          <w:color w:val="auto"/>
          <w:w w:val="95"/>
          <w:sz w:val="28"/>
          <w:szCs w:val="28"/>
          <w:highlight w:val="none"/>
        </w:rPr>
        <w:t>年</w:t>
      </w:r>
      <w:r>
        <w:rPr>
          <w:rFonts w:hint="eastAsia" w:ascii="宋体" w:hAnsi="宋体"/>
          <w:b/>
          <w:bCs/>
          <w:color w:val="auto"/>
          <w:w w:val="95"/>
          <w:sz w:val="28"/>
          <w:szCs w:val="28"/>
          <w:highlight w:val="none"/>
          <w:lang w:val="en-US" w:eastAsia="zh-CN"/>
        </w:rPr>
        <w:t>4</w:t>
      </w:r>
      <w:r>
        <w:rPr>
          <w:rFonts w:hint="eastAsia" w:ascii="宋体" w:hAnsi="宋体"/>
          <w:b/>
          <w:bCs/>
          <w:color w:val="auto"/>
          <w:w w:val="95"/>
          <w:sz w:val="28"/>
          <w:szCs w:val="28"/>
          <w:highlight w:val="none"/>
        </w:rPr>
        <w:t>月</w:t>
      </w:r>
      <w:r>
        <w:rPr>
          <w:rFonts w:hint="eastAsia" w:ascii="宋体" w:hAnsi="宋体"/>
          <w:b/>
          <w:bCs/>
          <w:color w:val="auto"/>
          <w:w w:val="95"/>
          <w:sz w:val="28"/>
          <w:szCs w:val="28"/>
          <w:highlight w:val="none"/>
          <w:lang w:val="en-US" w:eastAsia="zh-CN"/>
        </w:rPr>
        <w:t>23</w:t>
      </w:r>
      <w:r>
        <w:rPr>
          <w:rFonts w:hint="eastAsia" w:ascii="宋体" w:hAnsi="宋体"/>
          <w:b/>
          <w:bCs/>
          <w:color w:val="auto"/>
          <w:w w:val="95"/>
          <w:sz w:val="28"/>
          <w:szCs w:val="28"/>
          <w:highlight w:val="none"/>
        </w:rPr>
        <w:t>日</w:t>
      </w:r>
    </w:p>
    <w:p>
      <w:pPr>
        <w:pStyle w:val="8"/>
        <w:spacing w:before="120" w:after="120" w:line="360" w:lineRule="auto"/>
        <w:jc w:val="center"/>
        <w:rPr>
          <w:rFonts w:hAnsi="宋体"/>
          <w:color w:val="auto"/>
          <w:highlight w:val="none"/>
        </w:rPr>
      </w:pPr>
      <w:r>
        <w:rPr>
          <w:rFonts w:hAnsi="宋体"/>
          <w:color w:val="auto"/>
          <w:highlight w:val="none"/>
        </w:rPr>
        <w:br w:type="page"/>
      </w:r>
    </w:p>
    <w:p>
      <w:pPr>
        <w:pStyle w:val="8"/>
        <w:spacing w:before="120" w:after="120" w:line="360" w:lineRule="auto"/>
        <w:jc w:val="center"/>
        <w:rPr>
          <w:rFonts w:ascii="创艺简标宋" w:hAnsi="宋体" w:eastAsia="创艺简标宋"/>
          <w:color w:val="auto"/>
          <w:sz w:val="44"/>
          <w:szCs w:val="44"/>
          <w:highlight w:val="none"/>
        </w:rPr>
      </w:pPr>
      <w:r>
        <w:rPr>
          <w:rFonts w:hint="eastAsia" w:ascii="创艺简标宋" w:hAnsi="宋体" w:eastAsia="创艺简标宋"/>
          <w:color w:val="auto"/>
          <w:sz w:val="44"/>
          <w:szCs w:val="44"/>
          <w:highlight w:val="none"/>
        </w:rPr>
        <w:t>目    录</w:t>
      </w:r>
    </w:p>
    <w:p>
      <w:pPr>
        <w:numPr>
          <w:ilvl w:val="0"/>
          <w:numId w:val="2"/>
        </w:numPr>
        <w:spacing w:before="120" w:beforeLines="50" w:line="480" w:lineRule="exact"/>
        <w:rPr>
          <w:rFonts w:ascii="宋体" w:hAnsi="宋体"/>
          <w:color w:val="auto"/>
          <w:sz w:val="30"/>
          <w:szCs w:val="20"/>
          <w:highlight w:val="none"/>
        </w:rPr>
      </w:pPr>
      <w:r>
        <w:rPr>
          <w:rFonts w:hint="eastAsia" w:ascii="宋体" w:hAnsi="宋体"/>
          <w:color w:val="auto"/>
          <w:sz w:val="30"/>
          <w:highlight w:val="none"/>
        </w:rPr>
        <w:t>公开招标采购公告</w:t>
      </w:r>
    </w:p>
    <w:p>
      <w:pPr>
        <w:numPr>
          <w:ilvl w:val="0"/>
          <w:numId w:val="2"/>
        </w:numPr>
        <w:spacing w:before="120" w:beforeLines="50" w:line="480" w:lineRule="exact"/>
        <w:rPr>
          <w:rFonts w:ascii="宋体" w:hAnsi="宋体"/>
          <w:color w:val="auto"/>
          <w:sz w:val="30"/>
          <w:szCs w:val="20"/>
          <w:highlight w:val="none"/>
        </w:rPr>
      </w:pPr>
      <w:r>
        <w:rPr>
          <w:rFonts w:hint="eastAsia" w:ascii="宋体" w:hAnsi="宋体"/>
          <w:color w:val="auto"/>
          <w:sz w:val="30"/>
          <w:highlight w:val="none"/>
        </w:rPr>
        <w:t>招标需求</w:t>
      </w:r>
    </w:p>
    <w:p>
      <w:pPr>
        <w:numPr>
          <w:ilvl w:val="0"/>
          <w:numId w:val="2"/>
        </w:numPr>
        <w:spacing w:before="120" w:beforeLines="50" w:line="480" w:lineRule="exact"/>
        <w:rPr>
          <w:rFonts w:ascii="宋体" w:hAnsi="宋体"/>
          <w:color w:val="auto"/>
          <w:sz w:val="30"/>
          <w:szCs w:val="20"/>
          <w:highlight w:val="none"/>
        </w:rPr>
      </w:pPr>
      <w:r>
        <w:rPr>
          <w:rFonts w:hint="eastAsia" w:ascii="宋体" w:hAnsi="宋体"/>
          <w:color w:val="auto"/>
          <w:sz w:val="30"/>
          <w:highlight w:val="none"/>
        </w:rPr>
        <w:t>投标人须知</w:t>
      </w:r>
    </w:p>
    <w:p>
      <w:pPr>
        <w:numPr>
          <w:ilvl w:val="0"/>
          <w:numId w:val="2"/>
        </w:numPr>
        <w:spacing w:before="120" w:beforeLines="50" w:line="480" w:lineRule="exact"/>
        <w:rPr>
          <w:rFonts w:ascii="宋体" w:hAnsi="宋体"/>
          <w:color w:val="auto"/>
          <w:sz w:val="30"/>
          <w:szCs w:val="20"/>
          <w:highlight w:val="none"/>
        </w:rPr>
      </w:pPr>
      <w:r>
        <w:rPr>
          <w:rFonts w:hint="eastAsia" w:ascii="宋体" w:hAnsi="宋体"/>
          <w:color w:val="auto"/>
          <w:sz w:val="30"/>
          <w:highlight w:val="none"/>
        </w:rPr>
        <w:t>评标办法及评分标准</w:t>
      </w:r>
    </w:p>
    <w:p>
      <w:pPr>
        <w:numPr>
          <w:ilvl w:val="0"/>
          <w:numId w:val="2"/>
        </w:numPr>
        <w:spacing w:before="120" w:beforeLines="50" w:line="480" w:lineRule="exact"/>
        <w:rPr>
          <w:rFonts w:ascii="宋体" w:hAnsi="宋体"/>
          <w:color w:val="auto"/>
          <w:sz w:val="30"/>
          <w:szCs w:val="20"/>
          <w:highlight w:val="none"/>
        </w:rPr>
      </w:pPr>
      <w:r>
        <w:rPr>
          <w:rFonts w:hint="eastAsia" w:ascii="宋体" w:hAnsi="宋体"/>
          <w:color w:val="auto"/>
          <w:sz w:val="30"/>
          <w:highlight w:val="none"/>
        </w:rPr>
        <w:t>合同主要条款</w:t>
      </w:r>
    </w:p>
    <w:p>
      <w:pPr>
        <w:numPr>
          <w:ilvl w:val="0"/>
          <w:numId w:val="2"/>
        </w:numPr>
        <w:spacing w:before="120" w:beforeLines="50" w:line="480" w:lineRule="exact"/>
        <w:rPr>
          <w:rFonts w:ascii="宋体" w:hAnsi="宋体"/>
          <w:color w:val="auto"/>
          <w:sz w:val="30"/>
          <w:szCs w:val="20"/>
          <w:highlight w:val="none"/>
        </w:rPr>
      </w:pPr>
      <w:r>
        <w:rPr>
          <w:rFonts w:hint="eastAsia" w:ascii="宋体" w:hAnsi="宋体"/>
          <w:color w:val="auto"/>
          <w:sz w:val="30"/>
          <w:highlight w:val="none"/>
        </w:rPr>
        <w:t>投标文件格式</w:t>
      </w:r>
    </w:p>
    <w:p>
      <w:pPr>
        <w:pStyle w:val="8"/>
        <w:snapToGrid w:val="0"/>
        <w:spacing w:before="120" w:after="120" w:line="240" w:lineRule="auto"/>
        <w:jc w:val="center"/>
        <w:outlineLvl w:val="0"/>
        <w:rPr>
          <w:rFonts w:ascii="黑体" w:hAnsi="宋体" w:eastAsia="黑体"/>
          <w:color w:val="auto"/>
          <w:sz w:val="30"/>
          <w:szCs w:val="30"/>
          <w:highlight w:val="none"/>
        </w:rPr>
      </w:pPr>
      <w:r>
        <w:rPr>
          <w:rFonts w:hAnsi="宋体"/>
          <w:color w:val="auto"/>
          <w:highlight w:val="none"/>
        </w:rPr>
        <w:br w:type="page"/>
      </w:r>
      <w:r>
        <w:rPr>
          <w:rFonts w:hint="eastAsia" w:ascii="黑体" w:hAnsi="宋体" w:eastAsia="黑体"/>
          <w:color w:val="auto"/>
          <w:sz w:val="30"/>
          <w:szCs w:val="30"/>
          <w:highlight w:val="none"/>
        </w:rPr>
        <w:t>第一章  公开招标采购公告</w:t>
      </w:r>
    </w:p>
    <w:p>
      <w:pPr>
        <w:pStyle w:val="23"/>
        <w:widowControl w:val="0"/>
        <w:spacing w:afterLines="0"/>
        <w:ind w:firstLine="480"/>
        <w:rPr>
          <w:rFonts w:ascii="宋体" w:hAnsi="宋体"/>
          <w:color w:val="auto"/>
          <w:szCs w:val="24"/>
          <w:highlight w:val="none"/>
        </w:rPr>
      </w:pPr>
    </w:p>
    <w:p>
      <w:pPr>
        <w:pStyle w:val="23"/>
        <w:widowControl w:val="0"/>
        <w:spacing w:afterLines="0" w:line="312" w:lineRule="auto"/>
        <w:ind w:firstLine="480"/>
        <w:rPr>
          <w:rFonts w:ascii="宋体" w:hAnsi="宋体"/>
          <w:color w:val="auto"/>
          <w:szCs w:val="24"/>
          <w:highlight w:val="none"/>
        </w:rPr>
      </w:pPr>
      <w:r>
        <w:rPr>
          <w:rFonts w:hint="eastAsia" w:ascii="宋体" w:hAnsi="宋体"/>
          <w:color w:val="auto"/>
          <w:szCs w:val="24"/>
          <w:highlight w:val="none"/>
        </w:rPr>
        <w:t>根据</w:t>
      </w:r>
      <w:r>
        <w:rPr>
          <w:rFonts w:hint="eastAsia" w:ascii="宋体" w:hAnsi="宋体"/>
          <w:color w:val="auto"/>
          <w:szCs w:val="24"/>
          <w:highlight w:val="none"/>
          <w:u w:val="single"/>
        </w:rPr>
        <w:t>《中华人民共和国政府采购法》、《政府采购货物和服务招标投标管理办法》</w:t>
      </w:r>
      <w:r>
        <w:rPr>
          <w:rFonts w:hint="eastAsia" w:ascii="宋体" w:hAnsi="宋体"/>
          <w:color w:val="auto"/>
          <w:szCs w:val="24"/>
          <w:highlight w:val="none"/>
        </w:rPr>
        <w:t>等规定</w:t>
      </w:r>
      <w:r>
        <w:rPr>
          <w:rFonts w:hint="eastAsia" w:ascii="宋体" w:hAnsi="宋体"/>
          <w:color w:val="auto"/>
          <w:szCs w:val="24"/>
          <w:highlight w:val="none"/>
          <w:shd w:val="clear" w:color="auto" w:fill="FFFFFF" w:themeFill="background1"/>
        </w:rPr>
        <w:t>，经</w:t>
      </w:r>
      <w:r>
        <w:rPr>
          <w:rFonts w:hint="eastAsia" w:ascii="宋体" w:hAnsi="宋体"/>
          <w:b/>
          <w:bCs/>
          <w:color w:val="auto"/>
          <w:szCs w:val="24"/>
          <w:highlight w:val="none"/>
          <w:u w:val="single"/>
          <w:shd w:val="clear" w:color="auto" w:fill="FFFFFF" w:themeFill="background1"/>
        </w:rPr>
        <w:t>东阳市财政局临[2019]1044号</w:t>
      </w:r>
      <w:r>
        <w:rPr>
          <w:rFonts w:hint="eastAsia" w:ascii="宋体" w:hAnsi="宋体"/>
          <w:color w:val="auto"/>
          <w:szCs w:val="24"/>
          <w:highlight w:val="none"/>
          <w:shd w:val="clear" w:color="auto" w:fill="FFFFFF" w:themeFill="background1"/>
        </w:rPr>
        <w:t>批准，现就</w:t>
      </w:r>
      <w:r>
        <w:rPr>
          <w:rFonts w:hint="eastAsia" w:ascii="宋体" w:hAnsi="宋体"/>
          <w:b/>
          <w:bCs/>
          <w:color w:val="auto"/>
          <w:szCs w:val="24"/>
          <w:highlight w:val="none"/>
          <w:u w:val="single"/>
          <w:shd w:val="clear" w:color="auto" w:fill="FFFFFF" w:themeFill="background1"/>
        </w:rPr>
        <w:t>东阳市自然资源和规划局办公家具采购项目</w:t>
      </w:r>
      <w:r>
        <w:rPr>
          <w:rFonts w:ascii="宋体" w:hAnsi="宋体"/>
          <w:color w:val="auto"/>
          <w:szCs w:val="24"/>
          <w:highlight w:val="none"/>
          <w:shd w:val="clear" w:color="auto" w:fill="FFFFFF" w:themeFill="background1"/>
        </w:rPr>
        <w:t>进行公开</w:t>
      </w:r>
      <w:r>
        <w:rPr>
          <w:rFonts w:ascii="宋体" w:hAnsi="宋体"/>
          <w:color w:val="auto"/>
          <w:szCs w:val="24"/>
          <w:highlight w:val="none"/>
        </w:rPr>
        <w:t>招标采购，</w:t>
      </w:r>
      <w:r>
        <w:rPr>
          <w:rFonts w:hint="eastAsia" w:ascii="宋体" w:hAnsi="宋体"/>
          <w:color w:val="auto"/>
          <w:szCs w:val="24"/>
          <w:highlight w:val="none"/>
        </w:rPr>
        <w:t>欢迎有</w:t>
      </w:r>
      <w:r>
        <w:rPr>
          <w:rFonts w:hint="eastAsia" w:ascii="宋体" w:hAnsi="宋体"/>
          <w:color w:val="auto"/>
          <w:highlight w:val="none"/>
        </w:rPr>
        <w:t>供货及服务能力的生产制造厂商或其合格代理商前来投标</w:t>
      </w:r>
      <w:r>
        <w:rPr>
          <w:rFonts w:hint="eastAsia" w:ascii="宋体" w:hAnsi="宋体"/>
          <w:color w:val="auto"/>
          <w:szCs w:val="24"/>
          <w:highlight w:val="none"/>
        </w:rPr>
        <w:t>：</w:t>
      </w:r>
    </w:p>
    <w:p>
      <w:pPr>
        <w:snapToGrid w:val="0"/>
        <w:spacing w:line="312" w:lineRule="auto"/>
        <w:ind w:firstLine="480" w:firstLineChars="200"/>
        <w:rPr>
          <w:rFonts w:ascii="宋体" w:hAnsi="宋体" w:cs="Arial"/>
          <w:color w:val="auto"/>
          <w:sz w:val="24"/>
          <w:highlight w:val="none"/>
        </w:rPr>
      </w:pPr>
      <w:r>
        <w:rPr>
          <w:rFonts w:hint="eastAsia" w:ascii="宋体" w:hAnsi="宋体" w:cs="Arial"/>
          <w:color w:val="auto"/>
          <w:sz w:val="24"/>
          <w:highlight w:val="none"/>
        </w:rPr>
        <w:t>一、</w:t>
      </w:r>
      <w:r>
        <w:rPr>
          <w:rFonts w:hint="eastAsia" w:ascii="宋体" w:hAnsi="宋体" w:cs="Arial"/>
          <w:b/>
          <w:bCs/>
          <w:color w:val="auto"/>
          <w:sz w:val="24"/>
          <w:highlight w:val="none"/>
        </w:rPr>
        <w:t>项目编号：</w:t>
      </w:r>
      <w:r>
        <w:rPr>
          <w:rFonts w:hint="eastAsia" w:ascii="宋体" w:hAnsi="宋体" w:cs="Arial"/>
          <w:color w:val="auto"/>
          <w:sz w:val="24"/>
          <w:highlight w:val="none"/>
        </w:rPr>
        <w:t>DYCG2019-A020</w:t>
      </w:r>
    </w:p>
    <w:p>
      <w:pPr>
        <w:snapToGrid w:val="0"/>
        <w:spacing w:line="312" w:lineRule="auto"/>
        <w:ind w:firstLine="480" w:firstLineChars="200"/>
        <w:rPr>
          <w:rFonts w:ascii="宋体" w:hAnsi="宋体" w:cs="Arial"/>
          <w:color w:val="auto"/>
          <w:sz w:val="24"/>
          <w:szCs w:val="20"/>
          <w:highlight w:val="none"/>
        </w:rPr>
      </w:pPr>
      <w:r>
        <w:rPr>
          <w:rFonts w:hint="eastAsia" w:ascii="宋体" w:hAnsi="宋体" w:cs="Arial"/>
          <w:color w:val="auto"/>
          <w:sz w:val="24"/>
          <w:highlight w:val="none"/>
        </w:rPr>
        <w:t>二、</w:t>
      </w:r>
      <w:r>
        <w:rPr>
          <w:rFonts w:hint="eastAsia" w:ascii="宋体" w:hAnsi="宋体" w:cs="Arial"/>
          <w:b/>
          <w:color w:val="auto"/>
          <w:sz w:val="24"/>
          <w:highlight w:val="none"/>
        </w:rPr>
        <w:t>采购组织类型：</w:t>
      </w:r>
      <w:r>
        <w:rPr>
          <w:rFonts w:hint="eastAsia" w:ascii="宋体" w:hAnsi="宋体" w:cs="Arial"/>
          <w:color w:val="auto"/>
          <w:sz w:val="24"/>
          <w:highlight w:val="none"/>
        </w:rPr>
        <w:t>政府集中采购</w:t>
      </w:r>
    </w:p>
    <w:p>
      <w:pPr>
        <w:snapToGrid w:val="0"/>
        <w:spacing w:line="312" w:lineRule="auto"/>
        <w:ind w:firstLine="482" w:firstLineChars="200"/>
        <w:rPr>
          <w:rFonts w:ascii="宋体" w:hAnsi="宋体" w:cs="Arial"/>
          <w:color w:val="auto"/>
          <w:sz w:val="24"/>
          <w:szCs w:val="20"/>
          <w:highlight w:val="none"/>
        </w:rPr>
      </w:pPr>
      <w:r>
        <w:rPr>
          <w:rFonts w:hint="eastAsia" w:ascii="宋体" w:hAnsi="宋体" w:cs="Arial"/>
          <w:b/>
          <w:color w:val="auto"/>
          <w:sz w:val="24"/>
          <w:highlight w:val="none"/>
        </w:rPr>
        <w:t>三、采购方式：</w:t>
      </w:r>
      <w:r>
        <w:rPr>
          <w:rFonts w:hint="eastAsia" w:ascii="宋体" w:hAnsi="宋体" w:cs="Arial"/>
          <w:color w:val="auto"/>
          <w:sz w:val="24"/>
          <w:highlight w:val="none"/>
        </w:rPr>
        <w:t>公开招标</w:t>
      </w:r>
    </w:p>
    <w:p>
      <w:pPr>
        <w:snapToGrid w:val="0"/>
        <w:spacing w:line="312" w:lineRule="auto"/>
        <w:ind w:firstLine="482" w:firstLineChars="200"/>
        <w:rPr>
          <w:rFonts w:ascii="宋体" w:hAnsi="宋体" w:cs="Arial"/>
          <w:b/>
          <w:bCs/>
          <w:color w:val="auto"/>
          <w:sz w:val="24"/>
          <w:szCs w:val="20"/>
          <w:highlight w:val="none"/>
        </w:rPr>
      </w:pPr>
      <w:r>
        <w:rPr>
          <w:rFonts w:hint="eastAsia" w:ascii="宋体" w:hAnsi="宋体" w:cs="Arial"/>
          <w:b/>
          <w:color w:val="auto"/>
          <w:sz w:val="24"/>
          <w:highlight w:val="none"/>
        </w:rPr>
        <w:t>四、</w:t>
      </w:r>
      <w:r>
        <w:rPr>
          <w:rFonts w:hint="eastAsia" w:ascii="宋体" w:hAnsi="宋体" w:cs="Arial"/>
          <w:b/>
          <w:bCs/>
          <w:color w:val="auto"/>
          <w:sz w:val="24"/>
          <w:highlight w:val="none"/>
        </w:rPr>
        <w:t>采购内容及数量</w:t>
      </w:r>
    </w:p>
    <w:tbl>
      <w:tblPr>
        <w:tblStyle w:val="18"/>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524"/>
        <w:gridCol w:w="2345"/>
        <w:gridCol w:w="996"/>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exact"/>
        </w:trPr>
        <w:tc>
          <w:tcPr>
            <w:tcW w:w="645" w:type="dxa"/>
            <w:noWrap/>
            <w:vAlign w:val="center"/>
          </w:tcPr>
          <w:p>
            <w:pPr>
              <w:pStyle w:val="8"/>
              <w:spacing w:before="120" w:after="120" w:line="312" w:lineRule="auto"/>
              <w:jc w:val="center"/>
              <w:rPr>
                <w:b/>
                <w:color w:val="auto"/>
                <w:sz w:val="21"/>
                <w:szCs w:val="21"/>
                <w:highlight w:val="none"/>
              </w:rPr>
            </w:pPr>
            <w:r>
              <w:rPr>
                <w:rFonts w:hint="eastAsia"/>
                <w:b/>
                <w:color w:val="auto"/>
                <w:sz w:val="21"/>
                <w:szCs w:val="21"/>
                <w:highlight w:val="none"/>
              </w:rPr>
              <w:t>标项</w:t>
            </w:r>
          </w:p>
        </w:tc>
        <w:tc>
          <w:tcPr>
            <w:tcW w:w="3524" w:type="dxa"/>
            <w:noWrap/>
            <w:vAlign w:val="center"/>
          </w:tcPr>
          <w:p>
            <w:pPr>
              <w:pStyle w:val="8"/>
              <w:spacing w:before="120" w:after="120" w:line="312" w:lineRule="auto"/>
              <w:jc w:val="center"/>
              <w:rPr>
                <w:b/>
                <w:color w:val="auto"/>
                <w:sz w:val="21"/>
                <w:szCs w:val="21"/>
                <w:highlight w:val="none"/>
              </w:rPr>
            </w:pPr>
            <w:r>
              <w:rPr>
                <w:rFonts w:hint="eastAsia"/>
                <w:b/>
                <w:color w:val="auto"/>
                <w:sz w:val="21"/>
                <w:szCs w:val="21"/>
                <w:highlight w:val="none"/>
              </w:rPr>
              <w:t>货物名称</w:t>
            </w:r>
          </w:p>
        </w:tc>
        <w:tc>
          <w:tcPr>
            <w:tcW w:w="2345" w:type="dxa"/>
            <w:noWrap/>
            <w:vAlign w:val="center"/>
          </w:tcPr>
          <w:p>
            <w:pPr>
              <w:pStyle w:val="8"/>
              <w:spacing w:before="120" w:after="120" w:line="312" w:lineRule="auto"/>
              <w:jc w:val="center"/>
              <w:rPr>
                <w:b/>
                <w:color w:val="auto"/>
                <w:sz w:val="21"/>
                <w:szCs w:val="21"/>
                <w:highlight w:val="none"/>
              </w:rPr>
            </w:pPr>
            <w:r>
              <w:rPr>
                <w:rFonts w:hint="eastAsia"/>
                <w:b/>
                <w:color w:val="auto"/>
                <w:sz w:val="21"/>
                <w:szCs w:val="21"/>
                <w:highlight w:val="none"/>
              </w:rPr>
              <w:t>型号技术规格</w:t>
            </w:r>
          </w:p>
        </w:tc>
        <w:tc>
          <w:tcPr>
            <w:tcW w:w="996" w:type="dxa"/>
            <w:noWrap/>
            <w:vAlign w:val="center"/>
          </w:tcPr>
          <w:p>
            <w:pPr>
              <w:pStyle w:val="8"/>
              <w:spacing w:before="120" w:after="120" w:line="312" w:lineRule="auto"/>
              <w:jc w:val="center"/>
              <w:rPr>
                <w:b/>
                <w:color w:val="auto"/>
                <w:sz w:val="21"/>
                <w:szCs w:val="21"/>
                <w:highlight w:val="none"/>
              </w:rPr>
            </w:pPr>
            <w:r>
              <w:rPr>
                <w:rFonts w:hint="eastAsia"/>
                <w:b/>
                <w:color w:val="auto"/>
                <w:sz w:val="21"/>
                <w:szCs w:val="21"/>
                <w:highlight w:val="none"/>
              </w:rPr>
              <w:t>数量</w:t>
            </w:r>
          </w:p>
        </w:tc>
        <w:tc>
          <w:tcPr>
            <w:tcW w:w="1595" w:type="dxa"/>
            <w:noWrap/>
            <w:vAlign w:val="center"/>
          </w:tcPr>
          <w:p>
            <w:pPr>
              <w:pStyle w:val="8"/>
              <w:spacing w:before="120" w:after="120" w:line="312" w:lineRule="auto"/>
              <w:jc w:val="center"/>
              <w:rPr>
                <w:b/>
                <w:color w:val="auto"/>
                <w:sz w:val="21"/>
                <w:szCs w:val="21"/>
                <w:highlight w:val="none"/>
              </w:rPr>
            </w:pPr>
            <w:r>
              <w:rPr>
                <w:rFonts w:hint="eastAsia"/>
                <w:b/>
                <w:color w:val="auto"/>
                <w:sz w:val="21"/>
                <w:szCs w:val="21"/>
                <w:highlight w:val="none"/>
              </w:rPr>
              <w:t>预算价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5" w:type="dxa"/>
            <w:noWrap/>
            <w:vAlign w:val="center"/>
          </w:tcPr>
          <w:p>
            <w:pPr>
              <w:pStyle w:val="8"/>
              <w:spacing w:before="120" w:after="120" w:line="312" w:lineRule="auto"/>
              <w:jc w:val="center"/>
              <w:rPr>
                <w:bCs/>
                <w:color w:val="auto"/>
                <w:sz w:val="21"/>
                <w:szCs w:val="21"/>
                <w:highlight w:val="none"/>
              </w:rPr>
            </w:pPr>
            <w:r>
              <w:rPr>
                <w:rFonts w:hint="eastAsia"/>
                <w:bCs/>
                <w:color w:val="auto"/>
                <w:sz w:val="21"/>
                <w:szCs w:val="21"/>
                <w:highlight w:val="none"/>
              </w:rPr>
              <w:t>1</w:t>
            </w:r>
          </w:p>
        </w:tc>
        <w:tc>
          <w:tcPr>
            <w:tcW w:w="3524" w:type="dxa"/>
            <w:noWrap/>
            <w:vAlign w:val="center"/>
          </w:tcPr>
          <w:p>
            <w:pPr>
              <w:pStyle w:val="8"/>
              <w:spacing w:before="120" w:after="120" w:line="312" w:lineRule="auto"/>
              <w:jc w:val="left"/>
              <w:rPr>
                <w:bCs/>
                <w:color w:val="auto"/>
                <w:szCs w:val="21"/>
                <w:highlight w:val="none"/>
              </w:rPr>
            </w:pPr>
            <w:r>
              <w:rPr>
                <w:rFonts w:hint="eastAsia"/>
                <w:bCs/>
                <w:color w:val="auto"/>
                <w:szCs w:val="21"/>
                <w:highlight w:val="none"/>
              </w:rPr>
              <w:t>办公家具</w:t>
            </w:r>
          </w:p>
        </w:tc>
        <w:tc>
          <w:tcPr>
            <w:tcW w:w="2345" w:type="dxa"/>
            <w:noWrap/>
            <w:vAlign w:val="center"/>
          </w:tcPr>
          <w:p>
            <w:pPr>
              <w:pStyle w:val="8"/>
              <w:spacing w:before="120" w:after="120" w:line="312"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详见第二章“招标需求”</w:t>
            </w:r>
          </w:p>
        </w:tc>
        <w:tc>
          <w:tcPr>
            <w:tcW w:w="996" w:type="dxa"/>
            <w:noWrap/>
            <w:vAlign w:val="center"/>
          </w:tcPr>
          <w:p>
            <w:pPr>
              <w:pStyle w:val="8"/>
              <w:spacing w:before="120" w:after="120" w:line="312"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shd w:val="clear" w:color="auto" w:fill="FFFFFF" w:themeFill="background1"/>
              </w:rPr>
              <w:t>1批</w:t>
            </w:r>
          </w:p>
        </w:tc>
        <w:tc>
          <w:tcPr>
            <w:tcW w:w="1595" w:type="dxa"/>
            <w:noWrap/>
            <w:vAlign w:val="center"/>
          </w:tcPr>
          <w:p>
            <w:pPr>
              <w:pStyle w:val="8"/>
              <w:spacing w:before="120" w:after="120" w:line="312"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shd w:val="clear" w:color="auto" w:fill="FFFFFF" w:themeFill="background1"/>
              </w:rPr>
              <w:t>160</w:t>
            </w:r>
          </w:p>
        </w:tc>
      </w:tr>
    </w:tbl>
    <w:p>
      <w:pPr>
        <w:snapToGrid w:val="0"/>
        <w:spacing w:line="312" w:lineRule="auto"/>
        <w:ind w:firstLine="472" w:firstLineChars="196"/>
        <w:rPr>
          <w:rFonts w:ascii="宋体" w:hAnsi="宋体" w:cs="Arial"/>
          <w:b/>
          <w:bCs/>
          <w:color w:val="auto"/>
          <w:sz w:val="24"/>
          <w:szCs w:val="20"/>
          <w:highlight w:val="none"/>
        </w:rPr>
      </w:pPr>
      <w:r>
        <w:rPr>
          <w:rFonts w:hint="eastAsia" w:ascii="宋体" w:hAnsi="宋体" w:cs="Arial"/>
          <w:b/>
          <w:color w:val="auto"/>
          <w:sz w:val="24"/>
          <w:highlight w:val="none"/>
        </w:rPr>
        <w:t>五、</w:t>
      </w:r>
      <w:r>
        <w:rPr>
          <w:rFonts w:hint="eastAsia" w:ascii="宋体" w:hAnsi="宋体" w:cs="Arial"/>
          <w:b/>
          <w:bCs/>
          <w:color w:val="auto"/>
          <w:sz w:val="24"/>
          <w:highlight w:val="none"/>
        </w:rPr>
        <w:t>合格投标人的资格要求</w:t>
      </w:r>
    </w:p>
    <w:p>
      <w:pPr>
        <w:snapToGrid w:val="0"/>
        <w:spacing w:line="312" w:lineRule="auto"/>
        <w:ind w:firstLine="480" w:firstLineChars="200"/>
        <w:rPr>
          <w:rFonts w:ascii="宋体" w:hAnsi="宋体" w:cs="Arial"/>
          <w:color w:val="auto"/>
          <w:sz w:val="24"/>
          <w:highlight w:val="none"/>
        </w:rPr>
      </w:pPr>
      <w:r>
        <w:rPr>
          <w:rFonts w:ascii="宋体" w:hAnsi="宋体" w:cs="Arial"/>
          <w:color w:val="auto"/>
          <w:sz w:val="24"/>
          <w:highlight w:val="none"/>
        </w:rPr>
        <w:t>符合</w:t>
      </w:r>
      <w:r>
        <w:rPr>
          <w:rFonts w:hint="eastAsia" w:ascii="宋体" w:hAnsi="宋体" w:cs="Arial"/>
          <w:color w:val="auto"/>
          <w:sz w:val="24"/>
          <w:highlight w:val="none"/>
        </w:rPr>
        <w:t>《中华人民共和国</w:t>
      </w:r>
      <w:r>
        <w:rPr>
          <w:rFonts w:ascii="宋体" w:hAnsi="宋体" w:cs="Arial"/>
          <w:color w:val="auto"/>
          <w:sz w:val="24"/>
          <w:highlight w:val="none"/>
        </w:rPr>
        <w:t>政府采购法</w:t>
      </w:r>
      <w:r>
        <w:rPr>
          <w:rFonts w:hint="eastAsia" w:ascii="宋体" w:hAnsi="宋体" w:cs="Arial"/>
          <w:color w:val="auto"/>
          <w:sz w:val="24"/>
          <w:highlight w:val="none"/>
        </w:rPr>
        <w:t>》</w:t>
      </w:r>
      <w:r>
        <w:rPr>
          <w:rFonts w:ascii="宋体" w:hAnsi="宋体" w:cs="Arial"/>
          <w:color w:val="auto"/>
          <w:sz w:val="24"/>
          <w:highlight w:val="none"/>
        </w:rPr>
        <w:t>第二十二条规定的投标人资格条件</w:t>
      </w:r>
      <w:r>
        <w:rPr>
          <w:rFonts w:hint="eastAsia" w:ascii="宋体" w:hAnsi="宋体" w:cs="Arial"/>
          <w:color w:val="auto"/>
          <w:sz w:val="24"/>
          <w:highlight w:val="none"/>
        </w:rPr>
        <w:t>和本公告设定的特定条件。</w:t>
      </w:r>
    </w:p>
    <w:p>
      <w:pPr>
        <w:snapToGrid w:val="0"/>
        <w:spacing w:line="312" w:lineRule="auto"/>
        <w:ind w:firstLine="482" w:firstLineChars="200"/>
        <w:rPr>
          <w:rFonts w:ascii="宋体" w:hAnsi="宋体" w:cs="Arial"/>
          <w:b/>
          <w:bCs/>
          <w:color w:val="auto"/>
          <w:sz w:val="24"/>
          <w:highlight w:val="none"/>
        </w:rPr>
      </w:pPr>
      <w:r>
        <w:rPr>
          <w:rFonts w:hint="eastAsia" w:ascii="宋体" w:hAnsi="宋体" w:cs="Arial"/>
          <w:b/>
          <w:bCs/>
          <w:color w:val="auto"/>
          <w:sz w:val="24"/>
          <w:highlight w:val="none"/>
        </w:rPr>
        <w:t>（1）《中华人民共和国政府采购法》第二十二条规定的投标人资格条件：</w:t>
      </w:r>
    </w:p>
    <w:p>
      <w:pPr>
        <w:shd w:val="clear" w:color="auto" w:fill="FFFFFF" w:themeFill="background1"/>
        <w:snapToGrid w:val="0"/>
        <w:spacing w:line="312" w:lineRule="auto"/>
        <w:ind w:left="479" w:leftChars="228"/>
        <w:rPr>
          <w:rFonts w:ascii="宋体" w:hAnsi="宋体" w:cs="Arial"/>
          <w:color w:val="auto"/>
          <w:sz w:val="24"/>
          <w:highlight w:val="none"/>
        </w:rPr>
      </w:pPr>
      <w:r>
        <w:rPr>
          <w:rFonts w:hint="eastAsia" w:ascii="宋体" w:hAnsi="宋体" w:cs="Arial"/>
          <w:color w:val="auto"/>
          <w:sz w:val="24"/>
          <w:highlight w:val="none"/>
        </w:rPr>
        <w:t xml:space="preserve">A、具有独立承担民事责任的能力； </w:t>
      </w:r>
      <w:r>
        <w:rPr>
          <w:rFonts w:hint="eastAsia" w:ascii="宋体" w:hAnsi="宋体" w:cs="Arial"/>
          <w:color w:val="auto"/>
          <w:sz w:val="24"/>
          <w:highlight w:val="none"/>
        </w:rPr>
        <w:br w:type="textWrapping"/>
      </w:r>
      <w:r>
        <w:rPr>
          <w:rFonts w:hint="eastAsia" w:ascii="宋体" w:hAnsi="宋体" w:cs="Arial"/>
          <w:color w:val="auto"/>
          <w:sz w:val="24"/>
          <w:highlight w:val="none"/>
        </w:rPr>
        <w:t xml:space="preserve">B、具有良好的商业信誉和健全的财务会计制度； </w:t>
      </w:r>
      <w:r>
        <w:rPr>
          <w:rFonts w:hint="eastAsia" w:ascii="宋体" w:hAnsi="宋体" w:cs="Arial"/>
          <w:color w:val="auto"/>
          <w:sz w:val="24"/>
          <w:highlight w:val="none"/>
        </w:rPr>
        <w:br w:type="textWrapping"/>
      </w:r>
      <w:r>
        <w:rPr>
          <w:rFonts w:hint="eastAsia" w:ascii="宋体" w:hAnsi="宋体" w:cs="Arial"/>
          <w:color w:val="auto"/>
          <w:sz w:val="24"/>
          <w:highlight w:val="none"/>
        </w:rPr>
        <w:t xml:space="preserve">C、具有履行合同所必需的设备和专业技术能力； </w:t>
      </w:r>
      <w:r>
        <w:rPr>
          <w:rFonts w:hint="eastAsia" w:ascii="宋体" w:hAnsi="宋体" w:cs="Arial"/>
          <w:color w:val="auto"/>
          <w:sz w:val="24"/>
          <w:highlight w:val="none"/>
        </w:rPr>
        <w:br w:type="textWrapping"/>
      </w:r>
      <w:r>
        <w:rPr>
          <w:rFonts w:hint="eastAsia" w:ascii="宋体" w:hAnsi="宋体" w:cs="Arial"/>
          <w:color w:val="auto"/>
          <w:sz w:val="24"/>
          <w:highlight w:val="none"/>
        </w:rPr>
        <w:t xml:space="preserve">D、有依法缴纳税收和社会保障资金的良好记录； </w:t>
      </w:r>
      <w:r>
        <w:rPr>
          <w:rFonts w:hint="eastAsia" w:ascii="宋体" w:hAnsi="宋体" w:cs="Arial"/>
          <w:color w:val="auto"/>
          <w:sz w:val="24"/>
          <w:highlight w:val="none"/>
        </w:rPr>
        <w:br w:type="textWrapping"/>
      </w:r>
      <w:r>
        <w:rPr>
          <w:rFonts w:hint="eastAsia" w:ascii="宋体" w:hAnsi="宋体" w:cs="Arial"/>
          <w:color w:val="auto"/>
          <w:sz w:val="24"/>
          <w:highlight w:val="none"/>
        </w:rPr>
        <w:t xml:space="preserve">E、参加政府采购活动前三年内，在经营活动中没有重大违法记录； </w:t>
      </w:r>
      <w:r>
        <w:rPr>
          <w:rFonts w:hint="eastAsia" w:ascii="宋体" w:hAnsi="宋体" w:cs="Arial"/>
          <w:color w:val="auto"/>
          <w:sz w:val="24"/>
          <w:highlight w:val="none"/>
        </w:rPr>
        <w:br w:type="textWrapping"/>
      </w:r>
      <w:r>
        <w:rPr>
          <w:rFonts w:hint="eastAsia" w:ascii="宋体" w:hAnsi="宋体" w:cs="Arial"/>
          <w:color w:val="auto"/>
          <w:sz w:val="24"/>
          <w:highlight w:val="none"/>
        </w:rPr>
        <w:t xml:space="preserve">F、法律、行政法规规定的其他条件。 </w:t>
      </w:r>
    </w:p>
    <w:p>
      <w:pPr>
        <w:snapToGrid w:val="0"/>
        <w:spacing w:line="312" w:lineRule="auto"/>
        <w:ind w:firstLine="482" w:firstLineChars="200"/>
        <w:rPr>
          <w:rFonts w:ascii="宋体" w:hAnsi="宋体" w:cs="Arial"/>
          <w:color w:val="auto"/>
          <w:sz w:val="24"/>
          <w:highlight w:val="none"/>
        </w:rPr>
      </w:pPr>
      <w:r>
        <w:rPr>
          <w:rFonts w:hint="eastAsia" w:ascii="宋体" w:hAnsi="宋体"/>
          <w:b/>
          <w:color w:val="auto"/>
          <w:kern w:val="0"/>
          <w:sz w:val="24"/>
          <w:highlight w:val="none"/>
        </w:rPr>
        <w:t>（2）▲投标人的特定条件：</w:t>
      </w:r>
    </w:p>
    <w:p>
      <w:pPr>
        <w:shd w:val="clear" w:color="auto" w:fill="FFFFFF" w:themeFill="background1"/>
        <w:snapToGrid w:val="0"/>
        <w:spacing w:line="312" w:lineRule="auto"/>
        <w:ind w:left="479" w:leftChars="228"/>
        <w:rPr>
          <w:rFonts w:ascii="宋体" w:hAnsi="宋体" w:cs="Arial"/>
          <w:color w:val="auto"/>
          <w:sz w:val="24"/>
          <w:highlight w:val="none"/>
        </w:rPr>
      </w:pPr>
      <w:r>
        <w:rPr>
          <w:rFonts w:hint="eastAsia" w:ascii="宋体" w:hAnsi="宋体" w:cs="Arial"/>
          <w:color w:val="auto"/>
          <w:sz w:val="24"/>
          <w:highlight w:val="none"/>
        </w:rPr>
        <w:t>A、投标人需具有独立法人资格，具有工商注册经营许可。</w:t>
      </w:r>
    </w:p>
    <w:p>
      <w:pPr>
        <w:shd w:val="clear" w:color="auto" w:fill="FFFFFF" w:themeFill="background1"/>
        <w:snapToGrid w:val="0"/>
        <w:spacing w:line="312" w:lineRule="auto"/>
        <w:ind w:firstLine="482" w:firstLineChars="200"/>
        <w:rPr>
          <w:rFonts w:ascii="宋体" w:hAnsi="宋体"/>
          <w:b/>
          <w:bCs/>
          <w:color w:val="auto"/>
          <w:sz w:val="24"/>
          <w:highlight w:val="none"/>
        </w:rPr>
      </w:pPr>
      <w:r>
        <w:rPr>
          <w:rFonts w:hint="eastAsia" w:ascii="宋体" w:hAnsi="宋体"/>
          <w:b/>
          <w:bCs/>
          <w:color w:val="auto"/>
          <w:kern w:val="0"/>
          <w:sz w:val="24"/>
          <w:highlight w:val="none"/>
        </w:rPr>
        <w:t>B、</w:t>
      </w:r>
      <w:r>
        <w:rPr>
          <w:rFonts w:hint="eastAsia" w:ascii="宋体" w:hAnsi="宋体"/>
          <w:b/>
          <w:bCs/>
          <w:color w:val="auto"/>
          <w:sz w:val="24"/>
          <w:highlight w:val="none"/>
        </w:rPr>
        <w:t>1、符合《中华人民共和国政府采购法》第二十二条和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pPr>
        <w:shd w:val="clear" w:color="auto" w:fill="FFFFFF" w:themeFill="background1"/>
        <w:snapToGrid w:val="0"/>
        <w:spacing w:line="312" w:lineRule="auto"/>
        <w:ind w:left="479" w:leftChars="228"/>
        <w:rPr>
          <w:rFonts w:ascii="宋体" w:hAnsi="宋体" w:cs="Arial"/>
          <w:color w:val="auto"/>
          <w:sz w:val="24"/>
          <w:highlight w:val="none"/>
        </w:rPr>
      </w:pPr>
      <w:r>
        <w:rPr>
          <w:rFonts w:hint="eastAsia" w:ascii="宋体" w:hAnsi="宋体" w:cs="Arial"/>
          <w:color w:val="auto"/>
          <w:sz w:val="24"/>
          <w:highlight w:val="none"/>
        </w:rPr>
        <w:t>C、投标时须带规定的样品参加投标。</w:t>
      </w:r>
    </w:p>
    <w:p>
      <w:pPr>
        <w:snapToGrid w:val="0"/>
        <w:spacing w:line="312"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D、本项目不接受联合体投标。</w:t>
      </w:r>
    </w:p>
    <w:p>
      <w:pPr>
        <w:snapToGrid w:val="0"/>
        <w:spacing w:line="312" w:lineRule="auto"/>
        <w:ind w:firstLine="482" w:firstLineChars="200"/>
        <w:outlineLvl w:val="0"/>
        <w:rPr>
          <w:rFonts w:ascii="宋体" w:hAnsi="宋体" w:cs="Arial"/>
          <w:b/>
          <w:bCs/>
          <w:color w:val="auto"/>
          <w:sz w:val="24"/>
          <w:highlight w:val="none"/>
        </w:rPr>
      </w:pPr>
      <w:r>
        <w:rPr>
          <w:rFonts w:hint="eastAsia" w:ascii="宋体" w:hAnsi="宋体" w:cs="Arial"/>
          <w:b/>
          <w:bCs/>
          <w:color w:val="auto"/>
          <w:sz w:val="24"/>
          <w:highlight w:val="none"/>
        </w:rPr>
        <w:t>六、投标报名及招标文件的获取</w:t>
      </w:r>
      <w:r>
        <w:rPr>
          <w:rFonts w:hint="eastAsia" w:ascii="宋体" w:hAnsi="宋体" w:cs="Arial"/>
          <w:color w:val="auto"/>
          <w:sz w:val="24"/>
          <w:highlight w:val="none"/>
        </w:rPr>
        <w:t>：</w:t>
      </w:r>
    </w:p>
    <w:p>
      <w:pPr>
        <w:snapToGrid w:val="0"/>
        <w:spacing w:line="312" w:lineRule="auto"/>
        <w:ind w:firstLine="482" w:firstLineChars="200"/>
        <w:rPr>
          <w:rFonts w:ascii="宋体" w:hAnsi="宋体" w:cs="Arial"/>
          <w:b/>
          <w:bCs/>
          <w:color w:val="auto"/>
          <w:sz w:val="24"/>
          <w:highlight w:val="none"/>
        </w:rPr>
      </w:pPr>
      <w:r>
        <w:rPr>
          <w:rFonts w:hint="eastAsia" w:ascii="宋体" w:hAnsi="宋体" w:cs="Arial"/>
          <w:b/>
          <w:bCs/>
          <w:color w:val="auto"/>
          <w:sz w:val="24"/>
          <w:highlight w:val="none"/>
        </w:rPr>
        <w:t>（1）网上报名：</w:t>
      </w:r>
    </w:p>
    <w:p>
      <w:pPr>
        <w:snapToGrid w:val="0"/>
        <w:spacing w:line="312" w:lineRule="auto"/>
        <w:ind w:firstLine="482" w:firstLineChars="200"/>
        <w:rPr>
          <w:rFonts w:ascii="宋体" w:hAnsi="宋体"/>
          <w:b/>
          <w:color w:val="auto"/>
          <w:kern w:val="0"/>
          <w:sz w:val="24"/>
          <w:highlight w:val="none"/>
        </w:rPr>
      </w:pPr>
      <w:r>
        <w:rPr>
          <w:rFonts w:hint="eastAsia" w:ascii="宋体" w:hAnsi="宋体"/>
          <w:b/>
          <w:color w:val="auto"/>
          <w:kern w:val="0"/>
          <w:sz w:val="24"/>
          <w:highlight w:val="none"/>
        </w:rPr>
        <w:t>A、由投标单位通过浙江省政府采购网(www.zjzfcg.gov.cn/)上的报名系统进行报名（首次参加投标的单位应先登录浙江省政府采购网(www.zjzfcg.gov.cn/)进行账户注册，注册完毕待审核成功后方可登录报名，注册咨询电话：400-881-7190；注册流程见网址</w:t>
      </w:r>
    </w:p>
    <w:p>
      <w:pPr>
        <w:snapToGrid w:val="0"/>
        <w:spacing w:line="312" w:lineRule="auto"/>
        <w:ind w:firstLine="482" w:firstLineChars="200"/>
        <w:rPr>
          <w:rFonts w:ascii="宋体" w:hAnsi="宋体"/>
          <w:b/>
          <w:color w:val="auto"/>
          <w:kern w:val="0"/>
          <w:sz w:val="24"/>
          <w:highlight w:val="none"/>
        </w:rPr>
      </w:pPr>
      <w:r>
        <w:rPr>
          <w:rFonts w:hint="eastAsia" w:ascii="宋体" w:hAnsi="宋体"/>
          <w:b/>
          <w:color w:val="auto"/>
          <w:kern w:val="0"/>
          <w:sz w:val="24"/>
          <w:highlight w:val="none"/>
        </w:rPr>
        <w:t>http://www.zjzfcg.gov.cn/register/2017-07-24/6728.html?_=2017-11-13%2011:10:28）；</w:t>
      </w:r>
    </w:p>
    <w:p>
      <w:pPr>
        <w:snapToGrid w:val="0"/>
        <w:spacing w:line="312" w:lineRule="auto"/>
        <w:ind w:firstLine="542" w:firstLineChars="225"/>
        <w:rPr>
          <w:rFonts w:ascii="宋体" w:hAnsi="宋体"/>
          <w:b/>
          <w:color w:val="auto"/>
          <w:kern w:val="0"/>
          <w:sz w:val="24"/>
          <w:highlight w:val="none"/>
        </w:rPr>
      </w:pPr>
      <w:r>
        <w:rPr>
          <w:rFonts w:hint="eastAsia" w:ascii="宋体" w:hAnsi="宋体"/>
          <w:b/>
          <w:color w:val="auto"/>
          <w:kern w:val="0"/>
          <w:sz w:val="24"/>
          <w:highlight w:val="none"/>
        </w:rPr>
        <w:t>B、网上报名截止日期：2019年4月</w:t>
      </w:r>
      <w:r>
        <w:rPr>
          <w:rFonts w:hint="eastAsia" w:ascii="宋体" w:hAnsi="宋体"/>
          <w:b/>
          <w:color w:val="auto"/>
          <w:kern w:val="0"/>
          <w:sz w:val="24"/>
          <w:highlight w:val="none"/>
          <w:lang w:val="en-US" w:eastAsia="zh-CN"/>
        </w:rPr>
        <w:t>29</w:t>
      </w:r>
      <w:r>
        <w:rPr>
          <w:rFonts w:hint="eastAsia" w:ascii="宋体" w:hAnsi="宋体"/>
          <w:b/>
          <w:color w:val="auto"/>
          <w:kern w:val="0"/>
          <w:sz w:val="24"/>
          <w:highlight w:val="none"/>
        </w:rPr>
        <w:t>日17：00时止；若截止时间后仍欲报名请按以下（3）执行。</w:t>
      </w:r>
    </w:p>
    <w:p>
      <w:pPr>
        <w:snapToGrid w:val="0"/>
        <w:spacing w:line="312" w:lineRule="auto"/>
        <w:ind w:firstLine="482" w:firstLineChars="200"/>
        <w:rPr>
          <w:rFonts w:ascii="宋体" w:hAnsi="宋体" w:cs="Arial"/>
          <w:b/>
          <w:bCs/>
          <w:color w:val="auto"/>
          <w:sz w:val="24"/>
          <w:highlight w:val="none"/>
        </w:rPr>
      </w:pPr>
      <w:r>
        <w:rPr>
          <w:rFonts w:hint="eastAsia" w:ascii="宋体" w:hAnsi="宋体" w:cs="Arial"/>
          <w:b/>
          <w:bCs/>
          <w:color w:val="auto"/>
          <w:sz w:val="24"/>
          <w:highlight w:val="none"/>
        </w:rPr>
        <w:t>（2）现场报名：（由于系统故障无法网上报名时，可采用现场报名）</w:t>
      </w:r>
    </w:p>
    <w:p>
      <w:pPr>
        <w:snapToGrid w:val="0"/>
        <w:spacing w:line="312" w:lineRule="auto"/>
        <w:ind w:firstLine="482" w:firstLineChars="200"/>
        <w:outlineLvl w:val="0"/>
        <w:rPr>
          <w:rFonts w:ascii="宋体" w:hAnsi="宋体" w:cs="Arial"/>
          <w:b/>
          <w:bCs/>
          <w:color w:val="auto"/>
          <w:sz w:val="24"/>
          <w:highlight w:val="none"/>
        </w:rPr>
      </w:pPr>
      <w:r>
        <w:rPr>
          <w:rFonts w:hint="eastAsia" w:ascii="宋体" w:hAnsi="宋体" w:cs="Arial"/>
          <w:b/>
          <w:bCs/>
          <w:color w:val="auto"/>
          <w:sz w:val="24"/>
          <w:highlight w:val="none"/>
        </w:rPr>
        <w:t>A、时间：同网上报名；</w:t>
      </w:r>
    </w:p>
    <w:p>
      <w:pPr>
        <w:snapToGrid w:val="0"/>
        <w:spacing w:line="312" w:lineRule="auto"/>
        <w:ind w:firstLine="482" w:firstLineChars="200"/>
        <w:rPr>
          <w:rFonts w:ascii="宋体" w:hAnsi="宋体" w:cs="Arial"/>
          <w:b/>
          <w:bCs/>
          <w:color w:val="auto"/>
          <w:sz w:val="24"/>
          <w:highlight w:val="none"/>
        </w:rPr>
      </w:pPr>
      <w:r>
        <w:rPr>
          <w:rFonts w:hint="eastAsia" w:ascii="宋体" w:hAnsi="宋体" w:cs="Arial"/>
          <w:b/>
          <w:bCs/>
          <w:color w:val="auto"/>
          <w:sz w:val="24"/>
          <w:highlight w:val="none"/>
        </w:rPr>
        <w:t>B、地点：浙江省东阳市艺海北路388号（行政服务中心）B幢西区14楼。</w:t>
      </w:r>
    </w:p>
    <w:p>
      <w:pPr>
        <w:snapToGrid w:val="0"/>
        <w:spacing w:line="312" w:lineRule="auto"/>
        <w:ind w:firstLine="482" w:firstLineChars="200"/>
        <w:outlineLvl w:val="0"/>
        <w:rPr>
          <w:rFonts w:ascii="宋体" w:hAnsi="宋体" w:cs="Arial"/>
          <w:b/>
          <w:bCs/>
          <w:color w:val="auto"/>
          <w:sz w:val="24"/>
          <w:highlight w:val="none"/>
        </w:rPr>
      </w:pPr>
      <w:r>
        <w:rPr>
          <w:rFonts w:hint="eastAsia" w:ascii="宋体" w:hAnsi="宋体" w:cs="Arial"/>
          <w:b/>
          <w:bCs/>
          <w:color w:val="auto"/>
          <w:sz w:val="24"/>
          <w:highlight w:val="none"/>
        </w:rPr>
        <w:t>C、报名时请携带资格审查资料。</w:t>
      </w:r>
    </w:p>
    <w:p>
      <w:pPr>
        <w:snapToGrid w:val="0"/>
        <w:spacing w:line="312" w:lineRule="auto"/>
        <w:ind w:firstLine="482" w:firstLineChars="200"/>
        <w:rPr>
          <w:rFonts w:ascii="宋体" w:hAnsi="宋体" w:cs="Arial"/>
          <w:b/>
          <w:bCs/>
          <w:color w:val="auto"/>
          <w:sz w:val="24"/>
          <w:highlight w:val="none"/>
        </w:rPr>
      </w:pPr>
      <w:r>
        <w:rPr>
          <w:rFonts w:hint="eastAsia" w:ascii="宋体" w:hAnsi="宋体" w:cs="Arial"/>
          <w:b/>
          <w:bCs/>
          <w:color w:val="auto"/>
          <w:sz w:val="24"/>
          <w:highlight w:val="none"/>
        </w:rPr>
        <w:t xml:space="preserve">（3）在报名截止时间之后至2019年 </w:t>
      </w:r>
      <w:r>
        <w:rPr>
          <w:rFonts w:hint="eastAsia" w:ascii="宋体" w:hAnsi="宋体" w:cs="Arial"/>
          <w:b/>
          <w:bCs/>
          <w:color w:val="auto"/>
          <w:sz w:val="24"/>
          <w:highlight w:val="none"/>
          <w:lang w:val="en-US" w:eastAsia="zh-CN"/>
        </w:rPr>
        <w:t>5</w:t>
      </w:r>
      <w:r>
        <w:rPr>
          <w:rFonts w:hint="eastAsia" w:ascii="宋体" w:hAnsi="宋体" w:cs="Arial"/>
          <w:b/>
          <w:bCs/>
          <w:color w:val="auto"/>
          <w:sz w:val="24"/>
          <w:highlight w:val="none"/>
        </w:rPr>
        <w:t>月</w:t>
      </w:r>
      <w:r>
        <w:rPr>
          <w:rFonts w:hint="eastAsia" w:ascii="宋体" w:hAnsi="宋体" w:cs="Arial"/>
          <w:b/>
          <w:bCs/>
          <w:color w:val="auto"/>
          <w:sz w:val="24"/>
          <w:highlight w:val="none"/>
          <w:lang w:val="en-US" w:eastAsia="zh-CN"/>
        </w:rPr>
        <w:t>13</w:t>
      </w:r>
      <w:r>
        <w:rPr>
          <w:rFonts w:hint="eastAsia" w:ascii="宋体" w:hAnsi="宋体" w:cs="Arial"/>
          <w:b/>
          <w:bCs/>
          <w:color w:val="auto"/>
          <w:sz w:val="24"/>
          <w:highlight w:val="none"/>
        </w:rPr>
        <w:t>日11：00止，仍允许供应商在</w:t>
      </w:r>
      <w:r>
        <w:rPr>
          <w:rFonts w:hint="eastAsia" w:ascii="宋体" w:hAnsi="宋体"/>
          <w:b/>
          <w:bCs/>
          <w:color w:val="auto"/>
          <w:kern w:val="0"/>
          <w:sz w:val="24"/>
          <w:highlight w:val="none"/>
        </w:rPr>
        <w:t>浙江省政府采购网(www.zjzfcg.gov.cn/)报名系统</w:t>
      </w:r>
      <w:r>
        <w:rPr>
          <w:rFonts w:hint="eastAsia" w:ascii="宋体" w:hAnsi="宋体" w:cs="Arial"/>
          <w:b/>
          <w:bCs/>
          <w:color w:val="auto"/>
          <w:sz w:val="24"/>
          <w:highlight w:val="none"/>
        </w:rPr>
        <w:t>中继续报名并获取招标文件，但在“投标人澄清时间”截止之后获取采购文件的潜在投标人如对采购文件有异议的，金华市公共资源交易中心东阳分中心可不予受理、答复。</w:t>
      </w:r>
    </w:p>
    <w:p>
      <w:pPr>
        <w:snapToGrid w:val="0"/>
        <w:spacing w:line="312" w:lineRule="auto"/>
        <w:ind w:firstLine="482" w:firstLineChars="200"/>
        <w:rPr>
          <w:rFonts w:ascii="宋体" w:hAnsi="宋体"/>
          <w:color w:val="auto"/>
          <w:kern w:val="0"/>
          <w:sz w:val="24"/>
          <w:highlight w:val="none"/>
        </w:rPr>
      </w:pPr>
      <w:r>
        <w:rPr>
          <w:rFonts w:hint="eastAsia" w:ascii="宋体" w:hAnsi="宋体"/>
          <w:b/>
          <w:color w:val="auto"/>
          <w:kern w:val="0"/>
          <w:sz w:val="24"/>
          <w:highlight w:val="none"/>
        </w:rPr>
        <w:t>（4）招标文件的获取方式：</w:t>
      </w:r>
      <w:r>
        <w:rPr>
          <w:rFonts w:hint="eastAsia" w:ascii="宋体" w:hAnsi="宋体"/>
          <w:color w:val="auto"/>
          <w:kern w:val="0"/>
          <w:sz w:val="24"/>
          <w:highlight w:val="none"/>
        </w:rPr>
        <w:t>招标人不再向投标人提供纸质招标文件，请投标人自行在下列网址下载电子版的招标文件，招标文件不收工本费。</w:t>
      </w:r>
    </w:p>
    <w:p>
      <w:pPr>
        <w:pStyle w:val="23"/>
        <w:widowControl w:val="0"/>
        <w:spacing w:after="120" w:line="312" w:lineRule="auto"/>
        <w:ind w:firstLine="480"/>
        <w:rPr>
          <w:rFonts w:ascii="宋体" w:hAnsi="宋体"/>
          <w:color w:val="auto"/>
          <w:szCs w:val="24"/>
          <w:highlight w:val="none"/>
        </w:rPr>
      </w:pPr>
      <w:r>
        <w:rPr>
          <w:rFonts w:hint="eastAsia"/>
          <w:color w:val="auto"/>
          <w:highlight w:val="none"/>
        </w:rPr>
        <w:t>浙江省政府采购网(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color w:val="auto"/>
          <w:highlight w:val="none"/>
        </w:rPr>
        <w:t>www.zjzfcg.gov.cn</w:t>
      </w:r>
      <w:r>
        <w:rPr>
          <w:rFonts w:hint="eastAsia"/>
          <w:color w:val="auto"/>
          <w:highlight w:val="none"/>
        </w:rPr>
        <w:fldChar w:fldCharType="end"/>
      </w:r>
      <w:r>
        <w:rPr>
          <w:rFonts w:hint="eastAsia"/>
          <w:color w:val="auto"/>
          <w:highlight w:val="none"/>
        </w:rPr>
        <w:t>)；东阳市公共资源交易网(</w:t>
      </w:r>
      <w:r>
        <w:rPr>
          <w:color w:val="auto"/>
          <w:highlight w:val="none"/>
        </w:rPr>
        <w:fldChar w:fldCharType="begin"/>
      </w:r>
      <w:r>
        <w:rPr>
          <w:color w:val="auto"/>
          <w:highlight w:val="none"/>
        </w:rPr>
        <w:instrText xml:space="preserve"> HYPERLINK "http://www.dyztb.com" </w:instrText>
      </w:r>
      <w:r>
        <w:rPr>
          <w:color w:val="auto"/>
          <w:highlight w:val="none"/>
        </w:rPr>
        <w:fldChar w:fldCharType="separate"/>
      </w:r>
      <w:r>
        <w:rPr>
          <w:rFonts w:hint="eastAsia"/>
          <w:color w:val="auto"/>
          <w:szCs w:val="24"/>
          <w:highlight w:val="none"/>
        </w:rPr>
        <w:t>ggzyjy.dongyang.gov.cn</w:t>
      </w:r>
      <w:r>
        <w:rPr>
          <w:rFonts w:hint="eastAsia"/>
          <w:color w:val="auto"/>
          <w:szCs w:val="24"/>
          <w:highlight w:val="none"/>
        </w:rPr>
        <w:fldChar w:fldCharType="end"/>
      </w:r>
      <w:r>
        <w:rPr>
          <w:rFonts w:hint="eastAsia"/>
          <w:color w:val="auto"/>
          <w:highlight w:val="none"/>
        </w:rPr>
        <w:t>)</w:t>
      </w:r>
    </w:p>
    <w:p>
      <w:pPr>
        <w:snapToGrid w:val="0"/>
        <w:spacing w:line="312" w:lineRule="auto"/>
        <w:ind w:firstLine="542" w:firstLineChars="225"/>
        <w:rPr>
          <w:rFonts w:ascii="宋体" w:hAnsi="宋体" w:cs="Arial"/>
          <w:b/>
          <w:color w:val="auto"/>
          <w:sz w:val="24"/>
          <w:highlight w:val="none"/>
        </w:rPr>
      </w:pPr>
      <w:r>
        <w:rPr>
          <w:rFonts w:hint="eastAsia" w:ascii="宋体" w:hAnsi="宋体" w:cs="Arial"/>
          <w:b/>
          <w:color w:val="auto"/>
          <w:sz w:val="24"/>
          <w:highlight w:val="none"/>
        </w:rPr>
        <w:t>七、资格审查资料（网上报名者，资格审查资料中的证件原件投标截止时间前在开标现场查验，无需装入资信及商务文件包装袋内，复印件装入资信及商务包装袋内）：</w:t>
      </w:r>
    </w:p>
    <w:p>
      <w:pPr>
        <w:snapToGrid w:val="0"/>
        <w:spacing w:line="312" w:lineRule="auto"/>
        <w:ind w:firstLine="470" w:firstLineChars="196"/>
        <w:jc w:val="left"/>
        <w:rPr>
          <w:rFonts w:ascii="宋体" w:hAnsi="宋体"/>
          <w:color w:val="auto"/>
          <w:sz w:val="24"/>
          <w:highlight w:val="none"/>
        </w:rPr>
      </w:pPr>
      <w:r>
        <w:rPr>
          <w:rFonts w:hint="eastAsia" w:ascii="宋体" w:hAnsi="宋体"/>
          <w:color w:val="auto"/>
          <w:sz w:val="24"/>
          <w:highlight w:val="none"/>
        </w:rPr>
        <w:t>（1）企业法人营业执照原件及复印件；</w:t>
      </w:r>
    </w:p>
    <w:p>
      <w:pPr>
        <w:snapToGrid w:val="0"/>
        <w:spacing w:line="312" w:lineRule="auto"/>
        <w:ind w:firstLine="470" w:firstLineChars="196"/>
        <w:jc w:val="left"/>
        <w:rPr>
          <w:rFonts w:ascii="宋体" w:hAnsi="宋体"/>
          <w:b/>
          <w:color w:val="auto"/>
          <w:sz w:val="24"/>
          <w:highlight w:val="none"/>
        </w:rPr>
      </w:pPr>
      <w:r>
        <w:rPr>
          <w:rFonts w:hint="eastAsia" w:ascii="宋体" w:hAnsi="宋体"/>
          <w:color w:val="auto"/>
          <w:sz w:val="24"/>
          <w:highlight w:val="none"/>
        </w:rPr>
        <w:t>（2）法定代表人授权委托书及经办人身份证原件及复印件；</w:t>
      </w:r>
    </w:p>
    <w:p>
      <w:pPr>
        <w:snapToGrid w:val="0"/>
        <w:spacing w:line="312" w:lineRule="auto"/>
        <w:ind w:firstLine="482" w:firstLineChars="200"/>
        <w:rPr>
          <w:rFonts w:ascii="宋体" w:hAnsi="宋体"/>
          <w:b/>
          <w:bCs/>
          <w:color w:val="auto"/>
          <w:sz w:val="24"/>
          <w:highlight w:val="none"/>
        </w:rPr>
      </w:pPr>
      <w:r>
        <w:rPr>
          <w:rFonts w:hint="eastAsia" w:ascii="宋体" w:hAnsi="宋体"/>
          <w:b/>
          <w:bCs/>
          <w:color w:val="auto"/>
          <w:sz w:val="24"/>
          <w:highlight w:val="none"/>
        </w:rPr>
        <w:t>（3）以上复印件均需加盖单位公章，并装订成册。</w:t>
      </w:r>
    </w:p>
    <w:p>
      <w:pPr>
        <w:snapToGrid w:val="0"/>
        <w:spacing w:line="312" w:lineRule="auto"/>
        <w:ind w:firstLine="482" w:firstLineChars="200"/>
        <w:rPr>
          <w:rFonts w:ascii="宋体" w:hAnsi="宋体" w:cs="Arial"/>
          <w:color w:val="auto"/>
          <w:sz w:val="24"/>
          <w:szCs w:val="20"/>
          <w:highlight w:val="none"/>
        </w:rPr>
      </w:pPr>
      <w:r>
        <w:rPr>
          <w:rFonts w:hint="eastAsia" w:ascii="宋体" w:hAnsi="宋体" w:cs="Arial"/>
          <w:b/>
          <w:bCs/>
          <w:color w:val="auto"/>
          <w:sz w:val="24"/>
          <w:highlight w:val="none"/>
        </w:rPr>
        <w:t>八、投标保证金</w:t>
      </w:r>
      <w:r>
        <w:rPr>
          <w:rFonts w:hint="eastAsia" w:ascii="宋体" w:hAnsi="宋体" w:cs="Arial"/>
          <w:color w:val="auto"/>
          <w:sz w:val="24"/>
          <w:highlight w:val="none"/>
        </w:rPr>
        <w:t>：</w:t>
      </w:r>
    </w:p>
    <w:p>
      <w:pPr>
        <w:snapToGrid w:val="0"/>
        <w:spacing w:line="312" w:lineRule="auto"/>
        <w:ind w:firstLine="480" w:firstLineChars="200"/>
        <w:rPr>
          <w:rFonts w:ascii="宋体" w:hAnsi="宋体"/>
          <w:color w:val="auto"/>
          <w:sz w:val="24"/>
          <w:highlight w:val="none"/>
        </w:rPr>
      </w:pPr>
      <w:r>
        <w:rPr>
          <w:rFonts w:hint="eastAsia" w:ascii="宋体" w:hAnsi="宋体" w:cs="Arial"/>
          <w:color w:val="auto"/>
          <w:sz w:val="24"/>
          <w:highlight w:val="none"/>
        </w:rPr>
        <w:t>投标保证金人民币</w:t>
      </w:r>
      <w:r>
        <w:rPr>
          <w:rFonts w:hint="eastAsia" w:ascii="宋体" w:hAnsi="宋体" w:cs="Arial"/>
          <w:b/>
          <w:color w:val="auto"/>
          <w:sz w:val="24"/>
          <w:highlight w:val="none"/>
          <w:u w:val="single"/>
        </w:rPr>
        <w:t>标1：叁万贰仟元整。</w:t>
      </w:r>
      <w:r>
        <w:rPr>
          <w:rFonts w:ascii="宋体" w:hAnsi="宋体" w:cs="Arial"/>
          <w:color w:val="auto"/>
          <w:sz w:val="24"/>
          <w:highlight w:val="none"/>
        </w:rPr>
        <w:t>投标方应于</w:t>
      </w:r>
      <w:r>
        <w:rPr>
          <w:rFonts w:hint="eastAsia" w:ascii="宋体" w:hAnsi="宋体" w:cs="Arial"/>
          <w:color w:val="auto"/>
          <w:sz w:val="24"/>
          <w:highlight w:val="none"/>
        </w:rPr>
        <w:t>2019</w:t>
      </w:r>
      <w:r>
        <w:rPr>
          <w:rFonts w:ascii="宋体" w:hAnsi="宋体" w:cs="Arial"/>
          <w:color w:val="auto"/>
          <w:sz w:val="24"/>
          <w:highlight w:val="none"/>
        </w:rPr>
        <w:t xml:space="preserve"> 年</w:t>
      </w:r>
      <w:r>
        <w:rPr>
          <w:rFonts w:hint="eastAsia" w:ascii="宋体" w:hAnsi="宋体" w:cs="Arial"/>
          <w:color w:val="auto"/>
          <w:sz w:val="24"/>
          <w:highlight w:val="none"/>
          <w:lang w:val="en-US" w:eastAsia="zh-CN"/>
        </w:rPr>
        <w:t>5</w:t>
      </w:r>
      <w:r>
        <w:rPr>
          <w:rFonts w:hint="eastAsia" w:ascii="宋体" w:hAnsi="宋体" w:cs="Arial"/>
          <w:color w:val="auto"/>
          <w:sz w:val="24"/>
          <w:highlight w:val="none"/>
        </w:rPr>
        <w:t>月</w:t>
      </w:r>
      <w:r>
        <w:rPr>
          <w:rFonts w:hint="eastAsia" w:ascii="宋体" w:hAnsi="宋体" w:cs="Arial"/>
          <w:color w:val="auto"/>
          <w:sz w:val="24"/>
          <w:highlight w:val="none"/>
          <w:lang w:val="en-US" w:eastAsia="zh-CN"/>
        </w:rPr>
        <w:t>14</w:t>
      </w:r>
      <w:r>
        <w:rPr>
          <w:rFonts w:hint="eastAsia" w:ascii="宋体" w:hAnsi="宋体" w:cs="Arial"/>
          <w:color w:val="auto"/>
          <w:sz w:val="24"/>
          <w:highlight w:val="none"/>
        </w:rPr>
        <w:t>日</w:t>
      </w:r>
      <w:r>
        <w:rPr>
          <w:rFonts w:ascii="宋体" w:hAnsi="宋体" w:cs="Arial"/>
          <w:color w:val="auto"/>
          <w:sz w:val="24"/>
          <w:highlight w:val="none"/>
        </w:rPr>
        <w:t>9:30时前</w:t>
      </w:r>
      <w:r>
        <w:rPr>
          <w:rFonts w:hint="eastAsia" w:ascii="宋体" w:hAnsi="宋体"/>
          <w:color w:val="auto"/>
          <w:sz w:val="24"/>
          <w:highlight w:val="none"/>
        </w:rPr>
        <w:t>向招标方缴纳投标保证金，以入账为准</w:t>
      </w:r>
      <w:r>
        <w:rPr>
          <w:rFonts w:hint="eastAsia" w:ascii="宋体" w:hAnsi="宋体"/>
          <w:b/>
          <w:color w:val="auto"/>
          <w:sz w:val="24"/>
          <w:highlight w:val="none"/>
        </w:rPr>
        <w:t>（如用汇票需提前一天提交，</w:t>
      </w:r>
      <w:r>
        <w:rPr>
          <w:rFonts w:ascii="宋体" w:hAnsi="宋体"/>
          <w:b/>
          <w:color w:val="auto"/>
          <w:sz w:val="24"/>
          <w:highlight w:val="none"/>
        </w:rPr>
        <w:t>投标人在填写汇款单时须填写括号及括号内的内容，做到与以下提供的帐户信息完全一致</w:t>
      </w:r>
      <w:r>
        <w:rPr>
          <w:rFonts w:hint="eastAsia" w:ascii="宋体" w:hAnsi="宋体"/>
          <w:b/>
          <w:color w:val="auto"/>
          <w:sz w:val="24"/>
          <w:highlight w:val="none"/>
        </w:rPr>
        <w:t>）。</w:t>
      </w:r>
      <w:r>
        <w:rPr>
          <w:rFonts w:hint="eastAsia" w:ascii="宋体" w:hAnsi="宋体"/>
          <w:color w:val="auto"/>
          <w:sz w:val="24"/>
          <w:highlight w:val="none"/>
        </w:rPr>
        <w:t>投标保证金由投标人帐户汇至下列帐户内（二选一）：</w:t>
      </w:r>
    </w:p>
    <w:p>
      <w:pPr>
        <w:snapToGrid w:val="0"/>
        <w:spacing w:line="312" w:lineRule="auto"/>
        <w:ind w:firstLine="480" w:firstLineChars="200"/>
        <w:rPr>
          <w:rFonts w:ascii="宋体" w:hAnsi="宋体"/>
          <w:b/>
          <w:bCs/>
          <w:color w:val="auto"/>
          <w:sz w:val="24"/>
          <w:highlight w:val="none"/>
        </w:rPr>
      </w:pPr>
      <w:r>
        <w:rPr>
          <w:rFonts w:hint="eastAsia" w:ascii="宋体" w:hAnsi="宋体"/>
          <w:color w:val="auto"/>
          <w:sz w:val="24"/>
          <w:highlight w:val="none"/>
        </w:rPr>
        <w:t>（1）收款单位名称：</w:t>
      </w:r>
      <w:r>
        <w:rPr>
          <w:rFonts w:hint="eastAsia" w:ascii="宋体" w:hAnsi="宋体"/>
          <w:b/>
          <w:bCs/>
          <w:color w:val="auto"/>
          <w:sz w:val="24"/>
          <w:highlight w:val="none"/>
        </w:rPr>
        <w:t>金华市公共资源交易中心东阳分中心（保证金专户）</w:t>
      </w:r>
    </w:p>
    <w:p>
      <w:pPr>
        <w:snapToGrid w:val="0"/>
        <w:spacing w:line="312" w:lineRule="auto"/>
        <w:ind w:firstLine="482" w:firstLineChars="200"/>
        <w:rPr>
          <w:rFonts w:ascii="宋体" w:hAnsi="宋体"/>
          <w:b/>
          <w:bCs/>
          <w:color w:val="auto"/>
          <w:sz w:val="24"/>
          <w:highlight w:val="none"/>
        </w:rPr>
      </w:pPr>
      <w:r>
        <w:rPr>
          <w:rFonts w:hint="eastAsia" w:ascii="宋体" w:hAnsi="宋体"/>
          <w:b/>
          <w:bCs/>
          <w:color w:val="auto"/>
          <w:sz w:val="24"/>
          <w:highlight w:val="none"/>
        </w:rPr>
        <w:t>开户行：中国工商银行东阳支行</w:t>
      </w:r>
    </w:p>
    <w:p>
      <w:pPr>
        <w:snapToGrid w:val="0"/>
        <w:spacing w:line="312" w:lineRule="auto"/>
        <w:ind w:firstLine="482" w:firstLineChars="200"/>
        <w:rPr>
          <w:rFonts w:ascii="宋体" w:hAnsi="宋体"/>
          <w:b/>
          <w:bCs/>
          <w:color w:val="auto"/>
          <w:sz w:val="24"/>
          <w:highlight w:val="none"/>
        </w:rPr>
      </w:pPr>
      <w:r>
        <w:rPr>
          <w:rFonts w:hint="eastAsia" w:ascii="宋体" w:hAnsi="宋体"/>
          <w:b/>
          <w:bCs/>
          <w:color w:val="auto"/>
          <w:sz w:val="24"/>
          <w:highlight w:val="none"/>
        </w:rPr>
        <w:t>银行帐号：</w:t>
      </w:r>
      <w:r>
        <w:rPr>
          <w:rFonts w:ascii="宋体" w:hAnsi="宋体"/>
          <w:b/>
          <w:bCs/>
          <w:color w:val="auto"/>
          <w:sz w:val="24"/>
          <w:highlight w:val="none"/>
        </w:rPr>
        <w:t xml:space="preserve">1208040029049203886 </w:t>
      </w:r>
    </w:p>
    <w:p>
      <w:pPr>
        <w:snapToGrid w:val="0"/>
        <w:spacing w:line="312" w:lineRule="auto"/>
        <w:ind w:firstLine="480" w:firstLineChars="200"/>
        <w:rPr>
          <w:rFonts w:ascii="宋体" w:hAnsi="宋体"/>
          <w:b/>
          <w:bCs/>
          <w:color w:val="auto"/>
          <w:sz w:val="24"/>
          <w:highlight w:val="none"/>
        </w:rPr>
      </w:pPr>
      <w:r>
        <w:rPr>
          <w:rFonts w:hint="eastAsia" w:ascii="宋体" w:hAnsi="宋体"/>
          <w:color w:val="auto"/>
          <w:sz w:val="24"/>
          <w:highlight w:val="none"/>
        </w:rPr>
        <w:t>(2)收款单位名称：</w:t>
      </w:r>
      <w:r>
        <w:rPr>
          <w:rFonts w:hint="eastAsia" w:ascii="宋体" w:hAnsi="宋体"/>
          <w:b/>
          <w:bCs/>
          <w:color w:val="auto"/>
          <w:sz w:val="24"/>
          <w:highlight w:val="none"/>
        </w:rPr>
        <w:t>金华市公共资源交易中心东阳分中心（保证金专户）</w:t>
      </w:r>
    </w:p>
    <w:p>
      <w:pPr>
        <w:snapToGrid w:val="0"/>
        <w:spacing w:line="312" w:lineRule="auto"/>
        <w:ind w:firstLine="482" w:firstLineChars="200"/>
        <w:rPr>
          <w:rFonts w:ascii="宋体" w:hAnsi="宋体"/>
          <w:b/>
          <w:bCs/>
          <w:color w:val="auto"/>
          <w:sz w:val="24"/>
          <w:highlight w:val="none"/>
        </w:rPr>
      </w:pPr>
      <w:r>
        <w:rPr>
          <w:rFonts w:hint="eastAsia" w:ascii="宋体" w:hAnsi="宋体"/>
          <w:b/>
          <w:bCs/>
          <w:color w:val="auto"/>
          <w:sz w:val="24"/>
          <w:highlight w:val="none"/>
        </w:rPr>
        <w:t>开户行：中国银行东阳支行</w:t>
      </w:r>
    </w:p>
    <w:p>
      <w:pPr>
        <w:snapToGrid w:val="0"/>
        <w:spacing w:line="312" w:lineRule="auto"/>
        <w:ind w:firstLine="482" w:firstLineChars="200"/>
        <w:rPr>
          <w:rFonts w:ascii="宋体" w:hAnsi="宋体"/>
          <w:b/>
          <w:color w:val="auto"/>
          <w:sz w:val="24"/>
          <w:highlight w:val="none"/>
        </w:rPr>
      </w:pPr>
      <w:r>
        <w:rPr>
          <w:rFonts w:hint="eastAsia" w:ascii="宋体" w:hAnsi="宋体"/>
          <w:b/>
          <w:bCs/>
          <w:color w:val="auto"/>
          <w:sz w:val="24"/>
          <w:highlight w:val="none"/>
        </w:rPr>
        <w:t>银行帐号：</w:t>
      </w:r>
      <w:r>
        <w:rPr>
          <w:rFonts w:ascii="宋体" w:hAnsi="宋体"/>
          <w:b/>
          <w:bCs/>
          <w:color w:val="auto"/>
          <w:sz w:val="24"/>
          <w:highlight w:val="none"/>
        </w:rPr>
        <w:t>372772186095</w:t>
      </w:r>
    </w:p>
    <w:p>
      <w:pPr>
        <w:snapToGrid w:val="0"/>
        <w:spacing w:line="312" w:lineRule="auto"/>
        <w:ind w:firstLine="482" w:firstLineChars="200"/>
        <w:jc w:val="left"/>
        <w:rPr>
          <w:rFonts w:ascii="宋体" w:hAnsi="宋体" w:cs="Arial"/>
          <w:color w:val="auto"/>
          <w:sz w:val="24"/>
          <w:szCs w:val="20"/>
          <w:highlight w:val="none"/>
        </w:rPr>
      </w:pPr>
      <w:r>
        <w:rPr>
          <w:rFonts w:hint="eastAsia" w:ascii="宋体" w:hAnsi="宋体" w:cs="Arial"/>
          <w:b/>
          <w:bCs/>
          <w:color w:val="auto"/>
          <w:sz w:val="24"/>
          <w:highlight w:val="none"/>
        </w:rPr>
        <w:t>九、投标截止时间和地点</w:t>
      </w:r>
      <w:r>
        <w:rPr>
          <w:rFonts w:hint="eastAsia" w:ascii="宋体" w:hAnsi="宋体" w:cs="Arial"/>
          <w:color w:val="auto"/>
          <w:sz w:val="24"/>
          <w:highlight w:val="none"/>
        </w:rPr>
        <w:t>：</w:t>
      </w:r>
    </w:p>
    <w:p>
      <w:pPr>
        <w:snapToGrid w:val="0"/>
        <w:spacing w:line="312" w:lineRule="auto"/>
        <w:ind w:firstLine="480" w:firstLineChars="200"/>
        <w:jc w:val="left"/>
        <w:rPr>
          <w:rFonts w:ascii="宋体" w:hAnsi="宋体"/>
          <w:color w:val="auto"/>
          <w:sz w:val="24"/>
          <w:highlight w:val="none"/>
        </w:rPr>
      </w:pPr>
      <w:r>
        <w:rPr>
          <w:rFonts w:hint="eastAsia" w:ascii="宋体" w:hAnsi="宋体"/>
          <w:color w:val="auto"/>
          <w:sz w:val="24"/>
          <w:highlight w:val="none"/>
        </w:rPr>
        <w:t>投标人应于2019年</w:t>
      </w:r>
      <w:r>
        <w:rPr>
          <w:rFonts w:hint="eastAsia" w:ascii="宋体" w:hAnsi="宋体"/>
          <w:color w:val="auto"/>
          <w:sz w:val="24"/>
          <w:highlight w:val="none"/>
          <w:lang w:val="en-US" w:eastAsia="zh-CN"/>
        </w:rPr>
        <w:t>5</w:t>
      </w:r>
      <w:r>
        <w:rPr>
          <w:rFonts w:hint="eastAsia" w:ascii="宋体" w:hAnsi="宋体"/>
          <w:color w:val="auto"/>
          <w:sz w:val="24"/>
          <w:highlight w:val="none"/>
        </w:rPr>
        <w:t>月1</w:t>
      </w:r>
      <w:r>
        <w:rPr>
          <w:rFonts w:hint="eastAsia" w:ascii="宋体" w:hAnsi="宋体"/>
          <w:color w:val="auto"/>
          <w:sz w:val="24"/>
          <w:highlight w:val="none"/>
          <w:lang w:val="en-US" w:eastAsia="zh-CN"/>
        </w:rPr>
        <w:t>4</w:t>
      </w:r>
      <w:r>
        <w:rPr>
          <w:rFonts w:hint="eastAsia" w:ascii="宋体" w:hAnsi="宋体"/>
          <w:color w:val="auto"/>
          <w:sz w:val="24"/>
          <w:highlight w:val="none"/>
        </w:rPr>
        <w:t>日09：30时前将投标文件密封送交到东阳市艺海北路388号（行政服务中心）B幢西区10楼开标室4，逾期送达或未密封将拒绝接收。</w:t>
      </w:r>
    </w:p>
    <w:p>
      <w:pPr>
        <w:snapToGrid w:val="0"/>
        <w:spacing w:line="312" w:lineRule="auto"/>
        <w:ind w:firstLine="480" w:firstLineChars="200"/>
        <w:jc w:val="left"/>
        <w:rPr>
          <w:rFonts w:ascii="宋体" w:hAnsi="宋体"/>
          <w:color w:val="auto"/>
          <w:sz w:val="24"/>
          <w:highlight w:val="none"/>
        </w:rPr>
      </w:pPr>
      <w:r>
        <w:rPr>
          <w:rFonts w:hint="eastAsia" w:ascii="宋体" w:hAnsi="宋体"/>
          <w:color w:val="auto"/>
          <w:sz w:val="24"/>
          <w:highlight w:val="none"/>
        </w:rPr>
        <w:t>十、开标时间及地点：</w:t>
      </w:r>
    </w:p>
    <w:p>
      <w:pPr>
        <w:snapToGrid w:val="0"/>
        <w:spacing w:line="312" w:lineRule="auto"/>
        <w:ind w:firstLine="480" w:firstLineChars="200"/>
        <w:jc w:val="left"/>
        <w:rPr>
          <w:rFonts w:ascii="宋体" w:hAnsi="宋体" w:cs="Arial"/>
          <w:color w:val="auto"/>
          <w:sz w:val="24"/>
          <w:highlight w:val="none"/>
        </w:rPr>
      </w:pPr>
      <w:r>
        <w:rPr>
          <w:rFonts w:hint="eastAsia" w:ascii="宋体" w:hAnsi="宋体"/>
          <w:color w:val="auto"/>
          <w:sz w:val="24"/>
          <w:highlight w:val="none"/>
        </w:rPr>
        <w:t>本次招标将于2019年</w:t>
      </w:r>
      <w:r>
        <w:rPr>
          <w:rFonts w:hint="eastAsia" w:ascii="宋体" w:hAnsi="宋体"/>
          <w:color w:val="auto"/>
          <w:sz w:val="24"/>
          <w:highlight w:val="none"/>
          <w:lang w:val="en-US" w:eastAsia="zh-CN"/>
        </w:rPr>
        <w:t>5</w:t>
      </w:r>
      <w:r>
        <w:rPr>
          <w:rFonts w:hint="eastAsia" w:ascii="宋体" w:hAnsi="宋体"/>
          <w:color w:val="auto"/>
          <w:sz w:val="24"/>
          <w:highlight w:val="none"/>
        </w:rPr>
        <w:t>月1</w:t>
      </w:r>
      <w:r>
        <w:rPr>
          <w:rFonts w:hint="eastAsia" w:ascii="宋体" w:hAnsi="宋体"/>
          <w:color w:val="auto"/>
          <w:sz w:val="24"/>
          <w:highlight w:val="none"/>
          <w:lang w:val="en-US" w:eastAsia="zh-CN"/>
        </w:rPr>
        <w:t>4</w:t>
      </w:r>
      <w:r>
        <w:rPr>
          <w:rFonts w:hint="eastAsia" w:ascii="宋体" w:hAnsi="宋体"/>
          <w:color w:val="auto"/>
          <w:sz w:val="24"/>
          <w:highlight w:val="none"/>
        </w:rPr>
        <w:t>日09：30时 在 东阳市艺海北路388号（行政服务中心）B幢西区10楼开标室4开标，投标人可以派委托</w:t>
      </w:r>
      <w:r>
        <w:rPr>
          <w:rFonts w:hint="eastAsia" w:ascii="宋体" w:hAnsi="宋体" w:cs="Arial"/>
          <w:color w:val="auto"/>
          <w:sz w:val="24"/>
          <w:highlight w:val="none"/>
        </w:rPr>
        <w:t>代理人出席开标会议【委托代理人应当是投标人的在职正式职工（以社保网站拉具的含授权代表的投标单位社保清单为准，无社保网站拉具的投标单位社保清单的，可以提供投标人注册所在地社保部门出具的投标人本单位缴纳社保花名册），并携带身份证等有效证件出席】。</w:t>
      </w:r>
    </w:p>
    <w:p>
      <w:pPr>
        <w:snapToGrid w:val="0"/>
        <w:spacing w:line="312" w:lineRule="auto"/>
        <w:ind w:firstLine="482" w:firstLineChars="200"/>
        <w:rPr>
          <w:rFonts w:ascii="宋体" w:hAnsi="Courier New"/>
          <w:b/>
          <w:color w:val="auto"/>
          <w:sz w:val="24"/>
          <w:highlight w:val="none"/>
        </w:rPr>
      </w:pPr>
      <w:r>
        <w:rPr>
          <w:rFonts w:hint="eastAsia" w:ascii="宋体" w:hAnsi="Courier New"/>
          <w:b/>
          <w:color w:val="auto"/>
          <w:sz w:val="24"/>
          <w:highlight w:val="none"/>
        </w:rPr>
        <w:t>十一、开标会议携带资料要求：</w:t>
      </w:r>
    </w:p>
    <w:p>
      <w:pPr>
        <w:snapToGrid w:val="0"/>
        <w:spacing w:line="312" w:lineRule="auto"/>
        <w:ind w:firstLine="480" w:firstLineChars="200"/>
        <w:rPr>
          <w:rFonts w:ascii="宋体" w:hAnsi="宋体" w:cs="Arial"/>
          <w:color w:val="auto"/>
          <w:sz w:val="24"/>
          <w:highlight w:val="none"/>
        </w:rPr>
      </w:pPr>
      <w:r>
        <w:rPr>
          <w:rFonts w:hint="eastAsia" w:ascii="宋体" w:hAnsi="宋体" w:cs="Arial"/>
          <w:color w:val="auto"/>
          <w:sz w:val="24"/>
          <w:highlight w:val="none"/>
        </w:rPr>
        <w:t>投标人派代表参加开标会议时，法定代表人应携带法定代表人证明和身份证；授权代表应携带</w:t>
      </w:r>
      <w:r>
        <w:rPr>
          <w:rFonts w:hint="eastAsia" w:ascii="宋体" w:hAnsi="宋体" w:cs="Arial"/>
          <w:b/>
          <w:color w:val="auto"/>
          <w:sz w:val="24"/>
          <w:highlight w:val="none"/>
        </w:rPr>
        <w:t>法定代表人授权委托书、身份证、投标单位缴纳的社保花名册</w:t>
      </w:r>
      <w:r>
        <w:rPr>
          <w:rFonts w:hint="eastAsia" w:ascii="宋体" w:hAnsi="宋体" w:cs="Arial"/>
          <w:color w:val="auto"/>
          <w:sz w:val="24"/>
          <w:highlight w:val="none"/>
        </w:rPr>
        <w:t>等有效证明出席开标会议（注：授权代表应为投标人的在职正式职工，应提供社保网站拉具的含授权代表的投标单位社保清单，无社保网站拉具的投标单位社保清单的，可以提供投标人注册所在地社保部门出具的投标人本单位缴纳社保花名册）。</w:t>
      </w:r>
    </w:p>
    <w:p>
      <w:pPr>
        <w:snapToGrid w:val="0"/>
        <w:spacing w:line="312" w:lineRule="auto"/>
        <w:ind w:firstLine="482" w:firstLineChars="200"/>
        <w:rPr>
          <w:rFonts w:ascii="宋体" w:hAnsi="宋体" w:cs="Arial"/>
          <w:color w:val="auto"/>
          <w:sz w:val="24"/>
          <w:highlight w:val="none"/>
        </w:rPr>
      </w:pPr>
      <w:r>
        <w:rPr>
          <w:rFonts w:hint="eastAsia" w:ascii="宋体" w:hAnsi="宋体" w:cs="Arial"/>
          <w:b/>
          <w:bCs/>
          <w:color w:val="auto"/>
          <w:sz w:val="24"/>
          <w:highlight w:val="none"/>
        </w:rPr>
        <w:t>投标人未派代表参加开标会议的（含未携带以上规定资料参加开标会议的），视同认可开标结果，不得对开标过程及开标结果提出质疑。</w:t>
      </w:r>
    </w:p>
    <w:p>
      <w:pPr>
        <w:numPr>
          <w:ilvl w:val="0"/>
          <w:numId w:val="3"/>
        </w:numPr>
        <w:snapToGrid w:val="0"/>
        <w:spacing w:line="312" w:lineRule="auto"/>
        <w:ind w:left="559" w:leftChars="266"/>
        <w:outlineLvl w:val="0"/>
        <w:rPr>
          <w:rFonts w:ascii="宋体" w:hAnsi="宋体" w:cs="Arial"/>
          <w:b/>
          <w:bCs/>
          <w:color w:val="auto"/>
          <w:sz w:val="24"/>
          <w:highlight w:val="none"/>
        </w:rPr>
      </w:pPr>
      <w:r>
        <w:rPr>
          <w:rStyle w:val="24"/>
          <w:rFonts w:hint="eastAsia" w:cs="宋体"/>
          <w:color w:val="auto"/>
          <w:sz w:val="24"/>
          <w:szCs w:val="24"/>
          <w:highlight w:val="none"/>
        </w:rPr>
        <w:t>公告期限:</w:t>
      </w:r>
      <w:r>
        <w:rPr>
          <w:rFonts w:hint="eastAsia" w:ascii="宋体" w:hAnsi="宋体" w:cs="Arial"/>
          <w:b/>
          <w:bCs/>
          <w:color w:val="auto"/>
          <w:sz w:val="24"/>
          <w:highlight w:val="none"/>
        </w:rPr>
        <w:t>本项目公告期限为5个工作日（以公告发布次日开始计算）</w:t>
      </w:r>
      <w:bookmarkStart w:id="0" w:name="_Toc22943"/>
      <w:r>
        <w:rPr>
          <w:rFonts w:hint="eastAsia" w:ascii="宋体" w:hAnsi="宋体" w:cs="Arial"/>
          <w:b/>
          <w:bCs/>
          <w:color w:val="auto"/>
          <w:sz w:val="24"/>
          <w:highlight w:val="none"/>
        </w:rPr>
        <w:t>。</w:t>
      </w:r>
    </w:p>
    <w:p>
      <w:pPr>
        <w:numPr>
          <w:ilvl w:val="0"/>
          <w:numId w:val="3"/>
        </w:numPr>
        <w:snapToGrid w:val="0"/>
        <w:spacing w:line="312" w:lineRule="auto"/>
        <w:ind w:left="559" w:leftChars="266"/>
        <w:outlineLvl w:val="0"/>
        <w:rPr>
          <w:rFonts w:ascii="宋体" w:hAnsi="宋体" w:cs="Arial"/>
          <w:b/>
          <w:color w:val="auto"/>
          <w:sz w:val="24"/>
          <w:highlight w:val="none"/>
        </w:rPr>
      </w:pPr>
      <w:r>
        <w:rPr>
          <w:rStyle w:val="24"/>
          <w:rFonts w:hint="eastAsia" w:cs="宋体"/>
          <w:color w:val="auto"/>
          <w:sz w:val="24"/>
          <w:szCs w:val="24"/>
          <w:highlight w:val="none"/>
        </w:rPr>
        <w:t>业务咨询：</w:t>
      </w:r>
      <w:bookmarkEnd w:id="0"/>
    </w:p>
    <w:p>
      <w:pPr>
        <w:tabs>
          <w:tab w:val="right" w:pos="8849"/>
        </w:tabs>
        <w:spacing w:line="312" w:lineRule="auto"/>
        <w:rPr>
          <w:rFonts w:ascii="宋体" w:hAnsi="宋体"/>
          <w:color w:val="auto"/>
          <w:sz w:val="24"/>
          <w:highlight w:val="none"/>
        </w:rPr>
      </w:pPr>
      <w:r>
        <w:rPr>
          <w:rFonts w:hint="eastAsia" w:ascii="宋体" w:hAnsi="宋体"/>
          <w:color w:val="auto"/>
          <w:sz w:val="24"/>
          <w:highlight w:val="none"/>
        </w:rPr>
        <w:t>1.金华市公共资源交易中心东阳分中心联系人：陈柏青、徐校琴、马沈良、贾锦程</w:t>
      </w:r>
    </w:p>
    <w:p>
      <w:pPr>
        <w:tabs>
          <w:tab w:val="right" w:pos="8849"/>
        </w:tabs>
        <w:spacing w:line="312" w:lineRule="auto"/>
        <w:ind w:left="540" w:leftChars="257" w:firstLine="120" w:firstLineChars="50"/>
        <w:rPr>
          <w:rFonts w:ascii="宋体" w:hAnsi="宋体"/>
          <w:color w:val="auto"/>
          <w:sz w:val="24"/>
          <w:highlight w:val="none"/>
        </w:rPr>
      </w:pPr>
      <w:r>
        <w:rPr>
          <w:rFonts w:hint="eastAsia" w:ascii="宋体" w:hAnsi="宋体"/>
          <w:color w:val="auto"/>
          <w:sz w:val="24"/>
          <w:highlight w:val="none"/>
        </w:rPr>
        <w:t>联系电话：0579-89302877      传真：0579-86691729、86691727</w:t>
      </w:r>
    </w:p>
    <w:p>
      <w:pPr>
        <w:tabs>
          <w:tab w:val="right" w:pos="8849"/>
        </w:tabs>
        <w:spacing w:line="312" w:lineRule="auto"/>
        <w:ind w:left="540" w:leftChars="257" w:firstLine="120" w:firstLineChars="50"/>
        <w:rPr>
          <w:rFonts w:ascii="宋体" w:hAnsi="宋体"/>
          <w:color w:val="auto"/>
          <w:sz w:val="24"/>
          <w:highlight w:val="none"/>
        </w:rPr>
      </w:pPr>
      <w:r>
        <w:rPr>
          <w:rFonts w:hint="eastAsia" w:ascii="宋体" w:hAnsi="宋体"/>
          <w:color w:val="auto"/>
          <w:sz w:val="24"/>
          <w:highlight w:val="none"/>
        </w:rPr>
        <w:t>联系地址：东阳市艺海北路388号（行政服务中心）B幢西区14楼。</w:t>
      </w:r>
    </w:p>
    <w:p>
      <w:pPr>
        <w:tabs>
          <w:tab w:val="right" w:pos="8849"/>
        </w:tabs>
        <w:spacing w:line="312" w:lineRule="auto"/>
        <w:rPr>
          <w:rFonts w:ascii="宋体" w:hAnsi="宋体"/>
          <w:color w:val="auto"/>
          <w:sz w:val="24"/>
          <w:highlight w:val="none"/>
        </w:rPr>
      </w:pPr>
      <w:r>
        <w:rPr>
          <w:rFonts w:hint="eastAsia" w:ascii="宋体" w:hAnsi="宋体"/>
          <w:color w:val="auto"/>
          <w:sz w:val="24"/>
          <w:highlight w:val="none"/>
        </w:rPr>
        <w:t>2.采购单位：东阳市自然资源和规划局    联系人： 楼慧峰</w:t>
      </w:r>
    </w:p>
    <w:p>
      <w:pPr>
        <w:tabs>
          <w:tab w:val="right" w:pos="8849"/>
        </w:tabs>
        <w:spacing w:line="312" w:lineRule="auto"/>
        <w:ind w:left="540" w:leftChars="257" w:firstLine="120" w:firstLineChars="50"/>
        <w:rPr>
          <w:rFonts w:ascii="宋体" w:hAnsi="宋体"/>
          <w:color w:val="auto"/>
          <w:sz w:val="24"/>
          <w:highlight w:val="none"/>
        </w:rPr>
      </w:pPr>
      <w:r>
        <w:rPr>
          <w:rFonts w:hint="eastAsia" w:ascii="宋体" w:hAnsi="宋体"/>
          <w:color w:val="auto"/>
          <w:sz w:val="24"/>
          <w:highlight w:val="none"/>
        </w:rPr>
        <w:t>联系电话：0579-86633365  联系地址：艺海北路308号</w:t>
      </w:r>
    </w:p>
    <w:p>
      <w:pPr>
        <w:tabs>
          <w:tab w:val="right" w:pos="8849"/>
        </w:tabs>
        <w:spacing w:line="312" w:lineRule="auto"/>
        <w:rPr>
          <w:rFonts w:ascii="宋体" w:hAnsi="宋体"/>
          <w:color w:val="auto"/>
          <w:sz w:val="24"/>
          <w:highlight w:val="none"/>
        </w:rPr>
      </w:pPr>
      <w:r>
        <w:rPr>
          <w:rFonts w:hint="eastAsia" w:ascii="宋体" w:hAnsi="宋体"/>
          <w:color w:val="auto"/>
          <w:sz w:val="24"/>
          <w:highlight w:val="none"/>
        </w:rPr>
        <w:t>3.政府采购行政监管及投诉受理部门：东阳市财政局采购办   联系人：张莉</w:t>
      </w:r>
    </w:p>
    <w:p>
      <w:pPr>
        <w:tabs>
          <w:tab w:val="right" w:pos="8849"/>
        </w:tabs>
        <w:spacing w:line="312" w:lineRule="auto"/>
        <w:ind w:left="540" w:leftChars="257" w:firstLine="120" w:firstLineChars="50"/>
        <w:rPr>
          <w:rFonts w:ascii="宋体" w:hAnsi="宋体" w:cs="Arial"/>
          <w:color w:val="auto"/>
          <w:sz w:val="24"/>
          <w:highlight w:val="none"/>
        </w:rPr>
      </w:pPr>
      <w:r>
        <w:rPr>
          <w:rFonts w:hint="eastAsia" w:ascii="宋体" w:hAnsi="宋体"/>
          <w:color w:val="auto"/>
          <w:sz w:val="24"/>
          <w:highlight w:val="none"/>
        </w:rPr>
        <w:t xml:space="preserve">联系电话：0579-86662682      </w:t>
      </w:r>
      <w:r>
        <w:rPr>
          <w:rFonts w:hint="eastAsia" w:ascii="宋体" w:hAnsi="宋体" w:cs="Arial"/>
          <w:color w:val="auto"/>
          <w:sz w:val="24"/>
          <w:highlight w:val="none"/>
        </w:rPr>
        <w:t>联系地址：东阳市人民北路8号</w:t>
      </w:r>
    </w:p>
    <w:p>
      <w:pPr>
        <w:snapToGrid w:val="0"/>
        <w:spacing w:line="312" w:lineRule="auto"/>
        <w:ind w:firstLine="600" w:firstLineChars="250"/>
        <w:rPr>
          <w:rFonts w:ascii="宋体" w:hAnsi="宋体"/>
          <w:color w:val="auto"/>
          <w:sz w:val="24"/>
          <w:highlight w:val="none"/>
        </w:rPr>
      </w:pPr>
      <w:r>
        <w:rPr>
          <w:rFonts w:hint="eastAsia" w:ascii="宋体" w:hAnsi="宋体" w:cs="Arial"/>
          <w:color w:val="auto"/>
          <w:sz w:val="24"/>
          <w:highlight w:val="none"/>
        </w:rPr>
        <w:t xml:space="preserve">东阳市公共资源交易管理委员会办公室       </w:t>
      </w:r>
      <w:r>
        <w:rPr>
          <w:rFonts w:hint="eastAsia" w:ascii="宋体" w:hAnsi="宋体"/>
          <w:color w:val="auto"/>
          <w:sz w:val="24"/>
          <w:highlight w:val="none"/>
        </w:rPr>
        <w:t>联系人：张昌其</w:t>
      </w:r>
    </w:p>
    <w:p>
      <w:pPr>
        <w:snapToGrid w:val="0"/>
        <w:spacing w:line="312" w:lineRule="auto"/>
        <w:ind w:firstLine="600" w:firstLineChars="250"/>
        <w:rPr>
          <w:rFonts w:ascii="宋体" w:hAnsi="宋体"/>
          <w:color w:val="auto"/>
          <w:sz w:val="24"/>
          <w:highlight w:val="none"/>
        </w:rPr>
      </w:pPr>
      <w:r>
        <w:rPr>
          <w:rFonts w:hint="eastAsia" w:ascii="宋体" w:hAnsi="宋体" w:cs="Arial"/>
          <w:color w:val="auto"/>
          <w:sz w:val="24"/>
          <w:highlight w:val="none"/>
        </w:rPr>
        <w:t>联系电话：</w:t>
      </w:r>
      <w:r>
        <w:rPr>
          <w:rFonts w:ascii="宋体" w:hAnsi="宋体" w:cs="Arial"/>
          <w:color w:val="auto"/>
          <w:sz w:val="24"/>
          <w:highlight w:val="none"/>
          <w:u w:val="single"/>
        </w:rPr>
        <w:t>05</w:t>
      </w:r>
      <w:r>
        <w:rPr>
          <w:rFonts w:hint="eastAsia" w:ascii="宋体" w:hAnsi="宋体" w:cs="Arial"/>
          <w:color w:val="auto"/>
          <w:sz w:val="24"/>
          <w:highlight w:val="none"/>
          <w:u w:val="single"/>
        </w:rPr>
        <w:t>79-86691835</w:t>
      </w:r>
      <w:r>
        <w:rPr>
          <w:rFonts w:hint="eastAsia" w:ascii="宋体" w:hAnsi="宋体" w:cs="Arial"/>
          <w:color w:val="auto"/>
          <w:sz w:val="24"/>
          <w:highlight w:val="none"/>
        </w:rPr>
        <w:t xml:space="preserve">      联系地址：</w:t>
      </w:r>
      <w:r>
        <w:rPr>
          <w:rFonts w:hint="eastAsia" w:ascii="宋体" w:hAnsi="宋体"/>
          <w:color w:val="auto"/>
          <w:sz w:val="24"/>
          <w:highlight w:val="none"/>
        </w:rPr>
        <w:t>东阳市艺海北路388号（行政服务中心）C幢10楼</w:t>
      </w:r>
    </w:p>
    <w:p>
      <w:pPr>
        <w:snapToGrid w:val="0"/>
        <w:spacing w:line="312" w:lineRule="auto"/>
        <w:ind w:left="238"/>
        <w:rPr>
          <w:rFonts w:ascii="宋体" w:hAnsi="宋体"/>
          <w:b/>
          <w:bCs/>
          <w:color w:val="auto"/>
          <w:sz w:val="24"/>
          <w:szCs w:val="20"/>
          <w:highlight w:val="none"/>
        </w:rPr>
      </w:pPr>
      <w:r>
        <w:rPr>
          <w:rFonts w:hint="eastAsia" w:ascii="宋体" w:hAnsi="宋体" w:cs="Arial"/>
          <w:b/>
          <w:bCs/>
          <w:color w:val="auto"/>
          <w:sz w:val="24"/>
          <w:highlight w:val="none"/>
        </w:rPr>
        <w:t xml:space="preserve">                             金华市公共资源交易中心东阳分中心</w:t>
      </w:r>
    </w:p>
    <w:p>
      <w:pPr>
        <w:snapToGrid w:val="0"/>
        <w:spacing w:line="312" w:lineRule="auto"/>
        <w:ind w:left="238"/>
        <w:jc w:val="center"/>
        <w:rPr>
          <w:rFonts w:ascii="宋体" w:hAnsi="宋体" w:cs="Arial"/>
          <w:b/>
          <w:bCs/>
          <w:color w:val="auto"/>
          <w:sz w:val="24"/>
          <w:highlight w:val="none"/>
        </w:rPr>
      </w:pPr>
      <w:r>
        <w:rPr>
          <w:rFonts w:hint="eastAsia" w:ascii="宋体" w:hAnsi="宋体" w:cs="Arial"/>
          <w:b/>
          <w:bCs/>
          <w:color w:val="auto"/>
          <w:sz w:val="24"/>
          <w:highlight w:val="none"/>
        </w:rPr>
        <w:t xml:space="preserve">               　2019年</w:t>
      </w:r>
      <w:r>
        <w:rPr>
          <w:rFonts w:hint="eastAsia" w:ascii="宋体" w:hAnsi="宋体" w:cs="Arial"/>
          <w:b/>
          <w:bCs/>
          <w:color w:val="auto"/>
          <w:sz w:val="24"/>
          <w:highlight w:val="none"/>
          <w:lang w:val="en-US" w:eastAsia="zh-CN"/>
        </w:rPr>
        <w:t>4</w:t>
      </w:r>
      <w:r>
        <w:rPr>
          <w:rFonts w:hint="eastAsia" w:ascii="宋体" w:hAnsi="宋体" w:cs="Arial"/>
          <w:b/>
          <w:bCs/>
          <w:color w:val="auto"/>
          <w:sz w:val="24"/>
          <w:highlight w:val="none"/>
        </w:rPr>
        <w:t>月</w:t>
      </w:r>
      <w:r>
        <w:rPr>
          <w:rFonts w:hint="eastAsia" w:ascii="宋体" w:hAnsi="宋体" w:cs="Arial"/>
          <w:b/>
          <w:bCs/>
          <w:color w:val="auto"/>
          <w:sz w:val="24"/>
          <w:highlight w:val="none"/>
          <w:lang w:val="en-US" w:eastAsia="zh-CN"/>
        </w:rPr>
        <w:t>23</w:t>
      </w:r>
      <w:r>
        <w:rPr>
          <w:rFonts w:hint="eastAsia" w:ascii="宋体" w:hAnsi="宋体" w:cs="Arial"/>
          <w:b/>
          <w:bCs/>
          <w:color w:val="auto"/>
          <w:sz w:val="24"/>
          <w:highlight w:val="none"/>
        </w:rPr>
        <w:t>日</w:t>
      </w: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ind w:left="238"/>
        <w:jc w:val="center"/>
        <w:rPr>
          <w:rFonts w:ascii="宋体" w:hAnsi="宋体" w:cs="Arial"/>
          <w:b/>
          <w:bCs/>
          <w:color w:val="auto"/>
          <w:sz w:val="24"/>
          <w:highlight w:val="none"/>
        </w:rPr>
      </w:pPr>
    </w:p>
    <w:p>
      <w:pPr>
        <w:snapToGrid w:val="0"/>
        <w:spacing w:line="312" w:lineRule="auto"/>
        <w:rPr>
          <w:rFonts w:ascii="宋体" w:hAnsi="宋体" w:cs="Arial"/>
          <w:b/>
          <w:bCs/>
          <w:color w:val="auto"/>
          <w:sz w:val="24"/>
          <w:highlight w:val="none"/>
        </w:rPr>
      </w:pPr>
    </w:p>
    <w:p>
      <w:pPr>
        <w:snapToGrid w:val="0"/>
        <w:spacing w:line="312" w:lineRule="auto"/>
        <w:rPr>
          <w:rFonts w:ascii="宋体" w:hAnsi="宋体" w:cs="Arial"/>
          <w:b/>
          <w:bCs/>
          <w:color w:val="auto"/>
          <w:sz w:val="24"/>
          <w:highlight w:val="none"/>
        </w:rPr>
      </w:pPr>
    </w:p>
    <w:p>
      <w:pPr>
        <w:snapToGrid w:val="0"/>
        <w:spacing w:line="312" w:lineRule="auto"/>
        <w:rPr>
          <w:rFonts w:ascii="宋体" w:hAnsi="宋体" w:cs="Arial"/>
          <w:b/>
          <w:bCs/>
          <w:color w:val="auto"/>
          <w:sz w:val="24"/>
          <w:highlight w:val="none"/>
        </w:rPr>
      </w:pPr>
    </w:p>
    <w:p>
      <w:pPr>
        <w:pStyle w:val="8"/>
        <w:numPr>
          <w:ilvl w:val="0"/>
          <w:numId w:val="4"/>
        </w:numPr>
        <w:snapToGrid w:val="0"/>
        <w:spacing w:before="120" w:afterLines="0" w:line="240" w:lineRule="auto"/>
        <w:jc w:val="center"/>
        <w:outlineLvl w:val="0"/>
        <w:rPr>
          <w:rFonts w:ascii="黑体" w:hAnsi="宋体" w:eastAsia="黑体"/>
          <w:b/>
          <w:color w:val="auto"/>
          <w:sz w:val="30"/>
          <w:szCs w:val="30"/>
          <w:highlight w:val="none"/>
        </w:rPr>
      </w:pPr>
      <w:r>
        <w:rPr>
          <w:rFonts w:hint="eastAsia" w:ascii="黑体" w:hAnsi="宋体" w:eastAsia="黑体"/>
          <w:b/>
          <w:color w:val="auto"/>
          <w:sz w:val="30"/>
          <w:szCs w:val="30"/>
          <w:highlight w:val="none"/>
        </w:rPr>
        <w:t xml:space="preserve"> 招标需求</w:t>
      </w:r>
    </w:p>
    <w:p>
      <w:pPr>
        <w:pStyle w:val="8"/>
        <w:snapToGrid w:val="0"/>
        <w:spacing w:before="120" w:afterLines="0" w:line="240" w:lineRule="auto"/>
        <w:outlineLvl w:val="0"/>
        <w:rPr>
          <w:rFonts w:ascii="黑体" w:hAnsi="宋体" w:eastAsia="黑体"/>
          <w:b/>
          <w:color w:val="auto"/>
          <w:sz w:val="30"/>
          <w:szCs w:val="30"/>
          <w:highlight w:val="none"/>
        </w:rPr>
      </w:pPr>
    </w:p>
    <w:p>
      <w:pPr>
        <w:pStyle w:val="8"/>
        <w:tabs>
          <w:tab w:val="left" w:pos="3600"/>
        </w:tabs>
        <w:snapToGrid w:val="0"/>
        <w:spacing w:before="120" w:after="120" w:line="360" w:lineRule="auto"/>
        <w:ind w:firstLine="480" w:firstLineChars="200"/>
        <w:rPr>
          <w:color w:val="auto"/>
          <w:highlight w:val="none"/>
        </w:rPr>
      </w:pPr>
      <w:r>
        <w:rPr>
          <w:rFonts w:hint="eastAsia" w:hAnsi="宋体" w:cs="Arial"/>
          <w:color w:val="auto"/>
          <w:highlight w:val="none"/>
        </w:rPr>
        <w:t>1、采购项目：东阳市自然资源和规划局办公家具采购项目，详见《招标货物一览表》。</w:t>
      </w:r>
    </w:p>
    <w:p>
      <w:pPr>
        <w:pStyle w:val="9"/>
        <w:spacing w:line="317" w:lineRule="auto"/>
        <w:ind w:firstLine="360" w:firstLineChars="150"/>
        <w:rPr>
          <w:rFonts w:ascii="宋体"/>
          <w:b w:val="0"/>
          <w:bCs w:val="0"/>
          <w:color w:val="auto"/>
          <w:highlight w:val="none"/>
        </w:rPr>
      </w:pPr>
      <w:r>
        <w:rPr>
          <w:rFonts w:hint="eastAsia" w:ascii="宋体"/>
          <w:b w:val="0"/>
          <w:bCs w:val="0"/>
          <w:color w:val="auto"/>
          <w:highlight w:val="none"/>
        </w:rPr>
        <w:t>2、投标方要求为具有独立法人资格，并有较强的经济实力、良好的信誉和售后服务能力的企业。</w:t>
      </w:r>
    </w:p>
    <w:p>
      <w:pPr>
        <w:pStyle w:val="9"/>
        <w:spacing w:line="317" w:lineRule="auto"/>
        <w:ind w:firstLine="360" w:firstLineChars="150"/>
        <w:rPr>
          <w:rFonts w:ascii="宋体"/>
          <w:b w:val="0"/>
          <w:bCs w:val="0"/>
          <w:color w:val="auto"/>
          <w:highlight w:val="none"/>
        </w:rPr>
      </w:pPr>
      <w:r>
        <w:rPr>
          <w:rFonts w:hint="eastAsia" w:ascii="宋体"/>
          <w:b w:val="0"/>
          <w:bCs w:val="0"/>
          <w:color w:val="auto"/>
          <w:highlight w:val="none"/>
        </w:rPr>
        <w:t>3、交货（安装完成）时间和地点：</w:t>
      </w:r>
      <w:r>
        <w:rPr>
          <w:rFonts w:hint="eastAsia" w:ascii="宋体"/>
          <w:color w:val="auto"/>
          <w:highlight w:val="none"/>
        </w:rPr>
        <w:t>按图纸及清单要求送货到指定地点安装，中标单位需在承诺供货时间内交货并完成安装。</w:t>
      </w:r>
    </w:p>
    <w:p>
      <w:pPr>
        <w:pStyle w:val="9"/>
        <w:shd w:val="clear" w:color="auto" w:fill="FFFFFF" w:themeFill="background1"/>
        <w:spacing w:line="317" w:lineRule="auto"/>
        <w:ind w:firstLine="480" w:firstLineChars="200"/>
        <w:rPr>
          <w:rFonts w:ascii="宋体" w:cs="Times New Roman"/>
          <w:b w:val="0"/>
          <w:bCs w:val="0"/>
          <w:color w:val="auto"/>
          <w:highlight w:val="none"/>
        </w:rPr>
      </w:pPr>
      <w:r>
        <w:rPr>
          <w:rFonts w:hint="eastAsia" w:ascii="宋体" w:cs="Times New Roman"/>
          <w:b w:val="0"/>
          <w:bCs w:val="0"/>
          <w:color w:val="auto"/>
          <w:highlight w:val="none"/>
        </w:rPr>
        <w:t>4、付款方式：所有家具安装完成，验收合格后支付合同总额的95%，留存5%作为质保金，质保金至保修期执行一年后10日内无息退还。</w:t>
      </w:r>
    </w:p>
    <w:p>
      <w:pPr>
        <w:pStyle w:val="9"/>
        <w:spacing w:line="317" w:lineRule="auto"/>
        <w:ind w:left="107" w:leftChars="51" w:firstLine="360" w:firstLineChars="150"/>
        <w:rPr>
          <w:rFonts w:ascii="宋体"/>
          <w:b w:val="0"/>
          <w:bCs w:val="0"/>
          <w:color w:val="auto"/>
          <w:highlight w:val="none"/>
        </w:rPr>
      </w:pPr>
      <w:r>
        <w:rPr>
          <w:rFonts w:hint="eastAsia" w:ascii="宋体"/>
          <w:b w:val="0"/>
          <w:bCs w:val="0"/>
          <w:color w:val="auto"/>
          <w:highlight w:val="none"/>
        </w:rPr>
        <w:t>5、技术规格及要求</w:t>
      </w:r>
    </w:p>
    <w:p>
      <w:pPr>
        <w:ind w:firstLine="480" w:firstLineChars="200"/>
        <w:rPr>
          <w:rFonts w:ascii="宋体" w:hAnsi="宋体"/>
          <w:color w:val="auto"/>
          <w:sz w:val="24"/>
          <w:highlight w:val="none"/>
        </w:rPr>
      </w:pPr>
      <w:r>
        <w:rPr>
          <w:rFonts w:hint="eastAsia" w:ascii="宋体" w:hAnsi="宋体"/>
          <w:color w:val="auto"/>
          <w:sz w:val="24"/>
          <w:highlight w:val="none"/>
        </w:rPr>
        <w:t xml:space="preserve">（1）本次招标内容为完成以上项目的设计、制作、运输、就位安装、验收及售后服务。 </w:t>
      </w:r>
    </w:p>
    <w:p>
      <w:pPr>
        <w:shd w:val="clear" w:color="auto" w:fill="FFFFFF" w:themeFill="background1"/>
        <w:ind w:firstLine="480" w:firstLineChars="200"/>
        <w:rPr>
          <w:rFonts w:ascii="宋体" w:hAnsi="宋体"/>
          <w:color w:val="auto"/>
          <w:sz w:val="24"/>
          <w:highlight w:val="none"/>
        </w:rPr>
      </w:pPr>
      <w:r>
        <w:rPr>
          <w:rFonts w:hint="eastAsia" w:ascii="宋体" w:hAnsi="宋体"/>
          <w:color w:val="auto"/>
          <w:sz w:val="24"/>
          <w:highlight w:val="none"/>
        </w:rPr>
        <w:t>（2）所有家具以绿色环保为基本材料制造。释放有害气体要达到国家标准。</w:t>
      </w:r>
    </w:p>
    <w:p>
      <w:pPr>
        <w:shd w:val="clear" w:color="auto" w:fill="FFFFFF" w:themeFill="background1"/>
        <w:ind w:firstLine="480" w:firstLineChars="200"/>
        <w:rPr>
          <w:rFonts w:ascii="宋体" w:hAnsi="宋体"/>
          <w:color w:val="auto"/>
          <w:sz w:val="24"/>
          <w:highlight w:val="none"/>
        </w:rPr>
      </w:pPr>
      <w:r>
        <w:rPr>
          <w:rFonts w:hint="eastAsia" w:ascii="宋体" w:hAnsi="宋体"/>
          <w:color w:val="auto"/>
          <w:sz w:val="24"/>
          <w:highlight w:val="none"/>
        </w:rPr>
        <w:t>（3）所有家具材料覆面拼贴应严密、平整，无脱胶、鼓泡，无裂纹、压痕和划伤；人造板制成的部件除内部隐蔽处外，均应进行封边处理，封边应严密、平整，不允许脱胶、表面有胶渍。</w:t>
      </w:r>
    </w:p>
    <w:p>
      <w:pPr>
        <w:ind w:firstLine="480" w:firstLineChars="200"/>
        <w:rPr>
          <w:rFonts w:ascii="宋体" w:hAnsi="宋体"/>
          <w:color w:val="auto"/>
          <w:sz w:val="24"/>
          <w:highlight w:val="none"/>
        </w:rPr>
      </w:pPr>
      <w:r>
        <w:rPr>
          <w:rFonts w:hint="eastAsia" w:ascii="宋体" w:hAnsi="宋体"/>
          <w:color w:val="auto"/>
          <w:sz w:val="24"/>
          <w:highlight w:val="none"/>
        </w:rPr>
        <w:t>（4）所有家具配拆装产品零件结合应牢固严密，活动部位应保证灵活自如、无杂音。采用抽屉连锁的，应保证连锁的各个抽屉都能同时锁住及开启。</w:t>
      </w:r>
    </w:p>
    <w:p>
      <w:pPr>
        <w:ind w:firstLine="480" w:firstLineChars="200"/>
        <w:rPr>
          <w:rFonts w:ascii="宋体" w:hAnsi="宋体"/>
          <w:color w:val="auto"/>
          <w:sz w:val="24"/>
          <w:highlight w:val="none"/>
        </w:rPr>
      </w:pPr>
      <w:r>
        <w:rPr>
          <w:rFonts w:hint="eastAsia" w:ascii="宋体" w:hAnsi="宋体"/>
          <w:color w:val="auto"/>
          <w:sz w:val="24"/>
          <w:highlight w:val="none"/>
        </w:rPr>
        <w:t>（5）所有家具的油漆应采用优质环保漆，表面光亮平滑，无划痕等。</w:t>
      </w:r>
    </w:p>
    <w:p>
      <w:pPr>
        <w:ind w:firstLine="480" w:firstLineChars="200"/>
        <w:rPr>
          <w:rFonts w:ascii="宋体" w:hAnsi="宋体"/>
          <w:color w:val="auto"/>
          <w:sz w:val="24"/>
          <w:highlight w:val="none"/>
        </w:rPr>
      </w:pPr>
      <w:r>
        <w:rPr>
          <w:rFonts w:hint="eastAsia" w:ascii="宋体" w:hAnsi="宋体"/>
          <w:color w:val="auto"/>
          <w:sz w:val="24"/>
          <w:highlight w:val="none"/>
        </w:rPr>
        <w:t>（6）所有家具的五金配件应采用优质配件。大件家具须提供保证正常使用所必需的配件，并在投标文件中列出清单（标明名称、用途、单价、制造厂等项目），其价格应包含在总报价中。同时须保证在保修期满后5年内以优惠价格提供办公家具正常使用所必需的配件等。</w:t>
      </w:r>
    </w:p>
    <w:p>
      <w:pPr>
        <w:ind w:firstLine="480" w:firstLineChars="200"/>
        <w:rPr>
          <w:rFonts w:ascii="宋体" w:hAnsi="宋体"/>
          <w:color w:val="auto"/>
          <w:sz w:val="24"/>
          <w:highlight w:val="none"/>
        </w:rPr>
      </w:pPr>
      <w:r>
        <w:rPr>
          <w:rFonts w:hint="eastAsia" w:ascii="宋体" w:hAnsi="宋体"/>
          <w:color w:val="auto"/>
          <w:sz w:val="24"/>
          <w:highlight w:val="none"/>
        </w:rPr>
        <w:t>(7）所有家具各连接件连接平滑，工程塑料件应牢固光滑；软包件及缝纫应无破损，外形饱满、圆滑一致。气压棒应采用进口件，升降轻便灵活、平稳、无漏气、角度调节灵活可靠。</w:t>
      </w:r>
    </w:p>
    <w:p>
      <w:pPr>
        <w:rPr>
          <w:rFonts w:ascii="宋体" w:hAnsi="宋体"/>
          <w:b/>
          <w:color w:val="auto"/>
          <w:sz w:val="24"/>
          <w:highlight w:val="none"/>
        </w:rPr>
      </w:pPr>
      <w:r>
        <w:rPr>
          <w:rFonts w:hint="eastAsia" w:ascii="宋体" w:hAnsi="宋体"/>
          <w:b/>
          <w:color w:val="auto"/>
          <w:sz w:val="24"/>
          <w:highlight w:val="none"/>
        </w:rPr>
        <w:t>三、工作范围</w:t>
      </w:r>
    </w:p>
    <w:p>
      <w:pPr>
        <w:snapToGrid w:val="0"/>
        <w:ind w:hanging="480"/>
        <w:rPr>
          <w:rFonts w:ascii="宋体" w:hAnsi="宋体"/>
          <w:color w:val="auto"/>
          <w:sz w:val="24"/>
          <w:highlight w:val="none"/>
        </w:rPr>
      </w:pPr>
      <w:r>
        <w:rPr>
          <w:rFonts w:hint="eastAsia" w:ascii="宋体" w:hAnsi="宋体"/>
          <w:color w:val="auto"/>
          <w:sz w:val="24"/>
          <w:highlight w:val="none"/>
        </w:rPr>
        <w:t xml:space="preserve">      1、供方需按本技术规格书、图纸、特殊说明的要求完成家具的设计、生产、运输、安装及售后服务等工作。按工作顺序提交所需的技术资料，所有资料必须符合本技术规格书和图纸的要求。</w:t>
      </w:r>
    </w:p>
    <w:p>
      <w:pPr>
        <w:snapToGrid w:val="0"/>
        <w:rPr>
          <w:rFonts w:ascii="宋体" w:hAnsi="宋体"/>
          <w:color w:val="auto"/>
          <w:sz w:val="24"/>
          <w:highlight w:val="none"/>
        </w:rPr>
      </w:pPr>
      <w:r>
        <w:rPr>
          <w:rFonts w:hint="eastAsia" w:ascii="宋体" w:hAnsi="宋体"/>
          <w:color w:val="auto"/>
          <w:sz w:val="24"/>
          <w:highlight w:val="none"/>
        </w:rPr>
        <w:t>提供的家具包括以下工作服务但不仅限于以下：</w:t>
      </w:r>
    </w:p>
    <w:p>
      <w:pPr>
        <w:snapToGrid w:val="0"/>
        <w:ind w:firstLine="480"/>
        <w:rPr>
          <w:rFonts w:ascii="宋体" w:hAnsi="宋体"/>
          <w:color w:val="auto"/>
          <w:sz w:val="24"/>
          <w:highlight w:val="none"/>
        </w:rPr>
      </w:pPr>
      <w:r>
        <w:rPr>
          <w:rFonts w:hint="eastAsia" w:ascii="宋体" w:hAnsi="宋体"/>
          <w:color w:val="auto"/>
          <w:sz w:val="24"/>
          <w:highlight w:val="none"/>
        </w:rPr>
        <w:t>(1)按招标方和设计需要完成的具体设计；</w:t>
      </w:r>
    </w:p>
    <w:p>
      <w:pPr>
        <w:snapToGrid w:val="0"/>
        <w:ind w:firstLine="480" w:firstLineChars="200"/>
        <w:rPr>
          <w:rFonts w:ascii="宋体" w:hAnsi="宋体"/>
          <w:color w:val="auto"/>
          <w:sz w:val="24"/>
          <w:highlight w:val="none"/>
        </w:rPr>
      </w:pPr>
      <w:r>
        <w:rPr>
          <w:rFonts w:hint="eastAsia" w:ascii="宋体" w:hAnsi="宋体"/>
          <w:color w:val="auto"/>
          <w:sz w:val="24"/>
          <w:highlight w:val="none"/>
        </w:rPr>
        <w:t>(2)按招标方认可的设计方案和材料进行加工、制造、供货；</w:t>
      </w:r>
    </w:p>
    <w:p>
      <w:pPr>
        <w:snapToGrid w:val="0"/>
        <w:ind w:firstLine="480"/>
        <w:rPr>
          <w:rFonts w:ascii="宋体" w:hAnsi="宋体"/>
          <w:color w:val="auto"/>
          <w:sz w:val="24"/>
          <w:highlight w:val="none"/>
        </w:rPr>
      </w:pPr>
      <w:r>
        <w:rPr>
          <w:rFonts w:hint="eastAsia" w:ascii="宋体" w:hAnsi="宋体"/>
          <w:color w:val="auto"/>
          <w:sz w:val="24"/>
          <w:highlight w:val="none"/>
        </w:rPr>
        <w:t>(3)运输及装卸：运输至使用单位并安装完毕；</w:t>
      </w:r>
    </w:p>
    <w:p>
      <w:pPr>
        <w:snapToGrid w:val="0"/>
        <w:ind w:firstLine="480"/>
        <w:rPr>
          <w:rFonts w:ascii="宋体" w:hAnsi="宋体"/>
          <w:color w:val="auto"/>
          <w:sz w:val="24"/>
          <w:highlight w:val="none"/>
        </w:rPr>
      </w:pPr>
      <w:r>
        <w:rPr>
          <w:rFonts w:hint="eastAsia" w:ascii="宋体" w:hAnsi="宋体"/>
          <w:color w:val="auto"/>
          <w:sz w:val="24"/>
          <w:highlight w:val="none"/>
        </w:rPr>
        <w:t>2、这份规格书只是一些原则性要求，并不是详尽的要求，投标方有责任对设计符合技术规范、标准负责。</w:t>
      </w:r>
    </w:p>
    <w:p>
      <w:pPr>
        <w:rPr>
          <w:rFonts w:ascii="宋体" w:hAnsi="宋体"/>
          <w:b/>
          <w:color w:val="auto"/>
          <w:sz w:val="24"/>
          <w:highlight w:val="none"/>
        </w:rPr>
      </w:pPr>
      <w:r>
        <w:rPr>
          <w:rFonts w:hint="eastAsia" w:ascii="宋体" w:hAnsi="宋体"/>
          <w:b/>
          <w:color w:val="auto"/>
          <w:sz w:val="24"/>
          <w:highlight w:val="none"/>
        </w:rPr>
        <w:t>四、产品标准和规范</w:t>
      </w:r>
    </w:p>
    <w:p>
      <w:pPr>
        <w:snapToGrid w:val="0"/>
        <w:ind w:firstLine="480"/>
        <w:rPr>
          <w:rFonts w:ascii="宋体" w:hAnsi="宋体"/>
          <w:color w:val="auto"/>
          <w:sz w:val="24"/>
          <w:highlight w:val="none"/>
        </w:rPr>
      </w:pPr>
      <w:r>
        <w:rPr>
          <w:rFonts w:hint="eastAsia" w:ascii="宋体" w:hAnsi="宋体"/>
          <w:color w:val="auto"/>
          <w:sz w:val="24"/>
          <w:highlight w:val="none"/>
        </w:rPr>
        <w:t>1、中国国家标准及其它被普遍认可的行业（部颁、企业）标准，这些标准应为最新标准，投标方应及时提供给招标方。</w:t>
      </w:r>
    </w:p>
    <w:p>
      <w:pPr>
        <w:snapToGrid w:val="0"/>
        <w:ind w:firstLine="480" w:firstLineChars="200"/>
        <w:rPr>
          <w:rFonts w:ascii="宋体" w:hAnsi="宋体"/>
          <w:color w:val="auto"/>
          <w:sz w:val="24"/>
          <w:highlight w:val="none"/>
        </w:rPr>
      </w:pPr>
      <w:r>
        <w:rPr>
          <w:rFonts w:hint="eastAsia" w:ascii="宋体" w:hAnsi="宋体"/>
          <w:color w:val="auto"/>
          <w:sz w:val="24"/>
          <w:highlight w:val="none"/>
        </w:rPr>
        <w:t>2、投标方遵守不仅限于此规格书中的标准时，要求及时解释清楚，获得招标方认可后供方推荐的标准和制造规范等效或适用于此技术规格书，招标方有可能接受。投标方须阐明其替换的标准或其实际使用的标准并提供所推荐的标准和制造规范。</w:t>
      </w:r>
    </w:p>
    <w:p>
      <w:pPr>
        <w:rPr>
          <w:rFonts w:ascii="宋体" w:hAnsi="宋体"/>
          <w:b/>
          <w:color w:val="auto"/>
          <w:sz w:val="24"/>
          <w:highlight w:val="none"/>
        </w:rPr>
      </w:pPr>
      <w:r>
        <w:rPr>
          <w:rFonts w:hint="eastAsia" w:ascii="宋体" w:hAnsi="宋体"/>
          <w:b/>
          <w:color w:val="auto"/>
          <w:sz w:val="24"/>
          <w:highlight w:val="none"/>
        </w:rPr>
        <w:t>五、所需资料</w:t>
      </w:r>
    </w:p>
    <w:p>
      <w:pPr>
        <w:snapToGrid w:val="0"/>
        <w:ind w:firstLine="480" w:firstLineChars="200"/>
        <w:rPr>
          <w:rFonts w:ascii="宋体" w:hAnsi="宋体"/>
          <w:color w:val="auto"/>
          <w:sz w:val="24"/>
          <w:highlight w:val="none"/>
        </w:rPr>
      </w:pPr>
      <w:r>
        <w:rPr>
          <w:rFonts w:hint="eastAsia" w:ascii="宋体" w:hAnsi="宋体"/>
          <w:color w:val="auto"/>
          <w:sz w:val="24"/>
          <w:highlight w:val="none"/>
        </w:rPr>
        <w:t>1、投标所需资料</w:t>
      </w:r>
    </w:p>
    <w:p>
      <w:pPr>
        <w:snapToGrid w:val="0"/>
        <w:ind w:firstLine="480" w:firstLineChars="200"/>
        <w:rPr>
          <w:rFonts w:ascii="宋体" w:hAnsi="宋体"/>
          <w:color w:val="auto"/>
          <w:sz w:val="24"/>
          <w:highlight w:val="none"/>
        </w:rPr>
      </w:pPr>
      <w:r>
        <w:rPr>
          <w:rFonts w:hint="eastAsia" w:ascii="宋体" w:hAnsi="宋体"/>
          <w:color w:val="auto"/>
          <w:sz w:val="24"/>
          <w:highlight w:val="none"/>
        </w:rPr>
        <w:t>下列资料须包含在投标文件中，由投标方免费提供。</w:t>
      </w:r>
    </w:p>
    <w:p>
      <w:pPr>
        <w:snapToGrid w:val="0"/>
        <w:ind w:firstLine="480" w:firstLineChars="200"/>
        <w:rPr>
          <w:rFonts w:ascii="宋体" w:hAnsi="宋体"/>
          <w:color w:val="auto"/>
          <w:sz w:val="24"/>
          <w:highlight w:val="none"/>
        </w:rPr>
      </w:pPr>
      <w:r>
        <w:rPr>
          <w:rFonts w:hint="eastAsia" w:ascii="宋体" w:hAnsi="宋体"/>
          <w:color w:val="auto"/>
          <w:sz w:val="24"/>
          <w:highlight w:val="none"/>
        </w:rPr>
        <w:t>（1）家具制造许可证或家具制造商资格证明 。</w:t>
      </w:r>
    </w:p>
    <w:p>
      <w:pPr>
        <w:snapToGrid w:val="0"/>
        <w:ind w:firstLine="480" w:firstLineChars="200"/>
        <w:rPr>
          <w:rFonts w:ascii="宋体" w:hAnsi="宋体"/>
          <w:color w:val="auto"/>
          <w:sz w:val="24"/>
          <w:highlight w:val="none"/>
        </w:rPr>
      </w:pPr>
      <w:r>
        <w:rPr>
          <w:rFonts w:hint="eastAsia" w:ascii="宋体" w:hAnsi="宋体"/>
          <w:color w:val="auto"/>
          <w:sz w:val="24"/>
          <w:highlight w:val="none"/>
        </w:rPr>
        <w:t>（2）办公家具的装配部件图及组装图应详细标明具体标题、编号、数量、材等。</w:t>
      </w:r>
    </w:p>
    <w:p>
      <w:pPr>
        <w:snapToGrid w:val="0"/>
        <w:ind w:firstLine="480" w:firstLineChars="200"/>
        <w:rPr>
          <w:rFonts w:ascii="宋体" w:hAnsi="宋体"/>
          <w:color w:val="auto"/>
          <w:sz w:val="24"/>
          <w:highlight w:val="none"/>
        </w:rPr>
      </w:pPr>
      <w:r>
        <w:rPr>
          <w:rFonts w:hint="eastAsia" w:ascii="宋体" w:hAnsi="宋体"/>
          <w:color w:val="auto"/>
          <w:sz w:val="24"/>
          <w:highlight w:val="none"/>
        </w:rPr>
        <w:t>（3）办公家具在设计、制造、检验、试验方面的主要标准。</w:t>
      </w:r>
    </w:p>
    <w:p>
      <w:pPr>
        <w:snapToGrid w:val="0"/>
        <w:ind w:firstLine="480" w:firstLineChars="200"/>
        <w:rPr>
          <w:rFonts w:ascii="宋体" w:hAnsi="宋体"/>
          <w:color w:val="auto"/>
          <w:sz w:val="24"/>
          <w:highlight w:val="none"/>
        </w:rPr>
      </w:pPr>
      <w:r>
        <w:rPr>
          <w:rFonts w:hint="eastAsia" w:ascii="宋体" w:hAnsi="宋体"/>
          <w:color w:val="auto"/>
          <w:sz w:val="24"/>
          <w:highlight w:val="none"/>
        </w:rPr>
        <w:t>（4）列出按照制造工序和运输要求的家具制造期、试验期、交货期。</w:t>
      </w:r>
    </w:p>
    <w:p>
      <w:pPr>
        <w:snapToGrid w:val="0"/>
        <w:ind w:firstLine="480" w:firstLineChars="200"/>
        <w:rPr>
          <w:rFonts w:ascii="宋体" w:hAnsi="宋体"/>
          <w:color w:val="auto"/>
          <w:sz w:val="24"/>
          <w:highlight w:val="none"/>
        </w:rPr>
      </w:pPr>
      <w:r>
        <w:rPr>
          <w:rFonts w:hint="eastAsia" w:ascii="宋体" w:hAnsi="宋体"/>
          <w:color w:val="auto"/>
          <w:sz w:val="24"/>
          <w:highlight w:val="none"/>
        </w:rPr>
        <w:t>（5）其他招标文件中需要提供的资料。</w:t>
      </w:r>
    </w:p>
    <w:p>
      <w:pPr>
        <w:snapToGrid w:val="0"/>
        <w:rPr>
          <w:rFonts w:ascii="宋体" w:hAnsi="宋体"/>
          <w:b/>
          <w:color w:val="auto"/>
          <w:sz w:val="24"/>
          <w:highlight w:val="none"/>
        </w:rPr>
      </w:pPr>
      <w:r>
        <w:rPr>
          <w:rFonts w:hint="eastAsia" w:ascii="宋体" w:hAnsi="宋体"/>
          <w:b/>
          <w:color w:val="auto"/>
          <w:sz w:val="24"/>
          <w:highlight w:val="none"/>
        </w:rPr>
        <w:t>六、安装</w:t>
      </w:r>
    </w:p>
    <w:p>
      <w:pPr>
        <w:snapToGrid w:val="0"/>
        <w:ind w:firstLine="360"/>
        <w:rPr>
          <w:rFonts w:ascii="宋体" w:hAnsi="宋体"/>
          <w:b/>
          <w:color w:val="auto"/>
          <w:sz w:val="24"/>
          <w:highlight w:val="none"/>
        </w:rPr>
      </w:pPr>
      <w:r>
        <w:rPr>
          <w:rFonts w:hint="eastAsia" w:ascii="宋体" w:hAnsi="宋体"/>
          <w:color w:val="auto"/>
          <w:sz w:val="24"/>
          <w:highlight w:val="none"/>
        </w:rPr>
        <w:t>1、中标人负责办公家具的安装。</w:t>
      </w:r>
    </w:p>
    <w:p>
      <w:pPr>
        <w:snapToGrid w:val="0"/>
        <w:rPr>
          <w:rFonts w:ascii="宋体" w:hAnsi="宋体"/>
          <w:color w:val="auto"/>
          <w:sz w:val="24"/>
          <w:highlight w:val="none"/>
        </w:rPr>
      </w:pPr>
      <w:r>
        <w:rPr>
          <w:rFonts w:hint="eastAsia" w:ascii="宋体" w:hAnsi="宋体"/>
          <w:color w:val="auto"/>
          <w:sz w:val="24"/>
          <w:highlight w:val="none"/>
        </w:rPr>
        <w:t xml:space="preserve">   2、安装质量与办公家具等作为整体进行总验。</w:t>
      </w:r>
    </w:p>
    <w:p>
      <w:pPr>
        <w:snapToGrid w:val="0"/>
        <w:rPr>
          <w:rFonts w:ascii="宋体" w:hAnsi="宋体"/>
          <w:b/>
          <w:color w:val="auto"/>
          <w:sz w:val="24"/>
          <w:highlight w:val="none"/>
        </w:rPr>
      </w:pPr>
      <w:r>
        <w:rPr>
          <w:rFonts w:hint="eastAsia" w:ascii="宋体" w:hAnsi="宋体"/>
          <w:color w:val="auto"/>
          <w:szCs w:val="21"/>
          <w:highlight w:val="none"/>
        </w:rPr>
        <w:t>▲</w:t>
      </w:r>
      <w:r>
        <w:rPr>
          <w:rFonts w:hint="eastAsia" w:ascii="宋体" w:hAnsi="宋体"/>
          <w:b/>
          <w:color w:val="auto"/>
          <w:sz w:val="24"/>
          <w:highlight w:val="none"/>
        </w:rPr>
        <w:t>七、特别说明</w:t>
      </w:r>
    </w:p>
    <w:p>
      <w:pPr>
        <w:snapToGrid w:val="0"/>
        <w:ind w:firstLine="472" w:firstLineChars="196"/>
        <w:rPr>
          <w:rFonts w:ascii="宋体" w:hAnsi="宋体"/>
          <w:b/>
          <w:color w:val="auto"/>
          <w:sz w:val="24"/>
          <w:highlight w:val="none"/>
        </w:rPr>
      </w:pPr>
      <w:r>
        <w:rPr>
          <w:rFonts w:hint="eastAsia" w:ascii="宋体" w:hAnsi="宋体"/>
          <w:b/>
          <w:color w:val="auto"/>
          <w:sz w:val="24"/>
          <w:highlight w:val="none"/>
        </w:rPr>
        <w:t>中标方在生产前必须到采购单位确定要采购设备的数量、技术参数等，以免搞错，经采购单位核准后方可组织生产。</w:t>
      </w:r>
    </w:p>
    <w:p>
      <w:pPr>
        <w:adjustRightInd w:val="0"/>
        <w:rPr>
          <w:rFonts w:ascii="宋体" w:hAnsi="宋体"/>
          <w:color w:val="auto"/>
          <w:sz w:val="24"/>
          <w:highlight w:val="none"/>
        </w:rPr>
      </w:pPr>
      <w:r>
        <w:rPr>
          <w:rFonts w:hint="eastAsia" w:ascii="宋体" w:hAnsi="宋体"/>
          <w:b/>
          <w:bCs/>
          <w:color w:val="auto"/>
          <w:sz w:val="24"/>
          <w:highlight w:val="none"/>
        </w:rPr>
        <w:t>八、商务要求</w:t>
      </w:r>
    </w:p>
    <w:p>
      <w:pPr>
        <w:shd w:val="clear" w:color="auto" w:fill="FFFFFF" w:themeFill="background1"/>
        <w:tabs>
          <w:tab w:val="left" w:pos="1243"/>
        </w:tabs>
        <w:autoSpaceDE w:val="0"/>
        <w:autoSpaceDN w:val="0"/>
        <w:adjustRightInd w:val="0"/>
        <w:snapToGrid w:val="0"/>
        <w:ind w:firstLine="479" w:firstLineChars="199"/>
        <w:textAlignment w:val="bottom"/>
        <w:rPr>
          <w:rFonts w:ascii="宋体" w:hAnsi="宋体"/>
          <w:b/>
          <w:color w:val="auto"/>
          <w:sz w:val="24"/>
          <w:highlight w:val="none"/>
        </w:rPr>
      </w:pPr>
      <w:r>
        <w:rPr>
          <w:rFonts w:hint="eastAsia" w:ascii="宋体" w:hAnsi="宋体"/>
          <w:b/>
          <w:color w:val="auto"/>
          <w:sz w:val="24"/>
          <w:highlight w:val="none"/>
        </w:rPr>
        <w:t>1、付款方式</w:t>
      </w:r>
    </w:p>
    <w:p>
      <w:pPr>
        <w:pStyle w:val="9"/>
        <w:shd w:val="clear" w:color="auto" w:fill="FFFFFF" w:themeFill="background1"/>
        <w:spacing w:line="317" w:lineRule="auto"/>
        <w:ind w:firstLine="480" w:firstLineChars="200"/>
        <w:rPr>
          <w:rFonts w:ascii="宋体" w:cs="Times New Roman"/>
          <w:b w:val="0"/>
          <w:bCs w:val="0"/>
          <w:color w:val="auto"/>
          <w:highlight w:val="none"/>
        </w:rPr>
      </w:pPr>
      <w:r>
        <w:rPr>
          <w:rFonts w:hint="eastAsia" w:ascii="宋体" w:cs="Times New Roman"/>
          <w:b w:val="0"/>
          <w:bCs w:val="0"/>
          <w:color w:val="auto"/>
          <w:highlight w:val="none"/>
        </w:rPr>
        <w:t>付款方式：所有家具安装完成，验收合格后支付合同总额的95%，留存5%作为质保金，质保金至保修期执行一年后10天内无息退还。</w:t>
      </w:r>
    </w:p>
    <w:p>
      <w:pPr>
        <w:shd w:val="clear" w:color="auto" w:fill="FFFFFF" w:themeFill="background1"/>
        <w:ind w:firstLine="480" w:firstLineChars="200"/>
        <w:rPr>
          <w:rFonts w:ascii="宋体" w:hAnsi="宋体"/>
          <w:color w:val="auto"/>
          <w:sz w:val="24"/>
          <w:highlight w:val="none"/>
        </w:rPr>
      </w:pPr>
      <w:r>
        <w:rPr>
          <w:rFonts w:ascii="宋体" w:hAnsi="宋体"/>
          <w:color w:val="auto"/>
          <w:sz w:val="24"/>
          <w:highlight w:val="none"/>
        </w:rPr>
        <w:t>货款由</w:t>
      </w:r>
      <w:r>
        <w:rPr>
          <w:rFonts w:hint="eastAsia" w:ascii="宋体" w:hAnsi="宋体"/>
          <w:color w:val="auto"/>
          <w:sz w:val="24"/>
          <w:highlight w:val="none"/>
        </w:rPr>
        <w:t>采购人报国库直接支付；第一次付款凭东阳市政府采购验收单及发票复印件，正式发票给采购人；第二次付款凭东阳市政府采购售后服务满意度调查表，满意或基本满意的予以支付，不满意不予支付。</w:t>
      </w:r>
    </w:p>
    <w:p>
      <w:pPr>
        <w:ind w:firstLine="482" w:firstLineChars="200"/>
        <w:rPr>
          <w:rFonts w:ascii="宋体" w:hAnsi="宋体"/>
          <w:b/>
          <w:color w:val="auto"/>
          <w:sz w:val="24"/>
          <w:highlight w:val="none"/>
        </w:rPr>
      </w:pPr>
      <w:r>
        <w:rPr>
          <w:rFonts w:hint="eastAsia" w:ascii="宋体" w:hAnsi="宋体"/>
          <w:b/>
          <w:color w:val="auto"/>
          <w:sz w:val="24"/>
          <w:highlight w:val="none"/>
        </w:rPr>
        <w:t>2、售后服务</w:t>
      </w:r>
    </w:p>
    <w:p>
      <w:pPr>
        <w:ind w:firstLine="480" w:firstLineChars="200"/>
        <w:rPr>
          <w:rFonts w:ascii="宋体" w:hAnsi="宋体"/>
          <w:color w:val="auto"/>
          <w:sz w:val="24"/>
          <w:highlight w:val="none"/>
        </w:rPr>
      </w:pPr>
      <w:r>
        <w:rPr>
          <w:rFonts w:hint="eastAsia" w:ascii="宋体" w:hAnsi="宋体"/>
          <w:color w:val="auto"/>
          <w:sz w:val="24"/>
          <w:highlight w:val="none"/>
        </w:rPr>
        <w:t>（1）</w:t>
      </w:r>
      <w:r>
        <w:rPr>
          <w:rFonts w:hint="eastAsia" w:ascii="宋体" w:hAnsi="宋体"/>
          <w:b/>
          <w:color w:val="auto"/>
          <w:sz w:val="24"/>
          <w:highlight w:val="none"/>
        </w:rPr>
        <w:t>质量保修期</w:t>
      </w:r>
      <w:r>
        <w:rPr>
          <w:rFonts w:ascii="宋体" w:hAnsi="宋体"/>
          <w:b/>
          <w:color w:val="auto"/>
          <w:sz w:val="24"/>
          <w:highlight w:val="none"/>
        </w:rPr>
        <w:t>≥</w:t>
      </w:r>
      <w:r>
        <w:rPr>
          <w:rFonts w:hint="eastAsia" w:ascii="宋体" w:hAnsi="宋体"/>
          <w:b/>
          <w:color w:val="auto"/>
          <w:sz w:val="24"/>
          <w:highlight w:val="none"/>
        </w:rPr>
        <w:t>5年</w:t>
      </w:r>
      <w:r>
        <w:rPr>
          <w:rFonts w:hint="eastAsia" w:ascii="宋体" w:hAnsi="宋体"/>
          <w:color w:val="auto"/>
          <w:sz w:val="24"/>
          <w:highlight w:val="none"/>
        </w:rPr>
        <w:t>，保质期内因不能排除的故障而影响工作的情况每发生一次，其质保期相应延长60天，保质期内因设备本身缺陷造成各种故障应由卖方免费技术服务和维修。</w:t>
      </w:r>
    </w:p>
    <w:p>
      <w:pPr>
        <w:ind w:firstLine="480" w:firstLineChars="200"/>
        <w:rPr>
          <w:rFonts w:ascii="宋体" w:hAnsi="宋体"/>
          <w:color w:val="auto"/>
          <w:sz w:val="24"/>
          <w:highlight w:val="none"/>
        </w:rPr>
      </w:pPr>
      <w:r>
        <w:rPr>
          <w:rFonts w:hint="eastAsia" w:ascii="宋体" w:hAnsi="宋体"/>
          <w:color w:val="auto"/>
          <w:sz w:val="24"/>
          <w:highlight w:val="none"/>
        </w:rPr>
        <w:t>（2）安装验收交付使用后的免费质保期内，安装验收交付使用一年内，供方主动回访二次以上并提供免费保养，质保期内每年回访一次以上并提供免费保养。供方对提供的产品提供终身维修保养服务。质保期后的维修所发生的材料费用按供方的出厂价结算。</w:t>
      </w:r>
    </w:p>
    <w:p>
      <w:pPr>
        <w:ind w:firstLine="480" w:firstLineChars="200"/>
        <w:rPr>
          <w:rFonts w:ascii="宋体" w:hAnsi="宋体"/>
          <w:color w:val="auto"/>
          <w:sz w:val="24"/>
          <w:highlight w:val="none"/>
        </w:rPr>
      </w:pPr>
      <w:r>
        <w:rPr>
          <w:rFonts w:hint="eastAsia" w:ascii="宋体" w:hAnsi="宋体"/>
          <w:color w:val="auto"/>
          <w:sz w:val="24"/>
          <w:highlight w:val="none"/>
        </w:rPr>
        <w:t xml:space="preserve">（3）在设备整个使用期内，卖方应确保设备的正常使用，在接到用户维修要求后应立即作出回应，并在24小时内派员到达买方现场实施维修（每迟到一次扣保证金200元），零配件在该设备停产后仍需保证5年的供应。 </w:t>
      </w:r>
    </w:p>
    <w:p>
      <w:pPr>
        <w:widowControl/>
        <w:autoSpaceDE w:val="0"/>
        <w:autoSpaceDN w:val="0"/>
        <w:ind w:firstLine="482" w:firstLineChars="200"/>
        <w:textAlignment w:val="bottom"/>
        <w:rPr>
          <w:rFonts w:ascii="宋体" w:hAnsi="宋体"/>
          <w:b/>
          <w:color w:val="auto"/>
          <w:sz w:val="24"/>
          <w:highlight w:val="none"/>
        </w:rPr>
      </w:pPr>
      <w:r>
        <w:rPr>
          <w:rFonts w:hint="eastAsia" w:ascii="宋体" w:hAnsi="宋体"/>
          <w:b/>
          <w:color w:val="auto"/>
          <w:sz w:val="24"/>
          <w:highlight w:val="none"/>
        </w:rPr>
        <w:t>3、安装调试（若需要安装调试）</w:t>
      </w:r>
    </w:p>
    <w:p>
      <w:pPr>
        <w:widowControl/>
        <w:autoSpaceDE w:val="0"/>
        <w:autoSpaceDN w:val="0"/>
        <w:ind w:firstLine="480" w:firstLineChars="200"/>
        <w:textAlignment w:val="bottom"/>
        <w:rPr>
          <w:rFonts w:ascii="宋体" w:hAnsi="宋体"/>
          <w:color w:val="auto"/>
          <w:sz w:val="24"/>
          <w:highlight w:val="none"/>
        </w:rPr>
      </w:pPr>
      <w:r>
        <w:rPr>
          <w:rFonts w:hint="eastAsia" w:ascii="宋体" w:hAnsi="宋体"/>
          <w:color w:val="auto"/>
          <w:sz w:val="24"/>
          <w:highlight w:val="none"/>
        </w:rPr>
        <w:t>（1）安装地点：使用单位。</w:t>
      </w:r>
    </w:p>
    <w:p>
      <w:pPr>
        <w:widowControl/>
        <w:autoSpaceDE w:val="0"/>
        <w:autoSpaceDN w:val="0"/>
        <w:ind w:firstLine="480" w:firstLineChars="200"/>
        <w:textAlignment w:val="bottom"/>
        <w:rPr>
          <w:rFonts w:ascii="宋体" w:hAnsi="宋体"/>
          <w:color w:val="auto"/>
          <w:sz w:val="24"/>
          <w:highlight w:val="none"/>
        </w:rPr>
      </w:pPr>
      <w:r>
        <w:rPr>
          <w:rFonts w:hint="eastAsia" w:ascii="宋体" w:hAnsi="宋体"/>
          <w:color w:val="auto"/>
          <w:sz w:val="24"/>
          <w:highlight w:val="none"/>
          <w:shd w:val="clear" w:color="auto" w:fill="FFFFFF" w:themeFill="background1"/>
        </w:rPr>
        <w:t>（2）安装完成时间：</w:t>
      </w:r>
      <w:r>
        <w:rPr>
          <w:rFonts w:hint="eastAsia" w:ascii="宋体" w:hAnsi="宋体"/>
          <w:b/>
          <w:color w:val="auto"/>
          <w:sz w:val="24"/>
          <w:highlight w:val="none"/>
          <w:shd w:val="clear" w:color="auto" w:fill="FFFFFF" w:themeFill="background1"/>
        </w:rPr>
        <w:t>在合同签订后50天内完成安装和调试，</w:t>
      </w:r>
      <w:r>
        <w:rPr>
          <w:rFonts w:hint="eastAsia" w:ascii="宋体" w:hAnsi="宋体"/>
          <w:color w:val="auto"/>
          <w:sz w:val="24"/>
          <w:highlight w:val="none"/>
          <w:shd w:val="clear" w:color="auto" w:fill="FFFFFF" w:themeFill="background1"/>
        </w:rPr>
        <w:t>如</w:t>
      </w:r>
      <w:r>
        <w:rPr>
          <w:rFonts w:hint="eastAsia" w:ascii="宋体" w:hAnsi="宋体"/>
          <w:color w:val="auto"/>
          <w:sz w:val="24"/>
          <w:highlight w:val="none"/>
        </w:rPr>
        <w:t>在规定的时间内由于卖方的原因不能完成安装和调试，卖方应承担由此给用户造成的损失。</w:t>
      </w:r>
    </w:p>
    <w:p>
      <w:pPr>
        <w:widowControl/>
        <w:autoSpaceDE w:val="0"/>
        <w:autoSpaceDN w:val="0"/>
        <w:ind w:firstLine="480" w:firstLineChars="200"/>
        <w:textAlignment w:val="bottom"/>
        <w:rPr>
          <w:rFonts w:ascii="宋体" w:hAnsi="宋体"/>
          <w:color w:val="auto"/>
          <w:sz w:val="24"/>
          <w:highlight w:val="none"/>
        </w:rPr>
      </w:pPr>
      <w:r>
        <w:rPr>
          <w:rFonts w:hint="eastAsia" w:ascii="宋体" w:hAnsi="宋体"/>
          <w:color w:val="auto"/>
          <w:sz w:val="24"/>
          <w:highlight w:val="none"/>
        </w:rPr>
        <w:t>（3）安装：制造、安装、试验和验收应符合相应的企业标准或行业标准。</w:t>
      </w:r>
    </w:p>
    <w:p>
      <w:pPr>
        <w:widowControl/>
        <w:autoSpaceDE w:val="0"/>
        <w:autoSpaceDN w:val="0"/>
        <w:ind w:firstLine="480" w:firstLineChars="200"/>
        <w:textAlignment w:val="bottom"/>
        <w:rPr>
          <w:rFonts w:ascii="宋体" w:hAnsi="宋体"/>
          <w:color w:val="auto"/>
          <w:sz w:val="24"/>
          <w:highlight w:val="none"/>
        </w:rPr>
      </w:pPr>
      <w:r>
        <w:rPr>
          <w:rFonts w:hint="eastAsia" w:ascii="宋体" w:hAnsi="宋体"/>
          <w:color w:val="auto"/>
          <w:sz w:val="24"/>
          <w:highlight w:val="none"/>
        </w:rPr>
        <w:t>（4）成交供应商免费提供中标设备的安装服务。</w:t>
      </w:r>
    </w:p>
    <w:p>
      <w:pPr>
        <w:widowControl/>
        <w:autoSpaceDE w:val="0"/>
        <w:autoSpaceDN w:val="0"/>
        <w:ind w:firstLine="480" w:firstLineChars="200"/>
        <w:textAlignment w:val="bottom"/>
        <w:rPr>
          <w:rFonts w:ascii="宋体" w:hAnsi="宋体"/>
          <w:color w:val="auto"/>
          <w:sz w:val="24"/>
          <w:highlight w:val="none"/>
        </w:rPr>
      </w:pPr>
      <w:r>
        <w:rPr>
          <w:rFonts w:hint="eastAsia" w:ascii="宋体" w:hAnsi="宋体"/>
          <w:color w:val="auto"/>
          <w:sz w:val="24"/>
          <w:highlight w:val="none"/>
        </w:rPr>
        <w:t>（5）投标方在投标文件中提供安装调试计划、对安装场地和环境的要求。</w:t>
      </w:r>
    </w:p>
    <w:p>
      <w:pPr>
        <w:widowControl/>
        <w:autoSpaceDE w:val="0"/>
        <w:autoSpaceDN w:val="0"/>
        <w:ind w:firstLine="482" w:firstLineChars="200"/>
        <w:textAlignment w:val="bottom"/>
        <w:rPr>
          <w:rFonts w:ascii="宋体" w:hAnsi="宋体"/>
          <w:b/>
          <w:color w:val="auto"/>
          <w:sz w:val="24"/>
          <w:highlight w:val="none"/>
        </w:rPr>
      </w:pPr>
      <w:r>
        <w:rPr>
          <w:rFonts w:hint="eastAsia" w:ascii="宋体" w:hAnsi="宋体"/>
          <w:b/>
          <w:color w:val="auto"/>
          <w:sz w:val="24"/>
          <w:highlight w:val="none"/>
        </w:rPr>
        <w:t>4、验收</w:t>
      </w:r>
    </w:p>
    <w:p>
      <w:pPr>
        <w:widowControl/>
        <w:autoSpaceDE w:val="0"/>
        <w:autoSpaceDN w:val="0"/>
        <w:ind w:firstLine="480" w:firstLineChars="200"/>
        <w:textAlignment w:val="bottom"/>
        <w:rPr>
          <w:rFonts w:ascii="宋体" w:hAnsi="宋体"/>
          <w:color w:val="auto"/>
          <w:sz w:val="24"/>
          <w:highlight w:val="none"/>
        </w:rPr>
      </w:pPr>
      <w:r>
        <w:rPr>
          <w:rFonts w:hint="eastAsia" w:ascii="宋体" w:hAnsi="宋体"/>
          <w:color w:val="auto"/>
          <w:sz w:val="24"/>
          <w:highlight w:val="none"/>
        </w:rPr>
        <w:t>（1）供货方应提供设备的有效检验文件，经买方认可后，与合同的性能指标一起作为设备验收标准。买方按</w:t>
      </w:r>
      <w:r>
        <w:rPr>
          <w:rFonts w:hint="eastAsia" w:ascii="宋体" w:hAnsi="宋体"/>
          <w:b/>
          <w:color w:val="auto"/>
          <w:sz w:val="24"/>
          <w:highlight w:val="none"/>
        </w:rPr>
        <w:t>验收方案</w:t>
      </w:r>
      <w:r>
        <w:rPr>
          <w:rFonts w:hint="eastAsia" w:ascii="宋体" w:hAnsi="宋体"/>
          <w:color w:val="auto"/>
          <w:sz w:val="24"/>
          <w:highlight w:val="none"/>
        </w:rPr>
        <w:t>对设备验收合格后，由使用单位签署政府采购验收单，验收中发现设备达不到验收标准或合同规定的性能指标，卖方必须更换设备</w:t>
      </w:r>
      <w:r>
        <w:rPr>
          <w:rFonts w:hint="eastAsia"/>
          <w:bCs/>
          <w:color w:val="auto"/>
          <w:sz w:val="24"/>
          <w:highlight w:val="none"/>
        </w:rPr>
        <w:t>（在中标方整改期间，甲方有权免费使用全部家具设备）</w:t>
      </w:r>
      <w:r>
        <w:rPr>
          <w:rFonts w:hint="eastAsia" w:ascii="宋体" w:hAnsi="宋体"/>
          <w:color w:val="auto"/>
          <w:sz w:val="24"/>
          <w:highlight w:val="none"/>
        </w:rPr>
        <w:t>，并负担由此给用户造成的损失，直到验收合格为止。</w:t>
      </w:r>
    </w:p>
    <w:p>
      <w:pPr>
        <w:ind w:firstLine="480" w:firstLineChars="200"/>
        <w:rPr>
          <w:rFonts w:ascii="宋体" w:hAnsi="宋体"/>
          <w:color w:val="auto"/>
          <w:sz w:val="24"/>
          <w:highlight w:val="none"/>
        </w:rPr>
      </w:pPr>
      <w:r>
        <w:rPr>
          <w:rFonts w:hint="eastAsia" w:ascii="宋体" w:hAnsi="宋体"/>
          <w:color w:val="auto"/>
          <w:sz w:val="24"/>
          <w:highlight w:val="none"/>
        </w:rPr>
        <w:t>（2）投标方应在投标文件中提供设备的验收标准和检测办法，并在验收中提供买方认可的相应检测手段，验收标准应符合中国有关的国家、地方、行业的标准，如若成交，经买方确认后作为验收的依据。</w:t>
      </w:r>
    </w:p>
    <w:p>
      <w:pPr>
        <w:ind w:firstLine="480" w:firstLineChars="200"/>
        <w:rPr>
          <w:rFonts w:ascii="宋体" w:hAnsi="宋体"/>
          <w:color w:val="auto"/>
          <w:sz w:val="24"/>
          <w:highlight w:val="none"/>
        </w:rPr>
      </w:pPr>
      <w:r>
        <w:rPr>
          <w:rFonts w:hint="eastAsia" w:ascii="宋体" w:hAnsi="宋体"/>
          <w:color w:val="auto"/>
          <w:sz w:val="24"/>
          <w:highlight w:val="none"/>
        </w:rPr>
        <w:t>（3）验收时，采购人将视情况随机抽取一定数量的办公家具送质检部门进行破坏性试验，如抽检不合格或者不符合招标文件或投标文件或投标时送样要求的，该类别家具将予以退货处理。送检验收不合格，验收费由中标方负责。</w:t>
      </w:r>
    </w:p>
    <w:p>
      <w:pPr>
        <w:ind w:firstLine="480" w:firstLineChars="200"/>
        <w:rPr>
          <w:rFonts w:ascii="宋体" w:hAnsi="宋体"/>
          <w:color w:val="auto"/>
          <w:sz w:val="24"/>
          <w:highlight w:val="none"/>
        </w:rPr>
      </w:pPr>
      <w:r>
        <w:rPr>
          <w:rFonts w:hint="eastAsia" w:ascii="宋体" w:hAnsi="宋体"/>
          <w:color w:val="auto"/>
          <w:sz w:val="24"/>
          <w:highlight w:val="none"/>
        </w:rPr>
        <w:t>（4）普通验收费用由中标方承担。</w:t>
      </w:r>
    </w:p>
    <w:p>
      <w:pPr>
        <w:spacing w:line="276" w:lineRule="auto"/>
        <w:ind w:firstLine="480" w:firstLineChars="200"/>
        <w:rPr>
          <w:rFonts w:ascii="宋体" w:hAnsi="宋体"/>
          <w:color w:val="auto"/>
          <w:sz w:val="24"/>
          <w:highlight w:val="none"/>
        </w:rPr>
      </w:pPr>
      <w:r>
        <w:rPr>
          <w:rFonts w:hint="eastAsia" w:ascii="宋体" w:hAnsi="宋体"/>
          <w:color w:val="auto"/>
          <w:sz w:val="24"/>
          <w:highlight w:val="none"/>
        </w:rPr>
        <w:t>（5）本项目由用户直接组织验收，中标金额在150万元（含）以上的项目，金华市公共资源交易中心东阳分中心有可能组织相关部门对该项目实施抽检。</w:t>
      </w:r>
      <w:r>
        <w:rPr>
          <w:rFonts w:hint="eastAsia" w:ascii="宋体" w:hAnsi="宋体"/>
          <w:b/>
          <w:color w:val="auto"/>
          <w:sz w:val="24"/>
          <w:highlight w:val="none"/>
        </w:rPr>
        <w:t>所有项目用户验收合格后需将验收报告报送至金华市公共资源交易中心东阳分中心备案，验收表格见附件6。</w:t>
      </w:r>
    </w:p>
    <w:p>
      <w:pPr>
        <w:snapToGrid w:val="0"/>
        <w:spacing w:line="317" w:lineRule="auto"/>
        <w:rPr>
          <w:rFonts w:ascii="宋体" w:hAnsi="宋体"/>
          <w:color w:val="auto"/>
          <w:sz w:val="24"/>
          <w:highlight w:val="none"/>
        </w:rPr>
      </w:pPr>
      <w:r>
        <w:rPr>
          <w:rFonts w:hint="eastAsia" w:ascii="宋体" w:hAnsi="宋体"/>
          <w:color w:val="auto"/>
          <w:sz w:val="24"/>
          <w:highlight w:val="none"/>
        </w:rPr>
        <w:t>7.9售后服务</w:t>
      </w:r>
    </w:p>
    <w:p>
      <w:pPr>
        <w:spacing w:line="317" w:lineRule="auto"/>
        <w:ind w:firstLine="360" w:firstLineChars="150"/>
        <w:rPr>
          <w:rFonts w:ascii="宋体" w:hAnsi="宋体"/>
          <w:color w:val="auto"/>
          <w:sz w:val="24"/>
          <w:highlight w:val="none"/>
        </w:rPr>
      </w:pPr>
      <w:r>
        <w:rPr>
          <w:rFonts w:hint="eastAsia" w:ascii="宋体" w:hAnsi="宋体"/>
          <w:color w:val="auto"/>
          <w:sz w:val="24"/>
          <w:highlight w:val="none"/>
        </w:rPr>
        <w:t>7.9.1安装验收交付使用一年内，供方主动回访二次以上并提供免费保养，质保期内每年回访一次以上并提供免费保养。</w:t>
      </w:r>
    </w:p>
    <w:p>
      <w:pPr>
        <w:spacing w:line="317" w:lineRule="auto"/>
        <w:ind w:firstLine="360" w:firstLineChars="150"/>
        <w:rPr>
          <w:rFonts w:ascii="宋体" w:hAnsi="宋体"/>
          <w:color w:val="auto"/>
          <w:sz w:val="24"/>
          <w:highlight w:val="none"/>
        </w:rPr>
      </w:pPr>
      <w:r>
        <w:rPr>
          <w:rFonts w:hint="eastAsia" w:ascii="宋体" w:hAnsi="宋体"/>
          <w:color w:val="auto"/>
          <w:sz w:val="24"/>
          <w:highlight w:val="none"/>
        </w:rPr>
        <w:t>7.9.2供方提供五年（含）以上质保期，在质保期内由供方负责货物免费维修。</w:t>
      </w:r>
    </w:p>
    <w:p>
      <w:pPr>
        <w:spacing w:line="317" w:lineRule="auto"/>
        <w:ind w:firstLine="360" w:firstLineChars="150"/>
        <w:rPr>
          <w:rFonts w:ascii="宋体" w:hAnsi="宋体"/>
          <w:color w:val="auto"/>
          <w:sz w:val="24"/>
          <w:highlight w:val="none"/>
        </w:rPr>
      </w:pPr>
      <w:r>
        <w:rPr>
          <w:rFonts w:hint="eastAsia" w:ascii="宋体" w:hAnsi="宋体"/>
          <w:color w:val="auto"/>
          <w:sz w:val="24"/>
          <w:highlight w:val="none"/>
        </w:rPr>
        <w:t>7.9.3供方对提供的产品提供终身维修保养服务。质保期后的维修所发生的材料费用按供方的出厂价结算。</w:t>
      </w:r>
    </w:p>
    <w:p>
      <w:pPr>
        <w:spacing w:line="317" w:lineRule="auto"/>
        <w:ind w:firstLine="360" w:firstLineChars="150"/>
        <w:rPr>
          <w:rFonts w:ascii="宋体" w:hAnsi="宋体"/>
          <w:color w:val="auto"/>
          <w:sz w:val="24"/>
          <w:highlight w:val="none"/>
        </w:rPr>
      </w:pPr>
      <w:r>
        <w:rPr>
          <w:rFonts w:hint="eastAsia" w:ascii="宋体" w:hAnsi="宋体"/>
          <w:color w:val="auto"/>
          <w:sz w:val="24"/>
          <w:highlight w:val="none"/>
        </w:rPr>
        <w:t>7.9.4产品发生问题时，供方在接到需方的通知后（书面或电话）之日起24小时内赶赴现场进行维修。需方如遇紧急情况，供方应在12小时内赶赴现场进行维修，如果供方没有在规定的时间内赶赴现场进行维修，则甲方有权组织其他单位进行维修，维修费用从供方的违约保证金中扣除，同时每迟到一次扣保证</w:t>
      </w:r>
      <w:r>
        <w:rPr>
          <w:rFonts w:hint="eastAsia" w:ascii="宋体" w:hAnsi="宋体"/>
          <w:color w:val="auto"/>
          <w:sz w:val="24"/>
          <w:highlight w:val="none"/>
          <w:shd w:val="clear" w:color="auto" w:fill="FFFFFF" w:themeFill="background1"/>
        </w:rPr>
        <w:t>金</w:t>
      </w:r>
      <w:r>
        <w:rPr>
          <w:rFonts w:hint="eastAsia" w:ascii="宋体" w:hAnsi="宋体"/>
          <w:color w:val="auto"/>
          <w:sz w:val="24"/>
          <w:highlight w:val="none"/>
        </w:rPr>
        <w:t>300元。</w:t>
      </w:r>
    </w:p>
    <w:p>
      <w:pPr>
        <w:snapToGrid w:val="0"/>
        <w:spacing w:line="317" w:lineRule="auto"/>
        <w:ind w:firstLine="235" w:firstLineChars="98"/>
        <w:rPr>
          <w:rFonts w:ascii="宋体" w:hAnsi="宋体"/>
          <w:color w:val="auto"/>
          <w:sz w:val="24"/>
          <w:highlight w:val="none"/>
        </w:rPr>
      </w:pPr>
      <w:r>
        <w:rPr>
          <w:rFonts w:hint="eastAsia" w:ascii="宋体" w:hAnsi="宋体"/>
          <w:color w:val="auto"/>
          <w:sz w:val="24"/>
          <w:highlight w:val="none"/>
        </w:rPr>
        <w:t>7.10安装</w:t>
      </w:r>
    </w:p>
    <w:p>
      <w:pPr>
        <w:snapToGrid w:val="0"/>
        <w:spacing w:line="317" w:lineRule="auto"/>
        <w:ind w:firstLine="240" w:firstLineChars="100"/>
        <w:rPr>
          <w:rFonts w:ascii="宋体" w:hAnsi="宋体"/>
          <w:b/>
          <w:color w:val="auto"/>
          <w:sz w:val="24"/>
          <w:highlight w:val="none"/>
        </w:rPr>
      </w:pPr>
      <w:r>
        <w:rPr>
          <w:rFonts w:hint="eastAsia" w:ascii="宋体" w:hAnsi="宋体"/>
          <w:color w:val="auto"/>
          <w:sz w:val="24"/>
          <w:highlight w:val="none"/>
        </w:rPr>
        <w:t>7.10.1中标人负责办公家具的安装。</w:t>
      </w:r>
    </w:p>
    <w:p>
      <w:pPr>
        <w:snapToGrid w:val="0"/>
        <w:spacing w:line="317" w:lineRule="auto"/>
        <w:rPr>
          <w:rFonts w:ascii="宋体" w:hAnsi="宋体"/>
          <w:color w:val="auto"/>
          <w:sz w:val="24"/>
          <w:highlight w:val="none"/>
        </w:rPr>
      </w:pPr>
      <w:r>
        <w:rPr>
          <w:rFonts w:hint="eastAsia" w:ascii="宋体" w:hAnsi="宋体"/>
          <w:color w:val="auto"/>
          <w:sz w:val="24"/>
          <w:highlight w:val="none"/>
        </w:rPr>
        <w:t xml:space="preserve"> 7.10.2安装质量与办公家具等作为整体进行总验。</w:t>
      </w:r>
    </w:p>
    <w:p>
      <w:pPr>
        <w:spacing w:line="350" w:lineRule="exact"/>
        <w:jc w:val="center"/>
        <w:rPr>
          <w:rFonts w:ascii="宋体" w:hAnsi="宋体"/>
          <w:b/>
          <w:bCs/>
          <w:color w:val="auto"/>
          <w:sz w:val="28"/>
          <w:szCs w:val="28"/>
          <w:highlight w:val="none"/>
        </w:rPr>
      </w:pPr>
    </w:p>
    <w:p>
      <w:pPr>
        <w:spacing w:line="350" w:lineRule="exact"/>
        <w:jc w:val="center"/>
        <w:rPr>
          <w:rFonts w:ascii="宋体" w:hAnsi="宋体"/>
          <w:b/>
          <w:bCs/>
          <w:color w:val="auto"/>
          <w:sz w:val="28"/>
          <w:szCs w:val="28"/>
          <w:highlight w:val="none"/>
        </w:rPr>
      </w:pPr>
    </w:p>
    <w:p>
      <w:pPr>
        <w:spacing w:line="350" w:lineRule="exact"/>
        <w:jc w:val="center"/>
        <w:rPr>
          <w:rFonts w:ascii="宋体" w:hAnsi="宋体"/>
          <w:b/>
          <w:bCs/>
          <w:color w:val="auto"/>
          <w:sz w:val="28"/>
          <w:szCs w:val="28"/>
          <w:highlight w:val="none"/>
        </w:rPr>
      </w:pPr>
    </w:p>
    <w:p>
      <w:pPr>
        <w:spacing w:line="350" w:lineRule="exact"/>
        <w:jc w:val="center"/>
        <w:rPr>
          <w:rFonts w:hint="eastAsia" w:ascii="宋体" w:hAnsi="宋体"/>
          <w:b/>
          <w:bCs/>
          <w:color w:val="auto"/>
          <w:sz w:val="28"/>
          <w:szCs w:val="28"/>
          <w:highlight w:val="none"/>
        </w:rPr>
      </w:pPr>
    </w:p>
    <w:p>
      <w:pPr>
        <w:spacing w:line="350" w:lineRule="exact"/>
        <w:jc w:val="center"/>
        <w:rPr>
          <w:rFonts w:ascii="宋体" w:hAnsi="宋体"/>
          <w:b/>
          <w:bCs/>
          <w:color w:val="auto"/>
          <w:sz w:val="28"/>
          <w:szCs w:val="28"/>
          <w:highlight w:val="none"/>
        </w:rPr>
      </w:pPr>
    </w:p>
    <w:p>
      <w:pPr>
        <w:spacing w:line="350" w:lineRule="exact"/>
        <w:jc w:val="center"/>
        <w:rPr>
          <w:rFonts w:ascii="宋体" w:hAnsi="宋体"/>
          <w:b/>
          <w:color w:val="auto"/>
          <w:sz w:val="24"/>
          <w:highlight w:val="none"/>
        </w:rPr>
      </w:pPr>
      <w:r>
        <w:rPr>
          <w:rFonts w:hint="eastAsia" w:ascii="宋体" w:hAnsi="宋体"/>
          <w:b/>
          <w:bCs/>
          <w:color w:val="auto"/>
          <w:sz w:val="28"/>
          <w:szCs w:val="28"/>
          <w:highlight w:val="none"/>
        </w:rPr>
        <w:t>招标货物一览表</w:t>
      </w:r>
    </w:p>
    <w:tbl>
      <w:tblPr>
        <w:tblStyle w:val="18"/>
        <w:tblpPr w:leftFromText="180" w:rightFromText="180" w:vertAnchor="text" w:horzAnchor="page" w:tblpX="1598" w:tblpY="1033"/>
        <w:tblOverlap w:val="never"/>
        <w:tblW w:w="9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175"/>
        <w:gridCol w:w="615"/>
        <w:gridCol w:w="1233"/>
        <w:gridCol w:w="3552"/>
        <w:gridCol w:w="450"/>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35" w:type="dxa"/>
            <w:shd w:val="clear" w:color="000000" w:fill="CCFFFF"/>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175" w:type="dxa"/>
            <w:shd w:val="clear" w:color="000000" w:fill="CCFFFF"/>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图 片</w:t>
            </w:r>
          </w:p>
        </w:tc>
        <w:tc>
          <w:tcPr>
            <w:tcW w:w="615" w:type="dxa"/>
            <w:shd w:val="clear" w:color="000000" w:fill="CCFFFF"/>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名 称</w:t>
            </w:r>
          </w:p>
        </w:tc>
        <w:tc>
          <w:tcPr>
            <w:tcW w:w="1233" w:type="dxa"/>
            <w:shd w:val="clear" w:color="000000" w:fill="CCFFFF"/>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规 格（</w:t>
            </w:r>
            <w:r>
              <w:rPr>
                <w:rFonts w:hint="eastAsia" w:ascii="宋体" w:hAnsi="宋体" w:cs="宋体"/>
                <w:color w:val="auto"/>
                <w:kern w:val="0"/>
                <w:sz w:val="24"/>
                <w:highlight w:val="none"/>
              </w:rPr>
              <w:t>长*宽*高</w:t>
            </w:r>
            <w:r>
              <w:rPr>
                <w:rFonts w:hint="eastAsia" w:ascii="宋体" w:hAnsi="宋体" w:cs="宋体"/>
                <w:b/>
                <w:bCs/>
                <w:color w:val="auto"/>
                <w:kern w:val="0"/>
                <w:sz w:val="24"/>
                <w:highlight w:val="none"/>
              </w:rPr>
              <w:t>）</w:t>
            </w:r>
          </w:p>
        </w:tc>
        <w:tc>
          <w:tcPr>
            <w:tcW w:w="3552" w:type="dxa"/>
            <w:shd w:val="clear" w:color="000000" w:fill="CCFFFF"/>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材质</w:t>
            </w:r>
          </w:p>
        </w:tc>
        <w:tc>
          <w:tcPr>
            <w:tcW w:w="450" w:type="dxa"/>
            <w:shd w:val="clear" w:color="000000" w:fill="CCFFFF"/>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单位</w:t>
            </w:r>
          </w:p>
        </w:tc>
        <w:tc>
          <w:tcPr>
            <w:tcW w:w="735" w:type="dxa"/>
            <w:shd w:val="clear" w:color="000000" w:fill="CCFFFF"/>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8"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17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59264" behindDoc="0" locked="0" layoutInCell="1" allowOverlap="1">
                  <wp:simplePos x="0" y="0"/>
                  <wp:positionH relativeFrom="column">
                    <wp:posOffset>-19685</wp:posOffset>
                  </wp:positionH>
                  <wp:positionV relativeFrom="paragraph">
                    <wp:posOffset>197485</wp:posOffset>
                  </wp:positionV>
                  <wp:extent cx="1228090" cy="933450"/>
                  <wp:effectExtent l="0" t="0" r="1016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8" cstate="print"/>
                          <a:stretch>
                            <a:fillRect/>
                          </a:stretch>
                        </pic:blipFill>
                        <pic:spPr>
                          <a:xfrm>
                            <a:off x="0" y="0"/>
                            <a:ext cx="1228090" cy="938530"/>
                          </a:xfrm>
                          <a:prstGeom prst="rect">
                            <a:avLst/>
                          </a:prstGeom>
                          <a:noFill/>
                          <a:ln w="9525">
                            <a:noFill/>
                          </a:ln>
                        </pic:spPr>
                      </pic:pic>
                    </a:graphicData>
                  </a:graphic>
                </wp:anchor>
              </w:drawing>
            </w:r>
          </w:p>
        </w:tc>
        <w:tc>
          <w:tcPr>
            <w:tcW w:w="61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办公桌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1600*700*760（含活动柜）</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vMerge w:val="restart"/>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套 </w:t>
            </w:r>
          </w:p>
        </w:tc>
        <w:tc>
          <w:tcPr>
            <w:tcW w:w="735" w:type="dxa"/>
            <w:vMerge w:val="restart"/>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17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89984" behindDoc="0" locked="0" layoutInCell="1" allowOverlap="1">
                  <wp:simplePos x="0" y="0"/>
                  <wp:positionH relativeFrom="column">
                    <wp:posOffset>247650</wp:posOffset>
                  </wp:positionH>
                  <wp:positionV relativeFrom="paragraph">
                    <wp:posOffset>435610</wp:posOffset>
                  </wp:positionV>
                  <wp:extent cx="771525" cy="1181100"/>
                  <wp:effectExtent l="0" t="0" r="9525" b="0"/>
                  <wp:wrapNone/>
                  <wp:docPr id="119" name="图片 119" descr="5420440034410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542044003441013401"/>
                          <pic:cNvPicPr>
                            <a:picLocks noChangeAspect="1"/>
                          </pic:cNvPicPr>
                        </pic:nvPicPr>
                        <pic:blipFill>
                          <a:blip r:embed="rId19" cstate="print"/>
                          <a:stretch>
                            <a:fillRect/>
                          </a:stretch>
                        </pic:blipFill>
                        <pic:spPr>
                          <a:xfrm>
                            <a:off x="0" y="0"/>
                            <a:ext cx="768985" cy="1185545"/>
                          </a:xfrm>
                          <a:prstGeom prst="rect">
                            <a:avLst/>
                          </a:prstGeom>
                        </pic:spPr>
                      </pic:pic>
                    </a:graphicData>
                  </a:graphic>
                </wp:anchor>
              </w:drawing>
            </w:r>
          </w:p>
        </w:tc>
        <w:tc>
          <w:tcPr>
            <w:tcW w:w="61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办公椅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常规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面料：优质透气网布覆面，耐磨性好，透气性强；</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座垫夹板：采用12mm以上多层曲木板，一次冲压成型；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配件：韩国“三弘”气压棒；</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扶手：采用PP硬扶手；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脚架：采用尼龙五星脚，性能符合国际标准；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椅轮：印尼杜邦脚轮，滑动时无杂音。 </w:t>
            </w:r>
          </w:p>
        </w:tc>
        <w:tc>
          <w:tcPr>
            <w:tcW w:w="450" w:type="dxa"/>
            <w:vMerge w:val="continue"/>
            <w:vAlign w:val="center"/>
          </w:tcPr>
          <w:p>
            <w:pPr>
              <w:widowControl/>
              <w:jc w:val="left"/>
              <w:rPr>
                <w:rFonts w:ascii="宋体" w:hAnsi="宋体" w:cs="宋体"/>
                <w:color w:val="auto"/>
                <w:kern w:val="0"/>
                <w:sz w:val="24"/>
                <w:highlight w:val="none"/>
              </w:rPr>
            </w:pPr>
          </w:p>
        </w:tc>
        <w:tc>
          <w:tcPr>
            <w:tcW w:w="735" w:type="dxa"/>
            <w:vMerge w:val="continue"/>
            <w:vAlign w:val="center"/>
          </w:tcPr>
          <w:p>
            <w:pPr>
              <w:widowControl/>
              <w:jc w:val="left"/>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60288" behindDoc="0" locked="0" layoutInCell="1" allowOverlap="1">
                  <wp:simplePos x="0" y="0"/>
                  <wp:positionH relativeFrom="column">
                    <wp:posOffset>-9525</wp:posOffset>
                  </wp:positionH>
                  <wp:positionV relativeFrom="paragraph">
                    <wp:posOffset>171450</wp:posOffset>
                  </wp:positionV>
                  <wp:extent cx="1209675" cy="1228725"/>
                  <wp:effectExtent l="0" t="0" r="9525" b="952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0" cstate="print"/>
                          <a:stretch>
                            <a:fillRect/>
                          </a:stretch>
                        </pic:blipFill>
                        <pic:spPr>
                          <a:xfrm>
                            <a:off x="0" y="0"/>
                            <a:ext cx="1206500" cy="1407584"/>
                          </a:xfrm>
                          <a:prstGeom prst="rect">
                            <a:avLst/>
                          </a:prstGeom>
                        </pic:spPr>
                      </pic:pic>
                    </a:graphicData>
                  </a:graphic>
                </wp:anchor>
              </w:drawing>
            </w:r>
          </w:p>
        </w:tc>
        <w:tc>
          <w:tcPr>
            <w:tcW w:w="61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接待椅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常规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一人位椅                         ·标配升降底盘·标配抛光铝合金脚/电镀气杆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2175" w:type="dxa"/>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63360" behindDoc="0" locked="0" layoutInCell="1" allowOverlap="1">
                  <wp:simplePos x="0" y="0"/>
                  <wp:positionH relativeFrom="column">
                    <wp:posOffset>-38100</wp:posOffset>
                  </wp:positionH>
                  <wp:positionV relativeFrom="paragraph">
                    <wp:posOffset>542925</wp:posOffset>
                  </wp:positionV>
                  <wp:extent cx="1219835" cy="771525"/>
                  <wp:effectExtent l="0" t="0" r="18415" b="9525"/>
                  <wp:wrapNone/>
                  <wp:docPr id="115" name="图片 115" descr="SJ820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SJ820A-31-"/>
                          <pic:cNvPicPr>
                            <a:picLocks noChangeAspect="1"/>
                          </pic:cNvPicPr>
                        </pic:nvPicPr>
                        <pic:blipFill>
                          <a:blip r:embed="rId21" cstate="print"/>
                          <a:stretch>
                            <a:fillRect/>
                          </a:stretch>
                        </pic:blipFill>
                        <pic:spPr>
                          <a:xfrm>
                            <a:off x="0" y="0"/>
                            <a:ext cx="1219835" cy="771525"/>
                          </a:xfrm>
                          <a:prstGeom prst="rect">
                            <a:avLst/>
                          </a:prstGeom>
                          <a:noFill/>
                          <a:ln w="9525">
                            <a:noFill/>
                          </a:ln>
                        </pic:spPr>
                      </pic:pic>
                    </a:graphicData>
                  </a:graphic>
                </wp:anchor>
              </w:drawing>
            </w:r>
            <w:r>
              <w:rPr>
                <w:rFonts w:hint="eastAsia" w:ascii="宋体" w:hAnsi="宋体" w:cs="宋体"/>
                <w:color w:val="auto"/>
                <w:kern w:val="0"/>
                <w:sz w:val="24"/>
                <w:highlight w:val="none"/>
              </w:rPr>
              <w:drawing>
                <wp:anchor distT="0" distB="0" distL="114300" distR="114300" simplePos="0" relativeHeight="251661312" behindDoc="0" locked="0" layoutInCell="1" allowOverlap="1">
                  <wp:simplePos x="0" y="0"/>
                  <wp:positionH relativeFrom="column">
                    <wp:posOffset>95250</wp:posOffset>
                  </wp:positionH>
                  <wp:positionV relativeFrom="paragraph">
                    <wp:posOffset>685800</wp:posOffset>
                  </wp:positionV>
                  <wp:extent cx="1304925" cy="9525"/>
                  <wp:effectExtent l="0" t="0" r="0" b="0"/>
                  <wp:wrapNone/>
                  <wp:docPr id="117" name="图片 117" descr="SJ820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SJ820A-31-"/>
                          <pic:cNvPicPr>
                            <a:picLocks noChangeAspect="1"/>
                          </pic:cNvPicPr>
                        </pic:nvPicPr>
                        <pic:blipFill>
                          <a:blip r:embed="rId21"/>
                          <a:stretch>
                            <a:fillRect/>
                          </a:stretch>
                        </pic:blipFill>
                        <pic:spPr>
                          <a:xfrm>
                            <a:off x="0" y="0"/>
                            <a:ext cx="1304925" cy="1270"/>
                          </a:xfrm>
                          <a:prstGeom prst="rect">
                            <a:avLst/>
                          </a:prstGeom>
                          <a:noFill/>
                          <a:ln w="9525">
                            <a:noFill/>
                          </a:ln>
                        </pic:spPr>
                      </pic:pic>
                    </a:graphicData>
                  </a:graphic>
                </wp:anchor>
              </w:drawing>
            </w:r>
            <w:r>
              <w:rPr>
                <w:rFonts w:hint="eastAsia" w:ascii="宋体" w:hAnsi="宋体" w:cs="宋体"/>
                <w:color w:val="auto"/>
                <w:kern w:val="0"/>
                <w:sz w:val="24"/>
                <w:highlight w:val="none"/>
              </w:rPr>
              <w:drawing>
                <wp:anchor distT="0" distB="0" distL="114300" distR="114300" simplePos="0" relativeHeight="251662336" behindDoc="0" locked="0" layoutInCell="1" allowOverlap="1">
                  <wp:simplePos x="0" y="0"/>
                  <wp:positionH relativeFrom="column">
                    <wp:posOffset>133350</wp:posOffset>
                  </wp:positionH>
                  <wp:positionV relativeFrom="paragraph">
                    <wp:posOffset>704850</wp:posOffset>
                  </wp:positionV>
                  <wp:extent cx="1304925" cy="9525"/>
                  <wp:effectExtent l="0" t="0" r="0" b="0"/>
                  <wp:wrapNone/>
                  <wp:docPr id="116" name="图片 116" descr="SJ820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SJ820A-31-"/>
                          <pic:cNvPicPr>
                            <a:picLocks noChangeAspect="1"/>
                          </pic:cNvPicPr>
                        </pic:nvPicPr>
                        <pic:blipFill>
                          <a:blip r:embed="rId21" cstate="print"/>
                          <a:stretch>
                            <a:fillRect/>
                          </a:stretch>
                        </pic:blipFill>
                        <pic:spPr>
                          <a:xfrm>
                            <a:off x="0" y="0"/>
                            <a:ext cx="1304925" cy="732155"/>
                          </a:xfrm>
                          <a:prstGeom prst="rect">
                            <a:avLst/>
                          </a:prstGeom>
                          <a:noFill/>
                          <a:ln w="9525">
                            <a:noFill/>
                          </a:ln>
                        </pic:spPr>
                      </pic:pic>
                    </a:graphicData>
                  </a:graphic>
                </wp:anchor>
              </w:drawing>
            </w:r>
          </w:p>
        </w:tc>
        <w:tc>
          <w:tcPr>
            <w:tcW w:w="61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排椅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三人位 </w:t>
            </w:r>
          </w:p>
        </w:tc>
        <w:tc>
          <w:tcPr>
            <w:tcW w:w="3552" w:type="dxa"/>
            <w:shd w:val="clear" w:color="000000" w:fill="FFFFFF"/>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面料：进口优质PU皮面料,皮面光泽度好,透气性强,柔软而富有韧性。 </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海绵：高密度一体定型海绵密度≥45密度。压缩永久变性率小于1.3%(国际标准小于10%)。表面带有保护面，防氧化软硬适中，回弹好不变形，靠背倾仰角度与垂直面成20度，符合人体工程学。</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 xml:space="preserve">产品工艺：欧美无缝焊接，高温静电喷涂，质量要求达到无裂缝折痕，表面光滑平整；粉料：优质粉体。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把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1248" behindDoc="0" locked="0" layoutInCell="1" allowOverlap="1">
                  <wp:simplePos x="0" y="0"/>
                  <wp:positionH relativeFrom="column">
                    <wp:posOffset>-19050</wp:posOffset>
                  </wp:positionH>
                  <wp:positionV relativeFrom="paragraph">
                    <wp:posOffset>476250</wp:posOffset>
                  </wp:positionV>
                  <wp:extent cx="1181100" cy="1181100"/>
                  <wp:effectExtent l="0" t="0" r="0" b="0"/>
                  <wp:wrapNone/>
                  <wp:docPr id="114" name="图片 114" descr="C:\Users\Administrator\AppData\Roaming\Tencent\Users\370714700\QQ\WinTemp\RichOle\X[TNGOY_FX)(ECS8MGLS{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Administrator\AppData\Roaming\Tencent\Users\370714700\QQ\WinTemp\RichOle\X[TNGOY_FX)(ECS8MGLS{_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81100" cy="1181100"/>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217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11488" behindDoc="0" locked="0" layoutInCell="1" allowOverlap="1">
                  <wp:simplePos x="0" y="0"/>
                  <wp:positionH relativeFrom="column">
                    <wp:posOffset>285750</wp:posOffset>
                  </wp:positionH>
                  <wp:positionV relativeFrom="paragraph">
                    <wp:posOffset>28575</wp:posOffset>
                  </wp:positionV>
                  <wp:extent cx="714375" cy="1638300"/>
                  <wp:effectExtent l="0" t="0" r="9525" b="0"/>
                  <wp:wrapNone/>
                  <wp:docPr id="113" name="图片 113" descr="Mg-HE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Mg-HE02A"/>
                          <pic:cNvPicPr>
                            <a:picLocks noChangeAspect="1" noChangeArrowheads="1"/>
                          </pic:cNvPicPr>
                        </pic:nvPicPr>
                        <pic:blipFill>
                          <a:blip r:embed="rId23" cstate="print">
                            <a:extLst>
                              <a:ext uri="{28A0092B-C50C-407E-A947-70E740481C1C}">
                                <a14:useLocalDpi xmlns:a14="http://schemas.microsoft.com/office/drawing/2010/main" val="0"/>
                              </a:ext>
                            </a:extLst>
                          </a:blip>
                          <a:srcRect l="3807" t="2448" r="48305"/>
                          <a:stretch>
                            <a:fillRect/>
                          </a:stretch>
                        </pic:blipFill>
                        <pic:spPr>
                          <a:xfrm>
                            <a:off x="0" y="0"/>
                            <a:ext cx="714375" cy="1640417"/>
                          </a:xfrm>
                          <a:prstGeom prst="rect">
                            <a:avLst/>
                          </a:prstGeom>
                          <a:noFill/>
                          <a:ln>
                            <a:noFill/>
                          </a:ln>
                        </pic:spPr>
                      </pic:pic>
                    </a:graphicData>
                  </a:graphic>
                </wp:anchor>
              </w:drawing>
            </w:r>
          </w:p>
        </w:tc>
        <w:tc>
          <w:tcPr>
            <w:tcW w:w="61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文件柜 </w:t>
            </w:r>
          </w:p>
        </w:tc>
        <w:tc>
          <w:tcPr>
            <w:tcW w:w="1233"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1600*400*1800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组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8"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7</w:t>
            </w:r>
          </w:p>
        </w:tc>
        <w:tc>
          <w:tcPr>
            <w:tcW w:w="2175" w:type="dxa"/>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88960" behindDoc="0" locked="0" layoutInCell="1" allowOverlap="1">
                  <wp:simplePos x="0" y="0"/>
                  <wp:positionH relativeFrom="column">
                    <wp:posOffset>52070</wp:posOffset>
                  </wp:positionH>
                  <wp:positionV relativeFrom="paragraph">
                    <wp:posOffset>542925</wp:posOffset>
                  </wp:positionV>
                  <wp:extent cx="1177290" cy="789940"/>
                  <wp:effectExtent l="0" t="0" r="3810" b="1016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77290" cy="789940"/>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办公桌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2200*1050*760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贴面：采用美国大西洋进口0.6mm胡桃木木皮贴面，纹理均匀清晰；</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油漆：采用台湾“大宝”PE底漆，光泽丰满，附着力强，PU面漆，耐腐蚀性，耐水耐磨，引用意大利先进油漆工艺“五底三面”，光泽均匀，硬度高达3H，抗刮性强，不褪色；</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封边：采用进口木皮封边及整体贴面的先进工艺； </w:t>
            </w:r>
          </w:p>
        </w:tc>
        <w:tc>
          <w:tcPr>
            <w:tcW w:w="450" w:type="dxa"/>
            <w:vMerge w:val="restart"/>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套 </w:t>
            </w:r>
          </w:p>
        </w:tc>
        <w:tc>
          <w:tcPr>
            <w:tcW w:w="735" w:type="dxa"/>
            <w:vMerge w:val="restart"/>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2175" w:type="dxa"/>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91008" behindDoc="0" locked="0" layoutInCell="1" allowOverlap="1">
                  <wp:simplePos x="0" y="0"/>
                  <wp:positionH relativeFrom="column">
                    <wp:posOffset>-28575</wp:posOffset>
                  </wp:positionH>
                  <wp:positionV relativeFrom="paragraph">
                    <wp:posOffset>133350</wp:posOffset>
                  </wp:positionV>
                  <wp:extent cx="1228725" cy="1552575"/>
                  <wp:effectExtent l="0" t="0" r="9525" b="952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cstate="print"/>
                          <a:stretch>
                            <a:fillRect/>
                          </a:stretch>
                        </pic:blipFill>
                        <pic:spPr>
                          <a:xfrm>
                            <a:off x="0" y="0"/>
                            <a:ext cx="1233635" cy="1552575"/>
                          </a:xfrm>
                          <a:prstGeom prst="rect">
                            <a:avLst/>
                          </a:prstGeom>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大班椅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常规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座垫夹板：采用12mm以上多层曲木板，一次冲压成型；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脚架：优质橡胶木实木框架结构。 </w:t>
            </w:r>
          </w:p>
        </w:tc>
        <w:tc>
          <w:tcPr>
            <w:tcW w:w="450" w:type="dxa"/>
            <w:vMerge w:val="continue"/>
            <w:vAlign w:val="center"/>
          </w:tcPr>
          <w:p>
            <w:pPr>
              <w:widowControl/>
              <w:jc w:val="left"/>
              <w:rPr>
                <w:rFonts w:ascii="宋体" w:hAnsi="宋体" w:cs="宋体"/>
                <w:color w:val="auto"/>
                <w:kern w:val="0"/>
                <w:sz w:val="24"/>
                <w:highlight w:val="none"/>
              </w:rPr>
            </w:pPr>
          </w:p>
        </w:tc>
        <w:tc>
          <w:tcPr>
            <w:tcW w:w="735" w:type="dxa"/>
            <w:vMerge w:val="continue"/>
            <w:vAlign w:val="center"/>
          </w:tcPr>
          <w:p>
            <w:pPr>
              <w:widowControl/>
              <w:jc w:val="left"/>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9</w:t>
            </w:r>
          </w:p>
        </w:tc>
        <w:tc>
          <w:tcPr>
            <w:tcW w:w="2175" w:type="dxa"/>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64384" behindDoc="0" locked="0" layoutInCell="1" allowOverlap="1">
                  <wp:simplePos x="0" y="0"/>
                  <wp:positionH relativeFrom="column">
                    <wp:posOffset>-38100</wp:posOffset>
                  </wp:positionH>
                  <wp:positionV relativeFrom="paragraph">
                    <wp:posOffset>476250</wp:posOffset>
                  </wp:positionV>
                  <wp:extent cx="1295400" cy="1028700"/>
                  <wp:effectExtent l="0" t="0" r="0" b="0"/>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6" cstate="print"/>
                          <a:stretch>
                            <a:fillRect/>
                          </a:stretch>
                        </pic:blipFill>
                        <pic:spPr>
                          <a:xfrm>
                            <a:off x="0" y="0"/>
                            <a:ext cx="1288988" cy="1031877"/>
                          </a:xfrm>
                          <a:prstGeom prst="rect">
                            <a:avLst/>
                          </a:prstGeom>
                          <a:noFill/>
                          <a:ln w="9525">
                            <a:noFill/>
                          </a:ln>
                        </pic:spPr>
                      </pic:pic>
                    </a:graphicData>
                  </a:graphic>
                </wp:anchor>
              </w:drawing>
            </w:r>
            <w:r>
              <w:rPr>
                <w:rFonts w:hint="eastAsia" w:ascii="宋体" w:hAnsi="宋体" w:cs="宋体"/>
                <w:color w:val="auto"/>
                <w:kern w:val="0"/>
                <w:sz w:val="24"/>
                <w:highlight w:val="none"/>
              </w:rPr>
              <w:drawing>
                <wp:anchor distT="0" distB="0" distL="114300" distR="114300" simplePos="0" relativeHeight="251670528" behindDoc="0" locked="0" layoutInCell="1" allowOverlap="1">
                  <wp:simplePos x="0" y="0"/>
                  <wp:positionH relativeFrom="column">
                    <wp:posOffset>114300</wp:posOffset>
                  </wp:positionH>
                  <wp:positionV relativeFrom="paragraph">
                    <wp:posOffset>533400</wp:posOffset>
                  </wp:positionV>
                  <wp:extent cx="1219200" cy="0"/>
                  <wp:effectExtent l="0" t="0" r="0" b="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7"/>
                          <a:stretch>
                            <a:fillRect/>
                          </a:stretch>
                        </pic:blipFill>
                        <pic:spPr>
                          <a:xfrm>
                            <a:off x="0" y="0"/>
                            <a:ext cx="1219200" cy="0"/>
                          </a:xfrm>
                          <a:prstGeom prst="rect">
                            <a:avLst/>
                          </a:prstGeom>
                          <a:noFill/>
                          <a:ln w="9525">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书柜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2400*400*1800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组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10</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66432" behindDoc="0" locked="0" layoutInCell="1" allowOverlap="1">
                  <wp:simplePos x="0" y="0"/>
                  <wp:positionH relativeFrom="column">
                    <wp:posOffset>0</wp:posOffset>
                  </wp:positionH>
                  <wp:positionV relativeFrom="paragraph">
                    <wp:posOffset>123825</wp:posOffset>
                  </wp:positionV>
                  <wp:extent cx="1285875" cy="1085850"/>
                  <wp:effectExtent l="0" t="0" r="9525" b="0"/>
                  <wp:wrapNone/>
                  <wp:docPr id="108" name="图片 108" descr="22697577245530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226975772455304343"/>
                          <pic:cNvPicPr>
                            <a:picLocks noChangeAspect="1"/>
                          </pic:cNvPicPr>
                        </pic:nvPicPr>
                        <pic:blipFill>
                          <a:blip r:embed="rId28" cstate="print"/>
                          <a:stretch>
                            <a:fillRect/>
                          </a:stretch>
                        </pic:blipFill>
                        <pic:spPr>
                          <a:xfrm>
                            <a:off x="0" y="0"/>
                            <a:ext cx="1289685" cy="1082675"/>
                          </a:xfrm>
                          <a:prstGeom prst="rect">
                            <a:avLst/>
                          </a:prstGeom>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沙发</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1+2+3</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座垫夹板：采用12mm以上多层曲木板，一次冲压成型；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脚架：优质橡胶木实木框架结构。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套</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3296" behindDoc="0" locked="0" layoutInCell="1" allowOverlap="1">
                  <wp:simplePos x="0" y="0"/>
                  <wp:positionH relativeFrom="column">
                    <wp:posOffset>-38100</wp:posOffset>
                  </wp:positionH>
                  <wp:positionV relativeFrom="paragraph">
                    <wp:posOffset>600075</wp:posOffset>
                  </wp:positionV>
                  <wp:extent cx="1216660" cy="771525"/>
                  <wp:effectExtent l="0" t="0" r="2540" b="9525"/>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6660" cy="775555"/>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贴面：采用美国大西洋进口0.6mm胡桃木木皮贴面，纹理均匀清晰；</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油漆：采用台湾“大宝”PE底漆，光泽丰满，附着力强，PU面漆，耐腐蚀性，耐水耐磨，引用意大利先进油漆工艺“五底三面”，光泽均匀，硬度高达3H，抗刮性强，不褪色；</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封边：采用进口木皮封边及整体贴面的先进工艺；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67456" behindDoc="0" locked="0" layoutInCell="1" allowOverlap="1">
                  <wp:simplePos x="0" y="0"/>
                  <wp:positionH relativeFrom="column">
                    <wp:posOffset>0</wp:posOffset>
                  </wp:positionH>
                  <wp:positionV relativeFrom="paragraph">
                    <wp:posOffset>790575</wp:posOffset>
                  </wp:positionV>
                  <wp:extent cx="1257300" cy="704850"/>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0" cstate="print"/>
                          <a:stretch>
                            <a:fillRect/>
                          </a:stretch>
                        </pic:blipFill>
                        <pic:spPr>
                          <a:xfrm>
                            <a:off x="0" y="0"/>
                            <a:ext cx="1257935" cy="706120"/>
                          </a:xfrm>
                          <a:prstGeom prst="rect">
                            <a:avLst/>
                          </a:prstGeom>
                          <a:noFill/>
                          <a:ln w="9525">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茶几</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1200*600*420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贴面：采用美国大西洋进口0.6mm胡桃木木皮贴面，纹理均匀清晰；</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油漆：采用台湾“大宝”PE底漆，光泽丰满，附着力强，PU面漆，耐腐蚀性，耐水耐磨，引用意大利先进油漆工艺“五底三面”，光泽均匀，硬度高达3H，抗刮性强，不褪色；</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封边：采用进口木皮封边及整体贴面的先进工艺；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个</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13</w:t>
            </w:r>
          </w:p>
        </w:tc>
        <w:tc>
          <w:tcPr>
            <w:tcW w:w="217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12512" behindDoc="0" locked="0" layoutInCell="1" allowOverlap="1">
                  <wp:simplePos x="0" y="0"/>
                  <wp:positionH relativeFrom="column">
                    <wp:posOffset>371475</wp:posOffset>
                  </wp:positionH>
                  <wp:positionV relativeFrom="paragraph">
                    <wp:posOffset>57150</wp:posOffset>
                  </wp:positionV>
                  <wp:extent cx="714375" cy="1638300"/>
                  <wp:effectExtent l="0" t="0" r="9525" b="0"/>
                  <wp:wrapNone/>
                  <wp:docPr id="105" name="图片 105" descr="Mg-HE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Mg-HE02A"/>
                          <pic:cNvPicPr>
                            <a:picLocks noChangeAspect="1" noChangeArrowheads="1"/>
                          </pic:cNvPicPr>
                        </pic:nvPicPr>
                        <pic:blipFill>
                          <a:blip r:embed="rId23" cstate="print">
                            <a:extLst>
                              <a:ext uri="{28A0092B-C50C-407E-A947-70E740481C1C}">
                                <a14:useLocalDpi xmlns:a14="http://schemas.microsoft.com/office/drawing/2010/main" val="0"/>
                              </a:ext>
                            </a:extLst>
                          </a:blip>
                          <a:srcRect l="3807" t="2448" r="48305"/>
                          <a:stretch>
                            <a:fillRect/>
                          </a:stretch>
                        </pic:blipFill>
                        <pic:spPr>
                          <a:xfrm>
                            <a:off x="0" y="0"/>
                            <a:ext cx="714375" cy="1640417"/>
                          </a:xfrm>
                          <a:prstGeom prst="rect">
                            <a:avLst/>
                          </a:prstGeom>
                          <a:noFill/>
                          <a:ln>
                            <a:noFill/>
                          </a:ln>
                        </pic:spPr>
                      </pic:pic>
                    </a:graphicData>
                  </a:graphic>
                </wp:anchor>
              </w:drawing>
            </w:r>
          </w:p>
        </w:tc>
        <w:tc>
          <w:tcPr>
            <w:tcW w:w="61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文件柜 </w:t>
            </w:r>
          </w:p>
        </w:tc>
        <w:tc>
          <w:tcPr>
            <w:tcW w:w="1233"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1600*400*1800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组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14</w:t>
            </w:r>
          </w:p>
        </w:tc>
        <w:tc>
          <w:tcPr>
            <w:tcW w:w="2175" w:type="dxa"/>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68480" behindDoc="0" locked="0" layoutInCell="1" allowOverlap="1">
                  <wp:simplePos x="0" y="0"/>
                  <wp:positionH relativeFrom="column">
                    <wp:posOffset>87630</wp:posOffset>
                  </wp:positionH>
                  <wp:positionV relativeFrom="paragraph">
                    <wp:posOffset>319405</wp:posOffset>
                  </wp:positionV>
                  <wp:extent cx="1084580" cy="952500"/>
                  <wp:effectExtent l="0" t="0" r="1270"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1" cstate="print"/>
                          <a:stretch>
                            <a:fillRect/>
                          </a:stretch>
                        </pic:blipFill>
                        <pic:spPr>
                          <a:xfrm>
                            <a:off x="0" y="0"/>
                            <a:ext cx="1084580" cy="952500"/>
                          </a:xfrm>
                          <a:prstGeom prst="rect">
                            <a:avLst/>
                          </a:prstGeom>
                          <a:noFill/>
                          <a:ln w="9525">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办公桌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2</w:t>
            </w:r>
            <w:r>
              <w:rPr>
                <w:rFonts w:ascii="宋体" w:hAnsi="宋体" w:cs="宋体"/>
                <w:color w:val="auto"/>
                <w:kern w:val="0"/>
                <w:sz w:val="24"/>
                <w:highlight w:val="none"/>
              </w:rPr>
              <w:t>0</w:t>
            </w:r>
            <w:r>
              <w:rPr>
                <w:rFonts w:hint="eastAsia" w:ascii="宋体" w:hAnsi="宋体" w:cs="宋体"/>
                <w:color w:val="auto"/>
                <w:kern w:val="0"/>
                <w:sz w:val="24"/>
                <w:highlight w:val="none"/>
              </w:rPr>
              <w:t>00*10</w:t>
            </w:r>
            <w:r>
              <w:rPr>
                <w:rFonts w:ascii="宋体" w:hAnsi="宋体" w:cs="宋体"/>
                <w:color w:val="auto"/>
                <w:kern w:val="0"/>
                <w:sz w:val="24"/>
                <w:highlight w:val="none"/>
              </w:rPr>
              <w:t>0</w:t>
            </w:r>
            <w:r>
              <w:rPr>
                <w:rFonts w:hint="eastAsia" w:ascii="宋体" w:hAnsi="宋体" w:cs="宋体"/>
                <w:color w:val="auto"/>
                <w:kern w:val="0"/>
                <w:sz w:val="24"/>
                <w:highlight w:val="none"/>
              </w:rPr>
              <w:t>0*760（提供样品）</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贴面：采用美国大西洋进口0.6mm胡桃木木皮贴面，纹理均匀清晰；</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油漆：采用台湾“大宝”PE底漆，光泽丰满，附着力强，PU面漆，耐腐蚀性，耐水耐磨，引用意大利先进油漆工艺“五底三面”，光泽均匀，硬度高达3H，抗刮性强，不褪色； </w:t>
            </w:r>
          </w:p>
        </w:tc>
        <w:tc>
          <w:tcPr>
            <w:tcW w:w="450" w:type="dxa"/>
            <w:vMerge w:val="restart"/>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套 </w:t>
            </w:r>
          </w:p>
        </w:tc>
        <w:tc>
          <w:tcPr>
            <w:tcW w:w="735" w:type="dxa"/>
            <w:vMerge w:val="restart"/>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2175" w:type="dxa"/>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19680" behindDoc="0" locked="0" layoutInCell="1" allowOverlap="1">
                  <wp:simplePos x="0" y="0"/>
                  <wp:positionH relativeFrom="column">
                    <wp:posOffset>68580</wp:posOffset>
                  </wp:positionH>
                  <wp:positionV relativeFrom="paragraph">
                    <wp:posOffset>133350</wp:posOffset>
                  </wp:positionV>
                  <wp:extent cx="1102995" cy="1552575"/>
                  <wp:effectExtent l="0" t="0" r="1905" b="952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5" cstate="print"/>
                          <a:stretch>
                            <a:fillRect/>
                          </a:stretch>
                        </pic:blipFill>
                        <pic:spPr>
                          <a:xfrm>
                            <a:off x="0" y="0"/>
                            <a:ext cx="1102995" cy="1552575"/>
                          </a:xfrm>
                          <a:prstGeom prst="rect">
                            <a:avLst/>
                          </a:prstGeom>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办公椅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常规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座垫夹板：采用12mm以上多层曲木板，一次冲压成型；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脚架：优质橡胶木实木框架结构。 </w:t>
            </w:r>
          </w:p>
        </w:tc>
        <w:tc>
          <w:tcPr>
            <w:tcW w:w="450" w:type="dxa"/>
            <w:vMerge w:val="continue"/>
            <w:vAlign w:val="center"/>
          </w:tcPr>
          <w:p>
            <w:pPr>
              <w:widowControl/>
              <w:jc w:val="left"/>
              <w:rPr>
                <w:rFonts w:ascii="宋体" w:hAnsi="宋体" w:cs="宋体"/>
                <w:color w:val="auto"/>
                <w:kern w:val="0"/>
                <w:sz w:val="24"/>
                <w:highlight w:val="none"/>
              </w:rPr>
            </w:pPr>
          </w:p>
        </w:tc>
        <w:tc>
          <w:tcPr>
            <w:tcW w:w="735" w:type="dxa"/>
            <w:vMerge w:val="continue"/>
            <w:vAlign w:val="center"/>
          </w:tcPr>
          <w:p>
            <w:pPr>
              <w:widowControl/>
              <w:jc w:val="left"/>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16</w:t>
            </w:r>
          </w:p>
        </w:tc>
        <w:tc>
          <w:tcPr>
            <w:tcW w:w="2175" w:type="dxa"/>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69504" behindDoc="0" locked="0" layoutInCell="1" allowOverlap="1">
                  <wp:simplePos x="0" y="0"/>
                  <wp:positionH relativeFrom="column">
                    <wp:posOffset>-47625</wp:posOffset>
                  </wp:positionH>
                  <wp:positionV relativeFrom="paragraph">
                    <wp:posOffset>419100</wp:posOffset>
                  </wp:positionV>
                  <wp:extent cx="1295400" cy="1028700"/>
                  <wp:effectExtent l="0" t="0" r="0"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6" cstate="print"/>
                          <a:stretch>
                            <a:fillRect/>
                          </a:stretch>
                        </pic:blipFill>
                        <pic:spPr>
                          <a:xfrm>
                            <a:off x="0" y="0"/>
                            <a:ext cx="1288988" cy="1031877"/>
                          </a:xfrm>
                          <a:prstGeom prst="rect">
                            <a:avLst/>
                          </a:prstGeom>
                          <a:noFill/>
                          <a:ln w="9525">
                            <a:noFill/>
                          </a:ln>
                        </pic:spPr>
                      </pic:pic>
                    </a:graphicData>
                  </a:graphic>
                </wp:anchor>
              </w:drawing>
            </w:r>
            <w:r>
              <w:rPr>
                <w:rFonts w:hint="eastAsia" w:ascii="宋体" w:hAnsi="宋体" w:cs="宋体"/>
                <w:color w:val="auto"/>
                <w:kern w:val="0"/>
                <w:sz w:val="24"/>
                <w:highlight w:val="none"/>
              </w:rPr>
              <w:drawing>
                <wp:anchor distT="0" distB="0" distL="114300" distR="114300" simplePos="0" relativeHeight="251673600" behindDoc="0" locked="0" layoutInCell="1" allowOverlap="1">
                  <wp:simplePos x="0" y="0"/>
                  <wp:positionH relativeFrom="column">
                    <wp:posOffset>114300</wp:posOffset>
                  </wp:positionH>
                  <wp:positionV relativeFrom="paragraph">
                    <wp:posOffset>266700</wp:posOffset>
                  </wp:positionV>
                  <wp:extent cx="1219200" cy="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7"/>
                          <a:stretch>
                            <a:fillRect/>
                          </a:stretch>
                        </pic:blipFill>
                        <pic:spPr>
                          <a:xfrm>
                            <a:off x="0" y="0"/>
                            <a:ext cx="1219200" cy="0"/>
                          </a:xfrm>
                          <a:prstGeom prst="rect">
                            <a:avLst/>
                          </a:prstGeom>
                          <a:noFill/>
                          <a:ln w="9525">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书柜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2400*400*1800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组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71552" behindDoc="0" locked="0" layoutInCell="1" allowOverlap="1">
                  <wp:simplePos x="0" y="0"/>
                  <wp:positionH relativeFrom="column">
                    <wp:posOffset>-28575</wp:posOffset>
                  </wp:positionH>
                  <wp:positionV relativeFrom="paragraph">
                    <wp:posOffset>161925</wp:posOffset>
                  </wp:positionV>
                  <wp:extent cx="1285875" cy="1085850"/>
                  <wp:effectExtent l="0" t="0" r="9525" b="0"/>
                  <wp:wrapNone/>
                  <wp:docPr id="93" name="图片 93" descr="22697577245530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26975772455304343"/>
                          <pic:cNvPicPr>
                            <a:picLocks noChangeAspect="1"/>
                          </pic:cNvPicPr>
                        </pic:nvPicPr>
                        <pic:blipFill>
                          <a:blip r:embed="rId28" cstate="print"/>
                          <a:stretch>
                            <a:fillRect/>
                          </a:stretch>
                        </pic:blipFill>
                        <pic:spPr>
                          <a:xfrm>
                            <a:off x="0" y="0"/>
                            <a:ext cx="1289685" cy="1082675"/>
                          </a:xfrm>
                          <a:prstGeom prst="rect">
                            <a:avLst/>
                          </a:prstGeom>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单人沙发</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常规</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座垫夹板：采用12mm以上多层曲木板，一次冲压成型；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脚架：优质橡胶木实木框架结构。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套</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18</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4320" behindDoc="0" locked="0" layoutInCell="1" allowOverlap="1">
                  <wp:simplePos x="0" y="0"/>
                  <wp:positionH relativeFrom="column">
                    <wp:posOffset>-28575</wp:posOffset>
                  </wp:positionH>
                  <wp:positionV relativeFrom="paragraph">
                    <wp:posOffset>466725</wp:posOffset>
                  </wp:positionV>
                  <wp:extent cx="1170305" cy="781050"/>
                  <wp:effectExtent l="0" t="0" r="10795"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70305" cy="780867"/>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贴面：采用美国大西洋进口0.6mm胡桃木木皮贴面，纹理均匀清晰；</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油漆：采用台湾“大宝”PE底漆，光泽丰满，附着力强，PU面漆，耐腐蚀性，耐水耐磨，引用意大利先进油漆工艺“五底三面”，光泽均匀，硬度高达3H，抗刮性强，不褪色；</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封边：采用进口木皮封边及整体贴面的先进工艺；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19</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72576" behindDoc="0" locked="0" layoutInCell="1" allowOverlap="1">
                  <wp:simplePos x="0" y="0"/>
                  <wp:positionH relativeFrom="column">
                    <wp:posOffset>-19050</wp:posOffset>
                  </wp:positionH>
                  <wp:positionV relativeFrom="paragraph">
                    <wp:posOffset>800100</wp:posOffset>
                  </wp:positionV>
                  <wp:extent cx="1257300" cy="704850"/>
                  <wp:effectExtent l="0" t="0" r="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0" cstate="print"/>
                          <a:stretch>
                            <a:fillRect/>
                          </a:stretch>
                        </pic:blipFill>
                        <pic:spPr>
                          <a:xfrm>
                            <a:off x="0" y="0"/>
                            <a:ext cx="1257935" cy="706120"/>
                          </a:xfrm>
                          <a:prstGeom prst="rect">
                            <a:avLst/>
                          </a:prstGeom>
                          <a:noFill/>
                          <a:ln w="9525">
                            <a:noFill/>
                          </a:ln>
                        </pic:spPr>
                      </pic:pic>
                    </a:graphicData>
                  </a:graphic>
                </wp:anchor>
              </w:drawing>
            </w:r>
            <w:r>
              <w:rPr>
                <w:rFonts w:hint="eastAsia" w:ascii="宋体" w:hAnsi="宋体" w:cs="宋体"/>
                <w:color w:val="auto"/>
                <w:kern w:val="0"/>
                <w:sz w:val="24"/>
                <w:highlight w:val="none"/>
              </w:rPr>
              <w:drawing>
                <wp:anchor distT="0" distB="0" distL="114300" distR="114300" simplePos="0" relativeHeight="251665408" behindDoc="0" locked="0" layoutInCell="1" allowOverlap="1">
                  <wp:simplePos x="0" y="0"/>
                  <wp:positionH relativeFrom="column">
                    <wp:posOffset>85725</wp:posOffset>
                  </wp:positionH>
                  <wp:positionV relativeFrom="paragraph">
                    <wp:posOffset>428625</wp:posOffset>
                  </wp:positionV>
                  <wp:extent cx="1219200" cy="0"/>
                  <wp:effectExtent l="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7"/>
                          <a:stretch>
                            <a:fillRect/>
                          </a:stretch>
                        </pic:blipFill>
                        <pic:spPr>
                          <a:xfrm>
                            <a:off x="0" y="0"/>
                            <a:ext cx="1219200" cy="0"/>
                          </a:xfrm>
                          <a:prstGeom prst="rect">
                            <a:avLst/>
                          </a:prstGeom>
                          <a:noFill/>
                          <a:ln w="9525">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茶几</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1200*600*420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贴面：采用美国大西洋进口0.6mm胡桃木木皮贴面，纹理均匀清晰；</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油漆：采用台湾“大宝”PE底漆，光泽丰满，附着力强，PU面漆，耐腐蚀性，耐水耐磨，引用意大利先进油漆工艺“五底三面”，光泽均匀，硬度高达3H，抗刮性强，不褪色；</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封边：采用进口木皮封边及整体贴面的先进工艺；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个</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20</w:t>
            </w:r>
          </w:p>
        </w:tc>
        <w:tc>
          <w:tcPr>
            <w:tcW w:w="217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13536" behindDoc="0" locked="0" layoutInCell="1" allowOverlap="1">
                  <wp:simplePos x="0" y="0"/>
                  <wp:positionH relativeFrom="column">
                    <wp:posOffset>190500</wp:posOffset>
                  </wp:positionH>
                  <wp:positionV relativeFrom="paragraph">
                    <wp:posOffset>219075</wp:posOffset>
                  </wp:positionV>
                  <wp:extent cx="714375" cy="1638300"/>
                  <wp:effectExtent l="0" t="0" r="9525" b="0"/>
                  <wp:wrapNone/>
                  <wp:docPr id="89" name="图片 89" descr="Mg-HE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Mg-HE02A"/>
                          <pic:cNvPicPr>
                            <a:picLocks noChangeAspect="1" noChangeArrowheads="1"/>
                          </pic:cNvPicPr>
                        </pic:nvPicPr>
                        <pic:blipFill>
                          <a:blip r:embed="rId23" cstate="print">
                            <a:extLst>
                              <a:ext uri="{28A0092B-C50C-407E-A947-70E740481C1C}">
                                <a14:useLocalDpi xmlns:a14="http://schemas.microsoft.com/office/drawing/2010/main" val="0"/>
                              </a:ext>
                            </a:extLst>
                          </a:blip>
                          <a:srcRect l="3807" t="2448" r="48305"/>
                          <a:stretch>
                            <a:fillRect/>
                          </a:stretch>
                        </pic:blipFill>
                        <pic:spPr>
                          <a:xfrm>
                            <a:off x="0" y="0"/>
                            <a:ext cx="714375" cy="1640417"/>
                          </a:xfrm>
                          <a:prstGeom prst="rect">
                            <a:avLst/>
                          </a:prstGeom>
                          <a:noFill/>
                          <a:ln>
                            <a:noFill/>
                          </a:ln>
                        </pic:spPr>
                      </pic:pic>
                    </a:graphicData>
                  </a:graphic>
                </wp:anchor>
              </w:drawing>
            </w:r>
          </w:p>
        </w:tc>
        <w:tc>
          <w:tcPr>
            <w:tcW w:w="61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文件柜 </w:t>
            </w:r>
          </w:p>
        </w:tc>
        <w:tc>
          <w:tcPr>
            <w:tcW w:w="1233"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1600*400*1800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组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21</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96128" behindDoc="0" locked="0" layoutInCell="1" allowOverlap="1">
                  <wp:simplePos x="0" y="0"/>
                  <wp:positionH relativeFrom="column">
                    <wp:posOffset>-41275</wp:posOffset>
                  </wp:positionH>
                  <wp:positionV relativeFrom="paragraph">
                    <wp:posOffset>160020</wp:posOffset>
                  </wp:positionV>
                  <wp:extent cx="1285875" cy="871855"/>
                  <wp:effectExtent l="0" t="0" r="0" b="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cstate="print"/>
                          <a:stretch>
                            <a:fillRect/>
                          </a:stretch>
                        </pic:blipFill>
                        <pic:spPr>
                          <a:xfrm>
                            <a:off x="0" y="0"/>
                            <a:ext cx="1285875" cy="871855"/>
                          </a:xfrm>
                          <a:prstGeom prst="rect">
                            <a:avLst/>
                          </a:prstGeom>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办公桌</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1600*1600*760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vMerge w:val="restart"/>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套 </w:t>
            </w:r>
          </w:p>
        </w:tc>
        <w:tc>
          <w:tcPr>
            <w:tcW w:w="735" w:type="dxa"/>
            <w:vMerge w:val="restart"/>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22</w:t>
            </w:r>
          </w:p>
        </w:tc>
        <w:tc>
          <w:tcPr>
            <w:tcW w:w="217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92032" behindDoc="0" locked="0" layoutInCell="1" allowOverlap="1">
                  <wp:simplePos x="0" y="0"/>
                  <wp:positionH relativeFrom="column">
                    <wp:posOffset>304800</wp:posOffset>
                  </wp:positionH>
                  <wp:positionV relativeFrom="paragraph">
                    <wp:posOffset>247650</wp:posOffset>
                  </wp:positionV>
                  <wp:extent cx="771525" cy="1181100"/>
                  <wp:effectExtent l="0" t="0" r="9525" b="0"/>
                  <wp:wrapNone/>
                  <wp:docPr id="86" name="图片 86" descr="5420440034410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542044003441013401"/>
                          <pic:cNvPicPr>
                            <a:picLocks noChangeAspect="1"/>
                          </pic:cNvPicPr>
                        </pic:nvPicPr>
                        <pic:blipFill>
                          <a:blip r:embed="rId19" cstate="print"/>
                          <a:stretch>
                            <a:fillRect/>
                          </a:stretch>
                        </pic:blipFill>
                        <pic:spPr>
                          <a:xfrm>
                            <a:off x="0" y="0"/>
                            <a:ext cx="768985" cy="1185545"/>
                          </a:xfrm>
                          <a:prstGeom prst="rect">
                            <a:avLst/>
                          </a:prstGeom>
                        </pic:spPr>
                      </pic:pic>
                    </a:graphicData>
                  </a:graphic>
                </wp:anchor>
              </w:drawing>
            </w:r>
          </w:p>
        </w:tc>
        <w:tc>
          <w:tcPr>
            <w:tcW w:w="61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办公椅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常规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面料：优质透气网布覆面，耐磨性好，透气性强；</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座垫夹板：采用12mm以上多层曲木板，一次冲压成型；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配件：韩国“三弘”气压棒；</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扶手：采用PP硬扶手；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脚架：采用尼龙五星脚，性能符合国际标准；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椅轮：印尼杜邦脚轮，滑动时无杂音。 </w:t>
            </w:r>
          </w:p>
        </w:tc>
        <w:tc>
          <w:tcPr>
            <w:tcW w:w="450" w:type="dxa"/>
            <w:vMerge w:val="continue"/>
            <w:vAlign w:val="center"/>
          </w:tcPr>
          <w:p>
            <w:pPr>
              <w:widowControl/>
              <w:jc w:val="left"/>
              <w:rPr>
                <w:rFonts w:ascii="宋体" w:hAnsi="宋体" w:cs="宋体"/>
                <w:color w:val="auto"/>
                <w:kern w:val="0"/>
                <w:sz w:val="24"/>
                <w:highlight w:val="none"/>
              </w:rPr>
            </w:pPr>
          </w:p>
        </w:tc>
        <w:tc>
          <w:tcPr>
            <w:tcW w:w="735" w:type="dxa"/>
            <w:vMerge w:val="continue"/>
            <w:vAlign w:val="center"/>
          </w:tcPr>
          <w:p>
            <w:pPr>
              <w:widowControl/>
              <w:jc w:val="left"/>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23</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97152" behindDoc="0" locked="0" layoutInCell="1" allowOverlap="1">
                  <wp:simplePos x="0" y="0"/>
                  <wp:positionH relativeFrom="column">
                    <wp:posOffset>276225</wp:posOffset>
                  </wp:positionH>
                  <wp:positionV relativeFrom="paragraph">
                    <wp:posOffset>152400</wp:posOffset>
                  </wp:positionV>
                  <wp:extent cx="936625" cy="1409700"/>
                  <wp:effectExtent l="0" t="0" r="15875" b="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4" cstate="print"/>
                          <a:stretch>
                            <a:fillRect/>
                          </a:stretch>
                        </pic:blipFill>
                        <pic:spPr>
                          <a:xfrm>
                            <a:off x="0" y="0"/>
                            <a:ext cx="936625" cy="1409700"/>
                          </a:xfrm>
                          <a:prstGeom prst="rect">
                            <a:avLst/>
                          </a:prstGeom>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文件柜</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1600*400*1800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组 </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24</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99200" behindDoc="0" locked="0" layoutInCell="1" allowOverlap="1">
                  <wp:simplePos x="0" y="0"/>
                  <wp:positionH relativeFrom="column">
                    <wp:posOffset>95250</wp:posOffset>
                  </wp:positionH>
                  <wp:positionV relativeFrom="paragraph">
                    <wp:posOffset>219075</wp:posOffset>
                  </wp:positionV>
                  <wp:extent cx="1057910" cy="751205"/>
                  <wp:effectExtent l="0" t="0" r="8890" b="10795"/>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1057910" cy="751205"/>
                          </a:xfrm>
                          <a:prstGeom prst="rect">
                            <a:avLst/>
                          </a:prstGeom>
                          <a:noFill/>
                          <a:ln w="9525">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单人沙发</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常规</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面料：意大利优质环保皮，皮面光泽度好，透气性强，柔软而富有韧性；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海绵：中日合资“东洋佳嘉”定型回弹海绵，密度≥45，表面带有保护面，防氧化软硬适中，回弹好不变形的定型技术，压缩永久变型率小于1.3%(国际标准小于10%)，不易变形；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25</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0224" behindDoc="0" locked="0" layoutInCell="1" allowOverlap="1">
                  <wp:simplePos x="0" y="0"/>
                  <wp:positionH relativeFrom="column">
                    <wp:posOffset>152400</wp:posOffset>
                  </wp:positionH>
                  <wp:positionV relativeFrom="paragraph">
                    <wp:posOffset>209550</wp:posOffset>
                  </wp:positionV>
                  <wp:extent cx="1138555" cy="914400"/>
                  <wp:effectExtent l="0" t="0" r="4445"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6" cstate="print"/>
                          <a:stretch>
                            <a:fillRect/>
                          </a:stretch>
                        </pic:blipFill>
                        <pic:spPr>
                          <a:xfrm>
                            <a:off x="0" y="0"/>
                            <a:ext cx="1138555" cy="914400"/>
                          </a:xfrm>
                          <a:prstGeom prst="rect">
                            <a:avLst/>
                          </a:prstGeom>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茶几</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1200*600*420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个</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26</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98176" behindDoc="0" locked="0" layoutInCell="1" allowOverlap="1">
                  <wp:simplePos x="0" y="0"/>
                  <wp:positionH relativeFrom="column">
                    <wp:posOffset>152400</wp:posOffset>
                  </wp:positionH>
                  <wp:positionV relativeFrom="paragraph">
                    <wp:posOffset>276225</wp:posOffset>
                  </wp:positionV>
                  <wp:extent cx="1017270" cy="927735"/>
                  <wp:effectExtent l="0" t="0" r="11430" b="5715"/>
                  <wp:wrapNone/>
                  <wp:docPr id="72" name="图片 72" descr="C:\Users\Administrator\AppData\Roaming\Tencent\Users\370714700\QQ\WinTemp\RichOle\X[TNGOY_FX)(ECS8MGLS{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AppData\Roaming\Tencent\Users\370714700\QQ\WinTemp\RichOle\X[TNGOY_FX)(ECS8MGLS{_K.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17270" cy="927735"/>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27</w:t>
            </w:r>
          </w:p>
        </w:tc>
        <w:tc>
          <w:tcPr>
            <w:tcW w:w="2175" w:type="dxa"/>
            <w:shd w:val="clear" w:color="auto" w:fill="auto"/>
            <w:vAlign w:val="center"/>
          </w:tcPr>
          <w:p>
            <w:pPr>
              <w:widowControl/>
              <w:jc w:val="center"/>
              <w:rPr>
                <w:rFonts w:ascii="宋体" w:hAnsi="宋体" w:cs="宋体"/>
                <w:color w:val="auto"/>
                <w:kern w:val="0"/>
                <w:sz w:val="24"/>
                <w:highlight w:val="none"/>
              </w:rPr>
            </w:pPr>
            <w:r>
              <w:rPr>
                <w:color w:val="auto"/>
                <w:highlight w:val="none"/>
              </w:rPr>
              <w:drawing>
                <wp:inline distT="0" distB="0" distL="0" distR="0">
                  <wp:extent cx="1243965" cy="9632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1243965" cy="963295"/>
                          </a:xfrm>
                          <a:prstGeom prst="rect">
                            <a:avLst/>
                          </a:prstGeom>
                        </pic:spPr>
                      </pic:pic>
                    </a:graphicData>
                  </a:graphic>
                </wp:inline>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屏风工作位</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1600*800*760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vMerge w:val="restart"/>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套 </w:t>
            </w:r>
          </w:p>
        </w:tc>
        <w:tc>
          <w:tcPr>
            <w:tcW w:w="735" w:type="dxa"/>
            <w:vMerge w:val="restart"/>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28</w:t>
            </w:r>
          </w:p>
        </w:tc>
        <w:tc>
          <w:tcPr>
            <w:tcW w:w="217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95104" behindDoc="0" locked="0" layoutInCell="1" allowOverlap="1">
                  <wp:simplePos x="0" y="0"/>
                  <wp:positionH relativeFrom="column">
                    <wp:posOffset>267970</wp:posOffset>
                  </wp:positionH>
                  <wp:positionV relativeFrom="paragraph">
                    <wp:posOffset>113030</wp:posOffset>
                  </wp:positionV>
                  <wp:extent cx="771525" cy="1181100"/>
                  <wp:effectExtent l="0" t="0" r="9525" b="0"/>
                  <wp:wrapNone/>
                  <wp:docPr id="54" name="图片 54" descr="5420440034410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42044003441013401"/>
                          <pic:cNvPicPr>
                            <a:picLocks noChangeAspect="1"/>
                          </pic:cNvPicPr>
                        </pic:nvPicPr>
                        <pic:blipFill>
                          <a:blip r:embed="rId19" cstate="print"/>
                          <a:stretch>
                            <a:fillRect/>
                          </a:stretch>
                        </pic:blipFill>
                        <pic:spPr>
                          <a:xfrm>
                            <a:off x="0" y="0"/>
                            <a:ext cx="771525" cy="1181100"/>
                          </a:xfrm>
                          <a:prstGeom prst="rect">
                            <a:avLst/>
                          </a:prstGeom>
                        </pic:spPr>
                      </pic:pic>
                    </a:graphicData>
                  </a:graphic>
                </wp:anchor>
              </w:drawing>
            </w:r>
          </w:p>
        </w:tc>
        <w:tc>
          <w:tcPr>
            <w:tcW w:w="615"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办公椅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常规 （提供样品）</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面料：优质透气网布覆面，耐磨性好，透气性强；</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座垫夹板：采用12mm以上多层曲木板，一次冲压成型；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配件：韩国“三弘”气压棒；</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扶手：采用PP硬扶手；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脚架：采用尼龙五星脚，性能符合国际标准；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椅轮：印尼杜邦脚轮，滑动时无杂音。 </w:t>
            </w:r>
          </w:p>
        </w:tc>
        <w:tc>
          <w:tcPr>
            <w:tcW w:w="450" w:type="dxa"/>
            <w:vMerge w:val="continue"/>
            <w:vAlign w:val="center"/>
          </w:tcPr>
          <w:p>
            <w:pPr>
              <w:widowControl/>
              <w:jc w:val="left"/>
              <w:rPr>
                <w:rFonts w:ascii="宋体" w:hAnsi="宋体" w:cs="宋体"/>
                <w:color w:val="auto"/>
                <w:kern w:val="0"/>
                <w:sz w:val="24"/>
                <w:highlight w:val="none"/>
              </w:rPr>
            </w:pPr>
          </w:p>
        </w:tc>
        <w:tc>
          <w:tcPr>
            <w:tcW w:w="735" w:type="dxa"/>
            <w:vMerge w:val="continue"/>
            <w:vAlign w:val="center"/>
          </w:tcPr>
          <w:p>
            <w:pPr>
              <w:widowControl/>
              <w:jc w:val="left"/>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29</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94080" behindDoc="0" locked="0" layoutInCell="1" allowOverlap="1">
                  <wp:simplePos x="0" y="0"/>
                  <wp:positionH relativeFrom="column">
                    <wp:posOffset>161925</wp:posOffset>
                  </wp:positionH>
                  <wp:positionV relativeFrom="paragraph">
                    <wp:posOffset>85725</wp:posOffset>
                  </wp:positionV>
                  <wp:extent cx="1062355" cy="1190625"/>
                  <wp:effectExtent l="0" t="0" r="4445" b="9525"/>
                  <wp:wrapNone/>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39" cstate="print"/>
                          <a:srcRect/>
                          <a:stretch>
                            <a:fillRect/>
                          </a:stretch>
                        </pic:blipFill>
                        <pic:spPr>
                          <a:xfrm>
                            <a:off x="0" y="0"/>
                            <a:ext cx="1062355" cy="1190624"/>
                          </a:xfrm>
                          <a:prstGeom prst="rect">
                            <a:avLst/>
                          </a:prstGeom>
                          <a:noFill/>
                          <a:ln w="9525">
                            <a:noFill/>
                            <a:miter lim="800000"/>
                            <a:headEnd/>
                            <a:tailEnd/>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文件柜</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1600*400*1200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组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30</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2272" behindDoc="0" locked="0" layoutInCell="1" allowOverlap="1">
                  <wp:simplePos x="0" y="0"/>
                  <wp:positionH relativeFrom="column">
                    <wp:posOffset>142875</wp:posOffset>
                  </wp:positionH>
                  <wp:positionV relativeFrom="paragraph">
                    <wp:posOffset>47625</wp:posOffset>
                  </wp:positionV>
                  <wp:extent cx="1097280" cy="1181100"/>
                  <wp:effectExtent l="0" t="0" r="7620" b="0"/>
                  <wp:wrapNone/>
                  <wp:docPr id="52" name="图片 52" descr="C:\Users\Administrator\AppData\Roaming\Tencent\Users\370714700\QQ\WinTemp\RichOle\X[TNGOY_FX)(ECS8MGLS{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AppData\Roaming\Tencent\Users\370714700\QQ\WinTemp\RichOle\X[TNGOY_FX)(ECS8MGLS{_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97280" cy="1181100"/>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31</w:t>
            </w:r>
          </w:p>
        </w:tc>
        <w:tc>
          <w:tcPr>
            <w:tcW w:w="2175" w:type="dxa"/>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10464" behindDoc="0" locked="0" layoutInCell="1" allowOverlap="1">
                  <wp:simplePos x="0" y="0"/>
                  <wp:positionH relativeFrom="column">
                    <wp:posOffset>133350</wp:posOffset>
                  </wp:positionH>
                  <wp:positionV relativeFrom="paragraph">
                    <wp:posOffset>295275</wp:posOffset>
                  </wp:positionV>
                  <wp:extent cx="1008380" cy="1028700"/>
                  <wp:effectExtent l="0" t="0" r="127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cstate="print"/>
                          <a:stretch>
                            <a:fillRect/>
                          </a:stretch>
                        </pic:blipFill>
                        <pic:spPr>
                          <a:xfrm>
                            <a:off x="0" y="0"/>
                            <a:ext cx="1008380" cy="1031877"/>
                          </a:xfrm>
                          <a:prstGeom prst="rect">
                            <a:avLst/>
                          </a:prstGeom>
                          <a:noFill/>
                          <a:ln w="9525">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书柜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2400*400*1800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五金配件：优质五金配件、锁具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组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32</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74624" behindDoc="0" locked="0" layoutInCell="1" allowOverlap="1">
                  <wp:simplePos x="0" y="0"/>
                  <wp:positionH relativeFrom="column">
                    <wp:posOffset>76200</wp:posOffset>
                  </wp:positionH>
                  <wp:positionV relativeFrom="paragraph">
                    <wp:posOffset>333375</wp:posOffset>
                  </wp:positionV>
                  <wp:extent cx="1201420" cy="600075"/>
                  <wp:effectExtent l="0" t="0" r="17780" b="9525"/>
                  <wp:wrapNone/>
                  <wp:docPr id="47" name="图片 47"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01420" cy="596900"/>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会议桌</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9200*2000*750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张</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33</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18656" behindDoc="0" locked="0" layoutInCell="1" allowOverlap="1">
                  <wp:simplePos x="0" y="0"/>
                  <wp:positionH relativeFrom="column">
                    <wp:posOffset>112395</wp:posOffset>
                  </wp:positionH>
                  <wp:positionV relativeFrom="paragraph">
                    <wp:posOffset>394335</wp:posOffset>
                  </wp:positionV>
                  <wp:extent cx="1076325" cy="1254125"/>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076325" cy="1254125"/>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会议椅</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常规</w:t>
            </w:r>
          </w:p>
          <w:p>
            <w:pPr>
              <w:widowControl/>
              <w:rPr>
                <w:rFonts w:hint="eastAsia" w:ascii="宋体" w:hAnsi="宋体" w:cs="宋体"/>
                <w:color w:val="auto"/>
                <w:kern w:val="0"/>
                <w:sz w:val="24"/>
                <w:highlight w:val="none"/>
              </w:rPr>
            </w:pPr>
            <w:r>
              <w:rPr>
                <w:rFonts w:ascii="宋体" w:hAnsi="宋体" w:cs="宋体"/>
                <w:color w:val="auto"/>
                <w:kern w:val="0"/>
                <w:sz w:val="24"/>
                <w:highlight w:val="none"/>
              </w:rPr>
              <w:t>（提供样品）</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座垫夹板：采用12mm以上多层曲木板，一次冲压成型；</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脚架：优质橡胶木实木框架结构。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34</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5344" behindDoc="0" locked="0" layoutInCell="1" allowOverlap="1">
                  <wp:simplePos x="0" y="0"/>
                  <wp:positionH relativeFrom="column">
                    <wp:posOffset>-22225</wp:posOffset>
                  </wp:positionH>
                  <wp:positionV relativeFrom="paragraph">
                    <wp:posOffset>74295</wp:posOffset>
                  </wp:positionV>
                  <wp:extent cx="1234440" cy="781050"/>
                  <wp:effectExtent l="0" t="0" r="381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34440" cy="781050"/>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35</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75648" behindDoc="0" locked="0" layoutInCell="1" allowOverlap="1">
                  <wp:simplePos x="0" y="0"/>
                  <wp:positionH relativeFrom="column">
                    <wp:posOffset>104775</wp:posOffset>
                  </wp:positionH>
                  <wp:positionV relativeFrom="paragraph">
                    <wp:posOffset>95250</wp:posOffset>
                  </wp:positionV>
                  <wp:extent cx="1144905" cy="923925"/>
                  <wp:effectExtent l="0" t="0" r="17145" b="952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cstate="print"/>
                          <a:stretch>
                            <a:fillRect/>
                          </a:stretch>
                        </pic:blipFill>
                        <pic:spPr>
                          <a:xfrm>
                            <a:off x="0" y="0"/>
                            <a:ext cx="1144905" cy="922655"/>
                          </a:xfrm>
                          <a:prstGeom prst="rect">
                            <a:avLst/>
                          </a:prstGeom>
                          <a:noFill/>
                          <a:ln w="9525">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主席台</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1200*600*760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36</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76672" behindDoc="0" locked="0" layoutInCell="1" allowOverlap="1">
                  <wp:simplePos x="0" y="0"/>
                  <wp:positionH relativeFrom="column">
                    <wp:posOffset>-17780</wp:posOffset>
                  </wp:positionH>
                  <wp:positionV relativeFrom="paragraph">
                    <wp:posOffset>76200</wp:posOffset>
                  </wp:positionV>
                  <wp:extent cx="1181100" cy="923925"/>
                  <wp:effectExtent l="0" t="0" r="0" b="952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cstate="print"/>
                          <a:stretch>
                            <a:fillRect/>
                          </a:stretch>
                        </pic:blipFill>
                        <pic:spPr>
                          <a:xfrm>
                            <a:off x="0" y="0"/>
                            <a:ext cx="1181100" cy="931656"/>
                          </a:xfrm>
                          <a:prstGeom prst="rect">
                            <a:avLst/>
                          </a:prstGeom>
                          <a:noFill/>
                          <a:ln w="9525">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条桌</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37</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77696" behindDoc="0" locked="0" layoutInCell="1" allowOverlap="1">
                  <wp:simplePos x="0" y="0"/>
                  <wp:positionH relativeFrom="column">
                    <wp:posOffset>428625</wp:posOffset>
                  </wp:positionH>
                  <wp:positionV relativeFrom="paragraph">
                    <wp:posOffset>66675</wp:posOffset>
                  </wp:positionV>
                  <wp:extent cx="723900" cy="971550"/>
                  <wp:effectExtent l="0" t="0" r="0" b="0"/>
                  <wp:wrapNone/>
                  <wp:docPr id="38" name="图片 38" descr="T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T05-F-"/>
                          <pic:cNvPicPr>
                            <a:picLocks noChangeAspect="1"/>
                          </pic:cNvPicPr>
                        </pic:nvPicPr>
                        <pic:blipFill>
                          <a:blip r:embed="rId45" cstate="print"/>
                          <a:stretch>
                            <a:fillRect/>
                          </a:stretch>
                        </pic:blipFill>
                        <pic:spPr>
                          <a:xfrm>
                            <a:off x="0" y="0"/>
                            <a:ext cx="723899" cy="978557"/>
                          </a:xfrm>
                          <a:prstGeom prst="rect">
                            <a:avLst/>
                          </a:prstGeom>
                          <a:noFill/>
                          <a:ln w="9525">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会议椅</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常规</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海绵：中日合资“东洋佳嘉”定型回弹海绵，密度≥45，压缩永久变型率小于1.3%(国际标准小于10%)，不易变形；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38</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15584" behindDoc="0" locked="0" layoutInCell="1" allowOverlap="1">
                  <wp:simplePos x="0" y="0"/>
                  <wp:positionH relativeFrom="column">
                    <wp:posOffset>390525</wp:posOffset>
                  </wp:positionH>
                  <wp:positionV relativeFrom="paragraph">
                    <wp:posOffset>57150</wp:posOffset>
                  </wp:positionV>
                  <wp:extent cx="742950" cy="866775"/>
                  <wp:effectExtent l="0" t="0" r="0" b="952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42950" cy="866775"/>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会议椅</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常规</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海绵：中日合资“东洋佳嘉”定型回弹海绵，密度≥45，压缩永久变型率小于1.3%(国际标准小于10%)，不易变形；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39</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6368" behindDoc="0" locked="0" layoutInCell="1" allowOverlap="1">
                  <wp:simplePos x="0" y="0"/>
                  <wp:positionH relativeFrom="column">
                    <wp:posOffset>57150</wp:posOffset>
                  </wp:positionH>
                  <wp:positionV relativeFrom="paragraph">
                    <wp:posOffset>85725</wp:posOffset>
                  </wp:positionV>
                  <wp:extent cx="1115060" cy="781050"/>
                  <wp:effectExtent l="0" t="0" r="889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115060" cy="780867"/>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40</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78720" behindDoc="0" locked="0" layoutInCell="1" allowOverlap="1">
                  <wp:simplePos x="0" y="0"/>
                  <wp:positionH relativeFrom="column">
                    <wp:posOffset>76200</wp:posOffset>
                  </wp:positionH>
                  <wp:positionV relativeFrom="paragraph">
                    <wp:posOffset>19050</wp:posOffset>
                  </wp:positionV>
                  <wp:extent cx="993775" cy="923925"/>
                  <wp:effectExtent l="0" t="0" r="15875" b="952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cstate="print"/>
                          <a:stretch>
                            <a:fillRect/>
                          </a:stretch>
                        </pic:blipFill>
                        <pic:spPr>
                          <a:xfrm>
                            <a:off x="0" y="0"/>
                            <a:ext cx="993775" cy="922655"/>
                          </a:xfrm>
                          <a:prstGeom prst="rect">
                            <a:avLst/>
                          </a:prstGeom>
                          <a:noFill/>
                          <a:ln w="9525">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主席台</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10000*600*760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41</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16608" behindDoc="0" locked="0" layoutInCell="1" allowOverlap="1">
                  <wp:simplePos x="0" y="0"/>
                  <wp:positionH relativeFrom="column">
                    <wp:posOffset>221615</wp:posOffset>
                  </wp:positionH>
                  <wp:positionV relativeFrom="paragraph">
                    <wp:posOffset>32385</wp:posOffset>
                  </wp:positionV>
                  <wp:extent cx="752475" cy="876300"/>
                  <wp:effectExtent l="0" t="0" r="952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52475" cy="876300"/>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会议椅</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常规</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海绵：中日合资“东洋佳嘉”定型回弹海绵，密度≥45，压缩永久变型率小于1.3%(国际标准小于10%)，不易变形；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42</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79744" behindDoc="0" locked="0" layoutInCell="1" allowOverlap="1">
                  <wp:simplePos x="0" y="0"/>
                  <wp:positionH relativeFrom="column">
                    <wp:posOffset>438150</wp:posOffset>
                  </wp:positionH>
                  <wp:positionV relativeFrom="paragraph">
                    <wp:posOffset>47625</wp:posOffset>
                  </wp:positionV>
                  <wp:extent cx="533400" cy="762000"/>
                  <wp:effectExtent l="0" t="0" r="0" b="0"/>
                  <wp:wrapNone/>
                  <wp:docPr id="33" name="图片 33"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3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39750" cy="767014"/>
                          </a:xfrm>
                          <a:prstGeom prst="rect">
                            <a:avLst/>
                          </a:prstGeom>
                          <a:noFill/>
                          <a:ln>
                            <a:noFill/>
                          </a:ln>
                        </pic:spPr>
                      </pic:pic>
                    </a:graphicData>
                  </a:graphic>
                </wp:anchor>
              </w:drawing>
            </w:r>
          </w:p>
        </w:tc>
        <w:tc>
          <w:tcPr>
            <w:tcW w:w="615" w:type="dxa"/>
            <w:shd w:val="clear" w:color="auto" w:fill="auto"/>
            <w:noWrap/>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演讲台</w:t>
            </w:r>
          </w:p>
        </w:tc>
        <w:tc>
          <w:tcPr>
            <w:tcW w:w="1233" w:type="dxa"/>
            <w:shd w:val="clear" w:color="auto" w:fill="auto"/>
            <w:noWrap/>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650*550*1200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43</w:t>
            </w:r>
          </w:p>
        </w:tc>
        <w:tc>
          <w:tcPr>
            <w:tcW w:w="2175" w:type="dxa"/>
            <w:shd w:val="clear" w:color="auto" w:fill="auto"/>
            <w:vAlign w:val="center"/>
          </w:tcPr>
          <w:p>
            <w:pPr>
              <w:widowControl/>
              <w:jc w:val="center"/>
              <w:rPr>
                <w:rFonts w:ascii="宋体" w:hAnsi="宋体" w:cs="宋体"/>
                <w:color w:val="auto"/>
                <w:kern w:val="0"/>
                <w:sz w:val="24"/>
                <w:highlight w:val="none"/>
              </w:rPr>
            </w:pPr>
            <w:r>
              <w:rPr>
                <w:color w:val="auto"/>
                <w:highlight w:val="none"/>
              </w:rPr>
              <w:drawing>
                <wp:inline distT="0" distB="0" distL="0" distR="0">
                  <wp:extent cx="1114425" cy="14458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9"/>
                          <a:stretch>
                            <a:fillRect/>
                          </a:stretch>
                        </pic:blipFill>
                        <pic:spPr>
                          <a:xfrm>
                            <a:off x="0" y="0"/>
                            <a:ext cx="1116134" cy="1448296"/>
                          </a:xfrm>
                          <a:prstGeom prst="rect">
                            <a:avLst/>
                          </a:prstGeom>
                        </pic:spPr>
                      </pic:pic>
                    </a:graphicData>
                  </a:graphic>
                </wp:inline>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礼堂椅</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单人位总宽度</w:t>
            </w:r>
            <w:r>
              <w:rPr>
                <w:rFonts w:ascii="宋体" w:hAnsi="宋体" w:cs="宋体"/>
                <w:color w:val="auto"/>
                <w:kern w:val="0"/>
                <w:sz w:val="24"/>
                <w:highlight w:val="none"/>
              </w:rPr>
              <w:t>660*</w:t>
            </w:r>
            <w:r>
              <w:rPr>
                <w:rFonts w:hint="eastAsia" w:ascii="宋体" w:hAnsi="宋体" w:cs="宋体"/>
                <w:color w:val="auto"/>
                <w:kern w:val="0"/>
                <w:sz w:val="24"/>
                <w:highlight w:val="none"/>
              </w:rPr>
              <w:t>椅深</w:t>
            </w:r>
            <w:r>
              <w:rPr>
                <w:rFonts w:ascii="宋体" w:hAnsi="宋体" w:cs="宋体"/>
                <w:color w:val="auto"/>
                <w:kern w:val="0"/>
                <w:sz w:val="24"/>
                <w:highlight w:val="none"/>
              </w:rPr>
              <w:t>710*</w:t>
            </w:r>
            <w:r>
              <w:rPr>
                <w:rFonts w:hint="eastAsia" w:ascii="宋体" w:hAnsi="宋体" w:cs="宋体"/>
                <w:color w:val="auto"/>
                <w:kern w:val="0"/>
                <w:sz w:val="24"/>
                <w:highlight w:val="none"/>
              </w:rPr>
              <w:t>坐高1</w:t>
            </w:r>
            <w:r>
              <w:rPr>
                <w:rFonts w:ascii="宋体" w:hAnsi="宋体" w:cs="宋体"/>
                <w:color w:val="auto"/>
                <w:kern w:val="0"/>
                <w:sz w:val="24"/>
                <w:highlight w:val="none"/>
              </w:rPr>
              <w:t>000mm</w:t>
            </w:r>
            <w:r>
              <w:rPr>
                <w:rFonts w:hint="eastAsia" w:ascii="宋体" w:hAnsi="宋体" w:cs="宋体"/>
                <w:color w:val="auto"/>
                <w:kern w:val="0"/>
                <w:sz w:val="24"/>
                <w:highlight w:val="none"/>
              </w:rPr>
              <w:t>，</w:t>
            </w:r>
            <w:r>
              <w:rPr>
                <w:rFonts w:ascii="宋体" w:hAnsi="宋体" w:cs="宋体"/>
                <w:color w:val="auto"/>
                <w:kern w:val="0"/>
                <w:sz w:val="24"/>
                <w:highlight w:val="none"/>
              </w:rPr>
              <w:t>扶手宽度</w:t>
            </w:r>
            <w:r>
              <w:rPr>
                <w:rFonts w:hint="eastAsia" w:ascii="宋体" w:hAnsi="宋体" w:cs="宋体"/>
                <w:color w:val="auto"/>
                <w:kern w:val="0"/>
                <w:sz w:val="24"/>
                <w:highlight w:val="none"/>
              </w:rPr>
              <w:t>9</w:t>
            </w:r>
            <w:r>
              <w:rPr>
                <w:rFonts w:ascii="宋体" w:hAnsi="宋体" w:cs="宋体"/>
                <w:color w:val="auto"/>
                <w:kern w:val="0"/>
                <w:sz w:val="24"/>
                <w:highlight w:val="none"/>
              </w:rPr>
              <w:t>0mm</w:t>
            </w:r>
          </w:p>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（提供样品）</w:t>
            </w:r>
          </w:p>
        </w:tc>
        <w:tc>
          <w:tcPr>
            <w:tcW w:w="3552" w:type="dxa"/>
            <w:shd w:val="clear" w:color="000000" w:fill="FFFFFF"/>
            <w:vAlign w:val="center"/>
          </w:tcPr>
          <w:p>
            <w:pPr>
              <w:widowControl/>
              <w:jc w:val="left"/>
              <w:rPr>
                <w:rFonts w:hint="eastAsia" w:ascii="宋体" w:hAnsi="宋体"/>
                <w:color w:val="auto"/>
                <w:kern w:val="0"/>
                <w:sz w:val="24"/>
                <w:szCs w:val="20"/>
                <w:highlight w:val="none"/>
              </w:rPr>
            </w:pPr>
            <w:r>
              <w:rPr>
                <w:rFonts w:hint="eastAsia" w:ascii="宋体" w:hAnsi="宋体"/>
                <w:color w:val="auto"/>
                <w:sz w:val="24"/>
                <w:szCs w:val="20"/>
                <w:highlight w:val="none"/>
              </w:rPr>
              <w:t>1. 面料选用国产优质针织类面料,要求耐磨性高,渗透力强,吸声效果好。</w:t>
            </w:r>
            <w:r>
              <w:rPr>
                <w:rFonts w:hint="eastAsia" w:ascii="宋体" w:hAnsi="宋体"/>
                <w:color w:val="auto"/>
                <w:sz w:val="24"/>
                <w:szCs w:val="20"/>
                <w:highlight w:val="none"/>
              </w:rPr>
              <w:br w:type="textWrapping"/>
            </w:r>
            <w:r>
              <w:rPr>
                <w:rFonts w:hint="eastAsia" w:ascii="宋体" w:hAnsi="宋体"/>
                <w:color w:val="auto"/>
                <w:sz w:val="24"/>
                <w:szCs w:val="20"/>
                <w:highlight w:val="none"/>
              </w:rPr>
              <w:t>2.座椅泡绵均为聚氨酯冷发泡高回弹海绵，根据座椅的不同部位,座垫,背垫密度不同.所有泡棉,模成型的或切割的,强度高，回弹性好。</w:t>
            </w:r>
            <w:r>
              <w:rPr>
                <w:rFonts w:hint="eastAsia" w:ascii="宋体" w:hAnsi="宋体"/>
                <w:color w:val="auto"/>
                <w:sz w:val="24"/>
                <w:szCs w:val="20"/>
                <w:highlight w:val="none"/>
              </w:rPr>
              <w:br w:type="textWrapping"/>
            </w:r>
            <w:r>
              <w:rPr>
                <w:rFonts w:hint="eastAsia" w:ascii="宋体" w:hAnsi="宋体"/>
                <w:color w:val="auto"/>
                <w:sz w:val="24"/>
                <w:szCs w:val="20"/>
                <w:highlight w:val="none"/>
              </w:rPr>
              <w:t>3.采用国产优质钢材,焊接件采用机器人焊接，焊接质量高。座支架及扶手支架等采用冷轧板或型材冲压成型，表面做防锈处理。</w:t>
            </w:r>
            <w:r>
              <w:rPr>
                <w:rFonts w:hint="eastAsia" w:ascii="宋体" w:hAnsi="宋体"/>
                <w:color w:val="auto"/>
                <w:sz w:val="24"/>
                <w:szCs w:val="20"/>
                <w:highlight w:val="none"/>
              </w:rPr>
              <w:br w:type="textWrapping"/>
            </w:r>
            <w:r>
              <w:rPr>
                <w:rFonts w:hint="eastAsia" w:ascii="宋体" w:hAnsi="宋体"/>
                <w:color w:val="auto"/>
                <w:sz w:val="24"/>
                <w:szCs w:val="20"/>
                <w:highlight w:val="none"/>
              </w:rPr>
              <w:t>4.座椅扶手为红榉实木曲线造型，座、背板为15mm厚红榉饰面层夹板，写字板为18mm厚红榉饰面层夹板。木制作含水率不超过12%，不变形、不开裂。外露木制件表面喷环保聚酯漆，其有害物质含量均达到绿色环保标准，其漆膜附着力达到2级。木材甲醛释放量≤1.5mg/L，环保性能达E1级。</w:t>
            </w:r>
            <w:r>
              <w:rPr>
                <w:rFonts w:hint="eastAsia" w:ascii="宋体" w:hAnsi="宋体"/>
                <w:color w:val="auto"/>
                <w:sz w:val="24"/>
                <w:szCs w:val="20"/>
                <w:highlight w:val="none"/>
              </w:rPr>
              <w:br w:type="textWrapping"/>
            </w:r>
            <w:r>
              <w:rPr>
                <w:rFonts w:hint="eastAsia" w:ascii="宋体" w:hAnsi="宋体"/>
                <w:color w:val="auto"/>
                <w:sz w:val="24"/>
                <w:szCs w:val="20"/>
                <w:highlight w:val="none"/>
              </w:rPr>
              <w:t>5.座垫回复系统加有阻尼装置，阻尼装置完全隐藏不外露，回复时间为1—1.5秒（回复速度可调），回复过程无冲击、无噪声，保证静音要求。座底板可根据需要打吸音孔，使座椅的吸声量在不同的上座率尽可能保持一致。</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44</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9440" behindDoc="0" locked="0" layoutInCell="1" allowOverlap="1">
                  <wp:simplePos x="0" y="0"/>
                  <wp:positionH relativeFrom="column">
                    <wp:posOffset>66675</wp:posOffset>
                  </wp:positionH>
                  <wp:positionV relativeFrom="paragraph">
                    <wp:posOffset>142875</wp:posOffset>
                  </wp:positionV>
                  <wp:extent cx="1114425" cy="781050"/>
                  <wp:effectExtent l="0" t="0" r="952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114425" cy="780867"/>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45</w:t>
            </w:r>
          </w:p>
        </w:tc>
        <w:tc>
          <w:tcPr>
            <w:tcW w:w="2175" w:type="dxa"/>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81792" behindDoc="0" locked="0" layoutInCell="1" allowOverlap="1">
                  <wp:simplePos x="0" y="0"/>
                  <wp:positionH relativeFrom="column">
                    <wp:posOffset>60325</wp:posOffset>
                  </wp:positionH>
                  <wp:positionV relativeFrom="paragraph">
                    <wp:posOffset>123825</wp:posOffset>
                  </wp:positionV>
                  <wp:extent cx="1095375" cy="828675"/>
                  <wp:effectExtent l="0" t="0" r="9525" b="952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1" cstate="print"/>
                          <a:stretch>
                            <a:fillRect/>
                          </a:stretch>
                        </pic:blipFill>
                        <pic:spPr>
                          <a:xfrm>
                            <a:off x="0" y="0"/>
                            <a:ext cx="1095375" cy="829310"/>
                          </a:xfrm>
                          <a:prstGeom prst="rect">
                            <a:avLst/>
                          </a:prstGeom>
                          <a:noFill/>
                          <a:ln w="9525">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会议桌 </w:t>
            </w:r>
          </w:p>
        </w:tc>
        <w:tc>
          <w:tcPr>
            <w:tcW w:w="1233"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2400*1200*750 </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46</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17632" behindDoc="0" locked="0" layoutInCell="1" allowOverlap="1">
                  <wp:simplePos x="0" y="0"/>
                  <wp:positionH relativeFrom="column">
                    <wp:posOffset>200025</wp:posOffset>
                  </wp:positionH>
                  <wp:positionV relativeFrom="paragraph">
                    <wp:posOffset>104775</wp:posOffset>
                  </wp:positionV>
                  <wp:extent cx="971550" cy="1133475"/>
                  <wp:effectExtent l="0" t="0" r="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0" cy="1133475"/>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会议椅</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常规</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面料：进口高级环保皮，皮面光泽度好，透气性强，柔软而富有韧性；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海绵：中日合资“东洋佳嘉”定型回弹海绵，密度≥45，压缩永久变型率小于1.3%(国际标准小于10%)，不易变形；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3"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47</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7392" behindDoc="0" locked="0" layoutInCell="1" allowOverlap="1">
                  <wp:simplePos x="0" y="0"/>
                  <wp:positionH relativeFrom="column">
                    <wp:posOffset>103505</wp:posOffset>
                  </wp:positionH>
                  <wp:positionV relativeFrom="paragraph">
                    <wp:posOffset>233680</wp:posOffset>
                  </wp:positionV>
                  <wp:extent cx="1075055" cy="781050"/>
                  <wp:effectExtent l="0" t="0" r="1079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75055" cy="780867"/>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48</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82816" behindDoc="0" locked="0" layoutInCell="1" allowOverlap="1">
                  <wp:simplePos x="0" y="0"/>
                  <wp:positionH relativeFrom="column">
                    <wp:posOffset>142875</wp:posOffset>
                  </wp:positionH>
                  <wp:positionV relativeFrom="paragraph">
                    <wp:posOffset>381000</wp:posOffset>
                  </wp:positionV>
                  <wp:extent cx="1123950" cy="733425"/>
                  <wp:effectExtent l="0" t="0" r="0" b="9525"/>
                  <wp:wrapNone/>
                  <wp:docPr id="25" name="图片 25"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9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123950" cy="733425"/>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餐桌椅</w:t>
            </w:r>
          </w:p>
        </w:tc>
        <w:tc>
          <w:tcPr>
            <w:tcW w:w="1233" w:type="dxa"/>
            <w:shd w:val="clear" w:color="auto" w:fill="auto"/>
            <w:noWrap/>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1200*600*760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基材：采用吉林“露水河”牌E1级刨花板，芯板厚25mm，甲醛释放含量符合GB 18584-2001《室内装饰装修材料 木家具中有害物质限量》，木材含水率真≤17.0%；</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面材：E1级三聚氰胺板，质量符合GB/T 1951.1-1994《木家具 质量检验及质量评定》标准；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封边：优质PVC封边；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张</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49</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83840" behindDoc="0" locked="0" layoutInCell="1" allowOverlap="1">
                  <wp:simplePos x="0" y="0"/>
                  <wp:positionH relativeFrom="column">
                    <wp:posOffset>200025</wp:posOffset>
                  </wp:positionH>
                  <wp:positionV relativeFrom="paragraph">
                    <wp:posOffset>647700</wp:posOffset>
                  </wp:positionV>
                  <wp:extent cx="958850" cy="685800"/>
                  <wp:effectExtent l="0" t="0" r="12700" b="0"/>
                  <wp:wrapNone/>
                  <wp:docPr id="20" name="图片 20"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958850" cy="685800"/>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餐桌</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2800*760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贴面：采用美国大西洋进口0.6mm胡桃木木皮贴面，纹理均匀清晰；</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油漆：采用台湾“大宝”PE底漆，光泽丰满，附着力强，PU面漆，耐腐蚀性，耐水耐磨，引用意大利先进油漆工艺“五底三面”，光泽均匀，硬度高达3H，抗刮性强，不褪色；</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封边：采用进口木皮封边及整体贴面的先进工艺；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张</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50</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84864" behindDoc="0" locked="0" layoutInCell="1" allowOverlap="1">
                  <wp:simplePos x="0" y="0"/>
                  <wp:positionH relativeFrom="column">
                    <wp:posOffset>-11430</wp:posOffset>
                  </wp:positionH>
                  <wp:positionV relativeFrom="paragraph">
                    <wp:posOffset>111125</wp:posOffset>
                  </wp:positionV>
                  <wp:extent cx="1228725" cy="685800"/>
                  <wp:effectExtent l="0" t="0" r="9525" b="0"/>
                  <wp:wrapNone/>
                  <wp:docPr id="18" name="图片 18"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28725" cy="685800"/>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餐桌</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1500*760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贴面：采用美国大西洋进口0.6mm胡桃木木皮贴面，纹理均匀清晰；</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油漆：采用台湾“大宝”PE底漆，光泽丰满，附着力强，PU面漆，耐腐蚀性，耐水耐磨，引用意大利先进油漆工艺“五底三面”，光泽均匀，硬度高达3H，抗刮性强，不褪色；</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封边：采用进口木皮封边及整体贴面的先进工艺；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张</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51</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85888" behindDoc="0" locked="0" layoutInCell="1" allowOverlap="1">
                  <wp:simplePos x="0" y="0"/>
                  <wp:positionH relativeFrom="column">
                    <wp:posOffset>121920</wp:posOffset>
                  </wp:positionH>
                  <wp:positionV relativeFrom="paragraph">
                    <wp:posOffset>158115</wp:posOffset>
                  </wp:positionV>
                  <wp:extent cx="962025" cy="1409700"/>
                  <wp:effectExtent l="0" t="0" r="952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6" cstate="print"/>
                          <a:stretch>
                            <a:fillRect/>
                          </a:stretch>
                        </pic:blipFill>
                        <pic:spPr>
                          <a:xfrm>
                            <a:off x="0" y="0"/>
                            <a:ext cx="962025" cy="1409700"/>
                          </a:xfrm>
                          <a:prstGeom prst="rect">
                            <a:avLst/>
                          </a:prstGeom>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餐椅</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常规</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面料：进口高级布料，柔软而富有韧性；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海绵：中日合资“东洋佳嘉”定型回弹海绵，密度≥45，表面带有保护面，防氧化软硬适中，回弹好不变形的定型技术，压缩永久变型率小于1.3%(国际标准小于10%)，不易变形；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弹簧：进口中凹形螺旋弹簧。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52</w:t>
            </w:r>
          </w:p>
        </w:tc>
        <w:tc>
          <w:tcPr>
            <w:tcW w:w="217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708416" behindDoc="0" locked="0" layoutInCell="1" allowOverlap="1">
                  <wp:simplePos x="0" y="0"/>
                  <wp:positionH relativeFrom="column">
                    <wp:posOffset>39370</wp:posOffset>
                  </wp:positionH>
                  <wp:positionV relativeFrom="paragraph">
                    <wp:posOffset>371475</wp:posOffset>
                  </wp:positionV>
                  <wp:extent cx="1169670" cy="781050"/>
                  <wp:effectExtent l="0" t="0" r="1143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69670" cy="781050"/>
                          </a:xfrm>
                          <a:prstGeom prst="rect">
                            <a:avLst/>
                          </a:prstGeom>
                          <a:noFill/>
                          <a:ln>
                            <a:noFill/>
                          </a:ln>
                        </pic:spPr>
                      </pic:pic>
                    </a:graphicData>
                  </a:graphic>
                </wp:anchor>
              </w:drawing>
            </w:r>
          </w:p>
        </w:tc>
        <w:tc>
          <w:tcPr>
            <w:tcW w:w="61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茶水柜 </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1200*400*760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贴面：采用美国大西洋进口0.6mm胡桃木木皮贴面，纹理均匀清晰； </w:t>
            </w:r>
          </w:p>
        </w:tc>
        <w:tc>
          <w:tcPr>
            <w:tcW w:w="450"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张 </w:t>
            </w:r>
          </w:p>
        </w:tc>
        <w:tc>
          <w:tcPr>
            <w:tcW w:w="735" w:type="dxa"/>
            <w:shd w:val="clear" w:color="000000" w:fill="FFFFFF"/>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53</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86912" behindDoc="0" locked="0" layoutInCell="1" allowOverlap="1">
                  <wp:simplePos x="0" y="0"/>
                  <wp:positionH relativeFrom="column">
                    <wp:posOffset>-1905</wp:posOffset>
                  </wp:positionH>
                  <wp:positionV relativeFrom="paragraph">
                    <wp:posOffset>87630</wp:posOffset>
                  </wp:positionV>
                  <wp:extent cx="1162050" cy="990600"/>
                  <wp:effectExtent l="0" t="0" r="0" b="0"/>
                  <wp:wrapNone/>
                  <wp:docPr id="12" name="图片 12"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62050" cy="990600"/>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沙发</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单人位</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面料：意大利进口头层牛皮，皮面光泽度好，透气性强，柔软而富有韧性；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海绵：中日合资“东洋佳嘉”定型回弹海绵，密度≥45，表面带有保护面，防氧化软硬适中，回弹好不变形的定型技术，压缩永久变型率小于1.3%(国际标准小于10%)，不易变形；</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框架：选用各种优质低碳钢等金属材料制成。外露部分框架表面通常采用电镀及静电喷塑涂层进行装饰，框架的承载能力通过受力析合理设置脚杆，选用规格管材，通过焊接和螺栓连接成型，性能符合国际标准；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弹簧：进口中凹形螺旋弹簧。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把</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5" w:hRule="atLeast"/>
        </w:trPr>
        <w:tc>
          <w:tcPr>
            <w:tcW w:w="735"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w:t>
            </w:r>
            <w:r>
              <w:rPr>
                <w:rFonts w:ascii="宋体" w:hAnsi="宋体" w:cs="宋体"/>
                <w:color w:val="auto"/>
                <w:kern w:val="0"/>
                <w:sz w:val="24"/>
                <w:highlight w:val="none"/>
              </w:rPr>
              <w:t>4</w:t>
            </w:r>
          </w:p>
        </w:tc>
        <w:tc>
          <w:tcPr>
            <w:tcW w:w="217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drawing>
                <wp:anchor distT="0" distB="0" distL="114300" distR="114300" simplePos="0" relativeHeight="251687936" behindDoc="0" locked="0" layoutInCell="1" allowOverlap="1">
                  <wp:simplePos x="0" y="0"/>
                  <wp:positionH relativeFrom="column">
                    <wp:posOffset>228600</wp:posOffset>
                  </wp:positionH>
                  <wp:positionV relativeFrom="paragraph">
                    <wp:posOffset>657225</wp:posOffset>
                  </wp:positionV>
                  <wp:extent cx="942975" cy="771525"/>
                  <wp:effectExtent l="0" t="0" r="9525" b="9525"/>
                  <wp:wrapNone/>
                  <wp:docPr id="1" name="图片 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942203" cy="774700"/>
                          </a:xfrm>
                          <a:prstGeom prst="rect">
                            <a:avLst/>
                          </a:prstGeom>
                          <a:noFill/>
                          <a:ln>
                            <a:noFill/>
                          </a:ln>
                        </pic:spPr>
                      </pic:pic>
                    </a:graphicData>
                  </a:graphic>
                </wp:anchor>
              </w:drawing>
            </w:r>
          </w:p>
        </w:tc>
        <w:tc>
          <w:tcPr>
            <w:tcW w:w="61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茶几</w:t>
            </w:r>
          </w:p>
        </w:tc>
        <w:tc>
          <w:tcPr>
            <w:tcW w:w="1233"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600*600*450</w:t>
            </w:r>
          </w:p>
        </w:tc>
        <w:tc>
          <w:tcPr>
            <w:tcW w:w="3552" w:type="dxa"/>
            <w:shd w:val="clear" w:color="000000" w:fill="FFFFFF"/>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基材：采用福建“福人”牌E1级环保中纤板，均符合环保要求，达到国家检测标准E1级；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贴面：采用美国大西洋进口0.6mm胡桃木木皮贴面，纹理均匀清晰；</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油漆：采用台湾“大宝”PE底漆，光泽丰满，附着力强，PU面漆，耐腐蚀性，耐水耐磨，引用意大利先进油漆工艺“五底三面”，光泽均匀，硬度高达3H，抗刮性强，不褪色；</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封边：采用进口木皮封边及整体贴面的先进工艺； </w:t>
            </w:r>
          </w:p>
        </w:tc>
        <w:tc>
          <w:tcPr>
            <w:tcW w:w="450"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个</w:t>
            </w:r>
          </w:p>
        </w:tc>
        <w:tc>
          <w:tcPr>
            <w:tcW w:w="735" w:type="dxa"/>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r>
    </w:tbl>
    <w:p>
      <w:pPr>
        <w:shd w:val="clear" w:color="auto" w:fill="FFFFFF" w:themeFill="background1"/>
        <w:rPr>
          <w:rFonts w:ascii="宋体" w:hAnsi="宋体"/>
          <w:b/>
          <w:bCs/>
          <w:color w:val="auto"/>
          <w:kern w:val="0"/>
          <w:sz w:val="24"/>
          <w:highlight w:val="none"/>
        </w:rPr>
      </w:pPr>
      <w:r>
        <w:rPr>
          <w:rFonts w:hint="eastAsia" w:ascii="宋体" w:hAnsi="宋体"/>
          <w:b/>
          <w:bCs/>
          <w:color w:val="auto"/>
          <w:kern w:val="0"/>
          <w:sz w:val="24"/>
          <w:highlight w:val="none"/>
        </w:rPr>
        <w:t>所有带“▲” 标记的参数为核心参数，不得负偏离，否则作无效标处理。</w:t>
      </w:r>
    </w:p>
    <w:p>
      <w:pPr>
        <w:shd w:val="clear" w:color="auto" w:fill="FFFFFF" w:themeFill="background1"/>
        <w:autoSpaceDE w:val="0"/>
        <w:autoSpaceDN w:val="0"/>
        <w:adjustRightInd w:val="0"/>
        <w:ind w:firstLine="442" w:firstLineChars="200"/>
        <w:rPr>
          <w:rFonts w:ascii="宋体" w:hAnsi="宋体" w:cs="微软雅黑"/>
          <w:b/>
          <w:bCs/>
          <w:color w:val="auto"/>
          <w:kern w:val="0"/>
          <w:sz w:val="22"/>
          <w:szCs w:val="22"/>
          <w:highlight w:val="none"/>
        </w:rPr>
      </w:pPr>
      <w:r>
        <w:rPr>
          <w:rFonts w:hint="eastAsia" w:ascii="宋体" w:hAnsi="宋体" w:cs="微软雅黑"/>
          <w:b/>
          <w:bCs/>
          <w:color w:val="auto"/>
          <w:kern w:val="0"/>
          <w:sz w:val="22"/>
          <w:szCs w:val="22"/>
          <w:highlight w:val="none"/>
        </w:rPr>
        <w:t>以上配件材料仅供参考，投标人可以采用同等或更高档次的配件参与投标。</w:t>
      </w:r>
    </w:p>
    <w:p>
      <w:pPr>
        <w:pStyle w:val="8"/>
        <w:spacing w:before="120" w:after="120" w:line="460" w:lineRule="exact"/>
        <w:ind w:firstLine="442" w:firstLineChars="200"/>
        <w:rPr>
          <w:rFonts w:hAnsi="宋体"/>
          <w:color w:val="auto"/>
          <w:highlight w:val="none"/>
        </w:rPr>
      </w:pPr>
      <w:r>
        <w:rPr>
          <w:rFonts w:hint="eastAsia" w:hAnsi="宋体" w:cs="微软雅黑"/>
          <w:b/>
          <w:bCs/>
          <w:color w:val="auto"/>
          <w:kern w:val="0"/>
          <w:sz w:val="22"/>
          <w:szCs w:val="22"/>
          <w:highlight w:val="none"/>
        </w:rPr>
        <w:t>▲注：1、投标人须按规定提供样品：清单</w:t>
      </w:r>
      <w:r>
        <w:rPr>
          <w:rFonts w:hint="eastAsia"/>
          <w:b/>
          <w:bCs/>
          <w:color w:val="auto"/>
          <w:highlight w:val="none"/>
        </w:rPr>
        <w:t>序号</w:t>
      </w:r>
      <w:r>
        <w:rPr>
          <w:b/>
          <w:bCs/>
          <w:color w:val="auto"/>
          <w:highlight w:val="none"/>
        </w:rPr>
        <w:t>14</w:t>
      </w:r>
      <w:r>
        <w:rPr>
          <w:rFonts w:hint="eastAsia"/>
          <w:b/>
          <w:bCs/>
          <w:color w:val="auto"/>
          <w:highlight w:val="none"/>
        </w:rPr>
        <w:t>办公桌一张、</w:t>
      </w:r>
      <w:r>
        <w:rPr>
          <w:rFonts w:hint="eastAsia"/>
          <w:b/>
          <w:bCs/>
          <w:color w:val="auto"/>
          <w:highlight w:val="none"/>
          <w:lang w:eastAsia="zh-CN"/>
        </w:rPr>
        <w:t>序号</w:t>
      </w:r>
      <w:r>
        <w:rPr>
          <w:rFonts w:hint="eastAsia"/>
          <w:b/>
          <w:bCs/>
          <w:color w:val="auto"/>
          <w:highlight w:val="none"/>
          <w:lang w:val="en-US" w:eastAsia="zh-CN"/>
        </w:rPr>
        <w:t>28办公椅一张、</w:t>
      </w:r>
      <w:r>
        <w:rPr>
          <w:rFonts w:hint="eastAsia"/>
          <w:b/>
          <w:bCs/>
          <w:color w:val="auto"/>
          <w:highlight w:val="none"/>
        </w:rPr>
        <w:t>序号</w:t>
      </w:r>
      <w:r>
        <w:rPr>
          <w:b/>
          <w:bCs/>
          <w:color w:val="auto"/>
          <w:highlight w:val="none"/>
        </w:rPr>
        <w:t>33</w:t>
      </w:r>
      <w:r>
        <w:rPr>
          <w:rFonts w:hint="eastAsia"/>
          <w:b/>
          <w:bCs/>
          <w:color w:val="auto"/>
          <w:highlight w:val="none"/>
        </w:rPr>
        <w:t xml:space="preserve"> 会议椅和序号43剧院椅各一把</w:t>
      </w:r>
    </w:p>
    <w:p>
      <w:pPr>
        <w:shd w:val="clear" w:color="auto" w:fill="FFFFFF" w:themeFill="background1"/>
        <w:autoSpaceDE w:val="0"/>
        <w:autoSpaceDN w:val="0"/>
        <w:adjustRightInd w:val="0"/>
        <w:ind w:firstLine="442" w:firstLineChars="200"/>
        <w:rPr>
          <w:rFonts w:ascii="宋体" w:hAnsi="宋体" w:cs="微软雅黑"/>
          <w:b/>
          <w:bCs/>
          <w:color w:val="auto"/>
          <w:kern w:val="0"/>
          <w:sz w:val="22"/>
          <w:szCs w:val="22"/>
          <w:highlight w:val="none"/>
        </w:rPr>
      </w:pPr>
    </w:p>
    <w:p>
      <w:pPr>
        <w:shd w:val="clear" w:color="auto" w:fill="FFFFFF" w:themeFill="background1"/>
        <w:autoSpaceDE w:val="0"/>
        <w:autoSpaceDN w:val="0"/>
        <w:adjustRightInd w:val="0"/>
        <w:ind w:firstLine="442" w:firstLineChars="200"/>
        <w:rPr>
          <w:rFonts w:ascii="宋体" w:hAnsi="宋体" w:cs="宋体"/>
          <w:b/>
          <w:bCs/>
          <w:color w:val="auto"/>
          <w:kern w:val="0"/>
          <w:sz w:val="24"/>
          <w:highlight w:val="none"/>
        </w:rPr>
      </w:pPr>
      <w:r>
        <w:rPr>
          <w:rFonts w:hint="eastAsia" w:ascii="宋体" w:hAnsi="宋体" w:cs="微软雅黑"/>
          <w:b/>
          <w:bCs/>
          <w:color w:val="auto"/>
          <w:kern w:val="0"/>
          <w:sz w:val="22"/>
          <w:szCs w:val="22"/>
          <w:highlight w:val="none"/>
        </w:rPr>
        <w:t xml:space="preserve">      2、</w:t>
      </w:r>
      <w:r>
        <w:rPr>
          <w:rFonts w:hint="eastAsia" w:ascii="宋体" w:hAnsi="宋体" w:cs="宋体"/>
          <w:b/>
          <w:bCs/>
          <w:color w:val="auto"/>
          <w:kern w:val="0"/>
          <w:sz w:val="24"/>
          <w:highlight w:val="none"/>
        </w:rPr>
        <w:t>本次招标家具所使用的主材、辅材、五金件小样。</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hint="eastAsia"/>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snapToGrid w:val="0"/>
        <w:spacing w:before="120" w:after="120" w:line="240" w:lineRule="auto"/>
        <w:ind w:firstLine="3313" w:firstLineChars="1100"/>
        <w:outlineLvl w:val="0"/>
        <w:rPr>
          <w:rFonts w:hAnsi="宋体"/>
          <w:b/>
          <w:color w:val="auto"/>
          <w:szCs w:val="28"/>
          <w:highlight w:val="none"/>
        </w:rPr>
      </w:pPr>
      <w:r>
        <w:rPr>
          <w:rFonts w:hint="eastAsia" w:ascii="黑体" w:hAnsi="宋体" w:eastAsia="黑体"/>
          <w:b/>
          <w:color w:val="auto"/>
          <w:sz w:val="30"/>
          <w:szCs w:val="30"/>
          <w:highlight w:val="none"/>
        </w:rPr>
        <w:t>第三章  投标人须知</w:t>
      </w:r>
    </w:p>
    <w:tbl>
      <w:tblPr>
        <w:tblStyle w:val="18"/>
        <w:tblpPr w:leftFromText="180" w:rightFromText="180" w:vertAnchor="text" w:horzAnchor="page" w:tblpX="968" w:tblpY="365"/>
        <w:tblOverlap w:val="never"/>
        <w:tblW w:w="9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8"/>
        <w:gridCol w:w="85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ind w:left="-105" w:leftChars="-50" w:right="-105" w:rightChars="-50"/>
              <w:jc w:val="center"/>
              <w:rPr>
                <w:rFonts w:ascii="宋体" w:hAnsi="宋体"/>
                <w:color w:val="auto"/>
                <w:sz w:val="24"/>
                <w:szCs w:val="20"/>
                <w:highlight w:val="none"/>
              </w:rPr>
            </w:pPr>
            <w:r>
              <w:rPr>
                <w:rFonts w:hint="eastAsia" w:ascii="宋体" w:hAnsi="宋体"/>
                <w:color w:val="auto"/>
                <w:sz w:val="24"/>
                <w:highlight w:val="none"/>
              </w:rPr>
              <w:t>序号</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highlight w:val="none"/>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0"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highlight w:val="none"/>
              </w:rPr>
            </w:pPr>
            <w:r>
              <w:rPr>
                <w:rFonts w:ascii="宋体" w:hAnsi="宋体"/>
                <w:color w:val="auto"/>
                <w:sz w:val="24"/>
                <w:highlight w:val="none"/>
              </w:rPr>
              <w:t>1</w:t>
            </w:r>
          </w:p>
        </w:tc>
        <w:tc>
          <w:tcPr>
            <w:tcW w:w="8592" w:type="dxa"/>
            <w:tcBorders>
              <w:top w:val="single" w:color="auto" w:sz="4" w:space="0"/>
              <w:left w:val="single" w:color="auto" w:sz="4" w:space="0"/>
              <w:bottom w:val="single" w:color="auto" w:sz="4" w:space="0"/>
              <w:right w:val="single" w:color="auto" w:sz="4" w:space="0"/>
            </w:tcBorders>
            <w:noWrap/>
            <w:vAlign w:val="center"/>
          </w:tcPr>
          <w:p>
            <w:pPr>
              <w:ind w:left="1298" w:hanging="1298" w:hangingChars="541"/>
              <w:rPr>
                <w:rFonts w:ascii="宋体" w:hAnsi="宋体"/>
                <w:color w:val="auto"/>
                <w:sz w:val="24"/>
                <w:highlight w:val="none"/>
              </w:rPr>
            </w:pPr>
            <w:r>
              <w:rPr>
                <w:rFonts w:hint="eastAsia" w:ascii="宋体" w:hAnsi="宋体"/>
                <w:color w:val="auto"/>
                <w:sz w:val="24"/>
                <w:highlight w:val="none"/>
              </w:rPr>
              <w:t>项目名称：东阳市自然资源和规划局办公家具采购项目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2</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jc w:val="left"/>
              <w:rPr>
                <w:rFonts w:ascii="宋体" w:hAnsi="宋体"/>
                <w:color w:val="auto"/>
                <w:sz w:val="24"/>
                <w:szCs w:val="20"/>
                <w:highlight w:val="none"/>
              </w:rPr>
            </w:pPr>
            <w:r>
              <w:rPr>
                <w:rFonts w:hint="eastAsia" w:ascii="宋体" w:hAnsi="宋体"/>
                <w:color w:val="auto"/>
                <w:sz w:val="24"/>
                <w:szCs w:val="20"/>
                <w:highlight w:val="none"/>
              </w:rPr>
              <w:t>投标报价及费用：1、本项目投标应以人民币报价；2、不论投标结果如何，投标人均应自行承担所有与投标有关的全部费用；3、本项目免收代理服务费。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3</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jc w:val="left"/>
              <w:rPr>
                <w:rFonts w:ascii="宋体" w:hAnsi="宋体"/>
                <w:color w:val="auto"/>
                <w:sz w:val="24"/>
                <w:szCs w:val="20"/>
                <w:highlight w:val="none"/>
              </w:rPr>
            </w:pPr>
            <w:r>
              <w:rPr>
                <w:rFonts w:hint="eastAsia" w:ascii="宋体" w:hAnsi="宋体"/>
                <w:color w:val="auto"/>
                <w:sz w:val="24"/>
                <w:szCs w:val="20"/>
                <w:highlight w:val="none"/>
              </w:rPr>
              <w:t>此项目为非专门面向中小企业采购项目。对小型和微型企业生产的产品，报价给予6%的价格扣除，用扣除后的价格参与评审。</w:t>
            </w:r>
          </w:p>
          <w:p>
            <w:pPr>
              <w:snapToGrid w:val="0"/>
              <w:jc w:val="left"/>
              <w:rPr>
                <w:rFonts w:ascii="宋体" w:hAnsi="宋体"/>
                <w:color w:val="auto"/>
                <w:sz w:val="24"/>
                <w:szCs w:val="20"/>
                <w:highlight w:val="none"/>
              </w:rPr>
            </w:pPr>
            <w:r>
              <w:rPr>
                <w:rFonts w:hint="eastAsia" w:ascii="宋体" w:hAnsi="宋体"/>
                <w:color w:val="auto"/>
                <w:sz w:val="24"/>
                <w:szCs w:val="20"/>
                <w:highlight w:val="none"/>
              </w:rPr>
              <w:t>监狱企业、残疾人福利性单位视同小型、微型企业，享受同样的价格扣除。</w:t>
            </w:r>
          </w:p>
          <w:p>
            <w:pPr>
              <w:snapToGrid w:val="0"/>
              <w:jc w:val="left"/>
              <w:rPr>
                <w:rFonts w:ascii="宋体" w:hAnsi="宋体"/>
                <w:color w:val="auto"/>
                <w:sz w:val="24"/>
                <w:szCs w:val="20"/>
                <w:highlight w:val="none"/>
              </w:rPr>
            </w:pPr>
            <w:r>
              <w:rPr>
                <w:rFonts w:hint="eastAsia" w:ascii="宋体" w:hAnsi="宋体"/>
                <w:color w:val="auto"/>
                <w:sz w:val="24"/>
                <w:szCs w:val="20"/>
                <w:highlight w:val="none"/>
              </w:rPr>
              <w:t>监狱企业、残疾人福利性单位属于小型、微型企业的，不重复享受政策。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1" w:hRule="exac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highlight w:val="none"/>
              </w:rPr>
              <w:t>4</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rPr>
                <w:rFonts w:ascii="宋体" w:hAnsi="宋体" w:cs="Arial"/>
                <w:color w:val="auto"/>
                <w:sz w:val="24"/>
                <w:highlight w:val="none"/>
                <w:u w:val="single"/>
              </w:rPr>
            </w:pPr>
            <w:r>
              <w:rPr>
                <w:rFonts w:hint="eastAsia" w:ascii="宋体" w:hAnsi="宋体" w:cs="Arial"/>
                <w:color w:val="auto"/>
                <w:sz w:val="24"/>
                <w:highlight w:val="none"/>
              </w:rPr>
              <w:t>投标保证金人民币</w:t>
            </w:r>
            <w:r>
              <w:rPr>
                <w:rFonts w:hint="eastAsia" w:ascii="宋体" w:hAnsi="宋体" w:cs="Arial"/>
                <w:b/>
                <w:color w:val="auto"/>
                <w:sz w:val="24"/>
                <w:highlight w:val="none"/>
                <w:u w:val="single"/>
              </w:rPr>
              <w:t>标1：叁万贰仟元整。</w:t>
            </w:r>
            <w:r>
              <w:rPr>
                <w:rFonts w:hint="eastAsia" w:ascii="宋体" w:hAnsi="宋体"/>
                <w:color w:val="auto"/>
                <w:sz w:val="24"/>
                <w:highlight w:val="none"/>
              </w:rPr>
              <w:t>应按《招标采购公告》第八条规定交纳。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highlight w:val="none"/>
              </w:rPr>
              <w:t>5</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rPr>
                <w:rFonts w:ascii="宋体" w:hAnsi="宋体"/>
                <w:color w:val="auto"/>
                <w:sz w:val="24"/>
                <w:szCs w:val="20"/>
                <w:highlight w:val="none"/>
              </w:rPr>
            </w:pPr>
            <w:r>
              <w:rPr>
                <w:rFonts w:hint="eastAsia" w:ascii="宋体" w:hAnsi="宋体"/>
                <w:color w:val="auto"/>
                <w:sz w:val="24"/>
                <w:highlight w:val="none"/>
              </w:rPr>
              <w:t>答疑与澄清：投标人如认为招标文件表述不清晰、存在歧视性、排他性或者其他违法内容的，应当</w:t>
            </w:r>
            <w:r>
              <w:rPr>
                <w:rFonts w:hint="eastAsia" w:ascii="宋体" w:hAnsi="宋体"/>
                <w:color w:val="auto"/>
                <w:sz w:val="24"/>
                <w:highlight w:val="none"/>
                <w:shd w:val="clear" w:color="auto" w:fill="FFFFFF" w:themeFill="background1"/>
              </w:rPr>
              <w:t>于</w:t>
            </w:r>
            <w:r>
              <w:rPr>
                <w:rFonts w:hint="eastAsia" w:ascii="宋体" w:hAnsi="宋体"/>
                <w:color w:val="auto"/>
                <w:sz w:val="24"/>
                <w:highlight w:val="none"/>
                <w:u w:val="single"/>
                <w:shd w:val="clear" w:color="auto" w:fill="FFFFFF" w:themeFill="background1"/>
              </w:rPr>
              <w:t>2019</w:t>
            </w:r>
            <w:r>
              <w:rPr>
                <w:rFonts w:hint="eastAsia" w:ascii="宋体" w:hAnsi="宋体"/>
                <w:color w:val="auto"/>
                <w:sz w:val="24"/>
                <w:highlight w:val="none"/>
                <w:shd w:val="clear" w:color="auto" w:fill="FFFFFF" w:themeFill="background1"/>
              </w:rPr>
              <w:t>年</w:t>
            </w:r>
            <w:r>
              <w:rPr>
                <w:rFonts w:hint="eastAsia" w:ascii="宋体" w:hAnsi="宋体"/>
                <w:color w:val="auto"/>
                <w:sz w:val="24"/>
                <w:highlight w:val="none"/>
                <w:u w:val="single"/>
                <w:shd w:val="clear" w:color="auto" w:fill="FFFFFF" w:themeFill="background1"/>
                <w:lang w:val="en-US" w:eastAsia="zh-CN"/>
              </w:rPr>
              <w:t>4</w:t>
            </w:r>
            <w:r>
              <w:rPr>
                <w:rFonts w:hint="eastAsia" w:ascii="宋体" w:hAnsi="宋体"/>
                <w:color w:val="auto"/>
                <w:sz w:val="24"/>
                <w:highlight w:val="none"/>
                <w:u w:val="single"/>
                <w:shd w:val="clear" w:color="auto" w:fill="FFFFFF" w:themeFill="background1"/>
              </w:rPr>
              <w:t>月</w:t>
            </w:r>
            <w:r>
              <w:rPr>
                <w:rFonts w:hint="eastAsia" w:ascii="宋体" w:hAnsi="宋体"/>
                <w:color w:val="auto"/>
                <w:sz w:val="24"/>
                <w:highlight w:val="none"/>
                <w:u w:val="single"/>
                <w:shd w:val="clear" w:color="auto" w:fill="FFFFFF" w:themeFill="background1"/>
                <w:lang w:val="en-US" w:eastAsia="zh-CN"/>
              </w:rPr>
              <w:t>29</w:t>
            </w:r>
            <w:r>
              <w:rPr>
                <w:rFonts w:hint="eastAsia" w:ascii="宋体" w:hAnsi="宋体"/>
                <w:color w:val="auto"/>
                <w:sz w:val="24"/>
                <w:highlight w:val="none"/>
                <w:shd w:val="clear" w:color="auto" w:fill="FFFFFF" w:themeFill="background1"/>
              </w:rPr>
              <w:t>日16:00前，</w:t>
            </w:r>
            <w:r>
              <w:rPr>
                <w:rFonts w:hint="eastAsia" w:ascii="宋体" w:hAnsi="宋体"/>
                <w:color w:val="auto"/>
                <w:sz w:val="24"/>
                <w:highlight w:val="none"/>
              </w:rPr>
              <w:t>以书面形式要求招标采购单位作出书面解释、澄清或者向招标采购单位提出书面质疑（</w:t>
            </w:r>
            <w:r>
              <w:rPr>
                <w:rFonts w:hint="eastAsia" w:ascii="宋体" w:hAnsi="宋体"/>
                <w:b/>
                <w:color w:val="auto"/>
                <w:sz w:val="24"/>
                <w:highlight w:val="none"/>
              </w:rPr>
              <w:t>超过此规定时间的质疑函将不予受理）</w:t>
            </w:r>
            <w:r>
              <w:rPr>
                <w:rFonts w:hint="eastAsia" w:ascii="宋体" w:hAnsi="宋体"/>
                <w:color w:val="auto"/>
                <w:sz w:val="24"/>
                <w:highlight w:val="none"/>
              </w:rPr>
              <w:t>；招标采购单位将于</w:t>
            </w:r>
            <w:r>
              <w:rPr>
                <w:rFonts w:hint="eastAsia" w:ascii="宋体" w:hAnsi="宋体"/>
                <w:color w:val="auto"/>
                <w:sz w:val="24"/>
                <w:highlight w:val="none"/>
                <w:u w:val="single"/>
                <w:shd w:val="clear" w:color="auto" w:fill="FFFFFF" w:themeFill="background1"/>
              </w:rPr>
              <w:t>2019</w:t>
            </w:r>
            <w:r>
              <w:rPr>
                <w:rFonts w:hint="eastAsia" w:ascii="宋体" w:hAnsi="宋体"/>
                <w:color w:val="auto"/>
                <w:sz w:val="24"/>
                <w:highlight w:val="none"/>
                <w:shd w:val="clear" w:color="auto" w:fill="FFFFFF" w:themeFill="background1"/>
              </w:rPr>
              <w:t>年</w:t>
            </w:r>
            <w:r>
              <w:rPr>
                <w:rFonts w:hint="eastAsia" w:ascii="宋体" w:hAnsi="宋体"/>
                <w:color w:val="auto"/>
                <w:sz w:val="24"/>
                <w:highlight w:val="none"/>
                <w:u w:val="single"/>
                <w:shd w:val="clear" w:color="auto" w:fill="FFFFFF" w:themeFill="background1"/>
              </w:rPr>
              <w:t>4月</w:t>
            </w:r>
            <w:r>
              <w:rPr>
                <w:rFonts w:hint="eastAsia" w:ascii="宋体" w:hAnsi="宋体"/>
                <w:color w:val="auto"/>
                <w:sz w:val="24"/>
                <w:highlight w:val="none"/>
                <w:u w:val="single"/>
                <w:shd w:val="clear" w:color="auto" w:fill="FFFFFF" w:themeFill="background1"/>
                <w:lang w:val="en-US" w:eastAsia="zh-CN"/>
              </w:rPr>
              <w:t>30</w:t>
            </w:r>
            <w:r>
              <w:rPr>
                <w:rFonts w:hint="eastAsia" w:ascii="宋体" w:hAnsi="宋体"/>
                <w:color w:val="auto"/>
                <w:sz w:val="24"/>
                <w:highlight w:val="none"/>
                <w:shd w:val="clear" w:color="auto" w:fill="FFFFFF" w:themeFill="background1"/>
              </w:rPr>
              <w:t>日前将答疑内容以传真或网上发布公告的形式通知所有已报名的投标人；答疑内容是招标</w:t>
            </w:r>
            <w:r>
              <w:rPr>
                <w:rFonts w:hint="eastAsia" w:ascii="宋体" w:hAnsi="宋体"/>
                <w:color w:val="auto"/>
                <w:sz w:val="24"/>
                <w:highlight w:val="none"/>
              </w:rPr>
              <w:t>文件的组成部分；因其他紧急情况影响本项目正常招标活动的，招标采购单位将于投标截止日期</w:t>
            </w:r>
            <w:r>
              <w:rPr>
                <w:rFonts w:ascii="宋体" w:hAnsi="宋体"/>
                <w:color w:val="auto"/>
                <w:sz w:val="24"/>
                <w:highlight w:val="none"/>
              </w:rPr>
              <w:t>5</w:t>
            </w:r>
            <w:r>
              <w:rPr>
                <w:rFonts w:hint="eastAsia" w:ascii="宋体" w:hAnsi="宋体"/>
                <w:color w:val="auto"/>
                <w:sz w:val="24"/>
                <w:highlight w:val="none"/>
              </w:rPr>
              <w:t>天前书面通知所有已报名的投标人。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4"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highlight w:val="none"/>
              </w:rPr>
              <w:t>6</w:t>
            </w:r>
          </w:p>
        </w:tc>
        <w:tc>
          <w:tcPr>
            <w:tcW w:w="8592"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textAlignment w:val="bottom"/>
              <w:rPr>
                <w:rFonts w:ascii="宋体" w:hAnsi="宋体"/>
                <w:color w:val="auto"/>
                <w:sz w:val="24"/>
                <w:szCs w:val="20"/>
                <w:highlight w:val="none"/>
              </w:rPr>
            </w:pPr>
            <w:r>
              <w:rPr>
                <w:rFonts w:hint="eastAsia" w:ascii="宋体" w:hAnsi="宋体"/>
                <w:color w:val="auto"/>
                <w:sz w:val="24"/>
                <w:highlight w:val="none"/>
              </w:rPr>
              <w:t>投标文件组成：</w:t>
            </w:r>
            <w:r>
              <w:rPr>
                <w:rFonts w:hint="eastAsia" w:ascii="宋体" w:hAnsi="宋体" w:cs="Arial"/>
                <w:color w:val="auto"/>
                <w:sz w:val="24"/>
                <w:highlight w:val="none"/>
              </w:rPr>
              <w:t>技术、商务、报价文件</w:t>
            </w:r>
            <w:r>
              <w:rPr>
                <w:rFonts w:hint="eastAsia" w:ascii="宋体" w:hAnsi="宋体"/>
                <w:color w:val="auto"/>
                <w:sz w:val="24"/>
                <w:highlight w:val="none"/>
              </w:rPr>
              <w:t>正本各</w:t>
            </w:r>
            <w:r>
              <w:rPr>
                <w:rFonts w:hint="eastAsia" w:ascii="宋体" w:hAnsi="宋体" w:cs="Arial"/>
                <w:color w:val="auto"/>
                <w:sz w:val="24"/>
                <w:highlight w:val="none"/>
                <w:u w:val="single"/>
              </w:rPr>
              <w:t>1</w:t>
            </w:r>
            <w:r>
              <w:rPr>
                <w:rFonts w:hint="eastAsia" w:ascii="宋体" w:hAnsi="宋体"/>
                <w:color w:val="auto"/>
                <w:sz w:val="24"/>
                <w:highlight w:val="none"/>
              </w:rPr>
              <w:t>份；副本各</w:t>
            </w:r>
            <w:r>
              <w:rPr>
                <w:rFonts w:hint="eastAsia" w:ascii="宋体" w:hAnsi="宋体"/>
                <w:color w:val="auto"/>
                <w:sz w:val="24"/>
                <w:highlight w:val="none"/>
                <w:u w:val="single"/>
              </w:rPr>
              <w:t xml:space="preserve"> 4 </w:t>
            </w:r>
            <w:r>
              <w:rPr>
                <w:rFonts w:hint="eastAsia" w:ascii="宋体" w:hAnsi="宋体"/>
                <w:color w:val="auto"/>
                <w:sz w:val="24"/>
                <w:highlight w:val="none"/>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5"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7</w:t>
            </w:r>
          </w:p>
        </w:tc>
        <w:tc>
          <w:tcPr>
            <w:tcW w:w="859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napToGrid w:val="0"/>
              <w:rPr>
                <w:rFonts w:ascii="宋体" w:hAnsi="宋体"/>
                <w:color w:val="auto"/>
                <w:sz w:val="24"/>
                <w:highlight w:val="none"/>
              </w:rPr>
            </w:pPr>
            <w:r>
              <w:rPr>
                <w:rFonts w:hint="eastAsia" w:ascii="宋体" w:hAnsi="宋体"/>
                <w:color w:val="auto"/>
                <w:sz w:val="24"/>
                <w:highlight w:val="none"/>
              </w:rPr>
              <w:t>投标截止时间：2019年</w:t>
            </w:r>
            <w:r>
              <w:rPr>
                <w:rFonts w:hint="eastAsia" w:ascii="宋体" w:hAnsi="宋体"/>
                <w:color w:val="auto"/>
                <w:sz w:val="24"/>
                <w:highlight w:val="none"/>
                <w:lang w:val="en-US" w:eastAsia="zh-CN"/>
              </w:rPr>
              <w:t>5</w:t>
            </w:r>
            <w:r>
              <w:rPr>
                <w:rFonts w:hint="eastAsia" w:ascii="宋体" w:hAnsi="宋体"/>
                <w:color w:val="auto"/>
                <w:sz w:val="24"/>
                <w:highlight w:val="none"/>
              </w:rPr>
              <w:t>月</w:t>
            </w:r>
            <w:r>
              <w:rPr>
                <w:rFonts w:hint="eastAsia" w:ascii="宋体" w:hAnsi="宋体"/>
                <w:color w:val="auto"/>
                <w:sz w:val="24"/>
                <w:highlight w:val="none"/>
                <w:lang w:val="en-US" w:eastAsia="zh-CN"/>
              </w:rPr>
              <w:t>14</w:t>
            </w:r>
            <w:r>
              <w:rPr>
                <w:rFonts w:hint="eastAsia" w:ascii="宋体" w:hAnsi="宋体"/>
                <w:color w:val="auto"/>
                <w:sz w:val="24"/>
                <w:highlight w:val="none"/>
              </w:rPr>
              <w:t>日09：30时</w:t>
            </w:r>
          </w:p>
          <w:p>
            <w:pPr>
              <w:snapToGrid w:val="0"/>
              <w:rPr>
                <w:rFonts w:ascii="宋体" w:hAnsi="宋体"/>
                <w:color w:val="auto"/>
                <w:sz w:val="24"/>
                <w:highlight w:val="none"/>
              </w:rPr>
            </w:pPr>
            <w:r>
              <w:rPr>
                <w:rFonts w:hint="eastAsia" w:ascii="宋体" w:hAnsi="宋体"/>
                <w:color w:val="auto"/>
                <w:sz w:val="24"/>
                <w:highlight w:val="none"/>
              </w:rPr>
              <w:t>投标文件递交地点：东阳市艺海北路388号（行政服务中心）B幢西区10楼开标室4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7</w:t>
            </w:r>
          </w:p>
        </w:tc>
        <w:tc>
          <w:tcPr>
            <w:tcW w:w="859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napToGrid w:val="0"/>
              <w:rPr>
                <w:rFonts w:ascii="宋体" w:hAnsi="宋体"/>
                <w:color w:val="auto"/>
                <w:sz w:val="24"/>
                <w:highlight w:val="none"/>
              </w:rPr>
            </w:pPr>
            <w:r>
              <w:rPr>
                <w:rFonts w:hint="eastAsia" w:ascii="宋体" w:hAnsi="宋体"/>
                <w:color w:val="auto"/>
                <w:sz w:val="24"/>
                <w:highlight w:val="none"/>
              </w:rPr>
              <w:t>开标时间：2019年</w:t>
            </w:r>
            <w:r>
              <w:rPr>
                <w:rFonts w:hint="eastAsia" w:ascii="宋体" w:hAnsi="宋体"/>
                <w:color w:val="auto"/>
                <w:sz w:val="24"/>
                <w:highlight w:val="none"/>
                <w:lang w:val="en-US" w:eastAsia="zh-CN"/>
              </w:rPr>
              <w:t>5</w:t>
            </w:r>
            <w:r>
              <w:rPr>
                <w:rFonts w:hint="eastAsia" w:ascii="宋体" w:hAnsi="宋体"/>
                <w:color w:val="auto"/>
                <w:sz w:val="24"/>
                <w:highlight w:val="none"/>
              </w:rPr>
              <w:t>月</w:t>
            </w:r>
            <w:r>
              <w:rPr>
                <w:rFonts w:hint="eastAsia" w:ascii="宋体" w:hAnsi="宋体"/>
                <w:color w:val="auto"/>
                <w:sz w:val="24"/>
                <w:highlight w:val="none"/>
                <w:lang w:val="en-US" w:eastAsia="zh-CN"/>
              </w:rPr>
              <w:t>14</w:t>
            </w:r>
            <w:r>
              <w:rPr>
                <w:rFonts w:hint="eastAsia" w:ascii="宋体" w:hAnsi="宋体"/>
                <w:color w:val="auto"/>
                <w:sz w:val="24"/>
                <w:highlight w:val="none"/>
              </w:rPr>
              <w:t>日09：30时</w:t>
            </w:r>
          </w:p>
          <w:p>
            <w:pPr>
              <w:snapToGrid w:val="0"/>
              <w:rPr>
                <w:rFonts w:ascii="宋体" w:hAnsi="宋体"/>
                <w:color w:val="auto"/>
                <w:sz w:val="24"/>
                <w:highlight w:val="none"/>
              </w:rPr>
            </w:pPr>
            <w:r>
              <w:rPr>
                <w:rFonts w:hint="eastAsia" w:ascii="宋体" w:hAnsi="宋体"/>
                <w:color w:val="auto"/>
                <w:sz w:val="24"/>
                <w:highlight w:val="none"/>
              </w:rPr>
              <w:t>开标地点：东阳市艺海北路388号（行政服务中心）B幢西区10楼开标室4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9"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8</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rPr>
                <w:rFonts w:ascii="宋体" w:hAnsi="宋体"/>
                <w:color w:val="auto"/>
                <w:sz w:val="24"/>
                <w:highlight w:val="none"/>
              </w:rPr>
            </w:pPr>
            <w:r>
              <w:rPr>
                <w:rFonts w:hint="eastAsia" w:ascii="宋体" w:hAnsi="宋体"/>
                <w:color w:val="auto"/>
                <w:sz w:val="24"/>
                <w:highlight w:val="none"/>
              </w:rPr>
              <w:t>评标办法：综合评分法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7"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9</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rPr>
                <w:rFonts w:ascii="宋体" w:hAnsi="宋体"/>
                <w:color w:val="auto"/>
                <w:sz w:val="24"/>
                <w:highlight w:val="none"/>
              </w:rPr>
            </w:pPr>
            <w:r>
              <w:rPr>
                <w:rFonts w:hint="eastAsia" w:ascii="宋体" w:hAnsi="宋体"/>
                <w:color w:val="auto"/>
                <w:sz w:val="24"/>
                <w:highlight w:val="none"/>
              </w:rPr>
              <w:t>中标结果公告：评标结束后</w:t>
            </w:r>
            <w:r>
              <w:rPr>
                <w:rFonts w:ascii="宋体" w:hAnsi="宋体"/>
                <w:color w:val="auto"/>
                <w:sz w:val="24"/>
                <w:highlight w:val="none"/>
              </w:rPr>
              <w:t>2</w:t>
            </w:r>
            <w:r>
              <w:rPr>
                <w:rFonts w:hint="eastAsia" w:ascii="宋体" w:hAnsi="宋体"/>
                <w:color w:val="auto"/>
                <w:sz w:val="24"/>
                <w:highlight w:val="none"/>
              </w:rPr>
              <w:t>天内，中标结果公告于浙江省政府采购网</w:t>
            </w:r>
            <w:r>
              <w:rPr>
                <w:rFonts w:ascii="宋体" w:hAnsi="宋体"/>
                <w:color w:val="auto"/>
                <w:sz w:val="24"/>
                <w:highlight w:val="none"/>
              </w:rPr>
              <w:t>(</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宋体" w:hAnsi="宋体"/>
                <w:color w:val="auto"/>
                <w:sz w:val="24"/>
                <w:highlight w:val="none"/>
              </w:rPr>
              <w:t>www.zjzfcg.gov.cn</w:t>
            </w:r>
            <w:r>
              <w:rPr>
                <w:rFonts w:ascii="宋体" w:hAnsi="宋体"/>
                <w:color w:val="auto"/>
                <w:sz w:val="24"/>
                <w:highlight w:val="none"/>
              </w:rPr>
              <w:fldChar w:fldCharType="end"/>
            </w:r>
            <w:r>
              <w:rPr>
                <w:rFonts w:ascii="宋体" w:hAnsi="宋体"/>
                <w:color w:val="auto"/>
                <w:sz w:val="24"/>
                <w:highlight w:val="none"/>
              </w:rPr>
              <w:t>)</w:t>
            </w:r>
            <w:r>
              <w:rPr>
                <w:rFonts w:hint="eastAsia" w:ascii="宋体" w:hAnsi="宋体"/>
                <w:color w:val="auto"/>
                <w:sz w:val="24"/>
                <w:highlight w:val="none"/>
              </w:rPr>
              <w:t>、东阳市公共资源交易网</w:t>
            </w:r>
            <w:r>
              <w:rPr>
                <w:rFonts w:ascii="宋体" w:hAnsi="宋体"/>
                <w:color w:val="auto"/>
                <w:sz w:val="24"/>
                <w:highlight w:val="none"/>
              </w:rPr>
              <w:t>(</w:t>
            </w:r>
            <w:r>
              <w:rPr>
                <w:color w:val="auto"/>
                <w:highlight w:val="none"/>
              </w:rPr>
              <w:fldChar w:fldCharType="begin"/>
            </w:r>
            <w:r>
              <w:rPr>
                <w:color w:val="auto"/>
                <w:highlight w:val="none"/>
              </w:rPr>
              <w:instrText xml:space="preserve"> HYPERLINK "http://www.dyztb.com" </w:instrText>
            </w:r>
            <w:r>
              <w:rPr>
                <w:color w:val="auto"/>
                <w:highlight w:val="none"/>
              </w:rPr>
              <w:fldChar w:fldCharType="separate"/>
            </w:r>
            <w:r>
              <w:rPr>
                <w:rFonts w:hint="eastAsia" w:ascii="宋体" w:hAnsi="宋体"/>
                <w:color w:val="auto"/>
                <w:sz w:val="24"/>
                <w:highlight w:val="none"/>
              </w:rPr>
              <w:t>ggzyjy.dongyang.gov.cn</w:t>
            </w:r>
            <w:r>
              <w:rPr>
                <w:rFonts w:hint="eastAsia" w:ascii="宋体" w:hAnsi="宋体"/>
                <w:color w:val="auto"/>
                <w:sz w:val="24"/>
                <w:highlight w:val="none"/>
              </w:rPr>
              <w:fldChar w:fldCharType="end"/>
            </w:r>
            <w:r>
              <w:rPr>
                <w:rFonts w:ascii="宋体" w:hAnsi="宋体"/>
                <w:color w:val="auto"/>
                <w:sz w:val="24"/>
                <w:highlight w:val="none"/>
              </w:rPr>
              <w:t>)</w:t>
            </w:r>
            <w:r>
              <w:rPr>
                <w:rFonts w:hint="eastAsia"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10</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rPr>
                <w:rFonts w:ascii="宋体" w:hAnsi="宋体"/>
                <w:color w:val="auto"/>
                <w:sz w:val="24"/>
                <w:highlight w:val="none"/>
              </w:rPr>
            </w:pPr>
            <w:r>
              <w:rPr>
                <w:rFonts w:hint="eastAsia" w:ascii="宋体" w:hAnsi="宋体"/>
                <w:color w:val="auto"/>
                <w:spacing w:val="-6"/>
                <w:sz w:val="24"/>
                <w:highlight w:val="none"/>
              </w:rPr>
              <w:t>中标通知书：公告结束无异议后5个工作日内，招标人向中标单位发出中标通知书。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11</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rPr>
                <w:rFonts w:ascii="宋体" w:hAnsi="宋体"/>
                <w:color w:val="auto"/>
                <w:sz w:val="24"/>
                <w:highlight w:val="none"/>
              </w:rPr>
            </w:pPr>
            <w:r>
              <w:rPr>
                <w:rFonts w:hint="eastAsia" w:ascii="宋体" w:hAnsi="宋体"/>
                <w:color w:val="auto"/>
                <w:sz w:val="24"/>
                <w:highlight w:val="none"/>
              </w:rPr>
              <w:t>投标保证金及履约保证金退还：</w:t>
            </w:r>
          </w:p>
          <w:p>
            <w:pPr>
              <w:snapToGrid w:val="0"/>
              <w:rPr>
                <w:rFonts w:ascii="宋体" w:hAnsi="宋体"/>
                <w:color w:val="auto"/>
                <w:sz w:val="24"/>
                <w:highlight w:val="none"/>
              </w:rPr>
            </w:pPr>
            <w:r>
              <w:rPr>
                <w:rFonts w:hint="eastAsia" w:ascii="宋体" w:hAnsi="宋体"/>
                <w:color w:val="auto"/>
                <w:sz w:val="24"/>
                <w:highlight w:val="none"/>
              </w:rPr>
              <w:t>未中标的投标人的投标保证金将在定标后5个工作日内退还</w:t>
            </w:r>
            <w:r>
              <w:rPr>
                <w:rFonts w:ascii="宋体" w:hAnsi="宋体"/>
                <w:color w:val="auto"/>
                <w:sz w:val="24"/>
                <w:highlight w:val="none"/>
              </w:rPr>
              <w:t>(</w:t>
            </w:r>
            <w:r>
              <w:rPr>
                <w:rFonts w:hint="eastAsia" w:ascii="宋体" w:hAnsi="宋体"/>
                <w:color w:val="auto"/>
                <w:sz w:val="24"/>
                <w:highlight w:val="none"/>
              </w:rPr>
              <w:t>无息</w:t>
            </w:r>
            <w:r>
              <w:rPr>
                <w:rFonts w:ascii="宋体" w:hAnsi="宋体"/>
                <w:color w:val="auto"/>
                <w:sz w:val="24"/>
                <w:highlight w:val="none"/>
              </w:rPr>
              <w:t>)</w:t>
            </w:r>
            <w:r>
              <w:rPr>
                <w:rFonts w:hint="eastAsia" w:ascii="宋体" w:hAnsi="宋体"/>
                <w:color w:val="auto"/>
                <w:sz w:val="24"/>
                <w:highlight w:val="none"/>
              </w:rPr>
              <w:t>。</w:t>
            </w:r>
          </w:p>
          <w:p>
            <w:pPr>
              <w:snapToGrid w:val="0"/>
              <w:rPr>
                <w:rFonts w:ascii="宋体" w:hAnsi="宋体"/>
                <w:color w:val="auto"/>
                <w:sz w:val="24"/>
                <w:highlight w:val="none"/>
              </w:rPr>
            </w:pPr>
            <w:r>
              <w:rPr>
                <w:rFonts w:hint="eastAsia" w:ascii="宋体" w:hAnsi="宋体"/>
                <w:color w:val="auto"/>
                <w:sz w:val="24"/>
                <w:highlight w:val="none"/>
              </w:rPr>
              <w:t>中标人按要求签订合同后，投标保证金自动转为履约保证金</w:t>
            </w:r>
            <w:r>
              <w:rPr>
                <w:rFonts w:hint="eastAsia" w:hAnsi="宋体"/>
                <w:color w:val="auto"/>
                <w:sz w:val="24"/>
                <w:highlight w:val="none"/>
              </w:rPr>
              <w:t>，</w:t>
            </w:r>
            <w:r>
              <w:rPr>
                <w:rFonts w:hint="eastAsia" w:ascii="宋体" w:hAnsi="宋体"/>
                <w:color w:val="auto"/>
                <w:sz w:val="24"/>
                <w:highlight w:val="none"/>
              </w:rPr>
              <w:t>在货到验收合格后10日内凭《退履约保证金的函》（此表格下载步骤：http://ggzyjy.dongyang.gov.cn/——政府采购模块——资料下载——</w:t>
            </w:r>
            <w:r>
              <w:rPr>
                <w:color w:val="auto"/>
                <w:highlight w:val="none"/>
              </w:rPr>
              <w:fldChar w:fldCharType="begin"/>
            </w:r>
            <w:r>
              <w:rPr>
                <w:color w:val="auto"/>
                <w:highlight w:val="none"/>
              </w:rPr>
              <w:instrText xml:space="preserve"> HYPERLINK "http://ggzyjy.dongyang.gov.cn/zfcgzlxz/15961.htm" \t "http://ggzyjy.dongyang.gov.cn/zfcgzlxz/_blank" </w:instrText>
            </w:r>
            <w:r>
              <w:rPr>
                <w:color w:val="auto"/>
                <w:highlight w:val="none"/>
              </w:rPr>
              <w:fldChar w:fldCharType="separate"/>
            </w:r>
            <w:r>
              <w:rPr>
                <w:rFonts w:hint="eastAsia" w:ascii="宋体" w:hAnsi="宋体"/>
                <w:color w:val="auto"/>
                <w:sz w:val="24"/>
                <w:highlight w:val="none"/>
              </w:rPr>
              <w:t xml:space="preserve">退履约保证金的函 </w:t>
            </w:r>
            <w:r>
              <w:rPr>
                <w:rFonts w:hint="eastAsia" w:ascii="宋体" w:hAnsi="宋体"/>
                <w:color w:val="auto"/>
                <w:sz w:val="24"/>
                <w:highlight w:val="none"/>
              </w:rPr>
              <w:fldChar w:fldCharType="end"/>
            </w:r>
            <w:r>
              <w:rPr>
                <w:rFonts w:hint="eastAsia" w:ascii="宋体" w:hAnsi="宋体"/>
                <w:color w:val="auto"/>
                <w:sz w:val="24"/>
                <w:highlight w:val="none"/>
              </w:rPr>
              <w:t>）退还（无息）。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9"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12</w:t>
            </w:r>
          </w:p>
        </w:tc>
        <w:tc>
          <w:tcPr>
            <w:tcW w:w="8592"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textAlignment w:val="bottom"/>
              <w:rPr>
                <w:rFonts w:ascii="宋体" w:hAnsi="宋体"/>
                <w:color w:val="auto"/>
                <w:sz w:val="24"/>
                <w:szCs w:val="20"/>
                <w:highlight w:val="none"/>
              </w:rPr>
            </w:pPr>
            <w:r>
              <w:rPr>
                <w:rFonts w:hint="eastAsia" w:ascii="宋体" w:hAnsi="宋体"/>
                <w:color w:val="auto"/>
                <w:sz w:val="24"/>
                <w:highlight w:val="none"/>
              </w:rPr>
              <w:t>签订合同：中标通知书发出后30日内签订。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2"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highlight w:val="none"/>
              </w:rPr>
            </w:pPr>
            <w:r>
              <w:rPr>
                <w:rFonts w:hint="eastAsia" w:ascii="宋体" w:hAnsi="宋体"/>
                <w:color w:val="auto"/>
                <w:sz w:val="24"/>
                <w:highlight w:val="none"/>
              </w:rPr>
              <w:t>13</w:t>
            </w:r>
          </w:p>
        </w:tc>
        <w:tc>
          <w:tcPr>
            <w:tcW w:w="8592" w:type="dxa"/>
            <w:tcBorders>
              <w:top w:val="single" w:color="auto" w:sz="4" w:space="0"/>
              <w:left w:val="single" w:color="auto" w:sz="4" w:space="0"/>
              <w:bottom w:val="single" w:color="auto" w:sz="4" w:space="0"/>
              <w:right w:val="single" w:color="auto" w:sz="4" w:space="0"/>
            </w:tcBorders>
            <w:noWrap/>
            <w:vAlign w:val="center"/>
          </w:tcPr>
          <w:p>
            <w:pPr>
              <w:pStyle w:val="9"/>
              <w:shd w:val="clear" w:color="auto" w:fill="FFFFFF" w:themeFill="background1"/>
              <w:spacing w:line="317" w:lineRule="auto"/>
              <w:ind w:firstLine="0" w:firstLineChars="0"/>
              <w:rPr>
                <w:rFonts w:ascii="宋体" w:cs="Times New Roman"/>
                <w:b w:val="0"/>
                <w:bCs w:val="0"/>
                <w:color w:val="auto"/>
                <w:highlight w:val="none"/>
              </w:rPr>
            </w:pPr>
            <w:r>
              <w:rPr>
                <w:rFonts w:hint="eastAsia" w:ascii="宋体" w:cs="Times New Roman"/>
                <w:b w:val="0"/>
                <w:bCs w:val="0"/>
                <w:color w:val="auto"/>
                <w:highlight w:val="none"/>
              </w:rPr>
              <w:t>付款方式：所有家具安装完成，验收合格后支付合同总额的95%，留存5%作为质保金，质保金至保修期执行满一年后10日内无息退还。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6"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highlight w:val="none"/>
              </w:rPr>
            </w:pPr>
            <w:r>
              <w:rPr>
                <w:rFonts w:hint="eastAsia" w:ascii="宋体" w:hAnsi="宋体"/>
                <w:color w:val="auto"/>
                <w:sz w:val="24"/>
                <w:highlight w:val="none"/>
              </w:rPr>
              <w:t>14</w:t>
            </w:r>
          </w:p>
        </w:tc>
        <w:tc>
          <w:tcPr>
            <w:tcW w:w="8592" w:type="dxa"/>
            <w:tcBorders>
              <w:top w:val="single" w:color="auto" w:sz="4" w:space="0"/>
              <w:left w:val="single" w:color="auto" w:sz="4" w:space="0"/>
              <w:bottom w:val="single" w:color="auto" w:sz="4" w:space="0"/>
              <w:right w:val="single" w:color="auto" w:sz="4" w:space="0"/>
            </w:tcBorders>
            <w:noWrap/>
            <w:vAlign w:val="center"/>
          </w:tcPr>
          <w:p>
            <w:pPr>
              <w:pStyle w:val="8"/>
              <w:spacing w:before="120" w:after="120" w:line="460" w:lineRule="exact"/>
              <w:rPr>
                <w:rFonts w:hint="eastAsia" w:hAnsi="宋体"/>
                <w:color w:val="auto"/>
                <w:highlight w:val="none"/>
              </w:rPr>
            </w:pPr>
            <w:r>
              <w:rPr>
                <w:rFonts w:hint="eastAsia" w:hAnsi="宋体"/>
                <w:color w:val="auto"/>
                <w:highlight w:val="none"/>
              </w:rPr>
              <w:t>▲提供</w:t>
            </w:r>
            <w:r>
              <w:rPr>
                <w:rFonts w:hint="eastAsia"/>
                <w:b/>
                <w:bCs/>
                <w:color w:val="auto"/>
                <w:highlight w:val="none"/>
              </w:rPr>
              <w:t>序号</w:t>
            </w:r>
            <w:r>
              <w:rPr>
                <w:b/>
                <w:bCs/>
                <w:color w:val="auto"/>
                <w:highlight w:val="none"/>
              </w:rPr>
              <w:t>14</w:t>
            </w:r>
            <w:r>
              <w:rPr>
                <w:rFonts w:hint="eastAsia"/>
                <w:b/>
                <w:bCs/>
                <w:color w:val="auto"/>
                <w:highlight w:val="none"/>
              </w:rPr>
              <w:t>办公桌一张、</w:t>
            </w:r>
            <w:r>
              <w:rPr>
                <w:rFonts w:hint="eastAsia"/>
                <w:b/>
                <w:bCs/>
                <w:color w:val="auto"/>
                <w:highlight w:val="none"/>
                <w:lang w:eastAsia="zh-CN"/>
              </w:rPr>
              <w:t>序号</w:t>
            </w:r>
            <w:r>
              <w:rPr>
                <w:rFonts w:hint="eastAsia"/>
                <w:b/>
                <w:bCs/>
                <w:color w:val="auto"/>
                <w:highlight w:val="none"/>
                <w:lang w:val="en-US" w:eastAsia="zh-CN"/>
              </w:rPr>
              <w:t>28办公椅一张、</w:t>
            </w:r>
            <w:r>
              <w:rPr>
                <w:rFonts w:hint="eastAsia"/>
                <w:b/>
                <w:bCs/>
                <w:color w:val="auto"/>
                <w:highlight w:val="none"/>
              </w:rPr>
              <w:t>序号</w:t>
            </w:r>
            <w:r>
              <w:rPr>
                <w:b/>
                <w:bCs/>
                <w:color w:val="auto"/>
                <w:highlight w:val="none"/>
              </w:rPr>
              <w:t>33</w:t>
            </w:r>
            <w:r>
              <w:rPr>
                <w:rFonts w:hint="eastAsia"/>
                <w:b/>
                <w:bCs/>
                <w:color w:val="auto"/>
                <w:highlight w:val="none"/>
              </w:rPr>
              <w:t xml:space="preserve"> 会议椅和序号43剧院椅各一把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9"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15</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rPr>
                <w:rFonts w:ascii="宋体" w:hAnsi="宋体"/>
                <w:color w:val="auto"/>
                <w:sz w:val="24"/>
                <w:szCs w:val="20"/>
                <w:highlight w:val="none"/>
              </w:rPr>
            </w:pPr>
            <w:r>
              <w:rPr>
                <w:rFonts w:hint="eastAsia" w:ascii="宋体" w:hAnsi="宋体"/>
                <w:color w:val="auto"/>
                <w:sz w:val="24"/>
                <w:highlight w:val="none"/>
              </w:rPr>
              <w:t>投标文件有效期：</w:t>
            </w:r>
            <w:r>
              <w:rPr>
                <w:rFonts w:hint="eastAsia" w:ascii="宋体" w:hAnsi="宋体" w:cs="Arial"/>
                <w:color w:val="auto"/>
                <w:sz w:val="24"/>
                <w:highlight w:val="none"/>
                <w:u w:val="single"/>
              </w:rPr>
              <w:t xml:space="preserve"> 60 </w:t>
            </w:r>
            <w:r>
              <w:rPr>
                <w:rFonts w:hint="eastAsia" w:ascii="宋体" w:hAnsi="宋体" w:cs="Arial"/>
                <w:color w:val="auto"/>
                <w:sz w:val="24"/>
                <w:highlight w:val="none"/>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3" w:hRule="atLeast"/>
        </w:trPr>
        <w:tc>
          <w:tcPr>
            <w:tcW w:w="64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olor w:val="auto"/>
                <w:sz w:val="24"/>
                <w:szCs w:val="20"/>
                <w:highlight w:val="none"/>
              </w:rPr>
            </w:pPr>
            <w:r>
              <w:rPr>
                <w:rFonts w:hint="eastAsia" w:ascii="宋体" w:hAnsi="宋体"/>
                <w:color w:val="auto"/>
                <w:sz w:val="24"/>
                <w:szCs w:val="20"/>
                <w:highlight w:val="none"/>
              </w:rPr>
              <w:t>16</w:t>
            </w:r>
          </w:p>
        </w:tc>
        <w:tc>
          <w:tcPr>
            <w:tcW w:w="8592" w:type="dxa"/>
            <w:tcBorders>
              <w:top w:val="single" w:color="auto" w:sz="4" w:space="0"/>
              <w:left w:val="single" w:color="auto" w:sz="4" w:space="0"/>
              <w:bottom w:val="single" w:color="auto" w:sz="4" w:space="0"/>
              <w:right w:val="single" w:color="auto" w:sz="4" w:space="0"/>
            </w:tcBorders>
            <w:noWrap/>
            <w:vAlign w:val="center"/>
          </w:tcPr>
          <w:p>
            <w:pPr>
              <w:snapToGrid w:val="0"/>
              <w:rPr>
                <w:rFonts w:ascii="宋体" w:hAnsi="宋体"/>
                <w:color w:val="auto"/>
                <w:sz w:val="24"/>
                <w:szCs w:val="20"/>
                <w:highlight w:val="none"/>
              </w:rPr>
            </w:pPr>
            <w:r>
              <w:rPr>
                <w:rFonts w:hint="eastAsia" w:ascii="宋体" w:hAnsi="宋体"/>
                <w:color w:val="auto"/>
                <w:sz w:val="24"/>
                <w:highlight w:val="none"/>
              </w:rPr>
              <w:t>解释：本招标文件的解释权属于招标采购单位。</w:t>
            </w:r>
          </w:p>
        </w:tc>
      </w:tr>
    </w:tbl>
    <w:p>
      <w:pPr>
        <w:snapToGrid w:val="0"/>
        <w:spacing w:before="120" w:beforeLines="50" w:after="120" w:afterLines="50"/>
        <w:ind w:left="238"/>
        <w:jc w:val="center"/>
        <w:outlineLvl w:val="1"/>
        <w:rPr>
          <w:rFonts w:ascii="宋体" w:hAnsi="宋体"/>
          <w:b/>
          <w:color w:val="auto"/>
          <w:sz w:val="24"/>
          <w:highlight w:val="none"/>
        </w:rPr>
      </w:pPr>
      <w:r>
        <w:rPr>
          <w:rFonts w:hint="eastAsia" w:ascii="宋体" w:hAnsi="宋体"/>
          <w:b/>
          <w:color w:val="auto"/>
          <w:sz w:val="24"/>
          <w:highlight w:val="none"/>
        </w:rPr>
        <w:t>前 附 表</w:t>
      </w:r>
    </w:p>
    <w:p>
      <w:pPr>
        <w:pStyle w:val="8"/>
        <w:tabs>
          <w:tab w:val="left" w:pos="7140"/>
        </w:tabs>
        <w:snapToGrid w:val="0"/>
        <w:spacing w:before="120" w:after="120" w:line="240" w:lineRule="auto"/>
        <w:rPr>
          <w:rFonts w:hAnsi="宋体"/>
          <w:b/>
          <w:color w:val="auto"/>
          <w:sz w:val="28"/>
          <w:szCs w:val="28"/>
          <w:highlight w:val="none"/>
        </w:rPr>
      </w:pPr>
      <w:r>
        <w:rPr>
          <w:rFonts w:hint="eastAsia" w:hAnsi="宋体"/>
          <w:b/>
          <w:color w:val="auto"/>
          <w:sz w:val="28"/>
          <w:szCs w:val="28"/>
          <w:highlight w:val="none"/>
        </w:rPr>
        <w:t>一、总则</w:t>
      </w:r>
    </w:p>
    <w:p>
      <w:pPr>
        <w:tabs>
          <w:tab w:val="left" w:pos="7140"/>
        </w:tabs>
        <w:snapToGrid w:val="0"/>
        <w:ind w:firstLine="472" w:firstLineChars="196"/>
        <w:jc w:val="left"/>
        <w:outlineLvl w:val="1"/>
        <w:rPr>
          <w:rFonts w:ascii="宋体" w:hAnsi="宋体"/>
          <w:b/>
          <w:color w:val="auto"/>
          <w:sz w:val="24"/>
          <w:szCs w:val="20"/>
          <w:highlight w:val="none"/>
        </w:rPr>
      </w:pPr>
      <w:r>
        <w:rPr>
          <w:rFonts w:hint="eastAsia" w:ascii="宋体" w:hAnsi="宋体"/>
          <w:b/>
          <w:color w:val="auto"/>
          <w:sz w:val="24"/>
          <w:highlight w:val="none"/>
        </w:rPr>
        <w:t>（一）</w:t>
      </w:r>
      <w:r>
        <w:rPr>
          <w:rFonts w:ascii="宋体" w:hAnsi="宋体"/>
          <w:b/>
          <w:color w:val="auto"/>
          <w:sz w:val="24"/>
          <w:highlight w:val="none"/>
        </w:rPr>
        <w:t xml:space="preserve"> 适用范围</w:t>
      </w:r>
    </w:p>
    <w:p>
      <w:pPr>
        <w:tabs>
          <w:tab w:val="left" w:pos="7140"/>
        </w:tabs>
        <w:snapToGrid w:val="0"/>
        <w:ind w:firstLine="480" w:firstLineChars="200"/>
        <w:jc w:val="left"/>
        <w:rPr>
          <w:rFonts w:ascii="宋体" w:hAnsi="宋体"/>
          <w:color w:val="auto"/>
          <w:sz w:val="24"/>
          <w:highlight w:val="none"/>
        </w:rPr>
      </w:pPr>
      <w:r>
        <w:rPr>
          <w:rFonts w:hint="eastAsia" w:ascii="宋体" w:hAnsi="宋体"/>
          <w:color w:val="auto"/>
          <w:sz w:val="24"/>
          <w:highlight w:val="none"/>
        </w:rPr>
        <w:t>本招标文件适用于</w:t>
      </w:r>
      <w:r>
        <w:rPr>
          <w:rFonts w:hint="eastAsia" w:ascii="宋体" w:hAnsi="宋体"/>
          <w:b/>
          <w:bCs/>
          <w:color w:val="auto"/>
          <w:sz w:val="24"/>
          <w:highlight w:val="none"/>
        </w:rPr>
        <w:t>东阳市自然资源和规划局办公家具采购项目</w:t>
      </w:r>
      <w:r>
        <w:rPr>
          <w:rFonts w:hint="eastAsia" w:ascii="宋体" w:hAnsi="宋体"/>
          <w:color w:val="auto"/>
          <w:sz w:val="24"/>
          <w:highlight w:val="none"/>
        </w:rPr>
        <w:t>的招标、投标、评标、定标、验收、合同履约、付款等行为（法律、法规另有规定的，从其规定）。</w:t>
      </w:r>
    </w:p>
    <w:p>
      <w:pPr>
        <w:tabs>
          <w:tab w:val="left" w:pos="7140"/>
        </w:tabs>
        <w:snapToGrid w:val="0"/>
        <w:spacing w:before="120" w:beforeLines="50"/>
        <w:ind w:firstLine="352" w:firstLineChars="147"/>
        <w:jc w:val="left"/>
        <w:outlineLvl w:val="1"/>
        <w:rPr>
          <w:rFonts w:ascii="宋体" w:hAnsi="宋体"/>
          <w:color w:val="auto"/>
          <w:sz w:val="24"/>
          <w:highlight w:val="none"/>
        </w:rPr>
      </w:pPr>
      <w:r>
        <w:rPr>
          <w:rFonts w:hint="eastAsia" w:ascii="宋体" w:hAnsi="宋体"/>
          <w:color w:val="auto"/>
          <w:sz w:val="24"/>
          <w:highlight w:val="none"/>
        </w:rPr>
        <w:t>（二）定义</w:t>
      </w:r>
    </w:p>
    <w:p>
      <w:pPr>
        <w:tabs>
          <w:tab w:val="left" w:pos="7140"/>
        </w:tabs>
        <w:snapToGrid w:val="0"/>
        <w:ind w:firstLine="480" w:firstLineChars="20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招标采购单位系指组织本次招标的</w:t>
      </w:r>
      <w:r>
        <w:rPr>
          <w:rFonts w:hint="eastAsia" w:ascii="宋体" w:hAnsi="宋体"/>
          <w:b/>
          <w:bCs/>
          <w:color w:val="auto"/>
          <w:sz w:val="24"/>
          <w:highlight w:val="none"/>
        </w:rPr>
        <w:t>金华市公共资源交易中心东阳分中心</w:t>
      </w:r>
      <w:r>
        <w:rPr>
          <w:rFonts w:ascii="宋体" w:hAnsi="宋体"/>
          <w:color w:val="auto"/>
          <w:sz w:val="24"/>
          <w:highlight w:val="none"/>
        </w:rPr>
        <w:t>（“招标</w:t>
      </w:r>
      <w:r>
        <w:rPr>
          <w:rFonts w:hint="eastAsia" w:ascii="宋体" w:hAnsi="宋体"/>
          <w:color w:val="auto"/>
          <w:sz w:val="24"/>
          <w:highlight w:val="none"/>
        </w:rPr>
        <w:t>方</w:t>
      </w:r>
      <w:r>
        <w:rPr>
          <w:rFonts w:ascii="宋体" w:hAnsi="宋体"/>
          <w:color w:val="auto"/>
          <w:sz w:val="24"/>
          <w:highlight w:val="none"/>
        </w:rPr>
        <w:t>”）和</w:t>
      </w:r>
      <w:r>
        <w:rPr>
          <w:rFonts w:hint="eastAsia" w:ascii="宋体" w:hAnsi="宋体"/>
          <w:b/>
          <w:color w:val="auto"/>
          <w:sz w:val="24"/>
          <w:highlight w:val="none"/>
        </w:rPr>
        <w:t>东阳市自然资源和规划局</w:t>
      </w:r>
      <w:r>
        <w:rPr>
          <w:rFonts w:hint="eastAsia" w:ascii="宋体" w:hAnsi="宋体"/>
          <w:color w:val="auto"/>
          <w:sz w:val="24"/>
          <w:highlight w:val="none"/>
        </w:rPr>
        <w:t>（“采购人”）</w:t>
      </w:r>
      <w:r>
        <w:rPr>
          <w:rFonts w:ascii="宋体" w:hAnsi="宋体"/>
          <w:color w:val="auto"/>
          <w:sz w:val="24"/>
          <w:highlight w:val="none"/>
        </w:rPr>
        <w:t>。</w:t>
      </w:r>
    </w:p>
    <w:p>
      <w:pPr>
        <w:tabs>
          <w:tab w:val="left" w:pos="7140"/>
        </w:tabs>
        <w:snapToGrid w:val="0"/>
        <w:ind w:firstLine="480" w:firstLineChars="200"/>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投标人”系指向招标方提交投标文件的单位。</w:t>
      </w:r>
    </w:p>
    <w:p>
      <w:pPr>
        <w:tabs>
          <w:tab w:val="left" w:pos="7140"/>
        </w:tabs>
        <w:snapToGrid w:val="0"/>
        <w:ind w:firstLine="480" w:firstLineChars="200"/>
        <w:jc w:val="lef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“产品”系指供方按招标文件规定，须向采购人提供的一切设备、保险、税金、备品备件、工具、手册及其它有关技术资料和材料。</w:t>
      </w:r>
    </w:p>
    <w:p>
      <w:pPr>
        <w:tabs>
          <w:tab w:val="left" w:pos="7140"/>
        </w:tabs>
        <w:snapToGrid w:val="0"/>
        <w:ind w:firstLine="480" w:firstLineChars="200"/>
        <w:jc w:val="lef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“服务”系指招标文件规定投标人须承担的安装、调试、技术协助、校准、培训、技术指导以及其他类似的义务。</w:t>
      </w:r>
    </w:p>
    <w:p>
      <w:pPr>
        <w:tabs>
          <w:tab w:val="left" w:pos="7140"/>
        </w:tabs>
        <w:snapToGrid w:val="0"/>
        <w:ind w:firstLine="480" w:firstLineChars="200"/>
        <w:jc w:val="left"/>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w:t>
      </w:r>
      <w:r>
        <w:rPr>
          <w:rFonts w:ascii="宋体" w:hAnsi="宋体"/>
          <w:color w:val="auto"/>
          <w:sz w:val="24"/>
          <w:highlight w:val="none"/>
        </w:rPr>
        <w:t>“项目”系指投标人按招标文件规定向采购人提供的产品和服务。</w:t>
      </w:r>
    </w:p>
    <w:p>
      <w:pPr>
        <w:tabs>
          <w:tab w:val="left" w:pos="7140"/>
        </w:tabs>
        <w:snapToGrid w:val="0"/>
        <w:ind w:firstLine="480" w:firstLineChars="200"/>
        <w:jc w:val="left"/>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w:t>
      </w:r>
      <w:r>
        <w:rPr>
          <w:rFonts w:ascii="宋体" w:hAnsi="宋体"/>
          <w:color w:val="auto"/>
          <w:sz w:val="24"/>
          <w:highlight w:val="none"/>
        </w:rPr>
        <w:t>“书面形式”包括信函、传真、电报等。</w:t>
      </w:r>
    </w:p>
    <w:p>
      <w:pPr>
        <w:tabs>
          <w:tab w:val="left" w:pos="7140"/>
        </w:tabs>
        <w:snapToGrid w:val="0"/>
        <w:ind w:firstLine="482" w:firstLineChars="200"/>
        <w:jc w:val="left"/>
        <w:rPr>
          <w:rFonts w:ascii="宋体" w:hAnsi="宋体"/>
          <w:b/>
          <w:bCs/>
          <w:color w:val="auto"/>
          <w:sz w:val="24"/>
          <w:highlight w:val="none"/>
        </w:rPr>
      </w:pPr>
      <w:r>
        <w:rPr>
          <w:rFonts w:ascii="宋体" w:hAnsi="宋体"/>
          <w:b/>
          <w:bCs/>
          <w:color w:val="auto"/>
          <w:sz w:val="24"/>
          <w:highlight w:val="none"/>
        </w:rPr>
        <w:t>7</w:t>
      </w:r>
      <w:r>
        <w:rPr>
          <w:rFonts w:hint="eastAsia" w:ascii="宋体" w:hAnsi="宋体"/>
          <w:b/>
          <w:bCs/>
          <w:color w:val="auto"/>
          <w:sz w:val="24"/>
          <w:highlight w:val="none"/>
        </w:rPr>
        <w:t>.</w:t>
      </w:r>
      <w:r>
        <w:rPr>
          <w:rFonts w:ascii="宋体" w:hAnsi="宋体"/>
          <w:b/>
          <w:bCs/>
          <w:color w:val="auto"/>
          <w:sz w:val="24"/>
          <w:highlight w:val="none"/>
        </w:rPr>
        <w:t>凡是标有“▲”符号或</w:t>
      </w:r>
      <w:r>
        <w:rPr>
          <w:rFonts w:hint="eastAsia" w:ascii="宋体" w:hAnsi="宋体"/>
          <w:b/>
          <w:bCs/>
          <w:color w:val="auto"/>
          <w:sz w:val="24"/>
          <w:highlight w:val="none"/>
        </w:rPr>
        <w:t>标</w:t>
      </w:r>
      <w:r>
        <w:rPr>
          <w:rFonts w:ascii="宋体" w:hAnsi="宋体"/>
          <w:b/>
          <w:bCs/>
          <w:color w:val="auto"/>
          <w:sz w:val="24"/>
          <w:highlight w:val="none"/>
        </w:rPr>
        <w:t>有“必须”字眼描述的条款以及项目的数量、工期（交货期）、付款方式、质保期、投标有效期、投标保证金均属于实质性条款</w:t>
      </w:r>
      <w:r>
        <w:rPr>
          <w:rFonts w:hint="eastAsia" w:ascii="宋体" w:hAnsi="宋体"/>
          <w:b/>
          <w:bCs/>
          <w:color w:val="auto"/>
          <w:sz w:val="24"/>
          <w:highlight w:val="none"/>
        </w:rPr>
        <w:t>，不允许负偏离，否则作无效标处理</w:t>
      </w:r>
      <w:r>
        <w:rPr>
          <w:rFonts w:ascii="宋体" w:hAnsi="宋体"/>
          <w:b/>
          <w:bCs/>
          <w:color w:val="auto"/>
          <w:sz w:val="24"/>
          <w:highlight w:val="none"/>
        </w:rPr>
        <w:t>。</w:t>
      </w:r>
    </w:p>
    <w:p>
      <w:pPr>
        <w:tabs>
          <w:tab w:val="left" w:pos="7140"/>
        </w:tabs>
        <w:snapToGrid w:val="0"/>
        <w:spacing w:before="120" w:beforeLines="50"/>
        <w:jc w:val="left"/>
        <w:outlineLvl w:val="1"/>
        <w:rPr>
          <w:rFonts w:ascii="宋体" w:hAnsi="宋体"/>
          <w:b/>
          <w:color w:val="auto"/>
          <w:sz w:val="24"/>
          <w:szCs w:val="20"/>
          <w:highlight w:val="none"/>
        </w:rPr>
      </w:pPr>
      <w:r>
        <w:rPr>
          <w:rFonts w:hint="eastAsia" w:ascii="宋体" w:hAnsi="宋体"/>
          <w:b/>
          <w:color w:val="auto"/>
          <w:sz w:val="24"/>
          <w:highlight w:val="none"/>
        </w:rPr>
        <w:t>（三）招标方式</w:t>
      </w:r>
    </w:p>
    <w:p>
      <w:pPr>
        <w:tabs>
          <w:tab w:val="left" w:pos="7140"/>
        </w:tabs>
        <w:snapToGrid w:val="0"/>
        <w:ind w:firstLine="480" w:firstLineChars="200"/>
        <w:jc w:val="left"/>
        <w:rPr>
          <w:rFonts w:ascii="宋体" w:hAnsi="宋体"/>
          <w:color w:val="auto"/>
          <w:sz w:val="24"/>
          <w:highlight w:val="none"/>
        </w:rPr>
      </w:pPr>
      <w:r>
        <w:rPr>
          <w:rFonts w:ascii="宋体" w:hAnsi="宋体"/>
          <w:color w:val="auto"/>
          <w:sz w:val="24"/>
          <w:highlight w:val="none"/>
        </w:rPr>
        <w:t>本次招标采用公开招标方式进行。</w:t>
      </w:r>
    </w:p>
    <w:p>
      <w:pPr>
        <w:tabs>
          <w:tab w:val="left" w:pos="7140"/>
        </w:tabs>
        <w:snapToGrid w:val="0"/>
        <w:spacing w:before="120" w:beforeLines="50"/>
        <w:ind w:firstLine="472" w:firstLineChars="196"/>
        <w:jc w:val="left"/>
        <w:outlineLvl w:val="1"/>
        <w:rPr>
          <w:rFonts w:ascii="宋体" w:hAnsi="宋体"/>
          <w:b/>
          <w:color w:val="auto"/>
          <w:sz w:val="24"/>
          <w:szCs w:val="20"/>
          <w:highlight w:val="none"/>
        </w:rPr>
      </w:pPr>
      <w:r>
        <w:rPr>
          <w:rFonts w:hint="eastAsia" w:ascii="宋体" w:hAnsi="宋体"/>
          <w:b/>
          <w:color w:val="auto"/>
          <w:sz w:val="24"/>
          <w:highlight w:val="none"/>
        </w:rPr>
        <w:t>（四）投标委托</w:t>
      </w:r>
    </w:p>
    <w:p>
      <w:pPr>
        <w:tabs>
          <w:tab w:val="left" w:pos="7140"/>
        </w:tabs>
        <w:snapToGrid w:val="0"/>
        <w:ind w:firstLine="480" w:firstLineChars="200"/>
        <w:rPr>
          <w:rFonts w:ascii="宋体" w:hAnsi="宋体" w:cs="Arial"/>
          <w:color w:val="auto"/>
          <w:sz w:val="24"/>
          <w:highlight w:val="none"/>
        </w:rPr>
      </w:pPr>
      <w:r>
        <w:rPr>
          <w:rFonts w:hint="eastAsia" w:ascii="宋体" w:hAnsi="宋体" w:cs="Arial"/>
          <w:color w:val="auto"/>
          <w:sz w:val="24"/>
          <w:highlight w:val="none"/>
        </w:rPr>
        <w:t>投标人派代表参加开标会议时，法定代表人应携带法定代表人证明和身份证；授权代表应携带法定代表人授权委托书、身份证、投标单位缴纳的社保花名册等有效证明出席开标会议（注：授权代表应为投标人的在职正式职工，应提供社保网站拉具的含授权代表的投标单位社保清单，无社保网站拉具的投标单位社保清单的，可以提供投标人注册所在地社保部门出具的投标人本单位缴纳社保花名册）。</w:t>
      </w:r>
    </w:p>
    <w:p>
      <w:pPr>
        <w:tabs>
          <w:tab w:val="left" w:pos="7140"/>
        </w:tabs>
        <w:snapToGrid w:val="0"/>
        <w:ind w:firstLine="482" w:firstLineChars="200"/>
        <w:rPr>
          <w:rFonts w:ascii="宋体" w:hAnsi="宋体" w:cs="Arial"/>
          <w:color w:val="auto"/>
          <w:sz w:val="24"/>
          <w:highlight w:val="none"/>
        </w:rPr>
      </w:pPr>
      <w:r>
        <w:rPr>
          <w:rFonts w:hint="eastAsia" w:ascii="宋体" w:hAnsi="宋体" w:cs="Arial"/>
          <w:b/>
          <w:bCs/>
          <w:color w:val="auto"/>
          <w:sz w:val="24"/>
          <w:highlight w:val="none"/>
        </w:rPr>
        <w:t>投标人未派代表参加开标会议的（含未携带以上规定资料参加开标会议的），视同认可开标结果，不得对开标过程及开标结果提出质疑。</w:t>
      </w:r>
    </w:p>
    <w:p>
      <w:pPr>
        <w:tabs>
          <w:tab w:val="left" w:pos="7140"/>
        </w:tabs>
        <w:snapToGrid w:val="0"/>
        <w:spacing w:before="120" w:beforeLines="50"/>
        <w:ind w:firstLine="472" w:firstLineChars="196"/>
        <w:jc w:val="left"/>
        <w:outlineLvl w:val="1"/>
        <w:rPr>
          <w:rFonts w:ascii="宋体" w:hAnsi="宋体"/>
          <w:b/>
          <w:color w:val="auto"/>
          <w:sz w:val="24"/>
          <w:szCs w:val="20"/>
          <w:highlight w:val="none"/>
        </w:rPr>
      </w:pPr>
      <w:r>
        <w:rPr>
          <w:rFonts w:hint="eastAsia" w:ascii="宋体" w:hAnsi="宋体"/>
          <w:b/>
          <w:color w:val="auto"/>
          <w:sz w:val="24"/>
          <w:highlight w:val="none"/>
        </w:rPr>
        <w:t>（五）投标费用</w:t>
      </w:r>
    </w:p>
    <w:p>
      <w:pPr>
        <w:tabs>
          <w:tab w:val="left" w:pos="7140"/>
        </w:tabs>
        <w:snapToGrid w:val="0"/>
        <w:ind w:firstLine="480" w:firstLineChars="200"/>
        <w:jc w:val="left"/>
        <w:rPr>
          <w:rFonts w:ascii="宋体" w:hAnsi="宋体"/>
          <w:color w:val="auto"/>
          <w:sz w:val="24"/>
          <w:szCs w:val="20"/>
          <w:highlight w:val="none"/>
        </w:rPr>
      </w:pPr>
      <w:r>
        <w:rPr>
          <w:rFonts w:hint="eastAsia" w:ascii="宋体" w:hAnsi="宋体"/>
          <w:color w:val="auto"/>
          <w:sz w:val="24"/>
          <w:highlight w:val="none"/>
        </w:rPr>
        <w:t>不论投标结果如何，投标人均应自行承担所有与投标有关的全部费用（招标文件有相反规定除外）。</w:t>
      </w:r>
    </w:p>
    <w:p>
      <w:pPr>
        <w:tabs>
          <w:tab w:val="left" w:pos="7140"/>
        </w:tabs>
        <w:snapToGrid w:val="0"/>
        <w:spacing w:before="120" w:beforeLines="50"/>
        <w:ind w:firstLine="472" w:firstLineChars="196"/>
        <w:jc w:val="left"/>
        <w:rPr>
          <w:rFonts w:ascii="宋体" w:hAnsi="宋体"/>
          <w:b/>
          <w:color w:val="auto"/>
          <w:sz w:val="24"/>
          <w:szCs w:val="20"/>
          <w:highlight w:val="none"/>
        </w:rPr>
      </w:pPr>
      <w:r>
        <w:rPr>
          <w:rFonts w:hint="eastAsia" w:ascii="宋体" w:hAnsi="宋体"/>
          <w:b/>
          <w:color w:val="auto"/>
          <w:sz w:val="24"/>
          <w:highlight w:val="none"/>
        </w:rPr>
        <w:t>（六）联合体投标</w:t>
      </w:r>
    </w:p>
    <w:p>
      <w:pPr>
        <w:tabs>
          <w:tab w:val="left" w:pos="7140"/>
        </w:tabs>
        <w:snapToGrid w:val="0"/>
        <w:ind w:firstLine="480" w:firstLineChars="200"/>
        <w:jc w:val="left"/>
        <w:rPr>
          <w:rFonts w:ascii="宋体" w:hAnsi="宋体" w:cs="Arial"/>
          <w:color w:val="auto"/>
          <w:sz w:val="24"/>
          <w:highlight w:val="none"/>
        </w:rPr>
      </w:pPr>
      <w:r>
        <w:rPr>
          <w:rFonts w:hint="eastAsia" w:ascii="宋体" w:hAnsi="宋体" w:cs="Arial"/>
          <w:color w:val="auto"/>
          <w:sz w:val="24"/>
          <w:highlight w:val="none"/>
        </w:rPr>
        <w:t>本项目不接受联合体投标。</w:t>
      </w:r>
    </w:p>
    <w:p>
      <w:pPr>
        <w:tabs>
          <w:tab w:val="left" w:pos="7140"/>
        </w:tabs>
        <w:snapToGrid w:val="0"/>
        <w:spacing w:before="120" w:beforeLines="50"/>
        <w:ind w:firstLine="472" w:firstLineChars="196"/>
        <w:rPr>
          <w:rFonts w:ascii="宋体" w:hAnsi="宋体" w:cs="宋体"/>
          <w:b/>
          <w:color w:val="auto"/>
          <w:kern w:val="0"/>
          <w:sz w:val="24"/>
          <w:szCs w:val="20"/>
          <w:highlight w:val="none"/>
        </w:rPr>
      </w:pPr>
      <w:r>
        <w:rPr>
          <w:rFonts w:hint="eastAsia" w:ascii="宋体" w:hAnsi="宋体"/>
          <w:b/>
          <w:color w:val="auto"/>
          <w:sz w:val="24"/>
          <w:highlight w:val="none"/>
        </w:rPr>
        <w:t>（七）</w:t>
      </w:r>
      <w:r>
        <w:rPr>
          <w:rFonts w:hint="eastAsia" w:ascii="宋体" w:hAnsi="宋体" w:cs="宋体"/>
          <w:b/>
          <w:color w:val="auto"/>
          <w:kern w:val="0"/>
          <w:sz w:val="24"/>
          <w:highlight w:val="none"/>
        </w:rPr>
        <w:t>转包与分包</w:t>
      </w:r>
    </w:p>
    <w:p>
      <w:pPr>
        <w:tabs>
          <w:tab w:val="left" w:pos="7140"/>
        </w:tabs>
        <w:snapToGrid w:val="0"/>
        <w:ind w:firstLine="480" w:firstLineChars="200"/>
        <w:rPr>
          <w:rFonts w:ascii="宋体" w:hAnsi="宋体" w:cs="宋体"/>
          <w:color w:val="auto"/>
          <w:kern w:val="0"/>
          <w:sz w:val="24"/>
          <w:szCs w:val="20"/>
          <w:highlight w:val="none"/>
        </w:rPr>
      </w:pPr>
      <w:r>
        <w:rPr>
          <w:rFonts w:ascii="宋体" w:hAnsi="宋体" w:cs="宋体"/>
          <w:color w:val="auto"/>
          <w:kern w:val="0"/>
          <w:sz w:val="24"/>
          <w:highlight w:val="none"/>
        </w:rPr>
        <w:t>1</w:t>
      </w:r>
      <w:r>
        <w:rPr>
          <w:rFonts w:hint="eastAsia" w:ascii="宋体" w:hAnsi="宋体" w:cs="宋体"/>
          <w:color w:val="auto"/>
          <w:kern w:val="0"/>
          <w:sz w:val="24"/>
          <w:highlight w:val="none"/>
        </w:rPr>
        <w:t>.</w:t>
      </w:r>
      <w:r>
        <w:rPr>
          <w:rFonts w:ascii="宋体" w:hAnsi="宋体" w:cs="宋体"/>
          <w:color w:val="auto"/>
          <w:kern w:val="0"/>
          <w:sz w:val="24"/>
          <w:highlight w:val="none"/>
        </w:rPr>
        <w:t>本项目不允许转包。</w:t>
      </w:r>
    </w:p>
    <w:p>
      <w:pPr>
        <w:tabs>
          <w:tab w:val="left" w:pos="7140"/>
        </w:tabs>
        <w:snapToGrid w:val="0"/>
        <w:ind w:firstLine="480" w:firstLineChars="200"/>
        <w:rPr>
          <w:rFonts w:ascii="宋体" w:hAnsi="宋体"/>
          <w:color w:val="auto"/>
          <w:sz w:val="24"/>
          <w:szCs w:val="20"/>
          <w:highlight w:val="none"/>
        </w:rPr>
      </w:pPr>
      <w:r>
        <w:rPr>
          <w:rFonts w:ascii="宋体" w:hAnsi="宋体" w:cs="宋体"/>
          <w:color w:val="auto"/>
          <w:kern w:val="0"/>
          <w:sz w:val="24"/>
          <w:highlight w:val="none"/>
        </w:rPr>
        <w:t>2</w:t>
      </w:r>
      <w:r>
        <w:rPr>
          <w:rFonts w:hint="eastAsia" w:ascii="宋体" w:hAnsi="宋体" w:cs="宋体"/>
          <w:color w:val="auto"/>
          <w:kern w:val="0"/>
          <w:sz w:val="24"/>
          <w:highlight w:val="none"/>
        </w:rPr>
        <w:t>.</w:t>
      </w:r>
      <w:r>
        <w:rPr>
          <w:rFonts w:ascii="宋体" w:hAnsi="宋体" w:cs="宋体"/>
          <w:color w:val="auto"/>
          <w:kern w:val="0"/>
          <w:sz w:val="24"/>
          <w:highlight w:val="none"/>
        </w:rPr>
        <w:t>本项目不可以分包</w:t>
      </w:r>
      <w:r>
        <w:rPr>
          <w:rFonts w:hint="eastAsia" w:ascii="宋体" w:hAnsi="宋体" w:cs="宋体"/>
          <w:color w:val="auto"/>
          <w:kern w:val="0"/>
          <w:sz w:val="24"/>
          <w:highlight w:val="none"/>
        </w:rPr>
        <w:t>。</w:t>
      </w:r>
    </w:p>
    <w:p>
      <w:pPr>
        <w:tabs>
          <w:tab w:val="left" w:pos="7140"/>
        </w:tabs>
        <w:snapToGrid w:val="0"/>
        <w:spacing w:before="120" w:beforeLines="50"/>
        <w:ind w:firstLine="472" w:firstLineChars="196"/>
        <w:jc w:val="left"/>
        <w:outlineLvl w:val="1"/>
        <w:rPr>
          <w:rFonts w:ascii="宋体" w:hAnsi="宋体"/>
          <w:b/>
          <w:color w:val="auto"/>
          <w:sz w:val="24"/>
          <w:highlight w:val="none"/>
        </w:rPr>
      </w:pPr>
      <w:r>
        <w:rPr>
          <w:rFonts w:hint="eastAsia" w:ascii="宋体" w:hAnsi="宋体"/>
          <w:b/>
          <w:color w:val="auto"/>
          <w:sz w:val="24"/>
          <w:highlight w:val="none"/>
        </w:rPr>
        <w:t>（八）特别说明：</w:t>
      </w:r>
    </w:p>
    <w:p>
      <w:pPr>
        <w:pStyle w:val="8"/>
        <w:tabs>
          <w:tab w:val="left" w:pos="7140"/>
        </w:tabs>
        <w:snapToGrid w:val="0"/>
        <w:spacing w:beforeLines="0" w:afterLines="0" w:line="240" w:lineRule="auto"/>
        <w:ind w:left="2" w:leftChars="1" w:firstLine="482" w:firstLineChars="200"/>
        <w:rPr>
          <w:rFonts w:hAnsi="宋体"/>
          <w:b/>
          <w:bCs/>
          <w:color w:val="auto"/>
          <w:highlight w:val="none"/>
        </w:rPr>
      </w:pPr>
      <w:r>
        <w:rPr>
          <w:rFonts w:hint="eastAsia" w:hAnsi="宋体"/>
          <w:b/>
          <w:bCs/>
          <w:color w:val="auto"/>
          <w:highlight w:val="none"/>
        </w:rPr>
        <w:t>▲1. 多家供应商参加投标，提供相同品牌产品且通过资格审查、符合性审查的不同投标人参加同一合同项下投标的，按一家投标人计算，评审后综合得分最高的同品牌投标人获得中标人推荐资格；评审得分相同的，由采购人或者采购人委托评标委员会采取随机抽取方式确定一个投标人获得中标人推荐资格，其他同品牌投标人不作为中标候选人。</w:t>
      </w:r>
    </w:p>
    <w:p>
      <w:pPr>
        <w:pStyle w:val="8"/>
        <w:snapToGrid w:val="0"/>
        <w:spacing w:beforeLines="0" w:afterLines="0" w:line="240" w:lineRule="auto"/>
        <w:ind w:left="2" w:leftChars="1" w:firstLine="482" w:firstLineChars="200"/>
        <w:rPr>
          <w:rFonts w:hAnsi="宋体"/>
          <w:b/>
          <w:bCs/>
          <w:color w:val="auto"/>
          <w:highlight w:val="none"/>
        </w:rPr>
      </w:pPr>
      <w:r>
        <w:rPr>
          <w:rFonts w:hint="eastAsia" w:hAnsi="宋体"/>
          <w:b/>
          <w:bCs/>
          <w:color w:val="auto"/>
          <w:highlight w:val="none"/>
        </w:rPr>
        <w:t>非单一产品采购项目，多家投标人提供相同品牌核心产品的预算金额占本项目所列核心产品预算总额的80%以上的，按前款规定处理。</w:t>
      </w:r>
    </w:p>
    <w:p>
      <w:pPr>
        <w:pStyle w:val="8"/>
        <w:snapToGrid w:val="0"/>
        <w:spacing w:beforeLines="0" w:afterLines="0" w:line="240" w:lineRule="auto"/>
        <w:ind w:left="2" w:leftChars="1" w:firstLine="480" w:firstLineChars="200"/>
        <w:rPr>
          <w:rFonts w:hAnsi="宋体"/>
          <w:color w:val="auto"/>
          <w:highlight w:val="none"/>
        </w:rPr>
      </w:pPr>
      <w:r>
        <w:rPr>
          <w:rFonts w:hint="eastAsia" w:hAnsi="宋体"/>
          <w:color w:val="auto"/>
          <w:highlight w:val="none"/>
        </w:rPr>
        <w:t>2.（1）</w:t>
      </w:r>
      <w:r>
        <w:rPr>
          <w:rFonts w:hAnsi="宋体"/>
          <w:color w:val="auto"/>
          <w:highlight w:val="none"/>
        </w:rPr>
        <w:t>投标人投标所使用的资格、信誉、荣誉、业绩与企业认证必须为本法人所拥有。</w:t>
      </w:r>
    </w:p>
    <w:p>
      <w:pPr>
        <w:pStyle w:val="8"/>
        <w:snapToGrid w:val="0"/>
        <w:spacing w:beforeLines="0" w:afterLines="0" w:line="240" w:lineRule="auto"/>
        <w:ind w:left="2" w:leftChars="1" w:firstLine="480" w:firstLineChars="200"/>
        <w:rPr>
          <w:rFonts w:hAnsi="宋体"/>
          <w:color w:val="auto"/>
          <w:highlight w:val="none"/>
        </w:rPr>
      </w:pPr>
      <w:r>
        <w:rPr>
          <w:rFonts w:hint="eastAsia" w:hAnsi="宋体"/>
          <w:color w:val="auto"/>
          <w:highlight w:val="none"/>
        </w:rPr>
        <w:t>▲3．</w:t>
      </w:r>
      <w:r>
        <w:rPr>
          <w:rFonts w:hAnsi="宋体"/>
          <w:color w:val="auto"/>
          <w:highlight w:val="none"/>
        </w:rPr>
        <w:t>投标人投标所使用的采购项目实施人员必须为本法人员工（或必须为本法人或控股公司正式员工）。</w:t>
      </w:r>
    </w:p>
    <w:p>
      <w:pPr>
        <w:pStyle w:val="8"/>
        <w:snapToGrid w:val="0"/>
        <w:spacing w:beforeLines="0" w:afterLines="0" w:line="240" w:lineRule="auto"/>
        <w:ind w:left="2" w:leftChars="1" w:firstLine="480" w:firstLineChars="200"/>
        <w:rPr>
          <w:rFonts w:hAnsi="宋体"/>
          <w:color w:val="auto"/>
          <w:highlight w:val="none"/>
        </w:rPr>
      </w:pPr>
      <w:r>
        <w:rPr>
          <w:rFonts w:hint="eastAsia" w:hAnsi="宋体"/>
          <w:color w:val="auto"/>
          <w:highlight w:val="none"/>
        </w:rPr>
        <w:t>▲4.</w:t>
      </w:r>
      <w:r>
        <w:rPr>
          <w:rFonts w:hAnsi="宋体"/>
          <w:color w:val="auto"/>
          <w:highlight w:val="none"/>
        </w:rPr>
        <w:t>投标人应仔细阅读招标文件的所有内容，按照招标文件的要求提交投标文件，并对所提供的全部资料的真实性承担法律责任。</w:t>
      </w:r>
    </w:p>
    <w:p>
      <w:pPr>
        <w:pStyle w:val="8"/>
        <w:snapToGrid w:val="0"/>
        <w:spacing w:beforeLines="0" w:afterLines="0" w:line="240" w:lineRule="auto"/>
        <w:ind w:left="2" w:leftChars="1" w:firstLine="480" w:firstLineChars="200"/>
        <w:rPr>
          <w:rFonts w:hAnsi="宋体"/>
          <w:b/>
          <w:color w:val="auto"/>
          <w:highlight w:val="none"/>
        </w:rPr>
      </w:pPr>
      <w:r>
        <w:rPr>
          <w:rFonts w:hint="eastAsia" w:hAnsi="宋体"/>
          <w:color w:val="auto"/>
          <w:szCs w:val="21"/>
          <w:highlight w:val="none"/>
        </w:rPr>
        <w:t>▲</w:t>
      </w:r>
      <w:r>
        <w:rPr>
          <w:rFonts w:hint="eastAsia" w:hAnsi="宋体"/>
          <w:color w:val="auto"/>
          <w:highlight w:val="none"/>
        </w:rPr>
        <w:t>5.</w:t>
      </w:r>
      <w:r>
        <w:rPr>
          <w:rFonts w:hAnsi="宋体"/>
          <w:color w:val="auto"/>
          <w:highlight w:val="none"/>
        </w:rPr>
        <w:t>投标人在投标活动中提供任何虚假材料</w:t>
      </w:r>
      <w:r>
        <w:rPr>
          <w:rFonts w:hint="eastAsia" w:hAnsi="宋体"/>
          <w:color w:val="auto"/>
          <w:highlight w:val="none"/>
        </w:rPr>
        <w:t>，</w:t>
      </w:r>
      <w:r>
        <w:rPr>
          <w:rFonts w:hAnsi="宋体"/>
          <w:color w:val="auto"/>
          <w:highlight w:val="none"/>
        </w:rPr>
        <w:t>其投标无效，并报监管部门查处；中标后发现的,中标人须依照《中华人民共和国消费者权益保护法》第49条之规定双倍赔偿采购人</w:t>
      </w:r>
      <w:r>
        <w:rPr>
          <w:rFonts w:hint="eastAsia" w:hAnsi="宋体"/>
          <w:color w:val="auto"/>
          <w:highlight w:val="none"/>
        </w:rPr>
        <w:t>，</w:t>
      </w:r>
      <w:r>
        <w:rPr>
          <w:rFonts w:hAnsi="宋体"/>
          <w:color w:val="auto"/>
          <w:highlight w:val="none"/>
        </w:rPr>
        <w:t>且民事赔偿并不免除违法投标人的行政与刑事责任。</w:t>
      </w:r>
    </w:p>
    <w:p>
      <w:pPr>
        <w:pStyle w:val="8"/>
        <w:snapToGrid w:val="0"/>
        <w:spacing w:beforeLines="0" w:afterLines="0" w:line="240" w:lineRule="auto"/>
        <w:ind w:firstLine="472" w:firstLineChars="196"/>
        <w:outlineLvl w:val="1"/>
        <w:rPr>
          <w:rFonts w:hAnsi="宋体"/>
          <w:b/>
          <w:bCs/>
          <w:color w:val="auto"/>
          <w:highlight w:val="none"/>
        </w:rPr>
      </w:pPr>
      <w:r>
        <w:rPr>
          <w:rFonts w:hAnsi="宋体"/>
          <w:b/>
          <w:bCs/>
          <w:color w:val="auto"/>
          <w:highlight w:val="none"/>
        </w:rPr>
        <w:t>（九）质疑和投诉</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1</w:t>
      </w:r>
      <w:r>
        <w:rPr>
          <w:rFonts w:hint="eastAsia" w:hAnsi="宋体"/>
          <w:bCs/>
          <w:color w:val="auto"/>
          <w:highlight w:val="none"/>
        </w:rPr>
        <w:t>.</w:t>
      </w:r>
      <w:r>
        <w:rPr>
          <w:rFonts w:hAnsi="宋体"/>
          <w:bCs/>
          <w:color w:val="auto"/>
          <w:highlight w:val="none"/>
        </w:rPr>
        <w:t>投标人认为招标文件、招标过程</w:t>
      </w:r>
      <w:r>
        <w:rPr>
          <w:rFonts w:hint="eastAsia" w:hAnsi="宋体"/>
          <w:bCs/>
          <w:color w:val="auto"/>
          <w:highlight w:val="none"/>
        </w:rPr>
        <w:t>或</w:t>
      </w:r>
      <w:r>
        <w:rPr>
          <w:rFonts w:hAnsi="宋体"/>
          <w:bCs/>
          <w:color w:val="auto"/>
          <w:highlight w:val="none"/>
        </w:rPr>
        <w:t>中标结果使自己的合法权益受到损害的，应当在知道或者应知其权益受到损害之日起七个工作日内，以书面形式向采购人、招标方提出质疑。</w:t>
      </w:r>
      <w:r>
        <w:rPr>
          <w:rFonts w:hAnsi="宋体"/>
          <w:color w:val="auto"/>
          <w:highlight w:val="none"/>
        </w:rPr>
        <w:t>投标人对招标采购单位的质疑答复不满意或者招标采购单位未在规定时间内作出答复的，可以在答复期满后十五个工作日内向同级采购监管部门投诉。</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2</w:t>
      </w:r>
      <w:r>
        <w:rPr>
          <w:rFonts w:hint="eastAsia" w:hAnsi="宋体"/>
          <w:bCs/>
          <w:color w:val="auto"/>
          <w:highlight w:val="none"/>
        </w:rPr>
        <w:t>.</w:t>
      </w:r>
      <w:r>
        <w:rPr>
          <w:rFonts w:hAnsi="宋体"/>
          <w:bCs/>
          <w:color w:val="auto"/>
          <w:highlight w:val="none"/>
        </w:rPr>
        <w:t>质疑、投诉应当采用书面形式，质疑书、投诉书均应明确阐述招标文件、招标过程</w:t>
      </w:r>
      <w:r>
        <w:rPr>
          <w:rFonts w:hint="eastAsia" w:hAnsi="宋体"/>
          <w:bCs/>
          <w:color w:val="auto"/>
          <w:highlight w:val="none"/>
        </w:rPr>
        <w:t>或</w:t>
      </w:r>
      <w:r>
        <w:rPr>
          <w:rFonts w:hAnsi="宋体"/>
          <w:bCs/>
          <w:color w:val="auto"/>
          <w:highlight w:val="none"/>
        </w:rPr>
        <w:t>中标结果中使自己合法权益受到损害的实质性内容，提供相关事实、依据和证据及其来源或线索，便于有关单位调查、答复和处理</w:t>
      </w:r>
      <w:r>
        <w:rPr>
          <w:rFonts w:hint="eastAsia" w:hAnsi="宋体"/>
          <w:bCs/>
          <w:color w:val="auto"/>
          <w:highlight w:val="none"/>
        </w:rPr>
        <w:t>。</w:t>
      </w:r>
    </w:p>
    <w:p>
      <w:pPr>
        <w:pStyle w:val="8"/>
        <w:snapToGrid w:val="0"/>
        <w:spacing w:beforeLines="0" w:afterLines="0" w:line="240" w:lineRule="auto"/>
        <w:ind w:firstLine="551" w:firstLineChars="196"/>
        <w:outlineLvl w:val="0"/>
        <w:rPr>
          <w:rFonts w:hAnsi="宋体"/>
          <w:b/>
          <w:color w:val="auto"/>
          <w:sz w:val="28"/>
          <w:szCs w:val="28"/>
          <w:highlight w:val="none"/>
        </w:rPr>
      </w:pPr>
      <w:r>
        <w:rPr>
          <w:rFonts w:hint="eastAsia" w:hAnsi="宋体"/>
          <w:b/>
          <w:color w:val="auto"/>
          <w:sz w:val="28"/>
          <w:szCs w:val="28"/>
          <w:highlight w:val="none"/>
        </w:rPr>
        <w:t>二、</w:t>
      </w:r>
      <w:r>
        <w:rPr>
          <w:rFonts w:hAnsi="宋体"/>
          <w:b/>
          <w:color w:val="auto"/>
          <w:sz w:val="28"/>
          <w:szCs w:val="28"/>
          <w:highlight w:val="none"/>
        </w:rPr>
        <w:t>招标文件</w:t>
      </w:r>
    </w:p>
    <w:p>
      <w:pPr>
        <w:snapToGrid w:val="0"/>
        <w:ind w:firstLine="472" w:firstLineChars="196"/>
        <w:jc w:val="left"/>
        <w:rPr>
          <w:rFonts w:ascii="宋体" w:hAnsi="宋体"/>
          <w:b/>
          <w:color w:val="auto"/>
          <w:sz w:val="24"/>
          <w:szCs w:val="20"/>
          <w:highlight w:val="none"/>
        </w:rPr>
      </w:pPr>
      <w:r>
        <w:rPr>
          <w:rFonts w:hint="eastAsia" w:ascii="宋体" w:hAnsi="宋体"/>
          <w:b/>
          <w:color w:val="auto"/>
          <w:sz w:val="24"/>
          <w:highlight w:val="none"/>
        </w:rPr>
        <w:t>（一）招标文件的构成。本招标文件由以下部分组成：</w:t>
      </w:r>
    </w:p>
    <w:p>
      <w:pPr>
        <w:snapToGrid w:val="0"/>
        <w:ind w:firstLine="480" w:firstLineChars="200"/>
        <w:jc w:val="left"/>
        <w:rPr>
          <w:rFonts w:ascii="宋体" w:hAnsi="宋体"/>
          <w:color w:val="auto"/>
          <w:sz w:val="24"/>
          <w:szCs w:val="20"/>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招标公告</w:t>
      </w:r>
    </w:p>
    <w:p>
      <w:pPr>
        <w:snapToGrid w:val="0"/>
        <w:ind w:firstLine="480" w:firstLineChars="200"/>
        <w:jc w:val="left"/>
        <w:rPr>
          <w:rFonts w:ascii="宋体" w:hAnsi="宋体"/>
          <w:color w:val="auto"/>
          <w:sz w:val="24"/>
          <w:szCs w:val="20"/>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招标需求</w:t>
      </w:r>
    </w:p>
    <w:p>
      <w:pPr>
        <w:snapToGrid w:val="0"/>
        <w:ind w:firstLine="480" w:firstLineChars="200"/>
        <w:jc w:val="left"/>
        <w:rPr>
          <w:rFonts w:ascii="宋体" w:hAnsi="宋体"/>
          <w:color w:val="auto"/>
          <w:sz w:val="24"/>
          <w:szCs w:val="20"/>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投标人须知</w:t>
      </w:r>
    </w:p>
    <w:p>
      <w:pPr>
        <w:snapToGrid w:val="0"/>
        <w:ind w:firstLine="480" w:firstLineChars="200"/>
        <w:jc w:val="left"/>
        <w:rPr>
          <w:rFonts w:ascii="宋体" w:hAnsi="宋体"/>
          <w:color w:val="auto"/>
          <w:sz w:val="24"/>
          <w:szCs w:val="20"/>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评标办法及标准</w:t>
      </w:r>
    </w:p>
    <w:p>
      <w:pPr>
        <w:snapToGrid w:val="0"/>
        <w:ind w:firstLine="480" w:firstLineChars="200"/>
        <w:jc w:val="left"/>
        <w:rPr>
          <w:rFonts w:ascii="宋体" w:hAnsi="宋体"/>
          <w:color w:val="auto"/>
          <w:sz w:val="24"/>
          <w:szCs w:val="20"/>
          <w:highlight w:val="none"/>
        </w:rPr>
      </w:pPr>
      <w:r>
        <w:rPr>
          <w:rFonts w:ascii="宋体" w:hAnsi="宋体"/>
          <w:color w:val="auto"/>
          <w:sz w:val="24"/>
          <w:highlight w:val="none"/>
        </w:rPr>
        <w:t>5</w:t>
      </w:r>
      <w:r>
        <w:rPr>
          <w:rFonts w:hint="eastAsia" w:ascii="宋体" w:hAnsi="宋体"/>
          <w:color w:val="auto"/>
          <w:sz w:val="24"/>
          <w:highlight w:val="none"/>
        </w:rPr>
        <w:t>.</w:t>
      </w:r>
      <w:r>
        <w:rPr>
          <w:rFonts w:ascii="宋体" w:hAnsi="宋体"/>
          <w:color w:val="auto"/>
          <w:sz w:val="24"/>
          <w:highlight w:val="none"/>
        </w:rPr>
        <w:t>合同主要条款</w:t>
      </w:r>
    </w:p>
    <w:p>
      <w:pPr>
        <w:snapToGrid w:val="0"/>
        <w:ind w:firstLine="480" w:firstLineChars="200"/>
        <w:jc w:val="left"/>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w:t>
      </w:r>
      <w:r>
        <w:rPr>
          <w:rFonts w:ascii="宋体" w:hAnsi="宋体"/>
          <w:color w:val="auto"/>
          <w:sz w:val="24"/>
          <w:highlight w:val="none"/>
        </w:rPr>
        <w:t>投标文件格式</w:t>
      </w:r>
    </w:p>
    <w:p>
      <w:pPr>
        <w:snapToGrid w:val="0"/>
        <w:ind w:firstLine="480" w:firstLineChars="200"/>
        <w:jc w:val="left"/>
        <w:rPr>
          <w:rFonts w:ascii="宋体" w:hAnsi="宋体"/>
          <w:color w:val="auto"/>
          <w:sz w:val="24"/>
          <w:szCs w:val="20"/>
          <w:highlight w:val="none"/>
        </w:rPr>
      </w:pPr>
      <w:r>
        <w:rPr>
          <w:rFonts w:hint="eastAsia" w:ascii="宋体" w:hAnsi="宋体"/>
          <w:color w:val="auto"/>
          <w:sz w:val="24"/>
          <w:highlight w:val="none"/>
        </w:rPr>
        <w:t>7.本项目</w:t>
      </w:r>
      <w:r>
        <w:rPr>
          <w:rFonts w:ascii="宋体" w:hAnsi="宋体"/>
          <w:color w:val="auto"/>
          <w:sz w:val="24"/>
          <w:highlight w:val="none"/>
        </w:rPr>
        <w:t>招标文件</w:t>
      </w:r>
      <w:r>
        <w:rPr>
          <w:rFonts w:hint="eastAsia" w:ascii="宋体" w:hAnsi="宋体"/>
          <w:color w:val="auto"/>
          <w:sz w:val="24"/>
          <w:highlight w:val="none"/>
        </w:rPr>
        <w:t>的</w:t>
      </w:r>
      <w:r>
        <w:rPr>
          <w:rFonts w:ascii="宋体" w:hAnsi="宋体"/>
          <w:color w:val="auto"/>
          <w:sz w:val="24"/>
          <w:highlight w:val="none"/>
        </w:rPr>
        <w:t>澄清、答复、修改、补充的内容</w:t>
      </w:r>
    </w:p>
    <w:p>
      <w:pPr>
        <w:snapToGrid w:val="0"/>
        <w:spacing w:before="120" w:beforeLines="50"/>
        <w:ind w:firstLine="472" w:firstLineChars="196"/>
        <w:jc w:val="left"/>
        <w:rPr>
          <w:rFonts w:ascii="宋体" w:hAnsi="宋体"/>
          <w:b/>
          <w:color w:val="auto"/>
          <w:sz w:val="24"/>
          <w:szCs w:val="20"/>
          <w:highlight w:val="none"/>
        </w:rPr>
      </w:pPr>
      <w:r>
        <w:rPr>
          <w:rFonts w:hint="eastAsia" w:ascii="宋体" w:hAnsi="宋体"/>
          <w:b/>
          <w:color w:val="auto"/>
          <w:sz w:val="24"/>
          <w:highlight w:val="none"/>
        </w:rPr>
        <w:t>（二）投标人的风险</w:t>
      </w:r>
    </w:p>
    <w:p>
      <w:pPr>
        <w:pStyle w:val="14"/>
        <w:rPr>
          <w:rFonts w:ascii="宋体" w:eastAsia="宋体"/>
          <w:color w:val="auto"/>
          <w:szCs w:val="20"/>
          <w:highlight w:val="none"/>
        </w:rPr>
      </w:pPr>
      <w:r>
        <w:rPr>
          <w:rFonts w:hint="eastAsia" w:ascii="宋体" w:eastAsia="宋体"/>
          <w:color w:val="auto"/>
          <w:highlight w:val="none"/>
        </w:rPr>
        <w:t>投标人没有按照招标文件要求提供全部资料，或者投标人没有对招标文件在各方面作出实质性响应是投标人的风险，并可能导致其投标被拒绝。</w:t>
      </w:r>
    </w:p>
    <w:p>
      <w:pPr>
        <w:pStyle w:val="3"/>
        <w:tabs>
          <w:tab w:val="left" w:pos="720"/>
        </w:tabs>
        <w:snapToGrid w:val="0"/>
        <w:spacing w:before="120" w:beforeLines="50"/>
        <w:ind w:left="0" w:firstLine="413" w:firstLineChars="196"/>
        <w:rPr>
          <w:rFonts w:ascii="宋体" w:hAnsi="宋体"/>
          <w:b/>
          <w:color w:val="auto"/>
          <w:highlight w:val="none"/>
        </w:rPr>
      </w:pPr>
      <w:r>
        <w:rPr>
          <w:rFonts w:hint="eastAsia" w:ascii="宋体" w:hAnsi="宋体"/>
          <w:b/>
          <w:color w:val="auto"/>
          <w:highlight w:val="none"/>
        </w:rPr>
        <w:t>（三）招标文件的澄清与修改</w:t>
      </w:r>
    </w:p>
    <w:p>
      <w:pPr>
        <w:pStyle w:val="8"/>
        <w:snapToGrid w:val="0"/>
        <w:spacing w:beforeLines="0" w:afterLines="0" w:line="240" w:lineRule="auto"/>
        <w:ind w:firstLine="480" w:firstLineChars="200"/>
        <w:rPr>
          <w:rFonts w:hAnsi="宋体"/>
          <w:color w:val="auto"/>
          <w:highlight w:val="none"/>
        </w:rPr>
      </w:pPr>
      <w:r>
        <w:rPr>
          <w:rFonts w:hAnsi="宋体"/>
          <w:color w:val="auto"/>
          <w:highlight w:val="none"/>
        </w:rPr>
        <w:t>1</w:t>
      </w:r>
      <w:r>
        <w:rPr>
          <w:rFonts w:hint="eastAsia" w:hAnsi="宋体"/>
          <w:color w:val="auto"/>
          <w:highlight w:val="none"/>
        </w:rPr>
        <w:t>.</w:t>
      </w:r>
      <w:r>
        <w:rPr>
          <w:rFonts w:hAnsi="宋体"/>
          <w:bCs/>
          <w:color w:val="auto"/>
          <w:highlight w:val="none"/>
        </w:rPr>
        <w:t>投标人应认真阅读本招标文件，发现其中有误或有不合理要求的，投标人必须在</w:t>
      </w:r>
      <w:r>
        <w:rPr>
          <w:rFonts w:hint="eastAsia" w:hAnsi="宋体"/>
          <w:bCs/>
          <w:color w:val="auto"/>
          <w:highlight w:val="none"/>
        </w:rPr>
        <w:t xml:space="preserve"> 2019年4月</w:t>
      </w:r>
      <w:r>
        <w:rPr>
          <w:rFonts w:hint="eastAsia" w:hAnsi="宋体"/>
          <w:bCs/>
          <w:color w:val="auto"/>
          <w:highlight w:val="none"/>
          <w:lang w:val="en-US" w:eastAsia="zh-CN"/>
        </w:rPr>
        <w:t>29</w:t>
      </w:r>
      <w:r>
        <w:rPr>
          <w:rFonts w:hint="eastAsia" w:hAnsi="宋体"/>
          <w:bCs/>
          <w:color w:val="auto"/>
          <w:highlight w:val="none"/>
        </w:rPr>
        <w:t>日16：00</w:t>
      </w:r>
      <w:r>
        <w:rPr>
          <w:rFonts w:hAnsi="宋体"/>
          <w:bCs/>
          <w:color w:val="auto"/>
          <w:highlight w:val="none"/>
        </w:rPr>
        <w:t>前以书面形式要求招标采购单位澄清</w:t>
      </w:r>
      <w:r>
        <w:rPr>
          <w:rFonts w:hAnsi="宋体"/>
          <w:color w:val="auto"/>
          <w:highlight w:val="none"/>
        </w:rPr>
        <w:t>。招标方对已发出的招标文件进行必要澄清、答复、修改或补充的，</w:t>
      </w:r>
      <w:r>
        <w:rPr>
          <w:rFonts w:hint="eastAsia" w:hAnsi="宋体"/>
          <w:color w:val="auto"/>
          <w:highlight w:val="none"/>
        </w:rPr>
        <w:t>将</w:t>
      </w:r>
      <w:r>
        <w:rPr>
          <w:rFonts w:hAnsi="宋体"/>
          <w:color w:val="auto"/>
          <w:highlight w:val="none"/>
        </w:rPr>
        <w:t>在招标文件要求提交投标文件截止时间五日前，在财政部门指定的政府采购信息发布媒体上</w:t>
      </w:r>
      <w:r>
        <w:rPr>
          <w:rFonts w:hint="eastAsia" w:hAnsi="宋体"/>
          <w:color w:val="auto"/>
          <w:highlight w:val="none"/>
        </w:rPr>
        <w:t>以书面形式</w:t>
      </w:r>
      <w:r>
        <w:rPr>
          <w:rFonts w:hAnsi="宋体"/>
          <w:color w:val="auto"/>
          <w:highlight w:val="none"/>
        </w:rPr>
        <w:t>发布更正公告，</w:t>
      </w:r>
      <w:r>
        <w:rPr>
          <w:rFonts w:hint="eastAsia" w:hAnsi="宋体"/>
          <w:color w:val="auto"/>
          <w:highlight w:val="none"/>
        </w:rPr>
        <w:t>不另作通知。</w:t>
      </w:r>
    </w:p>
    <w:p>
      <w:pPr>
        <w:pStyle w:val="8"/>
        <w:snapToGrid w:val="0"/>
        <w:spacing w:beforeLines="0" w:afterLines="0" w:line="240" w:lineRule="auto"/>
        <w:ind w:firstLine="480" w:firstLineChars="200"/>
        <w:rPr>
          <w:rFonts w:hAnsi="宋体"/>
          <w:color w:val="auto"/>
          <w:highlight w:val="none"/>
        </w:rPr>
      </w:pPr>
      <w:r>
        <w:rPr>
          <w:rFonts w:hAnsi="宋体"/>
          <w:color w:val="auto"/>
          <w:highlight w:val="none"/>
        </w:rPr>
        <w:t>2</w:t>
      </w:r>
      <w:r>
        <w:rPr>
          <w:rFonts w:hint="eastAsia" w:hAnsi="宋体"/>
          <w:color w:val="auto"/>
          <w:highlight w:val="none"/>
        </w:rPr>
        <w:t>.</w:t>
      </w:r>
      <w:r>
        <w:rPr>
          <w:rFonts w:hAnsi="宋体"/>
          <w:color w:val="auto"/>
          <w:highlight w:val="none"/>
        </w:rPr>
        <w:t>招标方必须以书面形式答复投标人要求澄清的问题，并将不包含问题来源的答复书面通知</w:t>
      </w:r>
      <w:r>
        <w:rPr>
          <w:rFonts w:hint="eastAsia" w:hAnsi="宋体"/>
          <w:color w:val="auto"/>
          <w:highlight w:val="none"/>
        </w:rPr>
        <w:t>或网上答疑和电话通知的方式通知</w:t>
      </w:r>
      <w:r>
        <w:rPr>
          <w:rFonts w:hAnsi="宋体"/>
          <w:color w:val="auto"/>
          <w:highlight w:val="none"/>
        </w:rPr>
        <w:t>所有购买招标文件的投标人；除</w:t>
      </w:r>
      <w:r>
        <w:rPr>
          <w:rFonts w:hint="eastAsia" w:hAnsi="宋体"/>
          <w:color w:val="auto"/>
          <w:highlight w:val="none"/>
        </w:rPr>
        <w:t>规定</w:t>
      </w:r>
      <w:r>
        <w:rPr>
          <w:rFonts w:hAnsi="宋体"/>
          <w:color w:val="auto"/>
          <w:highlight w:val="none"/>
        </w:rPr>
        <w:t>以外的其他澄清方式及澄清内容均无效。</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3.</w:t>
      </w:r>
      <w:r>
        <w:rPr>
          <w:rFonts w:hAnsi="宋体"/>
          <w:color w:val="auto"/>
          <w:highlight w:val="none"/>
        </w:rPr>
        <w:t>招标文件澄清、答复、修改、补充的内容为招标文件的组成部分。当招标文件与招标文件的答复、澄清、修改、补充通知就同一内容的表述不一致时，以最后发出的书面文件为准。</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4.</w:t>
      </w:r>
      <w:r>
        <w:rPr>
          <w:rFonts w:hAnsi="宋体"/>
          <w:color w:val="auto"/>
          <w:highlight w:val="none"/>
        </w:rPr>
        <w:t>招标文件的澄清、答复、修改或补充都应该通过本</w:t>
      </w:r>
      <w:r>
        <w:rPr>
          <w:rFonts w:hint="eastAsia" w:hAnsi="宋体"/>
          <w:color w:val="auto"/>
          <w:highlight w:val="none"/>
        </w:rPr>
        <w:t>招标</w:t>
      </w:r>
      <w:r>
        <w:rPr>
          <w:rFonts w:hAnsi="宋体"/>
          <w:color w:val="auto"/>
          <w:highlight w:val="none"/>
        </w:rPr>
        <w:t>机构以法定形式发布，采购人非通过本机构，不得擅自澄清、答复、修改或补充招标文件。</w:t>
      </w:r>
    </w:p>
    <w:p>
      <w:pPr>
        <w:pStyle w:val="8"/>
        <w:snapToGrid w:val="0"/>
        <w:spacing w:beforeLines="0" w:afterLines="0" w:line="240" w:lineRule="auto"/>
        <w:ind w:firstLine="551" w:firstLineChars="196"/>
        <w:outlineLvl w:val="1"/>
        <w:rPr>
          <w:rFonts w:hAnsi="宋体"/>
          <w:b/>
          <w:color w:val="auto"/>
          <w:sz w:val="28"/>
          <w:szCs w:val="28"/>
          <w:highlight w:val="none"/>
        </w:rPr>
      </w:pPr>
      <w:r>
        <w:rPr>
          <w:rFonts w:hAnsi="宋体"/>
          <w:b/>
          <w:color w:val="auto"/>
          <w:sz w:val="28"/>
          <w:szCs w:val="28"/>
          <w:highlight w:val="none"/>
        </w:rPr>
        <w:t>三、投标文件的编制</w:t>
      </w:r>
    </w:p>
    <w:p>
      <w:pPr>
        <w:snapToGrid w:val="0"/>
        <w:ind w:firstLine="472" w:firstLineChars="196"/>
        <w:jc w:val="left"/>
        <w:outlineLvl w:val="0"/>
        <w:rPr>
          <w:rFonts w:ascii="宋体" w:hAnsi="宋体"/>
          <w:b/>
          <w:color w:val="auto"/>
          <w:sz w:val="24"/>
          <w:szCs w:val="20"/>
          <w:highlight w:val="none"/>
        </w:rPr>
      </w:pPr>
      <w:r>
        <w:rPr>
          <w:rFonts w:hint="eastAsia" w:ascii="宋体" w:hAnsi="宋体"/>
          <w:b/>
          <w:color w:val="auto"/>
          <w:sz w:val="24"/>
          <w:highlight w:val="none"/>
        </w:rPr>
        <w:t>（一）投标文件的组成</w:t>
      </w:r>
    </w:p>
    <w:p>
      <w:pPr>
        <w:snapToGrid w:val="0"/>
        <w:ind w:firstLine="470" w:firstLineChars="196"/>
        <w:jc w:val="left"/>
        <w:rPr>
          <w:rFonts w:ascii="宋体" w:hAnsi="宋体"/>
          <w:color w:val="auto"/>
          <w:sz w:val="24"/>
          <w:highlight w:val="none"/>
        </w:rPr>
      </w:pPr>
      <w:r>
        <w:rPr>
          <w:rFonts w:hint="eastAsia" w:ascii="宋体" w:hAnsi="宋体"/>
          <w:color w:val="auto"/>
          <w:sz w:val="24"/>
          <w:highlight w:val="none"/>
        </w:rPr>
        <w:t>投标文件由资格审查资料、资信及商务文件、技术文件、投标报价文件四部份组成。</w:t>
      </w:r>
    </w:p>
    <w:p>
      <w:pPr>
        <w:snapToGrid w:val="0"/>
        <w:spacing w:line="312" w:lineRule="auto"/>
        <w:ind w:firstLine="472" w:firstLineChars="196"/>
        <w:jc w:val="left"/>
        <w:rPr>
          <w:rFonts w:ascii="宋体" w:hAnsi="宋体"/>
          <w:b/>
          <w:color w:val="auto"/>
          <w:sz w:val="24"/>
          <w:highlight w:val="none"/>
        </w:rPr>
      </w:pPr>
      <w:r>
        <w:rPr>
          <w:rFonts w:hint="eastAsia" w:ascii="宋体" w:hAnsi="宋体"/>
          <w:b/>
          <w:color w:val="auto"/>
          <w:sz w:val="24"/>
          <w:highlight w:val="none"/>
        </w:rPr>
        <w:t>1.资格审查资料（资格审查资料中的证件原件投标截止时间前在开标现场查验，无需装入资信及商务包装袋内，复印件装入资信及商务包装袋内）：</w:t>
      </w:r>
    </w:p>
    <w:p>
      <w:pPr>
        <w:snapToGrid w:val="0"/>
        <w:ind w:firstLine="470" w:firstLineChars="196"/>
        <w:jc w:val="left"/>
        <w:rPr>
          <w:rFonts w:ascii="宋体" w:hAnsi="宋体"/>
          <w:color w:val="auto"/>
          <w:sz w:val="24"/>
          <w:highlight w:val="none"/>
        </w:rPr>
      </w:pPr>
      <w:r>
        <w:rPr>
          <w:rFonts w:hint="eastAsia" w:ascii="宋体" w:hAnsi="宋体"/>
          <w:color w:val="auto"/>
          <w:sz w:val="24"/>
          <w:highlight w:val="none"/>
        </w:rPr>
        <w:t>（1）企业法人营业执照原件及复印件；</w:t>
      </w:r>
    </w:p>
    <w:p>
      <w:pPr>
        <w:snapToGrid w:val="0"/>
        <w:ind w:firstLine="470" w:firstLineChars="196"/>
        <w:jc w:val="left"/>
        <w:rPr>
          <w:rFonts w:ascii="宋体" w:hAnsi="宋体"/>
          <w:color w:val="auto"/>
          <w:sz w:val="24"/>
          <w:highlight w:val="none"/>
        </w:rPr>
      </w:pPr>
      <w:r>
        <w:rPr>
          <w:rFonts w:hint="eastAsia" w:ascii="宋体" w:hAnsi="宋体"/>
          <w:color w:val="auto"/>
          <w:sz w:val="24"/>
          <w:highlight w:val="none"/>
        </w:rPr>
        <w:t>（2）法定代表人授权委托书及经办人身份证原件及复印件；</w:t>
      </w:r>
    </w:p>
    <w:p>
      <w:pPr>
        <w:snapToGrid w:val="0"/>
        <w:ind w:firstLine="472" w:firstLineChars="196"/>
        <w:jc w:val="left"/>
        <w:rPr>
          <w:rFonts w:ascii="宋体" w:hAnsi="宋体"/>
          <w:b/>
          <w:bCs/>
          <w:color w:val="auto"/>
          <w:sz w:val="24"/>
          <w:highlight w:val="none"/>
        </w:rPr>
      </w:pPr>
      <w:r>
        <w:rPr>
          <w:rFonts w:hint="eastAsia" w:ascii="宋体" w:hAnsi="宋体"/>
          <w:b/>
          <w:bCs/>
          <w:color w:val="auto"/>
          <w:sz w:val="24"/>
          <w:highlight w:val="none"/>
        </w:rPr>
        <w:t>（3）以上复印件均需加盖单位公章，并装订成册。</w:t>
      </w:r>
    </w:p>
    <w:p>
      <w:pPr>
        <w:snapToGrid w:val="0"/>
        <w:spacing w:before="120" w:beforeLines="50"/>
        <w:ind w:firstLine="472" w:firstLineChars="196"/>
        <w:jc w:val="left"/>
        <w:rPr>
          <w:rFonts w:ascii="宋体" w:hAnsi="宋体"/>
          <w:b/>
          <w:color w:val="auto"/>
          <w:sz w:val="24"/>
          <w:highlight w:val="none"/>
        </w:rPr>
      </w:pPr>
      <w:r>
        <w:rPr>
          <w:rFonts w:hint="eastAsia" w:ascii="宋体" w:hAnsi="宋体"/>
          <w:b/>
          <w:color w:val="auto"/>
          <w:sz w:val="24"/>
          <w:highlight w:val="none"/>
        </w:rPr>
        <w:t>2.资信及商务文件：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投标单位情况表（格式见附件）；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投标保证金交纳凭证复印件；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投标声明书（格式见附件）；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法定代表人授权委托书（格式见附件）；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法定代表人身份证复印件或被授权人身份证复印件；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2018年第四季度的财务会计报表；</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最近一个季度依法缴纳税收[税费缴纳凭证复印件，或依法免缴税费的证明（复印件，原件备查并一年内有效，格式自拟）] ，及最近一个季度依法缴纳社保费的缴纳凭证复印件或网站上拉具的社保缴纳清单（须附社保参保人员花名册）；</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营业执照副本复印件；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省级以上环保证书；</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政府采购供应商诚信承诺书（格式见附件）；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截至公告发布日止，相关主体在“信用中国”网站(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olor w:val="auto"/>
          <w:sz w:val="24"/>
          <w:highlight w:val="none"/>
        </w:rPr>
        <w:t>www.creditchina.gov.cn</w:t>
      </w:r>
      <w:r>
        <w:rPr>
          <w:rFonts w:hint="eastAsia" w:ascii="宋体" w:hAnsi="宋体"/>
          <w:color w:val="auto"/>
          <w:sz w:val="24"/>
          <w:highlight w:val="none"/>
        </w:rPr>
        <w:fldChar w:fldCharType="end"/>
      </w:r>
      <w:r>
        <w:rPr>
          <w:rFonts w:hint="eastAsia" w:ascii="宋体" w:hAnsi="宋体"/>
          <w:color w:val="auto"/>
          <w:sz w:val="24"/>
          <w:highlight w:val="none"/>
        </w:rPr>
        <w:t>)及中国政府采购网(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olor w:val="auto"/>
          <w:sz w:val="24"/>
          <w:highlight w:val="none"/>
        </w:rPr>
        <w:t>www.ccgp.gov.cn</w:t>
      </w:r>
      <w:r>
        <w:rPr>
          <w:rFonts w:hint="eastAsia" w:ascii="宋体" w:hAnsi="宋体"/>
          <w:color w:val="auto"/>
          <w:sz w:val="24"/>
          <w:highlight w:val="none"/>
        </w:rPr>
        <w:fldChar w:fldCharType="end"/>
      </w:r>
      <w:r>
        <w:rPr>
          <w:rFonts w:hint="eastAsia" w:ascii="宋体" w:hAnsi="宋体"/>
          <w:color w:val="auto"/>
          <w:sz w:val="24"/>
          <w:highlight w:val="none"/>
        </w:rPr>
        <w:t>)是否有失信行为的查询结果截图；</w:t>
      </w:r>
    </w:p>
    <w:p>
      <w:pPr>
        <w:numPr>
          <w:ilvl w:val="0"/>
          <w:numId w:val="5"/>
        </w:numPr>
        <w:tabs>
          <w:tab w:val="left" w:pos="1080"/>
        </w:tabs>
        <w:snapToGrid w:val="0"/>
        <w:jc w:val="left"/>
        <w:rPr>
          <w:rFonts w:ascii="宋体" w:hAnsi="宋体"/>
          <w:color w:val="auto"/>
          <w:sz w:val="24"/>
          <w:highlight w:val="none"/>
        </w:rPr>
      </w:pPr>
      <w:r>
        <w:rPr>
          <w:rFonts w:hint="eastAsia" w:ascii="宋体" w:hAnsi="宋体"/>
          <w:color w:val="auto"/>
          <w:sz w:val="24"/>
          <w:highlight w:val="none"/>
        </w:rPr>
        <w:t>2016年以来同类产品销售业绩（格式见附件）；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投标产品服务计划表（格式见附件）；</w:t>
      </w:r>
    </w:p>
    <w:p>
      <w:pPr>
        <w:numPr>
          <w:ilvl w:val="0"/>
          <w:numId w:val="5"/>
        </w:numPr>
        <w:snapToGrid w:val="0"/>
        <w:jc w:val="left"/>
        <w:rPr>
          <w:rFonts w:ascii="宋体" w:hAnsi="宋体"/>
          <w:color w:val="auto"/>
          <w:sz w:val="24"/>
          <w:highlight w:val="none"/>
        </w:rPr>
      </w:pPr>
      <w:r>
        <w:rPr>
          <w:rFonts w:hint="eastAsia" w:ascii="宋体" w:hAnsi="宋体"/>
          <w:color w:val="auto"/>
          <w:sz w:val="24"/>
          <w:highlight w:val="none"/>
        </w:rPr>
        <w:t>投标人认为有必要提供的其它文件。</w:t>
      </w:r>
    </w:p>
    <w:p>
      <w:pPr>
        <w:snapToGrid w:val="0"/>
        <w:ind w:firstLine="472" w:firstLineChars="196"/>
        <w:jc w:val="left"/>
        <w:rPr>
          <w:rFonts w:ascii="宋体" w:hAnsi="宋体"/>
          <w:b/>
          <w:bCs/>
          <w:color w:val="auto"/>
          <w:sz w:val="24"/>
          <w:highlight w:val="none"/>
        </w:rPr>
      </w:pPr>
      <w:r>
        <w:rPr>
          <w:rFonts w:hint="eastAsia" w:ascii="宋体" w:hAnsi="宋体"/>
          <w:b/>
          <w:bCs/>
          <w:color w:val="auto"/>
          <w:sz w:val="24"/>
          <w:highlight w:val="none"/>
        </w:rPr>
        <w:t>3.</w:t>
      </w:r>
      <w:r>
        <w:rPr>
          <w:rFonts w:ascii="宋体" w:hAnsi="宋体"/>
          <w:b/>
          <w:bCs/>
          <w:color w:val="auto"/>
          <w:sz w:val="24"/>
          <w:highlight w:val="none"/>
        </w:rPr>
        <w:t>技术文件</w:t>
      </w:r>
    </w:p>
    <w:p>
      <w:pPr>
        <w:snapToGrid w:val="0"/>
        <w:ind w:firstLine="480" w:firstLineChars="200"/>
        <w:jc w:val="left"/>
        <w:rPr>
          <w:rFonts w:ascii="宋体" w:hAnsi="宋体"/>
          <w:color w:val="auto"/>
          <w:sz w:val="24"/>
          <w:highlight w:val="none"/>
        </w:rPr>
      </w:pPr>
      <w:r>
        <w:rPr>
          <w:rFonts w:ascii="宋体" w:hAnsi="宋体"/>
          <w:color w:val="auto"/>
          <w:sz w:val="24"/>
          <w:highlight w:val="none"/>
        </w:rPr>
        <w:t>投标人应提交证明文件，证明其拟供的合同项下的货物和服务的合格性符合招标文件规定。该证明文件是投标文件的一部分。</w:t>
      </w:r>
      <w:bookmarkStart w:id="1" w:name="_Ref467306244"/>
      <w:r>
        <w:rPr>
          <w:rFonts w:ascii="宋体" w:hAnsi="宋体"/>
          <w:color w:val="auto"/>
          <w:sz w:val="24"/>
          <w:highlight w:val="none"/>
        </w:rPr>
        <w:t>证明文件可以是文字资料、图纸和数据，</w:t>
      </w:r>
      <w:bookmarkEnd w:id="1"/>
      <w:r>
        <w:rPr>
          <w:rFonts w:ascii="宋体" w:hAnsi="宋体"/>
          <w:color w:val="auto"/>
          <w:sz w:val="24"/>
          <w:highlight w:val="none"/>
        </w:rPr>
        <w:t>它包括：</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投标货物和服务数量、规格、品牌、交货期说明表</w:t>
      </w:r>
      <w:r>
        <w:rPr>
          <w:rFonts w:hint="eastAsia" w:ascii="宋体" w:hAnsi="宋体"/>
          <w:color w:val="auto"/>
          <w:sz w:val="24"/>
          <w:highlight w:val="none"/>
        </w:rPr>
        <w:t>（格式见附件</w:t>
      </w:r>
      <w:r>
        <w:rPr>
          <w:rFonts w:ascii="宋体" w:hAnsi="宋体"/>
          <w:color w:val="auto"/>
          <w:sz w:val="24"/>
          <w:highlight w:val="none"/>
        </w:rPr>
        <w:t>）</w:t>
      </w:r>
      <w:r>
        <w:rPr>
          <w:rFonts w:hint="eastAsia" w:ascii="宋体" w:hAnsi="宋体"/>
          <w:color w:val="auto"/>
          <w:sz w:val="24"/>
          <w:highlight w:val="none"/>
        </w:rPr>
        <w:t>；</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（2）产品的主要技术、特点和质量水平的详细描述；</w:t>
      </w:r>
    </w:p>
    <w:p>
      <w:pPr>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主要材料、结构明细表(包括名称、规格型号、需用量、生产厂名)</w:t>
      </w:r>
      <w:r>
        <w:rPr>
          <w:rFonts w:hint="eastAsia" w:ascii="宋体" w:hAnsi="宋体"/>
          <w:color w:val="auto"/>
          <w:sz w:val="24"/>
          <w:highlight w:val="none"/>
        </w:rPr>
        <w:t xml:space="preserve"> （格式见附件</w:t>
      </w:r>
      <w:r>
        <w:rPr>
          <w:rFonts w:ascii="宋体" w:hAnsi="宋体"/>
          <w:color w:val="auto"/>
          <w:sz w:val="24"/>
          <w:highlight w:val="none"/>
        </w:rPr>
        <w:t>）；</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（4）技术响应表（格式见附件）；</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（5）设计、制造、检验方面的主要标准；</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（6）列出按照制造工序和运输要求的制造期、检验期、交货期；</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（7) 检验报告（一年内）；</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（8) 其他优惠条件；</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（9</w:t>
      </w:r>
      <w:r>
        <w:rPr>
          <w:rFonts w:ascii="宋体" w:hAnsi="宋体"/>
          <w:color w:val="auto"/>
          <w:sz w:val="24"/>
          <w:highlight w:val="none"/>
        </w:rPr>
        <w:t>）技术服务、售后服务的内容和措施；</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（10) 其它按照评标办法可加分的内容说明、证明文件；</w:t>
      </w:r>
    </w:p>
    <w:p>
      <w:pPr>
        <w:snapToGrid w:val="0"/>
        <w:ind w:firstLine="470" w:firstLineChars="196"/>
        <w:jc w:val="left"/>
        <w:rPr>
          <w:rFonts w:ascii="宋体" w:hAnsi="宋体"/>
          <w:color w:val="auto"/>
          <w:sz w:val="24"/>
          <w:highlight w:val="none"/>
        </w:rPr>
      </w:pPr>
      <w:r>
        <w:rPr>
          <w:rFonts w:hint="eastAsia" w:ascii="宋体" w:hAnsi="宋体"/>
          <w:color w:val="auto"/>
          <w:sz w:val="24"/>
          <w:highlight w:val="none"/>
        </w:rPr>
        <w:t>（11</w:t>
      </w:r>
      <w:r>
        <w:rPr>
          <w:rFonts w:ascii="宋体" w:hAnsi="宋体"/>
          <w:color w:val="auto"/>
          <w:sz w:val="24"/>
          <w:highlight w:val="none"/>
        </w:rPr>
        <w:t>）投标人需要说明的其他文件和说明。</w:t>
      </w:r>
    </w:p>
    <w:p>
      <w:pPr>
        <w:snapToGrid w:val="0"/>
        <w:ind w:firstLine="472" w:firstLineChars="196"/>
        <w:jc w:val="left"/>
        <w:rPr>
          <w:rFonts w:ascii="宋体" w:hAnsi="宋体"/>
          <w:b/>
          <w:color w:val="auto"/>
          <w:sz w:val="24"/>
          <w:szCs w:val="20"/>
          <w:highlight w:val="none"/>
        </w:rPr>
      </w:pPr>
      <w:r>
        <w:rPr>
          <w:rFonts w:hint="eastAsia" w:ascii="宋体" w:hAnsi="宋体"/>
          <w:b/>
          <w:color w:val="auto"/>
          <w:sz w:val="24"/>
          <w:highlight w:val="none"/>
        </w:rPr>
        <w:t>4.</w:t>
      </w:r>
      <w:r>
        <w:rPr>
          <w:rFonts w:ascii="宋体" w:hAnsi="宋体"/>
          <w:b/>
          <w:color w:val="auto"/>
          <w:sz w:val="24"/>
          <w:highlight w:val="none"/>
        </w:rPr>
        <w:t>报价文件</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（1）投标函（格式见附件5.1）</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（2）开标一览表（格式见附件5.2）</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（3）中小企业声明函（附件5.3：小微企业投标时适用，提供中小企业名录查询结果截图http://xwqy.gsxt.gov.cn，不提供不予抵扣）</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（4）残疾人福利性单位声明函（附件5.4：残疾人福利性单位投标时适用）</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（5）政府采购政策情况表（附件5.5：小微企业、残疾人福利性单位、监狱企业投标时适用）</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（6）制造企业情况表：（小微企业提供其他小微企业生产的产品时适用,提供中小企业名录查询结果截图http://xwqy.gsxt.gov.cn，不提供不予抵扣）</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（7）投标人针对报价需要说明的其他文件和说明（不含报价）。</w:t>
      </w:r>
    </w:p>
    <w:p>
      <w:pPr>
        <w:snapToGrid w:val="0"/>
        <w:spacing w:before="120" w:beforeLines="50"/>
        <w:ind w:firstLine="472" w:firstLineChars="196"/>
        <w:jc w:val="left"/>
        <w:outlineLvl w:val="0"/>
        <w:rPr>
          <w:rFonts w:ascii="宋体" w:hAnsi="宋体"/>
          <w:b/>
          <w:color w:val="auto"/>
          <w:sz w:val="24"/>
          <w:highlight w:val="none"/>
        </w:rPr>
      </w:pPr>
      <w:r>
        <w:rPr>
          <w:rFonts w:hint="eastAsia" w:ascii="宋体" w:hAnsi="宋体"/>
          <w:b/>
          <w:color w:val="auto"/>
          <w:sz w:val="24"/>
          <w:highlight w:val="none"/>
        </w:rPr>
        <w:t>（二）投标文件的语言及计量</w:t>
      </w:r>
    </w:p>
    <w:p>
      <w:pPr>
        <w:snapToGrid w:val="0"/>
        <w:ind w:firstLine="420" w:firstLineChars="200"/>
        <w:jc w:val="left"/>
        <w:rPr>
          <w:rFonts w:ascii="宋体" w:hAnsi="宋体"/>
          <w:color w:val="auto"/>
          <w:sz w:val="24"/>
          <w:szCs w:val="20"/>
          <w:highlight w:val="none"/>
        </w:rPr>
      </w:pPr>
      <w:r>
        <w:rPr>
          <w:rFonts w:hint="eastAsia" w:ascii="宋体" w:hAnsi="宋体"/>
          <w:color w:val="auto"/>
          <w:szCs w:val="21"/>
          <w:highlight w:val="none"/>
        </w:rPr>
        <w:t>▲</w:t>
      </w: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投标文件以及投标方与招标方就有关投标事宜的所有来往函电，均应以中文汉语书写。除签名、盖章、专用名称等特殊情形外，以中文汉语以外的文字表述的投标文件视同未提供。</w:t>
      </w:r>
    </w:p>
    <w:p>
      <w:pPr>
        <w:snapToGrid w:val="0"/>
        <w:ind w:firstLine="420" w:firstLineChars="200"/>
        <w:jc w:val="left"/>
        <w:rPr>
          <w:rFonts w:ascii="宋体" w:hAnsi="宋体"/>
          <w:color w:val="auto"/>
          <w:sz w:val="24"/>
          <w:szCs w:val="20"/>
          <w:highlight w:val="none"/>
        </w:rPr>
      </w:pPr>
      <w:r>
        <w:rPr>
          <w:rFonts w:hint="eastAsia" w:ascii="宋体" w:hAnsi="宋体"/>
          <w:color w:val="auto"/>
          <w:szCs w:val="21"/>
          <w:highlight w:val="none"/>
        </w:rPr>
        <w:t>▲</w:t>
      </w: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投标计量单位，应采用中华人民共和国法定计量单位（货币单位：人民币元），否则视同未响应。</w:t>
      </w:r>
    </w:p>
    <w:p>
      <w:pPr>
        <w:snapToGrid w:val="0"/>
        <w:spacing w:before="120" w:beforeLines="50" w:after="120" w:afterLines="50"/>
        <w:ind w:firstLine="472" w:firstLineChars="196"/>
        <w:jc w:val="left"/>
        <w:outlineLvl w:val="0"/>
        <w:rPr>
          <w:rFonts w:ascii="宋体" w:hAnsi="宋体"/>
          <w:b/>
          <w:color w:val="auto"/>
          <w:sz w:val="24"/>
          <w:szCs w:val="20"/>
          <w:highlight w:val="none"/>
        </w:rPr>
      </w:pPr>
      <w:r>
        <w:rPr>
          <w:rFonts w:hint="eastAsia" w:ascii="宋体" w:hAnsi="宋体"/>
          <w:b/>
          <w:color w:val="auto"/>
          <w:sz w:val="24"/>
          <w:highlight w:val="none"/>
        </w:rPr>
        <w:t>（三）投标报价</w:t>
      </w:r>
    </w:p>
    <w:p>
      <w:pPr>
        <w:tabs>
          <w:tab w:val="left" w:pos="3870"/>
          <w:tab w:val="left" w:pos="4085"/>
        </w:tabs>
        <w:snapToGrid w:val="0"/>
        <w:ind w:firstLine="480" w:firstLineChars="20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投标报价应按招标文件中相关附表格式填写。</w:t>
      </w:r>
    </w:p>
    <w:p>
      <w:pPr>
        <w:tabs>
          <w:tab w:val="left" w:pos="3870"/>
          <w:tab w:val="left" w:pos="4085"/>
        </w:tabs>
        <w:snapToGrid w:val="0"/>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投标报价是履行合同的最终价格，应包括货款、标准附件、备品备件、专用工具、包装、运输、装卸、保险、税金、货到就位以及安装、调试、培训、保修等一切税金和费用。</w:t>
      </w:r>
    </w:p>
    <w:p>
      <w:pPr>
        <w:tabs>
          <w:tab w:val="left" w:pos="3870"/>
          <w:tab w:val="left" w:pos="4085"/>
        </w:tabs>
        <w:snapToGrid w:val="0"/>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投标文件只允许有一个报价，有选择的</w:t>
      </w:r>
      <w:r>
        <w:rPr>
          <w:rFonts w:hint="eastAsia" w:ascii="宋体" w:hAnsi="宋体"/>
          <w:color w:val="auto"/>
          <w:sz w:val="24"/>
          <w:highlight w:val="none"/>
        </w:rPr>
        <w:t>或有条件的</w:t>
      </w:r>
      <w:r>
        <w:rPr>
          <w:rFonts w:ascii="宋体" w:hAnsi="宋体"/>
          <w:color w:val="auto"/>
          <w:sz w:val="24"/>
          <w:highlight w:val="none"/>
        </w:rPr>
        <w:t>报价将不予接受。</w:t>
      </w:r>
    </w:p>
    <w:p>
      <w:pPr>
        <w:pStyle w:val="3"/>
        <w:numPr>
          <w:ilvl w:val="0"/>
          <w:numId w:val="0"/>
        </w:numPr>
        <w:tabs>
          <w:tab w:val="left" w:pos="720"/>
          <w:tab w:val="clear" w:pos="360"/>
        </w:tabs>
        <w:snapToGrid w:val="0"/>
        <w:spacing w:before="120" w:beforeLines="50"/>
        <w:ind w:left="412" w:leftChars="196"/>
        <w:rPr>
          <w:rFonts w:ascii="宋体" w:hAnsi="宋体"/>
          <w:b/>
          <w:color w:val="auto"/>
          <w:highlight w:val="none"/>
        </w:rPr>
      </w:pPr>
      <w:r>
        <w:rPr>
          <w:rFonts w:hint="eastAsia" w:ascii="宋体" w:hAnsi="宋体"/>
          <w:b/>
          <w:color w:val="auto"/>
          <w:highlight w:val="none"/>
        </w:rPr>
        <w:t>（四）投标文件的有效期</w:t>
      </w:r>
    </w:p>
    <w:p>
      <w:pPr>
        <w:pStyle w:val="3"/>
        <w:numPr>
          <w:ilvl w:val="0"/>
          <w:numId w:val="0"/>
        </w:numPr>
        <w:tabs>
          <w:tab w:val="left" w:pos="720"/>
          <w:tab w:val="clear" w:pos="360"/>
        </w:tabs>
        <w:snapToGrid w:val="0"/>
        <w:ind w:left="420" w:left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 xml:space="preserve">自投标截止日起 </w:t>
      </w:r>
      <w:r>
        <w:rPr>
          <w:rFonts w:hint="eastAsia" w:ascii="宋体" w:hAnsi="宋体"/>
          <w:color w:val="auto"/>
          <w:sz w:val="24"/>
          <w:highlight w:val="none"/>
        </w:rPr>
        <w:t>60</w:t>
      </w:r>
      <w:r>
        <w:rPr>
          <w:rFonts w:ascii="宋体" w:hAnsi="宋体"/>
          <w:color w:val="auto"/>
          <w:sz w:val="24"/>
          <w:highlight w:val="none"/>
        </w:rPr>
        <w:t xml:space="preserve"> 天投标</w:t>
      </w:r>
      <w:r>
        <w:rPr>
          <w:rFonts w:hint="eastAsia" w:ascii="宋体" w:hAnsi="宋体"/>
          <w:color w:val="auto"/>
          <w:sz w:val="24"/>
          <w:highlight w:val="none"/>
        </w:rPr>
        <w:t>文件</w:t>
      </w:r>
      <w:r>
        <w:rPr>
          <w:rFonts w:ascii="宋体" w:hAnsi="宋体"/>
          <w:color w:val="auto"/>
          <w:sz w:val="24"/>
          <w:highlight w:val="none"/>
        </w:rPr>
        <w:t>应保持有效。有效期</w:t>
      </w:r>
      <w:r>
        <w:rPr>
          <w:rFonts w:hint="eastAsia" w:ascii="宋体" w:hAnsi="宋体"/>
          <w:color w:val="auto"/>
          <w:sz w:val="24"/>
          <w:highlight w:val="none"/>
        </w:rPr>
        <w:t>不足</w:t>
      </w:r>
      <w:r>
        <w:rPr>
          <w:rFonts w:ascii="宋体" w:hAnsi="宋体"/>
          <w:color w:val="auto"/>
          <w:sz w:val="24"/>
          <w:highlight w:val="none"/>
        </w:rPr>
        <w:t>的投标</w:t>
      </w:r>
      <w:r>
        <w:rPr>
          <w:rFonts w:hint="eastAsia" w:ascii="宋体" w:hAnsi="宋体"/>
          <w:color w:val="auto"/>
          <w:sz w:val="24"/>
          <w:highlight w:val="none"/>
        </w:rPr>
        <w:t>文件</w:t>
      </w:r>
      <w:r>
        <w:rPr>
          <w:rFonts w:ascii="宋体" w:hAnsi="宋体"/>
          <w:color w:val="auto"/>
          <w:sz w:val="24"/>
          <w:highlight w:val="none"/>
        </w:rPr>
        <w:t>将被拒绝。</w:t>
      </w:r>
    </w:p>
    <w:p>
      <w:pPr>
        <w:pStyle w:val="3"/>
        <w:numPr>
          <w:ilvl w:val="0"/>
          <w:numId w:val="0"/>
        </w:numPr>
        <w:tabs>
          <w:tab w:val="left" w:pos="720"/>
          <w:tab w:val="clear" w:pos="360"/>
        </w:tabs>
        <w:snapToGrid w:val="0"/>
        <w:ind w:left="420" w:leftChars="200" w:firstLine="240" w:firstLineChars="1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在特殊情况下，招标人可与投标人协商延长投标书的有效期，这种要求和答复均以书面形式进行。</w:t>
      </w:r>
    </w:p>
    <w:p>
      <w:pPr>
        <w:snapToGrid w:val="0"/>
        <w:ind w:firstLine="480" w:firstLineChars="200"/>
        <w:jc w:val="left"/>
        <w:outlineLvl w:val="0"/>
        <w:rPr>
          <w:rFonts w:ascii="宋体" w:hAnsi="宋体"/>
          <w:b/>
          <w:color w:val="auto"/>
          <w:sz w:val="24"/>
          <w:szCs w:val="20"/>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投标人可拒绝接受延期要求而不会导致投标保证金被没收。同意延长有效期的投标人需要相应延长投标保证金的有效期，但不能修改投标文件。</w:t>
      </w:r>
    </w:p>
    <w:p>
      <w:pPr>
        <w:snapToGrid w:val="0"/>
        <w:ind w:firstLine="480" w:firstLineChars="200"/>
        <w:jc w:val="left"/>
        <w:outlineLvl w:val="0"/>
        <w:rPr>
          <w:rFonts w:ascii="宋体" w:hAnsi="宋体"/>
          <w:b/>
          <w:color w:val="auto"/>
          <w:sz w:val="24"/>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中标人的投标文件自开标之日起至合同履行完毕止均保持有效。</w:t>
      </w:r>
    </w:p>
    <w:p>
      <w:pPr>
        <w:snapToGrid w:val="0"/>
        <w:spacing w:before="120" w:beforeLines="50"/>
        <w:ind w:firstLine="472" w:firstLineChars="196"/>
        <w:jc w:val="left"/>
        <w:outlineLvl w:val="0"/>
        <w:rPr>
          <w:rFonts w:ascii="宋体" w:hAnsi="宋体"/>
          <w:b/>
          <w:color w:val="auto"/>
          <w:sz w:val="24"/>
          <w:szCs w:val="20"/>
          <w:highlight w:val="none"/>
        </w:rPr>
      </w:pPr>
      <w:r>
        <w:rPr>
          <w:rFonts w:hint="eastAsia" w:ascii="宋体" w:hAnsi="宋体"/>
          <w:b/>
          <w:color w:val="auto"/>
          <w:sz w:val="24"/>
          <w:highlight w:val="none"/>
        </w:rPr>
        <w:t>（五）投标保证金</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投标人须</w:t>
      </w:r>
      <w:r>
        <w:rPr>
          <w:rFonts w:hint="eastAsia" w:ascii="宋体" w:hAnsi="宋体"/>
          <w:color w:val="auto"/>
          <w:sz w:val="24"/>
          <w:highlight w:val="none"/>
        </w:rPr>
        <w:t>按本项目招标公告的要求</w:t>
      </w:r>
      <w:r>
        <w:rPr>
          <w:rFonts w:ascii="宋体" w:hAnsi="宋体"/>
          <w:color w:val="auto"/>
          <w:sz w:val="24"/>
          <w:highlight w:val="none"/>
        </w:rPr>
        <w:t>提交投标保证金。否则，其投标将被拒绝。</w:t>
      </w:r>
    </w:p>
    <w:p>
      <w:pPr>
        <w:snapToGrid w:val="0"/>
        <w:ind w:firstLine="482" w:firstLineChars="200"/>
        <w:jc w:val="left"/>
        <w:rPr>
          <w:rFonts w:ascii="宋体" w:hAnsi="宋体"/>
          <w:b/>
          <w:bCs/>
          <w:color w:val="auto"/>
          <w:sz w:val="24"/>
          <w:highlight w:val="none"/>
          <w:u w:val="single"/>
        </w:rPr>
      </w:pPr>
      <w:r>
        <w:rPr>
          <w:rFonts w:ascii="宋体" w:hAnsi="宋体"/>
          <w:b/>
          <w:bCs/>
          <w:color w:val="auto"/>
          <w:sz w:val="24"/>
          <w:highlight w:val="none"/>
        </w:rPr>
        <w:t>2</w:t>
      </w:r>
      <w:r>
        <w:rPr>
          <w:rFonts w:hint="eastAsia" w:ascii="宋体" w:hAnsi="宋体"/>
          <w:b/>
          <w:bCs/>
          <w:color w:val="auto"/>
          <w:sz w:val="24"/>
          <w:highlight w:val="none"/>
        </w:rPr>
        <w:t>.</w:t>
      </w:r>
      <w:r>
        <w:rPr>
          <w:rFonts w:ascii="宋体" w:hAnsi="宋体"/>
          <w:b/>
          <w:bCs/>
          <w:color w:val="auto"/>
          <w:sz w:val="24"/>
          <w:highlight w:val="none"/>
        </w:rPr>
        <w:t>保证金</w:t>
      </w:r>
      <w:r>
        <w:rPr>
          <w:rFonts w:hint="eastAsia" w:ascii="宋体" w:hAnsi="宋体"/>
          <w:b/>
          <w:bCs/>
          <w:color w:val="auto"/>
          <w:sz w:val="24"/>
          <w:highlight w:val="none"/>
        </w:rPr>
        <w:t>缴纳</w:t>
      </w:r>
      <w:r>
        <w:rPr>
          <w:rFonts w:ascii="宋体" w:hAnsi="宋体"/>
          <w:b/>
          <w:bCs/>
          <w:color w:val="auto"/>
          <w:sz w:val="24"/>
          <w:highlight w:val="none"/>
        </w:rPr>
        <w:t>形式：</w:t>
      </w:r>
      <w:r>
        <w:rPr>
          <w:rFonts w:hint="eastAsia" w:ascii="宋体" w:hAnsi="宋体"/>
          <w:b/>
          <w:bCs/>
          <w:color w:val="auto"/>
          <w:sz w:val="24"/>
          <w:highlight w:val="none"/>
          <w:u w:val="single"/>
        </w:rPr>
        <w:t xml:space="preserve">转账、电汇 </w:t>
      </w:r>
    </w:p>
    <w:p>
      <w:pPr>
        <w:snapToGrid w:val="0"/>
        <w:ind w:firstLine="480" w:firstLineChars="200"/>
        <w:jc w:val="lef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未中标人</w:t>
      </w:r>
      <w:r>
        <w:rPr>
          <w:rFonts w:hint="eastAsia" w:ascii="宋体" w:hAnsi="宋体"/>
          <w:color w:val="auto"/>
          <w:sz w:val="24"/>
          <w:highlight w:val="none"/>
        </w:rPr>
        <w:t>的投标</w:t>
      </w:r>
      <w:r>
        <w:rPr>
          <w:rFonts w:ascii="宋体" w:hAnsi="宋体"/>
          <w:color w:val="auto"/>
          <w:sz w:val="24"/>
          <w:highlight w:val="none"/>
        </w:rPr>
        <w:t>保证金在</w:t>
      </w:r>
      <w:r>
        <w:rPr>
          <w:rFonts w:hint="eastAsia" w:ascii="宋体" w:hAnsi="宋体"/>
          <w:color w:val="auto"/>
          <w:sz w:val="24"/>
          <w:highlight w:val="none"/>
        </w:rPr>
        <w:t>中标通知书发出后5个工作日内退还</w:t>
      </w:r>
      <w:r>
        <w:rPr>
          <w:rFonts w:ascii="宋体" w:hAnsi="宋体"/>
          <w:color w:val="auto"/>
          <w:sz w:val="24"/>
          <w:highlight w:val="none"/>
        </w:rPr>
        <w:t>。</w:t>
      </w:r>
    </w:p>
    <w:p>
      <w:pPr>
        <w:snapToGrid w:val="0"/>
        <w:ind w:firstLine="480" w:firstLineChars="200"/>
        <w:jc w:val="lef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中标人应在中标通知书发出</w:t>
      </w:r>
      <w:r>
        <w:rPr>
          <w:rFonts w:hint="eastAsia" w:ascii="宋体" w:hAnsi="宋体"/>
          <w:color w:val="auto"/>
          <w:sz w:val="24"/>
          <w:highlight w:val="none"/>
        </w:rPr>
        <w:t>后30 日内与采购人签订合同，投标保证金自动转为履约保证金，在货到验收合格后10日内凭《退履约保证金的函》（此表格下载步骤：http://ggzyjy.dongyang.gov.cn/——政府采购模块——资料下载——</w:t>
      </w:r>
      <w:r>
        <w:rPr>
          <w:color w:val="auto"/>
          <w:highlight w:val="none"/>
        </w:rPr>
        <w:fldChar w:fldCharType="begin"/>
      </w:r>
      <w:r>
        <w:rPr>
          <w:color w:val="auto"/>
          <w:highlight w:val="none"/>
        </w:rPr>
        <w:instrText xml:space="preserve"> HYPERLINK "http://ggzyjy.dongyang.gov.cn/zfcgzlxz/15961.htm" \t "http://ggzyjy.dongyang.gov.cn/zfcgzlxz/_blank" </w:instrText>
      </w:r>
      <w:r>
        <w:rPr>
          <w:color w:val="auto"/>
          <w:highlight w:val="none"/>
        </w:rPr>
        <w:fldChar w:fldCharType="separate"/>
      </w:r>
      <w:r>
        <w:rPr>
          <w:rFonts w:hint="eastAsia" w:ascii="宋体" w:hAnsi="宋体"/>
          <w:color w:val="auto"/>
          <w:sz w:val="24"/>
          <w:highlight w:val="none"/>
        </w:rPr>
        <w:t xml:space="preserve">退履约保证金的函 </w:t>
      </w:r>
      <w:r>
        <w:rPr>
          <w:rFonts w:hint="eastAsia" w:ascii="宋体" w:hAnsi="宋体"/>
          <w:color w:val="auto"/>
          <w:sz w:val="24"/>
          <w:highlight w:val="none"/>
        </w:rPr>
        <w:fldChar w:fldCharType="end"/>
      </w:r>
      <w:r>
        <w:rPr>
          <w:rFonts w:hint="eastAsia" w:ascii="宋体" w:hAnsi="宋体"/>
          <w:color w:val="auto"/>
          <w:sz w:val="24"/>
          <w:highlight w:val="none"/>
        </w:rPr>
        <w:t>）退还（无息）。</w:t>
      </w:r>
    </w:p>
    <w:p>
      <w:pPr>
        <w:snapToGrid w:val="0"/>
        <w:ind w:firstLine="480" w:firstLineChars="200"/>
        <w:jc w:val="left"/>
        <w:rPr>
          <w:rFonts w:ascii="宋体" w:hAnsi="宋体"/>
          <w:b/>
          <w:color w:val="auto"/>
          <w:sz w:val="24"/>
          <w:szCs w:val="20"/>
          <w:highlight w:val="none"/>
        </w:rPr>
      </w:pPr>
      <w:r>
        <w:rPr>
          <w:rFonts w:ascii="宋体" w:hAnsi="宋体"/>
          <w:color w:val="auto"/>
          <w:sz w:val="24"/>
          <w:highlight w:val="none"/>
        </w:rPr>
        <w:t>5</w:t>
      </w:r>
      <w:r>
        <w:rPr>
          <w:rFonts w:hint="eastAsia" w:ascii="宋体" w:hAnsi="宋体"/>
          <w:color w:val="auto"/>
          <w:sz w:val="24"/>
          <w:highlight w:val="none"/>
        </w:rPr>
        <w:t>.</w:t>
      </w:r>
      <w:r>
        <w:rPr>
          <w:rFonts w:ascii="宋体" w:hAnsi="宋体"/>
          <w:color w:val="auto"/>
          <w:sz w:val="24"/>
          <w:highlight w:val="none"/>
        </w:rPr>
        <w:t>保证金不计息。</w:t>
      </w:r>
    </w:p>
    <w:p>
      <w:pPr>
        <w:snapToGrid w:val="0"/>
        <w:ind w:firstLine="472" w:firstLineChars="196"/>
        <w:jc w:val="left"/>
        <w:rPr>
          <w:rFonts w:ascii="宋体" w:hAnsi="宋体"/>
          <w:b/>
          <w:bCs/>
          <w:color w:val="auto"/>
          <w:sz w:val="24"/>
          <w:highlight w:val="none"/>
        </w:rPr>
      </w:pPr>
      <w:r>
        <w:rPr>
          <w:rFonts w:ascii="宋体" w:hAnsi="宋体"/>
          <w:b/>
          <w:bCs/>
          <w:color w:val="auto"/>
          <w:sz w:val="24"/>
          <w:highlight w:val="none"/>
        </w:rPr>
        <w:t>6</w:t>
      </w:r>
      <w:r>
        <w:rPr>
          <w:rFonts w:hint="eastAsia" w:ascii="宋体" w:hAnsi="宋体"/>
          <w:b/>
          <w:bCs/>
          <w:color w:val="auto"/>
          <w:sz w:val="24"/>
          <w:highlight w:val="none"/>
        </w:rPr>
        <w:t>.投标人有</w:t>
      </w:r>
      <w:r>
        <w:rPr>
          <w:rFonts w:ascii="宋体" w:hAnsi="宋体"/>
          <w:b/>
          <w:bCs/>
          <w:color w:val="auto"/>
          <w:sz w:val="24"/>
          <w:highlight w:val="none"/>
        </w:rPr>
        <w:t>下列情</w:t>
      </w:r>
      <w:r>
        <w:rPr>
          <w:rFonts w:hint="eastAsia" w:ascii="宋体" w:hAnsi="宋体"/>
          <w:b/>
          <w:bCs/>
          <w:color w:val="auto"/>
          <w:sz w:val="24"/>
          <w:highlight w:val="none"/>
        </w:rPr>
        <w:t>形之一的</w:t>
      </w:r>
      <w:r>
        <w:rPr>
          <w:rFonts w:ascii="宋体" w:hAnsi="宋体"/>
          <w:b/>
          <w:bCs/>
          <w:color w:val="auto"/>
          <w:sz w:val="24"/>
          <w:highlight w:val="none"/>
        </w:rPr>
        <w:t>，投标保证金将不予退还：</w:t>
      </w:r>
    </w:p>
    <w:p>
      <w:pPr>
        <w:snapToGrid w:val="0"/>
        <w:spacing w:line="312" w:lineRule="auto"/>
        <w:ind w:firstLine="470" w:firstLineChars="196"/>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投标人在投标有效期内撤回投标文件的；</w:t>
      </w:r>
    </w:p>
    <w:p>
      <w:pPr>
        <w:snapToGrid w:val="0"/>
        <w:spacing w:line="312" w:lineRule="auto"/>
        <w:ind w:firstLine="470" w:firstLineChars="196"/>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）投标人在投标过程中弄虚作假，提供虚假材料</w:t>
      </w:r>
      <w:r>
        <w:rPr>
          <w:rFonts w:hint="eastAsia" w:ascii="宋体" w:hAnsi="宋体"/>
          <w:color w:val="auto"/>
          <w:sz w:val="24"/>
          <w:highlight w:val="none"/>
        </w:rPr>
        <w:t>的</w:t>
      </w:r>
      <w:r>
        <w:rPr>
          <w:rFonts w:ascii="宋体" w:hAnsi="宋体"/>
          <w:color w:val="auto"/>
          <w:sz w:val="24"/>
          <w:highlight w:val="none"/>
        </w:rPr>
        <w:t>；</w:t>
      </w:r>
    </w:p>
    <w:p>
      <w:pPr>
        <w:snapToGrid w:val="0"/>
        <w:spacing w:line="312" w:lineRule="auto"/>
        <w:ind w:firstLine="470" w:firstLineChars="196"/>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sz w:val="24"/>
          <w:highlight w:val="none"/>
        </w:rPr>
        <w:t>中标人无不可抗拒的原因不与采购方签订合同的；</w:t>
      </w:r>
    </w:p>
    <w:p>
      <w:pPr>
        <w:snapToGrid w:val="0"/>
        <w:spacing w:line="312" w:lineRule="auto"/>
        <w:ind w:firstLine="470" w:firstLineChars="196"/>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w:t>
      </w:r>
      <w:r>
        <w:rPr>
          <w:rFonts w:hint="eastAsia" w:ascii="宋体" w:hAnsi="宋体"/>
          <w:bCs/>
          <w:color w:val="auto"/>
          <w:sz w:val="24"/>
          <w:highlight w:val="none"/>
        </w:rPr>
        <w:t>将中标项目转让给他人或者在投标文件中未说明且未经招标采购单位同意，将中标项目分包给他人的；</w:t>
      </w:r>
    </w:p>
    <w:p>
      <w:pPr>
        <w:snapToGrid w:val="0"/>
        <w:spacing w:line="312" w:lineRule="auto"/>
        <w:ind w:firstLine="480" w:firstLineChars="200"/>
        <w:rPr>
          <w:rFonts w:ascii="宋体" w:hAnsi="宋体"/>
          <w:color w:val="auto"/>
          <w:sz w:val="24"/>
          <w:highlight w:val="none"/>
        </w:rPr>
      </w:pPr>
      <w:r>
        <w:rPr>
          <w:rFonts w:hint="eastAsia" w:ascii="宋体" w:hAnsi="宋体"/>
          <w:color w:val="auto"/>
          <w:sz w:val="24"/>
          <w:highlight w:val="none"/>
        </w:rPr>
        <w:t>（5）拒绝履行合同义务的；</w:t>
      </w:r>
    </w:p>
    <w:p>
      <w:pPr>
        <w:snapToGrid w:val="0"/>
        <w:spacing w:line="312" w:lineRule="auto"/>
        <w:ind w:firstLine="472" w:firstLineChars="196"/>
        <w:rPr>
          <w:rFonts w:ascii="宋体" w:hAnsi="宋体"/>
          <w:b/>
          <w:color w:val="auto"/>
          <w:sz w:val="24"/>
          <w:highlight w:val="none"/>
        </w:rPr>
      </w:pPr>
      <w:r>
        <w:rPr>
          <w:rFonts w:hint="eastAsia" w:ascii="宋体" w:hAnsi="宋体"/>
          <w:b/>
          <w:color w:val="auto"/>
          <w:sz w:val="24"/>
          <w:highlight w:val="none"/>
        </w:rPr>
        <w:t>（6）有下列情形之一的，视为投标人串通投标，其投标无效，保证金不予退还：</w:t>
      </w:r>
    </w:p>
    <w:p>
      <w:pPr>
        <w:snapToGrid w:val="0"/>
        <w:ind w:firstLine="960" w:firstLineChars="400"/>
        <w:jc w:val="left"/>
        <w:rPr>
          <w:rFonts w:ascii="宋体" w:hAnsi="宋体"/>
          <w:color w:val="auto"/>
          <w:sz w:val="24"/>
          <w:highlight w:val="none"/>
        </w:rPr>
      </w:pPr>
      <w:r>
        <w:rPr>
          <w:rFonts w:hint="eastAsia" w:ascii="宋体" w:hAnsi="宋体"/>
          <w:color w:val="auto"/>
          <w:sz w:val="24"/>
          <w:highlight w:val="none"/>
        </w:rPr>
        <w:t>A.不同投标人的投标文件由同一单位或者个人编制；</w:t>
      </w:r>
    </w:p>
    <w:p>
      <w:pPr>
        <w:snapToGrid w:val="0"/>
        <w:ind w:firstLine="960" w:firstLineChars="400"/>
        <w:jc w:val="left"/>
        <w:rPr>
          <w:rFonts w:ascii="宋体" w:hAnsi="宋体"/>
          <w:color w:val="auto"/>
          <w:sz w:val="24"/>
          <w:highlight w:val="none"/>
        </w:rPr>
      </w:pPr>
      <w:r>
        <w:rPr>
          <w:rFonts w:hint="eastAsia" w:ascii="宋体" w:hAnsi="宋体"/>
          <w:color w:val="auto"/>
          <w:sz w:val="24"/>
          <w:highlight w:val="none"/>
        </w:rPr>
        <w:t>B.不同投标人委托同一单位或者个人办理投标事宜；</w:t>
      </w:r>
    </w:p>
    <w:p>
      <w:pPr>
        <w:snapToGrid w:val="0"/>
        <w:ind w:firstLine="960" w:firstLineChars="400"/>
        <w:jc w:val="left"/>
        <w:rPr>
          <w:rFonts w:ascii="宋体" w:hAnsi="宋体"/>
          <w:color w:val="auto"/>
          <w:sz w:val="24"/>
          <w:highlight w:val="none"/>
        </w:rPr>
      </w:pPr>
      <w:r>
        <w:rPr>
          <w:rFonts w:hint="eastAsia" w:ascii="宋体" w:hAnsi="宋体"/>
          <w:color w:val="auto"/>
          <w:sz w:val="24"/>
          <w:highlight w:val="none"/>
        </w:rPr>
        <w:t>C.不同投标人的投标文件载明的项目管理成员或者联系人员为同一人；</w:t>
      </w:r>
    </w:p>
    <w:p>
      <w:pPr>
        <w:snapToGrid w:val="0"/>
        <w:ind w:firstLine="960" w:firstLineChars="400"/>
        <w:jc w:val="left"/>
        <w:rPr>
          <w:rFonts w:ascii="宋体" w:hAnsi="宋体"/>
          <w:color w:val="auto"/>
          <w:sz w:val="24"/>
          <w:highlight w:val="none"/>
        </w:rPr>
      </w:pPr>
      <w:r>
        <w:rPr>
          <w:rFonts w:hint="eastAsia" w:ascii="宋体" w:hAnsi="宋体"/>
          <w:color w:val="auto"/>
          <w:sz w:val="24"/>
          <w:highlight w:val="none"/>
        </w:rPr>
        <w:t xml:space="preserve">D.不同投标人的投标文件异常一致或者投标报价呈规律性差异； </w:t>
      </w:r>
    </w:p>
    <w:p>
      <w:pPr>
        <w:snapToGrid w:val="0"/>
        <w:ind w:firstLine="960" w:firstLineChars="400"/>
        <w:jc w:val="left"/>
        <w:rPr>
          <w:rFonts w:ascii="宋体" w:hAnsi="宋体"/>
          <w:color w:val="auto"/>
          <w:sz w:val="24"/>
          <w:highlight w:val="none"/>
        </w:rPr>
      </w:pPr>
      <w:r>
        <w:rPr>
          <w:rFonts w:hint="eastAsia" w:ascii="宋体" w:hAnsi="宋体"/>
          <w:color w:val="auto"/>
          <w:sz w:val="24"/>
          <w:highlight w:val="none"/>
        </w:rPr>
        <w:t>E.不同投标人的投标文件相互混装；</w:t>
      </w:r>
    </w:p>
    <w:p>
      <w:pPr>
        <w:snapToGrid w:val="0"/>
        <w:ind w:firstLine="960" w:firstLineChars="400"/>
        <w:jc w:val="left"/>
        <w:rPr>
          <w:rFonts w:ascii="宋体" w:hAnsi="宋体"/>
          <w:color w:val="auto"/>
          <w:sz w:val="24"/>
          <w:highlight w:val="none"/>
        </w:rPr>
      </w:pPr>
      <w:r>
        <w:rPr>
          <w:rFonts w:hint="eastAsia" w:ascii="宋体" w:hAnsi="宋体"/>
          <w:color w:val="auto"/>
          <w:sz w:val="24"/>
          <w:highlight w:val="none"/>
        </w:rPr>
        <w:t>F.不同投标人的投标保证金从同一单位或者个人的账户转出。</w:t>
      </w:r>
    </w:p>
    <w:p>
      <w:pPr>
        <w:snapToGrid w:val="0"/>
        <w:spacing w:line="312" w:lineRule="auto"/>
        <w:ind w:firstLine="470" w:firstLineChars="196"/>
        <w:rPr>
          <w:rFonts w:ascii="宋体" w:hAnsi="宋体"/>
          <w:bCs/>
          <w:color w:val="auto"/>
          <w:sz w:val="24"/>
          <w:highlight w:val="none"/>
        </w:rPr>
      </w:pPr>
      <w:r>
        <w:rPr>
          <w:rFonts w:hint="eastAsia" w:ascii="宋体" w:hAnsi="宋体"/>
          <w:bCs/>
          <w:color w:val="auto"/>
          <w:sz w:val="24"/>
          <w:highlight w:val="none"/>
        </w:rPr>
        <w:t>（7）其他严重扰乱招投标程序的。</w:t>
      </w:r>
    </w:p>
    <w:p>
      <w:pPr>
        <w:snapToGrid w:val="0"/>
        <w:spacing w:before="120" w:beforeLines="50"/>
        <w:ind w:firstLine="472" w:firstLineChars="196"/>
        <w:jc w:val="left"/>
        <w:outlineLvl w:val="0"/>
        <w:rPr>
          <w:rFonts w:ascii="宋体" w:hAnsi="宋体"/>
          <w:b/>
          <w:color w:val="auto"/>
          <w:sz w:val="24"/>
          <w:highlight w:val="none"/>
        </w:rPr>
      </w:pPr>
      <w:r>
        <w:rPr>
          <w:rFonts w:hint="eastAsia" w:ascii="宋体" w:hAnsi="宋体"/>
          <w:b/>
          <w:color w:val="auto"/>
          <w:sz w:val="24"/>
          <w:highlight w:val="none"/>
        </w:rPr>
        <w:t>（六）投标文件的签署和份数</w:t>
      </w:r>
    </w:p>
    <w:p>
      <w:pPr>
        <w:snapToGrid w:val="0"/>
        <w:ind w:firstLine="480" w:firstLineChars="20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投标人应</w:t>
      </w:r>
      <w:r>
        <w:rPr>
          <w:rFonts w:hint="eastAsia" w:ascii="宋体" w:hAnsi="宋体"/>
          <w:color w:val="auto"/>
          <w:sz w:val="24"/>
          <w:highlight w:val="none"/>
        </w:rPr>
        <w:t>按</w:t>
      </w:r>
      <w:r>
        <w:rPr>
          <w:rFonts w:ascii="宋体" w:hAnsi="宋体"/>
          <w:color w:val="auto"/>
          <w:sz w:val="24"/>
          <w:highlight w:val="none"/>
        </w:rPr>
        <w:t>本招标文件规定的格式和顺序编制、装订投标文件</w:t>
      </w:r>
      <w:r>
        <w:rPr>
          <w:rFonts w:hint="eastAsia" w:ascii="宋体" w:hAnsi="宋体"/>
          <w:color w:val="auto"/>
          <w:sz w:val="24"/>
          <w:highlight w:val="none"/>
        </w:rPr>
        <w:t>并标注页码</w:t>
      </w:r>
      <w:r>
        <w:rPr>
          <w:rFonts w:ascii="宋体" w:hAnsi="宋体"/>
          <w:color w:val="auto"/>
          <w:sz w:val="24"/>
          <w:highlight w:val="none"/>
        </w:rPr>
        <w:t>，投标文件内容不完整、编排混乱导致投标文件被误读、漏读或者查找不到相关内容的，是投标人的责任。</w:t>
      </w:r>
    </w:p>
    <w:p>
      <w:pPr>
        <w:snapToGrid w:val="0"/>
        <w:ind w:firstLine="480" w:firstLineChars="200"/>
        <w:jc w:val="left"/>
        <w:rPr>
          <w:rFonts w:ascii="宋体" w:hAnsi="宋体"/>
          <w:color w:val="auto"/>
          <w:sz w:val="24"/>
          <w:szCs w:val="20"/>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 xml:space="preserve"> 投标人应按</w:t>
      </w:r>
      <w:r>
        <w:rPr>
          <w:rFonts w:hint="eastAsia" w:ascii="宋体" w:hAnsi="宋体"/>
          <w:color w:val="auto"/>
          <w:sz w:val="24"/>
          <w:highlight w:val="none"/>
        </w:rPr>
        <w:t>资信及商务文件、技术文件、投标报价文件正本各</w:t>
      </w:r>
      <w:r>
        <w:rPr>
          <w:rFonts w:hint="eastAsia" w:ascii="宋体" w:hAnsi="宋体"/>
          <w:color w:val="auto"/>
          <w:sz w:val="24"/>
          <w:highlight w:val="none"/>
          <w:u w:val="single"/>
        </w:rPr>
        <w:t>1</w:t>
      </w:r>
      <w:r>
        <w:rPr>
          <w:rFonts w:hint="eastAsia" w:ascii="宋体" w:hAnsi="宋体"/>
          <w:color w:val="auto"/>
          <w:sz w:val="24"/>
          <w:highlight w:val="none"/>
        </w:rPr>
        <w:t>份，副本各</w:t>
      </w:r>
      <w:r>
        <w:rPr>
          <w:rFonts w:hint="eastAsia" w:ascii="宋体" w:hAnsi="宋体"/>
          <w:color w:val="auto"/>
          <w:sz w:val="24"/>
          <w:highlight w:val="none"/>
          <w:u w:val="single"/>
        </w:rPr>
        <w:t>4</w:t>
      </w:r>
      <w:r>
        <w:rPr>
          <w:rFonts w:hint="eastAsia" w:ascii="宋体" w:hAnsi="宋体"/>
          <w:color w:val="auto"/>
          <w:sz w:val="24"/>
          <w:highlight w:val="none"/>
        </w:rPr>
        <w:t>份；</w:t>
      </w:r>
      <w:r>
        <w:rPr>
          <w:rFonts w:hint="eastAsia" w:ascii="宋体" w:hAnsi="宋体"/>
          <w:b/>
          <w:color w:val="auto"/>
          <w:sz w:val="24"/>
          <w:highlight w:val="none"/>
        </w:rPr>
        <w:t>资格审查资料1份</w:t>
      </w:r>
      <w:r>
        <w:rPr>
          <w:rFonts w:hint="eastAsia" w:ascii="宋体" w:hAnsi="宋体"/>
          <w:color w:val="auto"/>
          <w:sz w:val="24"/>
          <w:highlight w:val="none"/>
        </w:rPr>
        <w:t>分别编制并单独装订成册，投标文件的封面应注明“正本”、“副本”字样</w:t>
      </w:r>
      <w:r>
        <w:rPr>
          <w:rFonts w:hint="eastAsia" w:ascii="宋体" w:hAnsi="宋体"/>
          <w:b/>
          <w:color w:val="auto"/>
          <w:sz w:val="24"/>
          <w:highlight w:val="none"/>
        </w:rPr>
        <w:t>(资格审查资料无需注明正副本)</w:t>
      </w:r>
      <w:r>
        <w:rPr>
          <w:rFonts w:hint="eastAsia" w:ascii="宋体" w:hAnsi="宋体"/>
          <w:color w:val="auto"/>
          <w:sz w:val="24"/>
          <w:highlight w:val="none"/>
        </w:rPr>
        <w:t>，投标文件的封面格式详见附件1。</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投标文件需打印或用不褪色的墨水填写，投标文件正本除本</w:t>
      </w:r>
      <w:r>
        <w:rPr>
          <w:rFonts w:hint="eastAsia" w:ascii="宋体" w:hAnsi="宋体"/>
          <w:color w:val="auto"/>
          <w:sz w:val="24"/>
          <w:highlight w:val="none"/>
        </w:rPr>
        <w:t>《</w:t>
      </w:r>
      <w:r>
        <w:rPr>
          <w:rFonts w:ascii="宋体" w:hAnsi="宋体"/>
          <w:color w:val="auto"/>
          <w:sz w:val="24"/>
          <w:highlight w:val="none"/>
        </w:rPr>
        <w:t>投标人须知</w:t>
      </w:r>
      <w:r>
        <w:rPr>
          <w:rFonts w:hint="eastAsia" w:ascii="宋体" w:hAnsi="宋体"/>
          <w:color w:val="auto"/>
          <w:sz w:val="24"/>
          <w:highlight w:val="none"/>
        </w:rPr>
        <w:t>》</w:t>
      </w:r>
      <w:r>
        <w:rPr>
          <w:rFonts w:ascii="宋体" w:hAnsi="宋体"/>
          <w:color w:val="auto"/>
          <w:sz w:val="24"/>
          <w:highlight w:val="none"/>
        </w:rPr>
        <w:t>中规定的可提供复印件外均须提供原件。副本</w:t>
      </w:r>
      <w:r>
        <w:rPr>
          <w:rFonts w:hint="eastAsia" w:ascii="宋体" w:hAnsi="宋体"/>
          <w:color w:val="auto"/>
          <w:sz w:val="24"/>
          <w:highlight w:val="none"/>
        </w:rPr>
        <w:t>可</w:t>
      </w:r>
      <w:r>
        <w:rPr>
          <w:rFonts w:ascii="宋体" w:hAnsi="宋体"/>
          <w:color w:val="auto"/>
          <w:sz w:val="24"/>
          <w:highlight w:val="none"/>
        </w:rPr>
        <w:t>为正本</w:t>
      </w:r>
      <w:r>
        <w:rPr>
          <w:rFonts w:hint="eastAsia" w:ascii="宋体" w:hAnsi="宋体"/>
          <w:color w:val="auto"/>
          <w:sz w:val="24"/>
          <w:highlight w:val="none"/>
        </w:rPr>
        <w:t>签字盖章后</w:t>
      </w:r>
      <w:r>
        <w:rPr>
          <w:rFonts w:ascii="宋体" w:hAnsi="宋体"/>
          <w:color w:val="auto"/>
          <w:sz w:val="24"/>
          <w:highlight w:val="none"/>
        </w:rPr>
        <w:t>的复印件。</w:t>
      </w:r>
    </w:p>
    <w:p>
      <w:pPr>
        <w:snapToGrid w:val="0"/>
        <w:ind w:firstLine="480" w:firstLineChars="200"/>
        <w:jc w:val="left"/>
        <w:rPr>
          <w:rFonts w:ascii="宋体" w:hAnsi="宋体"/>
          <w:color w:val="auto"/>
          <w:sz w:val="24"/>
          <w:szCs w:val="20"/>
          <w:highlight w:val="none"/>
        </w:rPr>
      </w:pPr>
      <w:r>
        <w:rPr>
          <w:rFonts w:hint="eastAsia" w:ascii="宋体" w:hAnsi="宋体"/>
          <w:color w:val="auto"/>
          <w:sz w:val="24"/>
          <w:highlight w:val="none"/>
        </w:rPr>
        <w:t>▲4.招标</w:t>
      </w:r>
      <w:r>
        <w:rPr>
          <w:rFonts w:ascii="宋体" w:hAnsi="宋体"/>
          <w:color w:val="auto"/>
          <w:sz w:val="24"/>
          <w:highlight w:val="none"/>
        </w:rPr>
        <w:t>文件</w:t>
      </w:r>
      <w:r>
        <w:rPr>
          <w:rFonts w:hint="eastAsia" w:ascii="宋体" w:hAnsi="宋体"/>
          <w:color w:val="auto"/>
          <w:sz w:val="24"/>
          <w:highlight w:val="none"/>
        </w:rPr>
        <w:t>对签字、盖章有特别要求的地方，投标文件无论正本或副本必须</w:t>
      </w:r>
      <w:r>
        <w:rPr>
          <w:rFonts w:ascii="宋体" w:hAnsi="宋体"/>
          <w:color w:val="auto"/>
          <w:sz w:val="24"/>
          <w:highlight w:val="none"/>
        </w:rPr>
        <w:t>由投标人法定代表人或法定代表</w:t>
      </w:r>
      <w:r>
        <w:rPr>
          <w:rFonts w:hint="eastAsia" w:ascii="宋体" w:hAnsi="宋体"/>
          <w:color w:val="auto"/>
          <w:sz w:val="24"/>
          <w:highlight w:val="none"/>
        </w:rPr>
        <w:t>人的</w:t>
      </w:r>
      <w:r>
        <w:rPr>
          <w:rFonts w:ascii="宋体" w:hAnsi="宋体"/>
          <w:color w:val="auto"/>
          <w:sz w:val="24"/>
          <w:highlight w:val="none"/>
        </w:rPr>
        <w:t>授权</w:t>
      </w:r>
      <w:r>
        <w:rPr>
          <w:rFonts w:hint="eastAsia" w:ascii="宋体" w:hAnsi="宋体"/>
          <w:color w:val="auto"/>
          <w:sz w:val="24"/>
          <w:highlight w:val="none"/>
        </w:rPr>
        <w:t>委托</w:t>
      </w:r>
      <w:r>
        <w:rPr>
          <w:rFonts w:ascii="宋体" w:hAnsi="宋体"/>
          <w:color w:val="auto"/>
          <w:sz w:val="24"/>
          <w:highlight w:val="none"/>
        </w:rPr>
        <w:t>人签署</w:t>
      </w:r>
      <w:r>
        <w:rPr>
          <w:rFonts w:hint="eastAsia" w:ascii="宋体" w:hAnsi="宋体"/>
          <w:color w:val="auto"/>
          <w:sz w:val="24"/>
          <w:highlight w:val="none"/>
        </w:rPr>
        <w:t>并加盖单位公章</w:t>
      </w:r>
      <w:r>
        <w:rPr>
          <w:rFonts w:ascii="宋体" w:hAnsi="宋体"/>
          <w:color w:val="auto"/>
          <w:sz w:val="24"/>
          <w:highlight w:val="none"/>
        </w:rPr>
        <w:t>，投标人应写全称。</w:t>
      </w:r>
    </w:p>
    <w:p>
      <w:pPr>
        <w:snapToGrid w:val="0"/>
        <w:ind w:firstLine="480" w:firstLineChars="200"/>
        <w:jc w:val="left"/>
        <w:rPr>
          <w:rFonts w:ascii="宋体" w:hAnsi="宋体"/>
          <w:color w:val="auto"/>
          <w:sz w:val="24"/>
          <w:szCs w:val="20"/>
          <w:highlight w:val="none"/>
        </w:rPr>
      </w:pPr>
      <w:r>
        <w:rPr>
          <w:rFonts w:hint="eastAsia" w:ascii="宋体" w:hAnsi="宋体"/>
          <w:color w:val="auto"/>
          <w:sz w:val="24"/>
          <w:highlight w:val="none"/>
        </w:rPr>
        <w:t>5.</w:t>
      </w:r>
      <w:r>
        <w:rPr>
          <w:rFonts w:ascii="宋体" w:hAnsi="宋体"/>
          <w:color w:val="auto"/>
          <w:sz w:val="24"/>
          <w:highlight w:val="none"/>
        </w:rPr>
        <w:t>投标文件不得涂改，若有修改错漏处，须加盖单位公章或者法定代表人或授权委托人签字或盖章。投标文件因字迹潦草或表达不清所引起的后果由投标人负责。</w:t>
      </w:r>
    </w:p>
    <w:p>
      <w:pPr>
        <w:snapToGrid w:val="0"/>
        <w:spacing w:before="120" w:beforeLines="50"/>
        <w:ind w:firstLine="354" w:firstLineChars="147"/>
        <w:jc w:val="left"/>
        <w:rPr>
          <w:rFonts w:ascii="宋体" w:hAnsi="宋体"/>
          <w:b/>
          <w:color w:val="auto"/>
          <w:sz w:val="24"/>
          <w:szCs w:val="20"/>
          <w:highlight w:val="none"/>
        </w:rPr>
      </w:pPr>
      <w:r>
        <w:rPr>
          <w:rFonts w:hint="eastAsia" w:ascii="宋体" w:hAnsi="宋体"/>
          <w:b/>
          <w:color w:val="auto"/>
          <w:sz w:val="24"/>
          <w:highlight w:val="none"/>
        </w:rPr>
        <w:t>（七）投标文件的包装、递交、修改和撤回</w:t>
      </w:r>
    </w:p>
    <w:p>
      <w:pPr>
        <w:snapToGrid w:val="0"/>
        <w:ind w:firstLine="480" w:firstLineChars="200"/>
        <w:jc w:val="left"/>
        <w:rPr>
          <w:rFonts w:ascii="宋体" w:hAnsi="宋体"/>
          <w:color w:val="auto"/>
          <w:sz w:val="24"/>
          <w:szCs w:val="20"/>
          <w:highlight w:val="none"/>
        </w:rPr>
      </w:pPr>
      <w:r>
        <w:rPr>
          <w:rFonts w:hint="eastAsia" w:ascii="宋体" w:hAnsi="宋体"/>
          <w:color w:val="auto"/>
          <w:sz w:val="24"/>
          <w:highlight w:val="none"/>
        </w:rPr>
        <w:t>1. 投标文件应按以下方法装袋密封标记</w:t>
      </w:r>
      <w:r>
        <w:rPr>
          <w:rFonts w:hint="eastAsia" w:ascii="宋体" w:hAnsi="宋体"/>
          <w:b/>
          <w:bCs/>
          <w:color w:val="auto"/>
          <w:sz w:val="24"/>
          <w:highlight w:val="none"/>
        </w:rPr>
        <w:t>（不同标项的报价文件、技术文件必须单独编制、密封和包装）</w:t>
      </w:r>
      <w:r>
        <w:rPr>
          <w:rFonts w:hint="eastAsia" w:ascii="宋体" w:hAnsi="宋体"/>
          <w:color w:val="auto"/>
          <w:szCs w:val="21"/>
          <w:highlight w:val="none"/>
        </w:rPr>
        <w:t>：</w:t>
      </w:r>
      <w:r>
        <w:rPr>
          <w:rFonts w:hint="eastAsia" w:ascii="宋体" w:hAnsi="宋体"/>
          <w:color w:val="auto"/>
          <w:sz w:val="24"/>
          <w:highlight w:val="none"/>
        </w:rPr>
        <w:t>资信及商务文件包装袋内装资信及商务文件正本1份和副本4</w:t>
      </w:r>
      <w:r>
        <w:rPr>
          <w:rFonts w:hint="eastAsia" w:ascii="宋体" w:hAnsi="宋体"/>
          <w:bCs/>
          <w:color w:val="auto"/>
          <w:sz w:val="24"/>
          <w:highlight w:val="none"/>
        </w:rPr>
        <w:t>份、</w:t>
      </w:r>
      <w:r>
        <w:rPr>
          <w:rFonts w:hint="eastAsia" w:ascii="宋体" w:hAnsi="宋体"/>
          <w:b/>
          <w:color w:val="auto"/>
          <w:sz w:val="24"/>
          <w:highlight w:val="none"/>
        </w:rPr>
        <w:t>资格审查资料一份</w:t>
      </w:r>
      <w:r>
        <w:rPr>
          <w:rFonts w:hint="eastAsia" w:ascii="宋体" w:hAnsi="宋体"/>
          <w:color w:val="auto"/>
          <w:sz w:val="24"/>
          <w:highlight w:val="none"/>
        </w:rPr>
        <w:t>，技术文件包装袋内装技术文件正本1份和副本4份，报价文件包装袋内装报价文件正本1份和副本4份，包装封面上应标明“招标编号、投标项目名称、资信及商务文件及资格审查资料、技术文件、报价文件、投标人名称、于2019年</w:t>
      </w:r>
      <w:r>
        <w:rPr>
          <w:rFonts w:hint="eastAsia" w:ascii="宋体" w:hAnsi="宋体"/>
          <w:color w:val="auto"/>
          <w:sz w:val="24"/>
          <w:highlight w:val="none"/>
          <w:lang w:val="en-US" w:eastAsia="zh-CN"/>
        </w:rPr>
        <w:t>5</w:t>
      </w:r>
      <w:r>
        <w:rPr>
          <w:rFonts w:hint="eastAsia" w:ascii="宋体" w:hAnsi="宋体"/>
          <w:color w:val="auto"/>
          <w:sz w:val="24"/>
          <w:highlight w:val="none"/>
        </w:rPr>
        <w:t>月</w:t>
      </w:r>
      <w:r>
        <w:rPr>
          <w:rFonts w:hint="eastAsia" w:ascii="宋体" w:hAnsi="宋体"/>
          <w:color w:val="auto"/>
          <w:sz w:val="24"/>
          <w:highlight w:val="none"/>
          <w:lang w:val="en-US" w:eastAsia="zh-CN"/>
        </w:rPr>
        <w:t>14</w:t>
      </w:r>
      <w:r>
        <w:rPr>
          <w:rFonts w:hint="eastAsia" w:ascii="宋体" w:hAnsi="宋体"/>
          <w:color w:val="auto"/>
          <w:sz w:val="24"/>
          <w:highlight w:val="none"/>
        </w:rPr>
        <w:t>日上午09：30前不准启封”等，并在封面加盖单位公章。外包装的封面格式详见附件1。</w:t>
      </w:r>
    </w:p>
    <w:p>
      <w:pPr>
        <w:snapToGrid w:val="0"/>
        <w:ind w:firstLine="420"/>
        <w:jc w:val="left"/>
        <w:rPr>
          <w:rFonts w:ascii="宋体" w:hAnsi="宋体"/>
          <w:color w:val="auto"/>
          <w:sz w:val="24"/>
          <w:highlight w:val="none"/>
        </w:rPr>
      </w:pPr>
      <w:r>
        <w:rPr>
          <w:rFonts w:hint="eastAsia" w:ascii="宋体" w:hAnsi="宋体"/>
          <w:color w:val="auto"/>
          <w:sz w:val="24"/>
          <w:highlight w:val="none"/>
        </w:rPr>
        <w:t>2.未按规定密封或标记的投标文件将可能被拒绝，由此造成投标文件被误投或提前拆封的风险由投标人承担。</w:t>
      </w:r>
    </w:p>
    <w:p>
      <w:pPr>
        <w:snapToGrid w:val="0"/>
        <w:ind w:firstLine="420"/>
        <w:jc w:val="left"/>
        <w:rPr>
          <w:rFonts w:ascii="宋体" w:hAnsi="宋体"/>
          <w:color w:val="auto"/>
          <w:sz w:val="24"/>
          <w:highlight w:val="none"/>
        </w:rPr>
      </w:pPr>
      <w:r>
        <w:rPr>
          <w:rFonts w:hint="eastAsia" w:ascii="宋体" w:hAnsi="宋体"/>
          <w:color w:val="auto"/>
          <w:sz w:val="24"/>
          <w:highlight w:val="none"/>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snapToGrid w:val="0"/>
        <w:spacing w:before="120" w:beforeLines="50"/>
        <w:ind w:firstLine="354" w:firstLineChars="147"/>
        <w:jc w:val="left"/>
        <w:rPr>
          <w:rFonts w:ascii="宋体" w:hAnsi="宋体"/>
          <w:b/>
          <w:color w:val="auto"/>
          <w:sz w:val="24"/>
          <w:highlight w:val="none"/>
        </w:rPr>
      </w:pPr>
      <w:r>
        <w:rPr>
          <w:rFonts w:hint="eastAsia" w:ascii="宋体" w:hAnsi="宋体"/>
          <w:b/>
          <w:color w:val="auto"/>
          <w:sz w:val="24"/>
          <w:highlight w:val="none"/>
        </w:rPr>
        <w:t>（八）投标无效的情形</w:t>
      </w:r>
    </w:p>
    <w:p>
      <w:pPr>
        <w:snapToGrid w:val="0"/>
        <w:ind w:firstLine="420"/>
        <w:jc w:val="left"/>
        <w:rPr>
          <w:rFonts w:ascii="宋体" w:hAnsi="宋体"/>
          <w:color w:val="auto"/>
          <w:sz w:val="24"/>
          <w:highlight w:val="none"/>
        </w:rPr>
      </w:pPr>
      <w:r>
        <w:rPr>
          <w:rFonts w:hint="eastAsia" w:ascii="宋体" w:hAnsi="宋体"/>
          <w:color w:val="auto"/>
          <w:sz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带▲的条款不得更正），应当允许其在评标结束之前进行修改或者补正，修改或者补正投标文件必须以书面形式进行。投标人修改、补正投标文件后，不影响评标委员会对其投标文件所作的评价和评分结果。</w:t>
      </w:r>
    </w:p>
    <w:p>
      <w:pPr>
        <w:snapToGrid w:val="0"/>
        <w:ind w:firstLine="472" w:firstLineChars="196"/>
        <w:rPr>
          <w:rFonts w:ascii="宋体" w:hAnsi="宋体"/>
          <w:b/>
          <w:bCs/>
          <w:color w:val="auto"/>
          <w:sz w:val="24"/>
          <w:szCs w:val="20"/>
          <w:highlight w:val="none"/>
        </w:rPr>
      </w:pPr>
      <w:r>
        <w:rPr>
          <w:rFonts w:ascii="宋体" w:hAnsi="宋体"/>
          <w:b/>
          <w:bCs/>
          <w:color w:val="auto"/>
          <w:sz w:val="24"/>
          <w:highlight w:val="none"/>
        </w:rPr>
        <w:t>1</w:t>
      </w:r>
      <w:r>
        <w:rPr>
          <w:rFonts w:hint="eastAsia" w:ascii="宋体" w:hAnsi="宋体"/>
          <w:b/>
          <w:bCs/>
          <w:color w:val="auto"/>
          <w:sz w:val="24"/>
          <w:highlight w:val="none"/>
        </w:rPr>
        <w:t>.</w:t>
      </w:r>
      <w:r>
        <w:rPr>
          <w:rFonts w:ascii="宋体" w:hAnsi="宋体"/>
          <w:b/>
          <w:bCs/>
          <w:color w:val="auto"/>
          <w:sz w:val="24"/>
          <w:highlight w:val="none"/>
        </w:rPr>
        <w:t>在符合性审查和商务评审时，如发现下列情形之一的，投标文件将被视为无效：</w:t>
      </w:r>
    </w:p>
    <w:p>
      <w:pPr>
        <w:snapToGrid w:val="0"/>
        <w:spacing w:line="312" w:lineRule="auto"/>
        <w:ind w:firstLine="470" w:firstLineChars="196"/>
        <w:rPr>
          <w:rFonts w:ascii="宋体" w:hAnsi="宋体"/>
          <w:color w:val="auto"/>
          <w:sz w:val="24"/>
          <w:highlight w:val="none"/>
        </w:rPr>
      </w:pPr>
      <w:r>
        <w:rPr>
          <w:rFonts w:hint="eastAsia" w:ascii="宋体" w:hAnsi="宋体"/>
          <w:color w:val="auto"/>
          <w:sz w:val="24"/>
          <w:highlight w:val="none"/>
        </w:rPr>
        <w:t>（1）资信及商务标内有报价出现的；</w:t>
      </w:r>
    </w:p>
    <w:p>
      <w:pPr>
        <w:snapToGrid w:val="0"/>
        <w:spacing w:line="312" w:lineRule="auto"/>
        <w:ind w:firstLine="470" w:firstLineChars="196"/>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）超出经营范围投标的</w:t>
      </w:r>
      <w:r>
        <w:rPr>
          <w:rFonts w:hint="eastAsia" w:ascii="宋体" w:hAnsi="宋体"/>
          <w:color w:val="auto"/>
          <w:sz w:val="24"/>
          <w:highlight w:val="none"/>
        </w:rPr>
        <w:t>；</w:t>
      </w:r>
    </w:p>
    <w:p>
      <w:pPr>
        <w:snapToGrid w:val="0"/>
        <w:spacing w:line="312" w:lineRule="auto"/>
        <w:ind w:firstLine="470" w:firstLineChars="196"/>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）资格证明文件不全的，或者不符合招标文件标明的资格要求的</w:t>
      </w:r>
      <w:r>
        <w:rPr>
          <w:rFonts w:hint="eastAsia" w:ascii="宋体" w:hAnsi="宋体"/>
          <w:color w:val="auto"/>
          <w:sz w:val="24"/>
          <w:highlight w:val="none"/>
        </w:rPr>
        <w:t>；</w:t>
      </w:r>
    </w:p>
    <w:p>
      <w:pPr>
        <w:snapToGrid w:val="0"/>
        <w:spacing w:line="312" w:lineRule="auto"/>
        <w:ind w:firstLine="470" w:firstLineChars="196"/>
        <w:rPr>
          <w:rFonts w:ascii="宋体" w:hAnsi="宋体"/>
          <w:color w:val="auto"/>
          <w:sz w:val="24"/>
          <w:highlight w:val="none"/>
        </w:rPr>
      </w:pPr>
      <w:r>
        <w:rPr>
          <w:rFonts w:hint="eastAsia" w:ascii="宋体" w:hAnsi="宋体"/>
          <w:color w:val="auto"/>
          <w:sz w:val="24"/>
          <w:highlight w:val="none"/>
        </w:rPr>
        <w:t>（4）未按照招标文件的规定提交投标保证金的；</w:t>
      </w:r>
    </w:p>
    <w:p>
      <w:pPr>
        <w:snapToGrid w:val="0"/>
        <w:spacing w:line="312" w:lineRule="auto"/>
        <w:ind w:firstLine="470" w:firstLineChars="196"/>
        <w:rPr>
          <w:rFonts w:ascii="宋体" w:hAnsi="宋体"/>
          <w:color w:val="auto"/>
          <w:sz w:val="24"/>
          <w:highlight w:val="none"/>
        </w:rPr>
      </w:pP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rPr>
        <w:t>本招标文件明确规定投标文件需要投标人签字、盖章的地方，投标人没有按招标文件的规定进行签字、盖章的</w:t>
      </w:r>
      <w:r>
        <w:rPr>
          <w:rFonts w:ascii="宋体" w:hAnsi="宋体"/>
          <w:color w:val="auto"/>
          <w:sz w:val="24"/>
          <w:highlight w:val="none"/>
        </w:rPr>
        <w:t>,或未</w:t>
      </w:r>
      <w:r>
        <w:rPr>
          <w:rFonts w:hint="eastAsia" w:ascii="宋体" w:hAnsi="宋体"/>
          <w:color w:val="auto"/>
          <w:sz w:val="24"/>
          <w:highlight w:val="none"/>
        </w:rPr>
        <w:t>提供法定代表人授权委托书、投标声明书或者填写项目不齐全的，或则授权委托书无效的；</w:t>
      </w:r>
    </w:p>
    <w:p>
      <w:pPr>
        <w:snapToGrid w:val="0"/>
        <w:spacing w:line="312" w:lineRule="auto"/>
        <w:ind w:firstLine="470" w:firstLineChars="196"/>
        <w:outlineLvl w:val="0"/>
        <w:rPr>
          <w:rFonts w:ascii="宋体" w:hAnsi="宋体"/>
          <w:color w:val="auto"/>
          <w:sz w:val="24"/>
          <w:highlight w:val="none"/>
        </w:rPr>
      </w:pPr>
      <w:r>
        <w:rPr>
          <w:rFonts w:ascii="宋体"/>
          <w:color w:val="auto"/>
          <w:sz w:val="24"/>
          <w:highlight w:val="none"/>
        </w:rPr>
        <w:t>（</w:t>
      </w:r>
      <w:r>
        <w:rPr>
          <w:rFonts w:hint="eastAsia" w:ascii="宋体"/>
          <w:color w:val="auto"/>
          <w:sz w:val="24"/>
          <w:highlight w:val="none"/>
        </w:rPr>
        <w:t>6</w:t>
      </w:r>
      <w:r>
        <w:rPr>
          <w:rFonts w:ascii="宋体"/>
          <w:color w:val="auto"/>
          <w:sz w:val="24"/>
          <w:highlight w:val="none"/>
        </w:rPr>
        <w:t>）</w:t>
      </w:r>
      <w:r>
        <w:rPr>
          <w:rFonts w:ascii="宋体" w:hAnsi="宋体"/>
          <w:color w:val="auto"/>
          <w:sz w:val="24"/>
          <w:highlight w:val="none"/>
        </w:rPr>
        <w:t>投标文件格式</w:t>
      </w:r>
      <w:r>
        <w:rPr>
          <w:rFonts w:hint="eastAsia" w:ascii="宋体" w:hAnsi="宋体"/>
          <w:color w:val="auto"/>
          <w:sz w:val="24"/>
          <w:highlight w:val="none"/>
        </w:rPr>
        <w:t>未按招标文件要求格式和要求的内容提供</w:t>
      </w:r>
      <w:r>
        <w:rPr>
          <w:rFonts w:ascii="宋体" w:hAnsi="宋体"/>
          <w:color w:val="auto"/>
          <w:sz w:val="24"/>
          <w:highlight w:val="none"/>
        </w:rPr>
        <w:t>或者内容虚假的；</w:t>
      </w:r>
    </w:p>
    <w:p>
      <w:pPr>
        <w:snapToGrid w:val="0"/>
        <w:spacing w:line="312" w:lineRule="auto"/>
        <w:ind w:firstLine="470" w:firstLineChars="196"/>
        <w:rPr>
          <w:snapToGrid w:val="0"/>
          <w:color w:val="auto"/>
          <w:sz w:val="24"/>
          <w:highlight w:val="none"/>
        </w:rPr>
      </w:pPr>
      <w:r>
        <w:rPr>
          <w:color w:val="auto"/>
          <w:sz w:val="24"/>
          <w:highlight w:val="none"/>
        </w:rPr>
        <w:t>（</w:t>
      </w:r>
      <w:r>
        <w:rPr>
          <w:rFonts w:hint="eastAsia"/>
          <w:color w:val="auto"/>
          <w:sz w:val="24"/>
          <w:highlight w:val="none"/>
        </w:rPr>
        <w:t>7</w:t>
      </w:r>
      <w:r>
        <w:rPr>
          <w:color w:val="auto"/>
          <w:sz w:val="24"/>
          <w:highlight w:val="none"/>
        </w:rPr>
        <w:t>）投标文件的实质性内容未使用中文表述、意思表述不明确、前后矛盾或者使用计量单位不符合招标文件要求的（经评标委员会认定</w:t>
      </w:r>
      <w:r>
        <w:rPr>
          <w:rFonts w:hint="eastAsia"/>
          <w:color w:val="auto"/>
          <w:sz w:val="24"/>
          <w:highlight w:val="none"/>
        </w:rPr>
        <w:t>并</w:t>
      </w:r>
      <w:r>
        <w:rPr>
          <w:color w:val="auto"/>
          <w:sz w:val="24"/>
          <w:highlight w:val="none"/>
        </w:rPr>
        <w:t>允许其当场更正的笔误除外）</w:t>
      </w:r>
      <w:r>
        <w:rPr>
          <w:rFonts w:hint="eastAsia"/>
          <w:color w:val="auto"/>
          <w:sz w:val="24"/>
          <w:highlight w:val="none"/>
        </w:rPr>
        <w:t>；</w:t>
      </w:r>
    </w:p>
    <w:p>
      <w:pPr>
        <w:pStyle w:val="7"/>
        <w:snapToGrid w:val="0"/>
        <w:spacing w:line="312" w:lineRule="auto"/>
        <w:ind w:firstLine="454" w:firstLineChars="196"/>
        <w:outlineLvl w:val="0"/>
        <w:rPr>
          <w:rFonts w:hAnsi="宋体"/>
          <w:snapToGrid w:val="0"/>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8</w:t>
      </w:r>
      <w:r>
        <w:rPr>
          <w:rFonts w:hAnsi="宋体"/>
          <w:snapToGrid w:val="0"/>
          <w:color w:val="auto"/>
          <w:sz w:val="24"/>
          <w:szCs w:val="24"/>
          <w:highlight w:val="none"/>
        </w:rPr>
        <w:t>）投标有效期、交货时间、质保期等商务条款不能满足招标文件要求的；</w:t>
      </w:r>
    </w:p>
    <w:p>
      <w:pPr>
        <w:pStyle w:val="7"/>
        <w:snapToGrid w:val="0"/>
        <w:spacing w:line="312" w:lineRule="auto"/>
        <w:ind w:firstLine="454" w:firstLineChars="196"/>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9</w:t>
      </w:r>
      <w:r>
        <w:rPr>
          <w:rFonts w:hAnsi="宋体"/>
          <w:color w:val="auto"/>
          <w:sz w:val="24"/>
          <w:szCs w:val="24"/>
          <w:highlight w:val="none"/>
        </w:rPr>
        <w:t>）</w:t>
      </w:r>
      <w:r>
        <w:rPr>
          <w:rFonts w:hint="eastAsia" w:hAnsi="宋体"/>
          <w:color w:val="auto"/>
          <w:sz w:val="24"/>
          <w:szCs w:val="24"/>
          <w:highlight w:val="none"/>
        </w:rPr>
        <w:t>未实质性</w:t>
      </w:r>
      <w:r>
        <w:rPr>
          <w:rFonts w:hAnsi="宋体"/>
          <w:color w:val="auto"/>
          <w:sz w:val="24"/>
          <w:szCs w:val="24"/>
          <w:highlight w:val="none"/>
        </w:rPr>
        <w:t>响应招标文件</w:t>
      </w:r>
      <w:r>
        <w:rPr>
          <w:rFonts w:hint="eastAsia" w:hAnsi="宋体"/>
          <w:color w:val="auto"/>
          <w:sz w:val="24"/>
          <w:szCs w:val="24"/>
          <w:highlight w:val="none"/>
        </w:rPr>
        <w:t>中</w:t>
      </w:r>
      <w:r>
        <w:rPr>
          <w:rFonts w:hAnsi="宋体"/>
          <w:color w:val="auto"/>
          <w:sz w:val="24"/>
          <w:szCs w:val="24"/>
          <w:highlight w:val="none"/>
        </w:rPr>
        <w:t>标</w:t>
      </w:r>
      <w:r>
        <w:rPr>
          <w:rFonts w:hint="eastAsia" w:hAnsi="宋体"/>
          <w:color w:val="auto"/>
          <w:sz w:val="24"/>
          <w:szCs w:val="24"/>
          <w:highlight w:val="none"/>
        </w:rPr>
        <w:t>有</w:t>
      </w:r>
      <w:r>
        <w:rPr>
          <w:rFonts w:hAnsi="宋体"/>
          <w:color w:val="auto"/>
          <w:sz w:val="24"/>
          <w:szCs w:val="24"/>
          <w:highlight w:val="none"/>
        </w:rPr>
        <w:t>“▲”</w:t>
      </w:r>
      <w:r>
        <w:rPr>
          <w:rFonts w:hint="eastAsia" w:hAnsi="宋体"/>
          <w:color w:val="auto"/>
          <w:sz w:val="24"/>
          <w:szCs w:val="24"/>
          <w:highlight w:val="none"/>
        </w:rPr>
        <w:t>条款</w:t>
      </w:r>
      <w:r>
        <w:rPr>
          <w:rFonts w:hAnsi="宋体"/>
          <w:color w:val="auto"/>
          <w:sz w:val="24"/>
          <w:szCs w:val="24"/>
          <w:highlight w:val="none"/>
        </w:rPr>
        <w:t>要求</w:t>
      </w:r>
      <w:r>
        <w:rPr>
          <w:rFonts w:hint="eastAsia" w:hAnsi="宋体"/>
          <w:color w:val="auto"/>
          <w:sz w:val="24"/>
          <w:szCs w:val="24"/>
          <w:highlight w:val="none"/>
        </w:rPr>
        <w:t>的；</w:t>
      </w:r>
    </w:p>
    <w:p>
      <w:pPr>
        <w:pStyle w:val="7"/>
        <w:snapToGrid w:val="0"/>
        <w:spacing w:line="312" w:lineRule="auto"/>
        <w:ind w:firstLine="454" w:firstLineChars="196"/>
        <w:rPr>
          <w:rFonts w:hAnsi="宋体"/>
          <w:color w:val="auto"/>
          <w:sz w:val="24"/>
          <w:szCs w:val="24"/>
          <w:highlight w:val="none"/>
        </w:rPr>
      </w:pPr>
      <w:r>
        <w:rPr>
          <w:rFonts w:hint="eastAsia" w:hAnsi="宋体"/>
          <w:color w:val="auto"/>
          <w:sz w:val="24"/>
          <w:szCs w:val="24"/>
          <w:highlight w:val="none"/>
        </w:rPr>
        <w:t>（10）未提交本招标文件资信及商务文件中第（4）、（5）、（</w:t>
      </w:r>
      <w:r>
        <w:rPr>
          <w:rFonts w:hint="eastAsia" w:hAnsi="宋体"/>
          <w:snapToGrid w:val="0"/>
          <w:color w:val="auto"/>
          <w:sz w:val="24"/>
          <w:szCs w:val="24"/>
          <w:highlight w:val="none"/>
        </w:rPr>
        <w:t>7）、（8）、（13）条</w:t>
      </w:r>
      <w:r>
        <w:rPr>
          <w:rFonts w:hint="eastAsia" w:hAnsi="宋体"/>
          <w:color w:val="auto"/>
          <w:sz w:val="24"/>
          <w:szCs w:val="24"/>
          <w:highlight w:val="none"/>
        </w:rPr>
        <w:t>资料的；</w:t>
      </w:r>
    </w:p>
    <w:p>
      <w:pPr>
        <w:pStyle w:val="7"/>
        <w:snapToGrid w:val="0"/>
        <w:spacing w:line="312" w:lineRule="auto"/>
        <w:ind w:firstLine="454" w:firstLineChars="196"/>
        <w:rPr>
          <w:rFonts w:hAnsi="宋体"/>
          <w:color w:val="auto"/>
          <w:sz w:val="24"/>
          <w:szCs w:val="24"/>
          <w:highlight w:val="none"/>
        </w:rPr>
      </w:pPr>
      <w:r>
        <w:rPr>
          <w:rFonts w:hint="eastAsia" w:hAnsi="宋体"/>
          <w:color w:val="auto"/>
          <w:sz w:val="24"/>
          <w:szCs w:val="24"/>
          <w:highlight w:val="none"/>
        </w:rPr>
        <w:t>（11）投标文件有招标采购方不能接受的附加条件的。</w:t>
      </w:r>
    </w:p>
    <w:p>
      <w:pPr>
        <w:pStyle w:val="7"/>
        <w:snapToGrid w:val="0"/>
        <w:spacing w:line="312" w:lineRule="auto"/>
        <w:ind w:firstLine="454" w:firstLineChars="196"/>
        <w:rPr>
          <w:rFonts w:hAnsi="宋体"/>
          <w:color w:val="auto"/>
          <w:sz w:val="24"/>
          <w:szCs w:val="24"/>
          <w:highlight w:val="none"/>
        </w:rPr>
      </w:pPr>
      <w:r>
        <w:rPr>
          <w:rFonts w:hint="eastAsia" w:hAnsi="宋体"/>
          <w:color w:val="auto"/>
          <w:sz w:val="24"/>
          <w:szCs w:val="24"/>
          <w:highlight w:val="none"/>
        </w:rPr>
        <w:t>（12）有下列情形之一的，视为投标人串通投标，其投标无效:</w:t>
      </w:r>
    </w:p>
    <w:p>
      <w:pPr>
        <w:snapToGrid w:val="0"/>
        <w:spacing w:line="312" w:lineRule="auto"/>
        <w:ind w:firstLine="950" w:firstLineChars="396"/>
        <w:rPr>
          <w:rFonts w:ascii="宋体" w:hAnsi="宋体"/>
          <w:bCs/>
          <w:color w:val="auto"/>
          <w:sz w:val="24"/>
          <w:highlight w:val="none"/>
        </w:rPr>
      </w:pPr>
      <w:r>
        <w:rPr>
          <w:rFonts w:hint="eastAsia" w:ascii="宋体" w:hAnsi="宋体"/>
          <w:bCs/>
          <w:color w:val="auto"/>
          <w:sz w:val="24"/>
          <w:highlight w:val="none"/>
        </w:rPr>
        <w:t>A.不同投标人的投标文件由同一单位或者个人编制；</w:t>
      </w:r>
    </w:p>
    <w:p>
      <w:pPr>
        <w:snapToGrid w:val="0"/>
        <w:spacing w:line="312" w:lineRule="auto"/>
        <w:ind w:firstLine="950" w:firstLineChars="396"/>
        <w:rPr>
          <w:rFonts w:ascii="宋体" w:hAnsi="宋体"/>
          <w:bCs/>
          <w:color w:val="auto"/>
          <w:sz w:val="24"/>
          <w:highlight w:val="none"/>
        </w:rPr>
      </w:pPr>
      <w:r>
        <w:rPr>
          <w:rFonts w:hint="eastAsia" w:ascii="宋体" w:hAnsi="宋体"/>
          <w:bCs/>
          <w:color w:val="auto"/>
          <w:sz w:val="24"/>
          <w:highlight w:val="none"/>
        </w:rPr>
        <w:t>B.不同投标人委托同一单位或者个人办理投标事宜；</w:t>
      </w:r>
    </w:p>
    <w:p>
      <w:pPr>
        <w:snapToGrid w:val="0"/>
        <w:spacing w:line="312" w:lineRule="auto"/>
        <w:ind w:firstLine="950" w:firstLineChars="396"/>
        <w:rPr>
          <w:rFonts w:ascii="宋体" w:hAnsi="宋体"/>
          <w:bCs/>
          <w:color w:val="auto"/>
          <w:sz w:val="24"/>
          <w:highlight w:val="none"/>
        </w:rPr>
      </w:pPr>
      <w:r>
        <w:rPr>
          <w:rFonts w:hint="eastAsia" w:ascii="宋体" w:hAnsi="宋体"/>
          <w:bCs/>
          <w:color w:val="auto"/>
          <w:sz w:val="24"/>
          <w:highlight w:val="none"/>
        </w:rPr>
        <w:t>C.不同投标人的投标文件载明的项目管理成员或者联系人员为同一人；</w:t>
      </w:r>
    </w:p>
    <w:p>
      <w:pPr>
        <w:snapToGrid w:val="0"/>
        <w:spacing w:line="312" w:lineRule="auto"/>
        <w:ind w:firstLine="950" w:firstLineChars="396"/>
        <w:rPr>
          <w:rFonts w:ascii="宋体" w:hAnsi="宋体"/>
          <w:bCs/>
          <w:color w:val="auto"/>
          <w:sz w:val="24"/>
          <w:highlight w:val="none"/>
        </w:rPr>
      </w:pPr>
      <w:r>
        <w:rPr>
          <w:rFonts w:hint="eastAsia" w:ascii="宋体" w:hAnsi="宋体"/>
          <w:bCs/>
          <w:color w:val="auto"/>
          <w:sz w:val="24"/>
          <w:highlight w:val="none"/>
        </w:rPr>
        <w:t>D.不同投标人的投标文件异常一致或者投标报价呈规律性差异；</w:t>
      </w:r>
    </w:p>
    <w:p>
      <w:pPr>
        <w:snapToGrid w:val="0"/>
        <w:spacing w:line="312" w:lineRule="auto"/>
        <w:ind w:firstLine="950" w:firstLineChars="396"/>
        <w:rPr>
          <w:rFonts w:ascii="宋体" w:hAnsi="宋体"/>
          <w:bCs/>
          <w:color w:val="auto"/>
          <w:sz w:val="24"/>
          <w:highlight w:val="none"/>
        </w:rPr>
      </w:pPr>
      <w:r>
        <w:rPr>
          <w:rFonts w:hint="eastAsia" w:ascii="宋体" w:hAnsi="宋体"/>
          <w:bCs/>
          <w:color w:val="auto"/>
          <w:sz w:val="24"/>
          <w:highlight w:val="none"/>
        </w:rPr>
        <w:t>E.不同投标人的投标文件相互混装；</w:t>
      </w:r>
    </w:p>
    <w:p>
      <w:pPr>
        <w:snapToGrid w:val="0"/>
        <w:spacing w:line="312" w:lineRule="auto"/>
        <w:ind w:firstLine="950" w:firstLineChars="396"/>
        <w:rPr>
          <w:rFonts w:ascii="宋体" w:hAnsi="宋体"/>
          <w:bCs/>
          <w:color w:val="auto"/>
          <w:sz w:val="24"/>
          <w:highlight w:val="none"/>
        </w:rPr>
      </w:pPr>
      <w:r>
        <w:rPr>
          <w:rFonts w:hint="eastAsia" w:ascii="宋体" w:hAnsi="宋体"/>
          <w:bCs/>
          <w:color w:val="auto"/>
          <w:sz w:val="24"/>
          <w:highlight w:val="none"/>
        </w:rPr>
        <w:t>F.不同投标人的投标保证金从同一单位或者个人的账户转出。</w:t>
      </w:r>
    </w:p>
    <w:p>
      <w:pPr>
        <w:snapToGrid w:val="0"/>
        <w:spacing w:line="312" w:lineRule="auto"/>
        <w:ind w:firstLine="480" w:firstLineChars="200"/>
        <w:rPr>
          <w:rFonts w:ascii="宋体" w:hAnsi="宋体"/>
          <w:bCs/>
          <w:color w:val="auto"/>
          <w:sz w:val="24"/>
          <w:highlight w:val="none"/>
        </w:rPr>
      </w:pPr>
      <w:r>
        <w:rPr>
          <w:rFonts w:hint="eastAsia" w:ascii="宋体" w:hAnsi="宋体"/>
          <w:bCs/>
          <w:color w:val="auto"/>
          <w:sz w:val="24"/>
          <w:highlight w:val="none"/>
        </w:rPr>
        <w:t>（13）本项目投标截止之日前三年内，相关主体在“信用中国”网站(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bCs/>
          <w:color w:val="auto"/>
          <w:sz w:val="24"/>
          <w:highlight w:val="none"/>
        </w:rPr>
        <w:t>www.creditchina.gov.cn</w:t>
      </w:r>
      <w:r>
        <w:rPr>
          <w:rFonts w:hint="eastAsia" w:ascii="宋体" w:hAnsi="宋体"/>
          <w:bCs/>
          <w:color w:val="auto"/>
          <w:sz w:val="24"/>
          <w:highlight w:val="none"/>
        </w:rPr>
        <w:fldChar w:fldCharType="end"/>
      </w:r>
      <w:r>
        <w:rPr>
          <w:rFonts w:hint="eastAsia" w:ascii="宋体" w:hAnsi="宋体"/>
          <w:bCs/>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bCs/>
          <w:color w:val="auto"/>
          <w:sz w:val="24"/>
          <w:highlight w:val="none"/>
        </w:rPr>
        <w:t>www.ccgp.gov.cn</w:t>
      </w:r>
      <w:r>
        <w:rPr>
          <w:rFonts w:hint="eastAsia" w:ascii="宋体" w:hAnsi="宋体"/>
          <w:bCs/>
          <w:color w:val="auto"/>
          <w:sz w:val="24"/>
          <w:highlight w:val="none"/>
        </w:rPr>
        <w:fldChar w:fldCharType="end"/>
      </w:r>
      <w:r>
        <w:rPr>
          <w:rFonts w:hint="eastAsia" w:ascii="宋体" w:hAnsi="宋体"/>
          <w:bCs/>
          <w:color w:val="auto"/>
          <w:sz w:val="24"/>
          <w:highlight w:val="none"/>
        </w:rPr>
        <w:t>)有失信行为或被列入受惩黑名单。</w:t>
      </w:r>
    </w:p>
    <w:p>
      <w:pPr>
        <w:snapToGrid w:val="0"/>
        <w:spacing w:line="312" w:lineRule="auto"/>
        <w:ind w:firstLine="480" w:firstLineChars="200"/>
        <w:rPr>
          <w:rFonts w:ascii="宋体" w:hAnsi="宋体"/>
          <w:bCs/>
          <w:color w:val="auto"/>
          <w:sz w:val="24"/>
          <w:highlight w:val="none"/>
        </w:rPr>
      </w:pPr>
      <w:r>
        <w:rPr>
          <w:rFonts w:hint="eastAsia" w:ascii="宋体" w:hAnsi="宋体"/>
          <w:bCs/>
          <w:color w:val="auto"/>
          <w:sz w:val="24"/>
          <w:highlight w:val="none"/>
        </w:rPr>
        <w:t>（14）法律、法规和招标文件规定的其他无效情形。</w:t>
      </w:r>
    </w:p>
    <w:p>
      <w:pPr>
        <w:pStyle w:val="7"/>
        <w:snapToGrid w:val="0"/>
        <w:spacing w:line="240" w:lineRule="auto"/>
        <w:ind w:firstLine="472" w:firstLineChars="196"/>
        <w:rPr>
          <w:rFonts w:hAnsi="宋体"/>
          <w:b/>
          <w:bCs/>
          <w:color w:val="auto"/>
          <w:spacing w:val="0"/>
          <w:sz w:val="24"/>
          <w:highlight w:val="none"/>
        </w:rPr>
      </w:pPr>
      <w:r>
        <w:rPr>
          <w:rFonts w:hAnsi="宋体"/>
          <w:b/>
          <w:bCs/>
          <w:color w:val="auto"/>
          <w:spacing w:val="0"/>
          <w:sz w:val="24"/>
          <w:highlight w:val="none"/>
        </w:rPr>
        <w:t>2</w:t>
      </w:r>
      <w:r>
        <w:rPr>
          <w:rFonts w:hint="eastAsia" w:hAnsi="宋体"/>
          <w:b/>
          <w:bCs/>
          <w:color w:val="auto"/>
          <w:spacing w:val="0"/>
          <w:sz w:val="24"/>
          <w:highlight w:val="none"/>
        </w:rPr>
        <w:t>.</w:t>
      </w:r>
      <w:r>
        <w:rPr>
          <w:rFonts w:hAnsi="宋体"/>
          <w:b/>
          <w:bCs/>
          <w:color w:val="auto"/>
          <w:spacing w:val="0"/>
          <w:sz w:val="24"/>
          <w:highlight w:val="none"/>
        </w:rPr>
        <w:t>在技术评审时，如发现下列情形之一的，投标文件将被视为无效：</w:t>
      </w:r>
    </w:p>
    <w:p>
      <w:pPr>
        <w:snapToGrid w:val="0"/>
        <w:ind w:firstLine="420"/>
        <w:jc w:val="left"/>
        <w:rPr>
          <w:rFonts w:ascii="宋体" w:hAnsi="宋体"/>
          <w:color w:val="auto"/>
          <w:sz w:val="24"/>
          <w:highlight w:val="none"/>
        </w:rPr>
      </w:pPr>
      <w:r>
        <w:rPr>
          <w:rFonts w:hint="eastAsia" w:ascii="宋体" w:hAnsi="宋体"/>
          <w:color w:val="auto"/>
          <w:sz w:val="24"/>
          <w:highlight w:val="none"/>
        </w:rPr>
        <w:t>（1）技术标内有报价出现的；</w:t>
      </w:r>
    </w:p>
    <w:p>
      <w:pPr>
        <w:snapToGrid w:val="0"/>
        <w:ind w:firstLine="42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）未提供或未如实提供投标货物的技术参数</w:t>
      </w:r>
      <w:r>
        <w:rPr>
          <w:rFonts w:hint="eastAsia" w:ascii="宋体" w:hAnsi="宋体"/>
          <w:color w:val="auto"/>
          <w:sz w:val="24"/>
          <w:highlight w:val="none"/>
        </w:rPr>
        <w:t>或品牌型号的</w:t>
      </w:r>
      <w:r>
        <w:rPr>
          <w:rFonts w:ascii="宋体" w:hAnsi="宋体"/>
          <w:color w:val="auto"/>
          <w:sz w:val="24"/>
          <w:highlight w:val="none"/>
        </w:rPr>
        <w:t>，或者投标文件标明的响应或偏离与事实不符或虚假投标的；</w:t>
      </w:r>
    </w:p>
    <w:p>
      <w:pPr>
        <w:snapToGrid w:val="0"/>
        <w:ind w:firstLine="42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）明显不符合招标文件</w:t>
      </w:r>
      <w:r>
        <w:rPr>
          <w:rFonts w:hint="eastAsia" w:ascii="宋体" w:hAnsi="宋体"/>
          <w:color w:val="auto"/>
          <w:sz w:val="24"/>
          <w:highlight w:val="none"/>
        </w:rPr>
        <w:t>要求</w:t>
      </w:r>
      <w:r>
        <w:rPr>
          <w:rFonts w:ascii="宋体" w:hAnsi="宋体"/>
          <w:color w:val="auto"/>
          <w:sz w:val="24"/>
          <w:highlight w:val="none"/>
        </w:rPr>
        <w:t>的</w:t>
      </w:r>
      <w:r>
        <w:rPr>
          <w:rFonts w:hint="eastAsia" w:ascii="宋体" w:hAnsi="宋体"/>
          <w:color w:val="auto"/>
          <w:sz w:val="24"/>
          <w:highlight w:val="none"/>
        </w:rPr>
        <w:t>品牌、</w:t>
      </w:r>
      <w:r>
        <w:rPr>
          <w:rFonts w:ascii="宋体" w:hAnsi="宋体"/>
          <w:color w:val="auto"/>
          <w:sz w:val="24"/>
          <w:highlight w:val="none"/>
        </w:rPr>
        <w:t>规格型号、质量标准，或者</w:t>
      </w:r>
      <w:r>
        <w:rPr>
          <w:rFonts w:hint="eastAsia" w:ascii="宋体" w:hAnsi="宋体"/>
          <w:color w:val="auto"/>
          <w:sz w:val="24"/>
          <w:highlight w:val="none"/>
        </w:rPr>
        <w:t>与</w:t>
      </w:r>
      <w:r>
        <w:rPr>
          <w:rFonts w:ascii="宋体" w:hAnsi="宋体"/>
          <w:color w:val="auto"/>
          <w:sz w:val="24"/>
          <w:highlight w:val="none"/>
        </w:rPr>
        <w:t>招标文件中标</w:t>
      </w:r>
      <w:r>
        <w:rPr>
          <w:rFonts w:hint="eastAsia" w:ascii="宋体" w:hAnsi="宋体"/>
          <w:color w:val="auto"/>
          <w:sz w:val="24"/>
          <w:highlight w:val="none"/>
        </w:rPr>
        <w:t>有</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的技术指标、主要功能项目发生实质性偏离的；</w:t>
      </w:r>
    </w:p>
    <w:p>
      <w:pPr>
        <w:snapToGrid w:val="0"/>
        <w:ind w:firstLine="42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4</w:t>
      </w:r>
      <w:r>
        <w:rPr>
          <w:rFonts w:ascii="宋体" w:hAnsi="宋体"/>
          <w:color w:val="auto"/>
          <w:sz w:val="24"/>
          <w:highlight w:val="none"/>
        </w:rPr>
        <w:t>）投标技术方案不明确，存在一个或一个以上备选（替代）投标方案的；</w:t>
      </w:r>
    </w:p>
    <w:p>
      <w:pPr>
        <w:snapToGrid w:val="0"/>
        <w:ind w:firstLine="420"/>
        <w:jc w:val="left"/>
        <w:rPr>
          <w:rFonts w:ascii="宋体" w:hAnsi="宋体"/>
          <w:color w:val="auto"/>
          <w:sz w:val="24"/>
          <w:highlight w:val="none"/>
        </w:rPr>
      </w:pPr>
      <w:r>
        <w:rPr>
          <w:rFonts w:hint="eastAsia" w:ascii="宋体" w:hAnsi="宋体"/>
          <w:color w:val="auto"/>
          <w:sz w:val="24"/>
          <w:highlight w:val="none"/>
        </w:rPr>
        <w:t>（5）与其他参加本次投标供应商的投标文件（技术文件）的文字表述内容相同连续20行以上或者差错相同2处以上的。</w:t>
      </w:r>
    </w:p>
    <w:p>
      <w:pPr>
        <w:pStyle w:val="7"/>
        <w:snapToGrid w:val="0"/>
        <w:spacing w:line="240" w:lineRule="auto"/>
        <w:ind w:firstLine="472" w:firstLineChars="196"/>
        <w:rPr>
          <w:rFonts w:hAnsi="宋体"/>
          <w:b/>
          <w:bCs/>
          <w:color w:val="auto"/>
          <w:spacing w:val="0"/>
          <w:sz w:val="24"/>
          <w:highlight w:val="none"/>
        </w:rPr>
      </w:pPr>
      <w:r>
        <w:rPr>
          <w:rFonts w:hAnsi="宋体"/>
          <w:b/>
          <w:bCs/>
          <w:color w:val="auto"/>
          <w:spacing w:val="0"/>
          <w:sz w:val="24"/>
          <w:highlight w:val="none"/>
        </w:rPr>
        <w:t>3</w:t>
      </w:r>
      <w:r>
        <w:rPr>
          <w:rFonts w:hint="eastAsia" w:hAnsi="宋体"/>
          <w:b/>
          <w:bCs/>
          <w:color w:val="auto"/>
          <w:spacing w:val="0"/>
          <w:sz w:val="24"/>
          <w:highlight w:val="none"/>
        </w:rPr>
        <w:t>.</w:t>
      </w:r>
      <w:r>
        <w:rPr>
          <w:rFonts w:hAnsi="宋体"/>
          <w:b/>
          <w:bCs/>
          <w:color w:val="auto"/>
          <w:spacing w:val="0"/>
          <w:sz w:val="24"/>
          <w:highlight w:val="none"/>
        </w:rPr>
        <w:t>在报价评审时，如发现下列情形之一的，投标文件将被视为无效：</w:t>
      </w:r>
    </w:p>
    <w:p>
      <w:pPr>
        <w:pStyle w:val="7"/>
        <w:snapToGrid w:val="0"/>
        <w:spacing w:line="312" w:lineRule="auto"/>
        <w:ind w:firstLine="454" w:firstLineChars="196"/>
        <w:rPr>
          <w:rFonts w:hAnsi="宋体"/>
          <w:color w:val="auto"/>
          <w:sz w:val="24"/>
          <w:szCs w:val="24"/>
          <w:highlight w:val="none"/>
        </w:rPr>
      </w:pPr>
      <w:r>
        <w:rPr>
          <w:rFonts w:hAnsi="宋体"/>
          <w:color w:val="auto"/>
          <w:sz w:val="24"/>
          <w:szCs w:val="24"/>
          <w:highlight w:val="none"/>
        </w:rPr>
        <w:t>（1）未采用人民币报价或者未按照招标文件标明的币种报价的；</w:t>
      </w:r>
    </w:p>
    <w:p>
      <w:pPr>
        <w:pStyle w:val="7"/>
        <w:snapToGrid w:val="0"/>
        <w:spacing w:line="312" w:lineRule="auto"/>
        <w:ind w:firstLine="454" w:firstLineChars="196"/>
        <w:rPr>
          <w:rFonts w:hAnsi="宋体"/>
          <w:color w:val="auto"/>
          <w:sz w:val="24"/>
          <w:szCs w:val="24"/>
          <w:highlight w:val="none"/>
        </w:rPr>
      </w:pPr>
      <w:r>
        <w:rPr>
          <w:rFonts w:hAnsi="宋体"/>
          <w:color w:val="auto"/>
          <w:sz w:val="24"/>
          <w:szCs w:val="24"/>
          <w:highlight w:val="none"/>
        </w:rPr>
        <w:t>（2）报价超出</w:t>
      </w:r>
      <w:r>
        <w:rPr>
          <w:rFonts w:hint="eastAsia" w:hAnsi="宋体"/>
          <w:color w:val="auto"/>
          <w:sz w:val="24"/>
          <w:szCs w:val="24"/>
          <w:highlight w:val="none"/>
        </w:rPr>
        <w:t>招标文件规定的预算金额或者最高限价的；</w:t>
      </w:r>
    </w:p>
    <w:p>
      <w:pPr>
        <w:pStyle w:val="7"/>
        <w:snapToGrid w:val="0"/>
        <w:spacing w:line="312" w:lineRule="auto"/>
        <w:ind w:firstLine="454" w:firstLineChars="196"/>
        <w:rPr>
          <w:rFonts w:hAnsi="宋体"/>
          <w:color w:val="auto"/>
          <w:sz w:val="24"/>
          <w:szCs w:val="24"/>
          <w:highlight w:val="none"/>
        </w:rPr>
      </w:pPr>
      <w:r>
        <w:rPr>
          <w:rFonts w:hint="eastAsia" w:hAnsi="宋体"/>
          <w:color w:val="auto"/>
          <w:sz w:val="24"/>
          <w:szCs w:val="24"/>
          <w:highlight w:val="none"/>
        </w:rPr>
        <w:t>（3）投标报价具有选择性。</w:t>
      </w:r>
    </w:p>
    <w:p>
      <w:pPr>
        <w:pStyle w:val="7"/>
        <w:snapToGrid w:val="0"/>
        <w:spacing w:line="312" w:lineRule="auto"/>
        <w:ind w:firstLine="454" w:firstLineChars="196"/>
        <w:rPr>
          <w:rFonts w:hAnsi="宋体"/>
          <w:color w:val="auto"/>
          <w:sz w:val="24"/>
          <w:szCs w:val="24"/>
          <w:highlight w:val="none"/>
        </w:rPr>
      </w:pPr>
      <w:r>
        <w:rPr>
          <w:rFonts w:hint="eastAsia" w:hAnsi="宋体"/>
          <w:color w:val="auto"/>
          <w:sz w:val="24"/>
          <w:szCs w:val="24"/>
          <w:highlight w:val="none"/>
        </w:rPr>
        <w:t>（4）投标报价文件格式不符合招标文件要求格式的；</w:t>
      </w:r>
    </w:p>
    <w:p>
      <w:pPr>
        <w:pStyle w:val="7"/>
        <w:snapToGrid w:val="0"/>
        <w:spacing w:line="312" w:lineRule="auto"/>
        <w:ind w:firstLine="457" w:firstLineChars="196"/>
        <w:rPr>
          <w:rFonts w:hAnsi="宋体"/>
          <w:b/>
          <w:bCs/>
          <w:color w:val="auto"/>
          <w:sz w:val="24"/>
          <w:szCs w:val="24"/>
          <w:highlight w:val="none"/>
        </w:rPr>
      </w:pPr>
      <w:r>
        <w:rPr>
          <w:rFonts w:hint="eastAsia" w:hAnsi="宋体"/>
          <w:b/>
          <w:bCs/>
          <w:color w:val="auto"/>
          <w:sz w:val="24"/>
          <w:szCs w:val="24"/>
          <w:highlight w:val="none"/>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7"/>
        <w:snapToGrid w:val="0"/>
        <w:spacing w:after="120" w:line="240" w:lineRule="auto"/>
        <w:ind w:firstLine="472" w:firstLineChars="196"/>
        <w:rPr>
          <w:rFonts w:hAnsi="宋体"/>
          <w:b/>
          <w:color w:val="auto"/>
          <w:spacing w:val="0"/>
          <w:sz w:val="24"/>
          <w:highlight w:val="none"/>
        </w:rPr>
      </w:pPr>
      <w:r>
        <w:rPr>
          <w:rFonts w:hint="eastAsia" w:hAnsi="宋体"/>
          <w:b/>
          <w:color w:val="auto"/>
          <w:spacing w:val="0"/>
          <w:sz w:val="24"/>
          <w:highlight w:val="none"/>
        </w:rPr>
        <w:t>4.资格审查资料复印件未按要求提供、包装或提供不完整可在评标过程中补充后，不作无效标处理。被拒绝的投标文件为无效。</w:t>
      </w:r>
    </w:p>
    <w:p>
      <w:pPr>
        <w:pStyle w:val="7"/>
        <w:snapToGrid w:val="0"/>
        <w:spacing w:after="120" w:line="240" w:lineRule="auto"/>
        <w:ind w:firstLine="472" w:firstLineChars="196"/>
        <w:rPr>
          <w:rFonts w:hAnsi="宋体"/>
          <w:b/>
          <w:color w:val="auto"/>
          <w:spacing w:val="0"/>
          <w:sz w:val="24"/>
          <w:highlight w:val="none"/>
        </w:rPr>
      </w:pPr>
      <w:r>
        <w:rPr>
          <w:rFonts w:hint="eastAsia" w:hAnsi="宋体"/>
          <w:b/>
          <w:color w:val="auto"/>
          <w:spacing w:val="0"/>
          <w:sz w:val="24"/>
          <w:highlight w:val="none"/>
        </w:rPr>
        <w:t>5．对仅出现以上1、2、3情形之一中小项情况的，经审定凡没有实质性影响和损害的，可不作无效标处理。</w:t>
      </w:r>
    </w:p>
    <w:p>
      <w:pPr>
        <w:pStyle w:val="7"/>
        <w:snapToGrid w:val="0"/>
        <w:spacing w:line="240" w:lineRule="auto"/>
        <w:ind w:firstLine="535" w:firstLineChars="196"/>
        <w:outlineLvl w:val="1"/>
        <w:rPr>
          <w:rFonts w:hAnsi="宋体"/>
          <w:b/>
          <w:snapToGrid w:val="0"/>
          <w:color w:val="auto"/>
          <w:sz w:val="28"/>
          <w:szCs w:val="28"/>
          <w:highlight w:val="none"/>
        </w:rPr>
      </w:pPr>
      <w:r>
        <w:rPr>
          <w:rFonts w:hint="eastAsia" w:hAnsi="宋体"/>
          <w:b/>
          <w:color w:val="auto"/>
          <w:sz w:val="28"/>
          <w:szCs w:val="28"/>
          <w:highlight w:val="none"/>
        </w:rPr>
        <w:t>四、开标</w:t>
      </w:r>
    </w:p>
    <w:p>
      <w:pPr>
        <w:pStyle w:val="8"/>
        <w:snapToGrid w:val="0"/>
        <w:spacing w:beforeLines="0" w:afterLines="0" w:line="240" w:lineRule="auto"/>
        <w:ind w:firstLine="472" w:firstLineChars="196"/>
        <w:rPr>
          <w:rFonts w:hAnsi="宋体"/>
          <w:b/>
          <w:color w:val="auto"/>
          <w:highlight w:val="none"/>
        </w:rPr>
      </w:pPr>
      <w:r>
        <w:rPr>
          <w:rFonts w:hAnsi="宋体"/>
          <w:b/>
          <w:color w:val="auto"/>
          <w:highlight w:val="none"/>
        </w:rPr>
        <w:t>（一）开标准备</w:t>
      </w:r>
    </w:p>
    <w:p>
      <w:pPr>
        <w:snapToGrid w:val="0"/>
        <w:spacing w:line="312" w:lineRule="auto"/>
        <w:ind w:firstLine="482" w:firstLineChars="200"/>
        <w:rPr>
          <w:rFonts w:ascii="宋体" w:hAnsi="宋体" w:cs="Arial"/>
          <w:b/>
          <w:color w:val="auto"/>
          <w:sz w:val="24"/>
          <w:highlight w:val="none"/>
        </w:rPr>
      </w:pPr>
      <w:r>
        <w:rPr>
          <w:rFonts w:hint="eastAsia" w:ascii="宋体" w:hAnsi="宋体" w:cs="Arial"/>
          <w:b/>
          <w:color w:val="auto"/>
          <w:sz w:val="24"/>
          <w:highlight w:val="none"/>
        </w:rPr>
        <w:t>投标人派代表参加开标会议时，法定代表人应携带法定代表人证明和身份证；授权代表应携带法定代表人授权委托书、身份证、投标单位缴纳的社保花名册等有效证明出席开标会议（注：授权代表应为投标人的在职正式职工，并以社保网站拉具的含授权代表的投标单位社保清单为准）。</w:t>
      </w:r>
    </w:p>
    <w:p>
      <w:pPr>
        <w:snapToGrid w:val="0"/>
        <w:spacing w:line="312" w:lineRule="auto"/>
        <w:ind w:firstLine="482" w:firstLineChars="200"/>
        <w:rPr>
          <w:rFonts w:ascii="宋体" w:hAnsi="宋体" w:cs="Arial"/>
          <w:b/>
          <w:bCs/>
          <w:color w:val="auto"/>
          <w:sz w:val="24"/>
          <w:highlight w:val="none"/>
        </w:rPr>
      </w:pPr>
      <w:r>
        <w:rPr>
          <w:rFonts w:hint="eastAsia" w:ascii="宋体" w:hAnsi="宋体" w:cs="Arial"/>
          <w:b/>
          <w:bCs/>
          <w:color w:val="auto"/>
          <w:sz w:val="24"/>
          <w:highlight w:val="none"/>
        </w:rPr>
        <w:t>投标人未派代表参加开标会议的（含未携带以上规定资料参加开标会议的），视同认可开标结果，不得对开标过程及开标结果提出质疑。</w:t>
      </w:r>
    </w:p>
    <w:p>
      <w:pPr>
        <w:snapToGrid w:val="0"/>
        <w:spacing w:line="312" w:lineRule="auto"/>
        <w:ind w:firstLine="482" w:firstLineChars="200"/>
        <w:rPr>
          <w:rFonts w:ascii="宋体" w:hAnsi="宋体" w:cs="Arial"/>
          <w:b/>
          <w:color w:val="auto"/>
          <w:sz w:val="24"/>
          <w:highlight w:val="none"/>
        </w:rPr>
      </w:pPr>
      <w:r>
        <w:rPr>
          <w:rFonts w:hint="eastAsia" w:ascii="宋体" w:hAnsi="宋体" w:cs="Arial"/>
          <w:b/>
          <w:color w:val="auto"/>
          <w:sz w:val="24"/>
          <w:highlight w:val="none"/>
        </w:rPr>
        <w:t>投标截止时间后及评审过程中，有效投标人不足3家的标项，则予以废标。</w:t>
      </w:r>
    </w:p>
    <w:p>
      <w:pPr>
        <w:pStyle w:val="8"/>
        <w:snapToGrid w:val="0"/>
        <w:spacing w:beforeLines="0" w:afterLines="0" w:line="240" w:lineRule="auto"/>
        <w:ind w:firstLine="472" w:firstLineChars="196"/>
        <w:rPr>
          <w:rFonts w:hAnsi="宋体"/>
          <w:b/>
          <w:color w:val="auto"/>
          <w:highlight w:val="none"/>
        </w:rPr>
      </w:pPr>
      <w:r>
        <w:rPr>
          <w:rFonts w:hAnsi="宋体"/>
          <w:b/>
          <w:color w:val="auto"/>
          <w:highlight w:val="none"/>
        </w:rPr>
        <w:t>（二） 开标程序：</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1</w:t>
      </w:r>
      <w:r>
        <w:rPr>
          <w:rFonts w:hint="eastAsia" w:hAnsi="宋体"/>
          <w:bCs/>
          <w:color w:val="auto"/>
          <w:highlight w:val="none"/>
        </w:rPr>
        <w:t>.</w:t>
      </w:r>
      <w:r>
        <w:rPr>
          <w:rFonts w:hAnsi="宋体"/>
          <w:bCs/>
          <w:color w:val="auto"/>
          <w:highlight w:val="none"/>
        </w:rPr>
        <w:t>开标会由招标方主持，主持人宣布开标会议开始；</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2</w:t>
      </w:r>
      <w:r>
        <w:rPr>
          <w:rFonts w:hint="eastAsia" w:hAnsi="宋体"/>
          <w:bCs/>
          <w:color w:val="auto"/>
          <w:highlight w:val="none"/>
        </w:rPr>
        <w:t>.主持人</w:t>
      </w:r>
      <w:r>
        <w:rPr>
          <w:rFonts w:hAnsi="宋体"/>
          <w:bCs/>
          <w:color w:val="auto"/>
          <w:highlight w:val="none"/>
        </w:rPr>
        <w:t xml:space="preserve">介绍参加开标会的人员名单； </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3</w:t>
      </w:r>
      <w:r>
        <w:rPr>
          <w:rFonts w:hint="eastAsia" w:hAnsi="宋体"/>
          <w:bCs/>
          <w:color w:val="auto"/>
          <w:highlight w:val="none"/>
        </w:rPr>
        <w:t>.主持人</w:t>
      </w:r>
      <w:r>
        <w:rPr>
          <w:rFonts w:hAnsi="宋体"/>
          <w:bCs/>
          <w:color w:val="auto"/>
          <w:highlight w:val="none"/>
        </w:rPr>
        <w:t>宣布评标期间的有关事项</w:t>
      </w:r>
      <w:r>
        <w:rPr>
          <w:rFonts w:hint="eastAsia" w:hAnsi="宋体"/>
          <w:bCs/>
          <w:color w:val="auto"/>
          <w:highlight w:val="none"/>
        </w:rPr>
        <w:t>；</w:t>
      </w:r>
      <w:r>
        <w:rPr>
          <w:rFonts w:hAnsi="宋体"/>
          <w:bCs/>
          <w:color w:val="auto"/>
          <w:highlight w:val="none"/>
        </w:rPr>
        <w:t>告知应当回避的情形,提请有关人员回避</w:t>
      </w:r>
      <w:r>
        <w:rPr>
          <w:rFonts w:hint="eastAsia" w:hAnsi="宋体"/>
          <w:bCs/>
          <w:color w:val="auto"/>
          <w:highlight w:val="none"/>
        </w:rPr>
        <w:t>，检查投标人代表的到会情况</w:t>
      </w:r>
      <w:r>
        <w:rPr>
          <w:rFonts w:hAnsi="宋体"/>
          <w:bCs/>
          <w:color w:val="auto"/>
          <w:highlight w:val="none"/>
        </w:rPr>
        <w:t>；</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4</w:t>
      </w:r>
      <w:r>
        <w:rPr>
          <w:rFonts w:hint="eastAsia" w:hAnsi="宋体"/>
          <w:bCs/>
          <w:color w:val="auto"/>
          <w:highlight w:val="none"/>
        </w:rPr>
        <w:t>.投标人或其当场推荐的代表，或者招标采购单位委托的</w:t>
      </w:r>
      <w:r>
        <w:rPr>
          <w:rFonts w:hAnsi="宋体"/>
          <w:bCs/>
          <w:color w:val="auto"/>
          <w:highlight w:val="none"/>
        </w:rPr>
        <w:t>公证</w:t>
      </w:r>
      <w:r>
        <w:rPr>
          <w:rFonts w:hint="eastAsia" w:hAnsi="宋体"/>
          <w:bCs/>
          <w:color w:val="auto"/>
          <w:highlight w:val="none"/>
        </w:rPr>
        <w:t>机构</w:t>
      </w:r>
      <w:r>
        <w:rPr>
          <w:rFonts w:hAnsi="宋体"/>
          <w:bCs/>
          <w:color w:val="auto"/>
          <w:highlight w:val="none"/>
        </w:rPr>
        <w:t>检</w:t>
      </w:r>
      <w:r>
        <w:rPr>
          <w:rFonts w:hint="eastAsia" w:hAnsi="宋体"/>
          <w:bCs/>
          <w:color w:val="auto"/>
          <w:highlight w:val="none"/>
        </w:rPr>
        <w:t>查</w:t>
      </w:r>
      <w:r>
        <w:rPr>
          <w:rFonts w:hAnsi="宋体"/>
          <w:bCs/>
          <w:color w:val="auto"/>
          <w:highlight w:val="none"/>
        </w:rPr>
        <w:t>投标文件密封的完整性；</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5</w:t>
      </w:r>
      <w:r>
        <w:rPr>
          <w:rFonts w:hint="eastAsia" w:hAnsi="宋体"/>
          <w:bCs/>
          <w:color w:val="auto"/>
          <w:highlight w:val="none"/>
        </w:rPr>
        <w:t>.</w:t>
      </w:r>
      <w:r>
        <w:rPr>
          <w:rFonts w:hAnsi="宋体"/>
          <w:bCs/>
          <w:color w:val="auto"/>
          <w:highlight w:val="none"/>
        </w:rPr>
        <w:t>按各投标人</w:t>
      </w:r>
      <w:r>
        <w:rPr>
          <w:rFonts w:hint="eastAsia" w:hAnsi="宋体"/>
          <w:bCs/>
          <w:color w:val="auto"/>
          <w:highlight w:val="none"/>
        </w:rPr>
        <w:t>标项顺序</w:t>
      </w:r>
      <w:r>
        <w:rPr>
          <w:rFonts w:hAnsi="宋体"/>
          <w:bCs/>
          <w:color w:val="auto"/>
          <w:highlight w:val="none"/>
        </w:rPr>
        <w:t>打开资信/商务文件、技术文件外包装，清点投标文件正本、副本数量，符合招标文件要求的送评标室评审；不符合要求的，由投标人代表签字确认</w:t>
      </w:r>
      <w:r>
        <w:rPr>
          <w:rFonts w:hint="eastAsia" w:hAnsi="宋体"/>
          <w:bCs/>
          <w:color w:val="auto"/>
          <w:highlight w:val="none"/>
        </w:rPr>
        <w:t>；</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6</w:t>
      </w:r>
      <w:r>
        <w:rPr>
          <w:rFonts w:hint="eastAsia" w:hAnsi="宋体"/>
          <w:bCs/>
          <w:color w:val="auto"/>
          <w:highlight w:val="none"/>
        </w:rPr>
        <w:t>.</w:t>
      </w:r>
      <w:r>
        <w:rPr>
          <w:rFonts w:hAnsi="宋体"/>
          <w:bCs/>
          <w:color w:val="auto"/>
          <w:highlight w:val="none"/>
        </w:rPr>
        <w:t>资信</w:t>
      </w:r>
      <w:r>
        <w:rPr>
          <w:rFonts w:hint="eastAsia" w:hAnsi="宋体"/>
          <w:bCs/>
          <w:color w:val="auto"/>
          <w:highlight w:val="none"/>
        </w:rPr>
        <w:t>/</w:t>
      </w:r>
      <w:r>
        <w:rPr>
          <w:rFonts w:hAnsi="宋体"/>
          <w:bCs/>
          <w:color w:val="auto"/>
          <w:highlight w:val="none"/>
        </w:rPr>
        <w:t>商务、技</w:t>
      </w:r>
      <w:r>
        <w:rPr>
          <w:rFonts w:hAnsi="宋体"/>
          <w:color w:val="auto"/>
          <w:highlight w:val="none"/>
        </w:rPr>
        <w:t>术评分结束后，由</w:t>
      </w:r>
      <w:r>
        <w:rPr>
          <w:rFonts w:hint="eastAsia" w:hAnsi="宋体"/>
          <w:color w:val="auto"/>
          <w:highlight w:val="none"/>
        </w:rPr>
        <w:t>公证机构人员</w:t>
      </w:r>
      <w:r>
        <w:rPr>
          <w:rFonts w:hAnsi="宋体"/>
          <w:color w:val="auto"/>
          <w:highlight w:val="none"/>
        </w:rPr>
        <w:t>公布无效投标的投标人名</w:t>
      </w:r>
      <w:r>
        <w:rPr>
          <w:rFonts w:hAnsi="宋体"/>
          <w:bCs/>
          <w:color w:val="auto"/>
          <w:highlight w:val="none"/>
        </w:rPr>
        <w:t>单、投标无效的原因及其他有效投标的评分结果；</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7</w:t>
      </w:r>
      <w:r>
        <w:rPr>
          <w:rFonts w:hint="eastAsia" w:hAnsi="宋体"/>
          <w:bCs/>
          <w:color w:val="auto"/>
          <w:highlight w:val="none"/>
        </w:rPr>
        <w:t>.</w:t>
      </w:r>
      <w:r>
        <w:rPr>
          <w:rFonts w:hAnsi="宋体"/>
          <w:bCs/>
          <w:color w:val="auto"/>
          <w:highlight w:val="none"/>
        </w:rPr>
        <w:t>由</w:t>
      </w:r>
      <w:r>
        <w:rPr>
          <w:rFonts w:hint="eastAsia" w:hAnsi="宋体"/>
          <w:bCs/>
          <w:color w:val="auto"/>
          <w:highlight w:val="none"/>
        </w:rPr>
        <w:t>公证机构人员</w:t>
      </w:r>
      <w:r>
        <w:rPr>
          <w:rFonts w:hAnsi="宋体"/>
          <w:bCs/>
          <w:color w:val="auto"/>
          <w:highlight w:val="none"/>
        </w:rPr>
        <w:t>宣读《</w:t>
      </w:r>
      <w:r>
        <w:rPr>
          <w:rFonts w:hint="eastAsia" w:hAnsi="宋体"/>
          <w:bCs/>
          <w:color w:val="auto"/>
          <w:highlight w:val="none"/>
        </w:rPr>
        <w:t>开标</w:t>
      </w:r>
      <w:r>
        <w:rPr>
          <w:rFonts w:hAnsi="宋体"/>
          <w:bCs/>
          <w:color w:val="auto"/>
          <w:highlight w:val="none"/>
        </w:rPr>
        <w:t>一览表》中的投标人名称及在其投标文件中承诺的投标报价、投标内容（投标设备名称、规格型号或者服务项目名称），以及招标方认为有必要宣读的其他内容。</w:t>
      </w:r>
    </w:p>
    <w:p>
      <w:pPr>
        <w:pStyle w:val="8"/>
        <w:snapToGrid w:val="0"/>
        <w:spacing w:beforeLines="0" w:afterLines="0" w:line="240" w:lineRule="auto"/>
        <w:ind w:firstLine="480" w:firstLineChars="200"/>
        <w:rPr>
          <w:rFonts w:hAnsi="宋体"/>
          <w:bCs/>
          <w:color w:val="auto"/>
          <w:highlight w:val="none"/>
        </w:rPr>
      </w:pPr>
      <w:r>
        <w:rPr>
          <w:rFonts w:hAnsi="宋体"/>
          <w:bCs/>
          <w:color w:val="auto"/>
          <w:highlight w:val="none"/>
        </w:rPr>
        <w:t>8</w:t>
      </w:r>
      <w:r>
        <w:rPr>
          <w:rFonts w:hint="eastAsia" w:hAnsi="宋体"/>
          <w:bCs/>
          <w:color w:val="auto"/>
          <w:highlight w:val="none"/>
        </w:rPr>
        <w:t>.</w:t>
      </w:r>
      <w:r>
        <w:rPr>
          <w:rFonts w:hAnsi="宋体"/>
          <w:bCs/>
          <w:color w:val="auto"/>
          <w:highlight w:val="none"/>
        </w:rPr>
        <w:t xml:space="preserve"> 采购代理机构做开标记录, 投标人代表对开标记录进行当场校核及勘误，并签字确认；同时由记录人、监督人当场签字确认。投标人代表未到场签字确认</w:t>
      </w:r>
      <w:r>
        <w:rPr>
          <w:rFonts w:hint="eastAsia" w:hAnsi="宋体"/>
          <w:bCs/>
          <w:color w:val="auto"/>
          <w:highlight w:val="none"/>
        </w:rPr>
        <w:t>或者拒绝签字确认</w:t>
      </w:r>
      <w:r>
        <w:rPr>
          <w:rFonts w:hAnsi="宋体"/>
          <w:bCs/>
          <w:color w:val="auto"/>
          <w:highlight w:val="none"/>
        </w:rPr>
        <w:t>的，不影响评标过程。</w:t>
      </w:r>
    </w:p>
    <w:p>
      <w:pPr>
        <w:pStyle w:val="8"/>
        <w:snapToGrid w:val="0"/>
        <w:spacing w:beforeLines="0" w:afterLines="0" w:line="240" w:lineRule="auto"/>
        <w:ind w:left="842" w:leftChars="267" w:hanging="281" w:hangingChars="100"/>
        <w:outlineLvl w:val="1"/>
        <w:rPr>
          <w:rFonts w:hAnsi="宋体"/>
          <w:b/>
          <w:color w:val="auto"/>
          <w:sz w:val="28"/>
          <w:szCs w:val="28"/>
          <w:highlight w:val="none"/>
        </w:rPr>
      </w:pPr>
      <w:r>
        <w:rPr>
          <w:rFonts w:hint="eastAsia" w:hAnsi="宋体"/>
          <w:b/>
          <w:color w:val="auto"/>
          <w:sz w:val="28"/>
          <w:szCs w:val="28"/>
          <w:highlight w:val="none"/>
        </w:rPr>
        <w:t>五、评标</w:t>
      </w:r>
    </w:p>
    <w:p>
      <w:pPr>
        <w:pStyle w:val="8"/>
        <w:snapToGrid w:val="0"/>
        <w:spacing w:beforeLines="0" w:afterLines="0" w:line="240" w:lineRule="auto"/>
        <w:ind w:left="720" w:leftChars="228" w:hanging="241" w:hangingChars="100"/>
        <w:rPr>
          <w:rFonts w:hAnsi="宋体"/>
          <w:b/>
          <w:color w:val="auto"/>
          <w:highlight w:val="none"/>
        </w:rPr>
      </w:pPr>
      <w:r>
        <w:rPr>
          <w:rFonts w:hAnsi="宋体"/>
          <w:b/>
          <w:color w:val="auto"/>
          <w:highlight w:val="none"/>
        </w:rPr>
        <w:t>（一）组建评标委员会</w:t>
      </w:r>
    </w:p>
    <w:p>
      <w:pPr>
        <w:pStyle w:val="8"/>
        <w:snapToGrid w:val="0"/>
        <w:spacing w:beforeLines="0" w:afterLines="0" w:line="240" w:lineRule="auto"/>
        <w:ind w:firstLine="480" w:firstLineChars="200"/>
        <w:rPr>
          <w:rFonts w:hAnsi="宋体"/>
          <w:color w:val="auto"/>
          <w:highlight w:val="none"/>
        </w:rPr>
      </w:pPr>
      <w:r>
        <w:rPr>
          <w:rFonts w:hAnsi="宋体"/>
          <w:color w:val="auto"/>
          <w:highlight w:val="none"/>
        </w:rPr>
        <w:t>本项目评标委员会由政府采购评审专家</w:t>
      </w:r>
      <w:r>
        <w:rPr>
          <w:rFonts w:hint="eastAsia" w:hAnsi="宋体"/>
          <w:color w:val="auto"/>
          <w:highlight w:val="none"/>
          <w:u w:val="single"/>
        </w:rPr>
        <w:t xml:space="preserve"> 4 </w:t>
      </w:r>
      <w:r>
        <w:rPr>
          <w:rFonts w:hint="eastAsia" w:hAnsi="宋体"/>
          <w:color w:val="auto"/>
          <w:highlight w:val="none"/>
        </w:rPr>
        <w:t>人</w:t>
      </w:r>
      <w:r>
        <w:rPr>
          <w:rFonts w:hAnsi="宋体"/>
          <w:color w:val="auto"/>
          <w:highlight w:val="none"/>
        </w:rPr>
        <w:t>和采购人代表</w:t>
      </w:r>
      <w:r>
        <w:rPr>
          <w:rFonts w:hint="eastAsia" w:hAnsi="宋体"/>
          <w:color w:val="auto"/>
          <w:highlight w:val="none"/>
          <w:u w:val="single"/>
        </w:rPr>
        <w:t xml:space="preserve"> 1 </w:t>
      </w:r>
      <w:r>
        <w:rPr>
          <w:rFonts w:hint="eastAsia" w:hAnsi="宋体"/>
          <w:color w:val="auto"/>
          <w:highlight w:val="none"/>
        </w:rPr>
        <w:t>人</w:t>
      </w:r>
      <w:r>
        <w:rPr>
          <w:rFonts w:hAnsi="宋体"/>
          <w:color w:val="auto"/>
          <w:highlight w:val="none"/>
        </w:rPr>
        <w:t>,共</w:t>
      </w:r>
      <w:r>
        <w:rPr>
          <w:rFonts w:hint="eastAsia" w:hAnsi="宋体"/>
          <w:color w:val="auto"/>
          <w:highlight w:val="none"/>
          <w:u w:val="single"/>
        </w:rPr>
        <w:t>5</w:t>
      </w:r>
      <w:r>
        <w:rPr>
          <w:rFonts w:hAnsi="宋体"/>
          <w:color w:val="auto"/>
          <w:highlight w:val="none"/>
        </w:rPr>
        <w:t>人组成。</w:t>
      </w:r>
    </w:p>
    <w:p>
      <w:pPr>
        <w:pStyle w:val="8"/>
        <w:snapToGrid w:val="0"/>
        <w:spacing w:beforeLines="0" w:afterLines="0" w:line="240" w:lineRule="auto"/>
        <w:ind w:left="720" w:leftChars="228" w:hanging="241" w:hangingChars="100"/>
        <w:rPr>
          <w:rFonts w:hAnsi="宋体"/>
          <w:b/>
          <w:color w:val="auto"/>
          <w:highlight w:val="none"/>
        </w:rPr>
      </w:pPr>
      <w:r>
        <w:rPr>
          <w:rFonts w:hAnsi="宋体"/>
          <w:b/>
          <w:color w:val="auto"/>
          <w:highlight w:val="none"/>
        </w:rPr>
        <w:t>（二）评标的方式</w:t>
      </w:r>
    </w:p>
    <w:p>
      <w:pPr>
        <w:pStyle w:val="8"/>
        <w:snapToGrid w:val="0"/>
        <w:spacing w:beforeLines="0" w:afterLines="0" w:line="240" w:lineRule="auto"/>
        <w:ind w:left="719" w:leftChars="228" w:hanging="240" w:hangingChars="100"/>
        <w:rPr>
          <w:rFonts w:hAnsi="宋体"/>
          <w:color w:val="auto"/>
          <w:highlight w:val="none"/>
        </w:rPr>
      </w:pPr>
      <w:r>
        <w:rPr>
          <w:rFonts w:hAnsi="宋体"/>
          <w:color w:val="auto"/>
          <w:highlight w:val="none"/>
        </w:rPr>
        <w:t>本项目采用不公开方式评标，评标的依据为招标文件和投标文件。</w:t>
      </w:r>
    </w:p>
    <w:p>
      <w:pPr>
        <w:pStyle w:val="8"/>
        <w:snapToGrid w:val="0"/>
        <w:spacing w:beforeLines="0" w:afterLines="0" w:line="240" w:lineRule="auto"/>
        <w:ind w:left="720" w:leftChars="228" w:hanging="241" w:hangingChars="100"/>
        <w:rPr>
          <w:rFonts w:hAnsi="宋体"/>
          <w:b/>
          <w:color w:val="auto"/>
          <w:highlight w:val="none"/>
        </w:rPr>
      </w:pPr>
      <w:r>
        <w:rPr>
          <w:rFonts w:hAnsi="宋体"/>
          <w:b/>
          <w:color w:val="auto"/>
          <w:highlight w:val="none"/>
        </w:rPr>
        <w:t>（三）</w:t>
      </w:r>
      <w:r>
        <w:rPr>
          <w:rFonts w:hAnsi="宋体"/>
          <w:b/>
          <w:bCs/>
          <w:color w:val="auto"/>
          <w:highlight w:val="none"/>
        </w:rPr>
        <w:t>评标程序</w:t>
      </w:r>
    </w:p>
    <w:p>
      <w:pPr>
        <w:snapToGrid w:val="0"/>
        <w:spacing w:line="312" w:lineRule="auto"/>
        <w:ind w:firstLine="472" w:firstLineChars="196"/>
        <w:rPr>
          <w:rFonts w:ascii="宋体" w:hAnsi="宋体"/>
          <w:b/>
          <w:bCs/>
          <w:color w:val="auto"/>
          <w:sz w:val="24"/>
          <w:highlight w:val="none"/>
        </w:rPr>
      </w:pPr>
      <w:r>
        <w:rPr>
          <w:rFonts w:hint="eastAsia" w:ascii="宋体" w:hAnsi="宋体"/>
          <w:b/>
          <w:bCs/>
          <w:color w:val="auto"/>
          <w:sz w:val="24"/>
          <w:highlight w:val="none"/>
        </w:rPr>
        <w:t>1.资格审查</w:t>
      </w:r>
    </w:p>
    <w:p>
      <w:pPr>
        <w:snapToGrid w:val="0"/>
        <w:spacing w:line="312" w:lineRule="auto"/>
        <w:ind w:firstLine="470" w:firstLineChars="196"/>
        <w:rPr>
          <w:rFonts w:ascii="宋体" w:hAnsi="宋体"/>
          <w:color w:val="auto"/>
          <w:sz w:val="24"/>
          <w:highlight w:val="none"/>
        </w:rPr>
      </w:pPr>
      <w:r>
        <w:rPr>
          <w:rFonts w:hint="eastAsia" w:ascii="宋体" w:hAnsi="宋体"/>
          <w:color w:val="auto"/>
          <w:sz w:val="24"/>
          <w:highlight w:val="none"/>
        </w:rPr>
        <w:t>采购人依法对投标人的资格进行审查。</w:t>
      </w:r>
    </w:p>
    <w:p>
      <w:pPr>
        <w:snapToGrid w:val="0"/>
        <w:spacing w:line="312" w:lineRule="auto"/>
        <w:ind w:firstLine="472" w:firstLineChars="196"/>
        <w:rPr>
          <w:rFonts w:ascii="宋体" w:hAnsi="宋体"/>
          <w:b/>
          <w:bCs/>
          <w:color w:val="auto"/>
          <w:sz w:val="24"/>
          <w:highlight w:val="none"/>
        </w:rPr>
      </w:pPr>
      <w:r>
        <w:rPr>
          <w:rFonts w:hint="eastAsia" w:ascii="宋体" w:hAnsi="宋体"/>
          <w:b/>
          <w:bCs/>
          <w:color w:val="auto"/>
          <w:sz w:val="24"/>
          <w:highlight w:val="none"/>
        </w:rPr>
        <w:t>2.</w:t>
      </w:r>
      <w:r>
        <w:rPr>
          <w:rFonts w:ascii="宋体" w:hAnsi="宋体"/>
          <w:b/>
          <w:bCs/>
          <w:color w:val="auto"/>
          <w:sz w:val="24"/>
          <w:highlight w:val="none"/>
        </w:rPr>
        <w:t>形式审查</w:t>
      </w:r>
    </w:p>
    <w:p>
      <w:pPr>
        <w:snapToGrid w:val="0"/>
        <w:spacing w:line="312" w:lineRule="auto"/>
        <w:ind w:firstLine="480" w:firstLineChars="200"/>
        <w:rPr>
          <w:rFonts w:ascii="宋体" w:hAnsi="宋体"/>
          <w:b/>
          <w:color w:val="auto"/>
          <w:sz w:val="24"/>
          <w:highlight w:val="none"/>
        </w:rPr>
      </w:pPr>
      <w:r>
        <w:rPr>
          <w:rFonts w:hint="eastAsia" w:ascii="宋体" w:hAnsi="宋体"/>
          <w:color w:val="auto"/>
          <w:sz w:val="24"/>
          <w:highlight w:val="none"/>
        </w:rPr>
        <w:t>招标方工作人员协助评标委员会对</w:t>
      </w:r>
      <w:r>
        <w:rPr>
          <w:rFonts w:ascii="宋体" w:hAnsi="宋体"/>
          <w:color w:val="auto"/>
          <w:sz w:val="24"/>
          <w:highlight w:val="none"/>
        </w:rPr>
        <w:t>投标文件的完整性、合法性等进行审查。</w:t>
      </w:r>
    </w:p>
    <w:p>
      <w:pPr>
        <w:snapToGrid w:val="0"/>
        <w:ind w:firstLine="472" w:firstLineChars="196"/>
        <w:rPr>
          <w:rFonts w:ascii="宋体" w:hAnsi="宋体"/>
          <w:b/>
          <w:bCs/>
          <w:color w:val="auto"/>
          <w:sz w:val="24"/>
          <w:highlight w:val="none"/>
        </w:rPr>
      </w:pPr>
      <w:r>
        <w:rPr>
          <w:rFonts w:hint="eastAsia" w:ascii="宋体" w:hAnsi="宋体"/>
          <w:b/>
          <w:bCs/>
          <w:color w:val="auto"/>
          <w:sz w:val="24"/>
          <w:highlight w:val="none"/>
        </w:rPr>
        <w:t>3.</w:t>
      </w:r>
      <w:r>
        <w:rPr>
          <w:rFonts w:ascii="宋体" w:hAnsi="宋体"/>
          <w:b/>
          <w:bCs/>
          <w:color w:val="auto"/>
          <w:sz w:val="24"/>
          <w:highlight w:val="none"/>
        </w:rPr>
        <w:t>实质审查与比较</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w:t>
      </w:r>
      <w:r>
        <w:rPr>
          <w:rFonts w:hAnsi="宋体"/>
          <w:color w:val="auto"/>
          <w:highlight w:val="none"/>
        </w:rPr>
        <w:t>1）评标委员会审查投标文件的实质性内容是否符合招标文件的实质性要求。</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w:t>
      </w:r>
      <w:r>
        <w:rPr>
          <w:rFonts w:hAnsi="宋体"/>
          <w:color w:val="auto"/>
          <w:highlight w:val="none"/>
        </w:rPr>
        <w:t>2）评标委员会将根据投标人的投标文件进行审查、核对,如有疑问,将对投标人进行询标,投标人要向评标委员会澄清有关问题,并最终以书面形式进行答复。</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投标人代表未到场或者拒绝澄清或者澄清的内容改变了投标文件的实质性内容的，评标委员会有权对该投标文件作出不利于投标人的评判。</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技术、商务、资信及其他分按照评标委员会成员的独立评分结果的算术平均分计算，</w:t>
      </w:r>
      <w:r>
        <w:rPr>
          <w:rFonts w:hAnsi="宋体"/>
          <w:color w:val="auto"/>
          <w:highlight w:val="none"/>
        </w:rPr>
        <w:t>由指定专人进行计算复核。</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招标方工作人员协助</w:t>
      </w:r>
      <w:r>
        <w:rPr>
          <w:rFonts w:hAnsi="宋体"/>
          <w:color w:val="auto"/>
          <w:highlight w:val="none"/>
        </w:rPr>
        <w:t>评标委员会</w:t>
      </w:r>
      <w:r>
        <w:rPr>
          <w:rFonts w:hint="eastAsia" w:hAnsi="宋体"/>
          <w:color w:val="auto"/>
          <w:highlight w:val="none"/>
        </w:rPr>
        <w:t>审核投标报价有无计算错误，并</w:t>
      </w:r>
      <w:r>
        <w:rPr>
          <w:rFonts w:hAnsi="宋体"/>
          <w:color w:val="auto"/>
          <w:highlight w:val="none"/>
        </w:rPr>
        <w:t>根据</w:t>
      </w:r>
      <w:r>
        <w:rPr>
          <w:rFonts w:hint="eastAsia" w:hAnsi="宋体"/>
          <w:color w:val="auto"/>
          <w:highlight w:val="none"/>
        </w:rPr>
        <w:t>本项目的评分标准</w:t>
      </w:r>
      <w:r>
        <w:rPr>
          <w:rFonts w:hAnsi="宋体"/>
          <w:color w:val="auto"/>
          <w:highlight w:val="none"/>
        </w:rPr>
        <w:t>计算各投标人的报价得分</w:t>
      </w:r>
      <w:r>
        <w:rPr>
          <w:rFonts w:hint="eastAsia" w:hAnsi="宋体"/>
          <w:color w:val="auto"/>
          <w:highlight w:val="none"/>
        </w:rPr>
        <w:t>。</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w:t>
      </w:r>
      <w:r>
        <w:rPr>
          <w:rFonts w:hAnsi="宋体"/>
          <w:color w:val="auto"/>
          <w:highlight w:val="none"/>
        </w:rPr>
        <w:t>5）评标委员会完成评标后,</w:t>
      </w:r>
      <w:r>
        <w:rPr>
          <w:rFonts w:hint="eastAsia" w:hAnsi="宋体"/>
          <w:color w:val="auto"/>
          <w:highlight w:val="none"/>
        </w:rPr>
        <w:t xml:space="preserve"> 招标方工作人员</w:t>
      </w:r>
      <w:r>
        <w:rPr>
          <w:rFonts w:hAnsi="宋体"/>
          <w:color w:val="auto"/>
          <w:highlight w:val="none"/>
        </w:rPr>
        <w:t>对各部分得分汇总,</w:t>
      </w:r>
      <w:r>
        <w:rPr>
          <w:rFonts w:hint="eastAsia" w:hAnsi="宋体"/>
          <w:color w:val="auto"/>
          <w:highlight w:val="none"/>
        </w:rPr>
        <w:t>计算</w:t>
      </w:r>
      <w:r>
        <w:rPr>
          <w:rFonts w:hAnsi="宋体"/>
          <w:color w:val="auto"/>
          <w:highlight w:val="none"/>
        </w:rPr>
        <w:t>出本项目</w:t>
      </w:r>
      <w:r>
        <w:rPr>
          <w:rFonts w:hint="eastAsia" w:hAnsi="宋体"/>
          <w:color w:val="auto"/>
          <w:highlight w:val="none"/>
        </w:rPr>
        <w:t>最终得分</w:t>
      </w:r>
      <w:r>
        <w:rPr>
          <w:rFonts w:hAnsi="宋体"/>
          <w:color w:val="auto"/>
          <w:highlight w:val="none"/>
        </w:rPr>
        <w:t>。评标委员会按评标原则推荐中标候选人</w:t>
      </w:r>
      <w:r>
        <w:rPr>
          <w:rFonts w:hint="eastAsia" w:hAnsi="宋体"/>
          <w:color w:val="auto"/>
          <w:highlight w:val="none"/>
        </w:rPr>
        <w:t>并</w:t>
      </w:r>
      <w:r>
        <w:rPr>
          <w:rFonts w:hAnsi="宋体"/>
          <w:color w:val="auto"/>
          <w:highlight w:val="none"/>
        </w:rPr>
        <w:t>起草评标报告。</w:t>
      </w:r>
    </w:p>
    <w:p>
      <w:pPr>
        <w:pStyle w:val="8"/>
        <w:snapToGrid w:val="0"/>
        <w:spacing w:beforeLines="0" w:afterLines="0" w:line="240" w:lineRule="auto"/>
        <w:ind w:left="720" w:leftChars="228" w:hanging="241" w:hangingChars="100"/>
        <w:rPr>
          <w:rFonts w:hAnsi="宋体"/>
          <w:b/>
          <w:color w:val="auto"/>
          <w:highlight w:val="none"/>
        </w:rPr>
      </w:pPr>
      <w:r>
        <w:rPr>
          <w:rFonts w:hint="eastAsia" w:hAnsi="宋体"/>
          <w:b/>
          <w:color w:val="auto"/>
          <w:highlight w:val="none"/>
        </w:rPr>
        <w:t>（四）澄清问题的形式</w:t>
      </w:r>
    </w:p>
    <w:p>
      <w:pPr>
        <w:snapToGrid w:val="0"/>
        <w:ind w:firstLine="480" w:firstLineChars="200"/>
        <w:rPr>
          <w:rFonts w:ascii="宋体" w:hAnsi="宋体"/>
          <w:color w:val="auto"/>
          <w:sz w:val="24"/>
          <w:highlight w:val="none"/>
        </w:rPr>
      </w:pPr>
      <w:r>
        <w:rPr>
          <w:rFonts w:hint="eastAsia" w:ascii="宋体" w:hAnsi="宋体"/>
          <w:color w:val="auto"/>
          <w:sz w:val="24"/>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pStyle w:val="8"/>
        <w:snapToGrid w:val="0"/>
        <w:spacing w:beforeLines="0" w:afterLines="0" w:line="360" w:lineRule="auto"/>
        <w:ind w:left="720" w:leftChars="228" w:hanging="241" w:hangingChars="100"/>
        <w:rPr>
          <w:rFonts w:hAnsi="宋体"/>
          <w:b/>
          <w:color w:val="auto"/>
          <w:highlight w:val="none"/>
        </w:rPr>
      </w:pPr>
      <w:r>
        <w:rPr>
          <w:rFonts w:hAnsi="宋体"/>
          <w:b/>
          <w:color w:val="auto"/>
          <w:highlight w:val="none"/>
        </w:rPr>
        <w:t>（五）错误修正</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投标文件如果出现计算或表达上的错误，修正错误的原则如下：</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1.投标文件中开标一览表内容与投标文件中相应内容不一致的，以开标一览表为准；</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2.大写金额和小写金额不一致的，以大写金额为准；</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3.单价金额小数点或者百分比有明显错位的，以开标一览表的总价为准，并修改单价；</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4.总价金额与按单价汇总金额不一致的，以单价金额计算结果为准。</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5.</w:t>
      </w:r>
      <w:r>
        <w:rPr>
          <w:rFonts w:hAnsi="宋体"/>
          <w:color w:val="auto"/>
          <w:highlight w:val="none"/>
        </w:rPr>
        <w:t>对不同文字文本投标文件的解释发生异议的，以中文文本为准。</w:t>
      </w:r>
    </w:p>
    <w:p>
      <w:pPr>
        <w:pStyle w:val="8"/>
        <w:snapToGrid w:val="0"/>
        <w:spacing w:beforeLines="0" w:afterLines="0" w:line="312" w:lineRule="auto"/>
        <w:ind w:firstLine="482" w:firstLineChars="200"/>
        <w:rPr>
          <w:rFonts w:hAnsi="宋体"/>
          <w:b/>
          <w:bCs/>
          <w:color w:val="auto"/>
          <w:highlight w:val="none"/>
        </w:rPr>
      </w:pPr>
      <w:r>
        <w:rPr>
          <w:rFonts w:hint="eastAsia" w:hAnsi="宋体"/>
          <w:b/>
          <w:bCs/>
          <w:color w:val="auto"/>
          <w:highlight w:val="none"/>
        </w:rPr>
        <w:t>同时出现两种以上不一致的，按照前款规定的顺序修正。修正后的报价经</w:t>
      </w:r>
      <w:r>
        <w:rPr>
          <w:rFonts w:hAnsi="宋体"/>
          <w:b/>
          <w:bCs/>
          <w:color w:val="auto"/>
          <w:highlight w:val="none"/>
        </w:rPr>
        <w:t>投标人同意</w:t>
      </w:r>
      <w:r>
        <w:rPr>
          <w:rFonts w:hint="eastAsia" w:hAnsi="宋体"/>
          <w:b/>
          <w:bCs/>
          <w:color w:val="auto"/>
          <w:highlight w:val="none"/>
        </w:rPr>
        <w:t>并签字确认</w:t>
      </w:r>
      <w:r>
        <w:rPr>
          <w:rFonts w:hAnsi="宋体"/>
          <w:b/>
          <w:bCs/>
          <w:color w:val="auto"/>
          <w:highlight w:val="none"/>
        </w:rPr>
        <w:t>，</w:t>
      </w:r>
      <w:r>
        <w:rPr>
          <w:rFonts w:hint="eastAsia" w:hAnsi="宋体"/>
          <w:b/>
          <w:bCs/>
          <w:color w:val="auto"/>
          <w:highlight w:val="none"/>
        </w:rPr>
        <w:t>经投标人确认</w:t>
      </w:r>
      <w:r>
        <w:rPr>
          <w:rFonts w:hAnsi="宋体"/>
          <w:b/>
          <w:bCs/>
          <w:color w:val="auto"/>
          <w:highlight w:val="none"/>
        </w:rPr>
        <w:t>后的投标报价对投标人具有</w:t>
      </w:r>
      <w:r>
        <w:rPr>
          <w:rFonts w:hint="eastAsia" w:hAnsi="宋体"/>
          <w:b/>
          <w:bCs/>
          <w:color w:val="auto"/>
          <w:highlight w:val="none"/>
        </w:rPr>
        <w:t>约束力，投标人不确认的，如</w:t>
      </w:r>
      <w:r>
        <w:rPr>
          <w:rFonts w:hAnsi="宋体"/>
          <w:b/>
          <w:bCs/>
          <w:color w:val="auto"/>
          <w:highlight w:val="none"/>
        </w:rPr>
        <w:t>果投标人不接受修正后的报价，则其投标将</w:t>
      </w:r>
      <w:r>
        <w:rPr>
          <w:rFonts w:hint="eastAsia" w:hAnsi="宋体"/>
          <w:b/>
          <w:bCs/>
          <w:color w:val="auto"/>
          <w:highlight w:val="none"/>
        </w:rPr>
        <w:t>作为无效投标处理</w:t>
      </w:r>
      <w:r>
        <w:rPr>
          <w:rFonts w:hAnsi="宋体"/>
          <w:b/>
          <w:bCs/>
          <w:color w:val="auto"/>
          <w:highlight w:val="none"/>
        </w:rPr>
        <w:t>。</w:t>
      </w:r>
    </w:p>
    <w:p>
      <w:pPr>
        <w:pStyle w:val="8"/>
        <w:tabs>
          <w:tab w:val="left" w:pos="630"/>
        </w:tabs>
        <w:snapToGrid w:val="0"/>
        <w:spacing w:beforeLines="0" w:afterLines="0" w:line="360" w:lineRule="auto"/>
        <w:ind w:firstLine="472" w:firstLineChars="196"/>
        <w:rPr>
          <w:rFonts w:hAnsi="宋体"/>
          <w:b/>
          <w:color w:val="auto"/>
          <w:highlight w:val="none"/>
        </w:rPr>
      </w:pPr>
      <w:r>
        <w:rPr>
          <w:rFonts w:hAnsi="宋体"/>
          <w:b/>
          <w:color w:val="auto"/>
          <w:highlight w:val="none"/>
        </w:rPr>
        <w:t>（六）评标原则</w:t>
      </w:r>
      <w:r>
        <w:rPr>
          <w:rFonts w:hint="eastAsia" w:hAnsi="宋体"/>
          <w:b/>
          <w:color w:val="auto"/>
          <w:highlight w:val="none"/>
        </w:rPr>
        <w:t>、</w:t>
      </w:r>
      <w:r>
        <w:rPr>
          <w:rFonts w:hAnsi="宋体"/>
          <w:b/>
          <w:color w:val="auto"/>
          <w:highlight w:val="none"/>
        </w:rPr>
        <w:t>办法</w:t>
      </w:r>
      <w:r>
        <w:rPr>
          <w:rFonts w:hint="eastAsia" w:hAnsi="宋体"/>
          <w:b/>
          <w:color w:val="auto"/>
          <w:highlight w:val="none"/>
        </w:rPr>
        <w:t>及依据</w:t>
      </w:r>
    </w:p>
    <w:p>
      <w:pPr>
        <w:pStyle w:val="8"/>
        <w:snapToGrid w:val="0"/>
        <w:spacing w:beforeLines="0" w:afterLines="0" w:line="240" w:lineRule="auto"/>
        <w:ind w:firstLine="480" w:firstLineChars="200"/>
        <w:rPr>
          <w:rFonts w:hAnsi="宋体"/>
          <w:color w:val="auto"/>
          <w:highlight w:val="none"/>
        </w:rPr>
      </w:pPr>
      <w:r>
        <w:rPr>
          <w:rFonts w:hAnsi="宋体"/>
          <w:color w:val="auto"/>
          <w:highlight w:val="none"/>
        </w:rPr>
        <w:t>1</w:t>
      </w:r>
      <w:r>
        <w:rPr>
          <w:rFonts w:hint="eastAsia" w:hAnsi="宋体"/>
          <w:color w:val="auto"/>
          <w:highlight w:val="none"/>
        </w:rPr>
        <w:t>.</w:t>
      </w:r>
      <w:r>
        <w:rPr>
          <w:rFonts w:hAnsi="宋体"/>
          <w:color w:val="auto"/>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8"/>
        <w:snapToGrid w:val="0"/>
        <w:spacing w:beforeLines="0" w:afterLines="0" w:line="240" w:lineRule="auto"/>
        <w:ind w:firstLine="480" w:firstLineChars="200"/>
        <w:rPr>
          <w:rFonts w:hAnsi="宋体"/>
          <w:color w:val="auto"/>
          <w:highlight w:val="none"/>
        </w:rPr>
      </w:pPr>
      <w:r>
        <w:rPr>
          <w:rFonts w:hAnsi="宋体"/>
          <w:color w:val="auto"/>
          <w:highlight w:val="none"/>
        </w:rPr>
        <w:t>2</w:t>
      </w:r>
      <w:r>
        <w:rPr>
          <w:rFonts w:hint="eastAsia" w:hAnsi="宋体"/>
          <w:color w:val="auto"/>
          <w:highlight w:val="none"/>
        </w:rPr>
        <w:t>.</w:t>
      </w:r>
      <w:r>
        <w:rPr>
          <w:rFonts w:hAnsi="宋体"/>
          <w:color w:val="auto"/>
          <w:highlight w:val="none"/>
        </w:rPr>
        <w:t>评标办法。本项目评标办法是</w:t>
      </w:r>
      <w:r>
        <w:rPr>
          <w:rFonts w:hint="eastAsia" w:hAnsi="宋体"/>
          <w:color w:val="auto"/>
          <w:highlight w:val="none"/>
          <w:u w:val="single"/>
        </w:rPr>
        <w:t>综合评分法</w:t>
      </w:r>
      <w:r>
        <w:rPr>
          <w:rFonts w:hAnsi="宋体"/>
          <w:color w:val="auto"/>
          <w:highlight w:val="none"/>
        </w:rPr>
        <w:t>，具体评标内容及评分标准等详见《第四章：评标办法及评分标准》。</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3、评标依据：评标委员会决定投标的响应性只根据投标文件的内容，而不寻求外部的证据。</w:t>
      </w:r>
    </w:p>
    <w:p>
      <w:pPr>
        <w:pStyle w:val="8"/>
        <w:snapToGrid w:val="0"/>
        <w:spacing w:beforeLines="0" w:afterLines="0" w:line="240" w:lineRule="auto"/>
        <w:ind w:firstLine="472" w:firstLineChars="196"/>
        <w:rPr>
          <w:rFonts w:hAnsi="宋体"/>
          <w:b/>
          <w:color w:val="auto"/>
          <w:highlight w:val="none"/>
        </w:rPr>
      </w:pPr>
      <w:r>
        <w:rPr>
          <w:rFonts w:hAnsi="宋体"/>
          <w:b/>
          <w:color w:val="auto"/>
          <w:highlight w:val="none"/>
        </w:rPr>
        <w:t>（七）评标过程的监控</w:t>
      </w:r>
    </w:p>
    <w:p>
      <w:pPr>
        <w:pStyle w:val="8"/>
        <w:snapToGrid w:val="0"/>
        <w:spacing w:beforeLines="0" w:afterLines="0" w:line="240" w:lineRule="auto"/>
        <w:ind w:firstLine="480" w:firstLineChars="200"/>
        <w:rPr>
          <w:rFonts w:hAnsi="宋体"/>
          <w:color w:val="auto"/>
          <w:highlight w:val="none"/>
        </w:rPr>
      </w:pPr>
      <w:r>
        <w:rPr>
          <w:rFonts w:hAnsi="宋体"/>
          <w:color w:val="auto"/>
          <w:highlight w:val="none"/>
        </w:rPr>
        <w:t>本项目评标过程实行全程录音、录像监控</w:t>
      </w:r>
      <w:r>
        <w:rPr>
          <w:rFonts w:hint="eastAsia" w:hAnsi="宋体"/>
          <w:color w:val="auto"/>
          <w:highlight w:val="none"/>
        </w:rPr>
        <w:t>，同时</w:t>
      </w:r>
      <w:r>
        <w:rPr>
          <w:rFonts w:hAnsi="宋体"/>
          <w:color w:val="auto"/>
          <w:highlight w:val="none"/>
        </w:rPr>
        <w:t>聘请</w:t>
      </w:r>
      <w:r>
        <w:rPr>
          <w:rFonts w:hint="eastAsia" w:hAnsi="宋体"/>
          <w:color w:val="auto"/>
          <w:highlight w:val="none"/>
          <w:u w:val="single"/>
        </w:rPr>
        <w:t xml:space="preserve">东阳市 </w:t>
      </w:r>
      <w:r>
        <w:rPr>
          <w:rFonts w:hAnsi="宋体"/>
          <w:color w:val="auto"/>
          <w:highlight w:val="none"/>
        </w:rPr>
        <w:t>公证处公证员进行现场监督，投标人在评标过程中所进行的</w:t>
      </w:r>
      <w:r>
        <w:rPr>
          <w:rFonts w:hint="eastAsia" w:hAnsi="宋体"/>
          <w:color w:val="auto"/>
          <w:highlight w:val="none"/>
        </w:rPr>
        <w:t>试</w:t>
      </w:r>
      <w:r>
        <w:rPr>
          <w:rFonts w:hAnsi="宋体"/>
          <w:color w:val="auto"/>
          <w:highlight w:val="none"/>
        </w:rPr>
        <w:t>图影响评标结果的不公正活动，可能导致其投标被拒绝。</w:t>
      </w:r>
    </w:p>
    <w:p>
      <w:pPr>
        <w:pStyle w:val="8"/>
        <w:snapToGrid w:val="0"/>
        <w:spacing w:beforeLines="0" w:afterLines="0" w:line="240" w:lineRule="auto"/>
        <w:ind w:firstLine="472" w:firstLineChars="196"/>
        <w:outlineLvl w:val="1"/>
        <w:rPr>
          <w:rFonts w:hAnsi="宋体"/>
          <w:b/>
          <w:color w:val="auto"/>
          <w:highlight w:val="none"/>
        </w:rPr>
      </w:pPr>
      <w:r>
        <w:rPr>
          <w:rFonts w:hint="eastAsia" w:hAnsi="宋体"/>
          <w:b/>
          <w:color w:val="auto"/>
          <w:highlight w:val="none"/>
        </w:rPr>
        <w:t>六、定标</w:t>
      </w:r>
    </w:p>
    <w:p>
      <w:pPr>
        <w:pStyle w:val="8"/>
        <w:snapToGrid w:val="0"/>
        <w:spacing w:beforeLines="0" w:afterLines="0" w:line="360" w:lineRule="auto"/>
        <w:ind w:firstLine="472" w:firstLineChars="196"/>
        <w:rPr>
          <w:rFonts w:hAnsi="宋体"/>
          <w:b/>
          <w:bCs/>
          <w:color w:val="auto"/>
          <w:highlight w:val="none"/>
        </w:rPr>
      </w:pPr>
      <w:r>
        <w:rPr>
          <w:rFonts w:hint="eastAsia" w:hAnsi="宋体"/>
          <w:b/>
          <w:bCs/>
          <w:color w:val="auto"/>
          <w:highlight w:val="none"/>
        </w:rPr>
        <w:t>（一）确定中标人。本项目由采购人授权评标委员会确定中标人。</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1．</w:t>
      </w:r>
      <w:r>
        <w:rPr>
          <w:rFonts w:hAnsi="宋体"/>
          <w:color w:val="auto"/>
          <w:highlight w:val="none"/>
        </w:rPr>
        <w:t>出现下列情形之一的，</w:t>
      </w:r>
      <w:r>
        <w:rPr>
          <w:rFonts w:hint="eastAsia" w:hAnsi="宋体"/>
          <w:color w:val="auto"/>
          <w:highlight w:val="none"/>
        </w:rPr>
        <w:t>采购单位或评标委员会</w:t>
      </w:r>
      <w:r>
        <w:rPr>
          <w:rFonts w:hAnsi="宋体"/>
          <w:color w:val="auto"/>
          <w:highlight w:val="none"/>
        </w:rPr>
        <w:t>可以直接确定排名第二的候选供应商为中标成交供应商。</w:t>
      </w:r>
    </w:p>
    <w:p>
      <w:pPr>
        <w:pStyle w:val="8"/>
        <w:snapToGrid w:val="0"/>
        <w:spacing w:beforeLines="0" w:afterLines="0" w:line="240" w:lineRule="auto"/>
        <w:ind w:firstLine="480" w:firstLineChars="200"/>
        <w:rPr>
          <w:rFonts w:hAnsi="宋体"/>
          <w:color w:val="auto"/>
          <w:highlight w:val="none"/>
        </w:rPr>
      </w:pPr>
      <w:r>
        <w:rPr>
          <w:rFonts w:hAnsi="宋体"/>
          <w:color w:val="auto"/>
          <w:highlight w:val="none"/>
        </w:rPr>
        <w:t>（1）排名第一的候选供应商，因自身原因放弃中标成交或因不可抗力不能履行合同的</w:t>
      </w:r>
      <w:r>
        <w:rPr>
          <w:rFonts w:hint="eastAsia" w:hAnsi="宋体"/>
          <w:color w:val="auto"/>
          <w:highlight w:val="none"/>
        </w:rPr>
        <w:t>；</w:t>
      </w:r>
    </w:p>
    <w:p>
      <w:pPr>
        <w:pStyle w:val="8"/>
        <w:snapToGrid w:val="0"/>
        <w:spacing w:beforeLines="0" w:afterLines="0" w:line="240" w:lineRule="auto"/>
        <w:ind w:firstLine="480" w:firstLineChars="200"/>
        <w:rPr>
          <w:rFonts w:hAnsi="宋体"/>
          <w:color w:val="auto"/>
          <w:highlight w:val="none"/>
        </w:rPr>
      </w:pPr>
      <w:r>
        <w:rPr>
          <w:rFonts w:hAnsi="宋体"/>
          <w:color w:val="auto"/>
          <w:highlight w:val="none"/>
        </w:rPr>
        <w:t>（</w:t>
      </w:r>
      <w:r>
        <w:rPr>
          <w:rFonts w:hint="eastAsia" w:hAnsi="宋体"/>
          <w:color w:val="auto"/>
          <w:highlight w:val="none"/>
        </w:rPr>
        <w:t>2</w:t>
      </w:r>
      <w:r>
        <w:rPr>
          <w:rFonts w:hAnsi="宋体"/>
          <w:color w:val="auto"/>
          <w:highlight w:val="none"/>
        </w:rPr>
        <w:t>）经质疑，采购组织机构审查确认因排名第一的候选供应商在本次采购活动中存在违法违规行为或其他原因使质疑成立的。</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2.</w:t>
      </w:r>
      <w:r>
        <w:rPr>
          <w:rFonts w:hAnsi="宋体"/>
          <w:color w:val="auto"/>
          <w:highlight w:val="none"/>
        </w:rPr>
        <w:t>招标方</w:t>
      </w:r>
      <w:r>
        <w:rPr>
          <w:rFonts w:hint="eastAsia" w:hAnsi="宋体"/>
          <w:color w:val="auto"/>
          <w:highlight w:val="none"/>
        </w:rPr>
        <w:t>一般将在2</w:t>
      </w:r>
      <w:r>
        <w:rPr>
          <w:rFonts w:hAnsi="宋体"/>
          <w:color w:val="auto"/>
          <w:highlight w:val="none"/>
        </w:rPr>
        <w:t>个工作日</w:t>
      </w:r>
      <w:r>
        <w:rPr>
          <w:rFonts w:hint="eastAsia" w:hAnsi="宋体"/>
          <w:color w:val="auto"/>
          <w:highlight w:val="none"/>
        </w:rPr>
        <w:t>内把</w:t>
      </w:r>
      <w:r>
        <w:rPr>
          <w:rFonts w:hAnsi="宋体"/>
          <w:color w:val="auto"/>
          <w:highlight w:val="none"/>
        </w:rPr>
        <w:t>评标</w:t>
      </w:r>
      <w:r>
        <w:rPr>
          <w:rFonts w:hint="eastAsia" w:hAnsi="宋体"/>
          <w:color w:val="auto"/>
          <w:highlight w:val="none"/>
        </w:rPr>
        <w:t>结果发布在</w:t>
      </w:r>
      <w:r>
        <w:rPr>
          <w:rFonts w:hAnsi="宋体"/>
          <w:color w:val="auto"/>
          <w:highlight w:val="none"/>
        </w:rPr>
        <w:t>发布招标公告的网站上进行</w:t>
      </w:r>
      <w:r>
        <w:rPr>
          <w:rFonts w:hint="eastAsia" w:hAnsi="宋体"/>
          <w:color w:val="auto"/>
          <w:highlight w:val="none"/>
        </w:rPr>
        <w:t>公告，公告经发布后不再以其他方式通知投标人，视同书面送达</w:t>
      </w:r>
      <w:r>
        <w:rPr>
          <w:rFonts w:hAnsi="宋体"/>
          <w:color w:val="auto"/>
          <w:highlight w:val="none"/>
        </w:rPr>
        <w:t>。</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3.</w:t>
      </w:r>
      <w:r>
        <w:rPr>
          <w:rFonts w:hAnsi="宋体"/>
          <w:color w:val="auto"/>
          <w:highlight w:val="none"/>
        </w:rPr>
        <w:t>投标人对评标结果无异议的，采购人应在收到评标报告后5个工作日内对评标结果进行确认。如有投标人对评标结果提出质疑的，采购人可在质疑处理完毕后确定中标人。</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4.评标委员会依法确定中标人后</w:t>
      </w:r>
      <w:r>
        <w:rPr>
          <w:rFonts w:hAnsi="宋体"/>
          <w:color w:val="auto"/>
          <w:highlight w:val="none"/>
        </w:rPr>
        <w:t>2个工作日内，招标方以书面形式发出《中标通知书》,并同时在相关网站上发布中标公告。</w:t>
      </w:r>
    </w:p>
    <w:p>
      <w:pPr>
        <w:pStyle w:val="8"/>
        <w:snapToGrid w:val="0"/>
        <w:spacing w:beforeLines="0" w:afterLines="0" w:line="240" w:lineRule="auto"/>
        <w:ind w:firstLine="551" w:firstLineChars="196"/>
        <w:outlineLvl w:val="1"/>
        <w:rPr>
          <w:rFonts w:hAnsi="宋体"/>
          <w:b/>
          <w:color w:val="auto"/>
          <w:sz w:val="28"/>
          <w:szCs w:val="28"/>
          <w:highlight w:val="none"/>
        </w:rPr>
      </w:pPr>
      <w:r>
        <w:rPr>
          <w:rFonts w:hint="eastAsia" w:hAnsi="宋体"/>
          <w:b/>
          <w:color w:val="auto"/>
          <w:sz w:val="28"/>
          <w:szCs w:val="28"/>
          <w:highlight w:val="none"/>
        </w:rPr>
        <w:t>七、合同授予</w:t>
      </w:r>
    </w:p>
    <w:p>
      <w:pPr>
        <w:pStyle w:val="8"/>
        <w:snapToGrid w:val="0"/>
        <w:spacing w:beforeLines="0" w:afterLines="0" w:line="240" w:lineRule="auto"/>
        <w:ind w:firstLine="472" w:firstLineChars="196"/>
        <w:rPr>
          <w:rFonts w:hAnsi="宋体"/>
          <w:color w:val="auto"/>
          <w:highlight w:val="none"/>
        </w:rPr>
      </w:pPr>
      <w:r>
        <w:rPr>
          <w:rFonts w:hint="eastAsia" w:hAnsi="宋体"/>
          <w:b/>
          <w:color w:val="auto"/>
          <w:highlight w:val="none"/>
        </w:rPr>
        <w:t>（一）签订合同</w:t>
      </w:r>
    </w:p>
    <w:p>
      <w:pPr>
        <w:snapToGrid w:val="0"/>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.招标方与</w:t>
      </w:r>
      <w:r>
        <w:rPr>
          <w:rFonts w:ascii="宋体" w:hAnsi="宋体"/>
          <w:color w:val="auto"/>
          <w:sz w:val="24"/>
          <w:highlight w:val="none"/>
        </w:rPr>
        <w:t>中标人应</w:t>
      </w:r>
      <w:r>
        <w:rPr>
          <w:rFonts w:hint="eastAsia" w:ascii="宋体" w:hAnsi="宋体"/>
          <w:color w:val="auto"/>
          <w:sz w:val="24"/>
          <w:highlight w:val="none"/>
        </w:rPr>
        <w:t>当在《</w:t>
      </w:r>
      <w:r>
        <w:rPr>
          <w:rFonts w:ascii="宋体" w:hAnsi="宋体"/>
          <w:color w:val="auto"/>
          <w:sz w:val="24"/>
          <w:highlight w:val="none"/>
        </w:rPr>
        <w:t>中标通知书</w:t>
      </w:r>
      <w:r>
        <w:rPr>
          <w:rFonts w:hint="eastAsia" w:ascii="宋体" w:hAnsi="宋体"/>
          <w:color w:val="auto"/>
          <w:sz w:val="24"/>
          <w:highlight w:val="none"/>
        </w:rPr>
        <w:t>》发出之日起30日内签订政府采购合同。</w:t>
      </w:r>
    </w:p>
    <w:p>
      <w:pPr>
        <w:snapToGrid w:val="0"/>
        <w:ind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中标人拖延、拒签合同的</w:t>
      </w:r>
      <w:r>
        <w:rPr>
          <w:rFonts w:hint="eastAsia" w:ascii="宋体" w:hAnsi="宋体"/>
          <w:color w:val="auto"/>
          <w:sz w:val="24"/>
          <w:highlight w:val="none"/>
        </w:rPr>
        <w:t>，</w:t>
      </w:r>
      <w:r>
        <w:rPr>
          <w:rFonts w:ascii="宋体" w:hAnsi="宋体"/>
          <w:color w:val="auto"/>
          <w:sz w:val="24"/>
          <w:highlight w:val="none"/>
        </w:rPr>
        <w:t>将被扣罚投标保证金并取消中标资格。</w:t>
      </w:r>
    </w:p>
    <w:p>
      <w:pPr>
        <w:snapToGrid w:val="0"/>
        <w:ind w:firstLine="480" w:firstLineChars="200"/>
        <w:rPr>
          <w:rFonts w:ascii="宋体" w:hAnsi="宋体"/>
          <w:color w:val="auto"/>
          <w:sz w:val="24"/>
          <w:highlight w:val="none"/>
        </w:rPr>
      </w:pPr>
      <w:r>
        <w:rPr>
          <w:rFonts w:hint="eastAsia" w:ascii="宋体" w:hAnsi="宋体"/>
          <w:color w:val="auto"/>
          <w:sz w:val="24"/>
          <w:highlight w:val="none"/>
        </w:rPr>
        <w:t>3.中标通知书发出后，若中标人放弃中标，应当承担相应的法律责任，中标通知书对采购人和中标人具有同等法律效力。当确定的中标人放弃中标，采购人可以依次类推，由第二预中标人中标，或重新组织招标。</w:t>
      </w:r>
    </w:p>
    <w:p>
      <w:pPr>
        <w:pStyle w:val="8"/>
        <w:snapToGrid w:val="0"/>
        <w:spacing w:beforeLines="0" w:afterLines="0" w:line="240" w:lineRule="auto"/>
        <w:ind w:firstLine="472" w:firstLineChars="196"/>
        <w:rPr>
          <w:rFonts w:hAnsi="宋体"/>
          <w:b/>
          <w:color w:val="auto"/>
          <w:highlight w:val="none"/>
        </w:rPr>
      </w:pPr>
      <w:r>
        <w:rPr>
          <w:rFonts w:hAnsi="宋体"/>
          <w:b/>
          <w:color w:val="auto"/>
          <w:highlight w:val="none"/>
        </w:rPr>
        <w:t>（二）履约保证金</w:t>
      </w:r>
    </w:p>
    <w:p>
      <w:pPr>
        <w:pStyle w:val="8"/>
        <w:snapToGrid w:val="0"/>
        <w:spacing w:beforeLines="0" w:afterLines="0" w:line="240" w:lineRule="auto"/>
        <w:ind w:firstLine="480" w:firstLineChars="200"/>
        <w:rPr>
          <w:rFonts w:hAnsi="宋体"/>
          <w:color w:val="auto"/>
          <w:highlight w:val="none"/>
        </w:rPr>
      </w:pPr>
      <w:r>
        <w:rPr>
          <w:rFonts w:hAnsi="宋体"/>
          <w:color w:val="auto"/>
          <w:highlight w:val="none"/>
        </w:rPr>
        <w:t>1</w:t>
      </w:r>
      <w:r>
        <w:rPr>
          <w:rFonts w:hint="eastAsia" w:hAnsi="宋体"/>
          <w:color w:val="auto"/>
          <w:highlight w:val="none"/>
        </w:rPr>
        <w:t>.中标人按要求签订合同后，投标保证金自动转为履约保证金，在货到验收合格后10日凭《退履约保证金的函》（此表格下载步骤：http://ggzyjy.dongyang.gov.cn/——政府采购模块——资料下载——</w:t>
      </w:r>
      <w:r>
        <w:rPr>
          <w:color w:val="auto"/>
          <w:highlight w:val="none"/>
        </w:rPr>
        <w:fldChar w:fldCharType="begin"/>
      </w:r>
      <w:r>
        <w:rPr>
          <w:color w:val="auto"/>
          <w:highlight w:val="none"/>
        </w:rPr>
        <w:instrText xml:space="preserve"> HYPERLINK "http://ggzyjy.dongyang.gov.cn/zfcgzlxz/15961.htm" \t "http://ggzyjy.dongyang.gov.cn/zfcgzlxz/_blank" </w:instrText>
      </w:r>
      <w:r>
        <w:rPr>
          <w:color w:val="auto"/>
          <w:highlight w:val="none"/>
        </w:rPr>
        <w:fldChar w:fldCharType="separate"/>
      </w:r>
      <w:r>
        <w:rPr>
          <w:rFonts w:hint="eastAsia" w:hAnsi="宋体"/>
          <w:color w:val="auto"/>
          <w:highlight w:val="none"/>
        </w:rPr>
        <w:t xml:space="preserve">退履约保证金的函 </w:t>
      </w:r>
      <w:r>
        <w:rPr>
          <w:rFonts w:hint="eastAsia" w:hAnsi="宋体"/>
          <w:color w:val="auto"/>
          <w:highlight w:val="none"/>
        </w:rPr>
        <w:fldChar w:fldCharType="end"/>
      </w:r>
      <w:r>
        <w:rPr>
          <w:rFonts w:hint="eastAsia" w:hAnsi="宋体"/>
          <w:color w:val="auto"/>
          <w:highlight w:val="none"/>
        </w:rPr>
        <w:t>）退还（无息）。</w:t>
      </w:r>
    </w:p>
    <w:p>
      <w:pPr>
        <w:snapToGrid w:val="0"/>
        <w:ind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签订合同后，如中标人不按双方合同约定履约，则没收其全部履约保证金，履约保证金不足以赔偿损失的，按实际损失赔偿。</w:t>
      </w:r>
    </w:p>
    <w:p>
      <w:pPr>
        <w:pStyle w:val="8"/>
        <w:snapToGrid w:val="0"/>
        <w:spacing w:beforeLines="0" w:afterLines="0" w:line="240" w:lineRule="auto"/>
        <w:ind w:firstLine="480" w:firstLineChars="200"/>
        <w:rPr>
          <w:rFonts w:hAnsi="宋体"/>
          <w:color w:val="auto"/>
          <w:highlight w:val="none"/>
        </w:rPr>
      </w:pPr>
      <w:r>
        <w:rPr>
          <w:rFonts w:hint="eastAsia" w:hAnsi="宋体"/>
          <w:color w:val="auto"/>
          <w:highlight w:val="none"/>
        </w:rPr>
        <w:t>3. 全部物到达交货地点，安装、调试并验收合格后，一次性付清全款。</w:t>
      </w:r>
    </w:p>
    <w:p>
      <w:pPr>
        <w:pStyle w:val="8"/>
        <w:snapToGrid w:val="0"/>
        <w:spacing w:beforeLines="0" w:afterLines="0" w:line="240" w:lineRule="auto"/>
        <w:ind w:firstLine="480" w:firstLineChars="200"/>
        <w:rPr>
          <w:rFonts w:hAnsi="宋体"/>
          <w:color w:val="auto"/>
          <w:highlight w:val="none"/>
        </w:rPr>
      </w:pPr>
    </w:p>
    <w:p>
      <w:pPr>
        <w:pStyle w:val="8"/>
        <w:snapToGrid w:val="0"/>
        <w:spacing w:beforeLines="0" w:afterLines="0" w:line="240" w:lineRule="auto"/>
        <w:ind w:firstLine="480" w:firstLineChars="200"/>
        <w:rPr>
          <w:rFonts w:hAnsi="宋体"/>
          <w:color w:val="auto"/>
          <w:highlight w:val="none"/>
        </w:rPr>
      </w:pPr>
    </w:p>
    <w:p>
      <w:pPr>
        <w:pStyle w:val="8"/>
        <w:snapToGrid w:val="0"/>
        <w:spacing w:beforeLines="0" w:afterLines="0" w:line="240" w:lineRule="auto"/>
        <w:ind w:firstLine="480" w:firstLineChars="200"/>
        <w:rPr>
          <w:rFonts w:hAnsi="宋体"/>
          <w:color w:val="auto"/>
          <w:highlight w:val="none"/>
        </w:rPr>
      </w:pPr>
    </w:p>
    <w:p>
      <w:pPr>
        <w:pStyle w:val="8"/>
        <w:snapToGrid w:val="0"/>
        <w:spacing w:beforeLines="0" w:afterLines="0" w:line="240" w:lineRule="auto"/>
        <w:ind w:firstLine="480" w:firstLineChars="200"/>
        <w:jc w:val="center"/>
        <w:rPr>
          <w:rFonts w:ascii="黑体" w:hAnsi="宋体" w:eastAsia="黑体"/>
          <w:b/>
          <w:color w:val="auto"/>
          <w:sz w:val="30"/>
          <w:szCs w:val="30"/>
          <w:highlight w:val="none"/>
        </w:rPr>
      </w:pPr>
      <w:r>
        <w:rPr>
          <w:rFonts w:hAnsi="宋体"/>
          <w:color w:val="auto"/>
          <w:highlight w:val="none"/>
        </w:rPr>
        <w:br w:type="page"/>
      </w:r>
      <w:r>
        <w:rPr>
          <w:rFonts w:hint="eastAsia" w:ascii="黑体" w:hAnsi="宋体" w:eastAsia="黑体"/>
          <w:b/>
          <w:color w:val="auto"/>
          <w:sz w:val="30"/>
          <w:szCs w:val="30"/>
          <w:highlight w:val="none"/>
        </w:rPr>
        <w:t>第四章 评标办法及评分标准</w:t>
      </w:r>
    </w:p>
    <w:p>
      <w:pPr>
        <w:pStyle w:val="8"/>
        <w:snapToGrid w:val="0"/>
        <w:spacing w:before="120" w:afterLines="0" w:line="240" w:lineRule="auto"/>
        <w:outlineLvl w:val="0"/>
        <w:rPr>
          <w:rFonts w:ascii="黑体" w:hAnsi="宋体" w:eastAsia="黑体"/>
          <w:b/>
          <w:color w:val="auto"/>
          <w:sz w:val="30"/>
          <w:szCs w:val="30"/>
          <w:highlight w:val="none"/>
        </w:rPr>
      </w:pP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为公正、公平、科学地选择中标人，根据《中华人民共和国政府采购法》等有关法律法规的规定，并结合本项目的实际，制定本办法。</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本办法适用于</w:t>
      </w:r>
      <w:r>
        <w:rPr>
          <w:rFonts w:hint="eastAsia" w:hAnsi="宋体"/>
          <w:b/>
          <w:bCs/>
          <w:color w:val="auto"/>
          <w:highlight w:val="none"/>
        </w:rPr>
        <w:t>东阳市自然资源和规划局办公家具采购项目</w:t>
      </w:r>
      <w:r>
        <w:rPr>
          <w:rFonts w:hint="eastAsia" w:ascii="宋体" w:hAnsi="宋体"/>
          <w:color w:val="auto"/>
          <w:sz w:val="24"/>
          <w:highlight w:val="none"/>
        </w:rPr>
        <w:t>的评标。</w:t>
      </w:r>
    </w:p>
    <w:p>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一、总则</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本次评标采用综合评分法，总分为100分，其中价格分、技术分、商务分、资信及其他分见第二条《评标内容及标准》。合格投标人的评标得分为各项目汇总得分，中标候选资格按评标综合得分由高到低顺序排列，得分相同的，按投标报价由低到高顺序排列；得分且投标报价相同的，按技术、商务、资信及其他分得分由高到低顺序排列。排名第一的投标人为中标候选人,排名第二的投标人为候补中标候选人，其他投标人中标候选资格依此类推。评分过程中采用四舍五入法，并保留小数2位。</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投标人评标综合得分=价格分+技术分+商务分+资信及其他分</w:t>
      </w:r>
    </w:p>
    <w:p>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二、评标内容及标准</w:t>
      </w:r>
    </w:p>
    <w:p>
      <w:pPr>
        <w:spacing w:before="120" w:beforeLines="50" w:after="120" w:afterLines="50"/>
        <w:ind w:firstLine="472" w:firstLineChars="196"/>
        <w:rPr>
          <w:rFonts w:ascii="宋体" w:hAnsi="宋体"/>
          <w:b/>
          <w:bCs/>
          <w:color w:val="auto"/>
          <w:sz w:val="24"/>
          <w:highlight w:val="none"/>
        </w:rPr>
      </w:pPr>
      <w:r>
        <w:rPr>
          <w:rFonts w:ascii="宋体" w:hAnsi="宋体"/>
          <w:b/>
          <w:bCs/>
          <w:color w:val="auto"/>
          <w:sz w:val="24"/>
          <w:highlight w:val="none"/>
        </w:rPr>
        <w:t>（</w:t>
      </w:r>
      <w:r>
        <w:rPr>
          <w:rFonts w:hint="eastAsia" w:ascii="宋体" w:hAnsi="宋体"/>
          <w:b/>
          <w:bCs/>
          <w:color w:val="auto"/>
          <w:sz w:val="24"/>
          <w:highlight w:val="none"/>
        </w:rPr>
        <w:t>一</w:t>
      </w:r>
      <w:r>
        <w:rPr>
          <w:rFonts w:ascii="宋体" w:hAnsi="宋体"/>
          <w:b/>
          <w:bCs/>
          <w:color w:val="auto"/>
          <w:sz w:val="24"/>
          <w:highlight w:val="none"/>
        </w:rPr>
        <w:t>）价格分（</w:t>
      </w:r>
      <w:r>
        <w:rPr>
          <w:rFonts w:hint="eastAsia" w:ascii="宋体" w:hAnsi="宋体"/>
          <w:b/>
          <w:bCs/>
          <w:color w:val="auto"/>
          <w:sz w:val="24"/>
          <w:highlight w:val="none"/>
        </w:rPr>
        <w:t>40</w:t>
      </w:r>
      <w:r>
        <w:rPr>
          <w:rFonts w:ascii="宋体" w:hAnsi="宋体"/>
          <w:b/>
          <w:bCs/>
          <w:color w:val="auto"/>
          <w:sz w:val="24"/>
          <w:highlight w:val="none"/>
        </w:rPr>
        <w:t>分）</w:t>
      </w:r>
    </w:p>
    <w:p>
      <w:pPr>
        <w:pStyle w:val="7"/>
        <w:spacing w:before="120" w:beforeLines="50" w:after="120" w:afterLines="50" w:line="400" w:lineRule="exact"/>
        <w:ind w:firstLine="464" w:firstLineChars="200"/>
        <w:rPr>
          <w:rFonts w:hAnsi="宋体"/>
          <w:bCs/>
          <w:color w:val="auto"/>
          <w:sz w:val="24"/>
          <w:highlight w:val="none"/>
        </w:rPr>
      </w:pPr>
      <w:r>
        <w:rPr>
          <w:rFonts w:hint="eastAsia" w:hAnsi="宋体"/>
          <w:bCs/>
          <w:color w:val="auto"/>
          <w:sz w:val="24"/>
          <w:highlight w:val="none"/>
        </w:rPr>
        <w:t>1、价格分采用低价优先法计算，取所有进入报价评审的投标人中投标价格最低的投标报价为评标基准价，其他投标人的价格分按照下列公式计算：</w:t>
      </w:r>
    </w:p>
    <w:p>
      <w:pPr>
        <w:spacing w:before="120" w:beforeLines="50" w:after="120" w:afterLines="50"/>
        <w:ind w:firstLine="470" w:firstLineChars="196"/>
        <w:rPr>
          <w:rFonts w:ascii="宋体" w:hAnsi="宋体"/>
          <w:bCs/>
          <w:color w:val="auto"/>
          <w:spacing w:val="-4"/>
          <w:sz w:val="24"/>
          <w:szCs w:val="20"/>
          <w:highlight w:val="none"/>
        </w:rPr>
      </w:pPr>
      <w:r>
        <w:rPr>
          <w:rFonts w:hint="eastAsia" w:hAnsi="宋体"/>
          <w:bCs/>
          <w:color w:val="auto"/>
          <w:sz w:val="24"/>
          <w:highlight w:val="none"/>
        </w:rPr>
        <w:t>价格分=（评标基准价/投标报价</w:t>
      </w:r>
      <w:r>
        <w:rPr>
          <w:rFonts w:hint="eastAsia" w:ascii="宋体" w:hAnsi="宋体"/>
          <w:bCs/>
          <w:color w:val="auto"/>
          <w:spacing w:val="-4"/>
          <w:sz w:val="24"/>
          <w:szCs w:val="20"/>
          <w:highlight w:val="none"/>
        </w:rPr>
        <w:t>）×40分</w:t>
      </w:r>
    </w:p>
    <w:p>
      <w:pPr>
        <w:tabs>
          <w:tab w:val="left" w:pos="982"/>
        </w:tabs>
        <w:snapToGrid w:val="0"/>
        <w:ind w:left="-2" w:leftChars="-1" w:firstLine="512" w:firstLineChars="220"/>
        <w:rPr>
          <w:rFonts w:ascii="宋体" w:hAnsi="宋体"/>
          <w:b/>
          <w:color w:val="auto"/>
          <w:spacing w:val="-4"/>
          <w:sz w:val="24"/>
          <w:highlight w:val="none"/>
        </w:rPr>
      </w:pPr>
      <w:r>
        <w:rPr>
          <w:rFonts w:hint="eastAsia" w:ascii="宋体" w:hAnsi="宋体"/>
          <w:b/>
          <w:color w:val="auto"/>
          <w:spacing w:val="-4"/>
          <w:sz w:val="24"/>
          <w:highlight w:val="none"/>
        </w:rPr>
        <w:t>2、依据《政府采购促进中小企业发展暂行办法》（财库〔2011〕181号）文件、《财政部、司法部关于政府采购支持监狱企业发展有关问题的通知》（财库〔2014〕68号）文件及《财政部、民政部、中国残疾人联合会关于促进残疾人就业政府采购政策的通知》（财库〔2017〕 141号）的规定，对小型和微型企业、监狱企业、残疾人福利性单位生产的产品价格给予6%～10%的扣除，用扣除后的价格参与评审。本项目的扣除比例为6 %。小型和微型企业是指投标文件中提供了中小企业声明函且符合《政府采购促进中小企业发展暂行办法》（财库〔2011〕181号）规定的要求并符合《工业和信息化部、国家统计局、国家发展和改革委员会、财政部关于印发中小企业划型标准规定的通知》（工信部联企业〔2011〕300号）规定的小、微企业的划型标准规定。残疾人福利性单位是指投标文件中提供了残疾人福利性单位声明函且符合《财政部、民政部、中国残疾人联合会关于促进残疾人就业政府采购政策的通知》（财库〔2017〕 141号）规定的企业。监狱企业是指投标文件中提供了由省级以上监狱管理局、戒毒管理局（含新疆生产建设兵团）出具的属于监狱企业的证明文件的企业。</w:t>
      </w:r>
    </w:p>
    <w:p>
      <w:pPr>
        <w:pStyle w:val="15"/>
        <w:spacing w:before="72" w:beforeLines="30" w:beforeAutospacing="0" w:after="72" w:afterLines="30" w:afterAutospacing="0" w:line="320" w:lineRule="exact"/>
        <w:ind w:firstLine="466" w:firstLineChars="200"/>
        <w:rPr>
          <w:bCs/>
          <w:color w:val="auto"/>
          <w:highlight w:val="none"/>
        </w:rPr>
      </w:pPr>
      <w:r>
        <w:rPr>
          <w:rFonts w:hint="eastAsia"/>
          <w:b/>
          <w:color w:val="auto"/>
          <w:spacing w:val="-4"/>
          <w:kern w:val="2"/>
          <w:highlight w:val="none"/>
        </w:rPr>
        <w:t>小微企业的评审价格=小微企业的投标报价 － 小型、微型企业生产的产品</w:t>
      </w:r>
      <w:r>
        <w:rPr>
          <w:rFonts w:hint="eastAsia"/>
          <w:b/>
          <w:color w:val="auto"/>
          <w:spacing w:val="-4"/>
          <w:kern w:val="2"/>
          <w:highlight w:val="none"/>
          <w:lang w:val="en-GB"/>
        </w:rPr>
        <w:t>金额合计</w:t>
      </w:r>
      <w:r>
        <w:rPr>
          <w:rFonts w:hint="eastAsia"/>
          <w:b/>
          <w:color w:val="auto"/>
          <w:spacing w:val="-4"/>
          <w:kern w:val="2"/>
          <w:highlight w:val="none"/>
        </w:rPr>
        <w:t>×6%</w:t>
      </w:r>
    </w:p>
    <w:p>
      <w:pPr>
        <w:pStyle w:val="7"/>
        <w:spacing w:line="360" w:lineRule="auto"/>
        <w:ind w:firstLine="466" w:firstLineChars="200"/>
        <w:rPr>
          <w:rFonts w:hAnsi="宋体"/>
          <w:b/>
          <w:color w:val="auto"/>
          <w:sz w:val="24"/>
          <w:szCs w:val="24"/>
          <w:highlight w:val="none"/>
        </w:rPr>
      </w:pPr>
      <w:r>
        <w:rPr>
          <w:rFonts w:hint="eastAsia" w:hAnsi="宋体"/>
          <w:b/>
          <w:color w:val="auto"/>
          <w:sz w:val="24"/>
          <w:szCs w:val="24"/>
          <w:highlight w:val="none"/>
        </w:rPr>
        <w:t>（二）技术分、商务分、资信及其他分，共60分。</w:t>
      </w:r>
    </w:p>
    <w:p>
      <w:pPr>
        <w:pStyle w:val="7"/>
        <w:spacing w:before="120" w:beforeLines="50" w:after="120" w:afterLines="50" w:line="320" w:lineRule="exact"/>
        <w:ind w:firstLine="466" w:firstLineChars="200"/>
        <w:rPr>
          <w:rFonts w:hAnsi="宋体"/>
          <w:b/>
          <w:color w:val="auto"/>
          <w:sz w:val="24"/>
          <w:szCs w:val="24"/>
          <w:highlight w:val="none"/>
        </w:rPr>
      </w:pPr>
      <w:r>
        <w:rPr>
          <w:rFonts w:hint="eastAsia" w:hAnsi="宋体"/>
          <w:b/>
          <w:color w:val="auto"/>
          <w:sz w:val="24"/>
          <w:szCs w:val="24"/>
          <w:highlight w:val="none"/>
        </w:rPr>
        <w:t>所有投标人均开启报价文件并唱标，符合第三章（八）特别说明1.规定的情况时，多个供应商按一个供应商计算，具体入围供应商选择按“第三章（八）特别说明”规定处理。评审过程中有效投标人不足3名时，本标项予以废标，择期将重新组织招标。</w:t>
      </w:r>
    </w:p>
    <w:p>
      <w:pPr>
        <w:spacing w:line="400" w:lineRule="exact"/>
        <w:ind w:firstLine="472" w:firstLineChars="196"/>
        <w:rPr>
          <w:rFonts w:ascii="宋体" w:hAnsi="宋体"/>
          <w:b/>
          <w:bCs/>
          <w:color w:val="auto"/>
          <w:sz w:val="24"/>
          <w:highlight w:val="none"/>
        </w:rPr>
      </w:pPr>
      <w:r>
        <w:rPr>
          <w:rFonts w:hint="eastAsia" w:ascii="宋体" w:hAnsi="宋体"/>
          <w:b/>
          <w:bCs/>
          <w:color w:val="auto"/>
          <w:sz w:val="24"/>
          <w:highlight w:val="none"/>
        </w:rPr>
        <w:t>（三）技术、商务、资信及其他分的计算</w:t>
      </w:r>
    </w:p>
    <w:p>
      <w:pPr>
        <w:spacing w:before="120" w:beforeLines="50" w:after="120" w:afterLines="50" w:line="276" w:lineRule="auto"/>
        <w:ind w:firstLine="480" w:firstLineChars="200"/>
        <w:rPr>
          <w:rFonts w:ascii="宋体" w:hAnsi="宋体"/>
          <w:color w:val="auto"/>
          <w:sz w:val="24"/>
          <w:highlight w:val="none"/>
        </w:rPr>
      </w:pPr>
      <w:r>
        <w:rPr>
          <w:rFonts w:hint="eastAsia" w:ascii="宋体" w:hAnsi="宋体"/>
          <w:color w:val="auto"/>
          <w:sz w:val="24"/>
          <w:highlight w:val="none"/>
        </w:rPr>
        <w:t>技术、商务及其它、资信分按照评标委员会成员的独立评分结果的算术平均分计算，计算公式为：</w:t>
      </w:r>
    </w:p>
    <w:p>
      <w:pPr>
        <w:spacing w:before="120" w:beforeLines="50" w:after="120" w:afterLines="50" w:line="276" w:lineRule="auto"/>
        <w:ind w:firstLine="495"/>
        <w:rPr>
          <w:rFonts w:ascii="宋体" w:hAnsi="宋体"/>
          <w:b/>
          <w:color w:val="auto"/>
          <w:sz w:val="24"/>
          <w:highlight w:val="none"/>
        </w:rPr>
      </w:pPr>
      <w:r>
        <w:rPr>
          <w:rFonts w:hint="eastAsia" w:ascii="宋体" w:hAnsi="宋体"/>
          <w:color w:val="auto"/>
          <w:sz w:val="24"/>
          <w:highlight w:val="none"/>
        </w:rPr>
        <w:t>技术、商务及其它、资信分=评标委员会所有成员评分合计数/评标委员会组成人员数</w:t>
      </w:r>
    </w:p>
    <w:p>
      <w:pPr>
        <w:pStyle w:val="8"/>
        <w:snapToGrid w:val="0"/>
        <w:spacing w:before="120" w:after="120" w:line="240" w:lineRule="auto"/>
        <w:rPr>
          <w:rFonts w:hAnsi="宋体"/>
          <w:b/>
          <w:bCs/>
          <w:color w:val="auto"/>
          <w:highlight w:val="none"/>
        </w:rPr>
      </w:pPr>
      <w:r>
        <w:rPr>
          <w:rFonts w:hint="eastAsia" w:hAnsi="宋体"/>
          <w:b/>
          <w:bCs/>
          <w:color w:val="auto"/>
          <w:highlight w:val="none"/>
        </w:rPr>
        <w:t>评分表格式（技术、资信及其他分，共60分）</w:t>
      </w:r>
    </w:p>
    <w:tbl>
      <w:tblPr>
        <w:tblStyle w:val="18"/>
        <w:tblW w:w="962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6"/>
        <w:gridCol w:w="1323"/>
        <w:gridCol w:w="6605"/>
        <w:gridCol w:w="8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序号</w:t>
            </w:r>
          </w:p>
        </w:tc>
        <w:tc>
          <w:tcPr>
            <w:tcW w:w="1323" w:type="dxa"/>
            <w:tcBorders>
              <w:top w:val="single" w:color="auto" w:sz="4" w:space="0"/>
              <w:left w:val="single" w:color="auto" w:sz="4" w:space="0"/>
              <w:bottom w:val="single" w:color="auto" w:sz="4" w:space="0"/>
              <w:right w:val="single" w:color="auto" w:sz="4" w:space="0"/>
            </w:tcBorders>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评审内容</w:t>
            </w:r>
          </w:p>
        </w:tc>
        <w:tc>
          <w:tcPr>
            <w:tcW w:w="6605" w:type="dxa"/>
            <w:tcBorders>
              <w:top w:val="single" w:color="auto" w:sz="4" w:space="0"/>
              <w:left w:val="single" w:color="auto" w:sz="4" w:space="0"/>
              <w:bottom w:val="single" w:color="auto" w:sz="4" w:space="0"/>
              <w:right w:val="single" w:color="auto" w:sz="4" w:space="0"/>
            </w:tcBorders>
            <w:vAlign w:val="center"/>
          </w:tcPr>
          <w:p>
            <w:pPr>
              <w:pStyle w:val="14"/>
              <w:ind w:firstLine="482"/>
              <w:jc w:val="center"/>
              <w:rPr>
                <w:rFonts w:ascii="宋体" w:eastAsia="宋体"/>
                <w:b/>
                <w:bCs/>
                <w:color w:val="auto"/>
                <w:highlight w:val="none"/>
              </w:rPr>
            </w:pPr>
            <w:r>
              <w:rPr>
                <w:rFonts w:hint="eastAsia" w:ascii="宋体" w:eastAsia="宋体"/>
                <w:b/>
                <w:bCs/>
                <w:color w:val="auto"/>
                <w:highlight w:val="none"/>
              </w:rPr>
              <w:t>评分标准</w:t>
            </w:r>
          </w:p>
        </w:tc>
        <w:tc>
          <w:tcPr>
            <w:tcW w:w="874" w:type="dxa"/>
            <w:tcBorders>
              <w:top w:val="single" w:color="auto" w:sz="4" w:space="0"/>
              <w:left w:val="single" w:color="auto" w:sz="4" w:space="0"/>
              <w:bottom w:val="single" w:color="auto" w:sz="4" w:space="0"/>
              <w:right w:val="single" w:color="auto" w:sz="4" w:space="0"/>
            </w:tcBorders>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9628"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color w:val="auto"/>
                <w:sz w:val="24"/>
                <w:highlight w:val="none"/>
              </w:rPr>
            </w:pPr>
            <w:r>
              <w:rPr>
                <w:rFonts w:hint="eastAsia" w:ascii="宋体" w:hAnsi="宋体"/>
                <w:b/>
                <w:color w:val="auto"/>
                <w:sz w:val="24"/>
                <w:highlight w:val="none"/>
              </w:rPr>
              <w:t xml:space="preserve">二、技术分 </w:t>
            </w:r>
            <w:r>
              <w:rPr>
                <w:rFonts w:ascii="宋体" w:hAnsi="宋体"/>
                <w:b/>
                <w:color w:val="auto"/>
                <w:sz w:val="24"/>
                <w:highlight w:val="none"/>
              </w:rPr>
              <w:t>16</w:t>
            </w:r>
            <w:r>
              <w:rPr>
                <w:rFonts w:hint="eastAsia" w:ascii="宋体" w:hAnsi="宋体"/>
                <w:b/>
                <w:color w:val="auto"/>
                <w:sz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1</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生产设备水平</w:t>
            </w:r>
          </w:p>
        </w:tc>
        <w:tc>
          <w:tcPr>
            <w:tcW w:w="6605" w:type="dxa"/>
            <w:tcBorders>
              <w:top w:val="single" w:color="auto" w:sz="4" w:space="0"/>
              <w:left w:val="single" w:color="auto" w:sz="4" w:space="0"/>
              <w:bottom w:val="single" w:color="auto" w:sz="4" w:space="0"/>
              <w:right w:val="single" w:color="auto" w:sz="4" w:space="0"/>
            </w:tcBorders>
            <w:vAlign w:val="center"/>
          </w:tcPr>
          <w:p>
            <w:pPr>
              <w:pStyle w:val="14"/>
              <w:ind w:firstLine="0" w:firstLineChars="0"/>
              <w:jc w:val="both"/>
              <w:rPr>
                <w:rFonts w:hint="eastAsia" w:ascii="宋体" w:eastAsia="宋体"/>
                <w:color w:val="auto"/>
                <w:highlight w:val="none"/>
              </w:rPr>
            </w:pPr>
            <w:r>
              <w:rPr>
                <w:rFonts w:hint="eastAsia" w:ascii="宋体" w:eastAsia="宋体"/>
                <w:color w:val="auto"/>
                <w:highlight w:val="none"/>
              </w:rPr>
              <w:t>1</w:t>
            </w:r>
            <w:r>
              <w:rPr>
                <w:rFonts w:ascii="宋体" w:eastAsia="宋体"/>
                <w:color w:val="auto"/>
                <w:highlight w:val="none"/>
              </w:rPr>
              <w:t>.</w:t>
            </w:r>
            <w:r>
              <w:rPr>
                <w:rFonts w:hint="eastAsia" w:ascii="宋体" w:eastAsia="宋体"/>
                <w:color w:val="auto"/>
                <w:highlight w:val="none"/>
              </w:rPr>
              <w:t>公司现有主要生产设备及环保设备情况情况（品牌、产地、规格、用途的详细说明）：提供生产的设备数量、设备数量综合比较分（要求提供设备进货发票复印件或相关证明，并制作在投标商务文件中）2分。</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3</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产品检验报告</w:t>
            </w:r>
          </w:p>
        </w:tc>
        <w:tc>
          <w:tcPr>
            <w:tcW w:w="6605" w:type="dxa"/>
            <w:tcBorders>
              <w:top w:val="single" w:color="auto" w:sz="4" w:space="0"/>
              <w:left w:val="single" w:color="auto" w:sz="4" w:space="0"/>
              <w:bottom w:val="single" w:color="auto" w:sz="4" w:space="0"/>
              <w:right w:val="single" w:color="auto" w:sz="4" w:space="0"/>
            </w:tcBorders>
            <w:vAlign w:val="center"/>
          </w:tcPr>
          <w:p>
            <w:pPr>
              <w:pStyle w:val="14"/>
              <w:ind w:firstLine="0" w:firstLineChars="0"/>
              <w:jc w:val="both"/>
              <w:rPr>
                <w:rFonts w:ascii="宋体" w:eastAsia="宋体"/>
                <w:color w:val="auto"/>
                <w:highlight w:val="none"/>
              </w:rPr>
            </w:pPr>
            <w:r>
              <w:rPr>
                <w:rFonts w:hint="eastAsia" w:ascii="宋体" w:eastAsia="宋体"/>
                <w:color w:val="auto"/>
                <w:highlight w:val="none"/>
              </w:rPr>
              <w:t>提供2</w:t>
            </w:r>
            <w:r>
              <w:rPr>
                <w:rFonts w:ascii="宋体" w:eastAsia="宋体"/>
                <w:color w:val="auto"/>
                <w:highlight w:val="none"/>
              </w:rPr>
              <w:t>01</w:t>
            </w:r>
            <w:r>
              <w:rPr>
                <w:rFonts w:hint="eastAsia" w:ascii="宋体" w:eastAsia="宋体"/>
                <w:color w:val="auto"/>
                <w:highlight w:val="none"/>
              </w:rPr>
              <w:t>8年4月20日至今投标对应产品的国家质量检测部门出具的省级以上检测报告，每个得0.</w:t>
            </w:r>
            <w:r>
              <w:rPr>
                <w:rFonts w:ascii="宋体" w:eastAsia="宋体"/>
                <w:color w:val="auto"/>
                <w:highlight w:val="none"/>
              </w:rPr>
              <w:t>5</w:t>
            </w:r>
            <w:r>
              <w:rPr>
                <w:rFonts w:hint="eastAsia" w:ascii="宋体" w:eastAsia="宋体"/>
                <w:color w:val="auto"/>
                <w:highlight w:val="none"/>
              </w:rPr>
              <w:t>分，总分</w:t>
            </w:r>
            <w:r>
              <w:rPr>
                <w:rFonts w:ascii="宋体" w:eastAsia="宋体"/>
                <w:color w:val="auto"/>
                <w:highlight w:val="none"/>
              </w:rPr>
              <w:t>7</w:t>
            </w:r>
            <w:r>
              <w:rPr>
                <w:rFonts w:hint="eastAsia" w:ascii="宋体" w:eastAsia="宋体"/>
                <w:color w:val="auto"/>
                <w:highlight w:val="none"/>
              </w:rPr>
              <w:t>分。（</w:t>
            </w:r>
            <w:r>
              <w:rPr>
                <w:rFonts w:ascii="宋体" w:eastAsia="宋体"/>
                <w:color w:val="auto"/>
                <w:highlight w:val="none"/>
              </w:rPr>
              <w:t>提供相应有效证明文件复印件加盖公章</w:t>
            </w:r>
            <w:r>
              <w:rPr>
                <w:rFonts w:hint="eastAsia" w:ascii="宋体" w:eastAsia="宋体"/>
                <w:color w:val="auto"/>
                <w:highlight w:val="none"/>
              </w:rPr>
              <w:t>编入投标文件</w:t>
            </w:r>
            <w:r>
              <w:rPr>
                <w:rFonts w:ascii="宋体" w:eastAsia="宋体"/>
                <w:color w:val="auto"/>
                <w:highlight w:val="none"/>
              </w:rPr>
              <w:t>，开标时提供原件</w:t>
            </w:r>
            <w:r>
              <w:rPr>
                <w:rFonts w:hint="eastAsia" w:ascii="宋体" w:eastAsia="宋体"/>
                <w:color w:val="auto"/>
                <w:highlight w:val="none"/>
              </w:rPr>
              <w:t>，两者缺一不可，保持一致，否则不得分。）</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4</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原材料检验报告</w:t>
            </w:r>
          </w:p>
        </w:tc>
        <w:tc>
          <w:tcPr>
            <w:tcW w:w="6605" w:type="dxa"/>
            <w:tcBorders>
              <w:top w:val="single" w:color="auto" w:sz="4" w:space="0"/>
              <w:left w:val="single" w:color="auto" w:sz="4" w:space="0"/>
              <w:bottom w:val="single" w:color="auto" w:sz="4" w:space="0"/>
              <w:right w:val="single" w:color="auto" w:sz="4" w:space="0"/>
            </w:tcBorders>
            <w:vAlign w:val="center"/>
          </w:tcPr>
          <w:p>
            <w:pPr>
              <w:pStyle w:val="14"/>
              <w:ind w:firstLine="0" w:firstLineChars="0"/>
              <w:jc w:val="both"/>
              <w:rPr>
                <w:rFonts w:ascii="宋体" w:eastAsia="宋体"/>
                <w:color w:val="auto"/>
                <w:highlight w:val="none"/>
              </w:rPr>
            </w:pPr>
            <w:r>
              <w:rPr>
                <w:rFonts w:hint="eastAsia" w:ascii="宋体" w:eastAsia="宋体"/>
                <w:color w:val="auto"/>
                <w:highlight w:val="none"/>
              </w:rPr>
              <w:t>由投标方提供本次项目所用材料，2</w:t>
            </w:r>
            <w:r>
              <w:rPr>
                <w:rFonts w:ascii="宋体" w:eastAsia="宋体"/>
                <w:color w:val="auto"/>
                <w:highlight w:val="none"/>
              </w:rPr>
              <w:t>018</w:t>
            </w:r>
            <w:r>
              <w:rPr>
                <w:rFonts w:hint="eastAsia" w:ascii="宋体" w:eastAsia="宋体"/>
                <w:color w:val="auto"/>
                <w:highlight w:val="none"/>
              </w:rPr>
              <w:t>年4月20日至今经国家级质量检测部门出具的抽样检测报告。</w:t>
            </w:r>
          </w:p>
          <w:p>
            <w:pPr>
              <w:pStyle w:val="14"/>
              <w:numPr>
                <w:ilvl w:val="0"/>
                <w:numId w:val="6"/>
              </w:numPr>
              <w:ind w:firstLineChars="0"/>
              <w:jc w:val="both"/>
              <w:rPr>
                <w:rFonts w:ascii="宋体" w:eastAsia="宋体"/>
                <w:color w:val="auto"/>
                <w:highlight w:val="none"/>
              </w:rPr>
            </w:pPr>
            <w:r>
              <w:rPr>
                <w:rFonts w:hint="eastAsia" w:ascii="宋体" w:eastAsia="宋体"/>
                <w:color w:val="auto"/>
                <w:highlight w:val="none"/>
              </w:rPr>
              <w:t>A</w:t>
            </w:r>
            <w:r>
              <w:rPr>
                <w:rFonts w:ascii="宋体" w:eastAsia="宋体"/>
                <w:color w:val="auto"/>
                <w:highlight w:val="none"/>
              </w:rPr>
              <w:t>BS</w:t>
            </w:r>
            <w:r>
              <w:rPr>
                <w:rFonts w:hint="eastAsia" w:ascii="宋体" w:eastAsia="宋体"/>
                <w:color w:val="auto"/>
                <w:highlight w:val="none"/>
              </w:rPr>
              <w:t>塑料件</w:t>
            </w:r>
          </w:p>
          <w:p>
            <w:pPr>
              <w:pStyle w:val="14"/>
              <w:numPr>
                <w:ilvl w:val="0"/>
                <w:numId w:val="6"/>
              </w:numPr>
              <w:ind w:firstLineChars="0"/>
              <w:jc w:val="both"/>
              <w:rPr>
                <w:rFonts w:ascii="宋体" w:eastAsia="宋体"/>
                <w:color w:val="auto"/>
                <w:highlight w:val="none"/>
              </w:rPr>
            </w:pPr>
            <w:r>
              <w:rPr>
                <w:rFonts w:hint="eastAsia" w:ascii="宋体" w:eastAsia="宋体"/>
                <w:color w:val="auto"/>
                <w:highlight w:val="none"/>
              </w:rPr>
              <w:t>铝合金件</w:t>
            </w:r>
          </w:p>
          <w:p>
            <w:pPr>
              <w:pStyle w:val="14"/>
              <w:numPr>
                <w:ilvl w:val="0"/>
                <w:numId w:val="6"/>
              </w:numPr>
              <w:ind w:firstLineChars="0"/>
              <w:jc w:val="both"/>
              <w:rPr>
                <w:rFonts w:ascii="宋体" w:eastAsia="宋体"/>
                <w:color w:val="auto"/>
                <w:highlight w:val="none"/>
              </w:rPr>
            </w:pPr>
            <w:r>
              <w:rPr>
                <w:rFonts w:hint="eastAsia" w:ascii="宋体" w:eastAsia="宋体"/>
                <w:color w:val="auto"/>
                <w:highlight w:val="none"/>
              </w:rPr>
              <w:t>塑粉</w:t>
            </w:r>
          </w:p>
          <w:p>
            <w:pPr>
              <w:pStyle w:val="14"/>
              <w:numPr>
                <w:ilvl w:val="0"/>
                <w:numId w:val="6"/>
              </w:numPr>
              <w:ind w:firstLineChars="0"/>
              <w:jc w:val="both"/>
              <w:rPr>
                <w:rFonts w:ascii="宋体" w:eastAsia="宋体"/>
                <w:color w:val="auto"/>
                <w:highlight w:val="none"/>
              </w:rPr>
            </w:pPr>
            <w:r>
              <w:rPr>
                <w:rFonts w:hint="eastAsia" w:ascii="宋体" w:eastAsia="宋体"/>
                <w:color w:val="auto"/>
                <w:highlight w:val="none"/>
              </w:rPr>
              <w:t>P</w:t>
            </w:r>
            <w:r>
              <w:rPr>
                <w:rFonts w:ascii="宋体" w:eastAsia="宋体"/>
                <w:color w:val="auto"/>
                <w:highlight w:val="none"/>
              </w:rPr>
              <w:t>VC</w:t>
            </w:r>
            <w:r>
              <w:rPr>
                <w:rFonts w:hint="eastAsia" w:ascii="宋体" w:eastAsia="宋体"/>
                <w:color w:val="auto"/>
                <w:highlight w:val="none"/>
              </w:rPr>
              <w:t>封边条：厚度及其偏差、表面涂层可迁移元素、甲醛释放量，执行标准：Q</w:t>
            </w:r>
            <w:r>
              <w:rPr>
                <w:rFonts w:ascii="宋体" w:eastAsia="宋体"/>
                <w:color w:val="auto"/>
                <w:highlight w:val="none"/>
              </w:rPr>
              <w:t>B/T4463-2013</w:t>
            </w:r>
          </w:p>
          <w:p>
            <w:pPr>
              <w:pStyle w:val="14"/>
              <w:numPr>
                <w:ilvl w:val="0"/>
                <w:numId w:val="6"/>
              </w:numPr>
              <w:ind w:firstLineChars="0"/>
              <w:jc w:val="both"/>
              <w:rPr>
                <w:rFonts w:ascii="宋体" w:eastAsia="宋体"/>
                <w:color w:val="auto"/>
                <w:highlight w:val="none"/>
              </w:rPr>
            </w:pPr>
            <w:r>
              <w:rPr>
                <w:rFonts w:hint="eastAsia" w:ascii="宋体" w:eastAsia="宋体"/>
                <w:color w:val="auto"/>
                <w:highlight w:val="none"/>
              </w:rPr>
              <w:t>阻尼铰链：报告结果中其过载要求、功能试验、耐久性试验经过8</w:t>
            </w:r>
            <w:r>
              <w:rPr>
                <w:rFonts w:ascii="宋体" w:eastAsia="宋体"/>
                <w:color w:val="auto"/>
                <w:highlight w:val="none"/>
              </w:rPr>
              <w:t>0000</w:t>
            </w:r>
            <w:r>
              <w:rPr>
                <w:rFonts w:hint="eastAsia" w:ascii="宋体" w:eastAsia="宋体"/>
                <w:color w:val="auto"/>
                <w:highlight w:val="none"/>
              </w:rPr>
              <w:t>次无破损测试、耐腐蚀要求；符合Q</w:t>
            </w:r>
            <w:r>
              <w:rPr>
                <w:rFonts w:ascii="宋体" w:eastAsia="宋体"/>
                <w:color w:val="auto"/>
                <w:highlight w:val="none"/>
              </w:rPr>
              <w:t>B/T2189-2013</w:t>
            </w:r>
            <w:r>
              <w:rPr>
                <w:rFonts w:hint="eastAsia" w:ascii="宋体" w:eastAsia="宋体"/>
                <w:color w:val="auto"/>
                <w:highlight w:val="none"/>
              </w:rPr>
              <w:t>标准得1分。</w:t>
            </w:r>
          </w:p>
          <w:p>
            <w:pPr>
              <w:pStyle w:val="14"/>
              <w:numPr>
                <w:ilvl w:val="0"/>
                <w:numId w:val="6"/>
              </w:numPr>
              <w:ind w:firstLineChars="0"/>
              <w:jc w:val="both"/>
              <w:rPr>
                <w:rFonts w:ascii="宋体" w:eastAsia="宋体"/>
                <w:color w:val="auto"/>
                <w:highlight w:val="none"/>
              </w:rPr>
            </w:pPr>
            <w:r>
              <w:rPr>
                <w:rFonts w:hint="eastAsia" w:ascii="宋体" w:eastAsia="宋体"/>
                <w:color w:val="auto"/>
                <w:highlight w:val="none"/>
              </w:rPr>
              <w:t>三节轨：过载要求、功能试验、耐腐蚀要求，执行标准</w:t>
            </w:r>
            <w:r>
              <w:rPr>
                <w:rFonts w:ascii="宋体" w:eastAsia="宋体"/>
                <w:color w:val="auto"/>
                <w:highlight w:val="none"/>
              </w:rPr>
              <w:t>QB/T3454-2013</w:t>
            </w:r>
          </w:p>
          <w:p>
            <w:pPr>
              <w:pStyle w:val="14"/>
              <w:numPr>
                <w:ilvl w:val="0"/>
                <w:numId w:val="6"/>
              </w:numPr>
              <w:ind w:firstLineChars="0"/>
              <w:jc w:val="both"/>
              <w:rPr>
                <w:rFonts w:ascii="宋体" w:eastAsia="宋体"/>
                <w:color w:val="auto"/>
                <w:highlight w:val="none"/>
              </w:rPr>
            </w:pPr>
            <w:r>
              <w:rPr>
                <w:rFonts w:hint="eastAsia" w:ascii="宋体" w:eastAsia="宋体"/>
                <w:color w:val="auto"/>
                <w:highlight w:val="none"/>
              </w:rPr>
              <w:t>中纤板：游离甲醛释放量≤0.</w:t>
            </w:r>
            <w:r>
              <w:rPr>
                <w:rFonts w:ascii="宋体" w:eastAsia="宋体"/>
                <w:color w:val="auto"/>
                <w:highlight w:val="none"/>
              </w:rPr>
              <w:t>3</w:t>
            </w:r>
            <w:r>
              <w:rPr>
                <w:rFonts w:hint="eastAsia" w:ascii="宋体" w:eastAsia="宋体"/>
                <w:color w:val="auto"/>
                <w:highlight w:val="none"/>
              </w:rPr>
              <w:t>mg/L得1分。</w:t>
            </w:r>
          </w:p>
          <w:p>
            <w:pPr>
              <w:pStyle w:val="14"/>
              <w:ind w:firstLine="0" w:firstLineChars="0"/>
              <w:jc w:val="both"/>
              <w:rPr>
                <w:rFonts w:ascii="宋体" w:eastAsia="宋体"/>
                <w:color w:val="auto"/>
                <w:highlight w:val="none"/>
              </w:rPr>
            </w:pPr>
            <w:r>
              <w:rPr>
                <w:rFonts w:hint="eastAsia" w:ascii="宋体" w:eastAsia="宋体"/>
                <w:color w:val="auto"/>
                <w:highlight w:val="none"/>
              </w:rPr>
              <w:t>每提供一</w:t>
            </w:r>
            <w:r>
              <w:rPr>
                <w:rFonts w:ascii="宋体" w:eastAsia="宋体"/>
                <w:color w:val="auto"/>
                <w:highlight w:val="none"/>
              </w:rPr>
              <w:t>种</w:t>
            </w:r>
            <w:r>
              <w:rPr>
                <w:rFonts w:hint="eastAsia" w:ascii="宋体" w:eastAsia="宋体"/>
                <w:color w:val="auto"/>
                <w:highlight w:val="none"/>
              </w:rPr>
              <w:t>得1分，总分</w:t>
            </w:r>
            <w:r>
              <w:rPr>
                <w:rFonts w:ascii="宋体" w:eastAsia="宋体"/>
                <w:color w:val="auto"/>
                <w:highlight w:val="none"/>
              </w:rPr>
              <w:t>7</w:t>
            </w:r>
            <w:r>
              <w:rPr>
                <w:rFonts w:hint="eastAsia" w:ascii="宋体" w:eastAsia="宋体"/>
                <w:color w:val="auto"/>
                <w:highlight w:val="none"/>
              </w:rPr>
              <w:t>分。</w:t>
            </w:r>
          </w:p>
          <w:p>
            <w:pPr>
              <w:pStyle w:val="14"/>
              <w:ind w:firstLine="0" w:firstLineChars="0"/>
              <w:jc w:val="both"/>
              <w:rPr>
                <w:rFonts w:ascii="宋体" w:eastAsia="宋体"/>
                <w:color w:val="auto"/>
                <w:highlight w:val="none"/>
              </w:rPr>
            </w:pPr>
            <w:r>
              <w:rPr>
                <w:rFonts w:hint="eastAsia" w:ascii="宋体" w:eastAsia="宋体"/>
                <w:color w:val="auto"/>
                <w:highlight w:val="none"/>
              </w:rPr>
              <w:t>（</w:t>
            </w:r>
            <w:r>
              <w:rPr>
                <w:rFonts w:ascii="宋体" w:eastAsia="宋体"/>
                <w:color w:val="auto"/>
                <w:highlight w:val="none"/>
              </w:rPr>
              <w:t>提供相应有效证明文件复印件加盖公章</w:t>
            </w:r>
            <w:r>
              <w:rPr>
                <w:rFonts w:hint="eastAsia" w:ascii="宋体" w:eastAsia="宋体"/>
                <w:color w:val="auto"/>
                <w:highlight w:val="none"/>
              </w:rPr>
              <w:t>编入投标文件</w:t>
            </w:r>
            <w:r>
              <w:rPr>
                <w:rFonts w:ascii="宋体" w:eastAsia="宋体"/>
                <w:color w:val="auto"/>
                <w:highlight w:val="none"/>
              </w:rPr>
              <w:t>，开标时提供原件</w:t>
            </w:r>
            <w:r>
              <w:rPr>
                <w:rFonts w:hint="eastAsia" w:ascii="宋体" w:eastAsia="宋体"/>
                <w:color w:val="auto"/>
                <w:highlight w:val="none"/>
              </w:rPr>
              <w:t>，两者缺一不可，保持一致，否则不得分。）</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cantSplit/>
          <w:trHeight w:val="505" w:hRule="atLeast"/>
          <w:jc w:val="center"/>
        </w:trPr>
        <w:tc>
          <w:tcPr>
            <w:tcW w:w="9628"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color w:val="auto"/>
                <w:sz w:val="24"/>
                <w:highlight w:val="none"/>
              </w:rPr>
            </w:pPr>
            <w:r>
              <w:rPr>
                <w:rFonts w:hint="eastAsia" w:ascii="宋体" w:hAnsi="宋体"/>
                <w:b/>
                <w:color w:val="auto"/>
                <w:sz w:val="24"/>
                <w:highlight w:val="none"/>
              </w:rPr>
              <w:t>三、样品分24分</w:t>
            </w:r>
            <w:r>
              <w:rPr>
                <w:rFonts w:hint="eastAsia" w:ascii="宋体" w:hAnsi="宋体" w:cs="宋体"/>
                <w:b/>
                <w:color w:val="auto"/>
                <w:sz w:val="24"/>
                <w:highlight w:val="none"/>
              </w:rPr>
              <w:t>（</w:t>
            </w:r>
            <w:r>
              <w:rPr>
                <w:rFonts w:hint="eastAsia" w:ascii="宋体" w:hAnsi="宋体" w:cs="宋体"/>
                <w:b/>
                <w:bCs/>
                <w:color w:val="auto"/>
                <w:sz w:val="24"/>
                <w:highlight w:val="none"/>
              </w:rPr>
              <w:t>样品未提交、样品不全及有企业标志并未覆盖的样品分为</w:t>
            </w:r>
            <w:r>
              <w:rPr>
                <w:rFonts w:ascii="宋体" w:hAnsi="宋体" w:cs="宋体"/>
                <w:b/>
                <w:bCs/>
                <w:color w:val="auto"/>
                <w:sz w:val="24"/>
                <w:highlight w:val="none"/>
              </w:rPr>
              <w:t>0</w:t>
            </w:r>
            <w:r>
              <w:rPr>
                <w:rFonts w:hint="eastAsia" w:ascii="宋体" w:hAnsi="宋体" w:cs="宋体"/>
                <w:b/>
                <w:bCs/>
                <w:color w:val="auto"/>
                <w:sz w:val="24"/>
                <w:highlight w:val="none"/>
              </w:rPr>
              <w:t>分。</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1</w:t>
            </w:r>
          </w:p>
        </w:tc>
        <w:tc>
          <w:tcPr>
            <w:tcW w:w="1323"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款式5分</w:t>
            </w: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olor w:val="auto"/>
                <w:sz w:val="24"/>
                <w:highlight w:val="none"/>
              </w:rPr>
              <w:t>根据所提供样品的外观式样、美观度、色调搭配合理性及协调性等综合评定。</w:t>
            </w:r>
          </w:p>
        </w:tc>
        <w:tc>
          <w:tcPr>
            <w:tcW w:w="8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2</w:t>
            </w:r>
          </w:p>
        </w:tc>
        <w:tc>
          <w:tcPr>
            <w:tcW w:w="1323"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样品、主材规格尺寸5分</w:t>
            </w:r>
          </w:p>
        </w:tc>
        <w:tc>
          <w:tcPr>
            <w:tcW w:w="6605" w:type="dxa"/>
            <w:tcBorders>
              <w:top w:val="single" w:color="auto" w:sz="4" w:space="0"/>
              <w:left w:val="single" w:color="auto" w:sz="4" w:space="0"/>
              <w:bottom w:val="single" w:color="auto" w:sz="4" w:space="0"/>
              <w:right w:val="single" w:color="auto" w:sz="4" w:space="0"/>
            </w:tcBorders>
            <w:vAlign w:val="center"/>
          </w:tcPr>
          <w:p>
            <w:pPr>
              <w:pStyle w:val="14"/>
              <w:ind w:firstLine="0" w:firstLineChars="0"/>
              <w:jc w:val="both"/>
              <w:rPr>
                <w:rFonts w:ascii="宋体" w:eastAsia="宋体"/>
                <w:color w:val="auto"/>
                <w:highlight w:val="none"/>
              </w:rPr>
            </w:pPr>
            <w:r>
              <w:rPr>
                <w:rFonts w:hint="eastAsia" w:ascii="宋体" w:eastAsia="宋体"/>
                <w:color w:val="auto"/>
                <w:highlight w:val="none"/>
              </w:rPr>
              <w:t>根据提供样品与招标文件项目需求的要求综合评定。</w:t>
            </w:r>
          </w:p>
        </w:tc>
        <w:tc>
          <w:tcPr>
            <w:tcW w:w="8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3</w:t>
            </w:r>
          </w:p>
        </w:tc>
        <w:tc>
          <w:tcPr>
            <w:tcW w:w="1323"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结构、功能、牢固度等4分</w:t>
            </w: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olor w:val="auto"/>
                <w:sz w:val="24"/>
                <w:highlight w:val="none"/>
              </w:rPr>
              <w:t>根据所提供样品的结构合理性、使用功能性、舒适性及牢固度等综合评定。</w:t>
            </w:r>
          </w:p>
        </w:tc>
        <w:tc>
          <w:tcPr>
            <w:tcW w:w="8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4</w:t>
            </w:r>
          </w:p>
        </w:tc>
        <w:tc>
          <w:tcPr>
            <w:tcW w:w="1323"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制作工艺4分</w:t>
            </w: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olor w:val="auto"/>
                <w:sz w:val="24"/>
                <w:highlight w:val="none"/>
              </w:rPr>
              <w:t>根据样品制作工艺、油漆（喷涂）制作工艺、节点细部处理等综合评定。</w:t>
            </w:r>
          </w:p>
        </w:tc>
        <w:tc>
          <w:tcPr>
            <w:tcW w:w="8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5</w:t>
            </w:r>
          </w:p>
        </w:tc>
        <w:tc>
          <w:tcPr>
            <w:tcW w:w="1323"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材料和五金件3分</w:t>
            </w: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olor w:val="auto"/>
                <w:sz w:val="24"/>
                <w:highlight w:val="none"/>
              </w:rPr>
              <w:t>根据所提供样品的材料及五金件等反映的质量、规格、品质、等级等综合评定。</w:t>
            </w:r>
          </w:p>
        </w:tc>
        <w:tc>
          <w:tcPr>
            <w:tcW w:w="8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cantSplit/>
          <w:trHeight w:val="505" w:hRule="atLeast"/>
          <w:jc w:val="center"/>
        </w:trPr>
        <w:tc>
          <w:tcPr>
            <w:tcW w:w="826"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6</w:t>
            </w:r>
          </w:p>
        </w:tc>
        <w:tc>
          <w:tcPr>
            <w:tcW w:w="1323" w:type="dxa"/>
            <w:tcBorders>
              <w:left w:val="single" w:color="auto" w:sz="4" w:space="0"/>
              <w:bottom w:val="single" w:color="auto" w:sz="4" w:space="0"/>
              <w:right w:val="single" w:color="auto" w:sz="4" w:space="0"/>
            </w:tcBorders>
            <w:vAlign w:val="center"/>
          </w:tcPr>
          <w:p>
            <w:pPr>
              <w:tabs>
                <w:tab w:val="left" w:pos="8200"/>
              </w:tabs>
              <w:spacing w:line="360" w:lineRule="exact"/>
              <w:jc w:val="center"/>
              <w:rPr>
                <w:rFonts w:ascii="宋体" w:hAnsi="宋体"/>
                <w:color w:val="auto"/>
                <w:sz w:val="24"/>
                <w:highlight w:val="none"/>
              </w:rPr>
            </w:pPr>
            <w:r>
              <w:rPr>
                <w:rFonts w:hint="eastAsia" w:ascii="宋体" w:hAnsi="宋体"/>
                <w:color w:val="auto"/>
                <w:sz w:val="24"/>
                <w:highlight w:val="none"/>
              </w:rPr>
              <w:t>对提供的小样打分3分</w:t>
            </w: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olor w:val="auto"/>
                <w:sz w:val="24"/>
                <w:highlight w:val="none"/>
              </w:rPr>
              <w:t>根据提供的小样材质综合评定。</w:t>
            </w:r>
          </w:p>
        </w:tc>
        <w:tc>
          <w:tcPr>
            <w:tcW w:w="8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9628" w:type="dxa"/>
            <w:gridSpan w:val="4"/>
            <w:tcBorders>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olor w:val="auto"/>
                <w:sz w:val="24"/>
                <w:highlight w:val="none"/>
              </w:rPr>
              <w:t>三、</w:t>
            </w:r>
            <w:r>
              <w:rPr>
                <w:rFonts w:hint="eastAsia" w:ascii="宋体" w:hAnsi="宋体"/>
                <w:b/>
                <w:color w:val="auto"/>
                <w:sz w:val="24"/>
                <w:highlight w:val="none"/>
              </w:rPr>
              <w:t>商务及其它8分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1</w:t>
            </w:r>
          </w:p>
        </w:tc>
        <w:tc>
          <w:tcPr>
            <w:tcW w:w="792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auto"/>
                <w:sz w:val="24"/>
                <w:highlight w:val="none"/>
              </w:rPr>
            </w:pPr>
            <w:r>
              <w:rPr>
                <w:rFonts w:hint="eastAsia" w:ascii="宋体" w:hAnsi="宋体"/>
                <w:color w:val="auto"/>
                <w:sz w:val="24"/>
                <w:highlight w:val="none"/>
              </w:rPr>
              <w:t>免费质保期为5年，每增加半年加1分,最多加2分</w:t>
            </w:r>
          </w:p>
        </w:tc>
        <w:tc>
          <w:tcPr>
            <w:tcW w:w="874" w:type="dxa"/>
            <w:tcBorders>
              <w:top w:val="single" w:color="auto" w:sz="4" w:space="0"/>
              <w:left w:val="single" w:color="auto" w:sz="4" w:space="0"/>
              <w:bottom w:val="single" w:color="auto" w:sz="4" w:space="0"/>
              <w:right w:val="single" w:color="auto" w:sz="4" w:space="0"/>
            </w:tcBorders>
            <w:vAlign w:val="center"/>
          </w:tcPr>
          <w:p>
            <w:pPr>
              <w:pStyle w:val="14"/>
              <w:ind w:firstLine="0" w:firstLineChars="0"/>
              <w:jc w:val="center"/>
              <w:rPr>
                <w:rFonts w:ascii="宋体" w:eastAsia="宋体"/>
                <w:color w:val="auto"/>
                <w:highlight w:val="none"/>
              </w:rPr>
            </w:pPr>
            <w:r>
              <w:rPr>
                <w:rFonts w:hint="eastAsia" w:ascii="宋体" w:eastAsia="宋体"/>
                <w:color w:val="auto"/>
                <w:highlight w:val="none"/>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2</w:t>
            </w:r>
          </w:p>
        </w:tc>
        <w:tc>
          <w:tcPr>
            <w:tcW w:w="7928" w:type="dxa"/>
            <w:gridSpan w:val="2"/>
            <w:tcBorders>
              <w:left w:val="single" w:color="auto" w:sz="4" w:space="0"/>
              <w:bottom w:val="single" w:color="auto" w:sz="4" w:space="0"/>
              <w:right w:val="single" w:color="auto" w:sz="4" w:space="0"/>
            </w:tcBorders>
            <w:vAlign w:val="center"/>
          </w:tcPr>
          <w:p>
            <w:pPr>
              <w:widowControl/>
              <w:rPr>
                <w:rFonts w:ascii="宋体" w:hAnsi="宋体"/>
                <w:color w:val="auto"/>
                <w:sz w:val="24"/>
                <w:highlight w:val="none"/>
              </w:rPr>
            </w:pPr>
            <w:r>
              <w:rPr>
                <w:rFonts w:hint="eastAsia" w:ascii="宋体" w:hAnsi="宋体"/>
                <w:color w:val="auto"/>
                <w:sz w:val="24"/>
                <w:highlight w:val="none"/>
              </w:rPr>
              <w:t>服务体系：详细完整的“三包”、免费保修及售后服务措施和方案（包括服务措施、回访、保修期后维修措施等）0-3分。</w:t>
            </w:r>
          </w:p>
        </w:tc>
        <w:tc>
          <w:tcPr>
            <w:tcW w:w="8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826" w:type="dxa"/>
            <w:tcBorders>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ascii="宋体" w:hAnsi="宋体"/>
                <w:color w:val="auto"/>
                <w:sz w:val="24"/>
                <w:highlight w:val="none"/>
              </w:rPr>
              <w:t>3</w:t>
            </w:r>
          </w:p>
        </w:tc>
        <w:tc>
          <w:tcPr>
            <w:tcW w:w="7928" w:type="dxa"/>
            <w:gridSpan w:val="2"/>
            <w:tcBorders>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olor w:val="auto"/>
                <w:sz w:val="24"/>
                <w:highlight w:val="none"/>
              </w:rPr>
              <w:t>根据实施人员的资质、经历及施工组织和实施方案合理性等情况进行比较打分，0- 3分。</w:t>
            </w:r>
          </w:p>
        </w:tc>
        <w:tc>
          <w:tcPr>
            <w:tcW w:w="8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24"/>
                <w:highlight w:val="none"/>
              </w:rPr>
            </w:pPr>
            <w:r>
              <w:rPr>
                <w:rFonts w:hint="eastAsia" w:ascii="宋体" w:hAnsi="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5" w:hRule="atLeast"/>
          <w:jc w:val="center"/>
        </w:trPr>
        <w:tc>
          <w:tcPr>
            <w:tcW w:w="9628" w:type="dxa"/>
            <w:gridSpan w:val="4"/>
            <w:tcBorders>
              <w:top w:val="single" w:color="auto" w:sz="4" w:space="0"/>
              <w:left w:val="single" w:color="auto" w:sz="4" w:space="0"/>
              <w:bottom w:val="single" w:color="auto" w:sz="4" w:space="0"/>
              <w:right w:val="single" w:color="auto" w:sz="4" w:space="0"/>
            </w:tcBorders>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三、资信</w:t>
            </w:r>
            <w:r>
              <w:rPr>
                <w:rFonts w:ascii="宋体" w:eastAsia="宋体"/>
                <w:b/>
                <w:bCs/>
                <w:color w:val="auto"/>
                <w:highlight w:val="none"/>
              </w:rPr>
              <w:t>12</w:t>
            </w:r>
            <w:r>
              <w:rPr>
                <w:rFonts w:hint="eastAsia" w:ascii="宋体" w:eastAsia="宋体"/>
                <w:b/>
                <w:bCs/>
                <w:color w:val="auto"/>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1</w:t>
            </w:r>
          </w:p>
        </w:tc>
        <w:tc>
          <w:tcPr>
            <w:tcW w:w="1323" w:type="dxa"/>
            <w:vMerge w:val="restart"/>
            <w:tcBorders>
              <w:top w:val="single" w:color="auto" w:sz="4" w:space="0"/>
              <w:left w:val="single" w:color="auto" w:sz="4" w:space="0"/>
              <w:right w:val="single" w:color="auto" w:sz="4" w:space="0"/>
            </w:tcBorders>
            <w:vAlign w:val="center"/>
          </w:tcPr>
          <w:p>
            <w:pPr>
              <w:jc w:val="center"/>
              <w:rPr>
                <w:rFonts w:ascii="宋体" w:hAnsi="宋体"/>
                <w:color w:val="auto"/>
                <w:sz w:val="24"/>
                <w:highlight w:val="none"/>
              </w:rPr>
            </w:pP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s="新宋体"/>
                <w:color w:val="auto"/>
                <w:sz w:val="24"/>
                <w:highlight w:val="none"/>
              </w:rPr>
              <w:t>有ISO9001质量管理体系认证</w:t>
            </w:r>
            <w:r>
              <w:rPr>
                <w:rFonts w:hint="eastAsia" w:ascii="宋体" w:hAnsi="宋体" w:cs="新宋体-18030"/>
                <w:color w:val="auto"/>
                <w:sz w:val="24"/>
                <w:highlight w:val="none"/>
              </w:rPr>
              <w:t>得</w:t>
            </w:r>
            <w:r>
              <w:rPr>
                <w:rFonts w:hint="eastAsia" w:ascii="宋体" w:hAnsi="宋体" w:cs="新宋体"/>
                <w:color w:val="auto"/>
                <w:sz w:val="24"/>
                <w:highlight w:val="none"/>
              </w:rPr>
              <w:t>证书</w:t>
            </w:r>
            <w:r>
              <w:rPr>
                <w:rFonts w:hint="eastAsia" w:ascii="宋体" w:hAnsi="宋体" w:cs="新宋体-18030"/>
                <w:color w:val="auto"/>
                <w:sz w:val="24"/>
                <w:highlight w:val="none"/>
              </w:rPr>
              <w:t>1分</w:t>
            </w:r>
            <w:r>
              <w:rPr>
                <w:rFonts w:hint="eastAsia" w:ascii="宋体" w:hAnsi="宋体"/>
                <w:color w:val="auto"/>
                <w:sz w:val="24"/>
                <w:highlight w:val="none"/>
              </w:rPr>
              <w:t>。</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2</w:t>
            </w:r>
          </w:p>
        </w:tc>
        <w:tc>
          <w:tcPr>
            <w:tcW w:w="1323" w:type="dxa"/>
            <w:vMerge w:val="continue"/>
            <w:tcBorders>
              <w:top w:val="single" w:color="auto" w:sz="4" w:space="0"/>
              <w:left w:val="single" w:color="auto" w:sz="4" w:space="0"/>
              <w:right w:val="single" w:color="auto" w:sz="4" w:space="0"/>
            </w:tcBorders>
            <w:vAlign w:val="center"/>
          </w:tcPr>
          <w:p>
            <w:pPr>
              <w:jc w:val="center"/>
              <w:rPr>
                <w:rFonts w:ascii="宋体" w:hAnsi="宋体"/>
                <w:color w:val="auto"/>
                <w:sz w:val="24"/>
                <w:highlight w:val="none"/>
              </w:rPr>
            </w:pP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s="新宋体"/>
                <w:color w:val="auto"/>
                <w:sz w:val="24"/>
                <w:highlight w:val="none"/>
              </w:rPr>
              <w:t>有ISO14001环境管理体系认证证书</w:t>
            </w:r>
            <w:r>
              <w:rPr>
                <w:rFonts w:hint="eastAsia" w:ascii="宋体" w:hAnsi="宋体" w:cs="新宋体-18030"/>
                <w:color w:val="auto"/>
                <w:sz w:val="24"/>
                <w:highlight w:val="none"/>
              </w:rPr>
              <w:t>得1分</w:t>
            </w:r>
            <w:r>
              <w:rPr>
                <w:rFonts w:hint="eastAsia" w:ascii="宋体" w:hAnsi="宋体"/>
                <w:color w:val="auto"/>
                <w:sz w:val="24"/>
                <w:highlight w:val="none"/>
              </w:rPr>
              <w:t>。</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3</w:t>
            </w:r>
          </w:p>
        </w:tc>
        <w:tc>
          <w:tcPr>
            <w:tcW w:w="1323" w:type="dxa"/>
            <w:vMerge w:val="continue"/>
            <w:tcBorders>
              <w:top w:val="single" w:color="auto" w:sz="4" w:space="0"/>
              <w:left w:val="single" w:color="auto" w:sz="4" w:space="0"/>
              <w:right w:val="single" w:color="auto" w:sz="4" w:space="0"/>
            </w:tcBorders>
            <w:vAlign w:val="center"/>
          </w:tcPr>
          <w:p>
            <w:pPr>
              <w:jc w:val="center"/>
              <w:rPr>
                <w:rFonts w:ascii="宋体" w:hAnsi="宋体"/>
                <w:color w:val="auto"/>
                <w:sz w:val="24"/>
                <w:highlight w:val="none"/>
              </w:rPr>
            </w:pP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s="新宋体"/>
                <w:color w:val="auto"/>
                <w:sz w:val="24"/>
                <w:highlight w:val="none"/>
              </w:rPr>
            </w:pPr>
            <w:r>
              <w:rPr>
                <w:rFonts w:hint="eastAsia" w:ascii="宋体" w:hAnsi="宋体" w:cs="新宋体"/>
                <w:color w:val="auto"/>
                <w:sz w:val="24"/>
                <w:highlight w:val="none"/>
              </w:rPr>
              <w:t>有G</w:t>
            </w:r>
            <w:r>
              <w:rPr>
                <w:rFonts w:ascii="宋体" w:hAnsi="宋体" w:cs="新宋体"/>
                <w:color w:val="auto"/>
                <w:sz w:val="24"/>
                <w:highlight w:val="none"/>
              </w:rPr>
              <w:t>B/T28001</w:t>
            </w:r>
            <w:r>
              <w:rPr>
                <w:rFonts w:hint="eastAsia" w:ascii="宋体" w:hAnsi="宋体" w:cs="新宋体"/>
                <w:color w:val="auto"/>
                <w:sz w:val="24"/>
                <w:highlight w:val="none"/>
              </w:rPr>
              <w:t>职业健康安全管理体系认证证书</w:t>
            </w:r>
            <w:r>
              <w:rPr>
                <w:rFonts w:hint="eastAsia" w:ascii="宋体" w:hAnsi="宋体" w:cs="新宋体-18030"/>
                <w:color w:val="auto"/>
                <w:sz w:val="24"/>
                <w:highlight w:val="none"/>
              </w:rPr>
              <w:t>得1分</w:t>
            </w:r>
            <w:r>
              <w:rPr>
                <w:rFonts w:hint="eastAsia" w:ascii="宋体" w:hAnsi="宋体"/>
                <w:color w:val="auto"/>
                <w:sz w:val="24"/>
                <w:highlight w:val="none"/>
              </w:rPr>
              <w:t>。</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4</w:t>
            </w:r>
          </w:p>
        </w:tc>
        <w:tc>
          <w:tcPr>
            <w:tcW w:w="1323" w:type="dxa"/>
            <w:vMerge w:val="continue"/>
            <w:tcBorders>
              <w:left w:val="single" w:color="auto" w:sz="4" w:space="0"/>
              <w:right w:val="single" w:color="auto" w:sz="4" w:space="0"/>
            </w:tcBorders>
            <w:vAlign w:val="center"/>
          </w:tcPr>
          <w:p>
            <w:pPr>
              <w:jc w:val="center"/>
              <w:rPr>
                <w:rFonts w:ascii="宋体" w:hAnsi="宋体"/>
                <w:color w:val="auto"/>
                <w:sz w:val="24"/>
                <w:highlight w:val="none"/>
              </w:rPr>
            </w:pP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s="新宋体"/>
                <w:color w:val="auto"/>
                <w:sz w:val="24"/>
                <w:highlight w:val="none"/>
              </w:rPr>
              <w:t>有“守合同重信用”证书</w:t>
            </w:r>
            <w:r>
              <w:rPr>
                <w:rFonts w:hint="eastAsia" w:ascii="宋体" w:hAnsi="宋体"/>
                <w:color w:val="auto"/>
                <w:sz w:val="24"/>
                <w:highlight w:val="none"/>
              </w:rPr>
              <w:t>得1分。</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5</w:t>
            </w:r>
          </w:p>
        </w:tc>
        <w:tc>
          <w:tcPr>
            <w:tcW w:w="1323" w:type="dxa"/>
            <w:vMerge w:val="continue"/>
            <w:tcBorders>
              <w:left w:val="single" w:color="auto" w:sz="4" w:space="0"/>
              <w:right w:val="single" w:color="auto" w:sz="4" w:space="0"/>
            </w:tcBorders>
            <w:vAlign w:val="center"/>
          </w:tcPr>
          <w:p>
            <w:pPr>
              <w:jc w:val="center"/>
              <w:rPr>
                <w:rFonts w:ascii="宋体" w:hAnsi="宋体"/>
                <w:color w:val="auto"/>
                <w:sz w:val="24"/>
                <w:highlight w:val="none"/>
              </w:rPr>
            </w:pP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olor w:val="auto"/>
                <w:sz w:val="24"/>
                <w:highlight w:val="none"/>
              </w:rPr>
              <w:t>有中国CQC中国环保产品认证证书</w:t>
            </w:r>
            <w:r>
              <w:rPr>
                <w:rFonts w:hint="eastAsia" w:ascii="宋体" w:hAnsi="宋体" w:cs="新宋体-18030"/>
                <w:color w:val="auto"/>
                <w:sz w:val="24"/>
                <w:highlight w:val="none"/>
              </w:rPr>
              <w:t>得</w:t>
            </w:r>
            <w:r>
              <w:rPr>
                <w:rFonts w:ascii="宋体" w:hAnsi="宋体" w:cs="新宋体-18030"/>
                <w:color w:val="auto"/>
                <w:sz w:val="24"/>
                <w:highlight w:val="none"/>
              </w:rPr>
              <w:t>1</w:t>
            </w:r>
            <w:r>
              <w:rPr>
                <w:rFonts w:hint="eastAsia" w:ascii="宋体" w:hAnsi="宋体" w:cs="新宋体-18030"/>
                <w:color w:val="auto"/>
                <w:sz w:val="24"/>
                <w:highlight w:val="none"/>
              </w:rPr>
              <w:t>分</w:t>
            </w:r>
            <w:r>
              <w:rPr>
                <w:rFonts w:hint="eastAsia" w:ascii="宋体" w:hAnsi="宋体"/>
                <w:color w:val="auto"/>
                <w:sz w:val="24"/>
                <w:highlight w:val="none"/>
              </w:rPr>
              <w:t>。</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6</w:t>
            </w:r>
          </w:p>
        </w:tc>
        <w:tc>
          <w:tcPr>
            <w:tcW w:w="1323" w:type="dxa"/>
            <w:vMerge w:val="continue"/>
            <w:tcBorders>
              <w:left w:val="single" w:color="auto" w:sz="4" w:space="0"/>
              <w:right w:val="single" w:color="auto" w:sz="4" w:space="0"/>
            </w:tcBorders>
            <w:vAlign w:val="center"/>
          </w:tcPr>
          <w:p>
            <w:pPr>
              <w:jc w:val="center"/>
              <w:rPr>
                <w:rFonts w:ascii="宋体" w:hAnsi="宋体"/>
                <w:color w:val="auto"/>
                <w:sz w:val="24"/>
                <w:highlight w:val="none"/>
              </w:rPr>
            </w:pP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s="新宋体"/>
                <w:color w:val="auto"/>
                <w:sz w:val="24"/>
                <w:highlight w:val="none"/>
              </w:rPr>
              <w:t>有CEC中国环境标志产品认证证书</w:t>
            </w:r>
            <w:r>
              <w:rPr>
                <w:rFonts w:hint="eastAsia" w:ascii="宋体" w:hAnsi="宋体" w:cs="新宋体-18030"/>
                <w:color w:val="auto"/>
                <w:sz w:val="24"/>
                <w:highlight w:val="none"/>
              </w:rPr>
              <w:t>得</w:t>
            </w:r>
            <w:r>
              <w:rPr>
                <w:rFonts w:ascii="宋体" w:hAnsi="宋体" w:cs="新宋体-18030"/>
                <w:color w:val="auto"/>
                <w:sz w:val="24"/>
                <w:highlight w:val="none"/>
              </w:rPr>
              <w:t>1</w:t>
            </w:r>
            <w:r>
              <w:rPr>
                <w:rFonts w:hint="eastAsia" w:ascii="宋体" w:hAnsi="宋体" w:cs="新宋体-18030"/>
                <w:color w:val="auto"/>
                <w:sz w:val="24"/>
                <w:highlight w:val="none"/>
              </w:rPr>
              <w:t>分</w:t>
            </w:r>
            <w:r>
              <w:rPr>
                <w:rFonts w:hint="eastAsia" w:ascii="宋体" w:hAnsi="宋体"/>
                <w:color w:val="auto"/>
                <w:sz w:val="24"/>
                <w:highlight w:val="none"/>
              </w:rPr>
              <w:t>。</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7</w:t>
            </w:r>
          </w:p>
        </w:tc>
        <w:tc>
          <w:tcPr>
            <w:tcW w:w="1323" w:type="dxa"/>
            <w:vMerge w:val="continue"/>
            <w:tcBorders>
              <w:left w:val="single" w:color="auto" w:sz="4" w:space="0"/>
              <w:right w:val="single" w:color="auto" w:sz="4" w:space="0"/>
            </w:tcBorders>
            <w:vAlign w:val="center"/>
          </w:tcPr>
          <w:p>
            <w:pPr>
              <w:jc w:val="center"/>
              <w:rPr>
                <w:rFonts w:ascii="宋体" w:hAnsi="宋体"/>
                <w:color w:val="auto"/>
                <w:sz w:val="24"/>
                <w:highlight w:val="none"/>
              </w:rPr>
            </w:pPr>
          </w:p>
        </w:tc>
        <w:tc>
          <w:tcPr>
            <w:tcW w:w="66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trike/>
                <w:color w:val="auto"/>
                <w:sz w:val="24"/>
                <w:highlight w:val="none"/>
              </w:rPr>
            </w:pPr>
            <w:r>
              <w:rPr>
                <w:rFonts w:hint="eastAsia" w:ascii="宋体" w:hAnsi="宋体" w:cs="新宋体"/>
                <w:color w:val="auto"/>
                <w:sz w:val="24"/>
                <w:highlight w:val="none"/>
              </w:rPr>
              <w:t>有五星级售后服务认证证书（办公家具）得1分。</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trike/>
                <w:color w:val="auto"/>
                <w:sz w:val="24"/>
                <w:highlight w:val="none"/>
              </w:rPr>
            </w:pPr>
            <w:r>
              <w:rPr>
                <w:rFonts w:ascii="宋体" w:hAnsi="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5"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ascii="宋体" w:hAnsi="宋体"/>
                <w:color w:val="auto"/>
                <w:sz w:val="24"/>
                <w:highlight w:val="none"/>
              </w:rPr>
              <w:t>8</w:t>
            </w:r>
          </w:p>
        </w:tc>
        <w:tc>
          <w:tcPr>
            <w:tcW w:w="13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olor w:val="auto"/>
                <w:sz w:val="24"/>
                <w:highlight w:val="none"/>
              </w:rPr>
              <w:t>业绩</w:t>
            </w:r>
          </w:p>
        </w:tc>
        <w:tc>
          <w:tcPr>
            <w:tcW w:w="660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highlight w:val="none"/>
              </w:rPr>
            </w:pPr>
            <w:r>
              <w:rPr>
                <w:rFonts w:hint="eastAsia" w:ascii="宋体" w:hAnsi="宋体"/>
                <w:color w:val="auto"/>
                <w:sz w:val="24"/>
                <w:highlight w:val="none"/>
              </w:rPr>
              <w:t>提供</w:t>
            </w:r>
            <w:r>
              <w:rPr>
                <w:rFonts w:hint="eastAsia" w:ascii="宋体" w:hAnsi="宋体"/>
                <w:color w:val="auto"/>
                <w:sz w:val="24"/>
                <w:highlight w:val="none"/>
                <w:lang w:eastAsia="zh-CN"/>
              </w:rPr>
              <w:t>近三年政府</w:t>
            </w:r>
            <w:r>
              <w:rPr>
                <w:rFonts w:hint="eastAsia" w:ascii="宋体" w:hAnsi="宋体"/>
                <w:color w:val="auto"/>
                <w:sz w:val="24"/>
                <w:highlight w:val="none"/>
              </w:rPr>
              <w:t>采购类似项目类似金额业绩，一个1分，最多5分。提供合同、税务发票复印件（</w:t>
            </w:r>
            <w:r>
              <w:rPr>
                <w:rFonts w:ascii="宋体" w:hAnsi="宋体"/>
                <w:color w:val="auto"/>
                <w:sz w:val="24"/>
                <w:highlight w:val="none"/>
              </w:rPr>
              <w:t>提供相应有效证明文件复印件加盖公章</w:t>
            </w:r>
            <w:r>
              <w:rPr>
                <w:rFonts w:hint="eastAsia" w:ascii="宋体" w:hAnsi="宋体"/>
                <w:color w:val="auto"/>
                <w:sz w:val="24"/>
                <w:highlight w:val="none"/>
              </w:rPr>
              <w:t>编入投标文件</w:t>
            </w:r>
            <w:r>
              <w:rPr>
                <w:rFonts w:ascii="宋体" w:hAnsi="宋体"/>
                <w:color w:val="auto"/>
                <w:sz w:val="24"/>
                <w:highlight w:val="none"/>
              </w:rPr>
              <w:t>，</w:t>
            </w:r>
            <w:r>
              <w:rPr>
                <w:rFonts w:hint="eastAsia" w:ascii="宋体" w:hAnsi="宋体"/>
                <w:color w:val="auto"/>
                <w:sz w:val="24"/>
                <w:highlight w:val="none"/>
              </w:rPr>
              <w:t>原件备查，两者缺一不可，保持一致，否则不得分。）</w:t>
            </w:r>
          </w:p>
        </w:tc>
        <w:tc>
          <w:tcPr>
            <w:tcW w:w="8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highlight w:val="none"/>
              </w:rPr>
            </w:pPr>
            <w:r>
              <w:rPr>
                <w:rFonts w:hint="eastAsia" w:ascii="宋体" w:hAnsi="宋体"/>
                <w:color w:val="auto"/>
                <w:sz w:val="24"/>
                <w:highlight w:val="none"/>
              </w:rPr>
              <w:t>5</w:t>
            </w:r>
          </w:p>
        </w:tc>
      </w:tr>
    </w:tbl>
    <w:p>
      <w:pPr>
        <w:pStyle w:val="8"/>
        <w:snapToGrid w:val="0"/>
        <w:spacing w:before="120" w:after="120" w:line="240" w:lineRule="auto"/>
        <w:rPr>
          <w:rFonts w:hAnsi="宋体"/>
          <w:b/>
          <w:bCs/>
          <w:color w:val="auto"/>
          <w:highlight w:val="none"/>
        </w:rPr>
      </w:pPr>
    </w:p>
    <w:p>
      <w:pPr>
        <w:pStyle w:val="8"/>
        <w:snapToGrid w:val="0"/>
        <w:spacing w:before="120" w:after="120" w:line="240" w:lineRule="auto"/>
        <w:rPr>
          <w:rFonts w:hAnsi="宋体"/>
          <w:b/>
          <w:color w:val="auto"/>
          <w:highlight w:val="none"/>
        </w:rPr>
      </w:pPr>
      <w:r>
        <w:rPr>
          <w:rFonts w:hint="eastAsia"/>
          <w:b/>
          <w:color w:val="auto"/>
          <w:highlight w:val="none"/>
        </w:rPr>
        <w:t>技术标评审结果只公布总分，不公布具体分项得分，评标委员会对评分情况不作解释。</w:t>
      </w:r>
    </w:p>
    <w:p>
      <w:pPr>
        <w:pStyle w:val="8"/>
        <w:snapToGrid w:val="0"/>
        <w:spacing w:before="120" w:after="120" w:line="240" w:lineRule="auto"/>
        <w:rPr>
          <w:rFonts w:ascii="黑体" w:hAnsi="宋体" w:eastAsia="黑体"/>
          <w:b/>
          <w:color w:val="auto"/>
          <w:sz w:val="30"/>
          <w:szCs w:val="30"/>
          <w:highlight w:val="none"/>
        </w:rPr>
      </w:pPr>
    </w:p>
    <w:p>
      <w:pPr>
        <w:pStyle w:val="8"/>
        <w:snapToGrid w:val="0"/>
        <w:spacing w:before="120" w:after="120" w:line="240" w:lineRule="auto"/>
        <w:jc w:val="center"/>
        <w:rPr>
          <w:rFonts w:ascii="黑体" w:hAnsi="宋体" w:eastAsia="黑体"/>
          <w:b/>
          <w:color w:val="auto"/>
          <w:sz w:val="30"/>
          <w:szCs w:val="30"/>
          <w:highlight w:val="none"/>
        </w:rPr>
      </w:pPr>
      <w:r>
        <w:rPr>
          <w:rFonts w:hint="eastAsia" w:ascii="黑体" w:hAnsi="宋体" w:eastAsia="黑体"/>
          <w:b/>
          <w:color w:val="auto"/>
          <w:sz w:val="30"/>
          <w:szCs w:val="30"/>
          <w:highlight w:val="none"/>
        </w:rPr>
        <w:t>第五章  合同主要条款</w:t>
      </w:r>
    </w:p>
    <w:p>
      <w:pPr>
        <w:pStyle w:val="16"/>
        <w:spacing w:before="156" w:after="156" w:line="360" w:lineRule="auto"/>
        <w:ind w:left="720" w:hanging="720"/>
        <w:rPr>
          <w:color w:val="auto"/>
          <w:highlight w:val="none"/>
        </w:rPr>
      </w:pPr>
      <w:r>
        <w:rPr>
          <w:rFonts w:hint="eastAsia"/>
          <w:color w:val="auto"/>
          <w:sz w:val="30"/>
          <w:szCs w:val="30"/>
          <w:highlight w:val="none"/>
        </w:rPr>
        <w:t>东阳市政府采购合同（样本）</w:t>
      </w:r>
    </w:p>
    <w:p>
      <w:pPr>
        <w:pStyle w:val="8"/>
        <w:snapToGrid w:val="0"/>
        <w:spacing w:before="120" w:after="120" w:line="360" w:lineRule="exact"/>
        <w:rPr>
          <w:rFonts w:hAnsi="宋体" w:cs="宋体"/>
          <w:color w:val="auto"/>
          <w:highlight w:val="none"/>
        </w:rPr>
      </w:pPr>
      <w:r>
        <w:rPr>
          <w:rFonts w:hAnsi="宋体" w:cs="宋体"/>
          <w:color w:val="auto"/>
          <w:highlight w:val="none"/>
        </w:rPr>
        <w:t>项目名称：                   项目编号：               合同号：</w:t>
      </w:r>
    </w:p>
    <w:p>
      <w:pPr>
        <w:pStyle w:val="8"/>
        <w:snapToGrid w:val="0"/>
        <w:spacing w:before="120" w:after="120" w:line="360" w:lineRule="exact"/>
        <w:rPr>
          <w:rFonts w:hAnsi="宋体" w:cs="宋体"/>
          <w:color w:val="auto"/>
          <w:highlight w:val="none"/>
        </w:rPr>
      </w:pPr>
      <w:r>
        <w:rPr>
          <w:rFonts w:hAnsi="宋体" w:cs="宋体"/>
          <w:color w:val="auto"/>
          <w:highlight w:val="none"/>
        </w:rPr>
        <w:t>甲方（买方）：</w:t>
      </w:r>
    </w:p>
    <w:p>
      <w:pPr>
        <w:pStyle w:val="8"/>
        <w:snapToGrid w:val="0"/>
        <w:spacing w:before="120" w:after="120" w:line="360" w:lineRule="exact"/>
        <w:rPr>
          <w:rFonts w:hAnsi="宋体" w:cs="宋体"/>
          <w:color w:val="auto"/>
          <w:highlight w:val="none"/>
        </w:rPr>
      </w:pPr>
      <w:r>
        <w:rPr>
          <w:rFonts w:hAnsi="宋体" w:cs="宋体"/>
          <w:color w:val="auto"/>
          <w:highlight w:val="none"/>
        </w:rPr>
        <w:t>乙方（卖方）：</w:t>
      </w:r>
    </w:p>
    <w:p>
      <w:pPr>
        <w:pStyle w:val="8"/>
        <w:snapToGrid w:val="0"/>
        <w:spacing w:before="120" w:after="120" w:line="360" w:lineRule="exact"/>
        <w:rPr>
          <w:rFonts w:hAnsi="宋体" w:cs="宋体"/>
          <w:b/>
          <w:color w:val="auto"/>
          <w:highlight w:val="none"/>
        </w:rPr>
      </w:pPr>
      <w:r>
        <w:rPr>
          <w:rFonts w:hAnsi="宋体" w:cs="宋体"/>
          <w:color w:val="auto"/>
          <w:highlight w:val="none"/>
        </w:rPr>
        <w:t>甲、乙双方根据金华市公共资源交易中心东阳分中心201</w:t>
      </w:r>
      <w:r>
        <w:rPr>
          <w:rFonts w:hint="eastAsia" w:hAnsi="宋体" w:cs="宋体"/>
          <w:color w:val="auto"/>
          <w:highlight w:val="none"/>
        </w:rPr>
        <w:t>9</w:t>
      </w:r>
      <w:r>
        <w:rPr>
          <w:rFonts w:hAnsi="宋体" w:cs="宋体"/>
          <w:color w:val="auto"/>
          <w:highlight w:val="none"/>
        </w:rPr>
        <w:t>年月日关于项目采购公开招标的结果，签署本合同。</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一、货物内容</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1. 货物名称：</w:t>
      </w:r>
    </w:p>
    <w:p>
      <w:pPr>
        <w:pStyle w:val="8"/>
        <w:tabs>
          <w:tab w:val="left" w:pos="3570"/>
        </w:tabs>
        <w:snapToGrid w:val="0"/>
        <w:spacing w:beforeLines="0" w:afterLines="0" w:line="360" w:lineRule="exact"/>
        <w:ind w:firstLine="480" w:firstLineChars="200"/>
        <w:jc w:val="distribute"/>
        <w:rPr>
          <w:rFonts w:hAnsi="宋体" w:cs="宋体"/>
          <w:color w:val="auto"/>
          <w:highlight w:val="none"/>
        </w:rPr>
      </w:pPr>
      <w:r>
        <w:rPr>
          <w:rFonts w:hAnsi="宋体" w:cs="宋体"/>
          <w:color w:val="auto"/>
          <w:highlight w:val="none"/>
        </w:rPr>
        <w:t>2. 型号规格：</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3. 技术参数：</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4. 数量（单位）：</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二、合同金额</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本合同金额为（大写）：______________元（￥__________元）人民币。</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三、技术资料</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1.乙方应按招标文件规定的时间向甲方提供使用货物的有关技术资料。</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四、知识产权</w:t>
      </w:r>
    </w:p>
    <w:p>
      <w:pPr>
        <w:pStyle w:val="8"/>
        <w:snapToGrid w:val="0"/>
        <w:spacing w:beforeLines="0" w:afterLines="0" w:line="360" w:lineRule="exact"/>
        <w:ind w:firstLine="480" w:firstLineChars="200"/>
        <w:rPr>
          <w:rFonts w:hAnsi="宋体" w:cs="宋体"/>
          <w:bCs/>
          <w:color w:val="auto"/>
          <w:highlight w:val="none"/>
        </w:rPr>
      </w:pPr>
      <w:r>
        <w:rPr>
          <w:rFonts w:hAnsi="宋体" w:cs="宋体"/>
          <w:color w:val="auto"/>
          <w:highlight w:val="none"/>
        </w:rPr>
        <w:t>乙方应保证所提供的货物或其任何一部分均不会侵犯任何第三方的知识产权</w:t>
      </w:r>
      <w:r>
        <w:rPr>
          <w:rFonts w:hAnsi="宋体" w:cs="宋体"/>
          <w:bCs/>
          <w:color w:val="auto"/>
          <w:highlight w:val="none"/>
        </w:rPr>
        <w:t>。</w:t>
      </w:r>
    </w:p>
    <w:p>
      <w:pPr>
        <w:pStyle w:val="8"/>
        <w:snapToGrid w:val="0"/>
        <w:spacing w:beforeLines="0" w:afterLines="0" w:line="360" w:lineRule="exact"/>
        <w:ind w:firstLine="472" w:firstLineChars="196"/>
        <w:rPr>
          <w:rFonts w:hAnsi="宋体" w:cs="宋体"/>
          <w:color w:val="auto"/>
          <w:highlight w:val="none"/>
          <w:u w:val="single"/>
        </w:rPr>
      </w:pPr>
      <w:r>
        <w:rPr>
          <w:rFonts w:hAnsi="宋体" w:cs="宋体"/>
          <w:b/>
          <w:color w:val="auto"/>
          <w:highlight w:val="none"/>
        </w:rPr>
        <w:t>五、产权担保</w:t>
      </w:r>
    </w:p>
    <w:p>
      <w:pPr>
        <w:pStyle w:val="8"/>
        <w:snapToGrid w:val="0"/>
        <w:spacing w:beforeLines="0" w:afterLines="0" w:line="360" w:lineRule="exact"/>
        <w:ind w:firstLine="480" w:firstLineChars="200"/>
        <w:rPr>
          <w:rFonts w:hAnsi="宋体" w:cs="宋体"/>
          <w:color w:val="auto"/>
          <w:highlight w:val="none"/>
          <w:u w:val="single"/>
        </w:rPr>
      </w:pPr>
      <w:r>
        <w:rPr>
          <w:rFonts w:hAnsi="宋体" w:cs="宋体"/>
          <w:color w:val="auto"/>
          <w:highlight w:val="none"/>
        </w:rPr>
        <w:t>乙方保证所交付的货物的所有权完全属于乙方且无任何抵押、查封等产权瑕疵。</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六、履约保证金</w:t>
      </w:r>
    </w:p>
    <w:p>
      <w:pPr>
        <w:pStyle w:val="8"/>
        <w:snapToGrid w:val="0"/>
        <w:spacing w:beforeLines="0" w:afterLines="0" w:line="360" w:lineRule="exact"/>
        <w:ind w:firstLine="470" w:firstLineChars="196"/>
        <w:rPr>
          <w:color w:val="auto"/>
          <w:highlight w:val="none"/>
        </w:rPr>
      </w:pPr>
      <w:r>
        <w:rPr>
          <w:rFonts w:hint="eastAsia"/>
          <w:color w:val="auto"/>
          <w:highlight w:val="none"/>
        </w:rPr>
        <w:t>乙方的投标保证金自动转为履约保证金</w:t>
      </w:r>
      <w:r>
        <w:rPr>
          <w:rFonts w:hint="eastAsia" w:hAnsi="宋体"/>
          <w:color w:val="auto"/>
          <w:highlight w:val="none"/>
        </w:rPr>
        <w:t>，金额为元，</w:t>
      </w:r>
      <w:r>
        <w:rPr>
          <w:rFonts w:hint="eastAsia"/>
          <w:color w:val="auto"/>
          <w:highlight w:val="none"/>
        </w:rPr>
        <w:t>在货到验收合格后10日内凭《退履约保证金的函》退还（无息）。（此表格下载步骤：http://ggzyjy.dongyang.gov.cn/——政府采购模块——资料下载——</w:t>
      </w:r>
      <w:r>
        <w:rPr>
          <w:color w:val="auto"/>
          <w:highlight w:val="none"/>
        </w:rPr>
        <w:fldChar w:fldCharType="begin"/>
      </w:r>
      <w:r>
        <w:rPr>
          <w:color w:val="auto"/>
          <w:highlight w:val="none"/>
        </w:rPr>
        <w:instrText xml:space="preserve"> HYPERLINK "http://ggzyjy.dongyang.gov.cn/zfcgzlxz/15961.htm" \t "http://ggzyjy.dongyang.gov.cn/zfcgzlxz/_blank" </w:instrText>
      </w:r>
      <w:r>
        <w:rPr>
          <w:color w:val="auto"/>
          <w:highlight w:val="none"/>
        </w:rPr>
        <w:fldChar w:fldCharType="separate"/>
      </w:r>
      <w:r>
        <w:rPr>
          <w:rFonts w:hint="eastAsia"/>
          <w:color w:val="auto"/>
          <w:highlight w:val="none"/>
        </w:rPr>
        <w:t xml:space="preserve">退履约保证金的函 </w:t>
      </w:r>
      <w:r>
        <w:rPr>
          <w:rFonts w:hint="eastAsia"/>
          <w:color w:val="auto"/>
          <w:highlight w:val="none"/>
        </w:rPr>
        <w:fldChar w:fldCharType="end"/>
      </w:r>
      <w:r>
        <w:rPr>
          <w:rFonts w:hint="eastAsia"/>
          <w:color w:val="auto"/>
          <w:highlight w:val="none"/>
        </w:rPr>
        <w:t>）</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七、转包或分包</w:t>
      </w:r>
    </w:p>
    <w:p>
      <w:pPr>
        <w:snapToGrid w:val="0"/>
        <w:spacing w:before="120" w:after="120" w:line="3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1.本合同范围的货物，应由乙方直接供应，不得转让他人供应；</w:t>
      </w:r>
    </w:p>
    <w:p>
      <w:pPr>
        <w:snapToGrid w:val="0"/>
        <w:spacing w:before="120" w:after="120" w:line="3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2.除非得到甲方的书面同意，乙方不得将本合同范围的货物全部或部分分包给他人供应；</w:t>
      </w:r>
    </w:p>
    <w:p>
      <w:pPr>
        <w:snapToGrid w:val="0"/>
        <w:spacing w:before="120" w:after="120" w:line="3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3.如有转让和未经甲方同意的分包</w:t>
      </w:r>
      <w:bookmarkStart w:id="7" w:name="_GoBack"/>
      <w:bookmarkEnd w:id="7"/>
      <w:r>
        <w:rPr>
          <w:rFonts w:hint="eastAsia" w:ascii="宋体" w:hAnsi="宋体" w:cs="宋体"/>
          <w:color w:val="auto"/>
          <w:sz w:val="24"/>
          <w:highlight w:val="none"/>
        </w:rPr>
        <w:t>行为，甲方有权解除合同，没收履约保证金并追究乙方的违约责任。</w:t>
      </w:r>
    </w:p>
    <w:p>
      <w:pPr>
        <w:pStyle w:val="8"/>
        <w:snapToGrid w:val="0"/>
        <w:spacing w:beforeLines="0" w:afterLines="0" w:line="360" w:lineRule="exact"/>
        <w:ind w:firstLine="472" w:firstLineChars="196"/>
        <w:rPr>
          <w:rFonts w:hAnsi="宋体" w:cs="宋体"/>
          <w:color w:val="auto"/>
          <w:highlight w:val="none"/>
        </w:rPr>
      </w:pPr>
      <w:r>
        <w:rPr>
          <w:rFonts w:hAnsi="宋体" w:cs="宋体"/>
          <w:b/>
          <w:color w:val="auto"/>
          <w:highlight w:val="none"/>
        </w:rPr>
        <w:t>八、质保期和质保金</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1. 质保期年。（自交货验收合格之日起计）</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2. 质保金元。</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九、交货期、交货方式及交货地点</w:t>
      </w:r>
    </w:p>
    <w:p>
      <w:pPr>
        <w:pStyle w:val="8"/>
        <w:snapToGrid w:val="0"/>
        <w:spacing w:beforeLines="0" w:afterLines="0" w:line="360" w:lineRule="exact"/>
        <w:ind w:firstLine="480" w:firstLineChars="200"/>
        <w:rPr>
          <w:rFonts w:hAnsi="宋体" w:cs="宋体"/>
          <w:bCs/>
          <w:color w:val="auto"/>
          <w:highlight w:val="none"/>
        </w:rPr>
      </w:pPr>
      <w:r>
        <w:rPr>
          <w:rFonts w:hAnsi="宋体" w:cs="宋体"/>
          <w:bCs/>
          <w:color w:val="auto"/>
          <w:highlight w:val="none"/>
        </w:rPr>
        <w:t>1. 交货期：</w:t>
      </w:r>
    </w:p>
    <w:p>
      <w:pPr>
        <w:pStyle w:val="8"/>
        <w:snapToGrid w:val="0"/>
        <w:spacing w:beforeLines="0" w:afterLines="0" w:line="360" w:lineRule="exact"/>
        <w:ind w:firstLine="480" w:firstLineChars="200"/>
        <w:rPr>
          <w:rFonts w:hAnsi="宋体" w:cs="宋体"/>
          <w:b/>
          <w:color w:val="auto"/>
          <w:highlight w:val="none"/>
        </w:rPr>
      </w:pPr>
      <w:r>
        <w:rPr>
          <w:rFonts w:hint="eastAsia" w:hAnsi="宋体" w:cs="宋体"/>
          <w:bCs/>
          <w:color w:val="auto"/>
          <w:highlight w:val="none"/>
        </w:rPr>
        <w:t>2</w:t>
      </w:r>
      <w:r>
        <w:rPr>
          <w:rFonts w:hAnsi="宋体" w:cs="宋体"/>
          <w:bCs/>
          <w:color w:val="auto"/>
          <w:highlight w:val="none"/>
        </w:rPr>
        <w:t>. 交货地点：</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十、货款支付</w:t>
      </w:r>
    </w:p>
    <w:p>
      <w:pPr>
        <w:snapToGrid w:val="0"/>
        <w:spacing w:before="120" w:beforeLines="50" w:after="120" w:afterLines="50" w:line="360" w:lineRule="exact"/>
        <w:ind w:firstLine="472" w:firstLineChars="196"/>
        <w:rPr>
          <w:rFonts w:ascii="宋体" w:hAnsi="宋体" w:cs="宋体"/>
          <w:b/>
          <w:color w:val="auto"/>
          <w:sz w:val="24"/>
          <w:highlight w:val="none"/>
        </w:rPr>
      </w:pPr>
      <w:r>
        <w:rPr>
          <w:rFonts w:hint="eastAsia" w:ascii="宋体" w:hAnsi="宋体" w:cs="宋体"/>
          <w:b/>
          <w:color w:val="auto"/>
          <w:sz w:val="24"/>
          <w:highlight w:val="none"/>
        </w:rPr>
        <w:t>1.</w:t>
      </w:r>
      <w:r>
        <w:rPr>
          <w:rFonts w:hint="eastAsia" w:ascii="宋体" w:hAnsi="宋体"/>
          <w:b/>
          <w:bCs/>
          <w:color w:val="auto"/>
          <w:sz w:val="24"/>
          <w:highlight w:val="none"/>
        </w:rPr>
        <w:t>所有家具安装完成，验收合格后支付合同总额的95%，留存5%作为质保金，</w:t>
      </w:r>
      <w:r>
        <w:rPr>
          <w:rFonts w:hint="eastAsia" w:ascii="宋体"/>
          <w:b/>
          <w:bCs/>
          <w:color w:val="auto"/>
          <w:sz w:val="24"/>
          <w:highlight w:val="none"/>
        </w:rPr>
        <w:t>质保金至保修期执行一年后10日内无息退还</w:t>
      </w:r>
      <w:r>
        <w:rPr>
          <w:rFonts w:hint="eastAsia" w:ascii="宋体" w:hAnsi="宋体"/>
          <w:b/>
          <w:bCs/>
          <w:color w:val="auto"/>
          <w:sz w:val="24"/>
          <w:highlight w:val="none"/>
        </w:rPr>
        <w:t>。</w:t>
      </w:r>
    </w:p>
    <w:p>
      <w:pPr>
        <w:snapToGrid w:val="0"/>
        <w:spacing w:before="120" w:beforeLines="50" w:after="120" w:afterLines="50" w:line="360" w:lineRule="exact"/>
        <w:ind w:firstLine="470" w:firstLineChars="196"/>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乙</w:t>
      </w:r>
      <w:r>
        <w:rPr>
          <w:rFonts w:hint="eastAsia" w:ascii="宋体" w:hAnsi="宋体" w:cs="宋体"/>
          <w:color w:val="auto"/>
          <w:sz w:val="24"/>
          <w:highlight w:val="none"/>
        </w:rPr>
        <w:t>方</w:t>
      </w:r>
      <w:r>
        <w:rPr>
          <w:rFonts w:ascii="宋体" w:hAnsi="宋体" w:cs="宋体"/>
          <w:color w:val="auto"/>
          <w:sz w:val="24"/>
          <w:highlight w:val="none"/>
        </w:rPr>
        <w:t>应根据实际使用量供货，合同的最终结算金额按实际使用量乘以成交单价进行计算。</w:t>
      </w:r>
    </w:p>
    <w:p>
      <w:pPr>
        <w:snapToGrid w:val="0"/>
        <w:spacing w:before="120" w:beforeLines="50" w:after="120" w:afterLines="50" w:line="360" w:lineRule="exact"/>
        <w:ind w:firstLine="472" w:firstLineChars="196"/>
        <w:rPr>
          <w:rFonts w:ascii="宋体" w:hAnsi="宋体" w:cs="宋体"/>
          <w:b/>
          <w:color w:val="auto"/>
          <w:sz w:val="24"/>
          <w:highlight w:val="none"/>
        </w:rPr>
      </w:pPr>
      <w:r>
        <w:rPr>
          <w:rFonts w:hint="eastAsia" w:ascii="宋体" w:hAnsi="宋体" w:cs="宋体"/>
          <w:b/>
          <w:color w:val="auto"/>
          <w:sz w:val="24"/>
          <w:highlight w:val="none"/>
        </w:rPr>
        <w:t>十一、税费</w:t>
      </w:r>
    </w:p>
    <w:p>
      <w:pPr>
        <w:snapToGrid w:val="0"/>
        <w:spacing w:before="120" w:beforeLines="50" w:after="120" w:afterLines="50" w:line="3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本合同执行中相关的一切税费均由乙方负担。</w:t>
      </w:r>
    </w:p>
    <w:p>
      <w:pPr>
        <w:pStyle w:val="8"/>
        <w:snapToGrid w:val="0"/>
        <w:spacing w:beforeLines="0" w:afterLines="0" w:line="360" w:lineRule="exact"/>
        <w:ind w:firstLine="472" w:firstLineChars="196"/>
        <w:rPr>
          <w:rFonts w:hAnsi="宋体" w:cs="宋体"/>
          <w:color w:val="auto"/>
          <w:highlight w:val="none"/>
        </w:rPr>
      </w:pPr>
      <w:r>
        <w:rPr>
          <w:rFonts w:hAnsi="宋体" w:cs="宋体"/>
          <w:b/>
          <w:color w:val="auto"/>
          <w:highlight w:val="none"/>
        </w:rPr>
        <w:t>十二、质量保证及售后服务</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1. 乙方应按招标文件规定的货物性能、技术要求、质量标准向甲方提供未经使用的全新产品。</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2. 乙方提供的货物在质保期内因货物本身的质量问题发生故障，乙方应负责免费更换。对达不到技术要求者，根据实际情况，经双方协商，可按以下办法处理：</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⑴更换：由乙方承担所发生的全部费用。</w:t>
      </w:r>
    </w:p>
    <w:p>
      <w:pPr>
        <w:pStyle w:val="8"/>
        <w:snapToGrid w:val="0"/>
        <w:spacing w:beforeLines="0" w:afterLines="0" w:line="360" w:lineRule="exact"/>
        <w:ind w:left="420" w:leftChars="200"/>
        <w:rPr>
          <w:rFonts w:hAnsi="宋体" w:cs="宋体"/>
          <w:color w:val="auto"/>
          <w:highlight w:val="none"/>
        </w:rPr>
      </w:pPr>
      <w:bookmarkStart w:id="2" w:name="OLE_LINK3"/>
      <w:r>
        <w:rPr>
          <w:rFonts w:hAnsi="宋体" w:cs="宋体"/>
          <w:color w:val="auto"/>
          <w:highlight w:val="none"/>
        </w:rPr>
        <w:t>⑵退货处理：乙方应退还甲方支付的合同款，同时应承担该货物的直接费用（运输、</w:t>
      </w:r>
    </w:p>
    <w:p>
      <w:pPr>
        <w:pStyle w:val="8"/>
        <w:snapToGrid w:val="0"/>
        <w:spacing w:beforeLines="0" w:afterLines="0" w:line="360" w:lineRule="exact"/>
        <w:rPr>
          <w:rFonts w:hAnsi="宋体" w:cs="宋体"/>
          <w:color w:val="auto"/>
          <w:highlight w:val="none"/>
        </w:rPr>
      </w:pPr>
      <w:r>
        <w:rPr>
          <w:rFonts w:hAnsi="宋体" w:cs="宋体"/>
          <w:color w:val="auto"/>
          <w:highlight w:val="none"/>
        </w:rPr>
        <w:t>保险、检验、货款利息及银行手续费等）。</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3. 如在使用过程中发生质量问题，乙方在接到甲方通知后在小时内到达甲方现场。</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4. 在质保期内，乙方应对货物出现的质量及安全问题负责处理解决并承担一切费用。</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5.上述的货物免费保修期为年，因人为因素出现的故障不在免费保修范围内。超过保修期的机器设备，终生维修，维修时只收部件成本费。</w:t>
      </w:r>
    </w:p>
    <w:bookmarkEnd w:id="2"/>
    <w:p>
      <w:pPr>
        <w:pStyle w:val="8"/>
        <w:snapToGrid w:val="0"/>
        <w:spacing w:beforeLines="0" w:afterLines="0" w:line="360" w:lineRule="exact"/>
        <w:ind w:firstLine="482" w:firstLineChars="200"/>
        <w:rPr>
          <w:rFonts w:hAnsi="宋体" w:cs="宋体"/>
          <w:color w:val="auto"/>
          <w:highlight w:val="none"/>
        </w:rPr>
      </w:pPr>
      <w:r>
        <w:rPr>
          <w:rFonts w:hAnsi="宋体" w:cs="宋体"/>
          <w:b/>
          <w:color w:val="auto"/>
          <w:highlight w:val="none"/>
        </w:rPr>
        <w:t>十三、调试和验收</w:t>
      </w:r>
    </w:p>
    <w:p>
      <w:pPr>
        <w:pStyle w:val="8"/>
        <w:snapToGrid w:val="0"/>
        <w:spacing w:beforeLines="0" w:afterLines="0" w:line="360" w:lineRule="exact"/>
        <w:ind w:firstLine="480" w:firstLineChars="200"/>
        <w:jc w:val="left"/>
        <w:rPr>
          <w:rFonts w:hAnsi="宋体" w:cs="宋体"/>
          <w:color w:val="auto"/>
          <w:highlight w:val="none"/>
        </w:rPr>
      </w:pPr>
      <w:r>
        <w:rPr>
          <w:rFonts w:hAnsi="宋体" w:cs="宋体"/>
          <w:color w:val="auto"/>
          <w:highlight w:val="none"/>
        </w:rPr>
        <w:t>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2. 乙方交货前应对产品作出全面检查和对验收文件进行整理，并列出清单，作为甲方收货验收和使用的技术条件依据，检验的结果应随货物交甲方。</w:t>
      </w:r>
    </w:p>
    <w:p>
      <w:pPr>
        <w:pStyle w:val="8"/>
        <w:snapToGrid w:val="0"/>
        <w:spacing w:beforeLines="0" w:afterLines="0" w:line="360" w:lineRule="exact"/>
        <w:ind w:firstLine="480" w:firstLineChars="200"/>
        <w:rPr>
          <w:rFonts w:hAnsi="宋体" w:cs="宋体"/>
          <w:color w:val="auto"/>
          <w:highlight w:val="none"/>
          <w:u w:val="single"/>
        </w:rPr>
      </w:pPr>
      <w:r>
        <w:rPr>
          <w:rFonts w:hAnsi="宋体" w:cs="宋体"/>
          <w:color w:val="auto"/>
          <w:highlight w:val="none"/>
        </w:rPr>
        <w:t>3. 甲方对乙方提供的货物在使用前进行调试时，乙方需负责安装并培训甲方的使用操作人员，并协助甲方一起调试，直到符合技术要求，甲方才做最终验收。</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4. 对技术复杂的货物，甲方应请国家认可的专业检测机构参与初步验收及最终验收，并由其出具质量检测报告。</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5. 验收时乙方必须在现场，验收完毕后作出验收结果报告；验收费用由乙方负责。</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十四、货物包装、发运及运输</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1. 乙方应在货物发运前对其进行满足运输距离、防潮、防震、防锈和防破损装卸等要求包装，以保证货物安全运达甲方指定地点。</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2. 使用说明书、质量检验证明书、随配附件和工具以及清单一并附于货物内。</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3. 乙方在货物发运手续办理完毕后24小时内或货到甲方48小时前通知甲方，以准备接货。</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4. 货物在交付甲方前发生的风险均由乙方负责。</w:t>
      </w:r>
    </w:p>
    <w:p>
      <w:pPr>
        <w:pStyle w:val="8"/>
        <w:snapToGrid w:val="0"/>
        <w:spacing w:before="120" w:after="120" w:line="360" w:lineRule="exact"/>
        <w:ind w:right="26" w:firstLine="480" w:firstLineChars="200"/>
        <w:rPr>
          <w:rFonts w:hAnsi="宋体" w:cs="宋体"/>
          <w:color w:val="auto"/>
          <w:highlight w:val="none"/>
        </w:rPr>
      </w:pPr>
      <w:r>
        <w:rPr>
          <w:rFonts w:hAnsi="宋体" w:cs="宋体"/>
          <w:color w:val="auto"/>
          <w:highlight w:val="none"/>
        </w:rPr>
        <w:t>5. 货物在规定的交付期限内由乙方送达甲方指定的地点视为交付，乙方同时需通知甲方货物已送达。</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十五、违约责任</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1. 甲方无正当理由拒收货物的，甲方向乙方偿付拒收货款总值的百分之五违约金。</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2. 甲方无故逾期验收和办理货款支付手续的,甲方应按逾期付款总额每日千分之一向乙方支付违约金。</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3. 乙方逾期交付货物的，乙方应按逾期交货总额每日</w:t>
      </w:r>
      <w:r>
        <w:rPr>
          <w:rFonts w:hint="eastAsia" w:hAnsi="宋体" w:cs="宋体"/>
          <w:color w:val="auto"/>
          <w:highlight w:val="none"/>
        </w:rPr>
        <w:t>千</w:t>
      </w:r>
      <w:r>
        <w:rPr>
          <w:rFonts w:hAnsi="宋体" w:cs="宋体"/>
          <w:color w:val="auto"/>
          <w:highlight w:val="none"/>
        </w:rPr>
        <w:t>分之一向甲方支付违约金，由甲方从待付货款中扣除。逾期超过约定日期10个工作日不能交货的，第11个工作日开始，乙方应按逾期交货总额每日</w:t>
      </w:r>
      <w:r>
        <w:rPr>
          <w:rFonts w:hint="eastAsia" w:hAnsi="宋体" w:cs="宋体"/>
          <w:color w:val="auto"/>
          <w:highlight w:val="none"/>
        </w:rPr>
        <w:t>千</w:t>
      </w:r>
      <w:r>
        <w:rPr>
          <w:rFonts w:hAnsi="宋体" w:cs="宋体"/>
          <w:color w:val="auto"/>
          <w:highlight w:val="none"/>
        </w:rPr>
        <w:t>分之一点</w:t>
      </w:r>
      <w:r>
        <w:rPr>
          <w:rFonts w:hint="eastAsia" w:hAnsi="宋体" w:cs="宋体"/>
          <w:color w:val="auto"/>
          <w:highlight w:val="none"/>
        </w:rPr>
        <w:t>五</w:t>
      </w:r>
      <w:r>
        <w:rPr>
          <w:rFonts w:hAnsi="宋体" w:cs="宋体"/>
          <w:color w:val="auto"/>
          <w:highlight w:val="none"/>
        </w:rPr>
        <w:t xml:space="preserve">向甲方支付违约金，逾期超过约定日期20个工作日不能交货的，甲方可解除本合同或向另外的中标供应商要求供货。乙方因逾期交货或因其他违约行为导致甲方解除合同的，乙方应向甲方支付合同总值30%的违约金，如造成甲方损失超过违约金的，超出部分由乙方继续承担赔偿责任。 </w:t>
      </w:r>
    </w:p>
    <w:p>
      <w:pPr>
        <w:pStyle w:val="8"/>
        <w:snapToGrid w:val="0"/>
        <w:spacing w:beforeLines="0" w:afterLines="0" w:line="360" w:lineRule="exact"/>
        <w:ind w:firstLine="480" w:firstLineChars="200"/>
        <w:rPr>
          <w:rFonts w:hAnsi="宋体" w:cs="宋体"/>
          <w:color w:val="auto"/>
          <w:highlight w:val="none"/>
        </w:rPr>
      </w:pPr>
      <w:r>
        <w:rPr>
          <w:rFonts w:hint="eastAsia" w:hAnsi="宋体" w:cs="宋体"/>
          <w:color w:val="auto"/>
          <w:highlight w:val="none"/>
        </w:rPr>
        <w:t>4.</w:t>
      </w:r>
      <w:r>
        <w:rPr>
          <w:rFonts w:hint="eastAsia" w:hAnsi="宋体"/>
          <w:color w:val="auto"/>
          <w:highlight w:val="none"/>
        </w:rPr>
        <w:t>产品发生问题时，供方在接到需方的通知后（书面或电话）之日起24小时内赶赴现场进行维修。需方如遇紧急情况，供方应在12小时内赶赴现场进行维修，如果供方没有在规定的时间内赶赴现场进行维修，则甲方有权组织其他单位进行维修，维修费用从供方的违约保证金中扣除，同时每迟到一次罚款（扣保证金）300元。</w:t>
      </w:r>
    </w:p>
    <w:p>
      <w:pPr>
        <w:pStyle w:val="8"/>
        <w:snapToGrid w:val="0"/>
        <w:spacing w:beforeLines="0" w:afterLines="0" w:line="360" w:lineRule="exact"/>
        <w:ind w:firstLine="480" w:firstLineChars="200"/>
        <w:rPr>
          <w:rFonts w:hAnsi="宋体" w:cs="宋体"/>
          <w:color w:val="auto"/>
          <w:highlight w:val="none"/>
        </w:rPr>
      </w:pPr>
      <w:r>
        <w:rPr>
          <w:rFonts w:hint="eastAsia" w:hAnsi="宋体" w:cs="宋体"/>
          <w:color w:val="auto"/>
          <w:highlight w:val="none"/>
        </w:rPr>
        <w:t>5</w:t>
      </w:r>
      <w:r>
        <w:rPr>
          <w:rFonts w:hAnsi="宋体" w:cs="宋体"/>
          <w:color w:val="auto"/>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十六、不可抗力事件处理</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1. 在合同有效期内，任何一方因不可抗力事件导致不能履行合同，则合同履行期可延长，其延长期与不可抗力影响期相同。</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2. 不可抗力事件发生后，应立即通知对方，并寄送有关权威机构出具的证明。</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3. 不可抗力事件延续120天以上，双方应通过友好协商，确定是否继续履行合同。</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十七、诉讼</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双方在执行合同中所发生的一切争议，应通过协商解决。如协商不成，可向甲方所在地法院起诉。</w:t>
      </w:r>
    </w:p>
    <w:p>
      <w:pPr>
        <w:pStyle w:val="8"/>
        <w:snapToGrid w:val="0"/>
        <w:spacing w:beforeLines="0" w:afterLines="0" w:line="360" w:lineRule="exact"/>
        <w:ind w:firstLine="472" w:firstLineChars="196"/>
        <w:rPr>
          <w:rFonts w:hAnsi="宋体" w:cs="宋体"/>
          <w:b/>
          <w:color w:val="auto"/>
          <w:highlight w:val="none"/>
        </w:rPr>
      </w:pPr>
      <w:r>
        <w:rPr>
          <w:rFonts w:hAnsi="宋体" w:cs="宋体"/>
          <w:b/>
          <w:color w:val="auto"/>
          <w:highlight w:val="none"/>
        </w:rPr>
        <w:t>十八、合同生效及其它</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1. 合同经双方法定代表人或授权代表签字并加盖单位公章后生效。</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2.合同执行中涉及采购资金和采购内容修改或补充的，须经财政部门审批，并签书面补充协议报政府采购监督管理部门备案，方可作为主合同不可分割的一部分。</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3.本合同未尽事宜，遵照《合同法》有关条文执行。</w:t>
      </w:r>
    </w:p>
    <w:p>
      <w:pPr>
        <w:pStyle w:val="8"/>
        <w:snapToGrid w:val="0"/>
        <w:spacing w:beforeLines="0" w:afterLines="0" w:line="360" w:lineRule="exact"/>
        <w:ind w:firstLine="480" w:firstLineChars="200"/>
        <w:rPr>
          <w:rFonts w:hAnsi="宋体" w:cs="宋体"/>
          <w:color w:val="auto"/>
          <w:highlight w:val="none"/>
        </w:rPr>
      </w:pPr>
      <w:r>
        <w:rPr>
          <w:rFonts w:hAnsi="宋体" w:cs="宋体"/>
          <w:color w:val="auto"/>
          <w:highlight w:val="none"/>
        </w:rPr>
        <w:t>4.本合同正本一式五份，具有同等法律效力，甲乙双方各执一份；东阳市机关事务管理局、采购代理机构各存档一份，政府采购管理部门备案一份。</w:t>
      </w:r>
    </w:p>
    <w:p>
      <w:pPr>
        <w:snapToGrid w:val="0"/>
        <w:spacing w:line="360" w:lineRule="auto"/>
        <w:rPr>
          <w:rFonts w:ascii="宋体" w:hAnsi="宋体"/>
          <w:color w:val="auto"/>
          <w:sz w:val="24"/>
          <w:highlight w:val="none"/>
        </w:rPr>
      </w:pPr>
      <w:r>
        <w:rPr>
          <w:rFonts w:hint="eastAsia" w:ascii="宋体" w:hAnsi="宋体"/>
          <w:b/>
          <w:color w:val="auto"/>
          <w:sz w:val="24"/>
          <w:highlight w:val="none"/>
        </w:rPr>
        <w:t>甲方（公章）：        乙方（公章）：</w:t>
      </w:r>
    </w:p>
    <w:p>
      <w:pPr>
        <w:snapToGrid w:val="0"/>
        <w:spacing w:line="360" w:lineRule="auto"/>
        <w:rPr>
          <w:rFonts w:ascii="宋体" w:hAnsi="宋体"/>
          <w:color w:val="auto"/>
          <w:sz w:val="24"/>
          <w:highlight w:val="none"/>
        </w:rPr>
      </w:pPr>
      <w:r>
        <w:rPr>
          <w:rFonts w:hint="eastAsia" w:ascii="宋体" w:hAnsi="宋体"/>
          <w:color w:val="auto"/>
          <w:sz w:val="24"/>
          <w:highlight w:val="none"/>
        </w:rPr>
        <w:t>法定代表人或受委托人               法定代表人或受委托人</w:t>
      </w:r>
    </w:p>
    <w:p>
      <w:pPr>
        <w:snapToGrid w:val="0"/>
        <w:spacing w:line="360" w:lineRule="auto"/>
        <w:rPr>
          <w:rFonts w:ascii="宋体" w:hAnsi="宋体"/>
          <w:color w:val="auto"/>
          <w:sz w:val="24"/>
          <w:highlight w:val="none"/>
        </w:rPr>
      </w:pPr>
      <w:r>
        <w:rPr>
          <w:rFonts w:hint="eastAsia" w:ascii="宋体" w:hAnsi="宋体"/>
          <w:color w:val="auto"/>
          <w:sz w:val="24"/>
          <w:highlight w:val="none"/>
        </w:rPr>
        <w:t>（签字）                            （签字）</w:t>
      </w:r>
    </w:p>
    <w:p>
      <w:pPr>
        <w:snapToGrid w:val="0"/>
        <w:spacing w:line="360" w:lineRule="auto"/>
        <w:rPr>
          <w:rFonts w:ascii="宋体" w:hAnsi="宋体"/>
          <w:color w:val="auto"/>
          <w:sz w:val="24"/>
          <w:highlight w:val="none"/>
        </w:rPr>
      </w:pPr>
      <w:r>
        <w:rPr>
          <w:rFonts w:hint="eastAsia" w:ascii="宋体" w:hAnsi="宋体"/>
          <w:color w:val="auto"/>
          <w:sz w:val="24"/>
          <w:highlight w:val="none"/>
        </w:rPr>
        <w:t>地址：                             地址：</w:t>
      </w:r>
    </w:p>
    <w:p>
      <w:pPr>
        <w:snapToGrid w:val="0"/>
        <w:spacing w:line="360" w:lineRule="auto"/>
        <w:rPr>
          <w:rFonts w:ascii="宋体" w:hAnsi="宋体"/>
          <w:color w:val="auto"/>
          <w:sz w:val="24"/>
          <w:highlight w:val="none"/>
        </w:rPr>
      </w:pPr>
      <w:r>
        <w:rPr>
          <w:rFonts w:hint="eastAsia" w:ascii="宋体" w:hAnsi="宋体"/>
          <w:color w:val="auto"/>
          <w:sz w:val="24"/>
          <w:highlight w:val="none"/>
        </w:rPr>
        <w:t>邮编：                             邮编：</w:t>
      </w:r>
    </w:p>
    <w:p>
      <w:pPr>
        <w:snapToGrid w:val="0"/>
        <w:spacing w:line="360" w:lineRule="auto"/>
        <w:rPr>
          <w:rFonts w:ascii="宋体" w:hAnsi="宋体"/>
          <w:color w:val="auto"/>
          <w:sz w:val="24"/>
          <w:highlight w:val="none"/>
        </w:rPr>
      </w:pPr>
      <w:r>
        <w:rPr>
          <w:rFonts w:hint="eastAsia" w:ascii="宋体" w:hAnsi="宋体"/>
          <w:color w:val="auto"/>
          <w:sz w:val="24"/>
          <w:highlight w:val="none"/>
        </w:rPr>
        <w:t>电话：                             电话：</w:t>
      </w:r>
    </w:p>
    <w:p>
      <w:pPr>
        <w:snapToGrid w:val="0"/>
        <w:spacing w:line="360" w:lineRule="auto"/>
        <w:rPr>
          <w:rFonts w:ascii="宋体" w:hAnsi="宋体"/>
          <w:color w:val="auto"/>
          <w:sz w:val="24"/>
          <w:highlight w:val="none"/>
        </w:rPr>
      </w:pPr>
      <w:r>
        <w:rPr>
          <w:rFonts w:hint="eastAsia" w:ascii="宋体" w:hAnsi="宋体"/>
          <w:color w:val="auto"/>
          <w:sz w:val="24"/>
          <w:highlight w:val="none"/>
        </w:rPr>
        <w:t>传真：                             传真：</w:t>
      </w:r>
    </w:p>
    <w:p>
      <w:pPr>
        <w:snapToGrid w:val="0"/>
        <w:spacing w:line="360" w:lineRule="auto"/>
        <w:rPr>
          <w:rFonts w:ascii="宋体" w:hAnsi="宋体"/>
          <w:b/>
          <w:bCs/>
          <w:color w:val="auto"/>
          <w:szCs w:val="21"/>
          <w:highlight w:val="none"/>
        </w:rPr>
      </w:pPr>
      <w:r>
        <w:rPr>
          <w:rFonts w:hint="eastAsia" w:ascii="宋体" w:hAnsi="宋体"/>
          <w:color w:val="auto"/>
          <w:sz w:val="24"/>
          <w:highlight w:val="none"/>
        </w:rPr>
        <w:t>户名：                             户名：</w:t>
      </w:r>
    </w:p>
    <w:p>
      <w:pPr>
        <w:snapToGrid w:val="0"/>
        <w:spacing w:line="360" w:lineRule="auto"/>
        <w:rPr>
          <w:rFonts w:ascii="宋体" w:hAnsi="宋体"/>
          <w:color w:val="auto"/>
          <w:sz w:val="24"/>
          <w:highlight w:val="none"/>
        </w:rPr>
      </w:pPr>
      <w:r>
        <w:rPr>
          <w:rFonts w:hint="eastAsia" w:ascii="宋体" w:hAnsi="宋体"/>
          <w:color w:val="auto"/>
          <w:sz w:val="24"/>
          <w:highlight w:val="none"/>
        </w:rPr>
        <w:t>开户银行：                         开户银行：</w:t>
      </w:r>
    </w:p>
    <w:p>
      <w:pPr>
        <w:snapToGrid w:val="0"/>
        <w:spacing w:line="360" w:lineRule="auto"/>
        <w:rPr>
          <w:rFonts w:hAnsi="宋体" w:cs="宋体"/>
          <w:color w:val="auto"/>
          <w:highlight w:val="none"/>
        </w:rPr>
      </w:pPr>
      <w:r>
        <w:rPr>
          <w:rFonts w:hint="eastAsia" w:ascii="宋体" w:hAnsi="宋体"/>
          <w:color w:val="auto"/>
          <w:sz w:val="24"/>
          <w:highlight w:val="none"/>
        </w:rPr>
        <w:t>帐号：                             帐号：</w:t>
      </w:r>
    </w:p>
    <w:p>
      <w:pPr>
        <w:snapToGrid w:val="0"/>
        <w:spacing w:line="276" w:lineRule="auto"/>
        <w:rPr>
          <w:rFonts w:ascii="宋体" w:hAnsi="宋体"/>
          <w:b/>
          <w:bCs/>
          <w:color w:val="auto"/>
          <w:sz w:val="24"/>
          <w:highlight w:val="none"/>
        </w:rPr>
      </w:pPr>
      <w:r>
        <w:rPr>
          <w:rFonts w:hint="eastAsia" w:ascii="宋体" w:hAnsi="宋体"/>
          <w:b/>
          <w:bCs/>
          <w:color w:val="auto"/>
          <w:sz w:val="24"/>
          <w:highlight w:val="none"/>
        </w:rPr>
        <w:t>鉴证方:</w:t>
      </w:r>
    </w:p>
    <w:p>
      <w:pPr>
        <w:snapToGrid w:val="0"/>
        <w:spacing w:line="276" w:lineRule="auto"/>
        <w:rPr>
          <w:rFonts w:ascii="宋体" w:hAnsi="宋体"/>
          <w:color w:val="auto"/>
          <w:sz w:val="24"/>
          <w:highlight w:val="none"/>
        </w:rPr>
      </w:pPr>
      <w:r>
        <w:rPr>
          <w:rFonts w:hint="eastAsia" w:ascii="宋体" w:hAnsi="宋体"/>
          <w:color w:val="auto"/>
          <w:sz w:val="24"/>
          <w:highlight w:val="none"/>
        </w:rPr>
        <w:t>项目经办人:</w:t>
      </w:r>
    </w:p>
    <w:p>
      <w:pPr>
        <w:snapToGrid w:val="0"/>
        <w:spacing w:line="276" w:lineRule="auto"/>
        <w:rPr>
          <w:rFonts w:ascii="宋体" w:hAnsi="宋体"/>
          <w:color w:val="auto"/>
          <w:sz w:val="24"/>
          <w:highlight w:val="none"/>
        </w:rPr>
      </w:pPr>
    </w:p>
    <w:p>
      <w:pPr>
        <w:snapToGrid w:val="0"/>
        <w:spacing w:line="276" w:lineRule="auto"/>
        <w:rPr>
          <w:rFonts w:ascii="宋体" w:hAnsi="宋体"/>
          <w:color w:val="auto"/>
          <w:sz w:val="24"/>
          <w:highlight w:val="none"/>
        </w:rPr>
      </w:pPr>
      <w:r>
        <w:rPr>
          <w:rFonts w:hint="eastAsia" w:ascii="宋体" w:hAnsi="宋体"/>
          <w:color w:val="auto"/>
          <w:sz w:val="24"/>
          <w:highlight w:val="none"/>
        </w:rPr>
        <w:t xml:space="preserve">   签约地点：                            签约时间：</w:t>
      </w:r>
    </w:p>
    <w:p>
      <w:pPr>
        <w:pStyle w:val="8"/>
        <w:snapToGrid w:val="0"/>
        <w:spacing w:before="120" w:after="120" w:line="240" w:lineRule="auto"/>
        <w:rPr>
          <w:rFonts w:ascii="黑体" w:hAnsi="宋体" w:eastAsia="黑体"/>
          <w:b/>
          <w:color w:val="auto"/>
          <w:sz w:val="30"/>
          <w:szCs w:val="30"/>
          <w:highlight w:val="none"/>
        </w:rPr>
      </w:pPr>
    </w:p>
    <w:p>
      <w:pPr>
        <w:pStyle w:val="8"/>
        <w:snapToGrid w:val="0"/>
        <w:spacing w:before="120" w:after="120" w:line="240" w:lineRule="auto"/>
        <w:jc w:val="center"/>
        <w:rPr>
          <w:rFonts w:ascii="黑体" w:hAnsi="宋体" w:eastAsia="黑体"/>
          <w:b/>
          <w:color w:val="auto"/>
          <w:sz w:val="30"/>
          <w:szCs w:val="30"/>
          <w:highlight w:val="none"/>
        </w:rPr>
      </w:pPr>
      <w:r>
        <w:rPr>
          <w:rFonts w:hint="eastAsia" w:ascii="黑体" w:hAnsi="宋体" w:eastAsia="黑体"/>
          <w:b/>
          <w:color w:val="auto"/>
          <w:sz w:val="30"/>
          <w:szCs w:val="30"/>
          <w:highlight w:val="none"/>
        </w:rPr>
        <w:t>第六章　投标文件格式</w:t>
      </w:r>
    </w:p>
    <w:p>
      <w:pPr>
        <w:pStyle w:val="8"/>
        <w:tabs>
          <w:tab w:val="left" w:pos="2472"/>
        </w:tabs>
        <w:snapToGrid w:val="0"/>
        <w:spacing w:beforeLines="0" w:afterLines="0" w:line="240" w:lineRule="auto"/>
        <w:rPr>
          <w:rFonts w:hAnsi="宋体"/>
          <w:b/>
          <w:color w:val="auto"/>
          <w:highlight w:val="none"/>
        </w:rPr>
      </w:pPr>
      <w:r>
        <w:rPr>
          <w:rFonts w:hint="eastAsia" w:hAnsi="宋体"/>
          <w:b/>
          <w:color w:val="auto"/>
          <w:highlight w:val="none"/>
        </w:rPr>
        <w:t>附件一：</w:t>
      </w:r>
    </w:p>
    <w:p>
      <w:pPr>
        <w:snapToGrid w:val="0"/>
        <w:spacing w:before="120" w:beforeLines="50" w:after="50"/>
        <w:rPr>
          <w:rFonts w:ascii="宋体" w:hAnsi="宋体"/>
          <w:b/>
          <w:color w:val="auto"/>
          <w:sz w:val="24"/>
          <w:highlight w:val="none"/>
        </w:rPr>
      </w:pPr>
      <w:r>
        <w:rPr>
          <w:rFonts w:ascii="宋体" w:hAnsi="宋体"/>
          <w:b/>
          <w:color w:val="auto"/>
          <w:sz w:val="24"/>
          <w:highlight w:val="none"/>
        </w:rPr>
        <w:t>1</w:t>
      </w:r>
      <w:r>
        <w:rPr>
          <w:rFonts w:hint="eastAsia" w:ascii="宋体" w:hAnsi="宋体"/>
          <w:b/>
          <w:color w:val="auto"/>
          <w:sz w:val="24"/>
          <w:highlight w:val="none"/>
        </w:rPr>
        <w:t>.所有投标文件的外包装封面格式：</w:t>
      </w:r>
    </w:p>
    <w:p>
      <w:pPr>
        <w:snapToGrid w:val="0"/>
        <w:spacing w:before="120" w:beforeLines="50" w:after="50"/>
        <w:jc w:val="center"/>
        <w:rPr>
          <w:rFonts w:ascii="宋体" w:hAnsi="宋体"/>
          <w:bCs/>
          <w:color w:val="auto"/>
          <w:sz w:val="24"/>
          <w:highlight w:val="none"/>
        </w:rPr>
      </w:pPr>
    </w:p>
    <w:p>
      <w:pPr>
        <w:snapToGrid w:val="0"/>
        <w:spacing w:before="120" w:beforeLines="50" w:after="50"/>
        <w:jc w:val="center"/>
        <w:rPr>
          <w:rFonts w:ascii="宋体" w:hAnsi="宋体"/>
          <w:b/>
          <w:bCs/>
          <w:color w:val="auto"/>
          <w:sz w:val="24"/>
          <w:highlight w:val="none"/>
        </w:rPr>
      </w:pPr>
      <w:r>
        <w:rPr>
          <w:rFonts w:hint="eastAsia" w:ascii="宋体" w:hAnsi="宋体"/>
          <w:b/>
          <w:bCs/>
          <w:color w:val="auto"/>
          <w:sz w:val="24"/>
          <w:highlight w:val="none"/>
        </w:rPr>
        <w:t>投标文件</w:t>
      </w:r>
    </w:p>
    <w:p>
      <w:pPr>
        <w:snapToGrid w:val="0"/>
        <w:spacing w:before="120" w:beforeLines="50" w:after="50"/>
        <w:jc w:val="center"/>
        <w:rPr>
          <w:rFonts w:ascii="宋体" w:hAnsi="宋体"/>
          <w:bCs/>
          <w:color w:val="auto"/>
          <w:sz w:val="24"/>
          <w:highlight w:val="none"/>
        </w:rPr>
      </w:pPr>
    </w:p>
    <w:p>
      <w:pPr>
        <w:ind w:left="1293" w:leftChars="513" w:hanging="216" w:hangingChars="90"/>
        <w:rPr>
          <w:rFonts w:ascii="宋体" w:hAnsi="宋体"/>
          <w:bCs/>
          <w:color w:val="auto"/>
          <w:sz w:val="24"/>
          <w:highlight w:val="none"/>
          <w:u w:val="single"/>
        </w:rPr>
      </w:pPr>
      <w:r>
        <w:rPr>
          <w:rFonts w:hint="eastAsia" w:ascii="宋体" w:hAnsi="宋体"/>
          <w:bCs/>
          <w:color w:val="auto"/>
          <w:sz w:val="24"/>
          <w:highlight w:val="none"/>
        </w:rPr>
        <w:t>项目名称：</w:t>
      </w:r>
    </w:p>
    <w:p>
      <w:pPr>
        <w:snapToGrid w:val="0"/>
        <w:spacing w:before="120" w:beforeLines="50" w:after="50"/>
        <w:ind w:left="2267" w:leftChars="508" w:hanging="1200" w:hangingChars="500"/>
        <w:rPr>
          <w:rFonts w:ascii="宋体" w:hAnsi="宋体"/>
          <w:bCs/>
          <w:color w:val="auto"/>
          <w:sz w:val="24"/>
          <w:highlight w:val="none"/>
        </w:rPr>
      </w:pPr>
      <w:r>
        <w:rPr>
          <w:rFonts w:hint="eastAsia" w:ascii="宋体" w:hAnsi="宋体"/>
          <w:bCs/>
          <w:color w:val="auto"/>
          <w:sz w:val="24"/>
          <w:highlight w:val="none"/>
        </w:rPr>
        <w:t>项目编号：</w:t>
      </w:r>
      <w:r>
        <w:rPr>
          <w:rFonts w:hint="eastAsia" w:ascii="宋体" w:hAnsi="宋体"/>
          <w:bCs/>
          <w:color w:val="auto"/>
          <w:sz w:val="24"/>
          <w:highlight w:val="none"/>
          <w:u w:val="single"/>
        </w:rPr>
        <w:t xml:space="preserve">DYCG2019-   </w:t>
      </w:r>
    </w:p>
    <w:p>
      <w:pPr>
        <w:snapToGrid w:val="0"/>
        <w:spacing w:before="120" w:beforeLines="50" w:after="50"/>
        <w:ind w:left="2267" w:leftChars="508" w:hanging="1200" w:hangingChars="500"/>
        <w:rPr>
          <w:rFonts w:ascii="宋体" w:hAnsi="宋体"/>
          <w:bCs/>
          <w:color w:val="auto"/>
          <w:sz w:val="24"/>
          <w:highlight w:val="none"/>
        </w:rPr>
      </w:pPr>
      <w:r>
        <w:rPr>
          <w:rFonts w:hint="eastAsia" w:ascii="宋体" w:hAnsi="宋体"/>
          <w:bCs/>
          <w:color w:val="auto"/>
          <w:sz w:val="24"/>
          <w:highlight w:val="none"/>
        </w:rPr>
        <w:t>标项：</w:t>
      </w:r>
    </w:p>
    <w:p>
      <w:pPr>
        <w:snapToGrid w:val="0"/>
        <w:spacing w:before="120" w:beforeLines="50" w:after="50"/>
        <w:ind w:firstLine="1068" w:firstLineChars="445"/>
        <w:rPr>
          <w:rFonts w:ascii="宋体" w:hAnsi="宋体"/>
          <w:bCs/>
          <w:color w:val="auto"/>
          <w:sz w:val="24"/>
          <w:highlight w:val="none"/>
        </w:rPr>
      </w:pPr>
      <w:r>
        <w:rPr>
          <w:rFonts w:hint="eastAsia" w:ascii="宋体" w:hAnsi="宋体"/>
          <w:bCs/>
          <w:color w:val="auto"/>
          <w:sz w:val="24"/>
          <w:highlight w:val="none"/>
        </w:rPr>
        <w:t>投标文件名称：资信/商务文件、技术文件、报价文件</w:t>
      </w:r>
    </w:p>
    <w:p>
      <w:pPr>
        <w:snapToGrid w:val="0"/>
        <w:spacing w:before="120" w:beforeLines="50" w:after="50"/>
        <w:ind w:firstLine="1068" w:firstLineChars="445"/>
        <w:rPr>
          <w:rFonts w:ascii="宋体" w:hAnsi="宋体"/>
          <w:bCs/>
          <w:color w:val="auto"/>
          <w:sz w:val="24"/>
          <w:highlight w:val="none"/>
        </w:rPr>
      </w:pPr>
      <w:r>
        <w:rPr>
          <w:rFonts w:hint="eastAsia" w:ascii="宋体" w:hAnsi="宋体"/>
          <w:bCs/>
          <w:color w:val="auto"/>
          <w:sz w:val="24"/>
          <w:highlight w:val="none"/>
        </w:rPr>
        <w:t>投标人名称：</w:t>
      </w:r>
    </w:p>
    <w:p>
      <w:pPr>
        <w:snapToGrid w:val="0"/>
        <w:spacing w:before="120" w:beforeLines="50" w:after="50"/>
        <w:ind w:firstLine="1068" w:firstLineChars="445"/>
        <w:rPr>
          <w:rFonts w:ascii="宋体" w:hAnsi="宋体"/>
          <w:bCs/>
          <w:color w:val="auto"/>
          <w:sz w:val="24"/>
          <w:highlight w:val="none"/>
        </w:rPr>
      </w:pPr>
      <w:r>
        <w:rPr>
          <w:rFonts w:hint="eastAsia" w:ascii="宋体" w:hAnsi="宋体"/>
          <w:bCs/>
          <w:color w:val="auto"/>
          <w:sz w:val="24"/>
          <w:highlight w:val="none"/>
        </w:rPr>
        <w:t>投标人地址：</w:t>
      </w:r>
    </w:p>
    <w:p>
      <w:pPr>
        <w:snapToGrid w:val="0"/>
        <w:spacing w:before="120" w:beforeLines="50" w:after="50"/>
        <w:ind w:firstLine="1068" w:firstLineChars="445"/>
        <w:rPr>
          <w:rFonts w:ascii="宋体" w:hAnsi="宋体"/>
          <w:bCs/>
          <w:color w:val="auto"/>
          <w:sz w:val="24"/>
          <w:highlight w:val="none"/>
        </w:rPr>
      </w:pPr>
      <w:r>
        <w:rPr>
          <w:rFonts w:hint="eastAsia" w:ascii="宋体" w:hAnsi="宋体"/>
          <w:bCs/>
          <w:color w:val="auto"/>
          <w:sz w:val="24"/>
          <w:highlight w:val="none"/>
        </w:rPr>
        <w:t>在年月日时分之前不得启封</w:t>
      </w:r>
    </w:p>
    <w:p>
      <w:pPr>
        <w:snapToGrid w:val="0"/>
        <w:spacing w:before="120" w:beforeLines="50" w:after="50"/>
        <w:ind w:firstLine="4080" w:firstLineChars="1700"/>
        <w:rPr>
          <w:rFonts w:ascii="宋体" w:hAnsi="宋体"/>
          <w:bCs/>
          <w:color w:val="auto"/>
          <w:sz w:val="24"/>
          <w:szCs w:val="20"/>
          <w:highlight w:val="none"/>
        </w:rPr>
      </w:pPr>
    </w:p>
    <w:p>
      <w:pPr>
        <w:snapToGrid w:val="0"/>
        <w:spacing w:before="120" w:beforeLines="50" w:after="50"/>
        <w:ind w:firstLine="645"/>
        <w:jc w:val="center"/>
        <w:rPr>
          <w:rFonts w:ascii="宋体" w:hAnsi="宋体"/>
          <w:bCs/>
          <w:color w:val="auto"/>
          <w:sz w:val="24"/>
          <w:szCs w:val="20"/>
          <w:highlight w:val="none"/>
        </w:rPr>
      </w:pPr>
      <w:r>
        <w:rPr>
          <w:rFonts w:hint="eastAsia" w:ascii="宋体" w:hAnsi="宋体"/>
          <w:bCs/>
          <w:color w:val="auto"/>
          <w:sz w:val="24"/>
          <w:highlight w:val="none"/>
        </w:rPr>
        <w:t>年  月  日</w:t>
      </w:r>
    </w:p>
    <w:p>
      <w:pPr>
        <w:snapToGrid w:val="0"/>
        <w:spacing w:before="120" w:beforeLines="50" w:after="50"/>
        <w:jc w:val="center"/>
        <w:outlineLvl w:val="1"/>
        <w:rPr>
          <w:rFonts w:ascii="宋体" w:hAnsi="宋体"/>
          <w:color w:val="auto"/>
          <w:highlight w:val="none"/>
        </w:rPr>
      </w:pPr>
    </w:p>
    <w:p>
      <w:pPr>
        <w:snapToGrid w:val="0"/>
        <w:spacing w:before="120" w:beforeLines="50" w:after="50"/>
        <w:rPr>
          <w:rFonts w:ascii="宋体" w:hAnsi="宋体"/>
          <w:b/>
          <w:color w:val="auto"/>
          <w:sz w:val="24"/>
          <w:highlight w:val="none"/>
        </w:rPr>
      </w:pPr>
    </w:p>
    <w:p>
      <w:pPr>
        <w:snapToGrid w:val="0"/>
        <w:spacing w:before="120" w:beforeLines="50" w:after="50"/>
        <w:rPr>
          <w:rFonts w:ascii="宋体" w:hAnsi="宋体"/>
          <w:b/>
          <w:color w:val="auto"/>
          <w:sz w:val="24"/>
          <w:szCs w:val="20"/>
          <w:highlight w:val="none"/>
        </w:rPr>
      </w:pPr>
      <w:r>
        <w:rPr>
          <w:rFonts w:hint="eastAsia" w:ascii="宋体" w:hAnsi="宋体"/>
          <w:b/>
          <w:color w:val="auto"/>
          <w:sz w:val="24"/>
          <w:highlight w:val="none"/>
        </w:rPr>
        <w:t>2.所有投标文件封面格式：</w:t>
      </w:r>
    </w:p>
    <w:p>
      <w:pPr>
        <w:snapToGrid w:val="0"/>
        <w:spacing w:before="120" w:beforeLines="50" w:after="50"/>
        <w:rPr>
          <w:rFonts w:ascii="宋体" w:hAnsi="宋体"/>
          <w:b/>
          <w:bCs/>
          <w:color w:val="auto"/>
          <w:sz w:val="32"/>
          <w:szCs w:val="20"/>
          <w:highlight w:val="none"/>
        </w:rPr>
      </w:pPr>
      <w:r>
        <w:rPr>
          <w:rFonts w:hint="eastAsia" w:ascii="宋体" w:hAnsi="宋体"/>
          <w:b/>
          <w:bCs/>
          <w:color w:val="auto"/>
          <w:highlight w:val="none"/>
        </w:rPr>
        <w:t>正本</w:t>
      </w:r>
      <w:r>
        <w:rPr>
          <w:rFonts w:ascii="宋体" w:hAnsi="宋体"/>
          <w:b/>
          <w:bCs/>
          <w:color w:val="auto"/>
          <w:highlight w:val="none"/>
        </w:rPr>
        <w:t>/</w:t>
      </w:r>
      <w:r>
        <w:rPr>
          <w:rFonts w:hint="eastAsia" w:ascii="宋体" w:hAnsi="宋体"/>
          <w:b/>
          <w:bCs/>
          <w:color w:val="auto"/>
          <w:highlight w:val="none"/>
        </w:rPr>
        <w:t>或副本</w:t>
      </w:r>
    </w:p>
    <w:p>
      <w:pPr>
        <w:snapToGrid w:val="0"/>
        <w:spacing w:before="120" w:beforeLines="50" w:after="50"/>
        <w:rPr>
          <w:rFonts w:ascii="宋体" w:hAnsi="宋体"/>
          <w:color w:val="auto"/>
          <w:sz w:val="24"/>
          <w:szCs w:val="20"/>
          <w:highlight w:val="none"/>
        </w:rPr>
      </w:pPr>
    </w:p>
    <w:p>
      <w:pPr>
        <w:snapToGrid w:val="0"/>
        <w:spacing w:before="120" w:beforeLines="50" w:after="50"/>
        <w:jc w:val="center"/>
        <w:rPr>
          <w:rFonts w:ascii="宋体" w:hAnsi="宋体"/>
          <w:bCs/>
          <w:color w:val="auto"/>
          <w:sz w:val="24"/>
          <w:szCs w:val="20"/>
          <w:highlight w:val="none"/>
        </w:rPr>
      </w:pPr>
    </w:p>
    <w:p>
      <w:pPr>
        <w:snapToGrid w:val="0"/>
        <w:spacing w:before="120" w:beforeLines="50" w:after="50"/>
        <w:jc w:val="center"/>
        <w:rPr>
          <w:rFonts w:ascii="宋体" w:hAnsi="宋体"/>
          <w:b/>
          <w:bCs/>
          <w:color w:val="auto"/>
          <w:sz w:val="24"/>
          <w:szCs w:val="20"/>
          <w:highlight w:val="none"/>
        </w:rPr>
      </w:pPr>
      <w:r>
        <w:rPr>
          <w:rFonts w:hint="eastAsia" w:ascii="宋体" w:hAnsi="宋体"/>
          <w:b/>
          <w:bCs/>
          <w:color w:val="auto"/>
          <w:sz w:val="24"/>
          <w:highlight w:val="none"/>
        </w:rPr>
        <w:t>资信</w:t>
      </w:r>
      <w:r>
        <w:rPr>
          <w:rFonts w:ascii="宋体" w:hAnsi="宋体"/>
          <w:b/>
          <w:bCs/>
          <w:color w:val="auto"/>
          <w:sz w:val="24"/>
          <w:highlight w:val="none"/>
        </w:rPr>
        <w:t>/</w:t>
      </w:r>
      <w:r>
        <w:rPr>
          <w:rFonts w:hint="eastAsia" w:ascii="宋体" w:hAnsi="宋体"/>
          <w:b/>
          <w:bCs/>
          <w:color w:val="auto"/>
          <w:sz w:val="24"/>
          <w:highlight w:val="none"/>
        </w:rPr>
        <w:t>商务、技术、报价文件</w:t>
      </w:r>
    </w:p>
    <w:p>
      <w:pPr>
        <w:snapToGrid w:val="0"/>
        <w:spacing w:before="120" w:beforeLines="50" w:after="50"/>
        <w:rPr>
          <w:rFonts w:ascii="宋体" w:hAnsi="宋体"/>
          <w:bCs/>
          <w:color w:val="auto"/>
          <w:sz w:val="24"/>
          <w:szCs w:val="20"/>
          <w:highlight w:val="none"/>
        </w:rPr>
      </w:pPr>
    </w:p>
    <w:p>
      <w:pPr>
        <w:snapToGrid w:val="0"/>
        <w:spacing w:before="120" w:beforeLines="50" w:after="50"/>
        <w:ind w:left="2267" w:leftChars="508" w:hanging="1200" w:hangingChars="500"/>
        <w:rPr>
          <w:rFonts w:ascii="宋体" w:hAnsi="宋体"/>
          <w:bCs/>
          <w:color w:val="auto"/>
          <w:sz w:val="24"/>
          <w:highlight w:val="none"/>
          <w:u w:val="single"/>
        </w:rPr>
      </w:pPr>
      <w:r>
        <w:rPr>
          <w:rFonts w:hint="eastAsia" w:ascii="宋体" w:hAnsi="宋体"/>
          <w:bCs/>
          <w:color w:val="auto"/>
          <w:sz w:val="24"/>
          <w:highlight w:val="none"/>
        </w:rPr>
        <w:t>项目名称：</w:t>
      </w:r>
    </w:p>
    <w:p>
      <w:pPr>
        <w:snapToGrid w:val="0"/>
        <w:spacing w:before="120" w:beforeLines="50" w:after="50"/>
        <w:ind w:left="2267" w:leftChars="508" w:hanging="1200" w:hangingChars="500"/>
        <w:rPr>
          <w:rFonts w:ascii="宋体" w:hAnsi="宋体"/>
          <w:bCs/>
          <w:color w:val="auto"/>
          <w:sz w:val="24"/>
          <w:highlight w:val="none"/>
        </w:rPr>
      </w:pPr>
      <w:r>
        <w:rPr>
          <w:rFonts w:hint="eastAsia" w:ascii="宋体" w:hAnsi="宋体"/>
          <w:bCs/>
          <w:color w:val="auto"/>
          <w:sz w:val="24"/>
          <w:highlight w:val="none"/>
        </w:rPr>
        <w:t>项目编号：</w:t>
      </w:r>
      <w:r>
        <w:rPr>
          <w:rFonts w:hint="eastAsia" w:ascii="宋体" w:hAnsi="宋体"/>
          <w:bCs/>
          <w:color w:val="auto"/>
          <w:sz w:val="24"/>
          <w:highlight w:val="none"/>
          <w:u w:val="single"/>
        </w:rPr>
        <w:t xml:space="preserve">DYCG2019-     </w:t>
      </w:r>
    </w:p>
    <w:p>
      <w:pPr>
        <w:snapToGrid w:val="0"/>
        <w:spacing w:before="120" w:beforeLines="50" w:after="50"/>
        <w:ind w:firstLine="1068" w:firstLineChars="445"/>
        <w:rPr>
          <w:rFonts w:ascii="宋体" w:hAnsi="宋体"/>
          <w:bCs/>
          <w:color w:val="auto"/>
          <w:sz w:val="24"/>
          <w:highlight w:val="none"/>
        </w:rPr>
      </w:pPr>
      <w:r>
        <w:rPr>
          <w:rFonts w:hint="eastAsia" w:ascii="宋体" w:hAnsi="宋体"/>
          <w:bCs/>
          <w:color w:val="auto"/>
          <w:sz w:val="24"/>
          <w:highlight w:val="none"/>
        </w:rPr>
        <w:t>标项：</w:t>
      </w:r>
    </w:p>
    <w:p>
      <w:pPr>
        <w:snapToGrid w:val="0"/>
        <w:spacing w:before="120" w:beforeLines="50" w:after="50"/>
        <w:ind w:firstLine="1068" w:firstLineChars="445"/>
        <w:rPr>
          <w:rFonts w:ascii="宋体" w:hAnsi="宋体"/>
          <w:bCs/>
          <w:color w:val="auto"/>
          <w:sz w:val="24"/>
          <w:highlight w:val="none"/>
        </w:rPr>
      </w:pPr>
      <w:r>
        <w:rPr>
          <w:rFonts w:hint="eastAsia" w:ascii="宋体" w:hAnsi="宋体"/>
          <w:bCs/>
          <w:color w:val="auto"/>
          <w:sz w:val="24"/>
          <w:highlight w:val="none"/>
        </w:rPr>
        <w:t>投标人名称：</w:t>
      </w:r>
    </w:p>
    <w:p>
      <w:pPr>
        <w:snapToGrid w:val="0"/>
        <w:spacing w:before="120" w:beforeLines="50" w:after="50"/>
        <w:ind w:firstLine="1068" w:firstLineChars="445"/>
        <w:rPr>
          <w:rFonts w:ascii="宋体" w:hAnsi="宋体"/>
          <w:bCs/>
          <w:color w:val="auto"/>
          <w:sz w:val="24"/>
          <w:highlight w:val="none"/>
        </w:rPr>
      </w:pPr>
      <w:r>
        <w:rPr>
          <w:rFonts w:hint="eastAsia" w:ascii="宋体" w:hAnsi="宋体"/>
          <w:bCs/>
          <w:color w:val="auto"/>
          <w:sz w:val="24"/>
          <w:highlight w:val="none"/>
        </w:rPr>
        <w:t>投标人地址：</w:t>
      </w:r>
    </w:p>
    <w:p>
      <w:pPr>
        <w:snapToGrid w:val="0"/>
        <w:spacing w:before="120" w:beforeLines="50" w:after="50"/>
        <w:rPr>
          <w:rFonts w:ascii="宋体" w:hAnsi="宋体"/>
          <w:color w:val="auto"/>
          <w:sz w:val="24"/>
          <w:szCs w:val="20"/>
          <w:highlight w:val="none"/>
        </w:rPr>
      </w:pPr>
    </w:p>
    <w:p>
      <w:pPr>
        <w:snapToGrid w:val="0"/>
        <w:spacing w:before="120" w:beforeLines="50" w:after="50"/>
        <w:ind w:firstLine="645"/>
        <w:jc w:val="center"/>
        <w:rPr>
          <w:rFonts w:ascii="宋体" w:hAnsi="宋体"/>
          <w:color w:val="auto"/>
          <w:sz w:val="24"/>
          <w:szCs w:val="20"/>
          <w:highlight w:val="none"/>
        </w:rPr>
      </w:pPr>
      <w:r>
        <w:rPr>
          <w:rFonts w:hint="eastAsia" w:ascii="宋体" w:hAnsi="宋体"/>
          <w:color w:val="auto"/>
          <w:sz w:val="24"/>
          <w:highlight w:val="none"/>
        </w:rPr>
        <w:t>年  月  日</w:t>
      </w:r>
    </w:p>
    <w:p>
      <w:pPr>
        <w:numPr>
          <w:ilvl w:val="0"/>
          <w:numId w:val="7"/>
        </w:numPr>
        <w:snapToGrid w:val="0"/>
        <w:spacing w:before="120" w:beforeLines="50"/>
        <w:ind w:firstLine="411" w:firstLineChars="196"/>
        <w:jc w:val="left"/>
        <w:rPr>
          <w:rFonts w:ascii="宋体" w:hAnsi="宋体"/>
          <w:b/>
          <w:color w:val="auto"/>
          <w:sz w:val="24"/>
          <w:highlight w:val="none"/>
        </w:rPr>
      </w:pPr>
      <w:r>
        <w:rPr>
          <w:rFonts w:ascii="宋体" w:hAnsi="宋体"/>
          <w:color w:val="auto"/>
          <w:highlight w:val="none"/>
        </w:rPr>
        <w:br w:type="page"/>
      </w:r>
      <w:r>
        <w:rPr>
          <w:rFonts w:ascii="宋体" w:hAnsi="宋体"/>
          <w:b/>
          <w:color w:val="auto"/>
          <w:sz w:val="24"/>
          <w:highlight w:val="none"/>
        </w:rPr>
        <w:t>资信及商务文件：</w:t>
      </w:r>
    </w:p>
    <w:p>
      <w:pPr>
        <w:snapToGrid w:val="0"/>
        <w:ind w:left="540"/>
        <w:jc w:val="left"/>
        <w:rPr>
          <w:rFonts w:ascii="宋体" w:hAnsi="宋体"/>
          <w:color w:val="auto"/>
          <w:highlight w:val="none"/>
        </w:rPr>
      </w:pP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投标单位情况表（格式见附件）；</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投标保证金交纳凭证复印件；</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投标声明书（格式见附件）；</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法定代表人授权委托书（格式见附件）；</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法定代表人身份证复印件或被授权人身份证复印件；</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2018年第四季度的财务会计报表；</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最近一个季度依法缴纳税收[税费缴纳凭证复印件，或依法免缴税费的证明（复印件，原件备查并一年内有效，格式自拟）] ，及最近一个季度依法缴纳社保费的缴纳凭证复印件或网站上拉具的社保缴纳清单（须附社保参保人员花名册）；</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营业执照副本复印件；</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省级以上环保证书；</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政府采购供应商诚信承诺书（格式见附件）；</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截至公告发布日止，相关主体在“信用中国”网站(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olor w:val="auto"/>
          <w:sz w:val="24"/>
          <w:highlight w:val="none"/>
        </w:rPr>
        <w:t>www.creditchina.gov.cn</w:t>
      </w:r>
      <w:r>
        <w:rPr>
          <w:rFonts w:hint="eastAsia" w:ascii="宋体" w:hAnsi="宋体"/>
          <w:color w:val="auto"/>
          <w:sz w:val="24"/>
          <w:highlight w:val="none"/>
        </w:rPr>
        <w:fldChar w:fldCharType="end"/>
      </w:r>
      <w:r>
        <w:rPr>
          <w:rFonts w:hint="eastAsia" w:ascii="宋体" w:hAnsi="宋体"/>
          <w:color w:val="auto"/>
          <w:sz w:val="24"/>
          <w:highlight w:val="none"/>
        </w:rPr>
        <w:t>)及中国政府采购网(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olor w:val="auto"/>
          <w:sz w:val="24"/>
          <w:highlight w:val="none"/>
        </w:rPr>
        <w:t>www.ccgp.gov.cn</w:t>
      </w:r>
      <w:r>
        <w:rPr>
          <w:rFonts w:hint="eastAsia" w:ascii="宋体" w:hAnsi="宋体"/>
          <w:color w:val="auto"/>
          <w:sz w:val="24"/>
          <w:highlight w:val="none"/>
        </w:rPr>
        <w:fldChar w:fldCharType="end"/>
      </w:r>
      <w:r>
        <w:rPr>
          <w:rFonts w:hint="eastAsia" w:ascii="宋体" w:hAnsi="宋体"/>
          <w:color w:val="auto"/>
          <w:sz w:val="24"/>
          <w:highlight w:val="none"/>
        </w:rPr>
        <w:t>)是否有失信行为的查询结果截图；</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2016年以来同类产品销售业绩；（格式见附件）</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投标产品服务计划表（格式见附件）；</w:t>
      </w:r>
    </w:p>
    <w:p>
      <w:pPr>
        <w:numPr>
          <w:ilvl w:val="0"/>
          <w:numId w:val="8"/>
        </w:numPr>
        <w:snapToGrid w:val="0"/>
        <w:jc w:val="left"/>
        <w:rPr>
          <w:rFonts w:ascii="宋体" w:hAnsi="宋体"/>
          <w:color w:val="auto"/>
          <w:sz w:val="24"/>
          <w:highlight w:val="none"/>
        </w:rPr>
      </w:pPr>
      <w:r>
        <w:rPr>
          <w:rFonts w:hint="eastAsia" w:ascii="宋体" w:hAnsi="宋体"/>
          <w:color w:val="auto"/>
          <w:sz w:val="24"/>
          <w:highlight w:val="none"/>
        </w:rPr>
        <w:t>投标人认为有必要提供的其它文件。</w:t>
      </w: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jc w:val="left"/>
        <w:rPr>
          <w:rFonts w:ascii="宋体" w:hAnsi="宋体"/>
          <w:b/>
          <w:color w:val="auto"/>
          <w:sz w:val="24"/>
          <w:highlight w:val="none"/>
        </w:rPr>
      </w:pPr>
    </w:p>
    <w:p>
      <w:pPr>
        <w:snapToGrid w:val="0"/>
        <w:spacing w:line="360" w:lineRule="auto"/>
        <w:ind w:firstLine="472" w:firstLineChars="196"/>
        <w:jc w:val="left"/>
        <w:rPr>
          <w:rFonts w:ascii="宋体" w:hAnsi="宋体"/>
          <w:b/>
          <w:color w:val="auto"/>
          <w:sz w:val="24"/>
          <w:highlight w:val="none"/>
        </w:rPr>
      </w:pPr>
    </w:p>
    <w:p>
      <w:pPr>
        <w:snapToGrid w:val="0"/>
        <w:spacing w:line="360" w:lineRule="auto"/>
        <w:ind w:firstLine="472" w:firstLineChars="196"/>
        <w:jc w:val="left"/>
        <w:rPr>
          <w:rFonts w:ascii="宋体" w:hAnsi="宋体"/>
          <w:b/>
          <w:color w:val="auto"/>
          <w:sz w:val="24"/>
          <w:highlight w:val="none"/>
        </w:rPr>
      </w:pPr>
      <w:r>
        <w:rPr>
          <w:rFonts w:hint="eastAsia" w:ascii="宋体" w:hAnsi="宋体"/>
          <w:b/>
          <w:color w:val="auto"/>
          <w:sz w:val="24"/>
          <w:highlight w:val="none"/>
        </w:rPr>
        <w:t>3.1投标声明书格式：</w:t>
      </w:r>
    </w:p>
    <w:p>
      <w:pPr>
        <w:snapToGrid w:val="0"/>
        <w:spacing w:line="360" w:lineRule="auto"/>
        <w:ind w:firstLine="472" w:firstLineChars="196"/>
        <w:jc w:val="center"/>
        <w:rPr>
          <w:rFonts w:ascii="宋体" w:hAnsi="宋体"/>
          <w:b/>
          <w:color w:val="auto"/>
          <w:sz w:val="24"/>
          <w:highlight w:val="none"/>
        </w:rPr>
      </w:pPr>
      <w:r>
        <w:rPr>
          <w:rFonts w:hint="eastAsia" w:ascii="宋体" w:hAnsi="宋体"/>
          <w:b/>
          <w:color w:val="auto"/>
          <w:sz w:val="24"/>
          <w:highlight w:val="none"/>
        </w:rPr>
        <w:t>投标声明书</w:t>
      </w:r>
    </w:p>
    <w:p>
      <w:pPr>
        <w:snapToGrid w:val="0"/>
        <w:spacing w:line="360" w:lineRule="auto"/>
        <w:jc w:val="left"/>
        <w:rPr>
          <w:rFonts w:ascii="宋体" w:hAnsi="宋体"/>
          <w:color w:val="auto"/>
          <w:sz w:val="24"/>
          <w:highlight w:val="none"/>
        </w:rPr>
      </w:pPr>
    </w:p>
    <w:p>
      <w:pPr>
        <w:snapToGrid w:val="0"/>
        <w:spacing w:line="400" w:lineRule="exact"/>
        <w:jc w:val="left"/>
        <w:rPr>
          <w:rFonts w:ascii="宋体" w:hAnsi="宋体"/>
          <w:color w:val="auto"/>
          <w:sz w:val="24"/>
          <w:highlight w:val="none"/>
        </w:rPr>
      </w:pPr>
      <w:r>
        <w:rPr>
          <w:rFonts w:hint="eastAsia" w:ascii="宋体" w:hAnsi="宋体"/>
          <w:color w:val="auto"/>
          <w:sz w:val="24"/>
          <w:highlight w:val="none"/>
        </w:rPr>
        <w:t>致：（招标采购单位名称）：</w:t>
      </w:r>
    </w:p>
    <w:p>
      <w:pPr>
        <w:snapToGrid w:val="0"/>
        <w:spacing w:line="400" w:lineRule="exact"/>
        <w:jc w:val="left"/>
        <w:rPr>
          <w:rFonts w:ascii="宋体" w:hAnsi="宋体"/>
          <w:color w:val="auto"/>
          <w:sz w:val="24"/>
          <w:highlight w:val="none"/>
        </w:rPr>
      </w:pPr>
      <w:r>
        <w:rPr>
          <w:rFonts w:hint="eastAsia" w:ascii="宋体" w:hAnsi="宋体"/>
          <w:color w:val="auto"/>
          <w:sz w:val="24"/>
          <w:highlight w:val="none"/>
        </w:rPr>
        <w:t>（投标人名称）系中华人民共和国合法企业，经营地址。</w:t>
      </w:r>
    </w:p>
    <w:p>
      <w:pPr>
        <w:snapToGrid w:val="0"/>
        <w:spacing w:line="400" w:lineRule="exact"/>
        <w:ind w:firstLine="480"/>
        <w:jc w:val="left"/>
        <w:rPr>
          <w:rFonts w:ascii="宋体" w:hAnsi="宋体"/>
          <w:color w:val="auto"/>
          <w:sz w:val="24"/>
          <w:highlight w:val="none"/>
        </w:rPr>
      </w:pPr>
      <w:r>
        <w:rPr>
          <w:rFonts w:hint="eastAsia" w:ascii="宋体" w:hAnsi="宋体"/>
          <w:color w:val="auto"/>
          <w:sz w:val="24"/>
          <w:highlight w:val="none"/>
        </w:rPr>
        <w:t>我（姓名）系（投标人名称）的法定代表人，我方愿意参加贵方组织的项目的投标，为便于贵方公正、择优地确定中标人及其投标产品和服务，我方就本次投标有关事项郑重声明如下：</w:t>
      </w:r>
    </w:p>
    <w:p>
      <w:pPr>
        <w:snapToGrid w:val="0"/>
        <w:spacing w:line="400" w:lineRule="exact"/>
        <w:ind w:firstLine="480"/>
        <w:jc w:val="left"/>
        <w:rPr>
          <w:rFonts w:ascii="宋体" w:hAnsi="宋体"/>
          <w:color w:val="auto"/>
          <w:sz w:val="24"/>
          <w:highlight w:val="none"/>
        </w:rPr>
      </w:pPr>
      <w:r>
        <w:rPr>
          <w:rFonts w:hint="eastAsia" w:ascii="宋体" w:hAnsi="宋体"/>
          <w:color w:val="auto"/>
          <w:sz w:val="24"/>
          <w:highlight w:val="none"/>
        </w:rPr>
        <w:t>1、我方向贵方提交的所有投标文件、资料都是准确的和真实的。</w:t>
      </w:r>
    </w:p>
    <w:p>
      <w:pPr>
        <w:snapToGrid w:val="0"/>
        <w:spacing w:line="400" w:lineRule="exact"/>
        <w:ind w:firstLine="480"/>
        <w:jc w:val="left"/>
        <w:rPr>
          <w:rFonts w:ascii="宋体" w:hAnsi="宋体"/>
          <w:color w:val="auto"/>
          <w:sz w:val="24"/>
          <w:highlight w:val="none"/>
        </w:rPr>
      </w:pPr>
      <w:r>
        <w:rPr>
          <w:rFonts w:hint="eastAsia" w:ascii="宋体" w:hAnsi="宋体"/>
          <w:color w:val="auto"/>
          <w:sz w:val="24"/>
          <w:highlight w:val="none"/>
        </w:rPr>
        <w:t>2、我方不是采购人的附属机构；在获知本项目采购信息后，与采购人聘请的为此项目提供咨询服务的公司及其附属机构没有任何联系。</w:t>
      </w:r>
    </w:p>
    <w:p>
      <w:pPr>
        <w:snapToGrid w:val="0"/>
        <w:spacing w:line="400" w:lineRule="exact"/>
        <w:ind w:firstLine="480"/>
        <w:jc w:val="left"/>
        <w:rPr>
          <w:rFonts w:ascii="宋体" w:hAnsi="宋体"/>
          <w:color w:val="auto"/>
          <w:sz w:val="24"/>
          <w:highlight w:val="none"/>
        </w:rPr>
      </w:pPr>
      <w:r>
        <w:rPr>
          <w:rFonts w:hint="eastAsia" w:ascii="宋体" w:hAnsi="宋体"/>
          <w:color w:val="auto"/>
          <w:sz w:val="24"/>
          <w:highlight w:val="none"/>
        </w:rPr>
        <w:t>3、我方此次向贵方提供的产品名称为：；规格型号：；该型号产品我方有现货可供，并已于年月生产完工或向（制造商名称）购进〔或需在中标后向订购〕。</w:t>
      </w:r>
    </w:p>
    <w:p>
      <w:pPr>
        <w:snapToGrid w:val="0"/>
        <w:spacing w:line="400" w:lineRule="exact"/>
        <w:ind w:firstLine="480"/>
        <w:jc w:val="left"/>
        <w:rPr>
          <w:rFonts w:ascii="宋体" w:hAnsi="宋体"/>
          <w:color w:val="auto"/>
          <w:sz w:val="24"/>
          <w:highlight w:val="none"/>
        </w:rPr>
      </w:pPr>
      <w:r>
        <w:rPr>
          <w:rFonts w:hint="eastAsia" w:ascii="宋体" w:hAnsi="宋体"/>
          <w:color w:val="auto"/>
          <w:sz w:val="24"/>
          <w:highlight w:val="none"/>
        </w:rPr>
        <w:t>4、我方诚意提请贵方关注：近期有关该型号产品的生产、供货、售后服务以及性能等方面的重大决策和事项有：</w:t>
      </w:r>
    </w:p>
    <w:p>
      <w:pPr>
        <w:snapToGrid w:val="0"/>
        <w:spacing w:line="400" w:lineRule="exact"/>
        <w:ind w:firstLine="480"/>
        <w:jc w:val="left"/>
        <w:rPr>
          <w:rFonts w:ascii="宋体" w:hAnsi="宋体"/>
          <w:color w:val="auto"/>
          <w:sz w:val="24"/>
          <w:highlight w:val="none"/>
        </w:rPr>
      </w:pPr>
    </w:p>
    <w:p>
      <w:pPr>
        <w:snapToGrid w:val="0"/>
        <w:spacing w:line="400" w:lineRule="exact"/>
        <w:ind w:firstLine="480"/>
        <w:jc w:val="left"/>
        <w:rPr>
          <w:rFonts w:ascii="宋体" w:hAnsi="宋体"/>
          <w:color w:val="auto"/>
          <w:sz w:val="24"/>
          <w:highlight w:val="none"/>
        </w:rPr>
      </w:pPr>
    </w:p>
    <w:p>
      <w:pPr>
        <w:snapToGrid w:val="0"/>
        <w:spacing w:line="400" w:lineRule="exact"/>
        <w:ind w:firstLine="480"/>
        <w:jc w:val="left"/>
        <w:rPr>
          <w:rFonts w:ascii="宋体" w:hAnsi="宋体"/>
          <w:color w:val="auto"/>
          <w:sz w:val="24"/>
          <w:highlight w:val="none"/>
        </w:rPr>
      </w:pPr>
      <w:r>
        <w:rPr>
          <w:rFonts w:hint="eastAsia" w:ascii="宋体" w:hAnsi="宋体"/>
          <w:color w:val="auto"/>
          <w:sz w:val="24"/>
          <w:highlight w:val="none"/>
        </w:rPr>
        <w:t>5、我方及由本人担任法定代表人的其他机构最近三年内被通报或者被处罚的违法行为有：</w:t>
      </w:r>
    </w:p>
    <w:p>
      <w:pPr>
        <w:snapToGrid w:val="0"/>
        <w:spacing w:line="400" w:lineRule="exact"/>
        <w:ind w:firstLine="480"/>
        <w:jc w:val="left"/>
        <w:rPr>
          <w:rFonts w:ascii="宋体" w:hAnsi="宋体"/>
          <w:color w:val="auto"/>
          <w:sz w:val="24"/>
          <w:highlight w:val="none"/>
        </w:rPr>
      </w:pPr>
    </w:p>
    <w:p>
      <w:pPr>
        <w:snapToGrid w:val="0"/>
        <w:spacing w:line="400" w:lineRule="exact"/>
        <w:ind w:firstLine="480"/>
        <w:jc w:val="left"/>
        <w:rPr>
          <w:rFonts w:ascii="宋体" w:hAnsi="宋体"/>
          <w:color w:val="auto"/>
          <w:sz w:val="24"/>
          <w:highlight w:val="none"/>
        </w:rPr>
      </w:pPr>
    </w:p>
    <w:p>
      <w:pPr>
        <w:snapToGrid w:val="0"/>
        <w:spacing w:line="400" w:lineRule="exact"/>
        <w:ind w:firstLine="480"/>
        <w:jc w:val="left"/>
        <w:rPr>
          <w:rFonts w:ascii="宋体" w:hAnsi="宋体"/>
          <w:color w:val="auto"/>
          <w:sz w:val="24"/>
          <w:highlight w:val="none"/>
        </w:rPr>
      </w:pPr>
      <w:r>
        <w:rPr>
          <w:rFonts w:hint="eastAsia" w:ascii="宋体" w:hAnsi="宋体"/>
          <w:color w:val="auto"/>
          <w:sz w:val="24"/>
          <w:highlight w:val="none"/>
        </w:rPr>
        <w:t>6、以上事项如有虚假或隐瞒，我方愿意承担一切后果，并不再寻求任何旨在减轻或免除法律责任的辩解。</w:t>
      </w:r>
    </w:p>
    <w:p>
      <w:pPr>
        <w:snapToGrid w:val="0"/>
        <w:spacing w:line="400" w:lineRule="exact"/>
        <w:ind w:firstLine="480"/>
        <w:jc w:val="left"/>
        <w:rPr>
          <w:rFonts w:ascii="宋体" w:hAnsi="宋体"/>
          <w:color w:val="auto"/>
          <w:sz w:val="24"/>
          <w:highlight w:val="none"/>
        </w:rPr>
      </w:pPr>
    </w:p>
    <w:p>
      <w:pPr>
        <w:snapToGrid w:val="0"/>
        <w:spacing w:line="400" w:lineRule="exact"/>
        <w:ind w:firstLine="480"/>
        <w:jc w:val="left"/>
        <w:rPr>
          <w:rFonts w:ascii="宋体" w:hAnsi="宋体"/>
          <w:color w:val="auto"/>
          <w:sz w:val="24"/>
          <w:highlight w:val="none"/>
        </w:rPr>
      </w:pPr>
    </w:p>
    <w:p>
      <w:pPr>
        <w:snapToGrid w:val="0"/>
        <w:spacing w:line="400" w:lineRule="exact"/>
        <w:ind w:firstLine="480"/>
        <w:jc w:val="left"/>
        <w:rPr>
          <w:rFonts w:ascii="宋体" w:hAnsi="宋体"/>
          <w:color w:val="auto"/>
          <w:sz w:val="24"/>
          <w:highlight w:val="none"/>
        </w:rPr>
      </w:pPr>
      <w:r>
        <w:rPr>
          <w:rFonts w:hint="eastAsia" w:ascii="宋体" w:hAnsi="宋体"/>
          <w:color w:val="auto"/>
          <w:sz w:val="24"/>
          <w:highlight w:val="none"/>
        </w:rPr>
        <w:t>法定代表人或授权代表签名：</w:t>
      </w:r>
    </w:p>
    <w:p>
      <w:pPr>
        <w:snapToGrid w:val="0"/>
        <w:spacing w:line="400" w:lineRule="exact"/>
        <w:ind w:firstLine="480"/>
        <w:jc w:val="left"/>
        <w:rPr>
          <w:rFonts w:ascii="宋体" w:hAnsi="宋体"/>
          <w:color w:val="auto"/>
          <w:sz w:val="24"/>
          <w:highlight w:val="none"/>
        </w:rPr>
      </w:pPr>
      <w:r>
        <w:rPr>
          <w:rFonts w:hint="eastAsia" w:ascii="宋体" w:hAnsi="宋体"/>
          <w:color w:val="auto"/>
          <w:sz w:val="24"/>
          <w:highlight w:val="none"/>
        </w:rPr>
        <w:t>投标人公章：</w:t>
      </w:r>
    </w:p>
    <w:p>
      <w:pPr>
        <w:snapToGrid w:val="0"/>
        <w:spacing w:line="360" w:lineRule="auto"/>
        <w:ind w:firstLine="480"/>
        <w:jc w:val="left"/>
        <w:rPr>
          <w:rFonts w:ascii="宋体" w:hAnsi="宋体"/>
          <w:color w:val="auto"/>
          <w:sz w:val="24"/>
          <w:highlight w:val="none"/>
        </w:rPr>
      </w:pPr>
    </w:p>
    <w:p>
      <w:pPr>
        <w:snapToGrid w:val="0"/>
        <w:spacing w:line="360" w:lineRule="auto"/>
        <w:ind w:firstLine="6108" w:firstLineChars="2545"/>
        <w:jc w:val="left"/>
        <w:rPr>
          <w:rFonts w:ascii="宋体" w:hAnsi="宋体"/>
          <w:color w:val="auto"/>
          <w:sz w:val="24"/>
          <w:highlight w:val="none"/>
        </w:rPr>
      </w:pPr>
      <w:r>
        <w:rPr>
          <w:rFonts w:hint="eastAsia" w:ascii="宋体" w:hAnsi="宋体"/>
          <w:color w:val="auto"/>
          <w:sz w:val="24"/>
          <w:highlight w:val="none"/>
        </w:rPr>
        <w:t xml:space="preserve">年   月   日     </w:t>
      </w:r>
    </w:p>
    <w:p>
      <w:pPr>
        <w:snapToGrid w:val="0"/>
        <w:spacing w:before="50" w:after="120" w:afterLines="50"/>
        <w:jc w:val="left"/>
        <w:rPr>
          <w:rFonts w:ascii="宋体" w:hAnsi="宋体"/>
          <w:b/>
          <w:color w:val="auto"/>
          <w:sz w:val="24"/>
          <w:highlight w:val="none"/>
        </w:rPr>
      </w:pPr>
      <w:r>
        <w:rPr>
          <w:rFonts w:hint="eastAsia" w:ascii="宋体" w:hAnsi="宋体"/>
          <w:color w:val="auto"/>
          <w:highlight w:val="none"/>
        </w:rPr>
        <w:br w:type="page"/>
      </w:r>
      <w:r>
        <w:rPr>
          <w:rFonts w:hint="eastAsia" w:ascii="宋体" w:hAnsi="宋体"/>
          <w:b/>
          <w:color w:val="auto"/>
          <w:sz w:val="24"/>
          <w:highlight w:val="none"/>
        </w:rPr>
        <w:t>3.2法定代表人授权委托书格式：</w:t>
      </w:r>
    </w:p>
    <w:p>
      <w:pPr>
        <w:snapToGrid w:val="0"/>
        <w:spacing w:before="120" w:beforeLines="50" w:after="50"/>
        <w:jc w:val="center"/>
        <w:rPr>
          <w:rFonts w:ascii="宋体" w:hAnsi="宋体"/>
          <w:color w:val="auto"/>
          <w:sz w:val="30"/>
          <w:szCs w:val="20"/>
          <w:highlight w:val="none"/>
        </w:rPr>
      </w:pPr>
    </w:p>
    <w:p>
      <w:pPr>
        <w:snapToGrid w:val="0"/>
        <w:spacing w:before="120" w:beforeLines="50" w:after="50"/>
        <w:jc w:val="center"/>
        <w:rPr>
          <w:rFonts w:ascii="宋体" w:hAnsi="宋体"/>
          <w:b/>
          <w:color w:val="auto"/>
          <w:sz w:val="24"/>
          <w:szCs w:val="20"/>
          <w:highlight w:val="none"/>
        </w:rPr>
      </w:pPr>
      <w:r>
        <w:rPr>
          <w:rFonts w:hint="eastAsia" w:ascii="宋体" w:hAnsi="宋体"/>
          <w:b/>
          <w:color w:val="auto"/>
          <w:sz w:val="24"/>
          <w:highlight w:val="none"/>
        </w:rPr>
        <w:t>法定代表人授权委托书</w:t>
      </w:r>
    </w:p>
    <w:p>
      <w:pPr>
        <w:snapToGrid w:val="0"/>
        <w:spacing w:before="120" w:beforeLines="50" w:after="50"/>
        <w:rPr>
          <w:rFonts w:ascii="宋体" w:hAnsi="宋体"/>
          <w:bCs/>
          <w:color w:val="auto"/>
          <w:sz w:val="24"/>
          <w:highlight w:val="none"/>
        </w:rPr>
      </w:pPr>
    </w:p>
    <w:p>
      <w:pPr>
        <w:snapToGrid w:val="0"/>
        <w:spacing w:before="120" w:beforeLines="50" w:after="50"/>
        <w:rPr>
          <w:rFonts w:ascii="宋体" w:hAnsi="宋体"/>
          <w:b/>
          <w:bCs/>
          <w:color w:val="auto"/>
          <w:sz w:val="24"/>
          <w:szCs w:val="20"/>
          <w:highlight w:val="none"/>
        </w:rPr>
      </w:pPr>
      <w:r>
        <w:rPr>
          <w:rFonts w:hint="eastAsia" w:ascii="宋体" w:hAnsi="宋体"/>
          <w:bCs/>
          <w:color w:val="auto"/>
          <w:sz w:val="24"/>
          <w:highlight w:val="none"/>
        </w:rPr>
        <w:t>致：</w:t>
      </w:r>
      <w:r>
        <w:rPr>
          <w:rFonts w:ascii="宋体" w:hAnsi="宋体"/>
          <w:color w:val="auto"/>
          <w:sz w:val="24"/>
          <w:highlight w:val="none"/>
        </w:rPr>
        <w:t>______</w:t>
      </w:r>
      <w:r>
        <w:rPr>
          <w:rFonts w:ascii="宋体" w:hAnsi="宋体"/>
          <w:color w:val="auto"/>
          <w:sz w:val="24"/>
          <w:highlight w:val="none"/>
          <w:u w:val="single"/>
        </w:rPr>
        <w:t>_     _</w:t>
      </w:r>
      <w:r>
        <w:rPr>
          <w:rFonts w:ascii="宋体" w:hAnsi="宋体"/>
          <w:color w:val="auto"/>
          <w:sz w:val="24"/>
          <w:highlight w:val="none"/>
        </w:rPr>
        <w:t>_</w:t>
      </w:r>
      <w:r>
        <w:rPr>
          <w:rFonts w:hint="eastAsia" w:ascii="宋体" w:hAnsi="宋体"/>
          <w:color w:val="auto"/>
          <w:sz w:val="24"/>
          <w:highlight w:val="none"/>
        </w:rPr>
        <w:t>（招标采购单位名称）：</w:t>
      </w:r>
    </w:p>
    <w:p>
      <w:pPr>
        <w:snapToGrid w:val="0"/>
        <w:spacing w:before="120" w:beforeLines="50" w:after="50" w:line="360" w:lineRule="auto"/>
        <w:ind w:firstLine="720" w:firstLineChars="300"/>
        <w:rPr>
          <w:rFonts w:ascii="宋体" w:hAnsi="宋体"/>
          <w:color w:val="auto"/>
          <w:sz w:val="24"/>
          <w:highlight w:val="none"/>
        </w:rPr>
      </w:pPr>
      <w:r>
        <w:rPr>
          <w:rFonts w:hint="eastAsia" w:ascii="宋体" w:hAnsi="宋体"/>
          <w:color w:val="auto"/>
          <w:sz w:val="24"/>
          <w:highlight w:val="none"/>
        </w:rPr>
        <w:t>我</w:t>
      </w:r>
      <w:r>
        <w:rPr>
          <w:rFonts w:ascii="宋体" w:hAnsi="宋体"/>
          <w:color w:val="auto"/>
          <w:sz w:val="24"/>
          <w:highlight w:val="none"/>
        </w:rPr>
        <w:t>______</w:t>
      </w:r>
      <w:r>
        <w:rPr>
          <w:rFonts w:ascii="宋体" w:hAnsi="宋体"/>
          <w:color w:val="auto"/>
          <w:sz w:val="24"/>
          <w:highlight w:val="none"/>
          <w:u w:val="single"/>
        </w:rPr>
        <w:t>_     _</w:t>
      </w:r>
      <w:r>
        <w:rPr>
          <w:rFonts w:ascii="宋体" w:hAnsi="宋体"/>
          <w:color w:val="auto"/>
          <w:sz w:val="24"/>
          <w:highlight w:val="none"/>
        </w:rPr>
        <w:t>_</w:t>
      </w:r>
      <w:r>
        <w:rPr>
          <w:rFonts w:hint="eastAsia" w:ascii="宋体" w:hAnsi="宋体"/>
          <w:color w:val="auto"/>
          <w:sz w:val="24"/>
          <w:highlight w:val="none"/>
        </w:rPr>
        <w:t>（姓名）系</w:t>
      </w:r>
      <w:r>
        <w:rPr>
          <w:rFonts w:ascii="宋体" w:hAnsi="宋体"/>
          <w:color w:val="auto"/>
          <w:sz w:val="24"/>
          <w:highlight w:val="none"/>
        </w:rPr>
        <w:t>______</w:t>
      </w:r>
      <w:r>
        <w:rPr>
          <w:rFonts w:ascii="宋体" w:hAnsi="宋体"/>
          <w:color w:val="auto"/>
          <w:sz w:val="24"/>
          <w:highlight w:val="none"/>
          <w:u w:val="single"/>
        </w:rPr>
        <w:t>_     _</w:t>
      </w:r>
      <w:r>
        <w:rPr>
          <w:rFonts w:ascii="宋体" w:hAnsi="宋体"/>
          <w:color w:val="auto"/>
          <w:sz w:val="24"/>
          <w:highlight w:val="none"/>
        </w:rPr>
        <w:t>_</w:t>
      </w:r>
      <w:r>
        <w:rPr>
          <w:rFonts w:hint="eastAsia" w:ascii="宋体" w:hAnsi="宋体"/>
          <w:color w:val="auto"/>
          <w:sz w:val="24"/>
          <w:highlight w:val="none"/>
        </w:rPr>
        <w:t>（投标人名称）的法定代表人，现授权委托本单位在职职工（姓名）以我方的名义参加项目的投标活动，并代表我方全权办理针对上述项目的投标、开标、评标、签约等具体事务和签署相关文件。</w:t>
      </w:r>
    </w:p>
    <w:p>
      <w:pPr>
        <w:snapToGrid w:val="0"/>
        <w:spacing w:before="120" w:beforeLines="50" w:after="50" w:line="360" w:lineRule="auto"/>
        <w:rPr>
          <w:rFonts w:ascii="宋体" w:hAnsi="宋体"/>
          <w:color w:val="auto"/>
          <w:sz w:val="24"/>
          <w:highlight w:val="none"/>
        </w:rPr>
      </w:pPr>
      <w:r>
        <w:rPr>
          <w:rFonts w:hint="eastAsia" w:ascii="宋体" w:hAnsi="宋体"/>
          <w:color w:val="auto"/>
          <w:sz w:val="24"/>
          <w:highlight w:val="none"/>
        </w:rPr>
        <w:t>我方对被授权人的签名事项负全部责任。</w:t>
      </w:r>
    </w:p>
    <w:p>
      <w:pPr>
        <w:snapToGrid w:val="0"/>
        <w:spacing w:before="120" w:beforeLines="50" w:after="50" w:line="360" w:lineRule="auto"/>
        <w:ind w:firstLine="480"/>
        <w:rPr>
          <w:rFonts w:ascii="宋体" w:hAnsi="宋体"/>
          <w:color w:val="auto"/>
          <w:sz w:val="24"/>
          <w:szCs w:val="20"/>
          <w:highlight w:val="none"/>
        </w:rPr>
      </w:pPr>
      <w:r>
        <w:rPr>
          <w:rFonts w:hint="eastAsia" w:ascii="宋体" w:hAnsi="宋体"/>
          <w:color w:val="auto"/>
          <w:sz w:val="24"/>
          <w:highlight w:val="none"/>
          <w:u w:val="single"/>
        </w:rPr>
        <w:t>在撤销授权的书面通知以前，本授权书一直有效。</w:t>
      </w:r>
      <w:r>
        <w:rPr>
          <w:rFonts w:hint="eastAsia" w:ascii="宋体" w:hAnsi="宋体"/>
          <w:color w:val="auto"/>
          <w:sz w:val="24"/>
          <w:highlight w:val="none"/>
        </w:rPr>
        <w:t>被授权人在授权书有效期内签署的所有文件不因授权的撤销而失效。</w:t>
      </w:r>
    </w:p>
    <w:p>
      <w:pPr>
        <w:snapToGrid w:val="0"/>
        <w:spacing w:before="120" w:beforeLines="50" w:after="50"/>
        <w:ind w:firstLine="480"/>
        <w:rPr>
          <w:rFonts w:ascii="宋体" w:hAnsi="宋体"/>
          <w:color w:val="auto"/>
          <w:sz w:val="24"/>
          <w:szCs w:val="20"/>
          <w:highlight w:val="none"/>
        </w:rPr>
      </w:pPr>
      <w:r>
        <w:rPr>
          <w:rFonts w:hint="eastAsia" w:ascii="宋体" w:hAnsi="宋体"/>
          <w:color w:val="auto"/>
          <w:sz w:val="24"/>
          <w:highlight w:val="none"/>
        </w:rPr>
        <w:t>被授权人无转委托权，特此委托。</w:t>
      </w:r>
    </w:p>
    <w:p>
      <w:pPr>
        <w:snapToGrid w:val="0"/>
        <w:spacing w:before="120" w:beforeLines="50" w:after="50"/>
        <w:rPr>
          <w:rFonts w:ascii="宋体" w:hAnsi="宋体"/>
          <w:color w:val="auto"/>
          <w:sz w:val="24"/>
          <w:szCs w:val="20"/>
          <w:highlight w:val="none"/>
        </w:rPr>
      </w:pPr>
    </w:p>
    <w:p>
      <w:pPr>
        <w:snapToGrid w:val="0"/>
        <w:spacing w:before="120" w:beforeLines="50" w:after="50"/>
        <w:rPr>
          <w:rFonts w:ascii="宋体" w:hAnsi="宋体"/>
          <w:color w:val="auto"/>
          <w:sz w:val="24"/>
          <w:szCs w:val="20"/>
          <w:highlight w:val="none"/>
          <w:u w:val="single"/>
        </w:rPr>
      </w:pPr>
      <w:r>
        <w:rPr>
          <w:rFonts w:hint="eastAsia" w:ascii="宋体" w:hAnsi="宋体"/>
          <w:color w:val="auto"/>
          <w:sz w:val="24"/>
          <w:highlight w:val="none"/>
        </w:rPr>
        <w:t>被授权人签名：法定代表人签名：</w:t>
      </w:r>
    </w:p>
    <w:p>
      <w:pPr>
        <w:snapToGrid w:val="0"/>
        <w:spacing w:before="120" w:beforeLines="50" w:after="50"/>
        <w:ind w:firstLine="960" w:firstLineChars="400"/>
        <w:rPr>
          <w:rFonts w:ascii="宋体" w:hAnsi="宋体"/>
          <w:color w:val="auto"/>
          <w:sz w:val="24"/>
          <w:szCs w:val="20"/>
          <w:highlight w:val="none"/>
        </w:rPr>
      </w:pPr>
      <w:r>
        <w:rPr>
          <w:rFonts w:hint="eastAsia" w:ascii="宋体" w:hAnsi="宋体"/>
          <w:color w:val="auto"/>
          <w:sz w:val="24"/>
          <w:highlight w:val="none"/>
        </w:rPr>
        <w:t>职务：职务：</w:t>
      </w:r>
    </w:p>
    <w:p>
      <w:pPr>
        <w:snapToGrid w:val="0"/>
        <w:spacing w:before="120" w:beforeLines="50" w:after="50"/>
        <w:rPr>
          <w:rFonts w:ascii="宋体" w:hAnsi="宋体"/>
          <w:color w:val="auto"/>
          <w:sz w:val="24"/>
          <w:highlight w:val="none"/>
        </w:rPr>
      </w:pPr>
      <w:r>
        <w:rPr>
          <w:rFonts w:hint="eastAsia" w:ascii="宋体" w:hAnsi="宋体"/>
          <w:color w:val="auto"/>
          <w:sz w:val="24"/>
          <w:highlight w:val="none"/>
        </w:rPr>
        <w:t>被授权人身份证复印件：</w:t>
      </w: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szCs w:val="20"/>
          <w:highlight w:val="none"/>
        </w:rPr>
      </w:pPr>
    </w:p>
    <w:p>
      <w:pPr>
        <w:snapToGrid w:val="0"/>
        <w:spacing w:before="120" w:beforeLines="50" w:after="50"/>
        <w:rPr>
          <w:rFonts w:ascii="宋体" w:hAnsi="宋体"/>
          <w:color w:val="auto"/>
          <w:sz w:val="24"/>
          <w:szCs w:val="20"/>
          <w:highlight w:val="none"/>
        </w:rPr>
      </w:pPr>
      <w:r>
        <w:rPr>
          <w:rFonts w:hint="eastAsia" w:ascii="宋体" w:hAnsi="宋体"/>
          <w:color w:val="auto"/>
          <w:sz w:val="24"/>
          <w:highlight w:val="none"/>
        </w:rPr>
        <w:t>投标人公章：</w:t>
      </w:r>
    </w:p>
    <w:p>
      <w:pPr>
        <w:snapToGrid w:val="0"/>
        <w:spacing w:before="120" w:beforeLines="50" w:after="50"/>
        <w:jc w:val="center"/>
        <w:rPr>
          <w:rFonts w:ascii="宋体" w:hAnsi="宋体"/>
          <w:color w:val="auto"/>
          <w:sz w:val="24"/>
          <w:highlight w:val="none"/>
        </w:rPr>
      </w:pPr>
      <w:r>
        <w:rPr>
          <w:rFonts w:hint="eastAsia" w:ascii="宋体" w:hAnsi="宋体"/>
          <w:color w:val="auto"/>
          <w:sz w:val="24"/>
          <w:highlight w:val="none"/>
        </w:rPr>
        <w:t>年  月  日</w:t>
      </w: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highlight w:val="none"/>
        </w:rPr>
      </w:pPr>
    </w:p>
    <w:p>
      <w:pPr>
        <w:snapToGrid w:val="0"/>
        <w:spacing w:before="120" w:beforeLines="50" w:after="50"/>
        <w:rPr>
          <w:rFonts w:ascii="宋体" w:hAnsi="宋体"/>
          <w:color w:val="auto"/>
          <w:sz w:val="24"/>
          <w:highlight w:val="none"/>
        </w:rPr>
        <w:sectPr>
          <w:headerReference r:id="rId4" w:type="first"/>
          <w:headerReference r:id="rId3" w:type="default"/>
          <w:footerReference r:id="rId5" w:type="default"/>
          <w:footerReference r:id="rId6" w:type="even"/>
          <w:pgSz w:w="11906" w:h="16838"/>
          <w:pgMar w:top="1440" w:right="1803" w:bottom="1440" w:left="1803" w:header="851" w:footer="851" w:gutter="0"/>
          <w:pgNumType w:start="0"/>
          <w:cols w:space="720" w:num="1"/>
          <w:titlePg/>
          <w:docGrid w:linePitch="312" w:charSpace="0"/>
        </w:sect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3.3投标单位情况表：</w:t>
      </w:r>
    </w:p>
    <w:p>
      <w:pPr>
        <w:snapToGrid w:val="0"/>
        <w:spacing w:before="156" w:beforeLines="50" w:after="50"/>
        <w:jc w:val="center"/>
        <w:rPr>
          <w:rFonts w:ascii="宋体" w:hAnsi="宋体"/>
          <w:b/>
          <w:color w:val="auto"/>
          <w:sz w:val="24"/>
          <w:highlight w:val="none"/>
        </w:rPr>
      </w:pPr>
      <w:r>
        <w:rPr>
          <w:rFonts w:hint="eastAsia" w:ascii="宋体" w:hAnsi="宋体"/>
          <w:b/>
          <w:color w:val="auto"/>
          <w:sz w:val="24"/>
          <w:highlight w:val="none"/>
        </w:rPr>
        <w:t>投标单位情况表</w:t>
      </w:r>
    </w:p>
    <w:p>
      <w:pPr>
        <w:pStyle w:val="8"/>
        <w:spacing w:before="156" w:after="156" w:line="240" w:lineRule="auto"/>
        <w:rPr>
          <w:rFonts w:ascii="Times New Roman" w:hAnsi="Times New Roman"/>
          <w:color w:val="auto"/>
          <w:highlight w:val="none"/>
        </w:rPr>
      </w:pPr>
      <w:r>
        <w:rPr>
          <w:rFonts w:hint="eastAsia" w:ascii="Times New Roman" w:hAnsi="Times New Roman"/>
          <w:color w:val="auto"/>
          <w:highlight w:val="none"/>
        </w:rPr>
        <w:t>投标单位：                                        填表日期：</w:t>
      </w:r>
    </w:p>
    <w:tbl>
      <w:tblPr>
        <w:tblStyle w:val="18"/>
        <w:tblW w:w="89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60"/>
        <w:gridCol w:w="3263"/>
        <w:gridCol w:w="1222"/>
        <w:gridCol w:w="166"/>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jc w:val="center"/>
        </w:trPr>
        <w:tc>
          <w:tcPr>
            <w:tcW w:w="1728" w:type="dxa"/>
            <w:gridSpan w:val="2"/>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单位名称</w:t>
            </w:r>
          </w:p>
        </w:tc>
        <w:tc>
          <w:tcPr>
            <w:tcW w:w="3263" w:type="dxa"/>
            <w:noWrap/>
            <w:vAlign w:val="center"/>
          </w:tcPr>
          <w:p>
            <w:pPr>
              <w:widowControl/>
              <w:jc w:val="center"/>
              <w:rPr>
                <w:color w:val="auto"/>
                <w:sz w:val="24"/>
                <w:highlight w:val="none"/>
              </w:rPr>
            </w:pPr>
          </w:p>
        </w:tc>
        <w:tc>
          <w:tcPr>
            <w:tcW w:w="1388" w:type="dxa"/>
            <w:gridSpan w:val="2"/>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电话</w:t>
            </w:r>
          </w:p>
        </w:tc>
        <w:tc>
          <w:tcPr>
            <w:tcW w:w="2534" w:type="dxa"/>
            <w:noWrap/>
            <w:vAlign w:val="center"/>
          </w:tcPr>
          <w:p>
            <w:pPr>
              <w:pStyle w:val="8"/>
              <w:spacing w:before="156" w:after="156"/>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1728" w:type="dxa"/>
            <w:gridSpan w:val="2"/>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地址</w:t>
            </w:r>
          </w:p>
        </w:tc>
        <w:tc>
          <w:tcPr>
            <w:tcW w:w="3263" w:type="dxa"/>
            <w:noWrap/>
            <w:vAlign w:val="center"/>
          </w:tcPr>
          <w:p>
            <w:pPr>
              <w:pStyle w:val="8"/>
              <w:spacing w:before="156" w:after="156"/>
              <w:jc w:val="center"/>
              <w:rPr>
                <w:rFonts w:ascii="Times New Roman" w:hAnsi="Times New Roman"/>
                <w:color w:val="auto"/>
                <w:highlight w:val="none"/>
              </w:rPr>
            </w:pPr>
          </w:p>
        </w:tc>
        <w:tc>
          <w:tcPr>
            <w:tcW w:w="1388" w:type="dxa"/>
            <w:gridSpan w:val="2"/>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传真</w:t>
            </w:r>
          </w:p>
        </w:tc>
        <w:tc>
          <w:tcPr>
            <w:tcW w:w="2534" w:type="dxa"/>
            <w:noWrap/>
            <w:vAlign w:val="center"/>
          </w:tcPr>
          <w:p>
            <w:pPr>
              <w:pStyle w:val="8"/>
              <w:spacing w:before="156" w:after="156"/>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1728" w:type="dxa"/>
            <w:gridSpan w:val="2"/>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主管部门</w:t>
            </w:r>
          </w:p>
        </w:tc>
        <w:tc>
          <w:tcPr>
            <w:tcW w:w="3263" w:type="dxa"/>
            <w:noWrap/>
            <w:vAlign w:val="center"/>
          </w:tcPr>
          <w:p>
            <w:pPr>
              <w:pStyle w:val="8"/>
              <w:spacing w:before="156" w:after="156"/>
              <w:jc w:val="center"/>
              <w:rPr>
                <w:rFonts w:ascii="Times New Roman" w:hAnsi="Times New Roman"/>
                <w:color w:val="auto"/>
                <w:highlight w:val="none"/>
              </w:rPr>
            </w:pPr>
          </w:p>
        </w:tc>
        <w:tc>
          <w:tcPr>
            <w:tcW w:w="1388" w:type="dxa"/>
            <w:gridSpan w:val="2"/>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企业性质</w:t>
            </w:r>
          </w:p>
        </w:tc>
        <w:tc>
          <w:tcPr>
            <w:tcW w:w="2534" w:type="dxa"/>
            <w:noWrap/>
            <w:vAlign w:val="center"/>
          </w:tcPr>
          <w:p>
            <w:pPr>
              <w:pStyle w:val="8"/>
              <w:spacing w:before="156" w:after="156"/>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728" w:type="dxa"/>
            <w:gridSpan w:val="2"/>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企业法人</w:t>
            </w:r>
          </w:p>
        </w:tc>
        <w:tc>
          <w:tcPr>
            <w:tcW w:w="3263" w:type="dxa"/>
            <w:noWrap/>
            <w:vAlign w:val="center"/>
          </w:tcPr>
          <w:p>
            <w:pPr>
              <w:pStyle w:val="8"/>
              <w:spacing w:before="156" w:after="156"/>
              <w:jc w:val="center"/>
              <w:rPr>
                <w:rFonts w:ascii="Times New Roman" w:hAnsi="Times New Roman"/>
                <w:color w:val="auto"/>
                <w:highlight w:val="none"/>
              </w:rPr>
            </w:pPr>
          </w:p>
        </w:tc>
        <w:tc>
          <w:tcPr>
            <w:tcW w:w="1388" w:type="dxa"/>
            <w:gridSpan w:val="2"/>
            <w:noWrap/>
            <w:vAlign w:val="center"/>
          </w:tcPr>
          <w:p>
            <w:pPr>
              <w:pStyle w:val="8"/>
              <w:spacing w:before="156" w:after="156"/>
              <w:rPr>
                <w:rFonts w:ascii="Times New Roman" w:hAnsi="Times New Roman"/>
                <w:color w:val="auto"/>
                <w:highlight w:val="none"/>
              </w:rPr>
            </w:pPr>
            <w:r>
              <w:rPr>
                <w:rFonts w:hint="eastAsia"/>
                <w:color w:val="auto"/>
                <w:highlight w:val="none"/>
              </w:rPr>
              <w:t>资质等级</w:t>
            </w:r>
          </w:p>
        </w:tc>
        <w:tc>
          <w:tcPr>
            <w:tcW w:w="2534" w:type="dxa"/>
            <w:noWrap/>
            <w:vAlign w:val="center"/>
          </w:tcPr>
          <w:p>
            <w:pPr>
              <w:pStyle w:val="8"/>
              <w:spacing w:before="156" w:after="156"/>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1728" w:type="dxa"/>
            <w:gridSpan w:val="2"/>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授权代表</w:t>
            </w:r>
          </w:p>
        </w:tc>
        <w:tc>
          <w:tcPr>
            <w:tcW w:w="3263" w:type="dxa"/>
            <w:noWrap/>
            <w:vAlign w:val="center"/>
          </w:tcPr>
          <w:p>
            <w:pPr>
              <w:pStyle w:val="8"/>
              <w:spacing w:before="156" w:after="156"/>
              <w:jc w:val="center"/>
              <w:rPr>
                <w:rFonts w:ascii="Times New Roman" w:hAnsi="Times New Roman"/>
                <w:color w:val="auto"/>
                <w:highlight w:val="none"/>
              </w:rPr>
            </w:pPr>
          </w:p>
        </w:tc>
        <w:tc>
          <w:tcPr>
            <w:tcW w:w="1388" w:type="dxa"/>
            <w:gridSpan w:val="2"/>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职务</w:t>
            </w:r>
          </w:p>
        </w:tc>
        <w:tc>
          <w:tcPr>
            <w:tcW w:w="2534" w:type="dxa"/>
            <w:noWrap/>
            <w:vAlign w:val="center"/>
          </w:tcPr>
          <w:p>
            <w:pPr>
              <w:pStyle w:val="8"/>
              <w:spacing w:before="156" w:after="156"/>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769" w:hRule="atLeast"/>
          <w:jc w:val="center"/>
        </w:trPr>
        <w:tc>
          <w:tcPr>
            <w:tcW w:w="468" w:type="dxa"/>
            <w:vMerge w:val="restart"/>
            <w:noWrap/>
            <w:vAlign w:val="center"/>
          </w:tcPr>
          <w:p>
            <w:pPr>
              <w:pStyle w:val="8"/>
              <w:spacing w:before="156" w:after="156"/>
              <w:ind w:firstLine="720" w:firstLineChars="300"/>
              <w:jc w:val="center"/>
              <w:rPr>
                <w:rFonts w:ascii="Times New Roman" w:hAnsi="Times New Roman"/>
                <w:color w:val="auto"/>
                <w:highlight w:val="none"/>
              </w:rPr>
            </w:pPr>
          </w:p>
          <w:p>
            <w:pPr>
              <w:pStyle w:val="8"/>
              <w:spacing w:before="156" w:after="156"/>
              <w:jc w:val="center"/>
              <w:rPr>
                <w:rFonts w:ascii="Times New Roman" w:hAnsi="Times New Roman"/>
                <w:color w:val="auto"/>
                <w:highlight w:val="none"/>
              </w:rPr>
            </w:pPr>
            <w:r>
              <w:rPr>
                <w:rFonts w:hint="eastAsia" w:ascii="Times New Roman" w:hAnsi="Times New Roman"/>
                <w:color w:val="auto"/>
                <w:highlight w:val="none"/>
              </w:rPr>
              <w:t>单位概况</w:t>
            </w:r>
          </w:p>
          <w:p>
            <w:pPr>
              <w:pStyle w:val="8"/>
              <w:spacing w:before="156" w:after="156"/>
              <w:ind w:firstLine="720" w:firstLineChars="300"/>
              <w:jc w:val="center"/>
              <w:rPr>
                <w:rFonts w:ascii="Times New Roman" w:hAnsi="Times New Roman"/>
                <w:color w:val="auto"/>
                <w:highlight w:val="none"/>
              </w:rPr>
            </w:pPr>
          </w:p>
          <w:p>
            <w:pPr>
              <w:pStyle w:val="8"/>
              <w:spacing w:before="156" w:after="156"/>
              <w:ind w:firstLine="720" w:firstLineChars="300"/>
              <w:jc w:val="center"/>
              <w:rPr>
                <w:rFonts w:ascii="Times New Roman" w:hAnsi="Times New Roman"/>
                <w:color w:val="auto"/>
                <w:highlight w:val="none"/>
              </w:rPr>
            </w:pPr>
          </w:p>
          <w:p>
            <w:pPr>
              <w:pStyle w:val="8"/>
              <w:spacing w:before="156" w:after="156"/>
              <w:ind w:firstLine="720" w:firstLineChars="300"/>
              <w:jc w:val="center"/>
              <w:rPr>
                <w:rFonts w:ascii="Times New Roman" w:hAnsi="Times New Roman"/>
                <w:color w:val="auto"/>
                <w:highlight w:val="none"/>
              </w:rPr>
            </w:pPr>
          </w:p>
          <w:p>
            <w:pPr>
              <w:pStyle w:val="8"/>
              <w:spacing w:before="156" w:after="156"/>
              <w:ind w:firstLine="720" w:firstLineChars="300"/>
              <w:jc w:val="center"/>
              <w:rPr>
                <w:rFonts w:ascii="Times New Roman" w:hAnsi="Times New Roman"/>
                <w:color w:val="auto"/>
                <w:highlight w:val="none"/>
              </w:rPr>
            </w:pPr>
          </w:p>
        </w:tc>
        <w:tc>
          <w:tcPr>
            <w:tcW w:w="1260" w:type="dxa"/>
            <w:vMerge w:val="restart"/>
            <w:noWrap/>
            <w:vAlign w:val="center"/>
          </w:tcPr>
          <w:p>
            <w:pPr>
              <w:jc w:val="center"/>
              <w:rPr>
                <w:color w:val="auto"/>
                <w:sz w:val="24"/>
                <w:highlight w:val="none"/>
              </w:rPr>
            </w:pPr>
            <w:r>
              <w:rPr>
                <w:rFonts w:hint="eastAsia"/>
                <w:color w:val="auto"/>
                <w:sz w:val="24"/>
                <w:highlight w:val="none"/>
              </w:rPr>
              <w:t>职工总数</w:t>
            </w:r>
          </w:p>
        </w:tc>
        <w:tc>
          <w:tcPr>
            <w:tcW w:w="3263" w:type="dxa"/>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员工：           人</w:t>
            </w:r>
          </w:p>
        </w:tc>
        <w:tc>
          <w:tcPr>
            <w:tcW w:w="3922" w:type="dxa"/>
            <w:gridSpan w:val="3"/>
            <w:noWrap/>
            <w:vAlign w:val="center"/>
          </w:tcPr>
          <w:p>
            <w:pPr>
              <w:pStyle w:val="8"/>
              <w:spacing w:before="156" w:after="156"/>
              <w:rPr>
                <w:rFonts w:ascii="Times New Roman" w:hAnsi="Times New Roman"/>
                <w:color w:val="auto"/>
                <w:highlight w:val="none"/>
              </w:rPr>
            </w:pPr>
            <w:r>
              <w:rPr>
                <w:rFonts w:hint="eastAsia" w:ascii="Times New Roman" w:hAnsi="Times New Roman"/>
                <w:color w:val="auto"/>
                <w:highlight w:val="none"/>
              </w:rPr>
              <w:t>技术工人：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jc w:val="center"/>
        </w:trPr>
        <w:tc>
          <w:tcPr>
            <w:tcW w:w="468" w:type="dxa"/>
            <w:vMerge w:val="continue"/>
            <w:noWrap/>
            <w:vAlign w:val="center"/>
          </w:tcPr>
          <w:p>
            <w:pPr>
              <w:pStyle w:val="8"/>
              <w:spacing w:before="156" w:after="156"/>
              <w:ind w:firstLine="720" w:firstLineChars="300"/>
              <w:jc w:val="center"/>
              <w:rPr>
                <w:rFonts w:ascii="Times New Roman" w:hAnsi="Times New Roman"/>
                <w:color w:val="auto"/>
                <w:highlight w:val="none"/>
              </w:rPr>
            </w:pPr>
          </w:p>
        </w:tc>
        <w:tc>
          <w:tcPr>
            <w:tcW w:w="1260" w:type="dxa"/>
            <w:vMerge w:val="continue"/>
            <w:noWrap/>
            <w:vAlign w:val="center"/>
          </w:tcPr>
          <w:p>
            <w:pPr>
              <w:widowControl/>
              <w:jc w:val="center"/>
              <w:rPr>
                <w:color w:val="auto"/>
                <w:sz w:val="24"/>
                <w:highlight w:val="none"/>
              </w:rPr>
            </w:pPr>
          </w:p>
        </w:tc>
        <w:tc>
          <w:tcPr>
            <w:tcW w:w="3263" w:type="dxa"/>
            <w:noWrap/>
            <w:vAlign w:val="center"/>
          </w:tcPr>
          <w:p>
            <w:pPr>
              <w:pStyle w:val="8"/>
              <w:spacing w:before="156" w:after="156"/>
              <w:rPr>
                <w:color w:val="auto"/>
                <w:highlight w:val="none"/>
              </w:rPr>
            </w:pPr>
            <w:r>
              <w:rPr>
                <w:rFonts w:hint="eastAsia"/>
                <w:color w:val="auto"/>
                <w:highlight w:val="none"/>
              </w:rPr>
              <w:t>高级技师：       人</w:t>
            </w:r>
          </w:p>
        </w:tc>
        <w:tc>
          <w:tcPr>
            <w:tcW w:w="3922" w:type="dxa"/>
            <w:gridSpan w:val="3"/>
            <w:noWrap/>
            <w:vAlign w:val="center"/>
          </w:tcPr>
          <w:p>
            <w:pPr>
              <w:pStyle w:val="8"/>
              <w:spacing w:before="156" w:after="156"/>
              <w:rPr>
                <w:color w:val="auto"/>
                <w:highlight w:val="none"/>
              </w:rPr>
            </w:pPr>
            <w:r>
              <w:rPr>
                <w:rFonts w:hint="eastAsia"/>
                <w:color w:val="auto"/>
                <w:highlight w:val="none"/>
              </w:rPr>
              <w:t>工程师：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468" w:type="dxa"/>
            <w:vMerge w:val="continue"/>
            <w:noWrap/>
            <w:vAlign w:val="center"/>
          </w:tcPr>
          <w:p>
            <w:pPr>
              <w:pStyle w:val="8"/>
              <w:spacing w:before="156" w:after="156"/>
              <w:ind w:firstLine="720" w:firstLineChars="300"/>
              <w:jc w:val="center"/>
              <w:rPr>
                <w:rFonts w:ascii="Times New Roman" w:hAnsi="Times New Roman"/>
                <w:color w:val="auto"/>
                <w:highlight w:val="none"/>
              </w:rPr>
            </w:pPr>
          </w:p>
        </w:tc>
        <w:tc>
          <w:tcPr>
            <w:tcW w:w="1260" w:type="dxa"/>
            <w:noWrap/>
            <w:vAlign w:val="center"/>
          </w:tcPr>
          <w:p>
            <w:pPr>
              <w:pStyle w:val="8"/>
              <w:spacing w:before="156" w:after="156"/>
              <w:jc w:val="center"/>
              <w:rPr>
                <w:color w:val="auto"/>
                <w:highlight w:val="none"/>
              </w:rPr>
            </w:pPr>
            <w:r>
              <w:rPr>
                <w:rFonts w:hint="eastAsia"/>
                <w:color w:val="auto"/>
                <w:highlight w:val="none"/>
              </w:rPr>
              <w:t>流动资金</w:t>
            </w:r>
          </w:p>
        </w:tc>
        <w:tc>
          <w:tcPr>
            <w:tcW w:w="3263" w:type="dxa"/>
            <w:noWrap/>
            <w:vAlign w:val="center"/>
          </w:tcPr>
          <w:p>
            <w:pPr>
              <w:pStyle w:val="8"/>
              <w:spacing w:before="156" w:after="156"/>
              <w:jc w:val="center"/>
              <w:rPr>
                <w:color w:val="auto"/>
                <w:highlight w:val="none"/>
              </w:rPr>
            </w:pPr>
          </w:p>
        </w:tc>
        <w:tc>
          <w:tcPr>
            <w:tcW w:w="1222" w:type="dxa"/>
            <w:noWrap/>
            <w:vAlign w:val="center"/>
          </w:tcPr>
          <w:p>
            <w:pPr>
              <w:pStyle w:val="8"/>
              <w:spacing w:before="156" w:after="156"/>
              <w:jc w:val="center"/>
              <w:rPr>
                <w:color w:val="auto"/>
                <w:highlight w:val="none"/>
              </w:rPr>
            </w:pPr>
            <w:r>
              <w:rPr>
                <w:rFonts w:hint="eastAsia"/>
                <w:color w:val="auto"/>
                <w:highlight w:val="none"/>
              </w:rPr>
              <w:t>营业面积</w:t>
            </w:r>
          </w:p>
        </w:tc>
        <w:tc>
          <w:tcPr>
            <w:tcW w:w="2700" w:type="dxa"/>
            <w:gridSpan w:val="2"/>
            <w:noWrap/>
            <w:vAlign w:val="center"/>
          </w:tcPr>
          <w:p>
            <w:pPr>
              <w:pStyle w:val="8"/>
              <w:spacing w:before="156" w:after="15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8" w:hRule="exact"/>
          <w:jc w:val="center"/>
        </w:trPr>
        <w:tc>
          <w:tcPr>
            <w:tcW w:w="468" w:type="dxa"/>
            <w:vMerge w:val="continue"/>
            <w:noWrap/>
            <w:vAlign w:val="center"/>
          </w:tcPr>
          <w:p>
            <w:pPr>
              <w:pStyle w:val="8"/>
              <w:spacing w:before="156" w:after="156"/>
              <w:ind w:firstLine="720" w:firstLineChars="300"/>
              <w:jc w:val="center"/>
              <w:rPr>
                <w:rFonts w:ascii="Times New Roman" w:hAnsi="Times New Roman"/>
                <w:color w:val="auto"/>
                <w:highlight w:val="none"/>
              </w:rPr>
            </w:pPr>
          </w:p>
        </w:tc>
        <w:tc>
          <w:tcPr>
            <w:tcW w:w="1260" w:type="dxa"/>
            <w:noWrap/>
            <w:vAlign w:val="center"/>
          </w:tcPr>
          <w:p>
            <w:pPr>
              <w:pStyle w:val="8"/>
              <w:spacing w:before="156" w:after="156"/>
              <w:jc w:val="center"/>
              <w:rPr>
                <w:color w:val="auto"/>
                <w:highlight w:val="none"/>
              </w:rPr>
            </w:pPr>
            <w:r>
              <w:rPr>
                <w:rFonts w:hint="eastAsia"/>
                <w:color w:val="auto"/>
                <w:highlight w:val="none"/>
              </w:rPr>
              <w:t>固定资金</w:t>
            </w:r>
          </w:p>
        </w:tc>
        <w:tc>
          <w:tcPr>
            <w:tcW w:w="3263" w:type="dxa"/>
            <w:noWrap/>
            <w:vAlign w:val="center"/>
          </w:tcPr>
          <w:p>
            <w:pPr>
              <w:widowControl/>
              <w:jc w:val="center"/>
              <w:rPr>
                <w:color w:val="auto"/>
                <w:sz w:val="24"/>
                <w:highlight w:val="none"/>
              </w:rPr>
            </w:pPr>
          </w:p>
        </w:tc>
        <w:tc>
          <w:tcPr>
            <w:tcW w:w="1222" w:type="dxa"/>
            <w:noWrap/>
            <w:vAlign w:val="center"/>
          </w:tcPr>
          <w:p>
            <w:pPr>
              <w:pStyle w:val="8"/>
              <w:spacing w:before="156" w:after="156"/>
              <w:jc w:val="center"/>
              <w:rPr>
                <w:color w:val="auto"/>
                <w:highlight w:val="none"/>
              </w:rPr>
            </w:pPr>
            <w:r>
              <w:rPr>
                <w:rFonts w:hint="eastAsia"/>
                <w:color w:val="auto"/>
                <w:highlight w:val="none"/>
              </w:rPr>
              <w:t>维修网点</w:t>
            </w:r>
          </w:p>
        </w:tc>
        <w:tc>
          <w:tcPr>
            <w:tcW w:w="2700" w:type="dxa"/>
            <w:gridSpan w:val="2"/>
            <w:noWrap/>
            <w:vAlign w:val="center"/>
          </w:tcPr>
          <w:p>
            <w:pPr>
              <w:widowControl/>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6" w:hRule="atLeast"/>
          <w:jc w:val="center"/>
        </w:trPr>
        <w:tc>
          <w:tcPr>
            <w:tcW w:w="468" w:type="dxa"/>
            <w:noWrap/>
            <w:vAlign w:val="center"/>
          </w:tcPr>
          <w:p>
            <w:pPr>
              <w:pStyle w:val="8"/>
              <w:spacing w:before="156" w:after="156"/>
              <w:jc w:val="center"/>
              <w:rPr>
                <w:rFonts w:ascii="Times New Roman" w:hAnsi="Times New Roman"/>
                <w:color w:val="auto"/>
                <w:highlight w:val="none"/>
              </w:rPr>
            </w:pPr>
            <w:r>
              <w:rPr>
                <w:rFonts w:hint="eastAsia" w:ascii="Times New Roman" w:hAnsi="Times New Roman"/>
                <w:color w:val="auto"/>
                <w:highlight w:val="none"/>
              </w:rPr>
              <w:t>单位简历</w:t>
            </w:r>
          </w:p>
        </w:tc>
        <w:tc>
          <w:tcPr>
            <w:tcW w:w="8445" w:type="dxa"/>
            <w:gridSpan w:val="5"/>
            <w:noWrap/>
          </w:tcPr>
          <w:p>
            <w:pPr>
              <w:jc w:val="left"/>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2" w:hRule="atLeast"/>
          <w:jc w:val="center"/>
        </w:trPr>
        <w:tc>
          <w:tcPr>
            <w:tcW w:w="468" w:type="dxa"/>
            <w:noWrap/>
            <w:vAlign w:val="center"/>
          </w:tcPr>
          <w:p>
            <w:pPr>
              <w:pStyle w:val="8"/>
              <w:spacing w:before="156" w:after="156"/>
              <w:jc w:val="center"/>
              <w:rPr>
                <w:rFonts w:ascii="Times New Roman" w:hAnsi="Times New Roman"/>
                <w:color w:val="auto"/>
                <w:highlight w:val="none"/>
              </w:rPr>
            </w:pPr>
            <w:r>
              <w:rPr>
                <w:rFonts w:hint="eastAsia" w:ascii="Times New Roman" w:hAnsi="Times New Roman"/>
                <w:color w:val="auto"/>
                <w:highlight w:val="none"/>
              </w:rPr>
              <w:t>优势及特长</w:t>
            </w:r>
          </w:p>
        </w:tc>
        <w:tc>
          <w:tcPr>
            <w:tcW w:w="8445" w:type="dxa"/>
            <w:gridSpan w:val="5"/>
            <w:noWrap/>
          </w:tcPr>
          <w:p>
            <w:pPr>
              <w:jc w:val="left"/>
              <w:rPr>
                <w:color w:val="auto"/>
                <w:sz w:val="24"/>
                <w:highlight w:val="none"/>
              </w:rPr>
            </w:pPr>
          </w:p>
        </w:tc>
      </w:tr>
    </w:tbl>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3.4投标产品服务计划表：</w:t>
      </w:r>
    </w:p>
    <w:p>
      <w:pPr>
        <w:snapToGrid w:val="0"/>
        <w:spacing w:before="156" w:beforeLines="50" w:after="50"/>
        <w:jc w:val="center"/>
        <w:rPr>
          <w:rFonts w:ascii="宋体" w:hAnsi="宋体"/>
          <w:b/>
          <w:color w:val="auto"/>
          <w:sz w:val="24"/>
          <w:highlight w:val="none"/>
        </w:rPr>
      </w:pPr>
      <w:r>
        <w:rPr>
          <w:rFonts w:hint="eastAsia" w:ascii="宋体" w:hAnsi="宋体"/>
          <w:b/>
          <w:color w:val="auto"/>
          <w:sz w:val="24"/>
          <w:highlight w:val="none"/>
        </w:rPr>
        <w:t>投标产品服务计划表</w:t>
      </w:r>
    </w:p>
    <w:p>
      <w:pPr>
        <w:snapToGrid w:val="0"/>
        <w:spacing w:before="156" w:beforeLines="50" w:after="50"/>
        <w:rPr>
          <w:rFonts w:ascii="宋体" w:hAnsi="宋体"/>
          <w:b/>
          <w:color w:val="auto"/>
          <w:sz w:val="24"/>
          <w:highlight w:val="none"/>
        </w:rPr>
      </w:pPr>
      <w:r>
        <w:rPr>
          <w:rFonts w:hint="eastAsia" w:ascii="宋体" w:hAnsi="宋体"/>
          <w:b/>
          <w:color w:val="auto"/>
          <w:sz w:val="24"/>
          <w:highlight w:val="none"/>
        </w:rPr>
        <w:t>标项：</w:t>
      </w:r>
    </w:p>
    <w:tbl>
      <w:tblPr>
        <w:tblStyle w:val="18"/>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703"/>
        <w:gridCol w:w="1861"/>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28" w:type="dxa"/>
            <w:noWrap/>
            <w:vAlign w:val="center"/>
          </w:tcPr>
          <w:p>
            <w:pPr>
              <w:pStyle w:val="8"/>
              <w:spacing w:before="156" w:after="156"/>
              <w:jc w:val="center"/>
              <w:rPr>
                <w:rFonts w:hAnsi="宋体"/>
                <w:color w:val="auto"/>
                <w:highlight w:val="none"/>
              </w:rPr>
            </w:pPr>
            <w:r>
              <w:rPr>
                <w:rFonts w:hint="eastAsia" w:hAnsi="宋体"/>
                <w:color w:val="auto"/>
                <w:highlight w:val="none"/>
              </w:rPr>
              <w:t>序号</w:t>
            </w:r>
          </w:p>
        </w:tc>
        <w:tc>
          <w:tcPr>
            <w:tcW w:w="4703" w:type="dxa"/>
            <w:noWrap/>
            <w:vAlign w:val="center"/>
          </w:tcPr>
          <w:p>
            <w:pPr>
              <w:pStyle w:val="8"/>
              <w:spacing w:before="156" w:after="156"/>
              <w:jc w:val="center"/>
              <w:rPr>
                <w:rFonts w:hAnsi="宋体"/>
                <w:color w:val="auto"/>
                <w:highlight w:val="none"/>
              </w:rPr>
            </w:pPr>
            <w:r>
              <w:rPr>
                <w:rFonts w:hint="eastAsia" w:hAnsi="宋体"/>
                <w:color w:val="auto"/>
                <w:highlight w:val="none"/>
              </w:rPr>
              <w:t>质量保障措施及服务内容</w:t>
            </w:r>
          </w:p>
        </w:tc>
        <w:tc>
          <w:tcPr>
            <w:tcW w:w="1861" w:type="dxa"/>
            <w:noWrap/>
            <w:vAlign w:val="center"/>
          </w:tcPr>
          <w:p>
            <w:pPr>
              <w:pStyle w:val="8"/>
              <w:spacing w:before="156" w:after="156"/>
              <w:jc w:val="center"/>
              <w:rPr>
                <w:rFonts w:hAnsi="宋体"/>
                <w:color w:val="auto"/>
                <w:highlight w:val="none"/>
              </w:rPr>
            </w:pPr>
            <w:r>
              <w:rPr>
                <w:rFonts w:hint="eastAsia" w:hAnsi="宋体"/>
                <w:color w:val="auto"/>
                <w:highlight w:val="none"/>
              </w:rPr>
              <w:t>承诺</w:t>
            </w:r>
          </w:p>
        </w:tc>
        <w:tc>
          <w:tcPr>
            <w:tcW w:w="1896" w:type="dxa"/>
            <w:noWrap/>
            <w:vAlign w:val="center"/>
          </w:tcPr>
          <w:p>
            <w:pPr>
              <w:pStyle w:val="8"/>
              <w:spacing w:before="156" w:after="156"/>
              <w:jc w:val="center"/>
              <w:rPr>
                <w:rFonts w:hAnsi="宋体"/>
                <w:color w:val="auto"/>
                <w:highlight w:val="none"/>
              </w:rPr>
            </w:pPr>
            <w:r>
              <w:rPr>
                <w:rFonts w:hint="eastAsia" w:hAnsi="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28" w:type="dxa"/>
            <w:noWrap/>
            <w:vAlign w:val="center"/>
          </w:tcPr>
          <w:p>
            <w:pPr>
              <w:pStyle w:val="8"/>
              <w:spacing w:before="156" w:after="156"/>
              <w:jc w:val="center"/>
              <w:rPr>
                <w:rFonts w:hAnsi="宋体"/>
                <w:color w:val="auto"/>
                <w:highlight w:val="none"/>
              </w:rPr>
            </w:pPr>
            <w:r>
              <w:rPr>
                <w:rFonts w:hint="eastAsia" w:hAnsi="宋体"/>
                <w:color w:val="auto"/>
                <w:highlight w:val="none"/>
              </w:rPr>
              <w:t>1</w:t>
            </w:r>
          </w:p>
        </w:tc>
        <w:tc>
          <w:tcPr>
            <w:tcW w:w="4703" w:type="dxa"/>
            <w:noWrap/>
            <w:vAlign w:val="center"/>
          </w:tcPr>
          <w:p>
            <w:pPr>
              <w:pStyle w:val="8"/>
              <w:spacing w:before="156" w:after="156"/>
              <w:rPr>
                <w:rFonts w:hAnsi="宋体"/>
                <w:color w:val="auto"/>
                <w:highlight w:val="none"/>
              </w:rPr>
            </w:pPr>
            <w:r>
              <w:rPr>
                <w:rFonts w:hint="eastAsia" w:hAnsi="宋体"/>
                <w:color w:val="auto"/>
                <w:highlight w:val="none"/>
              </w:rPr>
              <w:t>整体保修</w:t>
            </w:r>
          </w:p>
        </w:tc>
        <w:tc>
          <w:tcPr>
            <w:tcW w:w="1861" w:type="dxa"/>
            <w:noWrap/>
          </w:tcPr>
          <w:p>
            <w:pPr>
              <w:pStyle w:val="8"/>
              <w:spacing w:before="156" w:after="156"/>
              <w:rPr>
                <w:rFonts w:hAnsi="宋体"/>
                <w:color w:val="auto"/>
                <w:highlight w:val="none"/>
              </w:rPr>
            </w:pPr>
          </w:p>
        </w:tc>
        <w:tc>
          <w:tcPr>
            <w:tcW w:w="1896" w:type="dxa"/>
            <w:noWrap/>
          </w:tcPr>
          <w:p>
            <w:pPr>
              <w:pStyle w:val="8"/>
              <w:spacing w:before="156" w:after="156"/>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28" w:type="dxa"/>
            <w:noWrap/>
            <w:vAlign w:val="center"/>
          </w:tcPr>
          <w:p>
            <w:pPr>
              <w:pStyle w:val="8"/>
              <w:spacing w:before="156" w:after="156"/>
              <w:jc w:val="center"/>
              <w:rPr>
                <w:rFonts w:hAnsi="宋体"/>
                <w:color w:val="auto"/>
                <w:highlight w:val="none"/>
              </w:rPr>
            </w:pPr>
            <w:r>
              <w:rPr>
                <w:rFonts w:hint="eastAsia" w:hAnsi="宋体"/>
                <w:color w:val="auto"/>
                <w:highlight w:val="none"/>
              </w:rPr>
              <w:t>2</w:t>
            </w:r>
          </w:p>
        </w:tc>
        <w:tc>
          <w:tcPr>
            <w:tcW w:w="4703" w:type="dxa"/>
            <w:noWrap/>
            <w:vAlign w:val="center"/>
          </w:tcPr>
          <w:p>
            <w:pPr>
              <w:pStyle w:val="8"/>
              <w:spacing w:before="156" w:after="156"/>
              <w:rPr>
                <w:rFonts w:hAnsi="宋体"/>
                <w:color w:val="auto"/>
                <w:highlight w:val="none"/>
              </w:rPr>
            </w:pPr>
            <w:r>
              <w:rPr>
                <w:rFonts w:hint="eastAsia" w:hAnsi="宋体"/>
                <w:color w:val="auto"/>
                <w:highlight w:val="none"/>
              </w:rPr>
              <w:t>有关技术人员现场免费提供安装、调试服务</w:t>
            </w:r>
          </w:p>
        </w:tc>
        <w:tc>
          <w:tcPr>
            <w:tcW w:w="1861" w:type="dxa"/>
            <w:noWrap/>
          </w:tcPr>
          <w:p>
            <w:pPr>
              <w:pStyle w:val="8"/>
              <w:spacing w:before="156" w:after="156"/>
              <w:rPr>
                <w:rFonts w:hAnsi="宋体"/>
                <w:color w:val="auto"/>
                <w:highlight w:val="none"/>
              </w:rPr>
            </w:pPr>
          </w:p>
        </w:tc>
        <w:tc>
          <w:tcPr>
            <w:tcW w:w="1896" w:type="dxa"/>
            <w:noWrap/>
          </w:tcPr>
          <w:p>
            <w:pPr>
              <w:pStyle w:val="8"/>
              <w:spacing w:before="156" w:after="156"/>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28" w:type="dxa"/>
            <w:noWrap/>
            <w:vAlign w:val="center"/>
          </w:tcPr>
          <w:p>
            <w:pPr>
              <w:pStyle w:val="8"/>
              <w:spacing w:before="156" w:after="156"/>
              <w:jc w:val="center"/>
              <w:rPr>
                <w:rFonts w:hAnsi="宋体"/>
                <w:color w:val="auto"/>
                <w:highlight w:val="none"/>
              </w:rPr>
            </w:pPr>
            <w:r>
              <w:rPr>
                <w:rFonts w:hint="eastAsia" w:hAnsi="宋体"/>
                <w:color w:val="auto"/>
                <w:highlight w:val="none"/>
              </w:rPr>
              <w:t>3</w:t>
            </w:r>
          </w:p>
        </w:tc>
        <w:tc>
          <w:tcPr>
            <w:tcW w:w="4703" w:type="dxa"/>
            <w:noWrap/>
            <w:vAlign w:val="center"/>
          </w:tcPr>
          <w:p>
            <w:pPr>
              <w:pStyle w:val="8"/>
              <w:spacing w:before="156" w:after="156"/>
              <w:rPr>
                <w:rFonts w:hAnsi="宋体"/>
                <w:color w:val="auto"/>
                <w:highlight w:val="none"/>
              </w:rPr>
            </w:pPr>
            <w:r>
              <w:rPr>
                <w:rFonts w:hint="eastAsia" w:hAnsi="宋体"/>
                <w:color w:val="auto"/>
                <w:highlight w:val="none"/>
              </w:rPr>
              <w:t>整体免费换货期限</w:t>
            </w:r>
          </w:p>
        </w:tc>
        <w:tc>
          <w:tcPr>
            <w:tcW w:w="1861" w:type="dxa"/>
            <w:noWrap/>
          </w:tcPr>
          <w:p>
            <w:pPr>
              <w:pStyle w:val="8"/>
              <w:spacing w:before="156" w:after="156"/>
              <w:rPr>
                <w:rFonts w:hAnsi="宋体"/>
                <w:color w:val="auto"/>
                <w:highlight w:val="none"/>
              </w:rPr>
            </w:pPr>
          </w:p>
        </w:tc>
        <w:tc>
          <w:tcPr>
            <w:tcW w:w="1896" w:type="dxa"/>
            <w:noWrap/>
          </w:tcPr>
          <w:p>
            <w:pPr>
              <w:pStyle w:val="8"/>
              <w:spacing w:before="156" w:after="156"/>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28" w:type="dxa"/>
            <w:noWrap/>
            <w:vAlign w:val="center"/>
          </w:tcPr>
          <w:p>
            <w:pPr>
              <w:pStyle w:val="8"/>
              <w:spacing w:before="156" w:after="156"/>
              <w:jc w:val="center"/>
              <w:rPr>
                <w:rFonts w:hAnsi="宋体"/>
                <w:color w:val="auto"/>
                <w:highlight w:val="none"/>
              </w:rPr>
            </w:pPr>
            <w:r>
              <w:rPr>
                <w:rFonts w:hint="eastAsia" w:hAnsi="宋体"/>
                <w:color w:val="auto"/>
                <w:highlight w:val="none"/>
              </w:rPr>
              <w:t>4</w:t>
            </w:r>
          </w:p>
        </w:tc>
        <w:tc>
          <w:tcPr>
            <w:tcW w:w="4703" w:type="dxa"/>
            <w:noWrap/>
            <w:vAlign w:val="center"/>
          </w:tcPr>
          <w:p>
            <w:pPr>
              <w:pStyle w:val="8"/>
              <w:spacing w:before="156" w:after="156"/>
              <w:rPr>
                <w:rFonts w:hAnsi="宋体"/>
                <w:color w:val="auto"/>
                <w:highlight w:val="none"/>
              </w:rPr>
            </w:pPr>
            <w:r>
              <w:rPr>
                <w:rFonts w:hint="eastAsia" w:hAnsi="宋体"/>
                <w:color w:val="auto"/>
                <w:highlight w:val="none"/>
              </w:rPr>
              <w:t>免费上门服务期限</w:t>
            </w:r>
          </w:p>
        </w:tc>
        <w:tc>
          <w:tcPr>
            <w:tcW w:w="1861" w:type="dxa"/>
            <w:noWrap/>
          </w:tcPr>
          <w:p>
            <w:pPr>
              <w:pStyle w:val="8"/>
              <w:spacing w:before="156" w:after="156"/>
              <w:rPr>
                <w:rFonts w:hAnsi="宋体"/>
                <w:color w:val="auto"/>
                <w:highlight w:val="none"/>
              </w:rPr>
            </w:pPr>
          </w:p>
        </w:tc>
        <w:tc>
          <w:tcPr>
            <w:tcW w:w="1896" w:type="dxa"/>
            <w:noWrap/>
          </w:tcPr>
          <w:p>
            <w:pPr>
              <w:pStyle w:val="8"/>
              <w:spacing w:before="156" w:after="156"/>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20" w:hRule="atLeast"/>
          <w:jc w:val="center"/>
        </w:trPr>
        <w:tc>
          <w:tcPr>
            <w:tcW w:w="828" w:type="dxa"/>
            <w:noWrap/>
            <w:vAlign w:val="center"/>
          </w:tcPr>
          <w:p>
            <w:pPr>
              <w:pStyle w:val="8"/>
              <w:spacing w:before="156" w:after="156"/>
              <w:jc w:val="center"/>
              <w:rPr>
                <w:rFonts w:hAnsi="宋体"/>
                <w:color w:val="auto"/>
                <w:highlight w:val="none"/>
              </w:rPr>
            </w:pPr>
            <w:r>
              <w:rPr>
                <w:rFonts w:hint="eastAsia" w:hAnsi="宋体"/>
                <w:color w:val="auto"/>
                <w:highlight w:val="none"/>
              </w:rPr>
              <w:t>5</w:t>
            </w:r>
          </w:p>
        </w:tc>
        <w:tc>
          <w:tcPr>
            <w:tcW w:w="4703" w:type="dxa"/>
            <w:noWrap/>
            <w:vAlign w:val="center"/>
          </w:tcPr>
          <w:p>
            <w:pPr>
              <w:pStyle w:val="8"/>
              <w:spacing w:before="156" w:after="156"/>
              <w:rPr>
                <w:rFonts w:hAnsi="宋体"/>
                <w:color w:val="auto"/>
                <w:highlight w:val="none"/>
              </w:rPr>
            </w:pPr>
            <w:r>
              <w:rPr>
                <w:rFonts w:hint="eastAsia" w:hAnsi="宋体"/>
                <w:color w:val="auto"/>
                <w:highlight w:val="none"/>
              </w:rPr>
              <w:t>质保期内产品故障服务响应时限</w:t>
            </w:r>
          </w:p>
        </w:tc>
        <w:tc>
          <w:tcPr>
            <w:tcW w:w="1861" w:type="dxa"/>
            <w:noWrap/>
          </w:tcPr>
          <w:p>
            <w:pPr>
              <w:pStyle w:val="8"/>
              <w:spacing w:before="156" w:after="156"/>
              <w:rPr>
                <w:rFonts w:hAnsi="宋体"/>
                <w:color w:val="auto"/>
                <w:highlight w:val="none"/>
              </w:rPr>
            </w:pPr>
          </w:p>
        </w:tc>
        <w:tc>
          <w:tcPr>
            <w:tcW w:w="1896" w:type="dxa"/>
            <w:noWrap/>
          </w:tcPr>
          <w:p>
            <w:pPr>
              <w:pStyle w:val="8"/>
              <w:spacing w:before="156" w:after="156"/>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28" w:type="dxa"/>
            <w:noWrap/>
            <w:vAlign w:val="center"/>
          </w:tcPr>
          <w:p>
            <w:pPr>
              <w:pStyle w:val="8"/>
              <w:spacing w:before="156" w:after="156"/>
              <w:jc w:val="center"/>
              <w:rPr>
                <w:rFonts w:hAnsi="宋体"/>
                <w:color w:val="auto"/>
                <w:highlight w:val="none"/>
              </w:rPr>
            </w:pPr>
            <w:r>
              <w:rPr>
                <w:rFonts w:hint="eastAsia" w:hAnsi="宋体"/>
                <w:color w:val="auto"/>
                <w:highlight w:val="none"/>
              </w:rPr>
              <w:t>6</w:t>
            </w:r>
          </w:p>
        </w:tc>
        <w:tc>
          <w:tcPr>
            <w:tcW w:w="4703" w:type="dxa"/>
            <w:noWrap/>
            <w:vAlign w:val="center"/>
          </w:tcPr>
          <w:p>
            <w:pPr>
              <w:pStyle w:val="8"/>
              <w:spacing w:before="156" w:after="156"/>
              <w:rPr>
                <w:rFonts w:hAnsi="宋体"/>
                <w:color w:val="auto"/>
                <w:highlight w:val="none"/>
              </w:rPr>
            </w:pPr>
            <w:r>
              <w:rPr>
                <w:rFonts w:hint="eastAsia" w:hAnsi="宋体"/>
                <w:color w:val="auto"/>
                <w:highlight w:val="none"/>
              </w:rPr>
              <w:t>服务时间响应</w:t>
            </w:r>
          </w:p>
        </w:tc>
        <w:tc>
          <w:tcPr>
            <w:tcW w:w="1861" w:type="dxa"/>
            <w:noWrap/>
          </w:tcPr>
          <w:p>
            <w:pPr>
              <w:pStyle w:val="8"/>
              <w:spacing w:before="156" w:after="156"/>
              <w:rPr>
                <w:rFonts w:hAnsi="宋体"/>
                <w:color w:val="auto"/>
                <w:highlight w:val="none"/>
              </w:rPr>
            </w:pPr>
          </w:p>
        </w:tc>
        <w:tc>
          <w:tcPr>
            <w:tcW w:w="1896" w:type="dxa"/>
            <w:noWrap/>
          </w:tcPr>
          <w:p>
            <w:pPr>
              <w:pStyle w:val="8"/>
              <w:spacing w:before="156" w:after="156"/>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28" w:type="dxa"/>
            <w:noWrap/>
            <w:vAlign w:val="center"/>
          </w:tcPr>
          <w:p>
            <w:pPr>
              <w:pStyle w:val="8"/>
              <w:spacing w:before="156" w:after="156"/>
              <w:jc w:val="center"/>
              <w:rPr>
                <w:rFonts w:hAnsi="宋体"/>
                <w:color w:val="auto"/>
                <w:highlight w:val="none"/>
              </w:rPr>
            </w:pPr>
            <w:r>
              <w:rPr>
                <w:rFonts w:hint="eastAsia" w:hAnsi="宋体"/>
                <w:color w:val="auto"/>
                <w:highlight w:val="none"/>
              </w:rPr>
              <w:t>7</w:t>
            </w:r>
          </w:p>
        </w:tc>
        <w:tc>
          <w:tcPr>
            <w:tcW w:w="4703" w:type="dxa"/>
            <w:noWrap/>
            <w:vAlign w:val="center"/>
          </w:tcPr>
          <w:p>
            <w:pPr>
              <w:pStyle w:val="8"/>
              <w:spacing w:before="156" w:after="156"/>
              <w:rPr>
                <w:rFonts w:hAnsi="宋体"/>
                <w:color w:val="auto"/>
                <w:highlight w:val="none"/>
              </w:rPr>
            </w:pPr>
            <w:r>
              <w:rPr>
                <w:rFonts w:hint="eastAsia" w:hAnsi="宋体"/>
                <w:color w:val="auto"/>
                <w:highlight w:val="none"/>
              </w:rPr>
              <w:t>质保期满的保修服务费用</w:t>
            </w:r>
          </w:p>
        </w:tc>
        <w:tc>
          <w:tcPr>
            <w:tcW w:w="1861" w:type="dxa"/>
            <w:noWrap/>
          </w:tcPr>
          <w:p>
            <w:pPr>
              <w:pStyle w:val="8"/>
              <w:spacing w:before="156" w:after="156"/>
              <w:rPr>
                <w:rFonts w:hAnsi="宋体"/>
                <w:color w:val="auto"/>
                <w:highlight w:val="none"/>
              </w:rPr>
            </w:pPr>
          </w:p>
        </w:tc>
        <w:tc>
          <w:tcPr>
            <w:tcW w:w="1896" w:type="dxa"/>
            <w:noWrap/>
          </w:tcPr>
          <w:p>
            <w:pPr>
              <w:pStyle w:val="8"/>
              <w:spacing w:before="156" w:after="156"/>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28" w:type="dxa"/>
            <w:noWrap/>
            <w:vAlign w:val="center"/>
          </w:tcPr>
          <w:p>
            <w:pPr>
              <w:pStyle w:val="8"/>
              <w:spacing w:before="156" w:after="156"/>
              <w:jc w:val="center"/>
              <w:rPr>
                <w:rFonts w:hAnsi="宋体"/>
                <w:color w:val="auto"/>
                <w:highlight w:val="none"/>
              </w:rPr>
            </w:pPr>
            <w:r>
              <w:rPr>
                <w:rFonts w:hint="eastAsia" w:hAnsi="宋体"/>
                <w:color w:val="auto"/>
                <w:highlight w:val="none"/>
              </w:rPr>
              <w:t>8</w:t>
            </w:r>
          </w:p>
        </w:tc>
        <w:tc>
          <w:tcPr>
            <w:tcW w:w="4703" w:type="dxa"/>
            <w:noWrap/>
            <w:vAlign w:val="center"/>
          </w:tcPr>
          <w:p>
            <w:pPr>
              <w:pStyle w:val="8"/>
              <w:spacing w:before="156" w:after="156"/>
              <w:rPr>
                <w:rFonts w:hAnsi="宋体"/>
                <w:color w:val="auto"/>
                <w:highlight w:val="none"/>
              </w:rPr>
            </w:pPr>
            <w:r>
              <w:rPr>
                <w:rFonts w:hint="eastAsia" w:hAnsi="宋体"/>
                <w:color w:val="auto"/>
                <w:highlight w:val="none"/>
              </w:rPr>
              <w:t>交货时间</w:t>
            </w:r>
          </w:p>
        </w:tc>
        <w:tc>
          <w:tcPr>
            <w:tcW w:w="1861" w:type="dxa"/>
            <w:noWrap/>
          </w:tcPr>
          <w:p>
            <w:pPr>
              <w:pStyle w:val="8"/>
              <w:spacing w:before="156" w:after="156"/>
              <w:rPr>
                <w:rFonts w:hAnsi="宋体"/>
                <w:color w:val="auto"/>
                <w:highlight w:val="none"/>
              </w:rPr>
            </w:pPr>
          </w:p>
        </w:tc>
        <w:tc>
          <w:tcPr>
            <w:tcW w:w="1896" w:type="dxa"/>
            <w:noWrap/>
          </w:tcPr>
          <w:p>
            <w:pPr>
              <w:pStyle w:val="8"/>
              <w:spacing w:before="156" w:after="156"/>
              <w:rPr>
                <w:rFonts w:hAnsi="宋体"/>
                <w:color w:val="auto"/>
                <w:highlight w:val="none"/>
              </w:rPr>
            </w:pPr>
          </w:p>
        </w:tc>
      </w:tr>
    </w:tbl>
    <w:p>
      <w:pPr>
        <w:pStyle w:val="8"/>
        <w:spacing w:before="156" w:after="156"/>
        <w:ind w:firstLine="720" w:firstLineChars="300"/>
        <w:rPr>
          <w:rFonts w:ascii="Times New Roman" w:hAnsi="Times New Roman"/>
          <w:color w:val="auto"/>
          <w:highlight w:val="none"/>
        </w:rPr>
      </w:pPr>
    </w:p>
    <w:p>
      <w:pPr>
        <w:pStyle w:val="8"/>
        <w:spacing w:before="156" w:after="156"/>
        <w:ind w:firstLine="720" w:firstLineChars="300"/>
        <w:rPr>
          <w:rFonts w:ascii="Times New Roman" w:hAnsi="Times New Roman"/>
          <w:color w:val="auto"/>
          <w:highlight w:val="none"/>
        </w:rPr>
      </w:pPr>
    </w:p>
    <w:p>
      <w:pPr>
        <w:pStyle w:val="8"/>
        <w:spacing w:before="156" w:after="156"/>
        <w:ind w:firstLine="3960" w:firstLineChars="1650"/>
        <w:rPr>
          <w:rFonts w:ascii="Times New Roman" w:hAnsi="Times New Roman"/>
          <w:color w:val="auto"/>
          <w:highlight w:val="none"/>
        </w:rPr>
      </w:pPr>
      <w:r>
        <w:rPr>
          <w:rFonts w:hint="eastAsia" w:ascii="Times New Roman" w:hAnsi="Times New Roman"/>
          <w:color w:val="auto"/>
          <w:highlight w:val="none"/>
        </w:rPr>
        <w:t>投标方（公章）：</w:t>
      </w:r>
    </w:p>
    <w:p>
      <w:pPr>
        <w:pStyle w:val="8"/>
        <w:spacing w:before="156" w:after="156"/>
        <w:ind w:firstLine="720" w:firstLineChars="300"/>
        <w:jc w:val="center"/>
        <w:rPr>
          <w:rFonts w:ascii="Times New Roman" w:hAnsi="Times New Roman"/>
          <w:color w:val="auto"/>
          <w:highlight w:val="none"/>
        </w:rPr>
      </w:pPr>
      <w:r>
        <w:rPr>
          <w:rFonts w:hint="eastAsia" w:ascii="Times New Roman" w:hAnsi="Times New Roman"/>
          <w:color w:val="auto"/>
          <w:highlight w:val="none"/>
        </w:rPr>
        <w:t>投标方授权代表签字：</w:t>
      </w:r>
    </w:p>
    <w:p>
      <w:pPr>
        <w:pStyle w:val="8"/>
        <w:spacing w:before="156" w:after="156"/>
        <w:ind w:firstLine="4200" w:firstLineChars="1750"/>
        <w:rPr>
          <w:rFonts w:ascii="Times New Roman" w:hAnsi="Times New Roman"/>
          <w:color w:val="auto"/>
          <w:highlight w:val="none"/>
        </w:rPr>
      </w:pPr>
    </w:p>
    <w:p>
      <w:pPr>
        <w:pStyle w:val="8"/>
        <w:spacing w:before="156" w:after="156"/>
        <w:ind w:firstLine="4680" w:firstLineChars="1950"/>
        <w:rPr>
          <w:rFonts w:ascii="Times New Roman" w:hAnsi="Times New Roman"/>
          <w:color w:val="auto"/>
          <w:highlight w:val="none"/>
        </w:rPr>
      </w:pPr>
      <w:r>
        <w:rPr>
          <w:rFonts w:hint="eastAsia" w:ascii="Times New Roman" w:hAnsi="Times New Roman"/>
          <w:color w:val="auto"/>
          <w:highlight w:val="none"/>
        </w:rPr>
        <w:t>日   期：</w:t>
      </w: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3.5销售业绩情况一览表</w:t>
      </w:r>
    </w:p>
    <w:p>
      <w:pPr>
        <w:spacing w:line="600" w:lineRule="exact"/>
        <w:ind w:firstLine="480" w:firstLineChars="200"/>
        <w:rPr>
          <w:rFonts w:ascii="宋体" w:hAnsi="宋体"/>
          <w:color w:val="auto"/>
          <w:sz w:val="24"/>
          <w:highlight w:val="none"/>
        </w:rPr>
      </w:pPr>
      <w:r>
        <w:rPr>
          <w:rFonts w:ascii="宋体" w:hAnsi="宋体"/>
          <w:color w:val="auto"/>
          <w:sz w:val="24"/>
          <w:highlight w:val="none"/>
        </w:rPr>
        <w:t>投标人</w:t>
      </w:r>
      <w:r>
        <w:rPr>
          <w:rFonts w:hint="eastAsia" w:ascii="宋体" w:hAnsi="宋体"/>
          <w:color w:val="auto"/>
          <w:sz w:val="24"/>
          <w:highlight w:val="none"/>
        </w:rPr>
        <w:t>自2016年1月1日（含）至今销售业绩</w:t>
      </w:r>
      <w:r>
        <w:rPr>
          <w:rFonts w:ascii="宋体" w:hAnsi="宋体"/>
          <w:color w:val="auto"/>
          <w:sz w:val="24"/>
          <w:highlight w:val="none"/>
        </w:rPr>
        <w:t>情况一览表格式：</w:t>
      </w:r>
      <w:r>
        <w:rPr>
          <w:rFonts w:hint="eastAsia" w:ascii="宋体" w:hAnsi="宋体"/>
          <w:color w:val="auto"/>
          <w:sz w:val="24"/>
          <w:highlight w:val="none"/>
        </w:rPr>
        <w:t xml:space="preserve">（表格可按同格式扩张） </w:t>
      </w:r>
    </w:p>
    <w:tbl>
      <w:tblPr>
        <w:tblStyle w:val="18"/>
        <w:tblW w:w="88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91"/>
        <w:gridCol w:w="1440"/>
        <w:gridCol w:w="1080"/>
        <w:gridCol w:w="1591"/>
        <w:gridCol w:w="1260"/>
        <w:gridCol w:w="1260"/>
        <w:gridCol w:w="8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04" w:hRule="atLeast"/>
          <w:jc w:val="center"/>
        </w:trPr>
        <w:tc>
          <w:tcPr>
            <w:tcW w:w="139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exact"/>
              <w:jc w:val="center"/>
              <w:rPr>
                <w:rFonts w:ascii="宋体" w:hAnsi="宋体"/>
                <w:color w:val="auto"/>
                <w:sz w:val="24"/>
                <w:highlight w:val="none"/>
              </w:rPr>
            </w:pPr>
            <w:r>
              <w:rPr>
                <w:rFonts w:hint="eastAsia" w:ascii="宋体" w:hAnsi="宋体"/>
                <w:color w:val="auto"/>
                <w:sz w:val="24"/>
                <w:highlight w:val="none"/>
              </w:rPr>
              <w:t>采购单位名称</w:t>
            </w:r>
          </w:p>
        </w:tc>
        <w:tc>
          <w:tcPr>
            <w:tcW w:w="1440"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exact"/>
              <w:jc w:val="center"/>
              <w:rPr>
                <w:rFonts w:ascii="宋体" w:hAnsi="宋体"/>
                <w:color w:val="auto"/>
                <w:sz w:val="24"/>
                <w:highlight w:val="none"/>
              </w:rPr>
            </w:pPr>
            <w:r>
              <w:rPr>
                <w:rFonts w:hint="eastAsia" w:ascii="宋体" w:hAnsi="宋体"/>
                <w:color w:val="auto"/>
                <w:sz w:val="24"/>
                <w:highlight w:val="none"/>
              </w:rPr>
              <w:t>设备名称</w:t>
            </w: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exact"/>
              <w:jc w:val="center"/>
              <w:rPr>
                <w:rFonts w:ascii="宋体" w:hAnsi="宋体"/>
                <w:color w:val="auto"/>
                <w:sz w:val="24"/>
                <w:highlight w:val="none"/>
              </w:rPr>
            </w:pPr>
            <w:r>
              <w:rPr>
                <w:rFonts w:hint="eastAsia" w:ascii="宋体" w:hAnsi="宋体"/>
                <w:color w:val="auto"/>
                <w:sz w:val="24"/>
                <w:highlight w:val="none"/>
              </w:rPr>
              <w:t>品牌及产地</w:t>
            </w:r>
          </w:p>
        </w:tc>
        <w:tc>
          <w:tcPr>
            <w:tcW w:w="159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exact"/>
              <w:jc w:val="center"/>
              <w:rPr>
                <w:rFonts w:ascii="宋体" w:hAnsi="宋体"/>
                <w:color w:val="auto"/>
                <w:sz w:val="24"/>
                <w:highlight w:val="none"/>
              </w:rPr>
            </w:pPr>
            <w:r>
              <w:rPr>
                <w:rFonts w:hint="eastAsia" w:ascii="宋体" w:hAnsi="宋体"/>
                <w:color w:val="auto"/>
                <w:sz w:val="24"/>
                <w:highlight w:val="none"/>
              </w:rPr>
              <w:t>规格型号及配置</w:t>
            </w:r>
          </w:p>
        </w:tc>
        <w:tc>
          <w:tcPr>
            <w:tcW w:w="1260"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exact"/>
              <w:rPr>
                <w:rFonts w:ascii="宋体" w:hAnsi="宋体"/>
                <w:color w:val="auto"/>
                <w:sz w:val="24"/>
                <w:highlight w:val="none"/>
              </w:rPr>
            </w:pPr>
            <w:r>
              <w:rPr>
                <w:rFonts w:hint="eastAsia" w:ascii="宋体" w:hAnsi="宋体"/>
                <w:color w:val="auto"/>
                <w:sz w:val="24"/>
                <w:highlight w:val="none"/>
              </w:rPr>
              <w:t>采购数量</w:t>
            </w:r>
          </w:p>
        </w:tc>
        <w:tc>
          <w:tcPr>
            <w:tcW w:w="1260"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exact"/>
              <w:rPr>
                <w:rFonts w:ascii="宋体" w:hAnsi="宋体"/>
                <w:color w:val="auto"/>
                <w:sz w:val="24"/>
                <w:highlight w:val="none"/>
              </w:rPr>
            </w:pPr>
            <w:r>
              <w:rPr>
                <w:rFonts w:hint="eastAsia" w:ascii="宋体" w:hAnsi="宋体"/>
                <w:color w:val="auto"/>
                <w:sz w:val="24"/>
                <w:highlight w:val="none"/>
              </w:rPr>
              <w:t>采购单位联系电话</w:t>
            </w:r>
          </w:p>
        </w:tc>
        <w:tc>
          <w:tcPr>
            <w:tcW w:w="818" w:type="dxa"/>
            <w:tcBorders>
              <w:top w:val="single" w:color="auto" w:sz="4" w:space="0"/>
              <w:left w:val="single" w:color="auto" w:sz="4" w:space="0"/>
              <w:right w:val="single" w:color="auto" w:sz="4" w:space="0"/>
            </w:tcBorders>
            <w:noWrap/>
            <w:vAlign w:val="center"/>
          </w:tcPr>
          <w:p>
            <w:pPr>
              <w:snapToGrid w:val="0"/>
              <w:spacing w:line="360" w:lineRule="exact"/>
              <w:jc w:val="center"/>
              <w:rPr>
                <w:rFonts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591"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tcPr>
          <w:p>
            <w:pPr>
              <w:snapToGrid w:val="0"/>
              <w:spacing w:before="50" w:after="156" w:afterLines="50" w:line="400" w:lineRule="exact"/>
              <w:jc w:val="left"/>
              <w:rPr>
                <w:rFonts w:ascii="宋体" w:hAnsi="宋体"/>
                <w:color w:val="auto"/>
                <w:sz w:val="24"/>
                <w:highlight w:val="none"/>
              </w:rPr>
            </w:pPr>
          </w:p>
        </w:tc>
      </w:tr>
    </w:tbl>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附：合同复印件，原件备查。</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投标人名称(盖章)：</w:t>
      </w:r>
    </w:p>
    <w:p>
      <w:pPr>
        <w:spacing w:line="360" w:lineRule="auto"/>
        <w:rPr>
          <w:rFonts w:ascii="宋体" w:hAnsi="宋体"/>
          <w:color w:val="auto"/>
          <w:sz w:val="24"/>
          <w:highlight w:val="none"/>
        </w:rPr>
      </w:pPr>
      <w:r>
        <w:rPr>
          <w:rFonts w:hint="eastAsia" w:ascii="宋体" w:hAnsi="宋体"/>
          <w:color w:val="auto"/>
          <w:sz w:val="24"/>
          <w:highlight w:val="none"/>
        </w:rPr>
        <w:t>投标人法定代表人或其授权代表（签字</w:t>
      </w:r>
      <w:r>
        <w:rPr>
          <w:rFonts w:ascii="宋体" w:hAnsi="宋体"/>
          <w:color w:val="auto"/>
          <w:sz w:val="24"/>
          <w:highlight w:val="none"/>
        </w:rPr>
        <w:t>）</w:t>
      </w:r>
      <w:r>
        <w:rPr>
          <w:rFonts w:hint="eastAsia" w:ascii="宋体" w:hAnsi="宋体"/>
          <w:color w:val="auto"/>
          <w:sz w:val="24"/>
          <w:highlight w:val="none"/>
        </w:rPr>
        <w:t>：</w:t>
      </w:r>
    </w:p>
    <w:p>
      <w:pPr>
        <w:spacing w:line="360" w:lineRule="auto"/>
        <w:rPr>
          <w:rFonts w:ascii="宋体" w:hAnsi="宋体"/>
          <w:color w:val="auto"/>
          <w:sz w:val="24"/>
          <w:highlight w:val="none"/>
        </w:rPr>
      </w:pPr>
      <w:r>
        <w:rPr>
          <w:rFonts w:hint="eastAsia" w:ascii="宋体" w:hAnsi="宋体"/>
          <w:color w:val="auto"/>
          <w:sz w:val="24"/>
          <w:highlight w:val="none"/>
        </w:rPr>
        <w:t>日期：</w:t>
      </w: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156" w:beforeLines="50" w:after="50"/>
        <w:rPr>
          <w:rFonts w:ascii="宋体" w:hAnsi="宋体"/>
          <w:b/>
          <w:color w:val="auto"/>
          <w:sz w:val="24"/>
          <w:highlight w:val="none"/>
        </w:rPr>
      </w:pPr>
      <w:r>
        <w:rPr>
          <w:rFonts w:hint="eastAsia" w:ascii="宋体" w:hAnsi="宋体"/>
          <w:b/>
          <w:color w:val="auto"/>
          <w:sz w:val="24"/>
          <w:highlight w:val="none"/>
        </w:rPr>
        <w:t xml:space="preserve">3.6 </w:t>
      </w:r>
      <w:r>
        <w:rPr>
          <w:rFonts w:ascii="宋体" w:hAnsi="宋体"/>
          <w:b/>
          <w:color w:val="auto"/>
          <w:sz w:val="24"/>
          <w:highlight w:val="none"/>
        </w:rPr>
        <w:t>政府采购供应商诚信承诺书</w:t>
      </w:r>
      <w:r>
        <w:rPr>
          <w:rFonts w:hint="eastAsia" w:ascii="宋体" w:hAnsi="宋体"/>
          <w:b/>
          <w:color w:val="auto"/>
          <w:sz w:val="24"/>
          <w:highlight w:val="none"/>
        </w:rPr>
        <w:t>：</w:t>
      </w:r>
    </w:p>
    <w:p>
      <w:pPr>
        <w:widowControl/>
        <w:spacing w:before="100" w:beforeAutospacing="1" w:after="190"/>
        <w:ind w:firstLine="480"/>
        <w:jc w:val="center"/>
        <w:rPr>
          <w:rFonts w:ascii="Arial" w:hAnsi="Arial" w:cs="Arial"/>
          <w:color w:val="auto"/>
          <w:kern w:val="0"/>
          <w:sz w:val="30"/>
          <w:szCs w:val="30"/>
          <w:highlight w:val="none"/>
        </w:rPr>
      </w:pPr>
      <w:r>
        <w:rPr>
          <w:rFonts w:ascii="Arial" w:hAnsi="Arial" w:cs="Arial"/>
          <w:b/>
          <w:bCs/>
          <w:color w:val="auto"/>
          <w:kern w:val="0"/>
          <w:sz w:val="30"/>
          <w:szCs w:val="30"/>
          <w:highlight w:val="none"/>
        </w:rPr>
        <w:t>政府采购供应商诚信承诺书</w:t>
      </w:r>
    </w:p>
    <w:p>
      <w:pPr>
        <w:widowControl/>
        <w:spacing w:before="100" w:beforeAutospacing="1" w:after="190"/>
        <w:jc w:val="left"/>
        <w:rPr>
          <w:rFonts w:ascii="Arial" w:hAnsi="Arial" w:cs="Arial"/>
          <w:b/>
          <w:color w:val="auto"/>
          <w:kern w:val="0"/>
          <w:sz w:val="24"/>
          <w:highlight w:val="none"/>
        </w:rPr>
      </w:pPr>
      <w:r>
        <w:rPr>
          <w:rFonts w:hint="eastAsia" w:ascii="Arial" w:hAnsi="Arial" w:cs="Arial"/>
          <w:b/>
          <w:color w:val="auto"/>
          <w:kern w:val="0"/>
          <w:sz w:val="24"/>
          <w:highlight w:val="none"/>
        </w:rPr>
        <w:t>金华市公共资源交易</w:t>
      </w:r>
      <w:r>
        <w:rPr>
          <w:rFonts w:ascii="Arial" w:hAnsi="Arial" w:cs="Arial"/>
          <w:b/>
          <w:color w:val="auto"/>
          <w:kern w:val="0"/>
          <w:sz w:val="24"/>
          <w:highlight w:val="none"/>
        </w:rPr>
        <w:t>中心</w:t>
      </w:r>
      <w:r>
        <w:rPr>
          <w:rFonts w:hint="eastAsia" w:ascii="Arial" w:hAnsi="Arial" w:cs="Arial"/>
          <w:b/>
          <w:color w:val="auto"/>
          <w:kern w:val="0"/>
          <w:sz w:val="24"/>
          <w:highlight w:val="none"/>
        </w:rPr>
        <w:t>东阳分中心</w:t>
      </w:r>
      <w:r>
        <w:rPr>
          <w:rFonts w:ascii="Arial" w:hAnsi="Arial" w:cs="Arial"/>
          <w:b/>
          <w:color w:val="auto"/>
          <w:kern w:val="0"/>
          <w:sz w:val="24"/>
          <w:highlight w:val="none"/>
        </w:rPr>
        <w:t>：</w:t>
      </w:r>
    </w:p>
    <w:p>
      <w:pPr>
        <w:ind w:firstLine="480" w:firstLineChars="200"/>
        <w:rPr>
          <w:color w:val="auto"/>
          <w:sz w:val="24"/>
          <w:highlight w:val="none"/>
        </w:rPr>
      </w:pPr>
      <w:r>
        <w:rPr>
          <w:color w:val="auto"/>
          <w:kern w:val="0"/>
          <w:sz w:val="24"/>
          <w:highlight w:val="none"/>
        </w:rPr>
        <w:t>我公司自愿参与贵中心组织的</w:t>
      </w:r>
      <w:r>
        <w:rPr>
          <w:b/>
          <w:color w:val="auto"/>
          <w:kern w:val="0"/>
          <w:sz w:val="24"/>
          <w:highlight w:val="none"/>
          <w:u w:val="single"/>
        </w:rPr>
        <w:t>项目</w:t>
      </w:r>
      <w:r>
        <w:rPr>
          <w:rFonts w:hint="eastAsia"/>
          <w:b/>
          <w:color w:val="auto"/>
          <w:kern w:val="0"/>
          <w:sz w:val="24"/>
          <w:highlight w:val="none"/>
          <w:u w:val="single"/>
        </w:rPr>
        <w:t>（招标编号：DYCG2019-  ）</w:t>
      </w:r>
      <w:r>
        <w:rPr>
          <w:color w:val="auto"/>
          <w:kern w:val="0"/>
          <w:sz w:val="24"/>
          <w:highlight w:val="none"/>
        </w:rPr>
        <w:t>采购活动，严格遵守《中华人民共和国</w:t>
      </w:r>
      <w:r>
        <w:rPr>
          <w:color w:val="auto"/>
          <w:sz w:val="24"/>
          <w:highlight w:val="none"/>
        </w:rPr>
        <w:t>政府采购法》等相关法律法规的规定，坚守公平竞争，并无条件地遵守本次采购活动各项规定。我们郑重承诺：如果在本次招标活动中有以下情形的，愿接受政府采购监管等部门给予相关处罚并承担法律责任。</w:t>
      </w:r>
    </w:p>
    <w:p>
      <w:pPr>
        <w:spacing w:line="288" w:lineRule="auto"/>
        <w:ind w:firstLine="480" w:firstLineChars="200"/>
        <w:rPr>
          <w:color w:val="auto"/>
          <w:sz w:val="24"/>
          <w:highlight w:val="none"/>
        </w:rPr>
      </w:pPr>
      <w:r>
        <w:rPr>
          <w:color w:val="auto"/>
          <w:sz w:val="24"/>
          <w:highlight w:val="none"/>
        </w:rPr>
        <w:t>（一）提供虚假材料谋取中标的；</w:t>
      </w:r>
    </w:p>
    <w:p>
      <w:pPr>
        <w:spacing w:line="288" w:lineRule="auto"/>
        <w:ind w:firstLine="480" w:firstLineChars="200"/>
        <w:rPr>
          <w:color w:val="auto"/>
          <w:sz w:val="24"/>
          <w:highlight w:val="none"/>
        </w:rPr>
      </w:pPr>
      <w:r>
        <w:rPr>
          <w:color w:val="auto"/>
          <w:sz w:val="24"/>
          <w:highlight w:val="none"/>
        </w:rPr>
        <w:t>（二）采取不正当手段诋毁、排挤</w:t>
      </w:r>
      <w:r>
        <w:rPr>
          <w:color w:val="auto"/>
          <w:highlight w:val="none"/>
        </w:rPr>
        <w:fldChar w:fldCharType="begin"/>
      </w:r>
      <w:r>
        <w:rPr>
          <w:color w:val="auto"/>
          <w:highlight w:val="none"/>
        </w:rPr>
        <w:instrText xml:space="preserve"> HYPERLINK "http://www.oh100.com/qita/" \t "_blank" </w:instrText>
      </w:r>
      <w:r>
        <w:rPr>
          <w:color w:val="auto"/>
          <w:highlight w:val="none"/>
        </w:rPr>
        <w:fldChar w:fldCharType="separate"/>
      </w:r>
      <w:r>
        <w:rPr>
          <w:rStyle w:val="21"/>
          <w:color w:val="auto"/>
          <w:sz w:val="24"/>
          <w:highlight w:val="none"/>
        </w:rPr>
        <w:t>其他</w:t>
      </w:r>
      <w:r>
        <w:rPr>
          <w:rStyle w:val="21"/>
          <w:color w:val="auto"/>
          <w:sz w:val="24"/>
          <w:highlight w:val="none"/>
        </w:rPr>
        <w:fldChar w:fldCharType="end"/>
      </w:r>
      <w:r>
        <w:rPr>
          <w:color w:val="auto"/>
          <w:sz w:val="24"/>
          <w:highlight w:val="none"/>
        </w:rPr>
        <w:t>供应商的；</w:t>
      </w:r>
    </w:p>
    <w:p>
      <w:pPr>
        <w:spacing w:line="288" w:lineRule="auto"/>
        <w:ind w:firstLine="480" w:firstLineChars="200"/>
        <w:rPr>
          <w:color w:val="auto"/>
          <w:sz w:val="24"/>
          <w:highlight w:val="none"/>
        </w:rPr>
      </w:pPr>
      <w:r>
        <w:rPr>
          <w:color w:val="auto"/>
          <w:sz w:val="24"/>
          <w:highlight w:val="none"/>
        </w:rPr>
        <w:t>（三）与招标采购单位、其他投标人恶意串通的；</w:t>
      </w:r>
    </w:p>
    <w:p>
      <w:pPr>
        <w:spacing w:line="288" w:lineRule="auto"/>
        <w:ind w:firstLine="480" w:firstLineChars="200"/>
        <w:rPr>
          <w:color w:val="auto"/>
          <w:sz w:val="24"/>
          <w:highlight w:val="none"/>
        </w:rPr>
      </w:pPr>
      <w:r>
        <w:rPr>
          <w:color w:val="auto"/>
          <w:sz w:val="24"/>
          <w:highlight w:val="none"/>
        </w:rPr>
        <w:t>（四）向招标采购单位行贿或提供其他不正当利益的；</w:t>
      </w:r>
    </w:p>
    <w:p>
      <w:pPr>
        <w:spacing w:line="288" w:lineRule="auto"/>
        <w:ind w:firstLine="480" w:firstLineChars="200"/>
        <w:rPr>
          <w:color w:val="auto"/>
          <w:sz w:val="24"/>
          <w:highlight w:val="none"/>
        </w:rPr>
      </w:pPr>
      <w:r>
        <w:rPr>
          <w:color w:val="auto"/>
          <w:sz w:val="24"/>
          <w:highlight w:val="none"/>
        </w:rPr>
        <w:t>（五）在招标过程中与招标采购单位进行协商谈判、不按照招标文件和投标文件订立合同，或者与采购人另立背离合同实质性内容协议的；</w:t>
      </w:r>
    </w:p>
    <w:p>
      <w:pPr>
        <w:spacing w:line="288" w:lineRule="auto"/>
        <w:ind w:firstLine="480" w:firstLineChars="200"/>
        <w:rPr>
          <w:color w:val="auto"/>
          <w:sz w:val="24"/>
          <w:highlight w:val="none"/>
        </w:rPr>
      </w:pPr>
      <w:r>
        <w:rPr>
          <w:color w:val="auto"/>
          <w:sz w:val="24"/>
          <w:highlight w:val="none"/>
        </w:rPr>
        <w:t>（六）开标后擅自撤销投标，影响招标继续进行的或领取招标文件缴纳投标保证金后不投标导致废标的；</w:t>
      </w:r>
    </w:p>
    <w:p>
      <w:pPr>
        <w:spacing w:line="288" w:lineRule="auto"/>
        <w:ind w:firstLine="600" w:firstLineChars="250"/>
        <w:rPr>
          <w:color w:val="auto"/>
          <w:sz w:val="24"/>
          <w:highlight w:val="none"/>
        </w:rPr>
      </w:pPr>
      <w:r>
        <w:rPr>
          <w:color w:val="auto"/>
          <w:sz w:val="24"/>
          <w:highlight w:val="none"/>
        </w:rPr>
        <w:t>（七）中标后无正当理由，在规定时间内不与采购单位签订合同的；</w:t>
      </w:r>
    </w:p>
    <w:p>
      <w:pPr>
        <w:spacing w:line="288" w:lineRule="auto"/>
        <w:ind w:firstLine="600" w:firstLineChars="250"/>
        <w:rPr>
          <w:color w:val="auto"/>
          <w:sz w:val="24"/>
          <w:highlight w:val="none"/>
        </w:rPr>
      </w:pPr>
      <w:r>
        <w:rPr>
          <w:color w:val="auto"/>
          <w:sz w:val="24"/>
          <w:highlight w:val="none"/>
        </w:rPr>
        <w:t>（八）将中标项目转让给他人或非法分包他人的；</w:t>
      </w:r>
    </w:p>
    <w:p>
      <w:pPr>
        <w:spacing w:line="288" w:lineRule="auto"/>
        <w:ind w:firstLine="600" w:firstLineChars="250"/>
        <w:rPr>
          <w:color w:val="auto"/>
          <w:sz w:val="24"/>
          <w:highlight w:val="none"/>
        </w:rPr>
      </w:pPr>
      <w:r>
        <w:rPr>
          <w:color w:val="auto"/>
          <w:sz w:val="24"/>
          <w:highlight w:val="none"/>
        </w:rPr>
        <w:t>（九）无正当理由，拒绝履行合同义务的；</w:t>
      </w:r>
    </w:p>
    <w:p>
      <w:pPr>
        <w:spacing w:line="288" w:lineRule="auto"/>
        <w:ind w:firstLine="600" w:firstLineChars="250"/>
        <w:rPr>
          <w:color w:val="auto"/>
          <w:sz w:val="24"/>
          <w:highlight w:val="none"/>
        </w:rPr>
      </w:pPr>
      <w:r>
        <w:rPr>
          <w:color w:val="auto"/>
          <w:sz w:val="24"/>
          <w:highlight w:val="none"/>
        </w:rPr>
        <w:t>（十）无正当理由放弃中标（成交）项目的；</w:t>
      </w:r>
    </w:p>
    <w:p>
      <w:pPr>
        <w:spacing w:line="288" w:lineRule="auto"/>
        <w:ind w:firstLine="600" w:firstLineChars="250"/>
        <w:rPr>
          <w:color w:val="auto"/>
          <w:sz w:val="24"/>
          <w:highlight w:val="none"/>
        </w:rPr>
      </w:pPr>
      <w:r>
        <w:rPr>
          <w:color w:val="auto"/>
          <w:sz w:val="24"/>
          <w:highlight w:val="none"/>
        </w:rPr>
        <w:t>（十一）擅自或与采购人串通或接受采购人要求，在履约合同中通过减少货物数量，更换品牌、降低配置、技术要求、质量和服务标准等，却仍按原合同进行虚假验收或终止政府采购合同的；</w:t>
      </w:r>
    </w:p>
    <w:p>
      <w:pPr>
        <w:spacing w:line="288" w:lineRule="auto"/>
        <w:ind w:firstLine="480" w:firstLineChars="200"/>
        <w:rPr>
          <w:color w:val="auto"/>
          <w:sz w:val="24"/>
          <w:highlight w:val="none"/>
        </w:rPr>
      </w:pPr>
      <w:r>
        <w:rPr>
          <w:color w:val="auto"/>
          <w:sz w:val="24"/>
          <w:highlight w:val="none"/>
        </w:rPr>
        <w:t>（十二）与采购人串通，对尚未履约完毕的采购项目出具虚假验收报告的；</w:t>
      </w:r>
    </w:p>
    <w:p>
      <w:pPr>
        <w:spacing w:line="288" w:lineRule="auto"/>
        <w:ind w:firstLine="480" w:firstLineChars="200"/>
        <w:rPr>
          <w:color w:val="auto"/>
          <w:sz w:val="24"/>
          <w:highlight w:val="none"/>
        </w:rPr>
      </w:pPr>
      <w:r>
        <w:rPr>
          <w:color w:val="auto"/>
          <w:sz w:val="24"/>
          <w:highlight w:val="none"/>
        </w:rPr>
        <w:t>（十三）无不可抗力因素，拒绝提供售后服务、售后服务态度恶劣、故意提高维修配件价格（高于市场平均价）的；</w:t>
      </w:r>
    </w:p>
    <w:p>
      <w:pPr>
        <w:spacing w:line="288" w:lineRule="auto"/>
        <w:ind w:firstLine="480" w:firstLineChars="200"/>
        <w:rPr>
          <w:color w:val="auto"/>
          <w:sz w:val="24"/>
          <w:highlight w:val="none"/>
        </w:rPr>
      </w:pPr>
      <w:r>
        <w:rPr>
          <w:color w:val="auto"/>
          <w:sz w:val="24"/>
          <w:highlight w:val="none"/>
        </w:rPr>
        <w:t>（十四）开标后对招标文件的相关内容再进行质疑的；</w:t>
      </w:r>
    </w:p>
    <w:p>
      <w:pPr>
        <w:spacing w:line="288" w:lineRule="auto"/>
        <w:ind w:firstLine="480" w:firstLineChars="200"/>
        <w:rPr>
          <w:color w:val="auto"/>
          <w:sz w:val="24"/>
          <w:highlight w:val="none"/>
        </w:rPr>
      </w:pPr>
      <w:r>
        <w:rPr>
          <w:color w:val="auto"/>
          <w:sz w:val="24"/>
          <w:highlight w:val="none"/>
        </w:rPr>
        <w:t>（十五）恶意投诉的行为：投诉经查无实据的、捏造事实或者提供虚假投诉材料的；</w:t>
      </w:r>
    </w:p>
    <w:p>
      <w:pPr>
        <w:spacing w:line="288" w:lineRule="auto"/>
        <w:ind w:firstLine="480" w:firstLineChars="200"/>
        <w:rPr>
          <w:color w:val="auto"/>
          <w:sz w:val="24"/>
          <w:highlight w:val="none"/>
        </w:rPr>
      </w:pPr>
      <w:r>
        <w:rPr>
          <w:color w:val="auto"/>
          <w:sz w:val="24"/>
          <w:highlight w:val="none"/>
        </w:rPr>
        <w:t>（十六）拒绝有关部门监督检查或者提供虚假情况的；</w:t>
      </w:r>
    </w:p>
    <w:p>
      <w:pPr>
        <w:spacing w:line="288" w:lineRule="auto"/>
        <w:ind w:firstLine="480" w:firstLineChars="200"/>
        <w:rPr>
          <w:color w:val="auto"/>
          <w:sz w:val="24"/>
          <w:highlight w:val="none"/>
        </w:rPr>
      </w:pPr>
      <w:r>
        <w:rPr>
          <w:color w:val="auto"/>
          <w:sz w:val="24"/>
          <w:highlight w:val="none"/>
        </w:rPr>
        <w:t>（十七）财政、监察部门认定的其他不诚信行为。</w:t>
      </w:r>
    </w:p>
    <w:p>
      <w:pPr>
        <w:spacing w:line="288" w:lineRule="auto"/>
        <w:ind w:firstLine="480" w:firstLineChars="200"/>
        <w:rPr>
          <w:color w:val="auto"/>
          <w:sz w:val="24"/>
          <w:highlight w:val="none"/>
        </w:rPr>
      </w:pPr>
      <w:r>
        <w:rPr>
          <w:rFonts w:hint="eastAsia"/>
          <w:color w:val="auto"/>
          <w:sz w:val="24"/>
          <w:highlight w:val="none"/>
        </w:rPr>
        <w:t>（十八）招标文件规定的其他不诚信行为。</w:t>
      </w:r>
    </w:p>
    <w:p>
      <w:pPr>
        <w:spacing w:line="288" w:lineRule="auto"/>
        <w:ind w:firstLine="5760" w:firstLineChars="2400"/>
        <w:rPr>
          <w:color w:val="auto"/>
          <w:sz w:val="24"/>
          <w:highlight w:val="none"/>
        </w:rPr>
      </w:pPr>
      <w:r>
        <w:rPr>
          <w:color w:val="auto"/>
          <w:sz w:val="24"/>
          <w:highlight w:val="none"/>
        </w:rPr>
        <w:t>公司名称</w:t>
      </w:r>
      <w:r>
        <w:rPr>
          <w:rFonts w:hint="eastAsia"/>
          <w:color w:val="auto"/>
          <w:sz w:val="24"/>
          <w:highlight w:val="none"/>
        </w:rPr>
        <w:t>：</w:t>
      </w:r>
      <w:r>
        <w:rPr>
          <w:color w:val="auto"/>
          <w:sz w:val="24"/>
          <w:highlight w:val="none"/>
        </w:rPr>
        <w:t>（盖章）</w:t>
      </w:r>
    </w:p>
    <w:p>
      <w:pPr>
        <w:spacing w:line="288" w:lineRule="auto"/>
        <w:ind w:firstLine="4560" w:firstLineChars="1900"/>
        <w:rPr>
          <w:color w:val="auto"/>
          <w:sz w:val="24"/>
          <w:highlight w:val="none"/>
        </w:rPr>
      </w:pPr>
      <w:r>
        <w:rPr>
          <w:color w:val="auto"/>
          <w:sz w:val="24"/>
          <w:highlight w:val="none"/>
        </w:rPr>
        <w:t>法人代表或授权委托人签字：</w:t>
      </w:r>
    </w:p>
    <w:p>
      <w:pPr>
        <w:spacing w:line="288" w:lineRule="auto"/>
        <w:ind w:firstLine="5760" w:firstLineChars="2400"/>
        <w:rPr>
          <w:rFonts w:ascii="宋体" w:hAnsi="宋体"/>
          <w:b/>
          <w:color w:val="auto"/>
          <w:sz w:val="24"/>
          <w:highlight w:val="none"/>
        </w:rPr>
      </w:pPr>
      <w:r>
        <w:rPr>
          <w:color w:val="auto"/>
          <w:sz w:val="24"/>
          <w:highlight w:val="none"/>
        </w:rPr>
        <w:t>年 月 日</w:t>
      </w: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4.技术文件目录</w:t>
      </w:r>
    </w:p>
    <w:p>
      <w:pPr>
        <w:spacing w:line="288" w:lineRule="auto"/>
        <w:ind w:firstLine="480" w:firstLineChars="200"/>
        <w:rPr>
          <w:color w:val="auto"/>
          <w:sz w:val="24"/>
          <w:highlight w:val="none"/>
        </w:rPr>
      </w:pPr>
      <w:r>
        <w:rPr>
          <w:color w:val="auto"/>
          <w:sz w:val="24"/>
          <w:highlight w:val="none"/>
        </w:rPr>
        <w:t>投标人应提交证明文件，证明其拟供的合同项下的货物和服务的合格性符合招标文件规定。该证明文件是投标文件的一部分。证明文件可以是文字资料、图纸和数据，它包括：</w:t>
      </w:r>
    </w:p>
    <w:p>
      <w:pPr>
        <w:spacing w:line="288" w:lineRule="auto"/>
        <w:ind w:firstLine="480" w:firstLineChars="200"/>
        <w:rPr>
          <w:color w:val="auto"/>
          <w:sz w:val="24"/>
          <w:highlight w:val="none"/>
        </w:rPr>
      </w:pPr>
      <w:r>
        <w:rPr>
          <w:rFonts w:hint="eastAsia"/>
          <w:color w:val="auto"/>
          <w:sz w:val="24"/>
          <w:highlight w:val="none"/>
        </w:rPr>
        <w:t>（1）</w:t>
      </w:r>
      <w:r>
        <w:rPr>
          <w:color w:val="auto"/>
          <w:sz w:val="24"/>
          <w:highlight w:val="none"/>
        </w:rPr>
        <w:t>投标货物和服务数量、规格、品牌、交货期说明表</w:t>
      </w:r>
      <w:r>
        <w:rPr>
          <w:rFonts w:hint="eastAsia"/>
          <w:color w:val="auto"/>
          <w:sz w:val="24"/>
          <w:highlight w:val="none"/>
        </w:rPr>
        <w:t>（格式见附件</w:t>
      </w:r>
      <w:r>
        <w:rPr>
          <w:color w:val="auto"/>
          <w:sz w:val="24"/>
          <w:highlight w:val="none"/>
        </w:rPr>
        <w:t>）</w:t>
      </w:r>
      <w:r>
        <w:rPr>
          <w:rFonts w:hint="eastAsia"/>
          <w:color w:val="auto"/>
          <w:sz w:val="24"/>
          <w:highlight w:val="none"/>
        </w:rPr>
        <w:t>；</w:t>
      </w:r>
    </w:p>
    <w:p>
      <w:pPr>
        <w:spacing w:line="288" w:lineRule="auto"/>
        <w:ind w:firstLine="480" w:firstLineChars="200"/>
        <w:rPr>
          <w:color w:val="auto"/>
          <w:sz w:val="24"/>
          <w:highlight w:val="none"/>
        </w:rPr>
      </w:pPr>
      <w:r>
        <w:rPr>
          <w:rFonts w:hint="eastAsia"/>
          <w:color w:val="auto"/>
          <w:sz w:val="24"/>
          <w:highlight w:val="none"/>
        </w:rPr>
        <w:t>（2）产品的主要技术、特点和质量水平的详细描述；</w:t>
      </w:r>
    </w:p>
    <w:p>
      <w:pPr>
        <w:spacing w:line="288" w:lineRule="auto"/>
        <w:ind w:firstLine="480" w:firstLineChars="200"/>
        <w:rPr>
          <w:color w:val="auto"/>
          <w:sz w:val="24"/>
          <w:highlight w:val="none"/>
        </w:rPr>
      </w:pPr>
      <w:r>
        <w:rPr>
          <w:rFonts w:hint="eastAsia"/>
          <w:color w:val="auto"/>
          <w:sz w:val="24"/>
          <w:highlight w:val="none"/>
        </w:rPr>
        <w:t>（3）</w:t>
      </w:r>
      <w:r>
        <w:rPr>
          <w:color w:val="auto"/>
          <w:sz w:val="24"/>
          <w:highlight w:val="none"/>
        </w:rPr>
        <w:t>主要材料、结构明细表(包括名称、规格型号、需用量、生产厂名)</w:t>
      </w:r>
      <w:r>
        <w:rPr>
          <w:rFonts w:hint="eastAsia"/>
          <w:color w:val="auto"/>
          <w:sz w:val="24"/>
          <w:highlight w:val="none"/>
        </w:rPr>
        <w:t xml:space="preserve"> （格式见附件</w:t>
      </w:r>
      <w:r>
        <w:rPr>
          <w:color w:val="auto"/>
          <w:sz w:val="24"/>
          <w:highlight w:val="none"/>
        </w:rPr>
        <w:t>）；</w:t>
      </w:r>
    </w:p>
    <w:p>
      <w:pPr>
        <w:spacing w:line="288" w:lineRule="auto"/>
        <w:ind w:firstLine="480" w:firstLineChars="200"/>
        <w:rPr>
          <w:color w:val="auto"/>
          <w:sz w:val="24"/>
          <w:highlight w:val="none"/>
        </w:rPr>
      </w:pPr>
      <w:r>
        <w:rPr>
          <w:rFonts w:hint="eastAsia"/>
          <w:color w:val="auto"/>
          <w:sz w:val="24"/>
          <w:highlight w:val="none"/>
        </w:rPr>
        <w:t>（4）技术响应表（格式见附件）；</w:t>
      </w:r>
    </w:p>
    <w:p>
      <w:pPr>
        <w:spacing w:line="288" w:lineRule="auto"/>
        <w:ind w:firstLine="480" w:firstLineChars="200"/>
        <w:rPr>
          <w:color w:val="auto"/>
          <w:sz w:val="24"/>
          <w:highlight w:val="none"/>
        </w:rPr>
      </w:pPr>
      <w:r>
        <w:rPr>
          <w:rFonts w:hint="eastAsia"/>
          <w:color w:val="auto"/>
          <w:sz w:val="24"/>
          <w:highlight w:val="none"/>
        </w:rPr>
        <w:t>（5）设计、制造、检验方面的主要标准；</w:t>
      </w:r>
    </w:p>
    <w:p>
      <w:pPr>
        <w:spacing w:line="288" w:lineRule="auto"/>
        <w:ind w:firstLine="480" w:firstLineChars="200"/>
        <w:rPr>
          <w:color w:val="auto"/>
          <w:sz w:val="24"/>
          <w:highlight w:val="none"/>
        </w:rPr>
      </w:pPr>
      <w:r>
        <w:rPr>
          <w:rFonts w:hint="eastAsia"/>
          <w:color w:val="auto"/>
          <w:sz w:val="24"/>
          <w:highlight w:val="none"/>
        </w:rPr>
        <w:t>（6）列出按照制造工序和运输要求的制造期、检验期、交货期；</w:t>
      </w:r>
    </w:p>
    <w:p>
      <w:pPr>
        <w:spacing w:line="288" w:lineRule="auto"/>
        <w:ind w:firstLine="480" w:firstLineChars="200"/>
        <w:rPr>
          <w:color w:val="auto"/>
          <w:sz w:val="24"/>
          <w:highlight w:val="none"/>
        </w:rPr>
      </w:pPr>
      <w:r>
        <w:rPr>
          <w:rFonts w:hint="eastAsia"/>
          <w:color w:val="auto"/>
          <w:sz w:val="24"/>
          <w:highlight w:val="none"/>
        </w:rPr>
        <w:t>（7) 检验报告（一年内）；</w:t>
      </w:r>
    </w:p>
    <w:p>
      <w:pPr>
        <w:spacing w:line="288" w:lineRule="auto"/>
        <w:ind w:firstLine="480" w:firstLineChars="200"/>
        <w:rPr>
          <w:color w:val="auto"/>
          <w:sz w:val="24"/>
          <w:highlight w:val="none"/>
        </w:rPr>
      </w:pPr>
      <w:r>
        <w:rPr>
          <w:rFonts w:hint="eastAsia"/>
          <w:color w:val="auto"/>
          <w:sz w:val="24"/>
          <w:highlight w:val="none"/>
        </w:rPr>
        <w:t>（8) 其他优惠条件；</w:t>
      </w:r>
    </w:p>
    <w:p>
      <w:pPr>
        <w:spacing w:line="288" w:lineRule="auto"/>
        <w:ind w:firstLine="480" w:firstLineChars="200"/>
        <w:rPr>
          <w:color w:val="auto"/>
          <w:sz w:val="24"/>
          <w:highlight w:val="none"/>
        </w:rPr>
      </w:pPr>
      <w:r>
        <w:rPr>
          <w:rFonts w:hint="eastAsia"/>
          <w:color w:val="auto"/>
          <w:sz w:val="24"/>
          <w:highlight w:val="none"/>
        </w:rPr>
        <w:t>（9</w:t>
      </w:r>
      <w:r>
        <w:rPr>
          <w:color w:val="auto"/>
          <w:sz w:val="24"/>
          <w:highlight w:val="none"/>
        </w:rPr>
        <w:t>）技术服务、售后服务的内容和措施；</w:t>
      </w:r>
    </w:p>
    <w:p>
      <w:pPr>
        <w:spacing w:line="288" w:lineRule="auto"/>
        <w:ind w:firstLine="480" w:firstLineChars="200"/>
        <w:rPr>
          <w:color w:val="auto"/>
          <w:sz w:val="24"/>
          <w:highlight w:val="none"/>
        </w:rPr>
      </w:pPr>
      <w:r>
        <w:rPr>
          <w:rFonts w:hint="eastAsia"/>
          <w:color w:val="auto"/>
          <w:sz w:val="24"/>
          <w:highlight w:val="none"/>
        </w:rPr>
        <w:t>（10) 其它按照评标办法可加分的内容说明、证明文件；</w:t>
      </w:r>
    </w:p>
    <w:p>
      <w:pPr>
        <w:spacing w:line="288" w:lineRule="auto"/>
        <w:ind w:firstLine="480" w:firstLineChars="200"/>
        <w:rPr>
          <w:color w:val="auto"/>
          <w:sz w:val="24"/>
          <w:highlight w:val="none"/>
        </w:rPr>
      </w:pPr>
      <w:r>
        <w:rPr>
          <w:rFonts w:hint="eastAsia"/>
          <w:color w:val="auto"/>
          <w:sz w:val="24"/>
          <w:highlight w:val="none"/>
        </w:rPr>
        <w:t>（11</w:t>
      </w:r>
      <w:r>
        <w:rPr>
          <w:color w:val="auto"/>
          <w:sz w:val="24"/>
          <w:highlight w:val="none"/>
        </w:rPr>
        <w:t>）投标人需要说明的其他文件和说明。</w:t>
      </w:r>
    </w:p>
    <w:p>
      <w:pPr>
        <w:spacing w:line="288" w:lineRule="auto"/>
        <w:ind w:firstLine="480" w:firstLineChars="200"/>
        <w:rPr>
          <w:color w:val="auto"/>
          <w:sz w:val="24"/>
          <w:highlight w:val="none"/>
        </w:rPr>
      </w:pPr>
    </w:p>
    <w:p>
      <w:pPr>
        <w:spacing w:line="288" w:lineRule="auto"/>
        <w:ind w:firstLine="480" w:firstLineChars="200"/>
        <w:rPr>
          <w:color w:val="auto"/>
          <w:sz w:val="24"/>
          <w:highlight w:val="none"/>
        </w:rPr>
      </w:pPr>
    </w:p>
    <w:p>
      <w:pPr>
        <w:spacing w:line="288" w:lineRule="auto"/>
        <w:ind w:firstLine="480" w:firstLineChars="200"/>
        <w:rPr>
          <w:color w:val="auto"/>
          <w:sz w:val="24"/>
          <w:highlight w:val="none"/>
        </w:rPr>
      </w:pPr>
    </w:p>
    <w:p>
      <w:pPr>
        <w:spacing w:line="288" w:lineRule="auto"/>
        <w:ind w:firstLine="480" w:firstLineChars="200"/>
        <w:rPr>
          <w:color w:val="auto"/>
          <w:sz w:val="24"/>
          <w:highlight w:val="none"/>
        </w:rPr>
      </w:pPr>
    </w:p>
    <w:p>
      <w:pPr>
        <w:spacing w:line="288" w:lineRule="auto"/>
        <w:ind w:firstLine="480" w:firstLineChars="200"/>
        <w:rPr>
          <w:color w:val="auto"/>
          <w:sz w:val="24"/>
          <w:highlight w:val="none"/>
        </w:rPr>
      </w:pPr>
    </w:p>
    <w:p>
      <w:pPr>
        <w:spacing w:line="288" w:lineRule="auto"/>
        <w:ind w:firstLine="480" w:firstLineChars="200"/>
        <w:rPr>
          <w:color w:val="auto"/>
          <w:sz w:val="24"/>
          <w:highlight w:val="none"/>
        </w:rPr>
      </w:pPr>
    </w:p>
    <w:p>
      <w:pPr>
        <w:spacing w:line="288" w:lineRule="auto"/>
        <w:ind w:firstLine="480" w:firstLineChars="200"/>
        <w:rPr>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4.1评分响应表格式：</w:t>
      </w:r>
    </w:p>
    <w:p>
      <w:pPr>
        <w:snapToGrid w:val="0"/>
        <w:spacing w:before="156" w:beforeLines="50" w:after="50"/>
        <w:rPr>
          <w:rFonts w:ascii="宋体" w:hAnsi="宋体"/>
          <w:b/>
          <w:color w:val="auto"/>
          <w:sz w:val="24"/>
          <w:highlight w:val="none"/>
        </w:rPr>
      </w:pPr>
    </w:p>
    <w:p>
      <w:pPr>
        <w:snapToGrid w:val="0"/>
        <w:spacing w:before="50" w:after="50"/>
        <w:jc w:val="center"/>
        <w:rPr>
          <w:rFonts w:ascii="宋体" w:hAnsi="宋体"/>
          <w:b/>
          <w:color w:val="auto"/>
          <w:sz w:val="36"/>
          <w:szCs w:val="36"/>
          <w:highlight w:val="none"/>
        </w:rPr>
      </w:pPr>
      <w:r>
        <w:rPr>
          <w:rFonts w:hint="eastAsia" w:ascii="宋体" w:hAnsi="宋体"/>
          <w:b/>
          <w:color w:val="auto"/>
          <w:sz w:val="36"/>
          <w:szCs w:val="36"/>
          <w:highlight w:val="none"/>
        </w:rPr>
        <w:t>评分响应表</w:t>
      </w:r>
    </w:p>
    <w:p>
      <w:pPr>
        <w:snapToGrid w:val="0"/>
        <w:spacing w:before="50" w:after="50"/>
        <w:rPr>
          <w:rFonts w:ascii="宋体" w:hAnsi="宋体"/>
          <w:b/>
          <w:color w:val="auto"/>
          <w:sz w:val="24"/>
          <w:highlight w:val="none"/>
        </w:rPr>
      </w:pPr>
    </w:p>
    <w:p>
      <w:pPr>
        <w:snapToGrid w:val="0"/>
        <w:spacing w:before="50" w:after="50" w:line="360" w:lineRule="auto"/>
        <w:rPr>
          <w:rFonts w:ascii="宋体" w:hAnsi="宋体"/>
          <w:b/>
          <w:color w:val="auto"/>
          <w:sz w:val="24"/>
          <w:highlight w:val="none"/>
        </w:rPr>
      </w:pPr>
      <w:r>
        <w:rPr>
          <w:rFonts w:hint="eastAsia" w:ascii="宋体" w:hAnsi="宋体"/>
          <w:b/>
          <w:color w:val="auto"/>
          <w:sz w:val="24"/>
          <w:highlight w:val="none"/>
        </w:rPr>
        <w:t>投标单位名称：                           标项：</w:t>
      </w:r>
    </w:p>
    <w:tbl>
      <w:tblPr>
        <w:tblStyle w:val="18"/>
        <w:tblW w:w="908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1318"/>
        <w:gridCol w:w="3124"/>
        <w:gridCol w:w="1156"/>
        <w:gridCol w:w="27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6"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序号</w:t>
            </w:r>
          </w:p>
        </w:tc>
        <w:tc>
          <w:tcPr>
            <w:tcW w:w="1318"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评审内容</w:t>
            </w:r>
          </w:p>
        </w:tc>
        <w:tc>
          <w:tcPr>
            <w:tcW w:w="3124" w:type="dxa"/>
            <w:tcBorders>
              <w:top w:val="single" w:color="auto" w:sz="4" w:space="0"/>
              <w:left w:val="single" w:color="auto" w:sz="4" w:space="0"/>
              <w:bottom w:val="single" w:color="auto" w:sz="4" w:space="0"/>
              <w:right w:val="single" w:color="auto" w:sz="4" w:space="0"/>
            </w:tcBorders>
            <w:noWrap/>
            <w:vAlign w:val="center"/>
          </w:tcPr>
          <w:p>
            <w:pPr>
              <w:pStyle w:val="14"/>
              <w:ind w:firstLine="482"/>
              <w:jc w:val="center"/>
              <w:rPr>
                <w:rFonts w:ascii="宋体" w:eastAsia="宋体"/>
                <w:b/>
                <w:bCs/>
                <w:color w:val="auto"/>
                <w:highlight w:val="none"/>
              </w:rPr>
            </w:pPr>
            <w:r>
              <w:rPr>
                <w:rFonts w:hint="eastAsia" w:ascii="宋体" w:eastAsia="宋体"/>
                <w:b/>
                <w:bCs/>
                <w:color w:val="auto"/>
                <w:highlight w:val="none"/>
              </w:rPr>
              <w:t>评分标准</w:t>
            </w: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分值</w:t>
            </w:r>
          </w:p>
        </w:tc>
        <w:tc>
          <w:tcPr>
            <w:tcW w:w="2700"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0"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一</w:t>
            </w:r>
          </w:p>
        </w:tc>
        <w:tc>
          <w:tcPr>
            <w:tcW w:w="1318"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bCs/>
                <w:color w:val="auto"/>
                <w:highlight w:val="none"/>
              </w:rPr>
            </w:pPr>
            <w:r>
              <w:rPr>
                <w:rFonts w:hint="eastAsia" w:ascii="宋体" w:eastAsia="宋体"/>
                <w:b/>
                <w:bCs/>
                <w:color w:val="auto"/>
                <w:highlight w:val="none"/>
              </w:rPr>
              <w:t>技术分</w:t>
            </w:r>
          </w:p>
        </w:tc>
        <w:tc>
          <w:tcPr>
            <w:tcW w:w="3124" w:type="dxa"/>
            <w:tcBorders>
              <w:top w:val="single" w:color="auto" w:sz="4" w:space="0"/>
              <w:left w:val="single" w:color="auto" w:sz="4" w:space="0"/>
              <w:bottom w:val="single" w:color="auto" w:sz="4" w:space="0"/>
              <w:right w:val="single" w:color="auto" w:sz="4" w:space="0"/>
            </w:tcBorders>
            <w:noWrap/>
            <w:vAlign w:val="center"/>
          </w:tcPr>
          <w:p>
            <w:pPr>
              <w:pStyle w:val="14"/>
              <w:ind w:firstLine="482"/>
              <w:jc w:val="center"/>
              <w:rPr>
                <w:rFonts w:ascii="宋体" w:eastAsia="宋体"/>
                <w:b/>
                <w:bCs/>
                <w:color w:val="auto"/>
                <w:highlight w:val="none"/>
              </w:rPr>
            </w:pP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bCs/>
                <w:color w:val="auto"/>
                <w:highlight w:val="none"/>
              </w:rPr>
            </w:pPr>
          </w:p>
        </w:tc>
        <w:tc>
          <w:tcPr>
            <w:tcW w:w="2700"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74"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r>
              <w:rPr>
                <w:rFonts w:hint="eastAsia" w:ascii="宋体" w:hAnsi="宋体"/>
                <w:color w:val="auto"/>
                <w:sz w:val="24"/>
                <w:highlight w:val="none"/>
              </w:rPr>
              <w:t>1</w:t>
            </w:r>
          </w:p>
        </w:tc>
        <w:tc>
          <w:tcPr>
            <w:tcW w:w="131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 w:val="24"/>
                <w:highlight w:val="none"/>
              </w:rPr>
            </w:pPr>
          </w:p>
        </w:tc>
        <w:tc>
          <w:tcPr>
            <w:tcW w:w="3124" w:type="dxa"/>
            <w:tcBorders>
              <w:top w:val="single" w:color="auto" w:sz="4" w:space="0"/>
              <w:left w:val="single" w:color="auto" w:sz="4" w:space="0"/>
              <w:right w:val="single" w:color="auto" w:sz="4" w:space="0"/>
            </w:tcBorders>
            <w:noWrap/>
            <w:vAlign w:val="center"/>
          </w:tcPr>
          <w:p>
            <w:pPr>
              <w:rPr>
                <w:rFonts w:ascii="宋体" w:hAnsi="宋体"/>
                <w:color w:val="auto"/>
                <w:sz w:val="24"/>
                <w:highlight w:val="none"/>
              </w:rPr>
            </w:pPr>
          </w:p>
        </w:tc>
        <w:tc>
          <w:tcPr>
            <w:tcW w:w="1156" w:type="dxa"/>
            <w:tcBorders>
              <w:top w:val="single" w:color="auto" w:sz="4" w:space="0"/>
              <w:left w:val="single" w:color="auto" w:sz="4" w:space="0"/>
              <w:right w:val="single" w:color="auto" w:sz="4" w:space="0"/>
            </w:tcBorders>
            <w:noWrap/>
            <w:vAlign w:val="center"/>
          </w:tcPr>
          <w:p>
            <w:pPr>
              <w:jc w:val="center"/>
              <w:rPr>
                <w:rFonts w:ascii="宋体" w:hAnsi="宋体"/>
                <w:bCs/>
                <w:color w:val="auto"/>
                <w:sz w:val="24"/>
                <w:highlight w:val="none"/>
              </w:rPr>
            </w:pPr>
          </w:p>
        </w:tc>
        <w:tc>
          <w:tcPr>
            <w:tcW w:w="2700" w:type="dxa"/>
            <w:tcBorders>
              <w:top w:val="single" w:color="auto" w:sz="4" w:space="0"/>
              <w:left w:val="single" w:color="auto" w:sz="4" w:space="0"/>
              <w:right w:val="single" w:color="auto" w:sz="4" w:space="0"/>
            </w:tcBorders>
            <w:noWrap/>
            <w:vAlign w:val="center"/>
          </w:tcPr>
          <w:p>
            <w:pPr>
              <w:jc w:val="center"/>
              <w:rPr>
                <w:rFonts w:ascii="宋体" w:hAnsi="宋体"/>
                <w:bCs/>
                <w:color w:val="auto"/>
                <w:sz w:val="24"/>
                <w:highlight w:val="none"/>
              </w:rPr>
            </w:pPr>
            <w:r>
              <w:rPr>
                <w:rFonts w:hint="eastAsia" w:ascii="宋体" w:hAnsi="宋体"/>
                <w:bCs/>
                <w:color w:val="auto"/>
                <w:sz w:val="24"/>
                <w:highlight w:val="none"/>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046"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r>
              <w:rPr>
                <w:rFonts w:hint="eastAsia" w:ascii="宋体" w:hAnsi="宋体"/>
                <w:color w:val="auto"/>
                <w:sz w:val="24"/>
                <w:highlight w:val="none"/>
              </w:rPr>
              <w:t>2</w:t>
            </w: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ascii="宋体" w:hAnsi="宋体"/>
                <w:color w:val="auto"/>
                <w:sz w:val="24"/>
                <w:highlight w:val="none"/>
              </w:rPr>
            </w:pPr>
          </w:p>
        </w:tc>
        <w:tc>
          <w:tcPr>
            <w:tcW w:w="3124" w:type="dxa"/>
            <w:tcBorders>
              <w:top w:val="single" w:color="auto" w:sz="4" w:space="0"/>
              <w:left w:val="single" w:color="auto" w:sz="4" w:space="0"/>
              <w:right w:val="single" w:color="auto" w:sz="4" w:space="0"/>
            </w:tcBorders>
            <w:noWrap/>
            <w:vAlign w:val="center"/>
          </w:tcPr>
          <w:p>
            <w:pPr>
              <w:widowControl/>
              <w:rPr>
                <w:rFonts w:ascii="宋体" w:hAnsi="宋体" w:cs="宋体"/>
                <w:color w:val="auto"/>
                <w:kern w:val="0"/>
                <w:sz w:val="24"/>
                <w:highlight w:val="none"/>
              </w:rPr>
            </w:pPr>
          </w:p>
        </w:tc>
        <w:tc>
          <w:tcPr>
            <w:tcW w:w="1156" w:type="dxa"/>
            <w:tcBorders>
              <w:top w:val="single" w:color="auto" w:sz="4" w:space="0"/>
              <w:left w:val="single" w:color="auto" w:sz="4" w:space="0"/>
              <w:right w:val="single" w:color="auto" w:sz="4" w:space="0"/>
            </w:tcBorders>
            <w:noWrap/>
            <w:vAlign w:val="center"/>
          </w:tcPr>
          <w:p>
            <w:pPr>
              <w:spacing w:line="320" w:lineRule="exact"/>
              <w:jc w:val="center"/>
              <w:rPr>
                <w:rFonts w:ascii="宋体" w:hAnsi="宋体"/>
                <w:bCs/>
                <w:color w:val="auto"/>
                <w:sz w:val="24"/>
                <w:highlight w:val="none"/>
              </w:rPr>
            </w:pPr>
          </w:p>
        </w:tc>
        <w:tc>
          <w:tcPr>
            <w:tcW w:w="2700" w:type="dxa"/>
            <w:tcBorders>
              <w:top w:val="single" w:color="auto" w:sz="4" w:space="0"/>
              <w:left w:val="single" w:color="auto" w:sz="4" w:space="0"/>
              <w:right w:val="single" w:color="auto" w:sz="4" w:space="0"/>
            </w:tcBorders>
            <w:noWrap/>
            <w:vAlign w:val="center"/>
          </w:tcPr>
          <w:p>
            <w:pPr>
              <w:jc w:val="center"/>
              <w:rPr>
                <w:rFonts w:ascii="宋体" w:hAnsi="宋体"/>
                <w:bCs/>
                <w:color w:val="auto"/>
                <w:sz w:val="24"/>
                <w:highlight w:val="none"/>
              </w:rPr>
            </w:pPr>
            <w:r>
              <w:rPr>
                <w:rFonts w:hint="eastAsia" w:ascii="宋体" w:hAnsi="宋体"/>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62" w:hRule="atLeast"/>
          <w:jc w:val="center"/>
        </w:trPr>
        <w:tc>
          <w:tcPr>
            <w:tcW w:w="786" w:type="dxa"/>
            <w:tcBorders>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r>
              <w:rPr>
                <w:rFonts w:hint="eastAsia" w:ascii="宋体" w:hAnsi="宋体"/>
                <w:color w:val="auto"/>
                <w:sz w:val="24"/>
                <w:highlight w:val="none"/>
              </w:rPr>
              <w:t>……</w:t>
            </w:r>
          </w:p>
        </w:tc>
        <w:tc>
          <w:tcPr>
            <w:tcW w:w="1318" w:type="dxa"/>
            <w:tcBorders>
              <w:left w:val="single" w:color="auto" w:sz="4" w:space="0"/>
              <w:bottom w:val="single" w:color="auto" w:sz="4" w:space="0"/>
              <w:right w:val="single" w:color="auto" w:sz="4" w:space="0"/>
            </w:tcBorders>
            <w:noWrap/>
            <w:vAlign w:val="center"/>
          </w:tcPr>
          <w:p>
            <w:pPr>
              <w:widowControl/>
              <w:rPr>
                <w:rFonts w:ascii="宋体" w:hAnsi="宋体" w:cs="宋体"/>
                <w:color w:val="auto"/>
                <w:kern w:val="0"/>
                <w:sz w:val="24"/>
                <w:highlight w:val="none"/>
              </w:rPr>
            </w:pPr>
          </w:p>
        </w:tc>
        <w:tc>
          <w:tcPr>
            <w:tcW w:w="3124" w:type="dxa"/>
            <w:tcBorders>
              <w:top w:val="single" w:color="auto" w:sz="4" w:space="0"/>
              <w:left w:val="single" w:color="auto" w:sz="4" w:space="0"/>
              <w:bottom w:val="single" w:color="auto" w:sz="4" w:space="0"/>
              <w:right w:val="single" w:color="auto" w:sz="4" w:space="0"/>
            </w:tcBorders>
            <w:noWrap/>
            <w:vAlign w:val="center"/>
          </w:tcPr>
          <w:p>
            <w:pPr>
              <w:ind w:left="55" w:leftChars="26"/>
              <w:rPr>
                <w:rFonts w:ascii="宋体" w:hAnsi="宋体" w:cs="宋体"/>
                <w:color w:val="auto"/>
                <w:kern w:val="0"/>
                <w:sz w:val="24"/>
                <w:highlight w:val="none"/>
              </w:rPr>
            </w:pPr>
          </w:p>
        </w:tc>
        <w:tc>
          <w:tcPr>
            <w:tcW w:w="1156"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宋体" w:hAnsi="宋体"/>
                <w:bCs/>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cantSplit/>
          <w:trHeight w:val="488"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b/>
                <w:color w:val="auto"/>
                <w:sz w:val="24"/>
                <w:highlight w:val="none"/>
              </w:rPr>
            </w:pPr>
            <w:r>
              <w:rPr>
                <w:rFonts w:hint="eastAsia" w:ascii="宋体" w:hAnsi="宋体"/>
                <w:b/>
                <w:color w:val="auto"/>
                <w:sz w:val="24"/>
                <w:highlight w:val="none"/>
              </w:rPr>
              <w:t>二</w:t>
            </w:r>
          </w:p>
        </w:tc>
        <w:tc>
          <w:tcPr>
            <w:tcW w:w="1318"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b/>
                <w:color w:val="auto"/>
                <w:sz w:val="24"/>
                <w:highlight w:val="none"/>
              </w:rPr>
            </w:pPr>
            <w:r>
              <w:rPr>
                <w:rFonts w:hint="eastAsia" w:ascii="宋体" w:hAnsi="宋体"/>
                <w:b/>
                <w:color w:val="auto"/>
                <w:sz w:val="24"/>
                <w:highlight w:val="none"/>
              </w:rPr>
              <w:t>商务分</w:t>
            </w:r>
          </w:p>
        </w:tc>
        <w:tc>
          <w:tcPr>
            <w:tcW w:w="3124"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both"/>
              <w:rPr>
                <w:rFonts w:ascii="宋体" w:eastAsia="宋体"/>
                <w:b/>
                <w:color w:val="auto"/>
                <w:highlight w:val="none"/>
              </w:rPr>
            </w:pP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color w:val="auto"/>
                <w:highlight w:val="none"/>
              </w:rPr>
            </w:pPr>
          </w:p>
        </w:tc>
        <w:tc>
          <w:tcPr>
            <w:tcW w:w="2700"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b/>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50"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ascii="宋体" w:hAnsi="宋体"/>
                <w:color w:val="auto"/>
                <w:kern w:val="0"/>
                <w:sz w:val="24"/>
                <w:highlight w:val="none"/>
              </w:rPr>
            </w:pPr>
          </w:p>
        </w:tc>
        <w:tc>
          <w:tcPr>
            <w:tcW w:w="3124"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ascii="宋体" w:hAnsi="宋体"/>
                <w:color w:val="auto"/>
                <w:kern w:val="0"/>
                <w:sz w:val="24"/>
                <w:highlight w:val="none"/>
              </w:rPr>
            </w:pP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color w:val="auto"/>
                <w:highlight w:val="none"/>
              </w:rPr>
            </w:pPr>
          </w:p>
        </w:tc>
        <w:tc>
          <w:tcPr>
            <w:tcW w:w="27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color w:val="auto"/>
                <w:sz w:val="24"/>
                <w:highlight w:val="none"/>
              </w:rPr>
            </w:pPr>
            <w:r>
              <w:rPr>
                <w:rFonts w:hint="eastAsia" w:ascii="宋体" w:hAnsi="宋体"/>
                <w:bCs/>
                <w:color w:val="auto"/>
                <w:sz w:val="24"/>
                <w:highlight w:val="none"/>
              </w:rPr>
              <w:t>详见资信及商务文件</w:t>
            </w:r>
          </w:p>
          <w:p>
            <w:pPr>
              <w:jc w:val="center"/>
              <w:rPr>
                <w:rFonts w:ascii="宋体" w:hAnsi="宋体"/>
                <w:bCs/>
                <w:color w:val="auto"/>
                <w:sz w:val="24"/>
                <w:highlight w:val="none"/>
              </w:rPr>
            </w:pPr>
            <w:r>
              <w:rPr>
                <w:rFonts w:hint="eastAsia" w:ascii="宋体" w:hAnsi="宋体"/>
                <w:bCs/>
                <w:color w:val="auto"/>
                <w:sz w:val="24"/>
                <w:highlight w:val="none"/>
              </w:rPr>
              <w:t>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5"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p>
        </w:tc>
        <w:tc>
          <w:tcPr>
            <w:tcW w:w="131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 w:val="24"/>
                <w:highlight w:val="none"/>
              </w:rPr>
            </w:pPr>
          </w:p>
        </w:tc>
        <w:tc>
          <w:tcPr>
            <w:tcW w:w="312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 w:val="24"/>
                <w:highlight w:val="none"/>
              </w:rPr>
            </w:pP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color w:val="auto"/>
                <w:highlight w:val="none"/>
              </w:rPr>
            </w:pPr>
          </w:p>
        </w:tc>
        <w:tc>
          <w:tcPr>
            <w:tcW w:w="2700"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color w:val="auto"/>
                <w:highlight w:val="none"/>
              </w:rPr>
            </w:pPr>
            <w:r>
              <w:rPr>
                <w:rFonts w:hint="eastAsia" w:ascii="宋体" w:eastAsia="宋体"/>
                <w:color w:val="auto"/>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5"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p>
        </w:tc>
        <w:tc>
          <w:tcPr>
            <w:tcW w:w="131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 w:val="24"/>
                <w:highlight w:val="none"/>
              </w:rPr>
            </w:pPr>
          </w:p>
        </w:tc>
        <w:tc>
          <w:tcPr>
            <w:tcW w:w="312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 w:val="24"/>
                <w:highlight w:val="none"/>
              </w:rPr>
            </w:pP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color w:val="auto"/>
                <w:highlight w:val="none"/>
              </w:rPr>
            </w:pPr>
          </w:p>
        </w:tc>
        <w:tc>
          <w:tcPr>
            <w:tcW w:w="2700"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center"/>
              <w:rPr>
                <w:rFonts w:ascii="宋体" w:eastAsia="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22" w:hRule="atLeast"/>
          <w:jc w:val="center"/>
        </w:trPr>
        <w:tc>
          <w:tcPr>
            <w:tcW w:w="786" w:type="dxa"/>
            <w:tcBorders>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r>
              <w:rPr>
                <w:rFonts w:hint="eastAsia" w:ascii="宋体" w:hAnsi="宋体"/>
                <w:color w:val="auto"/>
                <w:sz w:val="24"/>
                <w:highlight w:val="none"/>
              </w:rPr>
              <w:t>三</w:t>
            </w:r>
          </w:p>
        </w:tc>
        <w:tc>
          <w:tcPr>
            <w:tcW w:w="1318" w:type="dxa"/>
            <w:tcBorders>
              <w:left w:val="single" w:color="auto" w:sz="4" w:space="0"/>
              <w:bottom w:val="single" w:color="auto" w:sz="4" w:space="0"/>
              <w:right w:val="single" w:color="auto" w:sz="4" w:space="0"/>
            </w:tcBorders>
            <w:noWrap/>
            <w:vAlign w:val="center"/>
          </w:tcPr>
          <w:p>
            <w:pPr>
              <w:widowControl/>
              <w:rPr>
                <w:rFonts w:ascii="宋体" w:hAnsi="宋体"/>
                <w:b/>
                <w:color w:val="auto"/>
                <w:sz w:val="24"/>
                <w:highlight w:val="none"/>
              </w:rPr>
            </w:pPr>
            <w:r>
              <w:rPr>
                <w:rFonts w:hint="eastAsia" w:ascii="宋体" w:hAnsi="宋体"/>
                <w:b/>
                <w:color w:val="auto"/>
                <w:sz w:val="24"/>
                <w:highlight w:val="none"/>
              </w:rPr>
              <w:t>资信及其他分</w:t>
            </w:r>
          </w:p>
        </w:tc>
        <w:tc>
          <w:tcPr>
            <w:tcW w:w="3124" w:type="dxa"/>
            <w:tcBorders>
              <w:top w:val="single" w:color="auto" w:sz="4" w:space="0"/>
              <w:left w:val="single" w:color="auto" w:sz="4" w:space="0"/>
              <w:bottom w:val="single" w:color="auto" w:sz="4" w:space="0"/>
              <w:right w:val="single" w:color="auto" w:sz="4" w:space="0"/>
            </w:tcBorders>
            <w:noWrap/>
            <w:vAlign w:val="center"/>
          </w:tcPr>
          <w:p>
            <w:pPr>
              <w:pStyle w:val="14"/>
              <w:ind w:firstLine="0" w:firstLineChars="0"/>
              <w:jc w:val="both"/>
              <w:rPr>
                <w:rFonts w:ascii="宋体" w:eastAsia="宋体"/>
                <w:color w:val="auto"/>
                <w:highlight w:val="none"/>
              </w:rPr>
            </w:pPr>
          </w:p>
        </w:tc>
        <w:tc>
          <w:tcPr>
            <w:tcW w:w="115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b/>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28" w:hRule="atLeast"/>
          <w:jc w:val="center"/>
        </w:trPr>
        <w:tc>
          <w:tcPr>
            <w:tcW w:w="786" w:type="dxa"/>
            <w:tcBorders>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p>
        </w:tc>
        <w:tc>
          <w:tcPr>
            <w:tcW w:w="1318" w:type="dxa"/>
            <w:tcBorders>
              <w:left w:val="single" w:color="auto" w:sz="4" w:space="0"/>
              <w:bottom w:val="single" w:color="auto" w:sz="4" w:space="0"/>
              <w:right w:val="single" w:color="auto" w:sz="4" w:space="0"/>
            </w:tcBorders>
            <w:noWrap/>
            <w:vAlign w:val="center"/>
          </w:tcPr>
          <w:p>
            <w:pPr>
              <w:spacing w:line="320" w:lineRule="exact"/>
              <w:rPr>
                <w:rFonts w:ascii="宋体" w:hAnsi="宋体"/>
                <w:bCs/>
                <w:color w:val="auto"/>
                <w:sz w:val="24"/>
                <w:highlight w:val="none"/>
              </w:rPr>
            </w:pPr>
          </w:p>
        </w:tc>
        <w:tc>
          <w:tcPr>
            <w:tcW w:w="312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bCs/>
                <w:color w:val="auto"/>
                <w:sz w:val="24"/>
                <w:highlight w:val="none"/>
              </w:rPr>
            </w:pPr>
          </w:p>
        </w:tc>
        <w:tc>
          <w:tcPr>
            <w:tcW w:w="1156"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宋体" w:hAnsi="宋体"/>
                <w:bCs/>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color w:val="auto"/>
                <w:sz w:val="24"/>
                <w:highlight w:val="none"/>
              </w:rPr>
            </w:pPr>
            <w:r>
              <w:rPr>
                <w:rFonts w:hint="eastAsia" w:ascii="宋体" w:hAnsi="宋体"/>
                <w:bCs/>
                <w:color w:val="auto"/>
                <w:sz w:val="24"/>
                <w:highlight w:val="none"/>
              </w:rPr>
              <w:t>详见资信及商务文件</w:t>
            </w:r>
          </w:p>
          <w:p>
            <w:pPr>
              <w:jc w:val="center"/>
              <w:rPr>
                <w:rFonts w:ascii="宋体" w:hAnsi="宋体"/>
                <w:bCs/>
                <w:color w:val="auto"/>
                <w:sz w:val="24"/>
                <w:highlight w:val="none"/>
              </w:rPr>
            </w:pPr>
            <w:r>
              <w:rPr>
                <w:rFonts w:hint="eastAsia" w:ascii="宋体" w:hAnsi="宋体"/>
                <w:bCs/>
                <w:color w:val="auto"/>
                <w:sz w:val="24"/>
                <w:highlight w:val="none"/>
              </w:rPr>
              <w:t>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cantSplit/>
          <w:trHeight w:val="528"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ascii="宋体" w:hAnsi="宋体"/>
                <w:bCs/>
                <w:color w:val="auto"/>
                <w:sz w:val="24"/>
                <w:highlight w:val="none"/>
              </w:rPr>
            </w:pPr>
          </w:p>
        </w:tc>
        <w:tc>
          <w:tcPr>
            <w:tcW w:w="312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bCs/>
                <w:color w:val="auto"/>
                <w:sz w:val="24"/>
                <w:highlight w:val="none"/>
              </w:rPr>
            </w:pPr>
          </w:p>
        </w:tc>
        <w:tc>
          <w:tcPr>
            <w:tcW w:w="1156"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宋体" w:hAnsi="宋体"/>
                <w:bCs/>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color w:val="auto"/>
                <w:sz w:val="24"/>
                <w:highlight w:val="none"/>
              </w:rPr>
            </w:pPr>
            <w:r>
              <w:rPr>
                <w:rFonts w:hint="eastAsia" w:ascii="宋体" w:hAnsi="宋体"/>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28" w:hRule="atLeast"/>
          <w:jc w:val="center"/>
        </w:trPr>
        <w:tc>
          <w:tcPr>
            <w:tcW w:w="786"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olor w:val="auto"/>
                <w:sz w:val="24"/>
                <w:highlight w:val="none"/>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ascii="宋体" w:hAnsi="宋体"/>
                <w:bCs/>
                <w:color w:val="auto"/>
                <w:sz w:val="24"/>
                <w:highlight w:val="none"/>
              </w:rPr>
            </w:pPr>
          </w:p>
        </w:tc>
        <w:tc>
          <w:tcPr>
            <w:tcW w:w="312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bCs/>
                <w:color w:val="auto"/>
                <w:sz w:val="24"/>
                <w:highlight w:val="none"/>
              </w:rPr>
            </w:pPr>
          </w:p>
        </w:tc>
        <w:tc>
          <w:tcPr>
            <w:tcW w:w="1156" w:type="dxa"/>
            <w:tcBorders>
              <w:top w:val="single" w:color="auto" w:sz="4" w:space="0"/>
              <w:left w:val="single" w:color="auto" w:sz="4" w:space="0"/>
              <w:right w:val="single" w:color="auto" w:sz="4" w:space="0"/>
            </w:tcBorders>
            <w:noWrap/>
            <w:vAlign w:val="center"/>
          </w:tcPr>
          <w:p>
            <w:pPr>
              <w:spacing w:line="320" w:lineRule="exact"/>
              <w:jc w:val="center"/>
              <w:rPr>
                <w:rFonts w:ascii="宋体" w:hAnsi="宋体"/>
                <w:bCs/>
                <w:color w:val="auto"/>
                <w:sz w:val="24"/>
                <w:highlight w:val="none"/>
              </w:rPr>
            </w:pPr>
          </w:p>
        </w:tc>
        <w:tc>
          <w:tcPr>
            <w:tcW w:w="2700" w:type="dxa"/>
            <w:tcBorders>
              <w:top w:val="single" w:color="auto" w:sz="4" w:space="0"/>
              <w:left w:val="single" w:color="auto" w:sz="4" w:space="0"/>
              <w:right w:val="single" w:color="auto" w:sz="4" w:space="0"/>
            </w:tcBorders>
            <w:noWrap/>
            <w:vAlign w:val="center"/>
          </w:tcPr>
          <w:p>
            <w:pPr>
              <w:jc w:val="center"/>
              <w:rPr>
                <w:rFonts w:ascii="宋体" w:hAnsi="宋体"/>
                <w:bCs/>
                <w:color w:val="auto"/>
                <w:sz w:val="24"/>
                <w:highlight w:val="none"/>
              </w:rPr>
            </w:pPr>
          </w:p>
        </w:tc>
      </w:tr>
    </w:tbl>
    <w:p>
      <w:pPr>
        <w:snapToGrid w:val="0"/>
        <w:spacing w:before="50" w:after="50" w:line="400" w:lineRule="exact"/>
        <w:rPr>
          <w:rFonts w:ascii="宋体" w:hAnsi="宋体"/>
          <w:b/>
          <w:bCs/>
          <w:color w:val="auto"/>
          <w:sz w:val="24"/>
          <w:highlight w:val="none"/>
        </w:rPr>
      </w:pPr>
      <w:r>
        <w:rPr>
          <w:rFonts w:hint="eastAsia" w:ascii="宋体" w:hAnsi="宋体"/>
          <w:b/>
          <w:bCs/>
          <w:color w:val="auto"/>
          <w:sz w:val="24"/>
          <w:highlight w:val="none"/>
        </w:rPr>
        <w:t>注：1、投标单位根据所投标项的评分表内容，按此格式提供评分响应表一式五份，每本技术文件一份，置于技术文件第1页。</w:t>
      </w:r>
    </w:p>
    <w:p>
      <w:pPr>
        <w:snapToGrid w:val="0"/>
        <w:spacing w:line="312" w:lineRule="auto"/>
        <w:ind w:firstLine="482" w:firstLineChars="200"/>
        <w:jc w:val="left"/>
        <w:rPr>
          <w:rFonts w:ascii="宋体" w:hAnsi="宋体"/>
          <w:b/>
          <w:bCs/>
          <w:color w:val="auto"/>
          <w:szCs w:val="21"/>
          <w:highlight w:val="none"/>
        </w:rPr>
      </w:pPr>
      <w:r>
        <w:rPr>
          <w:rFonts w:hint="eastAsia" w:ascii="宋体" w:hAnsi="宋体"/>
          <w:b/>
          <w:bCs/>
          <w:color w:val="auto"/>
          <w:sz w:val="24"/>
          <w:highlight w:val="none"/>
        </w:rPr>
        <w:t>2、投标人在标注页码时，应如实准确地标注“详见哪一份文件哪一页”，因投标人页码标注错误，导致专家误评、漏评</w:t>
      </w:r>
      <w:r>
        <w:rPr>
          <w:rFonts w:hint="eastAsia" w:ascii="宋体" w:hAnsi="宋体"/>
          <w:b/>
          <w:bCs/>
          <w:color w:val="auto"/>
          <w:szCs w:val="21"/>
          <w:highlight w:val="none"/>
        </w:rPr>
        <w:t>的风险由投标人承担。</w:t>
      </w:r>
    </w:p>
    <w:p>
      <w:pPr>
        <w:snapToGrid w:val="0"/>
        <w:spacing w:before="50" w:after="50"/>
        <w:ind w:right="25" w:rightChars="12"/>
        <w:rPr>
          <w:rFonts w:ascii="宋体" w:hAnsi="宋体"/>
          <w:color w:val="auto"/>
          <w:sz w:val="24"/>
          <w:highlight w:val="none"/>
          <w:u w:val="single"/>
        </w:rPr>
      </w:pPr>
    </w:p>
    <w:p>
      <w:pPr>
        <w:snapToGrid w:val="0"/>
        <w:spacing w:before="50" w:after="50"/>
        <w:ind w:right="25" w:rightChars="12"/>
        <w:rPr>
          <w:rFonts w:ascii="宋体" w:hAnsi="宋体"/>
          <w:color w:val="auto"/>
          <w:sz w:val="24"/>
          <w:highlight w:val="none"/>
          <w:u w:val="single"/>
        </w:rPr>
      </w:pPr>
    </w:p>
    <w:p>
      <w:pPr>
        <w:snapToGrid w:val="0"/>
        <w:spacing w:before="50" w:after="50"/>
        <w:ind w:right="25" w:rightChars="12"/>
        <w:rPr>
          <w:rFonts w:ascii="宋体" w:hAnsi="宋体"/>
          <w:color w:val="auto"/>
          <w:sz w:val="24"/>
          <w:highlight w:val="none"/>
          <w:u w:val="single"/>
        </w:rPr>
      </w:pPr>
    </w:p>
    <w:p>
      <w:pPr>
        <w:snapToGrid w:val="0"/>
        <w:spacing w:before="50" w:after="50"/>
        <w:ind w:right="25" w:rightChars="12"/>
        <w:rPr>
          <w:rFonts w:ascii="宋体" w:hAnsi="宋体"/>
          <w:color w:val="auto"/>
          <w:sz w:val="24"/>
          <w:highlight w:val="none"/>
          <w:u w:val="singl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4.2货物具体配置表</w:t>
      </w:r>
    </w:p>
    <w:p>
      <w:pPr>
        <w:snapToGrid w:val="0"/>
        <w:spacing w:before="156" w:beforeLines="50" w:after="50"/>
        <w:jc w:val="center"/>
        <w:rPr>
          <w:rFonts w:ascii="宋体" w:hAnsi="宋体"/>
          <w:b/>
          <w:color w:val="auto"/>
          <w:sz w:val="24"/>
          <w:highlight w:val="none"/>
        </w:rPr>
      </w:pPr>
      <w:r>
        <w:rPr>
          <w:rFonts w:ascii="宋体" w:hAnsi="宋体"/>
          <w:b/>
          <w:color w:val="auto"/>
          <w:sz w:val="24"/>
          <w:highlight w:val="none"/>
        </w:rPr>
        <w:t>货物</w:t>
      </w:r>
      <w:r>
        <w:rPr>
          <w:rFonts w:hint="eastAsia" w:ascii="宋体" w:hAnsi="宋体"/>
          <w:b/>
          <w:color w:val="auto"/>
          <w:sz w:val="24"/>
          <w:highlight w:val="none"/>
        </w:rPr>
        <w:t>具体配置表</w:t>
      </w:r>
    </w:p>
    <w:p>
      <w:pPr>
        <w:pStyle w:val="8"/>
        <w:spacing w:before="156" w:after="156" w:line="360" w:lineRule="auto"/>
        <w:ind w:right="904"/>
        <w:rPr>
          <w:rFonts w:ascii="Times New Roman" w:hAnsi="Times New Roman"/>
          <w:color w:val="auto"/>
          <w:highlight w:val="none"/>
        </w:rPr>
      </w:pPr>
      <w:r>
        <w:rPr>
          <w:rFonts w:ascii="Times New Roman" w:hAnsi="Times New Roman"/>
          <w:color w:val="auto"/>
          <w:highlight w:val="none"/>
        </w:rPr>
        <w:t>项目名称：               标项：                  招标编号：</w:t>
      </w:r>
    </w:p>
    <w:tbl>
      <w:tblPr>
        <w:tblStyle w:val="18"/>
        <w:tblW w:w="9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596"/>
        <w:gridCol w:w="596"/>
        <w:gridCol w:w="1260"/>
        <w:gridCol w:w="1260"/>
        <w:gridCol w:w="334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695" w:hRule="exact"/>
          <w:jc w:val="center"/>
        </w:trPr>
        <w:tc>
          <w:tcPr>
            <w:tcW w:w="596" w:type="dxa"/>
            <w:tcBorders>
              <w:bottom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品牌型号</w:t>
            </w:r>
          </w:p>
        </w:tc>
        <w:tc>
          <w:tcPr>
            <w:tcW w:w="596" w:type="dxa"/>
            <w:tcBorders>
              <w:bottom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序号</w:t>
            </w:r>
          </w:p>
        </w:tc>
        <w:tc>
          <w:tcPr>
            <w:tcW w:w="1260" w:type="dxa"/>
            <w:tcBorders>
              <w:bottom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配件名称型号</w:t>
            </w:r>
          </w:p>
        </w:tc>
        <w:tc>
          <w:tcPr>
            <w:tcW w:w="1260" w:type="dxa"/>
            <w:noWrap/>
            <w:vAlign w:val="center"/>
          </w:tcPr>
          <w:p>
            <w:pPr>
              <w:jc w:val="center"/>
              <w:rPr>
                <w:rFonts w:ascii="宋体" w:hAnsi="宋体"/>
                <w:color w:val="auto"/>
                <w:sz w:val="24"/>
                <w:highlight w:val="none"/>
              </w:rPr>
            </w:pPr>
            <w:r>
              <w:rPr>
                <w:rFonts w:hint="eastAsia" w:ascii="宋体" w:hAnsi="宋体"/>
                <w:color w:val="auto"/>
                <w:sz w:val="24"/>
                <w:highlight w:val="none"/>
              </w:rPr>
              <w:t>配件品牌</w:t>
            </w:r>
          </w:p>
        </w:tc>
        <w:tc>
          <w:tcPr>
            <w:tcW w:w="3348" w:type="dxa"/>
            <w:noWrap/>
            <w:vAlign w:val="center"/>
          </w:tcPr>
          <w:p>
            <w:pPr>
              <w:ind w:right="54"/>
              <w:jc w:val="center"/>
              <w:rPr>
                <w:rFonts w:ascii="宋体" w:hAnsi="宋体"/>
                <w:color w:val="auto"/>
                <w:sz w:val="24"/>
                <w:highlight w:val="none"/>
              </w:rPr>
            </w:pPr>
            <w:r>
              <w:rPr>
                <w:rFonts w:hint="eastAsia" w:ascii="宋体" w:hAnsi="宋体"/>
                <w:color w:val="auto"/>
                <w:sz w:val="24"/>
                <w:highlight w:val="none"/>
              </w:rPr>
              <w:t>技术指标、功能及配置描述</w:t>
            </w:r>
          </w:p>
        </w:tc>
        <w:tc>
          <w:tcPr>
            <w:tcW w:w="1080" w:type="dxa"/>
            <w:noWrap/>
            <w:vAlign w:val="center"/>
          </w:tcPr>
          <w:p>
            <w:pPr>
              <w:ind w:right="54"/>
              <w:jc w:val="center"/>
              <w:rPr>
                <w:rFonts w:ascii="宋体" w:hAnsi="宋体"/>
                <w:color w:val="auto"/>
                <w:sz w:val="24"/>
                <w:highlight w:val="none"/>
              </w:rPr>
            </w:pPr>
            <w:r>
              <w:rPr>
                <w:rFonts w:hint="eastAsia" w:ascii="宋体" w:hAnsi="宋体"/>
                <w:color w:val="auto"/>
                <w:sz w:val="24"/>
                <w:highlight w:val="none"/>
              </w:rPr>
              <w:t>产地</w:t>
            </w:r>
          </w:p>
        </w:tc>
        <w:tc>
          <w:tcPr>
            <w:tcW w:w="1080" w:type="dxa"/>
            <w:noWrap/>
            <w:vAlign w:val="center"/>
          </w:tcPr>
          <w:p>
            <w:pPr>
              <w:ind w:right="54"/>
              <w:jc w:val="center"/>
              <w:rPr>
                <w:rFonts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596" w:type="dxa"/>
            <w:vMerge w:val="restart"/>
            <w:noWrap/>
            <w:vAlign w:val="center"/>
          </w:tcPr>
          <w:p>
            <w:pPr>
              <w:jc w:val="center"/>
              <w:rPr>
                <w:rFonts w:ascii="宋体" w:hAnsi="宋体"/>
                <w:color w:val="auto"/>
                <w:sz w:val="24"/>
                <w:highlight w:val="none"/>
              </w:rPr>
            </w:pPr>
          </w:p>
        </w:tc>
        <w:tc>
          <w:tcPr>
            <w:tcW w:w="596"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3348"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596" w:type="dxa"/>
            <w:vMerge w:val="continue"/>
            <w:noWrap/>
            <w:vAlign w:val="center"/>
          </w:tcPr>
          <w:p>
            <w:pPr>
              <w:jc w:val="center"/>
              <w:rPr>
                <w:rFonts w:ascii="宋体" w:hAnsi="宋体"/>
                <w:color w:val="auto"/>
                <w:sz w:val="24"/>
                <w:highlight w:val="none"/>
              </w:rPr>
            </w:pPr>
          </w:p>
        </w:tc>
        <w:tc>
          <w:tcPr>
            <w:tcW w:w="596"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3348"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596" w:type="dxa"/>
            <w:vMerge w:val="continue"/>
            <w:noWrap/>
            <w:vAlign w:val="center"/>
          </w:tcPr>
          <w:p>
            <w:pPr>
              <w:jc w:val="center"/>
              <w:rPr>
                <w:rFonts w:ascii="宋体" w:hAnsi="宋体"/>
                <w:color w:val="auto"/>
                <w:sz w:val="24"/>
                <w:highlight w:val="none"/>
              </w:rPr>
            </w:pPr>
          </w:p>
        </w:tc>
        <w:tc>
          <w:tcPr>
            <w:tcW w:w="596"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3348"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596" w:type="dxa"/>
            <w:vMerge w:val="continue"/>
            <w:noWrap/>
            <w:vAlign w:val="center"/>
          </w:tcPr>
          <w:p>
            <w:pPr>
              <w:jc w:val="center"/>
              <w:rPr>
                <w:rFonts w:ascii="宋体" w:hAnsi="宋体"/>
                <w:color w:val="auto"/>
                <w:sz w:val="24"/>
                <w:highlight w:val="none"/>
              </w:rPr>
            </w:pPr>
          </w:p>
        </w:tc>
        <w:tc>
          <w:tcPr>
            <w:tcW w:w="596"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3348"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549" w:hRule="exact"/>
          <w:jc w:val="center"/>
        </w:trPr>
        <w:tc>
          <w:tcPr>
            <w:tcW w:w="596" w:type="dxa"/>
            <w:vMerge w:val="continue"/>
            <w:noWrap/>
            <w:vAlign w:val="center"/>
          </w:tcPr>
          <w:p>
            <w:pPr>
              <w:jc w:val="center"/>
              <w:rPr>
                <w:rFonts w:ascii="宋体" w:hAnsi="宋体"/>
                <w:color w:val="auto"/>
                <w:sz w:val="24"/>
                <w:highlight w:val="none"/>
              </w:rPr>
            </w:pPr>
          </w:p>
        </w:tc>
        <w:tc>
          <w:tcPr>
            <w:tcW w:w="596"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3348"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596" w:type="dxa"/>
            <w:vMerge w:val="continue"/>
            <w:noWrap/>
            <w:vAlign w:val="center"/>
          </w:tcPr>
          <w:p>
            <w:pPr>
              <w:jc w:val="center"/>
              <w:rPr>
                <w:rFonts w:ascii="宋体" w:hAnsi="宋体"/>
                <w:color w:val="auto"/>
                <w:sz w:val="24"/>
                <w:highlight w:val="none"/>
              </w:rPr>
            </w:pPr>
          </w:p>
        </w:tc>
        <w:tc>
          <w:tcPr>
            <w:tcW w:w="596"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3348"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596" w:type="dxa"/>
            <w:vMerge w:val="continue"/>
            <w:noWrap/>
            <w:vAlign w:val="center"/>
          </w:tcPr>
          <w:p>
            <w:pPr>
              <w:jc w:val="center"/>
              <w:rPr>
                <w:rFonts w:ascii="宋体" w:hAnsi="宋体"/>
                <w:color w:val="auto"/>
                <w:sz w:val="24"/>
                <w:highlight w:val="none"/>
              </w:rPr>
            </w:pPr>
          </w:p>
        </w:tc>
        <w:tc>
          <w:tcPr>
            <w:tcW w:w="596"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3348"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596" w:type="dxa"/>
            <w:vMerge w:val="continue"/>
            <w:noWrap/>
            <w:vAlign w:val="center"/>
          </w:tcPr>
          <w:p>
            <w:pPr>
              <w:jc w:val="center"/>
              <w:rPr>
                <w:rFonts w:ascii="宋体" w:hAnsi="宋体"/>
                <w:color w:val="auto"/>
                <w:sz w:val="24"/>
                <w:highlight w:val="none"/>
              </w:rPr>
            </w:pPr>
          </w:p>
        </w:tc>
        <w:tc>
          <w:tcPr>
            <w:tcW w:w="596"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3348"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596" w:type="dxa"/>
            <w:vMerge w:val="continue"/>
            <w:noWrap/>
            <w:vAlign w:val="center"/>
          </w:tcPr>
          <w:p>
            <w:pPr>
              <w:jc w:val="center"/>
              <w:rPr>
                <w:rFonts w:ascii="宋体" w:hAnsi="宋体"/>
                <w:color w:val="auto"/>
                <w:sz w:val="24"/>
                <w:highlight w:val="none"/>
              </w:rPr>
            </w:pPr>
          </w:p>
        </w:tc>
        <w:tc>
          <w:tcPr>
            <w:tcW w:w="596"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1260" w:type="dxa"/>
            <w:noWrap/>
            <w:vAlign w:val="center"/>
          </w:tcPr>
          <w:p>
            <w:pPr>
              <w:jc w:val="center"/>
              <w:rPr>
                <w:rFonts w:ascii="宋体" w:hAnsi="宋体"/>
                <w:color w:val="auto"/>
                <w:sz w:val="24"/>
                <w:highlight w:val="none"/>
              </w:rPr>
            </w:pPr>
          </w:p>
        </w:tc>
        <w:tc>
          <w:tcPr>
            <w:tcW w:w="3348"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bl>
    <w:p>
      <w:pPr>
        <w:pStyle w:val="8"/>
        <w:tabs>
          <w:tab w:val="left" w:pos="4312"/>
        </w:tabs>
        <w:spacing w:before="156" w:after="156"/>
        <w:rPr>
          <w:rFonts w:ascii="Times New Roman" w:hAnsi="Times New Roman"/>
          <w:color w:val="auto"/>
          <w:highlight w:val="none"/>
        </w:rPr>
      </w:pPr>
    </w:p>
    <w:p>
      <w:pPr>
        <w:pStyle w:val="8"/>
        <w:tabs>
          <w:tab w:val="left" w:pos="4312"/>
        </w:tabs>
        <w:spacing w:before="156" w:after="156" w:line="360" w:lineRule="auto"/>
        <w:rPr>
          <w:rFonts w:ascii="Times New Roman" w:hAnsi="Times New Roman"/>
          <w:color w:val="auto"/>
          <w:highlight w:val="none"/>
        </w:rPr>
      </w:pPr>
      <w:r>
        <w:rPr>
          <w:rFonts w:ascii="Times New Roman" w:hAnsi="Times New Roman"/>
          <w:color w:val="auto"/>
          <w:highlight w:val="none"/>
        </w:rPr>
        <w:t>投标单位（公章）：</w:t>
      </w:r>
    </w:p>
    <w:p>
      <w:pPr>
        <w:pStyle w:val="8"/>
        <w:tabs>
          <w:tab w:val="left" w:pos="4312"/>
        </w:tabs>
        <w:spacing w:before="156" w:after="156" w:line="360" w:lineRule="auto"/>
        <w:ind w:firstLine="240" w:firstLineChars="100"/>
        <w:rPr>
          <w:rFonts w:ascii="Times New Roman" w:hAnsi="Times New Roman"/>
          <w:color w:val="auto"/>
          <w:highlight w:val="none"/>
        </w:rPr>
      </w:pPr>
      <w:r>
        <w:rPr>
          <w:rFonts w:ascii="Times New Roman" w:hAnsi="Times New Roman"/>
          <w:color w:val="auto"/>
          <w:highlight w:val="none"/>
        </w:rPr>
        <w:t>授权代表签字：</w:t>
      </w:r>
    </w:p>
    <w:p>
      <w:pPr>
        <w:pStyle w:val="8"/>
        <w:tabs>
          <w:tab w:val="left" w:pos="4312"/>
        </w:tabs>
        <w:spacing w:before="156" w:after="156" w:line="360" w:lineRule="auto"/>
        <w:ind w:firstLine="360" w:firstLineChars="150"/>
        <w:rPr>
          <w:rFonts w:ascii="Times New Roman" w:hAnsi="Times New Roman"/>
          <w:color w:val="auto"/>
          <w:highlight w:val="none"/>
        </w:rPr>
      </w:pPr>
      <w:r>
        <w:rPr>
          <w:rFonts w:ascii="Times New Roman" w:hAnsi="Times New Roman"/>
          <w:color w:val="auto"/>
          <w:highlight w:val="none"/>
        </w:rPr>
        <w:t xml:space="preserve">      日期：</w:t>
      </w:r>
    </w:p>
    <w:p>
      <w:pPr>
        <w:spacing w:line="360" w:lineRule="auto"/>
        <w:rPr>
          <w:color w:val="auto"/>
          <w:sz w:val="24"/>
          <w:highlight w:val="none"/>
        </w:rPr>
      </w:pPr>
    </w:p>
    <w:p>
      <w:pPr>
        <w:spacing w:line="360" w:lineRule="auto"/>
        <w:rPr>
          <w:color w:val="auto"/>
          <w:sz w:val="24"/>
          <w:highlight w:val="none"/>
        </w:rPr>
      </w:pPr>
    </w:p>
    <w:p>
      <w:pPr>
        <w:spacing w:line="360" w:lineRule="auto"/>
        <w:rPr>
          <w:color w:val="auto"/>
          <w:sz w:val="24"/>
          <w:highlight w:val="none"/>
        </w:rPr>
      </w:pPr>
    </w:p>
    <w:p>
      <w:pPr>
        <w:spacing w:line="360" w:lineRule="auto"/>
        <w:rPr>
          <w:color w:val="auto"/>
          <w:sz w:val="24"/>
          <w:highlight w:val="none"/>
        </w:rPr>
      </w:pPr>
    </w:p>
    <w:p>
      <w:pPr>
        <w:spacing w:line="360" w:lineRule="auto"/>
        <w:rPr>
          <w:color w:val="auto"/>
          <w:sz w:val="24"/>
          <w:highlight w:val="none"/>
        </w:rPr>
      </w:pPr>
    </w:p>
    <w:p>
      <w:pPr>
        <w:spacing w:line="360" w:lineRule="auto"/>
        <w:rPr>
          <w:color w:val="auto"/>
          <w:sz w:val="24"/>
          <w:highlight w:val="none"/>
        </w:rPr>
      </w:pPr>
      <w:r>
        <w:rPr>
          <w:rFonts w:hint="eastAsia"/>
          <w:color w:val="auto"/>
          <w:sz w:val="24"/>
          <w:highlight w:val="none"/>
        </w:rPr>
        <w:t>注：此表在不改变投标内容的情况下可自行制作</w:t>
      </w:r>
    </w:p>
    <w:p>
      <w:pPr>
        <w:snapToGrid w:val="0"/>
        <w:spacing w:before="50" w:after="156" w:afterLines="50"/>
        <w:jc w:val="left"/>
        <w:rPr>
          <w:color w:val="auto"/>
          <w:sz w:val="24"/>
          <w:highlight w:val="none"/>
        </w:rPr>
      </w:pPr>
    </w:p>
    <w:p>
      <w:pPr>
        <w:snapToGrid w:val="0"/>
        <w:spacing w:before="50" w:after="156" w:afterLines="50"/>
        <w:jc w:val="left"/>
        <w:rPr>
          <w:color w:val="auto"/>
          <w:sz w:val="24"/>
          <w:highlight w:val="none"/>
        </w:rPr>
      </w:pPr>
    </w:p>
    <w:p>
      <w:pPr>
        <w:snapToGrid w:val="0"/>
        <w:spacing w:before="50" w:after="156" w:afterLines="50"/>
        <w:jc w:val="left"/>
        <w:rPr>
          <w:rFonts w:ascii="宋体" w:hAnsi="宋体"/>
          <w:b/>
          <w:color w:val="auto"/>
          <w:sz w:val="24"/>
          <w:highlight w:val="none"/>
        </w:rPr>
      </w:pPr>
    </w:p>
    <w:p>
      <w:pPr>
        <w:snapToGrid w:val="0"/>
        <w:spacing w:before="50" w:after="156" w:afterLines="50"/>
        <w:jc w:val="left"/>
        <w:rPr>
          <w:rFonts w:ascii="宋体" w:hAnsi="宋体"/>
          <w:b/>
          <w:color w:val="auto"/>
          <w:sz w:val="24"/>
          <w:szCs w:val="20"/>
          <w:highlight w:val="none"/>
        </w:rPr>
      </w:pPr>
      <w:r>
        <w:rPr>
          <w:rFonts w:hint="eastAsia" w:ascii="宋体" w:hAnsi="宋体"/>
          <w:b/>
          <w:color w:val="auto"/>
          <w:sz w:val="24"/>
          <w:highlight w:val="none"/>
        </w:rPr>
        <w:t>4.3备用配件及工具配置表：</w:t>
      </w:r>
    </w:p>
    <w:p>
      <w:pPr>
        <w:snapToGrid w:val="0"/>
        <w:spacing w:before="156" w:beforeLines="50" w:after="50"/>
        <w:jc w:val="center"/>
        <w:rPr>
          <w:rFonts w:ascii="宋体" w:hAnsi="宋体"/>
          <w:b/>
          <w:color w:val="auto"/>
          <w:sz w:val="24"/>
          <w:highlight w:val="none"/>
        </w:rPr>
      </w:pPr>
      <w:r>
        <w:rPr>
          <w:rFonts w:hint="eastAsia" w:ascii="宋体" w:hAnsi="宋体"/>
          <w:b/>
          <w:color w:val="auto"/>
          <w:sz w:val="24"/>
          <w:highlight w:val="none"/>
        </w:rPr>
        <w:t>备用配件及工具配置表</w:t>
      </w:r>
    </w:p>
    <w:p>
      <w:pPr>
        <w:pStyle w:val="8"/>
        <w:spacing w:before="156" w:after="156" w:line="360" w:lineRule="auto"/>
        <w:ind w:right="904"/>
        <w:rPr>
          <w:rFonts w:ascii="Times New Roman" w:hAnsi="Times New Roman"/>
          <w:color w:val="auto"/>
          <w:highlight w:val="none"/>
        </w:rPr>
      </w:pPr>
      <w:r>
        <w:rPr>
          <w:rFonts w:ascii="Times New Roman" w:hAnsi="Times New Roman"/>
          <w:color w:val="auto"/>
          <w:highlight w:val="none"/>
        </w:rPr>
        <w:t>项目名称：               标项：                  招标编号：</w:t>
      </w:r>
    </w:p>
    <w:tbl>
      <w:tblPr>
        <w:tblStyle w:val="18"/>
        <w:tblW w:w="85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900"/>
        <w:gridCol w:w="2240"/>
        <w:gridCol w:w="1918"/>
        <w:gridCol w:w="1347"/>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695" w:hRule="exact"/>
          <w:jc w:val="center"/>
        </w:trPr>
        <w:tc>
          <w:tcPr>
            <w:tcW w:w="900" w:type="dxa"/>
            <w:tcBorders>
              <w:bottom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序号</w:t>
            </w:r>
          </w:p>
        </w:tc>
        <w:tc>
          <w:tcPr>
            <w:tcW w:w="2240" w:type="dxa"/>
            <w:tcBorders>
              <w:bottom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配件名称型号</w:t>
            </w:r>
          </w:p>
        </w:tc>
        <w:tc>
          <w:tcPr>
            <w:tcW w:w="1918" w:type="dxa"/>
            <w:noWrap/>
            <w:vAlign w:val="center"/>
          </w:tcPr>
          <w:p>
            <w:pPr>
              <w:jc w:val="center"/>
              <w:rPr>
                <w:rFonts w:ascii="宋体" w:hAnsi="宋体"/>
                <w:color w:val="auto"/>
                <w:sz w:val="24"/>
                <w:highlight w:val="none"/>
              </w:rPr>
            </w:pPr>
            <w:r>
              <w:rPr>
                <w:rFonts w:hint="eastAsia" w:ascii="宋体" w:hAnsi="宋体"/>
                <w:color w:val="auto"/>
                <w:sz w:val="24"/>
                <w:highlight w:val="none"/>
              </w:rPr>
              <w:t>配件品牌</w:t>
            </w:r>
          </w:p>
        </w:tc>
        <w:tc>
          <w:tcPr>
            <w:tcW w:w="1347" w:type="dxa"/>
            <w:noWrap/>
            <w:vAlign w:val="center"/>
          </w:tcPr>
          <w:p>
            <w:pPr>
              <w:ind w:right="54"/>
              <w:jc w:val="center"/>
              <w:rPr>
                <w:rFonts w:ascii="宋体" w:hAnsi="宋体"/>
                <w:color w:val="auto"/>
                <w:sz w:val="24"/>
                <w:highlight w:val="none"/>
              </w:rPr>
            </w:pPr>
            <w:r>
              <w:rPr>
                <w:rFonts w:hint="eastAsia" w:ascii="宋体" w:hAnsi="宋体"/>
                <w:color w:val="auto"/>
                <w:sz w:val="24"/>
                <w:highlight w:val="none"/>
              </w:rPr>
              <w:t>数量</w:t>
            </w:r>
          </w:p>
        </w:tc>
        <w:tc>
          <w:tcPr>
            <w:tcW w:w="1080" w:type="dxa"/>
            <w:noWrap/>
            <w:vAlign w:val="center"/>
          </w:tcPr>
          <w:p>
            <w:pPr>
              <w:ind w:right="54"/>
              <w:jc w:val="center"/>
              <w:rPr>
                <w:rFonts w:ascii="宋体" w:hAnsi="宋体"/>
                <w:color w:val="auto"/>
                <w:sz w:val="24"/>
                <w:highlight w:val="none"/>
              </w:rPr>
            </w:pPr>
            <w:r>
              <w:rPr>
                <w:rFonts w:hint="eastAsia" w:ascii="宋体" w:hAnsi="宋体"/>
                <w:color w:val="auto"/>
                <w:sz w:val="24"/>
                <w:highlight w:val="none"/>
              </w:rPr>
              <w:t>产地</w:t>
            </w:r>
          </w:p>
        </w:tc>
        <w:tc>
          <w:tcPr>
            <w:tcW w:w="1080" w:type="dxa"/>
            <w:noWrap/>
            <w:vAlign w:val="center"/>
          </w:tcPr>
          <w:p>
            <w:pPr>
              <w:ind w:right="54"/>
              <w:jc w:val="center"/>
              <w:rPr>
                <w:rFonts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900" w:type="dxa"/>
            <w:noWrap/>
            <w:vAlign w:val="center"/>
          </w:tcPr>
          <w:p>
            <w:pPr>
              <w:jc w:val="center"/>
              <w:rPr>
                <w:rFonts w:ascii="宋体" w:hAnsi="宋体"/>
                <w:color w:val="auto"/>
                <w:sz w:val="24"/>
                <w:highlight w:val="none"/>
              </w:rPr>
            </w:pPr>
            <w:r>
              <w:rPr>
                <w:rFonts w:hint="eastAsia" w:ascii="宋体" w:hAnsi="宋体"/>
                <w:color w:val="auto"/>
                <w:sz w:val="24"/>
                <w:highlight w:val="none"/>
              </w:rPr>
              <w:t>1</w:t>
            </w:r>
          </w:p>
        </w:tc>
        <w:tc>
          <w:tcPr>
            <w:tcW w:w="2240" w:type="dxa"/>
            <w:noWrap/>
            <w:vAlign w:val="center"/>
          </w:tcPr>
          <w:p>
            <w:pPr>
              <w:jc w:val="center"/>
              <w:rPr>
                <w:rFonts w:ascii="宋体" w:hAnsi="宋体"/>
                <w:color w:val="auto"/>
                <w:sz w:val="24"/>
                <w:highlight w:val="none"/>
              </w:rPr>
            </w:pPr>
            <w:r>
              <w:rPr>
                <w:rFonts w:hint="eastAsia" w:ascii="宋体" w:hAnsi="宋体"/>
                <w:color w:val="auto"/>
                <w:sz w:val="24"/>
                <w:highlight w:val="none"/>
              </w:rPr>
              <w:t>如：X寸螺丝</w:t>
            </w:r>
          </w:p>
        </w:tc>
        <w:tc>
          <w:tcPr>
            <w:tcW w:w="1918" w:type="dxa"/>
            <w:noWrap/>
            <w:vAlign w:val="center"/>
          </w:tcPr>
          <w:p>
            <w:pPr>
              <w:jc w:val="center"/>
              <w:rPr>
                <w:rFonts w:ascii="宋体" w:hAnsi="宋体"/>
                <w:color w:val="auto"/>
                <w:sz w:val="24"/>
                <w:highlight w:val="none"/>
              </w:rPr>
            </w:pPr>
          </w:p>
        </w:tc>
        <w:tc>
          <w:tcPr>
            <w:tcW w:w="1347"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900" w:type="dxa"/>
            <w:noWrap/>
            <w:vAlign w:val="center"/>
          </w:tcPr>
          <w:p>
            <w:pPr>
              <w:jc w:val="center"/>
              <w:rPr>
                <w:rFonts w:ascii="宋体" w:hAnsi="宋体"/>
                <w:color w:val="auto"/>
                <w:sz w:val="24"/>
                <w:highlight w:val="none"/>
              </w:rPr>
            </w:pPr>
          </w:p>
        </w:tc>
        <w:tc>
          <w:tcPr>
            <w:tcW w:w="2240" w:type="dxa"/>
            <w:noWrap/>
            <w:vAlign w:val="center"/>
          </w:tcPr>
          <w:p>
            <w:pPr>
              <w:jc w:val="center"/>
              <w:rPr>
                <w:rFonts w:ascii="宋体" w:hAnsi="宋体"/>
                <w:color w:val="auto"/>
                <w:sz w:val="24"/>
                <w:highlight w:val="none"/>
              </w:rPr>
            </w:pPr>
          </w:p>
        </w:tc>
        <w:tc>
          <w:tcPr>
            <w:tcW w:w="1918" w:type="dxa"/>
            <w:noWrap/>
            <w:vAlign w:val="center"/>
          </w:tcPr>
          <w:p>
            <w:pPr>
              <w:jc w:val="center"/>
              <w:rPr>
                <w:rFonts w:ascii="宋体" w:hAnsi="宋体"/>
                <w:color w:val="auto"/>
                <w:sz w:val="24"/>
                <w:highlight w:val="none"/>
              </w:rPr>
            </w:pPr>
          </w:p>
        </w:tc>
        <w:tc>
          <w:tcPr>
            <w:tcW w:w="1347"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900" w:type="dxa"/>
            <w:noWrap/>
            <w:vAlign w:val="center"/>
          </w:tcPr>
          <w:p>
            <w:pPr>
              <w:jc w:val="center"/>
              <w:rPr>
                <w:rFonts w:ascii="宋体" w:hAnsi="宋体"/>
                <w:color w:val="auto"/>
                <w:sz w:val="24"/>
                <w:highlight w:val="none"/>
              </w:rPr>
            </w:pPr>
          </w:p>
        </w:tc>
        <w:tc>
          <w:tcPr>
            <w:tcW w:w="2240" w:type="dxa"/>
            <w:noWrap/>
            <w:vAlign w:val="center"/>
          </w:tcPr>
          <w:p>
            <w:pPr>
              <w:jc w:val="center"/>
              <w:rPr>
                <w:rFonts w:ascii="宋体" w:hAnsi="宋体"/>
                <w:color w:val="auto"/>
                <w:sz w:val="24"/>
                <w:highlight w:val="none"/>
              </w:rPr>
            </w:pPr>
          </w:p>
        </w:tc>
        <w:tc>
          <w:tcPr>
            <w:tcW w:w="1918" w:type="dxa"/>
            <w:noWrap/>
            <w:vAlign w:val="center"/>
          </w:tcPr>
          <w:p>
            <w:pPr>
              <w:jc w:val="center"/>
              <w:rPr>
                <w:rFonts w:ascii="宋体" w:hAnsi="宋体"/>
                <w:color w:val="auto"/>
                <w:sz w:val="24"/>
                <w:highlight w:val="none"/>
              </w:rPr>
            </w:pPr>
          </w:p>
        </w:tc>
        <w:tc>
          <w:tcPr>
            <w:tcW w:w="1347"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900" w:type="dxa"/>
            <w:noWrap/>
            <w:vAlign w:val="center"/>
          </w:tcPr>
          <w:p>
            <w:pPr>
              <w:jc w:val="center"/>
              <w:rPr>
                <w:rFonts w:ascii="宋体" w:hAnsi="宋体"/>
                <w:color w:val="auto"/>
                <w:sz w:val="24"/>
                <w:highlight w:val="none"/>
              </w:rPr>
            </w:pPr>
          </w:p>
        </w:tc>
        <w:tc>
          <w:tcPr>
            <w:tcW w:w="2240" w:type="dxa"/>
            <w:noWrap/>
            <w:vAlign w:val="center"/>
          </w:tcPr>
          <w:p>
            <w:pPr>
              <w:jc w:val="center"/>
              <w:rPr>
                <w:rFonts w:ascii="宋体" w:hAnsi="宋体"/>
                <w:color w:val="auto"/>
                <w:sz w:val="24"/>
                <w:highlight w:val="none"/>
              </w:rPr>
            </w:pPr>
          </w:p>
        </w:tc>
        <w:tc>
          <w:tcPr>
            <w:tcW w:w="1918" w:type="dxa"/>
            <w:noWrap/>
            <w:vAlign w:val="center"/>
          </w:tcPr>
          <w:p>
            <w:pPr>
              <w:jc w:val="center"/>
              <w:rPr>
                <w:rFonts w:ascii="宋体" w:hAnsi="宋体"/>
                <w:color w:val="auto"/>
                <w:sz w:val="24"/>
                <w:highlight w:val="none"/>
              </w:rPr>
            </w:pPr>
          </w:p>
        </w:tc>
        <w:tc>
          <w:tcPr>
            <w:tcW w:w="1347"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549" w:hRule="exact"/>
          <w:jc w:val="center"/>
        </w:trPr>
        <w:tc>
          <w:tcPr>
            <w:tcW w:w="900" w:type="dxa"/>
            <w:noWrap/>
            <w:vAlign w:val="center"/>
          </w:tcPr>
          <w:p>
            <w:pPr>
              <w:jc w:val="center"/>
              <w:rPr>
                <w:rFonts w:ascii="宋体" w:hAnsi="宋体"/>
                <w:color w:val="auto"/>
                <w:sz w:val="24"/>
                <w:highlight w:val="none"/>
              </w:rPr>
            </w:pPr>
          </w:p>
        </w:tc>
        <w:tc>
          <w:tcPr>
            <w:tcW w:w="2240" w:type="dxa"/>
            <w:noWrap/>
            <w:vAlign w:val="center"/>
          </w:tcPr>
          <w:p>
            <w:pPr>
              <w:jc w:val="center"/>
              <w:rPr>
                <w:rFonts w:ascii="宋体" w:hAnsi="宋体"/>
                <w:color w:val="auto"/>
                <w:sz w:val="24"/>
                <w:highlight w:val="none"/>
              </w:rPr>
            </w:pPr>
          </w:p>
        </w:tc>
        <w:tc>
          <w:tcPr>
            <w:tcW w:w="1918" w:type="dxa"/>
            <w:noWrap/>
            <w:vAlign w:val="center"/>
          </w:tcPr>
          <w:p>
            <w:pPr>
              <w:jc w:val="center"/>
              <w:rPr>
                <w:rFonts w:ascii="宋体" w:hAnsi="宋体"/>
                <w:color w:val="auto"/>
                <w:sz w:val="24"/>
                <w:highlight w:val="none"/>
              </w:rPr>
            </w:pPr>
          </w:p>
        </w:tc>
        <w:tc>
          <w:tcPr>
            <w:tcW w:w="1347"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900" w:type="dxa"/>
            <w:noWrap/>
            <w:vAlign w:val="center"/>
          </w:tcPr>
          <w:p>
            <w:pPr>
              <w:jc w:val="center"/>
              <w:rPr>
                <w:rFonts w:ascii="宋体" w:hAnsi="宋体"/>
                <w:color w:val="auto"/>
                <w:sz w:val="24"/>
                <w:highlight w:val="none"/>
              </w:rPr>
            </w:pPr>
          </w:p>
        </w:tc>
        <w:tc>
          <w:tcPr>
            <w:tcW w:w="2240" w:type="dxa"/>
            <w:noWrap/>
            <w:vAlign w:val="center"/>
          </w:tcPr>
          <w:p>
            <w:pPr>
              <w:jc w:val="center"/>
              <w:rPr>
                <w:rFonts w:ascii="宋体" w:hAnsi="宋体"/>
                <w:color w:val="auto"/>
                <w:sz w:val="24"/>
                <w:highlight w:val="none"/>
              </w:rPr>
            </w:pPr>
          </w:p>
        </w:tc>
        <w:tc>
          <w:tcPr>
            <w:tcW w:w="1918" w:type="dxa"/>
            <w:noWrap/>
            <w:vAlign w:val="center"/>
          </w:tcPr>
          <w:p>
            <w:pPr>
              <w:jc w:val="center"/>
              <w:rPr>
                <w:rFonts w:ascii="宋体" w:hAnsi="宋体"/>
                <w:color w:val="auto"/>
                <w:sz w:val="24"/>
                <w:highlight w:val="none"/>
              </w:rPr>
            </w:pPr>
          </w:p>
        </w:tc>
        <w:tc>
          <w:tcPr>
            <w:tcW w:w="1347"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900" w:type="dxa"/>
            <w:noWrap/>
            <w:vAlign w:val="center"/>
          </w:tcPr>
          <w:p>
            <w:pPr>
              <w:jc w:val="center"/>
              <w:rPr>
                <w:rFonts w:ascii="宋体" w:hAnsi="宋体"/>
                <w:color w:val="auto"/>
                <w:sz w:val="24"/>
                <w:highlight w:val="none"/>
              </w:rPr>
            </w:pPr>
          </w:p>
        </w:tc>
        <w:tc>
          <w:tcPr>
            <w:tcW w:w="2240" w:type="dxa"/>
            <w:noWrap/>
            <w:vAlign w:val="center"/>
          </w:tcPr>
          <w:p>
            <w:pPr>
              <w:jc w:val="center"/>
              <w:rPr>
                <w:rFonts w:ascii="宋体" w:hAnsi="宋体"/>
                <w:color w:val="auto"/>
                <w:sz w:val="24"/>
                <w:highlight w:val="none"/>
              </w:rPr>
            </w:pPr>
          </w:p>
        </w:tc>
        <w:tc>
          <w:tcPr>
            <w:tcW w:w="1918" w:type="dxa"/>
            <w:noWrap/>
            <w:vAlign w:val="center"/>
          </w:tcPr>
          <w:p>
            <w:pPr>
              <w:jc w:val="center"/>
              <w:rPr>
                <w:rFonts w:ascii="宋体" w:hAnsi="宋体"/>
                <w:color w:val="auto"/>
                <w:sz w:val="24"/>
                <w:highlight w:val="none"/>
              </w:rPr>
            </w:pPr>
          </w:p>
        </w:tc>
        <w:tc>
          <w:tcPr>
            <w:tcW w:w="1347"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900" w:type="dxa"/>
            <w:noWrap/>
            <w:vAlign w:val="center"/>
          </w:tcPr>
          <w:p>
            <w:pPr>
              <w:jc w:val="center"/>
              <w:rPr>
                <w:rFonts w:ascii="宋体" w:hAnsi="宋体"/>
                <w:color w:val="auto"/>
                <w:sz w:val="24"/>
                <w:highlight w:val="none"/>
              </w:rPr>
            </w:pPr>
          </w:p>
        </w:tc>
        <w:tc>
          <w:tcPr>
            <w:tcW w:w="2240" w:type="dxa"/>
            <w:noWrap/>
            <w:vAlign w:val="center"/>
          </w:tcPr>
          <w:p>
            <w:pPr>
              <w:jc w:val="center"/>
              <w:rPr>
                <w:rFonts w:ascii="宋体" w:hAnsi="宋体"/>
                <w:color w:val="auto"/>
                <w:sz w:val="24"/>
                <w:highlight w:val="none"/>
              </w:rPr>
            </w:pPr>
          </w:p>
        </w:tc>
        <w:tc>
          <w:tcPr>
            <w:tcW w:w="1918" w:type="dxa"/>
            <w:noWrap/>
            <w:vAlign w:val="center"/>
          </w:tcPr>
          <w:p>
            <w:pPr>
              <w:jc w:val="center"/>
              <w:rPr>
                <w:rFonts w:ascii="宋体" w:hAnsi="宋体"/>
                <w:color w:val="auto"/>
                <w:sz w:val="24"/>
                <w:highlight w:val="none"/>
              </w:rPr>
            </w:pPr>
          </w:p>
        </w:tc>
        <w:tc>
          <w:tcPr>
            <w:tcW w:w="1347"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549" w:hRule="exact"/>
          <w:jc w:val="center"/>
        </w:trPr>
        <w:tc>
          <w:tcPr>
            <w:tcW w:w="900" w:type="dxa"/>
            <w:noWrap/>
            <w:vAlign w:val="center"/>
          </w:tcPr>
          <w:p>
            <w:pPr>
              <w:jc w:val="center"/>
              <w:rPr>
                <w:rFonts w:ascii="宋体" w:hAnsi="宋体"/>
                <w:color w:val="auto"/>
                <w:sz w:val="24"/>
                <w:highlight w:val="none"/>
              </w:rPr>
            </w:pPr>
          </w:p>
        </w:tc>
        <w:tc>
          <w:tcPr>
            <w:tcW w:w="2240" w:type="dxa"/>
            <w:noWrap/>
            <w:vAlign w:val="center"/>
          </w:tcPr>
          <w:p>
            <w:pPr>
              <w:jc w:val="center"/>
              <w:rPr>
                <w:rFonts w:ascii="宋体" w:hAnsi="宋体"/>
                <w:color w:val="auto"/>
                <w:sz w:val="24"/>
                <w:highlight w:val="none"/>
              </w:rPr>
            </w:pPr>
          </w:p>
        </w:tc>
        <w:tc>
          <w:tcPr>
            <w:tcW w:w="1918" w:type="dxa"/>
            <w:noWrap/>
            <w:vAlign w:val="center"/>
          </w:tcPr>
          <w:p>
            <w:pPr>
              <w:jc w:val="center"/>
              <w:rPr>
                <w:rFonts w:ascii="宋体" w:hAnsi="宋体"/>
                <w:color w:val="auto"/>
                <w:sz w:val="24"/>
                <w:highlight w:val="none"/>
              </w:rPr>
            </w:pPr>
          </w:p>
        </w:tc>
        <w:tc>
          <w:tcPr>
            <w:tcW w:w="1347"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c>
          <w:tcPr>
            <w:tcW w:w="1080" w:type="dxa"/>
            <w:noWrap/>
            <w:vAlign w:val="center"/>
          </w:tcPr>
          <w:p>
            <w:pPr>
              <w:ind w:right="54"/>
              <w:jc w:val="center"/>
              <w:rPr>
                <w:rFonts w:ascii="宋体" w:hAnsi="宋体"/>
                <w:color w:val="auto"/>
                <w:sz w:val="24"/>
                <w:highlight w:val="none"/>
              </w:rPr>
            </w:pPr>
          </w:p>
        </w:tc>
      </w:tr>
    </w:tbl>
    <w:p>
      <w:pPr>
        <w:pStyle w:val="8"/>
        <w:tabs>
          <w:tab w:val="left" w:pos="4312"/>
        </w:tabs>
        <w:spacing w:before="156" w:after="156"/>
        <w:rPr>
          <w:rFonts w:ascii="Times New Roman" w:hAnsi="Times New Roman"/>
          <w:color w:val="auto"/>
          <w:highlight w:val="none"/>
        </w:rPr>
      </w:pPr>
    </w:p>
    <w:p>
      <w:pPr>
        <w:pStyle w:val="8"/>
        <w:tabs>
          <w:tab w:val="left" w:pos="4312"/>
        </w:tabs>
        <w:spacing w:before="156" w:after="156" w:line="360" w:lineRule="auto"/>
        <w:rPr>
          <w:rFonts w:ascii="Times New Roman" w:hAnsi="Times New Roman"/>
          <w:color w:val="auto"/>
          <w:highlight w:val="none"/>
        </w:rPr>
      </w:pPr>
      <w:r>
        <w:rPr>
          <w:rFonts w:ascii="Times New Roman" w:hAnsi="Times New Roman"/>
          <w:color w:val="auto"/>
          <w:highlight w:val="none"/>
        </w:rPr>
        <w:t>投标单位（公章）：</w:t>
      </w:r>
    </w:p>
    <w:p>
      <w:pPr>
        <w:pStyle w:val="8"/>
        <w:tabs>
          <w:tab w:val="left" w:pos="4312"/>
        </w:tabs>
        <w:spacing w:before="156" w:after="156" w:line="360" w:lineRule="auto"/>
        <w:ind w:firstLine="240" w:firstLineChars="100"/>
        <w:rPr>
          <w:rFonts w:ascii="Times New Roman" w:hAnsi="Times New Roman"/>
          <w:color w:val="auto"/>
          <w:highlight w:val="none"/>
        </w:rPr>
      </w:pPr>
      <w:r>
        <w:rPr>
          <w:rFonts w:ascii="Times New Roman" w:hAnsi="Times New Roman"/>
          <w:color w:val="auto"/>
          <w:highlight w:val="none"/>
        </w:rPr>
        <w:t>授权代表签字：</w:t>
      </w:r>
    </w:p>
    <w:p>
      <w:pPr>
        <w:pStyle w:val="8"/>
        <w:tabs>
          <w:tab w:val="left" w:pos="4312"/>
        </w:tabs>
        <w:spacing w:before="156" w:after="156" w:line="360" w:lineRule="auto"/>
        <w:ind w:firstLine="360" w:firstLineChars="150"/>
        <w:rPr>
          <w:rFonts w:ascii="Times New Roman" w:hAnsi="Times New Roman"/>
          <w:color w:val="auto"/>
          <w:highlight w:val="none"/>
        </w:rPr>
      </w:pPr>
      <w:r>
        <w:rPr>
          <w:rFonts w:ascii="Times New Roman" w:hAnsi="Times New Roman"/>
          <w:color w:val="auto"/>
          <w:highlight w:val="none"/>
        </w:rPr>
        <w:t xml:space="preserve">      日期：</w:t>
      </w:r>
    </w:p>
    <w:p>
      <w:pPr>
        <w:spacing w:line="360" w:lineRule="auto"/>
        <w:rPr>
          <w:color w:val="auto"/>
          <w:sz w:val="24"/>
          <w:highlight w:val="none"/>
        </w:rPr>
      </w:pPr>
    </w:p>
    <w:p>
      <w:pPr>
        <w:spacing w:line="360" w:lineRule="auto"/>
        <w:rPr>
          <w:color w:val="auto"/>
          <w:sz w:val="24"/>
          <w:highlight w:val="none"/>
        </w:rPr>
      </w:pPr>
    </w:p>
    <w:p>
      <w:pPr>
        <w:spacing w:line="360" w:lineRule="auto"/>
        <w:rPr>
          <w:color w:val="auto"/>
          <w:sz w:val="24"/>
          <w:highlight w:val="none"/>
        </w:rPr>
      </w:pPr>
    </w:p>
    <w:p>
      <w:pPr>
        <w:spacing w:line="360" w:lineRule="auto"/>
        <w:rPr>
          <w:color w:val="auto"/>
          <w:sz w:val="24"/>
          <w:highlight w:val="none"/>
        </w:rPr>
      </w:pPr>
    </w:p>
    <w:p>
      <w:pPr>
        <w:spacing w:line="360" w:lineRule="auto"/>
        <w:rPr>
          <w:color w:val="auto"/>
          <w:sz w:val="24"/>
          <w:highlight w:val="none"/>
        </w:rPr>
      </w:pPr>
    </w:p>
    <w:p>
      <w:pPr>
        <w:spacing w:line="360" w:lineRule="auto"/>
        <w:rPr>
          <w:color w:val="auto"/>
          <w:sz w:val="24"/>
          <w:highlight w:val="none"/>
        </w:rPr>
      </w:pPr>
      <w:r>
        <w:rPr>
          <w:rFonts w:hint="eastAsia"/>
          <w:color w:val="auto"/>
          <w:sz w:val="24"/>
          <w:highlight w:val="none"/>
        </w:rPr>
        <w:t>注：此表在不改变投标内容的情况下可自行制作</w:t>
      </w:r>
    </w:p>
    <w:p>
      <w:pPr>
        <w:pStyle w:val="8"/>
        <w:spacing w:before="156" w:after="156" w:line="360" w:lineRule="auto"/>
        <w:rPr>
          <w:rFonts w:ascii="Times New Roman" w:hAnsi="Times New Roman"/>
          <w:color w:val="auto"/>
          <w:highlight w:val="none"/>
        </w:rPr>
      </w:pPr>
    </w:p>
    <w:p>
      <w:pPr>
        <w:pStyle w:val="8"/>
        <w:spacing w:before="156" w:after="156" w:line="360" w:lineRule="auto"/>
        <w:rPr>
          <w:rFonts w:ascii="Times New Roman" w:hAnsi="Times New Roman"/>
          <w:color w:val="auto"/>
          <w:highlight w:val="non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4.4主要材料表                     标项：</w:t>
      </w:r>
    </w:p>
    <w:tbl>
      <w:tblPr>
        <w:tblStyle w:val="1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750"/>
        <w:gridCol w:w="1507"/>
        <w:gridCol w:w="1420"/>
        <w:gridCol w:w="1421"/>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78" w:type="dxa"/>
            <w:noWrap/>
            <w:vAlign w:val="center"/>
          </w:tcPr>
          <w:p>
            <w:pPr>
              <w:pStyle w:val="4"/>
              <w:overflowPunct w:val="0"/>
              <w:ind w:firstLine="0"/>
              <w:jc w:val="center"/>
              <w:rPr>
                <w:rFonts w:ascii="宋体" w:hAnsi="宋体"/>
                <w:bCs/>
                <w:color w:val="auto"/>
                <w:highlight w:val="none"/>
              </w:rPr>
            </w:pPr>
            <w:r>
              <w:rPr>
                <w:rFonts w:hint="eastAsia" w:ascii="宋体" w:hAnsi="宋体"/>
                <w:bCs/>
                <w:color w:val="auto"/>
                <w:highlight w:val="none"/>
              </w:rPr>
              <w:t>序号</w:t>
            </w:r>
          </w:p>
        </w:tc>
        <w:tc>
          <w:tcPr>
            <w:tcW w:w="1750" w:type="dxa"/>
            <w:noWrap/>
            <w:vAlign w:val="center"/>
          </w:tcPr>
          <w:p>
            <w:pPr>
              <w:pStyle w:val="4"/>
              <w:overflowPunct w:val="0"/>
              <w:ind w:firstLine="0"/>
              <w:jc w:val="center"/>
              <w:rPr>
                <w:rFonts w:ascii="宋体" w:hAnsi="宋体"/>
                <w:bCs/>
                <w:color w:val="auto"/>
                <w:highlight w:val="none"/>
              </w:rPr>
            </w:pPr>
            <w:r>
              <w:rPr>
                <w:rFonts w:hint="eastAsia" w:ascii="宋体" w:hAnsi="宋体"/>
                <w:bCs/>
                <w:color w:val="auto"/>
                <w:highlight w:val="none"/>
              </w:rPr>
              <w:t>材料名称</w:t>
            </w:r>
          </w:p>
        </w:tc>
        <w:tc>
          <w:tcPr>
            <w:tcW w:w="1507" w:type="dxa"/>
            <w:noWrap/>
            <w:vAlign w:val="center"/>
          </w:tcPr>
          <w:p>
            <w:pPr>
              <w:pStyle w:val="4"/>
              <w:overflowPunct w:val="0"/>
              <w:ind w:firstLine="0"/>
              <w:jc w:val="center"/>
              <w:rPr>
                <w:rFonts w:ascii="宋体" w:hAnsi="宋体"/>
                <w:bCs/>
                <w:color w:val="auto"/>
                <w:highlight w:val="none"/>
              </w:rPr>
            </w:pPr>
            <w:r>
              <w:rPr>
                <w:rFonts w:hint="eastAsia" w:ascii="宋体" w:hAnsi="宋体"/>
                <w:bCs/>
                <w:color w:val="auto"/>
                <w:highlight w:val="none"/>
              </w:rPr>
              <w:t>型号与规格</w:t>
            </w:r>
          </w:p>
        </w:tc>
        <w:tc>
          <w:tcPr>
            <w:tcW w:w="1420" w:type="dxa"/>
            <w:noWrap/>
            <w:vAlign w:val="center"/>
          </w:tcPr>
          <w:p>
            <w:pPr>
              <w:pStyle w:val="4"/>
              <w:overflowPunct w:val="0"/>
              <w:ind w:firstLine="0"/>
              <w:jc w:val="center"/>
              <w:rPr>
                <w:rFonts w:ascii="宋体" w:hAnsi="宋体"/>
                <w:bCs/>
                <w:color w:val="auto"/>
                <w:highlight w:val="none"/>
              </w:rPr>
            </w:pPr>
            <w:r>
              <w:rPr>
                <w:rFonts w:hint="eastAsia" w:ascii="宋体" w:hAnsi="宋体"/>
                <w:bCs/>
                <w:color w:val="auto"/>
                <w:highlight w:val="none"/>
              </w:rPr>
              <w:t>品牌</w:t>
            </w:r>
          </w:p>
        </w:tc>
        <w:tc>
          <w:tcPr>
            <w:tcW w:w="1421" w:type="dxa"/>
            <w:noWrap/>
            <w:vAlign w:val="center"/>
          </w:tcPr>
          <w:p>
            <w:pPr>
              <w:pStyle w:val="4"/>
              <w:overflowPunct w:val="0"/>
              <w:ind w:firstLine="0"/>
              <w:jc w:val="center"/>
              <w:rPr>
                <w:rFonts w:ascii="宋体" w:hAnsi="宋体"/>
                <w:bCs/>
                <w:color w:val="auto"/>
                <w:highlight w:val="none"/>
              </w:rPr>
            </w:pPr>
            <w:r>
              <w:rPr>
                <w:rFonts w:hint="eastAsia" w:ascii="宋体" w:hAnsi="宋体"/>
                <w:bCs/>
                <w:color w:val="auto"/>
                <w:highlight w:val="none"/>
              </w:rPr>
              <w:t>产地</w:t>
            </w:r>
          </w:p>
        </w:tc>
        <w:tc>
          <w:tcPr>
            <w:tcW w:w="1592" w:type="dxa"/>
            <w:noWrap/>
            <w:vAlign w:val="center"/>
          </w:tcPr>
          <w:p>
            <w:pPr>
              <w:pStyle w:val="4"/>
              <w:overflowPunct w:val="0"/>
              <w:ind w:firstLine="0"/>
              <w:jc w:val="center"/>
              <w:rPr>
                <w:rFonts w:ascii="宋体" w:hAnsi="宋体"/>
                <w:bCs/>
                <w:color w:val="auto"/>
                <w:highlight w:val="none"/>
              </w:rPr>
            </w:pPr>
            <w:r>
              <w:rPr>
                <w:rFonts w:hint="eastAsia" w:ascii="宋体" w:hAnsi="宋体"/>
                <w:bCs/>
                <w:color w:val="auto"/>
                <w:highlight w:val="none"/>
              </w:rPr>
              <w:t>质量概述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78" w:type="dxa"/>
            <w:noWrap/>
            <w:vAlign w:val="center"/>
          </w:tcPr>
          <w:p>
            <w:pPr>
              <w:pStyle w:val="4"/>
              <w:overflowPunct w:val="0"/>
              <w:ind w:firstLine="0"/>
              <w:jc w:val="center"/>
              <w:rPr>
                <w:rFonts w:ascii="宋体" w:hAnsi="宋体"/>
                <w:b/>
                <w:color w:val="auto"/>
                <w:highlight w:val="none"/>
              </w:rPr>
            </w:pPr>
          </w:p>
        </w:tc>
        <w:tc>
          <w:tcPr>
            <w:tcW w:w="1750" w:type="dxa"/>
            <w:noWrap/>
            <w:vAlign w:val="center"/>
          </w:tcPr>
          <w:p>
            <w:pPr>
              <w:pStyle w:val="4"/>
              <w:overflowPunct w:val="0"/>
              <w:ind w:firstLine="0"/>
              <w:jc w:val="center"/>
              <w:rPr>
                <w:rFonts w:ascii="宋体" w:hAnsi="宋体"/>
                <w:b/>
                <w:color w:val="auto"/>
                <w:highlight w:val="none"/>
              </w:rPr>
            </w:pPr>
          </w:p>
        </w:tc>
        <w:tc>
          <w:tcPr>
            <w:tcW w:w="1507" w:type="dxa"/>
            <w:noWrap/>
            <w:vAlign w:val="center"/>
          </w:tcPr>
          <w:p>
            <w:pPr>
              <w:pStyle w:val="4"/>
              <w:overflowPunct w:val="0"/>
              <w:ind w:firstLine="0"/>
              <w:jc w:val="center"/>
              <w:rPr>
                <w:rFonts w:ascii="宋体" w:hAnsi="宋体"/>
                <w:b/>
                <w:color w:val="auto"/>
                <w:highlight w:val="none"/>
              </w:rPr>
            </w:pPr>
          </w:p>
        </w:tc>
        <w:tc>
          <w:tcPr>
            <w:tcW w:w="1420" w:type="dxa"/>
            <w:noWrap/>
            <w:vAlign w:val="center"/>
          </w:tcPr>
          <w:p>
            <w:pPr>
              <w:pStyle w:val="4"/>
              <w:overflowPunct w:val="0"/>
              <w:ind w:firstLine="0"/>
              <w:jc w:val="center"/>
              <w:rPr>
                <w:rFonts w:ascii="宋体" w:hAnsi="宋体"/>
                <w:b/>
                <w:color w:val="auto"/>
                <w:highlight w:val="none"/>
              </w:rPr>
            </w:pPr>
          </w:p>
        </w:tc>
        <w:tc>
          <w:tcPr>
            <w:tcW w:w="1421" w:type="dxa"/>
            <w:noWrap/>
            <w:vAlign w:val="center"/>
          </w:tcPr>
          <w:p>
            <w:pPr>
              <w:pStyle w:val="4"/>
              <w:overflowPunct w:val="0"/>
              <w:ind w:firstLine="0"/>
              <w:jc w:val="center"/>
              <w:rPr>
                <w:rFonts w:ascii="宋体" w:hAnsi="宋体"/>
                <w:b/>
                <w:color w:val="auto"/>
                <w:highlight w:val="none"/>
              </w:rPr>
            </w:pPr>
          </w:p>
        </w:tc>
        <w:tc>
          <w:tcPr>
            <w:tcW w:w="1592" w:type="dxa"/>
            <w:noWrap/>
            <w:vAlign w:val="center"/>
          </w:tcPr>
          <w:p>
            <w:pPr>
              <w:pStyle w:val="4"/>
              <w:overflowPunct w:val="0"/>
              <w:ind w:firstLine="0"/>
              <w:jc w:val="center"/>
              <w:rPr>
                <w:rFonts w:ascii="宋体" w:hAnsi="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78" w:type="dxa"/>
            <w:noWrap/>
            <w:vAlign w:val="center"/>
          </w:tcPr>
          <w:p>
            <w:pPr>
              <w:pStyle w:val="4"/>
              <w:overflowPunct w:val="0"/>
              <w:ind w:firstLine="0"/>
              <w:jc w:val="center"/>
              <w:rPr>
                <w:rFonts w:ascii="宋体" w:hAnsi="宋体"/>
                <w:b/>
                <w:color w:val="auto"/>
                <w:highlight w:val="none"/>
              </w:rPr>
            </w:pPr>
          </w:p>
        </w:tc>
        <w:tc>
          <w:tcPr>
            <w:tcW w:w="1750" w:type="dxa"/>
            <w:noWrap/>
            <w:vAlign w:val="center"/>
          </w:tcPr>
          <w:p>
            <w:pPr>
              <w:pStyle w:val="4"/>
              <w:overflowPunct w:val="0"/>
              <w:ind w:firstLine="0"/>
              <w:jc w:val="center"/>
              <w:rPr>
                <w:rFonts w:ascii="宋体" w:hAnsi="宋体"/>
                <w:b/>
                <w:color w:val="auto"/>
                <w:highlight w:val="none"/>
              </w:rPr>
            </w:pPr>
          </w:p>
        </w:tc>
        <w:tc>
          <w:tcPr>
            <w:tcW w:w="1507" w:type="dxa"/>
            <w:noWrap/>
            <w:vAlign w:val="center"/>
          </w:tcPr>
          <w:p>
            <w:pPr>
              <w:pStyle w:val="4"/>
              <w:overflowPunct w:val="0"/>
              <w:ind w:firstLine="0"/>
              <w:jc w:val="center"/>
              <w:rPr>
                <w:rFonts w:ascii="宋体" w:hAnsi="宋体"/>
                <w:b/>
                <w:color w:val="auto"/>
                <w:highlight w:val="none"/>
              </w:rPr>
            </w:pPr>
          </w:p>
        </w:tc>
        <w:tc>
          <w:tcPr>
            <w:tcW w:w="1420" w:type="dxa"/>
            <w:noWrap/>
            <w:vAlign w:val="center"/>
          </w:tcPr>
          <w:p>
            <w:pPr>
              <w:pStyle w:val="4"/>
              <w:overflowPunct w:val="0"/>
              <w:ind w:firstLine="0"/>
              <w:jc w:val="center"/>
              <w:rPr>
                <w:rFonts w:ascii="宋体" w:hAnsi="宋体"/>
                <w:b/>
                <w:color w:val="auto"/>
                <w:highlight w:val="none"/>
              </w:rPr>
            </w:pPr>
          </w:p>
        </w:tc>
        <w:tc>
          <w:tcPr>
            <w:tcW w:w="1421" w:type="dxa"/>
            <w:noWrap/>
            <w:vAlign w:val="center"/>
          </w:tcPr>
          <w:p>
            <w:pPr>
              <w:pStyle w:val="4"/>
              <w:overflowPunct w:val="0"/>
              <w:ind w:firstLine="0"/>
              <w:jc w:val="center"/>
              <w:rPr>
                <w:rFonts w:ascii="宋体" w:hAnsi="宋体"/>
                <w:b/>
                <w:color w:val="auto"/>
                <w:highlight w:val="none"/>
              </w:rPr>
            </w:pPr>
          </w:p>
        </w:tc>
        <w:tc>
          <w:tcPr>
            <w:tcW w:w="1592" w:type="dxa"/>
            <w:noWrap/>
            <w:vAlign w:val="center"/>
          </w:tcPr>
          <w:p>
            <w:pPr>
              <w:pStyle w:val="4"/>
              <w:overflowPunct w:val="0"/>
              <w:ind w:firstLine="0"/>
              <w:jc w:val="center"/>
              <w:rPr>
                <w:rFonts w:ascii="宋体" w:hAnsi="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78" w:type="dxa"/>
            <w:noWrap/>
            <w:vAlign w:val="center"/>
          </w:tcPr>
          <w:p>
            <w:pPr>
              <w:pStyle w:val="4"/>
              <w:overflowPunct w:val="0"/>
              <w:ind w:firstLine="0"/>
              <w:jc w:val="center"/>
              <w:rPr>
                <w:rFonts w:ascii="宋体" w:hAnsi="宋体"/>
                <w:b/>
                <w:color w:val="auto"/>
                <w:highlight w:val="none"/>
              </w:rPr>
            </w:pPr>
          </w:p>
        </w:tc>
        <w:tc>
          <w:tcPr>
            <w:tcW w:w="1750" w:type="dxa"/>
            <w:noWrap/>
            <w:vAlign w:val="center"/>
          </w:tcPr>
          <w:p>
            <w:pPr>
              <w:pStyle w:val="4"/>
              <w:overflowPunct w:val="0"/>
              <w:ind w:firstLine="0"/>
              <w:jc w:val="center"/>
              <w:rPr>
                <w:rFonts w:ascii="宋体" w:hAnsi="宋体"/>
                <w:b/>
                <w:color w:val="auto"/>
                <w:highlight w:val="none"/>
              </w:rPr>
            </w:pPr>
          </w:p>
        </w:tc>
        <w:tc>
          <w:tcPr>
            <w:tcW w:w="1507" w:type="dxa"/>
            <w:noWrap/>
            <w:vAlign w:val="center"/>
          </w:tcPr>
          <w:p>
            <w:pPr>
              <w:pStyle w:val="4"/>
              <w:overflowPunct w:val="0"/>
              <w:ind w:firstLine="0"/>
              <w:jc w:val="center"/>
              <w:rPr>
                <w:rFonts w:ascii="宋体" w:hAnsi="宋体"/>
                <w:b/>
                <w:color w:val="auto"/>
                <w:highlight w:val="none"/>
              </w:rPr>
            </w:pPr>
          </w:p>
        </w:tc>
        <w:tc>
          <w:tcPr>
            <w:tcW w:w="1420" w:type="dxa"/>
            <w:noWrap/>
            <w:vAlign w:val="center"/>
          </w:tcPr>
          <w:p>
            <w:pPr>
              <w:pStyle w:val="4"/>
              <w:overflowPunct w:val="0"/>
              <w:ind w:firstLine="0"/>
              <w:jc w:val="center"/>
              <w:rPr>
                <w:rFonts w:ascii="宋体" w:hAnsi="宋体"/>
                <w:b/>
                <w:color w:val="auto"/>
                <w:highlight w:val="none"/>
              </w:rPr>
            </w:pPr>
          </w:p>
        </w:tc>
        <w:tc>
          <w:tcPr>
            <w:tcW w:w="1421" w:type="dxa"/>
            <w:noWrap/>
            <w:vAlign w:val="center"/>
          </w:tcPr>
          <w:p>
            <w:pPr>
              <w:pStyle w:val="4"/>
              <w:overflowPunct w:val="0"/>
              <w:ind w:firstLine="0"/>
              <w:jc w:val="center"/>
              <w:rPr>
                <w:rFonts w:ascii="宋体" w:hAnsi="宋体"/>
                <w:b/>
                <w:color w:val="auto"/>
                <w:highlight w:val="none"/>
              </w:rPr>
            </w:pPr>
          </w:p>
        </w:tc>
        <w:tc>
          <w:tcPr>
            <w:tcW w:w="1592" w:type="dxa"/>
            <w:noWrap/>
            <w:vAlign w:val="center"/>
          </w:tcPr>
          <w:p>
            <w:pPr>
              <w:pStyle w:val="4"/>
              <w:overflowPunct w:val="0"/>
              <w:ind w:firstLine="0"/>
              <w:jc w:val="center"/>
              <w:rPr>
                <w:rFonts w:ascii="宋体" w:hAnsi="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78" w:type="dxa"/>
            <w:noWrap/>
            <w:vAlign w:val="center"/>
          </w:tcPr>
          <w:p>
            <w:pPr>
              <w:pStyle w:val="4"/>
              <w:overflowPunct w:val="0"/>
              <w:ind w:firstLine="0"/>
              <w:jc w:val="center"/>
              <w:rPr>
                <w:rFonts w:ascii="宋体" w:hAnsi="宋体"/>
                <w:b/>
                <w:color w:val="auto"/>
                <w:highlight w:val="none"/>
              </w:rPr>
            </w:pPr>
          </w:p>
        </w:tc>
        <w:tc>
          <w:tcPr>
            <w:tcW w:w="1750" w:type="dxa"/>
            <w:noWrap/>
            <w:vAlign w:val="center"/>
          </w:tcPr>
          <w:p>
            <w:pPr>
              <w:pStyle w:val="4"/>
              <w:overflowPunct w:val="0"/>
              <w:ind w:firstLine="0"/>
              <w:jc w:val="center"/>
              <w:rPr>
                <w:rFonts w:ascii="宋体" w:hAnsi="宋体"/>
                <w:b/>
                <w:color w:val="auto"/>
                <w:highlight w:val="none"/>
              </w:rPr>
            </w:pPr>
          </w:p>
        </w:tc>
        <w:tc>
          <w:tcPr>
            <w:tcW w:w="1507" w:type="dxa"/>
            <w:noWrap/>
            <w:vAlign w:val="center"/>
          </w:tcPr>
          <w:p>
            <w:pPr>
              <w:pStyle w:val="4"/>
              <w:overflowPunct w:val="0"/>
              <w:ind w:firstLine="0"/>
              <w:jc w:val="center"/>
              <w:rPr>
                <w:rFonts w:ascii="宋体" w:hAnsi="宋体"/>
                <w:b/>
                <w:color w:val="auto"/>
                <w:highlight w:val="none"/>
              </w:rPr>
            </w:pPr>
          </w:p>
        </w:tc>
        <w:tc>
          <w:tcPr>
            <w:tcW w:w="1420" w:type="dxa"/>
            <w:noWrap/>
            <w:vAlign w:val="center"/>
          </w:tcPr>
          <w:p>
            <w:pPr>
              <w:pStyle w:val="4"/>
              <w:overflowPunct w:val="0"/>
              <w:ind w:firstLine="0"/>
              <w:jc w:val="center"/>
              <w:rPr>
                <w:rFonts w:ascii="宋体" w:hAnsi="宋体"/>
                <w:b/>
                <w:color w:val="auto"/>
                <w:highlight w:val="none"/>
              </w:rPr>
            </w:pPr>
          </w:p>
        </w:tc>
        <w:tc>
          <w:tcPr>
            <w:tcW w:w="1421" w:type="dxa"/>
            <w:noWrap/>
            <w:vAlign w:val="center"/>
          </w:tcPr>
          <w:p>
            <w:pPr>
              <w:pStyle w:val="4"/>
              <w:overflowPunct w:val="0"/>
              <w:ind w:firstLine="0"/>
              <w:jc w:val="center"/>
              <w:rPr>
                <w:rFonts w:ascii="宋体" w:hAnsi="宋体"/>
                <w:b/>
                <w:color w:val="auto"/>
                <w:highlight w:val="none"/>
              </w:rPr>
            </w:pPr>
          </w:p>
        </w:tc>
        <w:tc>
          <w:tcPr>
            <w:tcW w:w="1592" w:type="dxa"/>
            <w:noWrap/>
            <w:vAlign w:val="center"/>
          </w:tcPr>
          <w:p>
            <w:pPr>
              <w:pStyle w:val="4"/>
              <w:overflowPunct w:val="0"/>
              <w:ind w:firstLine="0"/>
              <w:jc w:val="center"/>
              <w:rPr>
                <w:rFonts w:ascii="宋体" w:hAnsi="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trPr>
        <w:tc>
          <w:tcPr>
            <w:tcW w:w="878" w:type="dxa"/>
            <w:noWrap/>
            <w:vAlign w:val="center"/>
          </w:tcPr>
          <w:p>
            <w:pPr>
              <w:pStyle w:val="4"/>
              <w:overflowPunct w:val="0"/>
              <w:ind w:firstLine="0"/>
              <w:jc w:val="center"/>
              <w:rPr>
                <w:rFonts w:ascii="宋体" w:hAnsi="宋体"/>
                <w:b/>
                <w:color w:val="auto"/>
                <w:highlight w:val="none"/>
              </w:rPr>
            </w:pPr>
          </w:p>
        </w:tc>
        <w:tc>
          <w:tcPr>
            <w:tcW w:w="1750" w:type="dxa"/>
            <w:noWrap/>
            <w:vAlign w:val="center"/>
          </w:tcPr>
          <w:p>
            <w:pPr>
              <w:pStyle w:val="4"/>
              <w:overflowPunct w:val="0"/>
              <w:ind w:firstLine="0"/>
              <w:jc w:val="center"/>
              <w:rPr>
                <w:rFonts w:ascii="宋体" w:hAnsi="宋体"/>
                <w:b/>
                <w:color w:val="auto"/>
                <w:highlight w:val="none"/>
              </w:rPr>
            </w:pPr>
          </w:p>
        </w:tc>
        <w:tc>
          <w:tcPr>
            <w:tcW w:w="1507" w:type="dxa"/>
            <w:noWrap/>
            <w:vAlign w:val="center"/>
          </w:tcPr>
          <w:p>
            <w:pPr>
              <w:pStyle w:val="4"/>
              <w:overflowPunct w:val="0"/>
              <w:ind w:firstLine="0"/>
              <w:jc w:val="center"/>
              <w:rPr>
                <w:rFonts w:ascii="宋体" w:hAnsi="宋体"/>
                <w:b/>
                <w:color w:val="auto"/>
                <w:highlight w:val="none"/>
              </w:rPr>
            </w:pPr>
          </w:p>
        </w:tc>
        <w:tc>
          <w:tcPr>
            <w:tcW w:w="1420" w:type="dxa"/>
            <w:noWrap/>
            <w:vAlign w:val="center"/>
          </w:tcPr>
          <w:p>
            <w:pPr>
              <w:pStyle w:val="4"/>
              <w:overflowPunct w:val="0"/>
              <w:ind w:firstLine="0"/>
              <w:jc w:val="center"/>
              <w:rPr>
                <w:rFonts w:ascii="宋体" w:hAnsi="宋体"/>
                <w:b/>
                <w:color w:val="auto"/>
                <w:highlight w:val="none"/>
              </w:rPr>
            </w:pPr>
          </w:p>
        </w:tc>
        <w:tc>
          <w:tcPr>
            <w:tcW w:w="1421" w:type="dxa"/>
            <w:noWrap/>
            <w:vAlign w:val="center"/>
          </w:tcPr>
          <w:p>
            <w:pPr>
              <w:pStyle w:val="4"/>
              <w:overflowPunct w:val="0"/>
              <w:ind w:firstLine="0"/>
              <w:jc w:val="center"/>
              <w:rPr>
                <w:rFonts w:ascii="宋体" w:hAnsi="宋体"/>
                <w:b/>
                <w:color w:val="auto"/>
                <w:highlight w:val="none"/>
              </w:rPr>
            </w:pPr>
          </w:p>
        </w:tc>
        <w:tc>
          <w:tcPr>
            <w:tcW w:w="1592" w:type="dxa"/>
            <w:noWrap/>
            <w:vAlign w:val="center"/>
          </w:tcPr>
          <w:p>
            <w:pPr>
              <w:pStyle w:val="4"/>
              <w:overflowPunct w:val="0"/>
              <w:ind w:firstLine="0"/>
              <w:jc w:val="center"/>
              <w:rPr>
                <w:rFonts w:ascii="宋体" w:hAnsi="宋体"/>
                <w:b/>
                <w:color w:val="auto"/>
                <w:highlight w:val="none"/>
              </w:rPr>
            </w:pPr>
          </w:p>
        </w:tc>
      </w:tr>
    </w:tbl>
    <w:p>
      <w:pPr>
        <w:pStyle w:val="26"/>
        <w:spacing w:line="360" w:lineRule="auto"/>
        <w:rPr>
          <w:rFonts w:hint="default" w:hAnsi="宋体" w:eastAsia="宋体"/>
          <w:color w:val="auto"/>
          <w:sz w:val="24"/>
          <w:highlight w:val="none"/>
        </w:rPr>
      </w:pPr>
    </w:p>
    <w:p>
      <w:pPr>
        <w:pStyle w:val="26"/>
        <w:spacing w:line="360" w:lineRule="auto"/>
        <w:rPr>
          <w:rFonts w:hint="default" w:hAnsi="宋体" w:eastAsia="宋体"/>
          <w:color w:val="auto"/>
          <w:sz w:val="24"/>
          <w:highlight w:val="none"/>
        </w:rPr>
      </w:pPr>
    </w:p>
    <w:p>
      <w:pPr>
        <w:pStyle w:val="26"/>
        <w:spacing w:line="360" w:lineRule="auto"/>
        <w:rPr>
          <w:rFonts w:hint="default" w:hAnsi="宋体" w:eastAsia="宋体"/>
          <w:color w:val="auto"/>
          <w:sz w:val="24"/>
          <w:highlight w:val="none"/>
        </w:rPr>
      </w:pPr>
    </w:p>
    <w:p>
      <w:pPr>
        <w:pStyle w:val="26"/>
        <w:spacing w:line="360" w:lineRule="auto"/>
        <w:rPr>
          <w:rFonts w:hint="default" w:hAnsi="宋体" w:eastAsia="宋体"/>
          <w:color w:val="auto"/>
          <w:sz w:val="24"/>
          <w:highlight w:val="none"/>
        </w:rPr>
      </w:pPr>
      <w:r>
        <w:rPr>
          <w:rFonts w:hAnsi="宋体" w:eastAsia="宋体"/>
          <w:color w:val="auto"/>
          <w:sz w:val="24"/>
          <w:highlight w:val="none"/>
        </w:rPr>
        <w:t>投标人：（单位盖章）</w:t>
      </w:r>
    </w:p>
    <w:p>
      <w:pPr>
        <w:pStyle w:val="26"/>
        <w:spacing w:line="360" w:lineRule="auto"/>
        <w:rPr>
          <w:rFonts w:hint="default" w:hAnsi="宋体" w:eastAsia="宋体"/>
          <w:color w:val="auto"/>
          <w:sz w:val="24"/>
          <w:highlight w:val="none"/>
        </w:rPr>
      </w:pPr>
      <w:r>
        <w:rPr>
          <w:rFonts w:hAnsi="宋体" w:eastAsia="宋体"/>
          <w:color w:val="auto"/>
          <w:sz w:val="24"/>
          <w:highlight w:val="none"/>
        </w:rPr>
        <w:t>法定代表人或授权委托人：（盖章或签字）</w:t>
      </w:r>
    </w:p>
    <w:p>
      <w:pPr>
        <w:pStyle w:val="26"/>
        <w:spacing w:line="360" w:lineRule="auto"/>
        <w:rPr>
          <w:rFonts w:hint="default" w:hAnsi="宋体" w:eastAsia="宋体"/>
          <w:color w:val="auto"/>
          <w:sz w:val="24"/>
          <w:highlight w:val="none"/>
        </w:rPr>
      </w:pPr>
      <w:r>
        <w:rPr>
          <w:rFonts w:hAnsi="宋体" w:eastAsia="宋体"/>
          <w:color w:val="auto"/>
          <w:sz w:val="24"/>
          <w:highlight w:val="none"/>
        </w:rPr>
        <w:t>日期：          年        月        日</w:t>
      </w:r>
    </w:p>
    <w:p>
      <w:pPr>
        <w:snapToGrid w:val="0"/>
        <w:spacing w:before="50" w:after="156" w:afterLines="50"/>
        <w:jc w:val="left"/>
        <w:rPr>
          <w:rFonts w:ascii="宋体" w:hAnsi="宋体"/>
          <w:b/>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156" w:beforeLines="50" w:after="50"/>
        <w:rPr>
          <w:rFonts w:ascii="宋体" w:hAnsi="宋体"/>
          <w:color w:val="auto"/>
          <w:sz w:val="24"/>
          <w:highlight w:val="non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4.5技术偏离表格式：</w:t>
      </w:r>
    </w:p>
    <w:p>
      <w:pPr>
        <w:snapToGrid w:val="0"/>
        <w:spacing w:before="50" w:after="156" w:afterLines="50" w:line="360" w:lineRule="auto"/>
        <w:jc w:val="left"/>
        <w:rPr>
          <w:rFonts w:ascii="宋体" w:hAnsi="宋体"/>
          <w:b/>
          <w:color w:val="auto"/>
          <w:sz w:val="24"/>
          <w:highlight w:val="none"/>
        </w:rPr>
      </w:pPr>
    </w:p>
    <w:p>
      <w:pPr>
        <w:snapToGrid w:val="0"/>
        <w:spacing w:before="50" w:after="156" w:afterLines="50" w:line="360" w:lineRule="auto"/>
        <w:jc w:val="center"/>
        <w:rPr>
          <w:rFonts w:ascii="宋体" w:hAnsi="宋体"/>
          <w:b/>
          <w:color w:val="auto"/>
          <w:sz w:val="24"/>
          <w:highlight w:val="none"/>
        </w:rPr>
      </w:pPr>
      <w:r>
        <w:rPr>
          <w:rFonts w:hint="eastAsia" w:ascii="宋体" w:hAnsi="宋体"/>
          <w:b/>
          <w:color w:val="auto"/>
          <w:sz w:val="24"/>
          <w:highlight w:val="none"/>
        </w:rPr>
        <w:t>技术偏离表</w:t>
      </w:r>
    </w:p>
    <w:p>
      <w:pPr>
        <w:snapToGrid w:val="0"/>
        <w:spacing w:before="50" w:after="156" w:afterLines="50" w:line="360" w:lineRule="auto"/>
        <w:ind w:firstLine="600" w:firstLineChars="250"/>
        <w:jc w:val="left"/>
        <w:rPr>
          <w:color w:val="auto"/>
          <w:sz w:val="24"/>
          <w:highlight w:val="none"/>
        </w:rPr>
      </w:pPr>
      <w:r>
        <w:rPr>
          <w:rFonts w:hint="eastAsia"/>
          <w:color w:val="auto"/>
          <w:sz w:val="24"/>
          <w:highlight w:val="none"/>
        </w:rPr>
        <w:t xml:space="preserve">项目名称：                 标项：                  </w:t>
      </w:r>
      <w:r>
        <w:rPr>
          <w:color w:val="auto"/>
          <w:sz w:val="24"/>
          <w:highlight w:val="none"/>
        </w:rPr>
        <w:t>招标编号：</w:t>
      </w:r>
    </w:p>
    <w:tbl>
      <w:tblPr>
        <w:tblStyle w:val="18"/>
        <w:tblW w:w="8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855"/>
        <w:gridCol w:w="1957"/>
        <w:gridCol w:w="1620"/>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6" w:hRule="atLeast"/>
          <w:jc w:val="center"/>
        </w:trPr>
        <w:tc>
          <w:tcPr>
            <w:tcW w:w="878" w:type="dxa"/>
            <w:tcBorders>
              <w:bottom w:val="single" w:color="auto" w:sz="4" w:space="0"/>
            </w:tcBorders>
            <w:noWrap/>
            <w:vAlign w:val="center"/>
          </w:tcPr>
          <w:p>
            <w:pPr>
              <w:jc w:val="center"/>
              <w:rPr>
                <w:rFonts w:ascii="宋体" w:hAnsi="宋体"/>
                <w:color w:val="auto"/>
                <w:sz w:val="24"/>
                <w:highlight w:val="none"/>
              </w:rPr>
            </w:pPr>
            <w:r>
              <w:rPr>
                <w:rFonts w:ascii="宋体" w:hAnsi="宋体"/>
                <w:color w:val="auto"/>
                <w:sz w:val="24"/>
                <w:highlight w:val="none"/>
              </w:rPr>
              <w:t>序号</w:t>
            </w:r>
          </w:p>
        </w:tc>
        <w:tc>
          <w:tcPr>
            <w:tcW w:w="1855" w:type="dxa"/>
            <w:tcBorders>
              <w:bottom w:val="single" w:color="auto" w:sz="4" w:space="0"/>
            </w:tcBorders>
            <w:noWrap/>
            <w:vAlign w:val="center"/>
          </w:tcPr>
          <w:p>
            <w:pPr>
              <w:jc w:val="center"/>
              <w:rPr>
                <w:rFonts w:ascii="宋体" w:hAnsi="宋体"/>
                <w:color w:val="auto"/>
                <w:sz w:val="24"/>
                <w:highlight w:val="none"/>
              </w:rPr>
            </w:pPr>
            <w:r>
              <w:rPr>
                <w:rFonts w:ascii="宋体" w:hAnsi="宋体"/>
                <w:color w:val="auto"/>
                <w:sz w:val="24"/>
                <w:highlight w:val="none"/>
              </w:rPr>
              <w:t>内  容</w:t>
            </w:r>
          </w:p>
        </w:tc>
        <w:tc>
          <w:tcPr>
            <w:tcW w:w="1957" w:type="dxa"/>
            <w:tcBorders>
              <w:bottom w:val="single" w:color="auto" w:sz="4" w:space="0"/>
            </w:tcBorders>
            <w:noWrap/>
            <w:vAlign w:val="center"/>
          </w:tcPr>
          <w:p>
            <w:pPr>
              <w:jc w:val="center"/>
              <w:rPr>
                <w:rFonts w:ascii="宋体" w:hAnsi="宋体"/>
                <w:color w:val="auto"/>
                <w:sz w:val="24"/>
                <w:highlight w:val="none"/>
              </w:rPr>
            </w:pPr>
            <w:r>
              <w:rPr>
                <w:rFonts w:ascii="宋体" w:hAnsi="宋体"/>
                <w:color w:val="auto"/>
                <w:sz w:val="24"/>
                <w:highlight w:val="none"/>
              </w:rPr>
              <w:t>招标文件</w:t>
            </w:r>
          </w:p>
          <w:p>
            <w:pPr>
              <w:jc w:val="center"/>
              <w:rPr>
                <w:rFonts w:ascii="宋体" w:hAnsi="宋体"/>
                <w:color w:val="auto"/>
                <w:sz w:val="24"/>
                <w:highlight w:val="none"/>
              </w:rPr>
            </w:pPr>
            <w:r>
              <w:rPr>
                <w:rFonts w:ascii="宋体" w:hAnsi="宋体"/>
                <w:color w:val="auto"/>
                <w:sz w:val="24"/>
                <w:highlight w:val="none"/>
              </w:rPr>
              <w:t>规范要求</w:t>
            </w:r>
          </w:p>
        </w:tc>
        <w:tc>
          <w:tcPr>
            <w:tcW w:w="1620" w:type="dxa"/>
            <w:tcBorders>
              <w:bottom w:val="single" w:color="auto" w:sz="4" w:space="0"/>
            </w:tcBorders>
            <w:noWrap/>
            <w:vAlign w:val="center"/>
          </w:tcPr>
          <w:p>
            <w:pPr>
              <w:jc w:val="center"/>
              <w:rPr>
                <w:rFonts w:ascii="宋体" w:hAnsi="宋体"/>
                <w:color w:val="auto"/>
                <w:sz w:val="24"/>
                <w:highlight w:val="none"/>
              </w:rPr>
            </w:pPr>
            <w:r>
              <w:rPr>
                <w:rFonts w:ascii="宋体" w:hAnsi="宋体"/>
                <w:color w:val="auto"/>
                <w:sz w:val="24"/>
                <w:highlight w:val="none"/>
              </w:rPr>
              <w:t>投标文件</w:t>
            </w:r>
          </w:p>
          <w:p>
            <w:pPr>
              <w:jc w:val="center"/>
              <w:rPr>
                <w:rFonts w:ascii="宋体" w:hAnsi="宋体"/>
                <w:color w:val="auto"/>
                <w:sz w:val="24"/>
                <w:highlight w:val="none"/>
              </w:rPr>
            </w:pPr>
            <w:r>
              <w:rPr>
                <w:rFonts w:ascii="宋体" w:hAnsi="宋体"/>
                <w:color w:val="auto"/>
                <w:sz w:val="24"/>
                <w:highlight w:val="none"/>
              </w:rPr>
              <w:t>对应规范</w:t>
            </w:r>
          </w:p>
        </w:tc>
        <w:tc>
          <w:tcPr>
            <w:tcW w:w="2328" w:type="dxa"/>
            <w:tcBorders>
              <w:bottom w:val="single" w:color="auto" w:sz="4" w:space="0"/>
            </w:tcBorders>
            <w:noWrap/>
            <w:vAlign w:val="center"/>
          </w:tcPr>
          <w:p>
            <w:pPr>
              <w:jc w:val="center"/>
              <w:rPr>
                <w:rFonts w:ascii="宋体" w:hAnsi="宋体"/>
                <w:color w:val="auto"/>
                <w:sz w:val="24"/>
                <w:highlight w:val="none"/>
              </w:rPr>
            </w:pPr>
            <w:r>
              <w:rPr>
                <w:rFonts w:hint="eastAsia" w:ascii="宋体" w:hAnsi="宋体"/>
                <w:color w:val="auto"/>
                <w:sz w:val="24"/>
                <w:highlight w:val="none"/>
              </w:rPr>
              <w:t>偏离情况</w:t>
            </w:r>
          </w:p>
          <w:p>
            <w:pPr>
              <w:jc w:val="center"/>
              <w:rPr>
                <w:rFonts w:ascii="宋体" w:hAnsi="宋体"/>
                <w:color w:val="auto"/>
                <w:sz w:val="24"/>
                <w:highlight w:val="none"/>
              </w:rPr>
            </w:pPr>
            <w:r>
              <w:rPr>
                <w:rFonts w:hint="eastAsia" w:ascii="宋体" w:hAnsi="宋体"/>
                <w:color w:val="auto"/>
                <w:sz w:val="24"/>
                <w:highlight w:val="none"/>
              </w:rPr>
              <w:t>（注明正偏离、负偏离或无偏离）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2" w:hRule="atLeast"/>
          <w:jc w:val="center"/>
        </w:trPr>
        <w:tc>
          <w:tcPr>
            <w:tcW w:w="878" w:type="dxa"/>
            <w:noWrap/>
          </w:tcPr>
          <w:p>
            <w:pPr>
              <w:jc w:val="cente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jc w:val="center"/>
        </w:trPr>
        <w:tc>
          <w:tcPr>
            <w:tcW w:w="878" w:type="dxa"/>
            <w:noWrap/>
          </w:tcPr>
          <w:p>
            <w:pP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jc w:val="center"/>
        </w:trPr>
        <w:tc>
          <w:tcPr>
            <w:tcW w:w="878" w:type="dxa"/>
            <w:noWrap/>
          </w:tcPr>
          <w:p>
            <w:pP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6" w:hRule="atLeast"/>
          <w:jc w:val="center"/>
        </w:trPr>
        <w:tc>
          <w:tcPr>
            <w:tcW w:w="878" w:type="dxa"/>
            <w:noWrap/>
          </w:tcPr>
          <w:p>
            <w:pP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610" w:hRule="atLeast"/>
          <w:jc w:val="center"/>
        </w:trPr>
        <w:tc>
          <w:tcPr>
            <w:tcW w:w="878" w:type="dxa"/>
            <w:noWrap/>
          </w:tcPr>
          <w:p>
            <w:pP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8" w:hRule="atLeast"/>
          <w:jc w:val="center"/>
        </w:trPr>
        <w:tc>
          <w:tcPr>
            <w:tcW w:w="878" w:type="dxa"/>
            <w:noWrap/>
          </w:tcPr>
          <w:p>
            <w:pP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2" w:hRule="atLeast"/>
          <w:jc w:val="center"/>
        </w:trPr>
        <w:tc>
          <w:tcPr>
            <w:tcW w:w="878" w:type="dxa"/>
            <w:noWrap/>
          </w:tcPr>
          <w:p>
            <w:pP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1" w:hRule="atLeast"/>
          <w:jc w:val="center"/>
        </w:trPr>
        <w:tc>
          <w:tcPr>
            <w:tcW w:w="878" w:type="dxa"/>
            <w:noWrap/>
          </w:tcPr>
          <w:p>
            <w:pP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878" w:type="dxa"/>
            <w:noWrap/>
          </w:tcPr>
          <w:p>
            <w:pP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9" w:hRule="atLeast"/>
          <w:jc w:val="center"/>
        </w:trPr>
        <w:tc>
          <w:tcPr>
            <w:tcW w:w="878" w:type="dxa"/>
            <w:noWrap/>
          </w:tcPr>
          <w:p>
            <w:pPr>
              <w:rPr>
                <w:rFonts w:ascii="宋体" w:hAnsi="宋体"/>
                <w:color w:val="auto"/>
                <w:sz w:val="24"/>
                <w:highlight w:val="none"/>
              </w:rPr>
            </w:pPr>
          </w:p>
        </w:tc>
        <w:tc>
          <w:tcPr>
            <w:tcW w:w="1855" w:type="dxa"/>
            <w:noWrap/>
          </w:tcPr>
          <w:p>
            <w:pPr>
              <w:rPr>
                <w:rFonts w:ascii="宋体" w:hAnsi="宋体"/>
                <w:color w:val="auto"/>
                <w:sz w:val="24"/>
                <w:highlight w:val="none"/>
              </w:rPr>
            </w:pPr>
          </w:p>
        </w:tc>
        <w:tc>
          <w:tcPr>
            <w:tcW w:w="1957" w:type="dxa"/>
            <w:noWrap/>
          </w:tcPr>
          <w:p>
            <w:pPr>
              <w:rPr>
                <w:rFonts w:ascii="宋体" w:hAnsi="宋体"/>
                <w:color w:val="auto"/>
                <w:sz w:val="24"/>
                <w:highlight w:val="none"/>
              </w:rPr>
            </w:pPr>
          </w:p>
        </w:tc>
        <w:tc>
          <w:tcPr>
            <w:tcW w:w="1620" w:type="dxa"/>
            <w:noWrap/>
          </w:tcPr>
          <w:p>
            <w:pPr>
              <w:rPr>
                <w:rFonts w:ascii="宋体" w:hAnsi="宋体"/>
                <w:color w:val="auto"/>
                <w:sz w:val="24"/>
                <w:highlight w:val="none"/>
              </w:rPr>
            </w:pPr>
          </w:p>
        </w:tc>
        <w:tc>
          <w:tcPr>
            <w:tcW w:w="2328" w:type="dxa"/>
            <w:noWrap/>
          </w:tcPr>
          <w:p>
            <w:pPr>
              <w:rPr>
                <w:rFonts w:ascii="宋体" w:hAnsi="宋体"/>
                <w:color w:val="auto"/>
                <w:sz w:val="24"/>
                <w:highlight w:val="none"/>
              </w:rPr>
            </w:pPr>
          </w:p>
        </w:tc>
      </w:tr>
    </w:tbl>
    <w:p>
      <w:pPr>
        <w:pStyle w:val="6"/>
        <w:spacing w:line="360" w:lineRule="auto"/>
        <w:rPr>
          <w:rFonts w:ascii="宋体"/>
          <w:color w:val="auto"/>
          <w:spacing w:val="20"/>
          <w:highlight w:val="none"/>
        </w:rPr>
      </w:pPr>
      <w:r>
        <w:rPr>
          <w:rFonts w:hint="eastAsia" w:ascii="宋体"/>
          <w:color w:val="auto"/>
          <w:highlight w:val="none"/>
        </w:rPr>
        <w:t>注：</w:t>
      </w:r>
      <w:r>
        <w:rPr>
          <w:rFonts w:hint="eastAsia" w:ascii="宋体" w:hAnsi="宋体"/>
          <w:b/>
          <w:bCs/>
          <w:color w:val="auto"/>
          <w:sz w:val="24"/>
          <w:szCs w:val="20"/>
          <w:highlight w:val="none"/>
        </w:rPr>
        <w:t>投标人应根据投标设备的性能指标、对照招标文件要求在“偏离情况”栏如实注明“正偏离”、“负偏离”或“无偏离”，不得虚假应标。</w:t>
      </w:r>
    </w:p>
    <w:p>
      <w:pPr>
        <w:snapToGrid w:val="0"/>
        <w:spacing w:before="50" w:after="50" w:line="360" w:lineRule="auto"/>
        <w:rPr>
          <w:rFonts w:ascii="宋体" w:hAnsi="宋体"/>
          <w:color w:val="auto"/>
          <w:spacing w:val="20"/>
          <w:sz w:val="24"/>
          <w:highlight w:val="none"/>
        </w:rPr>
      </w:pPr>
    </w:p>
    <w:p>
      <w:pPr>
        <w:snapToGrid w:val="0"/>
        <w:spacing w:before="50" w:after="50" w:line="360" w:lineRule="auto"/>
        <w:rPr>
          <w:rFonts w:ascii="宋体" w:hAnsi="宋体"/>
          <w:color w:val="auto"/>
          <w:spacing w:val="20"/>
          <w:sz w:val="24"/>
          <w:szCs w:val="20"/>
          <w:highlight w:val="none"/>
          <w:u w:val="single"/>
        </w:rPr>
      </w:pPr>
      <w:r>
        <w:rPr>
          <w:rFonts w:hint="eastAsia" w:ascii="宋体" w:hAnsi="宋体"/>
          <w:color w:val="auto"/>
          <w:sz w:val="24"/>
          <w:highlight w:val="none"/>
        </w:rPr>
        <w:t>法定代表人或授权代表签字</w:t>
      </w:r>
      <w:r>
        <w:rPr>
          <w:rFonts w:hint="eastAsia" w:ascii="宋体" w:hAnsi="宋体"/>
          <w:color w:val="auto"/>
          <w:spacing w:val="20"/>
          <w:sz w:val="24"/>
          <w:highlight w:val="none"/>
        </w:rPr>
        <w:t>：</w:t>
      </w:r>
    </w:p>
    <w:p>
      <w:pPr>
        <w:snapToGrid w:val="0"/>
        <w:spacing w:before="50" w:after="50" w:line="360" w:lineRule="auto"/>
        <w:rPr>
          <w:rFonts w:ascii="宋体" w:hAnsi="宋体"/>
          <w:color w:val="auto"/>
          <w:sz w:val="24"/>
          <w:szCs w:val="20"/>
          <w:highlight w:val="none"/>
        </w:rPr>
      </w:pPr>
      <w:r>
        <w:rPr>
          <w:rFonts w:hint="eastAsia" w:ascii="宋体" w:hAnsi="宋体"/>
          <w:color w:val="auto"/>
          <w:spacing w:val="20"/>
          <w:sz w:val="24"/>
          <w:highlight w:val="none"/>
        </w:rPr>
        <w:t>投标人盖章：日 期：</w:t>
      </w:r>
    </w:p>
    <w:p>
      <w:pPr>
        <w:snapToGrid w:val="0"/>
        <w:spacing w:before="50" w:after="156" w:afterLines="50" w:line="360" w:lineRule="auto"/>
        <w:jc w:val="left"/>
        <w:rPr>
          <w:rFonts w:ascii="宋体" w:hAnsi="宋体"/>
          <w:color w:val="auto"/>
          <w:sz w:val="24"/>
          <w:szCs w:val="20"/>
          <w:highlight w:val="none"/>
        </w:rPr>
      </w:pPr>
    </w:p>
    <w:p>
      <w:pPr>
        <w:snapToGrid w:val="0"/>
        <w:spacing w:before="50" w:after="50" w:line="400" w:lineRule="exact"/>
        <w:rPr>
          <w:rFonts w:ascii="宋体" w:hAnsi="宋体"/>
          <w:color w:val="auto"/>
          <w:sz w:val="24"/>
          <w:highlight w:val="none"/>
        </w:rPr>
      </w:pPr>
    </w:p>
    <w:p>
      <w:pPr>
        <w:snapToGrid w:val="0"/>
        <w:spacing w:before="50" w:after="156" w:afterLines="50"/>
        <w:jc w:val="left"/>
        <w:rPr>
          <w:rFonts w:ascii="宋体" w:hAnsi="宋体"/>
          <w:color w:val="auto"/>
          <w:sz w:val="24"/>
          <w:szCs w:val="20"/>
          <w:highlight w:val="none"/>
        </w:rPr>
      </w:pPr>
    </w:p>
    <w:p>
      <w:pPr>
        <w:snapToGrid w:val="0"/>
        <w:spacing w:before="156" w:beforeLines="50" w:after="50"/>
        <w:rPr>
          <w:rFonts w:ascii="宋体" w:hAnsi="宋体"/>
          <w:b/>
          <w:color w:val="auto"/>
          <w:sz w:val="24"/>
          <w:highlight w:val="none"/>
        </w:rPr>
      </w:pPr>
      <w:r>
        <w:rPr>
          <w:rFonts w:hint="eastAsia" w:ascii="宋体" w:hAnsi="宋体"/>
          <w:b/>
          <w:color w:val="auto"/>
          <w:sz w:val="24"/>
          <w:highlight w:val="none"/>
        </w:rPr>
        <w:t>5.报价文件目录</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（1）投标函（格式见附件5.1）</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（2）开标一览表（格式见附件5.2）</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（3）中小企业声明函（附件5.3：小微企业投标时适用，提供中小企业名录查询结果截图http://xwqy.gsxt.gov.cn，不提供不予抵扣）</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（4）残疾人福利性单位声明函（附件5.4：残疾人福利性单位投标时适用）</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（5）政府采购政策情况表（附件5.5：小微企业、残疾人福利性单位、监狱企业投标时适用）</w:t>
      </w:r>
    </w:p>
    <w:p>
      <w:pPr>
        <w:snapToGrid w:val="0"/>
        <w:ind w:firstLine="480" w:firstLineChars="200"/>
        <w:jc w:val="left"/>
        <w:rPr>
          <w:rFonts w:ascii="宋体" w:hAnsi="宋体"/>
          <w:color w:val="auto"/>
          <w:sz w:val="24"/>
          <w:highlight w:val="none"/>
        </w:rPr>
      </w:pPr>
      <w:r>
        <w:rPr>
          <w:rFonts w:hint="eastAsia" w:ascii="宋体" w:hAnsi="宋体"/>
          <w:color w:val="auto"/>
          <w:sz w:val="24"/>
          <w:highlight w:val="none"/>
        </w:rPr>
        <w:t>（6）制造企业情况表：（小微企业提供其他小微企业生产的产品时适用,提供中小企业名录查询结果截图http://xwqy.gsxt.gov.cn，不提供不予抵扣）</w:t>
      </w:r>
    </w:p>
    <w:p>
      <w:pPr>
        <w:snapToGrid w:val="0"/>
        <w:ind w:firstLine="480" w:firstLineChars="200"/>
        <w:jc w:val="left"/>
        <w:rPr>
          <w:rFonts w:ascii="宋体" w:hAnsi="宋体"/>
          <w:b/>
          <w:color w:val="auto"/>
          <w:sz w:val="24"/>
          <w:highlight w:val="none"/>
        </w:rPr>
      </w:pPr>
      <w:r>
        <w:rPr>
          <w:rFonts w:hint="eastAsia" w:ascii="宋体" w:hAnsi="宋体"/>
          <w:color w:val="auto"/>
          <w:sz w:val="24"/>
          <w:highlight w:val="none"/>
        </w:rPr>
        <w:t>（7）投标人针对报价需要说明的其他文件和说明（不含报价）。</w:t>
      </w: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5.1投标函</w:t>
      </w:r>
    </w:p>
    <w:p>
      <w:pPr>
        <w:pStyle w:val="8"/>
        <w:spacing w:before="156" w:after="156" w:line="312" w:lineRule="auto"/>
        <w:jc w:val="center"/>
        <w:rPr>
          <w:rFonts w:hAnsi="宋体"/>
          <w:b/>
          <w:bCs/>
          <w:color w:val="auto"/>
          <w:sz w:val="36"/>
          <w:szCs w:val="36"/>
          <w:highlight w:val="none"/>
        </w:rPr>
      </w:pPr>
      <w:r>
        <w:rPr>
          <w:rFonts w:hint="eastAsia" w:hAnsi="宋体"/>
          <w:b/>
          <w:bCs/>
          <w:color w:val="auto"/>
          <w:sz w:val="36"/>
          <w:szCs w:val="36"/>
          <w:highlight w:val="none"/>
        </w:rPr>
        <w:t>投 标 函</w:t>
      </w:r>
    </w:p>
    <w:p>
      <w:pPr>
        <w:pStyle w:val="4"/>
        <w:spacing w:line="312" w:lineRule="auto"/>
        <w:ind w:firstLine="0"/>
        <w:rPr>
          <w:rFonts w:ascii="宋体" w:hAnsi="宋体"/>
          <w:color w:val="auto"/>
          <w:sz w:val="24"/>
          <w:highlight w:val="none"/>
          <w:u w:val="single"/>
        </w:rPr>
      </w:pPr>
      <w:r>
        <w:rPr>
          <w:rFonts w:hint="eastAsia" w:ascii="宋体" w:hAnsi="宋体"/>
          <w:color w:val="auto"/>
          <w:sz w:val="24"/>
          <w:highlight w:val="none"/>
        </w:rPr>
        <w:t>致：</w:t>
      </w:r>
      <w:r>
        <w:rPr>
          <w:rFonts w:hint="eastAsia" w:ascii="宋体" w:hAnsi="宋体"/>
          <w:color w:val="auto"/>
          <w:sz w:val="24"/>
          <w:highlight w:val="none"/>
          <w:u w:val="single"/>
        </w:rPr>
        <w:t xml:space="preserve">  采购人 ，金华市公共资源交易中心东阳分中心 </w:t>
      </w:r>
      <w:r>
        <w:rPr>
          <w:rFonts w:hint="eastAsia" w:ascii="宋体" w:hAnsi="宋体"/>
          <w:color w:val="auto"/>
          <w:sz w:val="24"/>
          <w:highlight w:val="none"/>
        </w:rPr>
        <w:t>:</w:t>
      </w:r>
    </w:p>
    <w:p>
      <w:pPr>
        <w:snapToGrid w:val="0"/>
        <w:spacing w:line="312" w:lineRule="auto"/>
        <w:ind w:firstLine="480"/>
        <w:rPr>
          <w:rFonts w:ascii="宋体" w:hAnsi="宋体"/>
          <w:color w:val="auto"/>
          <w:sz w:val="24"/>
          <w:szCs w:val="20"/>
          <w:highlight w:val="none"/>
        </w:rPr>
      </w:pPr>
      <w:r>
        <w:rPr>
          <w:rFonts w:hint="eastAsia" w:ascii="宋体" w:hAnsi="宋体"/>
          <w:color w:val="auto"/>
          <w:sz w:val="24"/>
          <w:highlight w:val="none"/>
        </w:rPr>
        <w:t>根据贵方为项目的招标公告</w:t>
      </w:r>
      <w:r>
        <w:rPr>
          <w:rFonts w:ascii="宋体" w:hAnsi="宋体"/>
          <w:color w:val="auto"/>
          <w:sz w:val="24"/>
          <w:highlight w:val="none"/>
        </w:rPr>
        <w:t>/</w:t>
      </w:r>
      <w:r>
        <w:rPr>
          <w:rFonts w:hint="eastAsia" w:ascii="宋体" w:hAnsi="宋体"/>
          <w:color w:val="auto"/>
          <w:sz w:val="24"/>
          <w:highlight w:val="none"/>
        </w:rPr>
        <w:t>投标邀请书</w:t>
      </w:r>
    </w:p>
    <w:p>
      <w:pPr>
        <w:snapToGrid w:val="0"/>
        <w:spacing w:line="312" w:lineRule="auto"/>
        <w:rPr>
          <w:rFonts w:ascii="宋体" w:hAnsi="宋体"/>
          <w:color w:val="auto"/>
          <w:sz w:val="24"/>
          <w:szCs w:val="20"/>
          <w:highlight w:val="none"/>
        </w:rPr>
      </w:pPr>
      <w:r>
        <w:rPr>
          <w:rFonts w:hint="eastAsia" w:ascii="宋体" w:hAnsi="宋体"/>
          <w:color w:val="auto"/>
          <w:sz w:val="24"/>
          <w:highlight w:val="none"/>
        </w:rPr>
        <w:t>（项目编号：</w:t>
      </w:r>
      <w:r>
        <w:rPr>
          <w:rFonts w:ascii="宋体" w:hAnsi="宋体"/>
          <w:color w:val="auto"/>
          <w:sz w:val="24"/>
          <w:highlight w:val="none"/>
        </w:rPr>
        <w:t>____</w:t>
      </w:r>
      <w:r>
        <w:rPr>
          <w:rFonts w:ascii="宋体" w:hAnsi="宋体"/>
          <w:color w:val="auto"/>
          <w:sz w:val="24"/>
          <w:highlight w:val="none"/>
          <w:u w:val="single"/>
        </w:rPr>
        <w:t>_     _</w:t>
      </w:r>
      <w:r>
        <w:rPr>
          <w:rFonts w:ascii="宋体" w:hAnsi="宋体"/>
          <w:color w:val="auto"/>
          <w:sz w:val="24"/>
          <w:highlight w:val="none"/>
        </w:rPr>
        <w:t>_</w:t>
      </w:r>
      <w:r>
        <w:rPr>
          <w:rFonts w:hint="eastAsia" w:ascii="宋体" w:hAnsi="宋体"/>
          <w:color w:val="auto"/>
          <w:sz w:val="24"/>
          <w:highlight w:val="none"/>
        </w:rPr>
        <w:t>），签字代表</w:t>
      </w:r>
      <w:r>
        <w:rPr>
          <w:rFonts w:ascii="宋体" w:hAnsi="宋体"/>
          <w:color w:val="auto"/>
          <w:sz w:val="24"/>
          <w:highlight w:val="none"/>
        </w:rPr>
        <w:t>______</w:t>
      </w:r>
      <w:r>
        <w:rPr>
          <w:rFonts w:ascii="宋体" w:hAnsi="宋体"/>
          <w:color w:val="auto"/>
          <w:sz w:val="24"/>
          <w:highlight w:val="none"/>
          <w:u w:val="single"/>
        </w:rPr>
        <w:t xml:space="preserve">_     </w:t>
      </w:r>
      <w:r>
        <w:rPr>
          <w:rFonts w:hint="eastAsia" w:ascii="宋体" w:hAnsi="宋体"/>
          <w:color w:val="auto"/>
          <w:sz w:val="24"/>
          <w:highlight w:val="none"/>
        </w:rPr>
        <w:t>（全名）经正式授权并代表投标人</w:t>
      </w:r>
      <w:r>
        <w:rPr>
          <w:rFonts w:ascii="宋体" w:hAnsi="宋体"/>
          <w:color w:val="auto"/>
          <w:sz w:val="24"/>
          <w:highlight w:val="none"/>
        </w:rPr>
        <w:t>_____</w:t>
      </w:r>
      <w:r>
        <w:rPr>
          <w:rFonts w:ascii="宋体" w:hAnsi="宋体"/>
          <w:color w:val="auto"/>
          <w:sz w:val="24"/>
          <w:highlight w:val="none"/>
          <w:u w:val="single"/>
        </w:rPr>
        <w:t>__                    __</w:t>
      </w:r>
      <w:r>
        <w:rPr>
          <w:rFonts w:hint="eastAsia" w:ascii="宋体" w:hAnsi="宋体"/>
          <w:color w:val="auto"/>
          <w:sz w:val="24"/>
          <w:highlight w:val="none"/>
        </w:rPr>
        <w:t>（投标人名称）提交资信</w:t>
      </w:r>
      <w:r>
        <w:rPr>
          <w:rFonts w:ascii="宋体" w:hAnsi="宋体"/>
          <w:color w:val="auto"/>
          <w:sz w:val="24"/>
          <w:highlight w:val="none"/>
        </w:rPr>
        <w:t>/</w:t>
      </w:r>
      <w:r>
        <w:rPr>
          <w:rFonts w:hint="eastAsia" w:ascii="宋体" w:hAnsi="宋体"/>
          <w:color w:val="auto"/>
          <w:sz w:val="24"/>
          <w:highlight w:val="none"/>
        </w:rPr>
        <w:t>商务文件、技术文件、报价文件正本各一份、副本份。</w:t>
      </w:r>
    </w:p>
    <w:p>
      <w:pPr>
        <w:snapToGrid w:val="0"/>
        <w:spacing w:line="312" w:lineRule="auto"/>
        <w:ind w:firstLine="480" w:firstLineChars="200"/>
        <w:rPr>
          <w:rFonts w:ascii="宋体" w:hAnsi="宋体"/>
          <w:color w:val="auto"/>
          <w:sz w:val="24"/>
          <w:szCs w:val="20"/>
          <w:highlight w:val="none"/>
        </w:rPr>
      </w:pPr>
      <w:r>
        <w:rPr>
          <w:rFonts w:hint="eastAsia" w:ascii="宋体" w:hAnsi="宋体"/>
          <w:color w:val="auto"/>
          <w:sz w:val="24"/>
          <w:highlight w:val="none"/>
        </w:rPr>
        <w:t>据此函，签字代表宣布同意如下：</w:t>
      </w:r>
    </w:p>
    <w:p>
      <w:pPr>
        <w:snapToGrid w:val="0"/>
        <w:spacing w:line="312" w:lineRule="auto"/>
        <w:ind w:firstLine="480" w:firstLineChars="200"/>
        <w:rPr>
          <w:rFonts w:ascii="宋体" w:hAnsi="宋体"/>
          <w:color w:val="auto"/>
          <w:sz w:val="24"/>
          <w:szCs w:val="20"/>
          <w:highlight w:val="none"/>
        </w:rPr>
      </w:pPr>
      <w:r>
        <w:rPr>
          <w:rFonts w:ascii="宋体" w:hAnsi="宋体"/>
          <w:color w:val="auto"/>
          <w:sz w:val="24"/>
          <w:highlight w:val="none"/>
        </w:rPr>
        <w:t>1</w:t>
      </w:r>
      <w:r>
        <w:rPr>
          <w:rFonts w:hint="eastAsia" w:ascii="宋体" w:hAnsi="宋体"/>
          <w:color w:val="auto"/>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312" w:lineRule="auto"/>
        <w:ind w:firstLine="480" w:firstLineChars="200"/>
        <w:rPr>
          <w:rFonts w:ascii="宋体" w:hAnsi="宋体"/>
          <w:color w:val="auto"/>
          <w:sz w:val="24"/>
          <w:szCs w:val="20"/>
          <w:highlight w:val="none"/>
        </w:rPr>
      </w:pPr>
      <w:r>
        <w:rPr>
          <w:rFonts w:ascii="宋体" w:hAnsi="宋体"/>
          <w:color w:val="auto"/>
          <w:sz w:val="24"/>
          <w:highlight w:val="none"/>
        </w:rPr>
        <w:t>2</w:t>
      </w:r>
      <w:r>
        <w:rPr>
          <w:rFonts w:hint="eastAsia" w:ascii="宋体" w:hAnsi="宋体"/>
          <w:color w:val="auto"/>
          <w:sz w:val="24"/>
          <w:highlight w:val="none"/>
        </w:rPr>
        <w:t>.投标人在投标之前已经与贵方进行了充分的沟通，完全理解并接受招标文件的各项规定和要求，对招标文件的合理性、合法性不再有异议。</w:t>
      </w:r>
    </w:p>
    <w:p>
      <w:pPr>
        <w:snapToGrid w:val="0"/>
        <w:spacing w:line="312" w:lineRule="auto"/>
        <w:ind w:firstLine="480" w:firstLineChars="200"/>
        <w:rPr>
          <w:rFonts w:ascii="宋体" w:hAnsi="宋体"/>
          <w:color w:val="auto"/>
          <w:sz w:val="24"/>
          <w:szCs w:val="20"/>
          <w:highlight w:val="none"/>
        </w:rPr>
      </w:pPr>
      <w:r>
        <w:rPr>
          <w:rFonts w:ascii="宋体" w:hAnsi="宋体"/>
          <w:color w:val="auto"/>
          <w:sz w:val="24"/>
          <w:highlight w:val="none"/>
        </w:rPr>
        <w:t>3</w:t>
      </w:r>
      <w:r>
        <w:rPr>
          <w:rFonts w:hint="eastAsia" w:ascii="宋体" w:hAnsi="宋体"/>
          <w:color w:val="auto"/>
          <w:sz w:val="24"/>
          <w:highlight w:val="none"/>
        </w:rPr>
        <w:t>.本投标有效期自开标日起</w:t>
      </w:r>
      <w:r>
        <w:rPr>
          <w:rFonts w:ascii="宋体" w:hAnsi="宋体"/>
          <w:color w:val="auto"/>
          <w:sz w:val="24"/>
          <w:highlight w:val="none"/>
        </w:rPr>
        <w:t xml:space="preserve"> ______</w:t>
      </w:r>
      <w:r>
        <w:rPr>
          <w:rFonts w:hint="eastAsia" w:ascii="宋体" w:hAnsi="宋体"/>
          <w:color w:val="auto"/>
          <w:sz w:val="24"/>
          <w:highlight w:val="none"/>
        </w:rPr>
        <w:t>天。</w:t>
      </w:r>
    </w:p>
    <w:p>
      <w:pPr>
        <w:snapToGrid w:val="0"/>
        <w:spacing w:line="312" w:lineRule="auto"/>
        <w:ind w:firstLine="480" w:firstLineChars="200"/>
        <w:rPr>
          <w:rFonts w:ascii="宋体" w:hAnsi="宋体"/>
          <w:color w:val="auto"/>
          <w:sz w:val="24"/>
          <w:szCs w:val="20"/>
          <w:highlight w:val="none"/>
        </w:rPr>
      </w:pPr>
      <w:r>
        <w:rPr>
          <w:rFonts w:ascii="宋体" w:hAnsi="宋体"/>
          <w:color w:val="auto"/>
          <w:sz w:val="24"/>
          <w:highlight w:val="none"/>
        </w:rPr>
        <w:t>4</w:t>
      </w:r>
      <w:r>
        <w:rPr>
          <w:rFonts w:hint="eastAsia" w:ascii="宋体" w:hAnsi="宋体"/>
          <w:color w:val="auto"/>
          <w:sz w:val="24"/>
          <w:highlight w:val="none"/>
        </w:rPr>
        <w:t>.如中标，本投标文件至本项目合同履行完毕止均保持有效，本投标人将按“招标文件”及政府采购法律、法规的规定履行合同责任和义务。</w:t>
      </w:r>
    </w:p>
    <w:p>
      <w:pPr>
        <w:snapToGrid w:val="0"/>
        <w:spacing w:line="312" w:lineRule="auto"/>
        <w:ind w:firstLine="480" w:firstLineChars="200"/>
        <w:rPr>
          <w:rFonts w:ascii="宋体" w:hAnsi="宋体"/>
          <w:color w:val="auto"/>
          <w:sz w:val="24"/>
          <w:szCs w:val="20"/>
          <w:highlight w:val="none"/>
        </w:rPr>
      </w:pPr>
      <w:r>
        <w:rPr>
          <w:rFonts w:ascii="宋体" w:hAnsi="宋体"/>
          <w:color w:val="auto"/>
          <w:sz w:val="24"/>
          <w:highlight w:val="none"/>
        </w:rPr>
        <w:t>5</w:t>
      </w:r>
      <w:r>
        <w:rPr>
          <w:rFonts w:hint="eastAsia" w:ascii="宋体" w:hAnsi="宋体"/>
          <w:color w:val="auto"/>
          <w:sz w:val="24"/>
          <w:highlight w:val="none"/>
        </w:rPr>
        <w:t>.投标人同意按照贵方要求提供与投标有关的一切数据或资料。</w:t>
      </w:r>
    </w:p>
    <w:p>
      <w:pPr>
        <w:snapToGrid w:val="0"/>
        <w:spacing w:line="312" w:lineRule="auto"/>
        <w:ind w:firstLine="480" w:firstLineChars="200"/>
        <w:rPr>
          <w:rFonts w:ascii="宋体" w:hAnsi="宋体"/>
          <w:color w:val="auto"/>
          <w:sz w:val="24"/>
          <w:szCs w:val="20"/>
          <w:highlight w:val="none"/>
        </w:rPr>
      </w:pPr>
      <w:r>
        <w:rPr>
          <w:rFonts w:ascii="宋体" w:hAnsi="宋体"/>
          <w:color w:val="auto"/>
          <w:sz w:val="24"/>
          <w:highlight w:val="none"/>
        </w:rPr>
        <w:t>6</w:t>
      </w:r>
      <w:r>
        <w:rPr>
          <w:rFonts w:hint="eastAsia" w:ascii="宋体" w:hAnsi="宋体"/>
          <w:color w:val="auto"/>
          <w:sz w:val="24"/>
          <w:highlight w:val="none"/>
        </w:rPr>
        <w:t>.与本投标有关的一切正式往来信函请寄：</w:t>
      </w:r>
    </w:p>
    <w:p>
      <w:pPr>
        <w:snapToGrid w:val="0"/>
        <w:spacing w:line="312" w:lineRule="auto"/>
        <w:rPr>
          <w:rFonts w:ascii="宋体" w:hAnsi="宋体"/>
          <w:color w:val="auto"/>
          <w:sz w:val="24"/>
          <w:szCs w:val="20"/>
          <w:highlight w:val="none"/>
        </w:rPr>
      </w:pPr>
      <w:r>
        <w:rPr>
          <w:rFonts w:hint="eastAsia" w:ascii="宋体" w:hAnsi="宋体"/>
          <w:color w:val="auto"/>
          <w:sz w:val="24"/>
          <w:highlight w:val="none"/>
        </w:rPr>
        <w:t>地址：</w:t>
      </w:r>
      <w:r>
        <w:rPr>
          <w:rFonts w:ascii="宋体" w:hAnsi="宋体"/>
          <w:color w:val="auto"/>
          <w:sz w:val="24"/>
          <w:highlight w:val="none"/>
        </w:rPr>
        <w:t>__________</w:t>
      </w:r>
      <w:r>
        <w:rPr>
          <w:rFonts w:ascii="宋体" w:hAnsi="宋体"/>
          <w:color w:val="auto"/>
          <w:sz w:val="24"/>
          <w:highlight w:val="none"/>
          <w:u w:val="single"/>
        </w:rPr>
        <w:t xml:space="preserve">        _</w:t>
      </w:r>
      <w:r>
        <w:rPr>
          <w:rFonts w:ascii="宋体" w:hAnsi="宋体"/>
          <w:color w:val="auto"/>
          <w:sz w:val="24"/>
          <w:highlight w:val="none"/>
        </w:rPr>
        <w:t>____</w:t>
      </w:r>
      <w:r>
        <w:rPr>
          <w:rFonts w:hint="eastAsia" w:ascii="宋体" w:hAnsi="宋体"/>
          <w:color w:val="auto"/>
          <w:sz w:val="24"/>
          <w:highlight w:val="none"/>
        </w:rPr>
        <w:t>邮编：</w:t>
      </w:r>
      <w:r>
        <w:rPr>
          <w:rFonts w:ascii="宋体" w:hAnsi="宋体"/>
          <w:color w:val="auto"/>
          <w:sz w:val="24"/>
          <w:highlight w:val="none"/>
        </w:rPr>
        <w:t xml:space="preserve">__________   </w:t>
      </w:r>
      <w:r>
        <w:rPr>
          <w:rFonts w:hint="eastAsia" w:ascii="宋体" w:hAnsi="宋体"/>
          <w:color w:val="auto"/>
          <w:sz w:val="24"/>
          <w:highlight w:val="none"/>
        </w:rPr>
        <w:t>电话：</w:t>
      </w:r>
      <w:r>
        <w:rPr>
          <w:rFonts w:ascii="宋体" w:hAnsi="宋体"/>
          <w:color w:val="auto"/>
          <w:sz w:val="24"/>
          <w:highlight w:val="none"/>
        </w:rPr>
        <w:t>______________</w:t>
      </w:r>
    </w:p>
    <w:p>
      <w:pPr>
        <w:snapToGrid w:val="0"/>
        <w:spacing w:line="312" w:lineRule="auto"/>
        <w:rPr>
          <w:rFonts w:ascii="宋体" w:hAnsi="宋体"/>
          <w:color w:val="auto"/>
          <w:sz w:val="24"/>
          <w:szCs w:val="20"/>
          <w:highlight w:val="none"/>
        </w:rPr>
      </w:pPr>
      <w:r>
        <w:rPr>
          <w:rFonts w:hint="eastAsia" w:ascii="宋体" w:hAnsi="宋体"/>
          <w:color w:val="auto"/>
          <w:sz w:val="24"/>
          <w:highlight w:val="none"/>
        </w:rPr>
        <w:t>传真：</w:t>
      </w:r>
      <w:r>
        <w:rPr>
          <w:rFonts w:ascii="宋体" w:hAnsi="宋体"/>
          <w:color w:val="auto"/>
          <w:sz w:val="24"/>
          <w:highlight w:val="none"/>
        </w:rPr>
        <w:t>______________</w:t>
      </w:r>
      <w:r>
        <w:rPr>
          <w:rFonts w:hint="eastAsia" w:ascii="宋体" w:hAnsi="宋体"/>
          <w:color w:val="auto"/>
          <w:sz w:val="24"/>
          <w:highlight w:val="none"/>
        </w:rPr>
        <w:t>投标人代表姓名</w:t>
      </w:r>
      <w:r>
        <w:rPr>
          <w:rFonts w:ascii="宋体" w:hAnsi="宋体"/>
          <w:color w:val="auto"/>
          <w:sz w:val="24"/>
          <w:highlight w:val="none"/>
        </w:rPr>
        <w:t xml:space="preserve"> ___________  </w:t>
      </w:r>
      <w:r>
        <w:rPr>
          <w:rFonts w:hint="eastAsia" w:ascii="宋体" w:hAnsi="宋体"/>
          <w:color w:val="auto"/>
          <w:sz w:val="24"/>
          <w:highlight w:val="none"/>
        </w:rPr>
        <w:t>职务：</w:t>
      </w:r>
      <w:r>
        <w:rPr>
          <w:rFonts w:ascii="宋体" w:hAnsi="宋体"/>
          <w:color w:val="auto"/>
          <w:sz w:val="24"/>
          <w:highlight w:val="none"/>
        </w:rPr>
        <w:t>_____________</w:t>
      </w:r>
    </w:p>
    <w:p>
      <w:pPr>
        <w:snapToGrid w:val="0"/>
        <w:spacing w:line="312" w:lineRule="auto"/>
        <w:rPr>
          <w:rFonts w:ascii="宋体" w:hAnsi="宋体"/>
          <w:color w:val="auto"/>
          <w:sz w:val="24"/>
          <w:szCs w:val="20"/>
          <w:highlight w:val="none"/>
        </w:rPr>
      </w:pPr>
      <w:r>
        <w:rPr>
          <w:rFonts w:hint="eastAsia" w:ascii="宋体" w:hAnsi="宋体"/>
          <w:color w:val="auto"/>
          <w:sz w:val="24"/>
          <w:highlight w:val="none"/>
        </w:rPr>
        <w:t>投标人名称</w:t>
      </w:r>
      <w:r>
        <w:rPr>
          <w:rFonts w:ascii="宋体" w:hAnsi="宋体"/>
          <w:color w:val="auto"/>
          <w:sz w:val="24"/>
          <w:highlight w:val="none"/>
        </w:rPr>
        <w:t>(</w:t>
      </w:r>
      <w:r>
        <w:rPr>
          <w:rFonts w:hint="eastAsia" w:ascii="宋体" w:hAnsi="宋体"/>
          <w:color w:val="auto"/>
          <w:sz w:val="24"/>
          <w:highlight w:val="none"/>
        </w:rPr>
        <w:t>公章</w:t>
      </w:r>
      <w:r>
        <w:rPr>
          <w:rFonts w:ascii="宋体" w:hAnsi="宋体"/>
          <w:color w:val="auto"/>
          <w:sz w:val="24"/>
          <w:highlight w:val="none"/>
        </w:rPr>
        <w:t>):___________________</w:t>
      </w:r>
    </w:p>
    <w:p>
      <w:pPr>
        <w:snapToGrid w:val="0"/>
        <w:spacing w:line="312" w:lineRule="auto"/>
        <w:rPr>
          <w:rFonts w:ascii="宋体" w:hAnsi="宋体"/>
          <w:color w:val="auto"/>
          <w:sz w:val="24"/>
          <w:highlight w:val="none"/>
        </w:rPr>
      </w:pPr>
      <w:r>
        <w:rPr>
          <w:rFonts w:hint="eastAsia" w:ascii="宋体" w:hAnsi="宋体"/>
          <w:color w:val="auto"/>
          <w:sz w:val="24"/>
          <w:highlight w:val="none"/>
        </w:rPr>
        <w:t>授权代表签字</w:t>
      </w:r>
      <w:r>
        <w:rPr>
          <w:rFonts w:ascii="宋体" w:hAnsi="宋体"/>
          <w:color w:val="auto"/>
          <w:sz w:val="24"/>
          <w:highlight w:val="none"/>
        </w:rPr>
        <w:t xml:space="preserve">:___________ </w:t>
      </w:r>
      <w:r>
        <w:rPr>
          <w:rFonts w:hint="eastAsia" w:ascii="宋体" w:hAnsi="宋体"/>
          <w:color w:val="auto"/>
          <w:sz w:val="24"/>
          <w:highlight w:val="none"/>
        </w:rPr>
        <w:t>日期</w:t>
      </w:r>
      <w:r>
        <w:rPr>
          <w:rFonts w:ascii="宋体" w:hAnsi="宋体"/>
          <w:color w:val="auto"/>
          <w:sz w:val="24"/>
          <w:highlight w:val="none"/>
        </w:rPr>
        <w:t>:_____</w:t>
      </w:r>
      <w:r>
        <w:rPr>
          <w:rFonts w:hint="eastAsia" w:ascii="宋体" w:hAnsi="宋体"/>
          <w:color w:val="auto"/>
          <w:sz w:val="24"/>
          <w:highlight w:val="none"/>
        </w:rPr>
        <w:t>年</w:t>
      </w:r>
      <w:r>
        <w:rPr>
          <w:rFonts w:ascii="宋体" w:hAnsi="宋体"/>
          <w:color w:val="auto"/>
          <w:sz w:val="24"/>
          <w:highlight w:val="none"/>
        </w:rPr>
        <w:t>___</w:t>
      </w:r>
      <w:r>
        <w:rPr>
          <w:rFonts w:hint="eastAsia" w:ascii="宋体" w:hAnsi="宋体"/>
          <w:color w:val="auto"/>
          <w:sz w:val="24"/>
          <w:highlight w:val="none"/>
        </w:rPr>
        <w:t>月</w:t>
      </w:r>
      <w:r>
        <w:rPr>
          <w:rFonts w:ascii="宋体" w:hAnsi="宋体"/>
          <w:color w:val="auto"/>
          <w:sz w:val="24"/>
          <w:highlight w:val="none"/>
        </w:rPr>
        <w:t>___</w:t>
      </w:r>
      <w:r>
        <w:rPr>
          <w:rFonts w:hint="eastAsia" w:ascii="宋体" w:hAnsi="宋体"/>
          <w:color w:val="auto"/>
          <w:sz w:val="24"/>
          <w:highlight w:val="none"/>
        </w:rPr>
        <w:t>日</w:t>
      </w:r>
    </w:p>
    <w:p>
      <w:pPr>
        <w:snapToGrid w:val="0"/>
        <w:spacing w:line="312" w:lineRule="auto"/>
        <w:rPr>
          <w:rFonts w:ascii="宋体" w:hAnsi="宋体"/>
          <w:color w:val="auto"/>
          <w:sz w:val="24"/>
          <w:highlight w:val="none"/>
        </w:rPr>
      </w:pPr>
    </w:p>
    <w:p>
      <w:pPr>
        <w:snapToGrid w:val="0"/>
        <w:spacing w:line="312" w:lineRule="auto"/>
        <w:rPr>
          <w:rFonts w:ascii="宋体" w:hAnsi="宋体"/>
          <w:color w:val="auto"/>
          <w:sz w:val="24"/>
          <w:highlight w:val="non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5.2开标一览表</w:t>
      </w:r>
    </w:p>
    <w:p>
      <w:pPr>
        <w:snapToGrid w:val="0"/>
        <w:spacing w:before="50" w:after="50"/>
        <w:jc w:val="center"/>
        <w:rPr>
          <w:rFonts w:ascii="宋体" w:hAnsi="宋体"/>
          <w:b/>
          <w:color w:val="auto"/>
          <w:sz w:val="30"/>
          <w:szCs w:val="20"/>
          <w:highlight w:val="none"/>
        </w:rPr>
      </w:pPr>
      <w:r>
        <w:rPr>
          <w:rFonts w:hint="eastAsia" w:ascii="宋体" w:hAnsi="宋体"/>
          <w:b/>
          <w:color w:val="auto"/>
          <w:sz w:val="30"/>
          <w:highlight w:val="none"/>
        </w:rPr>
        <w:t>开标一览表</w:t>
      </w:r>
    </w:p>
    <w:p>
      <w:pPr>
        <w:snapToGrid w:val="0"/>
        <w:spacing w:before="50" w:after="50" w:line="360" w:lineRule="auto"/>
        <w:rPr>
          <w:rFonts w:ascii="宋体" w:hAnsi="宋体"/>
          <w:color w:val="auto"/>
          <w:sz w:val="24"/>
          <w:highlight w:val="none"/>
        </w:rPr>
      </w:pPr>
    </w:p>
    <w:p>
      <w:pPr>
        <w:snapToGrid w:val="0"/>
        <w:spacing w:before="50" w:after="50" w:line="360" w:lineRule="auto"/>
        <w:rPr>
          <w:rFonts w:ascii="宋体" w:hAnsi="宋体"/>
          <w:color w:val="auto"/>
          <w:sz w:val="24"/>
          <w:szCs w:val="20"/>
          <w:highlight w:val="none"/>
        </w:rPr>
      </w:pPr>
      <w:r>
        <w:rPr>
          <w:rFonts w:hint="eastAsia" w:ascii="宋体" w:hAnsi="宋体"/>
          <w:color w:val="auto"/>
          <w:sz w:val="24"/>
          <w:highlight w:val="none"/>
        </w:rPr>
        <w:t>招标编号：标项：单位：元</w:t>
      </w:r>
    </w:p>
    <w:tbl>
      <w:tblPr>
        <w:tblStyle w:val="18"/>
        <w:tblW w:w="8979"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9"/>
        <w:gridCol w:w="1835"/>
        <w:gridCol w:w="751"/>
        <w:gridCol w:w="819"/>
        <w:gridCol w:w="1462"/>
        <w:gridCol w:w="1164"/>
        <w:gridCol w:w="733"/>
        <w:gridCol w:w="14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7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r>
              <w:rPr>
                <w:rFonts w:hint="eastAsia" w:ascii="宋体" w:hAnsi="宋体"/>
                <w:b/>
                <w:color w:val="auto"/>
                <w:szCs w:val="30"/>
                <w:highlight w:val="none"/>
              </w:rPr>
              <w:t>序号</w:t>
            </w:r>
          </w:p>
        </w:tc>
        <w:tc>
          <w:tcPr>
            <w:tcW w:w="183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r>
              <w:rPr>
                <w:rFonts w:hint="eastAsia" w:ascii="宋体" w:hAnsi="宋体"/>
                <w:b/>
                <w:color w:val="auto"/>
                <w:szCs w:val="30"/>
                <w:highlight w:val="none"/>
              </w:rPr>
              <w:t>货物名称</w:t>
            </w:r>
          </w:p>
        </w:tc>
        <w:tc>
          <w:tcPr>
            <w:tcW w:w="75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r>
              <w:rPr>
                <w:rFonts w:hint="eastAsia" w:ascii="宋体" w:hAnsi="宋体"/>
                <w:b/>
                <w:color w:val="auto"/>
                <w:szCs w:val="30"/>
                <w:highlight w:val="none"/>
              </w:rPr>
              <w:t>数量</w:t>
            </w:r>
          </w:p>
        </w:tc>
        <w:tc>
          <w:tcPr>
            <w:tcW w:w="8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r>
              <w:rPr>
                <w:rFonts w:hint="eastAsia" w:ascii="宋体" w:hAnsi="宋体"/>
                <w:b/>
                <w:color w:val="auto"/>
                <w:szCs w:val="30"/>
                <w:highlight w:val="none"/>
              </w:rPr>
              <w:t>产地</w:t>
            </w:r>
          </w:p>
        </w:tc>
        <w:tc>
          <w:tcPr>
            <w:tcW w:w="1462"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r>
              <w:rPr>
                <w:rFonts w:hint="eastAsia" w:ascii="宋体" w:hAnsi="宋体"/>
                <w:b/>
                <w:color w:val="auto"/>
                <w:szCs w:val="30"/>
                <w:highlight w:val="none"/>
              </w:rPr>
              <w:t>品牌及厂家</w:t>
            </w:r>
          </w:p>
        </w:tc>
        <w:tc>
          <w:tcPr>
            <w:tcW w:w="116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r>
              <w:rPr>
                <w:rFonts w:hint="eastAsia" w:ascii="宋体" w:hAnsi="宋体"/>
                <w:b/>
                <w:color w:val="auto"/>
                <w:szCs w:val="30"/>
                <w:highlight w:val="none"/>
              </w:rPr>
              <w:t>规格型号</w:t>
            </w:r>
          </w:p>
        </w:tc>
        <w:tc>
          <w:tcPr>
            <w:tcW w:w="73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r>
              <w:rPr>
                <w:rFonts w:hint="eastAsia" w:ascii="宋体" w:hAnsi="宋体"/>
                <w:b/>
                <w:color w:val="auto"/>
                <w:szCs w:val="30"/>
                <w:highlight w:val="none"/>
              </w:rPr>
              <w:t>综合单价</w:t>
            </w:r>
          </w:p>
        </w:tc>
        <w:tc>
          <w:tcPr>
            <w:tcW w:w="149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r>
              <w:rPr>
                <w:rFonts w:hint="eastAsia" w:ascii="宋体" w:hAnsi="宋体"/>
                <w:b/>
                <w:color w:val="auto"/>
                <w:szCs w:val="30"/>
                <w:highlight w:val="none"/>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7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83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75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8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462"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16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73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49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7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83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75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8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462"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16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73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49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7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83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75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8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462"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16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73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c>
          <w:tcPr>
            <w:tcW w:w="149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b/>
                <w:color w:val="auto"/>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1" w:hRule="atLeast"/>
          <w:jc w:val="center"/>
        </w:trPr>
        <w:tc>
          <w:tcPr>
            <w:tcW w:w="8979" w:type="dxa"/>
            <w:gridSpan w:val="8"/>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ascii="宋体" w:hAnsi="宋体"/>
                <w:color w:val="auto"/>
                <w:sz w:val="24"/>
                <w:szCs w:val="21"/>
                <w:highlight w:val="none"/>
              </w:rPr>
            </w:pPr>
            <w:r>
              <w:rPr>
                <w:rFonts w:hint="eastAsia" w:ascii="宋体" w:hAnsi="宋体"/>
                <w:color w:val="auto"/>
                <w:sz w:val="24"/>
                <w:szCs w:val="21"/>
                <w:highlight w:val="none"/>
              </w:rPr>
              <w:t>合计金额大写（人民币）：                               ￥</w:t>
            </w:r>
          </w:p>
        </w:tc>
      </w:tr>
    </w:tbl>
    <w:p>
      <w:pPr>
        <w:snapToGrid w:val="0"/>
        <w:spacing w:before="50" w:after="50" w:line="360" w:lineRule="auto"/>
        <w:jc w:val="left"/>
        <w:rPr>
          <w:rFonts w:ascii="宋体" w:hAnsi="宋体"/>
          <w:color w:val="auto"/>
          <w:sz w:val="24"/>
          <w:szCs w:val="20"/>
          <w:highlight w:val="none"/>
        </w:rPr>
      </w:pPr>
      <w:r>
        <w:rPr>
          <w:rFonts w:hint="eastAsia" w:ascii="宋体" w:hAnsi="宋体"/>
          <w:color w:val="auto"/>
          <w:sz w:val="24"/>
          <w:highlight w:val="none"/>
        </w:rPr>
        <w:t>注</w:t>
      </w:r>
      <w:r>
        <w:rPr>
          <w:rFonts w:ascii="宋体" w:hAnsi="宋体"/>
          <w:color w:val="auto"/>
          <w:sz w:val="24"/>
          <w:highlight w:val="none"/>
        </w:rPr>
        <w:t>: 1</w:t>
      </w:r>
      <w:r>
        <w:rPr>
          <w:rFonts w:hint="eastAsia" w:ascii="宋体" w:hAnsi="宋体"/>
          <w:color w:val="auto"/>
          <w:sz w:val="24"/>
          <w:highlight w:val="none"/>
        </w:rPr>
        <w:t>、报价一经涂改，应在涂改处加盖单位公章或者由法定代表人或授权委托人签字或盖章，否则其投标作无效标处理。</w:t>
      </w:r>
    </w:p>
    <w:p>
      <w:pPr>
        <w:numPr>
          <w:ilvl w:val="0"/>
          <w:numId w:val="9"/>
        </w:numPr>
        <w:snapToGrid w:val="0"/>
        <w:spacing w:before="50" w:after="5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投标费用包括项目实施所需的人工费、服务费、运输费、安装调试费、购买及制作标书费、税费及其他一切费用。</w:t>
      </w:r>
    </w:p>
    <w:p>
      <w:pPr>
        <w:snapToGrid w:val="0"/>
        <w:spacing w:before="50" w:after="5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3、本表格式不允许修改，否则作无效标处理。</w:t>
      </w:r>
    </w:p>
    <w:p>
      <w:pPr>
        <w:snapToGrid w:val="0"/>
        <w:spacing w:before="50" w:after="50" w:line="360" w:lineRule="auto"/>
        <w:jc w:val="left"/>
        <w:rPr>
          <w:rFonts w:ascii="宋体" w:hAnsi="宋体"/>
          <w:color w:val="auto"/>
          <w:sz w:val="24"/>
          <w:szCs w:val="20"/>
          <w:highlight w:val="none"/>
        </w:rPr>
      </w:pPr>
    </w:p>
    <w:p>
      <w:pPr>
        <w:snapToGrid w:val="0"/>
        <w:spacing w:before="50" w:after="50"/>
        <w:ind w:left="-3" w:leftChars="-72" w:right="-817" w:rightChars="-389" w:hanging="148" w:hangingChars="62"/>
        <w:rPr>
          <w:rFonts w:ascii="宋体" w:hAnsi="宋体"/>
          <w:color w:val="auto"/>
          <w:sz w:val="24"/>
          <w:highlight w:val="none"/>
        </w:rPr>
      </w:pPr>
    </w:p>
    <w:p>
      <w:pPr>
        <w:snapToGrid w:val="0"/>
        <w:spacing w:before="50" w:after="50" w:line="360" w:lineRule="auto"/>
        <w:ind w:left="-3" w:leftChars="-72" w:right="-817" w:rightChars="-389" w:hanging="148" w:hangingChars="62"/>
        <w:rPr>
          <w:rFonts w:ascii="宋体" w:hAnsi="宋体"/>
          <w:color w:val="auto"/>
          <w:sz w:val="24"/>
          <w:szCs w:val="20"/>
          <w:highlight w:val="none"/>
        </w:rPr>
      </w:pPr>
      <w:r>
        <w:rPr>
          <w:rFonts w:hint="eastAsia" w:ascii="宋体" w:hAnsi="宋体"/>
          <w:color w:val="auto"/>
          <w:sz w:val="24"/>
          <w:highlight w:val="none"/>
        </w:rPr>
        <w:t>法定代表人或授权代表（签字）：</w:t>
      </w:r>
    </w:p>
    <w:p>
      <w:pPr>
        <w:snapToGrid w:val="0"/>
        <w:spacing w:before="50" w:after="50" w:line="360" w:lineRule="auto"/>
        <w:ind w:left="-3" w:leftChars="-72" w:right="-817" w:rightChars="-389" w:hanging="148" w:hangingChars="62"/>
        <w:rPr>
          <w:rFonts w:ascii="宋体" w:hAnsi="宋体"/>
          <w:color w:val="auto"/>
          <w:sz w:val="24"/>
          <w:highlight w:val="none"/>
        </w:rPr>
      </w:pPr>
      <w:r>
        <w:rPr>
          <w:rFonts w:hint="eastAsia" w:ascii="宋体" w:hAnsi="宋体"/>
          <w:color w:val="auto"/>
          <w:sz w:val="24"/>
          <w:highlight w:val="none"/>
        </w:rPr>
        <w:t>投标人名称（盖章）：</w:t>
      </w:r>
    </w:p>
    <w:p>
      <w:pPr>
        <w:snapToGrid w:val="0"/>
        <w:spacing w:before="50" w:after="50" w:line="360" w:lineRule="auto"/>
        <w:ind w:left="-3" w:leftChars="-72" w:right="-817" w:rightChars="-389" w:hanging="148" w:hangingChars="62"/>
        <w:rPr>
          <w:rFonts w:ascii="宋体" w:hAnsi="宋体"/>
          <w:color w:val="auto"/>
          <w:sz w:val="24"/>
          <w:highlight w:val="none"/>
        </w:rPr>
      </w:pPr>
    </w:p>
    <w:p>
      <w:pPr>
        <w:snapToGrid w:val="0"/>
        <w:spacing w:before="50" w:after="50" w:line="360" w:lineRule="auto"/>
        <w:ind w:left="-3" w:leftChars="-72" w:right="-817" w:rightChars="-389" w:hanging="148" w:hangingChars="62"/>
        <w:rPr>
          <w:rFonts w:ascii="宋体" w:hAnsi="宋体"/>
          <w:color w:val="auto"/>
          <w:sz w:val="24"/>
          <w:highlight w:val="none"/>
        </w:rPr>
      </w:pPr>
      <w:r>
        <w:rPr>
          <w:rFonts w:hint="eastAsia" w:ascii="宋体" w:hAnsi="宋体"/>
          <w:color w:val="auto"/>
          <w:sz w:val="24"/>
          <w:highlight w:val="none"/>
        </w:rPr>
        <w:t>日期：  年  月  日</w:t>
      </w:r>
    </w:p>
    <w:p>
      <w:pPr>
        <w:snapToGrid w:val="0"/>
        <w:spacing w:line="360" w:lineRule="auto"/>
        <w:rPr>
          <w:rFonts w:ascii="宋体" w:hAnsi="宋体"/>
          <w:color w:val="auto"/>
          <w:sz w:val="24"/>
          <w:highlight w:val="none"/>
        </w:rPr>
      </w:pPr>
    </w:p>
    <w:p>
      <w:pPr>
        <w:snapToGrid w:val="0"/>
        <w:spacing w:line="360" w:lineRule="auto"/>
        <w:rPr>
          <w:rFonts w:ascii="宋体" w:hAnsi="宋体"/>
          <w:color w:val="auto"/>
          <w:sz w:val="24"/>
          <w:highlight w:val="none"/>
        </w:rPr>
      </w:pPr>
    </w:p>
    <w:p>
      <w:pPr>
        <w:snapToGrid w:val="0"/>
        <w:spacing w:line="360" w:lineRule="auto"/>
        <w:rPr>
          <w:rFonts w:ascii="宋体" w:hAnsi="宋体"/>
          <w:color w:val="auto"/>
          <w:sz w:val="24"/>
          <w:highlight w:val="none"/>
        </w:rPr>
      </w:pPr>
    </w:p>
    <w:p>
      <w:pPr>
        <w:snapToGrid w:val="0"/>
        <w:spacing w:before="156" w:beforeLines="50" w:after="50"/>
        <w:rPr>
          <w:rFonts w:ascii="宋体" w:hAnsi="宋体"/>
          <w:b/>
          <w:color w:val="auto"/>
          <w:sz w:val="24"/>
          <w:highlight w:val="none"/>
        </w:rPr>
      </w:pPr>
      <w:bookmarkStart w:id="3" w:name="_Toc518487309"/>
    </w:p>
    <w:p>
      <w:pPr>
        <w:snapToGrid w:val="0"/>
        <w:spacing w:before="156" w:beforeLines="50" w:after="50"/>
        <w:rPr>
          <w:rFonts w:ascii="宋体" w:hAnsi="宋体"/>
          <w:b/>
          <w:color w:val="auto"/>
          <w:sz w:val="24"/>
          <w:highlight w:val="none"/>
        </w:rPr>
      </w:pPr>
    </w:p>
    <w:p>
      <w:pPr>
        <w:snapToGrid w:val="0"/>
        <w:spacing w:before="156" w:beforeLines="50" w:after="50"/>
        <w:rPr>
          <w:rFonts w:ascii="宋体" w:hAnsi="宋体"/>
          <w:b/>
          <w:color w:val="auto"/>
          <w:sz w:val="24"/>
          <w:highlight w:val="none"/>
        </w:rPr>
      </w:pPr>
    </w:p>
    <w:p>
      <w:pPr>
        <w:snapToGrid w:val="0"/>
        <w:spacing w:before="156" w:beforeLines="50" w:after="50"/>
        <w:rPr>
          <w:rFonts w:ascii="宋体" w:hAnsi="宋体"/>
          <w:b/>
          <w:color w:val="auto"/>
          <w:sz w:val="24"/>
          <w:highlight w:val="none"/>
        </w:rPr>
      </w:pPr>
      <w:r>
        <w:rPr>
          <w:rFonts w:hint="eastAsia" w:ascii="宋体" w:hAnsi="宋体"/>
          <w:b/>
          <w:color w:val="auto"/>
          <w:sz w:val="24"/>
          <w:highlight w:val="none"/>
        </w:rPr>
        <w:t>5.3中小企业声明函：</w:t>
      </w:r>
    </w:p>
    <w:p>
      <w:pPr>
        <w:widowControl/>
        <w:spacing w:before="100" w:beforeAutospacing="1" w:after="190"/>
        <w:ind w:firstLine="480"/>
        <w:jc w:val="center"/>
        <w:rPr>
          <w:rFonts w:ascii="宋体" w:hAnsi="宋体" w:cs="Arial"/>
          <w:b/>
          <w:bCs/>
          <w:color w:val="auto"/>
          <w:kern w:val="0"/>
          <w:sz w:val="30"/>
          <w:szCs w:val="30"/>
          <w:highlight w:val="none"/>
        </w:rPr>
      </w:pPr>
      <w:r>
        <w:rPr>
          <w:rFonts w:hint="eastAsia" w:ascii="宋体" w:hAnsi="宋体" w:cs="Arial"/>
          <w:b/>
          <w:bCs/>
          <w:color w:val="auto"/>
          <w:kern w:val="0"/>
          <w:sz w:val="30"/>
          <w:szCs w:val="30"/>
          <w:highlight w:val="none"/>
        </w:rPr>
        <w:t xml:space="preserve"> 中小企业声明函</w:t>
      </w:r>
    </w:p>
    <w:p>
      <w:pPr>
        <w:rPr>
          <w:rFonts w:ascii="宋体" w:hAnsi="宋体"/>
          <w:color w:val="auto"/>
          <w:highlight w:val="none"/>
        </w:rPr>
      </w:pPr>
    </w:p>
    <w:p>
      <w:pPr>
        <w:rPr>
          <w:rFonts w:ascii="宋体" w:hAnsi="宋体"/>
          <w:color w:val="auto"/>
          <w:highlight w:val="none"/>
        </w:rPr>
      </w:pPr>
    </w:p>
    <w:p>
      <w:pPr>
        <w:spacing w:line="360" w:lineRule="auto"/>
        <w:ind w:right="6" w:firstLine="420" w:firstLineChars="200"/>
        <w:rPr>
          <w:rFonts w:ascii="宋体" w:hAnsi="宋体"/>
          <w:color w:val="auto"/>
          <w:highlight w:val="none"/>
        </w:rPr>
      </w:pPr>
      <w:r>
        <w:rPr>
          <w:rFonts w:ascii="宋体" w:hAnsi="宋体"/>
          <w:color w:val="auto"/>
          <w:highlight w:val="none"/>
        </w:rPr>
        <w:t>本公司郑重声明，根据《政府采购促进中小企业发展暂行办法》（财库〔2011〕181号）的规定，本公司为______（请填写：中型、小型、微型）企业。即，本公司同时满足以下条件：</w:t>
      </w:r>
      <w:r>
        <w:rPr>
          <w:rFonts w:ascii="宋体" w:hAnsi="宋体"/>
          <w:color w:val="auto"/>
          <w:highlight w:val="none"/>
        </w:rPr>
        <w:br w:type="textWrapping"/>
      </w:r>
      <w:r>
        <w:rPr>
          <w:rFonts w:ascii="宋体" w:hAnsi="宋体"/>
          <w:color w:val="auto"/>
          <w:highlight w:val="none"/>
        </w:rPr>
        <w:t>1.根据《工业和信息化部、国家统计局、国家发展和改革委员会、财政部关于印发中小企业划型标准规定的通知》（工信部联企业〔2011〕300号）规定的划分标准，本公司为______（请填写：中型、小型、微型）企业。</w:t>
      </w:r>
      <w:r>
        <w:rPr>
          <w:rFonts w:ascii="宋体" w:hAnsi="宋体"/>
          <w:color w:val="auto"/>
          <w:highlight w:val="none"/>
        </w:rPr>
        <w:br w:type="textWrapping"/>
      </w:r>
      <w:r>
        <w:rPr>
          <w:rFonts w:ascii="宋体" w:hAnsi="宋体"/>
          <w:color w:val="auto"/>
          <w:highlight w:val="none"/>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right="6" w:firstLine="211" w:firstLineChars="100"/>
        <w:rPr>
          <w:rFonts w:ascii="宋体" w:hAnsi="宋体"/>
          <w:b/>
          <w:color w:val="auto"/>
          <w:highlight w:val="none"/>
        </w:rPr>
      </w:pPr>
      <w:r>
        <w:rPr>
          <w:rFonts w:ascii="宋体" w:hAnsi="宋体"/>
          <w:b/>
          <w:color w:val="auto"/>
          <w:highlight w:val="none"/>
        </w:rPr>
        <w:t>本公司对上述声明的真实性负责。如有虚假，将依法承担相应责任。</w:t>
      </w:r>
    </w:p>
    <w:p>
      <w:pPr>
        <w:spacing w:before="100" w:beforeAutospacing="1" w:after="100" w:afterAutospacing="1" w:line="432" w:lineRule="auto"/>
        <w:ind w:firstLine="6090" w:firstLineChars="2900"/>
        <w:rPr>
          <w:rFonts w:ascii="宋体" w:hAnsi="宋体"/>
          <w:color w:val="auto"/>
          <w:szCs w:val="21"/>
          <w:highlight w:val="none"/>
        </w:rPr>
      </w:pPr>
      <w:r>
        <w:rPr>
          <w:rFonts w:ascii="宋体" w:hAnsi="宋体"/>
          <w:color w:val="auto"/>
          <w:szCs w:val="21"/>
          <w:highlight w:val="none"/>
        </w:rPr>
        <w:t>企业名称（盖章）：</w:t>
      </w:r>
    </w:p>
    <w:p>
      <w:pPr>
        <w:spacing w:before="100" w:beforeAutospacing="1" w:after="100" w:afterAutospacing="1" w:line="432" w:lineRule="auto"/>
        <w:ind w:firstLine="6459" w:firstLineChars="3076"/>
        <w:rPr>
          <w:rFonts w:ascii="宋体" w:hAnsi="宋体"/>
          <w:color w:val="auto"/>
          <w:szCs w:val="21"/>
          <w:highlight w:val="none"/>
        </w:rPr>
      </w:pPr>
      <w:r>
        <w:rPr>
          <w:rFonts w:ascii="宋体" w:hAnsi="宋体"/>
          <w:color w:val="auto"/>
          <w:szCs w:val="21"/>
          <w:highlight w:val="none"/>
        </w:rPr>
        <w:t>日   期：</w:t>
      </w:r>
    </w:p>
    <w:p>
      <w:pPr>
        <w:numPr>
          <w:ilvl w:val="1"/>
          <w:numId w:val="10"/>
        </w:numPr>
        <w:tabs>
          <w:tab w:val="left" w:pos="420"/>
          <w:tab w:val="clear" w:pos="1244"/>
        </w:tabs>
        <w:spacing w:before="100" w:beforeAutospacing="1" w:after="100" w:afterAutospacing="1" w:line="432" w:lineRule="auto"/>
        <w:ind w:left="420"/>
        <w:rPr>
          <w:rFonts w:ascii="宋体" w:hAnsi="宋体"/>
          <w:b/>
          <w:color w:val="auto"/>
          <w:szCs w:val="21"/>
          <w:highlight w:val="none"/>
        </w:rPr>
      </w:pPr>
      <w:r>
        <w:rPr>
          <w:rFonts w:hint="eastAsia" w:ascii="宋体" w:hAnsi="宋体"/>
          <w:b/>
          <w:color w:val="auto"/>
          <w:szCs w:val="21"/>
          <w:highlight w:val="none"/>
        </w:rPr>
        <w:t>如投标产品由小微企业生产，则需提供中小企业声明函并符合《工业和信息化部、国家统计局、国家发展和改革委员会、财政部关于印发中小企业划型标准规定的通知》（工信部联企业〔2011〕300号）规定的小、微企业的划型标准规定。</w:t>
      </w:r>
    </w:p>
    <w:p>
      <w:pPr>
        <w:numPr>
          <w:ilvl w:val="1"/>
          <w:numId w:val="10"/>
        </w:numPr>
        <w:tabs>
          <w:tab w:val="left" w:pos="420"/>
          <w:tab w:val="clear" w:pos="1244"/>
        </w:tabs>
        <w:spacing w:before="100" w:beforeAutospacing="1" w:after="100" w:afterAutospacing="1" w:line="432" w:lineRule="auto"/>
        <w:ind w:left="420"/>
        <w:rPr>
          <w:rFonts w:ascii="宋体" w:hAnsi="宋体"/>
          <w:b/>
          <w:color w:val="auto"/>
          <w:szCs w:val="21"/>
          <w:highlight w:val="none"/>
        </w:rPr>
      </w:pPr>
      <w:r>
        <w:rPr>
          <w:rFonts w:hint="eastAsia" w:ascii="宋体" w:hAnsi="宋体"/>
          <w:b/>
          <w:color w:val="auto"/>
          <w:szCs w:val="21"/>
          <w:highlight w:val="none"/>
        </w:rPr>
        <w:t>小型、微型企业提供中型企业制造的货物的，视同为中型企业。</w:t>
      </w:r>
    </w:p>
    <w:p>
      <w:pPr>
        <w:numPr>
          <w:ilvl w:val="1"/>
          <w:numId w:val="10"/>
        </w:numPr>
        <w:tabs>
          <w:tab w:val="left" w:pos="420"/>
          <w:tab w:val="clear" w:pos="1244"/>
        </w:tabs>
        <w:spacing w:before="100" w:beforeAutospacing="1" w:after="100" w:afterAutospacing="1" w:line="432" w:lineRule="auto"/>
        <w:ind w:left="420"/>
        <w:rPr>
          <w:rFonts w:ascii="宋体" w:hAnsi="宋体"/>
          <w:b/>
          <w:color w:val="auto"/>
          <w:szCs w:val="21"/>
          <w:highlight w:val="none"/>
        </w:rPr>
      </w:pPr>
      <w:r>
        <w:rPr>
          <w:rFonts w:hint="eastAsia" w:ascii="宋体" w:hAnsi="宋体"/>
          <w:b/>
          <w:color w:val="auto"/>
          <w:szCs w:val="21"/>
          <w:highlight w:val="none"/>
        </w:rPr>
        <w:t>如中标人声明为小微企业，本声明函将随中标结果同时公告，接受社会监督。</w:t>
      </w:r>
    </w:p>
    <w:p>
      <w:pPr>
        <w:spacing w:line="360" w:lineRule="auto"/>
        <w:ind w:right="6"/>
        <w:rPr>
          <w:rFonts w:ascii="宋体" w:hAnsi="宋体"/>
          <w:b/>
          <w:color w:val="auto"/>
          <w:highlight w:val="none"/>
        </w:rPr>
      </w:pPr>
    </w:p>
    <w:p>
      <w:pPr>
        <w:spacing w:line="360" w:lineRule="auto"/>
        <w:ind w:right="6" w:firstLine="211" w:firstLineChars="100"/>
        <w:rPr>
          <w:rFonts w:ascii="宋体" w:hAnsi="宋体"/>
          <w:b/>
          <w:color w:val="auto"/>
          <w:highlight w:val="none"/>
        </w:rPr>
      </w:pPr>
    </w:p>
    <w:p>
      <w:pPr>
        <w:spacing w:line="360" w:lineRule="auto"/>
        <w:ind w:right="6" w:firstLine="211" w:firstLineChars="100"/>
        <w:rPr>
          <w:rFonts w:ascii="宋体" w:hAnsi="宋体"/>
          <w:b/>
          <w:color w:val="auto"/>
          <w:highlight w:val="none"/>
        </w:rPr>
      </w:pPr>
    </w:p>
    <w:p>
      <w:pPr>
        <w:spacing w:line="360" w:lineRule="auto"/>
        <w:ind w:right="6" w:firstLine="211" w:firstLineChars="100"/>
        <w:rPr>
          <w:rFonts w:ascii="宋体" w:hAnsi="宋体"/>
          <w:b/>
          <w:color w:val="auto"/>
          <w:highlight w:val="none"/>
        </w:rPr>
      </w:pPr>
    </w:p>
    <w:p>
      <w:pPr>
        <w:snapToGrid w:val="0"/>
        <w:spacing w:before="156" w:beforeLines="50" w:after="50"/>
        <w:rPr>
          <w:rFonts w:ascii="宋体" w:hAnsi="宋体" w:cs="Arial"/>
          <w:b/>
          <w:bCs/>
          <w:color w:val="auto"/>
          <w:kern w:val="0"/>
          <w:sz w:val="30"/>
          <w:szCs w:val="30"/>
          <w:highlight w:val="none"/>
        </w:rPr>
        <w:sectPr>
          <w:headerReference r:id="rId8" w:type="first"/>
          <w:footerReference r:id="rId11" w:type="first"/>
          <w:headerReference r:id="rId7" w:type="default"/>
          <w:footerReference r:id="rId9" w:type="default"/>
          <w:footerReference r:id="rId10" w:type="even"/>
          <w:pgSz w:w="11906" w:h="16838"/>
          <w:pgMar w:top="1440" w:right="1800" w:bottom="1440" w:left="1800" w:header="851" w:footer="992" w:gutter="0"/>
          <w:cols w:space="720" w:num="1"/>
          <w:docGrid w:type="lines" w:linePitch="312" w:charSpace="0"/>
        </w:sectPr>
      </w:pPr>
      <w:bookmarkStart w:id="4" w:name="_Toc518487308"/>
      <w:r>
        <w:rPr>
          <w:rFonts w:hint="eastAsia" w:ascii="宋体" w:hAnsi="宋体"/>
          <w:b/>
          <w:color w:val="auto"/>
          <w:sz w:val="24"/>
          <w:highlight w:val="none"/>
        </w:rPr>
        <w:t xml:space="preserve">5.4 </w:t>
      </w:r>
      <w:bookmarkStart w:id="5" w:name="OLE_LINK13"/>
      <w:bookmarkStart w:id="6" w:name="OLE_LINK14"/>
      <w:r>
        <w:rPr>
          <w:rFonts w:hint="eastAsia" w:ascii="宋体" w:hAnsi="宋体"/>
          <w:b/>
          <w:color w:val="auto"/>
          <w:sz w:val="24"/>
          <w:highlight w:val="none"/>
        </w:rPr>
        <w:t>残疾人福利性单位声明函</w:t>
      </w:r>
      <w:bookmarkEnd w:id="4"/>
      <w:r>
        <w:rPr>
          <w:rFonts w:hint="eastAsia" w:ascii="宋体" w:hAnsi="宋体"/>
          <w:b/>
          <w:color w:val="auto"/>
          <w:sz w:val="24"/>
          <w:highlight w:val="none"/>
        </w:rPr>
        <w:t>及残疾人福利性单位残疾人聘用情况表</w:t>
      </w:r>
    </w:p>
    <w:p>
      <w:pPr>
        <w:widowControl/>
        <w:spacing w:before="100" w:beforeAutospacing="1" w:after="190"/>
        <w:jc w:val="center"/>
        <w:rPr>
          <w:rFonts w:ascii="宋体" w:hAnsi="宋体" w:cs="Arial"/>
          <w:b/>
          <w:bCs/>
          <w:color w:val="auto"/>
          <w:kern w:val="0"/>
          <w:sz w:val="30"/>
          <w:szCs w:val="30"/>
          <w:highlight w:val="none"/>
        </w:rPr>
      </w:pPr>
    </w:p>
    <w:p>
      <w:pPr>
        <w:widowControl/>
        <w:spacing w:before="100" w:beforeAutospacing="1" w:after="190"/>
        <w:jc w:val="center"/>
        <w:rPr>
          <w:rFonts w:ascii="宋体" w:hAnsi="宋体"/>
          <w:b/>
          <w:color w:val="auto"/>
          <w:spacing w:val="6"/>
          <w:sz w:val="30"/>
          <w:szCs w:val="30"/>
          <w:highlight w:val="none"/>
        </w:rPr>
      </w:pPr>
      <w:r>
        <w:rPr>
          <w:rFonts w:hint="eastAsia" w:ascii="宋体" w:hAnsi="宋体" w:cs="Arial"/>
          <w:b/>
          <w:bCs/>
          <w:color w:val="auto"/>
          <w:kern w:val="0"/>
          <w:sz w:val="30"/>
          <w:szCs w:val="30"/>
          <w:highlight w:val="none"/>
        </w:rPr>
        <w:t>残疾人福利性单位声明函</w:t>
      </w:r>
      <w:bookmarkEnd w:id="5"/>
      <w:bookmarkEnd w:id="6"/>
    </w:p>
    <w:p>
      <w:pPr>
        <w:spacing w:line="588" w:lineRule="exact"/>
        <w:ind w:firstLine="420" w:firstLineChars="200"/>
        <w:rPr>
          <w:rFonts w:ascii="宋体" w:hAnsi="宋体"/>
          <w:color w:val="auto"/>
          <w:highlight w:val="none"/>
        </w:rPr>
      </w:pPr>
      <w:r>
        <w:rPr>
          <w:rFonts w:hint="eastAsia" w:ascii="宋体" w:hAnsi="宋体"/>
          <w:color w:val="auto"/>
          <w:highlight w:val="none"/>
        </w:rPr>
        <w:t>本单位郑重声明，根据《财政部民政部中国残疾人联合会关于促进残疾人就业政府采购政策的通知》（财库〔</w:t>
      </w:r>
      <w:r>
        <w:rPr>
          <w:rFonts w:ascii="宋体" w:hAnsi="宋体"/>
          <w:color w:val="auto"/>
          <w:highlight w:val="none"/>
        </w:rPr>
        <w:t>2017</w:t>
      </w:r>
      <w:r>
        <w:rPr>
          <w:rFonts w:hint="eastAsia" w:ascii="宋体" w:hAnsi="宋体"/>
          <w:color w:val="auto"/>
          <w:highlight w:val="none"/>
        </w:rPr>
        <w:t>〕</w:t>
      </w:r>
      <w:r>
        <w:rPr>
          <w:rFonts w:ascii="宋体" w:hAnsi="宋体"/>
          <w:color w:val="auto"/>
          <w:highlight w:val="none"/>
        </w:rPr>
        <w:t xml:space="preserve"> 141</w:t>
      </w:r>
      <w:r>
        <w:rPr>
          <w:rFonts w:hint="eastAsia" w:ascii="宋体" w:hAnsi="宋体"/>
          <w:color w:val="auto"/>
          <w:highlight w:val="none"/>
        </w:rPr>
        <w:t>号）的规定，本单位为符合条件的残疾人福利性单位，且本单位参加</w:t>
      </w:r>
      <w:r>
        <w:rPr>
          <w:rFonts w:ascii="宋体" w:hAnsi="宋体"/>
          <w:color w:val="auto"/>
          <w:highlight w:val="none"/>
        </w:rPr>
        <w:t>______</w:t>
      </w:r>
      <w:r>
        <w:rPr>
          <w:rFonts w:hint="eastAsia" w:ascii="宋体" w:hAnsi="宋体"/>
          <w:color w:val="auto"/>
          <w:highlight w:val="none"/>
        </w:rPr>
        <w:t>单位的</w:t>
      </w:r>
      <w:r>
        <w:rPr>
          <w:rFonts w:ascii="宋体" w:hAnsi="宋体"/>
          <w:color w:val="auto"/>
          <w:highlight w:val="none"/>
        </w:rPr>
        <w:t>______</w:t>
      </w:r>
      <w:r>
        <w:rPr>
          <w:rFonts w:hint="eastAsia" w:ascii="宋体" w:hAnsi="宋体"/>
          <w:color w:val="auto"/>
          <w:highlight w:val="none"/>
        </w:rPr>
        <w:t>项目采购活动提供本单位制造的货物（由本单位承担工程</w:t>
      </w:r>
      <w:r>
        <w:rPr>
          <w:rFonts w:ascii="宋体" w:hAnsi="宋体"/>
          <w:color w:val="auto"/>
          <w:highlight w:val="none"/>
        </w:rPr>
        <w:t>/</w:t>
      </w:r>
      <w:r>
        <w:rPr>
          <w:rFonts w:hint="eastAsia" w:ascii="宋体" w:hAnsi="宋体"/>
          <w:color w:val="auto"/>
          <w:highlight w:val="none"/>
        </w:rPr>
        <w:t>提供服务），或者提供其他残疾人福利性单位制造的货物（不包括使用非残疾人福利性单位注册商标的货物）。</w:t>
      </w:r>
    </w:p>
    <w:p>
      <w:pPr>
        <w:spacing w:line="588" w:lineRule="exact"/>
        <w:ind w:firstLine="420" w:firstLineChars="200"/>
        <w:rPr>
          <w:rFonts w:ascii="宋体" w:hAnsi="宋体"/>
          <w:color w:val="auto"/>
          <w:highlight w:val="none"/>
        </w:rPr>
      </w:pPr>
      <w:r>
        <w:rPr>
          <w:rFonts w:hint="eastAsia" w:ascii="宋体" w:hAnsi="宋体"/>
          <w:color w:val="auto"/>
          <w:highlight w:val="none"/>
        </w:rPr>
        <w:t>本单位对上述声明的真实性负责。如有虚假，将依法承担相应责任。</w:t>
      </w:r>
    </w:p>
    <w:p>
      <w:pPr>
        <w:spacing w:line="588" w:lineRule="exact"/>
        <w:ind w:firstLine="624" w:firstLineChars="200"/>
        <w:rPr>
          <w:rFonts w:ascii="宋体" w:hAnsi="宋体"/>
          <w:color w:val="auto"/>
          <w:spacing w:val="6"/>
          <w:sz w:val="30"/>
          <w:szCs w:val="30"/>
          <w:highlight w:val="none"/>
        </w:rPr>
      </w:pPr>
    </w:p>
    <w:p>
      <w:pPr>
        <w:spacing w:line="588" w:lineRule="exact"/>
        <w:ind w:firstLine="624" w:firstLineChars="200"/>
        <w:rPr>
          <w:rFonts w:ascii="宋体" w:hAnsi="宋体"/>
          <w:color w:val="auto"/>
          <w:spacing w:val="6"/>
          <w:sz w:val="30"/>
          <w:szCs w:val="30"/>
          <w:highlight w:val="none"/>
        </w:rPr>
      </w:pPr>
    </w:p>
    <w:p>
      <w:pPr>
        <w:tabs>
          <w:tab w:val="left" w:pos="4860"/>
        </w:tabs>
        <w:spacing w:line="588" w:lineRule="exact"/>
        <w:ind w:right="1560" w:firstLine="420" w:firstLineChars="200"/>
        <w:jc w:val="center"/>
        <w:rPr>
          <w:rFonts w:ascii="宋体" w:hAnsi="宋体"/>
          <w:color w:val="auto"/>
          <w:highlight w:val="none"/>
        </w:rPr>
      </w:pPr>
      <w:r>
        <w:rPr>
          <w:rFonts w:hint="eastAsia" w:ascii="宋体" w:hAnsi="宋体"/>
          <w:color w:val="auto"/>
          <w:highlight w:val="none"/>
        </w:rPr>
        <w:t>单位名称（盖章）：</w:t>
      </w:r>
    </w:p>
    <w:p>
      <w:pPr>
        <w:rPr>
          <w:rFonts w:ascii="宋体" w:hAnsi="宋体"/>
          <w:color w:val="auto"/>
          <w:highlight w:val="none"/>
        </w:rPr>
      </w:pPr>
      <w:r>
        <w:rPr>
          <w:rFonts w:hint="eastAsia" w:ascii="宋体" w:hAnsi="宋体"/>
          <w:color w:val="auto"/>
          <w:highlight w:val="none"/>
        </w:rPr>
        <w:t xml:space="preserve">                                                 日期：</w:t>
      </w: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numPr>
          <w:ilvl w:val="0"/>
          <w:numId w:val="11"/>
        </w:numPr>
        <w:tabs>
          <w:tab w:val="left" w:pos="420"/>
          <w:tab w:val="clear" w:pos="1244"/>
        </w:tabs>
        <w:spacing w:before="100" w:beforeAutospacing="1" w:after="100" w:afterAutospacing="1" w:line="432" w:lineRule="auto"/>
        <w:ind w:hanging="1244"/>
        <w:rPr>
          <w:rFonts w:ascii="宋体" w:hAnsi="宋体"/>
          <w:b/>
          <w:color w:val="auto"/>
          <w:szCs w:val="21"/>
          <w:highlight w:val="none"/>
        </w:rPr>
      </w:pPr>
      <w:r>
        <w:rPr>
          <w:rFonts w:hint="eastAsia" w:ascii="宋体" w:hAnsi="宋体"/>
          <w:b/>
          <w:color w:val="auto"/>
          <w:szCs w:val="21"/>
          <w:highlight w:val="none"/>
        </w:rPr>
        <w:t>残疾人福利性单位视同小型、微型企业，享受价格扣除。</w:t>
      </w:r>
    </w:p>
    <w:p>
      <w:pPr>
        <w:numPr>
          <w:ilvl w:val="0"/>
          <w:numId w:val="11"/>
        </w:numPr>
        <w:tabs>
          <w:tab w:val="left" w:pos="420"/>
          <w:tab w:val="clear" w:pos="1244"/>
        </w:tabs>
        <w:spacing w:before="100" w:beforeAutospacing="1" w:after="100" w:afterAutospacing="1" w:line="432" w:lineRule="auto"/>
        <w:ind w:hanging="1244"/>
        <w:rPr>
          <w:rFonts w:ascii="宋体" w:hAnsi="宋体"/>
          <w:b/>
          <w:color w:val="auto"/>
          <w:szCs w:val="21"/>
          <w:highlight w:val="none"/>
        </w:rPr>
      </w:pPr>
      <w:r>
        <w:rPr>
          <w:rFonts w:hint="eastAsia" w:ascii="宋体" w:hAnsi="宋体"/>
          <w:b/>
          <w:color w:val="auto"/>
          <w:szCs w:val="21"/>
          <w:highlight w:val="none"/>
        </w:rPr>
        <w:t>残疾人福利性单位属于小型、微型企业的，不重复享受政策。</w:t>
      </w:r>
    </w:p>
    <w:p>
      <w:pPr>
        <w:numPr>
          <w:ilvl w:val="0"/>
          <w:numId w:val="11"/>
        </w:numPr>
        <w:tabs>
          <w:tab w:val="left" w:pos="420"/>
          <w:tab w:val="clear" w:pos="1244"/>
        </w:tabs>
        <w:spacing w:before="100" w:beforeAutospacing="1" w:after="100" w:afterAutospacing="1" w:line="432" w:lineRule="auto"/>
        <w:ind w:hanging="1244"/>
        <w:rPr>
          <w:rFonts w:ascii="宋体" w:hAnsi="宋体"/>
          <w:b/>
          <w:color w:val="auto"/>
          <w:szCs w:val="21"/>
          <w:highlight w:val="none"/>
        </w:rPr>
      </w:pPr>
      <w:r>
        <w:rPr>
          <w:rFonts w:hint="eastAsia" w:ascii="宋体" w:hAnsi="宋体"/>
          <w:b/>
          <w:color w:val="auto"/>
          <w:szCs w:val="21"/>
          <w:highlight w:val="none"/>
        </w:rPr>
        <w:t>如中标人声明为残疾人福利性单位，本声明函将随中标结果同时公告，接受社会监督。</w:t>
      </w:r>
    </w:p>
    <w:p>
      <w:pPr>
        <w:spacing w:line="360" w:lineRule="auto"/>
        <w:ind w:right="6" w:firstLine="211" w:firstLineChars="100"/>
        <w:rPr>
          <w:rFonts w:ascii="宋体" w:hAnsi="宋体"/>
          <w:b/>
          <w:color w:val="auto"/>
          <w:highlight w:val="none"/>
        </w:rPr>
      </w:pPr>
    </w:p>
    <w:p>
      <w:pPr>
        <w:spacing w:line="360" w:lineRule="auto"/>
        <w:ind w:right="6" w:firstLine="211" w:firstLineChars="100"/>
        <w:rPr>
          <w:rFonts w:ascii="宋体" w:hAnsi="宋体"/>
          <w:b/>
          <w:color w:val="auto"/>
          <w:highlight w:val="none"/>
        </w:rPr>
      </w:pPr>
    </w:p>
    <w:p>
      <w:pPr>
        <w:spacing w:line="360" w:lineRule="auto"/>
        <w:ind w:right="6" w:firstLine="211" w:firstLineChars="100"/>
        <w:rPr>
          <w:rFonts w:ascii="宋体" w:hAnsi="宋体"/>
          <w:b/>
          <w:color w:val="auto"/>
          <w:highlight w:val="none"/>
        </w:rPr>
      </w:pPr>
    </w:p>
    <w:p>
      <w:pPr>
        <w:spacing w:line="360" w:lineRule="auto"/>
        <w:ind w:right="6" w:firstLine="211" w:firstLineChars="100"/>
        <w:rPr>
          <w:rFonts w:ascii="宋体" w:hAnsi="宋体"/>
          <w:b/>
          <w:color w:val="auto"/>
          <w:highlight w:val="none"/>
        </w:rPr>
      </w:pPr>
    </w:p>
    <w:p>
      <w:pPr>
        <w:spacing w:line="360" w:lineRule="auto"/>
        <w:ind w:right="6" w:firstLine="211" w:firstLineChars="100"/>
        <w:rPr>
          <w:rFonts w:ascii="宋体" w:hAnsi="宋体"/>
          <w:b/>
          <w:color w:val="auto"/>
          <w:highlight w:val="none"/>
        </w:rPr>
      </w:pPr>
    </w:p>
    <w:p>
      <w:pPr>
        <w:spacing w:line="360" w:lineRule="auto"/>
        <w:ind w:right="6"/>
        <w:rPr>
          <w:rFonts w:ascii="宋体" w:hAnsi="宋体"/>
          <w:b/>
          <w:color w:val="auto"/>
          <w:highlight w:val="none"/>
        </w:rPr>
      </w:pPr>
    </w:p>
    <w:p>
      <w:pPr>
        <w:spacing w:line="360" w:lineRule="auto"/>
        <w:ind w:right="6"/>
        <w:rPr>
          <w:rFonts w:ascii="宋体" w:hAnsi="宋体"/>
          <w:b/>
          <w:color w:val="auto"/>
          <w:highlight w:val="none"/>
        </w:rPr>
      </w:pPr>
    </w:p>
    <w:p>
      <w:pPr>
        <w:snapToGrid w:val="0"/>
        <w:spacing w:before="120" w:beforeLines="50" w:after="50"/>
        <w:jc w:val="center"/>
        <w:rPr>
          <w:rFonts w:ascii="宋体" w:hAnsi="宋体"/>
          <w:b/>
          <w:color w:val="auto"/>
          <w:sz w:val="30"/>
          <w:szCs w:val="30"/>
          <w:highlight w:val="none"/>
        </w:rPr>
      </w:pPr>
    </w:p>
    <w:p>
      <w:pPr>
        <w:snapToGrid w:val="0"/>
        <w:spacing w:before="120" w:beforeLines="50" w:after="50"/>
        <w:jc w:val="center"/>
        <w:rPr>
          <w:rFonts w:ascii="宋体" w:hAnsi="宋体"/>
          <w:b/>
          <w:color w:val="auto"/>
          <w:sz w:val="30"/>
          <w:szCs w:val="30"/>
          <w:highlight w:val="none"/>
        </w:rPr>
      </w:pPr>
      <w:r>
        <w:rPr>
          <w:rFonts w:hint="eastAsia" w:ascii="宋体" w:hAnsi="宋体"/>
          <w:b/>
          <w:color w:val="auto"/>
          <w:sz w:val="30"/>
          <w:szCs w:val="30"/>
          <w:highlight w:val="none"/>
        </w:rPr>
        <w:t>残疾人福利性单位残疾人聘用情况表</w:t>
      </w:r>
    </w:p>
    <w:tbl>
      <w:tblPr>
        <w:tblStyle w:val="18"/>
        <w:tblW w:w="8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2305"/>
        <w:gridCol w:w="2168"/>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r>
              <w:rPr>
                <w:rFonts w:hint="eastAsia" w:ascii="宋体" w:hAnsi="宋体"/>
                <w:b/>
                <w:i/>
                <w:color w:val="auto"/>
                <w:sz w:val="24"/>
                <w:highlight w:val="none"/>
                <w:u w:val="single"/>
              </w:rPr>
              <w:t>序号</w:t>
            </w:r>
          </w:p>
        </w:tc>
        <w:tc>
          <w:tcPr>
            <w:tcW w:w="2305" w:type="dxa"/>
            <w:noWrap/>
          </w:tcPr>
          <w:p>
            <w:pPr>
              <w:snapToGrid w:val="0"/>
              <w:spacing w:before="120" w:beforeLines="50" w:after="50" w:line="360" w:lineRule="auto"/>
              <w:jc w:val="center"/>
              <w:rPr>
                <w:rFonts w:ascii="宋体" w:hAnsi="宋体"/>
                <w:b/>
                <w:i/>
                <w:color w:val="auto"/>
                <w:sz w:val="24"/>
                <w:highlight w:val="none"/>
                <w:u w:val="single"/>
              </w:rPr>
            </w:pPr>
            <w:r>
              <w:rPr>
                <w:rFonts w:hint="eastAsia" w:ascii="宋体" w:hAnsi="宋体"/>
                <w:b/>
                <w:i/>
                <w:color w:val="auto"/>
                <w:sz w:val="24"/>
                <w:highlight w:val="none"/>
                <w:u w:val="single"/>
              </w:rPr>
              <w:t>姓名</w:t>
            </w:r>
          </w:p>
        </w:tc>
        <w:tc>
          <w:tcPr>
            <w:tcW w:w="2168" w:type="dxa"/>
            <w:noWrap/>
          </w:tcPr>
          <w:p>
            <w:pPr>
              <w:snapToGrid w:val="0"/>
              <w:spacing w:before="120" w:beforeLines="50" w:after="50" w:line="360" w:lineRule="auto"/>
              <w:jc w:val="center"/>
              <w:rPr>
                <w:rFonts w:ascii="宋体" w:hAnsi="宋体"/>
                <w:b/>
                <w:i/>
                <w:color w:val="auto"/>
                <w:sz w:val="24"/>
                <w:highlight w:val="none"/>
                <w:u w:val="single"/>
              </w:rPr>
            </w:pPr>
            <w:r>
              <w:rPr>
                <w:rFonts w:hint="eastAsia" w:ascii="宋体" w:hAnsi="宋体"/>
                <w:b/>
                <w:i/>
                <w:color w:val="auto"/>
                <w:sz w:val="24"/>
                <w:highlight w:val="none"/>
                <w:u w:val="single"/>
              </w:rPr>
              <w:t>残疾人证号</w:t>
            </w:r>
          </w:p>
        </w:tc>
        <w:tc>
          <w:tcPr>
            <w:tcW w:w="1882" w:type="dxa"/>
            <w:noWrap/>
          </w:tcPr>
          <w:p>
            <w:pPr>
              <w:snapToGrid w:val="0"/>
              <w:spacing w:before="120" w:beforeLines="50" w:after="50" w:line="360" w:lineRule="auto"/>
              <w:jc w:val="center"/>
              <w:rPr>
                <w:rFonts w:ascii="宋体" w:hAnsi="宋体"/>
                <w:b/>
                <w:i/>
                <w:color w:val="auto"/>
                <w:sz w:val="24"/>
                <w:highlight w:val="none"/>
                <w:u w:val="single"/>
              </w:rPr>
            </w:pPr>
            <w:r>
              <w:rPr>
                <w:rFonts w:hint="eastAsia" w:ascii="宋体" w:hAnsi="宋体"/>
                <w:b/>
                <w:i/>
                <w:color w:val="auto"/>
                <w:sz w:val="24"/>
                <w:highlight w:val="none"/>
                <w:u w:val="single"/>
              </w:rPr>
              <w:t>聘用时间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tcPr>
          <w:p>
            <w:pPr>
              <w:snapToGrid w:val="0"/>
              <w:spacing w:before="120" w:beforeLines="50" w:after="50" w:line="360" w:lineRule="auto"/>
              <w:jc w:val="center"/>
              <w:rPr>
                <w:rFonts w:ascii="宋体" w:hAnsi="宋体"/>
                <w:b/>
                <w:i/>
                <w:color w:val="auto"/>
                <w:sz w:val="24"/>
                <w:highlight w:val="none"/>
                <w:u w:val="single"/>
              </w:rPr>
            </w:pPr>
          </w:p>
        </w:tc>
        <w:tc>
          <w:tcPr>
            <w:tcW w:w="2305" w:type="dxa"/>
            <w:noWrap/>
          </w:tcPr>
          <w:p>
            <w:pPr>
              <w:snapToGrid w:val="0"/>
              <w:spacing w:before="120" w:beforeLines="50" w:after="50" w:line="360" w:lineRule="auto"/>
              <w:jc w:val="center"/>
              <w:rPr>
                <w:rFonts w:ascii="宋体" w:hAnsi="宋体"/>
                <w:b/>
                <w:i/>
                <w:color w:val="auto"/>
                <w:sz w:val="24"/>
                <w:highlight w:val="none"/>
                <w:u w:val="single"/>
              </w:rPr>
            </w:pPr>
          </w:p>
        </w:tc>
        <w:tc>
          <w:tcPr>
            <w:tcW w:w="2168" w:type="dxa"/>
            <w:noWrap/>
          </w:tcPr>
          <w:p>
            <w:pPr>
              <w:snapToGrid w:val="0"/>
              <w:spacing w:before="120" w:beforeLines="50" w:after="50" w:line="360" w:lineRule="auto"/>
              <w:jc w:val="center"/>
              <w:rPr>
                <w:rFonts w:ascii="宋体" w:hAnsi="宋体"/>
                <w:b/>
                <w:i/>
                <w:color w:val="auto"/>
                <w:sz w:val="24"/>
                <w:highlight w:val="none"/>
                <w:u w:val="single"/>
              </w:rPr>
            </w:pPr>
          </w:p>
        </w:tc>
        <w:tc>
          <w:tcPr>
            <w:tcW w:w="1882" w:type="dxa"/>
            <w:noWrap/>
          </w:tcPr>
          <w:p>
            <w:pPr>
              <w:snapToGrid w:val="0"/>
              <w:spacing w:before="120" w:beforeLines="50" w:after="50" w:line="360" w:lineRule="auto"/>
              <w:jc w:val="center"/>
              <w:rPr>
                <w:rFonts w:ascii="宋体" w:hAnsi="宋体"/>
                <w:b/>
                <w:i/>
                <w:color w:val="auto"/>
                <w:sz w:val="24"/>
                <w:highlight w:val="none"/>
                <w:u w:val="single"/>
              </w:rPr>
            </w:pPr>
          </w:p>
        </w:tc>
      </w:tr>
    </w:tbl>
    <w:p>
      <w:pPr>
        <w:snapToGrid w:val="0"/>
        <w:spacing w:before="120" w:beforeLines="50" w:after="50"/>
        <w:rPr>
          <w:rFonts w:ascii="宋体" w:hAnsi="宋体"/>
          <w:b/>
          <w:color w:val="auto"/>
          <w:sz w:val="24"/>
          <w:highlight w:val="none"/>
        </w:rPr>
        <w:sectPr>
          <w:type w:val="continuous"/>
          <w:pgSz w:w="11906" w:h="16838"/>
          <w:pgMar w:top="1440" w:right="1803" w:bottom="1440" w:left="1803" w:header="851" w:footer="992" w:gutter="0"/>
          <w:cols w:space="720" w:num="1"/>
          <w:docGrid w:linePitch="312" w:charSpace="0"/>
        </w:sectPr>
      </w:pPr>
      <w:r>
        <w:rPr>
          <w:rFonts w:hint="eastAsia" w:ascii="宋体" w:hAnsi="宋体"/>
          <w:b/>
          <w:color w:val="auto"/>
          <w:sz w:val="24"/>
          <w:highlight w:val="none"/>
        </w:rPr>
        <w:t>备注：本表后须附上所聘用残疾人员的残疾证、劳动合同、残疾人银行工资发放清单及足额缴纳的社会保险清单复印件，否则，视为非残疾人福利性单位不享受政策优惠。</w:t>
      </w:r>
    </w:p>
    <w:p>
      <w:pPr>
        <w:spacing w:line="360" w:lineRule="auto"/>
        <w:ind w:right="6" w:firstLine="211" w:firstLineChars="100"/>
        <w:rPr>
          <w:rFonts w:ascii="宋体" w:hAnsi="宋体"/>
          <w:b/>
          <w:color w:val="auto"/>
          <w:highlight w:val="none"/>
        </w:rPr>
        <w:sectPr>
          <w:type w:val="continuous"/>
          <w:pgSz w:w="11906" w:h="16838"/>
          <w:pgMar w:top="1440" w:right="1803" w:bottom="1440" w:left="1803" w:header="851" w:footer="992" w:gutter="0"/>
          <w:cols w:space="720" w:num="1"/>
          <w:docGrid w:type="lines" w:linePitch="312" w:charSpace="0"/>
        </w:sectPr>
      </w:pPr>
    </w:p>
    <w:p>
      <w:pPr>
        <w:snapToGrid w:val="0"/>
        <w:spacing w:before="120" w:beforeLines="50" w:after="50"/>
        <w:jc w:val="center"/>
        <w:rPr>
          <w:rFonts w:ascii="宋体" w:hAnsi="宋体"/>
          <w:b/>
          <w:color w:val="auto"/>
          <w:sz w:val="24"/>
          <w:highlight w:val="none"/>
        </w:rPr>
        <w:sectPr>
          <w:type w:val="continuous"/>
          <w:pgSz w:w="11906" w:h="16838"/>
          <w:pgMar w:top="1440" w:right="1803" w:bottom="1440" w:left="1803" w:header="851" w:footer="992" w:gutter="0"/>
          <w:cols w:space="720" w:num="1"/>
          <w:docGrid w:linePitch="312" w:charSpace="0"/>
        </w:sectPr>
      </w:pPr>
    </w:p>
    <w:bookmarkEnd w:id="3"/>
    <w:p>
      <w:pPr>
        <w:snapToGrid w:val="0"/>
        <w:spacing w:before="156" w:beforeLines="50" w:after="50"/>
        <w:rPr>
          <w:rFonts w:ascii="宋体" w:hAnsi="宋体"/>
          <w:b/>
          <w:color w:val="auto"/>
          <w:sz w:val="24"/>
          <w:highlight w:val="none"/>
        </w:rPr>
      </w:pPr>
      <w:r>
        <w:rPr>
          <w:rFonts w:hint="eastAsia" w:ascii="宋体" w:hAnsi="宋体"/>
          <w:b/>
          <w:color w:val="auto"/>
          <w:sz w:val="24"/>
          <w:highlight w:val="none"/>
        </w:rPr>
        <w:t>5.5 政府采购政策情况表：</w:t>
      </w:r>
    </w:p>
    <w:p>
      <w:pPr>
        <w:snapToGrid w:val="0"/>
        <w:spacing w:before="156" w:beforeLines="50" w:after="50"/>
        <w:jc w:val="center"/>
        <w:rPr>
          <w:rFonts w:ascii="宋体" w:hAnsi="宋体"/>
          <w:color w:val="auto"/>
          <w:sz w:val="28"/>
          <w:szCs w:val="36"/>
          <w:highlight w:val="none"/>
        </w:rPr>
      </w:pPr>
      <w:r>
        <w:rPr>
          <w:rFonts w:ascii="宋体" w:hAnsi="宋体"/>
          <w:color w:val="auto"/>
          <w:sz w:val="28"/>
          <w:szCs w:val="36"/>
          <w:highlight w:val="none"/>
        </w:rPr>
        <w:t>政府采购政策情况表</w:t>
      </w:r>
    </w:p>
    <w:p>
      <w:pPr>
        <w:snapToGrid w:val="0"/>
        <w:spacing w:before="156" w:beforeLines="50" w:after="50"/>
        <w:jc w:val="center"/>
        <w:rPr>
          <w:rFonts w:ascii="宋体" w:hAnsi="宋体"/>
          <w:b/>
          <w:color w:val="auto"/>
          <w:sz w:val="28"/>
          <w:szCs w:val="28"/>
          <w:highlight w:val="none"/>
        </w:rPr>
      </w:pPr>
      <w:r>
        <w:rPr>
          <w:rFonts w:ascii="宋体" w:hAnsi="宋体"/>
          <w:b/>
          <w:color w:val="auto"/>
          <w:kern w:val="0"/>
          <w:szCs w:val="21"/>
          <w:highlight w:val="none"/>
        </w:rPr>
        <w:t>项目</w:t>
      </w:r>
      <w:r>
        <w:rPr>
          <w:rFonts w:hint="eastAsia" w:ascii="宋体" w:hAnsi="宋体"/>
          <w:b/>
          <w:color w:val="auto"/>
          <w:kern w:val="0"/>
          <w:szCs w:val="21"/>
          <w:highlight w:val="none"/>
        </w:rPr>
        <w:t>编号</w:t>
      </w:r>
      <w:r>
        <w:rPr>
          <w:rFonts w:ascii="宋体" w:hAnsi="宋体"/>
          <w:b/>
          <w:color w:val="auto"/>
          <w:kern w:val="0"/>
          <w:szCs w:val="21"/>
          <w:highlight w:val="none"/>
        </w:rPr>
        <w:t>：</w:t>
      </w:r>
    </w:p>
    <w:tbl>
      <w:tblPr>
        <w:tblStyle w:val="18"/>
        <w:tblW w:w="9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049"/>
        <w:gridCol w:w="924"/>
        <w:gridCol w:w="1316"/>
        <w:gridCol w:w="1021"/>
        <w:gridCol w:w="982"/>
        <w:gridCol w:w="628"/>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7" w:hRule="atLeast"/>
          <w:jc w:val="center"/>
        </w:trPr>
        <w:tc>
          <w:tcPr>
            <w:tcW w:w="768" w:type="dxa"/>
            <w:vMerge w:val="restart"/>
            <w:noWrap/>
            <w:vAlign w:val="center"/>
          </w:tcPr>
          <w:p>
            <w:pPr>
              <w:pStyle w:val="25"/>
              <w:tabs>
                <w:tab w:val="left" w:pos="1260"/>
              </w:tabs>
              <w:snapToGrid w:val="0"/>
              <w:spacing w:line="360" w:lineRule="auto"/>
              <w:jc w:val="center"/>
              <w:rPr>
                <w:rFonts w:ascii="宋体" w:hAnsi="宋体"/>
                <w:color w:val="auto"/>
                <w:szCs w:val="21"/>
                <w:highlight w:val="none"/>
                <w:lang w:val="en-GB"/>
              </w:rPr>
            </w:pPr>
            <w:r>
              <w:rPr>
                <w:rFonts w:ascii="宋体" w:hAnsi="宋体"/>
                <w:color w:val="auto"/>
                <w:szCs w:val="21"/>
                <w:highlight w:val="none"/>
                <w:lang w:val="en-GB"/>
              </w:rPr>
              <w:t>中小企业</w:t>
            </w:r>
            <w:r>
              <w:rPr>
                <w:rFonts w:hint="eastAsia" w:ascii="宋体" w:hAnsi="宋体"/>
                <w:color w:val="auto"/>
                <w:szCs w:val="21"/>
                <w:highlight w:val="none"/>
                <w:lang w:val="en-GB"/>
              </w:rPr>
              <w:t>、监狱企业及残疾人福利性单位</w:t>
            </w:r>
            <w:r>
              <w:rPr>
                <w:rFonts w:ascii="宋体" w:hAnsi="宋体"/>
                <w:color w:val="auto"/>
                <w:szCs w:val="21"/>
                <w:highlight w:val="none"/>
                <w:lang w:val="en-GB"/>
              </w:rPr>
              <w:t>扶持政策</w:t>
            </w:r>
          </w:p>
        </w:tc>
        <w:tc>
          <w:tcPr>
            <w:tcW w:w="8808" w:type="dxa"/>
            <w:gridSpan w:val="7"/>
            <w:noWrap/>
            <w:vAlign w:val="center"/>
          </w:tcPr>
          <w:p>
            <w:pPr>
              <w:pStyle w:val="25"/>
              <w:tabs>
                <w:tab w:val="left" w:pos="1260"/>
              </w:tabs>
              <w:snapToGrid w:val="0"/>
              <w:spacing w:line="360" w:lineRule="auto"/>
              <w:rPr>
                <w:rFonts w:ascii="宋体" w:hAnsi="宋体"/>
                <w:color w:val="auto"/>
                <w:szCs w:val="21"/>
                <w:highlight w:val="none"/>
                <w:lang w:val="en-GB"/>
              </w:rPr>
            </w:pPr>
            <w:r>
              <w:rPr>
                <w:rFonts w:ascii="宋体" w:hAnsi="宋体"/>
                <w:color w:val="auto"/>
                <w:szCs w:val="21"/>
                <w:highlight w:val="none"/>
                <w:lang w:val="en-GB"/>
              </w:rPr>
              <w:t>如属所列情形的，请在括号内打“√”</w:t>
            </w:r>
            <w:r>
              <w:rPr>
                <w:rFonts w:hint="eastAsia" w:ascii="宋体" w:hAnsi="宋体"/>
                <w:color w:val="auto"/>
                <w:szCs w:val="21"/>
                <w:highlight w:val="none"/>
                <w:lang w:val="en-GB"/>
              </w:rPr>
              <w:t>，并</w:t>
            </w:r>
            <w:r>
              <w:rPr>
                <w:rFonts w:ascii="宋体" w:hAnsi="宋体"/>
                <w:color w:val="auto"/>
                <w:szCs w:val="21"/>
                <w:highlight w:val="none"/>
              </w:rPr>
              <w:t>请填写下表内容</w:t>
            </w:r>
            <w:r>
              <w:rPr>
                <w:rFonts w:hint="eastAsia" w:ascii="宋体" w:hAnsi="宋体"/>
                <w:color w:val="auto"/>
                <w:szCs w:val="21"/>
                <w:highlight w:val="none"/>
              </w:rPr>
              <w:t>：</w:t>
            </w:r>
          </w:p>
          <w:p>
            <w:pPr>
              <w:pStyle w:val="25"/>
              <w:tabs>
                <w:tab w:val="left" w:pos="1260"/>
              </w:tabs>
              <w:snapToGrid w:val="0"/>
              <w:spacing w:line="360" w:lineRule="auto"/>
              <w:rPr>
                <w:rFonts w:ascii="宋体" w:hAnsi="宋体"/>
                <w:color w:val="auto"/>
                <w:szCs w:val="21"/>
                <w:highlight w:val="none"/>
              </w:rPr>
            </w:pPr>
            <w:r>
              <w:rPr>
                <w:rFonts w:ascii="宋体" w:hAnsi="宋体"/>
                <w:color w:val="auto"/>
                <w:szCs w:val="21"/>
                <w:highlight w:val="none"/>
              </w:rPr>
              <w:t>（  ）小型、微型企业投标且提供本企业制造的产品。</w:t>
            </w:r>
          </w:p>
          <w:p>
            <w:pPr>
              <w:pStyle w:val="25"/>
              <w:tabs>
                <w:tab w:val="left" w:pos="1260"/>
              </w:tabs>
              <w:snapToGrid w:val="0"/>
              <w:spacing w:line="360" w:lineRule="auto"/>
              <w:rPr>
                <w:rFonts w:ascii="宋体" w:hAnsi="宋体"/>
                <w:color w:val="auto"/>
                <w:szCs w:val="21"/>
                <w:highlight w:val="none"/>
              </w:rPr>
            </w:pPr>
            <w:r>
              <w:rPr>
                <w:rFonts w:ascii="宋体" w:hAnsi="宋体"/>
                <w:color w:val="auto"/>
                <w:szCs w:val="21"/>
                <w:highlight w:val="none"/>
              </w:rPr>
              <w:t>（  ）小微企业投标且提供其它小型、微型企业产品</w:t>
            </w:r>
            <w:r>
              <w:rPr>
                <w:rFonts w:hint="eastAsia" w:ascii="宋体" w:hAnsi="宋体"/>
                <w:color w:val="auto"/>
                <w:szCs w:val="21"/>
                <w:highlight w:val="none"/>
              </w:rPr>
              <w:t>。</w:t>
            </w:r>
          </w:p>
          <w:p>
            <w:pPr>
              <w:pStyle w:val="25"/>
              <w:tabs>
                <w:tab w:val="left" w:pos="1260"/>
              </w:tabs>
              <w:snapToGrid w:val="0"/>
              <w:spacing w:line="360" w:lineRule="auto"/>
              <w:rPr>
                <w:rFonts w:ascii="宋体" w:hAnsi="宋体"/>
                <w:color w:val="auto"/>
                <w:szCs w:val="21"/>
                <w:highlight w:val="none"/>
              </w:rPr>
            </w:pPr>
            <w:r>
              <w:rPr>
                <w:rFonts w:hint="eastAsia" w:ascii="宋体" w:hAnsi="宋体"/>
                <w:color w:val="auto"/>
                <w:szCs w:val="21"/>
                <w:highlight w:val="none"/>
              </w:rPr>
              <w:t>（  ）监狱企业投标</w:t>
            </w:r>
            <w:r>
              <w:rPr>
                <w:rFonts w:ascii="宋体" w:hAnsi="宋体"/>
                <w:color w:val="auto"/>
                <w:szCs w:val="21"/>
                <w:highlight w:val="none"/>
              </w:rPr>
              <w:t>且提供本企业制造的产品。</w:t>
            </w:r>
          </w:p>
          <w:p>
            <w:pPr>
              <w:pStyle w:val="25"/>
              <w:tabs>
                <w:tab w:val="left" w:pos="1260"/>
              </w:tabs>
              <w:snapToGrid w:val="0"/>
              <w:spacing w:line="360" w:lineRule="auto"/>
              <w:rPr>
                <w:rFonts w:ascii="宋体" w:hAnsi="宋体"/>
                <w:color w:val="auto"/>
                <w:szCs w:val="21"/>
                <w:highlight w:val="none"/>
              </w:rPr>
            </w:pPr>
            <w:r>
              <w:rPr>
                <w:rFonts w:ascii="宋体" w:hAnsi="宋体"/>
                <w:color w:val="auto"/>
                <w:szCs w:val="21"/>
                <w:highlight w:val="none"/>
              </w:rPr>
              <w:t>（  ）</w:t>
            </w:r>
            <w:r>
              <w:rPr>
                <w:rFonts w:hint="eastAsia" w:ascii="宋体" w:hAnsi="宋体"/>
                <w:color w:val="auto"/>
                <w:szCs w:val="20"/>
                <w:highlight w:val="none"/>
              </w:rPr>
              <w:t>残疾人福利性单位投标</w:t>
            </w:r>
            <w:r>
              <w:rPr>
                <w:rFonts w:ascii="宋体" w:hAnsi="宋体"/>
                <w:color w:val="auto"/>
                <w:szCs w:val="21"/>
                <w:highlight w:val="none"/>
              </w:rPr>
              <w:t>且提供本企业制造的产品</w:t>
            </w:r>
            <w:r>
              <w:rPr>
                <w:rFonts w:hint="eastAsia" w:ascii="宋体" w:hAnsi="宋体"/>
                <w:color w:val="auto"/>
                <w:szCs w:val="21"/>
                <w:highlight w:val="none"/>
              </w:rPr>
              <w:t>。</w:t>
            </w:r>
          </w:p>
          <w:p>
            <w:pPr>
              <w:pStyle w:val="25"/>
              <w:tabs>
                <w:tab w:val="left" w:pos="1260"/>
              </w:tabs>
              <w:snapToGrid w:val="0"/>
              <w:spacing w:line="360" w:lineRule="auto"/>
              <w:rPr>
                <w:rFonts w:ascii="宋体" w:hAnsi="宋体"/>
                <w:color w:val="auto"/>
                <w:szCs w:val="21"/>
                <w:highlight w:val="none"/>
              </w:rPr>
            </w:pPr>
            <w:r>
              <w:rPr>
                <w:rFonts w:ascii="宋体" w:hAnsi="宋体"/>
                <w:color w:val="auto"/>
                <w:szCs w:val="21"/>
                <w:highlight w:val="none"/>
              </w:rPr>
              <w:t>（  ）</w:t>
            </w:r>
            <w:r>
              <w:rPr>
                <w:rFonts w:hint="eastAsia" w:ascii="宋体" w:hAnsi="宋体"/>
                <w:color w:val="auto"/>
                <w:szCs w:val="20"/>
                <w:highlight w:val="none"/>
              </w:rPr>
              <w:t>残疾人福利性单位投标</w:t>
            </w:r>
            <w:r>
              <w:rPr>
                <w:rFonts w:ascii="宋体" w:hAnsi="宋体"/>
                <w:color w:val="auto"/>
                <w:szCs w:val="21"/>
                <w:highlight w:val="none"/>
              </w:rPr>
              <w:t>且提供其它</w:t>
            </w:r>
            <w:r>
              <w:rPr>
                <w:rFonts w:hint="eastAsia" w:ascii="宋体" w:hAnsi="宋体"/>
                <w:color w:val="auto"/>
                <w:szCs w:val="20"/>
                <w:highlight w:val="none"/>
              </w:rPr>
              <w:t>残疾人福利性单位制造的</w:t>
            </w:r>
            <w:r>
              <w:rPr>
                <w:rFonts w:hint="eastAsia" w:ascii="宋体" w:hAnsi="宋体"/>
                <w:color w:val="auto"/>
                <w:szCs w:val="21"/>
                <w:highlight w:val="none"/>
              </w:rPr>
              <w:t>货物</w:t>
            </w:r>
            <w:r>
              <w:rPr>
                <w:rFonts w:hint="eastAsia" w:ascii="宋体" w:hAnsi="宋体"/>
                <w:color w:val="auto"/>
                <w:szCs w:val="20"/>
                <w:highlight w:val="none"/>
              </w:rPr>
              <w:t>（不包括使用非残疾人福利性单位注册商标的货物）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jc w:val="center"/>
        </w:trPr>
        <w:tc>
          <w:tcPr>
            <w:tcW w:w="768" w:type="dxa"/>
            <w:vMerge w:val="continue"/>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2049"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r>
              <w:rPr>
                <w:rFonts w:ascii="宋体" w:hAnsi="宋体"/>
                <w:color w:val="auto"/>
                <w:szCs w:val="21"/>
                <w:highlight w:val="none"/>
                <w:lang w:val="en-GB"/>
              </w:rPr>
              <w:t>产品名称</w:t>
            </w:r>
          </w:p>
        </w:tc>
        <w:tc>
          <w:tcPr>
            <w:tcW w:w="924"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r>
              <w:rPr>
                <w:rFonts w:ascii="宋体" w:hAnsi="宋体"/>
                <w:color w:val="auto"/>
                <w:szCs w:val="21"/>
                <w:highlight w:val="none"/>
                <w:lang w:val="en-GB"/>
              </w:rPr>
              <w:t>品牌</w:t>
            </w:r>
          </w:p>
        </w:tc>
        <w:tc>
          <w:tcPr>
            <w:tcW w:w="1316"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r>
              <w:rPr>
                <w:rFonts w:hint="eastAsia" w:ascii="宋体" w:hAnsi="宋体"/>
                <w:color w:val="auto"/>
                <w:szCs w:val="21"/>
                <w:highlight w:val="none"/>
              </w:rPr>
              <w:t>型号、规格</w:t>
            </w:r>
          </w:p>
        </w:tc>
        <w:tc>
          <w:tcPr>
            <w:tcW w:w="1021"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r>
              <w:rPr>
                <w:rFonts w:ascii="宋体" w:hAnsi="宋体"/>
                <w:color w:val="auto"/>
                <w:szCs w:val="21"/>
                <w:highlight w:val="none"/>
                <w:lang w:val="en-GB"/>
              </w:rPr>
              <w:t>制造商</w:t>
            </w:r>
          </w:p>
        </w:tc>
        <w:tc>
          <w:tcPr>
            <w:tcW w:w="982" w:type="dxa"/>
            <w:noWrap/>
            <w:vAlign w:val="center"/>
          </w:tcPr>
          <w:p>
            <w:pPr>
              <w:pStyle w:val="25"/>
              <w:tabs>
                <w:tab w:val="left" w:pos="1260"/>
              </w:tabs>
              <w:snapToGrid w:val="0"/>
              <w:jc w:val="center"/>
              <w:rPr>
                <w:rFonts w:ascii="宋体" w:hAnsi="宋体"/>
                <w:color w:val="auto"/>
                <w:szCs w:val="21"/>
                <w:highlight w:val="none"/>
                <w:lang w:val="en-GB"/>
              </w:rPr>
            </w:pPr>
            <w:r>
              <w:rPr>
                <w:rFonts w:hint="eastAsia" w:ascii="宋体" w:hAnsi="宋体"/>
                <w:color w:val="auto"/>
                <w:szCs w:val="21"/>
                <w:highlight w:val="none"/>
                <w:lang w:val="en-GB"/>
              </w:rPr>
              <w:t>制造商</w:t>
            </w:r>
          </w:p>
          <w:p>
            <w:pPr>
              <w:pStyle w:val="25"/>
              <w:tabs>
                <w:tab w:val="left" w:pos="1260"/>
              </w:tabs>
              <w:snapToGrid w:val="0"/>
              <w:jc w:val="center"/>
              <w:rPr>
                <w:rFonts w:ascii="宋体" w:hAnsi="宋体"/>
                <w:color w:val="auto"/>
                <w:szCs w:val="21"/>
                <w:highlight w:val="none"/>
                <w:lang w:val="en-GB"/>
              </w:rPr>
            </w:pPr>
            <w:r>
              <w:rPr>
                <w:rFonts w:hint="eastAsia" w:ascii="宋体" w:hAnsi="宋体"/>
                <w:color w:val="auto"/>
                <w:szCs w:val="21"/>
                <w:highlight w:val="none"/>
                <w:lang w:val="en-GB"/>
              </w:rPr>
              <w:t>企业类型</w:t>
            </w:r>
          </w:p>
        </w:tc>
        <w:tc>
          <w:tcPr>
            <w:tcW w:w="628"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r>
              <w:rPr>
                <w:rFonts w:ascii="宋体" w:hAnsi="宋体"/>
                <w:color w:val="auto"/>
                <w:szCs w:val="21"/>
                <w:highlight w:val="none"/>
                <w:lang w:val="en-GB"/>
              </w:rPr>
              <w:t>金额</w:t>
            </w:r>
          </w:p>
        </w:tc>
        <w:tc>
          <w:tcPr>
            <w:tcW w:w="1888" w:type="dxa"/>
            <w:noWrap/>
            <w:vAlign w:val="center"/>
          </w:tcPr>
          <w:p>
            <w:pPr>
              <w:pStyle w:val="25"/>
              <w:tabs>
                <w:tab w:val="left" w:pos="1260"/>
              </w:tabs>
              <w:snapToGrid w:val="0"/>
              <w:jc w:val="center"/>
              <w:rPr>
                <w:rFonts w:ascii="宋体" w:hAnsi="宋体"/>
                <w:color w:val="auto"/>
                <w:szCs w:val="21"/>
                <w:highlight w:val="none"/>
                <w:lang w:val="en-GB"/>
              </w:rPr>
            </w:pPr>
            <w:r>
              <w:rPr>
                <w:rFonts w:hint="eastAsia" w:ascii="宋体" w:hAnsi="宋体"/>
                <w:color w:val="auto"/>
                <w:szCs w:val="21"/>
                <w:highlight w:val="none"/>
                <w:lang w:val="en-GB"/>
              </w:rPr>
              <w:t>产品在开标一览表中对应的序号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68" w:type="dxa"/>
            <w:vMerge w:val="continue"/>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2049"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924"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1316"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1021"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982"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628"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1888"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768" w:type="dxa"/>
            <w:vMerge w:val="continue"/>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2049"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924"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1316"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1021"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982"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628"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1888"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68" w:type="dxa"/>
            <w:vMerge w:val="continue"/>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2049"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924"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1316"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1021"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982"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628"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1888" w:type="dxa"/>
            <w:noWrap/>
            <w:vAlign w:val="center"/>
          </w:tcPr>
          <w:p>
            <w:pPr>
              <w:pStyle w:val="25"/>
              <w:tabs>
                <w:tab w:val="left" w:pos="1260"/>
              </w:tabs>
              <w:snapToGrid w:val="0"/>
              <w:spacing w:line="360" w:lineRule="auto"/>
              <w:jc w:val="center"/>
              <w:rPr>
                <w:rFonts w:ascii="宋体" w:hAnsi="宋体"/>
                <w:color w:val="auto"/>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768" w:type="dxa"/>
            <w:vMerge w:val="continue"/>
            <w:noWrap/>
            <w:vAlign w:val="center"/>
          </w:tcPr>
          <w:p>
            <w:pPr>
              <w:pStyle w:val="25"/>
              <w:tabs>
                <w:tab w:val="left" w:pos="1260"/>
              </w:tabs>
              <w:snapToGrid w:val="0"/>
              <w:spacing w:line="360" w:lineRule="auto"/>
              <w:jc w:val="center"/>
              <w:rPr>
                <w:rFonts w:ascii="宋体" w:hAnsi="宋体"/>
                <w:color w:val="auto"/>
                <w:szCs w:val="21"/>
                <w:highlight w:val="none"/>
                <w:lang w:val="en-GB"/>
              </w:rPr>
            </w:pPr>
          </w:p>
        </w:tc>
        <w:tc>
          <w:tcPr>
            <w:tcW w:w="6292" w:type="dxa"/>
            <w:gridSpan w:val="5"/>
            <w:noWrap/>
            <w:vAlign w:val="center"/>
          </w:tcPr>
          <w:p>
            <w:pPr>
              <w:pStyle w:val="25"/>
              <w:tabs>
                <w:tab w:val="left" w:pos="1260"/>
              </w:tabs>
              <w:snapToGrid w:val="0"/>
              <w:spacing w:line="360" w:lineRule="auto"/>
              <w:jc w:val="center"/>
              <w:rPr>
                <w:rFonts w:ascii="宋体" w:hAnsi="宋体"/>
                <w:color w:val="auto"/>
                <w:szCs w:val="21"/>
                <w:highlight w:val="none"/>
                <w:lang w:val="en-GB"/>
              </w:rPr>
            </w:pPr>
            <w:r>
              <w:rPr>
                <w:rFonts w:ascii="宋体" w:hAnsi="宋体"/>
                <w:color w:val="auto"/>
                <w:szCs w:val="21"/>
                <w:highlight w:val="none"/>
              </w:rPr>
              <w:t>小型、微型企业产品</w:t>
            </w:r>
            <w:r>
              <w:rPr>
                <w:rFonts w:ascii="宋体" w:hAnsi="宋体"/>
                <w:color w:val="auto"/>
                <w:szCs w:val="21"/>
                <w:highlight w:val="none"/>
                <w:lang w:val="en-GB"/>
              </w:rPr>
              <w:t>金额合计</w:t>
            </w:r>
          </w:p>
        </w:tc>
        <w:tc>
          <w:tcPr>
            <w:tcW w:w="2516" w:type="dxa"/>
            <w:gridSpan w:val="2"/>
            <w:noWrap/>
            <w:vAlign w:val="center"/>
          </w:tcPr>
          <w:p>
            <w:pPr>
              <w:pStyle w:val="25"/>
              <w:tabs>
                <w:tab w:val="left" w:pos="1260"/>
              </w:tabs>
              <w:snapToGrid w:val="0"/>
              <w:spacing w:line="360" w:lineRule="auto"/>
              <w:jc w:val="center"/>
              <w:rPr>
                <w:rFonts w:ascii="宋体" w:hAnsi="宋体"/>
                <w:color w:val="auto"/>
                <w:szCs w:val="21"/>
                <w:highlight w:val="none"/>
                <w:lang w:val="en-GB"/>
              </w:rPr>
            </w:pPr>
          </w:p>
        </w:tc>
      </w:tr>
    </w:tbl>
    <w:p>
      <w:pPr>
        <w:spacing w:line="288" w:lineRule="auto"/>
        <w:ind w:firstLine="420" w:firstLineChars="200"/>
        <w:outlineLvl w:val="0"/>
        <w:rPr>
          <w:rFonts w:ascii="宋体" w:hAnsi="宋体"/>
          <w:color w:val="auto"/>
          <w:szCs w:val="21"/>
          <w:highlight w:val="none"/>
        </w:rPr>
      </w:pPr>
      <w:r>
        <w:rPr>
          <w:rFonts w:ascii="宋体" w:hAnsi="宋体"/>
          <w:color w:val="auto"/>
          <w:szCs w:val="21"/>
          <w:highlight w:val="none"/>
        </w:rPr>
        <w:t>填报要求：</w:t>
      </w:r>
    </w:p>
    <w:p>
      <w:pPr>
        <w:spacing w:line="288" w:lineRule="auto"/>
        <w:ind w:firstLine="420" w:firstLineChars="200"/>
        <w:outlineLvl w:val="0"/>
        <w:rPr>
          <w:rFonts w:ascii="宋体" w:hAnsi="宋体"/>
          <w:color w:val="auto"/>
          <w:szCs w:val="21"/>
          <w:highlight w:val="none"/>
        </w:rPr>
      </w:pPr>
      <w:r>
        <w:rPr>
          <w:rFonts w:ascii="宋体" w:hAnsi="宋体"/>
          <w:color w:val="auto"/>
          <w:szCs w:val="21"/>
          <w:highlight w:val="none"/>
        </w:rPr>
        <w:t>1. 本表的</w:t>
      </w:r>
      <w:r>
        <w:rPr>
          <w:rFonts w:hint="eastAsia" w:ascii="宋体" w:hAnsi="宋体"/>
          <w:color w:val="auto"/>
          <w:szCs w:val="21"/>
          <w:highlight w:val="none"/>
        </w:rPr>
        <w:t>“</w:t>
      </w:r>
      <w:r>
        <w:rPr>
          <w:rFonts w:ascii="宋体" w:hAnsi="宋体"/>
          <w:color w:val="auto"/>
          <w:szCs w:val="21"/>
          <w:highlight w:val="none"/>
        </w:rPr>
        <w:t>产品名称</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“品牌”、“型号、规格”</w:t>
      </w:r>
      <w:r>
        <w:rPr>
          <w:rFonts w:ascii="宋体" w:hAnsi="宋体"/>
          <w:color w:val="auto"/>
          <w:szCs w:val="21"/>
          <w:highlight w:val="none"/>
        </w:rPr>
        <w:t>、金额应与《</w:t>
      </w:r>
      <w:r>
        <w:rPr>
          <w:rFonts w:hint="eastAsia" w:ascii="宋体" w:hAnsi="宋体"/>
          <w:color w:val="auto"/>
          <w:szCs w:val="21"/>
          <w:highlight w:val="none"/>
        </w:rPr>
        <w:t>报价明细表</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名称</w:t>
      </w:r>
      <w:r>
        <w:rPr>
          <w:rFonts w:hint="eastAsia" w:ascii="宋体" w:hAnsi="宋体"/>
          <w:color w:val="auto"/>
          <w:szCs w:val="21"/>
          <w:highlight w:val="none"/>
        </w:rPr>
        <w:t>”、“</w:t>
      </w:r>
      <w:r>
        <w:rPr>
          <w:rFonts w:ascii="宋体" w:hAnsi="宋体"/>
          <w:color w:val="auto"/>
          <w:szCs w:val="21"/>
          <w:highlight w:val="none"/>
        </w:rPr>
        <w:t>品牌</w:t>
      </w:r>
      <w:r>
        <w:rPr>
          <w:rFonts w:hint="eastAsia" w:ascii="宋体" w:hAnsi="宋体"/>
          <w:color w:val="auto"/>
          <w:szCs w:val="21"/>
          <w:highlight w:val="none"/>
        </w:rPr>
        <w:t>”、“型号、规格”、“投标报价”</w:t>
      </w:r>
      <w:r>
        <w:rPr>
          <w:rFonts w:ascii="宋体" w:hAnsi="宋体"/>
          <w:color w:val="auto"/>
          <w:szCs w:val="21"/>
          <w:highlight w:val="none"/>
        </w:rPr>
        <w:t>一致</w:t>
      </w:r>
      <w:r>
        <w:rPr>
          <w:rFonts w:hint="eastAsia" w:ascii="宋体" w:hAnsi="宋体"/>
          <w:color w:val="auto"/>
          <w:szCs w:val="21"/>
          <w:highlight w:val="none"/>
        </w:rPr>
        <w:t>。</w:t>
      </w:r>
    </w:p>
    <w:p>
      <w:pPr>
        <w:spacing w:line="288" w:lineRule="auto"/>
        <w:ind w:firstLine="420" w:firstLineChars="200"/>
        <w:outlineLvl w:val="0"/>
        <w:rPr>
          <w:rFonts w:ascii="宋体" w:hAnsi="宋体"/>
          <w:color w:val="auto"/>
          <w:szCs w:val="21"/>
          <w:highlight w:val="none"/>
        </w:rPr>
      </w:pPr>
      <w:r>
        <w:rPr>
          <w:rFonts w:ascii="宋体" w:hAnsi="宋体"/>
          <w:color w:val="auto"/>
          <w:szCs w:val="21"/>
          <w:highlight w:val="none"/>
        </w:rPr>
        <w:t>2. “制造商企业类型”栏填写内容</w:t>
      </w:r>
      <w:r>
        <w:rPr>
          <w:rFonts w:hint="eastAsia" w:ascii="宋体" w:hAnsi="宋体"/>
          <w:color w:val="auto"/>
          <w:szCs w:val="21"/>
          <w:highlight w:val="none"/>
        </w:rPr>
        <w:t>应</w:t>
      </w:r>
      <w:r>
        <w:rPr>
          <w:rFonts w:ascii="宋体" w:hAnsi="宋体"/>
          <w:color w:val="auto"/>
          <w:szCs w:val="21"/>
          <w:highlight w:val="none"/>
        </w:rPr>
        <w:t>为“小型”</w:t>
      </w:r>
      <w:r>
        <w:rPr>
          <w:rFonts w:hint="eastAsia" w:ascii="宋体" w:hAnsi="宋体"/>
          <w:color w:val="auto"/>
          <w:szCs w:val="21"/>
          <w:highlight w:val="none"/>
        </w:rPr>
        <w:t>、</w:t>
      </w:r>
      <w:r>
        <w:rPr>
          <w:rFonts w:ascii="宋体" w:hAnsi="宋体"/>
          <w:color w:val="auto"/>
          <w:szCs w:val="21"/>
          <w:highlight w:val="none"/>
        </w:rPr>
        <w:t>“微型”</w:t>
      </w:r>
      <w:r>
        <w:rPr>
          <w:rFonts w:hint="eastAsia" w:ascii="宋体" w:hAnsi="宋体"/>
          <w:color w:val="auto"/>
          <w:szCs w:val="21"/>
          <w:highlight w:val="none"/>
        </w:rPr>
        <w:t>，并提供制造企业情况表（格式见附件5.5）</w:t>
      </w:r>
      <w:r>
        <w:rPr>
          <w:rFonts w:ascii="宋体" w:hAnsi="宋体"/>
          <w:color w:val="auto"/>
          <w:szCs w:val="21"/>
          <w:highlight w:val="none"/>
        </w:rPr>
        <w:t>。</w:t>
      </w:r>
    </w:p>
    <w:p>
      <w:pPr>
        <w:spacing w:line="288" w:lineRule="auto"/>
        <w:ind w:firstLine="420" w:firstLineChars="200"/>
        <w:outlineLvl w:val="0"/>
        <w:rPr>
          <w:rFonts w:ascii="宋体" w:hAnsi="宋体"/>
          <w:color w:val="auto"/>
          <w:highlight w:val="none"/>
        </w:rPr>
      </w:pPr>
      <w:r>
        <w:rPr>
          <w:rFonts w:hint="eastAsia" w:ascii="宋体" w:hAnsi="宋体"/>
          <w:color w:val="auto"/>
          <w:highlight w:val="none"/>
        </w:rPr>
        <w:t>3</w:t>
      </w:r>
      <w:r>
        <w:rPr>
          <w:rFonts w:ascii="宋体" w:hAnsi="宋体"/>
          <w:color w:val="auto"/>
          <w:highlight w:val="none"/>
        </w:rPr>
        <w:t>. 请投标人正确填写本表，所填内容将作为</w:t>
      </w:r>
      <w:r>
        <w:rPr>
          <w:rFonts w:hint="eastAsia" w:ascii="宋体" w:hAnsi="宋体"/>
          <w:color w:val="auto"/>
          <w:highlight w:val="none"/>
        </w:rPr>
        <w:t>报价的</w:t>
      </w:r>
      <w:r>
        <w:rPr>
          <w:rFonts w:ascii="宋体" w:hAnsi="宋体"/>
          <w:color w:val="auto"/>
          <w:highlight w:val="none"/>
        </w:rPr>
        <w:t>评分依据。如果填写不完整或有误，不再享受上述政策优惠。</w:t>
      </w:r>
    </w:p>
    <w:p>
      <w:pPr>
        <w:spacing w:before="156" w:beforeLines="50" w:line="288" w:lineRule="auto"/>
        <w:ind w:right="-21" w:rightChars="-10" w:firstLine="10080" w:firstLineChars="4800"/>
        <w:rPr>
          <w:rFonts w:ascii="宋体" w:hAnsi="宋体"/>
          <w:color w:val="auto"/>
          <w:highlight w:val="none"/>
        </w:rPr>
      </w:pPr>
    </w:p>
    <w:p>
      <w:pPr>
        <w:spacing w:before="156" w:beforeLines="50" w:line="288" w:lineRule="auto"/>
        <w:ind w:right="-21" w:rightChars="-10"/>
        <w:jc w:val="right"/>
        <w:rPr>
          <w:rFonts w:ascii="宋体" w:hAnsi="宋体"/>
          <w:color w:val="auto"/>
          <w:highlight w:val="none"/>
        </w:rPr>
      </w:pPr>
      <w:r>
        <w:rPr>
          <w:rFonts w:hint="eastAsia" w:ascii="宋体" w:hAnsi="宋体"/>
          <w:color w:val="auto"/>
          <w:highlight w:val="none"/>
        </w:rPr>
        <w:t>投标人（盖章）：</w:t>
      </w:r>
    </w:p>
    <w:p>
      <w:pPr>
        <w:spacing w:before="156" w:beforeLines="50" w:line="288" w:lineRule="auto"/>
        <w:ind w:right="-21" w:rightChars="-10"/>
        <w:jc w:val="right"/>
        <w:rPr>
          <w:rFonts w:ascii="宋体" w:hAnsi="宋体"/>
          <w:color w:val="auto"/>
          <w:highlight w:val="none"/>
        </w:rPr>
      </w:pPr>
      <w:r>
        <w:rPr>
          <w:rFonts w:hint="eastAsia" w:ascii="宋体" w:hAnsi="宋体"/>
          <w:color w:val="auto"/>
          <w:highlight w:val="none"/>
        </w:rPr>
        <w:t>法定代表人或授权代表（签字或盖章）</w:t>
      </w:r>
    </w:p>
    <w:p>
      <w:pPr>
        <w:spacing w:before="156" w:beforeLines="50" w:line="288" w:lineRule="auto"/>
        <w:ind w:right="-21" w:rightChars="-10"/>
        <w:jc w:val="right"/>
        <w:rPr>
          <w:rFonts w:ascii="宋体" w:hAnsi="宋体"/>
          <w:color w:val="auto"/>
          <w:highlight w:val="none"/>
        </w:rPr>
      </w:pPr>
    </w:p>
    <w:p>
      <w:pPr>
        <w:spacing w:before="156" w:beforeLines="50" w:line="288" w:lineRule="auto"/>
        <w:ind w:right="-21" w:rightChars="-10"/>
        <w:jc w:val="right"/>
        <w:rPr>
          <w:rFonts w:ascii="宋体" w:hAnsi="宋体"/>
          <w:color w:val="auto"/>
          <w:highlight w:val="none"/>
        </w:rPr>
      </w:pPr>
    </w:p>
    <w:p>
      <w:pPr>
        <w:spacing w:before="156" w:beforeLines="50" w:line="288" w:lineRule="auto"/>
        <w:ind w:right="-21" w:rightChars="-10"/>
        <w:jc w:val="right"/>
        <w:rPr>
          <w:rFonts w:ascii="宋体" w:hAnsi="宋体"/>
          <w:color w:val="auto"/>
          <w:highlight w:val="none"/>
        </w:rPr>
      </w:pPr>
    </w:p>
    <w:p>
      <w:pPr>
        <w:spacing w:before="156" w:beforeLines="50" w:line="288" w:lineRule="auto"/>
        <w:ind w:right="-21" w:rightChars="-10"/>
        <w:jc w:val="right"/>
        <w:rPr>
          <w:rFonts w:ascii="宋体" w:hAnsi="宋体"/>
          <w:color w:val="auto"/>
          <w:highlight w:val="none"/>
        </w:rPr>
      </w:pPr>
    </w:p>
    <w:p>
      <w:pPr>
        <w:spacing w:before="156" w:beforeLines="50" w:line="288" w:lineRule="auto"/>
        <w:ind w:right="-21" w:rightChars="-10"/>
        <w:rPr>
          <w:rFonts w:ascii="宋体" w:hAnsi="宋体"/>
          <w:color w:val="auto"/>
          <w:highlight w:val="non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5.6制造企业情况表：（小微企业提供其他小微企业生产的产品时适用）</w:t>
      </w:r>
    </w:p>
    <w:p>
      <w:pPr>
        <w:snapToGrid w:val="0"/>
        <w:spacing w:before="156" w:beforeLines="50" w:after="50" w:line="360" w:lineRule="auto"/>
        <w:jc w:val="center"/>
        <w:rPr>
          <w:rFonts w:ascii="宋体" w:hAnsi="宋体"/>
          <w:b/>
          <w:color w:val="auto"/>
          <w:sz w:val="24"/>
          <w:highlight w:val="none"/>
        </w:rPr>
      </w:pPr>
      <w:r>
        <w:rPr>
          <w:rFonts w:hint="eastAsia" w:ascii="宋体" w:hAnsi="宋体"/>
          <w:b/>
          <w:color w:val="auto"/>
          <w:sz w:val="24"/>
          <w:highlight w:val="none"/>
        </w:rPr>
        <w:t>制造企业情况表</w:t>
      </w:r>
    </w:p>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投标单位：                  标项：                       填表日期：</w:t>
      </w:r>
    </w:p>
    <w:tbl>
      <w:tblPr>
        <w:tblStyle w:val="18"/>
        <w:tblW w:w="89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60"/>
        <w:gridCol w:w="2887"/>
        <w:gridCol w:w="1222"/>
        <w:gridCol w:w="166"/>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2104" w:type="dxa"/>
            <w:gridSpan w:val="2"/>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制造企业名称</w:t>
            </w:r>
          </w:p>
        </w:tc>
        <w:tc>
          <w:tcPr>
            <w:tcW w:w="2887" w:type="dxa"/>
            <w:noWrap/>
            <w:vAlign w:val="center"/>
          </w:tcPr>
          <w:p>
            <w:pPr>
              <w:widowControl/>
              <w:spacing w:line="360" w:lineRule="auto"/>
              <w:jc w:val="center"/>
              <w:rPr>
                <w:color w:val="auto"/>
                <w:sz w:val="24"/>
                <w:highlight w:val="none"/>
              </w:rPr>
            </w:pPr>
          </w:p>
        </w:tc>
        <w:tc>
          <w:tcPr>
            <w:tcW w:w="1388" w:type="dxa"/>
            <w:gridSpan w:val="2"/>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电话</w:t>
            </w:r>
          </w:p>
        </w:tc>
        <w:tc>
          <w:tcPr>
            <w:tcW w:w="2534" w:type="dxa"/>
            <w:noWrap/>
            <w:vAlign w:val="center"/>
          </w:tcPr>
          <w:p>
            <w:pPr>
              <w:pStyle w:val="8"/>
              <w:spacing w:before="156" w:after="156" w:line="360" w:lineRule="auto"/>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2104" w:type="dxa"/>
            <w:gridSpan w:val="2"/>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地址</w:t>
            </w:r>
          </w:p>
        </w:tc>
        <w:tc>
          <w:tcPr>
            <w:tcW w:w="2887" w:type="dxa"/>
            <w:noWrap/>
            <w:vAlign w:val="center"/>
          </w:tcPr>
          <w:p>
            <w:pPr>
              <w:pStyle w:val="8"/>
              <w:spacing w:before="156" w:after="156" w:line="360" w:lineRule="auto"/>
              <w:jc w:val="center"/>
              <w:rPr>
                <w:rFonts w:ascii="Times New Roman" w:hAnsi="Times New Roman"/>
                <w:color w:val="auto"/>
                <w:highlight w:val="none"/>
              </w:rPr>
            </w:pPr>
          </w:p>
        </w:tc>
        <w:tc>
          <w:tcPr>
            <w:tcW w:w="1388" w:type="dxa"/>
            <w:gridSpan w:val="2"/>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传真</w:t>
            </w:r>
          </w:p>
        </w:tc>
        <w:tc>
          <w:tcPr>
            <w:tcW w:w="2534" w:type="dxa"/>
            <w:noWrap/>
            <w:vAlign w:val="center"/>
          </w:tcPr>
          <w:p>
            <w:pPr>
              <w:pStyle w:val="8"/>
              <w:spacing w:before="156" w:after="156" w:line="360" w:lineRule="auto"/>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2104" w:type="dxa"/>
            <w:gridSpan w:val="2"/>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主管部门</w:t>
            </w:r>
          </w:p>
        </w:tc>
        <w:tc>
          <w:tcPr>
            <w:tcW w:w="2887" w:type="dxa"/>
            <w:noWrap/>
            <w:vAlign w:val="center"/>
          </w:tcPr>
          <w:p>
            <w:pPr>
              <w:pStyle w:val="8"/>
              <w:spacing w:before="156" w:after="156" w:line="360" w:lineRule="auto"/>
              <w:jc w:val="center"/>
              <w:rPr>
                <w:rFonts w:ascii="Times New Roman" w:hAnsi="Times New Roman"/>
                <w:color w:val="auto"/>
                <w:highlight w:val="none"/>
              </w:rPr>
            </w:pPr>
          </w:p>
        </w:tc>
        <w:tc>
          <w:tcPr>
            <w:tcW w:w="1388" w:type="dxa"/>
            <w:gridSpan w:val="2"/>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企业性质</w:t>
            </w:r>
          </w:p>
        </w:tc>
        <w:tc>
          <w:tcPr>
            <w:tcW w:w="2534" w:type="dxa"/>
            <w:noWrap/>
            <w:vAlign w:val="center"/>
          </w:tcPr>
          <w:p>
            <w:pPr>
              <w:pStyle w:val="8"/>
              <w:spacing w:before="156" w:after="156" w:line="360" w:lineRule="auto"/>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2104" w:type="dxa"/>
            <w:gridSpan w:val="2"/>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企业法人</w:t>
            </w:r>
          </w:p>
        </w:tc>
        <w:tc>
          <w:tcPr>
            <w:tcW w:w="2887" w:type="dxa"/>
            <w:noWrap/>
            <w:vAlign w:val="center"/>
          </w:tcPr>
          <w:p>
            <w:pPr>
              <w:pStyle w:val="8"/>
              <w:spacing w:before="156" w:after="156" w:line="360" w:lineRule="auto"/>
              <w:jc w:val="center"/>
              <w:rPr>
                <w:rFonts w:ascii="Times New Roman" w:hAnsi="Times New Roman"/>
                <w:color w:val="auto"/>
                <w:highlight w:val="none"/>
              </w:rPr>
            </w:pPr>
          </w:p>
        </w:tc>
        <w:tc>
          <w:tcPr>
            <w:tcW w:w="1388" w:type="dxa"/>
            <w:gridSpan w:val="2"/>
            <w:noWrap/>
            <w:vAlign w:val="center"/>
          </w:tcPr>
          <w:p>
            <w:pPr>
              <w:pStyle w:val="8"/>
              <w:spacing w:before="156" w:after="156" w:line="360" w:lineRule="auto"/>
              <w:rPr>
                <w:rFonts w:ascii="Times New Roman" w:hAnsi="Times New Roman"/>
                <w:color w:val="auto"/>
                <w:highlight w:val="none"/>
              </w:rPr>
            </w:pPr>
            <w:r>
              <w:rPr>
                <w:rFonts w:hint="eastAsia"/>
                <w:color w:val="auto"/>
                <w:highlight w:val="none"/>
              </w:rPr>
              <w:t>资质等级</w:t>
            </w:r>
          </w:p>
        </w:tc>
        <w:tc>
          <w:tcPr>
            <w:tcW w:w="2534" w:type="dxa"/>
            <w:noWrap/>
            <w:vAlign w:val="center"/>
          </w:tcPr>
          <w:p>
            <w:pPr>
              <w:pStyle w:val="8"/>
              <w:spacing w:before="156" w:after="156" w:line="360" w:lineRule="auto"/>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2104" w:type="dxa"/>
            <w:gridSpan w:val="2"/>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授权代表</w:t>
            </w:r>
          </w:p>
        </w:tc>
        <w:tc>
          <w:tcPr>
            <w:tcW w:w="2887" w:type="dxa"/>
            <w:noWrap/>
            <w:vAlign w:val="center"/>
          </w:tcPr>
          <w:p>
            <w:pPr>
              <w:pStyle w:val="8"/>
              <w:spacing w:before="156" w:after="156" w:line="360" w:lineRule="auto"/>
              <w:jc w:val="center"/>
              <w:rPr>
                <w:rFonts w:ascii="Times New Roman" w:hAnsi="Times New Roman"/>
                <w:color w:val="auto"/>
                <w:highlight w:val="none"/>
              </w:rPr>
            </w:pPr>
          </w:p>
        </w:tc>
        <w:tc>
          <w:tcPr>
            <w:tcW w:w="1388" w:type="dxa"/>
            <w:gridSpan w:val="2"/>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职务</w:t>
            </w:r>
          </w:p>
        </w:tc>
        <w:tc>
          <w:tcPr>
            <w:tcW w:w="2534" w:type="dxa"/>
            <w:noWrap/>
            <w:vAlign w:val="center"/>
          </w:tcPr>
          <w:p>
            <w:pPr>
              <w:pStyle w:val="8"/>
              <w:spacing w:before="156" w:after="156" w:line="360" w:lineRule="auto"/>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249" w:hRule="atLeast"/>
          <w:jc w:val="center"/>
        </w:trPr>
        <w:tc>
          <w:tcPr>
            <w:tcW w:w="844" w:type="dxa"/>
            <w:vMerge w:val="restart"/>
            <w:noWrap/>
            <w:vAlign w:val="center"/>
          </w:tcPr>
          <w:p>
            <w:pPr>
              <w:pStyle w:val="8"/>
              <w:spacing w:before="156" w:after="156" w:line="360" w:lineRule="auto"/>
              <w:ind w:firstLine="720" w:firstLineChars="300"/>
              <w:jc w:val="center"/>
              <w:rPr>
                <w:rFonts w:ascii="Times New Roman" w:hAnsi="Times New Roman"/>
                <w:color w:val="auto"/>
                <w:highlight w:val="none"/>
              </w:rPr>
            </w:pPr>
          </w:p>
          <w:p>
            <w:pPr>
              <w:pStyle w:val="8"/>
              <w:spacing w:before="156" w:after="156" w:line="360" w:lineRule="auto"/>
              <w:jc w:val="center"/>
              <w:rPr>
                <w:rFonts w:ascii="Times New Roman" w:hAnsi="Times New Roman"/>
                <w:color w:val="auto"/>
                <w:highlight w:val="none"/>
              </w:rPr>
            </w:pPr>
            <w:r>
              <w:rPr>
                <w:rFonts w:hint="eastAsia" w:ascii="Times New Roman" w:hAnsi="Times New Roman"/>
                <w:color w:val="auto"/>
                <w:highlight w:val="none"/>
              </w:rPr>
              <w:t>单位概况</w:t>
            </w:r>
          </w:p>
          <w:p>
            <w:pPr>
              <w:pStyle w:val="8"/>
              <w:spacing w:before="156" w:after="156" w:line="360" w:lineRule="auto"/>
              <w:ind w:firstLine="720" w:firstLineChars="300"/>
              <w:jc w:val="center"/>
              <w:rPr>
                <w:rFonts w:ascii="Times New Roman" w:hAnsi="Times New Roman"/>
                <w:color w:val="auto"/>
                <w:highlight w:val="none"/>
              </w:rPr>
            </w:pPr>
          </w:p>
          <w:p>
            <w:pPr>
              <w:pStyle w:val="8"/>
              <w:spacing w:before="156" w:after="156" w:line="360" w:lineRule="auto"/>
              <w:ind w:firstLine="720" w:firstLineChars="300"/>
              <w:jc w:val="center"/>
              <w:rPr>
                <w:rFonts w:ascii="Times New Roman" w:hAnsi="Times New Roman"/>
                <w:color w:val="auto"/>
                <w:highlight w:val="none"/>
              </w:rPr>
            </w:pPr>
          </w:p>
          <w:p>
            <w:pPr>
              <w:pStyle w:val="8"/>
              <w:spacing w:before="156" w:after="156" w:line="360" w:lineRule="auto"/>
              <w:ind w:firstLine="720" w:firstLineChars="300"/>
              <w:jc w:val="center"/>
              <w:rPr>
                <w:rFonts w:ascii="Times New Roman" w:hAnsi="Times New Roman"/>
                <w:color w:val="auto"/>
                <w:highlight w:val="none"/>
              </w:rPr>
            </w:pPr>
          </w:p>
          <w:p>
            <w:pPr>
              <w:pStyle w:val="8"/>
              <w:spacing w:before="156" w:after="156" w:line="360" w:lineRule="auto"/>
              <w:ind w:firstLine="720" w:firstLineChars="300"/>
              <w:jc w:val="center"/>
              <w:rPr>
                <w:rFonts w:ascii="Times New Roman" w:hAnsi="Times New Roman"/>
                <w:color w:val="auto"/>
                <w:highlight w:val="none"/>
              </w:rPr>
            </w:pPr>
          </w:p>
        </w:tc>
        <w:tc>
          <w:tcPr>
            <w:tcW w:w="1260" w:type="dxa"/>
            <w:vMerge w:val="restart"/>
            <w:noWrap/>
            <w:vAlign w:val="center"/>
          </w:tcPr>
          <w:p>
            <w:pPr>
              <w:spacing w:line="360" w:lineRule="auto"/>
              <w:jc w:val="center"/>
              <w:rPr>
                <w:color w:val="auto"/>
                <w:sz w:val="24"/>
                <w:highlight w:val="none"/>
              </w:rPr>
            </w:pPr>
            <w:r>
              <w:rPr>
                <w:rFonts w:hint="eastAsia"/>
                <w:color w:val="auto"/>
                <w:sz w:val="24"/>
                <w:highlight w:val="none"/>
              </w:rPr>
              <w:t>职工总数</w:t>
            </w:r>
          </w:p>
        </w:tc>
        <w:tc>
          <w:tcPr>
            <w:tcW w:w="2887" w:type="dxa"/>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员工：           人</w:t>
            </w:r>
          </w:p>
        </w:tc>
        <w:tc>
          <w:tcPr>
            <w:tcW w:w="3922" w:type="dxa"/>
            <w:gridSpan w:val="3"/>
            <w:noWrap/>
            <w:vAlign w:val="center"/>
          </w:tcPr>
          <w:p>
            <w:pPr>
              <w:pStyle w:val="8"/>
              <w:spacing w:before="156" w:after="156" w:line="360" w:lineRule="auto"/>
              <w:rPr>
                <w:rFonts w:ascii="Times New Roman" w:hAnsi="Times New Roman"/>
                <w:color w:val="auto"/>
                <w:highlight w:val="none"/>
              </w:rPr>
            </w:pPr>
            <w:r>
              <w:rPr>
                <w:rFonts w:hint="eastAsia" w:ascii="Times New Roman" w:hAnsi="Times New Roman"/>
                <w:color w:val="auto"/>
                <w:highlight w:val="none"/>
              </w:rPr>
              <w:t>技术工人：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jc w:val="center"/>
        </w:trPr>
        <w:tc>
          <w:tcPr>
            <w:tcW w:w="844" w:type="dxa"/>
            <w:vMerge w:val="continue"/>
            <w:noWrap/>
            <w:vAlign w:val="center"/>
          </w:tcPr>
          <w:p>
            <w:pPr>
              <w:pStyle w:val="8"/>
              <w:spacing w:before="156" w:after="156" w:line="360" w:lineRule="auto"/>
              <w:ind w:firstLine="720" w:firstLineChars="300"/>
              <w:jc w:val="center"/>
              <w:rPr>
                <w:rFonts w:ascii="Times New Roman" w:hAnsi="Times New Roman"/>
                <w:color w:val="auto"/>
                <w:highlight w:val="none"/>
              </w:rPr>
            </w:pPr>
          </w:p>
        </w:tc>
        <w:tc>
          <w:tcPr>
            <w:tcW w:w="1260" w:type="dxa"/>
            <w:vMerge w:val="continue"/>
            <w:noWrap/>
            <w:vAlign w:val="center"/>
          </w:tcPr>
          <w:p>
            <w:pPr>
              <w:widowControl/>
              <w:spacing w:line="360" w:lineRule="auto"/>
              <w:jc w:val="center"/>
              <w:rPr>
                <w:color w:val="auto"/>
                <w:sz w:val="24"/>
                <w:highlight w:val="none"/>
              </w:rPr>
            </w:pPr>
          </w:p>
        </w:tc>
        <w:tc>
          <w:tcPr>
            <w:tcW w:w="2887" w:type="dxa"/>
            <w:noWrap/>
            <w:vAlign w:val="center"/>
          </w:tcPr>
          <w:p>
            <w:pPr>
              <w:pStyle w:val="8"/>
              <w:spacing w:before="156" w:after="156" w:line="360" w:lineRule="auto"/>
              <w:rPr>
                <w:color w:val="auto"/>
                <w:highlight w:val="none"/>
              </w:rPr>
            </w:pPr>
            <w:r>
              <w:rPr>
                <w:rFonts w:hint="eastAsia"/>
                <w:color w:val="auto"/>
                <w:highlight w:val="none"/>
              </w:rPr>
              <w:t>高级技师：       人</w:t>
            </w:r>
          </w:p>
        </w:tc>
        <w:tc>
          <w:tcPr>
            <w:tcW w:w="3922" w:type="dxa"/>
            <w:gridSpan w:val="3"/>
            <w:noWrap/>
            <w:vAlign w:val="center"/>
          </w:tcPr>
          <w:p>
            <w:pPr>
              <w:pStyle w:val="8"/>
              <w:spacing w:before="156" w:after="156" w:line="360" w:lineRule="auto"/>
              <w:rPr>
                <w:color w:val="auto"/>
                <w:highlight w:val="none"/>
              </w:rPr>
            </w:pPr>
            <w:r>
              <w:rPr>
                <w:rFonts w:hint="eastAsia"/>
                <w:color w:val="auto"/>
                <w:highlight w:val="none"/>
              </w:rPr>
              <w:t>工程师：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844" w:type="dxa"/>
            <w:vMerge w:val="continue"/>
            <w:noWrap/>
            <w:vAlign w:val="center"/>
          </w:tcPr>
          <w:p>
            <w:pPr>
              <w:pStyle w:val="8"/>
              <w:spacing w:before="156" w:after="156" w:line="360" w:lineRule="auto"/>
              <w:ind w:firstLine="720" w:firstLineChars="300"/>
              <w:jc w:val="center"/>
              <w:rPr>
                <w:rFonts w:ascii="Times New Roman" w:hAnsi="Times New Roman"/>
                <w:color w:val="auto"/>
                <w:highlight w:val="none"/>
              </w:rPr>
            </w:pPr>
          </w:p>
        </w:tc>
        <w:tc>
          <w:tcPr>
            <w:tcW w:w="1260" w:type="dxa"/>
            <w:noWrap/>
            <w:vAlign w:val="center"/>
          </w:tcPr>
          <w:p>
            <w:pPr>
              <w:pStyle w:val="8"/>
              <w:spacing w:before="156" w:after="156" w:line="360" w:lineRule="auto"/>
              <w:jc w:val="center"/>
              <w:rPr>
                <w:color w:val="auto"/>
                <w:highlight w:val="none"/>
              </w:rPr>
            </w:pPr>
            <w:r>
              <w:rPr>
                <w:rFonts w:hint="eastAsia"/>
                <w:color w:val="auto"/>
                <w:highlight w:val="none"/>
              </w:rPr>
              <w:t>流动资金</w:t>
            </w:r>
          </w:p>
        </w:tc>
        <w:tc>
          <w:tcPr>
            <w:tcW w:w="2887" w:type="dxa"/>
            <w:noWrap/>
            <w:vAlign w:val="center"/>
          </w:tcPr>
          <w:p>
            <w:pPr>
              <w:pStyle w:val="8"/>
              <w:spacing w:before="156" w:after="156" w:line="360" w:lineRule="auto"/>
              <w:jc w:val="center"/>
              <w:rPr>
                <w:color w:val="auto"/>
                <w:highlight w:val="none"/>
              </w:rPr>
            </w:pPr>
          </w:p>
        </w:tc>
        <w:tc>
          <w:tcPr>
            <w:tcW w:w="1222" w:type="dxa"/>
            <w:noWrap/>
            <w:vAlign w:val="center"/>
          </w:tcPr>
          <w:p>
            <w:pPr>
              <w:pStyle w:val="8"/>
              <w:spacing w:before="156" w:after="156" w:line="360" w:lineRule="auto"/>
              <w:jc w:val="center"/>
              <w:rPr>
                <w:color w:val="auto"/>
                <w:highlight w:val="none"/>
              </w:rPr>
            </w:pPr>
            <w:r>
              <w:rPr>
                <w:rFonts w:hint="eastAsia"/>
                <w:color w:val="auto"/>
                <w:highlight w:val="none"/>
              </w:rPr>
              <w:t>营业面积</w:t>
            </w:r>
          </w:p>
        </w:tc>
        <w:tc>
          <w:tcPr>
            <w:tcW w:w="2700" w:type="dxa"/>
            <w:gridSpan w:val="2"/>
            <w:noWrap/>
            <w:vAlign w:val="center"/>
          </w:tcPr>
          <w:p>
            <w:pPr>
              <w:pStyle w:val="8"/>
              <w:spacing w:before="156" w:after="156"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13" w:hRule="exact"/>
          <w:jc w:val="center"/>
        </w:trPr>
        <w:tc>
          <w:tcPr>
            <w:tcW w:w="844" w:type="dxa"/>
            <w:vMerge w:val="continue"/>
            <w:noWrap/>
            <w:vAlign w:val="center"/>
          </w:tcPr>
          <w:p>
            <w:pPr>
              <w:pStyle w:val="8"/>
              <w:spacing w:before="156" w:after="156" w:line="360" w:lineRule="auto"/>
              <w:ind w:firstLine="720" w:firstLineChars="300"/>
              <w:jc w:val="center"/>
              <w:rPr>
                <w:rFonts w:ascii="Times New Roman" w:hAnsi="Times New Roman"/>
                <w:color w:val="auto"/>
                <w:highlight w:val="none"/>
              </w:rPr>
            </w:pPr>
          </w:p>
        </w:tc>
        <w:tc>
          <w:tcPr>
            <w:tcW w:w="1260" w:type="dxa"/>
            <w:noWrap/>
            <w:vAlign w:val="center"/>
          </w:tcPr>
          <w:p>
            <w:pPr>
              <w:pStyle w:val="8"/>
              <w:spacing w:before="156" w:after="156" w:line="360" w:lineRule="auto"/>
              <w:jc w:val="center"/>
              <w:rPr>
                <w:color w:val="auto"/>
                <w:highlight w:val="none"/>
              </w:rPr>
            </w:pPr>
            <w:r>
              <w:rPr>
                <w:rFonts w:hint="eastAsia"/>
                <w:color w:val="auto"/>
                <w:highlight w:val="none"/>
              </w:rPr>
              <w:t>固定资金</w:t>
            </w:r>
          </w:p>
        </w:tc>
        <w:tc>
          <w:tcPr>
            <w:tcW w:w="2887" w:type="dxa"/>
            <w:noWrap/>
            <w:vAlign w:val="center"/>
          </w:tcPr>
          <w:p>
            <w:pPr>
              <w:widowControl/>
              <w:spacing w:line="360" w:lineRule="auto"/>
              <w:jc w:val="center"/>
              <w:rPr>
                <w:color w:val="auto"/>
                <w:sz w:val="24"/>
                <w:highlight w:val="none"/>
              </w:rPr>
            </w:pPr>
          </w:p>
        </w:tc>
        <w:tc>
          <w:tcPr>
            <w:tcW w:w="1222" w:type="dxa"/>
            <w:noWrap/>
            <w:vAlign w:val="center"/>
          </w:tcPr>
          <w:p>
            <w:pPr>
              <w:pStyle w:val="8"/>
              <w:spacing w:before="156" w:after="156" w:line="360" w:lineRule="auto"/>
              <w:jc w:val="center"/>
              <w:rPr>
                <w:color w:val="auto"/>
                <w:highlight w:val="none"/>
              </w:rPr>
            </w:pPr>
            <w:r>
              <w:rPr>
                <w:rFonts w:hint="eastAsia"/>
                <w:color w:val="auto"/>
                <w:highlight w:val="none"/>
              </w:rPr>
              <w:t>上一年营业收入</w:t>
            </w:r>
          </w:p>
        </w:tc>
        <w:tc>
          <w:tcPr>
            <w:tcW w:w="2700" w:type="dxa"/>
            <w:gridSpan w:val="2"/>
            <w:noWrap/>
            <w:vAlign w:val="center"/>
          </w:tcPr>
          <w:p>
            <w:pPr>
              <w:widowControl/>
              <w:spacing w:line="360" w:lineRule="auto"/>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7" w:hRule="atLeast"/>
          <w:jc w:val="center"/>
        </w:trPr>
        <w:tc>
          <w:tcPr>
            <w:tcW w:w="844" w:type="dxa"/>
            <w:noWrap/>
            <w:vAlign w:val="center"/>
          </w:tcPr>
          <w:p>
            <w:pPr>
              <w:pStyle w:val="8"/>
              <w:spacing w:before="156" w:after="156" w:line="360" w:lineRule="auto"/>
              <w:jc w:val="center"/>
              <w:rPr>
                <w:rFonts w:ascii="Times New Roman" w:hAnsi="Times New Roman"/>
                <w:color w:val="auto"/>
                <w:highlight w:val="none"/>
              </w:rPr>
            </w:pPr>
            <w:r>
              <w:rPr>
                <w:rFonts w:hint="eastAsia" w:ascii="Times New Roman" w:hAnsi="Times New Roman"/>
                <w:color w:val="auto"/>
                <w:highlight w:val="none"/>
              </w:rPr>
              <w:t>单位简历</w:t>
            </w:r>
          </w:p>
        </w:tc>
        <w:tc>
          <w:tcPr>
            <w:tcW w:w="8069" w:type="dxa"/>
            <w:gridSpan w:val="5"/>
            <w:noWrap/>
          </w:tcPr>
          <w:p>
            <w:pPr>
              <w:spacing w:line="360" w:lineRule="auto"/>
              <w:jc w:val="left"/>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2" w:hRule="atLeast"/>
          <w:jc w:val="center"/>
        </w:trPr>
        <w:tc>
          <w:tcPr>
            <w:tcW w:w="844" w:type="dxa"/>
            <w:noWrap/>
            <w:vAlign w:val="center"/>
          </w:tcPr>
          <w:p>
            <w:pPr>
              <w:pStyle w:val="8"/>
              <w:spacing w:before="156" w:after="156" w:line="360" w:lineRule="auto"/>
              <w:jc w:val="center"/>
              <w:rPr>
                <w:rFonts w:ascii="Times New Roman" w:hAnsi="Times New Roman"/>
                <w:color w:val="auto"/>
                <w:highlight w:val="none"/>
              </w:rPr>
            </w:pPr>
            <w:r>
              <w:rPr>
                <w:rFonts w:hint="eastAsia" w:ascii="Times New Roman" w:hAnsi="Times New Roman"/>
                <w:color w:val="auto"/>
                <w:highlight w:val="none"/>
              </w:rPr>
              <w:t>优势及特长</w:t>
            </w:r>
          </w:p>
        </w:tc>
        <w:tc>
          <w:tcPr>
            <w:tcW w:w="8069" w:type="dxa"/>
            <w:gridSpan w:val="5"/>
            <w:noWrap/>
          </w:tcPr>
          <w:p>
            <w:pPr>
              <w:spacing w:line="360" w:lineRule="auto"/>
              <w:jc w:val="left"/>
              <w:rPr>
                <w:color w:val="auto"/>
                <w:sz w:val="24"/>
                <w:highlight w:val="none"/>
              </w:rPr>
            </w:pPr>
          </w:p>
        </w:tc>
      </w:tr>
    </w:tbl>
    <w:p>
      <w:pPr>
        <w:snapToGrid w:val="0"/>
        <w:spacing w:before="50" w:after="50"/>
        <w:ind w:right="25" w:rightChars="12"/>
        <w:rPr>
          <w:rFonts w:ascii="宋体" w:hAnsi="宋体"/>
          <w:color w:val="auto"/>
          <w:sz w:val="24"/>
          <w:highlight w:val="none"/>
          <w:u w:val="single"/>
        </w:rPr>
      </w:pPr>
    </w:p>
    <w:p>
      <w:pPr>
        <w:snapToGrid w:val="0"/>
        <w:spacing w:before="50" w:after="50"/>
        <w:ind w:right="25" w:rightChars="12"/>
        <w:rPr>
          <w:rFonts w:ascii="宋体" w:hAnsi="宋体"/>
          <w:color w:val="auto"/>
          <w:sz w:val="24"/>
          <w:highlight w:val="none"/>
          <w:u w:val="single"/>
        </w:rPr>
      </w:pPr>
    </w:p>
    <w:p>
      <w:pPr>
        <w:snapToGrid w:val="0"/>
        <w:spacing w:before="50" w:after="50"/>
        <w:ind w:right="25" w:rightChars="12"/>
        <w:rPr>
          <w:rFonts w:ascii="宋体" w:hAnsi="宋体"/>
          <w:color w:val="auto"/>
          <w:sz w:val="24"/>
          <w:highlight w:val="none"/>
          <w:u w:val="single"/>
        </w:rPr>
      </w:pPr>
    </w:p>
    <w:p>
      <w:pPr>
        <w:snapToGrid w:val="0"/>
        <w:spacing w:before="50" w:after="156" w:afterLines="50"/>
        <w:jc w:val="left"/>
        <w:rPr>
          <w:rFonts w:ascii="宋体" w:hAnsi="宋体"/>
          <w:b/>
          <w:color w:val="auto"/>
          <w:sz w:val="24"/>
          <w:highlight w:val="none"/>
        </w:rPr>
      </w:pPr>
      <w:r>
        <w:rPr>
          <w:rFonts w:hint="eastAsia" w:ascii="宋体" w:hAnsi="宋体"/>
          <w:b/>
          <w:color w:val="auto"/>
          <w:sz w:val="24"/>
          <w:highlight w:val="none"/>
        </w:rPr>
        <w:t>6、项目验收单及附件格式：</w:t>
      </w:r>
    </w:p>
    <w:p>
      <w:pPr>
        <w:jc w:val="center"/>
        <w:rPr>
          <w:rFonts w:hAnsi="宋体"/>
          <w:b/>
          <w:color w:val="auto"/>
          <w:sz w:val="44"/>
          <w:szCs w:val="44"/>
          <w:highlight w:val="none"/>
        </w:rPr>
      </w:pPr>
      <w:r>
        <w:rPr>
          <w:rFonts w:hint="eastAsia" w:hAnsi="宋体"/>
          <w:b/>
          <w:color w:val="auto"/>
          <w:sz w:val="44"/>
          <w:szCs w:val="44"/>
          <w:highlight w:val="none"/>
        </w:rPr>
        <w:t>东阳市政府采购验收报告</w:t>
      </w:r>
    </w:p>
    <w:tbl>
      <w:tblPr>
        <w:tblStyle w:val="18"/>
        <w:tblW w:w="8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21"/>
        <w:gridCol w:w="1973"/>
        <w:gridCol w:w="907"/>
        <w:gridCol w:w="924"/>
        <w:gridCol w:w="63"/>
        <w:gridCol w:w="1017"/>
        <w:gridCol w:w="900"/>
        <w:gridCol w:w="36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atLeast"/>
          <w:jc w:val="center"/>
        </w:trPr>
        <w:tc>
          <w:tcPr>
            <w:tcW w:w="1650" w:type="dxa"/>
            <w:gridSpan w:val="2"/>
            <w:tcBorders>
              <w:top w:val="single" w:color="auto" w:sz="6" w:space="0"/>
              <w:left w:val="single" w:color="auto" w:sz="6" w:space="0"/>
              <w:right w:val="single" w:color="auto" w:sz="6" w:space="0"/>
            </w:tcBorders>
            <w:noWrap/>
            <w:vAlign w:val="center"/>
          </w:tcPr>
          <w:p>
            <w:pPr>
              <w:rPr>
                <w:b/>
                <w:color w:val="auto"/>
                <w:szCs w:val="21"/>
                <w:highlight w:val="none"/>
              </w:rPr>
            </w:pPr>
            <w:r>
              <w:rPr>
                <w:rFonts w:hint="eastAsia" w:hAnsi="宋体"/>
                <w:b/>
                <w:color w:val="auto"/>
                <w:szCs w:val="21"/>
                <w:highlight w:val="none"/>
              </w:rPr>
              <w:t>采购</w:t>
            </w:r>
            <w:r>
              <w:rPr>
                <w:rFonts w:hAnsi="宋体"/>
                <w:b/>
                <w:color w:val="auto"/>
                <w:szCs w:val="21"/>
                <w:highlight w:val="none"/>
              </w:rPr>
              <w:t>项目名称</w:t>
            </w:r>
          </w:p>
        </w:tc>
        <w:tc>
          <w:tcPr>
            <w:tcW w:w="2880" w:type="dxa"/>
            <w:gridSpan w:val="2"/>
            <w:tcBorders>
              <w:top w:val="single" w:color="auto" w:sz="6" w:space="0"/>
              <w:left w:val="single" w:color="auto" w:sz="6" w:space="0"/>
              <w:right w:val="single" w:color="auto" w:sz="6" w:space="0"/>
            </w:tcBorders>
            <w:noWrap/>
            <w:vAlign w:val="center"/>
          </w:tcPr>
          <w:p>
            <w:pPr>
              <w:jc w:val="center"/>
              <w:rPr>
                <w:color w:val="auto"/>
                <w:sz w:val="18"/>
                <w:szCs w:val="18"/>
                <w:highlight w:val="none"/>
              </w:rPr>
            </w:pPr>
          </w:p>
        </w:tc>
        <w:tc>
          <w:tcPr>
            <w:tcW w:w="2004" w:type="dxa"/>
            <w:gridSpan w:val="3"/>
            <w:tcBorders>
              <w:top w:val="single" w:color="auto" w:sz="6" w:space="0"/>
              <w:left w:val="single" w:color="auto" w:sz="6" w:space="0"/>
              <w:right w:val="single" w:color="auto" w:sz="4" w:space="0"/>
            </w:tcBorders>
            <w:noWrap/>
            <w:vAlign w:val="center"/>
          </w:tcPr>
          <w:p>
            <w:pPr>
              <w:jc w:val="center"/>
              <w:rPr>
                <w:b/>
                <w:color w:val="auto"/>
                <w:szCs w:val="21"/>
                <w:highlight w:val="none"/>
              </w:rPr>
            </w:pPr>
            <w:r>
              <w:rPr>
                <w:rFonts w:hint="eastAsia"/>
                <w:b/>
                <w:color w:val="auto"/>
                <w:szCs w:val="21"/>
                <w:highlight w:val="none"/>
              </w:rPr>
              <w:t>采购项目编号</w:t>
            </w:r>
          </w:p>
        </w:tc>
        <w:tc>
          <w:tcPr>
            <w:tcW w:w="2440" w:type="dxa"/>
            <w:gridSpan w:val="3"/>
            <w:tcBorders>
              <w:top w:val="single" w:color="auto" w:sz="6" w:space="0"/>
              <w:left w:val="single" w:color="auto" w:sz="4" w:space="0"/>
              <w:right w:val="single" w:color="auto" w:sz="6" w:space="0"/>
            </w:tcBorders>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8" w:hRule="atLeast"/>
          <w:jc w:val="center"/>
        </w:trPr>
        <w:tc>
          <w:tcPr>
            <w:tcW w:w="1650" w:type="dxa"/>
            <w:gridSpan w:val="2"/>
            <w:tcBorders>
              <w:top w:val="single" w:color="auto" w:sz="6" w:space="0"/>
              <w:left w:val="single" w:color="auto" w:sz="6" w:space="0"/>
              <w:right w:val="single" w:color="auto" w:sz="6" w:space="0"/>
            </w:tcBorders>
            <w:noWrap/>
            <w:vAlign w:val="center"/>
          </w:tcPr>
          <w:p>
            <w:pPr>
              <w:jc w:val="center"/>
              <w:rPr>
                <w:b/>
                <w:color w:val="auto"/>
                <w:szCs w:val="21"/>
                <w:highlight w:val="none"/>
              </w:rPr>
            </w:pPr>
            <w:r>
              <w:rPr>
                <w:rFonts w:hint="eastAsia" w:hAnsi="宋体"/>
                <w:b/>
                <w:color w:val="auto"/>
                <w:szCs w:val="21"/>
                <w:highlight w:val="none"/>
              </w:rPr>
              <w:t>开标时间</w:t>
            </w:r>
          </w:p>
        </w:tc>
        <w:tc>
          <w:tcPr>
            <w:tcW w:w="2880" w:type="dxa"/>
            <w:gridSpan w:val="2"/>
            <w:tcBorders>
              <w:top w:val="single" w:color="auto" w:sz="6" w:space="0"/>
              <w:left w:val="single" w:color="auto" w:sz="6" w:space="0"/>
              <w:right w:val="single" w:color="auto" w:sz="6" w:space="0"/>
            </w:tcBorders>
            <w:noWrap/>
            <w:vAlign w:val="center"/>
          </w:tcPr>
          <w:p>
            <w:pPr>
              <w:jc w:val="center"/>
              <w:rPr>
                <w:color w:val="auto"/>
                <w:szCs w:val="21"/>
                <w:highlight w:val="none"/>
              </w:rPr>
            </w:pPr>
          </w:p>
        </w:tc>
        <w:tc>
          <w:tcPr>
            <w:tcW w:w="2004" w:type="dxa"/>
            <w:gridSpan w:val="3"/>
            <w:tcBorders>
              <w:top w:val="dotted" w:color="auto" w:sz="4" w:space="0"/>
              <w:left w:val="single" w:color="auto" w:sz="6" w:space="0"/>
              <w:right w:val="single" w:color="auto" w:sz="6" w:space="0"/>
            </w:tcBorders>
            <w:noWrap/>
            <w:vAlign w:val="center"/>
          </w:tcPr>
          <w:p>
            <w:pPr>
              <w:jc w:val="center"/>
              <w:rPr>
                <w:b/>
                <w:color w:val="auto"/>
                <w:szCs w:val="21"/>
                <w:highlight w:val="none"/>
              </w:rPr>
            </w:pPr>
            <w:r>
              <w:rPr>
                <w:rFonts w:hint="eastAsia"/>
                <w:b/>
                <w:color w:val="auto"/>
                <w:szCs w:val="21"/>
                <w:highlight w:val="none"/>
              </w:rPr>
              <w:t>验收时间</w:t>
            </w:r>
          </w:p>
        </w:tc>
        <w:tc>
          <w:tcPr>
            <w:tcW w:w="2440" w:type="dxa"/>
            <w:gridSpan w:val="3"/>
            <w:tcBorders>
              <w:top w:val="dotted" w:color="auto" w:sz="4" w:space="0"/>
              <w:left w:val="single" w:color="auto" w:sz="6" w:space="0"/>
              <w:right w:val="single" w:color="auto" w:sz="6" w:space="0"/>
            </w:tcBorders>
            <w:noWrap/>
            <w:vAlign w:val="center"/>
          </w:tcPr>
          <w:p>
            <w:pPr>
              <w:ind w:firstLine="105" w:firstLineChars="5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8" w:hRule="atLeast"/>
          <w:jc w:val="center"/>
        </w:trPr>
        <w:tc>
          <w:tcPr>
            <w:tcW w:w="1650" w:type="dxa"/>
            <w:gridSpan w:val="2"/>
            <w:tcBorders>
              <w:top w:val="single" w:color="auto" w:sz="6" w:space="0"/>
              <w:left w:val="single" w:color="auto" w:sz="6" w:space="0"/>
              <w:right w:val="single" w:color="auto" w:sz="6" w:space="0"/>
            </w:tcBorders>
            <w:noWrap/>
            <w:vAlign w:val="center"/>
          </w:tcPr>
          <w:p>
            <w:pPr>
              <w:jc w:val="center"/>
              <w:rPr>
                <w:rFonts w:hAnsi="宋体"/>
                <w:b/>
                <w:color w:val="auto"/>
                <w:szCs w:val="21"/>
                <w:highlight w:val="none"/>
              </w:rPr>
            </w:pPr>
            <w:r>
              <w:rPr>
                <w:rFonts w:hint="eastAsia" w:hAnsi="宋体"/>
                <w:b/>
                <w:color w:val="auto"/>
                <w:szCs w:val="21"/>
                <w:highlight w:val="none"/>
              </w:rPr>
              <w:t>采购人名称</w:t>
            </w:r>
          </w:p>
        </w:tc>
        <w:tc>
          <w:tcPr>
            <w:tcW w:w="2880" w:type="dxa"/>
            <w:gridSpan w:val="2"/>
            <w:tcBorders>
              <w:top w:val="single" w:color="auto" w:sz="6" w:space="0"/>
              <w:left w:val="single" w:color="auto" w:sz="6" w:space="0"/>
              <w:right w:val="single" w:color="auto" w:sz="4" w:space="0"/>
            </w:tcBorders>
            <w:noWrap/>
            <w:vAlign w:val="center"/>
          </w:tcPr>
          <w:p>
            <w:pPr>
              <w:jc w:val="center"/>
              <w:rPr>
                <w:color w:val="auto"/>
                <w:szCs w:val="21"/>
                <w:highlight w:val="none"/>
              </w:rPr>
            </w:pPr>
          </w:p>
        </w:tc>
        <w:tc>
          <w:tcPr>
            <w:tcW w:w="987" w:type="dxa"/>
            <w:gridSpan w:val="2"/>
            <w:tcBorders>
              <w:top w:val="single" w:color="auto" w:sz="6" w:space="0"/>
              <w:left w:val="single" w:color="auto" w:sz="4" w:space="0"/>
              <w:right w:val="single" w:color="auto" w:sz="4" w:space="0"/>
            </w:tcBorders>
            <w:noWrap/>
            <w:vAlign w:val="center"/>
          </w:tcPr>
          <w:p>
            <w:pPr>
              <w:ind w:firstLine="105" w:firstLineChars="50"/>
              <w:rPr>
                <w:b/>
                <w:color w:val="auto"/>
                <w:szCs w:val="21"/>
                <w:highlight w:val="none"/>
              </w:rPr>
            </w:pPr>
            <w:r>
              <w:rPr>
                <w:rFonts w:hint="eastAsia"/>
                <w:b/>
                <w:color w:val="auto"/>
                <w:szCs w:val="21"/>
                <w:highlight w:val="none"/>
              </w:rPr>
              <w:t>联系人</w:t>
            </w:r>
          </w:p>
        </w:tc>
        <w:tc>
          <w:tcPr>
            <w:tcW w:w="1017" w:type="dxa"/>
            <w:tcBorders>
              <w:top w:val="single" w:color="auto" w:sz="6" w:space="0"/>
              <w:left w:val="single" w:color="auto" w:sz="4" w:space="0"/>
              <w:right w:val="single" w:color="auto" w:sz="4" w:space="0"/>
            </w:tcBorders>
            <w:noWrap/>
            <w:vAlign w:val="center"/>
          </w:tcPr>
          <w:p>
            <w:pPr>
              <w:ind w:firstLine="105" w:firstLineChars="50"/>
              <w:rPr>
                <w:color w:val="auto"/>
                <w:szCs w:val="21"/>
                <w:highlight w:val="none"/>
              </w:rPr>
            </w:pPr>
          </w:p>
        </w:tc>
        <w:tc>
          <w:tcPr>
            <w:tcW w:w="900" w:type="dxa"/>
            <w:tcBorders>
              <w:top w:val="single" w:color="auto" w:sz="6" w:space="0"/>
              <w:left w:val="single" w:color="auto" w:sz="4" w:space="0"/>
              <w:right w:val="single" w:color="auto" w:sz="4" w:space="0"/>
            </w:tcBorders>
            <w:noWrap/>
            <w:vAlign w:val="center"/>
          </w:tcPr>
          <w:p>
            <w:pPr>
              <w:ind w:firstLine="105" w:firstLineChars="50"/>
              <w:rPr>
                <w:b/>
                <w:color w:val="auto"/>
                <w:szCs w:val="21"/>
                <w:highlight w:val="none"/>
              </w:rPr>
            </w:pPr>
            <w:r>
              <w:rPr>
                <w:rFonts w:hint="eastAsia"/>
                <w:b/>
                <w:color w:val="auto"/>
                <w:szCs w:val="21"/>
                <w:highlight w:val="none"/>
              </w:rPr>
              <w:t>电话</w:t>
            </w:r>
          </w:p>
        </w:tc>
        <w:tc>
          <w:tcPr>
            <w:tcW w:w="1540" w:type="dxa"/>
            <w:gridSpan w:val="2"/>
            <w:tcBorders>
              <w:top w:val="single" w:color="auto" w:sz="6" w:space="0"/>
              <w:left w:val="single" w:color="auto" w:sz="4" w:space="0"/>
              <w:right w:val="single" w:color="auto" w:sz="6" w:space="0"/>
            </w:tcBorders>
            <w:noWrap/>
            <w:vAlign w:val="center"/>
          </w:tcPr>
          <w:p>
            <w:pPr>
              <w:ind w:firstLine="105" w:firstLineChars="5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8" w:hRule="atLeast"/>
          <w:jc w:val="center"/>
        </w:trPr>
        <w:tc>
          <w:tcPr>
            <w:tcW w:w="1650" w:type="dxa"/>
            <w:gridSpan w:val="2"/>
            <w:tcBorders>
              <w:top w:val="single" w:color="auto" w:sz="6" w:space="0"/>
              <w:left w:val="single" w:color="auto" w:sz="6" w:space="0"/>
              <w:right w:val="single" w:color="auto" w:sz="6" w:space="0"/>
            </w:tcBorders>
            <w:noWrap/>
            <w:vAlign w:val="center"/>
          </w:tcPr>
          <w:p>
            <w:pPr>
              <w:jc w:val="center"/>
              <w:rPr>
                <w:rFonts w:hAnsi="宋体"/>
                <w:b/>
                <w:color w:val="auto"/>
                <w:szCs w:val="21"/>
                <w:highlight w:val="none"/>
              </w:rPr>
            </w:pPr>
            <w:r>
              <w:rPr>
                <w:rFonts w:hint="eastAsia" w:hAnsi="宋体"/>
                <w:b/>
                <w:color w:val="auto"/>
                <w:szCs w:val="21"/>
                <w:highlight w:val="none"/>
              </w:rPr>
              <w:t>供应商名称</w:t>
            </w:r>
          </w:p>
        </w:tc>
        <w:tc>
          <w:tcPr>
            <w:tcW w:w="2880" w:type="dxa"/>
            <w:gridSpan w:val="2"/>
            <w:tcBorders>
              <w:top w:val="single" w:color="auto" w:sz="6" w:space="0"/>
              <w:left w:val="single" w:color="auto" w:sz="6" w:space="0"/>
              <w:right w:val="single" w:color="auto" w:sz="4" w:space="0"/>
            </w:tcBorders>
            <w:noWrap/>
            <w:vAlign w:val="center"/>
          </w:tcPr>
          <w:p>
            <w:pPr>
              <w:jc w:val="center"/>
              <w:rPr>
                <w:color w:val="auto"/>
                <w:szCs w:val="21"/>
                <w:highlight w:val="none"/>
              </w:rPr>
            </w:pPr>
          </w:p>
        </w:tc>
        <w:tc>
          <w:tcPr>
            <w:tcW w:w="987" w:type="dxa"/>
            <w:gridSpan w:val="2"/>
            <w:tcBorders>
              <w:top w:val="single" w:color="auto" w:sz="6" w:space="0"/>
              <w:left w:val="single" w:color="auto" w:sz="4" w:space="0"/>
              <w:right w:val="single" w:color="auto" w:sz="4" w:space="0"/>
            </w:tcBorders>
            <w:noWrap/>
            <w:vAlign w:val="center"/>
          </w:tcPr>
          <w:p>
            <w:pPr>
              <w:ind w:firstLine="105" w:firstLineChars="50"/>
              <w:rPr>
                <w:b/>
                <w:color w:val="auto"/>
                <w:szCs w:val="21"/>
                <w:highlight w:val="none"/>
              </w:rPr>
            </w:pPr>
            <w:r>
              <w:rPr>
                <w:rFonts w:hint="eastAsia"/>
                <w:b/>
                <w:color w:val="auto"/>
                <w:szCs w:val="21"/>
                <w:highlight w:val="none"/>
              </w:rPr>
              <w:t>联系人</w:t>
            </w:r>
          </w:p>
        </w:tc>
        <w:tc>
          <w:tcPr>
            <w:tcW w:w="1017" w:type="dxa"/>
            <w:tcBorders>
              <w:top w:val="single" w:color="auto" w:sz="6" w:space="0"/>
              <w:left w:val="single" w:color="auto" w:sz="4" w:space="0"/>
              <w:right w:val="single" w:color="auto" w:sz="4" w:space="0"/>
            </w:tcBorders>
            <w:noWrap/>
            <w:vAlign w:val="center"/>
          </w:tcPr>
          <w:p>
            <w:pPr>
              <w:ind w:firstLine="105" w:firstLineChars="50"/>
              <w:rPr>
                <w:color w:val="auto"/>
                <w:szCs w:val="21"/>
                <w:highlight w:val="none"/>
              </w:rPr>
            </w:pPr>
          </w:p>
        </w:tc>
        <w:tc>
          <w:tcPr>
            <w:tcW w:w="900" w:type="dxa"/>
            <w:tcBorders>
              <w:top w:val="single" w:color="auto" w:sz="6" w:space="0"/>
              <w:left w:val="single" w:color="auto" w:sz="4" w:space="0"/>
              <w:right w:val="single" w:color="auto" w:sz="4" w:space="0"/>
            </w:tcBorders>
            <w:noWrap/>
            <w:vAlign w:val="center"/>
          </w:tcPr>
          <w:p>
            <w:pPr>
              <w:ind w:firstLine="105" w:firstLineChars="50"/>
              <w:rPr>
                <w:b/>
                <w:color w:val="auto"/>
                <w:szCs w:val="21"/>
                <w:highlight w:val="none"/>
              </w:rPr>
            </w:pPr>
            <w:r>
              <w:rPr>
                <w:rFonts w:hint="eastAsia"/>
                <w:b/>
                <w:color w:val="auto"/>
                <w:szCs w:val="21"/>
                <w:highlight w:val="none"/>
              </w:rPr>
              <w:t>电话</w:t>
            </w:r>
          </w:p>
        </w:tc>
        <w:tc>
          <w:tcPr>
            <w:tcW w:w="1540" w:type="dxa"/>
            <w:gridSpan w:val="2"/>
            <w:tcBorders>
              <w:top w:val="single" w:color="auto" w:sz="6" w:space="0"/>
              <w:left w:val="single" w:color="auto" w:sz="4" w:space="0"/>
              <w:right w:val="single" w:color="auto" w:sz="6" w:space="0"/>
            </w:tcBorders>
            <w:noWrap/>
            <w:vAlign w:val="center"/>
          </w:tcPr>
          <w:p>
            <w:pPr>
              <w:ind w:firstLine="105" w:firstLineChars="5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8" w:hRule="atLeast"/>
          <w:jc w:val="center"/>
        </w:trPr>
        <w:tc>
          <w:tcPr>
            <w:tcW w:w="1650" w:type="dxa"/>
            <w:gridSpan w:val="2"/>
            <w:tcBorders>
              <w:left w:val="single" w:color="auto" w:sz="6" w:space="0"/>
              <w:right w:val="single" w:color="auto" w:sz="6" w:space="0"/>
            </w:tcBorders>
            <w:noWrap/>
            <w:vAlign w:val="center"/>
          </w:tcPr>
          <w:p>
            <w:pPr>
              <w:jc w:val="center"/>
              <w:rPr>
                <w:rFonts w:hAnsi="宋体"/>
                <w:b/>
                <w:color w:val="auto"/>
                <w:szCs w:val="21"/>
                <w:highlight w:val="none"/>
              </w:rPr>
            </w:pPr>
            <w:r>
              <w:rPr>
                <w:rFonts w:hint="eastAsia" w:hAnsi="宋体"/>
                <w:b/>
                <w:color w:val="auto"/>
                <w:szCs w:val="21"/>
                <w:highlight w:val="none"/>
              </w:rPr>
              <w:t>采购内容</w:t>
            </w:r>
          </w:p>
        </w:tc>
        <w:tc>
          <w:tcPr>
            <w:tcW w:w="2880" w:type="dxa"/>
            <w:gridSpan w:val="2"/>
            <w:tcBorders>
              <w:top w:val="single" w:color="auto" w:sz="6" w:space="0"/>
              <w:left w:val="single" w:color="auto" w:sz="6" w:space="0"/>
              <w:right w:val="single" w:color="auto" w:sz="4" w:space="0"/>
            </w:tcBorders>
            <w:noWrap/>
            <w:vAlign w:val="center"/>
          </w:tcPr>
          <w:p>
            <w:pPr>
              <w:jc w:val="center"/>
              <w:rPr>
                <w:color w:val="auto"/>
                <w:szCs w:val="21"/>
                <w:highlight w:val="none"/>
              </w:rPr>
            </w:pPr>
          </w:p>
        </w:tc>
        <w:tc>
          <w:tcPr>
            <w:tcW w:w="924" w:type="dxa"/>
            <w:tcBorders>
              <w:top w:val="single" w:color="auto" w:sz="6" w:space="0"/>
              <w:left w:val="single" w:color="auto" w:sz="4" w:space="0"/>
              <w:right w:val="single" w:color="auto" w:sz="6" w:space="0"/>
            </w:tcBorders>
            <w:noWrap/>
            <w:vAlign w:val="center"/>
          </w:tcPr>
          <w:p>
            <w:pPr>
              <w:rPr>
                <w:b/>
                <w:color w:val="auto"/>
                <w:szCs w:val="21"/>
                <w:highlight w:val="none"/>
              </w:rPr>
            </w:pPr>
            <w:r>
              <w:rPr>
                <w:rFonts w:hint="eastAsia"/>
                <w:b/>
                <w:color w:val="auto"/>
                <w:szCs w:val="21"/>
                <w:highlight w:val="none"/>
              </w:rPr>
              <w:t>金 额</w:t>
            </w:r>
          </w:p>
        </w:tc>
        <w:tc>
          <w:tcPr>
            <w:tcW w:w="1080" w:type="dxa"/>
            <w:gridSpan w:val="2"/>
            <w:tcBorders>
              <w:top w:val="single" w:color="auto" w:sz="6" w:space="0"/>
              <w:left w:val="single" w:color="auto" w:sz="4" w:space="0"/>
              <w:right w:val="single" w:color="auto" w:sz="6" w:space="0"/>
            </w:tcBorders>
            <w:noWrap/>
            <w:vAlign w:val="center"/>
          </w:tcPr>
          <w:p>
            <w:pPr>
              <w:ind w:firstLine="105" w:firstLineChars="50"/>
              <w:rPr>
                <w:color w:val="auto"/>
                <w:szCs w:val="21"/>
                <w:highlight w:val="none"/>
              </w:rPr>
            </w:pPr>
          </w:p>
        </w:tc>
        <w:tc>
          <w:tcPr>
            <w:tcW w:w="1260" w:type="dxa"/>
            <w:gridSpan w:val="2"/>
            <w:tcBorders>
              <w:top w:val="single" w:color="auto" w:sz="6" w:space="0"/>
              <w:left w:val="single" w:color="auto" w:sz="4" w:space="0"/>
              <w:right w:val="single" w:color="auto" w:sz="6" w:space="0"/>
            </w:tcBorders>
            <w:noWrap/>
            <w:vAlign w:val="center"/>
          </w:tcPr>
          <w:p>
            <w:pPr>
              <w:ind w:firstLine="105" w:firstLineChars="50"/>
              <w:rPr>
                <w:b/>
                <w:color w:val="auto"/>
                <w:szCs w:val="21"/>
                <w:highlight w:val="none"/>
              </w:rPr>
            </w:pPr>
            <w:r>
              <w:rPr>
                <w:rFonts w:hint="eastAsia"/>
                <w:b/>
                <w:color w:val="auto"/>
                <w:szCs w:val="21"/>
                <w:highlight w:val="none"/>
              </w:rPr>
              <w:t>验收方式</w:t>
            </w:r>
          </w:p>
        </w:tc>
        <w:tc>
          <w:tcPr>
            <w:tcW w:w="1180" w:type="dxa"/>
            <w:tcBorders>
              <w:top w:val="single" w:color="auto" w:sz="6" w:space="0"/>
              <w:left w:val="single" w:color="auto" w:sz="4" w:space="0"/>
              <w:right w:val="single" w:color="auto" w:sz="6" w:space="0"/>
            </w:tcBorders>
            <w:noWrap/>
            <w:vAlign w:val="center"/>
          </w:tcPr>
          <w:p>
            <w:pPr>
              <w:ind w:firstLine="105" w:firstLineChars="50"/>
              <w:rPr>
                <w:color w:val="auto"/>
                <w:szCs w:val="21"/>
                <w:highlight w:val="none"/>
              </w:rPr>
            </w:pPr>
            <w:r>
              <w:rPr>
                <w:rFonts w:hint="eastAsia"/>
                <w:color w:val="auto"/>
                <w:szCs w:val="21"/>
                <w:highlight w:val="none"/>
              </w:rPr>
              <w:t>全验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atLeast"/>
          <w:jc w:val="center"/>
        </w:trPr>
        <w:tc>
          <w:tcPr>
            <w:tcW w:w="829" w:type="dxa"/>
            <w:vMerge w:val="restart"/>
            <w:tcBorders>
              <w:top w:val="single" w:color="auto" w:sz="6" w:space="0"/>
              <w:left w:val="single" w:color="auto" w:sz="6" w:space="0"/>
              <w:right w:val="single" w:color="auto" w:sz="4" w:space="0"/>
            </w:tcBorders>
            <w:noWrap/>
            <w:vAlign w:val="center"/>
          </w:tcPr>
          <w:p>
            <w:pPr>
              <w:jc w:val="center"/>
              <w:rPr>
                <w:rFonts w:hAnsi="宋体"/>
                <w:b/>
                <w:color w:val="auto"/>
                <w:szCs w:val="21"/>
                <w:highlight w:val="none"/>
              </w:rPr>
            </w:pPr>
            <w:r>
              <w:rPr>
                <w:rFonts w:hAnsi="宋体"/>
                <w:b/>
                <w:color w:val="auto"/>
                <w:szCs w:val="21"/>
                <w:highlight w:val="none"/>
              </w:rPr>
              <w:t>对照</w:t>
            </w:r>
            <w:r>
              <w:rPr>
                <w:rFonts w:hint="eastAsia" w:hAnsi="宋体"/>
                <w:b/>
                <w:color w:val="auto"/>
                <w:szCs w:val="21"/>
                <w:highlight w:val="none"/>
              </w:rPr>
              <w:t>投标文件</w:t>
            </w:r>
            <w:r>
              <w:rPr>
                <w:rFonts w:hAnsi="宋体"/>
                <w:b/>
                <w:color w:val="auto"/>
                <w:szCs w:val="21"/>
                <w:highlight w:val="none"/>
              </w:rPr>
              <w:t>合同</w:t>
            </w:r>
            <w:r>
              <w:rPr>
                <w:rFonts w:hint="eastAsia" w:hAnsi="宋体"/>
                <w:b/>
                <w:color w:val="auto"/>
                <w:szCs w:val="21"/>
                <w:highlight w:val="none"/>
              </w:rPr>
              <w:t>等</w:t>
            </w:r>
          </w:p>
          <w:p>
            <w:pPr>
              <w:jc w:val="center"/>
              <w:rPr>
                <w:rFonts w:hAnsi="宋体"/>
                <w:b/>
                <w:color w:val="auto"/>
                <w:szCs w:val="21"/>
                <w:highlight w:val="none"/>
              </w:rPr>
            </w:pPr>
            <w:r>
              <w:rPr>
                <w:rFonts w:hint="eastAsia" w:hAnsi="宋体"/>
                <w:b/>
                <w:color w:val="auto"/>
                <w:szCs w:val="21"/>
                <w:highlight w:val="none"/>
              </w:rPr>
              <w:t>验收</w:t>
            </w:r>
          </w:p>
          <w:p>
            <w:pPr>
              <w:jc w:val="center"/>
              <w:rPr>
                <w:b/>
                <w:color w:val="auto"/>
                <w:szCs w:val="21"/>
                <w:highlight w:val="none"/>
              </w:rPr>
            </w:pPr>
            <w:r>
              <w:rPr>
                <w:rFonts w:hint="eastAsia" w:hAnsi="宋体"/>
                <w:b/>
                <w:color w:val="auto"/>
                <w:szCs w:val="21"/>
                <w:highlight w:val="none"/>
              </w:rPr>
              <w:t>情况</w:t>
            </w:r>
          </w:p>
        </w:tc>
        <w:tc>
          <w:tcPr>
            <w:tcW w:w="2794" w:type="dxa"/>
            <w:gridSpan w:val="2"/>
            <w:tcBorders>
              <w:top w:val="single" w:color="auto" w:sz="6" w:space="0"/>
              <w:left w:val="single" w:color="auto" w:sz="4" w:space="0"/>
              <w:bottom w:val="dotted" w:color="auto" w:sz="4" w:space="0"/>
              <w:right w:val="dotted" w:color="auto" w:sz="4" w:space="0"/>
            </w:tcBorders>
            <w:noWrap/>
            <w:vAlign w:val="center"/>
          </w:tcPr>
          <w:p>
            <w:pPr>
              <w:jc w:val="center"/>
              <w:rPr>
                <w:color w:val="auto"/>
                <w:szCs w:val="21"/>
                <w:highlight w:val="none"/>
              </w:rPr>
            </w:pPr>
            <w:r>
              <w:rPr>
                <w:rFonts w:hAnsi="宋体"/>
                <w:color w:val="auto"/>
                <w:szCs w:val="21"/>
                <w:highlight w:val="none"/>
              </w:rPr>
              <w:t>交货数量</w:t>
            </w:r>
          </w:p>
        </w:tc>
        <w:tc>
          <w:tcPr>
            <w:tcW w:w="5351" w:type="dxa"/>
            <w:gridSpan w:val="7"/>
            <w:tcBorders>
              <w:top w:val="single" w:color="auto" w:sz="6" w:space="0"/>
              <w:left w:val="dotted" w:color="auto" w:sz="4" w:space="0"/>
              <w:bottom w:val="dotted" w:color="auto" w:sz="4" w:space="0"/>
              <w:right w:val="single" w:color="auto" w:sz="6" w:space="0"/>
            </w:tcBorders>
            <w:noWrap/>
            <w:vAlign w:val="center"/>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829" w:type="dxa"/>
            <w:vMerge w:val="continue"/>
            <w:tcBorders>
              <w:left w:val="single" w:color="auto" w:sz="6" w:space="0"/>
              <w:right w:val="single" w:color="auto" w:sz="4" w:space="0"/>
            </w:tcBorders>
            <w:noWrap/>
            <w:vAlign w:val="center"/>
          </w:tcPr>
          <w:p>
            <w:pPr>
              <w:jc w:val="center"/>
              <w:rPr>
                <w:color w:val="auto"/>
                <w:szCs w:val="21"/>
                <w:highlight w:val="none"/>
              </w:rPr>
            </w:pPr>
          </w:p>
        </w:tc>
        <w:tc>
          <w:tcPr>
            <w:tcW w:w="2794" w:type="dxa"/>
            <w:gridSpan w:val="2"/>
            <w:tcBorders>
              <w:top w:val="dotted" w:color="auto" w:sz="4" w:space="0"/>
              <w:left w:val="single" w:color="auto" w:sz="4" w:space="0"/>
              <w:bottom w:val="dotted" w:color="auto" w:sz="4" w:space="0"/>
              <w:right w:val="dotted" w:color="auto" w:sz="4" w:space="0"/>
            </w:tcBorders>
            <w:noWrap/>
            <w:vAlign w:val="center"/>
          </w:tcPr>
          <w:p>
            <w:pPr>
              <w:jc w:val="center"/>
              <w:rPr>
                <w:rFonts w:hAnsi="宋体"/>
                <w:color w:val="auto"/>
                <w:szCs w:val="21"/>
                <w:highlight w:val="none"/>
              </w:rPr>
            </w:pPr>
            <w:r>
              <w:rPr>
                <w:rFonts w:hint="eastAsia" w:hAnsi="宋体"/>
                <w:color w:val="auto"/>
                <w:szCs w:val="21"/>
                <w:highlight w:val="none"/>
              </w:rPr>
              <w:t xml:space="preserve">  产品设备的</w:t>
            </w:r>
            <w:r>
              <w:rPr>
                <w:rFonts w:hAnsi="宋体"/>
                <w:color w:val="auto"/>
                <w:szCs w:val="21"/>
                <w:highlight w:val="none"/>
              </w:rPr>
              <w:t>技术参数、</w:t>
            </w:r>
          </w:p>
          <w:p>
            <w:pPr>
              <w:jc w:val="center"/>
              <w:rPr>
                <w:color w:val="auto"/>
                <w:szCs w:val="21"/>
                <w:highlight w:val="none"/>
              </w:rPr>
            </w:pPr>
            <w:r>
              <w:rPr>
                <w:rFonts w:hAnsi="宋体"/>
                <w:color w:val="auto"/>
                <w:szCs w:val="21"/>
                <w:highlight w:val="none"/>
              </w:rPr>
              <w:t>型号规格、和产地</w:t>
            </w:r>
          </w:p>
        </w:tc>
        <w:tc>
          <w:tcPr>
            <w:tcW w:w="5351" w:type="dxa"/>
            <w:gridSpan w:val="7"/>
            <w:tcBorders>
              <w:top w:val="dotted" w:color="auto" w:sz="4" w:space="0"/>
              <w:left w:val="dotted" w:color="auto" w:sz="4" w:space="0"/>
              <w:bottom w:val="dotted" w:color="auto" w:sz="4" w:space="0"/>
              <w:right w:val="single" w:color="auto" w:sz="6" w:space="0"/>
            </w:tcBorders>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7" w:hRule="atLeast"/>
          <w:jc w:val="center"/>
        </w:trPr>
        <w:tc>
          <w:tcPr>
            <w:tcW w:w="829" w:type="dxa"/>
            <w:vMerge w:val="continue"/>
            <w:tcBorders>
              <w:left w:val="single" w:color="auto" w:sz="6" w:space="0"/>
              <w:right w:val="single" w:color="auto" w:sz="4" w:space="0"/>
            </w:tcBorders>
            <w:noWrap/>
            <w:vAlign w:val="center"/>
          </w:tcPr>
          <w:p>
            <w:pPr>
              <w:jc w:val="center"/>
              <w:rPr>
                <w:color w:val="auto"/>
                <w:szCs w:val="21"/>
                <w:highlight w:val="none"/>
              </w:rPr>
            </w:pPr>
          </w:p>
        </w:tc>
        <w:tc>
          <w:tcPr>
            <w:tcW w:w="2794" w:type="dxa"/>
            <w:gridSpan w:val="2"/>
            <w:tcBorders>
              <w:top w:val="dotted" w:color="auto" w:sz="4" w:space="0"/>
              <w:left w:val="single" w:color="auto" w:sz="4" w:space="0"/>
              <w:bottom w:val="dotted" w:color="auto" w:sz="4" w:space="0"/>
              <w:right w:val="dotted" w:color="auto" w:sz="4" w:space="0"/>
            </w:tcBorders>
            <w:noWrap/>
            <w:vAlign w:val="center"/>
          </w:tcPr>
          <w:p>
            <w:pPr>
              <w:jc w:val="center"/>
              <w:rPr>
                <w:color w:val="auto"/>
                <w:szCs w:val="21"/>
                <w:highlight w:val="none"/>
              </w:rPr>
            </w:pPr>
            <w:r>
              <w:rPr>
                <w:rFonts w:hAnsi="宋体"/>
                <w:color w:val="auto"/>
                <w:szCs w:val="21"/>
                <w:highlight w:val="none"/>
              </w:rPr>
              <w:t>实现的功能、指标、效果</w:t>
            </w:r>
          </w:p>
          <w:p>
            <w:pPr>
              <w:jc w:val="center"/>
              <w:rPr>
                <w:color w:val="auto"/>
                <w:szCs w:val="21"/>
                <w:highlight w:val="none"/>
              </w:rPr>
            </w:pPr>
            <w:r>
              <w:rPr>
                <w:rFonts w:hAnsi="宋体"/>
                <w:color w:val="auto"/>
                <w:szCs w:val="21"/>
                <w:highlight w:val="none"/>
              </w:rPr>
              <w:t>或约定的验收标准</w:t>
            </w:r>
          </w:p>
        </w:tc>
        <w:tc>
          <w:tcPr>
            <w:tcW w:w="5351" w:type="dxa"/>
            <w:gridSpan w:val="7"/>
            <w:tcBorders>
              <w:top w:val="dotted" w:color="auto" w:sz="4" w:space="0"/>
              <w:left w:val="dotted" w:color="auto" w:sz="4" w:space="0"/>
              <w:bottom w:val="dotted" w:color="auto" w:sz="4" w:space="0"/>
              <w:right w:val="single" w:color="auto" w:sz="4" w:space="0"/>
            </w:tcBorders>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1" w:hRule="atLeast"/>
          <w:jc w:val="center"/>
        </w:trPr>
        <w:tc>
          <w:tcPr>
            <w:tcW w:w="829" w:type="dxa"/>
            <w:vMerge w:val="continue"/>
            <w:tcBorders>
              <w:left w:val="single" w:color="auto" w:sz="6" w:space="0"/>
              <w:right w:val="single" w:color="auto" w:sz="4" w:space="0"/>
            </w:tcBorders>
            <w:noWrap/>
            <w:vAlign w:val="center"/>
          </w:tcPr>
          <w:p>
            <w:pPr>
              <w:jc w:val="center"/>
              <w:rPr>
                <w:color w:val="auto"/>
                <w:szCs w:val="21"/>
                <w:highlight w:val="none"/>
              </w:rPr>
            </w:pPr>
          </w:p>
        </w:tc>
        <w:tc>
          <w:tcPr>
            <w:tcW w:w="2794" w:type="dxa"/>
            <w:gridSpan w:val="2"/>
            <w:tcBorders>
              <w:top w:val="dotted" w:color="auto" w:sz="4" w:space="0"/>
              <w:left w:val="single" w:color="auto" w:sz="4" w:space="0"/>
              <w:bottom w:val="dotted" w:color="auto" w:sz="4" w:space="0"/>
              <w:right w:val="dotted" w:color="auto" w:sz="4" w:space="0"/>
            </w:tcBorders>
            <w:noWrap/>
            <w:vAlign w:val="center"/>
          </w:tcPr>
          <w:p>
            <w:pPr>
              <w:jc w:val="center"/>
              <w:rPr>
                <w:color w:val="auto"/>
                <w:szCs w:val="21"/>
                <w:highlight w:val="none"/>
              </w:rPr>
            </w:pPr>
            <w:r>
              <w:rPr>
                <w:rFonts w:hAnsi="宋体"/>
                <w:color w:val="auto"/>
                <w:szCs w:val="21"/>
                <w:highlight w:val="none"/>
              </w:rPr>
              <w:t>技术培训与使用须知指引</w:t>
            </w:r>
          </w:p>
        </w:tc>
        <w:tc>
          <w:tcPr>
            <w:tcW w:w="5351" w:type="dxa"/>
            <w:gridSpan w:val="7"/>
            <w:tcBorders>
              <w:top w:val="dotted" w:color="auto" w:sz="4" w:space="0"/>
              <w:left w:val="dotted" w:color="auto" w:sz="4" w:space="0"/>
              <w:bottom w:val="dotted" w:color="auto" w:sz="4" w:space="0"/>
              <w:right w:val="single" w:color="auto" w:sz="4" w:space="0"/>
            </w:tcBorders>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3" w:hRule="atLeast"/>
          <w:jc w:val="center"/>
        </w:trPr>
        <w:tc>
          <w:tcPr>
            <w:tcW w:w="829" w:type="dxa"/>
            <w:vMerge w:val="continue"/>
            <w:tcBorders>
              <w:left w:val="single" w:color="auto" w:sz="6" w:space="0"/>
              <w:right w:val="single" w:color="auto" w:sz="4" w:space="0"/>
            </w:tcBorders>
            <w:noWrap/>
            <w:vAlign w:val="center"/>
          </w:tcPr>
          <w:p>
            <w:pPr>
              <w:jc w:val="center"/>
              <w:rPr>
                <w:color w:val="auto"/>
                <w:szCs w:val="21"/>
                <w:highlight w:val="none"/>
              </w:rPr>
            </w:pPr>
          </w:p>
        </w:tc>
        <w:tc>
          <w:tcPr>
            <w:tcW w:w="2794" w:type="dxa"/>
            <w:gridSpan w:val="2"/>
            <w:tcBorders>
              <w:top w:val="dotted" w:color="auto" w:sz="4" w:space="0"/>
              <w:left w:val="single" w:color="auto" w:sz="4" w:space="0"/>
              <w:bottom w:val="single" w:color="auto" w:sz="6" w:space="0"/>
              <w:right w:val="dotted" w:color="auto" w:sz="4" w:space="0"/>
            </w:tcBorders>
            <w:noWrap/>
            <w:vAlign w:val="center"/>
          </w:tcPr>
          <w:p>
            <w:pPr>
              <w:jc w:val="center"/>
              <w:rPr>
                <w:rFonts w:hAnsi="宋体"/>
                <w:color w:val="auto"/>
                <w:szCs w:val="21"/>
                <w:highlight w:val="none"/>
              </w:rPr>
            </w:pPr>
            <w:r>
              <w:rPr>
                <w:rFonts w:hAnsi="宋体"/>
                <w:color w:val="auto"/>
                <w:szCs w:val="21"/>
                <w:highlight w:val="none"/>
              </w:rPr>
              <w:t>技术资料、售后服务资料等</w:t>
            </w:r>
            <w:r>
              <w:rPr>
                <w:rFonts w:hint="eastAsia" w:hAnsi="宋体"/>
                <w:color w:val="auto"/>
                <w:szCs w:val="21"/>
                <w:highlight w:val="none"/>
              </w:rPr>
              <w:t>档案清点</w:t>
            </w:r>
            <w:r>
              <w:rPr>
                <w:rFonts w:hAnsi="宋体"/>
                <w:color w:val="auto"/>
                <w:szCs w:val="21"/>
                <w:highlight w:val="none"/>
              </w:rPr>
              <w:t>移交</w:t>
            </w:r>
          </w:p>
        </w:tc>
        <w:tc>
          <w:tcPr>
            <w:tcW w:w="5351" w:type="dxa"/>
            <w:gridSpan w:val="7"/>
            <w:tcBorders>
              <w:top w:val="dotted" w:color="auto" w:sz="4" w:space="0"/>
              <w:left w:val="dotted" w:color="auto" w:sz="4" w:space="0"/>
              <w:bottom w:val="single" w:color="auto" w:sz="6" w:space="0"/>
              <w:right w:val="single" w:color="auto" w:sz="4" w:space="0"/>
            </w:tcBorders>
            <w:noWrap/>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80" w:hRule="atLeast"/>
          <w:jc w:val="center"/>
        </w:trPr>
        <w:tc>
          <w:tcPr>
            <w:tcW w:w="8974" w:type="dxa"/>
            <w:gridSpan w:val="10"/>
            <w:tcBorders>
              <w:left w:val="single" w:color="auto" w:sz="6" w:space="0"/>
              <w:bottom w:val="single" w:color="auto" w:sz="6" w:space="0"/>
              <w:right w:val="single" w:color="auto" w:sz="4" w:space="0"/>
            </w:tcBorders>
            <w:noWrap/>
          </w:tcPr>
          <w:p>
            <w:pPr>
              <w:spacing w:line="480" w:lineRule="auto"/>
              <w:rPr>
                <w:color w:val="auto"/>
                <w:szCs w:val="21"/>
                <w:highlight w:val="none"/>
              </w:rPr>
            </w:pPr>
            <w:r>
              <w:rPr>
                <w:rFonts w:hAnsi="宋体"/>
                <w:b/>
                <w:color w:val="auto"/>
                <w:szCs w:val="21"/>
                <w:highlight w:val="none"/>
              </w:rPr>
              <w:t>对项目</w:t>
            </w:r>
            <w:r>
              <w:rPr>
                <w:rFonts w:hint="eastAsia" w:hAnsi="宋体"/>
                <w:b/>
                <w:color w:val="auto"/>
                <w:szCs w:val="21"/>
                <w:highlight w:val="none"/>
              </w:rPr>
              <w:t>整体</w:t>
            </w:r>
            <w:r>
              <w:rPr>
                <w:rFonts w:hAnsi="宋体"/>
                <w:b/>
                <w:color w:val="auto"/>
                <w:szCs w:val="21"/>
                <w:highlight w:val="none"/>
              </w:rPr>
              <w:t>实施质量、</w:t>
            </w:r>
            <w:r>
              <w:rPr>
                <w:rFonts w:hint="eastAsia" w:hAnsi="宋体"/>
                <w:b/>
                <w:color w:val="auto"/>
                <w:szCs w:val="21"/>
                <w:highlight w:val="none"/>
              </w:rPr>
              <w:t>售后</w:t>
            </w:r>
            <w:r>
              <w:rPr>
                <w:rFonts w:hAnsi="宋体"/>
                <w:b/>
                <w:color w:val="auto"/>
                <w:szCs w:val="21"/>
                <w:highlight w:val="none"/>
              </w:rPr>
              <w:t>服务等综合验收</w:t>
            </w:r>
            <w:r>
              <w:rPr>
                <w:rFonts w:hint="eastAsia" w:hAnsi="宋体"/>
                <w:b/>
                <w:color w:val="auto"/>
                <w:szCs w:val="21"/>
                <w:highlight w:val="none"/>
              </w:rPr>
              <w:t>结果</w:t>
            </w:r>
            <w:r>
              <w:rPr>
                <w:rFonts w:hAnsi="宋体"/>
                <w:b/>
                <w:color w:val="auto"/>
                <w:szCs w:val="21"/>
                <w:highlight w:val="none"/>
              </w:rPr>
              <w:t>：</w:t>
            </w:r>
          </w:p>
          <w:p>
            <w:pPr>
              <w:rPr>
                <w:color w:val="auto"/>
                <w:szCs w:val="21"/>
                <w:highlight w:val="none"/>
              </w:rPr>
            </w:pPr>
          </w:p>
          <w:p>
            <w:pPr>
              <w:rPr>
                <w:color w:val="auto"/>
                <w:szCs w:val="21"/>
                <w:highlight w:val="none"/>
              </w:rPr>
            </w:pPr>
          </w:p>
          <w:p>
            <w:pPr>
              <w:rPr>
                <w:color w:val="auto"/>
                <w:szCs w:val="21"/>
                <w:highlight w:val="none"/>
              </w:rPr>
            </w:pPr>
          </w:p>
          <w:p>
            <w:pPr>
              <w:spacing w:line="480" w:lineRule="auto"/>
              <w:rPr>
                <w:b/>
                <w:color w:val="auto"/>
                <w:szCs w:val="21"/>
                <w:highlight w:val="none"/>
              </w:rPr>
            </w:pPr>
            <w:r>
              <w:rPr>
                <w:rFonts w:hint="eastAsia"/>
                <w:b/>
                <w:color w:val="auto"/>
                <w:szCs w:val="21"/>
                <w:highlight w:val="none"/>
              </w:rPr>
              <w:t>整改事项：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66" w:hRule="atLeast"/>
          <w:jc w:val="center"/>
        </w:trPr>
        <w:tc>
          <w:tcPr>
            <w:tcW w:w="8974" w:type="dxa"/>
            <w:gridSpan w:val="10"/>
            <w:tcBorders>
              <w:top w:val="single" w:color="auto" w:sz="6" w:space="0"/>
              <w:left w:val="single" w:color="auto" w:sz="6" w:space="0"/>
              <w:right w:val="single" w:color="auto" w:sz="6" w:space="0"/>
            </w:tcBorders>
            <w:noWrap/>
          </w:tcPr>
          <w:p>
            <w:pPr>
              <w:spacing w:line="360" w:lineRule="auto"/>
              <w:rPr>
                <w:b/>
                <w:color w:val="auto"/>
                <w:szCs w:val="21"/>
                <w:highlight w:val="none"/>
              </w:rPr>
            </w:pPr>
            <w:r>
              <w:rPr>
                <w:rFonts w:hint="eastAsia" w:hAnsi="宋体"/>
                <w:b/>
                <w:color w:val="auto"/>
                <w:szCs w:val="21"/>
                <w:highlight w:val="none"/>
              </w:rPr>
              <w:t>验收人员签名</w:t>
            </w:r>
            <w:r>
              <w:rPr>
                <w:rFonts w:hAnsi="宋体"/>
                <w:b/>
                <w:color w:val="auto"/>
                <w:szCs w:val="21"/>
                <w:highlight w:val="none"/>
              </w:rPr>
              <w:t>：</w:t>
            </w:r>
          </w:p>
          <w:p>
            <w:pPr>
              <w:spacing w:line="360" w:lineRule="auto"/>
              <w:rPr>
                <w:b/>
                <w:color w:val="auto"/>
                <w:szCs w:val="21"/>
                <w:highlight w:val="none"/>
              </w:rPr>
            </w:pPr>
          </w:p>
          <w:p>
            <w:pPr>
              <w:spacing w:line="360" w:lineRule="auto"/>
              <w:rPr>
                <w:b/>
                <w:color w:val="auto"/>
                <w:szCs w:val="21"/>
                <w:highlight w:val="none"/>
              </w:rPr>
            </w:pPr>
            <w:r>
              <w:rPr>
                <w:rFonts w:hint="eastAsia"/>
                <w:b/>
                <w:color w:val="auto"/>
                <w:szCs w:val="21"/>
                <w:highlight w:val="none"/>
              </w:rPr>
              <w:t xml:space="preserve">                                              单位（盖章）：</w:t>
            </w:r>
          </w:p>
          <w:p>
            <w:pPr>
              <w:spacing w:line="360" w:lineRule="auto"/>
              <w:rPr>
                <w:b/>
                <w:color w:val="auto"/>
                <w:szCs w:val="21"/>
                <w:highlight w:val="none"/>
              </w:rPr>
            </w:pPr>
            <w:r>
              <w:rPr>
                <w:rFonts w:hint="eastAsia"/>
                <w:b/>
                <w:color w:val="auto"/>
                <w:szCs w:val="21"/>
                <w:highlight w:val="none"/>
              </w:rPr>
              <w:t xml:space="preserve">                                              法人或委托人签名：</w:t>
            </w:r>
          </w:p>
          <w:p>
            <w:pPr>
              <w:spacing w:line="360" w:lineRule="auto"/>
              <w:ind w:firstLine="4889" w:firstLineChars="2319"/>
              <w:rPr>
                <w:b/>
                <w:color w:val="auto"/>
                <w:szCs w:val="21"/>
                <w:highlight w:val="none"/>
              </w:rPr>
            </w:pPr>
            <w:r>
              <w:rPr>
                <w:rFonts w:hint="eastAsia"/>
                <w:b/>
                <w:color w:val="auto"/>
                <w:szCs w:val="21"/>
                <w:highlight w:val="none"/>
              </w:rPr>
              <w:t>验收日期：</w:t>
            </w:r>
          </w:p>
        </w:tc>
      </w:tr>
    </w:tbl>
    <w:p>
      <w:pPr>
        <w:rPr>
          <w:rFonts w:hAnsi="宋体"/>
          <w:color w:val="auto"/>
          <w:highlight w:val="none"/>
        </w:rPr>
      </w:pPr>
      <w:r>
        <w:rPr>
          <w:rFonts w:hint="eastAsia" w:hAnsi="宋体"/>
          <w:color w:val="auto"/>
          <w:highlight w:val="none"/>
        </w:rPr>
        <w:t>1、验收执行标准：采购文件、投标文件、合同、双方确认的一切补充文件。</w:t>
      </w:r>
    </w:p>
    <w:p>
      <w:pPr>
        <w:ind w:left="315" w:hanging="315" w:hangingChars="150"/>
        <w:rPr>
          <w:rFonts w:hAnsi="宋体"/>
          <w:color w:val="auto"/>
          <w:highlight w:val="none"/>
        </w:rPr>
      </w:pPr>
      <w:r>
        <w:rPr>
          <w:rFonts w:hint="eastAsia" w:hAnsi="宋体"/>
          <w:color w:val="auto"/>
          <w:highlight w:val="none"/>
        </w:rPr>
        <w:t xml:space="preserve">2、150万以上项目验收合格后，将本报告送公共资源交易中心，中心可能组织相关部门对项目进行抽查。 </w:t>
      </w:r>
    </w:p>
    <w:p>
      <w:pPr>
        <w:rPr>
          <w:rFonts w:hAnsi="宋体"/>
          <w:color w:val="auto"/>
          <w:highlight w:val="none"/>
        </w:rPr>
      </w:pPr>
      <w:r>
        <w:rPr>
          <w:rFonts w:hint="eastAsia" w:hAnsi="宋体"/>
          <w:color w:val="auto"/>
          <w:highlight w:val="none"/>
        </w:rPr>
        <w:t xml:space="preserve">3、此表后应附验收货物清单。 </w:t>
      </w:r>
    </w:p>
    <w:p>
      <w:pPr>
        <w:rPr>
          <w:rFonts w:hAnsi="宋体"/>
          <w:color w:val="auto"/>
          <w:highlight w:val="none"/>
        </w:rPr>
        <w:sectPr>
          <w:headerReference r:id="rId13" w:type="first"/>
          <w:footerReference r:id="rId16" w:type="first"/>
          <w:headerReference r:id="rId12" w:type="default"/>
          <w:footerReference r:id="rId14" w:type="default"/>
          <w:footerReference r:id="rId15" w:type="even"/>
          <w:pgSz w:w="11906" w:h="16838"/>
          <w:pgMar w:top="1440" w:right="1800" w:bottom="1440" w:left="1800" w:header="851" w:footer="992" w:gutter="0"/>
          <w:cols w:space="720" w:num="1"/>
          <w:docGrid w:type="lines" w:linePitch="312" w:charSpace="0"/>
        </w:sectPr>
      </w:pPr>
      <w:r>
        <w:rPr>
          <w:rFonts w:hint="eastAsia" w:hAnsi="宋体"/>
          <w:color w:val="auto"/>
          <w:highlight w:val="none"/>
        </w:rPr>
        <w:t>4、以上空白处如不够填写，可另附纸张。</w:t>
      </w:r>
    </w:p>
    <w:tbl>
      <w:tblPr>
        <w:tblStyle w:val="18"/>
        <w:tblpPr w:leftFromText="180" w:rightFromText="180" w:horzAnchor="margin" w:tblpY="936"/>
        <w:tblW w:w="13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9"/>
        <w:gridCol w:w="5746"/>
        <w:gridCol w:w="3780"/>
        <w:gridCol w:w="720"/>
        <w:gridCol w:w="720"/>
        <w:gridCol w:w="71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01" w:hRule="exact"/>
        </w:trPr>
        <w:tc>
          <w:tcPr>
            <w:tcW w:w="919"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序号</w:t>
            </w:r>
          </w:p>
        </w:tc>
        <w:tc>
          <w:tcPr>
            <w:tcW w:w="5746" w:type="dxa"/>
            <w:noWrap/>
          </w:tcPr>
          <w:p>
            <w:pPr>
              <w:pStyle w:val="8"/>
              <w:snapToGrid w:val="0"/>
              <w:spacing w:before="156" w:after="156"/>
              <w:ind w:left="-108"/>
              <w:jc w:val="center"/>
              <w:rPr>
                <w:rFonts w:hAnsi="宋体"/>
                <w:color w:val="auto"/>
                <w:highlight w:val="none"/>
              </w:rPr>
            </w:pPr>
            <w:r>
              <w:rPr>
                <w:rFonts w:hint="eastAsia" w:hAnsi="宋体"/>
                <w:color w:val="auto"/>
                <w:highlight w:val="none"/>
              </w:rPr>
              <w:t>货物名称</w:t>
            </w:r>
          </w:p>
        </w:tc>
        <w:tc>
          <w:tcPr>
            <w:tcW w:w="3780"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品牌型号</w:t>
            </w:r>
          </w:p>
        </w:tc>
        <w:tc>
          <w:tcPr>
            <w:tcW w:w="720" w:type="dxa"/>
            <w:noWrap/>
            <w:vAlign w:val="center"/>
          </w:tcPr>
          <w:p>
            <w:pPr>
              <w:pStyle w:val="8"/>
              <w:snapToGrid w:val="0"/>
              <w:spacing w:before="156" w:after="156"/>
              <w:jc w:val="center"/>
              <w:rPr>
                <w:rFonts w:hAnsi="宋体"/>
                <w:color w:val="auto"/>
                <w:highlight w:val="none"/>
              </w:rPr>
            </w:pPr>
            <w:r>
              <w:rPr>
                <w:rFonts w:hint="eastAsia" w:hAnsi="宋体"/>
                <w:color w:val="auto"/>
                <w:highlight w:val="none"/>
              </w:rPr>
              <w:t>符合  与否</w:t>
            </w:r>
          </w:p>
        </w:tc>
        <w:tc>
          <w:tcPr>
            <w:tcW w:w="720" w:type="dxa"/>
            <w:noWrap/>
            <w:vAlign w:val="center"/>
          </w:tcPr>
          <w:p>
            <w:pPr>
              <w:pStyle w:val="8"/>
              <w:snapToGrid w:val="0"/>
              <w:spacing w:before="156" w:after="156"/>
              <w:jc w:val="center"/>
              <w:rPr>
                <w:rFonts w:hAnsi="宋体"/>
                <w:color w:val="auto"/>
                <w:highlight w:val="none"/>
              </w:rPr>
            </w:pPr>
            <w:r>
              <w:rPr>
                <w:rFonts w:hint="eastAsia" w:hAnsi="宋体"/>
                <w:color w:val="auto"/>
                <w:highlight w:val="none"/>
              </w:rPr>
              <w:t>数量</w:t>
            </w:r>
          </w:p>
        </w:tc>
        <w:tc>
          <w:tcPr>
            <w:tcW w:w="718"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符合   与否</w:t>
            </w:r>
          </w:p>
        </w:tc>
        <w:tc>
          <w:tcPr>
            <w:tcW w:w="1262" w:type="dxa"/>
            <w:noWrap/>
            <w:vAlign w:val="center"/>
          </w:tcPr>
          <w:p>
            <w:pPr>
              <w:pStyle w:val="8"/>
              <w:snapToGrid w:val="0"/>
              <w:spacing w:before="156" w:after="156"/>
              <w:jc w:val="center"/>
              <w:rPr>
                <w:rFonts w:hAnsi="宋体"/>
                <w:color w:val="auto"/>
                <w:highlight w:val="none"/>
              </w:rPr>
            </w:pPr>
            <w:r>
              <w:rPr>
                <w:rFonts w:hint="eastAsia" w:hAnsi="宋体"/>
                <w:color w:val="auto"/>
                <w:highlight w:val="none"/>
              </w:rPr>
              <w:t>验收人员 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trPr>
        <w:tc>
          <w:tcPr>
            <w:tcW w:w="919"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1</w:t>
            </w:r>
          </w:p>
        </w:tc>
        <w:tc>
          <w:tcPr>
            <w:tcW w:w="5746" w:type="dxa"/>
            <w:noWrap/>
          </w:tcPr>
          <w:p>
            <w:pPr>
              <w:pStyle w:val="8"/>
              <w:snapToGrid w:val="0"/>
              <w:spacing w:before="156" w:after="156"/>
              <w:ind w:left="-108"/>
              <w:jc w:val="center"/>
              <w:rPr>
                <w:rFonts w:hAnsi="宋体"/>
                <w:color w:val="auto"/>
                <w:highlight w:val="none"/>
              </w:rPr>
            </w:pPr>
          </w:p>
        </w:tc>
        <w:tc>
          <w:tcPr>
            <w:tcW w:w="378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18" w:type="dxa"/>
            <w:noWrap/>
            <w:vAlign w:val="center"/>
          </w:tcPr>
          <w:p>
            <w:pPr>
              <w:pStyle w:val="8"/>
              <w:snapToGrid w:val="0"/>
              <w:spacing w:before="156" w:after="156"/>
              <w:ind w:left="-108"/>
              <w:jc w:val="center"/>
              <w:rPr>
                <w:rFonts w:hAnsi="宋体"/>
                <w:color w:val="auto"/>
                <w:highlight w:val="none"/>
              </w:rPr>
            </w:pPr>
          </w:p>
        </w:tc>
        <w:tc>
          <w:tcPr>
            <w:tcW w:w="1262" w:type="dxa"/>
            <w:noWrap/>
            <w:vAlign w:val="center"/>
          </w:tcPr>
          <w:p>
            <w:pPr>
              <w:pStyle w:val="8"/>
              <w:snapToGrid w:val="0"/>
              <w:spacing w:before="156" w:after="156"/>
              <w:ind w:left="-108"/>
              <w:jc w:val="cente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trPr>
        <w:tc>
          <w:tcPr>
            <w:tcW w:w="919"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2</w:t>
            </w:r>
          </w:p>
        </w:tc>
        <w:tc>
          <w:tcPr>
            <w:tcW w:w="5746" w:type="dxa"/>
            <w:noWrap/>
          </w:tcPr>
          <w:p>
            <w:pPr>
              <w:pStyle w:val="8"/>
              <w:snapToGrid w:val="0"/>
              <w:spacing w:before="156" w:after="156"/>
              <w:ind w:left="-108"/>
              <w:jc w:val="center"/>
              <w:rPr>
                <w:rFonts w:hAnsi="宋体"/>
                <w:color w:val="auto"/>
                <w:highlight w:val="none"/>
              </w:rPr>
            </w:pPr>
          </w:p>
        </w:tc>
        <w:tc>
          <w:tcPr>
            <w:tcW w:w="378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18" w:type="dxa"/>
            <w:noWrap/>
            <w:vAlign w:val="center"/>
          </w:tcPr>
          <w:p>
            <w:pPr>
              <w:pStyle w:val="8"/>
              <w:snapToGrid w:val="0"/>
              <w:spacing w:before="156" w:after="156"/>
              <w:ind w:left="-108"/>
              <w:jc w:val="center"/>
              <w:rPr>
                <w:rFonts w:hAnsi="宋体"/>
                <w:color w:val="auto"/>
                <w:highlight w:val="none"/>
              </w:rPr>
            </w:pPr>
          </w:p>
        </w:tc>
        <w:tc>
          <w:tcPr>
            <w:tcW w:w="1262" w:type="dxa"/>
            <w:noWrap/>
            <w:vAlign w:val="center"/>
          </w:tcPr>
          <w:p>
            <w:pPr>
              <w:pStyle w:val="8"/>
              <w:snapToGrid w:val="0"/>
              <w:spacing w:before="156" w:after="156"/>
              <w:ind w:left="-108"/>
              <w:jc w:val="cente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trPr>
        <w:tc>
          <w:tcPr>
            <w:tcW w:w="919"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3</w:t>
            </w:r>
          </w:p>
        </w:tc>
        <w:tc>
          <w:tcPr>
            <w:tcW w:w="5746" w:type="dxa"/>
            <w:noWrap/>
          </w:tcPr>
          <w:p>
            <w:pPr>
              <w:pStyle w:val="8"/>
              <w:snapToGrid w:val="0"/>
              <w:spacing w:before="156" w:after="156"/>
              <w:ind w:left="-108"/>
              <w:jc w:val="center"/>
              <w:rPr>
                <w:rFonts w:hAnsi="宋体"/>
                <w:color w:val="auto"/>
                <w:highlight w:val="none"/>
              </w:rPr>
            </w:pPr>
          </w:p>
        </w:tc>
        <w:tc>
          <w:tcPr>
            <w:tcW w:w="378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18" w:type="dxa"/>
            <w:noWrap/>
            <w:vAlign w:val="center"/>
          </w:tcPr>
          <w:p>
            <w:pPr>
              <w:pStyle w:val="8"/>
              <w:snapToGrid w:val="0"/>
              <w:spacing w:before="156" w:after="156"/>
              <w:ind w:left="-108"/>
              <w:jc w:val="center"/>
              <w:rPr>
                <w:rFonts w:hAnsi="宋体"/>
                <w:color w:val="auto"/>
                <w:highlight w:val="none"/>
              </w:rPr>
            </w:pPr>
          </w:p>
        </w:tc>
        <w:tc>
          <w:tcPr>
            <w:tcW w:w="1262" w:type="dxa"/>
            <w:noWrap/>
            <w:vAlign w:val="center"/>
          </w:tcPr>
          <w:p>
            <w:pPr>
              <w:pStyle w:val="8"/>
              <w:snapToGrid w:val="0"/>
              <w:spacing w:before="156" w:after="156"/>
              <w:ind w:left="-108"/>
              <w:jc w:val="cente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trPr>
        <w:tc>
          <w:tcPr>
            <w:tcW w:w="919"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4</w:t>
            </w:r>
          </w:p>
        </w:tc>
        <w:tc>
          <w:tcPr>
            <w:tcW w:w="5746" w:type="dxa"/>
            <w:noWrap/>
          </w:tcPr>
          <w:p>
            <w:pPr>
              <w:pStyle w:val="8"/>
              <w:snapToGrid w:val="0"/>
              <w:spacing w:before="156" w:after="156"/>
              <w:ind w:left="-108"/>
              <w:jc w:val="center"/>
              <w:rPr>
                <w:rFonts w:hAnsi="宋体"/>
                <w:color w:val="auto"/>
                <w:highlight w:val="none"/>
              </w:rPr>
            </w:pPr>
          </w:p>
        </w:tc>
        <w:tc>
          <w:tcPr>
            <w:tcW w:w="378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18" w:type="dxa"/>
            <w:noWrap/>
            <w:vAlign w:val="center"/>
          </w:tcPr>
          <w:p>
            <w:pPr>
              <w:pStyle w:val="8"/>
              <w:snapToGrid w:val="0"/>
              <w:spacing w:before="156" w:after="156"/>
              <w:ind w:left="-108"/>
              <w:jc w:val="center"/>
              <w:rPr>
                <w:rFonts w:hAnsi="宋体"/>
                <w:color w:val="auto"/>
                <w:highlight w:val="none"/>
              </w:rPr>
            </w:pPr>
          </w:p>
        </w:tc>
        <w:tc>
          <w:tcPr>
            <w:tcW w:w="1262" w:type="dxa"/>
            <w:noWrap/>
            <w:vAlign w:val="center"/>
          </w:tcPr>
          <w:p>
            <w:pPr>
              <w:pStyle w:val="8"/>
              <w:snapToGrid w:val="0"/>
              <w:spacing w:before="156" w:after="156"/>
              <w:ind w:left="-108"/>
              <w:jc w:val="cente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exact"/>
        </w:trPr>
        <w:tc>
          <w:tcPr>
            <w:tcW w:w="919"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5</w:t>
            </w:r>
          </w:p>
        </w:tc>
        <w:tc>
          <w:tcPr>
            <w:tcW w:w="5746" w:type="dxa"/>
            <w:noWrap/>
          </w:tcPr>
          <w:p>
            <w:pPr>
              <w:pStyle w:val="8"/>
              <w:snapToGrid w:val="0"/>
              <w:spacing w:before="156" w:after="156"/>
              <w:ind w:left="-108"/>
              <w:jc w:val="center"/>
              <w:rPr>
                <w:rFonts w:hAnsi="宋体"/>
                <w:color w:val="auto"/>
                <w:highlight w:val="none"/>
              </w:rPr>
            </w:pPr>
          </w:p>
        </w:tc>
        <w:tc>
          <w:tcPr>
            <w:tcW w:w="378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18" w:type="dxa"/>
            <w:noWrap/>
            <w:vAlign w:val="center"/>
          </w:tcPr>
          <w:p>
            <w:pPr>
              <w:pStyle w:val="8"/>
              <w:snapToGrid w:val="0"/>
              <w:spacing w:before="156" w:after="156"/>
              <w:ind w:left="-108"/>
              <w:jc w:val="center"/>
              <w:rPr>
                <w:rFonts w:hAnsi="宋体"/>
                <w:color w:val="auto"/>
                <w:highlight w:val="none"/>
              </w:rPr>
            </w:pPr>
          </w:p>
        </w:tc>
        <w:tc>
          <w:tcPr>
            <w:tcW w:w="1262" w:type="dxa"/>
            <w:noWrap/>
            <w:vAlign w:val="center"/>
          </w:tcPr>
          <w:p>
            <w:pPr>
              <w:pStyle w:val="8"/>
              <w:snapToGrid w:val="0"/>
              <w:spacing w:before="156" w:after="156"/>
              <w:ind w:left="-108"/>
              <w:jc w:val="cente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trPr>
        <w:tc>
          <w:tcPr>
            <w:tcW w:w="919"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6</w:t>
            </w:r>
          </w:p>
        </w:tc>
        <w:tc>
          <w:tcPr>
            <w:tcW w:w="5746" w:type="dxa"/>
            <w:noWrap/>
          </w:tcPr>
          <w:p>
            <w:pPr>
              <w:pStyle w:val="8"/>
              <w:snapToGrid w:val="0"/>
              <w:spacing w:before="156" w:after="156"/>
              <w:ind w:left="-108"/>
              <w:jc w:val="center"/>
              <w:rPr>
                <w:rFonts w:hAnsi="宋体"/>
                <w:color w:val="auto"/>
                <w:highlight w:val="none"/>
              </w:rPr>
            </w:pPr>
          </w:p>
        </w:tc>
        <w:tc>
          <w:tcPr>
            <w:tcW w:w="378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18" w:type="dxa"/>
            <w:noWrap/>
            <w:vAlign w:val="center"/>
          </w:tcPr>
          <w:p>
            <w:pPr>
              <w:pStyle w:val="8"/>
              <w:snapToGrid w:val="0"/>
              <w:spacing w:before="156" w:after="156"/>
              <w:ind w:left="-108"/>
              <w:jc w:val="center"/>
              <w:rPr>
                <w:rFonts w:hAnsi="宋体"/>
                <w:color w:val="auto"/>
                <w:highlight w:val="none"/>
              </w:rPr>
            </w:pPr>
          </w:p>
        </w:tc>
        <w:tc>
          <w:tcPr>
            <w:tcW w:w="1262" w:type="dxa"/>
            <w:noWrap/>
            <w:vAlign w:val="center"/>
          </w:tcPr>
          <w:p>
            <w:pPr>
              <w:pStyle w:val="8"/>
              <w:snapToGrid w:val="0"/>
              <w:spacing w:before="156" w:after="156"/>
              <w:ind w:left="-108"/>
              <w:jc w:val="cente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trPr>
        <w:tc>
          <w:tcPr>
            <w:tcW w:w="919" w:type="dxa"/>
            <w:noWrap/>
            <w:vAlign w:val="center"/>
          </w:tcPr>
          <w:p>
            <w:pPr>
              <w:pStyle w:val="8"/>
              <w:snapToGrid w:val="0"/>
              <w:spacing w:before="156" w:after="156"/>
              <w:ind w:left="-108"/>
              <w:jc w:val="center"/>
              <w:rPr>
                <w:rFonts w:hAnsi="宋体"/>
                <w:color w:val="auto"/>
                <w:highlight w:val="none"/>
              </w:rPr>
            </w:pPr>
            <w:r>
              <w:rPr>
                <w:rFonts w:hint="eastAsia" w:hAnsi="宋体"/>
                <w:color w:val="auto"/>
                <w:highlight w:val="none"/>
              </w:rPr>
              <w:t>7</w:t>
            </w:r>
          </w:p>
        </w:tc>
        <w:tc>
          <w:tcPr>
            <w:tcW w:w="5746" w:type="dxa"/>
            <w:noWrap/>
          </w:tcPr>
          <w:p>
            <w:pPr>
              <w:pStyle w:val="8"/>
              <w:snapToGrid w:val="0"/>
              <w:spacing w:before="156" w:after="156"/>
              <w:ind w:left="-108"/>
              <w:jc w:val="center"/>
              <w:rPr>
                <w:rFonts w:hAnsi="宋体"/>
                <w:color w:val="auto"/>
                <w:highlight w:val="none"/>
              </w:rPr>
            </w:pPr>
          </w:p>
        </w:tc>
        <w:tc>
          <w:tcPr>
            <w:tcW w:w="378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20" w:type="dxa"/>
            <w:noWrap/>
            <w:vAlign w:val="center"/>
          </w:tcPr>
          <w:p>
            <w:pPr>
              <w:pStyle w:val="8"/>
              <w:snapToGrid w:val="0"/>
              <w:spacing w:before="156" w:after="156"/>
              <w:ind w:left="-108"/>
              <w:jc w:val="center"/>
              <w:rPr>
                <w:rFonts w:hAnsi="宋体"/>
                <w:color w:val="auto"/>
                <w:highlight w:val="none"/>
              </w:rPr>
            </w:pPr>
          </w:p>
        </w:tc>
        <w:tc>
          <w:tcPr>
            <w:tcW w:w="718" w:type="dxa"/>
            <w:noWrap/>
            <w:vAlign w:val="center"/>
          </w:tcPr>
          <w:p>
            <w:pPr>
              <w:pStyle w:val="8"/>
              <w:snapToGrid w:val="0"/>
              <w:spacing w:before="156" w:after="156"/>
              <w:ind w:left="-108"/>
              <w:jc w:val="center"/>
              <w:rPr>
                <w:rFonts w:hAnsi="宋体"/>
                <w:color w:val="auto"/>
                <w:highlight w:val="none"/>
              </w:rPr>
            </w:pPr>
          </w:p>
        </w:tc>
        <w:tc>
          <w:tcPr>
            <w:tcW w:w="1262" w:type="dxa"/>
            <w:noWrap/>
            <w:vAlign w:val="center"/>
          </w:tcPr>
          <w:p>
            <w:pPr>
              <w:pStyle w:val="8"/>
              <w:snapToGrid w:val="0"/>
              <w:spacing w:before="156" w:after="156"/>
              <w:ind w:left="-108"/>
              <w:jc w:val="center"/>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30" w:hRule="atLeast"/>
        </w:trPr>
        <w:tc>
          <w:tcPr>
            <w:tcW w:w="13865" w:type="dxa"/>
            <w:gridSpan w:val="7"/>
            <w:noWrap/>
            <w:vAlign w:val="center"/>
          </w:tcPr>
          <w:p>
            <w:pPr>
              <w:pStyle w:val="8"/>
              <w:snapToGrid w:val="0"/>
              <w:spacing w:before="156" w:after="156"/>
              <w:ind w:left="-107" w:leftChars="-51" w:firstLine="240" w:firstLineChars="100"/>
              <w:rPr>
                <w:rFonts w:hAnsi="宋体"/>
                <w:color w:val="auto"/>
                <w:highlight w:val="none"/>
              </w:rPr>
            </w:pPr>
            <w:r>
              <w:rPr>
                <w:rFonts w:hint="eastAsia" w:hAnsi="宋体"/>
                <w:color w:val="auto"/>
                <w:highlight w:val="none"/>
              </w:rPr>
              <w:t>备注：</w:t>
            </w:r>
          </w:p>
        </w:tc>
      </w:tr>
    </w:tbl>
    <w:p>
      <w:pPr>
        <w:jc w:val="center"/>
        <w:rPr>
          <w:b/>
          <w:color w:val="auto"/>
          <w:sz w:val="30"/>
          <w:szCs w:val="30"/>
          <w:highlight w:val="none"/>
        </w:rPr>
      </w:pPr>
      <w:r>
        <w:rPr>
          <w:rFonts w:hint="eastAsia"/>
          <w:b/>
          <w:color w:val="auto"/>
          <w:sz w:val="30"/>
          <w:szCs w:val="30"/>
          <w:highlight w:val="none"/>
        </w:rPr>
        <w:t>验收货物清单</w:t>
      </w:r>
    </w:p>
    <w:p>
      <w:pPr>
        <w:snapToGrid w:val="0"/>
        <w:spacing w:before="50" w:after="50"/>
        <w:ind w:right="25" w:rightChars="12"/>
        <w:rPr>
          <w:rFonts w:ascii="宋体" w:hAnsi="宋体"/>
          <w:color w:val="auto"/>
          <w:sz w:val="24"/>
          <w:highlight w:val="none"/>
          <w:u w:val="single"/>
        </w:rPr>
      </w:pPr>
    </w:p>
    <w:p>
      <w:pPr>
        <w:snapToGrid w:val="0"/>
        <w:spacing w:before="50" w:after="50"/>
        <w:ind w:right="25" w:rightChars="12"/>
        <w:rPr>
          <w:rFonts w:ascii="宋体" w:hAnsi="宋体"/>
          <w:color w:val="auto"/>
          <w:sz w:val="24"/>
          <w:highlight w:val="none"/>
          <w:u w:val="single"/>
        </w:rPr>
      </w:pPr>
    </w:p>
    <w:p>
      <w:pPr>
        <w:pStyle w:val="8"/>
        <w:tabs>
          <w:tab w:val="left" w:pos="2472"/>
        </w:tabs>
        <w:snapToGrid w:val="0"/>
        <w:spacing w:beforeLines="0" w:after="156" w:line="240" w:lineRule="auto"/>
        <w:rPr>
          <w:color w:val="auto"/>
          <w:highlight w:val="none"/>
        </w:rPr>
        <w:sectPr>
          <w:pgSz w:w="16838" w:h="11906" w:orient="landscape"/>
          <w:pgMar w:top="1797" w:right="1440" w:bottom="1797" w:left="1440" w:header="851" w:footer="992" w:gutter="0"/>
          <w:cols w:space="720" w:num="1"/>
          <w:docGrid w:type="linesAndChars" w:linePitch="312" w:charSpace="0"/>
        </w:sectPr>
      </w:pPr>
      <w:r>
        <w:rPr>
          <w:rFonts w:hint="eastAsia"/>
          <w:color w:val="auto"/>
          <w:highlight w:val="none"/>
        </w:rPr>
        <w:t>抄送：东阳市纪律检查委员会监察局、东阳市公共资源交易管理委员会办公室、东阳市财政局政府采购管理办公</w:t>
      </w: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创艺简标宋">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0F3C52" w:usb2="00000016" w:usb3="00000000" w:csb0="0004001F" w:csb1="00000000"/>
  </w:font>
  <w:font w:name="新宋体">
    <w:panose1 w:val="02010609030101010101"/>
    <w:charset w:val="86"/>
    <w:family w:val="modern"/>
    <w:pitch w:val="default"/>
    <w:sig w:usb0="00000003" w:usb1="080E0000" w:usb2="00000000" w:usb3="00000000" w:csb0="00040001" w:csb1="00000000"/>
  </w:font>
  <w:font w:name="新宋体-18030">
    <w:altName w:val="宋体"/>
    <w:panose1 w:val="00000000000000000000"/>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jc w:val="right"/>
      <w:rPr>
        <w:rStyle w:val="20"/>
        <w:rFonts w:ascii="宋体" w:hAnsi="宋体" w:eastAsia="宋体"/>
        <w:sz w:val="28"/>
        <w:szCs w:val="28"/>
      </w:rPr>
    </w:pPr>
    <w:r>
      <w:rPr>
        <w:rStyle w:val="20"/>
        <w:rFonts w:hint="eastAsia" w:ascii="宋体" w:hAnsi="宋体" w:eastAsia="宋体"/>
        <w:sz w:val="28"/>
        <w:szCs w:val="28"/>
      </w:rPr>
      <w:t xml:space="preserve">— </w:t>
    </w:r>
    <w:r>
      <w:rPr>
        <w:rFonts w:ascii="宋体" w:hAnsi="宋体" w:eastAsia="宋体"/>
        <w:sz w:val="28"/>
        <w:szCs w:val="28"/>
      </w:rPr>
      <w:fldChar w:fldCharType="begin"/>
    </w:r>
    <w:r>
      <w:rPr>
        <w:rStyle w:val="20"/>
        <w:rFonts w:ascii="宋体" w:hAnsi="宋体" w:eastAsia="宋体"/>
        <w:sz w:val="28"/>
        <w:szCs w:val="28"/>
      </w:rPr>
      <w:instrText xml:space="preserve">PAGE  </w:instrText>
    </w:r>
    <w:r>
      <w:rPr>
        <w:rFonts w:ascii="宋体" w:hAnsi="宋体" w:eastAsia="宋体"/>
        <w:sz w:val="28"/>
        <w:szCs w:val="28"/>
      </w:rPr>
      <w:fldChar w:fldCharType="separate"/>
    </w:r>
    <w:r>
      <w:rPr>
        <w:rStyle w:val="20"/>
        <w:rFonts w:ascii="宋体" w:hAnsi="宋体" w:eastAsia="宋体"/>
        <w:sz w:val="28"/>
        <w:szCs w:val="28"/>
      </w:rPr>
      <w:t>37</w:t>
    </w:r>
    <w:r>
      <w:rPr>
        <w:rFonts w:ascii="宋体" w:hAnsi="宋体" w:eastAsia="宋体"/>
        <w:sz w:val="28"/>
        <w:szCs w:val="28"/>
      </w:rPr>
      <w:fldChar w:fldCharType="end"/>
    </w:r>
    <w:r>
      <w:rPr>
        <w:rStyle w:val="20"/>
        <w:rFonts w:hint="eastAsia" w:ascii="宋体" w:hAnsi="宋体" w:eastAsia="宋体"/>
        <w:sz w:val="28"/>
        <w:szCs w:val="28"/>
      </w:rPr>
      <w:t xml:space="preserve"> —</w:t>
    </w:r>
  </w:p>
  <w:p>
    <w:pPr>
      <w:pStyle w:val="11"/>
      <w:ind w:right="360"/>
      <w:jc w:val="center"/>
    </w:pPr>
    <w:r>
      <w:rPr>
        <w:rFonts w:hint="eastAsia"/>
      </w:rPr>
      <w:t>金华市公共资源交易中心东阳分中心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Pr>
    </w:pPr>
    <w:r>
      <w:fldChar w:fldCharType="begin"/>
    </w:r>
    <w:r>
      <w:rPr>
        <w:rStyle w:val="20"/>
      </w:rPr>
      <w:instrText xml:space="preserve">PAGE  </w:instrText>
    </w:r>
    <w:r>
      <w:fldChar w:fldCharType="separate"/>
    </w:r>
    <w:r>
      <w:rPr>
        <w:rStyle w:val="20"/>
      </w:rPr>
      <w:t>26</w: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Fonts w:ascii="宋体" w:hAnsi="宋体" w:eastAsia="宋体"/>
        <w:sz w:val="28"/>
        <w:szCs w:val="28"/>
      </w:rPr>
    </w:pPr>
    <w:r>
      <w:rPr>
        <w:rStyle w:val="20"/>
        <w:rFonts w:hint="eastAsia" w:ascii="宋体" w:hAnsi="宋体" w:eastAsia="宋体"/>
        <w:sz w:val="28"/>
        <w:szCs w:val="28"/>
      </w:rPr>
      <w:t xml:space="preserve">— </w:t>
    </w:r>
    <w:r>
      <w:rPr>
        <w:rFonts w:ascii="宋体" w:hAnsi="宋体" w:eastAsia="宋体"/>
        <w:sz w:val="28"/>
        <w:szCs w:val="28"/>
      </w:rPr>
      <w:fldChar w:fldCharType="begin"/>
    </w:r>
    <w:r>
      <w:rPr>
        <w:rStyle w:val="20"/>
        <w:rFonts w:ascii="宋体" w:hAnsi="宋体" w:eastAsia="宋体"/>
        <w:sz w:val="28"/>
        <w:szCs w:val="28"/>
      </w:rPr>
      <w:instrText xml:space="preserve">PAGE  </w:instrText>
    </w:r>
    <w:r>
      <w:rPr>
        <w:rFonts w:ascii="宋体" w:hAnsi="宋体" w:eastAsia="宋体"/>
        <w:sz w:val="28"/>
        <w:szCs w:val="28"/>
      </w:rPr>
      <w:fldChar w:fldCharType="separate"/>
    </w:r>
    <w:r>
      <w:rPr>
        <w:rStyle w:val="20"/>
        <w:rFonts w:ascii="宋体" w:hAnsi="宋体" w:eastAsia="宋体"/>
        <w:sz w:val="28"/>
        <w:szCs w:val="28"/>
      </w:rPr>
      <w:t>62</w:t>
    </w:r>
    <w:r>
      <w:rPr>
        <w:rFonts w:ascii="宋体" w:hAnsi="宋体" w:eastAsia="宋体"/>
        <w:sz w:val="28"/>
        <w:szCs w:val="28"/>
      </w:rPr>
      <w:fldChar w:fldCharType="end"/>
    </w:r>
    <w:r>
      <w:rPr>
        <w:rStyle w:val="20"/>
        <w:rFonts w:hint="eastAsia" w:ascii="宋体" w:hAnsi="宋体" w:eastAsia="宋体"/>
        <w:sz w:val="28"/>
        <w:szCs w:val="28"/>
      </w:rPr>
      <w:t xml:space="preserve"> —</w:t>
    </w:r>
  </w:p>
  <w:p>
    <w:pPr>
      <w:pStyle w:val="11"/>
      <w:ind w:right="720" w:rightChars="343" w:firstLine="180" w:firstLineChars="100"/>
      <w:jc w:val="center"/>
    </w:pPr>
    <w:r>
      <w:rPr>
        <w:rFonts w:hint="eastAsia"/>
      </w:rPr>
      <w:t>金华市公共资源交易中心东阳分中心</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Pr>
    </w:pPr>
    <w:r>
      <w:fldChar w:fldCharType="begin"/>
    </w:r>
    <w:r>
      <w:rPr>
        <w:rStyle w:val="20"/>
      </w:rPr>
      <w:instrText xml:space="preserve">PAGE  </w:instrText>
    </w:r>
    <w:r>
      <w:fldChar w:fldCharType="separate"/>
    </w:r>
    <w:r>
      <w:rPr>
        <w:rStyle w:val="20"/>
      </w:rPr>
      <w:t>32</w:t>
    </w:r>
    <w:r>
      <w:fldChar w:fldCharType="end"/>
    </w:r>
  </w:p>
  <w:p>
    <w:pPr>
      <w:pStyle w:val="1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Fonts w:ascii="宋体" w:hAnsi="宋体" w:eastAsia="宋体"/>
        <w:sz w:val="28"/>
        <w:szCs w:val="28"/>
      </w:rPr>
    </w:pPr>
    <w:r>
      <w:rPr>
        <w:rStyle w:val="20"/>
        <w:rFonts w:hint="eastAsia" w:ascii="宋体" w:hAnsi="宋体" w:eastAsia="宋体"/>
        <w:sz w:val="28"/>
        <w:szCs w:val="28"/>
      </w:rPr>
      <w:t xml:space="preserve">— </w:t>
    </w:r>
    <w:r>
      <w:rPr>
        <w:rFonts w:ascii="宋体" w:hAnsi="宋体" w:eastAsia="宋体"/>
        <w:sz w:val="28"/>
        <w:szCs w:val="28"/>
      </w:rPr>
      <w:fldChar w:fldCharType="begin"/>
    </w:r>
    <w:r>
      <w:rPr>
        <w:rStyle w:val="20"/>
        <w:rFonts w:ascii="宋体" w:hAnsi="宋体" w:eastAsia="宋体"/>
        <w:sz w:val="28"/>
        <w:szCs w:val="28"/>
      </w:rPr>
      <w:instrText xml:space="preserve">PAGE  </w:instrText>
    </w:r>
    <w:r>
      <w:rPr>
        <w:rFonts w:ascii="宋体" w:hAnsi="宋体" w:eastAsia="宋体"/>
        <w:sz w:val="28"/>
        <w:szCs w:val="28"/>
      </w:rPr>
      <w:fldChar w:fldCharType="separate"/>
    </w:r>
    <w:r>
      <w:rPr>
        <w:rStyle w:val="20"/>
        <w:rFonts w:ascii="宋体" w:hAnsi="宋体" w:eastAsia="宋体"/>
        <w:sz w:val="28"/>
        <w:szCs w:val="28"/>
      </w:rPr>
      <w:t>39</w:t>
    </w:r>
    <w:r>
      <w:rPr>
        <w:rFonts w:ascii="宋体" w:hAnsi="宋体" w:eastAsia="宋体"/>
        <w:sz w:val="28"/>
        <w:szCs w:val="28"/>
      </w:rPr>
      <w:fldChar w:fldCharType="end"/>
    </w:r>
    <w:r>
      <w:rPr>
        <w:rStyle w:val="20"/>
        <w:rFonts w:hint="eastAsia" w:ascii="宋体" w:hAnsi="宋体" w:eastAsia="宋体"/>
        <w:sz w:val="28"/>
        <w:szCs w:val="28"/>
      </w:rPr>
      <w:t xml:space="preserve"> —</w:t>
    </w:r>
  </w:p>
  <w:p>
    <w:pPr>
      <w:pStyle w:val="11"/>
      <w:ind w:right="720" w:firstLine="180" w:firstLineChars="100"/>
      <w:jc w:val="both"/>
    </w:pPr>
    <w:r>
      <w:rPr>
        <w:rFonts w:hint="eastAsia"/>
      </w:rPr>
      <w:t xml:space="preserve">                                                           金华市公共资源交易中心东阳分中心</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Fonts w:ascii="宋体" w:hAnsi="宋体" w:eastAsia="宋体"/>
        <w:sz w:val="28"/>
        <w:szCs w:val="28"/>
      </w:rPr>
    </w:pPr>
    <w:r>
      <w:rPr>
        <w:rStyle w:val="20"/>
        <w:rFonts w:hint="eastAsia" w:ascii="宋体" w:hAnsi="宋体" w:eastAsia="宋体"/>
        <w:sz w:val="28"/>
        <w:szCs w:val="28"/>
      </w:rPr>
      <w:t xml:space="preserve">— </w:t>
    </w:r>
    <w:r>
      <w:rPr>
        <w:rFonts w:ascii="宋体" w:hAnsi="宋体" w:eastAsia="宋体"/>
        <w:sz w:val="28"/>
        <w:szCs w:val="28"/>
      </w:rPr>
      <w:fldChar w:fldCharType="begin"/>
    </w:r>
    <w:r>
      <w:rPr>
        <w:rStyle w:val="20"/>
        <w:rFonts w:ascii="宋体" w:hAnsi="宋体" w:eastAsia="宋体"/>
        <w:sz w:val="28"/>
        <w:szCs w:val="28"/>
      </w:rPr>
      <w:instrText xml:space="preserve">PAGE  </w:instrText>
    </w:r>
    <w:r>
      <w:rPr>
        <w:rFonts w:ascii="宋体" w:hAnsi="宋体" w:eastAsia="宋体"/>
        <w:sz w:val="28"/>
        <w:szCs w:val="28"/>
      </w:rPr>
      <w:fldChar w:fldCharType="separate"/>
    </w:r>
    <w:r>
      <w:rPr>
        <w:rStyle w:val="20"/>
        <w:rFonts w:ascii="宋体" w:hAnsi="宋体" w:eastAsia="宋体"/>
        <w:sz w:val="28"/>
        <w:szCs w:val="28"/>
      </w:rPr>
      <w:t>66</w:t>
    </w:r>
    <w:r>
      <w:rPr>
        <w:rFonts w:ascii="宋体" w:hAnsi="宋体" w:eastAsia="宋体"/>
        <w:sz w:val="28"/>
        <w:szCs w:val="28"/>
      </w:rPr>
      <w:fldChar w:fldCharType="end"/>
    </w:r>
    <w:r>
      <w:rPr>
        <w:rStyle w:val="20"/>
        <w:rFonts w:hint="eastAsia" w:ascii="宋体" w:hAnsi="宋体" w:eastAsia="宋体"/>
        <w:sz w:val="28"/>
        <w:szCs w:val="28"/>
      </w:rPr>
      <w:t xml:space="preserve"> —</w:t>
    </w:r>
  </w:p>
  <w:p>
    <w:pPr>
      <w:pStyle w:val="11"/>
      <w:ind w:right="720" w:rightChars="343" w:firstLine="180" w:firstLineChars="100"/>
      <w:jc w:val="center"/>
    </w:pPr>
    <w:r>
      <w:rPr>
        <w:rFonts w:hint="eastAsia"/>
      </w:rPr>
      <w:t>金华市公共资源交易中心东阳分中心</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Pr>
    </w:pPr>
    <w:r>
      <w:fldChar w:fldCharType="begin"/>
    </w:r>
    <w:r>
      <w:rPr>
        <w:rStyle w:val="20"/>
      </w:rPr>
      <w:instrText xml:space="preserve">PAGE  </w:instrText>
    </w:r>
    <w:r>
      <w:fldChar w:fldCharType="separate"/>
    </w:r>
    <w:r>
      <w:rPr>
        <w:rStyle w:val="20"/>
      </w:rPr>
      <w:t>32</w:t>
    </w:r>
    <w:r>
      <w:fldChar w:fldCharType="end"/>
    </w:r>
  </w:p>
  <w:p>
    <w:pPr>
      <w:pStyle w:val="11"/>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Fonts w:ascii="宋体" w:hAnsi="宋体" w:eastAsia="宋体"/>
        <w:sz w:val="28"/>
        <w:szCs w:val="28"/>
      </w:rPr>
    </w:pPr>
    <w:r>
      <w:rPr>
        <w:rStyle w:val="20"/>
        <w:rFonts w:hint="eastAsia" w:ascii="宋体" w:hAnsi="宋体" w:eastAsia="宋体"/>
        <w:sz w:val="28"/>
        <w:szCs w:val="28"/>
      </w:rPr>
      <w:t xml:space="preserve">— </w:t>
    </w:r>
    <w:r>
      <w:rPr>
        <w:rFonts w:ascii="宋体" w:hAnsi="宋体" w:eastAsia="宋体"/>
        <w:sz w:val="28"/>
        <w:szCs w:val="28"/>
      </w:rPr>
      <w:fldChar w:fldCharType="begin"/>
    </w:r>
    <w:r>
      <w:rPr>
        <w:rStyle w:val="20"/>
        <w:rFonts w:ascii="宋体" w:hAnsi="宋体" w:eastAsia="宋体"/>
        <w:sz w:val="28"/>
        <w:szCs w:val="28"/>
      </w:rPr>
      <w:instrText xml:space="preserve">PAGE  </w:instrText>
    </w:r>
    <w:r>
      <w:rPr>
        <w:rFonts w:ascii="宋体" w:hAnsi="宋体" w:eastAsia="宋体"/>
        <w:sz w:val="28"/>
        <w:szCs w:val="28"/>
      </w:rPr>
      <w:fldChar w:fldCharType="separate"/>
    </w:r>
    <w:r>
      <w:rPr>
        <w:rStyle w:val="20"/>
        <w:rFonts w:ascii="宋体" w:hAnsi="宋体" w:eastAsia="宋体"/>
        <w:sz w:val="28"/>
        <w:szCs w:val="28"/>
      </w:rPr>
      <w:t>39</w:t>
    </w:r>
    <w:r>
      <w:rPr>
        <w:rFonts w:ascii="宋体" w:hAnsi="宋体" w:eastAsia="宋体"/>
        <w:sz w:val="28"/>
        <w:szCs w:val="28"/>
      </w:rPr>
      <w:fldChar w:fldCharType="end"/>
    </w:r>
    <w:r>
      <w:rPr>
        <w:rStyle w:val="20"/>
        <w:rFonts w:hint="eastAsia" w:ascii="宋体" w:hAnsi="宋体" w:eastAsia="宋体"/>
        <w:sz w:val="28"/>
        <w:szCs w:val="28"/>
      </w:rPr>
      <w:t xml:space="preserve"> —</w:t>
    </w:r>
  </w:p>
  <w:p>
    <w:pPr>
      <w:pStyle w:val="11"/>
      <w:ind w:right="720" w:firstLine="180" w:firstLineChars="100"/>
      <w:jc w:val="both"/>
    </w:pPr>
    <w:r>
      <w:rPr>
        <w:rFonts w:hint="eastAsia"/>
      </w:rPr>
      <w:t xml:space="preserve">                                                           金华市公共资源交易中心东阳分中心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3600"/>
      </w:tabs>
      <w:snapToGrid w:val="0"/>
      <w:spacing w:before="120" w:after="120" w:line="360" w:lineRule="auto"/>
      <w:ind w:firstLine="1470" w:firstLineChars="700"/>
    </w:pPr>
    <w:r>
      <w:rPr>
        <w:rFonts w:hint="eastAsia" w:hAnsi="宋体"/>
        <w:color w:val="000000"/>
        <w:sz w:val="21"/>
        <w:u w:val="single"/>
      </w:rPr>
      <w:t>东阳市自然资源和规划局办公家具采购项目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3600"/>
      </w:tabs>
      <w:snapToGrid w:val="0"/>
      <w:spacing w:before="120" w:after="120" w:line="360" w:lineRule="auto"/>
      <w:ind w:firstLine="1470" w:firstLineChars="700"/>
    </w:pPr>
    <w:r>
      <w:rPr>
        <w:rFonts w:hint="eastAsia" w:hAnsi="宋体"/>
        <w:color w:val="000000"/>
        <w:sz w:val="21"/>
        <w:u w:val="single"/>
      </w:rPr>
      <w:t>东阳市自然资源和规划局办公家具采购项目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both"/>
      <w:rPr>
        <w:u w:val="single"/>
      </w:rPr>
    </w:pPr>
    <w:r>
      <w:rPr>
        <w:rFonts w:hint="eastAsia"/>
        <w:u w:val="single"/>
      </w:rPr>
      <w:t xml:space="preserve">东阳市人民医院、东阳市妇幼保健院医疗设备项目                                             </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3600"/>
      </w:tabs>
      <w:snapToGrid w:val="0"/>
      <w:spacing w:before="120" w:after="120" w:line="360" w:lineRule="auto"/>
      <w:ind w:firstLine="1470" w:firstLineChars="700"/>
    </w:pPr>
    <w:r>
      <w:rPr>
        <w:rFonts w:hint="eastAsia" w:hAnsi="宋体"/>
        <w:color w:val="000000"/>
        <w:sz w:val="21"/>
        <w:u w:val="single"/>
      </w:rPr>
      <w:t>东阳市自然资源和规划局办公家具采购项目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both"/>
      <w:rPr>
        <w:u w:val="single"/>
      </w:rPr>
    </w:pPr>
    <w:r>
      <w:rPr>
        <w:rFonts w:hint="eastAsia"/>
        <w:u w:val="single"/>
      </w:rPr>
      <w:t xml:space="preserve">东阳市人民医院、东阳市人民医院医疗设备项目                                             </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CD786"/>
    <w:multiLevelType w:val="singleLevel"/>
    <w:tmpl w:val="180CD786"/>
    <w:lvl w:ilvl="0" w:tentative="0">
      <w:start w:val="3"/>
      <w:numFmt w:val="decimal"/>
      <w:lvlText w:val="%1."/>
      <w:lvlJc w:val="left"/>
      <w:pPr>
        <w:tabs>
          <w:tab w:val="left" w:pos="312"/>
        </w:tabs>
      </w:pPr>
    </w:lvl>
  </w:abstractNum>
  <w:abstractNum w:abstractNumId="1">
    <w:nsid w:val="299D34BC"/>
    <w:multiLevelType w:val="multilevel"/>
    <w:tmpl w:val="299D34BC"/>
    <w:lvl w:ilvl="0" w:tentative="0">
      <w:start w:val="1"/>
      <w:numFmt w:val="decimal"/>
      <w:lvlText w:val="%1."/>
      <w:lvlJc w:val="left"/>
      <w:pPr>
        <w:ind w:left="240" w:hanging="2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A156D2"/>
    <w:multiLevelType w:val="multilevel"/>
    <w:tmpl w:val="2BA156D2"/>
    <w:lvl w:ilvl="0" w:tentative="0">
      <w:start w:val="1"/>
      <w:numFmt w:val="decimal"/>
      <w:lvlText w:val="（%1）"/>
      <w:lvlJc w:val="left"/>
      <w:pPr>
        <w:tabs>
          <w:tab w:val="left" w:pos="1260"/>
        </w:tabs>
        <w:ind w:left="1260" w:hanging="720"/>
      </w:pPr>
      <w:rPr>
        <w:rFonts w:hint="default"/>
        <w:lang w:val="en-US"/>
      </w:rPr>
    </w:lvl>
    <w:lvl w:ilvl="1" w:tentative="0">
      <w:start w:val="1"/>
      <w:numFmt w:val="decimal"/>
      <w:lvlText w:val="%2."/>
      <w:lvlJc w:val="left"/>
      <w:pPr>
        <w:tabs>
          <w:tab w:val="left" w:pos="840"/>
        </w:tabs>
        <w:ind w:left="840" w:hanging="420"/>
      </w:pPr>
      <w:rPr>
        <w:rFonts w:hint="default"/>
        <w:lang w:val="en-U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31A44D3"/>
    <w:multiLevelType w:val="singleLevel"/>
    <w:tmpl w:val="331A44D3"/>
    <w:lvl w:ilvl="0" w:tentative="0">
      <w:start w:val="1"/>
      <w:numFmt w:val="decimal"/>
      <w:pStyle w:val="3"/>
      <w:lvlText w:val="%1."/>
      <w:lvlJc w:val="left"/>
      <w:pPr>
        <w:tabs>
          <w:tab w:val="left" w:pos="360"/>
        </w:tabs>
        <w:ind w:left="360" w:hanging="360"/>
      </w:pPr>
    </w:lvl>
  </w:abstractNum>
  <w:abstractNum w:abstractNumId="4">
    <w:nsid w:val="43F80004"/>
    <w:multiLevelType w:val="singleLevel"/>
    <w:tmpl w:val="43F80004"/>
    <w:lvl w:ilvl="0" w:tentative="0">
      <w:start w:val="2"/>
      <w:numFmt w:val="decimal"/>
      <w:suff w:val="nothing"/>
      <w:lvlText w:val="%1、"/>
      <w:lvlJc w:val="left"/>
    </w:lvl>
  </w:abstractNum>
  <w:abstractNum w:abstractNumId="5">
    <w:nsid w:val="4EA13B20"/>
    <w:multiLevelType w:val="multilevel"/>
    <w:tmpl w:val="4EA13B20"/>
    <w:lvl w:ilvl="0" w:tentative="0">
      <w:start w:val="1"/>
      <w:numFmt w:val="decimal"/>
      <w:lvlText w:val="（%1）"/>
      <w:lvlJc w:val="left"/>
      <w:pPr>
        <w:tabs>
          <w:tab w:val="left" w:pos="1571"/>
        </w:tabs>
        <w:ind w:left="1571" w:hanging="720"/>
      </w:pPr>
      <w:rPr>
        <w:rFonts w:hint="default"/>
        <w:lang w:val="en-US"/>
      </w:rPr>
    </w:lvl>
    <w:lvl w:ilvl="1" w:tentative="0">
      <w:start w:val="1"/>
      <w:numFmt w:val="decimal"/>
      <w:lvlText w:val="%2."/>
      <w:lvlJc w:val="left"/>
      <w:pPr>
        <w:tabs>
          <w:tab w:val="left" w:pos="840"/>
        </w:tabs>
        <w:ind w:left="840" w:hanging="420"/>
      </w:pPr>
      <w:rPr>
        <w:rFonts w:hint="default"/>
        <w:lang w:val="en-U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9E02474"/>
    <w:multiLevelType w:val="singleLevel"/>
    <w:tmpl w:val="59E02474"/>
    <w:lvl w:ilvl="0" w:tentative="0">
      <w:start w:val="12"/>
      <w:numFmt w:val="chineseCounting"/>
      <w:suff w:val="nothing"/>
      <w:lvlText w:val="%1、"/>
      <w:lvlJc w:val="left"/>
    </w:lvl>
  </w:abstractNum>
  <w:abstractNum w:abstractNumId="7">
    <w:nsid w:val="5F6B4CCE"/>
    <w:multiLevelType w:val="multilevel"/>
    <w:tmpl w:val="5F6B4CCE"/>
    <w:lvl w:ilvl="0" w:tentative="0">
      <w:start w:val="1"/>
      <w:numFmt w:val="decimal"/>
      <w:lvlText w:val="%1."/>
      <w:lvlJc w:val="left"/>
      <w:pPr>
        <w:tabs>
          <w:tab w:val="left" w:pos="1664"/>
        </w:tabs>
        <w:ind w:left="1664" w:hanging="420"/>
      </w:pPr>
      <w:rPr>
        <w:rFonts w:hint="eastAsia"/>
      </w:rPr>
    </w:lvl>
    <w:lvl w:ilvl="1" w:tentative="0">
      <w:start w:val="1"/>
      <w:numFmt w:val="decimal"/>
      <w:lvlText w:val="%2."/>
      <w:lvlJc w:val="left"/>
      <w:pPr>
        <w:tabs>
          <w:tab w:val="left" w:pos="1244"/>
        </w:tabs>
        <w:ind w:left="1244" w:hanging="420"/>
      </w:pPr>
      <w:rPr>
        <w:rFonts w:hint="eastAsia"/>
      </w:rPr>
    </w:lvl>
    <w:lvl w:ilvl="2" w:tentative="0">
      <w:start w:val="1"/>
      <w:numFmt w:val="lowerRoman"/>
      <w:lvlText w:val="%3."/>
      <w:lvlJc w:val="right"/>
      <w:pPr>
        <w:tabs>
          <w:tab w:val="left" w:pos="1664"/>
        </w:tabs>
        <w:ind w:left="1664" w:hanging="420"/>
      </w:pPr>
    </w:lvl>
    <w:lvl w:ilvl="3" w:tentative="0">
      <w:start w:val="1"/>
      <w:numFmt w:val="decimal"/>
      <w:lvlText w:val="%4."/>
      <w:lvlJc w:val="left"/>
      <w:pPr>
        <w:tabs>
          <w:tab w:val="left" w:pos="2084"/>
        </w:tabs>
        <w:ind w:left="2084" w:hanging="420"/>
      </w:pPr>
    </w:lvl>
    <w:lvl w:ilvl="4" w:tentative="0">
      <w:start w:val="1"/>
      <w:numFmt w:val="lowerLetter"/>
      <w:lvlText w:val="%5)"/>
      <w:lvlJc w:val="left"/>
      <w:pPr>
        <w:tabs>
          <w:tab w:val="left" w:pos="2504"/>
        </w:tabs>
        <w:ind w:left="2504" w:hanging="420"/>
      </w:pPr>
    </w:lvl>
    <w:lvl w:ilvl="5" w:tentative="0">
      <w:start w:val="1"/>
      <w:numFmt w:val="lowerRoman"/>
      <w:lvlText w:val="%6."/>
      <w:lvlJc w:val="right"/>
      <w:pPr>
        <w:tabs>
          <w:tab w:val="left" w:pos="2924"/>
        </w:tabs>
        <w:ind w:left="2924" w:hanging="420"/>
      </w:pPr>
    </w:lvl>
    <w:lvl w:ilvl="6" w:tentative="0">
      <w:start w:val="1"/>
      <w:numFmt w:val="decimal"/>
      <w:lvlText w:val="%7."/>
      <w:lvlJc w:val="left"/>
      <w:pPr>
        <w:tabs>
          <w:tab w:val="left" w:pos="3344"/>
        </w:tabs>
        <w:ind w:left="3344" w:hanging="420"/>
      </w:pPr>
    </w:lvl>
    <w:lvl w:ilvl="7" w:tentative="0">
      <w:start w:val="1"/>
      <w:numFmt w:val="lowerLetter"/>
      <w:lvlText w:val="%8)"/>
      <w:lvlJc w:val="left"/>
      <w:pPr>
        <w:tabs>
          <w:tab w:val="left" w:pos="3764"/>
        </w:tabs>
        <w:ind w:left="3764" w:hanging="420"/>
      </w:pPr>
    </w:lvl>
    <w:lvl w:ilvl="8" w:tentative="0">
      <w:start w:val="1"/>
      <w:numFmt w:val="lowerRoman"/>
      <w:lvlText w:val="%9."/>
      <w:lvlJc w:val="right"/>
      <w:pPr>
        <w:tabs>
          <w:tab w:val="left" w:pos="4184"/>
        </w:tabs>
        <w:ind w:left="4184" w:hanging="420"/>
      </w:pPr>
    </w:lvl>
  </w:abstractNum>
  <w:abstractNum w:abstractNumId="8">
    <w:nsid w:val="612C0E64"/>
    <w:multiLevelType w:val="multilevel"/>
    <w:tmpl w:val="612C0E64"/>
    <w:lvl w:ilvl="0" w:tentative="0">
      <w:start w:val="1"/>
      <w:numFmt w:val="decimal"/>
      <w:lvlText w:val="%1."/>
      <w:lvlJc w:val="left"/>
      <w:pPr>
        <w:tabs>
          <w:tab w:val="left" w:pos="1244"/>
        </w:tabs>
        <w:ind w:left="1244" w:hanging="420"/>
      </w:pPr>
      <w:rPr>
        <w:rFonts w:hint="eastAsia"/>
      </w:rPr>
    </w:lvl>
    <w:lvl w:ilvl="1" w:tentative="0">
      <w:start w:val="1"/>
      <w:numFmt w:val="lowerLetter"/>
      <w:lvlText w:val="%2)"/>
      <w:lvlJc w:val="left"/>
      <w:pPr>
        <w:tabs>
          <w:tab w:val="left" w:pos="824"/>
        </w:tabs>
        <w:ind w:left="824" w:hanging="420"/>
      </w:pPr>
    </w:lvl>
    <w:lvl w:ilvl="2" w:tentative="0">
      <w:start w:val="1"/>
      <w:numFmt w:val="lowerRoman"/>
      <w:lvlText w:val="%3."/>
      <w:lvlJc w:val="right"/>
      <w:pPr>
        <w:tabs>
          <w:tab w:val="left" w:pos="1244"/>
        </w:tabs>
        <w:ind w:left="1244" w:hanging="420"/>
      </w:pPr>
    </w:lvl>
    <w:lvl w:ilvl="3" w:tentative="0">
      <w:start w:val="1"/>
      <w:numFmt w:val="decimal"/>
      <w:lvlText w:val="%4."/>
      <w:lvlJc w:val="left"/>
      <w:pPr>
        <w:tabs>
          <w:tab w:val="left" w:pos="1664"/>
        </w:tabs>
        <w:ind w:left="1664" w:hanging="420"/>
      </w:pPr>
    </w:lvl>
    <w:lvl w:ilvl="4" w:tentative="0">
      <w:start w:val="1"/>
      <w:numFmt w:val="lowerLetter"/>
      <w:lvlText w:val="%5)"/>
      <w:lvlJc w:val="left"/>
      <w:pPr>
        <w:tabs>
          <w:tab w:val="left" w:pos="2084"/>
        </w:tabs>
        <w:ind w:left="2084" w:hanging="420"/>
      </w:pPr>
    </w:lvl>
    <w:lvl w:ilvl="5" w:tentative="0">
      <w:start w:val="1"/>
      <w:numFmt w:val="lowerRoman"/>
      <w:lvlText w:val="%6."/>
      <w:lvlJc w:val="right"/>
      <w:pPr>
        <w:tabs>
          <w:tab w:val="left" w:pos="2504"/>
        </w:tabs>
        <w:ind w:left="2504" w:hanging="420"/>
      </w:pPr>
    </w:lvl>
    <w:lvl w:ilvl="6" w:tentative="0">
      <w:start w:val="1"/>
      <w:numFmt w:val="decimal"/>
      <w:lvlText w:val="%7."/>
      <w:lvlJc w:val="left"/>
      <w:pPr>
        <w:tabs>
          <w:tab w:val="left" w:pos="2924"/>
        </w:tabs>
        <w:ind w:left="2924" w:hanging="420"/>
      </w:pPr>
    </w:lvl>
    <w:lvl w:ilvl="7" w:tentative="0">
      <w:start w:val="1"/>
      <w:numFmt w:val="lowerLetter"/>
      <w:lvlText w:val="%8)"/>
      <w:lvlJc w:val="left"/>
      <w:pPr>
        <w:tabs>
          <w:tab w:val="left" w:pos="3344"/>
        </w:tabs>
        <w:ind w:left="3344" w:hanging="420"/>
      </w:pPr>
    </w:lvl>
    <w:lvl w:ilvl="8" w:tentative="0">
      <w:start w:val="1"/>
      <w:numFmt w:val="lowerRoman"/>
      <w:lvlText w:val="%9."/>
      <w:lvlJc w:val="right"/>
      <w:pPr>
        <w:tabs>
          <w:tab w:val="left" w:pos="3764"/>
        </w:tabs>
        <w:ind w:left="3764" w:hanging="420"/>
      </w:pPr>
    </w:lvl>
  </w:abstractNum>
  <w:abstractNum w:abstractNumId="9">
    <w:nsid w:val="6DC6E269"/>
    <w:multiLevelType w:val="singleLevel"/>
    <w:tmpl w:val="6DC6E269"/>
    <w:lvl w:ilvl="0" w:tentative="0">
      <w:start w:val="2"/>
      <w:numFmt w:val="chineseCounting"/>
      <w:suff w:val="space"/>
      <w:lvlText w:val="第%1章"/>
      <w:lvlJc w:val="left"/>
      <w:rPr>
        <w:rFonts w:hint="eastAsia"/>
      </w:rPr>
    </w:lvl>
  </w:abstractNum>
  <w:abstractNum w:abstractNumId="10">
    <w:nsid w:val="763060DB"/>
    <w:multiLevelType w:val="multilevel"/>
    <w:tmpl w:val="763060DB"/>
    <w:lvl w:ilvl="0" w:tentative="0">
      <w:start w:val="1"/>
      <w:numFmt w:val="japaneseCounting"/>
      <w:lvlText w:val="第%1章"/>
      <w:lvlJc w:val="left"/>
      <w:pPr>
        <w:tabs>
          <w:tab w:val="left" w:pos="1995"/>
        </w:tabs>
        <w:ind w:left="1995" w:hanging="1275"/>
      </w:pPr>
      <w:rPr>
        <w:rFonts w:hint="eastAsia"/>
      </w:rPr>
    </w:lvl>
    <w:lvl w:ilvl="1" w:tentative="0">
      <w:start w:val="1"/>
      <w:numFmt w:val="japaneseCounting"/>
      <w:lvlText w:val="%2、"/>
      <w:lvlJc w:val="left"/>
      <w:pPr>
        <w:tabs>
          <w:tab w:val="left" w:pos="1860"/>
        </w:tabs>
        <w:ind w:left="1860" w:hanging="720"/>
      </w:pPr>
      <w:rPr>
        <w:rFonts w:hint="eastAsia"/>
      </w:r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num w:numId="1">
    <w:abstractNumId w:val="3"/>
  </w:num>
  <w:num w:numId="2">
    <w:abstractNumId w:val="10"/>
  </w:num>
  <w:num w:numId="3">
    <w:abstractNumId w:val="6"/>
  </w:num>
  <w:num w:numId="4">
    <w:abstractNumId w:val="9"/>
  </w:num>
  <w:num w:numId="5">
    <w:abstractNumId w:val="5"/>
  </w:num>
  <w:num w:numId="6">
    <w:abstractNumId w:val="1"/>
  </w:num>
  <w:num w:numId="7">
    <w:abstractNumId w:val="0"/>
  </w:num>
  <w:num w:numId="8">
    <w:abstractNumId w:val="2"/>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9231905"/>
    <w:rsid w:val="001C1E1A"/>
    <w:rsid w:val="00223814"/>
    <w:rsid w:val="00281FA9"/>
    <w:rsid w:val="002F37CA"/>
    <w:rsid w:val="003422DB"/>
    <w:rsid w:val="00382031"/>
    <w:rsid w:val="00520386"/>
    <w:rsid w:val="00606A51"/>
    <w:rsid w:val="00607059"/>
    <w:rsid w:val="006342B1"/>
    <w:rsid w:val="00687209"/>
    <w:rsid w:val="00805DEF"/>
    <w:rsid w:val="00832D64"/>
    <w:rsid w:val="008679E9"/>
    <w:rsid w:val="00882F9C"/>
    <w:rsid w:val="0093483A"/>
    <w:rsid w:val="00987BCA"/>
    <w:rsid w:val="00A96B72"/>
    <w:rsid w:val="00AF59C6"/>
    <w:rsid w:val="00B0275F"/>
    <w:rsid w:val="00B37098"/>
    <w:rsid w:val="00B421B4"/>
    <w:rsid w:val="00B65459"/>
    <w:rsid w:val="00B7041A"/>
    <w:rsid w:val="00B95CAD"/>
    <w:rsid w:val="00BA283D"/>
    <w:rsid w:val="00C33743"/>
    <w:rsid w:val="00D10C95"/>
    <w:rsid w:val="00D544D5"/>
    <w:rsid w:val="00D811B1"/>
    <w:rsid w:val="00DB039A"/>
    <w:rsid w:val="00DB74B3"/>
    <w:rsid w:val="00DD2E1D"/>
    <w:rsid w:val="00E45B8A"/>
    <w:rsid w:val="00E74D63"/>
    <w:rsid w:val="00ED268A"/>
    <w:rsid w:val="00F2502B"/>
    <w:rsid w:val="00F41265"/>
    <w:rsid w:val="0F120241"/>
    <w:rsid w:val="10B65EFE"/>
    <w:rsid w:val="10B82815"/>
    <w:rsid w:val="13661DAB"/>
    <w:rsid w:val="19664A9C"/>
    <w:rsid w:val="1BAE475C"/>
    <w:rsid w:val="1DD27293"/>
    <w:rsid w:val="22D52E91"/>
    <w:rsid w:val="25886C27"/>
    <w:rsid w:val="26620BC7"/>
    <w:rsid w:val="267E603D"/>
    <w:rsid w:val="2DBF5B46"/>
    <w:rsid w:val="2E114239"/>
    <w:rsid w:val="33AC2834"/>
    <w:rsid w:val="374B7D94"/>
    <w:rsid w:val="38301EAE"/>
    <w:rsid w:val="39231905"/>
    <w:rsid w:val="39884F38"/>
    <w:rsid w:val="3C0312D2"/>
    <w:rsid w:val="3C430B61"/>
    <w:rsid w:val="437136A8"/>
    <w:rsid w:val="43963FF9"/>
    <w:rsid w:val="4CB97164"/>
    <w:rsid w:val="4D8F034D"/>
    <w:rsid w:val="52AA3160"/>
    <w:rsid w:val="536041EB"/>
    <w:rsid w:val="554D7B65"/>
    <w:rsid w:val="58200416"/>
    <w:rsid w:val="5A736DE3"/>
    <w:rsid w:val="5FA2748B"/>
    <w:rsid w:val="6C3A3710"/>
    <w:rsid w:val="6DC222B9"/>
    <w:rsid w:val="6E535AD6"/>
    <w:rsid w:val="71FA2788"/>
    <w:rsid w:val="783A246D"/>
    <w:rsid w:val="78C77768"/>
    <w:rsid w:val="79B57FF3"/>
    <w:rsid w:val="7C247456"/>
    <w:rsid w:val="7C7777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4"/>
    <w:qFormat/>
    <w:uiPriority w:val="0"/>
    <w:pPr>
      <w:keepNext/>
      <w:keepLines/>
      <w:spacing w:before="260" w:after="260" w:line="416" w:lineRule="auto"/>
      <w:outlineLvl w:val="1"/>
    </w:pPr>
    <w:rPr>
      <w:rFonts w:ascii="Arial" w:hAnsi="Arial"/>
      <w:b/>
      <w:bCs/>
      <w:sz w:val="28"/>
      <w:szCs w:val="32"/>
    </w:rPr>
  </w:style>
  <w:style w:type="character" w:default="1" w:styleId="19">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3">
    <w:name w:val="List Number"/>
    <w:basedOn w:val="1"/>
    <w:qFormat/>
    <w:uiPriority w:val="0"/>
    <w:pPr>
      <w:numPr>
        <w:ilvl w:val="0"/>
        <w:numId w:val="1"/>
      </w:numPr>
    </w:pPr>
  </w:style>
  <w:style w:type="paragraph" w:styleId="4">
    <w:name w:val="Normal Indent"/>
    <w:basedOn w:val="1"/>
    <w:qFormat/>
    <w:uiPriority w:val="0"/>
    <w:pPr>
      <w:ind w:firstLine="420"/>
    </w:pPr>
    <w:rPr>
      <w:szCs w:val="20"/>
    </w:rPr>
  </w:style>
  <w:style w:type="paragraph" w:styleId="5">
    <w:name w:val="annotation text"/>
    <w:basedOn w:val="1"/>
    <w:link w:val="28"/>
    <w:qFormat/>
    <w:uiPriority w:val="0"/>
    <w:pPr>
      <w:jc w:val="left"/>
    </w:pPr>
  </w:style>
  <w:style w:type="paragraph" w:styleId="6">
    <w:name w:val="Body Text 3"/>
    <w:basedOn w:val="1"/>
    <w:qFormat/>
    <w:uiPriority w:val="0"/>
    <w:pPr>
      <w:snapToGrid w:val="0"/>
      <w:spacing w:before="50" w:after="50"/>
    </w:pPr>
  </w:style>
  <w:style w:type="paragraph" w:styleId="7">
    <w:name w:val="Body Text Indent"/>
    <w:basedOn w:val="1"/>
    <w:qFormat/>
    <w:uiPriority w:val="0"/>
    <w:pPr>
      <w:spacing w:line="200" w:lineRule="exact"/>
      <w:ind w:firstLine="301"/>
    </w:pPr>
    <w:rPr>
      <w:rFonts w:ascii="宋体" w:hAnsi="Courier New"/>
      <w:spacing w:val="-4"/>
      <w:sz w:val="18"/>
      <w:szCs w:val="20"/>
    </w:rPr>
  </w:style>
  <w:style w:type="paragraph" w:styleId="8">
    <w:name w:val="Plain Text"/>
    <w:basedOn w:val="1"/>
    <w:qFormat/>
    <w:uiPriority w:val="0"/>
    <w:pPr>
      <w:spacing w:beforeLines="50" w:afterLines="50" w:line="400" w:lineRule="exact"/>
    </w:pPr>
    <w:rPr>
      <w:rFonts w:ascii="宋体" w:hAnsi="Courier New"/>
      <w:sz w:val="24"/>
    </w:rPr>
  </w:style>
  <w:style w:type="paragraph" w:styleId="9">
    <w:name w:val="Body Text Indent 2"/>
    <w:basedOn w:val="1"/>
    <w:qFormat/>
    <w:uiPriority w:val="0"/>
    <w:pPr>
      <w:snapToGrid w:val="0"/>
      <w:ind w:firstLine="542" w:firstLineChars="225"/>
    </w:pPr>
    <w:rPr>
      <w:rFonts w:ascii="仿宋_GB2312" w:hAnsi="宋体" w:cs="Arial"/>
      <w:b/>
      <w:bCs/>
      <w:color w:val="000000"/>
      <w:sz w:val="24"/>
    </w:rPr>
  </w:style>
  <w:style w:type="paragraph" w:styleId="10">
    <w:name w:val="Balloon Text"/>
    <w:basedOn w:val="1"/>
    <w:link w:val="27"/>
    <w:qFormat/>
    <w:uiPriority w:val="0"/>
    <w:rPr>
      <w:sz w:val="18"/>
      <w:szCs w:val="18"/>
    </w:rPr>
  </w:style>
  <w:style w:type="paragraph" w:styleId="11">
    <w:name w:val="footer"/>
    <w:basedOn w:val="1"/>
    <w:qFormat/>
    <w:uiPriority w:val="0"/>
    <w:pPr>
      <w:tabs>
        <w:tab w:val="center" w:pos="4153"/>
        <w:tab w:val="right" w:pos="8306"/>
      </w:tabs>
      <w:snapToGrid w:val="0"/>
      <w:jc w:val="left"/>
    </w:pPr>
    <w:rPr>
      <w:rFonts w:eastAsia="黑体"/>
      <w:snapToGrid w:val="0"/>
      <w:kern w:val="0"/>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rFonts w:eastAsia="仿宋_GB2312"/>
      <w:sz w:val="18"/>
      <w:szCs w:val="20"/>
    </w:rPr>
  </w:style>
  <w:style w:type="paragraph" w:styleId="13">
    <w:name w:val="Subtitle"/>
    <w:basedOn w:val="1"/>
    <w:next w:val="1"/>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4">
    <w:name w:val="Body Text Indent 3"/>
    <w:basedOn w:val="1"/>
    <w:qFormat/>
    <w:uiPriority w:val="0"/>
    <w:pPr>
      <w:snapToGrid w:val="0"/>
      <w:ind w:firstLine="480" w:firstLineChars="200"/>
      <w:jc w:val="left"/>
    </w:pPr>
    <w:rPr>
      <w:rFonts w:ascii="仿宋_GB2312" w:hAnsi="宋体" w:eastAsia="仿宋_GB2312"/>
      <w:color w:val="000000"/>
      <w:sz w:val="24"/>
    </w:rPr>
  </w:style>
  <w:style w:type="paragraph" w:styleId="15">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16">
    <w:name w:val="Title"/>
    <w:basedOn w:val="1"/>
    <w:qFormat/>
    <w:uiPriority w:val="0"/>
    <w:pPr>
      <w:widowControl/>
      <w:overflowPunct w:val="0"/>
      <w:autoSpaceDE w:val="0"/>
      <w:autoSpaceDN w:val="0"/>
      <w:adjustRightInd w:val="0"/>
      <w:jc w:val="center"/>
      <w:textAlignment w:val="baseline"/>
    </w:pPr>
    <w:rPr>
      <w:b/>
      <w:kern w:val="0"/>
      <w:sz w:val="24"/>
      <w:szCs w:val="20"/>
      <w:lang w:val="en-GB"/>
    </w:rPr>
  </w:style>
  <w:style w:type="paragraph" w:styleId="17">
    <w:name w:val="annotation subject"/>
    <w:basedOn w:val="5"/>
    <w:next w:val="5"/>
    <w:link w:val="29"/>
    <w:uiPriority w:val="0"/>
    <w:rPr>
      <w:b/>
      <w:bCs/>
    </w:rPr>
  </w:style>
  <w:style w:type="character" w:styleId="20">
    <w:name w:val="page number"/>
    <w:basedOn w:val="19"/>
    <w:qFormat/>
    <w:uiPriority w:val="0"/>
  </w:style>
  <w:style w:type="character" w:styleId="21">
    <w:name w:val="Hyperlink"/>
    <w:basedOn w:val="19"/>
    <w:qFormat/>
    <w:uiPriority w:val="0"/>
    <w:rPr>
      <w:color w:val="0000FF"/>
      <w:u w:val="single"/>
    </w:rPr>
  </w:style>
  <w:style w:type="character" w:styleId="22">
    <w:name w:val="annotation reference"/>
    <w:basedOn w:val="19"/>
    <w:qFormat/>
    <w:uiPriority w:val="0"/>
    <w:rPr>
      <w:sz w:val="21"/>
      <w:szCs w:val="21"/>
    </w:rPr>
  </w:style>
  <w:style w:type="paragraph" w:customStyle="1" w:styleId="23">
    <w:name w:val="正文段"/>
    <w:basedOn w:val="1"/>
    <w:qFormat/>
    <w:uiPriority w:val="0"/>
    <w:pPr>
      <w:widowControl/>
      <w:snapToGrid w:val="0"/>
      <w:spacing w:afterLines="50"/>
      <w:ind w:firstLine="200" w:firstLineChars="200"/>
    </w:pPr>
    <w:rPr>
      <w:kern w:val="0"/>
      <w:sz w:val="24"/>
      <w:szCs w:val="20"/>
    </w:rPr>
  </w:style>
  <w:style w:type="character" w:customStyle="1" w:styleId="24">
    <w:name w:val="标题 2 字符"/>
    <w:link w:val="2"/>
    <w:qFormat/>
    <w:uiPriority w:val="0"/>
    <w:rPr>
      <w:rFonts w:ascii="Arial" w:hAnsi="Arial"/>
      <w:b/>
      <w:bCs/>
      <w:sz w:val="28"/>
      <w:szCs w:val="32"/>
    </w:rPr>
  </w:style>
  <w:style w:type="paragraph" w:customStyle="1" w:styleId="25">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纯文本1"/>
    <w:basedOn w:val="1"/>
    <w:qFormat/>
    <w:uiPriority w:val="0"/>
    <w:pPr>
      <w:adjustRightInd w:val="0"/>
    </w:pPr>
    <w:rPr>
      <w:rFonts w:hint="eastAsia" w:ascii="宋体" w:hAnsi="Courier New" w:eastAsia="楷体_GB2312"/>
      <w:sz w:val="28"/>
      <w:szCs w:val="20"/>
    </w:rPr>
  </w:style>
  <w:style w:type="character" w:customStyle="1" w:styleId="27">
    <w:name w:val="批注框文本 字符"/>
    <w:basedOn w:val="19"/>
    <w:link w:val="10"/>
    <w:qFormat/>
    <w:uiPriority w:val="0"/>
    <w:rPr>
      <w:kern w:val="2"/>
      <w:sz w:val="18"/>
      <w:szCs w:val="18"/>
    </w:rPr>
  </w:style>
  <w:style w:type="character" w:customStyle="1" w:styleId="28">
    <w:name w:val="批注文字 字符"/>
    <w:basedOn w:val="19"/>
    <w:link w:val="5"/>
    <w:uiPriority w:val="0"/>
    <w:rPr>
      <w:rFonts w:ascii="Times New Roman" w:hAnsi="Times New Roman" w:eastAsia="宋体" w:cs="Times New Roman"/>
      <w:kern w:val="2"/>
      <w:sz w:val="21"/>
      <w:szCs w:val="24"/>
    </w:rPr>
  </w:style>
  <w:style w:type="character" w:customStyle="1" w:styleId="29">
    <w:name w:val="批注主题 字符"/>
    <w:basedOn w:val="28"/>
    <w:link w:val="17"/>
    <w:uiPriority w:val="0"/>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jpe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jpeg"/><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jpe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jpe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jpe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image" Target="media/image8.png"/><Relationship Id="rId24" Type="http://schemas.openxmlformats.org/officeDocument/2006/relationships/image" Target="media/image7.emf"/><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390CC5-82AB-48D3-BDAB-58562F33A25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66</Pages>
  <Words>6200</Words>
  <Characters>35346</Characters>
  <Lines>294</Lines>
  <Paragraphs>82</Paragraphs>
  <TotalTime>11</TotalTime>
  <ScaleCrop>false</ScaleCrop>
  <LinksUpToDate>false</LinksUpToDate>
  <CharactersWithSpaces>41464</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2019-04-19T00:14:00Z</dcterms:created>
  <dc:creator>浙江八婺工程造价咨询有限公司</dc:creator>
  <cp:lastModifiedBy>user</cp:lastModifiedBy>
  <dcterms:modified xsi:type="dcterms:W3CDTF">2019-04-19T06:26:40Z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